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272" w:rsidRDefault="00B40272" w:rsidP="003E02DC">
      <w:pPr>
        <w:pStyle w:val="ISBodyText"/>
      </w:pPr>
    </w:p>
    <w:p w:rsidR="00C578A5" w:rsidRDefault="00C578A5" w:rsidP="003E02DC">
      <w:pPr>
        <w:pStyle w:val="ISBodyText"/>
      </w:pPr>
    </w:p>
    <w:p w:rsidR="00B40272" w:rsidRDefault="006F5A54" w:rsidP="006F5A54">
      <w:pPr>
        <w:pStyle w:val="ISBodyText"/>
        <w:tabs>
          <w:tab w:val="left" w:pos="2490"/>
        </w:tabs>
      </w:pPr>
      <w:r>
        <w:tab/>
      </w:r>
    </w:p>
    <w:p w:rsidR="00B40272" w:rsidRDefault="00B40272" w:rsidP="003E02DC">
      <w:pPr>
        <w:pStyle w:val="ISBodyText"/>
      </w:pPr>
    </w:p>
    <w:p w:rsidR="00B40272" w:rsidRDefault="00B40272" w:rsidP="003E02DC">
      <w:pPr>
        <w:pStyle w:val="ISBodyText"/>
      </w:pPr>
    </w:p>
    <w:p w:rsidR="00B40272" w:rsidRDefault="00B40272" w:rsidP="003E02DC">
      <w:pPr>
        <w:pStyle w:val="ISBodyText"/>
      </w:pPr>
    </w:p>
    <w:p w:rsidR="003E02DC" w:rsidRPr="00445256" w:rsidRDefault="0011095B" w:rsidP="003E02DC">
      <w:pPr>
        <w:pStyle w:val="ISBodyText"/>
      </w:pPr>
      <w:r w:rsidRPr="00445256">
        <w:tab/>
      </w:r>
    </w:p>
    <w:p w:rsidR="003E02DC" w:rsidRPr="00445256" w:rsidRDefault="003E02DC" w:rsidP="003E02DC">
      <w:pPr>
        <w:pStyle w:val="ISBodyText"/>
      </w:pPr>
    </w:p>
    <w:p w:rsidR="003E02DC" w:rsidRPr="00445256" w:rsidRDefault="003E02DC" w:rsidP="003E02DC">
      <w:pPr>
        <w:pStyle w:val="ISBodyText"/>
      </w:pPr>
    </w:p>
    <w:p w:rsidR="003E02DC" w:rsidRPr="00682347" w:rsidRDefault="0043397A" w:rsidP="003E02DC">
      <w:pPr>
        <w:pStyle w:val="ISCoverTitle"/>
        <w:ind w:left="0"/>
        <w:rPr>
          <w:rFonts w:cs="Segoe UI"/>
          <w:color w:val="auto"/>
        </w:rPr>
      </w:pPr>
      <w:r>
        <w:rPr>
          <w:rFonts w:cs="Segoe UI"/>
          <w:color w:val="auto"/>
        </w:rPr>
        <w:t>I</w:t>
      </w:r>
      <w:r w:rsidR="00432FE6" w:rsidRPr="00682347">
        <w:rPr>
          <w:rFonts w:cs="Segoe UI"/>
          <w:color w:val="auto"/>
        </w:rPr>
        <w:t xml:space="preserve">nformatīvais ziņojums par </w:t>
      </w:r>
      <w:fldSimple w:instr=" DOCPROPERTY  Title  \* MERGEFORMAT ">
        <w:r w:rsidR="00432FE6" w:rsidRPr="00682347">
          <w:rPr>
            <w:rFonts w:cs="Segoe UI"/>
            <w:color w:val="auto"/>
          </w:rPr>
          <w:t>p</w:t>
        </w:r>
        <w:r w:rsidR="00383CAE" w:rsidRPr="00682347">
          <w:rPr>
            <w:rFonts w:cs="Segoe UI"/>
            <w:color w:val="auto"/>
          </w:rPr>
          <w:t>ubliskās pārvaldes informācijas sistēmu konceptuāl</w:t>
        </w:r>
        <w:r w:rsidR="00432FE6" w:rsidRPr="00682347">
          <w:rPr>
            <w:rFonts w:cs="Segoe UI"/>
            <w:color w:val="auto"/>
          </w:rPr>
          <w:t>o</w:t>
        </w:r>
        <w:r w:rsidR="00383CAE" w:rsidRPr="00682347">
          <w:rPr>
            <w:rFonts w:cs="Segoe UI"/>
            <w:color w:val="auto"/>
          </w:rPr>
          <w:t xml:space="preserve"> arhitektūr</w:t>
        </w:r>
      </w:fldSimple>
      <w:r w:rsidR="00432FE6" w:rsidRPr="00682347">
        <w:rPr>
          <w:rFonts w:cs="Segoe UI"/>
          <w:color w:val="auto"/>
        </w:rPr>
        <w:t>u</w:t>
      </w:r>
    </w:p>
    <w:p w:rsidR="006F5A54" w:rsidRPr="006F5A54" w:rsidRDefault="006F5A54" w:rsidP="003E02DC">
      <w:pPr>
        <w:pStyle w:val="ISCoverTitle"/>
        <w:ind w:left="0"/>
        <w:rPr>
          <w:rFonts w:cs="Segoe UI"/>
          <w:color w:val="auto"/>
        </w:rPr>
      </w:pPr>
    </w:p>
    <w:p w:rsidR="003E02DC" w:rsidRDefault="003E02DC" w:rsidP="003E02DC">
      <w:pPr>
        <w:pStyle w:val="ISBodyText"/>
      </w:pPr>
    </w:p>
    <w:p w:rsidR="00B40272" w:rsidRDefault="00B40272" w:rsidP="003E02DC">
      <w:pPr>
        <w:pStyle w:val="ISBodyText"/>
      </w:pPr>
    </w:p>
    <w:p w:rsidR="00B40272" w:rsidRDefault="00B40272" w:rsidP="003E02DC">
      <w:pPr>
        <w:pStyle w:val="ISBodyText"/>
      </w:pPr>
    </w:p>
    <w:p w:rsidR="007E0FED" w:rsidRPr="00445256" w:rsidRDefault="007E0FED" w:rsidP="003E02DC">
      <w:pPr>
        <w:pStyle w:val="ISBodyText"/>
      </w:pPr>
    </w:p>
    <w:p w:rsidR="005D55DF" w:rsidRPr="00445256" w:rsidRDefault="005D55DF" w:rsidP="005D55DF">
      <w:pPr>
        <w:pStyle w:val="ISBodyText"/>
      </w:pPr>
    </w:p>
    <w:p w:rsidR="00EC0C7C" w:rsidRDefault="00EC0C7C" w:rsidP="005D55DF">
      <w:pPr>
        <w:pStyle w:val="ISBodyText"/>
        <w:jc w:val="center"/>
      </w:pPr>
    </w:p>
    <w:p w:rsidR="00AC375B" w:rsidRDefault="00AC375B" w:rsidP="005D55DF">
      <w:pPr>
        <w:pStyle w:val="ISBodyText"/>
        <w:jc w:val="center"/>
      </w:pPr>
    </w:p>
    <w:p w:rsidR="00AC375B" w:rsidRDefault="00AC375B" w:rsidP="005D55DF">
      <w:pPr>
        <w:pStyle w:val="ISBodyText"/>
        <w:jc w:val="center"/>
      </w:pPr>
    </w:p>
    <w:p w:rsidR="00B40272" w:rsidRDefault="00B40272" w:rsidP="005D55DF">
      <w:pPr>
        <w:pStyle w:val="ISBodyText"/>
        <w:jc w:val="center"/>
      </w:pPr>
    </w:p>
    <w:p w:rsidR="00B40272" w:rsidRDefault="00B40272" w:rsidP="005D55DF">
      <w:pPr>
        <w:pStyle w:val="ISBodyText"/>
        <w:jc w:val="center"/>
      </w:pPr>
    </w:p>
    <w:p w:rsidR="00B40272" w:rsidRDefault="00B40272" w:rsidP="005D55DF">
      <w:pPr>
        <w:pStyle w:val="ISBodyText"/>
        <w:jc w:val="center"/>
      </w:pPr>
    </w:p>
    <w:p w:rsidR="007E0FED" w:rsidRDefault="007E0FED" w:rsidP="005D55DF">
      <w:pPr>
        <w:pStyle w:val="ISBodyText"/>
        <w:jc w:val="center"/>
      </w:pPr>
    </w:p>
    <w:p w:rsidR="007E0FED" w:rsidRDefault="007E0FED" w:rsidP="005D55DF">
      <w:pPr>
        <w:pStyle w:val="ISBodyText"/>
        <w:jc w:val="center"/>
      </w:pPr>
    </w:p>
    <w:p w:rsidR="007E0FED" w:rsidRDefault="007E0FED" w:rsidP="005D55DF">
      <w:pPr>
        <w:pStyle w:val="ISBodyText"/>
        <w:jc w:val="center"/>
      </w:pPr>
    </w:p>
    <w:p w:rsidR="007E0FED" w:rsidRDefault="007E0FED" w:rsidP="005D55DF">
      <w:pPr>
        <w:pStyle w:val="ISBodyText"/>
        <w:jc w:val="center"/>
      </w:pPr>
    </w:p>
    <w:p w:rsidR="00B40272" w:rsidRPr="00445256" w:rsidRDefault="00B40272" w:rsidP="005D55DF">
      <w:pPr>
        <w:pStyle w:val="ISBodyText"/>
        <w:jc w:val="center"/>
      </w:pPr>
    </w:p>
    <w:p w:rsidR="00FE484D" w:rsidRPr="00445256" w:rsidRDefault="000A3205" w:rsidP="00FE484D">
      <w:pPr>
        <w:pStyle w:val="ISBodyText"/>
        <w:jc w:val="center"/>
      </w:pPr>
      <w:r>
        <w:t>Rīga, 2014</w:t>
      </w:r>
    </w:p>
    <w:p w:rsidR="00FE484D" w:rsidRPr="00445256" w:rsidRDefault="00FE484D" w:rsidP="00692786">
      <w:pPr>
        <w:pStyle w:val="ISBodyText"/>
      </w:pPr>
    </w:p>
    <w:p w:rsidR="00ED27B2" w:rsidRDefault="00ED27B2">
      <w:pPr>
        <w:overflowPunct/>
        <w:autoSpaceDE/>
        <w:autoSpaceDN/>
        <w:adjustRightInd/>
        <w:textAlignment w:val="auto"/>
        <w:rPr>
          <w:rFonts w:cs="Segoe UI"/>
          <w:u w:val="single"/>
        </w:rPr>
      </w:pPr>
    </w:p>
    <w:p w:rsidR="00405E9D" w:rsidRDefault="00405E9D">
      <w:pPr>
        <w:overflowPunct/>
        <w:autoSpaceDE/>
        <w:autoSpaceDN/>
        <w:adjustRightInd/>
        <w:textAlignment w:val="auto"/>
        <w:rPr>
          <w:rFonts w:cs="Segoe UI"/>
          <w:u w:val="single"/>
        </w:rPr>
      </w:pPr>
    </w:p>
    <w:p w:rsidR="00405E9D" w:rsidRDefault="00405E9D">
      <w:pPr>
        <w:overflowPunct/>
        <w:autoSpaceDE/>
        <w:autoSpaceDN/>
        <w:adjustRightInd/>
        <w:textAlignment w:val="auto"/>
        <w:rPr>
          <w:rFonts w:cs="Segoe UI"/>
          <w:u w:val="single"/>
        </w:rPr>
      </w:pPr>
    </w:p>
    <w:p w:rsidR="00405E9D" w:rsidRDefault="00405E9D">
      <w:pPr>
        <w:overflowPunct/>
        <w:autoSpaceDE/>
        <w:autoSpaceDN/>
        <w:adjustRightInd/>
        <w:textAlignment w:val="auto"/>
        <w:rPr>
          <w:rFonts w:cs="Segoe UI"/>
          <w:u w:val="single"/>
        </w:rPr>
      </w:pPr>
    </w:p>
    <w:p w:rsidR="00405E9D" w:rsidRDefault="00405E9D">
      <w:pPr>
        <w:overflowPunct/>
        <w:autoSpaceDE/>
        <w:autoSpaceDN/>
        <w:adjustRightInd/>
        <w:textAlignment w:val="auto"/>
        <w:rPr>
          <w:rFonts w:cs="Segoe UI"/>
          <w:u w:val="single"/>
        </w:rPr>
      </w:pPr>
    </w:p>
    <w:p w:rsidR="00405E9D" w:rsidRDefault="00405E9D">
      <w:pPr>
        <w:overflowPunct/>
        <w:autoSpaceDE/>
        <w:autoSpaceDN/>
        <w:adjustRightInd/>
        <w:textAlignment w:val="auto"/>
        <w:rPr>
          <w:rFonts w:cs="Segoe UI"/>
          <w:u w:val="single"/>
        </w:rPr>
      </w:pPr>
    </w:p>
    <w:p w:rsidR="00405E9D" w:rsidRDefault="00405E9D">
      <w:pPr>
        <w:overflowPunct/>
        <w:autoSpaceDE/>
        <w:autoSpaceDN/>
        <w:adjustRightInd/>
        <w:textAlignment w:val="auto"/>
        <w:rPr>
          <w:rFonts w:cs="Segoe UI"/>
          <w:u w:val="single"/>
        </w:rPr>
      </w:pPr>
    </w:p>
    <w:p w:rsidR="00405E9D" w:rsidRDefault="00405E9D">
      <w:pPr>
        <w:overflowPunct/>
        <w:autoSpaceDE/>
        <w:autoSpaceDN/>
        <w:adjustRightInd/>
        <w:textAlignment w:val="auto"/>
        <w:rPr>
          <w:rFonts w:cs="Segoe UI"/>
          <w:u w:val="single"/>
        </w:rPr>
      </w:pPr>
    </w:p>
    <w:p w:rsidR="00405E9D" w:rsidRPr="00445256" w:rsidRDefault="00405E9D">
      <w:pPr>
        <w:overflowPunct/>
        <w:autoSpaceDE/>
        <w:autoSpaceDN/>
        <w:adjustRightInd/>
        <w:textAlignment w:val="auto"/>
        <w:rPr>
          <w:rFonts w:cs="Segoe UI"/>
          <w:u w:val="single"/>
        </w:rPr>
      </w:pPr>
    </w:p>
    <w:sdt>
      <w:sdtPr>
        <w:rPr>
          <w:rFonts w:ascii="Segoe UI" w:eastAsia="MS Mincho" w:hAnsi="Segoe UI" w:cs="Segoe UI"/>
          <w:b w:val="0"/>
          <w:bCs w:val="0"/>
          <w:color w:val="auto"/>
          <w:sz w:val="22"/>
          <w:szCs w:val="24"/>
          <w:u w:val="single"/>
        </w:rPr>
        <w:id w:val="3767139"/>
        <w:docPartObj>
          <w:docPartGallery w:val="Table of Contents"/>
          <w:docPartUnique/>
        </w:docPartObj>
      </w:sdtPr>
      <w:sdtEndPr>
        <w:rPr>
          <w:bCs/>
          <w:szCs w:val="22"/>
          <w:u w:val="none"/>
        </w:rPr>
      </w:sdtEndPr>
      <w:sdtContent>
        <w:p w:rsidR="007E2184" w:rsidRPr="00383CAE" w:rsidRDefault="007E2184" w:rsidP="00740CA4">
          <w:pPr>
            <w:pStyle w:val="Saturardtjavirsraksts"/>
            <w:spacing w:line="240" w:lineRule="auto"/>
            <w:rPr>
              <w:rFonts w:ascii="Segoe UI" w:hAnsi="Segoe UI" w:cs="Segoe UI"/>
              <w:bCs w:val="0"/>
              <w:color w:val="auto"/>
              <w:sz w:val="40"/>
              <w:szCs w:val="40"/>
            </w:rPr>
          </w:pPr>
          <w:r w:rsidRPr="00383CAE">
            <w:rPr>
              <w:rFonts w:ascii="Segoe UI" w:hAnsi="Segoe UI" w:cs="Segoe UI"/>
              <w:bCs w:val="0"/>
              <w:color w:val="auto"/>
              <w:sz w:val="40"/>
              <w:szCs w:val="40"/>
            </w:rPr>
            <w:t>Saturs</w:t>
          </w:r>
        </w:p>
        <w:p w:rsidR="005807A3" w:rsidRPr="005807A3" w:rsidRDefault="005807A3" w:rsidP="005807A3">
          <w:pPr>
            <w:pStyle w:val="ISBodyText"/>
          </w:pPr>
        </w:p>
        <w:p w:rsidR="003B0F7F" w:rsidRDefault="009A77EC">
          <w:pPr>
            <w:pStyle w:val="Saturs1"/>
            <w:rPr>
              <w:rFonts w:asciiTheme="minorHAnsi" w:eastAsiaTheme="minorEastAsia" w:hAnsiTheme="minorHAnsi" w:cstheme="minorBidi"/>
              <w:b w:val="0"/>
              <w:caps w:val="0"/>
              <w:u w:val="none"/>
              <w:lang w:eastAsia="lv-LV"/>
            </w:rPr>
          </w:pPr>
          <w:r w:rsidRPr="00445256">
            <w:fldChar w:fldCharType="begin"/>
          </w:r>
          <w:r w:rsidR="00147AC2">
            <w:instrText xml:space="preserve"> TOC \o "1-4</w:instrText>
          </w:r>
          <w:r w:rsidR="007E2184" w:rsidRPr="00445256">
            <w:instrText xml:space="preserve">" \h \z \u </w:instrText>
          </w:r>
          <w:r w:rsidRPr="00445256">
            <w:fldChar w:fldCharType="separate"/>
          </w:r>
          <w:hyperlink w:anchor="_Toc410146976" w:history="1">
            <w:r w:rsidR="003B0F7F" w:rsidRPr="00271830">
              <w:rPr>
                <w:rStyle w:val="Hipersaite"/>
              </w:rPr>
              <w:t>1.</w:t>
            </w:r>
            <w:r w:rsidR="003B0F7F">
              <w:rPr>
                <w:rFonts w:asciiTheme="minorHAnsi" w:eastAsiaTheme="minorEastAsia" w:hAnsiTheme="minorHAnsi" w:cstheme="minorBidi"/>
                <w:b w:val="0"/>
                <w:caps w:val="0"/>
                <w:u w:val="none"/>
                <w:lang w:eastAsia="lv-LV"/>
              </w:rPr>
              <w:tab/>
            </w:r>
            <w:r w:rsidR="003B0F7F" w:rsidRPr="00271830">
              <w:rPr>
                <w:rStyle w:val="Hipersaite"/>
              </w:rPr>
              <w:t>Ievads</w:t>
            </w:r>
            <w:r w:rsidR="003B0F7F">
              <w:rPr>
                <w:webHidden/>
              </w:rPr>
              <w:tab/>
            </w:r>
            <w:r>
              <w:rPr>
                <w:webHidden/>
              </w:rPr>
              <w:fldChar w:fldCharType="begin"/>
            </w:r>
            <w:r w:rsidR="003B0F7F">
              <w:rPr>
                <w:webHidden/>
              </w:rPr>
              <w:instrText xml:space="preserve"> PAGEREF _Toc410146976 \h </w:instrText>
            </w:r>
            <w:r>
              <w:rPr>
                <w:webHidden/>
              </w:rPr>
            </w:r>
            <w:r>
              <w:rPr>
                <w:webHidden/>
              </w:rPr>
              <w:fldChar w:fldCharType="separate"/>
            </w:r>
            <w:r w:rsidR="003B0F7F">
              <w:rPr>
                <w:webHidden/>
              </w:rPr>
              <w:t>4</w:t>
            </w:r>
            <w:r>
              <w:rPr>
                <w:webHidden/>
              </w:rPr>
              <w:fldChar w:fldCharType="end"/>
            </w:r>
          </w:hyperlink>
        </w:p>
        <w:p w:rsidR="003B0F7F" w:rsidRDefault="00AC3FAB">
          <w:pPr>
            <w:pStyle w:val="Saturs1"/>
            <w:rPr>
              <w:rFonts w:asciiTheme="minorHAnsi" w:eastAsiaTheme="minorEastAsia" w:hAnsiTheme="minorHAnsi" w:cstheme="minorBidi"/>
              <w:b w:val="0"/>
              <w:caps w:val="0"/>
              <w:u w:val="none"/>
              <w:lang w:eastAsia="lv-LV"/>
            </w:rPr>
          </w:pPr>
          <w:hyperlink w:anchor="_Toc410146977" w:history="1">
            <w:r w:rsidR="003B0F7F" w:rsidRPr="00271830">
              <w:rPr>
                <w:rStyle w:val="Hipersaite"/>
              </w:rPr>
              <w:t>2.</w:t>
            </w:r>
            <w:r w:rsidR="003B0F7F">
              <w:rPr>
                <w:rFonts w:asciiTheme="minorHAnsi" w:eastAsiaTheme="minorEastAsia" w:hAnsiTheme="minorHAnsi" w:cstheme="minorBidi"/>
                <w:b w:val="0"/>
                <w:caps w:val="0"/>
                <w:u w:val="none"/>
                <w:lang w:eastAsia="lv-LV"/>
              </w:rPr>
              <w:tab/>
            </w:r>
            <w:r w:rsidR="003B0F7F" w:rsidRPr="00271830">
              <w:rPr>
                <w:rStyle w:val="Hipersaite"/>
              </w:rPr>
              <w:t>Saistītie dokumenti un saīsinājumi</w:t>
            </w:r>
            <w:r w:rsidR="003B0F7F">
              <w:rPr>
                <w:webHidden/>
              </w:rPr>
              <w:tab/>
            </w:r>
            <w:r w:rsidR="009A77EC">
              <w:rPr>
                <w:webHidden/>
              </w:rPr>
              <w:fldChar w:fldCharType="begin"/>
            </w:r>
            <w:r w:rsidR="003B0F7F">
              <w:rPr>
                <w:webHidden/>
              </w:rPr>
              <w:instrText xml:space="preserve"> PAGEREF _Toc410146977 \h </w:instrText>
            </w:r>
            <w:r w:rsidR="009A77EC">
              <w:rPr>
                <w:webHidden/>
              </w:rPr>
            </w:r>
            <w:r w:rsidR="009A77EC">
              <w:rPr>
                <w:webHidden/>
              </w:rPr>
              <w:fldChar w:fldCharType="separate"/>
            </w:r>
            <w:r w:rsidR="003B0F7F">
              <w:rPr>
                <w:webHidden/>
              </w:rPr>
              <w:t>5</w:t>
            </w:r>
            <w:r w:rsidR="009A77EC">
              <w:rPr>
                <w:webHidden/>
              </w:rPr>
              <w:fldChar w:fldCharType="end"/>
            </w:r>
          </w:hyperlink>
        </w:p>
        <w:p w:rsidR="003B0F7F" w:rsidRDefault="00AC3FAB">
          <w:pPr>
            <w:pStyle w:val="Saturs1"/>
            <w:rPr>
              <w:rFonts w:asciiTheme="minorHAnsi" w:eastAsiaTheme="minorEastAsia" w:hAnsiTheme="minorHAnsi" w:cstheme="minorBidi"/>
              <w:b w:val="0"/>
              <w:caps w:val="0"/>
              <w:u w:val="none"/>
              <w:lang w:eastAsia="lv-LV"/>
            </w:rPr>
          </w:pPr>
          <w:hyperlink w:anchor="_Toc410146978" w:history="1">
            <w:r w:rsidR="003B0F7F" w:rsidRPr="00271830">
              <w:rPr>
                <w:rStyle w:val="Hipersaite"/>
              </w:rPr>
              <w:t>3.</w:t>
            </w:r>
            <w:r w:rsidR="003B0F7F">
              <w:rPr>
                <w:rFonts w:asciiTheme="minorHAnsi" w:eastAsiaTheme="minorEastAsia" w:hAnsiTheme="minorHAnsi" w:cstheme="minorBidi"/>
                <w:b w:val="0"/>
                <w:caps w:val="0"/>
                <w:u w:val="none"/>
                <w:lang w:eastAsia="lv-LV"/>
              </w:rPr>
              <w:tab/>
            </w:r>
            <w:r w:rsidR="003B0F7F" w:rsidRPr="00271830">
              <w:rPr>
                <w:rStyle w:val="Hipersaite"/>
              </w:rPr>
              <w:t>Publiskās pārvaldes procesu arhitektūra</w:t>
            </w:r>
            <w:r w:rsidR="003B0F7F">
              <w:rPr>
                <w:webHidden/>
              </w:rPr>
              <w:tab/>
            </w:r>
            <w:r w:rsidR="009A77EC">
              <w:rPr>
                <w:webHidden/>
              </w:rPr>
              <w:fldChar w:fldCharType="begin"/>
            </w:r>
            <w:r w:rsidR="003B0F7F">
              <w:rPr>
                <w:webHidden/>
              </w:rPr>
              <w:instrText xml:space="preserve"> PAGEREF _Toc410146978 \h </w:instrText>
            </w:r>
            <w:r w:rsidR="009A77EC">
              <w:rPr>
                <w:webHidden/>
              </w:rPr>
            </w:r>
            <w:r w:rsidR="009A77EC">
              <w:rPr>
                <w:webHidden/>
              </w:rPr>
              <w:fldChar w:fldCharType="separate"/>
            </w:r>
            <w:r w:rsidR="003B0F7F">
              <w:rPr>
                <w:webHidden/>
              </w:rPr>
              <w:t>10</w:t>
            </w:r>
            <w:r w:rsidR="009A77EC">
              <w:rPr>
                <w:webHidden/>
              </w:rPr>
              <w:fldChar w:fldCharType="end"/>
            </w:r>
          </w:hyperlink>
        </w:p>
        <w:p w:rsidR="003B0F7F" w:rsidRDefault="00AC3FAB">
          <w:pPr>
            <w:pStyle w:val="Saturs2"/>
            <w:rPr>
              <w:rFonts w:asciiTheme="minorHAnsi" w:eastAsiaTheme="minorEastAsia" w:hAnsiTheme="minorHAnsi" w:cstheme="minorBidi"/>
              <w:b w:val="0"/>
              <w:smallCaps w:val="0"/>
              <w:lang w:eastAsia="lv-LV"/>
            </w:rPr>
          </w:pPr>
          <w:hyperlink w:anchor="_Toc410146979" w:history="1">
            <w:r w:rsidR="003B0F7F" w:rsidRPr="00271830">
              <w:rPr>
                <w:rStyle w:val="Hipersaite"/>
              </w:rPr>
              <w:t>3.1.</w:t>
            </w:r>
            <w:r w:rsidR="003B0F7F">
              <w:rPr>
                <w:rFonts w:asciiTheme="minorHAnsi" w:eastAsiaTheme="minorEastAsia" w:hAnsiTheme="minorHAnsi" w:cstheme="minorBidi"/>
                <w:b w:val="0"/>
                <w:smallCaps w:val="0"/>
                <w:lang w:eastAsia="lv-LV"/>
              </w:rPr>
              <w:tab/>
            </w:r>
            <w:r w:rsidR="003B0F7F" w:rsidRPr="00271830">
              <w:rPr>
                <w:rStyle w:val="Hipersaite"/>
              </w:rPr>
              <w:t>Publiskās pārvaldes procesu attīstības pamatprincipi</w:t>
            </w:r>
            <w:r w:rsidR="003B0F7F">
              <w:rPr>
                <w:webHidden/>
              </w:rPr>
              <w:tab/>
            </w:r>
            <w:r w:rsidR="009A77EC">
              <w:rPr>
                <w:webHidden/>
              </w:rPr>
              <w:fldChar w:fldCharType="begin"/>
            </w:r>
            <w:r w:rsidR="003B0F7F">
              <w:rPr>
                <w:webHidden/>
              </w:rPr>
              <w:instrText xml:space="preserve"> PAGEREF _Toc410146979 \h </w:instrText>
            </w:r>
            <w:r w:rsidR="009A77EC">
              <w:rPr>
                <w:webHidden/>
              </w:rPr>
            </w:r>
            <w:r w:rsidR="009A77EC">
              <w:rPr>
                <w:webHidden/>
              </w:rPr>
              <w:fldChar w:fldCharType="separate"/>
            </w:r>
            <w:r w:rsidR="003B0F7F">
              <w:rPr>
                <w:webHidden/>
              </w:rPr>
              <w:t>10</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80" w:history="1">
            <w:r w:rsidR="003B0F7F" w:rsidRPr="00271830">
              <w:rPr>
                <w:rStyle w:val="Hipersaite"/>
              </w:rPr>
              <w:t>P1:</w:t>
            </w:r>
            <w:r w:rsidR="003B0F7F">
              <w:rPr>
                <w:rFonts w:asciiTheme="minorHAnsi" w:eastAsiaTheme="minorEastAsia" w:hAnsiTheme="minorHAnsi" w:cstheme="minorBidi"/>
                <w:smallCaps w:val="0"/>
                <w:lang w:eastAsia="lv-LV"/>
              </w:rPr>
              <w:tab/>
            </w:r>
            <w:r w:rsidR="003B0F7F" w:rsidRPr="00271830">
              <w:rPr>
                <w:rStyle w:val="Hipersaite"/>
              </w:rPr>
              <w:t>Publiskās pārvaldes modernizācija, to elektronizējot</w:t>
            </w:r>
            <w:r w:rsidR="003B0F7F">
              <w:rPr>
                <w:webHidden/>
              </w:rPr>
              <w:tab/>
            </w:r>
            <w:r w:rsidR="009A77EC">
              <w:rPr>
                <w:webHidden/>
              </w:rPr>
              <w:fldChar w:fldCharType="begin"/>
            </w:r>
            <w:r w:rsidR="003B0F7F">
              <w:rPr>
                <w:webHidden/>
              </w:rPr>
              <w:instrText xml:space="preserve"> PAGEREF _Toc410146980 \h </w:instrText>
            </w:r>
            <w:r w:rsidR="009A77EC">
              <w:rPr>
                <w:webHidden/>
              </w:rPr>
            </w:r>
            <w:r w:rsidR="009A77EC">
              <w:rPr>
                <w:webHidden/>
              </w:rPr>
              <w:fldChar w:fldCharType="separate"/>
            </w:r>
            <w:r w:rsidR="003B0F7F">
              <w:rPr>
                <w:webHidden/>
              </w:rPr>
              <w:t>10</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81" w:history="1">
            <w:r w:rsidR="003B0F7F" w:rsidRPr="00271830">
              <w:rPr>
                <w:rStyle w:val="Hipersaite"/>
              </w:rPr>
              <w:t>P2:</w:t>
            </w:r>
            <w:r w:rsidR="003B0F7F">
              <w:rPr>
                <w:rFonts w:asciiTheme="minorHAnsi" w:eastAsiaTheme="minorEastAsia" w:hAnsiTheme="minorHAnsi" w:cstheme="minorBidi"/>
                <w:smallCaps w:val="0"/>
                <w:lang w:eastAsia="lv-LV"/>
              </w:rPr>
              <w:tab/>
            </w:r>
            <w:r w:rsidR="003B0F7F" w:rsidRPr="00271830">
              <w:rPr>
                <w:rStyle w:val="Hipersaite"/>
              </w:rPr>
              <w:t>Efektīva sadarbība elektronizētā publiskajā pārvaldē kā vienotā organizācijā</w:t>
            </w:r>
            <w:r w:rsidR="003B0F7F">
              <w:rPr>
                <w:webHidden/>
              </w:rPr>
              <w:tab/>
            </w:r>
            <w:r w:rsidR="009A77EC">
              <w:rPr>
                <w:webHidden/>
              </w:rPr>
              <w:fldChar w:fldCharType="begin"/>
            </w:r>
            <w:r w:rsidR="003B0F7F">
              <w:rPr>
                <w:webHidden/>
              </w:rPr>
              <w:instrText xml:space="preserve"> PAGEREF _Toc410146981 \h </w:instrText>
            </w:r>
            <w:r w:rsidR="009A77EC">
              <w:rPr>
                <w:webHidden/>
              </w:rPr>
            </w:r>
            <w:r w:rsidR="009A77EC">
              <w:rPr>
                <w:webHidden/>
              </w:rPr>
              <w:fldChar w:fldCharType="separate"/>
            </w:r>
            <w:r w:rsidR="003B0F7F">
              <w:rPr>
                <w:webHidden/>
              </w:rPr>
              <w:t>12</w:t>
            </w:r>
            <w:r w:rsidR="009A77EC">
              <w:rPr>
                <w:webHidden/>
              </w:rPr>
              <w:fldChar w:fldCharType="end"/>
            </w:r>
          </w:hyperlink>
        </w:p>
        <w:p w:rsidR="003B0F7F" w:rsidRDefault="00AC3FAB">
          <w:pPr>
            <w:pStyle w:val="Saturs2"/>
            <w:rPr>
              <w:rFonts w:asciiTheme="minorHAnsi" w:eastAsiaTheme="minorEastAsia" w:hAnsiTheme="minorHAnsi" w:cstheme="minorBidi"/>
              <w:b w:val="0"/>
              <w:smallCaps w:val="0"/>
              <w:lang w:eastAsia="lv-LV"/>
            </w:rPr>
          </w:pPr>
          <w:hyperlink w:anchor="_Toc410146982" w:history="1">
            <w:r w:rsidR="003B0F7F" w:rsidRPr="00271830">
              <w:rPr>
                <w:rStyle w:val="Hipersaite"/>
              </w:rPr>
              <w:t>3.2.</w:t>
            </w:r>
            <w:r w:rsidR="003B0F7F">
              <w:rPr>
                <w:rFonts w:asciiTheme="minorHAnsi" w:eastAsiaTheme="minorEastAsia" w:hAnsiTheme="minorHAnsi" w:cstheme="minorBidi"/>
                <w:b w:val="0"/>
                <w:smallCaps w:val="0"/>
                <w:lang w:eastAsia="lv-LV"/>
              </w:rPr>
              <w:tab/>
            </w:r>
            <w:r w:rsidR="003B0F7F" w:rsidRPr="00271830">
              <w:rPr>
                <w:rStyle w:val="Hipersaite"/>
              </w:rPr>
              <w:t>Publisko pakalpojumu sistēmas pilnveidošana</w:t>
            </w:r>
            <w:r w:rsidR="003B0F7F">
              <w:rPr>
                <w:webHidden/>
              </w:rPr>
              <w:tab/>
            </w:r>
            <w:r w:rsidR="009A77EC">
              <w:rPr>
                <w:webHidden/>
              </w:rPr>
              <w:fldChar w:fldCharType="begin"/>
            </w:r>
            <w:r w:rsidR="003B0F7F">
              <w:rPr>
                <w:webHidden/>
              </w:rPr>
              <w:instrText xml:space="preserve"> PAGEREF _Toc410146982 \h </w:instrText>
            </w:r>
            <w:r w:rsidR="009A77EC">
              <w:rPr>
                <w:webHidden/>
              </w:rPr>
            </w:r>
            <w:r w:rsidR="009A77EC">
              <w:rPr>
                <w:webHidden/>
              </w:rPr>
              <w:fldChar w:fldCharType="separate"/>
            </w:r>
            <w:r w:rsidR="003B0F7F">
              <w:rPr>
                <w:webHidden/>
              </w:rPr>
              <w:t>12</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83" w:history="1">
            <w:r w:rsidR="003B0F7F" w:rsidRPr="00271830">
              <w:rPr>
                <w:rStyle w:val="Hipersaite"/>
              </w:rPr>
              <w:t>P3:</w:t>
            </w:r>
            <w:r w:rsidR="003B0F7F">
              <w:rPr>
                <w:rFonts w:asciiTheme="minorHAnsi" w:eastAsiaTheme="minorEastAsia" w:hAnsiTheme="minorHAnsi" w:cstheme="minorBidi"/>
                <w:smallCaps w:val="0"/>
                <w:lang w:eastAsia="lv-LV"/>
              </w:rPr>
              <w:tab/>
            </w:r>
            <w:r w:rsidR="003B0F7F" w:rsidRPr="00271830">
              <w:rPr>
                <w:rStyle w:val="Hipersaite"/>
              </w:rPr>
              <w:t>Vienota publisko pakalpojumu un klientu apkalpošanas pārvaldība</w:t>
            </w:r>
            <w:r w:rsidR="003B0F7F">
              <w:rPr>
                <w:webHidden/>
              </w:rPr>
              <w:tab/>
            </w:r>
            <w:r w:rsidR="009A77EC">
              <w:rPr>
                <w:webHidden/>
              </w:rPr>
              <w:fldChar w:fldCharType="begin"/>
            </w:r>
            <w:r w:rsidR="003B0F7F">
              <w:rPr>
                <w:webHidden/>
              </w:rPr>
              <w:instrText xml:space="preserve"> PAGEREF _Toc410146983 \h </w:instrText>
            </w:r>
            <w:r w:rsidR="009A77EC">
              <w:rPr>
                <w:webHidden/>
              </w:rPr>
            </w:r>
            <w:r w:rsidR="009A77EC">
              <w:rPr>
                <w:webHidden/>
              </w:rPr>
              <w:fldChar w:fldCharType="separate"/>
            </w:r>
            <w:r w:rsidR="003B0F7F">
              <w:rPr>
                <w:webHidden/>
              </w:rPr>
              <w:t>13</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84" w:history="1">
            <w:r w:rsidR="003B0F7F" w:rsidRPr="00271830">
              <w:rPr>
                <w:rStyle w:val="Hipersaite"/>
              </w:rPr>
              <w:t>P4:</w:t>
            </w:r>
            <w:r w:rsidR="003B0F7F">
              <w:rPr>
                <w:rFonts w:asciiTheme="minorHAnsi" w:eastAsiaTheme="minorEastAsia" w:hAnsiTheme="minorHAnsi" w:cstheme="minorBidi"/>
                <w:smallCaps w:val="0"/>
                <w:lang w:eastAsia="lv-LV"/>
              </w:rPr>
              <w:tab/>
            </w:r>
            <w:r w:rsidR="003B0F7F" w:rsidRPr="00271830">
              <w:rPr>
                <w:rStyle w:val="Hipersaite"/>
              </w:rPr>
              <w:t>Oficiālā saziņa un pakalpojumu piegāde personas e-kontā</w:t>
            </w:r>
            <w:r w:rsidR="003B0F7F">
              <w:rPr>
                <w:webHidden/>
              </w:rPr>
              <w:tab/>
            </w:r>
            <w:r w:rsidR="009A77EC">
              <w:rPr>
                <w:webHidden/>
              </w:rPr>
              <w:fldChar w:fldCharType="begin"/>
            </w:r>
            <w:r w:rsidR="003B0F7F">
              <w:rPr>
                <w:webHidden/>
              </w:rPr>
              <w:instrText xml:space="preserve"> PAGEREF _Toc410146984 \h </w:instrText>
            </w:r>
            <w:r w:rsidR="009A77EC">
              <w:rPr>
                <w:webHidden/>
              </w:rPr>
            </w:r>
            <w:r w:rsidR="009A77EC">
              <w:rPr>
                <w:webHidden/>
              </w:rPr>
              <w:fldChar w:fldCharType="separate"/>
            </w:r>
            <w:r w:rsidR="003B0F7F">
              <w:rPr>
                <w:webHidden/>
              </w:rPr>
              <w:t>14</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85" w:history="1">
            <w:r w:rsidR="003B0F7F" w:rsidRPr="00271830">
              <w:rPr>
                <w:rStyle w:val="Hipersaite"/>
              </w:rPr>
              <w:t>P5:</w:t>
            </w:r>
            <w:r w:rsidR="003B0F7F">
              <w:rPr>
                <w:rFonts w:asciiTheme="minorHAnsi" w:eastAsiaTheme="minorEastAsia" w:hAnsiTheme="minorHAnsi" w:cstheme="minorBidi"/>
                <w:smallCaps w:val="0"/>
                <w:lang w:eastAsia="lv-LV"/>
              </w:rPr>
              <w:tab/>
            </w:r>
            <w:r w:rsidR="003B0F7F" w:rsidRPr="00271830">
              <w:rPr>
                <w:rStyle w:val="Hipersaite"/>
              </w:rPr>
              <w:t>Publisko pakalpojumu daudzkanālu piegāde</w:t>
            </w:r>
            <w:r w:rsidR="003B0F7F">
              <w:rPr>
                <w:webHidden/>
              </w:rPr>
              <w:tab/>
            </w:r>
            <w:r w:rsidR="009A77EC">
              <w:rPr>
                <w:webHidden/>
              </w:rPr>
              <w:fldChar w:fldCharType="begin"/>
            </w:r>
            <w:r w:rsidR="003B0F7F">
              <w:rPr>
                <w:webHidden/>
              </w:rPr>
              <w:instrText xml:space="preserve"> PAGEREF _Toc410146985 \h </w:instrText>
            </w:r>
            <w:r w:rsidR="009A77EC">
              <w:rPr>
                <w:webHidden/>
              </w:rPr>
            </w:r>
            <w:r w:rsidR="009A77EC">
              <w:rPr>
                <w:webHidden/>
              </w:rPr>
              <w:fldChar w:fldCharType="separate"/>
            </w:r>
            <w:r w:rsidR="003B0F7F">
              <w:rPr>
                <w:webHidden/>
              </w:rPr>
              <w:t>15</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86" w:history="1">
            <w:r w:rsidR="003B0F7F" w:rsidRPr="00271830">
              <w:rPr>
                <w:rStyle w:val="Hipersaite"/>
              </w:rPr>
              <w:t>P6:</w:t>
            </w:r>
            <w:r w:rsidR="003B0F7F">
              <w:rPr>
                <w:rFonts w:asciiTheme="minorHAnsi" w:eastAsiaTheme="minorEastAsia" w:hAnsiTheme="minorHAnsi" w:cstheme="minorBidi"/>
                <w:smallCaps w:val="0"/>
                <w:lang w:eastAsia="lv-LV"/>
              </w:rPr>
              <w:tab/>
            </w:r>
            <w:r w:rsidR="003B0F7F" w:rsidRPr="00271830">
              <w:rPr>
                <w:rStyle w:val="Hipersaite"/>
              </w:rPr>
              <w:t>Autorizācija, pilnvarojumi publiskajos pakalpojumos un proaktīvie pakalpojumi</w:t>
            </w:r>
            <w:r w:rsidR="003B0F7F">
              <w:rPr>
                <w:webHidden/>
              </w:rPr>
              <w:tab/>
            </w:r>
            <w:r w:rsidR="009A77EC">
              <w:rPr>
                <w:webHidden/>
              </w:rPr>
              <w:fldChar w:fldCharType="begin"/>
            </w:r>
            <w:r w:rsidR="003B0F7F">
              <w:rPr>
                <w:webHidden/>
              </w:rPr>
              <w:instrText xml:space="preserve"> PAGEREF _Toc410146986 \h </w:instrText>
            </w:r>
            <w:r w:rsidR="009A77EC">
              <w:rPr>
                <w:webHidden/>
              </w:rPr>
            </w:r>
            <w:r w:rsidR="009A77EC">
              <w:rPr>
                <w:webHidden/>
              </w:rPr>
              <w:fldChar w:fldCharType="separate"/>
            </w:r>
            <w:r w:rsidR="003B0F7F">
              <w:rPr>
                <w:webHidden/>
              </w:rPr>
              <w:t>16</w:t>
            </w:r>
            <w:r w:rsidR="009A77EC">
              <w:rPr>
                <w:webHidden/>
              </w:rPr>
              <w:fldChar w:fldCharType="end"/>
            </w:r>
          </w:hyperlink>
        </w:p>
        <w:p w:rsidR="003B0F7F" w:rsidRDefault="00AC3FAB">
          <w:pPr>
            <w:pStyle w:val="Saturs2"/>
            <w:rPr>
              <w:rFonts w:asciiTheme="minorHAnsi" w:eastAsiaTheme="minorEastAsia" w:hAnsiTheme="minorHAnsi" w:cstheme="minorBidi"/>
              <w:b w:val="0"/>
              <w:smallCaps w:val="0"/>
              <w:lang w:eastAsia="lv-LV"/>
            </w:rPr>
          </w:pPr>
          <w:hyperlink w:anchor="_Toc410146987" w:history="1">
            <w:r w:rsidR="003B0F7F" w:rsidRPr="00271830">
              <w:rPr>
                <w:rStyle w:val="Hipersaite"/>
              </w:rPr>
              <w:t>3.3.</w:t>
            </w:r>
            <w:r w:rsidR="003B0F7F">
              <w:rPr>
                <w:rFonts w:asciiTheme="minorHAnsi" w:eastAsiaTheme="minorEastAsia" w:hAnsiTheme="minorHAnsi" w:cstheme="minorBidi"/>
                <w:b w:val="0"/>
                <w:smallCaps w:val="0"/>
                <w:lang w:eastAsia="lv-LV"/>
              </w:rPr>
              <w:tab/>
            </w:r>
            <w:r w:rsidR="003B0F7F" w:rsidRPr="00271830">
              <w:rPr>
                <w:rStyle w:val="Hipersaite"/>
              </w:rPr>
              <w:t>Racionāla IKT pārvaldība</w:t>
            </w:r>
            <w:r w:rsidR="003B0F7F">
              <w:rPr>
                <w:webHidden/>
              </w:rPr>
              <w:tab/>
            </w:r>
            <w:r w:rsidR="009A77EC">
              <w:rPr>
                <w:webHidden/>
              </w:rPr>
              <w:fldChar w:fldCharType="begin"/>
            </w:r>
            <w:r w:rsidR="003B0F7F">
              <w:rPr>
                <w:webHidden/>
              </w:rPr>
              <w:instrText xml:space="preserve"> PAGEREF _Toc410146987 \h </w:instrText>
            </w:r>
            <w:r w:rsidR="009A77EC">
              <w:rPr>
                <w:webHidden/>
              </w:rPr>
            </w:r>
            <w:r w:rsidR="009A77EC">
              <w:rPr>
                <w:webHidden/>
              </w:rPr>
              <w:fldChar w:fldCharType="separate"/>
            </w:r>
            <w:r w:rsidR="003B0F7F">
              <w:rPr>
                <w:webHidden/>
              </w:rPr>
              <w:t>17</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88" w:history="1">
            <w:r w:rsidR="003B0F7F" w:rsidRPr="00271830">
              <w:rPr>
                <w:rStyle w:val="Hipersaite"/>
              </w:rPr>
              <w:t>P7:</w:t>
            </w:r>
            <w:r w:rsidR="003B0F7F">
              <w:rPr>
                <w:rFonts w:asciiTheme="minorHAnsi" w:eastAsiaTheme="minorEastAsia" w:hAnsiTheme="minorHAnsi" w:cstheme="minorBidi"/>
                <w:smallCaps w:val="0"/>
                <w:lang w:eastAsia="lv-LV"/>
              </w:rPr>
              <w:tab/>
            </w:r>
            <w:r w:rsidR="003B0F7F" w:rsidRPr="00271830">
              <w:rPr>
                <w:rStyle w:val="Hipersaite"/>
              </w:rPr>
              <w:t>Publisko pārvaldi pilnveidojoši IKT attīstības projekti</w:t>
            </w:r>
            <w:r w:rsidR="003B0F7F">
              <w:rPr>
                <w:webHidden/>
              </w:rPr>
              <w:tab/>
            </w:r>
            <w:r w:rsidR="009A77EC">
              <w:rPr>
                <w:webHidden/>
              </w:rPr>
              <w:fldChar w:fldCharType="begin"/>
            </w:r>
            <w:r w:rsidR="003B0F7F">
              <w:rPr>
                <w:webHidden/>
              </w:rPr>
              <w:instrText xml:space="preserve"> PAGEREF _Toc410146988 \h </w:instrText>
            </w:r>
            <w:r w:rsidR="009A77EC">
              <w:rPr>
                <w:webHidden/>
              </w:rPr>
            </w:r>
            <w:r w:rsidR="009A77EC">
              <w:rPr>
                <w:webHidden/>
              </w:rPr>
              <w:fldChar w:fldCharType="separate"/>
            </w:r>
            <w:r w:rsidR="003B0F7F">
              <w:rPr>
                <w:webHidden/>
              </w:rPr>
              <w:t>17</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89" w:history="1">
            <w:r w:rsidR="003B0F7F" w:rsidRPr="00271830">
              <w:rPr>
                <w:rStyle w:val="Hipersaite"/>
              </w:rPr>
              <w:t>P8:</w:t>
            </w:r>
            <w:r w:rsidR="003B0F7F">
              <w:rPr>
                <w:rFonts w:asciiTheme="minorHAnsi" w:eastAsiaTheme="minorEastAsia" w:hAnsiTheme="minorHAnsi" w:cstheme="minorBidi"/>
                <w:smallCaps w:val="0"/>
                <w:lang w:eastAsia="lv-LV"/>
              </w:rPr>
              <w:tab/>
            </w:r>
            <w:r w:rsidR="003B0F7F" w:rsidRPr="00271830">
              <w:rPr>
                <w:rStyle w:val="Hipersaite"/>
              </w:rPr>
              <w:t>IKT atbalsts kā koplietošanas pakalpojumu kopums</w:t>
            </w:r>
            <w:r w:rsidR="003B0F7F">
              <w:rPr>
                <w:webHidden/>
              </w:rPr>
              <w:tab/>
            </w:r>
            <w:r w:rsidR="009A77EC">
              <w:rPr>
                <w:webHidden/>
              </w:rPr>
              <w:fldChar w:fldCharType="begin"/>
            </w:r>
            <w:r w:rsidR="003B0F7F">
              <w:rPr>
                <w:webHidden/>
              </w:rPr>
              <w:instrText xml:space="preserve"> PAGEREF _Toc410146989 \h </w:instrText>
            </w:r>
            <w:r w:rsidR="009A77EC">
              <w:rPr>
                <w:webHidden/>
              </w:rPr>
            </w:r>
            <w:r w:rsidR="009A77EC">
              <w:rPr>
                <w:webHidden/>
              </w:rPr>
              <w:fldChar w:fldCharType="separate"/>
            </w:r>
            <w:r w:rsidR="003B0F7F">
              <w:rPr>
                <w:webHidden/>
              </w:rPr>
              <w:t>19</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90" w:history="1">
            <w:r w:rsidR="003B0F7F" w:rsidRPr="00271830">
              <w:rPr>
                <w:rStyle w:val="Hipersaite"/>
              </w:rPr>
              <w:t>P9:</w:t>
            </w:r>
            <w:r w:rsidR="003B0F7F">
              <w:rPr>
                <w:rFonts w:asciiTheme="minorHAnsi" w:eastAsiaTheme="minorEastAsia" w:hAnsiTheme="minorHAnsi" w:cstheme="minorBidi"/>
                <w:smallCaps w:val="0"/>
                <w:lang w:eastAsia="lv-LV"/>
              </w:rPr>
              <w:tab/>
            </w:r>
            <w:r w:rsidR="003B0F7F" w:rsidRPr="00271830">
              <w:rPr>
                <w:rStyle w:val="Hipersaite"/>
              </w:rPr>
              <w:t>Tehnisko (IKT) resursu un pakalpojumu uzskaite un pārvaldība</w:t>
            </w:r>
            <w:r w:rsidR="003B0F7F">
              <w:rPr>
                <w:webHidden/>
              </w:rPr>
              <w:tab/>
            </w:r>
            <w:r w:rsidR="009A77EC">
              <w:rPr>
                <w:webHidden/>
              </w:rPr>
              <w:fldChar w:fldCharType="begin"/>
            </w:r>
            <w:r w:rsidR="003B0F7F">
              <w:rPr>
                <w:webHidden/>
              </w:rPr>
              <w:instrText xml:space="preserve"> PAGEREF _Toc410146990 \h </w:instrText>
            </w:r>
            <w:r w:rsidR="009A77EC">
              <w:rPr>
                <w:webHidden/>
              </w:rPr>
            </w:r>
            <w:r w:rsidR="009A77EC">
              <w:rPr>
                <w:webHidden/>
              </w:rPr>
              <w:fldChar w:fldCharType="separate"/>
            </w:r>
            <w:r w:rsidR="003B0F7F">
              <w:rPr>
                <w:webHidden/>
              </w:rPr>
              <w:t>19</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91" w:history="1">
            <w:r w:rsidR="003B0F7F" w:rsidRPr="00271830">
              <w:rPr>
                <w:rStyle w:val="Hipersaite"/>
              </w:rPr>
              <w:t>P10:</w:t>
            </w:r>
            <w:r w:rsidR="003B0F7F">
              <w:rPr>
                <w:rFonts w:asciiTheme="minorHAnsi" w:eastAsiaTheme="minorEastAsia" w:hAnsiTheme="minorHAnsi" w:cstheme="minorBidi"/>
                <w:smallCaps w:val="0"/>
                <w:lang w:eastAsia="lv-LV"/>
              </w:rPr>
              <w:tab/>
            </w:r>
            <w:r w:rsidR="003B0F7F" w:rsidRPr="00271830">
              <w:rPr>
                <w:rStyle w:val="Hipersaite"/>
              </w:rPr>
              <w:t>IKT pakalpojumu un komponenšu standartizēšana un iepirkumi</w:t>
            </w:r>
            <w:r w:rsidR="003B0F7F">
              <w:rPr>
                <w:webHidden/>
              </w:rPr>
              <w:tab/>
            </w:r>
            <w:r w:rsidR="009A77EC">
              <w:rPr>
                <w:webHidden/>
              </w:rPr>
              <w:fldChar w:fldCharType="begin"/>
            </w:r>
            <w:r w:rsidR="003B0F7F">
              <w:rPr>
                <w:webHidden/>
              </w:rPr>
              <w:instrText xml:space="preserve"> PAGEREF _Toc410146991 \h </w:instrText>
            </w:r>
            <w:r w:rsidR="009A77EC">
              <w:rPr>
                <w:webHidden/>
              </w:rPr>
            </w:r>
            <w:r w:rsidR="009A77EC">
              <w:rPr>
                <w:webHidden/>
              </w:rPr>
              <w:fldChar w:fldCharType="separate"/>
            </w:r>
            <w:r w:rsidR="003B0F7F">
              <w:rPr>
                <w:webHidden/>
              </w:rPr>
              <w:t>20</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92" w:history="1">
            <w:r w:rsidR="003B0F7F" w:rsidRPr="00271830">
              <w:rPr>
                <w:rStyle w:val="Hipersaite"/>
              </w:rPr>
              <w:t>P11:</w:t>
            </w:r>
            <w:r w:rsidR="003B0F7F">
              <w:rPr>
                <w:rFonts w:asciiTheme="minorHAnsi" w:eastAsiaTheme="minorEastAsia" w:hAnsiTheme="minorHAnsi" w:cstheme="minorBidi"/>
                <w:smallCaps w:val="0"/>
                <w:lang w:eastAsia="lv-LV"/>
              </w:rPr>
              <w:tab/>
            </w:r>
            <w:r w:rsidR="003B0F7F" w:rsidRPr="00271830">
              <w:rPr>
                <w:rStyle w:val="Hipersaite"/>
              </w:rPr>
              <w:t>Specializācija IKT kompetenču optimālai izmantošanai un attīstībai</w:t>
            </w:r>
            <w:r w:rsidR="003B0F7F">
              <w:rPr>
                <w:webHidden/>
              </w:rPr>
              <w:tab/>
            </w:r>
            <w:r w:rsidR="009A77EC">
              <w:rPr>
                <w:webHidden/>
              </w:rPr>
              <w:fldChar w:fldCharType="begin"/>
            </w:r>
            <w:r w:rsidR="003B0F7F">
              <w:rPr>
                <w:webHidden/>
              </w:rPr>
              <w:instrText xml:space="preserve"> PAGEREF _Toc410146992 \h </w:instrText>
            </w:r>
            <w:r w:rsidR="009A77EC">
              <w:rPr>
                <w:webHidden/>
              </w:rPr>
            </w:r>
            <w:r w:rsidR="009A77EC">
              <w:rPr>
                <w:webHidden/>
              </w:rPr>
              <w:fldChar w:fldCharType="separate"/>
            </w:r>
            <w:r w:rsidR="003B0F7F">
              <w:rPr>
                <w:webHidden/>
              </w:rPr>
              <w:t>21</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93" w:history="1">
            <w:r w:rsidR="003B0F7F" w:rsidRPr="00271830">
              <w:rPr>
                <w:rStyle w:val="Hipersaite"/>
              </w:rPr>
              <w:t>P12:</w:t>
            </w:r>
            <w:r w:rsidR="003B0F7F">
              <w:rPr>
                <w:rFonts w:asciiTheme="minorHAnsi" w:eastAsiaTheme="minorEastAsia" w:hAnsiTheme="minorHAnsi" w:cstheme="minorBidi"/>
                <w:smallCaps w:val="0"/>
                <w:lang w:eastAsia="lv-LV"/>
              </w:rPr>
              <w:tab/>
            </w:r>
            <w:r w:rsidR="003B0F7F" w:rsidRPr="00271830">
              <w:rPr>
                <w:rStyle w:val="Hipersaite"/>
              </w:rPr>
              <w:t>Standarta IKT risinājumu un pakalpojumu konsolidācija</w:t>
            </w:r>
            <w:r w:rsidR="003B0F7F">
              <w:rPr>
                <w:webHidden/>
              </w:rPr>
              <w:tab/>
            </w:r>
            <w:r w:rsidR="009A77EC">
              <w:rPr>
                <w:webHidden/>
              </w:rPr>
              <w:fldChar w:fldCharType="begin"/>
            </w:r>
            <w:r w:rsidR="003B0F7F">
              <w:rPr>
                <w:webHidden/>
              </w:rPr>
              <w:instrText xml:space="preserve"> PAGEREF _Toc410146993 \h </w:instrText>
            </w:r>
            <w:r w:rsidR="009A77EC">
              <w:rPr>
                <w:webHidden/>
              </w:rPr>
            </w:r>
            <w:r w:rsidR="009A77EC">
              <w:rPr>
                <w:webHidden/>
              </w:rPr>
              <w:fldChar w:fldCharType="separate"/>
            </w:r>
            <w:r w:rsidR="003B0F7F">
              <w:rPr>
                <w:webHidden/>
              </w:rPr>
              <w:t>23</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94" w:history="1">
            <w:r w:rsidR="003B0F7F" w:rsidRPr="00271830">
              <w:rPr>
                <w:rStyle w:val="Hipersaite"/>
              </w:rPr>
              <w:t>P13:</w:t>
            </w:r>
            <w:r w:rsidR="003B0F7F">
              <w:rPr>
                <w:rFonts w:asciiTheme="minorHAnsi" w:eastAsiaTheme="minorEastAsia" w:hAnsiTheme="minorHAnsi" w:cstheme="minorBidi"/>
                <w:smallCaps w:val="0"/>
                <w:lang w:eastAsia="lv-LV"/>
              </w:rPr>
              <w:tab/>
            </w:r>
            <w:r w:rsidR="003B0F7F" w:rsidRPr="00271830">
              <w:rPr>
                <w:rStyle w:val="Hipersaite"/>
              </w:rPr>
              <w:t>Virzība uz augstākas pievienotās vērtības atbalsta pakalpojumiem</w:t>
            </w:r>
            <w:r w:rsidR="003B0F7F">
              <w:rPr>
                <w:webHidden/>
              </w:rPr>
              <w:tab/>
            </w:r>
            <w:r w:rsidR="009A77EC">
              <w:rPr>
                <w:webHidden/>
              </w:rPr>
              <w:fldChar w:fldCharType="begin"/>
            </w:r>
            <w:r w:rsidR="003B0F7F">
              <w:rPr>
                <w:webHidden/>
              </w:rPr>
              <w:instrText xml:space="preserve"> PAGEREF _Toc410146994 \h </w:instrText>
            </w:r>
            <w:r w:rsidR="009A77EC">
              <w:rPr>
                <w:webHidden/>
              </w:rPr>
            </w:r>
            <w:r w:rsidR="009A77EC">
              <w:rPr>
                <w:webHidden/>
              </w:rPr>
              <w:fldChar w:fldCharType="separate"/>
            </w:r>
            <w:r w:rsidR="003B0F7F">
              <w:rPr>
                <w:webHidden/>
              </w:rPr>
              <w:t>23</w:t>
            </w:r>
            <w:r w:rsidR="009A77EC">
              <w:rPr>
                <w:webHidden/>
              </w:rPr>
              <w:fldChar w:fldCharType="end"/>
            </w:r>
          </w:hyperlink>
        </w:p>
        <w:p w:rsidR="003B0F7F" w:rsidRDefault="00AC3FAB">
          <w:pPr>
            <w:pStyle w:val="Saturs1"/>
            <w:rPr>
              <w:rFonts w:asciiTheme="minorHAnsi" w:eastAsiaTheme="minorEastAsia" w:hAnsiTheme="minorHAnsi" w:cstheme="minorBidi"/>
              <w:b w:val="0"/>
              <w:caps w:val="0"/>
              <w:u w:val="none"/>
              <w:lang w:eastAsia="lv-LV"/>
            </w:rPr>
          </w:pPr>
          <w:hyperlink w:anchor="_Toc410146995" w:history="1">
            <w:r w:rsidR="003B0F7F" w:rsidRPr="00271830">
              <w:rPr>
                <w:rStyle w:val="Hipersaite"/>
              </w:rPr>
              <w:t>4.</w:t>
            </w:r>
            <w:r w:rsidR="003B0F7F">
              <w:rPr>
                <w:rFonts w:asciiTheme="minorHAnsi" w:eastAsiaTheme="minorEastAsia" w:hAnsiTheme="minorHAnsi" w:cstheme="minorBidi"/>
                <w:b w:val="0"/>
                <w:caps w:val="0"/>
                <w:u w:val="none"/>
                <w:lang w:eastAsia="lv-LV"/>
              </w:rPr>
              <w:tab/>
            </w:r>
            <w:r w:rsidR="003B0F7F" w:rsidRPr="00271830">
              <w:rPr>
                <w:rStyle w:val="Hipersaite"/>
              </w:rPr>
              <w:t>Informācijas arhitektūra</w:t>
            </w:r>
            <w:r w:rsidR="003B0F7F">
              <w:rPr>
                <w:webHidden/>
              </w:rPr>
              <w:tab/>
            </w:r>
            <w:r w:rsidR="009A77EC">
              <w:rPr>
                <w:webHidden/>
              </w:rPr>
              <w:fldChar w:fldCharType="begin"/>
            </w:r>
            <w:r w:rsidR="003B0F7F">
              <w:rPr>
                <w:webHidden/>
              </w:rPr>
              <w:instrText xml:space="preserve"> PAGEREF _Toc410146995 \h </w:instrText>
            </w:r>
            <w:r w:rsidR="009A77EC">
              <w:rPr>
                <w:webHidden/>
              </w:rPr>
            </w:r>
            <w:r w:rsidR="009A77EC">
              <w:rPr>
                <w:webHidden/>
              </w:rPr>
              <w:fldChar w:fldCharType="separate"/>
            </w:r>
            <w:r w:rsidR="003B0F7F">
              <w:rPr>
                <w:webHidden/>
              </w:rPr>
              <w:t>26</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96" w:history="1">
            <w:r w:rsidR="003B0F7F" w:rsidRPr="00271830">
              <w:rPr>
                <w:rStyle w:val="Hipersaite"/>
              </w:rPr>
              <w:t>P14:</w:t>
            </w:r>
            <w:r w:rsidR="003B0F7F">
              <w:rPr>
                <w:rFonts w:asciiTheme="minorHAnsi" w:eastAsiaTheme="minorEastAsia" w:hAnsiTheme="minorHAnsi" w:cstheme="minorBidi"/>
                <w:smallCaps w:val="0"/>
                <w:lang w:eastAsia="lv-LV"/>
              </w:rPr>
              <w:tab/>
            </w:r>
            <w:r w:rsidR="003B0F7F" w:rsidRPr="00271830">
              <w:rPr>
                <w:rStyle w:val="Hipersaite"/>
              </w:rPr>
              <w:t>Informācijas resursu pārvaldība</w:t>
            </w:r>
            <w:r w:rsidR="003B0F7F">
              <w:rPr>
                <w:webHidden/>
              </w:rPr>
              <w:tab/>
            </w:r>
            <w:r w:rsidR="009A77EC">
              <w:rPr>
                <w:webHidden/>
              </w:rPr>
              <w:fldChar w:fldCharType="begin"/>
            </w:r>
            <w:r w:rsidR="003B0F7F">
              <w:rPr>
                <w:webHidden/>
              </w:rPr>
              <w:instrText xml:space="preserve"> PAGEREF _Toc410146996 \h </w:instrText>
            </w:r>
            <w:r w:rsidR="009A77EC">
              <w:rPr>
                <w:webHidden/>
              </w:rPr>
            </w:r>
            <w:r w:rsidR="009A77EC">
              <w:rPr>
                <w:webHidden/>
              </w:rPr>
              <w:fldChar w:fldCharType="separate"/>
            </w:r>
            <w:r w:rsidR="003B0F7F">
              <w:rPr>
                <w:webHidden/>
              </w:rPr>
              <w:t>27</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97" w:history="1">
            <w:r w:rsidR="003B0F7F" w:rsidRPr="00271830">
              <w:rPr>
                <w:rStyle w:val="Hipersaite"/>
              </w:rPr>
              <w:t>P15:</w:t>
            </w:r>
            <w:r w:rsidR="003B0F7F">
              <w:rPr>
                <w:rFonts w:asciiTheme="minorHAnsi" w:eastAsiaTheme="minorEastAsia" w:hAnsiTheme="minorHAnsi" w:cstheme="minorBidi"/>
                <w:smallCaps w:val="0"/>
                <w:lang w:eastAsia="lv-LV"/>
              </w:rPr>
              <w:tab/>
            </w:r>
            <w:r w:rsidR="003B0F7F" w:rsidRPr="00271830">
              <w:rPr>
                <w:rStyle w:val="Hipersaite"/>
              </w:rPr>
              <w:t>Piekļuve informācijai un tās atkalizmantošana</w:t>
            </w:r>
            <w:r w:rsidR="003B0F7F">
              <w:rPr>
                <w:webHidden/>
              </w:rPr>
              <w:tab/>
            </w:r>
            <w:r w:rsidR="009A77EC">
              <w:rPr>
                <w:webHidden/>
              </w:rPr>
              <w:fldChar w:fldCharType="begin"/>
            </w:r>
            <w:r w:rsidR="003B0F7F">
              <w:rPr>
                <w:webHidden/>
              </w:rPr>
              <w:instrText xml:space="preserve"> PAGEREF _Toc410146997 \h </w:instrText>
            </w:r>
            <w:r w:rsidR="009A77EC">
              <w:rPr>
                <w:webHidden/>
              </w:rPr>
            </w:r>
            <w:r w:rsidR="009A77EC">
              <w:rPr>
                <w:webHidden/>
              </w:rPr>
              <w:fldChar w:fldCharType="separate"/>
            </w:r>
            <w:r w:rsidR="003B0F7F">
              <w:rPr>
                <w:webHidden/>
              </w:rPr>
              <w:t>29</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98" w:history="1">
            <w:r w:rsidR="003B0F7F" w:rsidRPr="00271830">
              <w:rPr>
                <w:rStyle w:val="Hipersaite"/>
              </w:rPr>
              <w:t>P16:</w:t>
            </w:r>
            <w:r w:rsidR="003B0F7F">
              <w:rPr>
                <w:rFonts w:asciiTheme="minorHAnsi" w:eastAsiaTheme="minorEastAsia" w:hAnsiTheme="minorHAnsi" w:cstheme="minorBidi"/>
                <w:smallCaps w:val="0"/>
                <w:lang w:eastAsia="lv-LV"/>
              </w:rPr>
              <w:tab/>
            </w:r>
            <w:r w:rsidR="003B0F7F" w:rsidRPr="00271830">
              <w:rPr>
                <w:rStyle w:val="Hipersaite"/>
              </w:rPr>
              <w:t>Semantiskā un tehniskā savietojamība</w:t>
            </w:r>
            <w:r w:rsidR="003B0F7F">
              <w:rPr>
                <w:webHidden/>
              </w:rPr>
              <w:tab/>
            </w:r>
            <w:r w:rsidR="009A77EC">
              <w:rPr>
                <w:webHidden/>
              </w:rPr>
              <w:fldChar w:fldCharType="begin"/>
            </w:r>
            <w:r w:rsidR="003B0F7F">
              <w:rPr>
                <w:webHidden/>
              </w:rPr>
              <w:instrText xml:space="preserve"> PAGEREF _Toc410146998 \h </w:instrText>
            </w:r>
            <w:r w:rsidR="009A77EC">
              <w:rPr>
                <w:webHidden/>
              </w:rPr>
            </w:r>
            <w:r w:rsidR="009A77EC">
              <w:rPr>
                <w:webHidden/>
              </w:rPr>
              <w:fldChar w:fldCharType="separate"/>
            </w:r>
            <w:r w:rsidR="003B0F7F">
              <w:rPr>
                <w:webHidden/>
              </w:rPr>
              <w:t>30</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6999" w:history="1">
            <w:r w:rsidR="003B0F7F" w:rsidRPr="00271830">
              <w:rPr>
                <w:rStyle w:val="Hipersaite"/>
              </w:rPr>
              <w:t>P17:</w:t>
            </w:r>
            <w:r w:rsidR="003B0F7F">
              <w:rPr>
                <w:rFonts w:asciiTheme="minorHAnsi" w:eastAsiaTheme="minorEastAsia" w:hAnsiTheme="minorHAnsi" w:cstheme="minorBidi"/>
                <w:smallCaps w:val="0"/>
                <w:lang w:eastAsia="lv-LV"/>
              </w:rPr>
              <w:tab/>
            </w:r>
            <w:r w:rsidR="003B0F7F" w:rsidRPr="00271830">
              <w:rPr>
                <w:rStyle w:val="Hipersaite"/>
              </w:rPr>
              <w:t>Valsts vienotais datu modelis</w:t>
            </w:r>
            <w:r w:rsidR="003B0F7F">
              <w:rPr>
                <w:webHidden/>
              </w:rPr>
              <w:tab/>
            </w:r>
            <w:r w:rsidR="009A77EC">
              <w:rPr>
                <w:webHidden/>
              </w:rPr>
              <w:fldChar w:fldCharType="begin"/>
            </w:r>
            <w:r w:rsidR="003B0F7F">
              <w:rPr>
                <w:webHidden/>
              </w:rPr>
              <w:instrText xml:space="preserve"> PAGEREF _Toc410146999 \h </w:instrText>
            </w:r>
            <w:r w:rsidR="009A77EC">
              <w:rPr>
                <w:webHidden/>
              </w:rPr>
            </w:r>
            <w:r w:rsidR="009A77EC">
              <w:rPr>
                <w:webHidden/>
              </w:rPr>
              <w:fldChar w:fldCharType="separate"/>
            </w:r>
            <w:r w:rsidR="003B0F7F">
              <w:rPr>
                <w:webHidden/>
              </w:rPr>
              <w:t>31</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00" w:history="1">
            <w:r w:rsidR="003B0F7F" w:rsidRPr="00271830">
              <w:rPr>
                <w:rStyle w:val="Hipersaite"/>
              </w:rPr>
              <w:t>P18:</w:t>
            </w:r>
            <w:r w:rsidR="003B0F7F">
              <w:rPr>
                <w:rFonts w:asciiTheme="minorHAnsi" w:eastAsiaTheme="minorEastAsia" w:hAnsiTheme="minorHAnsi" w:cstheme="minorBidi"/>
                <w:smallCaps w:val="0"/>
                <w:lang w:eastAsia="lv-LV"/>
              </w:rPr>
              <w:tab/>
            </w:r>
            <w:r w:rsidR="003B0F7F" w:rsidRPr="00271830">
              <w:rPr>
                <w:rStyle w:val="Hipersaite"/>
              </w:rPr>
              <w:t>Trīs datu piekļuves risinājumi vienotajā datu telpā</w:t>
            </w:r>
            <w:r w:rsidR="003B0F7F">
              <w:rPr>
                <w:webHidden/>
              </w:rPr>
              <w:tab/>
            </w:r>
            <w:r w:rsidR="009A77EC">
              <w:rPr>
                <w:webHidden/>
              </w:rPr>
              <w:fldChar w:fldCharType="begin"/>
            </w:r>
            <w:r w:rsidR="003B0F7F">
              <w:rPr>
                <w:webHidden/>
              </w:rPr>
              <w:instrText xml:space="preserve"> PAGEREF _Toc410147000 \h </w:instrText>
            </w:r>
            <w:r w:rsidR="009A77EC">
              <w:rPr>
                <w:webHidden/>
              </w:rPr>
            </w:r>
            <w:r w:rsidR="009A77EC">
              <w:rPr>
                <w:webHidden/>
              </w:rPr>
              <w:fldChar w:fldCharType="separate"/>
            </w:r>
            <w:r w:rsidR="003B0F7F">
              <w:rPr>
                <w:webHidden/>
              </w:rPr>
              <w:t>33</w:t>
            </w:r>
            <w:r w:rsidR="009A77EC">
              <w:rPr>
                <w:webHidden/>
              </w:rPr>
              <w:fldChar w:fldCharType="end"/>
            </w:r>
          </w:hyperlink>
        </w:p>
        <w:p w:rsidR="003B0F7F" w:rsidRDefault="00AC3FAB">
          <w:pPr>
            <w:pStyle w:val="Saturs1"/>
            <w:rPr>
              <w:rFonts w:asciiTheme="minorHAnsi" w:eastAsiaTheme="minorEastAsia" w:hAnsiTheme="minorHAnsi" w:cstheme="minorBidi"/>
              <w:b w:val="0"/>
              <w:caps w:val="0"/>
              <w:u w:val="none"/>
              <w:lang w:eastAsia="lv-LV"/>
            </w:rPr>
          </w:pPr>
          <w:hyperlink w:anchor="_Toc410147001" w:history="1">
            <w:r w:rsidR="003B0F7F" w:rsidRPr="00271830">
              <w:rPr>
                <w:rStyle w:val="Hipersaite"/>
              </w:rPr>
              <w:t>5.</w:t>
            </w:r>
            <w:r w:rsidR="003B0F7F">
              <w:rPr>
                <w:rFonts w:asciiTheme="minorHAnsi" w:eastAsiaTheme="minorEastAsia" w:hAnsiTheme="minorHAnsi" w:cstheme="minorBidi"/>
                <w:b w:val="0"/>
                <w:caps w:val="0"/>
                <w:u w:val="none"/>
                <w:lang w:eastAsia="lv-LV"/>
              </w:rPr>
              <w:tab/>
            </w:r>
            <w:r w:rsidR="003B0F7F" w:rsidRPr="00271830">
              <w:rPr>
                <w:rStyle w:val="Hipersaite"/>
              </w:rPr>
              <w:t>Lietojumprogrammatūras arhitektūra</w:t>
            </w:r>
            <w:r w:rsidR="003B0F7F">
              <w:rPr>
                <w:webHidden/>
              </w:rPr>
              <w:tab/>
            </w:r>
            <w:r w:rsidR="009A77EC">
              <w:rPr>
                <w:webHidden/>
              </w:rPr>
              <w:fldChar w:fldCharType="begin"/>
            </w:r>
            <w:r w:rsidR="003B0F7F">
              <w:rPr>
                <w:webHidden/>
              </w:rPr>
              <w:instrText xml:space="preserve"> PAGEREF _Toc410147001 \h </w:instrText>
            </w:r>
            <w:r w:rsidR="009A77EC">
              <w:rPr>
                <w:webHidden/>
              </w:rPr>
            </w:r>
            <w:r w:rsidR="009A77EC">
              <w:rPr>
                <w:webHidden/>
              </w:rPr>
              <w:fldChar w:fldCharType="separate"/>
            </w:r>
            <w:r w:rsidR="003B0F7F">
              <w:rPr>
                <w:webHidden/>
              </w:rPr>
              <w:t>35</w:t>
            </w:r>
            <w:r w:rsidR="009A77EC">
              <w:rPr>
                <w:webHidden/>
              </w:rPr>
              <w:fldChar w:fldCharType="end"/>
            </w:r>
          </w:hyperlink>
        </w:p>
        <w:p w:rsidR="003B0F7F" w:rsidRDefault="00AC3FAB">
          <w:pPr>
            <w:pStyle w:val="Saturs2"/>
            <w:rPr>
              <w:rFonts w:asciiTheme="minorHAnsi" w:eastAsiaTheme="minorEastAsia" w:hAnsiTheme="minorHAnsi" w:cstheme="minorBidi"/>
              <w:b w:val="0"/>
              <w:smallCaps w:val="0"/>
              <w:lang w:eastAsia="lv-LV"/>
            </w:rPr>
          </w:pPr>
          <w:hyperlink w:anchor="_Toc410147002" w:history="1">
            <w:r w:rsidR="003B0F7F" w:rsidRPr="00271830">
              <w:rPr>
                <w:rStyle w:val="Hipersaite"/>
              </w:rPr>
              <w:t>5.1.</w:t>
            </w:r>
            <w:r w:rsidR="003B0F7F">
              <w:rPr>
                <w:rFonts w:asciiTheme="minorHAnsi" w:eastAsiaTheme="minorEastAsia" w:hAnsiTheme="minorHAnsi" w:cstheme="minorBidi"/>
                <w:b w:val="0"/>
                <w:smallCaps w:val="0"/>
                <w:lang w:eastAsia="lv-LV"/>
              </w:rPr>
              <w:tab/>
            </w:r>
            <w:r w:rsidR="003B0F7F" w:rsidRPr="00271830">
              <w:rPr>
                <w:rStyle w:val="Hipersaite"/>
              </w:rPr>
              <w:t>Lietojumprogrammatūras risinājumu attīstības un ieviešanas principi</w:t>
            </w:r>
            <w:r w:rsidR="003B0F7F">
              <w:rPr>
                <w:webHidden/>
              </w:rPr>
              <w:tab/>
            </w:r>
            <w:r w:rsidR="009A77EC">
              <w:rPr>
                <w:webHidden/>
              </w:rPr>
              <w:fldChar w:fldCharType="begin"/>
            </w:r>
            <w:r w:rsidR="003B0F7F">
              <w:rPr>
                <w:webHidden/>
              </w:rPr>
              <w:instrText xml:space="preserve"> PAGEREF _Toc410147002 \h </w:instrText>
            </w:r>
            <w:r w:rsidR="009A77EC">
              <w:rPr>
                <w:webHidden/>
              </w:rPr>
            </w:r>
            <w:r w:rsidR="009A77EC">
              <w:rPr>
                <w:webHidden/>
              </w:rPr>
              <w:fldChar w:fldCharType="separate"/>
            </w:r>
            <w:r w:rsidR="003B0F7F">
              <w:rPr>
                <w:webHidden/>
              </w:rPr>
              <w:t>35</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03" w:history="1">
            <w:r w:rsidR="003B0F7F" w:rsidRPr="00271830">
              <w:rPr>
                <w:rStyle w:val="Hipersaite"/>
              </w:rPr>
              <w:t>P19:</w:t>
            </w:r>
            <w:r w:rsidR="003B0F7F">
              <w:rPr>
                <w:rFonts w:asciiTheme="minorHAnsi" w:eastAsiaTheme="minorEastAsia" w:hAnsiTheme="minorHAnsi" w:cstheme="minorBidi"/>
                <w:smallCaps w:val="0"/>
                <w:lang w:eastAsia="lv-LV"/>
              </w:rPr>
              <w:tab/>
            </w:r>
            <w:r w:rsidR="003B0F7F" w:rsidRPr="00271830">
              <w:rPr>
                <w:rStyle w:val="Hipersaite"/>
              </w:rPr>
              <w:t>Lietojumprogrammatūras neierobežota atkārtota izmantošana un koplietošana</w:t>
            </w:r>
            <w:r w:rsidR="003B0F7F">
              <w:rPr>
                <w:webHidden/>
              </w:rPr>
              <w:tab/>
            </w:r>
            <w:r w:rsidR="009A77EC">
              <w:rPr>
                <w:webHidden/>
              </w:rPr>
              <w:fldChar w:fldCharType="begin"/>
            </w:r>
            <w:r w:rsidR="003B0F7F">
              <w:rPr>
                <w:webHidden/>
              </w:rPr>
              <w:instrText xml:space="preserve"> PAGEREF _Toc410147003 \h </w:instrText>
            </w:r>
            <w:r w:rsidR="009A77EC">
              <w:rPr>
                <w:webHidden/>
              </w:rPr>
            </w:r>
            <w:r w:rsidR="009A77EC">
              <w:rPr>
                <w:webHidden/>
              </w:rPr>
              <w:fldChar w:fldCharType="separate"/>
            </w:r>
            <w:r w:rsidR="003B0F7F">
              <w:rPr>
                <w:webHidden/>
              </w:rPr>
              <w:t>36</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04" w:history="1">
            <w:r w:rsidR="003B0F7F" w:rsidRPr="00271830">
              <w:rPr>
                <w:rStyle w:val="Hipersaite"/>
              </w:rPr>
              <w:t>P20:</w:t>
            </w:r>
            <w:r w:rsidR="003B0F7F">
              <w:rPr>
                <w:rFonts w:asciiTheme="minorHAnsi" w:eastAsiaTheme="minorEastAsia" w:hAnsiTheme="minorHAnsi" w:cstheme="minorBidi"/>
                <w:smallCaps w:val="0"/>
                <w:lang w:eastAsia="lv-LV"/>
              </w:rPr>
              <w:tab/>
            </w:r>
            <w:r w:rsidR="003B0F7F" w:rsidRPr="00271830">
              <w:rPr>
                <w:rStyle w:val="Hipersaite"/>
              </w:rPr>
              <w:t>Risinājumu koplietošana servisu (pakalpojumu) līmenī</w:t>
            </w:r>
            <w:r w:rsidR="003B0F7F">
              <w:rPr>
                <w:webHidden/>
              </w:rPr>
              <w:tab/>
            </w:r>
            <w:r w:rsidR="009A77EC">
              <w:rPr>
                <w:webHidden/>
              </w:rPr>
              <w:fldChar w:fldCharType="begin"/>
            </w:r>
            <w:r w:rsidR="003B0F7F">
              <w:rPr>
                <w:webHidden/>
              </w:rPr>
              <w:instrText xml:space="preserve"> PAGEREF _Toc410147004 \h </w:instrText>
            </w:r>
            <w:r w:rsidR="009A77EC">
              <w:rPr>
                <w:webHidden/>
              </w:rPr>
            </w:r>
            <w:r w:rsidR="009A77EC">
              <w:rPr>
                <w:webHidden/>
              </w:rPr>
              <w:fldChar w:fldCharType="separate"/>
            </w:r>
            <w:r w:rsidR="003B0F7F">
              <w:rPr>
                <w:webHidden/>
              </w:rPr>
              <w:t>36</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05" w:history="1">
            <w:r w:rsidR="003B0F7F" w:rsidRPr="00271830">
              <w:rPr>
                <w:rStyle w:val="Hipersaite"/>
              </w:rPr>
              <w:t>P21:</w:t>
            </w:r>
            <w:r w:rsidR="003B0F7F">
              <w:rPr>
                <w:rFonts w:asciiTheme="minorHAnsi" w:eastAsiaTheme="minorEastAsia" w:hAnsiTheme="minorHAnsi" w:cstheme="minorBidi"/>
                <w:smallCaps w:val="0"/>
                <w:lang w:eastAsia="lv-LV"/>
              </w:rPr>
              <w:tab/>
            </w:r>
            <w:r w:rsidR="003B0F7F" w:rsidRPr="00271830">
              <w:rPr>
                <w:rStyle w:val="Hipersaite"/>
              </w:rPr>
              <w:t>Lietotāju iesaiste un lietojamības testēšana</w:t>
            </w:r>
            <w:r w:rsidR="003B0F7F">
              <w:rPr>
                <w:webHidden/>
              </w:rPr>
              <w:tab/>
            </w:r>
            <w:r w:rsidR="009A77EC">
              <w:rPr>
                <w:webHidden/>
              </w:rPr>
              <w:fldChar w:fldCharType="begin"/>
            </w:r>
            <w:r w:rsidR="003B0F7F">
              <w:rPr>
                <w:webHidden/>
              </w:rPr>
              <w:instrText xml:space="preserve"> PAGEREF _Toc410147005 \h </w:instrText>
            </w:r>
            <w:r w:rsidR="009A77EC">
              <w:rPr>
                <w:webHidden/>
              </w:rPr>
            </w:r>
            <w:r w:rsidR="009A77EC">
              <w:rPr>
                <w:webHidden/>
              </w:rPr>
              <w:fldChar w:fldCharType="separate"/>
            </w:r>
            <w:r w:rsidR="003B0F7F">
              <w:rPr>
                <w:webHidden/>
              </w:rPr>
              <w:t>38</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06" w:history="1">
            <w:r w:rsidR="003B0F7F" w:rsidRPr="00271830">
              <w:rPr>
                <w:rStyle w:val="Hipersaite"/>
              </w:rPr>
              <w:t>P22:</w:t>
            </w:r>
            <w:r w:rsidR="003B0F7F">
              <w:rPr>
                <w:rFonts w:asciiTheme="minorHAnsi" w:eastAsiaTheme="minorEastAsia" w:hAnsiTheme="minorHAnsi" w:cstheme="minorBidi"/>
                <w:smallCaps w:val="0"/>
                <w:lang w:eastAsia="lv-LV"/>
              </w:rPr>
              <w:tab/>
            </w:r>
            <w:r w:rsidR="003B0F7F" w:rsidRPr="00271830">
              <w:rPr>
                <w:rStyle w:val="Hipersaite"/>
              </w:rPr>
              <w:t>Droša izstrāde</w:t>
            </w:r>
            <w:r w:rsidR="003B0F7F">
              <w:rPr>
                <w:webHidden/>
              </w:rPr>
              <w:tab/>
            </w:r>
            <w:r w:rsidR="009A77EC">
              <w:rPr>
                <w:webHidden/>
              </w:rPr>
              <w:fldChar w:fldCharType="begin"/>
            </w:r>
            <w:r w:rsidR="003B0F7F">
              <w:rPr>
                <w:webHidden/>
              </w:rPr>
              <w:instrText xml:space="preserve"> PAGEREF _Toc410147006 \h </w:instrText>
            </w:r>
            <w:r w:rsidR="009A77EC">
              <w:rPr>
                <w:webHidden/>
              </w:rPr>
            </w:r>
            <w:r w:rsidR="009A77EC">
              <w:rPr>
                <w:webHidden/>
              </w:rPr>
              <w:fldChar w:fldCharType="separate"/>
            </w:r>
            <w:r w:rsidR="003B0F7F">
              <w:rPr>
                <w:webHidden/>
              </w:rPr>
              <w:t>38</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07" w:history="1">
            <w:r w:rsidR="003B0F7F" w:rsidRPr="00271830">
              <w:rPr>
                <w:rStyle w:val="Hipersaite"/>
              </w:rPr>
              <w:t>P23:</w:t>
            </w:r>
            <w:r w:rsidR="003B0F7F">
              <w:rPr>
                <w:rFonts w:asciiTheme="minorHAnsi" w:eastAsiaTheme="minorEastAsia" w:hAnsiTheme="minorHAnsi" w:cstheme="minorBidi"/>
                <w:smallCaps w:val="0"/>
                <w:lang w:eastAsia="lv-LV"/>
              </w:rPr>
              <w:tab/>
            </w:r>
            <w:r w:rsidR="003B0F7F" w:rsidRPr="00271830">
              <w:rPr>
                <w:rStyle w:val="Hipersaite"/>
              </w:rPr>
              <w:t>Mobilajām ierīcēm draudzīgu protokolu un risinājumu atbalsts</w:t>
            </w:r>
            <w:r w:rsidR="003B0F7F">
              <w:rPr>
                <w:webHidden/>
              </w:rPr>
              <w:tab/>
            </w:r>
            <w:r w:rsidR="009A77EC">
              <w:rPr>
                <w:webHidden/>
              </w:rPr>
              <w:fldChar w:fldCharType="begin"/>
            </w:r>
            <w:r w:rsidR="003B0F7F">
              <w:rPr>
                <w:webHidden/>
              </w:rPr>
              <w:instrText xml:space="preserve"> PAGEREF _Toc410147007 \h </w:instrText>
            </w:r>
            <w:r w:rsidR="009A77EC">
              <w:rPr>
                <w:webHidden/>
              </w:rPr>
            </w:r>
            <w:r w:rsidR="009A77EC">
              <w:rPr>
                <w:webHidden/>
              </w:rPr>
              <w:fldChar w:fldCharType="separate"/>
            </w:r>
            <w:r w:rsidR="003B0F7F">
              <w:rPr>
                <w:webHidden/>
              </w:rPr>
              <w:t>39</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08" w:history="1">
            <w:r w:rsidR="003B0F7F" w:rsidRPr="00271830">
              <w:rPr>
                <w:rStyle w:val="Hipersaite"/>
              </w:rPr>
              <w:t>P24:</w:t>
            </w:r>
            <w:r w:rsidR="003B0F7F">
              <w:rPr>
                <w:rFonts w:asciiTheme="minorHAnsi" w:eastAsiaTheme="minorEastAsia" w:hAnsiTheme="minorHAnsi" w:cstheme="minorBidi"/>
                <w:smallCaps w:val="0"/>
                <w:lang w:eastAsia="lv-LV"/>
              </w:rPr>
              <w:tab/>
            </w:r>
            <w:r w:rsidR="003B0F7F" w:rsidRPr="00271830">
              <w:rPr>
                <w:rStyle w:val="Hipersaite"/>
              </w:rPr>
              <w:t>Valsts informācijas sistēmas tipveida (references) arhitektūra</w:t>
            </w:r>
            <w:r w:rsidR="003B0F7F">
              <w:rPr>
                <w:webHidden/>
              </w:rPr>
              <w:tab/>
            </w:r>
            <w:r w:rsidR="009A77EC">
              <w:rPr>
                <w:webHidden/>
              </w:rPr>
              <w:fldChar w:fldCharType="begin"/>
            </w:r>
            <w:r w:rsidR="003B0F7F">
              <w:rPr>
                <w:webHidden/>
              </w:rPr>
              <w:instrText xml:space="preserve"> PAGEREF _Toc410147008 \h </w:instrText>
            </w:r>
            <w:r w:rsidR="009A77EC">
              <w:rPr>
                <w:webHidden/>
              </w:rPr>
            </w:r>
            <w:r w:rsidR="009A77EC">
              <w:rPr>
                <w:webHidden/>
              </w:rPr>
              <w:fldChar w:fldCharType="separate"/>
            </w:r>
            <w:r w:rsidR="003B0F7F">
              <w:rPr>
                <w:webHidden/>
              </w:rPr>
              <w:t>40</w:t>
            </w:r>
            <w:r w:rsidR="009A77EC">
              <w:rPr>
                <w:webHidden/>
              </w:rPr>
              <w:fldChar w:fldCharType="end"/>
            </w:r>
          </w:hyperlink>
        </w:p>
        <w:p w:rsidR="003B0F7F" w:rsidRDefault="00AC3FAB">
          <w:pPr>
            <w:pStyle w:val="Saturs2"/>
            <w:rPr>
              <w:rFonts w:asciiTheme="minorHAnsi" w:eastAsiaTheme="minorEastAsia" w:hAnsiTheme="minorHAnsi" w:cstheme="minorBidi"/>
              <w:b w:val="0"/>
              <w:smallCaps w:val="0"/>
              <w:lang w:eastAsia="lv-LV"/>
            </w:rPr>
          </w:pPr>
          <w:hyperlink w:anchor="_Toc410147009" w:history="1">
            <w:r w:rsidR="003B0F7F" w:rsidRPr="00271830">
              <w:rPr>
                <w:rStyle w:val="Hipersaite"/>
              </w:rPr>
              <w:t>5.2.</w:t>
            </w:r>
            <w:r w:rsidR="003B0F7F">
              <w:rPr>
                <w:rFonts w:asciiTheme="minorHAnsi" w:eastAsiaTheme="minorEastAsia" w:hAnsiTheme="minorHAnsi" w:cstheme="minorBidi"/>
                <w:b w:val="0"/>
                <w:smallCaps w:val="0"/>
                <w:lang w:eastAsia="lv-LV"/>
              </w:rPr>
              <w:tab/>
            </w:r>
            <w:r w:rsidR="003B0F7F" w:rsidRPr="00271830">
              <w:rPr>
                <w:rStyle w:val="Hipersaite"/>
              </w:rPr>
              <w:t>Centralizētās platformas un koplietošanas risinājumi</w:t>
            </w:r>
            <w:r w:rsidR="003B0F7F">
              <w:rPr>
                <w:webHidden/>
              </w:rPr>
              <w:tab/>
            </w:r>
            <w:r w:rsidR="009A77EC">
              <w:rPr>
                <w:webHidden/>
              </w:rPr>
              <w:fldChar w:fldCharType="begin"/>
            </w:r>
            <w:r w:rsidR="003B0F7F">
              <w:rPr>
                <w:webHidden/>
              </w:rPr>
              <w:instrText xml:space="preserve"> PAGEREF _Toc410147009 \h </w:instrText>
            </w:r>
            <w:r w:rsidR="009A77EC">
              <w:rPr>
                <w:webHidden/>
              </w:rPr>
            </w:r>
            <w:r w:rsidR="009A77EC">
              <w:rPr>
                <w:webHidden/>
              </w:rPr>
              <w:fldChar w:fldCharType="separate"/>
            </w:r>
            <w:r w:rsidR="003B0F7F">
              <w:rPr>
                <w:webHidden/>
              </w:rPr>
              <w:t>43</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10" w:history="1">
            <w:r w:rsidR="003B0F7F" w:rsidRPr="00271830">
              <w:rPr>
                <w:rStyle w:val="Hipersaite"/>
              </w:rPr>
              <w:t>P25:</w:t>
            </w:r>
            <w:r w:rsidR="003B0F7F">
              <w:rPr>
                <w:rFonts w:asciiTheme="minorHAnsi" w:eastAsiaTheme="minorEastAsia" w:hAnsiTheme="minorHAnsi" w:cstheme="minorBidi"/>
                <w:smallCaps w:val="0"/>
                <w:lang w:eastAsia="lv-LV"/>
              </w:rPr>
              <w:tab/>
            </w:r>
            <w:r w:rsidR="003B0F7F" w:rsidRPr="00271830">
              <w:rPr>
                <w:rStyle w:val="Hipersaite"/>
              </w:rPr>
              <w:t>Pakalpojumu, portālu, sadarbspējas un infrastruktūras servisu nodrošinājums centralizētu platformu veidā</w:t>
            </w:r>
            <w:r w:rsidR="003B0F7F">
              <w:rPr>
                <w:webHidden/>
              </w:rPr>
              <w:tab/>
            </w:r>
            <w:r w:rsidR="009A77EC">
              <w:rPr>
                <w:webHidden/>
              </w:rPr>
              <w:fldChar w:fldCharType="begin"/>
            </w:r>
            <w:r w:rsidR="003B0F7F">
              <w:rPr>
                <w:webHidden/>
              </w:rPr>
              <w:instrText xml:space="preserve"> PAGEREF _Toc410147010 \h </w:instrText>
            </w:r>
            <w:r w:rsidR="009A77EC">
              <w:rPr>
                <w:webHidden/>
              </w:rPr>
            </w:r>
            <w:r w:rsidR="009A77EC">
              <w:rPr>
                <w:webHidden/>
              </w:rPr>
              <w:fldChar w:fldCharType="separate"/>
            </w:r>
            <w:r w:rsidR="003B0F7F">
              <w:rPr>
                <w:webHidden/>
              </w:rPr>
              <w:t>43</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11" w:history="1">
            <w:r w:rsidR="003B0F7F" w:rsidRPr="00271830">
              <w:rPr>
                <w:rStyle w:val="Hipersaite"/>
              </w:rPr>
              <w:t>P26:</w:t>
            </w:r>
            <w:r w:rsidR="003B0F7F">
              <w:rPr>
                <w:rFonts w:asciiTheme="minorHAnsi" w:eastAsiaTheme="minorEastAsia" w:hAnsiTheme="minorHAnsi" w:cstheme="minorBidi"/>
                <w:smallCaps w:val="0"/>
                <w:lang w:eastAsia="lv-LV"/>
              </w:rPr>
              <w:tab/>
            </w:r>
            <w:r w:rsidR="003B0F7F" w:rsidRPr="00271830">
              <w:rPr>
                <w:rStyle w:val="Hipersaite"/>
              </w:rPr>
              <w:t>Portālu platforma</w:t>
            </w:r>
            <w:r w:rsidR="003B0F7F">
              <w:rPr>
                <w:webHidden/>
              </w:rPr>
              <w:tab/>
            </w:r>
            <w:r w:rsidR="009A77EC">
              <w:rPr>
                <w:webHidden/>
              </w:rPr>
              <w:fldChar w:fldCharType="begin"/>
            </w:r>
            <w:r w:rsidR="003B0F7F">
              <w:rPr>
                <w:webHidden/>
              </w:rPr>
              <w:instrText xml:space="preserve"> PAGEREF _Toc410147011 \h </w:instrText>
            </w:r>
            <w:r w:rsidR="009A77EC">
              <w:rPr>
                <w:webHidden/>
              </w:rPr>
            </w:r>
            <w:r w:rsidR="009A77EC">
              <w:rPr>
                <w:webHidden/>
              </w:rPr>
              <w:fldChar w:fldCharType="separate"/>
            </w:r>
            <w:r w:rsidR="003B0F7F">
              <w:rPr>
                <w:webHidden/>
              </w:rPr>
              <w:t>44</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12" w:history="1">
            <w:r w:rsidR="003B0F7F" w:rsidRPr="00271830">
              <w:rPr>
                <w:rStyle w:val="Hipersaite"/>
              </w:rPr>
              <w:t>P27:</w:t>
            </w:r>
            <w:r w:rsidR="003B0F7F">
              <w:rPr>
                <w:rFonts w:asciiTheme="minorHAnsi" w:eastAsiaTheme="minorEastAsia" w:hAnsiTheme="minorHAnsi" w:cstheme="minorBidi"/>
                <w:smallCaps w:val="0"/>
                <w:lang w:eastAsia="lv-LV"/>
              </w:rPr>
              <w:tab/>
            </w:r>
            <w:r w:rsidR="003B0F7F" w:rsidRPr="00271830">
              <w:rPr>
                <w:rStyle w:val="Hipersaite"/>
              </w:rPr>
              <w:t>Pakalpojumu sniegšanas un pārvaldības platforma</w:t>
            </w:r>
            <w:r w:rsidR="003B0F7F">
              <w:rPr>
                <w:webHidden/>
              </w:rPr>
              <w:tab/>
            </w:r>
            <w:r w:rsidR="009A77EC">
              <w:rPr>
                <w:webHidden/>
              </w:rPr>
              <w:fldChar w:fldCharType="begin"/>
            </w:r>
            <w:r w:rsidR="003B0F7F">
              <w:rPr>
                <w:webHidden/>
              </w:rPr>
              <w:instrText xml:space="preserve"> PAGEREF _Toc410147012 \h </w:instrText>
            </w:r>
            <w:r w:rsidR="009A77EC">
              <w:rPr>
                <w:webHidden/>
              </w:rPr>
            </w:r>
            <w:r w:rsidR="009A77EC">
              <w:rPr>
                <w:webHidden/>
              </w:rPr>
              <w:fldChar w:fldCharType="separate"/>
            </w:r>
            <w:r w:rsidR="003B0F7F">
              <w:rPr>
                <w:webHidden/>
              </w:rPr>
              <w:t>47</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13" w:history="1">
            <w:r w:rsidR="003B0F7F" w:rsidRPr="00271830">
              <w:rPr>
                <w:rStyle w:val="Hipersaite"/>
              </w:rPr>
              <w:t>P28:</w:t>
            </w:r>
            <w:r w:rsidR="003B0F7F">
              <w:rPr>
                <w:rFonts w:asciiTheme="minorHAnsi" w:eastAsiaTheme="minorEastAsia" w:hAnsiTheme="minorHAnsi" w:cstheme="minorBidi"/>
                <w:smallCaps w:val="0"/>
                <w:lang w:eastAsia="lv-LV"/>
              </w:rPr>
              <w:tab/>
            </w:r>
            <w:r w:rsidR="003B0F7F" w:rsidRPr="00271830">
              <w:rPr>
                <w:rStyle w:val="Hipersaite"/>
              </w:rPr>
              <w:t>Sadarbspējas platforma</w:t>
            </w:r>
            <w:r w:rsidR="003B0F7F">
              <w:rPr>
                <w:webHidden/>
              </w:rPr>
              <w:tab/>
            </w:r>
            <w:r w:rsidR="009A77EC">
              <w:rPr>
                <w:webHidden/>
              </w:rPr>
              <w:fldChar w:fldCharType="begin"/>
            </w:r>
            <w:r w:rsidR="003B0F7F">
              <w:rPr>
                <w:webHidden/>
              </w:rPr>
              <w:instrText xml:space="preserve"> PAGEREF _Toc410147013 \h </w:instrText>
            </w:r>
            <w:r w:rsidR="009A77EC">
              <w:rPr>
                <w:webHidden/>
              </w:rPr>
            </w:r>
            <w:r w:rsidR="009A77EC">
              <w:rPr>
                <w:webHidden/>
              </w:rPr>
              <w:fldChar w:fldCharType="separate"/>
            </w:r>
            <w:r w:rsidR="003B0F7F">
              <w:rPr>
                <w:webHidden/>
              </w:rPr>
              <w:t>52</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14" w:history="1">
            <w:r w:rsidR="003B0F7F" w:rsidRPr="00271830">
              <w:rPr>
                <w:rStyle w:val="Hipersaite"/>
              </w:rPr>
              <w:t>P29:</w:t>
            </w:r>
            <w:r w:rsidR="003B0F7F">
              <w:rPr>
                <w:rFonts w:asciiTheme="minorHAnsi" w:eastAsiaTheme="minorEastAsia" w:hAnsiTheme="minorHAnsi" w:cstheme="minorBidi"/>
                <w:smallCaps w:val="0"/>
                <w:lang w:eastAsia="lv-LV"/>
              </w:rPr>
              <w:tab/>
            </w:r>
            <w:r w:rsidR="003B0F7F" w:rsidRPr="00271830">
              <w:rPr>
                <w:rStyle w:val="Hipersaite"/>
              </w:rPr>
              <w:t>Ģeotelpiskās informācijas uzkrāšanas un izplatīšanas koplietošanas serviss</w:t>
            </w:r>
            <w:r w:rsidR="003B0F7F">
              <w:rPr>
                <w:webHidden/>
              </w:rPr>
              <w:tab/>
            </w:r>
            <w:r w:rsidR="009A77EC">
              <w:rPr>
                <w:webHidden/>
              </w:rPr>
              <w:fldChar w:fldCharType="begin"/>
            </w:r>
            <w:r w:rsidR="003B0F7F">
              <w:rPr>
                <w:webHidden/>
              </w:rPr>
              <w:instrText xml:space="preserve"> PAGEREF _Toc410147014 \h </w:instrText>
            </w:r>
            <w:r w:rsidR="009A77EC">
              <w:rPr>
                <w:webHidden/>
              </w:rPr>
            </w:r>
            <w:r w:rsidR="009A77EC">
              <w:rPr>
                <w:webHidden/>
              </w:rPr>
              <w:fldChar w:fldCharType="separate"/>
            </w:r>
            <w:r w:rsidR="003B0F7F">
              <w:rPr>
                <w:webHidden/>
              </w:rPr>
              <w:t>54</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15" w:history="1">
            <w:r w:rsidR="003B0F7F" w:rsidRPr="00271830">
              <w:rPr>
                <w:rStyle w:val="Hipersaite"/>
              </w:rPr>
              <w:t>P30:</w:t>
            </w:r>
            <w:r w:rsidR="003B0F7F">
              <w:rPr>
                <w:rFonts w:asciiTheme="minorHAnsi" w:eastAsiaTheme="minorEastAsia" w:hAnsiTheme="minorHAnsi" w:cstheme="minorBidi"/>
                <w:smallCaps w:val="0"/>
                <w:lang w:eastAsia="lv-LV"/>
              </w:rPr>
              <w:tab/>
            </w:r>
            <w:r w:rsidR="003B0F7F" w:rsidRPr="00271830">
              <w:rPr>
                <w:rStyle w:val="Hipersaite"/>
              </w:rPr>
              <w:t>Maksājumu apstrādes risinājums</w:t>
            </w:r>
            <w:r w:rsidR="003B0F7F">
              <w:rPr>
                <w:webHidden/>
              </w:rPr>
              <w:tab/>
            </w:r>
            <w:r w:rsidR="009A77EC">
              <w:rPr>
                <w:webHidden/>
              </w:rPr>
              <w:fldChar w:fldCharType="begin"/>
            </w:r>
            <w:r w:rsidR="003B0F7F">
              <w:rPr>
                <w:webHidden/>
              </w:rPr>
              <w:instrText xml:space="preserve"> PAGEREF _Toc410147015 \h </w:instrText>
            </w:r>
            <w:r w:rsidR="009A77EC">
              <w:rPr>
                <w:webHidden/>
              </w:rPr>
            </w:r>
            <w:r w:rsidR="009A77EC">
              <w:rPr>
                <w:webHidden/>
              </w:rPr>
              <w:fldChar w:fldCharType="separate"/>
            </w:r>
            <w:r w:rsidR="003B0F7F">
              <w:rPr>
                <w:webHidden/>
              </w:rPr>
              <w:t>55</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16" w:history="1">
            <w:r w:rsidR="003B0F7F" w:rsidRPr="00271830">
              <w:rPr>
                <w:rStyle w:val="Hipersaite"/>
              </w:rPr>
              <w:t>P31:</w:t>
            </w:r>
            <w:r w:rsidR="003B0F7F">
              <w:rPr>
                <w:rFonts w:asciiTheme="minorHAnsi" w:eastAsiaTheme="minorEastAsia" w:hAnsiTheme="minorHAnsi" w:cstheme="minorBidi"/>
                <w:smallCaps w:val="0"/>
                <w:lang w:eastAsia="lv-LV"/>
              </w:rPr>
              <w:tab/>
            </w:r>
            <w:r w:rsidR="003B0F7F" w:rsidRPr="00271830">
              <w:rPr>
                <w:rStyle w:val="Hipersaite"/>
              </w:rPr>
              <w:t>Vienotais publiskās pārvaldes darbinieku autentifikācijas risinājums</w:t>
            </w:r>
            <w:r w:rsidR="003B0F7F">
              <w:rPr>
                <w:webHidden/>
              </w:rPr>
              <w:tab/>
            </w:r>
            <w:r w:rsidR="009A77EC">
              <w:rPr>
                <w:webHidden/>
              </w:rPr>
              <w:fldChar w:fldCharType="begin"/>
            </w:r>
            <w:r w:rsidR="003B0F7F">
              <w:rPr>
                <w:webHidden/>
              </w:rPr>
              <w:instrText xml:space="preserve"> PAGEREF _Toc410147016 \h </w:instrText>
            </w:r>
            <w:r w:rsidR="009A77EC">
              <w:rPr>
                <w:webHidden/>
              </w:rPr>
            </w:r>
            <w:r w:rsidR="009A77EC">
              <w:rPr>
                <w:webHidden/>
              </w:rPr>
              <w:fldChar w:fldCharType="separate"/>
            </w:r>
            <w:r w:rsidR="003B0F7F">
              <w:rPr>
                <w:webHidden/>
              </w:rPr>
              <w:t>56</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17" w:history="1">
            <w:r w:rsidR="003B0F7F" w:rsidRPr="00271830">
              <w:rPr>
                <w:rStyle w:val="Hipersaite"/>
              </w:rPr>
              <w:t>P32:</w:t>
            </w:r>
            <w:r w:rsidR="003B0F7F">
              <w:rPr>
                <w:rFonts w:asciiTheme="minorHAnsi" w:eastAsiaTheme="minorEastAsia" w:hAnsiTheme="minorHAnsi" w:cstheme="minorBidi"/>
                <w:smallCaps w:val="0"/>
                <w:lang w:eastAsia="lv-LV"/>
              </w:rPr>
              <w:tab/>
            </w:r>
            <w:r w:rsidR="003B0F7F" w:rsidRPr="00271830">
              <w:rPr>
                <w:rStyle w:val="Hipersaite"/>
              </w:rPr>
              <w:t>Elektroniskā identifikācija e-pakalpojumiem</w:t>
            </w:r>
            <w:r w:rsidR="003B0F7F">
              <w:rPr>
                <w:webHidden/>
              </w:rPr>
              <w:tab/>
            </w:r>
            <w:r w:rsidR="009A77EC">
              <w:rPr>
                <w:webHidden/>
              </w:rPr>
              <w:fldChar w:fldCharType="begin"/>
            </w:r>
            <w:r w:rsidR="003B0F7F">
              <w:rPr>
                <w:webHidden/>
              </w:rPr>
              <w:instrText xml:space="preserve"> PAGEREF _Toc410147017 \h </w:instrText>
            </w:r>
            <w:r w:rsidR="009A77EC">
              <w:rPr>
                <w:webHidden/>
              </w:rPr>
            </w:r>
            <w:r w:rsidR="009A77EC">
              <w:rPr>
                <w:webHidden/>
              </w:rPr>
              <w:fldChar w:fldCharType="separate"/>
            </w:r>
            <w:r w:rsidR="003B0F7F">
              <w:rPr>
                <w:webHidden/>
              </w:rPr>
              <w:t>59</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18" w:history="1">
            <w:r w:rsidR="003B0F7F" w:rsidRPr="00271830">
              <w:rPr>
                <w:rStyle w:val="Hipersaite"/>
              </w:rPr>
              <w:t>P33:</w:t>
            </w:r>
            <w:r w:rsidR="003B0F7F">
              <w:rPr>
                <w:rFonts w:asciiTheme="minorHAnsi" w:eastAsiaTheme="minorEastAsia" w:hAnsiTheme="minorHAnsi" w:cstheme="minorBidi"/>
                <w:smallCaps w:val="0"/>
                <w:lang w:eastAsia="lv-LV"/>
              </w:rPr>
              <w:tab/>
            </w:r>
            <w:r w:rsidR="003B0F7F" w:rsidRPr="00271830">
              <w:rPr>
                <w:rStyle w:val="Hipersaite"/>
              </w:rPr>
              <w:t>Pārrobežu elektroniskā identifikācija</w:t>
            </w:r>
            <w:r w:rsidR="003B0F7F">
              <w:rPr>
                <w:webHidden/>
              </w:rPr>
              <w:tab/>
            </w:r>
            <w:r w:rsidR="009A77EC">
              <w:rPr>
                <w:webHidden/>
              </w:rPr>
              <w:fldChar w:fldCharType="begin"/>
            </w:r>
            <w:r w:rsidR="003B0F7F">
              <w:rPr>
                <w:webHidden/>
              </w:rPr>
              <w:instrText xml:space="preserve"> PAGEREF _Toc410147018 \h </w:instrText>
            </w:r>
            <w:r w:rsidR="009A77EC">
              <w:rPr>
                <w:webHidden/>
              </w:rPr>
            </w:r>
            <w:r w:rsidR="009A77EC">
              <w:rPr>
                <w:webHidden/>
              </w:rPr>
              <w:fldChar w:fldCharType="separate"/>
            </w:r>
            <w:r w:rsidR="003B0F7F">
              <w:rPr>
                <w:webHidden/>
              </w:rPr>
              <w:t>61</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19" w:history="1">
            <w:r w:rsidR="003B0F7F" w:rsidRPr="00271830">
              <w:rPr>
                <w:rStyle w:val="Hipersaite"/>
              </w:rPr>
              <w:t>P34:</w:t>
            </w:r>
            <w:r w:rsidR="003B0F7F">
              <w:rPr>
                <w:rFonts w:asciiTheme="minorHAnsi" w:eastAsiaTheme="minorEastAsia" w:hAnsiTheme="minorHAnsi" w:cstheme="minorBidi"/>
                <w:smallCaps w:val="0"/>
                <w:lang w:eastAsia="lv-LV"/>
              </w:rPr>
              <w:tab/>
            </w:r>
            <w:r w:rsidR="003B0F7F" w:rsidRPr="00271830">
              <w:rPr>
                <w:rStyle w:val="Hipersaite"/>
              </w:rPr>
              <w:t>Citi efektīvu e-pārvaldi veicinoši lietojumprogrammatūras koplietošanas risinājumi</w:t>
            </w:r>
            <w:r w:rsidR="003B0F7F">
              <w:rPr>
                <w:webHidden/>
              </w:rPr>
              <w:tab/>
            </w:r>
            <w:r w:rsidR="009A77EC">
              <w:rPr>
                <w:webHidden/>
              </w:rPr>
              <w:fldChar w:fldCharType="begin"/>
            </w:r>
            <w:r w:rsidR="003B0F7F">
              <w:rPr>
                <w:webHidden/>
              </w:rPr>
              <w:instrText xml:space="preserve"> PAGEREF _Toc410147019 \h </w:instrText>
            </w:r>
            <w:r w:rsidR="009A77EC">
              <w:rPr>
                <w:webHidden/>
              </w:rPr>
            </w:r>
            <w:r w:rsidR="009A77EC">
              <w:rPr>
                <w:webHidden/>
              </w:rPr>
              <w:fldChar w:fldCharType="separate"/>
            </w:r>
            <w:r w:rsidR="003B0F7F">
              <w:rPr>
                <w:webHidden/>
              </w:rPr>
              <w:t>63</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20" w:history="1">
            <w:r w:rsidR="003B0F7F" w:rsidRPr="00271830">
              <w:rPr>
                <w:rStyle w:val="Hipersaite"/>
              </w:rPr>
              <w:t>P35:</w:t>
            </w:r>
            <w:r w:rsidR="003B0F7F">
              <w:rPr>
                <w:rFonts w:asciiTheme="minorHAnsi" w:eastAsiaTheme="minorEastAsia" w:hAnsiTheme="minorHAnsi" w:cstheme="minorBidi"/>
                <w:smallCaps w:val="0"/>
                <w:lang w:eastAsia="lv-LV"/>
              </w:rPr>
              <w:tab/>
            </w:r>
            <w:r w:rsidR="003B0F7F" w:rsidRPr="00271830">
              <w:rPr>
                <w:rStyle w:val="Hipersaite"/>
              </w:rPr>
              <w:t>Centralizētas platformas, decentralizēta pārvaldība</w:t>
            </w:r>
            <w:r w:rsidR="003B0F7F">
              <w:rPr>
                <w:webHidden/>
              </w:rPr>
              <w:tab/>
            </w:r>
            <w:r w:rsidR="009A77EC">
              <w:rPr>
                <w:webHidden/>
              </w:rPr>
              <w:fldChar w:fldCharType="begin"/>
            </w:r>
            <w:r w:rsidR="003B0F7F">
              <w:rPr>
                <w:webHidden/>
              </w:rPr>
              <w:instrText xml:space="preserve"> PAGEREF _Toc410147020 \h </w:instrText>
            </w:r>
            <w:r w:rsidR="009A77EC">
              <w:rPr>
                <w:webHidden/>
              </w:rPr>
            </w:r>
            <w:r w:rsidR="009A77EC">
              <w:rPr>
                <w:webHidden/>
              </w:rPr>
              <w:fldChar w:fldCharType="separate"/>
            </w:r>
            <w:r w:rsidR="003B0F7F">
              <w:rPr>
                <w:webHidden/>
              </w:rPr>
              <w:t>64</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21" w:history="1">
            <w:r w:rsidR="003B0F7F" w:rsidRPr="00271830">
              <w:rPr>
                <w:rStyle w:val="Hipersaite"/>
              </w:rPr>
              <w:t>P36:</w:t>
            </w:r>
            <w:r w:rsidR="003B0F7F">
              <w:rPr>
                <w:rFonts w:asciiTheme="minorHAnsi" w:eastAsiaTheme="minorEastAsia" w:hAnsiTheme="minorHAnsi" w:cstheme="minorBidi"/>
                <w:smallCaps w:val="0"/>
                <w:lang w:eastAsia="lv-LV"/>
              </w:rPr>
              <w:tab/>
            </w:r>
            <w:r w:rsidR="003B0F7F" w:rsidRPr="00271830">
              <w:rPr>
                <w:rStyle w:val="Hipersaite"/>
              </w:rPr>
              <w:t>Platformu attīstība un ieviešana kopā ar to izmantošanas projektiem</w:t>
            </w:r>
            <w:r w:rsidR="003B0F7F">
              <w:rPr>
                <w:webHidden/>
              </w:rPr>
              <w:tab/>
            </w:r>
            <w:r w:rsidR="009A77EC">
              <w:rPr>
                <w:webHidden/>
              </w:rPr>
              <w:fldChar w:fldCharType="begin"/>
            </w:r>
            <w:r w:rsidR="003B0F7F">
              <w:rPr>
                <w:webHidden/>
              </w:rPr>
              <w:instrText xml:space="preserve"> PAGEREF _Toc410147021 \h </w:instrText>
            </w:r>
            <w:r w:rsidR="009A77EC">
              <w:rPr>
                <w:webHidden/>
              </w:rPr>
            </w:r>
            <w:r w:rsidR="009A77EC">
              <w:rPr>
                <w:webHidden/>
              </w:rPr>
              <w:fldChar w:fldCharType="separate"/>
            </w:r>
            <w:r w:rsidR="003B0F7F">
              <w:rPr>
                <w:webHidden/>
              </w:rPr>
              <w:t>64</w:t>
            </w:r>
            <w:r w:rsidR="009A77EC">
              <w:rPr>
                <w:webHidden/>
              </w:rPr>
              <w:fldChar w:fldCharType="end"/>
            </w:r>
          </w:hyperlink>
        </w:p>
        <w:p w:rsidR="003B0F7F" w:rsidRDefault="00AC3FAB">
          <w:pPr>
            <w:pStyle w:val="Saturs1"/>
            <w:rPr>
              <w:rFonts w:asciiTheme="minorHAnsi" w:eastAsiaTheme="minorEastAsia" w:hAnsiTheme="minorHAnsi" w:cstheme="minorBidi"/>
              <w:b w:val="0"/>
              <w:caps w:val="0"/>
              <w:u w:val="none"/>
              <w:lang w:eastAsia="lv-LV"/>
            </w:rPr>
          </w:pPr>
          <w:hyperlink w:anchor="_Toc410147022" w:history="1">
            <w:r w:rsidR="003B0F7F" w:rsidRPr="00271830">
              <w:rPr>
                <w:rStyle w:val="Hipersaite"/>
              </w:rPr>
              <w:t>6.</w:t>
            </w:r>
            <w:r w:rsidR="003B0F7F">
              <w:rPr>
                <w:rFonts w:asciiTheme="minorHAnsi" w:eastAsiaTheme="minorEastAsia" w:hAnsiTheme="minorHAnsi" w:cstheme="minorBidi"/>
                <w:b w:val="0"/>
                <w:caps w:val="0"/>
                <w:u w:val="none"/>
                <w:lang w:eastAsia="lv-LV"/>
              </w:rPr>
              <w:tab/>
            </w:r>
            <w:r w:rsidR="003B0F7F" w:rsidRPr="00271830">
              <w:rPr>
                <w:rStyle w:val="Hipersaite"/>
              </w:rPr>
              <w:t>IKT infrastruktūra</w:t>
            </w:r>
            <w:r w:rsidR="003B0F7F">
              <w:rPr>
                <w:webHidden/>
              </w:rPr>
              <w:tab/>
            </w:r>
            <w:r w:rsidR="009A77EC">
              <w:rPr>
                <w:webHidden/>
              </w:rPr>
              <w:fldChar w:fldCharType="begin"/>
            </w:r>
            <w:r w:rsidR="003B0F7F">
              <w:rPr>
                <w:webHidden/>
              </w:rPr>
              <w:instrText xml:space="preserve"> PAGEREF _Toc410147022 \h </w:instrText>
            </w:r>
            <w:r w:rsidR="009A77EC">
              <w:rPr>
                <w:webHidden/>
              </w:rPr>
            </w:r>
            <w:r w:rsidR="009A77EC">
              <w:rPr>
                <w:webHidden/>
              </w:rPr>
              <w:fldChar w:fldCharType="separate"/>
            </w:r>
            <w:r w:rsidR="003B0F7F">
              <w:rPr>
                <w:webHidden/>
              </w:rPr>
              <w:t>66</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23" w:history="1">
            <w:r w:rsidR="003B0F7F" w:rsidRPr="00271830">
              <w:rPr>
                <w:rStyle w:val="Hipersaite"/>
              </w:rPr>
              <w:t>P37:</w:t>
            </w:r>
            <w:r w:rsidR="003B0F7F">
              <w:rPr>
                <w:rFonts w:asciiTheme="minorHAnsi" w:eastAsiaTheme="minorEastAsia" w:hAnsiTheme="minorHAnsi" w:cstheme="minorBidi"/>
                <w:smallCaps w:val="0"/>
                <w:lang w:eastAsia="lv-LV"/>
              </w:rPr>
              <w:tab/>
            </w:r>
            <w:r w:rsidR="003B0F7F" w:rsidRPr="00271830">
              <w:rPr>
                <w:rStyle w:val="Hipersaite"/>
              </w:rPr>
              <w:t>Loģiski vienots datu centrs</w:t>
            </w:r>
            <w:r w:rsidR="003B0F7F">
              <w:rPr>
                <w:webHidden/>
              </w:rPr>
              <w:tab/>
            </w:r>
            <w:r w:rsidR="009A77EC">
              <w:rPr>
                <w:webHidden/>
              </w:rPr>
              <w:fldChar w:fldCharType="begin"/>
            </w:r>
            <w:r w:rsidR="003B0F7F">
              <w:rPr>
                <w:webHidden/>
              </w:rPr>
              <w:instrText xml:space="preserve"> PAGEREF _Toc410147023 \h </w:instrText>
            </w:r>
            <w:r w:rsidR="009A77EC">
              <w:rPr>
                <w:webHidden/>
              </w:rPr>
            </w:r>
            <w:r w:rsidR="009A77EC">
              <w:rPr>
                <w:webHidden/>
              </w:rPr>
              <w:fldChar w:fldCharType="separate"/>
            </w:r>
            <w:r w:rsidR="003B0F7F">
              <w:rPr>
                <w:webHidden/>
              </w:rPr>
              <w:t>66</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24" w:history="1">
            <w:r w:rsidR="003B0F7F" w:rsidRPr="00271830">
              <w:rPr>
                <w:rStyle w:val="Hipersaite"/>
              </w:rPr>
              <w:t>P38:</w:t>
            </w:r>
            <w:r w:rsidR="003B0F7F">
              <w:rPr>
                <w:rFonts w:asciiTheme="minorHAnsi" w:eastAsiaTheme="minorEastAsia" w:hAnsiTheme="minorHAnsi" w:cstheme="minorBidi"/>
                <w:smallCaps w:val="0"/>
                <w:lang w:eastAsia="lv-LV"/>
              </w:rPr>
              <w:tab/>
            </w:r>
            <w:r w:rsidR="003B0F7F" w:rsidRPr="00271830">
              <w:rPr>
                <w:rStyle w:val="Hipersaite"/>
              </w:rPr>
              <w:t>Vienots datu pārraides tīkls loģiski vienotā datu centra tvērumā</w:t>
            </w:r>
            <w:r w:rsidR="003B0F7F">
              <w:rPr>
                <w:webHidden/>
              </w:rPr>
              <w:tab/>
            </w:r>
            <w:r w:rsidR="009A77EC">
              <w:rPr>
                <w:webHidden/>
              </w:rPr>
              <w:fldChar w:fldCharType="begin"/>
            </w:r>
            <w:r w:rsidR="003B0F7F">
              <w:rPr>
                <w:webHidden/>
              </w:rPr>
              <w:instrText xml:space="preserve"> PAGEREF _Toc410147024 \h </w:instrText>
            </w:r>
            <w:r w:rsidR="009A77EC">
              <w:rPr>
                <w:webHidden/>
              </w:rPr>
            </w:r>
            <w:r w:rsidR="009A77EC">
              <w:rPr>
                <w:webHidden/>
              </w:rPr>
              <w:fldChar w:fldCharType="separate"/>
            </w:r>
            <w:r w:rsidR="003B0F7F">
              <w:rPr>
                <w:webHidden/>
              </w:rPr>
              <w:t>68</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25" w:history="1">
            <w:r w:rsidR="003B0F7F" w:rsidRPr="00271830">
              <w:rPr>
                <w:rStyle w:val="Hipersaite"/>
              </w:rPr>
              <w:t>P39:</w:t>
            </w:r>
            <w:r w:rsidR="003B0F7F">
              <w:rPr>
                <w:rFonts w:asciiTheme="minorHAnsi" w:eastAsiaTheme="minorEastAsia" w:hAnsiTheme="minorHAnsi" w:cstheme="minorBidi"/>
                <w:smallCaps w:val="0"/>
                <w:lang w:eastAsia="lv-LV"/>
              </w:rPr>
              <w:tab/>
            </w:r>
            <w:r w:rsidR="003B0F7F" w:rsidRPr="00271830">
              <w:rPr>
                <w:rStyle w:val="Hipersaite"/>
              </w:rPr>
              <w:t>Vienota IKT drošības platforma loģiski vienotā datu centra tvērumā</w:t>
            </w:r>
            <w:r w:rsidR="003B0F7F">
              <w:rPr>
                <w:webHidden/>
              </w:rPr>
              <w:tab/>
            </w:r>
            <w:r w:rsidR="009A77EC">
              <w:rPr>
                <w:webHidden/>
              </w:rPr>
              <w:fldChar w:fldCharType="begin"/>
            </w:r>
            <w:r w:rsidR="003B0F7F">
              <w:rPr>
                <w:webHidden/>
              </w:rPr>
              <w:instrText xml:space="preserve"> PAGEREF _Toc410147025 \h </w:instrText>
            </w:r>
            <w:r w:rsidR="009A77EC">
              <w:rPr>
                <w:webHidden/>
              </w:rPr>
            </w:r>
            <w:r w:rsidR="009A77EC">
              <w:rPr>
                <w:webHidden/>
              </w:rPr>
              <w:fldChar w:fldCharType="separate"/>
            </w:r>
            <w:r w:rsidR="003B0F7F">
              <w:rPr>
                <w:webHidden/>
              </w:rPr>
              <w:t>68</w:t>
            </w:r>
            <w:r w:rsidR="009A77EC">
              <w:rPr>
                <w:webHidden/>
              </w:rPr>
              <w:fldChar w:fldCharType="end"/>
            </w:r>
          </w:hyperlink>
        </w:p>
        <w:p w:rsidR="003B0F7F" w:rsidRDefault="00AC3FAB">
          <w:pPr>
            <w:pStyle w:val="Saturs3"/>
            <w:rPr>
              <w:rFonts w:asciiTheme="minorHAnsi" w:eastAsiaTheme="minorEastAsia" w:hAnsiTheme="minorHAnsi" w:cstheme="minorBidi"/>
              <w:smallCaps w:val="0"/>
              <w:lang w:eastAsia="lv-LV"/>
            </w:rPr>
          </w:pPr>
          <w:hyperlink w:anchor="_Toc410147026" w:history="1">
            <w:r w:rsidR="003B0F7F" w:rsidRPr="00271830">
              <w:rPr>
                <w:rStyle w:val="Hipersaite"/>
              </w:rPr>
              <w:t>P40:</w:t>
            </w:r>
            <w:r w:rsidR="003B0F7F">
              <w:rPr>
                <w:rFonts w:asciiTheme="minorHAnsi" w:eastAsiaTheme="minorEastAsia" w:hAnsiTheme="minorHAnsi" w:cstheme="minorBidi"/>
                <w:smallCaps w:val="0"/>
                <w:lang w:eastAsia="lv-LV"/>
              </w:rPr>
              <w:tab/>
            </w:r>
            <w:r w:rsidR="003B0F7F" w:rsidRPr="00271830">
              <w:rPr>
                <w:rStyle w:val="Hipersaite"/>
              </w:rPr>
              <w:t>Gala iekārtas (arī mobilās) un personālās produktivitātes rīki</w:t>
            </w:r>
            <w:r w:rsidR="003B0F7F">
              <w:rPr>
                <w:webHidden/>
              </w:rPr>
              <w:tab/>
            </w:r>
            <w:r w:rsidR="009A77EC">
              <w:rPr>
                <w:webHidden/>
              </w:rPr>
              <w:fldChar w:fldCharType="begin"/>
            </w:r>
            <w:r w:rsidR="003B0F7F">
              <w:rPr>
                <w:webHidden/>
              </w:rPr>
              <w:instrText xml:space="preserve"> PAGEREF _Toc410147026 \h </w:instrText>
            </w:r>
            <w:r w:rsidR="009A77EC">
              <w:rPr>
                <w:webHidden/>
              </w:rPr>
            </w:r>
            <w:r w:rsidR="009A77EC">
              <w:rPr>
                <w:webHidden/>
              </w:rPr>
              <w:fldChar w:fldCharType="separate"/>
            </w:r>
            <w:r w:rsidR="003B0F7F">
              <w:rPr>
                <w:webHidden/>
              </w:rPr>
              <w:t>69</w:t>
            </w:r>
            <w:r w:rsidR="009A77EC">
              <w:rPr>
                <w:webHidden/>
              </w:rPr>
              <w:fldChar w:fldCharType="end"/>
            </w:r>
          </w:hyperlink>
        </w:p>
        <w:p w:rsidR="000A3205" w:rsidRDefault="009A77EC" w:rsidP="0025551E">
          <w:pPr>
            <w:pStyle w:val="ISBodyText"/>
            <w:tabs>
              <w:tab w:val="left" w:pos="8505"/>
            </w:tabs>
          </w:pPr>
          <w:r w:rsidRPr="00445256">
            <w:fldChar w:fldCharType="end"/>
          </w:r>
        </w:p>
      </w:sdtContent>
    </w:sdt>
    <w:p w:rsidR="009C5672" w:rsidRPr="00D97943" w:rsidRDefault="005315EC" w:rsidP="00B75B6F">
      <w:pPr>
        <w:pStyle w:val="ISHeading1"/>
        <w:numPr>
          <w:ilvl w:val="0"/>
          <w:numId w:val="40"/>
        </w:numPr>
      </w:pPr>
      <w:bookmarkStart w:id="0" w:name="_Toc384377490"/>
      <w:bookmarkStart w:id="1" w:name="_Toc390037213"/>
      <w:bookmarkStart w:id="2" w:name="_Toc392680515"/>
      <w:bookmarkStart w:id="3" w:name="_Ref287791287"/>
      <w:bookmarkStart w:id="4" w:name="_Toc410146976"/>
      <w:bookmarkStart w:id="5" w:name="_Toc392680521"/>
      <w:bookmarkStart w:id="6" w:name="_Toc384377505"/>
      <w:r w:rsidRPr="00E30919">
        <w:lastRenderedPageBreak/>
        <w:t>Ievads</w:t>
      </w:r>
      <w:bookmarkEnd w:id="0"/>
      <w:bookmarkEnd w:id="1"/>
      <w:bookmarkEnd w:id="2"/>
      <w:bookmarkEnd w:id="3"/>
      <w:bookmarkEnd w:id="4"/>
    </w:p>
    <w:p w:rsidR="002E068F" w:rsidRDefault="002E068F" w:rsidP="00041B6B">
      <w:pPr>
        <w:pStyle w:val="ISBodyText"/>
        <w:rPr>
          <w:lang w:eastAsia="lv-LV"/>
        </w:rPr>
      </w:pPr>
    </w:p>
    <w:p w:rsidR="004F60AA" w:rsidRDefault="00D623FD" w:rsidP="00041B6B">
      <w:pPr>
        <w:pStyle w:val="ISBodyText"/>
        <w:rPr>
          <w:lang w:eastAsia="lv-LV"/>
        </w:rPr>
      </w:pPr>
      <w:r w:rsidRPr="004F60AA">
        <w:rPr>
          <w:lang w:eastAsia="lv-LV"/>
        </w:rPr>
        <w:t xml:space="preserve">Informatīvais ziņojums ir izstrādāts, </w:t>
      </w:r>
      <w:r w:rsidR="005A6440">
        <w:rPr>
          <w:lang w:eastAsia="lv-LV"/>
        </w:rPr>
        <w:t>realizējot</w:t>
      </w:r>
      <w:r w:rsidRPr="004F60AA">
        <w:rPr>
          <w:lang w:eastAsia="lv-LV"/>
        </w:rPr>
        <w:t xml:space="preserve"> </w:t>
      </w:r>
      <w:r w:rsidR="004F60AA">
        <w:rPr>
          <w:lang w:eastAsia="lv-LV"/>
        </w:rPr>
        <w:t xml:space="preserve">valdības darbības </w:t>
      </w:r>
      <w:r w:rsidR="004F60AA" w:rsidRPr="005A6440">
        <w:rPr>
          <w:lang w:eastAsia="lv-LV"/>
        </w:rPr>
        <w:t>plāna</w:t>
      </w:r>
      <w:r w:rsidR="004433D7" w:rsidRPr="005A6440">
        <w:rPr>
          <w:lang w:eastAsia="lv-LV"/>
        </w:rPr>
        <w:t xml:space="preserve"> (projekta) </w:t>
      </w:r>
      <w:r w:rsidR="005A6440" w:rsidRPr="005A6440">
        <w:rPr>
          <w:lang w:eastAsia="lv-LV"/>
        </w:rPr>
        <w:t>11. pasākumu “Izstrādāsim publiskās pārvaldes informācijas sistēmu arhitektūru un nodrošināsim tās ieviešanu</w:t>
      </w:r>
      <w:r w:rsidR="005A6440">
        <w:rPr>
          <w:lang w:eastAsia="lv-LV"/>
        </w:rPr>
        <w:t xml:space="preserve">”. </w:t>
      </w:r>
      <w:r w:rsidR="00E70CAA">
        <w:rPr>
          <w:lang w:eastAsia="lv-LV"/>
        </w:rPr>
        <w:t xml:space="preserve"> T</w:t>
      </w:r>
      <w:r w:rsidR="004F60AA">
        <w:rPr>
          <w:lang w:eastAsia="lv-LV"/>
        </w:rPr>
        <w:t>as ir nākošais secīgais solis</w:t>
      </w:r>
      <w:r w:rsidR="00E70CAA">
        <w:rPr>
          <w:lang w:eastAsia="lv-LV"/>
        </w:rPr>
        <w:t xml:space="preserve"> </w:t>
      </w:r>
      <w:r w:rsidR="005A6440">
        <w:rPr>
          <w:lang w:eastAsia="lv-LV"/>
        </w:rPr>
        <w:t>pasākuma</w:t>
      </w:r>
      <w:r w:rsidR="00E70CAA">
        <w:rPr>
          <w:lang w:eastAsia="lv-LV"/>
        </w:rPr>
        <w:t xml:space="preserve"> izpildē </w:t>
      </w:r>
      <w:r w:rsidR="004F60AA">
        <w:rPr>
          <w:lang w:eastAsia="lv-LV"/>
        </w:rPr>
        <w:t xml:space="preserve">pēc </w:t>
      </w:r>
      <w:r w:rsidR="004F60AA" w:rsidRPr="004F60AA">
        <w:rPr>
          <w:lang w:eastAsia="lv-LV"/>
        </w:rPr>
        <w:t>ziņojum</w:t>
      </w:r>
      <w:r w:rsidR="004F60AA">
        <w:rPr>
          <w:lang w:eastAsia="lv-LV"/>
        </w:rPr>
        <w:t>a</w:t>
      </w:r>
      <w:r w:rsidR="004F60AA" w:rsidRPr="004F60AA">
        <w:rPr>
          <w:lang w:eastAsia="lv-LV"/>
        </w:rPr>
        <w:t xml:space="preserve"> “Par pasākumiem, kurus paredzēts īstenot Informācijas sabiedrības attīstības pamatnostādņu 2014.-2020. gadam turpmākās rīcības plānojuma uzdevumu 3.1."Publiskās pārvaldes IKT centralizētu platformu izveide" un 3.2."Publiskās pārvaldes pakalpojumu elektronizācija" ietvaros”</w:t>
      </w:r>
      <w:r w:rsidR="00E70CAA">
        <w:rPr>
          <w:lang w:eastAsia="lv-LV"/>
        </w:rPr>
        <w:t xml:space="preserve">, kurā tika definēta vispārējā pieeja jaunā plānošanas perioda IKT attīstības pasākumu </w:t>
      </w:r>
      <w:r w:rsidR="00B87BCB">
        <w:rPr>
          <w:lang w:eastAsia="lv-LV"/>
        </w:rPr>
        <w:t xml:space="preserve">plānošanai un </w:t>
      </w:r>
      <w:r w:rsidR="00E70CAA">
        <w:rPr>
          <w:lang w:eastAsia="lv-LV"/>
        </w:rPr>
        <w:t xml:space="preserve">pārvaldībai, to balstot uz vienotu IKT arhitektūru publiskajā pārvaldē. </w:t>
      </w:r>
      <w:r w:rsidR="00B87BCB">
        <w:rPr>
          <w:lang w:eastAsia="lv-LV"/>
        </w:rPr>
        <w:t xml:space="preserve">Informatīvais ziņojums iepazīstina ar publiskās pārvaldes informācijas sistēmu konceptuālo arhitektūru (turpmāk – konceptuālo arhitektūru), </w:t>
      </w:r>
      <w:r w:rsidR="00905D60">
        <w:rPr>
          <w:lang w:eastAsia="lv-LV"/>
        </w:rPr>
        <w:t xml:space="preserve">kas 40 vispārēju </w:t>
      </w:r>
      <w:r w:rsidR="00B87BCB">
        <w:rPr>
          <w:lang w:eastAsia="lv-LV"/>
        </w:rPr>
        <w:t xml:space="preserve">principu </w:t>
      </w:r>
      <w:r w:rsidR="00905D60">
        <w:rPr>
          <w:lang w:eastAsia="lv-LV"/>
        </w:rPr>
        <w:t xml:space="preserve">formā </w:t>
      </w:r>
      <w:r w:rsidR="00B87BCB">
        <w:rPr>
          <w:lang w:eastAsia="lv-LV"/>
        </w:rPr>
        <w:t xml:space="preserve">definē </w:t>
      </w:r>
      <w:r w:rsidR="00905D60">
        <w:rPr>
          <w:lang w:eastAsia="lv-LV"/>
        </w:rPr>
        <w:t xml:space="preserve">virzienu un </w:t>
      </w:r>
      <w:r w:rsidR="00B87BCB">
        <w:rPr>
          <w:lang w:eastAsia="lv-LV"/>
        </w:rPr>
        <w:t xml:space="preserve">vispārējus </w:t>
      </w:r>
      <w:r w:rsidR="00905D60">
        <w:rPr>
          <w:lang w:eastAsia="lv-LV"/>
        </w:rPr>
        <w:t xml:space="preserve">noteikumus </w:t>
      </w:r>
      <w:r w:rsidR="00041B6B">
        <w:rPr>
          <w:lang w:eastAsia="lv-LV"/>
        </w:rPr>
        <w:t>publiskās pārvaldes informācijas sistēm</w:t>
      </w:r>
      <w:r w:rsidR="00905D60">
        <w:rPr>
          <w:lang w:eastAsia="lv-LV"/>
        </w:rPr>
        <w:t xml:space="preserve">u </w:t>
      </w:r>
      <w:r w:rsidR="00041B6B">
        <w:rPr>
          <w:lang w:eastAsia="lv-LV"/>
        </w:rPr>
        <w:t>un IKT atbalsta organizācij</w:t>
      </w:r>
      <w:r w:rsidR="00905D60">
        <w:rPr>
          <w:lang w:eastAsia="lv-LV"/>
        </w:rPr>
        <w:t xml:space="preserve">as attīstībai. </w:t>
      </w:r>
      <w:r w:rsidR="00041B6B">
        <w:rPr>
          <w:lang w:eastAsia="lv-LV"/>
        </w:rPr>
        <w:t xml:space="preserve"> </w:t>
      </w:r>
    </w:p>
    <w:p w:rsidR="00041B6B" w:rsidRDefault="00905D60" w:rsidP="002E068F">
      <w:pPr>
        <w:pStyle w:val="ISBodyText"/>
        <w:rPr>
          <w:lang w:eastAsia="lv-LV"/>
        </w:rPr>
      </w:pPr>
      <w:r>
        <w:rPr>
          <w:lang w:eastAsia="lv-LV"/>
        </w:rPr>
        <w:t xml:space="preserve">Attīstības mērķi turpmākajiem 7 gadiem tiks definēti mērķarhitektūrā, kas tiek izstrādāta saskaņā ar </w:t>
      </w:r>
      <w:r w:rsidR="00794C37">
        <w:rPr>
          <w:lang w:eastAsia="lv-LV"/>
        </w:rPr>
        <w:t>konceptuālajā arhitektūrā definētajiem principiem. Mērķarhitektūras pirmo versiju VARAM plāno izstrādāt un iesniegt saskaņošanai Ministru kabinetā līdz 2015. gada pirmā ceturkšņa beigām. VARAM pakāpeniski papildinās mērķarhitektūru, integrējot tajā nozaru ministriju un iestāžu izstrādātus darbības procesu un informācijas sistēmu pilnveidojumu priekšlikumus</w:t>
      </w:r>
      <w:r w:rsidR="002E068F">
        <w:rPr>
          <w:lang w:eastAsia="lv-LV"/>
        </w:rPr>
        <w:t xml:space="preserve">, tādējādi attīstot jaunas mērķarhitektūras versijas. </w:t>
      </w:r>
    </w:p>
    <w:p w:rsidR="00A54E3A" w:rsidRPr="00FC227F" w:rsidRDefault="003E4DC6" w:rsidP="00A54E3A">
      <w:pPr>
        <w:pStyle w:val="ISBodyText"/>
        <w:rPr>
          <w:lang w:eastAsia="lv-LV"/>
        </w:rPr>
      </w:pPr>
      <w:r>
        <w:rPr>
          <w:lang w:eastAsia="lv-LV"/>
        </w:rPr>
        <w:t xml:space="preserve">Vienota izpratne par </w:t>
      </w:r>
      <w:r w:rsidR="00A54E3A">
        <w:rPr>
          <w:lang w:eastAsia="lv-LV"/>
        </w:rPr>
        <w:t>k</w:t>
      </w:r>
      <w:r>
        <w:rPr>
          <w:lang w:eastAsia="lv-LV"/>
        </w:rPr>
        <w:t>onceptuālās arhitektūras princip</w:t>
      </w:r>
      <w:r w:rsidR="00A54E3A">
        <w:rPr>
          <w:lang w:eastAsia="lv-LV"/>
        </w:rPr>
        <w:t xml:space="preserve">iem </w:t>
      </w:r>
      <w:r>
        <w:rPr>
          <w:lang w:eastAsia="lv-LV"/>
        </w:rPr>
        <w:t>ir svarīga visām publiskās pārvaldes institūcijām, k</w:t>
      </w:r>
      <w:r w:rsidR="00A54E3A">
        <w:rPr>
          <w:lang w:eastAsia="lv-LV"/>
        </w:rPr>
        <w:t xml:space="preserve">uras </w:t>
      </w:r>
      <w:r>
        <w:rPr>
          <w:lang w:eastAsia="lv-LV"/>
        </w:rPr>
        <w:t xml:space="preserve">plāno </w:t>
      </w:r>
      <w:r w:rsidR="00A54E3A">
        <w:rPr>
          <w:lang w:eastAsia="lv-LV"/>
        </w:rPr>
        <w:t>attīstīt savā pārvaldībā esošas valsts informācijas sistēmas vai veikt citus IKT attīstības pasākumus</w:t>
      </w:r>
      <w:r w:rsidR="00A75B47">
        <w:rPr>
          <w:lang w:eastAsia="lv-LV"/>
        </w:rPr>
        <w:t>. It īpaši tādus, k</w:t>
      </w:r>
      <w:r w:rsidR="00A54E3A">
        <w:rPr>
          <w:lang w:eastAsia="lv-LV"/>
        </w:rPr>
        <w:t xml:space="preserve">uru </w:t>
      </w:r>
      <w:r w:rsidR="00A75B47">
        <w:rPr>
          <w:lang w:eastAsia="lv-LV"/>
        </w:rPr>
        <w:t xml:space="preserve">finansējuma saņemšanas </w:t>
      </w:r>
      <w:r w:rsidR="00A54E3A">
        <w:rPr>
          <w:lang w:eastAsia="lv-LV"/>
        </w:rPr>
        <w:t xml:space="preserve">nepieciešams priekšnoteikums ir to iekļaušana mērķarhitektūrā.  </w:t>
      </w:r>
      <w:r w:rsidR="00FC227F">
        <w:rPr>
          <w:lang w:eastAsia="lv-LV"/>
        </w:rPr>
        <w:t xml:space="preserve"> </w:t>
      </w:r>
    </w:p>
    <w:p w:rsidR="00A75B47" w:rsidRPr="00A75B47" w:rsidRDefault="00A75B47" w:rsidP="00A75B47">
      <w:pPr>
        <w:pStyle w:val="ISBodyText"/>
      </w:pPr>
      <w:r w:rsidRPr="00A75B47">
        <w:t>Konceptuālā arhitektūra ir strukturēta atbilstoši IKT arhitektūras ietvaros plaši izmantot</w:t>
      </w:r>
      <w:r w:rsidR="00231327">
        <w:t>ai</w:t>
      </w:r>
      <w:r w:rsidRPr="00A75B47">
        <w:t xml:space="preserve"> četru skatu pieej</w:t>
      </w:r>
      <w:r w:rsidR="00231327">
        <w:t>ai</w:t>
      </w:r>
      <w:r w:rsidRPr="00A75B47">
        <w:t xml:space="preserve"> - biznesa (procesu), informācijas (datu), lietojumprogrammatūras (sistēmu) un tehnoloģiskajā, jeb IKT infrastruktūras skatos, grupējot 40 konceptuālās arhitektūras principu aprakstus četrus arhitektūras skatus aprakstošās sadaļās. Ievadot 40 principu aprakstus, sadaļā “Saistītie dokumenti un saīsinājumi” tiek dots ieskats konceptuālās arhitektūras galvenajos avotos un dotas norādes uz dokumentiem, kur konceptuālajā arhitektūrā apkopotie jautājumi ir analizēti izvērstākā formā. </w:t>
      </w:r>
    </w:p>
    <w:p w:rsidR="00C23C48" w:rsidRPr="00C23C48" w:rsidRDefault="00D82157" w:rsidP="005315EC">
      <w:pPr>
        <w:pStyle w:val="ISBodyText"/>
      </w:pPr>
      <w:r w:rsidRPr="00D82157">
        <w:t>Konceptuālās arhitektūras darbības tvērums ir publiskā pārvalde, tai skaitā brīvo profesiju pārstāvji atbilstoši viņiem deleģētajām valsts funkcijām.  Uz citām privātpersonām, uzņēmumiem un organizācijām konceptuālajā arhitektūrā definētie principi ir attiecināmi tikai tiktāl, cik tās ir iesaistītas publiskās pārvaldes deleģētu funkciju izpildē. Turklāt jāņem vērā, ka tiešas saistības starp konceptuālās arhitektūras sfēru un informācijas sistēmu izstrādes un finansējuma avotiem nav.</w:t>
      </w:r>
    </w:p>
    <w:p w:rsidR="00FC227F" w:rsidRDefault="00FC227F" w:rsidP="005315EC">
      <w:pPr>
        <w:pStyle w:val="ISBodyText"/>
        <w:rPr>
          <w:highlight w:val="yellow"/>
        </w:rPr>
      </w:pPr>
      <w:r>
        <w:rPr>
          <w:highlight w:val="yellow"/>
        </w:rPr>
        <w:t xml:space="preserve">   </w:t>
      </w:r>
    </w:p>
    <w:p w:rsidR="00D97943" w:rsidRDefault="00D97943" w:rsidP="00B75B6F">
      <w:pPr>
        <w:pStyle w:val="ISHeading1"/>
        <w:numPr>
          <w:ilvl w:val="0"/>
          <w:numId w:val="40"/>
        </w:numPr>
      </w:pPr>
      <w:bookmarkStart w:id="7" w:name="_Toc323667607"/>
      <w:bookmarkStart w:id="8" w:name="_Toc318128475"/>
      <w:bookmarkStart w:id="9" w:name="_Toc390037217"/>
      <w:bookmarkStart w:id="10" w:name="_Toc392680519"/>
      <w:bookmarkStart w:id="11" w:name="_Toc410146977"/>
      <w:r>
        <w:lastRenderedPageBreak/>
        <w:t>S</w:t>
      </w:r>
      <w:r w:rsidRPr="00112819">
        <w:t>a</w:t>
      </w:r>
      <w:r w:rsidR="00FE3346">
        <w:t xml:space="preserve">istītie dokumenti un </w:t>
      </w:r>
      <w:bookmarkEnd w:id="7"/>
      <w:bookmarkEnd w:id="8"/>
      <w:bookmarkEnd w:id="9"/>
      <w:bookmarkEnd w:id="10"/>
      <w:r w:rsidR="00FE3346">
        <w:t>saīsinājumi</w:t>
      </w:r>
      <w:bookmarkEnd w:id="11"/>
    </w:p>
    <w:p w:rsidR="00E70CAA" w:rsidRDefault="00E70CAA" w:rsidP="00FE3346">
      <w:pPr>
        <w:pStyle w:val="ISBodyText"/>
        <w:rPr>
          <w:lang w:eastAsia="lv-LV"/>
        </w:rPr>
      </w:pPr>
    </w:p>
    <w:p w:rsidR="00FE3346" w:rsidRDefault="00CB4F9B" w:rsidP="00FE3346">
      <w:pPr>
        <w:pStyle w:val="ISBodyText"/>
        <w:rPr>
          <w:lang w:eastAsia="lv-LV"/>
        </w:rPr>
      </w:pPr>
      <w:r w:rsidRPr="00E17B49">
        <w:rPr>
          <w:lang w:eastAsia="lv-LV"/>
        </w:rPr>
        <w:t>K</w:t>
      </w:r>
      <w:r w:rsidR="00FE3346" w:rsidRPr="00E17B49">
        <w:rPr>
          <w:lang w:eastAsia="lv-LV"/>
        </w:rPr>
        <w:t>onceptuālā arhitektūra tās sfēras ietvaros apkopo pamata nostādnes no šādiem politikas plānošanas dokumentiem</w:t>
      </w:r>
      <w:r w:rsidRPr="00E17B49">
        <w:rPr>
          <w:lang w:eastAsia="lv-LV"/>
        </w:rPr>
        <w:t xml:space="preserve">: </w:t>
      </w:r>
    </w:p>
    <w:p w:rsidR="00FE3346" w:rsidRPr="00112819" w:rsidRDefault="00FE3346" w:rsidP="00FE3346">
      <w:pPr>
        <w:pStyle w:val="ISBulletText"/>
      </w:pPr>
      <w:r w:rsidRPr="00112819">
        <w:t>Informācijas sabied</w:t>
      </w:r>
      <w:r>
        <w:t xml:space="preserve">rības attīstības pamatnostādnes </w:t>
      </w:r>
      <w:r w:rsidRPr="00112819">
        <w:t>2014.–2020.gadam. Ministru kabineta 2013.gada 14.oktobra rīkojums Nr. 4</w:t>
      </w:r>
      <w:r w:rsidR="00363752">
        <w:t>6</w:t>
      </w:r>
      <w:r w:rsidRPr="00112819">
        <w:t>8.</w:t>
      </w:r>
    </w:p>
    <w:p w:rsidR="00FE3346" w:rsidRDefault="00FE3346" w:rsidP="00FE3346">
      <w:pPr>
        <w:pStyle w:val="ISBulletText"/>
      </w:pPr>
      <w:r w:rsidRPr="00720283">
        <w:t>Koncepcija par publisko pakalpojumu sistēmas pilnveidi</w:t>
      </w:r>
      <w:r>
        <w:t>. Ministru kabineta 2013.gada 19.februāra rīkojums Nr. 58.</w:t>
      </w:r>
      <w:r w:rsidR="00E17B49">
        <w:t xml:space="preserve"> ar grozījumiem, ko plānots apstiprināt Ministru kabinetā 2014. gada decembrī. </w:t>
      </w:r>
    </w:p>
    <w:p w:rsidR="00FE3346" w:rsidRDefault="00FE3346" w:rsidP="00FE3346">
      <w:pPr>
        <w:pStyle w:val="ISBulletText"/>
      </w:pPr>
      <w:r>
        <w:t>Koncepcija “</w:t>
      </w:r>
      <w:r w:rsidRPr="003557D9">
        <w:t>Valsts informācijas un komunikācijas tehnoloģiju pārvaldības organizatoriskais modelis</w:t>
      </w:r>
      <w:r>
        <w:t>”. Ministru kabineta 2013.gada 19.februāra rīkojums Nr. 57.</w:t>
      </w:r>
    </w:p>
    <w:p w:rsidR="00E17B49" w:rsidRDefault="00CB4F9B" w:rsidP="00713581">
      <w:pPr>
        <w:pStyle w:val="ISBulletText"/>
        <w:numPr>
          <w:ilvl w:val="0"/>
          <w:numId w:val="0"/>
        </w:numPr>
      </w:pPr>
      <w:r>
        <w:t xml:space="preserve">un attīsta tās konkrētam pielietojumam publiskās pārvaldes informācijas sistēmu attīstības jomā. Konceptuālajā arhitektūrā tiek izmantoti iepriekš minētajos politikas plānošanas dokumentos izmantotie termini un </w:t>
      </w:r>
      <w:r w:rsidR="00713581">
        <w:t xml:space="preserve">1. </w:t>
      </w:r>
      <w:r>
        <w:t>tabulā</w:t>
      </w:r>
      <w:r w:rsidR="00713581">
        <w:t xml:space="preserve"> (skat. sadaļas beigās)</w:t>
      </w:r>
      <w:r>
        <w:t xml:space="preserve"> dotie saīsinājumi. </w:t>
      </w:r>
    </w:p>
    <w:p w:rsidR="00D97943" w:rsidRDefault="00D97943" w:rsidP="00D97943">
      <w:pPr>
        <w:pStyle w:val="ISBodySubhead"/>
      </w:pPr>
      <w:bookmarkStart w:id="12" w:name="_Toc390037222"/>
      <w:r w:rsidRPr="00112819">
        <w:t>Informācijas sabiedrības pamatnostādnes</w:t>
      </w:r>
      <w:bookmarkEnd w:id="12"/>
    </w:p>
    <w:p w:rsidR="00D97943" w:rsidRDefault="00D97943" w:rsidP="00D97943">
      <w:pPr>
        <w:pStyle w:val="ISBodyText"/>
        <w:rPr>
          <w:lang w:eastAsia="lv-LV"/>
        </w:rPr>
      </w:pPr>
      <w:r>
        <w:rPr>
          <w:lang w:eastAsia="lv-LV"/>
        </w:rPr>
        <w:t xml:space="preserve">Informācijas sabiedrības pamatnostādņu tvērums ir plašāks </w:t>
      </w:r>
      <w:r w:rsidR="00231327">
        <w:rPr>
          <w:lang w:eastAsia="lv-LV"/>
        </w:rPr>
        <w:t>p</w:t>
      </w:r>
      <w:r>
        <w:rPr>
          <w:lang w:eastAsia="lv-LV"/>
        </w:rPr>
        <w:t xml:space="preserve">ar IKT arhitektūras tvērumu (skat. </w:t>
      </w:r>
      <w:r w:rsidR="009A77EC">
        <w:rPr>
          <w:highlight w:val="yellow"/>
          <w:lang w:eastAsia="lv-LV"/>
        </w:rPr>
        <w:fldChar w:fldCharType="begin"/>
      </w:r>
      <w:r>
        <w:rPr>
          <w:lang w:eastAsia="lv-LV"/>
        </w:rPr>
        <w:instrText xml:space="preserve"> REF _Ref392676879 \h </w:instrText>
      </w:r>
      <w:r w:rsidR="009A77EC">
        <w:rPr>
          <w:highlight w:val="yellow"/>
          <w:lang w:eastAsia="lv-LV"/>
        </w:rPr>
      </w:r>
      <w:r w:rsidR="009A77EC">
        <w:rPr>
          <w:highlight w:val="yellow"/>
          <w:lang w:eastAsia="lv-LV"/>
        </w:rPr>
        <w:fldChar w:fldCharType="separate"/>
      </w:r>
      <w:r w:rsidR="009E6559">
        <w:rPr>
          <w:noProof/>
        </w:rPr>
        <w:t>1</w:t>
      </w:r>
      <w:r w:rsidR="009A77EC">
        <w:rPr>
          <w:highlight w:val="yellow"/>
          <w:lang w:eastAsia="lv-LV"/>
        </w:rPr>
        <w:fldChar w:fldCharType="end"/>
      </w:r>
      <w:r>
        <w:rPr>
          <w:lang w:eastAsia="lv-LV"/>
        </w:rPr>
        <w:t>. attēlu).</w:t>
      </w:r>
    </w:p>
    <w:p w:rsidR="00D97943" w:rsidRDefault="00D97943" w:rsidP="00D97943">
      <w:pPr>
        <w:pStyle w:val="ISBodyText"/>
        <w:keepNext/>
        <w:jc w:val="center"/>
      </w:pPr>
      <w:r w:rsidRPr="00645657">
        <w:rPr>
          <w:noProof/>
          <w:lang w:eastAsia="lv-LV"/>
        </w:rPr>
        <w:drawing>
          <wp:inline distT="0" distB="0" distL="0" distR="0">
            <wp:extent cx="4380550" cy="2894024"/>
            <wp:effectExtent l="0" t="0" r="1270" b="1905"/>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07838" cy="2912052"/>
                    </a:xfrm>
                    <a:prstGeom prst="rect">
                      <a:avLst/>
                    </a:prstGeom>
                  </pic:spPr>
                </pic:pic>
              </a:graphicData>
            </a:graphic>
          </wp:inline>
        </w:drawing>
      </w:r>
    </w:p>
    <w:p w:rsidR="00D97943" w:rsidRDefault="009A77EC" w:rsidP="00D97943">
      <w:pPr>
        <w:pStyle w:val="Parakstszemobjekta"/>
      </w:pPr>
      <w:r>
        <w:fldChar w:fldCharType="begin"/>
      </w:r>
      <w:r w:rsidR="00ED7EFC">
        <w:instrText xml:space="preserve"> SEQ Attēls \* ARABIC </w:instrText>
      </w:r>
      <w:r>
        <w:fldChar w:fldCharType="separate"/>
      </w:r>
      <w:bookmarkStart w:id="13" w:name="_Ref392676879"/>
      <w:r w:rsidR="009E6559">
        <w:rPr>
          <w:noProof/>
        </w:rPr>
        <w:t>1</w:t>
      </w:r>
      <w:bookmarkEnd w:id="13"/>
      <w:r>
        <w:rPr>
          <w:noProof/>
        </w:rPr>
        <w:fldChar w:fldCharType="end"/>
      </w:r>
      <w:r w:rsidR="00D97943">
        <w:t>.attēls. Informācijas sabiedrības pamatnostādņu un IKT arhitektūras tvērum</w:t>
      </w:r>
      <w:r w:rsidR="00231327">
        <w:t>s</w:t>
      </w:r>
    </w:p>
    <w:p w:rsidR="00D97943" w:rsidRPr="001B49CD" w:rsidRDefault="00D97943" w:rsidP="00D97943">
      <w:pPr>
        <w:pStyle w:val="ISBodyText"/>
        <w:rPr>
          <w:lang w:eastAsia="lv-LV"/>
        </w:rPr>
      </w:pPr>
    </w:p>
    <w:p w:rsidR="00D97943" w:rsidRPr="00112819" w:rsidRDefault="00D97943" w:rsidP="00D97943">
      <w:pPr>
        <w:pStyle w:val="ISBodyText"/>
        <w:rPr>
          <w:lang w:eastAsia="lv-LV"/>
        </w:rPr>
      </w:pPr>
      <w:r w:rsidRPr="00112819">
        <w:rPr>
          <w:lang w:eastAsia="lv-LV"/>
        </w:rPr>
        <w:t xml:space="preserve">Šajā dokumentā ir noteikti gan informācijas sabiedrības pamatprincipi kopumā, gan arī e-pārvaldes stratēģiskais ietvars, kas vērsts </w:t>
      </w:r>
      <w:r>
        <w:rPr>
          <w:lang w:eastAsia="lv-LV"/>
        </w:rPr>
        <w:t xml:space="preserve">uz </w:t>
      </w:r>
      <w:r w:rsidRPr="00112819">
        <w:rPr>
          <w:lang w:eastAsia="lv-LV"/>
        </w:rPr>
        <w:t>Nac</w:t>
      </w:r>
      <w:r>
        <w:rPr>
          <w:lang w:eastAsia="lv-LV"/>
        </w:rPr>
        <w:t>ionālā attīstības plānā noteikto</w:t>
      </w:r>
      <w:r w:rsidRPr="00112819">
        <w:rPr>
          <w:lang w:eastAsia="lv-LV"/>
        </w:rPr>
        <w:t xml:space="preserve"> mērķu īstenošanu, </w:t>
      </w:r>
      <w:r>
        <w:rPr>
          <w:lang w:eastAsia="lv-LV"/>
        </w:rPr>
        <w:t>kas kalpo kā vispārējie mērķi un kritēriji IKT arhitektūras principu noteikšanā un risinājumu izstrādē. Tajā skaitā:</w:t>
      </w:r>
    </w:p>
    <w:p w:rsidR="00D97943" w:rsidRPr="00112819" w:rsidRDefault="00D97943" w:rsidP="00D97943">
      <w:pPr>
        <w:pStyle w:val="ISBulletText"/>
      </w:pPr>
      <w:r w:rsidRPr="00112819">
        <w:t>uzņēmējdarbības vides pilnveidoša</w:t>
      </w:r>
      <w:r>
        <w:t>nu  un jaunu darba vietu izveide</w:t>
      </w:r>
      <w:r w:rsidRPr="00112819">
        <w:t>;</w:t>
      </w:r>
    </w:p>
    <w:p w:rsidR="00D97943" w:rsidRPr="00112819" w:rsidRDefault="00D97943" w:rsidP="00D97943">
      <w:pPr>
        <w:pStyle w:val="ISBulletText"/>
      </w:pPr>
      <w:r w:rsidRPr="00112819">
        <w:t xml:space="preserve"> valsts pārvaldes efektivitāt</w:t>
      </w:r>
      <w:r>
        <w:t>es uzlabošana</w:t>
      </w:r>
      <w:r w:rsidRPr="00112819">
        <w:t>;</w:t>
      </w:r>
    </w:p>
    <w:p w:rsidR="00D97943" w:rsidRPr="00112819" w:rsidRDefault="00D97943" w:rsidP="00D97943">
      <w:pPr>
        <w:pStyle w:val="ISBulletText"/>
      </w:pPr>
      <w:r w:rsidRPr="00112819">
        <w:lastRenderedPageBreak/>
        <w:t>publisko pakal</w:t>
      </w:r>
      <w:r>
        <w:t>pojumu pieejamības palielināšana</w:t>
      </w:r>
      <w:r w:rsidRPr="00112819">
        <w:t xml:space="preserve">. </w:t>
      </w:r>
    </w:p>
    <w:p w:rsidR="00D97943" w:rsidRPr="008213E6" w:rsidRDefault="00D97943" w:rsidP="00D97943">
      <w:pPr>
        <w:pStyle w:val="ISBodyText"/>
      </w:pPr>
      <w:r w:rsidRPr="008213E6">
        <w:t>Informācijas sabiedrības pamatnostādnēs  ir arī noteikti galvenie e-pārvaldes attīstības pamatprincipi, kuri ievērojami IKT arhitektūras izstrādē:</w:t>
      </w:r>
    </w:p>
    <w:p w:rsidR="00D97943" w:rsidRPr="008213E6" w:rsidRDefault="00D97943" w:rsidP="00D97943">
      <w:pPr>
        <w:pStyle w:val="ISBulletText"/>
      </w:pPr>
      <w:r w:rsidRPr="008213E6">
        <w:t>“</w:t>
      </w:r>
      <w:r w:rsidRPr="008213E6">
        <w:rPr>
          <w:b/>
        </w:rPr>
        <w:t>Publiskās pārvaldes dati tautsaimniecības izaugsmei</w:t>
      </w:r>
      <w:r w:rsidRPr="008213E6">
        <w:t xml:space="preserve">”, kas paredz konsekventu </w:t>
      </w:r>
      <w:r w:rsidR="00713581">
        <w:t xml:space="preserve">datu atkalizmantojamības </w:t>
      </w:r>
      <w:r w:rsidRPr="008213E6">
        <w:t>pieejas īstenošanu, veidojot un attīstot valsts IS;</w:t>
      </w:r>
    </w:p>
    <w:p w:rsidR="00D97943" w:rsidRPr="008213E6" w:rsidRDefault="00D97943" w:rsidP="00D97943">
      <w:pPr>
        <w:pStyle w:val="ISBulletText"/>
      </w:pPr>
      <w:r w:rsidRPr="008213E6">
        <w:t>“</w:t>
      </w:r>
      <w:r w:rsidRPr="008213E6">
        <w:rPr>
          <w:b/>
        </w:rPr>
        <w:t>Racionāla IKT pārvaldība</w:t>
      </w:r>
      <w:r w:rsidRPr="008213E6">
        <w:t>”, kas paredz valsts IKT pārvaldības efektivitātes un kvalitātes uzlabošanu, ieviešot daļēji centralizētu IKT pārvaldības modeli, veidojot atk</w:t>
      </w:r>
      <w:r w:rsidR="00713581">
        <w:t>ārtoti izmantojamus</w:t>
      </w:r>
      <w:r w:rsidRPr="008213E6">
        <w:t xml:space="preserve"> (koplietošanas) </w:t>
      </w:r>
      <w:r w:rsidR="0076536F">
        <w:t xml:space="preserve">un atkalizmantojamus </w:t>
      </w:r>
      <w:r w:rsidRPr="008213E6">
        <w:t>IKT risinājumus, konsolidējot IKT kompetenci un  nodrošinot  koplietošanas IKT pakalpojumus iestādēm u.c.;</w:t>
      </w:r>
    </w:p>
    <w:p w:rsidR="00D97943" w:rsidRPr="008213E6" w:rsidRDefault="00D97943" w:rsidP="00D97943">
      <w:pPr>
        <w:pStyle w:val="ISBulletText"/>
      </w:pPr>
      <w:r w:rsidRPr="008213E6">
        <w:t xml:space="preserve"> “</w:t>
      </w:r>
      <w:r w:rsidRPr="008213E6">
        <w:rPr>
          <w:b/>
        </w:rPr>
        <w:t>Efektīvi darbības procesi</w:t>
      </w:r>
      <w:r w:rsidRPr="008213E6">
        <w:t>”, kas paredz IKT investīciju sasaisti ar funkciju un procesu pilnveidojumiem, iestāžu darbības procesu (t.sk. starpresoru un starpiestāžu) sistemātisku pilnveidošanu</w:t>
      </w:r>
      <w:r w:rsidR="0076536F">
        <w:t>,</w:t>
      </w:r>
      <w:r w:rsidRPr="008213E6">
        <w:t xml:space="preserve"> izmantojot IKT iespējas, e-pakalpojumu un e-saziņas ar klientiem attīstību, sadarbību un koordināciju starp iestādēm u.c.;</w:t>
      </w:r>
    </w:p>
    <w:p w:rsidR="00D97943" w:rsidRPr="008213E6" w:rsidRDefault="00D97943" w:rsidP="00D97943">
      <w:pPr>
        <w:pStyle w:val="ISBulletText"/>
      </w:pPr>
      <w:r w:rsidRPr="008213E6">
        <w:t>“</w:t>
      </w:r>
      <w:r w:rsidRPr="008213E6">
        <w:rPr>
          <w:b/>
        </w:rPr>
        <w:t>E-pārvaldes kvalitāte</w:t>
      </w:r>
      <w:r w:rsidRPr="008213E6">
        <w:t>”, kas paredz e-pakalpojumu lietojamības un pieejamības uzlabošanu, informācijas drošības nodrošināšanu u.c.</w:t>
      </w:r>
    </w:p>
    <w:p w:rsidR="00D97943" w:rsidRPr="00112819" w:rsidRDefault="00D97943" w:rsidP="00D97943">
      <w:pPr>
        <w:pStyle w:val="ISBodySubhead"/>
      </w:pPr>
      <w:bookmarkStart w:id="14" w:name="_Toc390037223"/>
      <w:r w:rsidRPr="00112819">
        <w:t>Valsts IKT pārvaldības organizatoriskais modelis</w:t>
      </w:r>
      <w:bookmarkEnd w:id="14"/>
    </w:p>
    <w:p w:rsidR="00D97943" w:rsidRPr="00112819" w:rsidRDefault="00D97943" w:rsidP="00D97943">
      <w:pPr>
        <w:pStyle w:val="ISBodyText"/>
        <w:rPr>
          <w:lang w:eastAsia="lv-LV"/>
        </w:rPr>
      </w:pPr>
      <w:r w:rsidRPr="00112819">
        <w:rPr>
          <w:lang w:eastAsia="lv-LV"/>
        </w:rPr>
        <w:t>Koncepcija „Valsts informācijas un komunikācijas tehnoloģiju pārvaldības organizatoriskais modelis</w:t>
      </w:r>
      <w:r>
        <w:rPr>
          <w:lang w:eastAsia="lv-LV"/>
        </w:rPr>
        <w:t>”</w:t>
      </w:r>
      <w:r w:rsidRPr="00112819">
        <w:rPr>
          <w:lang w:eastAsia="lv-LV"/>
        </w:rPr>
        <w:t xml:space="preserve"> nosaka valsts IKT pārvaldības principus un mērķus. Koncepcija paredz ieviest daļēji centralizētu IKT pārvaldības</w:t>
      </w:r>
      <w:r>
        <w:rPr>
          <w:lang w:eastAsia="lv-LV"/>
        </w:rPr>
        <w:t xml:space="preserve"> modeli</w:t>
      </w:r>
      <w:r w:rsidRPr="00112819">
        <w:rPr>
          <w:lang w:eastAsia="lv-LV"/>
        </w:rPr>
        <w:t>, kas ietver sekojošus elementus:</w:t>
      </w:r>
    </w:p>
    <w:p w:rsidR="00D97943" w:rsidRPr="00112819" w:rsidRDefault="0076536F" w:rsidP="00D97943">
      <w:pPr>
        <w:pStyle w:val="ISBulletText"/>
      </w:pPr>
      <w:r>
        <w:t>Valsts</w:t>
      </w:r>
      <w:r w:rsidRPr="00112819">
        <w:t xml:space="preserve"> </w:t>
      </w:r>
      <w:r w:rsidR="00D97943" w:rsidRPr="00112819">
        <w:t xml:space="preserve">IKT organizācijas izveide, kas </w:t>
      </w:r>
      <w:r w:rsidR="00D97943">
        <w:t xml:space="preserve">centralizēti nodrošina vairākus uzdevumus (t.sk. </w:t>
      </w:r>
      <w:r w:rsidR="00D97943" w:rsidRPr="00112819">
        <w:t>IKT infrastruktūras arhitektūras pārvaldību, IKT drošības arhitektūras pārvaldību, valsts līmeņa IKT procesu un normatīvo aktu pārvaldību, valsts IS un e-pakalpojumu attīstības koordinēšanu, koplietošanas IKT pakalpojum</w:t>
      </w:r>
      <w:r w:rsidR="00D97943">
        <w:t>u attīstības koordinēšanu u.c.);</w:t>
      </w:r>
    </w:p>
    <w:p w:rsidR="00D97943" w:rsidRPr="00112819" w:rsidRDefault="00D97943" w:rsidP="00D97943">
      <w:pPr>
        <w:pStyle w:val="ISBulletText"/>
      </w:pPr>
      <w:r w:rsidRPr="00112819">
        <w:t>Atsevišķu IKT funkciju  centralizāciju resoru līmenī, resora IKT padomes izveidi, resora IKT vadītāja nozīmēšanu</w:t>
      </w:r>
      <w:r>
        <w:t>;</w:t>
      </w:r>
    </w:p>
    <w:p w:rsidR="00D97943" w:rsidRPr="00112819" w:rsidRDefault="00D97943" w:rsidP="00D97943">
      <w:pPr>
        <w:pStyle w:val="ISBulletText"/>
      </w:pPr>
      <w:r w:rsidRPr="00112819">
        <w:t>Koplietošanas</w:t>
      </w:r>
      <w:r>
        <w:t xml:space="preserve"> risinājumu organizāciju</w:t>
      </w:r>
      <w:r w:rsidRPr="00112819">
        <w:t xml:space="preserve"> izveidi un koplietošanas risinājumu ieviešanu un uzturēšanu</w:t>
      </w:r>
      <w:r>
        <w:t>;</w:t>
      </w:r>
    </w:p>
    <w:p w:rsidR="00D97943" w:rsidRPr="00112819" w:rsidRDefault="00D97943" w:rsidP="00D97943">
      <w:pPr>
        <w:pStyle w:val="ISBulletText"/>
      </w:pPr>
      <w:r w:rsidRPr="00112819">
        <w:t>Valsts IKT vadītāju foruma, Informācijas sabiedrības padomes  un ekspert</w:t>
      </w:r>
      <w:r w:rsidR="0076536F">
        <w:t>u</w:t>
      </w:r>
      <w:r w:rsidRPr="00112819">
        <w:t xml:space="preserve"> padomes izveidi.</w:t>
      </w:r>
    </w:p>
    <w:p w:rsidR="00D97943" w:rsidRPr="00112819" w:rsidRDefault="00D97943" w:rsidP="00D97943">
      <w:pPr>
        <w:pStyle w:val="ISBodyText"/>
        <w:rPr>
          <w:lang w:eastAsia="lv-LV"/>
        </w:rPr>
      </w:pPr>
      <w:r w:rsidRPr="00112819">
        <w:rPr>
          <w:lang w:eastAsia="lv-LV"/>
        </w:rPr>
        <w:t>Koncepcijā piedāvātā IKT pārvaldības organizatoriskā modeļa vadmotīvs ir IKT pārvaldības efektivitātes un lietderības palielināšana</w:t>
      </w:r>
      <w:r>
        <w:rPr>
          <w:lang w:eastAsia="lv-LV"/>
        </w:rPr>
        <w:t>,</w:t>
      </w:r>
      <w:r w:rsidRPr="00112819">
        <w:rPr>
          <w:lang w:eastAsia="lv-LV"/>
        </w:rPr>
        <w:t xml:space="preserve"> veicot daļēju IKT funkcijas centralizāciju valsts un resoru līmenī, kā arī ciešas koordinācijas un sadarbības nodrošināšana starp dažādiem līmeņiem.</w:t>
      </w:r>
    </w:p>
    <w:p w:rsidR="00D97943" w:rsidRDefault="00D97943" w:rsidP="00D97943">
      <w:pPr>
        <w:pStyle w:val="ISBodySubhead"/>
      </w:pPr>
      <w:bookmarkStart w:id="15" w:name="_Ref389927075"/>
      <w:bookmarkStart w:id="16" w:name="_Toc390037224"/>
      <w:r w:rsidRPr="00112819">
        <w:t>Publisko pakalpojumu sistēmas pilnveide</w:t>
      </w:r>
      <w:bookmarkEnd w:id="15"/>
      <w:bookmarkEnd w:id="16"/>
    </w:p>
    <w:p w:rsidR="00D97943" w:rsidRPr="00112819" w:rsidRDefault="00D97943" w:rsidP="00D97943">
      <w:pPr>
        <w:pStyle w:val="ISBodyText"/>
      </w:pPr>
      <w:r>
        <w:t>Publisk</w:t>
      </w:r>
      <w:r w:rsidR="0076536F">
        <w:t>o</w:t>
      </w:r>
      <w:r>
        <w:t xml:space="preserve"> pakalpojumu sistēmas pilnveides galvenie uzstādījumi ir noteikti koncepcijā par</w:t>
      </w:r>
      <w:r w:rsidRPr="00112819">
        <w:t xml:space="preserve"> publisko pakalpojumu sistēmas pilnveidi (MK 2013.gada 12.februāra rīkojums Nr.58), kurā noteikti galvenie publisko pakalpojumu sistēmas pilnveides mērķi:</w:t>
      </w:r>
    </w:p>
    <w:p w:rsidR="00D97943" w:rsidRPr="00112819" w:rsidRDefault="00D97943" w:rsidP="00D97943">
      <w:pPr>
        <w:pStyle w:val="ISBulletText"/>
      </w:pPr>
      <w:r w:rsidRPr="00112819">
        <w:t>Administratīvā sloga samazināšana;</w:t>
      </w:r>
    </w:p>
    <w:p w:rsidR="00D97943" w:rsidRPr="00112819" w:rsidRDefault="00D97943" w:rsidP="00D97943">
      <w:pPr>
        <w:pStyle w:val="ISBulletText"/>
      </w:pPr>
      <w:r w:rsidRPr="00112819">
        <w:t>Publisko pakalpojumu pieejamības nodrošināšana;</w:t>
      </w:r>
    </w:p>
    <w:p w:rsidR="00D97943" w:rsidRPr="00112819" w:rsidRDefault="00D97943" w:rsidP="00D97943">
      <w:pPr>
        <w:pStyle w:val="ISBulletText"/>
      </w:pPr>
      <w:r w:rsidRPr="00112819">
        <w:t>Valsts pārvaldes efektivitātes palielināšana;</w:t>
      </w:r>
    </w:p>
    <w:p w:rsidR="00D97943" w:rsidRPr="00112819" w:rsidRDefault="00D97943" w:rsidP="00D97943">
      <w:pPr>
        <w:pStyle w:val="ISBulletText"/>
      </w:pPr>
      <w:r w:rsidRPr="00112819">
        <w:lastRenderedPageBreak/>
        <w:t>Valsts pārv</w:t>
      </w:r>
      <w:r>
        <w:t>aldes caurskatāmības uzlabošana.</w:t>
      </w:r>
    </w:p>
    <w:p w:rsidR="00D97943" w:rsidRPr="00112819" w:rsidRDefault="00D97943" w:rsidP="00D97943">
      <w:pPr>
        <w:pStyle w:val="ISBodyText"/>
      </w:pPr>
      <w:r w:rsidRPr="00112819">
        <w:t>Šo mērķu sasniegšanai koncepcija paredz konkrētu rīcību 5 rīcības virzienos:</w:t>
      </w:r>
    </w:p>
    <w:p w:rsidR="00D97943" w:rsidRPr="00112819" w:rsidRDefault="00D97943" w:rsidP="00D97943">
      <w:pPr>
        <w:pStyle w:val="ISBulletText"/>
      </w:pPr>
      <w:r w:rsidRPr="00112819">
        <w:t>Vienota normatīvā un metodiskā ietvara izstrāde;</w:t>
      </w:r>
    </w:p>
    <w:p w:rsidR="00D97943" w:rsidRPr="00112819" w:rsidRDefault="00D97943" w:rsidP="00D97943">
      <w:pPr>
        <w:pStyle w:val="ISBulletText"/>
      </w:pPr>
      <w:r w:rsidRPr="00112819">
        <w:t>Pakalpojumu elektronizācija un optimizācija, izmantojot IKT iespējas (pakalpojumu elektronizācija kā primārā pakalpojumu pilnveides stratēģija)</w:t>
      </w:r>
      <w:r>
        <w:t>;</w:t>
      </w:r>
    </w:p>
    <w:p w:rsidR="00D97943" w:rsidRPr="00112819" w:rsidRDefault="00D97943" w:rsidP="00D97943">
      <w:pPr>
        <w:pStyle w:val="ISBulletText"/>
      </w:pPr>
      <w:r w:rsidRPr="00112819">
        <w:t>Vienota klātienes klientu apkalpošanas attīstība</w:t>
      </w:r>
      <w:r>
        <w:t>;</w:t>
      </w:r>
    </w:p>
    <w:p w:rsidR="00D97943" w:rsidRPr="00112819" w:rsidRDefault="00D97943" w:rsidP="00D97943">
      <w:pPr>
        <w:pStyle w:val="ISBulletText"/>
      </w:pPr>
      <w:r w:rsidRPr="00112819">
        <w:t>Finansēšanas un maksāšanas kārtības noteikšana;</w:t>
      </w:r>
    </w:p>
    <w:p w:rsidR="00D97943" w:rsidRPr="00112819" w:rsidRDefault="00D97943" w:rsidP="00D97943">
      <w:pPr>
        <w:pStyle w:val="ISBulletText"/>
      </w:pPr>
      <w:r w:rsidRPr="00112819">
        <w:t>Koordinēšanas un vadības mehānisma noteikšana.</w:t>
      </w:r>
    </w:p>
    <w:p w:rsidR="00D97943" w:rsidRPr="00112819" w:rsidRDefault="00D97943" w:rsidP="00D97943">
      <w:pPr>
        <w:pStyle w:val="ISBodyText"/>
      </w:pPr>
      <w:r>
        <w:t xml:space="preserve">Ar </w:t>
      </w:r>
      <w:r w:rsidRPr="0035508E">
        <w:t xml:space="preserve">mērķi noteikt vispārīgās prasības un vienotus pamatprincipus visiem </w:t>
      </w:r>
      <w:r>
        <w:t>valsts un pašvaldību iestāžu sniegtajiem pakalpojumiem,</w:t>
      </w:r>
      <w:r w:rsidRPr="0035508E">
        <w:t xml:space="preserve"> lai nodrošinātu efektīvu un kvalitatīvu pakalpojumu sniegšanu, tādejādi mazinot administratīvo slogu</w:t>
      </w:r>
      <w:r w:rsidR="0076536F">
        <w:t>,</w:t>
      </w:r>
      <w:r w:rsidRPr="0035508E">
        <w:t xml:space="preserve"> valsts un privātajā sektorā</w:t>
      </w:r>
      <w:r>
        <w:t xml:space="preserve"> ir izstrādāts un 2014. gadā sākts izskatīt Saeimā </w:t>
      </w:r>
      <w:r w:rsidRPr="00112819">
        <w:t>publisko pakalpojumu likumprojekts</w:t>
      </w:r>
      <w:r>
        <w:t>.</w:t>
      </w:r>
    </w:p>
    <w:p w:rsidR="00D97943" w:rsidRPr="00365D89" w:rsidRDefault="00D97943" w:rsidP="00D97943">
      <w:pPr>
        <w:pStyle w:val="Komentrateksts"/>
        <w:rPr>
          <w:rFonts w:eastAsia="MS Mincho" w:cs="Segoe UI"/>
          <w:bCs/>
          <w:sz w:val="22"/>
          <w:szCs w:val="22"/>
        </w:rPr>
      </w:pPr>
      <w:r w:rsidRPr="00365D89">
        <w:rPr>
          <w:rFonts w:eastAsia="MS Mincho" w:cs="Segoe UI"/>
          <w:bCs/>
          <w:sz w:val="22"/>
          <w:szCs w:val="22"/>
        </w:rPr>
        <w:t>Koncepcijas projekts „Grozījumi koncepcijā par publisko pakalpojumu sistēmas pilnveidi” 28.10.2014. ir iesniegti izskatīšanai MK sēdē. Grozījumos ir precizēti vienota KAC tīkla izveides risinājumi, kā arī citi jautājumi.</w:t>
      </w:r>
    </w:p>
    <w:p w:rsidR="00D97943" w:rsidRPr="00112819" w:rsidRDefault="00D97943" w:rsidP="00D97943">
      <w:pPr>
        <w:pStyle w:val="ISBodySubhead"/>
      </w:pPr>
      <w:bookmarkStart w:id="17" w:name="_Ref310433658"/>
      <w:bookmarkStart w:id="18" w:name="_Ref310433655"/>
      <w:bookmarkStart w:id="19" w:name="_Toc323667609"/>
      <w:bookmarkStart w:id="20" w:name="_Toc390037218"/>
      <w:bookmarkStart w:id="21" w:name="_Toc392680520"/>
      <w:r>
        <w:t>Citi s</w:t>
      </w:r>
      <w:r w:rsidRPr="00112819">
        <w:t>aistītie dokumenti</w:t>
      </w:r>
      <w:bookmarkEnd w:id="17"/>
      <w:bookmarkEnd w:id="18"/>
      <w:bookmarkEnd w:id="19"/>
      <w:bookmarkEnd w:id="20"/>
      <w:bookmarkEnd w:id="21"/>
    </w:p>
    <w:p w:rsidR="00D97943" w:rsidRPr="008213E6" w:rsidRDefault="00D97943" w:rsidP="00D97943">
      <w:pPr>
        <w:pStyle w:val="ISNumberedList"/>
      </w:pPr>
      <w:bookmarkStart w:id="22" w:name="_Ref310433611"/>
      <w:r w:rsidRPr="008213E6">
        <w:t>Latvijas Nacionālais attīstības plāns 2014.-2020.gadam. Apstiprināts ar Saeimas 2012.gada 20.decembra lēmumu.</w:t>
      </w:r>
    </w:p>
    <w:p w:rsidR="00D97943" w:rsidRPr="008213E6" w:rsidRDefault="00D97943" w:rsidP="00D97943">
      <w:pPr>
        <w:pStyle w:val="ISNumberedList"/>
      </w:pPr>
      <w:r w:rsidRPr="008213E6">
        <w:t>Publisko pakalpojumu sniegšanas rekomendējamais modelis. Versija 1.3 (26.05.2011)</w:t>
      </w:r>
      <w:bookmarkEnd w:id="22"/>
      <w:r w:rsidRPr="008213E6">
        <w:t>.</w:t>
      </w:r>
    </w:p>
    <w:p w:rsidR="00D97943" w:rsidRPr="008213E6" w:rsidRDefault="00D97943" w:rsidP="00D97943">
      <w:pPr>
        <w:pStyle w:val="ISNumberedList"/>
      </w:pPr>
      <w:r w:rsidRPr="008213E6">
        <w:t>Rekomendētā IKT arhitektūra publiskajā pārvaldē. Pricewaterhousecoopers. 2007.</w:t>
      </w:r>
    </w:p>
    <w:p w:rsidR="00D97943" w:rsidRPr="008213E6" w:rsidRDefault="00D97943" w:rsidP="00D97943">
      <w:pPr>
        <w:pStyle w:val="ISNumberedList"/>
      </w:pPr>
      <w:r w:rsidRPr="008213E6">
        <w:t>Valsts informācijas sistēmu savietotāja, Latvijas valsts portāla www.latvija.lv un elektronisko pakalpojumu izstrāde un uzturēšana. 3.daļa “VISS un portāla jaunu un esošo moduļu papildinājumu izstrāde, ieviešana, garantijas apkalpošana un uzturēšana saskaņā ar tehnisko specifikāciju”. Arhitektūras risinājuma vīzija. 21.03.2012. Versija 1.02.</w:t>
      </w:r>
    </w:p>
    <w:p w:rsidR="00D97943" w:rsidRPr="008213E6" w:rsidRDefault="00D97943" w:rsidP="00D97943">
      <w:pPr>
        <w:pStyle w:val="ISNumberedList"/>
      </w:pPr>
      <w:r w:rsidRPr="008213E6">
        <w:t>Valsts tiešās pārvaldes un centrālo valsts iestāžu tīmekļa vietņu attīstības koncepcija. 2013.gada 19.decembrī izsludināta Valsts sekretāru sanāksmē.</w:t>
      </w:r>
    </w:p>
    <w:p w:rsidR="00D97943" w:rsidRDefault="00D97943" w:rsidP="00D97943">
      <w:pPr>
        <w:pStyle w:val="ISNumberedList"/>
      </w:pPr>
      <w:r w:rsidRPr="008213E6">
        <w:t>Ziņojums par optimālāko pārvaldības modeli tīmekļu vietnēm. PriceWaterhouseCoopers. 2012.</w:t>
      </w:r>
    </w:p>
    <w:p w:rsidR="00D97943" w:rsidRDefault="00713581" w:rsidP="00D97943">
      <w:pPr>
        <w:pStyle w:val="ISBodyText"/>
      </w:pPr>
      <w:r w:rsidRPr="00E70CAA">
        <w:t>Konceptuālā</w:t>
      </w:r>
      <w:r w:rsidR="00CB4F9B" w:rsidRPr="00E70CAA">
        <w:t xml:space="preserve"> arhitektūr</w:t>
      </w:r>
      <w:r w:rsidRPr="00E70CAA">
        <w:t>a</w:t>
      </w:r>
      <w:r w:rsidR="00D97943" w:rsidRPr="00E70CAA">
        <w:t xml:space="preserve"> ir izstrādā</w:t>
      </w:r>
      <w:r w:rsidRPr="00E70CAA">
        <w:t xml:space="preserve">ta </w:t>
      </w:r>
      <w:r w:rsidR="00D97943" w:rsidRPr="00E70CAA">
        <w:t>VARAM, balstoties uz 2014.gada 6. janvārī noslēgtā konsultāciju līguma ar uzņēmumu IS Consulting</w:t>
      </w:r>
      <w:r w:rsidR="004433D7">
        <w:t xml:space="preserve"> nodevumiem</w:t>
      </w:r>
      <w:r w:rsidR="00D97943" w:rsidRPr="00E70CAA">
        <w:t xml:space="preserve">. </w:t>
      </w:r>
      <w:r w:rsidR="004433D7">
        <w:t xml:space="preserve">  Minētā </w:t>
      </w:r>
      <w:r w:rsidR="004433D7" w:rsidRPr="004433D7">
        <w:t>līguma izpilde tiek finansēta no projekta „Publisko pakalpojumu sistēmas pilnveidošana” Nr.1DP/1.5.1.2.0/08/IPIA/SIF/002 līdzekļiem, kas tiek īstenots ar Eiropas Savienības Sociālā fonda un Latvijas valsts finansiālu atbalstu. 85 % no projekta finansē Eiropas Savienība ar Eiropas Sociālā fonda starpniecību un 15 % Latvijas valsts budžets. Aktivitāti administrē Valsts kanceleja sadarbībā ar Sabiedrības integrācijas fondu.</w:t>
      </w:r>
      <w:r w:rsidR="004433D7">
        <w:t xml:space="preserve">   </w:t>
      </w:r>
    </w:p>
    <w:p w:rsidR="002C7079" w:rsidRDefault="004433D7" w:rsidP="002C7079">
      <w:pPr>
        <w:rPr>
          <w:rStyle w:val="Izteiksmgs"/>
        </w:rPr>
      </w:pPr>
      <w:r>
        <w:t xml:space="preserve">Konsultāciju līguma </w:t>
      </w:r>
      <w:r w:rsidR="00D97943" w:rsidRPr="00E70CAA">
        <w:t xml:space="preserve">nodevumi ir publicēti VARAM tīmekļa vietnē </w:t>
      </w:r>
      <w:hyperlink r:id="rId10" w:history="1">
        <w:r w:rsidR="002C7079">
          <w:rPr>
            <w:rStyle w:val="Hipersaite"/>
          </w:rPr>
          <w:t>http://www.varam.gov.lv/lat/fondi/ESper07_13/15120/</w:t>
        </w:r>
      </w:hyperlink>
      <w:r w:rsidR="002C7079">
        <w:t xml:space="preserve">  </w:t>
      </w:r>
      <w:r w:rsidR="002C7079" w:rsidRPr="002C7079">
        <w:t>(sadaļā “I</w:t>
      </w:r>
      <w:r w:rsidR="002C7079" w:rsidRPr="002C7079">
        <w:rPr>
          <w:rStyle w:val="Izteiksmgs"/>
          <w:b w:val="0"/>
        </w:rPr>
        <w:t>nformācijas sistēmu arhitektūras modelis”)</w:t>
      </w:r>
    </w:p>
    <w:p w:rsidR="00D97943" w:rsidRPr="00880B51" w:rsidRDefault="00D97943" w:rsidP="00DA4537">
      <w:pPr>
        <w:pStyle w:val="ISBodyText"/>
        <w:jc w:val="left"/>
      </w:pPr>
      <w:r>
        <w:t xml:space="preserve"> </w:t>
      </w:r>
    </w:p>
    <w:p w:rsidR="00D97943" w:rsidRDefault="00D97943" w:rsidP="005315EC">
      <w:pPr>
        <w:pStyle w:val="ISBodyText"/>
        <w:rPr>
          <w:highlight w:val="yellow"/>
        </w:rPr>
      </w:pPr>
    </w:p>
    <w:p w:rsidR="00713581" w:rsidRPr="00112819" w:rsidRDefault="009A77EC" w:rsidP="00713581">
      <w:pPr>
        <w:pStyle w:val="Parakstszemobjekta"/>
        <w:keepNext/>
        <w:jc w:val="left"/>
      </w:pPr>
      <w:r>
        <w:lastRenderedPageBreak/>
        <w:fldChar w:fldCharType="begin"/>
      </w:r>
      <w:r w:rsidR="00ED7EFC">
        <w:instrText xml:space="preserve"> SEQ Tabula \* ARABIC </w:instrText>
      </w:r>
      <w:r>
        <w:fldChar w:fldCharType="separate"/>
      </w:r>
      <w:r w:rsidR="009E6559">
        <w:rPr>
          <w:noProof/>
        </w:rPr>
        <w:t>1</w:t>
      </w:r>
      <w:r>
        <w:rPr>
          <w:noProof/>
        </w:rPr>
        <w:fldChar w:fldCharType="end"/>
      </w:r>
      <w:r w:rsidR="00713581">
        <w:t>.tabula. S</w:t>
      </w:r>
      <w:r w:rsidR="00713581" w:rsidRPr="00112819">
        <w:t>aīsinājumi</w:t>
      </w:r>
    </w:p>
    <w:tbl>
      <w:tblPr>
        <w:tblW w:w="0" w:type="auto"/>
        <w:tblInd w:w="227" w:type="dxa"/>
        <w:tblBorders>
          <w:top w:val="single" w:sz="8" w:space="0" w:color="999999"/>
          <w:bottom w:val="single" w:sz="8" w:space="0" w:color="999999"/>
        </w:tblBorders>
        <w:tblCellMar>
          <w:left w:w="57" w:type="dxa"/>
          <w:right w:w="57" w:type="dxa"/>
        </w:tblCellMar>
        <w:tblLook w:val="04A0" w:firstRow="1" w:lastRow="0" w:firstColumn="1" w:lastColumn="0" w:noHBand="0" w:noVBand="1"/>
      </w:tblPr>
      <w:tblGrid>
        <w:gridCol w:w="2240"/>
        <w:gridCol w:w="6980"/>
      </w:tblGrid>
      <w:tr w:rsidR="00713581" w:rsidRPr="00112819" w:rsidTr="00734FAB">
        <w:trPr>
          <w:tblHeader/>
        </w:trPr>
        <w:tc>
          <w:tcPr>
            <w:tcW w:w="2240" w:type="dxa"/>
            <w:tcBorders>
              <w:top w:val="single" w:sz="12" w:space="0" w:color="999999"/>
              <w:left w:val="nil"/>
              <w:bottom w:val="single" w:sz="12" w:space="0" w:color="999999"/>
              <w:right w:val="nil"/>
            </w:tcBorders>
            <w:shd w:val="clear" w:color="auto" w:fill="E6E6E6"/>
            <w:hideMark/>
          </w:tcPr>
          <w:p w:rsidR="00713581" w:rsidRPr="00112819" w:rsidRDefault="00713581" w:rsidP="00734FAB">
            <w:pPr>
              <w:pStyle w:val="ISTableText"/>
              <w:jc w:val="left"/>
              <w:rPr>
                <w:b/>
                <w:szCs w:val="18"/>
                <w:lang w:eastAsia="lv-LV"/>
              </w:rPr>
            </w:pPr>
            <w:r w:rsidRPr="00112819">
              <w:rPr>
                <w:b/>
                <w:szCs w:val="18"/>
                <w:lang w:eastAsia="lv-LV"/>
              </w:rPr>
              <w:t>Termins, saīsinājums</w:t>
            </w:r>
          </w:p>
        </w:tc>
        <w:tc>
          <w:tcPr>
            <w:tcW w:w="6980" w:type="dxa"/>
            <w:tcBorders>
              <w:top w:val="single" w:sz="12" w:space="0" w:color="999999"/>
              <w:left w:val="nil"/>
              <w:bottom w:val="single" w:sz="12" w:space="0" w:color="999999"/>
              <w:right w:val="nil"/>
            </w:tcBorders>
            <w:shd w:val="clear" w:color="auto" w:fill="E6E6E6"/>
            <w:hideMark/>
          </w:tcPr>
          <w:p w:rsidR="00713581" w:rsidRPr="00112819" w:rsidRDefault="00713581" w:rsidP="00734FAB">
            <w:pPr>
              <w:pStyle w:val="ISTableText"/>
              <w:rPr>
                <w:b/>
                <w:szCs w:val="24"/>
                <w:lang w:eastAsia="lv-LV"/>
              </w:rPr>
            </w:pPr>
            <w:r w:rsidRPr="00112819">
              <w:rPr>
                <w:b/>
                <w:lang w:eastAsia="lv-LV"/>
              </w:rPr>
              <w:t>Skaidrojums</w:t>
            </w:r>
          </w:p>
        </w:tc>
      </w:tr>
      <w:tr w:rsidR="00713581" w:rsidRPr="00112819" w:rsidTr="00734FAB">
        <w:tc>
          <w:tcPr>
            <w:tcW w:w="2240" w:type="dxa"/>
            <w:tcBorders>
              <w:top w:val="single" w:sz="8" w:space="0" w:color="999999"/>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ĀM</w:t>
            </w:r>
          </w:p>
        </w:tc>
        <w:tc>
          <w:tcPr>
            <w:tcW w:w="6980" w:type="dxa"/>
            <w:tcBorders>
              <w:top w:val="single" w:sz="8" w:space="0" w:color="999999"/>
              <w:left w:val="nil"/>
              <w:bottom w:val="single" w:sz="8" w:space="0" w:color="999999"/>
              <w:right w:val="nil"/>
            </w:tcBorders>
            <w:hideMark/>
          </w:tcPr>
          <w:p w:rsidR="00713581" w:rsidRPr="00112819" w:rsidRDefault="00713581" w:rsidP="00734FAB">
            <w:pPr>
              <w:pStyle w:val="ISTableText"/>
              <w:rPr>
                <w:szCs w:val="18"/>
                <w:lang w:eastAsia="lv-LV"/>
              </w:rPr>
            </w:pPr>
            <w:r w:rsidRPr="00112819">
              <w:rPr>
                <w:szCs w:val="18"/>
                <w:lang w:eastAsia="lv-LV"/>
              </w:rPr>
              <w:t>Ārlietu ministrija</w:t>
            </w:r>
          </w:p>
        </w:tc>
      </w:tr>
      <w:tr w:rsidR="00713581" w:rsidRPr="00112819" w:rsidTr="00734FAB">
        <w:tc>
          <w:tcPr>
            <w:tcW w:w="2240" w:type="dxa"/>
            <w:tcBorders>
              <w:top w:val="nil"/>
              <w:left w:val="nil"/>
              <w:bottom w:val="nil"/>
              <w:right w:val="nil"/>
            </w:tcBorders>
            <w:hideMark/>
          </w:tcPr>
          <w:p w:rsidR="00713581" w:rsidRPr="00112819" w:rsidRDefault="00713581" w:rsidP="00734FAB">
            <w:pPr>
              <w:pStyle w:val="ISTableText"/>
              <w:jc w:val="left"/>
              <w:rPr>
                <w:szCs w:val="18"/>
                <w:lang w:eastAsia="lv-LV"/>
              </w:rPr>
            </w:pPr>
            <w:r w:rsidRPr="00112819">
              <w:rPr>
                <w:szCs w:val="18"/>
                <w:lang w:eastAsia="lv-LV"/>
              </w:rPr>
              <w:t>AiM</w:t>
            </w:r>
          </w:p>
        </w:tc>
        <w:tc>
          <w:tcPr>
            <w:tcW w:w="6980" w:type="dxa"/>
            <w:tcBorders>
              <w:top w:val="nil"/>
              <w:left w:val="nil"/>
              <w:bottom w:val="nil"/>
              <w:right w:val="nil"/>
            </w:tcBorders>
            <w:hideMark/>
          </w:tcPr>
          <w:p w:rsidR="00713581" w:rsidRPr="00112819" w:rsidRDefault="00713581" w:rsidP="00734FAB">
            <w:pPr>
              <w:pStyle w:val="ISTableText"/>
              <w:rPr>
                <w:szCs w:val="18"/>
                <w:lang w:eastAsia="lv-LV"/>
              </w:rPr>
            </w:pPr>
            <w:r w:rsidRPr="00112819">
              <w:rPr>
                <w:szCs w:val="18"/>
                <w:lang w:eastAsia="lv-LV"/>
              </w:rPr>
              <w:t>Aizsardzības ministrija</w:t>
            </w:r>
          </w:p>
        </w:tc>
      </w:tr>
      <w:tr w:rsidR="00713581" w:rsidRPr="00112819" w:rsidTr="00734FAB">
        <w:tc>
          <w:tcPr>
            <w:tcW w:w="2240" w:type="dxa"/>
            <w:tcBorders>
              <w:top w:val="single" w:sz="8" w:space="0" w:color="999999"/>
              <w:left w:val="nil"/>
              <w:bottom w:val="single" w:sz="8" w:space="0" w:color="999999"/>
              <w:right w:val="nil"/>
            </w:tcBorders>
          </w:tcPr>
          <w:p w:rsidR="00713581" w:rsidRPr="00112819" w:rsidRDefault="00713581" w:rsidP="00734FAB">
            <w:pPr>
              <w:pStyle w:val="ISTableText"/>
              <w:jc w:val="left"/>
              <w:rPr>
                <w:szCs w:val="18"/>
                <w:lang w:eastAsia="lv-LV"/>
              </w:rPr>
            </w:pPr>
            <w:r>
              <w:rPr>
                <w:szCs w:val="18"/>
                <w:lang w:eastAsia="lv-LV"/>
              </w:rPr>
              <w:t>EA</w:t>
            </w:r>
          </w:p>
        </w:tc>
        <w:tc>
          <w:tcPr>
            <w:tcW w:w="6980" w:type="dxa"/>
            <w:tcBorders>
              <w:top w:val="single" w:sz="8" w:space="0" w:color="999999"/>
              <w:left w:val="nil"/>
              <w:bottom w:val="single" w:sz="8" w:space="0" w:color="999999"/>
              <w:right w:val="nil"/>
            </w:tcBorders>
          </w:tcPr>
          <w:p w:rsidR="00713581" w:rsidRPr="00F979B5" w:rsidRDefault="00713581" w:rsidP="00734FAB">
            <w:pPr>
              <w:pStyle w:val="ISTableText"/>
              <w:rPr>
                <w:szCs w:val="18"/>
                <w:lang w:val="en-US" w:eastAsia="lv-LV"/>
              </w:rPr>
            </w:pPr>
            <w:r w:rsidRPr="00F979B5">
              <w:rPr>
                <w:szCs w:val="18"/>
                <w:lang w:val="en-US" w:eastAsia="lv-LV"/>
              </w:rPr>
              <w:t>Enterprise Architecture</w:t>
            </w:r>
          </w:p>
        </w:tc>
      </w:tr>
      <w:tr w:rsidR="00713581" w:rsidRPr="00112819" w:rsidTr="00734FAB">
        <w:tc>
          <w:tcPr>
            <w:tcW w:w="2240" w:type="dxa"/>
            <w:tcBorders>
              <w:top w:val="single" w:sz="8" w:space="0" w:color="999999"/>
              <w:left w:val="nil"/>
              <w:bottom w:val="single" w:sz="8" w:space="0" w:color="999999"/>
              <w:right w:val="nil"/>
            </w:tcBorders>
          </w:tcPr>
          <w:p w:rsidR="00713581" w:rsidRDefault="00713581" w:rsidP="00734FAB">
            <w:pPr>
              <w:pStyle w:val="ISTableText"/>
              <w:jc w:val="left"/>
              <w:rPr>
                <w:szCs w:val="18"/>
                <w:lang w:eastAsia="lv-LV"/>
              </w:rPr>
            </w:pPr>
            <w:r>
              <w:rPr>
                <w:szCs w:val="18"/>
                <w:lang w:eastAsia="lv-LV"/>
              </w:rPr>
              <w:t>eIDAS regula</w:t>
            </w:r>
          </w:p>
        </w:tc>
        <w:tc>
          <w:tcPr>
            <w:tcW w:w="6980" w:type="dxa"/>
            <w:tcBorders>
              <w:top w:val="single" w:sz="8" w:space="0" w:color="999999"/>
              <w:left w:val="nil"/>
              <w:bottom w:val="single" w:sz="8" w:space="0" w:color="999999"/>
              <w:right w:val="nil"/>
            </w:tcBorders>
          </w:tcPr>
          <w:p w:rsidR="00713581" w:rsidRPr="00994A62" w:rsidRDefault="00376748" w:rsidP="00734FAB">
            <w:pPr>
              <w:pStyle w:val="ISTableText"/>
              <w:rPr>
                <w:szCs w:val="18"/>
                <w:lang w:eastAsia="lv-LV"/>
              </w:rPr>
            </w:pPr>
            <w:r w:rsidRPr="00376748">
              <w:rPr>
                <w:szCs w:val="18"/>
                <w:lang w:eastAsia="lv-LV"/>
              </w:rPr>
              <w:t>Eiropas parlamenta un Padomes 2014.gada 23.jūlija regula (ES) Nr.910/2014 par elektronisko identifikāciju un uzticamības pakalpojumiem elektronisko darījumu veikšanai iekšējā tirgū un ar ko atceļ Direktīvu 1999/93/EK.</w:t>
            </w:r>
          </w:p>
        </w:tc>
      </w:tr>
      <w:tr w:rsidR="00713581" w:rsidRPr="00112819" w:rsidTr="00734FAB">
        <w:tc>
          <w:tcPr>
            <w:tcW w:w="2240" w:type="dxa"/>
            <w:tcBorders>
              <w:top w:val="single" w:sz="8" w:space="0" w:color="999999"/>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EM</w:t>
            </w:r>
          </w:p>
        </w:tc>
        <w:tc>
          <w:tcPr>
            <w:tcW w:w="6980" w:type="dxa"/>
            <w:tcBorders>
              <w:top w:val="single" w:sz="8" w:space="0" w:color="999999"/>
              <w:left w:val="nil"/>
              <w:bottom w:val="single" w:sz="8" w:space="0" w:color="999999"/>
              <w:right w:val="nil"/>
            </w:tcBorders>
            <w:hideMark/>
          </w:tcPr>
          <w:p w:rsidR="00713581" w:rsidRPr="00112819" w:rsidRDefault="00713581" w:rsidP="00734FAB">
            <w:pPr>
              <w:pStyle w:val="ISTableText"/>
              <w:rPr>
                <w:szCs w:val="18"/>
                <w:lang w:eastAsia="lv-LV"/>
              </w:rPr>
            </w:pPr>
            <w:r w:rsidRPr="00112819">
              <w:rPr>
                <w:szCs w:val="18"/>
                <w:lang w:eastAsia="lv-LV"/>
              </w:rPr>
              <w:t>Ekonomikas ministrija</w:t>
            </w:r>
          </w:p>
        </w:tc>
      </w:tr>
      <w:tr w:rsidR="00BA4CB7" w:rsidRPr="00112819" w:rsidTr="00734FAB">
        <w:tc>
          <w:tcPr>
            <w:tcW w:w="2240" w:type="dxa"/>
            <w:tcBorders>
              <w:top w:val="single" w:sz="8" w:space="0" w:color="999999"/>
              <w:left w:val="nil"/>
              <w:bottom w:val="single" w:sz="8" w:space="0" w:color="999999"/>
              <w:right w:val="nil"/>
            </w:tcBorders>
          </w:tcPr>
          <w:p w:rsidR="00BA4CB7" w:rsidRDefault="00BA4CB7" w:rsidP="00734FAB">
            <w:pPr>
              <w:pStyle w:val="ISTableText"/>
              <w:jc w:val="left"/>
              <w:rPr>
                <w:szCs w:val="18"/>
                <w:lang w:eastAsia="lv-LV"/>
              </w:rPr>
            </w:pPr>
            <w:r>
              <w:rPr>
                <w:szCs w:val="18"/>
                <w:lang w:eastAsia="lv-LV"/>
              </w:rPr>
              <w:t>ES</w:t>
            </w:r>
          </w:p>
        </w:tc>
        <w:tc>
          <w:tcPr>
            <w:tcW w:w="6980" w:type="dxa"/>
            <w:tcBorders>
              <w:top w:val="single" w:sz="8" w:space="0" w:color="999999"/>
              <w:left w:val="nil"/>
              <w:bottom w:val="single" w:sz="8" w:space="0" w:color="999999"/>
              <w:right w:val="nil"/>
            </w:tcBorders>
          </w:tcPr>
          <w:p w:rsidR="00BA4CB7" w:rsidRDefault="00BA4CB7" w:rsidP="00734FAB">
            <w:pPr>
              <w:pStyle w:val="ISTableText"/>
              <w:rPr>
                <w:szCs w:val="18"/>
                <w:lang w:eastAsia="lv-LV"/>
              </w:rPr>
            </w:pPr>
            <w:r>
              <w:rPr>
                <w:szCs w:val="18"/>
                <w:lang w:eastAsia="lv-LV"/>
              </w:rPr>
              <w:t>Eiropas savienība</w:t>
            </w:r>
          </w:p>
        </w:tc>
      </w:tr>
      <w:tr w:rsidR="00713581" w:rsidRPr="00112819" w:rsidTr="00734FAB">
        <w:tc>
          <w:tcPr>
            <w:tcW w:w="2240" w:type="dxa"/>
            <w:tcBorders>
              <w:top w:val="nil"/>
              <w:left w:val="nil"/>
              <w:bottom w:val="nil"/>
              <w:right w:val="nil"/>
            </w:tcBorders>
            <w:hideMark/>
          </w:tcPr>
          <w:p w:rsidR="00713581" w:rsidRPr="00112819" w:rsidRDefault="00713581" w:rsidP="00734FAB">
            <w:pPr>
              <w:pStyle w:val="ISTableText"/>
              <w:jc w:val="left"/>
              <w:rPr>
                <w:szCs w:val="18"/>
                <w:lang w:eastAsia="lv-LV"/>
              </w:rPr>
            </w:pPr>
            <w:r w:rsidRPr="00112819">
              <w:rPr>
                <w:szCs w:val="18"/>
                <w:lang w:eastAsia="lv-LV"/>
              </w:rPr>
              <w:t>ESF</w:t>
            </w:r>
          </w:p>
        </w:tc>
        <w:tc>
          <w:tcPr>
            <w:tcW w:w="6980" w:type="dxa"/>
            <w:tcBorders>
              <w:top w:val="nil"/>
              <w:left w:val="nil"/>
              <w:bottom w:val="nil"/>
              <w:right w:val="nil"/>
            </w:tcBorders>
            <w:hideMark/>
          </w:tcPr>
          <w:p w:rsidR="00713581" w:rsidRPr="00112819" w:rsidRDefault="00713581" w:rsidP="00734FAB">
            <w:pPr>
              <w:pStyle w:val="ISTableText"/>
              <w:rPr>
                <w:szCs w:val="18"/>
                <w:lang w:eastAsia="lv-LV"/>
              </w:rPr>
            </w:pPr>
            <w:r w:rsidRPr="00112819">
              <w:rPr>
                <w:szCs w:val="18"/>
                <w:lang w:eastAsia="lv-LV"/>
              </w:rPr>
              <w:t>Eiropas Sociālais fonds</w:t>
            </w:r>
          </w:p>
        </w:tc>
      </w:tr>
      <w:tr w:rsidR="00713581" w:rsidRPr="00112819" w:rsidTr="00734FAB">
        <w:tc>
          <w:tcPr>
            <w:tcW w:w="2240" w:type="dxa"/>
            <w:tcBorders>
              <w:top w:val="single" w:sz="8" w:space="0" w:color="999999"/>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FM</w:t>
            </w:r>
          </w:p>
        </w:tc>
        <w:tc>
          <w:tcPr>
            <w:tcW w:w="6980" w:type="dxa"/>
            <w:tcBorders>
              <w:top w:val="single" w:sz="8" w:space="0" w:color="999999"/>
              <w:left w:val="nil"/>
              <w:bottom w:val="single" w:sz="8" w:space="0" w:color="999999"/>
              <w:right w:val="nil"/>
            </w:tcBorders>
            <w:hideMark/>
          </w:tcPr>
          <w:p w:rsidR="00713581" w:rsidRPr="00112819" w:rsidRDefault="00713581" w:rsidP="00734FAB">
            <w:pPr>
              <w:pStyle w:val="ISTableText"/>
              <w:rPr>
                <w:szCs w:val="18"/>
                <w:lang w:eastAsia="lv-LV"/>
              </w:rPr>
            </w:pPr>
            <w:r w:rsidRPr="00112819">
              <w:rPr>
                <w:szCs w:val="18"/>
                <w:lang w:eastAsia="lv-LV"/>
              </w:rPr>
              <w:t>Finanšu ministrija</w:t>
            </w:r>
          </w:p>
        </w:tc>
      </w:tr>
      <w:tr w:rsidR="006038BB" w:rsidRPr="00112819" w:rsidTr="00734FAB">
        <w:tc>
          <w:tcPr>
            <w:tcW w:w="2240" w:type="dxa"/>
            <w:tcBorders>
              <w:top w:val="single" w:sz="8" w:space="0" w:color="999999"/>
              <w:left w:val="nil"/>
              <w:bottom w:val="single" w:sz="8" w:space="0" w:color="999999"/>
              <w:right w:val="nil"/>
            </w:tcBorders>
          </w:tcPr>
          <w:p w:rsidR="006038BB" w:rsidRPr="00112819" w:rsidRDefault="006038BB" w:rsidP="00734FAB">
            <w:pPr>
              <w:pStyle w:val="ISTableText"/>
              <w:jc w:val="left"/>
              <w:rPr>
                <w:szCs w:val="18"/>
                <w:lang w:eastAsia="lv-LV"/>
              </w:rPr>
            </w:pPr>
            <w:r>
              <w:rPr>
                <w:szCs w:val="18"/>
                <w:lang w:eastAsia="lv-LV"/>
              </w:rPr>
              <w:t>IAS</w:t>
            </w:r>
          </w:p>
        </w:tc>
        <w:tc>
          <w:tcPr>
            <w:tcW w:w="6980" w:type="dxa"/>
            <w:tcBorders>
              <w:top w:val="single" w:sz="8" w:space="0" w:color="999999"/>
              <w:left w:val="nil"/>
              <w:bottom w:val="single" w:sz="8" w:space="0" w:color="999999"/>
              <w:right w:val="nil"/>
            </w:tcBorders>
          </w:tcPr>
          <w:p w:rsidR="006038BB" w:rsidRPr="00112819" w:rsidRDefault="006038BB" w:rsidP="00734FAB">
            <w:pPr>
              <w:pStyle w:val="ISTableText"/>
              <w:rPr>
                <w:szCs w:val="18"/>
                <w:lang w:eastAsia="lv-LV"/>
              </w:rPr>
            </w:pPr>
            <w:r>
              <w:rPr>
                <w:szCs w:val="18"/>
                <w:lang w:eastAsia="lv-LV"/>
              </w:rPr>
              <w:t>Ielaušanās atklāšanas sistēma</w:t>
            </w:r>
          </w:p>
        </w:tc>
      </w:tr>
      <w:tr w:rsidR="00713581" w:rsidRPr="00112819" w:rsidTr="00734FAB">
        <w:tc>
          <w:tcPr>
            <w:tcW w:w="2240" w:type="dxa"/>
            <w:tcBorders>
              <w:top w:val="single" w:sz="8" w:space="0" w:color="999999"/>
              <w:left w:val="nil"/>
              <w:bottom w:val="single" w:sz="8" w:space="0" w:color="999999"/>
              <w:right w:val="nil"/>
            </w:tcBorders>
          </w:tcPr>
          <w:p w:rsidR="00713581" w:rsidRPr="00112819" w:rsidRDefault="00713581" w:rsidP="00734FAB">
            <w:pPr>
              <w:pStyle w:val="ISTableText"/>
              <w:jc w:val="left"/>
              <w:rPr>
                <w:szCs w:val="18"/>
                <w:lang w:eastAsia="lv-LV"/>
              </w:rPr>
            </w:pPr>
            <w:r w:rsidRPr="00112819">
              <w:rPr>
                <w:szCs w:val="18"/>
                <w:lang w:eastAsia="lv-LV"/>
              </w:rPr>
              <w:t>IKT</w:t>
            </w:r>
          </w:p>
        </w:tc>
        <w:tc>
          <w:tcPr>
            <w:tcW w:w="6980" w:type="dxa"/>
            <w:tcBorders>
              <w:top w:val="single" w:sz="8" w:space="0" w:color="999999"/>
              <w:left w:val="nil"/>
              <w:bottom w:val="single" w:sz="8" w:space="0" w:color="999999"/>
              <w:right w:val="nil"/>
            </w:tcBorders>
          </w:tcPr>
          <w:p w:rsidR="00713581" w:rsidRPr="00112819" w:rsidRDefault="00713581" w:rsidP="00734FAB">
            <w:pPr>
              <w:pStyle w:val="ISTableText"/>
              <w:rPr>
                <w:szCs w:val="18"/>
              </w:rPr>
            </w:pPr>
            <w:r w:rsidRPr="00112819">
              <w:rPr>
                <w:szCs w:val="18"/>
              </w:rPr>
              <w:t>Informācijas un komunikācij</w:t>
            </w:r>
            <w:r>
              <w:rPr>
                <w:szCs w:val="18"/>
              </w:rPr>
              <w:t>as</w:t>
            </w:r>
            <w:r w:rsidRPr="00112819">
              <w:rPr>
                <w:szCs w:val="18"/>
              </w:rPr>
              <w:t xml:space="preserve"> tehnoloģijas</w:t>
            </w:r>
          </w:p>
        </w:tc>
      </w:tr>
      <w:tr w:rsidR="00713581" w:rsidRPr="00112819" w:rsidTr="00734FAB">
        <w:tc>
          <w:tcPr>
            <w:tcW w:w="2240" w:type="dxa"/>
            <w:tcBorders>
              <w:top w:val="single" w:sz="8" w:space="0" w:color="999999"/>
              <w:left w:val="nil"/>
              <w:bottom w:val="single" w:sz="8" w:space="0" w:color="999999"/>
              <w:right w:val="nil"/>
            </w:tcBorders>
          </w:tcPr>
          <w:p w:rsidR="00713581" w:rsidRPr="00112819" w:rsidRDefault="00713581" w:rsidP="00734FAB">
            <w:pPr>
              <w:pStyle w:val="ISTableText"/>
              <w:jc w:val="left"/>
              <w:rPr>
                <w:szCs w:val="18"/>
                <w:lang w:eastAsia="lv-LV"/>
              </w:rPr>
            </w:pPr>
            <w:r>
              <w:rPr>
                <w:szCs w:val="18"/>
                <w:lang w:eastAsia="lv-LV"/>
              </w:rPr>
              <w:t>IKT pārvaldības koncepcija</w:t>
            </w:r>
          </w:p>
        </w:tc>
        <w:tc>
          <w:tcPr>
            <w:tcW w:w="6980" w:type="dxa"/>
            <w:tcBorders>
              <w:top w:val="single" w:sz="8" w:space="0" w:color="999999"/>
              <w:left w:val="nil"/>
              <w:bottom w:val="single" w:sz="8" w:space="0" w:color="999999"/>
              <w:right w:val="nil"/>
            </w:tcBorders>
          </w:tcPr>
          <w:p w:rsidR="00713581" w:rsidRPr="000276CB" w:rsidRDefault="00713581" w:rsidP="00734FAB">
            <w:pPr>
              <w:pStyle w:val="ISTableText"/>
            </w:pPr>
            <w:r>
              <w:t>Koncepcija “</w:t>
            </w:r>
            <w:r w:rsidRPr="003557D9">
              <w:t>Valsts informācijas un komunikācijas tehnoloģiju pārvaldības organizatoriskais modelis</w:t>
            </w:r>
            <w:r>
              <w:t>”. Ministru kabineta 2013.gada 19.februāra rīkojums Nr. 57.</w:t>
            </w:r>
          </w:p>
        </w:tc>
      </w:tr>
      <w:tr w:rsidR="00713581" w:rsidRPr="00112819" w:rsidTr="00734FAB">
        <w:tc>
          <w:tcPr>
            <w:tcW w:w="2240" w:type="dxa"/>
            <w:tcBorders>
              <w:top w:val="nil"/>
              <w:left w:val="nil"/>
              <w:bottom w:val="nil"/>
              <w:right w:val="nil"/>
            </w:tcBorders>
            <w:hideMark/>
          </w:tcPr>
          <w:p w:rsidR="00713581" w:rsidRPr="008213E6" w:rsidRDefault="00713581" w:rsidP="00734FAB">
            <w:pPr>
              <w:pStyle w:val="ISTableText"/>
              <w:jc w:val="left"/>
              <w:rPr>
                <w:szCs w:val="18"/>
                <w:lang w:eastAsia="lv-LV"/>
              </w:rPr>
            </w:pPr>
            <w:r w:rsidRPr="008213E6">
              <w:rPr>
                <w:szCs w:val="18"/>
                <w:lang w:eastAsia="lv-LV"/>
              </w:rPr>
              <w:t xml:space="preserve">IS </w:t>
            </w:r>
          </w:p>
        </w:tc>
        <w:tc>
          <w:tcPr>
            <w:tcW w:w="6980" w:type="dxa"/>
            <w:tcBorders>
              <w:top w:val="nil"/>
              <w:left w:val="nil"/>
              <w:bottom w:val="nil"/>
              <w:right w:val="nil"/>
            </w:tcBorders>
            <w:hideMark/>
          </w:tcPr>
          <w:p w:rsidR="00713581" w:rsidRPr="008213E6" w:rsidRDefault="00713581" w:rsidP="00734FAB">
            <w:pPr>
              <w:pStyle w:val="ISTableText"/>
              <w:rPr>
                <w:szCs w:val="18"/>
                <w:lang w:eastAsia="lv-LV"/>
              </w:rPr>
            </w:pPr>
            <w:r w:rsidRPr="008213E6">
              <w:rPr>
                <w:szCs w:val="18"/>
                <w:lang w:eastAsia="lv-LV"/>
              </w:rPr>
              <w:t>Informācijas sistēma</w:t>
            </w:r>
          </w:p>
        </w:tc>
      </w:tr>
      <w:tr w:rsidR="00713581" w:rsidRPr="00112819" w:rsidTr="00734FAB">
        <w:tc>
          <w:tcPr>
            <w:tcW w:w="2240" w:type="dxa"/>
            <w:tcBorders>
              <w:top w:val="single" w:sz="8" w:space="0" w:color="999999"/>
              <w:left w:val="nil"/>
              <w:bottom w:val="single" w:sz="8" w:space="0" w:color="999999"/>
              <w:right w:val="nil"/>
            </w:tcBorders>
          </w:tcPr>
          <w:p w:rsidR="00713581" w:rsidRPr="00112819" w:rsidRDefault="00713581" w:rsidP="00734FAB">
            <w:pPr>
              <w:pStyle w:val="ISTableText"/>
              <w:jc w:val="left"/>
              <w:rPr>
                <w:szCs w:val="18"/>
                <w:lang w:eastAsia="lv-LV"/>
              </w:rPr>
            </w:pPr>
            <w:r>
              <w:rPr>
                <w:szCs w:val="18"/>
                <w:lang w:eastAsia="lv-LV"/>
              </w:rPr>
              <w:t>Informācijas sabiedrības pamatnostādnes</w:t>
            </w:r>
          </w:p>
        </w:tc>
        <w:tc>
          <w:tcPr>
            <w:tcW w:w="6980" w:type="dxa"/>
            <w:tcBorders>
              <w:top w:val="single" w:sz="8" w:space="0" w:color="999999"/>
              <w:left w:val="nil"/>
              <w:bottom w:val="single" w:sz="8" w:space="0" w:color="999999"/>
              <w:right w:val="nil"/>
            </w:tcBorders>
          </w:tcPr>
          <w:p w:rsidR="00713581" w:rsidRPr="000276CB" w:rsidRDefault="00713581" w:rsidP="00734FAB">
            <w:pPr>
              <w:pStyle w:val="ISTableText"/>
            </w:pPr>
            <w:r w:rsidRPr="00112819">
              <w:t>Informācijas sabiedrības attīstības pamatnostādnes 2014.–2020.gadam. Ministru kabineta 2013.gada 14.oktobra rīkojums Nr. 486.</w:t>
            </w:r>
          </w:p>
        </w:tc>
      </w:tr>
      <w:tr w:rsidR="00713581" w:rsidRPr="00112819" w:rsidTr="00734FAB">
        <w:tc>
          <w:tcPr>
            <w:tcW w:w="2240" w:type="dxa"/>
            <w:tcBorders>
              <w:top w:val="single" w:sz="8" w:space="0" w:color="999999"/>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IT</w:t>
            </w:r>
          </w:p>
        </w:tc>
        <w:tc>
          <w:tcPr>
            <w:tcW w:w="6980" w:type="dxa"/>
            <w:tcBorders>
              <w:top w:val="single" w:sz="8" w:space="0" w:color="999999"/>
              <w:left w:val="nil"/>
              <w:bottom w:val="single" w:sz="8" w:space="0" w:color="999999"/>
              <w:right w:val="nil"/>
            </w:tcBorders>
            <w:hideMark/>
          </w:tcPr>
          <w:p w:rsidR="00713581" w:rsidRPr="00112819" w:rsidRDefault="00713581" w:rsidP="00734FAB">
            <w:pPr>
              <w:pStyle w:val="ISTableText"/>
              <w:rPr>
                <w:szCs w:val="18"/>
                <w:lang w:eastAsia="lv-LV"/>
              </w:rPr>
            </w:pPr>
            <w:r w:rsidRPr="00112819">
              <w:rPr>
                <w:szCs w:val="18"/>
                <w:lang w:eastAsia="lv-LV"/>
              </w:rPr>
              <w:t>Informācijas tehnoloģijas</w:t>
            </w:r>
          </w:p>
        </w:tc>
      </w:tr>
      <w:tr w:rsidR="00713581" w:rsidRPr="00112819" w:rsidTr="00734FAB">
        <w:tc>
          <w:tcPr>
            <w:tcW w:w="2240" w:type="dxa"/>
            <w:tcBorders>
              <w:top w:val="single" w:sz="8" w:space="0" w:color="999999"/>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IZM</w:t>
            </w:r>
          </w:p>
        </w:tc>
        <w:tc>
          <w:tcPr>
            <w:tcW w:w="6980" w:type="dxa"/>
            <w:tcBorders>
              <w:top w:val="single" w:sz="8" w:space="0" w:color="999999"/>
              <w:left w:val="nil"/>
              <w:bottom w:val="single" w:sz="8" w:space="0" w:color="999999"/>
              <w:right w:val="nil"/>
            </w:tcBorders>
            <w:hideMark/>
          </w:tcPr>
          <w:p w:rsidR="00713581" w:rsidRPr="00112819" w:rsidRDefault="00713581" w:rsidP="00734FAB">
            <w:pPr>
              <w:pStyle w:val="ISTableText"/>
              <w:rPr>
                <w:szCs w:val="18"/>
                <w:lang w:eastAsia="lv-LV"/>
              </w:rPr>
            </w:pPr>
            <w:r w:rsidRPr="00112819">
              <w:rPr>
                <w:szCs w:val="18"/>
                <w:lang w:eastAsia="lv-LV"/>
              </w:rPr>
              <w:t>Izglītības un zinātnes ministrija</w:t>
            </w:r>
          </w:p>
        </w:tc>
      </w:tr>
      <w:tr w:rsidR="00713581" w:rsidRPr="00112819" w:rsidTr="00734FAB">
        <w:tc>
          <w:tcPr>
            <w:tcW w:w="2240" w:type="dxa"/>
            <w:tcBorders>
              <w:top w:val="nil"/>
              <w:left w:val="nil"/>
              <w:bottom w:val="nil"/>
              <w:right w:val="nil"/>
            </w:tcBorders>
            <w:hideMark/>
          </w:tcPr>
          <w:p w:rsidR="00713581" w:rsidRPr="00112819" w:rsidRDefault="00713581" w:rsidP="00734FAB">
            <w:pPr>
              <w:pStyle w:val="ISTableText"/>
              <w:jc w:val="left"/>
              <w:rPr>
                <w:szCs w:val="18"/>
                <w:lang w:eastAsia="lv-LV"/>
              </w:rPr>
            </w:pPr>
            <w:r w:rsidRPr="00112819">
              <w:rPr>
                <w:szCs w:val="18"/>
                <w:lang w:eastAsia="lv-LV"/>
              </w:rPr>
              <w:t>KA</w:t>
            </w:r>
          </w:p>
        </w:tc>
        <w:tc>
          <w:tcPr>
            <w:tcW w:w="6980" w:type="dxa"/>
            <w:tcBorders>
              <w:top w:val="nil"/>
              <w:left w:val="nil"/>
              <w:bottom w:val="nil"/>
              <w:right w:val="nil"/>
            </w:tcBorders>
            <w:hideMark/>
          </w:tcPr>
          <w:p w:rsidR="00713581" w:rsidRPr="00112819" w:rsidRDefault="00713581" w:rsidP="00734FAB">
            <w:pPr>
              <w:pStyle w:val="ISTableText"/>
              <w:rPr>
                <w:szCs w:val="18"/>
                <w:lang w:eastAsia="lv-LV"/>
              </w:rPr>
            </w:pPr>
            <w:r w:rsidRPr="00112819">
              <w:rPr>
                <w:szCs w:val="18"/>
                <w:lang w:eastAsia="lv-LV"/>
              </w:rPr>
              <w:t>Klientu apkalpošana</w:t>
            </w:r>
          </w:p>
        </w:tc>
      </w:tr>
      <w:tr w:rsidR="00713581" w:rsidRPr="00112819" w:rsidTr="00734FAB">
        <w:tc>
          <w:tcPr>
            <w:tcW w:w="2240" w:type="dxa"/>
            <w:tcBorders>
              <w:top w:val="single" w:sz="8" w:space="0" w:color="999999"/>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KAC</w:t>
            </w:r>
          </w:p>
        </w:tc>
        <w:tc>
          <w:tcPr>
            <w:tcW w:w="6980" w:type="dxa"/>
            <w:tcBorders>
              <w:top w:val="single" w:sz="8" w:space="0" w:color="999999"/>
              <w:left w:val="nil"/>
              <w:bottom w:val="single" w:sz="8" w:space="0" w:color="999999"/>
              <w:right w:val="nil"/>
            </w:tcBorders>
            <w:hideMark/>
          </w:tcPr>
          <w:p w:rsidR="00713581" w:rsidRPr="00112819" w:rsidRDefault="00713581" w:rsidP="00734FAB">
            <w:pPr>
              <w:pStyle w:val="ISTableText"/>
              <w:rPr>
                <w:szCs w:val="18"/>
                <w:lang w:eastAsia="lv-LV"/>
              </w:rPr>
            </w:pPr>
            <w:r w:rsidRPr="00112819">
              <w:rPr>
                <w:szCs w:val="18"/>
                <w:lang w:eastAsia="lv-LV"/>
              </w:rPr>
              <w:t>Klientu apkalpošanas centrs</w:t>
            </w:r>
          </w:p>
        </w:tc>
      </w:tr>
      <w:tr w:rsidR="00713581" w:rsidRPr="00112819" w:rsidTr="00734FAB">
        <w:tc>
          <w:tcPr>
            <w:tcW w:w="2240" w:type="dxa"/>
            <w:tcBorders>
              <w:top w:val="nil"/>
              <w:left w:val="nil"/>
              <w:bottom w:val="nil"/>
              <w:right w:val="nil"/>
            </w:tcBorders>
            <w:hideMark/>
          </w:tcPr>
          <w:p w:rsidR="00713581" w:rsidRPr="00112819" w:rsidRDefault="00713581" w:rsidP="00734FAB">
            <w:pPr>
              <w:pStyle w:val="ISTableText"/>
              <w:jc w:val="left"/>
              <w:rPr>
                <w:szCs w:val="18"/>
                <w:lang w:eastAsia="lv-LV"/>
              </w:rPr>
            </w:pPr>
            <w:r w:rsidRPr="00112819">
              <w:rPr>
                <w:szCs w:val="18"/>
                <w:lang w:eastAsia="lv-LV"/>
              </w:rPr>
              <w:t>KM</w:t>
            </w:r>
          </w:p>
        </w:tc>
        <w:tc>
          <w:tcPr>
            <w:tcW w:w="6980" w:type="dxa"/>
            <w:tcBorders>
              <w:top w:val="nil"/>
              <w:left w:val="nil"/>
              <w:bottom w:val="nil"/>
              <w:right w:val="nil"/>
            </w:tcBorders>
            <w:hideMark/>
          </w:tcPr>
          <w:p w:rsidR="00713581" w:rsidRPr="00112819" w:rsidRDefault="00713581" w:rsidP="00734FAB">
            <w:pPr>
              <w:pStyle w:val="ISTableText"/>
              <w:rPr>
                <w:szCs w:val="18"/>
              </w:rPr>
            </w:pPr>
            <w:r w:rsidRPr="00112819">
              <w:rPr>
                <w:szCs w:val="18"/>
              </w:rPr>
              <w:t>Kultūras ministrija</w:t>
            </w:r>
          </w:p>
        </w:tc>
      </w:tr>
      <w:tr w:rsidR="00713581" w:rsidRPr="00112819" w:rsidTr="00734FAB">
        <w:tc>
          <w:tcPr>
            <w:tcW w:w="2240" w:type="dxa"/>
            <w:tcBorders>
              <w:top w:val="single" w:sz="8" w:space="0" w:color="999999"/>
              <w:left w:val="nil"/>
              <w:bottom w:val="single" w:sz="8" w:space="0" w:color="999999"/>
              <w:right w:val="nil"/>
            </w:tcBorders>
          </w:tcPr>
          <w:p w:rsidR="00713581" w:rsidRPr="00112819" w:rsidRDefault="00713581" w:rsidP="00734FAB">
            <w:pPr>
              <w:pStyle w:val="ISTableText"/>
              <w:jc w:val="left"/>
              <w:rPr>
                <w:szCs w:val="18"/>
                <w:lang w:eastAsia="lv-LV"/>
              </w:rPr>
            </w:pPr>
            <w:r w:rsidRPr="00112819">
              <w:rPr>
                <w:szCs w:val="18"/>
                <w:lang w:eastAsia="lv-LV"/>
              </w:rPr>
              <w:t>LAD</w:t>
            </w:r>
          </w:p>
        </w:tc>
        <w:tc>
          <w:tcPr>
            <w:tcW w:w="6980" w:type="dxa"/>
            <w:tcBorders>
              <w:top w:val="single" w:sz="8" w:space="0" w:color="999999"/>
              <w:left w:val="nil"/>
              <w:bottom w:val="single" w:sz="8" w:space="0" w:color="999999"/>
              <w:right w:val="nil"/>
            </w:tcBorders>
          </w:tcPr>
          <w:p w:rsidR="00713581" w:rsidRPr="00112819" w:rsidRDefault="00713581" w:rsidP="00734FAB">
            <w:pPr>
              <w:pStyle w:val="ISTableText"/>
              <w:rPr>
                <w:szCs w:val="18"/>
              </w:rPr>
            </w:pPr>
            <w:r w:rsidRPr="00112819">
              <w:rPr>
                <w:szCs w:val="18"/>
              </w:rPr>
              <w:t>Lauku atbalsta dienests</w:t>
            </w:r>
          </w:p>
        </w:tc>
      </w:tr>
      <w:tr w:rsidR="00BA4CB7" w:rsidRPr="00112819" w:rsidTr="00734FAB">
        <w:tc>
          <w:tcPr>
            <w:tcW w:w="2240" w:type="dxa"/>
            <w:tcBorders>
              <w:top w:val="single" w:sz="8" w:space="0" w:color="999999"/>
              <w:left w:val="nil"/>
              <w:bottom w:val="single" w:sz="8" w:space="0" w:color="999999"/>
              <w:right w:val="nil"/>
            </w:tcBorders>
          </w:tcPr>
          <w:p w:rsidR="00BA4CB7" w:rsidRPr="00112819" w:rsidRDefault="00BA4CB7" w:rsidP="00734FAB">
            <w:pPr>
              <w:pStyle w:val="ISTableText"/>
              <w:jc w:val="left"/>
              <w:rPr>
                <w:szCs w:val="18"/>
                <w:lang w:eastAsia="lv-LV"/>
              </w:rPr>
            </w:pPr>
            <w:r>
              <w:rPr>
                <w:szCs w:val="18"/>
                <w:lang w:eastAsia="lv-LV"/>
              </w:rPr>
              <w:t>LĢIA</w:t>
            </w:r>
          </w:p>
        </w:tc>
        <w:tc>
          <w:tcPr>
            <w:tcW w:w="6980" w:type="dxa"/>
            <w:tcBorders>
              <w:top w:val="single" w:sz="8" w:space="0" w:color="999999"/>
              <w:left w:val="nil"/>
              <w:bottom w:val="single" w:sz="8" w:space="0" w:color="999999"/>
              <w:right w:val="nil"/>
            </w:tcBorders>
          </w:tcPr>
          <w:p w:rsidR="00BA4CB7" w:rsidRPr="00112819" w:rsidRDefault="00BA4CB7" w:rsidP="00734FAB">
            <w:pPr>
              <w:pStyle w:val="ISTableText"/>
              <w:rPr>
                <w:szCs w:val="18"/>
              </w:rPr>
            </w:pPr>
            <w:r>
              <w:rPr>
                <w:szCs w:val="18"/>
              </w:rPr>
              <w:t>Latvijas Ģeotelpiskās informācijas aģentūra</w:t>
            </w:r>
          </w:p>
        </w:tc>
      </w:tr>
      <w:tr w:rsidR="00713581" w:rsidRPr="00112819" w:rsidTr="00734FAB">
        <w:tc>
          <w:tcPr>
            <w:tcW w:w="2240" w:type="dxa"/>
            <w:tcBorders>
              <w:top w:val="nil"/>
              <w:left w:val="nil"/>
              <w:bottom w:val="nil"/>
              <w:right w:val="nil"/>
            </w:tcBorders>
            <w:hideMark/>
          </w:tcPr>
          <w:p w:rsidR="00713581" w:rsidRPr="00112819" w:rsidRDefault="00713581" w:rsidP="00734FAB">
            <w:pPr>
              <w:pStyle w:val="ISTableText"/>
              <w:jc w:val="left"/>
              <w:rPr>
                <w:szCs w:val="18"/>
                <w:lang w:eastAsia="lv-LV"/>
              </w:rPr>
            </w:pPr>
            <w:r w:rsidRPr="00112819">
              <w:rPr>
                <w:szCs w:val="18"/>
                <w:lang w:eastAsia="lv-LV"/>
              </w:rPr>
              <w:t>LR</w:t>
            </w:r>
          </w:p>
        </w:tc>
        <w:tc>
          <w:tcPr>
            <w:tcW w:w="6980" w:type="dxa"/>
            <w:tcBorders>
              <w:top w:val="nil"/>
              <w:left w:val="nil"/>
              <w:bottom w:val="nil"/>
              <w:right w:val="nil"/>
            </w:tcBorders>
            <w:hideMark/>
          </w:tcPr>
          <w:p w:rsidR="00713581" w:rsidRPr="00112819" w:rsidRDefault="00713581" w:rsidP="00734FAB">
            <w:pPr>
              <w:pStyle w:val="ISTableText"/>
              <w:rPr>
                <w:szCs w:val="18"/>
                <w:lang w:eastAsia="lv-LV"/>
              </w:rPr>
            </w:pPr>
            <w:r w:rsidRPr="00112819">
              <w:rPr>
                <w:szCs w:val="18"/>
                <w:lang w:eastAsia="lv-LV"/>
              </w:rPr>
              <w:t>Latvijas Republika</w:t>
            </w:r>
          </w:p>
        </w:tc>
      </w:tr>
      <w:tr w:rsidR="00713581" w:rsidRPr="00112819" w:rsidTr="00734FAB">
        <w:tc>
          <w:tcPr>
            <w:tcW w:w="2240" w:type="dxa"/>
            <w:tcBorders>
              <w:top w:val="single" w:sz="8" w:space="0" w:color="999999"/>
              <w:left w:val="nil"/>
              <w:bottom w:val="single" w:sz="8" w:space="0" w:color="999999"/>
              <w:right w:val="nil"/>
            </w:tcBorders>
          </w:tcPr>
          <w:p w:rsidR="00713581" w:rsidRPr="00DC1FE2" w:rsidRDefault="00713581" w:rsidP="00734FAB">
            <w:pPr>
              <w:pStyle w:val="ISTableText"/>
              <w:jc w:val="left"/>
              <w:rPr>
                <w:szCs w:val="18"/>
                <w:lang w:eastAsia="lv-LV"/>
              </w:rPr>
            </w:pPr>
            <w:r w:rsidRPr="00DC1FE2">
              <w:rPr>
                <w:szCs w:val="18"/>
                <w:lang w:eastAsia="lv-LV"/>
              </w:rPr>
              <w:t>P</w:t>
            </w:r>
            <w:r>
              <w:rPr>
                <w:szCs w:val="18"/>
                <w:lang w:eastAsia="lv-LV"/>
              </w:rPr>
              <w:t xml:space="preserve">ublisko pakalpojumu sistēmas </w:t>
            </w:r>
            <w:r w:rsidRPr="00DC1FE2">
              <w:rPr>
                <w:szCs w:val="18"/>
                <w:lang w:eastAsia="lv-LV"/>
              </w:rPr>
              <w:t>pilnveides koncepcija</w:t>
            </w:r>
          </w:p>
        </w:tc>
        <w:tc>
          <w:tcPr>
            <w:tcW w:w="6980" w:type="dxa"/>
            <w:tcBorders>
              <w:top w:val="single" w:sz="8" w:space="0" w:color="999999"/>
              <w:left w:val="nil"/>
              <w:bottom w:val="single" w:sz="8" w:space="0" w:color="999999"/>
              <w:right w:val="nil"/>
            </w:tcBorders>
          </w:tcPr>
          <w:p w:rsidR="00713581" w:rsidRPr="00DC1FE2" w:rsidRDefault="00713581" w:rsidP="00734FAB">
            <w:pPr>
              <w:pStyle w:val="ISTableText"/>
              <w:rPr>
                <w:szCs w:val="22"/>
                <w:lang w:eastAsia="lv-LV"/>
              </w:rPr>
            </w:pPr>
            <w:r w:rsidRPr="00DC1FE2">
              <w:t>Koncepcija par publisko pakalpojumu sistēmas pilnveidi. Ministru kabineta 2013.gada 19.februāra rīkojums Nr. 58.</w:t>
            </w:r>
          </w:p>
        </w:tc>
      </w:tr>
      <w:tr w:rsidR="00713581" w:rsidRPr="00112819" w:rsidTr="00734FAB">
        <w:tc>
          <w:tcPr>
            <w:tcW w:w="2240" w:type="dxa"/>
            <w:tcBorders>
              <w:top w:val="single" w:sz="8" w:space="0" w:color="999999"/>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SM</w:t>
            </w:r>
          </w:p>
        </w:tc>
        <w:tc>
          <w:tcPr>
            <w:tcW w:w="6980" w:type="dxa"/>
            <w:tcBorders>
              <w:top w:val="single" w:sz="8" w:space="0" w:color="999999"/>
              <w:left w:val="nil"/>
              <w:bottom w:val="single" w:sz="8" w:space="0" w:color="999999"/>
              <w:right w:val="nil"/>
            </w:tcBorders>
            <w:hideMark/>
          </w:tcPr>
          <w:p w:rsidR="00713581" w:rsidRPr="00112819" w:rsidRDefault="00713581" w:rsidP="00734FAB">
            <w:pPr>
              <w:pStyle w:val="ISTableText"/>
              <w:rPr>
                <w:szCs w:val="18"/>
                <w:lang w:eastAsia="lv-LV"/>
              </w:rPr>
            </w:pPr>
            <w:r w:rsidRPr="00112819">
              <w:rPr>
                <w:szCs w:val="18"/>
                <w:lang w:eastAsia="lv-LV"/>
              </w:rPr>
              <w:t>Satiksmes ministrija</w:t>
            </w:r>
          </w:p>
        </w:tc>
      </w:tr>
      <w:tr w:rsidR="00713581" w:rsidRPr="00112819" w:rsidTr="00734FAB">
        <w:tc>
          <w:tcPr>
            <w:tcW w:w="2240" w:type="dxa"/>
            <w:tcBorders>
              <w:top w:val="nil"/>
              <w:left w:val="nil"/>
              <w:bottom w:val="nil"/>
              <w:right w:val="nil"/>
            </w:tcBorders>
            <w:hideMark/>
          </w:tcPr>
          <w:p w:rsidR="00713581" w:rsidRPr="00112819" w:rsidRDefault="00713581" w:rsidP="00734FAB">
            <w:pPr>
              <w:pStyle w:val="ISTableText"/>
              <w:jc w:val="left"/>
              <w:rPr>
                <w:szCs w:val="18"/>
                <w:lang w:eastAsia="lv-LV"/>
              </w:rPr>
            </w:pPr>
            <w:r w:rsidRPr="00112819">
              <w:rPr>
                <w:szCs w:val="18"/>
                <w:lang w:eastAsia="lv-LV"/>
              </w:rPr>
              <w:t>VARAM</w:t>
            </w:r>
          </w:p>
        </w:tc>
        <w:tc>
          <w:tcPr>
            <w:tcW w:w="6980" w:type="dxa"/>
            <w:tcBorders>
              <w:top w:val="nil"/>
              <w:left w:val="nil"/>
              <w:bottom w:val="nil"/>
              <w:right w:val="nil"/>
            </w:tcBorders>
            <w:hideMark/>
          </w:tcPr>
          <w:p w:rsidR="00713581" w:rsidRPr="00112819" w:rsidRDefault="00713581" w:rsidP="00734FAB">
            <w:pPr>
              <w:pStyle w:val="ISTableText"/>
              <w:rPr>
                <w:szCs w:val="18"/>
                <w:lang w:eastAsia="lv-LV"/>
              </w:rPr>
            </w:pPr>
            <w:r w:rsidRPr="00112819">
              <w:rPr>
                <w:szCs w:val="18"/>
                <w:lang w:eastAsia="lv-LV"/>
              </w:rPr>
              <w:t>Vides aizsardzības un reģionālas attīstības ministrija</w:t>
            </w:r>
          </w:p>
        </w:tc>
      </w:tr>
      <w:tr w:rsidR="00713581" w:rsidRPr="00112819" w:rsidTr="00734FAB">
        <w:tc>
          <w:tcPr>
            <w:tcW w:w="2240" w:type="dxa"/>
            <w:tcBorders>
              <w:top w:val="single" w:sz="8" w:space="0" w:color="999999"/>
              <w:left w:val="nil"/>
              <w:bottom w:val="single" w:sz="8" w:space="0" w:color="999999"/>
              <w:right w:val="nil"/>
            </w:tcBorders>
          </w:tcPr>
          <w:p w:rsidR="00713581" w:rsidRPr="00112819" w:rsidRDefault="00713581" w:rsidP="00734FAB">
            <w:pPr>
              <w:pStyle w:val="ISTableText"/>
              <w:jc w:val="left"/>
              <w:rPr>
                <w:szCs w:val="18"/>
                <w:lang w:eastAsia="lv-LV"/>
              </w:rPr>
            </w:pPr>
            <w:r>
              <w:rPr>
                <w:szCs w:val="18"/>
                <w:lang w:eastAsia="lv-LV"/>
              </w:rPr>
              <w:t>VARAM IKT bloks</w:t>
            </w:r>
          </w:p>
        </w:tc>
        <w:tc>
          <w:tcPr>
            <w:tcW w:w="6980" w:type="dxa"/>
            <w:tcBorders>
              <w:top w:val="single" w:sz="8" w:space="0" w:color="999999"/>
              <w:left w:val="nil"/>
              <w:bottom w:val="single" w:sz="8" w:space="0" w:color="999999"/>
              <w:right w:val="nil"/>
            </w:tcBorders>
          </w:tcPr>
          <w:p w:rsidR="00713581" w:rsidRPr="00112819" w:rsidRDefault="00713581" w:rsidP="00734FAB">
            <w:pPr>
              <w:pStyle w:val="ISTableText"/>
              <w:rPr>
                <w:szCs w:val="18"/>
                <w:lang w:eastAsia="lv-LV"/>
              </w:rPr>
            </w:pPr>
            <w:r>
              <w:rPr>
                <w:szCs w:val="18"/>
                <w:lang w:eastAsia="lv-LV"/>
              </w:rPr>
              <w:t xml:space="preserve">VARAM amati un struktūrvienības, kas strādā valsts sekretāra vietnieka IKT jautājumos vadībā (Galvenais IS arhitekts, Nozares padomnieks, Publisko </w:t>
            </w:r>
            <w:r>
              <w:rPr>
                <w:szCs w:val="18"/>
                <w:lang w:eastAsia="lv-LV"/>
              </w:rPr>
              <w:lastRenderedPageBreak/>
              <w:t>pakalpojumu un Elektroniskās pārvaldes departamenti),</w:t>
            </w:r>
          </w:p>
        </w:tc>
      </w:tr>
      <w:tr w:rsidR="00713581" w:rsidRPr="00112819" w:rsidTr="00734FAB">
        <w:tc>
          <w:tcPr>
            <w:tcW w:w="2240" w:type="dxa"/>
            <w:tcBorders>
              <w:top w:val="single" w:sz="8" w:space="0" w:color="999999"/>
              <w:left w:val="nil"/>
              <w:bottom w:val="single" w:sz="8" w:space="0" w:color="999999"/>
              <w:right w:val="nil"/>
            </w:tcBorders>
          </w:tcPr>
          <w:p w:rsidR="00713581" w:rsidRPr="00DC1FE2" w:rsidRDefault="00713581" w:rsidP="00734FAB">
            <w:pPr>
              <w:pStyle w:val="ISTableText"/>
              <w:jc w:val="left"/>
              <w:rPr>
                <w:szCs w:val="18"/>
                <w:lang w:eastAsia="lv-LV"/>
              </w:rPr>
            </w:pPr>
            <w:r w:rsidRPr="00DC1FE2">
              <w:rPr>
                <w:szCs w:val="18"/>
                <w:lang w:eastAsia="lv-LV"/>
              </w:rPr>
              <w:lastRenderedPageBreak/>
              <w:t>VID</w:t>
            </w:r>
          </w:p>
        </w:tc>
        <w:tc>
          <w:tcPr>
            <w:tcW w:w="6980" w:type="dxa"/>
            <w:tcBorders>
              <w:top w:val="single" w:sz="8" w:space="0" w:color="999999"/>
              <w:left w:val="nil"/>
              <w:bottom w:val="single" w:sz="8" w:space="0" w:color="999999"/>
              <w:right w:val="nil"/>
            </w:tcBorders>
          </w:tcPr>
          <w:p w:rsidR="00713581" w:rsidRPr="00DC1FE2" w:rsidRDefault="00713581" w:rsidP="00734FAB">
            <w:pPr>
              <w:pStyle w:val="ISTableText"/>
              <w:rPr>
                <w:szCs w:val="18"/>
                <w:lang w:eastAsia="lv-LV"/>
              </w:rPr>
            </w:pPr>
            <w:r w:rsidRPr="00DC1FE2">
              <w:rPr>
                <w:szCs w:val="18"/>
                <w:lang w:eastAsia="lv-LV"/>
              </w:rPr>
              <w:t>Valsts ieņēmumu dienests</w:t>
            </w:r>
          </w:p>
        </w:tc>
      </w:tr>
      <w:tr w:rsidR="00713581" w:rsidRPr="00112819" w:rsidTr="00734FAB">
        <w:tc>
          <w:tcPr>
            <w:tcW w:w="2240" w:type="dxa"/>
            <w:tcBorders>
              <w:top w:val="single" w:sz="8" w:space="0" w:color="999999"/>
              <w:left w:val="nil"/>
              <w:bottom w:val="single" w:sz="8" w:space="0" w:color="999999"/>
              <w:right w:val="nil"/>
            </w:tcBorders>
          </w:tcPr>
          <w:p w:rsidR="00713581" w:rsidRPr="008213E6" w:rsidRDefault="00713581" w:rsidP="00734FAB">
            <w:pPr>
              <w:pStyle w:val="ISTableText"/>
              <w:jc w:val="left"/>
              <w:rPr>
                <w:szCs w:val="18"/>
                <w:highlight w:val="yellow"/>
                <w:lang w:eastAsia="lv-LV"/>
              </w:rPr>
            </w:pPr>
            <w:r>
              <w:rPr>
                <w:szCs w:val="18"/>
                <w:lang w:eastAsia="lv-LV"/>
              </w:rPr>
              <w:t>VIS</w:t>
            </w:r>
          </w:p>
        </w:tc>
        <w:tc>
          <w:tcPr>
            <w:tcW w:w="6980" w:type="dxa"/>
            <w:tcBorders>
              <w:top w:val="single" w:sz="8" w:space="0" w:color="999999"/>
              <w:left w:val="nil"/>
              <w:bottom w:val="single" w:sz="8" w:space="0" w:color="999999"/>
              <w:right w:val="nil"/>
            </w:tcBorders>
          </w:tcPr>
          <w:p w:rsidR="00713581" w:rsidRPr="008213E6" w:rsidRDefault="00713581" w:rsidP="00734FAB">
            <w:pPr>
              <w:pStyle w:val="ISTableText"/>
              <w:rPr>
                <w:szCs w:val="18"/>
                <w:highlight w:val="yellow"/>
                <w:lang w:eastAsia="lv-LV"/>
              </w:rPr>
            </w:pPr>
            <w:r>
              <w:rPr>
                <w:szCs w:val="18"/>
                <w:lang w:eastAsia="lv-LV"/>
              </w:rPr>
              <w:t>Valsts informācijas sistēma</w:t>
            </w:r>
          </w:p>
        </w:tc>
      </w:tr>
      <w:tr w:rsidR="00713581" w:rsidRPr="00112819" w:rsidTr="00734FAB">
        <w:tc>
          <w:tcPr>
            <w:tcW w:w="2240" w:type="dxa"/>
            <w:tcBorders>
              <w:top w:val="single" w:sz="8" w:space="0" w:color="999999"/>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VK</w:t>
            </w:r>
          </w:p>
        </w:tc>
        <w:tc>
          <w:tcPr>
            <w:tcW w:w="6980" w:type="dxa"/>
            <w:tcBorders>
              <w:top w:val="single" w:sz="8" w:space="0" w:color="999999"/>
              <w:left w:val="nil"/>
              <w:bottom w:val="single" w:sz="8" w:space="0" w:color="999999"/>
              <w:right w:val="nil"/>
            </w:tcBorders>
            <w:hideMark/>
          </w:tcPr>
          <w:p w:rsidR="00713581" w:rsidRPr="00112819" w:rsidRDefault="00713581" w:rsidP="00734FAB">
            <w:pPr>
              <w:pStyle w:val="ISTableText"/>
              <w:rPr>
                <w:szCs w:val="18"/>
                <w:lang w:eastAsia="lv-LV"/>
              </w:rPr>
            </w:pPr>
            <w:r w:rsidRPr="00112819">
              <w:rPr>
                <w:szCs w:val="18"/>
                <w:lang w:eastAsia="lv-LV"/>
              </w:rPr>
              <w:t>Valsts kanceleja</w:t>
            </w:r>
          </w:p>
        </w:tc>
      </w:tr>
      <w:tr w:rsidR="00713581" w:rsidRPr="00112819" w:rsidTr="00734FAB">
        <w:tc>
          <w:tcPr>
            <w:tcW w:w="2240" w:type="dxa"/>
            <w:tcBorders>
              <w:top w:val="nil"/>
              <w:left w:val="nil"/>
              <w:bottom w:val="nil"/>
              <w:right w:val="nil"/>
            </w:tcBorders>
            <w:hideMark/>
          </w:tcPr>
          <w:p w:rsidR="00713581" w:rsidRPr="00112819" w:rsidRDefault="00713581" w:rsidP="00734FAB">
            <w:pPr>
              <w:pStyle w:val="ISTableText"/>
              <w:jc w:val="left"/>
              <w:rPr>
                <w:szCs w:val="18"/>
                <w:lang w:eastAsia="lv-LV"/>
              </w:rPr>
            </w:pPr>
            <w:r w:rsidRPr="00112819">
              <w:rPr>
                <w:szCs w:val="18"/>
                <w:lang w:eastAsia="lv-LV"/>
              </w:rPr>
              <w:t>VPA</w:t>
            </w:r>
          </w:p>
        </w:tc>
        <w:tc>
          <w:tcPr>
            <w:tcW w:w="6980" w:type="dxa"/>
            <w:tcBorders>
              <w:top w:val="nil"/>
              <w:left w:val="nil"/>
              <w:bottom w:val="nil"/>
              <w:right w:val="nil"/>
            </w:tcBorders>
            <w:hideMark/>
          </w:tcPr>
          <w:p w:rsidR="00713581" w:rsidRPr="00112819" w:rsidRDefault="00713581" w:rsidP="00734FAB">
            <w:pPr>
              <w:pStyle w:val="ISTableText"/>
              <w:rPr>
                <w:szCs w:val="18"/>
                <w:lang w:eastAsia="lv-LV"/>
              </w:rPr>
            </w:pPr>
            <w:r w:rsidRPr="00112819">
              <w:rPr>
                <w:szCs w:val="18"/>
                <w:lang w:eastAsia="lv-LV"/>
              </w:rPr>
              <w:t>Vienas pieturas aģentūra</w:t>
            </w:r>
          </w:p>
        </w:tc>
      </w:tr>
      <w:tr w:rsidR="00713581" w:rsidRPr="00112819" w:rsidTr="00734FAB">
        <w:tc>
          <w:tcPr>
            <w:tcW w:w="2240" w:type="dxa"/>
            <w:tcBorders>
              <w:top w:val="single" w:sz="8" w:space="0" w:color="999999"/>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VRAA</w:t>
            </w:r>
          </w:p>
        </w:tc>
        <w:tc>
          <w:tcPr>
            <w:tcW w:w="6980" w:type="dxa"/>
            <w:tcBorders>
              <w:top w:val="single" w:sz="8" w:space="0" w:color="999999"/>
              <w:left w:val="nil"/>
              <w:bottom w:val="single" w:sz="8" w:space="0" w:color="999999"/>
              <w:right w:val="nil"/>
            </w:tcBorders>
            <w:hideMark/>
          </w:tcPr>
          <w:p w:rsidR="00713581" w:rsidRPr="00112819" w:rsidRDefault="00713581" w:rsidP="00734FAB">
            <w:pPr>
              <w:pStyle w:val="ISTableText"/>
              <w:rPr>
                <w:szCs w:val="18"/>
                <w:lang w:eastAsia="lv-LV"/>
              </w:rPr>
            </w:pPr>
            <w:r w:rsidRPr="00112819">
              <w:rPr>
                <w:szCs w:val="18"/>
                <w:lang w:eastAsia="lv-LV"/>
              </w:rPr>
              <w:t>Valsts reģionālās attīstības aģentūra</w:t>
            </w:r>
          </w:p>
        </w:tc>
      </w:tr>
      <w:tr w:rsidR="00713581" w:rsidRPr="00112819" w:rsidTr="00734FAB">
        <w:tc>
          <w:tcPr>
            <w:tcW w:w="2240" w:type="dxa"/>
            <w:tcBorders>
              <w:top w:val="nil"/>
              <w:left w:val="nil"/>
              <w:bottom w:val="nil"/>
              <w:right w:val="nil"/>
            </w:tcBorders>
            <w:hideMark/>
          </w:tcPr>
          <w:p w:rsidR="00713581" w:rsidRPr="00112819" w:rsidRDefault="00713581" w:rsidP="00734FAB">
            <w:pPr>
              <w:pStyle w:val="ISTableText"/>
              <w:jc w:val="left"/>
              <w:rPr>
                <w:szCs w:val="18"/>
                <w:lang w:eastAsia="lv-LV"/>
              </w:rPr>
            </w:pPr>
            <w:r w:rsidRPr="00112819">
              <w:rPr>
                <w:szCs w:val="18"/>
                <w:lang w:eastAsia="lv-LV"/>
              </w:rPr>
              <w:t>VSAA</w:t>
            </w:r>
          </w:p>
        </w:tc>
        <w:tc>
          <w:tcPr>
            <w:tcW w:w="6980" w:type="dxa"/>
            <w:tcBorders>
              <w:top w:val="nil"/>
              <w:left w:val="nil"/>
              <w:bottom w:val="nil"/>
              <w:right w:val="nil"/>
            </w:tcBorders>
            <w:hideMark/>
          </w:tcPr>
          <w:p w:rsidR="00713581" w:rsidRPr="00112819" w:rsidRDefault="00713581" w:rsidP="00734FAB">
            <w:pPr>
              <w:pStyle w:val="ISTableText"/>
              <w:rPr>
                <w:szCs w:val="18"/>
                <w:lang w:eastAsia="lv-LV"/>
              </w:rPr>
            </w:pPr>
            <w:r w:rsidRPr="00112819">
              <w:rPr>
                <w:szCs w:val="18"/>
                <w:lang w:eastAsia="lv-LV"/>
              </w:rPr>
              <w:t>Valsts sociālās apdrošināšanas aģentūra</w:t>
            </w:r>
          </w:p>
        </w:tc>
      </w:tr>
      <w:tr w:rsidR="00713581" w:rsidRPr="00112819" w:rsidTr="00734FAB">
        <w:tc>
          <w:tcPr>
            <w:tcW w:w="2240" w:type="dxa"/>
            <w:tcBorders>
              <w:top w:val="single" w:sz="8" w:space="0" w:color="999999"/>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VZD</w:t>
            </w:r>
          </w:p>
        </w:tc>
        <w:tc>
          <w:tcPr>
            <w:tcW w:w="6980" w:type="dxa"/>
            <w:tcBorders>
              <w:top w:val="single" w:sz="8" w:space="0" w:color="999999"/>
              <w:left w:val="nil"/>
              <w:bottom w:val="single" w:sz="8" w:space="0" w:color="999999"/>
              <w:right w:val="nil"/>
            </w:tcBorders>
            <w:hideMark/>
          </w:tcPr>
          <w:p w:rsidR="00713581" w:rsidRPr="00112819" w:rsidRDefault="00713581" w:rsidP="00734FAB">
            <w:pPr>
              <w:pStyle w:val="ISTableText"/>
              <w:rPr>
                <w:szCs w:val="18"/>
                <w:lang w:eastAsia="lv-LV"/>
              </w:rPr>
            </w:pPr>
            <w:r w:rsidRPr="00112819">
              <w:rPr>
                <w:szCs w:val="18"/>
                <w:lang w:eastAsia="lv-LV"/>
              </w:rPr>
              <w:t>Valsts zemes dienests</w:t>
            </w:r>
          </w:p>
        </w:tc>
      </w:tr>
      <w:tr w:rsidR="00713581" w:rsidRPr="00112819" w:rsidTr="00734FAB">
        <w:tc>
          <w:tcPr>
            <w:tcW w:w="2240" w:type="dxa"/>
            <w:tcBorders>
              <w:top w:val="nil"/>
              <w:left w:val="nil"/>
              <w:bottom w:val="single" w:sz="8" w:space="0" w:color="999999"/>
              <w:right w:val="nil"/>
            </w:tcBorders>
            <w:hideMark/>
          </w:tcPr>
          <w:p w:rsidR="00713581" w:rsidRPr="00112819" w:rsidRDefault="00713581" w:rsidP="00734FAB">
            <w:pPr>
              <w:pStyle w:val="ISTableText"/>
              <w:jc w:val="left"/>
              <w:rPr>
                <w:szCs w:val="18"/>
                <w:lang w:eastAsia="lv-LV"/>
              </w:rPr>
            </w:pPr>
            <w:r w:rsidRPr="00112819">
              <w:rPr>
                <w:szCs w:val="18"/>
                <w:lang w:eastAsia="lv-LV"/>
              </w:rPr>
              <w:t>ZM</w:t>
            </w:r>
          </w:p>
        </w:tc>
        <w:tc>
          <w:tcPr>
            <w:tcW w:w="6980" w:type="dxa"/>
            <w:tcBorders>
              <w:top w:val="nil"/>
              <w:left w:val="nil"/>
              <w:bottom w:val="single" w:sz="8" w:space="0" w:color="999999"/>
              <w:right w:val="nil"/>
            </w:tcBorders>
            <w:hideMark/>
          </w:tcPr>
          <w:p w:rsidR="00713581" w:rsidRPr="00112819" w:rsidRDefault="00713581" w:rsidP="00713581">
            <w:pPr>
              <w:pStyle w:val="ISTableText"/>
              <w:rPr>
                <w:szCs w:val="18"/>
                <w:lang w:eastAsia="lv-LV"/>
              </w:rPr>
            </w:pPr>
            <w:r w:rsidRPr="00112819">
              <w:rPr>
                <w:szCs w:val="18"/>
                <w:lang w:eastAsia="lv-LV"/>
              </w:rPr>
              <w:t>Zemkopības ministrija</w:t>
            </w:r>
          </w:p>
        </w:tc>
      </w:tr>
    </w:tbl>
    <w:p w:rsidR="00713581" w:rsidRPr="005315EC" w:rsidRDefault="00713581" w:rsidP="005315EC">
      <w:pPr>
        <w:pStyle w:val="ISBodyText"/>
        <w:rPr>
          <w:highlight w:val="yellow"/>
        </w:rPr>
      </w:pPr>
    </w:p>
    <w:p w:rsidR="00B810FF" w:rsidRDefault="0065759B" w:rsidP="00760C10">
      <w:pPr>
        <w:pStyle w:val="ISHeading1"/>
      </w:pPr>
      <w:bookmarkStart w:id="23" w:name="_Toc384377508"/>
      <w:bookmarkStart w:id="24" w:name="_Toc392680527"/>
      <w:bookmarkStart w:id="25" w:name="_Toc410146978"/>
      <w:bookmarkEnd w:id="5"/>
      <w:bookmarkEnd w:id="6"/>
      <w:r>
        <w:lastRenderedPageBreak/>
        <w:t>Publisk</w:t>
      </w:r>
      <w:r w:rsidR="00A44418">
        <w:t xml:space="preserve">ās </w:t>
      </w:r>
      <w:r>
        <w:t xml:space="preserve">pārvaldes procesu </w:t>
      </w:r>
      <w:r w:rsidR="00B810FF" w:rsidRPr="00E9397E">
        <w:t>arhitektūra</w:t>
      </w:r>
      <w:bookmarkEnd w:id="23"/>
      <w:bookmarkEnd w:id="24"/>
      <w:bookmarkEnd w:id="25"/>
    </w:p>
    <w:p w:rsidR="00A642E3" w:rsidRDefault="00B428D3" w:rsidP="0065759B">
      <w:pPr>
        <w:pStyle w:val="ISBodyText"/>
      </w:pPr>
      <w:r w:rsidRPr="003A553B">
        <w:t xml:space="preserve">Publiskās pārvaldes procesu arhitektūras principi ir sadalīti trijās grupās. Pirmajā – procesu attīstības vispārējo principu grupā ir iekļauti </w:t>
      </w:r>
      <w:r w:rsidR="00A642E3" w:rsidRPr="003A553B">
        <w:t xml:space="preserve">divi vispārēji pamatprincipi, kas attiecināmi uz visu publisko pārvaldi. </w:t>
      </w:r>
      <w:r w:rsidR="007458FE" w:rsidRPr="003A553B">
        <w:t>Turpretī otrā un t</w:t>
      </w:r>
      <w:r w:rsidR="00A642E3" w:rsidRPr="003A553B">
        <w:t xml:space="preserve">rešā principu grupas attiecas uz publiskās pārvaldes procesu jomām, kas ir </w:t>
      </w:r>
      <w:r w:rsidR="003A553B" w:rsidRPr="003A553B">
        <w:t xml:space="preserve">visciešākajā saistībā ar </w:t>
      </w:r>
      <w:r w:rsidR="00A642E3" w:rsidRPr="003A553B">
        <w:t>VARAM IKT blok</w:t>
      </w:r>
      <w:r w:rsidR="003A553B" w:rsidRPr="003A553B">
        <w:t xml:space="preserve">ā ietilpstošo publisko pakalpojumu un elektroniskās pārvaldes departamentu atbildības </w:t>
      </w:r>
      <w:r w:rsidR="00CB55BE" w:rsidRPr="003A553B">
        <w:t>sfērā</w:t>
      </w:r>
      <w:r w:rsidR="003A553B" w:rsidRPr="003A553B">
        <w:t>m no politikas veidošanas un izpildes uzraudzības viedokļa</w:t>
      </w:r>
      <w:r w:rsidR="00CB55BE" w:rsidRPr="003A553B">
        <w:t xml:space="preserve"> – publisko pakalpojumu, kā arī </w:t>
      </w:r>
      <w:r w:rsidR="003A553B" w:rsidRPr="003A553B">
        <w:t xml:space="preserve">publiskās pārvaldes </w:t>
      </w:r>
      <w:r w:rsidR="00CB55BE" w:rsidRPr="003A553B">
        <w:t>IKT attīstīb</w:t>
      </w:r>
      <w:r w:rsidR="003A553B" w:rsidRPr="003A553B">
        <w:t xml:space="preserve">u un IKT atbalstu. </w:t>
      </w:r>
    </w:p>
    <w:p w:rsidR="000F15E7" w:rsidRDefault="00E85BC3" w:rsidP="00E40F7E">
      <w:pPr>
        <w:pStyle w:val="ISHeading2"/>
      </w:pPr>
      <w:bookmarkStart w:id="26" w:name="_Toc392680529"/>
      <w:bookmarkStart w:id="27" w:name="_Toc410146979"/>
      <w:bookmarkStart w:id="28" w:name="_Toc392680528"/>
      <w:r>
        <w:t xml:space="preserve">Publiskās pārvaldes </w:t>
      </w:r>
      <w:r w:rsidR="00FC64CC">
        <w:t>procesu attīstība</w:t>
      </w:r>
      <w:bookmarkEnd w:id="26"/>
      <w:r w:rsidR="00FC64CC">
        <w:t xml:space="preserve">s </w:t>
      </w:r>
      <w:r w:rsidR="007B3BEB">
        <w:t>pamat</w:t>
      </w:r>
      <w:r w:rsidR="00FC64CC">
        <w:t>principi</w:t>
      </w:r>
      <w:bookmarkEnd w:id="27"/>
    </w:p>
    <w:p w:rsidR="0018664B" w:rsidRPr="00AF01DF" w:rsidRDefault="00A40D30" w:rsidP="0018664B">
      <w:pPr>
        <w:pStyle w:val="ISBodyText"/>
        <w:rPr>
          <w:lang w:eastAsia="lv-LV"/>
        </w:rPr>
      </w:pPr>
      <w:r w:rsidRPr="00AF01DF">
        <w:t xml:space="preserve">Atbilstība publiskās pārvaldes procesu attīstības vispārējiem principiem ir izvērtējama visām IKT attīstības programmām un projektiem. Jebkurai IKT attīstības programmai (ar iespējamiem, īpaši pamatojamiem izņēmumiem </w:t>
      </w:r>
      <w:r w:rsidR="007B3BEB" w:rsidRPr="00AF01DF">
        <w:t xml:space="preserve">IKT drošības, darbības nepārtrauktības un ar to saistītās jomās) </w:t>
      </w:r>
      <w:r w:rsidRPr="00AF01DF">
        <w:t>ir tieši un mērāmi jāsekmē vismaz viena</w:t>
      </w:r>
      <w:r w:rsidR="007B3BEB" w:rsidRPr="00AF01DF">
        <w:t xml:space="preserve"> no diviem pamatprincipiem īstenošanu. Publisko pakalpojumu uzlabojumu un pārvaldes efektivitātes programmām un projektiem ir jābūt orientētiem uz mērāmu uzlabojumu sasniegšanu pārvaldes procesu modernizācijā tos elektronizējot, savukārt koplietošanas platformu,</w:t>
      </w:r>
      <w:r w:rsidR="004841C9" w:rsidRPr="00AF01DF">
        <w:t xml:space="preserve"> risinājumu un infrastruktūras attīstības programmām un projektiem ir jābūt orientētiem uz mērāmu uzlabojumu sasniegšanu publiskās pārvaldes institūciju efektīvas sadarbības jomā. </w:t>
      </w:r>
    </w:p>
    <w:p w:rsidR="00FC64CC" w:rsidRDefault="00FC64CC" w:rsidP="009A7C5C">
      <w:pPr>
        <w:pStyle w:val="Princips"/>
      </w:pPr>
      <w:bookmarkStart w:id="29" w:name="_Toc410146980"/>
      <w:r>
        <w:t>Publiskās pārvaldes modernizācija</w:t>
      </w:r>
      <w:r w:rsidR="000569E5">
        <w:t>,</w:t>
      </w:r>
      <w:r>
        <w:t xml:space="preserve"> to elektronizējot</w:t>
      </w:r>
      <w:bookmarkEnd w:id="29"/>
    </w:p>
    <w:p w:rsidR="00FC64CC" w:rsidRPr="00FC64CC" w:rsidRDefault="00FC64CC" w:rsidP="00FC64CC">
      <w:pPr>
        <w:spacing w:before="120" w:after="120"/>
        <w:jc w:val="both"/>
        <w:rPr>
          <w:rFonts w:eastAsia="MS Mincho" w:cs="Segoe UI"/>
          <w:bCs/>
          <w:szCs w:val="22"/>
        </w:rPr>
      </w:pPr>
      <w:r w:rsidRPr="00FC64CC">
        <w:rPr>
          <w:rFonts w:eastAsia="MS Mincho" w:cs="Segoe UI"/>
          <w:bCs/>
          <w:szCs w:val="22"/>
        </w:rPr>
        <w:t xml:space="preserve">Kā vispārējs pamatprincips valsts pārvaldes pilnveidē tiek noteikta pieeja, ka visa informācijas </w:t>
      </w:r>
      <w:r w:rsidR="00B62486">
        <w:rPr>
          <w:rFonts w:eastAsia="MS Mincho" w:cs="Segoe UI"/>
          <w:bCs/>
          <w:szCs w:val="22"/>
        </w:rPr>
        <w:t xml:space="preserve">aprite </w:t>
      </w:r>
      <w:r w:rsidRPr="00FC64CC">
        <w:rPr>
          <w:rFonts w:eastAsia="MS Mincho" w:cs="Segoe UI"/>
          <w:bCs/>
          <w:szCs w:val="22"/>
        </w:rPr>
        <w:t xml:space="preserve">valsts pārvaldē primāri notiek elektroniskā formā (angliski– </w:t>
      </w:r>
      <w:r w:rsidRPr="00FC64CC">
        <w:rPr>
          <w:rFonts w:eastAsia="MS Mincho" w:cs="Segoe UI"/>
          <w:bCs/>
          <w:i/>
          <w:szCs w:val="22"/>
        </w:rPr>
        <w:t>digital by default</w:t>
      </w:r>
      <w:r w:rsidRPr="00D71D19">
        <w:rPr>
          <w:rFonts w:eastAsia="MS Mincho" w:cs="Segoe UI"/>
          <w:bCs/>
          <w:i/>
          <w:szCs w:val="22"/>
          <w:vertAlign w:val="superscript"/>
        </w:rPr>
        <w:footnoteReference w:id="2"/>
      </w:r>
      <w:r w:rsidRPr="00FC64CC">
        <w:rPr>
          <w:rFonts w:eastAsia="MS Mincho" w:cs="Segoe UI"/>
          <w:bCs/>
          <w:szCs w:val="22"/>
        </w:rPr>
        <w:t>), tajā skaitā, informācijas ap</w:t>
      </w:r>
      <w:r w:rsidR="0017645F">
        <w:rPr>
          <w:rFonts w:eastAsia="MS Mincho" w:cs="Segoe UI"/>
          <w:bCs/>
          <w:szCs w:val="22"/>
        </w:rPr>
        <w:t>rite</w:t>
      </w:r>
      <w:r w:rsidRPr="00FC64CC">
        <w:rPr>
          <w:rFonts w:eastAsia="MS Mincho" w:cs="Segoe UI"/>
          <w:bCs/>
          <w:szCs w:val="22"/>
        </w:rPr>
        <w:t xml:space="preserve"> starp valsts pārvaldes institūcijām – tikai elektroniskā formā. </w:t>
      </w:r>
    </w:p>
    <w:p w:rsidR="00FC64CC" w:rsidRPr="00FC64CC" w:rsidRDefault="00B428D3" w:rsidP="00FC64CC">
      <w:pPr>
        <w:spacing w:before="120" w:after="120"/>
        <w:jc w:val="both"/>
        <w:rPr>
          <w:rFonts w:eastAsia="MS Mincho" w:cs="Segoe UI"/>
          <w:bCs/>
          <w:szCs w:val="22"/>
        </w:rPr>
      </w:pPr>
      <w:r>
        <w:rPr>
          <w:rFonts w:eastAsia="MS Mincho" w:cs="Segoe UI"/>
          <w:bCs/>
          <w:szCs w:val="22"/>
        </w:rPr>
        <w:t>P</w:t>
      </w:r>
      <w:r w:rsidR="00FC64CC" w:rsidRPr="00FC64CC">
        <w:rPr>
          <w:rFonts w:eastAsia="MS Mincho" w:cs="Segoe UI"/>
          <w:bCs/>
          <w:szCs w:val="22"/>
        </w:rPr>
        <w:t>rincipa piemērošana konkrētās jomās izpaužas šādā veidā:</w:t>
      </w:r>
    </w:p>
    <w:p w:rsidR="00FC64CC" w:rsidRPr="00FC64CC" w:rsidRDefault="00FC64CC" w:rsidP="00FC64CC">
      <w:pPr>
        <w:spacing w:before="120" w:after="120"/>
        <w:ind w:left="1080" w:right="28" w:hanging="360"/>
        <w:jc w:val="both"/>
        <w:textAlignment w:val="auto"/>
        <w:rPr>
          <w:rFonts w:eastAsia="MS Mincho" w:cs="Segoe UI"/>
          <w:szCs w:val="18"/>
          <w:lang w:eastAsia="lv-LV"/>
        </w:rPr>
      </w:pPr>
      <w:r w:rsidRPr="00FC64CC">
        <w:rPr>
          <w:rFonts w:eastAsia="MS Mincho" w:cs="Segoe UI"/>
          <w:b/>
          <w:szCs w:val="18"/>
          <w:lang w:eastAsia="lv-LV"/>
        </w:rPr>
        <w:t>Elektroniskie kanāli (portāli u.c.) -  primārais komunikācijas veids ar sabiedrību</w:t>
      </w:r>
      <w:r w:rsidR="00562C1D">
        <w:rPr>
          <w:rFonts w:eastAsia="MS Mincho" w:cs="Segoe UI"/>
          <w:b/>
          <w:szCs w:val="18"/>
          <w:lang w:eastAsia="lv-LV"/>
        </w:rPr>
        <w:t>.</w:t>
      </w:r>
      <w:r w:rsidR="00562C1D">
        <w:rPr>
          <w:rFonts w:eastAsia="MS Mincho" w:cs="Segoe UI"/>
          <w:szCs w:val="18"/>
          <w:lang w:eastAsia="lv-LV"/>
        </w:rPr>
        <w:t xml:space="preserve"> Gan komunikācijai ar sabiedrību k</w:t>
      </w:r>
      <w:r w:rsidRPr="00FC64CC">
        <w:rPr>
          <w:rFonts w:eastAsia="MS Mincho" w:cs="Segoe UI"/>
          <w:szCs w:val="18"/>
          <w:lang w:eastAsia="lv-LV"/>
        </w:rPr>
        <w:t>opumā (informatīvie portāli)</w:t>
      </w:r>
      <w:r w:rsidR="00562C1D">
        <w:rPr>
          <w:rFonts w:eastAsia="MS Mincho" w:cs="Segoe UI"/>
          <w:szCs w:val="18"/>
          <w:lang w:eastAsia="lv-LV"/>
        </w:rPr>
        <w:t>, gan individuāliem klientiem – fiziskām un juridiskām personām</w:t>
      </w:r>
      <w:r w:rsidRPr="00FC64CC">
        <w:rPr>
          <w:rFonts w:eastAsia="MS Mincho" w:cs="Segoe UI"/>
          <w:szCs w:val="18"/>
          <w:lang w:eastAsia="lv-LV"/>
        </w:rPr>
        <w:t xml:space="preserve"> (oficiālā e-adrese u.c. elektroniskie veidi). </w:t>
      </w:r>
      <w:r w:rsidR="00562C1D">
        <w:rPr>
          <w:rFonts w:eastAsia="MS Mincho" w:cs="Segoe UI"/>
          <w:szCs w:val="18"/>
          <w:lang w:eastAsia="lv-LV"/>
        </w:rPr>
        <w:t>Alternatīvo komunikācijas kanālu (klātienes klientu apkalpošana, tradicionālie pasta sūtījumi) izmantošanas intensitāti pakāpeniski jāsamazina, reducējot to uz izņēmuma pakalpojumu sniegšanu (kur fiziskais kontakts ar pakalpojuma saņēmēju vai atrašanās konkrētā vietā ir absolūti nepieciešams)</w:t>
      </w:r>
      <w:r w:rsidR="007E1044">
        <w:rPr>
          <w:rFonts w:eastAsia="MS Mincho" w:cs="Segoe UI"/>
          <w:szCs w:val="18"/>
          <w:lang w:eastAsia="lv-LV"/>
        </w:rPr>
        <w:t xml:space="preserve"> un uz konsultāciju sniegšanu, tai skaitā par e-pakalpojumu izmantošanu.</w:t>
      </w:r>
      <w:r w:rsidR="00562C1D">
        <w:rPr>
          <w:rFonts w:eastAsia="MS Mincho" w:cs="Segoe UI"/>
          <w:szCs w:val="18"/>
          <w:lang w:eastAsia="lv-LV"/>
        </w:rPr>
        <w:t xml:space="preserve"> </w:t>
      </w:r>
    </w:p>
    <w:p w:rsidR="00FC64CC" w:rsidRPr="00FC64CC" w:rsidRDefault="00FC64CC" w:rsidP="00FC64CC">
      <w:pPr>
        <w:spacing w:before="120" w:after="120"/>
        <w:ind w:left="1080" w:right="28" w:hanging="360"/>
        <w:jc w:val="both"/>
        <w:textAlignment w:val="auto"/>
        <w:rPr>
          <w:rFonts w:eastAsia="MS Mincho" w:cs="Segoe UI"/>
          <w:szCs w:val="18"/>
          <w:lang w:eastAsia="lv-LV"/>
        </w:rPr>
      </w:pPr>
      <w:r w:rsidRPr="00FC64CC">
        <w:rPr>
          <w:rFonts w:eastAsia="MS Mincho" w:cs="Segoe UI"/>
          <w:b/>
          <w:szCs w:val="18"/>
          <w:lang w:eastAsia="lv-LV"/>
        </w:rPr>
        <w:t>Pakalpojumu elektronizācija un pašapkalpošanās – galvenā pakalpojumu pilnveides stratēģija, kur tas iespējams - vienīgā</w:t>
      </w:r>
      <w:r w:rsidRPr="00FC64CC">
        <w:rPr>
          <w:rFonts w:eastAsia="MS Mincho" w:cs="Segoe UI"/>
          <w:szCs w:val="18"/>
          <w:lang w:eastAsia="lv-LV"/>
        </w:rPr>
        <w:t>. Visi pakalpojumi (kuri pēc satura to pieļauj) tiek elektronizēti. Ja pakalpojumu būtība un klientu iespējas to pieļauj</w:t>
      </w:r>
      <w:r w:rsidR="00562C1D">
        <w:rPr>
          <w:rFonts w:eastAsia="MS Mincho" w:cs="Segoe UI"/>
          <w:szCs w:val="18"/>
          <w:lang w:eastAsia="lv-LV"/>
        </w:rPr>
        <w:t>,</w:t>
      </w:r>
      <w:r w:rsidRPr="00FC64CC">
        <w:rPr>
          <w:rFonts w:eastAsia="MS Mincho" w:cs="Segoe UI"/>
          <w:szCs w:val="18"/>
          <w:lang w:eastAsia="lv-LV"/>
        </w:rPr>
        <w:t xml:space="preserve"> e-kanāli ti</w:t>
      </w:r>
      <w:r w:rsidR="00562C1D">
        <w:rPr>
          <w:rFonts w:eastAsia="MS Mincho" w:cs="Segoe UI"/>
          <w:szCs w:val="18"/>
          <w:lang w:eastAsia="lv-LV"/>
        </w:rPr>
        <w:t>ek</w:t>
      </w:r>
      <w:r w:rsidRPr="00FC64CC">
        <w:rPr>
          <w:rFonts w:eastAsia="MS Mincho" w:cs="Segoe UI"/>
          <w:szCs w:val="18"/>
          <w:lang w:eastAsia="lv-LV"/>
        </w:rPr>
        <w:t xml:space="preserve"> noteikti kā vienīgais kanāls</w:t>
      </w:r>
      <w:r w:rsidR="00562C1D">
        <w:rPr>
          <w:rFonts w:eastAsia="MS Mincho" w:cs="Segoe UI"/>
          <w:szCs w:val="18"/>
          <w:lang w:eastAsia="lv-LV"/>
        </w:rPr>
        <w:t xml:space="preserve">, pilnībā </w:t>
      </w:r>
      <w:r w:rsidRPr="00FC64CC">
        <w:rPr>
          <w:rFonts w:eastAsia="MS Mincho" w:cs="Segoe UI"/>
          <w:szCs w:val="18"/>
          <w:lang w:eastAsia="lv-LV"/>
        </w:rPr>
        <w:t>likvidējot klātienes apkalpošanu</w:t>
      </w:r>
      <w:r w:rsidR="00562C1D">
        <w:rPr>
          <w:rFonts w:eastAsia="MS Mincho" w:cs="Segoe UI"/>
          <w:szCs w:val="18"/>
          <w:lang w:eastAsia="lv-LV"/>
        </w:rPr>
        <w:t xml:space="preserve"> attiecīgo pakalpojumu </w:t>
      </w:r>
      <w:r w:rsidR="00562C1D">
        <w:rPr>
          <w:rFonts w:eastAsia="MS Mincho" w:cs="Segoe UI"/>
          <w:szCs w:val="18"/>
          <w:lang w:eastAsia="lv-LV"/>
        </w:rPr>
        <w:lastRenderedPageBreak/>
        <w:t xml:space="preserve">pieteikumu pieņemšanai </w:t>
      </w:r>
      <w:r w:rsidRPr="00FC64CC">
        <w:rPr>
          <w:rFonts w:eastAsia="MS Mincho" w:cs="Segoe UI"/>
          <w:szCs w:val="18"/>
          <w:lang w:eastAsia="lv-LV"/>
        </w:rPr>
        <w:t xml:space="preserve">(piemēram, </w:t>
      </w:r>
      <w:r w:rsidR="00562C1D">
        <w:rPr>
          <w:rFonts w:eastAsia="MS Mincho" w:cs="Segoe UI"/>
          <w:szCs w:val="18"/>
          <w:lang w:eastAsia="lv-LV"/>
        </w:rPr>
        <w:t xml:space="preserve">visu ar saimnieciskās darbības </w:t>
      </w:r>
      <w:r w:rsidR="00C9233A">
        <w:rPr>
          <w:rFonts w:eastAsia="MS Mincho" w:cs="Segoe UI"/>
          <w:szCs w:val="18"/>
          <w:lang w:eastAsia="lv-LV"/>
        </w:rPr>
        <w:t xml:space="preserve">uzsākšanu un </w:t>
      </w:r>
      <w:r w:rsidR="00562C1D">
        <w:rPr>
          <w:rFonts w:eastAsia="MS Mincho" w:cs="Segoe UI"/>
          <w:szCs w:val="18"/>
          <w:lang w:eastAsia="lv-LV"/>
        </w:rPr>
        <w:t xml:space="preserve">veikšanu saistītu </w:t>
      </w:r>
      <w:r w:rsidR="00C9233A">
        <w:rPr>
          <w:rFonts w:eastAsia="MS Mincho" w:cs="Segoe UI"/>
          <w:szCs w:val="18"/>
          <w:lang w:eastAsia="lv-LV"/>
        </w:rPr>
        <w:t xml:space="preserve">pakalpojumu pieteikšana </w:t>
      </w:r>
      <w:r w:rsidRPr="00FC64CC">
        <w:rPr>
          <w:rFonts w:eastAsia="MS Mincho" w:cs="Segoe UI"/>
          <w:szCs w:val="18"/>
          <w:lang w:eastAsia="lv-LV"/>
        </w:rPr>
        <w:t>tikai elektroniskā veidā).</w:t>
      </w:r>
    </w:p>
    <w:p w:rsidR="00FC64CC" w:rsidRPr="00FC64CC" w:rsidRDefault="00FC64CC" w:rsidP="00FC64CC">
      <w:pPr>
        <w:spacing w:before="120" w:after="120"/>
        <w:ind w:left="1080" w:right="28" w:hanging="360"/>
        <w:jc w:val="both"/>
        <w:textAlignment w:val="auto"/>
        <w:rPr>
          <w:rFonts w:eastAsia="MS Mincho" w:cs="Segoe UI"/>
          <w:szCs w:val="18"/>
          <w:lang w:eastAsia="lv-LV"/>
        </w:rPr>
      </w:pPr>
      <w:r w:rsidRPr="00D16AC2">
        <w:rPr>
          <w:rFonts w:eastAsia="MS Mincho" w:cs="Segoe UI"/>
          <w:b/>
          <w:szCs w:val="18"/>
          <w:lang w:eastAsia="lv-LV"/>
        </w:rPr>
        <w:t xml:space="preserve">Klientu apkalpošanas </w:t>
      </w:r>
      <w:r w:rsidR="00C9233A" w:rsidRPr="00D16AC2">
        <w:rPr>
          <w:rFonts w:eastAsia="MS Mincho" w:cs="Segoe UI"/>
          <w:b/>
          <w:szCs w:val="18"/>
          <w:lang w:eastAsia="lv-LV"/>
        </w:rPr>
        <w:t xml:space="preserve">funkcijas efektīva deleģēšana, balstoties uz pakalpojumu elektronizēšanu. </w:t>
      </w:r>
      <w:r w:rsidR="00C9233A" w:rsidRPr="00D16AC2">
        <w:rPr>
          <w:rFonts w:eastAsia="MS Mincho" w:cs="Segoe UI"/>
          <w:szCs w:val="18"/>
          <w:lang w:eastAsia="lv-LV"/>
        </w:rPr>
        <w:t>Visvienkāršāk un visefektīvāk klientu apkalpošanas (pakalpojumu pieteikumu pieņemšanas un rezultātu izsniegšanas) funkciju citām organizācijām var deleģēt elektronizētiem pakalpojumiem. Šādā gadījumā iestādei – pakalpojuma turētājam nav atšķirības</w:t>
      </w:r>
      <w:r w:rsidR="007E1044">
        <w:rPr>
          <w:rFonts w:eastAsia="MS Mincho" w:cs="Segoe UI"/>
          <w:szCs w:val="18"/>
          <w:lang w:eastAsia="lv-LV"/>
        </w:rPr>
        <w:t>,</w:t>
      </w:r>
      <w:r w:rsidR="00C9233A" w:rsidRPr="00D16AC2">
        <w:rPr>
          <w:rFonts w:eastAsia="MS Mincho" w:cs="Segoe UI"/>
          <w:szCs w:val="18"/>
          <w:lang w:eastAsia="lv-LV"/>
        </w:rPr>
        <w:t xml:space="preserve"> vai elektroni</w:t>
      </w:r>
      <w:r w:rsidR="00270529">
        <w:rPr>
          <w:rFonts w:eastAsia="MS Mincho" w:cs="Segoe UI"/>
          <w:szCs w:val="18"/>
          <w:lang w:eastAsia="lv-LV"/>
        </w:rPr>
        <w:t xml:space="preserve">zēto </w:t>
      </w:r>
      <w:r w:rsidR="00C9233A" w:rsidRPr="00D16AC2">
        <w:rPr>
          <w:rFonts w:eastAsia="MS Mincho" w:cs="Segoe UI"/>
          <w:szCs w:val="18"/>
          <w:lang w:eastAsia="lv-LV"/>
        </w:rPr>
        <w:t xml:space="preserve">pakalpojumu ir </w:t>
      </w:r>
      <w:r w:rsidR="00270529">
        <w:rPr>
          <w:rFonts w:eastAsia="MS Mincho" w:cs="Segoe UI"/>
          <w:szCs w:val="18"/>
          <w:lang w:eastAsia="lv-LV"/>
        </w:rPr>
        <w:t>pieprasījis</w:t>
      </w:r>
      <w:r w:rsidR="00C9233A" w:rsidRPr="00D16AC2">
        <w:rPr>
          <w:rFonts w:eastAsia="MS Mincho" w:cs="Segoe UI"/>
          <w:szCs w:val="18"/>
          <w:lang w:eastAsia="lv-LV"/>
        </w:rPr>
        <w:t xml:space="preserve"> pats </w:t>
      </w:r>
      <w:r w:rsidR="00270529">
        <w:rPr>
          <w:rFonts w:eastAsia="MS Mincho" w:cs="Segoe UI"/>
          <w:szCs w:val="18"/>
          <w:lang w:eastAsia="lv-LV"/>
        </w:rPr>
        <w:t xml:space="preserve">klients vai </w:t>
      </w:r>
      <w:r w:rsidR="00C9233A" w:rsidRPr="00D16AC2">
        <w:rPr>
          <w:rFonts w:eastAsia="MS Mincho" w:cs="Segoe UI"/>
          <w:szCs w:val="18"/>
          <w:lang w:eastAsia="lv-LV"/>
        </w:rPr>
        <w:t xml:space="preserve">klientu apkalpošanas organizācijas darbinieks klienta uzdevumā. </w:t>
      </w:r>
      <w:r w:rsidR="00D16AC2" w:rsidRPr="00D16AC2">
        <w:rPr>
          <w:rFonts w:eastAsia="MS Mincho" w:cs="Segoe UI"/>
          <w:szCs w:val="18"/>
          <w:lang w:eastAsia="lv-LV"/>
        </w:rPr>
        <w:t xml:space="preserve">Šāds risinājums (dažkārt saukts par e-asistenta modeli) ir maksimāli efektīvs arī no tehniskās realizācijas viedokļa, jo pēc būtības neprasa principiāli atšķirīgus tehnoloģiskus risinājumus klientu pašapkalpošanās e-pakalpojumiem un klientu apkalpošanas organizācijām deleģējamiem </w:t>
      </w:r>
      <w:r w:rsidR="00270529">
        <w:rPr>
          <w:rFonts w:eastAsia="MS Mincho" w:cs="Segoe UI"/>
          <w:szCs w:val="18"/>
          <w:lang w:eastAsia="lv-LV"/>
        </w:rPr>
        <w:t xml:space="preserve">(klientu apkalpošanas funkciju deleģēšanas nozīmē) </w:t>
      </w:r>
      <w:r w:rsidR="00D16AC2" w:rsidRPr="00D16AC2">
        <w:rPr>
          <w:rFonts w:eastAsia="MS Mincho" w:cs="Segoe UI"/>
          <w:szCs w:val="18"/>
          <w:lang w:eastAsia="lv-LV"/>
        </w:rPr>
        <w:t xml:space="preserve">pakalpojumiem. Šāda pieeja ir piemērojama ne tikai risinājumos ar pašu augstāko elektronizācijas līmeni (pilnīgi automatizēts e-pakalpojums), bet arī zemāka automatizācijas līmeņa risinājumos. </w:t>
      </w:r>
    </w:p>
    <w:p w:rsidR="00FC64CC" w:rsidRPr="00FC64CC" w:rsidRDefault="00FC64CC" w:rsidP="00FC64CC">
      <w:pPr>
        <w:spacing w:before="120" w:after="120"/>
        <w:ind w:left="1080" w:right="28" w:hanging="360"/>
        <w:jc w:val="both"/>
        <w:textAlignment w:val="auto"/>
        <w:rPr>
          <w:rFonts w:eastAsia="MS Mincho" w:cs="Segoe UI"/>
          <w:b/>
          <w:szCs w:val="18"/>
          <w:lang w:eastAsia="lv-LV"/>
        </w:rPr>
      </w:pPr>
      <w:r w:rsidRPr="00FC64CC">
        <w:rPr>
          <w:rFonts w:eastAsia="MS Mincho" w:cs="Segoe UI"/>
          <w:b/>
          <w:szCs w:val="18"/>
          <w:lang w:eastAsia="lv-LV"/>
        </w:rPr>
        <w:t xml:space="preserve">Pāreja uz </w:t>
      </w:r>
      <w:r w:rsidRPr="00FC64CC">
        <w:rPr>
          <w:rFonts w:eastAsia="MS Mincho" w:cs="Segoe UI"/>
          <w:b/>
          <w:szCs w:val="18"/>
          <w:u w:val="single"/>
          <w:lang w:eastAsia="lv-LV"/>
        </w:rPr>
        <w:t>pilnībā</w:t>
      </w:r>
      <w:r w:rsidRPr="00FC64CC">
        <w:rPr>
          <w:rFonts w:eastAsia="MS Mincho" w:cs="Segoe UI"/>
          <w:b/>
          <w:szCs w:val="18"/>
          <w:lang w:eastAsia="lv-LV"/>
        </w:rPr>
        <w:t xml:space="preserve"> elektronisku dokumentu aprit</w:t>
      </w:r>
      <w:r w:rsidR="005C6D8D">
        <w:rPr>
          <w:rFonts w:eastAsia="MS Mincho" w:cs="Segoe UI"/>
          <w:b/>
          <w:szCs w:val="18"/>
          <w:lang w:eastAsia="lv-LV"/>
        </w:rPr>
        <w:t>i</w:t>
      </w:r>
      <w:r w:rsidRPr="00FC64CC">
        <w:rPr>
          <w:rFonts w:eastAsia="MS Mincho" w:cs="Segoe UI"/>
          <w:b/>
          <w:szCs w:val="18"/>
          <w:lang w:eastAsia="lv-LV"/>
        </w:rPr>
        <w:t xml:space="preserve"> valsts pārvaldē. </w:t>
      </w:r>
      <w:r w:rsidRPr="00FC64CC">
        <w:rPr>
          <w:rFonts w:eastAsia="MS Mincho" w:cs="Segoe UI"/>
          <w:szCs w:val="18"/>
          <w:lang w:eastAsia="lv-LV"/>
        </w:rPr>
        <w:t>Visa dokumentu un inf</w:t>
      </w:r>
      <w:r w:rsidR="00D16AC2">
        <w:rPr>
          <w:rFonts w:eastAsia="MS Mincho" w:cs="Segoe UI"/>
          <w:szCs w:val="18"/>
          <w:lang w:eastAsia="lv-LV"/>
        </w:rPr>
        <w:t xml:space="preserve">ormācijas aprite valsts pārvaldē (iestādēs iekšēji un starp valsts pārvaldes iestādēm) </w:t>
      </w:r>
      <w:r w:rsidRPr="00FC64CC">
        <w:rPr>
          <w:rFonts w:eastAsia="MS Mincho" w:cs="Segoe UI"/>
          <w:szCs w:val="18"/>
          <w:lang w:eastAsia="lv-LV"/>
        </w:rPr>
        <w:t xml:space="preserve">notiek </w:t>
      </w:r>
      <w:r w:rsidRPr="00FC64CC">
        <w:rPr>
          <w:rFonts w:eastAsia="MS Mincho" w:cs="Segoe UI"/>
          <w:szCs w:val="18"/>
          <w:u w:val="single"/>
          <w:lang w:eastAsia="lv-LV"/>
        </w:rPr>
        <w:t>tikai</w:t>
      </w:r>
      <w:r w:rsidRPr="00FC64CC">
        <w:rPr>
          <w:rFonts w:eastAsia="MS Mincho" w:cs="Segoe UI"/>
          <w:szCs w:val="18"/>
          <w:lang w:eastAsia="lv-LV"/>
        </w:rPr>
        <w:t xml:space="preserve"> elektroniski</w:t>
      </w:r>
      <w:r w:rsidR="00D16AC2">
        <w:rPr>
          <w:rFonts w:eastAsia="MS Mincho" w:cs="Segoe UI"/>
          <w:szCs w:val="18"/>
          <w:lang w:eastAsia="lv-LV"/>
        </w:rPr>
        <w:t xml:space="preserve">, </w:t>
      </w:r>
      <w:r w:rsidRPr="00FC64CC">
        <w:rPr>
          <w:rFonts w:eastAsia="MS Mincho" w:cs="Segoe UI"/>
          <w:szCs w:val="18"/>
          <w:lang w:eastAsia="lv-LV"/>
        </w:rPr>
        <w:t>izmantojot gan e-dokumentus, gan arī specializētus dokumentu koprades</w:t>
      </w:r>
      <w:r w:rsidR="00D16AC2">
        <w:rPr>
          <w:rFonts w:eastAsia="MS Mincho" w:cs="Segoe UI"/>
          <w:szCs w:val="18"/>
          <w:lang w:eastAsia="lv-LV"/>
        </w:rPr>
        <w:t>/aprites ri</w:t>
      </w:r>
      <w:r w:rsidRPr="00FC64CC">
        <w:rPr>
          <w:rFonts w:eastAsia="MS Mincho" w:cs="Segoe UI"/>
          <w:szCs w:val="18"/>
          <w:lang w:eastAsia="lv-LV"/>
        </w:rPr>
        <w:t>sinājumus.</w:t>
      </w:r>
    </w:p>
    <w:p w:rsidR="00FC64CC" w:rsidRPr="00FC64CC" w:rsidRDefault="00FC64CC" w:rsidP="00FC64CC">
      <w:pPr>
        <w:spacing w:before="120" w:after="120"/>
        <w:ind w:left="1080" w:right="28" w:hanging="360"/>
        <w:jc w:val="both"/>
        <w:textAlignment w:val="auto"/>
        <w:rPr>
          <w:rFonts w:eastAsia="MS Mincho" w:cs="Segoe UI"/>
          <w:szCs w:val="18"/>
          <w:lang w:eastAsia="lv-LV"/>
        </w:rPr>
      </w:pPr>
      <w:r w:rsidRPr="00FC64CC">
        <w:rPr>
          <w:rFonts w:eastAsia="MS Mincho" w:cs="Segoe UI"/>
          <w:b/>
          <w:szCs w:val="18"/>
          <w:lang w:eastAsia="lv-LV"/>
        </w:rPr>
        <w:t>Elektroniskie reģistri un elektroniska tiesību/statusa fiksēšana.</w:t>
      </w:r>
      <w:r w:rsidRPr="00FC64CC">
        <w:rPr>
          <w:rFonts w:eastAsia="MS Mincho" w:cs="Segoe UI"/>
          <w:szCs w:val="18"/>
          <w:lang w:eastAsia="lv-LV"/>
        </w:rPr>
        <w:t xml:space="preserve"> Informācija valsts reģistros par subjektu/objektu statusu un tiesības tiek fiksēta elektroniskā veidā. Tas nozīmē, ka ierakstiem datu bāzē ir pilns juridisks spēks un tie ir primār</w:t>
      </w:r>
      <w:r w:rsidR="005C156F">
        <w:rPr>
          <w:rFonts w:eastAsia="MS Mincho" w:cs="Segoe UI"/>
          <w:szCs w:val="18"/>
          <w:lang w:eastAsia="lv-LV"/>
        </w:rPr>
        <w:t>i</w:t>
      </w:r>
      <w:r w:rsidRPr="00FC64CC">
        <w:rPr>
          <w:rFonts w:eastAsia="MS Mincho" w:cs="Segoe UI"/>
          <w:szCs w:val="18"/>
          <w:lang w:eastAsia="lv-LV"/>
        </w:rPr>
        <w:t xml:space="preserve"> attiecībā pret papīra dokumentiem. Viens no priekšnoteikumiem primāri elektronisku reģistru veidošanai ir elektroniska dokumenta kā atsevišķa vienuma fiksēšana un saglabāšana (kur tas ir nepieciešams atbilstoši situācijas loģikai), lai šo dokumentu varētu autonomi izgūt no IS un izmantot kā pierādījumu. Tas neizslēdz, ka kā pierādījumu var izmantot arī datu bāzu ierakstus, taču tas ir būtiski sarežģītāk -  informācija parasti tiek izvietota daudzās datu bāzes tabulās, nav uztverama tiešā veidā  un ir grūtāk šo datu bāzu saturu sasaistīt ar </w:t>
      </w:r>
      <w:r w:rsidR="005C156F">
        <w:rPr>
          <w:rFonts w:eastAsia="MS Mincho" w:cs="Segoe UI"/>
          <w:szCs w:val="18"/>
          <w:lang w:eastAsia="lv-LV"/>
        </w:rPr>
        <w:t>personas</w:t>
      </w:r>
      <w:r w:rsidRPr="00FC64CC">
        <w:rPr>
          <w:rFonts w:eastAsia="MS Mincho" w:cs="Segoe UI"/>
          <w:szCs w:val="18"/>
          <w:lang w:eastAsia="lv-LV"/>
        </w:rPr>
        <w:t xml:space="preserve"> gribas izpausmi. Tāpēc  šādu elektronisku dokumentu fiksēšana paralēli ierakstu veikšanai datu bāzē ir viens no praktiskiem risinājumiem, kas jāņem vērā izstrādājot valstiskas IS. Š</w:t>
      </w:r>
      <w:r w:rsidR="005C156F">
        <w:rPr>
          <w:rFonts w:eastAsia="MS Mincho" w:cs="Segoe UI"/>
          <w:szCs w:val="18"/>
          <w:lang w:eastAsia="lv-LV"/>
        </w:rPr>
        <w:t>āds</w:t>
      </w:r>
      <w:r w:rsidRPr="00FC64CC">
        <w:rPr>
          <w:rFonts w:eastAsia="MS Mincho" w:cs="Segoe UI"/>
          <w:szCs w:val="18"/>
          <w:lang w:eastAsia="lv-LV"/>
        </w:rPr>
        <w:t xml:space="preserve"> risinājums ievērojami atvieglo arī elektronisku informācijas resursu arhiv</w:t>
      </w:r>
      <w:r w:rsidR="00DC4D4A">
        <w:rPr>
          <w:rFonts w:eastAsia="MS Mincho" w:cs="Segoe UI"/>
          <w:szCs w:val="18"/>
          <w:lang w:eastAsia="lv-LV"/>
        </w:rPr>
        <w:t>ēšanu</w:t>
      </w:r>
      <w:r w:rsidRPr="00FC64CC">
        <w:rPr>
          <w:rFonts w:eastAsia="MS Mincho" w:cs="Segoe UI"/>
          <w:szCs w:val="18"/>
          <w:lang w:eastAsia="lv-LV"/>
        </w:rPr>
        <w:t>.</w:t>
      </w:r>
    </w:p>
    <w:p w:rsidR="00FC64CC" w:rsidRPr="00FC64CC" w:rsidRDefault="00FC64CC" w:rsidP="00FC64CC">
      <w:pPr>
        <w:spacing w:before="120" w:after="120"/>
        <w:ind w:left="1080" w:right="28" w:hanging="360"/>
        <w:jc w:val="both"/>
        <w:textAlignment w:val="auto"/>
        <w:rPr>
          <w:rFonts w:eastAsia="MS Mincho" w:cs="Segoe UI"/>
          <w:b/>
          <w:szCs w:val="18"/>
          <w:lang w:eastAsia="lv-LV"/>
        </w:rPr>
      </w:pPr>
      <w:r w:rsidRPr="00FC64CC">
        <w:rPr>
          <w:rFonts w:eastAsia="MS Mincho" w:cs="Segoe UI"/>
          <w:b/>
          <w:szCs w:val="18"/>
          <w:lang w:eastAsia="lv-LV"/>
        </w:rPr>
        <w:t xml:space="preserve">Papīra izziņu, atļauju un licenču likvidēšana. </w:t>
      </w:r>
      <w:r w:rsidRPr="00FC64CC">
        <w:rPr>
          <w:rFonts w:eastAsia="MS Mincho" w:cs="Segoe UI"/>
          <w:szCs w:val="18"/>
          <w:lang w:eastAsia="lv-LV"/>
        </w:rPr>
        <w:t>Iestādes vairs neizdod papīra izziņas, atļaujas</w:t>
      </w:r>
      <w:r w:rsidR="007E1044">
        <w:rPr>
          <w:rFonts w:eastAsia="MS Mincho" w:cs="Segoe UI"/>
          <w:szCs w:val="18"/>
          <w:lang w:eastAsia="lv-LV"/>
        </w:rPr>
        <w:t>,</w:t>
      </w:r>
      <w:r w:rsidRPr="00FC64CC">
        <w:rPr>
          <w:rFonts w:eastAsia="MS Mincho" w:cs="Segoe UI"/>
          <w:szCs w:val="18"/>
          <w:lang w:eastAsia="lv-LV"/>
        </w:rPr>
        <w:t xml:space="preserve"> licences u.c. tāda veida dokumentus, kas apliecina subjekta/objekta statusu vai tiesības</w:t>
      </w:r>
      <w:r w:rsidR="007E1044">
        <w:rPr>
          <w:rFonts w:eastAsia="MS Mincho" w:cs="Segoe UI"/>
          <w:szCs w:val="18"/>
          <w:lang w:eastAsia="lv-LV"/>
        </w:rPr>
        <w:t>,</w:t>
      </w:r>
      <w:r w:rsidRPr="00FC64CC">
        <w:rPr>
          <w:rFonts w:eastAsia="MS Mincho" w:cs="Segoe UI"/>
          <w:szCs w:val="18"/>
          <w:lang w:eastAsia="lv-LV"/>
        </w:rPr>
        <w:t xml:space="preserve"> un šāda tipa dokumenti netiek izmantoti </w:t>
      </w:r>
      <w:r w:rsidR="00EE31AC">
        <w:rPr>
          <w:rFonts w:eastAsia="MS Mincho" w:cs="Segoe UI"/>
          <w:szCs w:val="18"/>
          <w:lang w:eastAsia="lv-LV"/>
        </w:rPr>
        <w:t>ne</w:t>
      </w:r>
      <w:r w:rsidR="00EE31AC" w:rsidRPr="00FC64CC">
        <w:rPr>
          <w:rFonts w:eastAsia="MS Mincho" w:cs="Segoe UI"/>
          <w:szCs w:val="18"/>
          <w:lang w:eastAsia="lv-LV"/>
        </w:rPr>
        <w:t xml:space="preserve"> </w:t>
      </w:r>
      <w:r w:rsidRPr="00FC64CC">
        <w:rPr>
          <w:rFonts w:eastAsia="MS Mincho" w:cs="Segoe UI"/>
          <w:szCs w:val="18"/>
          <w:lang w:eastAsia="lv-LV"/>
        </w:rPr>
        <w:t>attiecībās ar valsti</w:t>
      </w:r>
      <w:r w:rsidR="00EE31AC">
        <w:rPr>
          <w:rFonts w:eastAsia="MS Mincho" w:cs="Segoe UI"/>
          <w:szCs w:val="18"/>
          <w:lang w:eastAsia="lv-LV"/>
        </w:rPr>
        <w:t>, ne arī starp</w:t>
      </w:r>
      <w:r w:rsidRPr="00FC64CC">
        <w:rPr>
          <w:rFonts w:eastAsia="MS Mincho" w:cs="Segoe UI"/>
          <w:szCs w:val="18"/>
          <w:lang w:eastAsia="lv-LV"/>
        </w:rPr>
        <w:t xml:space="preserve"> citām personām</w:t>
      </w:r>
      <w:r w:rsidRPr="00D71D19">
        <w:rPr>
          <w:rFonts w:eastAsia="MS Mincho" w:cs="Segoe UI"/>
          <w:szCs w:val="18"/>
          <w:vertAlign w:val="superscript"/>
          <w:lang w:eastAsia="lv-LV"/>
        </w:rPr>
        <w:footnoteReference w:id="3"/>
      </w:r>
      <w:r w:rsidRPr="00FC64CC">
        <w:rPr>
          <w:rFonts w:eastAsia="MS Mincho" w:cs="Segoe UI"/>
          <w:szCs w:val="18"/>
          <w:lang w:eastAsia="lv-LV"/>
        </w:rPr>
        <w:t xml:space="preserve"> (piemēram, netiek veikalam prasīts uzrādīt pārtikas tirdzniecības atļauju u.c.). Izziņas, atļaujas licences u.c. tiek aizvietotas ar šī fakta reģistrācijas identifikatoru (vai saiti uz reģistru), kur visi interesenti var uzzināt/pārliecināties par noteikta statusa/tiesību esamību.</w:t>
      </w:r>
    </w:p>
    <w:p w:rsidR="00FC64CC" w:rsidRPr="00FC64CC" w:rsidRDefault="00FC64CC" w:rsidP="00FC64CC">
      <w:pPr>
        <w:spacing w:before="120" w:after="120"/>
        <w:ind w:left="1080" w:right="28" w:hanging="360"/>
        <w:jc w:val="both"/>
        <w:textAlignment w:val="auto"/>
        <w:rPr>
          <w:rFonts w:eastAsia="MS Mincho" w:cs="Segoe UI"/>
          <w:szCs w:val="18"/>
          <w:lang w:eastAsia="lv-LV"/>
        </w:rPr>
      </w:pPr>
      <w:r w:rsidRPr="00FC64CC">
        <w:rPr>
          <w:rFonts w:eastAsia="MS Mincho" w:cs="Segoe UI"/>
          <w:b/>
          <w:szCs w:val="18"/>
          <w:lang w:eastAsia="lv-LV"/>
        </w:rPr>
        <w:t xml:space="preserve">Iekšējo procesu elektronizācija un optimizācija. </w:t>
      </w:r>
      <w:r w:rsidR="009E4981">
        <w:rPr>
          <w:rFonts w:eastAsia="MS Mincho" w:cs="Segoe UI"/>
          <w:szCs w:val="18"/>
          <w:lang w:eastAsia="lv-LV"/>
        </w:rPr>
        <w:t>Tiek veikta sistemātiska</w:t>
      </w:r>
      <w:r w:rsidRPr="00FC64CC">
        <w:rPr>
          <w:rFonts w:eastAsia="MS Mincho" w:cs="Segoe UI"/>
          <w:szCs w:val="18"/>
          <w:lang w:eastAsia="lv-LV"/>
        </w:rPr>
        <w:t xml:space="preserve"> un vispārēja iestāžu un starpiestāžu procesu izvērtēšana un pilnveidošana</w:t>
      </w:r>
      <w:r w:rsidR="00EE31AC">
        <w:rPr>
          <w:rFonts w:eastAsia="MS Mincho" w:cs="Segoe UI"/>
          <w:szCs w:val="18"/>
          <w:lang w:eastAsia="lv-LV"/>
        </w:rPr>
        <w:t>,</w:t>
      </w:r>
      <w:r w:rsidRPr="00FC64CC">
        <w:rPr>
          <w:rFonts w:eastAsia="MS Mincho" w:cs="Segoe UI"/>
          <w:szCs w:val="18"/>
          <w:lang w:eastAsia="lv-LV"/>
        </w:rPr>
        <w:t xml:space="preserve"> izmantojot iespējas, ko dod attiecīgs IKT atbalsts. </w:t>
      </w:r>
    </w:p>
    <w:p w:rsidR="00FC64CC" w:rsidRDefault="00FC64CC" w:rsidP="00D71D19">
      <w:pPr>
        <w:spacing w:before="120" w:after="120"/>
        <w:jc w:val="both"/>
        <w:rPr>
          <w:rFonts w:eastAsia="MS Mincho" w:cs="Segoe UI"/>
          <w:bCs/>
          <w:szCs w:val="22"/>
        </w:rPr>
      </w:pPr>
      <w:r w:rsidRPr="00FC64CC">
        <w:rPr>
          <w:rFonts w:eastAsia="MS Mincho" w:cs="Segoe UI"/>
          <w:bCs/>
          <w:szCs w:val="22"/>
        </w:rPr>
        <w:lastRenderedPageBreak/>
        <w:t xml:space="preserve">Visu </w:t>
      </w:r>
      <w:r w:rsidR="00CA0AEC">
        <w:rPr>
          <w:rFonts w:eastAsia="MS Mincho" w:cs="Segoe UI"/>
          <w:bCs/>
          <w:szCs w:val="22"/>
        </w:rPr>
        <w:t xml:space="preserve">publiskās </w:t>
      </w:r>
      <w:r w:rsidRPr="00FC64CC">
        <w:rPr>
          <w:rFonts w:eastAsia="MS Mincho" w:cs="Segoe UI"/>
          <w:bCs/>
          <w:szCs w:val="22"/>
        </w:rPr>
        <w:t xml:space="preserve">pārvaldes jomu elektronizācija </w:t>
      </w:r>
      <w:r w:rsidR="00CA0AEC">
        <w:rPr>
          <w:rFonts w:eastAsia="MS Mincho" w:cs="Segoe UI"/>
          <w:bCs/>
          <w:szCs w:val="22"/>
        </w:rPr>
        <w:t xml:space="preserve">no klientu viedokļa palīdzēs uzlabot </w:t>
      </w:r>
      <w:r w:rsidRPr="00FC64CC">
        <w:rPr>
          <w:rFonts w:eastAsia="MS Mincho" w:cs="Segoe UI"/>
          <w:bCs/>
          <w:szCs w:val="22"/>
        </w:rPr>
        <w:t>pakalpojumu pieejamīb</w:t>
      </w:r>
      <w:r w:rsidR="00CA0AEC">
        <w:rPr>
          <w:rFonts w:eastAsia="MS Mincho" w:cs="Segoe UI"/>
          <w:bCs/>
          <w:szCs w:val="22"/>
        </w:rPr>
        <w:t xml:space="preserve">u un samazināt </w:t>
      </w:r>
      <w:r w:rsidRPr="00FC64CC">
        <w:rPr>
          <w:rFonts w:eastAsia="MS Mincho" w:cs="Segoe UI"/>
          <w:bCs/>
          <w:szCs w:val="22"/>
        </w:rPr>
        <w:t>administratīv</w:t>
      </w:r>
      <w:r w:rsidR="00CA0AEC">
        <w:rPr>
          <w:rFonts w:eastAsia="MS Mincho" w:cs="Segoe UI"/>
          <w:bCs/>
          <w:szCs w:val="22"/>
        </w:rPr>
        <w:t xml:space="preserve">o </w:t>
      </w:r>
      <w:r w:rsidRPr="00FC64CC">
        <w:rPr>
          <w:rFonts w:eastAsia="MS Mincho" w:cs="Segoe UI"/>
          <w:bCs/>
          <w:szCs w:val="22"/>
        </w:rPr>
        <w:t>slog</w:t>
      </w:r>
      <w:r w:rsidR="00CA0AEC">
        <w:rPr>
          <w:rFonts w:eastAsia="MS Mincho" w:cs="Segoe UI"/>
          <w:bCs/>
          <w:szCs w:val="22"/>
        </w:rPr>
        <w:t xml:space="preserve">u. Konsekventa virzība šajā jomā nodrošinās arī uzlabojumus </w:t>
      </w:r>
      <w:r w:rsidRPr="00FC64CC">
        <w:rPr>
          <w:rFonts w:eastAsia="MS Mincho" w:cs="Segoe UI"/>
          <w:bCs/>
          <w:szCs w:val="22"/>
        </w:rPr>
        <w:t>valsts pārvaldes efektivitāt</w:t>
      </w:r>
      <w:r w:rsidR="00CA0AEC">
        <w:rPr>
          <w:rFonts w:eastAsia="MS Mincho" w:cs="Segoe UI"/>
          <w:bCs/>
          <w:szCs w:val="22"/>
        </w:rPr>
        <w:t xml:space="preserve">ē </w:t>
      </w:r>
      <w:r w:rsidRPr="00FC64CC">
        <w:rPr>
          <w:rFonts w:eastAsia="MS Mincho" w:cs="Segoe UI"/>
          <w:bCs/>
          <w:szCs w:val="22"/>
        </w:rPr>
        <w:t xml:space="preserve">un </w:t>
      </w:r>
      <w:r w:rsidR="00CA0AEC">
        <w:rPr>
          <w:rFonts w:eastAsia="MS Mincho" w:cs="Segoe UI"/>
          <w:bCs/>
          <w:szCs w:val="22"/>
        </w:rPr>
        <w:t xml:space="preserve">dos reālus </w:t>
      </w:r>
      <w:r w:rsidRPr="00FC64CC">
        <w:rPr>
          <w:rFonts w:eastAsia="MS Mincho" w:cs="Segoe UI"/>
          <w:bCs/>
          <w:szCs w:val="22"/>
        </w:rPr>
        <w:t>izmaksu samazinā</w:t>
      </w:r>
      <w:r w:rsidR="00CA0AEC">
        <w:rPr>
          <w:rFonts w:eastAsia="MS Mincho" w:cs="Segoe UI"/>
          <w:bCs/>
          <w:szCs w:val="22"/>
        </w:rPr>
        <w:t xml:space="preserve">jumus. </w:t>
      </w:r>
      <w:r w:rsidRPr="00D71D19">
        <w:rPr>
          <w:rFonts w:eastAsia="MS Mincho" w:cs="Segoe UI"/>
          <w:bCs/>
          <w:szCs w:val="22"/>
        </w:rPr>
        <w:t>Līdz šim ļoti ierobežotie izmaksu samazināšanas ieguvumi ir pamatā skaidrojami ar to, ka šobrīd valsts pārvalde paralēli darbina gan elektronisk</w:t>
      </w:r>
      <w:r w:rsidR="005C156F">
        <w:rPr>
          <w:rFonts w:eastAsia="MS Mincho" w:cs="Segoe UI"/>
          <w:bCs/>
          <w:szCs w:val="22"/>
        </w:rPr>
        <w:t>u</w:t>
      </w:r>
      <w:r w:rsidRPr="00D71D19">
        <w:rPr>
          <w:rFonts w:eastAsia="MS Mincho" w:cs="Segoe UI"/>
          <w:bCs/>
          <w:szCs w:val="22"/>
        </w:rPr>
        <w:t xml:space="preserve">s, gan uz papīra apstrādi balstītus procesus. Radikāli ietaupījumi kļūs iespējami </w:t>
      </w:r>
      <w:r w:rsidR="005C156F">
        <w:rPr>
          <w:rFonts w:eastAsia="MS Mincho" w:cs="Segoe UI"/>
          <w:bCs/>
          <w:szCs w:val="22"/>
        </w:rPr>
        <w:t xml:space="preserve">tikai </w:t>
      </w:r>
      <w:r w:rsidRPr="00D71D19">
        <w:rPr>
          <w:rFonts w:eastAsia="MS Mincho" w:cs="Segoe UI"/>
          <w:bCs/>
          <w:szCs w:val="22"/>
        </w:rPr>
        <w:t xml:space="preserve">pilnībā atsakoties no alternatīviem informācijas aprites veidiem savstarpēji starp valsts institūcijām un nodrošinot, ka elektroniskā informācijas aprite </w:t>
      </w:r>
      <w:r w:rsidR="00D71D19" w:rsidRPr="00D71D19">
        <w:rPr>
          <w:rFonts w:eastAsia="MS Mincho" w:cs="Segoe UI"/>
          <w:bCs/>
          <w:szCs w:val="22"/>
        </w:rPr>
        <w:t>pamatā</w:t>
      </w:r>
      <w:r w:rsidR="00282A1A">
        <w:rPr>
          <w:rFonts w:eastAsia="MS Mincho" w:cs="Segoe UI"/>
          <w:bCs/>
          <w:szCs w:val="22"/>
        </w:rPr>
        <w:t xml:space="preserve"> (kur tas ir iespējami un lietderīgi)</w:t>
      </w:r>
      <w:r w:rsidR="00D71D19" w:rsidRPr="00D71D19">
        <w:rPr>
          <w:rFonts w:eastAsia="MS Mincho" w:cs="Segoe UI"/>
          <w:bCs/>
          <w:szCs w:val="22"/>
        </w:rPr>
        <w:t xml:space="preserve"> </w:t>
      </w:r>
      <w:r w:rsidRPr="00D71D19">
        <w:rPr>
          <w:rFonts w:eastAsia="MS Mincho" w:cs="Segoe UI"/>
          <w:bCs/>
          <w:szCs w:val="22"/>
        </w:rPr>
        <w:t xml:space="preserve">tiek organizēta </w:t>
      </w:r>
      <w:r w:rsidR="00D71D19" w:rsidRPr="00D71D19">
        <w:rPr>
          <w:rFonts w:eastAsia="MS Mincho" w:cs="Segoe UI"/>
          <w:bCs/>
          <w:szCs w:val="22"/>
        </w:rPr>
        <w:t xml:space="preserve">automātiski apstrādājamu strukturētu ziņojumu formā. </w:t>
      </w:r>
    </w:p>
    <w:p w:rsidR="00D71D19" w:rsidRPr="00247EA5" w:rsidRDefault="009010EC" w:rsidP="009A7C5C">
      <w:pPr>
        <w:pStyle w:val="Princips"/>
      </w:pPr>
      <w:bookmarkStart w:id="30" w:name="_Toc410146981"/>
      <w:r>
        <w:t xml:space="preserve">Efektīva sadarbība </w:t>
      </w:r>
      <w:r w:rsidR="00D71D19" w:rsidRPr="00247EA5">
        <w:t xml:space="preserve">elektronizētā </w:t>
      </w:r>
      <w:r w:rsidR="009A50D0" w:rsidRPr="00247EA5">
        <w:t>publiskajā</w:t>
      </w:r>
      <w:r w:rsidR="00D71D19" w:rsidRPr="00247EA5">
        <w:t xml:space="preserve"> pārvaldē</w:t>
      </w:r>
      <w:r w:rsidR="007878F9" w:rsidRPr="00247EA5">
        <w:t xml:space="preserve"> </w:t>
      </w:r>
      <w:r w:rsidR="00EC4871" w:rsidRPr="00247EA5">
        <w:t xml:space="preserve">kā </w:t>
      </w:r>
      <w:r w:rsidR="007878F9" w:rsidRPr="00247EA5">
        <w:t>vienot</w:t>
      </w:r>
      <w:r w:rsidR="00EC4871" w:rsidRPr="00247EA5">
        <w:t>ā</w:t>
      </w:r>
      <w:r w:rsidR="007878F9" w:rsidRPr="00247EA5">
        <w:t xml:space="preserve"> organizācij</w:t>
      </w:r>
      <w:r w:rsidR="00EC4871" w:rsidRPr="00247EA5">
        <w:t>ā</w:t>
      </w:r>
      <w:bookmarkEnd w:id="30"/>
    </w:p>
    <w:p w:rsidR="007878F9" w:rsidRPr="00247EA5" w:rsidRDefault="009A50D0" w:rsidP="00D71D19">
      <w:pPr>
        <w:spacing w:before="120" w:after="120"/>
        <w:jc w:val="both"/>
        <w:rPr>
          <w:rFonts w:eastAsia="MS Mincho" w:cs="Segoe UI"/>
          <w:bCs/>
          <w:szCs w:val="22"/>
        </w:rPr>
      </w:pPr>
      <w:r w:rsidRPr="00247EA5">
        <w:rPr>
          <w:rFonts w:eastAsia="MS Mincho" w:cs="Segoe UI"/>
          <w:bCs/>
          <w:szCs w:val="22"/>
        </w:rPr>
        <w:t xml:space="preserve">Ilgtermiņa attīstības vīzija - </w:t>
      </w:r>
      <w:r w:rsidR="007878F9" w:rsidRPr="00247EA5">
        <w:rPr>
          <w:rFonts w:eastAsia="MS Mincho" w:cs="Segoe UI"/>
          <w:bCs/>
          <w:szCs w:val="22"/>
        </w:rPr>
        <w:t>izmantojot elektroniskās informācijas ap</w:t>
      </w:r>
      <w:r w:rsidR="00282A1A">
        <w:rPr>
          <w:rFonts w:eastAsia="MS Mincho" w:cs="Segoe UI"/>
          <w:bCs/>
          <w:szCs w:val="22"/>
        </w:rPr>
        <w:t>strādes</w:t>
      </w:r>
      <w:r w:rsidR="007878F9" w:rsidRPr="00247EA5">
        <w:rPr>
          <w:rFonts w:eastAsia="MS Mincho" w:cs="Segoe UI"/>
          <w:bCs/>
          <w:szCs w:val="22"/>
        </w:rPr>
        <w:t xml:space="preserve"> </w:t>
      </w:r>
      <w:r w:rsidR="00D16E14" w:rsidRPr="00247EA5">
        <w:rPr>
          <w:rFonts w:eastAsia="MS Mincho" w:cs="Segoe UI"/>
          <w:bCs/>
          <w:szCs w:val="22"/>
        </w:rPr>
        <w:t xml:space="preserve">iespējas un </w:t>
      </w:r>
      <w:r w:rsidR="007878F9" w:rsidRPr="00247EA5">
        <w:rPr>
          <w:rFonts w:eastAsia="MS Mincho" w:cs="Segoe UI"/>
          <w:bCs/>
          <w:szCs w:val="22"/>
        </w:rPr>
        <w:t xml:space="preserve">priekšrocības, </w:t>
      </w:r>
      <w:r w:rsidR="00D16E14" w:rsidRPr="00247EA5">
        <w:rPr>
          <w:rFonts w:eastAsia="MS Mincho" w:cs="Segoe UI"/>
          <w:bCs/>
          <w:szCs w:val="22"/>
        </w:rPr>
        <w:t xml:space="preserve">ir izstrādāti un ieviesti tik efektīvi institūciju sadarbības un publisko pakalpojumu sniegšanas procesi, ka institucionālās robežas starp publiskās pārvaldes institūcijām kļūst nemanāmas no pakalpojumu saņēmēju viedokļa un praktiski vairs negatīvi neietekmē </w:t>
      </w:r>
      <w:r w:rsidRPr="00247EA5">
        <w:rPr>
          <w:rFonts w:eastAsia="MS Mincho" w:cs="Segoe UI"/>
          <w:bCs/>
          <w:szCs w:val="22"/>
        </w:rPr>
        <w:t>publiskās</w:t>
      </w:r>
      <w:r w:rsidR="00D71D19" w:rsidRPr="00247EA5">
        <w:rPr>
          <w:rFonts w:eastAsia="MS Mincho" w:cs="Segoe UI"/>
          <w:bCs/>
          <w:szCs w:val="22"/>
        </w:rPr>
        <w:t xml:space="preserve"> pārvalde</w:t>
      </w:r>
      <w:r w:rsidR="007878F9" w:rsidRPr="00247EA5">
        <w:rPr>
          <w:rFonts w:eastAsia="MS Mincho" w:cs="Segoe UI"/>
          <w:bCs/>
          <w:szCs w:val="22"/>
        </w:rPr>
        <w:t xml:space="preserve">s </w:t>
      </w:r>
      <w:r w:rsidR="00D16E14" w:rsidRPr="00247EA5">
        <w:rPr>
          <w:rFonts w:eastAsia="MS Mincho" w:cs="Segoe UI"/>
          <w:bCs/>
          <w:szCs w:val="22"/>
        </w:rPr>
        <w:t xml:space="preserve">darbības efektivitāti. </w:t>
      </w:r>
      <w:r w:rsidR="007878F9" w:rsidRPr="00247EA5">
        <w:rPr>
          <w:rFonts w:eastAsia="MS Mincho" w:cs="Segoe UI"/>
          <w:bCs/>
          <w:szCs w:val="22"/>
        </w:rPr>
        <w:t>Vienotas organizācijas pieeja izpaužas šādos veidos:</w:t>
      </w:r>
    </w:p>
    <w:p w:rsidR="00D71D19" w:rsidRPr="00247EA5" w:rsidRDefault="00D71D19" w:rsidP="007878F9">
      <w:pPr>
        <w:numPr>
          <w:ilvl w:val="0"/>
          <w:numId w:val="23"/>
        </w:numPr>
        <w:spacing w:before="120" w:after="120"/>
        <w:jc w:val="both"/>
        <w:rPr>
          <w:rFonts w:eastAsia="MS Mincho" w:cs="Segoe UI"/>
          <w:bCs/>
          <w:szCs w:val="22"/>
        </w:rPr>
      </w:pPr>
      <w:r w:rsidRPr="00247EA5">
        <w:rPr>
          <w:rFonts w:eastAsia="MS Mincho" w:cs="Segoe UI"/>
          <w:bCs/>
          <w:szCs w:val="22"/>
        </w:rPr>
        <w:t>Vienota</w:t>
      </w:r>
      <w:r w:rsidR="00D16E14" w:rsidRPr="00247EA5">
        <w:rPr>
          <w:rFonts w:eastAsia="MS Mincho" w:cs="Segoe UI"/>
          <w:bCs/>
          <w:szCs w:val="22"/>
        </w:rPr>
        <w:t xml:space="preserve"> un </w:t>
      </w:r>
      <w:r w:rsidRPr="00247EA5">
        <w:rPr>
          <w:rFonts w:eastAsia="MS Mincho" w:cs="Segoe UI"/>
          <w:bCs/>
          <w:szCs w:val="22"/>
        </w:rPr>
        <w:t xml:space="preserve">paredzama </w:t>
      </w:r>
      <w:r w:rsidR="00D16E14" w:rsidRPr="00247EA5">
        <w:rPr>
          <w:rFonts w:eastAsia="MS Mincho" w:cs="Segoe UI"/>
          <w:bCs/>
          <w:szCs w:val="22"/>
        </w:rPr>
        <w:t xml:space="preserve">publiskās pārvaldes </w:t>
      </w:r>
      <w:r w:rsidRPr="00247EA5">
        <w:rPr>
          <w:rFonts w:eastAsia="MS Mincho" w:cs="Segoe UI"/>
          <w:bCs/>
          <w:szCs w:val="22"/>
        </w:rPr>
        <w:t>komunikācija ar sabiedrību</w:t>
      </w:r>
      <w:r w:rsidR="00577816" w:rsidRPr="00247EA5">
        <w:rPr>
          <w:rFonts w:eastAsia="MS Mincho" w:cs="Segoe UI"/>
          <w:bCs/>
          <w:szCs w:val="22"/>
        </w:rPr>
        <w:t xml:space="preserve">, </w:t>
      </w:r>
      <w:r w:rsidRPr="00247EA5">
        <w:rPr>
          <w:rFonts w:eastAsia="MS Mincho" w:cs="Segoe UI"/>
          <w:bCs/>
          <w:szCs w:val="22"/>
        </w:rPr>
        <w:t>pakalpojumu sniegšana atbilstoši vienotiem principiem;</w:t>
      </w:r>
    </w:p>
    <w:p w:rsidR="00D71D19" w:rsidRPr="00247EA5" w:rsidRDefault="00577816" w:rsidP="00D71D19">
      <w:pPr>
        <w:numPr>
          <w:ilvl w:val="0"/>
          <w:numId w:val="23"/>
        </w:numPr>
        <w:spacing w:before="120" w:after="120"/>
        <w:jc w:val="both"/>
        <w:rPr>
          <w:rFonts w:eastAsia="MS Mincho" w:cs="Segoe UI"/>
          <w:bCs/>
          <w:szCs w:val="22"/>
        </w:rPr>
      </w:pPr>
      <w:r w:rsidRPr="00247EA5">
        <w:rPr>
          <w:rFonts w:eastAsia="MS Mincho" w:cs="Segoe UI"/>
          <w:bCs/>
          <w:szCs w:val="22"/>
        </w:rPr>
        <w:t xml:space="preserve">Vienota datu telpa – </w:t>
      </w:r>
      <w:r w:rsidR="00D71D19" w:rsidRPr="00247EA5">
        <w:rPr>
          <w:rFonts w:eastAsia="MS Mincho" w:cs="Segoe UI"/>
          <w:bCs/>
          <w:szCs w:val="22"/>
        </w:rPr>
        <w:t>institucionāl</w:t>
      </w:r>
      <w:r w:rsidRPr="00247EA5">
        <w:rPr>
          <w:rFonts w:eastAsia="MS Mincho" w:cs="Segoe UI"/>
          <w:bCs/>
          <w:szCs w:val="22"/>
        </w:rPr>
        <w:t xml:space="preserve">ās </w:t>
      </w:r>
      <w:r w:rsidR="00D71D19" w:rsidRPr="00247EA5">
        <w:rPr>
          <w:rFonts w:eastAsia="MS Mincho" w:cs="Segoe UI"/>
          <w:bCs/>
          <w:szCs w:val="22"/>
        </w:rPr>
        <w:t>robež</w:t>
      </w:r>
      <w:r w:rsidRPr="00247EA5">
        <w:rPr>
          <w:rFonts w:eastAsia="MS Mincho" w:cs="Segoe UI"/>
          <w:bCs/>
          <w:szCs w:val="22"/>
        </w:rPr>
        <w:t xml:space="preserve">as netraucē piekļuvei publiskās pārvaldes rīcībā esošiem datiem, piekļuves tiesības pārvaldot atbilstoši to nepieciešamībai normatīvajos aktos noteiktu publiskās pārvaldes funkciju izpildei, stingri atbilstoši fizisko personu datu aizsardzības prasībām; </w:t>
      </w:r>
    </w:p>
    <w:p w:rsidR="00D71D19" w:rsidRPr="00247EA5" w:rsidRDefault="00D50C4E" w:rsidP="00D71D19">
      <w:pPr>
        <w:numPr>
          <w:ilvl w:val="0"/>
          <w:numId w:val="23"/>
        </w:numPr>
        <w:spacing w:before="120" w:after="120"/>
        <w:jc w:val="both"/>
        <w:rPr>
          <w:rFonts w:eastAsia="MS Mincho" w:cs="Segoe UI"/>
          <w:bCs/>
          <w:szCs w:val="22"/>
        </w:rPr>
      </w:pPr>
      <w:r w:rsidRPr="00247EA5">
        <w:rPr>
          <w:rFonts w:eastAsia="MS Mincho" w:cs="Segoe UI"/>
          <w:bCs/>
          <w:szCs w:val="22"/>
        </w:rPr>
        <w:t>Sadarbība kā vienotā organizācijā, izmantojot k</w:t>
      </w:r>
      <w:r w:rsidR="00D71D19" w:rsidRPr="00247EA5">
        <w:rPr>
          <w:rFonts w:eastAsia="MS Mincho" w:cs="Segoe UI"/>
          <w:bCs/>
          <w:szCs w:val="22"/>
        </w:rPr>
        <w:t>oplietošanas pakalpojumu</w:t>
      </w:r>
      <w:r w:rsidRPr="00247EA5">
        <w:rPr>
          <w:rFonts w:eastAsia="MS Mincho" w:cs="Segoe UI"/>
          <w:bCs/>
          <w:szCs w:val="22"/>
        </w:rPr>
        <w:t xml:space="preserve">s un infrastruktūras </w:t>
      </w:r>
      <w:r w:rsidR="00D71D19" w:rsidRPr="00247EA5">
        <w:rPr>
          <w:rFonts w:eastAsia="MS Mincho" w:cs="Segoe UI"/>
          <w:bCs/>
          <w:szCs w:val="22"/>
        </w:rPr>
        <w:t>tipveida/universālu procesu nodrošināšan</w:t>
      </w:r>
      <w:r w:rsidRPr="00247EA5">
        <w:rPr>
          <w:rFonts w:eastAsia="MS Mincho" w:cs="Segoe UI"/>
          <w:bCs/>
          <w:szCs w:val="22"/>
        </w:rPr>
        <w:t>ai</w:t>
      </w:r>
      <w:r w:rsidR="00D71D19" w:rsidRPr="00247EA5">
        <w:rPr>
          <w:rFonts w:eastAsia="MS Mincho" w:cs="Segoe UI"/>
          <w:bCs/>
          <w:szCs w:val="22"/>
        </w:rPr>
        <w:t xml:space="preserve"> </w:t>
      </w:r>
      <w:r w:rsidRPr="00247EA5">
        <w:rPr>
          <w:rFonts w:eastAsia="MS Mincho" w:cs="Segoe UI"/>
          <w:bCs/>
          <w:szCs w:val="22"/>
        </w:rPr>
        <w:t>(</w:t>
      </w:r>
      <w:r w:rsidR="00D71D19" w:rsidRPr="00247EA5">
        <w:rPr>
          <w:rFonts w:eastAsia="MS Mincho" w:cs="Segoe UI"/>
          <w:bCs/>
          <w:szCs w:val="22"/>
        </w:rPr>
        <w:t>klientu apkalpošana,  IKT</w:t>
      </w:r>
      <w:r w:rsidRPr="00247EA5">
        <w:rPr>
          <w:rFonts w:eastAsia="MS Mincho" w:cs="Segoe UI"/>
          <w:bCs/>
          <w:szCs w:val="22"/>
        </w:rPr>
        <w:t xml:space="preserve"> atbalsts</w:t>
      </w:r>
      <w:r w:rsidR="00D71D19" w:rsidRPr="00247EA5">
        <w:rPr>
          <w:rFonts w:eastAsia="MS Mincho" w:cs="Segoe UI"/>
          <w:bCs/>
          <w:szCs w:val="22"/>
        </w:rPr>
        <w:t>, grāmatvedības uzskaite u.c.</w:t>
      </w:r>
      <w:r w:rsidRPr="00247EA5">
        <w:rPr>
          <w:rFonts w:eastAsia="MS Mincho" w:cs="Segoe UI"/>
          <w:bCs/>
          <w:szCs w:val="22"/>
        </w:rPr>
        <w:t xml:space="preserve">), tādējādi paaugstinot publisko pakalpojumu sniegšanas efektivitāti.  </w:t>
      </w:r>
    </w:p>
    <w:p w:rsidR="00247EA5" w:rsidRPr="00247EA5" w:rsidRDefault="00D30FDB" w:rsidP="00904E64">
      <w:pPr>
        <w:spacing w:before="120" w:after="120"/>
        <w:jc w:val="both"/>
        <w:rPr>
          <w:rFonts w:eastAsia="MS Mincho" w:cs="Segoe UI"/>
          <w:bCs/>
          <w:szCs w:val="22"/>
        </w:rPr>
      </w:pPr>
      <w:r w:rsidRPr="00247EA5">
        <w:rPr>
          <w:rFonts w:eastAsia="MS Mincho" w:cs="Segoe UI"/>
          <w:bCs/>
          <w:szCs w:val="22"/>
        </w:rPr>
        <w:t xml:space="preserve">Turpmākajās sadaļās 4.2 un 4.3 vienotas organizācijas pieeja ir detalizētāk izvērsta attiecībā uz publisko pakalpojumu pārvaldību un klientu apkalpošanu, kā arī IKT atbalsta procesiem. </w:t>
      </w:r>
    </w:p>
    <w:p w:rsidR="00247EA5" w:rsidRPr="00247EA5" w:rsidRDefault="00247EA5" w:rsidP="00904E64">
      <w:pPr>
        <w:spacing w:before="120" w:after="120"/>
        <w:jc w:val="both"/>
        <w:rPr>
          <w:rFonts w:eastAsia="MS Mincho" w:cs="Segoe UI"/>
          <w:bCs/>
          <w:szCs w:val="22"/>
          <w:highlight w:val="yellow"/>
        </w:rPr>
      </w:pPr>
      <w:r w:rsidRPr="00247EA5">
        <w:rPr>
          <w:rFonts w:eastAsia="MS Mincho" w:cs="Segoe UI"/>
          <w:bCs/>
          <w:szCs w:val="22"/>
        </w:rPr>
        <w:t xml:space="preserve">Piedāvātā pieeja nodrošinās iespēju </w:t>
      </w:r>
      <w:r w:rsidR="00B428D3" w:rsidRPr="00247EA5">
        <w:rPr>
          <w:rFonts w:eastAsia="MS Mincho" w:cs="Segoe UI"/>
          <w:bCs/>
          <w:iCs/>
          <w:szCs w:val="22"/>
        </w:rPr>
        <w:t xml:space="preserve">efektīvi un elastīgi (operatīvi pārvietojot resursus un kompetences, kad nepieciešams fokusējums uz citām prioritātēm) organizēt </w:t>
      </w:r>
      <w:r w:rsidRPr="00247EA5">
        <w:rPr>
          <w:rFonts w:eastAsia="MS Mincho" w:cs="Segoe UI"/>
          <w:bCs/>
          <w:iCs/>
          <w:szCs w:val="22"/>
        </w:rPr>
        <w:t>publiskās</w:t>
      </w:r>
      <w:r w:rsidR="00B428D3" w:rsidRPr="00247EA5">
        <w:rPr>
          <w:rFonts w:eastAsia="MS Mincho" w:cs="Segoe UI"/>
          <w:bCs/>
          <w:iCs/>
          <w:szCs w:val="22"/>
        </w:rPr>
        <w:t xml:space="preserve"> pārvaldes procesus. </w:t>
      </w:r>
      <w:r>
        <w:rPr>
          <w:rFonts w:eastAsia="MS Mincho" w:cs="Segoe UI"/>
          <w:bCs/>
          <w:iCs/>
          <w:szCs w:val="22"/>
        </w:rPr>
        <w:t>Pieeja ir attiecināma gan uz valsts tiešās pārvaldes institūcijām, gan pašvaldībām, gan citām iestādēm un organizācijām, kurām ir deleģēta</w:t>
      </w:r>
      <w:r w:rsidR="00EE31AC">
        <w:rPr>
          <w:rFonts w:eastAsia="MS Mincho" w:cs="Segoe UI"/>
          <w:bCs/>
          <w:iCs/>
          <w:szCs w:val="22"/>
        </w:rPr>
        <w:t>s</w:t>
      </w:r>
      <w:r>
        <w:rPr>
          <w:rFonts w:eastAsia="MS Mincho" w:cs="Segoe UI"/>
          <w:bCs/>
          <w:iCs/>
          <w:szCs w:val="22"/>
        </w:rPr>
        <w:t xml:space="preserve"> valsts pārvaldes vai publisko pakalpojumu sniegšanas funkcijas.</w:t>
      </w:r>
      <w:r w:rsidR="009010EC">
        <w:rPr>
          <w:rFonts w:eastAsia="MS Mincho" w:cs="Segoe UI"/>
          <w:bCs/>
          <w:iCs/>
          <w:szCs w:val="22"/>
        </w:rPr>
        <w:t xml:space="preserve"> Citiem vārdiem – pie</w:t>
      </w:r>
      <w:r w:rsidR="009010EC" w:rsidRPr="00B867E9">
        <w:rPr>
          <w:rFonts w:eastAsia="MS Mincho" w:cs="Segoe UI"/>
          <w:bCs/>
          <w:iCs/>
          <w:szCs w:val="22"/>
        </w:rPr>
        <w:t xml:space="preserve">kļuve </w:t>
      </w:r>
      <w:r w:rsidR="009010EC" w:rsidRPr="00B867E9">
        <w:rPr>
          <w:rFonts w:eastAsia="MS Mincho" w:cs="Segoe UI"/>
          <w:bCs/>
          <w:szCs w:val="22"/>
        </w:rPr>
        <w:t xml:space="preserve">jebkāda veida koplietošanas infrastruktūrām,  pakalpojumiem un publiskās pārvaldes rīcībā esošiem datiem, ja tie saskaņā ar normatīvajos aktos noteikto kārtību ir pamatoti nepieciešami valsts pārvaldes vai publisko pakalpojumu (t.sk. deleģēto) funkciju veikšanai, tiek nodrošināta neatkarīgi no iesaistīto pušu institucionālajām robežām, savstarpējās vienošanās par piekļuvi pakalpojumiem </w:t>
      </w:r>
      <w:r w:rsidR="00B867E9" w:rsidRPr="00B867E9">
        <w:rPr>
          <w:rFonts w:eastAsia="MS Mincho" w:cs="Segoe UI"/>
          <w:bCs/>
          <w:szCs w:val="22"/>
        </w:rPr>
        <w:t>un</w:t>
      </w:r>
      <w:r w:rsidR="009010EC" w:rsidRPr="00B867E9">
        <w:rPr>
          <w:rFonts w:eastAsia="MS Mincho" w:cs="Segoe UI"/>
          <w:bCs/>
          <w:szCs w:val="22"/>
        </w:rPr>
        <w:t xml:space="preserve"> datiem ar tehnoloģisko risinājumu palīdzību realizējot</w:t>
      </w:r>
      <w:r w:rsidR="00B867E9" w:rsidRPr="00B867E9">
        <w:rPr>
          <w:rFonts w:eastAsia="MS Mincho" w:cs="Segoe UI"/>
          <w:bCs/>
          <w:szCs w:val="22"/>
        </w:rPr>
        <w:t xml:space="preserve"> pēc iespējas vienkāršoti.  </w:t>
      </w:r>
      <w:r w:rsidR="009010EC" w:rsidRPr="00B867E9">
        <w:rPr>
          <w:rFonts w:eastAsia="MS Mincho" w:cs="Segoe UI"/>
          <w:bCs/>
          <w:szCs w:val="22"/>
        </w:rPr>
        <w:t xml:space="preserve">  </w:t>
      </w:r>
      <w:r w:rsidR="009010EC">
        <w:rPr>
          <w:rFonts w:eastAsia="MS Mincho" w:cs="Segoe UI"/>
          <w:bCs/>
          <w:szCs w:val="22"/>
          <w:highlight w:val="yellow"/>
        </w:rPr>
        <w:t xml:space="preserve">    </w:t>
      </w:r>
    </w:p>
    <w:p w:rsidR="00B724A9" w:rsidRDefault="00B724A9" w:rsidP="00B724A9">
      <w:pPr>
        <w:pStyle w:val="ISHeading2"/>
      </w:pPr>
      <w:bookmarkStart w:id="31" w:name="_Toc410146982"/>
      <w:r>
        <w:t xml:space="preserve">Publisko pakalpojumu </w:t>
      </w:r>
      <w:r w:rsidR="00A43F0D">
        <w:t>sistēmas pilnveidošana</w:t>
      </w:r>
      <w:bookmarkEnd w:id="31"/>
    </w:p>
    <w:p w:rsidR="00B867E9" w:rsidRDefault="001D2E4D" w:rsidP="00B867E9">
      <w:pPr>
        <w:pStyle w:val="ISBodyText"/>
      </w:pPr>
      <w:r>
        <w:t xml:space="preserve">Publisko pakalpojumu sistēmas pilnveidošana ir būtiska valsts pārvaldes modernizācijas un valsts pārvaldes strukturālo reformu sastāvdaļa un ir viena no valdības prioritātēm. Šajā jomā ir izstrādāta </w:t>
      </w:r>
      <w:r>
        <w:lastRenderedPageBreak/>
        <w:t xml:space="preserve">un MK akceptēta “Koncepcija par publisko pakalpojumu sistēmas pilnveidi” (MK 2013.gada 12.februāra rīkojums Nr.58), kas nosaka valsts politiku </w:t>
      </w:r>
      <w:r w:rsidR="00B867E9">
        <w:t xml:space="preserve">publisko pakalpojumu sistēmas </w:t>
      </w:r>
      <w:r>
        <w:t>pilnveides jomā.</w:t>
      </w:r>
      <w:r w:rsidR="00B867E9">
        <w:t xml:space="preserve"> Minētā koncepcija nosaka, ka </w:t>
      </w:r>
      <w:r>
        <w:t xml:space="preserve">publisko pakalpojumu sniegšanas </w:t>
      </w:r>
      <w:r w:rsidR="00A43F0D">
        <w:t xml:space="preserve">galvenie </w:t>
      </w:r>
      <w:r>
        <w:t>pamatprincipi ir</w:t>
      </w:r>
      <w:r w:rsidR="00B867E9">
        <w:t xml:space="preserve"> šādi:</w:t>
      </w:r>
    </w:p>
    <w:p w:rsidR="00B867E9" w:rsidRDefault="001D2E4D" w:rsidP="00B75B6F">
      <w:pPr>
        <w:pStyle w:val="ISBodyText"/>
        <w:numPr>
          <w:ilvl w:val="0"/>
          <w:numId w:val="52"/>
        </w:numPr>
      </w:pPr>
      <w:r>
        <w:t xml:space="preserve">vienota </w:t>
      </w:r>
      <w:r w:rsidR="00A43F0D">
        <w:t xml:space="preserve">publisko pakalpojumu pārvaldība un </w:t>
      </w:r>
      <w:r>
        <w:t>daudzkanālu publisko pakalpojumu piegāde, balstoties uz vienas pieturas aģentūras pieeju</w:t>
      </w:r>
      <w:r w:rsidR="00B867E9">
        <w:t>;</w:t>
      </w:r>
    </w:p>
    <w:p w:rsidR="00B867E9" w:rsidRDefault="001D2E4D" w:rsidP="00B75B6F">
      <w:pPr>
        <w:pStyle w:val="ISBodyText"/>
        <w:numPr>
          <w:ilvl w:val="0"/>
          <w:numId w:val="52"/>
        </w:numPr>
      </w:pPr>
      <w:r>
        <w:t>elektronisk</w:t>
      </w:r>
      <w:r w:rsidR="00A43F0D">
        <w:t xml:space="preserve">o </w:t>
      </w:r>
      <w:r w:rsidR="00B867E9">
        <w:t xml:space="preserve">piegādes </w:t>
      </w:r>
      <w:r>
        <w:t>kanāl</w:t>
      </w:r>
      <w:r w:rsidR="00A43F0D">
        <w:t>u prioritāt</w:t>
      </w:r>
      <w:r w:rsidR="00B867E9">
        <w:t xml:space="preserve">e daudzkanālu piegādes </w:t>
      </w:r>
      <w:r w:rsidR="00A43F0D">
        <w:t xml:space="preserve">ietvaros. </w:t>
      </w:r>
    </w:p>
    <w:p w:rsidR="001D2E4D" w:rsidRDefault="00A43F0D" w:rsidP="00B867E9">
      <w:pPr>
        <w:pStyle w:val="ISBodyText"/>
      </w:pPr>
      <w:r>
        <w:t xml:space="preserve">No informācijas sistēmu realizācijas viedokļa īpašu lomu publisko pakalpojumu </w:t>
      </w:r>
      <w:r w:rsidR="007903A5">
        <w:t>sniegšana</w:t>
      </w:r>
      <w:r>
        <w:t>s proces</w:t>
      </w:r>
      <w:r w:rsidR="00D671BC">
        <w:t>o</w:t>
      </w:r>
      <w:r>
        <w:t xml:space="preserve">s ieņem personu e-konti (kas saistīti ar oficiālo e-adresi), tāpēc tiem konceptuālajā arhitektūrā ir veltīta atsevišķa konceptuālā rekomendācija (princips). </w:t>
      </w:r>
    </w:p>
    <w:p w:rsidR="00D4080E" w:rsidRDefault="0018664B" w:rsidP="0018664B">
      <w:pPr>
        <w:pStyle w:val="ISBodyText"/>
      </w:pPr>
      <w:r w:rsidRPr="00AF01DF">
        <w:t xml:space="preserve">Publisko pakalpojumu pārvaldības un daudzkanālu piegādes organizācijas principi ir </w:t>
      </w:r>
      <w:r w:rsidR="00611881">
        <w:t xml:space="preserve">tieši </w:t>
      </w:r>
      <w:r w:rsidRPr="00AF01DF">
        <w:t>piemērojami visām publiskās pārvaldes IKT attīstības programmām un projektiem, kas realizē izmaiņas publisko pakalpojumu</w:t>
      </w:r>
      <w:r w:rsidR="00611881">
        <w:t xml:space="preserve"> s</w:t>
      </w:r>
      <w:r w:rsidR="007903A5">
        <w:t>niegšanas</w:t>
      </w:r>
      <w:r w:rsidR="00611881">
        <w:t xml:space="preserve"> IKT nodrošinājumā. Tajā skaitā, arī uz publisko pakalpojumu sniegšanā iesaistīto iestāžu darbības procesu jeb pakalpojumu izpildes sistēmām, kuras </w:t>
      </w:r>
      <w:r w:rsidR="00B867E9">
        <w:t xml:space="preserve">publiskās pārvaldes informācijas sistēmu arhitektūras pirmās versijas izstrādes laikā </w:t>
      </w:r>
      <w:r w:rsidR="00611881">
        <w:t xml:space="preserve">vairumā </w:t>
      </w:r>
      <w:r w:rsidR="00B867E9">
        <w:t>iestāžu</w:t>
      </w:r>
      <w:r w:rsidR="00611881">
        <w:t xml:space="preserve"> neatbalsta vai tikai daļēji (ierobežoti) atbalsta klientu apkalpošanas funkciju nodalīšanu no pakalpojumu izpildes (iestādes pamatdarbības) funkcijām. </w:t>
      </w:r>
    </w:p>
    <w:p w:rsidR="00E85BC3" w:rsidRPr="003A6D60" w:rsidRDefault="00AF17FB" w:rsidP="009A7C5C">
      <w:pPr>
        <w:pStyle w:val="Princips"/>
      </w:pPr>
      <w:bookmarkStart w:id="32" w:name="_Toc410146983"/>
      <w:r w:rsidRPr="003A6D60">
        <w:t>Vienota p</w:t>
      </w:r>
      <w:r w:rsidR="00617598" w:rsidRPr="003A6D60">
        <w:t>ublisko pakalpojumu</w:t>
      </w:r>
      <w:r w:rsidR="008C0250" w:rsidRPr="003A6D60">
        <w:t xml:space="preserve"> un klientu apkalpošanas</w:t>
      </w:r>
      <w:r w:rsidR="00617598" w:rsidRPr="003A6D60">
        <w:t xml:space="preserve"> pārvaldība</w:t>
      </w:r>
      <w:bookmarkEnd w:id="32"/>
      <w:r w:rsidR="00617598" w:rsidRPr="003A6D60">
        <w:t xml:space="preserve"> </w:t>
      </w:r>
    </w:p>
    <w:p w:rsidR="00A43621" w:rsidRPr="003A6D60" w:rsidRDefault="00141B4E" w:rsidP="00A43621">
      <w:pPr>
        <w:pStyle w:val="ISBodyText"/>
      </w:pPr>
      <w:r w:rsidRPr="003A6D60">
        <w:t>Vienota</w:t>
      </w:r>
      <w:r w:rsidR="00AF17FB" w:rsidRPr="003A6D60">
        <w:t xml:space="preserve"> publisko pakalpojumu</w:t>
      </w:r>
      <w:r w:rsidRPr="003A6D60">
        <w:t xml:space="preserve">, to </w:t>
      </w:r>
      <w:r w:rsidR="007903A5" w:rsidRPr="003A6D60">
        <w:t>sniegšanas</w:t>
      </w:r>
      <w:r w:rsidRPr="003A6D60">
        <w:t xml:space="preserve"> un klientu apkalpošanas </w:t>
      </w:r>
      <w:r w:rsidR="00AF17FB" w:rsidRPr="003A6D60">
        <w:t>pārvaldība</w:t>
      </w:r>
      <w:r w:rsidRPr="003A6D60">
        <w:t xml:space="preserve"> </w:t>
      </w:r>
      <w:r w:rsidR="00A43621" w:rsidRPr="003A6D60">
        <w:t>nozīmē sekojošo:</w:t>
      </w:r>
    </w:p>
    <w:p w:rsidR="00A43621" w:rsidRPr="003A6D60" w:rsidRDefault="00A43621" w:rsidP="008E1E68">
      <w:pPr>
        <w:pStyle w:val="ISBulletText"/>
      </w:pPr>
      <w:r w:rsidRPr="003A6D60">
        <w:t xml:space="preserve">Vienota </w:t>
      </w:r>
      <w:r w:rsidR="00141B4E" w:rsidRPr="003A6D60">
        <w:t>publisko pakalpojumu pārvaldība –</w:t>
      </w:r>
      <w:r w:rsidRPr="003A6D60">
        <w:t xml:space="preserve"> </w:t>
      </w:r>
      <w:r w:rsidR="00141B4E" w:rsidRPr="003A6D60">
        <w:t xml:space="preserve">publiskie pakalpojumi tiek iekļauti vienotā publisko pakalpojumu katalogā, reģistrējot tajā visus </w:t>
      </w:r>
      <w:r w:rsidR="00D15E29" w:rsidRPr="003A6D60">
        <w:t xml:space="preserve">publiskos </w:t>
      </w:r>
      <w:r w:rsidR="00141B4E" w:rsidRPr="003A6D60">
        <w:t>pakalpojum</w:t>
      </w:r>
      <w:r w:rsidR="00D15E29" w:rsidRPr="003A6D60">
        <w:t xml:space="preserve">us </w:t>
      </w:r>
      <w:r w:rsidR="00141B4E" w:rsidRPr="003A6D60">
        <w:t xml:space="preserve">un </w:t>
      </w:r>
      <w:r w:rsidR="00D15E29" w:rsidRPr="003A6D60">
        <w:t xml:space="preserve">to </w:t>
      </w:r>
      <w:r w:rsidR="00141B4E" w:rsidRPr="003A6D60">
        <w:t>reģistrējamos atribūtus</w:t>
      </w:r>
      <w:r w:rsidRPr="003A6D60">
        <w:t>;</w:t>
      </w:r>
    </w:p>
    <w:p w:rsidR="00141B4E" w:rsidRPr="003A6D60" w:rsidRDefault="00141B4E" w:rsidP="00141B4E">
      <w:pPr>
        <w:pStyle w:val="ISBulletText"/>
      </w:pPr>
      <w:r w:rsidRPr="003A6D60">
        <w:t>Centralizēta pakalpojumu gadījumu un to izpildes gaitas uzskaite - neatkarīgi no izmantojamā kanāla un tā</w:t>
      </w:r>
      <w:r w:rsidR="00EE31AC">
        <w:t>,</w:t>
      </w:r>
      <w:r w:rsidRPr="003A6D60">
        <w:t xml:space="preserve"> kura iestāde nodrošina pakalpojumu sniegšanu</w:t>
      </w:r>
      <w:r w:rsidR="00EE31AC">
        <w:t>,</w:t>
      </w:r>
      <w:r w:rsidRPr="003A6D60">
        <w:t xml:space="preserve"> centralizētā datu bāzē tiek fiksēti visi pakalpojumu gadījumi (katram pakalpojuma gadījumam pakalpojumu </w:t>
      </w:r>
      <w:r w:rsidR="007903A5" w:rsidRPr="003A6D60">
        <w:t>sniegšanas</w:t>
      </w:r>
      <w:r w:rsidRPr="003A6D60">
        <w:t xml:space="preserve"> platformā</w:t>
      </w:r>
      <w:r w:rsidR="005026FC">
        <w:t xml:space="preserve"> vai iestādes sistēmā</w:t>
      </w:r>
      <w:r w:rsidRPr="003A6D60">
        <w:t xml:space="preserve"> piešķir</w:t>
      </w:r>
      <w:r w:rsidR="005026FC">
        <w:t>ot</w:t>
      </w:r>
      <w:r w:rsidRPr="003A6D60">
        <w:t xml:space="preserve"> unikāl</w:t>
      </w:r>
      <w:r w:rsidR="005026FC">
        <w:t>u</w:t>
      </w:r>
      <w:r w:rsidRPr="003A6D60">
        <w:t xml:space="preserve"> pakalpojuma gadījuma identifikator</w:t>
      </w:r>
      <w:r w:rsidR="005026FC">
        <w:t>u, kas ir pieejams gan iestādei, gan centralizētajai platformai</w:t>
      </w:r>
      <w:r w:rsidRPr="003A6D60">
        <w:t>) un to izpildes statuss</w:t>
      </w:r>
      <w:r w:rsidR="00B9135B">
        <w:t xml:space="preserve">. Iestāžu sistēmu integrācija ar pakalpojumu sniegšanas centralizēto platformu tiek realizēta tā, lai negatīvi neietekmētu pakalpojumu lietojamību (būtu klientam “neredzama”) </w:t>
      </w:r>
      <w:r w:rsidRPr="003A6D60">
        <w:t>;</w:t>
      </w:r>
    </w:p>
    <w:p w:rsidR="00141B4E" w:rsidRPr="003A6D60" w:rsidRDefault="00141B4E" w:rsidP="008E1E68">
      <w:pPr>
        <w:pStyle w:val="ISBulletText"/>
      </w:pPr>
      <w:r w:rsidRPr="003A6D60">
        <w:t xml:space="preserve">Publiskajiem pakalpojumiem, kuriem ir piemērojama maksa, tā tiek piemērota un reģistrēta, izmantojot pakalpojuma identifikatoru publisko pakalpojumu katalogā un unikālo pakalpojuma gadījuma identifikatoru pakalpojumu </w:t>
      </w:r>
      <w:r w:rsidR="007903A5" w:rsidRPr="003A6D60">
        <w:t>sniegšanas un pārvaldības</w:t>
      </w:r>
      <w:r w:rsidRPr="003A6D60">
        <w:t xml:space="preserve"> platformā</w:t>
      </w:r>
      <w:r w:rsidR="00B9135B">
        <w:t xml:space="preserve"> (skat. iepriekšējo punktu par izvairīšanos no negatīvas ietekmes uz lietojamību)</w:t>
      </w:r>
      <w:r w:rsidRPr="003A6D60">
        <w:t xml:space="preserve">;   </w:t>
      </w:r>
    </w:p>
    <w:p w:rsidR="00A43621" w:rsidRPr="003A6D60" w:rsidRDefault="001650F7" w:rsidP="008E1E68">
      <w:pPr>
        <w:pStyle w:val="ISBulletText"/>
      </w:pPr>
      <w:r w:rsidRPr="003A6D60">
        <w:t>Tiek izmantota v</w:t>
      </w:r>
      <w:r w:rsidR="00A43621" w:rsidRPr="003A6D60">
        <w:t>ienas pieturas aģentūras pieeja</w:t>
      </w:r>
      <w:r w:rsidRPr="003A6D60">
        <w:t xml:space="preserve"> klientu apkalpošanas organizēšanā - d</w:t>
      </w:r>
      <w:r w:rsidR="00A43621" w:rsidRPr="003A6D60">
        <w:t xml:space="preserve">ažādu iestāžu (un </w:t>
      </w:r>
      <w:r w:rsidR="00EE31AC" w:rsidRPr="003A6D60">
        <w:t xml:space="preserve">nākotnē </w:t>
      </w:r>
      <w:r w:rsidR="00A43621" w:rsidRPr="003A6D60">
        <w:t>arī pašvaldību) pakalpojumu pieejamība pēc iespējas vienuviet (vienotais por</w:t>
      </w:r>
      <w:r w:rsidRPr="003A6D60">
        <w:t>tāls e-pakalpojumiem, vienots klientu apkalpošanas klātienes centru un atbalsta vietu t</w:t>
      </w:r>
      <w:r w:rsidR="00A43621" w:rsidRPr="003A6D60">
        <w:t>īkls, vienotais publisko pakalpojumu tālrunis u.c.);</w:t>
      </w:r>
    </w:p>
    <w:p w:rsidR="00A43621" w:rsidRPr="003A6D60" w:rsidRDefault="00A43621" w:rsidP="008E1E68">
      <w:pPr>
        <w:pStyle w:val="ISBulletText"/>
      </w:pPr>
      <w:r w:rsidRPr="003A6D60">
        <w:t xml:space="preserve">Klientam ērti </w:t>
      </w:r>
      <w:r w:rsidR="001650F7" w:rsidRPr="003A6D60">
        <w:t xml:space="preserve">pakalpojumu pieprasīšanas un rezultātu saņemšanas </w:t>
      </w:r>
      <w:r w:rsidRPr="003A6D60">
        <w:t xml:space="preserve">kanāli - klients var izvēties </w:t>
      </w:r>
      <w:r w:rsidR="00B35879" w:rsidRPr="003A6D60">
        <w:t>sev</w:t>
      </w:r>
      <w:r w:rsidRPr="003A6D60">
        <w:t xml:space="preserve"> piemērotākos kanālus pakalpojumu pieprasīšanai un rezultātu saņemšanai, </w:t>
      </w:r>
      <w:r w:rsidRPr="003A6D60">
        <w:lastRenderedPageBreak/>
        <w:t>pie</w:t>
      </w:r>
      <w:r w:rsidR="001650F7" w:rsidRPr="003A6D60">
        <w:t xml:space="preserve">ļaujot pat atšķirīgu kanālu izmantošanu pakalpojuma pieprasīšanai un tā rezultātu saņemšanai. Piemēram, </w:t>
      </w:r>
      <w:r w:rsidRPr="003A6D60">
        <w:t>ieteikt pakalpojumu elektroniski, bet saņemt rezultātu pašvaldībā</w:t>
      </w:r>
      <w:r w:rsidR="001650F7" w:rsidRPr="003A6D60">
        <w:t xml:space="preserve">, kas nodrošina atbalstu arī valsts publisko pakalpojumu sniegšanai. </w:t>
      </w:r>
      <w:r w:rsidR="007E5322" w:rsidRPr="003A6D60">
        <w:t>Detalizētāk pakalpojumu daudzkanālu piegāde tiek apskatīta pie principa “publisko pakalpojumu daudzkanālu piegāde”;</w:t>
      </w:r>
    </w:p>
    <w:p w:rsidR="00A43621" w:rsidRPr="003A6D60" w:rsidRDefault="007E5322" w:rsidP="008E1E68">
      <w:pPr>
        <w:pStyle w:val="ISBulletText"/>
      </w:pPr>
      <w:r w:rsidRPr="003A6D60">
        <w:t xml:space="preserve">Pakalpojumu </w:t>
      </w:r>
      <w:r w:rsidR="007903A5" w:rsidRPr="003A6D60">
        <w:t>sniegšanas</w:t>
      </w:r>
      <w:r w:rsidRPr="003A6D60">
        <w:t xml:space="preserve"> procesā tiek izmantots personas </w:t>
      </w:r>
      <w:r w:rsidR="00A43621" w:rsidRPr="003A6D60">
        <w:t>e-</w:t>
      </w:r>
      <w:r w:rsidRPr="003A6D60">
        <w:t>konts,</w:t>
      </w:r>
      <w:r w:rsidR="00A43621" w:rsidRPr="003A6D60">
        <w:t xml:space="preserve"> </w:t>
      </w:r>
      <w:r w:rsidRPr="003A6D60">
        <w:t xml:space="preserve">kura izmantošana nodrošina gan klientu pašapkalpošanās iespējas </w:t>
      </w:r>
      <w:r w:rsidR="00A43621" w:rsidRPr="003A6D60">
        <w:t>(</w:t>
      </w:r>
      <w:r w:rsidRPr="003A6D60">
        <w:t xml:space="preserve">saistīts ar </w:t>
      </w:r>
      <w:r w:rsidR="00A43621" w:rsidRPr="003A6D60">
        <w:t>oficiāl</w:t>
      </w:r>
      <w:r w:rsidRPr="003A6D60">
        <w:t>o</w:t>
      </w:r>
      <w:r w:rsidR="00A43621" w:rsidRPr="003A6D60">
        <w:t xml:space="preserve"> e-adres</w:t>
      </w:r>
      <w:r w:rsidRPr="003A6D60">
        <w:t>i</w:t>
      </w:r>
      <w:r w:rsidR="00A43621" w:rsidRPr="003A6D60">
        <w:t>)</w:t>
      </w:r>
      <w:r w:rsidRPr="003A6D60">
        <w:t>, gan iespējas klientu apkalpošanas organizācijai personu uzdevumā piekļūt pakalpojumu pieprasīšanai un saņemšanai nepieciešamai informācijai. Detalizētāk personas e-konta risinājums tiek apskatīts pie principa “</w:t>
      </w:r>
      <w:r w:rsidR="00EE31AC">
        <w:t>P4: O</w:t>
      </w:r>
      <w:r w:rsidRPr="003A6D60">
        <w:t xml:space="preserve">ficiālā saziņa un pakalpojumu piegāde personas e-kontā”; </w:t>
      </w:r>
      <w:r w:rsidR="00A43621" w:rsidRPr="003A6D60">
        <w:t xml:space="preserve"> </w:t>
      </w:r>
    </w:p>
    <w:p w:rsidR="00E9731C" w:rsidRPr="003A6D60" w:rsidRDefault="00184BF6" w:rsidP="00E9731C">
      <w:pPr>
        <w:pStyle w:val="ISBodyText"/>
      </w:pPr>
      <w:r>
        <w:t>Realizējot</w:t>
      </w:r>
      <w:r w:rsidRPr="003A6D60">
        <w:t xml:space="preserve"> </w:t>
      </w:r>
      <w:r w:rsidR="00E9731C" w:rsidRPr="003A6D60">
        <w:t>vienot</w:t>
      </w:r>
      <w:r>
        <w:t>u</w:t>
      </w:r>
      <w:r w:rsidR="00E9731C" w:rsidRPr="003A6D60">
        <w:t xml:space="preserve"> publisko pakalpojumu un klientu apkalpošanas pārvaldīb</w:t>
      </w:r>
      <w:r>
        <w:t xml:space="preserve">u valstī, </w:t>
      </w:r>
      <w:r w:rsidR="00E9731C" w:rsidRPr="003A6D60">
        <w:t xml:space="preserve"> centralizēti </w:t>
      </w:r>
      <w:r>
        <w:t>tiks veiktas</w:t>
      </w:r>
      <w:r w:rsidRPr="003A6D60">
        <w:t xml:space="preserve"> </w:t>
      </w:r>
      <w:r w:rsidR="00E9731C" w:rsidRPr="003A6D60">
        <w:t>vismaz šādas funkcijas:</w:t>
      </w:r>
    </w:p>
    <w:p w:rsidR="00E9731C" w:rsidRPr="003A6D60" w:rsidRDefault="00E9731C" w:rsidP="00E9731C">
      <w:pPr>
        <w:pStyle w:val="ISBulletText"/>
      </w:pPr>
      <w:r w:rsidRPr="003A6D60">
        <w:rPr>
          <w:szCs w:val="22"/>
          <w:lang w:eastAsia="en-US"/>
        </w:rPr>
        <w:t>Uztur publisko pakalpojumu katalogu</w:t>
      </w:r>
      <w:r w:rsidR="00604EFE">
        <w:rPr>
          <w:szCs w:val="22"/>
          <w:lang w:eastAsia="en-US"/>
        </w:rPr>
        <w:t xml:space="preserve">; </w:t>
      </w:r>
    </w:p>
    <w:p w:rsidR="001650F7" w:rsidRDefault="00E9731C" w:rsidP="00B35879">
      <w:pPr>
        <w:pStyle w:val="ISBulletText"/>
        <w:rPr>
          <w:szCs w:val="22"/>
          <w:lang w:eastAsia="en-US"/>
        </w:rPr>
      </w:pPr>
      <w:r w:rsidRPr="003A6D60">
        <w:rPr>
          <w:szCs w:val="22"/>
          <w:lang w:eastAsia="en-US"/>
        </w:rPr>
        <w:t>Attīsta</w:t>
      </w:r>
      <w:r w:rsidR="00947941" w:rsidRPr="003A6D60">
        <w:rPr>
          <w:szCs w:val="22"/>
          <w:lang w:eastAsia="en-US"/>
        </w:rPr>
        <w:t>, darbina</w:t>
      </w:r>
      <w:r w:rsidRPr="003A6D60">
        <w:rPr>
          <w:szCs w:val="22"/>
          <w:lang w:eastAsia="en-US"/>
        </w:rPr>
        <w:t xml:space="preserve"> un uztur pakalpojumu </w:t>
      </w:r>
      <w:r w:rsidR="007903A5" w:rsidRPr="003A6D60">
        <w:rPr>
          <w:szCs w:val="22"/>
          <w:lang w:eastAsia="en-US"/>
        </w:rPr>
        <w:t>sniegšanas</w:t>
      </w:r>
      <w:r w:rsidRPr="003A6D60">
        <w:rPr>
          <w:szCs w:val="22"/>
          <w:lang w:eastAsia="en-US"/>
        </w:rPr>
        <w:t xml:space="preserve"> </w:t>
      </w:r>
      <w:r w:rsidR="007903A5" w:rsidRPr="003A6D60">
        <w:rPr>
          <w:szCs w:val="22"/>
          <w:lang w:eastAsia="en-US"/>
        </w:rPr>
        <w:t xml:space="preserve">un pārvaldības </w:t>
      </w:r>
      <w:r w:rsidR="00604EFE">
        <w:rPr>
          <w:szCs w:val="22"/>
          <w:lang w:eastAsia="en-US"/>
        </w:rPr>
        <w:t xml:space="preserve">koplietošanas </w:t>
      </w:r>
      <w:r w:rsidR="00947941" w:rsidRPr="003A6D60">
        <w:rPr>
          <w:szCs w:val="22"/>
          <w:lang w:eastAsia="en-US"/>
        </w:rPr>
        <w:t>platformu</w:t>
      </w:r>
      <w:r w:rsidR="00604EFE">
        <w:rPr>
          <w:szCs w:val="22"/>
          <w:lang w:eastAsia="en-US"/>
        </w:rPr>
        <w:t>;</w:t>
      </w:r>
    </w:p>
    <w:p w:rsidR="003F3719" w:rsidRPr="003A6D60" w:rsidRDefault="003F3719" w:rsidP="003F3719">
      <w:pPr>
        <w:pStyle w:val="ISBulletText"/>
      </w:pPr>
      <w:r w:rsidRPr="003A6D60">
        <w:rPr>
          <w:szCs w:val="22"/>
          <w:lang w:eastAsia="en-US"/>
        </w:rPr>
        <w:t xml:space="preserve">Koordinē publisko pakalpojumu klientu apkalpošanas procesu organizāciju, </w:t>
      </w:r>
      <w:r>
        <w:rPr>
          <w:szCs w:val="22"/>
          <w:lang w:eastAsia="en-US"/>
        </w:rPr>
        <w:t xml:space="preserve">nodrošina vai metodiski pārrauga </w:t>
      </w:r>
      <w:r w:rsidRPr="003A6D60">
        <w:rPr>
          <w:szCs w:val="22"/>
          <w:lang w:eastAsia="en-US"/>
        </w:rPr>
        <w:t xml:space="preserve">klientu apkalpošanā iesaistīto darbinieku apmācības </w:t>
      </w:r>
      <w:r>
        <w:rPr>
          <w:szCs w:val="22"/>
          <w:lang w:eastAsia="en-US"/>
        </w:rPr>
        <w:t>attiecībā uz koplietošanas platformu izmantošanu</w:t>
      </w:r>
      <w:r w:rsidR="001C1B43">
        <w:rPr>
          <w:szCs w:val="22"/>
          <w:lang w:eastAsia="en-US"/>
        </w:rPr>
        <w:t xml:space="preserve">; </w:t>
      </w:r>
    </w:p>
    <w:p w:rsidR="001650F7" w:rsidRPr="003A6D60" w:rsidRDefault="009667DA" w:rsidP="009667DA">
      <w:pPr>
        <w:pStyle w:val="ISBulletText"/>
      </w:pPr>
      <w:r w:rsidRPr="003A6D60">
        <w:t xml:space="preserve">Centralizēti organizē un pārrauga pakalpojumu pieprasīšanas procesā </w:t>
      </w:r>
      <w:r w:rsidR="00604EFE">
        <w:t xml:space="preserve">vienas pieturas aģentūrās (ārpus iestādes – pakalpojuma turētājas) </w:t>
      </w:r>
      <w:r w:rsidRPr="003A6D60">
        <w:t>i</w:t>
      </w:r>
      <w:r w:rsidR="001650F7" w:rsidRPr="003A6D60">
        <w:t>esniegt</w:t>
      </w:r>
      <w:r w:rsidRPr="003A6D60">
        <w:t>o</w:t>
      </w:r>
      <w:r w:rsidR="001650F7" w:rsidRPr="003A6D60">
        <w:t xml:space="preserve"> papīra dokument</w:t>
      </w:r>
      <w:r w:rsidRPr="003A6D60">
        <w:t xml:space="preserve">u apstrādi un drošu </w:t>
      </w:r>
      <w:r w:rsidR="001C1B43">
        <w:t>sa</w:t>
      </w:r>
      <w:r w:rsidRPr="003A6D60">
        <w:t xml:space="preserve">glabāšanu centralizēti pārvaldītā papīra dokumentu krātuvē, lai nodrošinātu piekļuves iespēju ārkārtas izņēmumu (piemēram, konfliktu par pakalpojuma pieprasījumu autentiskumu) gadījumos.  </w:t>
      </w:r>
    </w:p>
    <w:p w:rsidR="00BE7F9B" w:rsidRPr="003A6D60" w:rsidRDefault="009667DA" w:rsidP="008C0250">
      <w:pPr>
        <w:pStyle w:val="ISBodyText"/>
      </w:pPr>
      <w:r w:rsidRPr="003A6D60">
        <w:t>Vienota publisko pakalpojumu un klient</w:t>
      </w:r>
      <w:r w:rsidR="00184BF6">
        <w:t>u</w:t>
      </w:r>
      <w:r w:rsidRPr="003A6D60">
        <w:t xml:space="preserve"> apkalpošanas pārvaldība nodrošin</w:t>
      </w:r>
      <w:r w:rsidR="00CA0AEC" w:rsidRPr="003A6D60">
        <w:t>ās</w:t>
      </w:r>
      <w:r w:rsidRPr="003A6D60">
        <w:t xml:space="preserve"> publisko pakalpojumu klientu apkalpošanas atbilstību vienotiem klientu apkalpošanas standartiem un do</w:t>
      </w:r>
      <w:r w:rsidR="00184BF6">
        <w:t>s</w:t>
      </w:r>
      <w:r w:rsidRPr="003A6D60">
        <w:t xml:space="preserve"> efektivitātes ieguvumus, atbrīvojot valsts pārvaldes iestādes no </w:t>
      </w:r>
      <w:r w:rsidR="00F743FD">
        <w:t xml:space="preserve">tādu </w:t>
      </w:r>
      <w:r w:rsidRPr="003A6D60">
        <w:t>klientu apkalpošanas funkciju izpildes</w:t>
      </w:r>
      <w:r w:rsidR="00F743FD">
        <w:t>, kuras var veikt centralizēti</w:t>
      </w:r>
      <w:r w:rsidRPr="003A6D60">
        <w:t xml:space="preserve">. </w:t>
      </w:r>
    </w:p>
    <w:p w:rsidR="0077628D" w:rsidRPr="00A420BD" w:rsidRDefault="0077628D" w:rsidP="0077628D">
      <w:pPr>
        <w:pStyle w:val="Princips"/>
      </w:pPr>
      <w:bookmarkStart w:id="33" w:name="_Toc410146984"/>
      <w:r w:rsidRPr="00A420BD">
        <w:t>Oficiālā saziņa un pakalpojumu piegāde personas e-kontā</w:t>
      </w:r>
      <w:bookmarkEnd w:id="33"/>
    </w:p>
    <w:p w:rsidR="00A420BD" w:rsidRDefault="009045A0" w:rsidP="0077628D">
      <w:pPr>
        <w:spacing w:before="120" w:after="120"/>
        <w:jc w:val="both"/>
        <w:rPr>
          <w:rFonts w:eastAsia="MS Mincho" w:cs="Segoe UI"/>
          <w:bCs/>
          <w:szCs w:val="22"/>
        </w:rPr>
      </w:pPr>
      <w:r w:rsidRPr="00A420BD">
        <w:rPr>
          <w:rFonts w:eastAsia="MS Mincho" w:cs="Segoe UI"/>
          <w:bCs/>
          <w:szCs w:val="22"/>
        </w:rPr>
        <w:t>Konceptuāli rekomendējamais risinājums klientu apkalpošanas (jeb t.s. “front office”) atdalīšanai no pakalpojumu izpildes (jeb “back office”) ir pakalpojumu elektronizēšana (līdz pilnīgai automatizēšanai populārākajiem un vieglāk automatizējamiem pakalpojumiem vai zemākā automatizācijas līmenī citiem pakalpojumiem) un iestāžu saziņas ar personām – pakalpojumu saņēmējām un/vai klientu apkalpošanas organizāciju, kas sniedz atbalstu klientiem publisko pakalpojumu saņemšanā, organizēt, izmantojot personu e-kontus. E-konts ir “oficiālās e-adreses” jēdziena un risinājuma paplašinājums, piemērojot (un tehniski realizējot) tos pilnīgi visām Latvijas juridiskajām un fiziskajām</w:t>
      </w:r>
      <w:r w:rsidR="00A420BD" w:rsidRPr="00A420BD">
        <w:rPr>
          <w:rFonts w:eastAsia="MS Mincho" w:cs="Segoe UI"/>
          <w:bCs/>
          <w:szCs w:val="22"/>
        </w:rPr>
        <w:t xml:space="preserve"> personām, neatkarīgi no tā, vai persona ir deklarējusi privātu e-pasta adresi</w:t>
      </w:r>
      <w:r w:rsidR="00B963BE">
        <w:rPr>
          <w:rFonts w:eastAsia="MS Mincho" w:cs="Segoe UI"/>
          <w:bCs/>
          <w:szCs w:val="22"/>
        </w:rPr>
        <w:t>,</w:t>
      </w:r>
      <w:r w:rsidR="00A420BD" w:rsidRPr="00A420BD">
        <w:rPr>
          <w:rFonts w:eastAsia="MS Mincho" w:cs="Segoe UI"/>
          <w:bCs/>
          <w:szCs w:val="22"/>
        </w:rPr>
        <w:t xml:space="preserve"> uz kuru nosūtīt paziņojumus par oficiālu ziņojumu saņemšanu oficiālajā e-adresē (precīzāk – e-kontā), vai nē.</w:t>
      </w:r>
    </w:p>
    <w:p w:rsidR="00CA0AEC" w:rsidRDefault="00571072" w:rsidP="00CA0AEC">
      <w:pPr>
        <w:spacing w:before="120" w:after="120"/>
        <w:jc w:val="both"/>
        <w:rPr>
          <w:rFonts w:eastAsia="MS Mincho" w:cs="Segoe UI"/>
          <w:bCs/>
          <w:szCs w:val="22"/>
        </w:rPr>
      </w:pPr>
      <w:r>
        <w:rPr>
          <w:rFonts w:eastAsia="MS Mincho" w:cs="Segoe UI"/>
          <w:bCs/>
          <w:szCs w:val="22"/>
        </w:rPr>
        <w:t>Saskaņā ar konceptuālo vīziju, visas iestādes saņem publisko pakalpojumu pieprasījumus un ievieto to izpildes rezultātus attiecīgo personu e-kontos</w:t>
      </w:r>
      <w:r w:rsidR="00FD72DE">
        <w:rPr>
          <w:rFonts w:eastAsia="MS Mincho" w:cs="Segoe UI"/>
          <w:bCs/>
          <w:szCs w:val="22"/>
        </w:rPr>
        <w:t xml:space="preserve"> (neizslēdzot iespēju tos vai norādes uz tiem saglabāt arī iestādes sistēmās)</w:t>
      </w:r>
      <w:r>
        <w:rPr>
          <w:rFonts w:eastAsia="MS Mincho" w:cs="Segoe UI"/>
          <w:bCs/>
          <w:szCs w:val="22"/>
        </w:rPr>
        <w:t xml:space="preserve">. Gadījumos, kad attiecīgā persona ir elektronisko pakalpojumu </w:t>
      </w:r>
      <w:r>
        <w:rPr>
          <w:rFonts w:eastAsia="MS Mincho" w:cs="Segoe UI"/>
          <w:bCs/>
          <w:szCs w:val="22"/>
        </w:rPr>
        <w:lastRenderedPageBreak/>
        <w:t>lietotājs, tā patstāvīgi (vai tās pilnvarota persona) izdara pakalpojumu pieprasījumus un saņem to rezultātus savā e-kontā (saskaņā ar paša deklarētajiem e-konta uzstādījumiem, saņemot paziņojumus uz privātiem e-pastiem un/vai mobilajām iekārtām par kontā ienākušiem ziņojumiem)</w:t>
      </w:r>
      <w:r w:rsidR="006538BD">
        <w:rPr>
          <w:rFonts w:eastAsia="MS Mincho" w:cs="Segoe UI"/>
          <w:bCs/>
          <w:szCs w:val="22"/>
        </w:rPr>
        <w:t xml:space="preserve">. Tieši šāda pakalpojumu </w:t>
      </w:r>
      <w:r w:rsidR="007903A5">
        <w:rPr>
          <w:rFonts w:eastAsia="MS Mincho" w:cs="Segoe UI"/>
          <w:bCs/>
          <w:szCs w:val="22"/>
        </w:rPr>
        <w:t>sniegšana</w:t>
      </w:r>
      <w:r w:rsidR="006538BD">
        <w:rPr>
          <w:rFonts w:eastAsia="MS Mincho" w:cs="Segoe UI"/>
          <w:bCs/>
          <w:szCs w:val="22"/>
        </w:rPr>
        <w:t>, kuras pamatā ir personu pašapkalpošanās, pieprasot pakalpojumus un saņemot to rezultātus, ir veicināmais pakalpojumu piegādes veids, kas juridiskām personām un saimnieciskās darbības veicējiem daudzās pakalpojumu jomās tiks noteikts par vienīgo bez papildus samaksas pieejamo</w:t>
      </w:r>
      <w:r w:rsidR="00FC42D1">
        <w:rPr>
          <w:rFonts w:eastAsia="MS Mincho" w:cs="Segoe UI"/>
          <w:bCs/>
          <w:szCs w:val="22"/>
        </w:rPr>
        <w:t xml:space="preserve"> </w:t>
      </w:r>
      <w:r w:rsidR="00C47545">
        <w:rPr>
          <w:rFonts w:eastAsia="MS Mincho" w:cs="Segoe UI"/>
          <w:bCs/>
          <w:szCs w:val="22"/>
        </w:rPr>
        <w:t>piegādes veidu</w:t>
      </w:r>
      <w:r w:rsidR="006538BD">
        <w:rPr>
          <w:rFonts w:eastAsia="MS Mincho" w:cs="Segoe UI"/>
          <w:bCs/>
          <w:szCs w:val="22"/>
        </w:rPr>
        <w:t xml:space="preserve">. </w:t>
      </w:r>
      <w:r w:rsidR="003C0990">
        <w:rPr>
          <w:rFonts w:eastAsia="MS Mincho" w:cs="Segoe UI"/>
          <w:bCs/>
          <w:szCs w:val="22"/>
        </w:rPr>
        <w:t xml:space="preserve">Bezmaksas alternatīvie publisko pakalpojumu piegādes kanāli tiks nodrošināti fiziskām personām (skat. principa “publisko pakalpojumu daudzkanālu piegāde” izklāstu).  </w:t>
      </w:r>
    </w:p>
    <w:p w:rsidR="00376748" w:rsidRDefault="00A420BD" w:rsidP="00376748">
      <w:pPr>
        <w:spacing w:before="120" w:after="120"/>
        <w:jc w:val="both"/>
        <w:rPr>
          <w:iCs/>
        </w:rPr>
      </w:pPr>
      <w:r w:rsidRPr="00A420BD">
        <w:rPr>
          <w:iCs/>
        </w:rPr>
        <w:t>E-konta konsekventa</w:t>
      </w:r>
      <w:r>
        <w:rPr>
          <w:iCs/>
        </w:rPr>
        <w:t xml:space="preserve"> izmantošana ļau</w:t>
      </w:r>
      <w:r w:rsidR="00CA0AEC">
        <w:rPr>
          <w:iCs/>
        </w:rPr>
        <w:t>s</w:t>
      </w:r>
      <w:r>
        <w:rPr>
          <w:iCs/>
        </w:rPr>
        <w:t xml:space="preserve"> unificēt un būtiski vienkāršot pakalpojumu </w:t>
      </w:r>
      <w:r w:rsidR="007903A5">
        <w:rPr>
          <w:iCs/>
        </w:rPr>
        <w:t>sniegšana</w:t>
      </w:r>
      <w:r>
        <w:rPr>
          <w:iCs/>
        </w:rPr>
        <w:t xml:space="preserve">s procesus, radot iespēju paaugstināt valsts pārvaldes iestāžu darbības efektivitāti, atbrīvojot tās ne tikai no pakalpojumu piegādes loģistikas funkcijām (pasta sūtījumi, izejošie zvani, elektroniskā piegāde uz konkrētām privātām adresēm), bet </w:t>
      </w:r>
      <w:r w:rsidR="00CA0AEC">
        <w:rPr>
          <w:iCs/>
        </w:rPr>
        <w:t xml:space="preserve">daudzos gadījumos arī </w:t>
      </w:r>
      <w:r>
        <w:rPr>
          <w:iCs/>
        </w:rPr>
        <w:t xml:space="preserve">nepieciešamības uzturēt informāciju par klientu (personu) kontaktu datiem. </w:t>
      </w:r>
      <w:r w:rsidR="00376748">
        <w:rPr>
          <w:iCs/>
        </w:rPr>
        <w:t xml:space="preserve">E-konti ir izmantojami ne tikai pakalpojumu sniegšanas procesos, bet arī cita veida komunikācijai starp publisko pārvaldi un privātpersonām, bet perspektīvā – kontrolētā veidā (droši aizsargājot e-kontus no mēstulēm) arī privātpersonu savstarpējai komunikācijai. </w:t>
      </w:r>
    </w:p>
    <w:p w:rsidR="00A43621" w:rsidRPr="00E37F25" w:rsidRDefault="008C0250" w:rsidP="00376748">
      <w:pPr>
        <w:pStyle w:val="Princips"/>
      </w:pPr>
      <w:bookmarkStart w:id="34" w:name="_Toc410146985"/>
      <w:r w:rsidRPr="00E37F25">
        <w:t>Publisko pakalpojumu daudzkanālu piegāde</w:t>
      </w:r>
      <w:bookmarkEnd w:id="34"/>
      <w:r w:rsidR="00A43621" w:rsidRPr="00E37F25">
        <w:t xml:space="preserve"> </w:t>
      </w:r>
    </w:p>
    <w:p w:rsidR="00AF4EEE" w:rsidRDefault="003C0990" w:rsidP="00A43F0D">
      <w:pPr>
        <w:pStyle w:val="ISBodySubhead2"/>
        <w:rPr>
          <w:i w:val="0"/>
          <w:u w:val="none"/>
        </w:rPr>
      </w:pPr>
      <w:r>
        <w:rPr>
          <w:i w:val="0"/>
          <w:u w:val="none"/>
        </w:rPr>
        <w:t>Lai arī</w:t>
      </w:r>
      <w:r w:rsidR="001A19A9">
        <w:rPr>
          <w:i w:val="0"/>
          <w:u w:val="none"/>
        </w:rPr>
        <w:t xml:space="preserve"> personu pašapkalpošanās pieprasot un saņemot publiskos pakalpojumus, izmantojot elektroniskos piegādes kanālus</w:t>
      </w:r>
      <w:r w:rsidR="00B963BE">
        <w:rPr>
          <w:i w:val="0"/>
          <w:u w:val="none"/>
        </w:rPr>
        <w:t>,</w:t>
      </w:r>
      <w:r w:rsidR="001A19A9">
        <w:rPr>
          <w:i w:val="0"/>
          <w:u w:val="none"/>
        </w:rPr>
        <w:t xml:space="preserve"> ir definēta par prioritāro, vēlamo un daudzās pakalpojumu jomās juridiskām personām un saimnieciskās darbības veicējiem nosakāma par obligāt</w:t>
      </w:r>
      <w:r w:rsidR="00AF4EEE">
        <w:rPr>
          <w:i w:val="0"/>
          <w:u w:val="none"/>
        </w:rPr>
        <w:t>i izmantojamu (un vienīgo, bez papildus samaksas pieejamo), gan daļas fizisko personu ierobežoto iespēju, gan atsevišķu pakalpojumu grupu ierobežojumu un īpašu prasību dēļ, paralēli ar elektroniskajiem pašapkalpošanās kanāliem ir nepieciešami arī alternatīvi piegādes kanāli (klātienes klientu apkalpošana, zvanu jeb kontaktu centrs, pasta</w:t>
      </w:r>
      <w:r w:rsidR="00B963BE">
        <w:rPr>
          <w:i w:val="0"/>
          <w:u w:val="none"/>
        </w:rPr>
        <w:t xml:space="preserve"> vai</w:t>
      </w:r>
      <w:r w:rsidR="0094641D">
        <w:rPr>
          <w:i w:val="0"/>
          <w:u w:val="none"/>
        </w:rPr>
        <w:t xml:space="preserve"> </w:t>
      </w:r>
      <w:r w:rsidR="00AF4EEE">
        <w:rPr>
          <w:i w:val="0"/>
          <w:u w:val="none"/>
        </w:rPr>
        <w:t>kurjerpasta sūtījumi), kas kopumā veido publisko pakalpojumu daudzkanālu piegādes risinājumu.</w:t>
      </w:r>
    </w:p>
    <w:p w:rsidR="005D26FC" w:rsidRDefault="00AF4EEE" w:rsidP="00A43F0D">
      <w:pPr>
        <w:pStyle w:val="ISBodySubhead2"/>
        <w:rPr>
          <w:i w:val="0"/>
          <w:u w:val="none"/>
        </w:rPr>
      </w:pPr>
      <w:r>
        <w:rPr>
          <w:i w:val="0"/>
          <w:u w:val="none"/>
        </w:rPr>
        <w:t xml:space="preserve">Kā izklāstīts iepriekš sadaļā par e-kontu, </w:t>
      </w:r>
      <w:r w:rsidR="007E3DD2">
        <w:rPr>
          <w:i w:val="0"/>
          <w:u w:val="none"/>
        </w:rPr>
        <w:t xml:space="preserve">ilgtermiņa vīzijas risinājums paredz, ka </w:t>
      </w:r>
      <w:r>
        <w:rPr>
          <w:i w:val="0"/>
          <w:u w:val="none"/>
        </w:rPr>
        <w:t>iestādes (izņemot klientu apkalpošanas organizāciju) saņem pakalpojumu pieteikumus un nodod pakalpojumu rezultātus tikai elektroniskā formā un tikai izmantojot personu e-kontus. Izņēmumi ir tikai īpaša veida pakalpojumi, kas prasa fizisku kontaktu (piemēram, fotografēšanu pases izsniegšanai) un/vai fizisku dokumentu vai lietu (piemēram, pases vai e</w:t>
      </w:r>
      <w:r w:rsidR="00175D4E">
        <w:rPr>
          <w:i w:val="0"/>
          <w:u w:val="none"/>
        </w:rPr>
        <w:t>ID kartes) izsniegšanu</w:t>
      </w:r>
      <w:r w:rsidR="00376748">
        <w:rPr>
          <w:i w:val="0"/>
          <w:u w:val="none"/>
        </w:rPr>
        <w:t xml:space="preserve"> vai arī specifiskas, padziļinātas zināšanas klientu konsultēšanai klātienē</w:t>
      </w:r>
      <w:r w:rsidR="00175D4E">
        <w:rPr>
          <w:i w:val="0"/>
          <w:u w:val="none"/>
        </w:rPr>
        <w:t xml:space="preserve">. </w:t>
      </w:r>
      <w:r w:rsidR="005D26FC">
        <w:rPr>
          <w:i w:val="0"/>
          <w:u w:val="none"/>
        </w:rPr>
        <w:t xml:space="preserve">Attiecībā uz piegādi tikai e-kontā, specifiskiem pakalpojumiem ir iespējami arī </w:t>
      </w:r>
      <w:r w:rsidR="00CC08C0">
        <w:rPr>
          <w:i w:val="0"/>
          <w:u w:val="none"/>
        </w:rPr>
        <w:t xml:space="preserve">izņēmumi </w:t>
      </w:r>
      <w:r w:rsidR="005D26FC">
        <w:rPr>
          <w:i w:val="0"/>
          <w:u w:val="none"/>
        </w:rPr>
        <w:t xml:space="preserve">gadījumos, kad pakalpojuma rezultāts ir digitālā formā. Piemēram, </w:t>
      </w:r>
      <w:r w:rsidR="005D26FC" w:rsidRPr="005D26FC">
        <w:rPr>
          <w:i w:val="0"/>
          <w:u w:val="none"/>
        </w:rPr>
        <w:t>datu lejupielāde no pakalpojumu portāliem, datu apmaiņas serveriem utml.</w:t>
      </w:r>
      <w:r w:rsidR="005D26FC">
        <w:rPr>
          <w:i w:val="0"/>
          <w:u w:val="none"/>
        </w:rPr>
        <w:t xml:space="preserve"> </w:t>
      </w:r>
      <w:r w:rsidR="00175D4E">
        <w:rPr>
          <w:i w:val="0"/>
          <w:u w:val="none"/>
        </w:rPr>
        <w:t>T</w:t>
      </w:r>
      <w:r w:rsidR="005D26FC">
        <w:rPr>
          <w:i w:val="0"/>
          <w:u w:val="none"/>
        </w:rPr>
        <w:t xml:space="preserve">omēr vairumam publisko pakalpojumu </w:t>
      </w:r>
      <w:r w:rsidR="00175D4E">
        <w:rPr>
          <w:i w:val="0"/>
          <w:u w:val="none"/>
        </w:rPr>
        <w:t xml:space="preserve">alternatīvie pakalpojumu piegādes kanāli tiek izmantoti tikai posmā no personas e-konta līdz personai (klientam). </w:t>
      </w:r>
    </w:p>
    <w:p w:rsidR="00175D4E" w:rsidRDefault="00175D4E" w:rsidP="00A43F0D">
      <w:pPr>
        <w:pStyle w:val="ISBodySubhead2"/>
        <w:rPr>
          <w:i w:val="0"/>
          <w:u w:val="none"/>
        </w:rPr>
      </w:pPr>
      <w:r>
        <w:rPr>
          <w:i w:val="0"/>
          <w:u w:val="none"/>
        </w:rPr>
        <w:t>Praktiski alternatīvie kanāli pakalpojumu rezultātu un citu publiskās pārvaldes ziņojumu piegādei personām var tikt izmantoti, piemēram šādās situācijās:</w:t>
      </w:r>
    </w:p>
    <w:p w:rsidR="00175D4E" w:rsidRPr="00175D4E" w:rsidRDefault="00175D4E" w:rsidP="00175D4E">
      <w:pPr>
        <w:pStyle w:val="ISBulletText"/>
      </w:pPr>
      <w:r>
        <w:rPr>
          <w:szCs w:val="22"/>
          <w:lang w:eastAsia="en-US"/>
        </w:rPr>
        <w:t>Izejošie zvani no publisko pakalpojumu zvanu centra</w:t>
      </w:r>
      <w:r w:rsidR="00E37F25">
        <w:rPr>
          <w:szCs w:val="22"/>
          <w:lang w:eastAsia="en-US"/>
        </w:rPr>
        <w:t xml:space="preserve"> personām</w:t>
      </w:r>
      <w:r>
        <w:rPr>
          <w:szCs w:val="22"/>
          <w:lang w:eastAsia="en-US"/>
        </w:rPr>
        <w:t>, kam ir steidzami un/vai īpaši svarīgi ziņojumi e-kontā, ja personas ir deklarējušas telefona numurus, bet nav deklarējušas oficiālo e-adresi, vai arī – ir deklarējušas oficiālo e-adresi, bet nesaņem tajā ziņojumus noteiktā laikā pēc paziņojuma nosūtīšanas uz deklarēto privāto e-pasta adresi;</w:t>
      </w:r>
    </w:p>
    <w:p w:rsidR="00E37F25" w:rsidRPr="00E37F25" w:rsidRDefault="00E37F25" w:rsidP="00175D4E">
      <w:pPr>
        <w:pStyle w:val="ISBulletText"/>
      </w:pPr>
      <w:r>
        <w:rPr>
          <w:szCs w:val="22"/>
          <w:lang w:eastAsia="en-US"/>
        </w:rPr>
        <w:lastRenderedPageBreak/>
        <w:t>pasta sūtījumi (vai pat ierakstīti pasta sūtījumi vai kurjerpasta sūtījumi – atkarībā no ziņojuma vai sūtījuma nozīmības) personām, kas nav deklarējušas telefona numurus vai atkārtoti nav sasniedzamas ne ar paziņojumiem uz e-pastiem, ne telefoniski;</w:t>
      </w:r>
    </w:p>
    <w:p w:rsidR="00E37F25" w:rsidRPr="00E37F25" w:rsidRDefault="00E37F25" w:rsidP="00175D4E">
      <w:pPr>
        <w:pStyle w:val="ISBulletText"/>
      </w:pPr>
      <w:r>
        <w:rPr>
          <w:szCs w:val="22"/>
          <w:lang w:eastAsia="en-US"/>
        </w:rPr>
        <w:t>klātienes klientu apkalpošana – specializētām konsultācijām (noteiktos laikos un vietās, iesaistot jomas speciālistus</w:t>
      </w:r>
      <w:r w:rsidR="007E3DD2">
        <w:rPr>
          <w:szCs w:val="22"/>
          <w:lang w:eastAsia="en-US"/>
        </w:rPr>
        <w:t>, sarežģītu, specializētu konsultāciju gadījumā - arī</w:t>
      </w:r>
      <w:r>
        <w:rPr>
          <w:szCs w:val="22"/>
          <w:lang w:eastAsia="en-US"/>
        </w:rPr>
        <w:t xml:space="preserve"> pēc iepriekš elektroniski vai telefoniski  saskaņota grafika), </w:t>
      </w:r>
      <w:r w:rsidR="002E7A02">
        <w:rPr>
          <w:szCs w:val="22"/>
          <w:lang w:eastAsia="en-US"/>
        </w:rPr>
        <w:t xml:space="preserve">e-pakalpojumu izmantošanas konsultācijām, </w:t>
      </w:r>
      <w:r>
        <w:rPr>
          <w:szCs w:val="22"/>
          <w:lang w:eastAsia="en-US"/>
        </w:rPr>
        <w:t>īpašiem pakalpojumu veidiem, kas prasa fizisku klātbūtni (piemēram, personas identifikācijas vai fiziskas personas elektroniskās identifikācijas līdzekļu izsniegšanai).</w:t>
      </w:r>
    </w:p>
    <w:p w:rsidR="008D7967" w:rsidRPr="00B8397A" w:rsidRDefault="00E37F25" w:rsidP="008D7967">
      <w:pPr>
        <w:pStyle w:val="ISBodyText"/>
      </w:pPr>
      <w:r w:rsidRPr="00E87EBA">
        <w:t xml:space="preserve">Centralizēti pārvaldīta pakalpojumu daudzkanālu piegāde ļauj </w:t>
      </w:r>
      <w:r w:rsidR="00E87EBA" w:rsidRPr="00E87EBA">
        <w:t xml:space="preserve">optimāli  izmantot publiskās </w:t>
      </w:r>
      <w:r w:rsidR="002E7A02">
        <w:t xml:space="preserve">pārvaldes </w:t>
      </w:r>
      <w:r w:rsidR="00E87EBA" w:rsidRPr="00E87EBA">
        <w:t xml:space="preserve">resursus, </w:t>
      </w:r>
      <w:r w:rsidR="002E7A02">
        <w:t>pamatā izmantojot</w:t>
      </w:r>
      <w:r w:rsidR="00E87EBA" w:rsidRPr="00E87EBA">
        <w:t xml:space="preserve"> efektīvāk</w:t>
      </w:r>
      <w:r w:rsidR="002E7A02">
        <w:t xml:space="preserve">os </w:t>
      </w:r>
      <w:r w:rsidR="00E87EBA" w:rsidRPr="00E87EBA">
        <w:t>(lētāk</w:t>
      </w:r>
      <w:r w:rsidR="002E7A02">
        <w:t>os</w:t>
      </w:r>
      <w:r w:rsidR="00E87EBA" w:rsidRPr="00E87EBA">
        <w:t>) kanāl</w:t>
      </w:r>
      <w:r w:rsidR="002E7A02">
        <w:t>us un pārejot</w:t>
      </w:r>
      <w:r w:rsidR="00E87EBA" w:rsidRPr="00E87EBA">
        <w:t xml:space="preserve"> uz dārgākiem  kanāliem tikai objektīvas nepieciešamības gadījumos - tad, kad lētāka kanāla izmantošana nav iespējama vai tā iespējas konkrētajā gadījumā ir izsmeltas.  P</w:t>
      </w:r>
      <w:r w:rsidR="00E87EBA">
        <w:t>ubliskā</w:t>
      </w:r>
      <w:r w:rsidR="007E3DD2">
        <w:t>s</w:t>
      </w:r>
      <w:r w:rsidR="00E87EBA">
        <w:t xml:space="preserve"> pārvalde</w:t>
      </w:r>
      <w:r w:rsidR="007E3DD2">
        <w:t>s</w:t>
      </w:r>
      <w:r w:rsidR="00E87EBA">
        <w:t xml:space="preserve"> </w:t>
      </w:r>
      <w:r w:rsidR="007E3DD2">
        <w:t xml:space="preserve">institūcijas </w:t>
      </w:r>
      <w:r w:rsidR="00E87EBA">
        <w:t>var gūt mēroga (apjoma) ieguvumus arī izmantojot alternatīvo kanālu (zvanu centru un pasta) pakalpojumu centralizētus iepirkumus</w:t>
      </w:r>
      <w:r w:rsidR="007E3DD2">
        <w:t xml:space="preserve">, attiecīgo pakalpojumu piegādes loģistikas pakalpojumu sniedzējiem (pasta vai zvanu centru operatoriem) sniedzot liela apjoma “piegādes no e-konta personām” ar zvanu vai pasta sūtījumu palīdzību, ne katras atsevišķās iestādes, bet publiskās pārvaldes centralizētā uzdevumā. </w:t>
      </w:r>
      <w:r w:rsidR="00172112">
        <w:t xml:space="preserve">Piemēram, iedzīvotājiem, kuri neizmanto elektroniskās saziņas kanālus, pasta sūtījuma piegādi uz deklarētajām dzīves vietām, izdrukājot ziņojumus no attiecīgajiem e-kontiem, var veikt viens pasta pakalpojumu sniedzējs viena centralizēta koplietošanas pakalpojuma ietvaros.   </w:t>
      </w:r>
      <w:r w:rsidR="007E3DD2">
        <w:t xml:space="preserve">  </w:t>
      </w:r>
      <w:r w:rsidR="00E87EBA">
        <w:t xml:space="preserve">  </w:t>
      </w:r>
    </w:p>
    <w:p w:rsidR="00502011" w:rsidRPr="008A1D45" w:rsidRDefault="00502011" w:rsidP="00502011">
      <w:pPr>
        <w:pStyle w:val="Princips"/>
      </w:pPr>
      <w:bookmarkStart w:id="35" w:name="_Toc410146986"/>
      <w:r w:rsidRPr="008A1D45">
        <w:t>Autorizācija</w:t>
      </w:r>
      <w:r w:rsidR="00265AB3" w:rsidRPr="008A1D45">
        <w:t xml:space="preserve">, </w:t>
      </w:r>
      <w:r w:rsidRPr="008A1D45">
        <w:t>pilnvarojumi publiskajos pakalpojumos</w:t>
      </w:r>
      <w:r w:rsidR="00265AB3" w:rsidRPr="008A1D45">
        <w:t xml:space="preserve"> un proaktīvie pakalpojumi</w:t>
      </w:r>
      <w:bookmarkEnd w:id="35"/>
      <w:r w:rsidRPr="008A1D45">
        <w:t xml:space="preserve"> </w:t>
      </w:r>
    </w:p>
    <w:p w:rsidR="00DF1FC6" w:rsidRDefault="008D7967" w:rsidP="00502011">
      <w:pPr>
        <w:pStyle w:val="ISBodyText"/>
      </w:pPr>
      <w:r w:rsidRPr="008A1D45">
        <w:t>Atkarībā no pakalpojumu jomas un konkrētā satura, ar pakalpojumu nepareizu (</w:t>
      </w:r>
      <w:r w:rsidR="00E14B9B" w:rsidRPr="008A1D45">
        <w:t xml:space="preserve">neautorizēti vai krāpnieciski pieprasītu, kļūdaini pieprasītu) pieprasīšanu saistītie riski personām, publiskajai pārvaldei un sabiedrībai kopumā var būt ļoti dažādi. Tāpēc </w:t>
      </w:r>
      <w:r w:rsidR="00E14B9B" w:rsidRPr="00F04091">
        <w:rPr>
          <w:b/>
        </w:rPr>
        <w:t xml:space="preserve">pakalpojumiem </w:t>
      </w:r>
      <w:r w:rsidR="00425498" w:rsidRPr="00F04091">
        <w:rPr>
          <w:b/>
        </w:rPr>
        <w:t>ir jānosaka</w:t>
      </w:r>
      <w:r w:rsidR="00E14B9B" w:rsidRPr="00F04091">
        <w:rPr>
          <w:b/>
        </w:rPr>
        <w:t xml:space="preserve"> pieļaujamās autorizācijas līmeņi un pilnvarošanas veidi.</w:t>
      </w:r>
      <w:r w:rsidR="00E14B9B" w:rsidRPr="008A1D45">
        <w:t xml:space="preserve"> Stingrākās</w:t>
      </w:r>
      <w:r w:rsidR="00666BAF" w:rsidRPr="008A1D45">
        <w:t xml:space="preserve"> (</w:t>
      </w:r>
      <w:r w:rsidR="00666BAF" w:rsidRPr="008A1D45">
        <w:rPr>
          <w:i/>
          <w:u w:val="single"/>
        </w:rPr>
        <w:t>augstākās drošības līmenis</w:t>
      </w:r>
      <w:r w:rsidR="00666BAF" w:rsidRPr="008A1D45">
        <w:t>)</w:t>
      </w:r>
      <w:r w:rsidR="00E14B9B" w:rsidRPr="008A1D45">
        <w:t xml:space="preserve"> autorizācijas pakāpes piemērs ir ar nekustamo īpašumu īpašumtiesību izmaiņām saistītie pakalpojumi, kuriem tiek noteikts, ka </w:t>
      </w:r>
      <w:r w:rsidR="00DF1FC6">
        <w:t xml:space="preserve">personu parakstiem uz </w:t>
      </w:r>
      <w:r w:rsidR="00E14B9B" w:rsidRPr="008A1D45">
        <w:t xml:space="preserve">to pieprasījumiem (un/vai pamatojošajiem dokumentiem) ir jābūt notariāli apstiprinātiem. </w:t>
      </w:r>
      <w:r w:rsidR="00614A3D" w:rsidRPr="008A1D45">
        <w:t>Nākošais</w:t>
      </w:r>
      <w:r w:rsidR="00666BAF" w:rsidRPr="008A1D45">
        <w:t xml:space="preserve"> (</w:t>
      </w:r>
      <w:r w:rsidR="00666BAF" w:rsidRPr="008A1D45">
        <w:rPr>
          <w:i/>
          <w:u w:val="single"/>
        </w:rPr>
        <w:t>paaugstinātas drošības</w:t>
      </w:r>
      <w:r w:rsidR="00614A3D" w:rsidRPr="008A1D45">
        <w:rPr>
          <w:i/>
          <w:u w:val="single"/>
        </w:rPr>
        <w:t xml:space="preserve"> līmenis</w:t>
      </w:r>
      <w:r w:rsidR="00666BAF" w:rsidRPr="008A1D45">
        <w:rPr>
          <w:i/>
          <w:u w:val="single"/>
        </w:rPr>
        <w:t>)</w:t>
      </w:r>
      <w:r w:rsidR="00614A3D" w:rsidRPr="008A1D45">
        <w:t xml:space="preserve"> – pieprasī</w:t>
      </w:r>
      <w:r w:rsidR="00DF1FC6">
        <w:t xml:space="preserve">tāja paraksta </w:t>
      </w:r>
      <w:r w:rsidR="00614A3D" w:rsidRPr="008A1D45">
        <w:t>notariāls apliecinājums vai drošs elektronisks paraksts (drošo elektronisko parakstu pēc būtības izmantojot kā uzticamības pakalpojumu sniedzēja apliecinā</w:t>
      </w:r>
      <w:r w:rsidR="00DF1FC6">
        <w:t>jumu</w:t>
      </w:r>
      <w:r w:rsidR="00614A3D" w:rsidRPr="008A1D45">
        <w:t xml:space="preserve"> </w:t>
      </w:r>
      <w:r w:rsidR="00DF1FC6">
        <w:t xml:space="preserve">elektroniskajam </w:t>
      </w:r>
      <w:r w:rsidR="00614A3D" w:rsidRPr="008A1D45">
        <w:t>parakst</w:t>
      </w:r>
      <w:r w:rsidR="00DF1FC6">
        <w:t>am</w:t>
      </w:r>
      <w:r w:rsidR="00614A3D" w:rsidRPr="008A1D45">
        <w:t xml:space="preserve">) tiek izmantots juridisku personu izveidošanas un to </w:t>
      </w:r>
      <w:r w:rsidR="00DF1FC6">
        <w:t xml:space="preserve">statusa būtisku </w:t>
      </w:r>
      <w:r w:rsidR="00614A3D" w:rsidRPr="008A1D45">
        <w:t xml:space="preserve">izmaiņu pieprasījumiem. Vairumam publisko pakalpojumu </w:t>
      </w:r>
      <w:r w:rsidR="00C47545">
        <w:t xml:space="preserve">ir nepieciešama </w:t>
      </w:r>
      <w:r w:rsidR="00614A3D" w:rsidRPr="008A1D45">
        <w:t>pieprasītāja fiziska klātbūtne, iesniedzot pakalpojuma pieprasījumu vai</w:t>
      </w:r>
      <w:r w:rsidR="00C47545">
        <w:t xml:space="preserve"> kā tās alternatīva elektroniskajā vidē - </w:t>
      </w:r>
      <w:r w:rsidR="00614A3D" w:rsidRPr="008A1D45">
        <w:t>pakalpojuma kritiskuma līmenim atbilstošas</w:t>
      </w:r>
      <w:r w:rsidR="008A1D45" w:rsidRPr="008A1D45">
        <w:t xml:space="preserve"> </w:t>
      </w:r>
      <w:r w:rsidR="00614A3D" w:rsidRPr="008A1D45">
        <w:t>drošības pakāpes elektroniskā identifikācija</w:t>
      </w:r>
      <w:r w:rsidR="00C47545">
        <w:t xml:space="preserve"> </w:t>
      </w:r>
      <w:r w:rsidR="008A1D45" w:rsidRPr="008A1D45">
        <w:t>(</w:t>
      </w:r>
      <w:r w:rsidR="008A1D45" w:rsidRPr="008A1D45">
        <w:rPr>
          <w:i/>
          <w:u w:val="single"/>
        </w:rPr>
        <w:t>parastais līmenis ar iespējamu gradāciju e-identifikācijas drošības pakāpēm</w:t>
      </w:r>
      <w:r w:rsidR="008A1D45" w:rsidRPr="008A1D45">
        <w:t>)</w:t>
      </w:r>
      <w:r w:rsidR="00614A3D" w:rsidRPr="008A1D45">
        <w:t xml:space="preserve">. </w:t>
      </w:r>
      <w:r w:rsidR="00265AB3" w:rsidRPr="008A1D45">
        <w:t>Ir pakalpojumi, kuros tiek piemērotas pazeminātas prasības, piemēram, pieļaujot neapliecinātu pieprasījumu un/vai saistīto dokumentu nosūtīšanu pa pastu vai citādi bezpersoniski nogādājot publiskās pārvaldes iestādē, bez iespējas iestādei droši pārliecināties par pakalpojuma pieprasītāja identitāti.</w:t>
      </w:r>
      <w:r w:rsidR="00F930B5" w:rsidRPr="008A1D45">
        <w:t xml:space="preserve"> Šāda, atvieglota pieeja samazina administratīvo slogu pakalpojumu pieprasītājiem, bet ir piemērojama tikai zemu risku pakalpojumiem. </w:t>
      </w:r>
    </w:p>
    <w:p w:rsidR="00265AB3" w:rsidRPr="008A1D45" w:rsidRDefault="00F930B5" w:rsidP="00502011">
      <w:pPr>
        <w:pStyle w:val="ISBodyText"/>
      </w:pPr>
      <w:r w:rsidRPr="008A1D45">
        <w:t xml:space="preserve">Pakalpojumu saņēmēji </w:t>
      </w:r>
      <w:r w:rsidR="00DF1FC6">
        <w:t>var tikt</w:t>
      </w:r>
      <w:r w:rsidRPr="008A1D45">
        <w:t xml:space="preserve"> pilnībā atbrīvoti no administratīvā sloga un iestāžu procesi būtiski vienkāršoti, izvairoties no pakalpojumu pieprasījumu apstrādes, pārejot uz automātisku jeb </w:t>
      </w:r>
      <w:r w:rsidRPr="008A1D45">
        <w:lastRenderedPageBreak/>
        <w:t>proaktīvu pakalpojumu sniegšanu personām, kas kvalificējas attiecīgo pakalpojumu saņemšanai. Tāpēc no IKT arhitektūras viedokļa proaktīva pakalpojumu sniegšana tiek uzskatīta par pašu vēlamāko</w:t>
      </w:r>
      <w:r w:rsidR="00425498" w:rsidRPr="008A1D45">
        <w:t xml:space="preserve">. </w:t>
      </w:r>
      <w:r w:rsidR="001930F3" w:rsidRPr="001930F3">
        <w:t>Šāda pakalpojuma sniegšanas veida izvēle ir atkarīga no budžeta iespējām un informācijas pieejamības personu kvalificēšanai pakalpojuma piešķiršanai pēc personas akceptētā pieprasījuma (piemēram, informācijas par veselības (ja persona piekrīt šādas informācijas automātiskai nosūtīšanai no medicīnas iestādes nodokļu administrācijai) vai izglītības pakalpojumu izmantošanu, ja persona vēlas saņemt iedzīvotāju ienākuma nodokļa atmaksu vai piemērot iedzīvotāju ienākuma nodokļa maksātājam paredzētos atvieglojumus) saņemšanai un pakalpojumu piegādei (piemēram, informācijas par personas e-kontu informācijas par pakalpojuma sniegšanu piegādei un informācijas par b</w:t>
      </w:r>
      <w:r w:rsidR="001930F3">
        <w:t>ankas kontu – pārskaitījumam).</w:t>
      </w:r>
      <w:r w:rsidR="00425498" w:rsidRPr="008A1D45">
        <w:t xml:space="preserve"> </w:t>
      </w:r>
    </w:p>
    <w:p w:rsidR="004E42B2" w:rsidRDefault="00425498" w:rsidP="00502011">
      <w:pPr>
        <w:pStyle w:val="ISBodyText"/>
      </w:pPr>
      <w:r w:rsidRPr="008A1D45">
        <w:t xml:space="preserve">Vienotas klientu apkalpošanas </w:t>
      </w:r>
      <w:r w:rsidR="002E7A02">
        <w:t>pārvaldības</w:t>
      </w:r>
      <w:r w:rsidR="002E7A02" w:rsidRPr="008A1D45">
        <w:t xml:space="preserve"> </w:t>
      </w:r>
      <w:r w:rsidRPr="008A1D45">
        <w:t xml:space="preserve">ieviešana </w:t>
      </w:r>
      <w:r w:rsidR="00666BAF" w:rsidRPr="008A1D45">
        <w:t>tehniski paplašina autorizēšanas un pilnvarošanas iespēju diapazonu, nosakot, kuru pakalpojumu pieprasījumus personu vārdā pēc personas pieprasījuma ir autorizēti veikt klientu apkalpošanas darbinieki. Konceptuālā rekomendācija nosaka, ka</w:t>
      </w:r>
      <w:r w:rsidR="008A1D45" w:rsidRPr="008A1D45">
        <w:t xml:space="preserve"> </w:t>
      </w:r>
      <w:r w:rsidR="004E42B2">
        <w:t>klientu apkalpošanas darbinieki ir autorizējami pēc klienta pieprasījuma veikt parastā drošības līmeņa pakalpojuma pieprasījumus. Turpretī</w:t>
      </w:r>
      <w:r w:rsidR="00DF1FC6">
        <w:t xml:space="preserve">, attiecībā uz </w:t>
      </w:r>
      <w:r w:rsidR="004E42B2">
        <w:t xml:space="preserve">paaugstināta </w:t>
      </w:r>
      <w:r w:rsidR="00DF1FC6">
        <w:t>riska</w:t>
      </w:r>
      <w:r w:rsidR="004E42B2">
        <w:t xml:space="preserve"> līmeņa </w:t>
      </w:r>
      <w:r w:rsidR="00DF1FC6">
        <w:t xml:space="preserve">pakalpojumu </w:t>
      </w:r>
      <w:r w:rsidR="004E42B2">
        <w:t>pieprasījum</w:t>
      </w:r>
      <w:r w:rsidR="00DF1FC6">
        <w:t>iem</w:t>
      </w:r>
      <w:r w:rsidR="004E42B2">
        <w:t xml:space="preserve"> (piemēram, uzņēmumu dibināšanas pieprasījum</w:t>
      </w:r>
      <w:r w:rsidR="00DF1FC6">
        <w:t>iem</w:t>
      </w:r>
      <w:r w:rsidR="004E42B2">
        <w:t>)</w:t>
      </w:r>
      <w:r w:rsidR="00DF1FC6">
        <w:t xml:space="preserve">, var izskatīt risinājumu, ka </w:t>
      </w:r>
      <w:r w:rsidR="004E42B2">
        <w:t xml:space="preserve">personas vietā, ja to neveic pati persona, izmantojot drošu elektronisku parakstu, var veikt tikai </w:t>
      </w:r>
      <w:r w:rsidR="00DF1FC6">
        <w:t xml:space="preserve">zvērināti </w:t>
      </w:r>
      <w:r w:rsidR="004E42B2">
        <w:t>notāri.</w:t>
      </w:r>
    </w:p>
    <w:p w:rsidR="00502011" w:rsidRPr="008C0250" w:rsidRDefault="004E42B2" w:rsidP="00EF1908">
      <w:pPr>
        <w:pStyle w:val="ISBodyText"/>
        <w:rPr>
          <w:highlight w:val="yellow"/>
        </w:rPr>
      </w:pPr>
      <w:r>
        <w:t xml:space="preserve">Attiecībā uz parasta drošības līmeņa pakalpojumiem ir pieļaujama personas gribas paušanas </w:t>
      </w:r>
      <w:r w:rsidR="00EF1908">
        <w:t xml:space="preserve">fakta dokumentēšana un droša saglabāšana ar pakalpojumu piegādes platformas sniegto pakalpojumu arhīva un sistēmas audita pierakstu līdzekļiem. Paaugstinātas drošības pakāpes pakalpojumiem personas gribas paušanas faktam, ja tas nav apliecināts klātienē pie pakalpojuma sniegšanas procesā iesaistīta </w:t>
      </w:r>
      <w:r w:rsidR="00F3356A">
        <w:t xml:space="preserve">Uzņēmumu reģistra </w:t>
      </w:r>
      <w:r w:rsidR="00EF1908">
        <w:t xml:space="preserve">valsts notāra, ir jābūt apliecinātam ar drošu elektronisku parakstu (t.i. – ar kvalificēta uzticamības pakalpojuma sniedzēja netiešu apliecinājumu). </w:t>
      </w:r>
    </w:p>
    <w:p w:rsidR="00502011" w:rsidRPr="00B8397A" w:rsidRDefault="00570DCE" w:rsidP="00502011">
      <w:pPr>
        <w:pStyle w:val="ISBodyText"/>
      </w:pPr>
      <w:r>
        <w:t xml:space="preserve">Pakalpojumu risku (t.sk. to pieprasītāju autentifikācijas risku) izvērtējums ir pakalpojumu turētāja atbildībā. </w:t>
      </w:r>
      <w:r w:rsidR="00502011" w:rsidRPr="00B8397A">
        <w:t xml:space="preserve">Adekvāti, uz ar konkrēto pakalpojumu jomu un pakalpojuma saturu saistīto risku novērtējumu balstīti pieļaujamo autorizāciju un pilnvarojumu ierobežojumi nodrošina iespēju maksimāli optimizēt publisko pakalpojumu procesus, nepārkāpjot pieļaujamo risku robežas. </w:t>
      </w:r>
    </w:p>
    <w:p w:rsidR="00A44418" w:rsidRPr="00A43621" w:rsidRDefault="00A44418" w:rsidP="00A43621">
      <w:pPr>
        <w:pStyle w:val="ISBodyText"/>
        <w:rPr>
          <w:lang w:eastAsia="lv-LV"/>
        </w:rPr>
      </w:pPr>
    </w:p>
    <w:p w:rsidR="007131CD" w:rsidRDefault="00617598" w:rsidP="00126775">
      <w:pPr>
        <w:pStyle w:val="ISHeading2"/>
      </w:pPr>
      <w:bookmarkStart w:id="36" w:name="_Toc410146987"/>
      <w:r>
        <w:t>Racionāla IKT pārvaldība</w:t>
      </w:r>
      <w:bookmarkEnd w:id="36"/>
    </w:p>
    <w:p w:rsidR="00A57C10" w:rsidRDefault="007303FA" w:rsidP="007303FA">
      <w:pPr>
        <w:pStyle w:val="ISBodyText"/>
      </w:pPr>
      <w:r w:rsidRPr="00AF01DF">
        <w:t>Visi</w:t>
      </w:r>
      <w:r w:rsidR="0018664B" w:rsidRPr="00AF01DF">
        <w:t xml:space="preserve"> racionālas </w:t>
      </w:r>
      <w:r w:rsidRPr="00AF01DF">
        <w:t xml:space="preserve">IKT </w:t>
      </w:r>
      <w:r w:rsidR="0018664B" w:rsidRPr="00AF01DF">
        <w:t xml:space="preserve">pārvaldības </w:t>
      </w:r>
      <w:r w:rsidRPr="00AF01DF">
        <w:t xml:space="preserve">principi </w:t>
      </w:r>
      <w:r w:rsidR="00AF01DF">
        <w:t xml:space="preserve">ir </w:t>
      </w:r>
      <w:r w:rsidRPr="00AF01DF">
        <w:t>tiešā veidā piemērojami visām publiskās pārvaldes IKT attīstības programmām un projektiem.</w:t>
      </w:r>
      <w:r w:rsidR="00A57C10">
        <w:t xml:space="preserve"> Tomēr to piemērošanas veids un mērāmie kritēriji būtiski atšķirsies “racionālas IKT pārvaldības” principu grupas pirmajam “publisko pārvaldi pilnveidojošu IKT attīstības projektu” principam un pārējiem principiem, kas ir attiecināmi uz IKT atbalsta efektīvu organizāciju un tās pilnveidošanu. </w:t>
      </w:r>
    </w:p>
    <w:p w:rsidR="00017A0F" w:rsidRPr="00366914" w:rsidRDefault="00EE11BE" w:rsidP="009A7C5C">
      <w:pPr>
        <w:pStyle w:val="Princips"/>
      </w:pPr>
      <w:bookmarkStart w:id="37" w:name="_Toc410146988"/>
      <w:bookmarkStart w:id="38" w:name="_Ref393364433"/>
      <w:r>
        <w:t>P</w:t>
      </w:r>
      <w:r w:rsidR="00F52BA9">
        <w:t xml:space="preserve">ublisko pārvaldi pilnveidojoši </w:t>
      </w:r>
      <w:r w:rsidR="0029533C" w:rsidRPr="0029533C">
        <w:t>IKT attīstības projekt</w:t>
      </w:r>
      <w:r w:rsidR="00F52BA9">
        <w:t>i</w:t>
      </w:r>
      <w:bookmarkEnd w:id="37"/>
      <w:r w:rsidR="00F52BA9">
        <w:t xml:space="preserve"> </w:t>
      </w:r>
      <w:bookmarkEnd w:id="38"/>
    </w:p>
    <w:p w:rsidR="00017A0F" w:rsidRPr="00366914" w:rsidRDefault="00017A0F" w:rsidP="00017A0F">
      <w:pPr>
        <w:spacing w:before="120" w:after="120"/>
        <w:jc w:val="both"/>
        <w:rPr>
          <w:rFonts w:eastAsia="MS Mincho" w:cs="Segoe UI"/>
          <w:bCs/>
          <w:szCs w:val="22"/>
        </w:rPr>
      </w:pPr>
      <w:r w:rsidRPr="00366914">
        <w:rPr>
          <w:rFonts w:eastAsia="MS Mincho" w:cs="Segoe UI"/>
          <w:bCs/>
          <w:szCs w:val="22"/>
        </w:rPr>
        <w:t>IKT attīstības projekti</w:t>
      </w:r>
      <w:r w:rsidR="00A57C10">
        <w:rPr>
          <w:rFonts w:eastAsia="MS Mincho" w:cs="Segoe UI"/>
          <w:bCs/>
          <w:szCs w:val="22"/>
        </w:rPr>
        <w:t>, kas nav attiecināmi tieši un tikai uz IKT atbalsta funkcijām specifiskiem uzlabojumiem, IKT drošības un sistēmu darbības nepārtrauktības pilnveidošanu, fizisko personu datu aizsardzības pras</w:t>
      </w:r>
      <w:r w:rsidR="002A3CFC">
        <w:rPr>
          <w:rFonts w:eastAsia="MS Mincho" w:cs="Segoe UI"/>
          <w:bCs/>
          <w:szCs w:val="22"/>
        </w:rPr>
        <w:t>ību striktāku ievērošanu un tādējādi ir uzskatāmi par izņēmuma projektiem,</w:t>
      </w:r>
      <w:r w:rsidR="00A57C10">
        <w:rPr>
          <w:rFonts w:eastAsia="MS Mincho" w:cs="Segoe UI"/>
          <w:bCs/>
          <w:szCs w:val="22"/>
        </w:rPr>
        <w:t xml:space="preserve"> </w:t>
      </w:r>
      <w:r w:rsidRPr="00366914">
        <w:rPr>
          <w:rFonts w:eastAsia="MS Mincho" w:cs="Segoe UI"/>
          <w:bCs/>
          <w:szCs w:val="22"/>
        </w:rPr>
        <w:t xml:space="preserve"> ir jāorganizē </w:t>
      </w:r>
      <w:r w:rsidRPr="00366914">
        <w:rPr>
          <w:rFonts w:eastAsia="MS Mincho" w:cs="Segoe UI"/>
          <w:b/>
          <w:bCs/>
          <w:szCs w:val="22"/>
        </w:rPr>
        <w:t xml:space="preserve">kā integrēti </w:t>
      </w:r>
      <w:r w:rsidR="002A3CFC">
        <w:rPr>
          <w:rFonts w:eastAsia="MS Mincho" w:cs="Segoe UI"/>
          <w:b/>
          <w:bCs/>
          <w:szCs w:val="22"/>
        </w:rPr>
        <w:t xml:space="preserve">pārvaldes procesu </w:t>
      </w:r>
      <w:r w:rsidRPr="00366914">
        <w:rPr>
          <w:rFonts w:eastAsia="MS Mincho" w:cs="Segoe UI"/>
          <w:b/>
          <w:bCs/>
          <w:szCs w:val="22"/>
        </w:rPr>
        <w:t>pilnveidošanas projekti</w:t>
      </w:r>
      <w:r w:rsidRPr="00366914">
        <w:rPr>
          <w:rFonts w:eastAsia="MS Mincho" w:cs="Segoe UI"/>
          <w:bCs/>
          <w:szCs w:val="22"/>
        </w:rPr>
        <w:t xml:space="preserve"> (gan iestādes līmenī, gan </w:t>
      </w:r>
      <w:r w:rsidRPr="00366914">
        <w:rPr>
          <w:rFonts w:eastAsia="MS Mincho" w:cs="Segoe UI"/>
          <w:bCs/>
          <w:szCs w:val="22"/>
        </w:rPr>
        <w:lastRenderedPageBreak/>
        <w:t>resoru līmenī, gan pārresoru līmenī).</w:t>
      </w:r>
      <w:r w:rsidR="00E1279A">
        <w:rPr>
          <w:rFonts w:eastAsia="MS Mincho" w:cs="Segoe UI"/>
          <w:bCs/>
          <w:szCs w:val="22"/>
        </w:rPr>
        <w:t xml:space="preserve"> </w:t>
      </w:r>
      <w:r w:rsidR="00B0264E">
        <w:rPr>
          <w:rFonts w:eastAsia="MS Mincho" w:cs="Segoe UI"/>
          <w:bCs/>
          <w:szCs w:val="22"/>
        </w:rPr>
        <w:t>T</w:t>
      </w:r>
      <w:r w:rsidRPr="00366914">
        <w:rPr>
          <w:rFonts w:eastAsia="MS Mincho" w:cs="Segoe UI"/>
          <w:bCs/>
          <w:szCs w:val="22"/>
        </w:rPr>
        <w:t>as nozīmē</w:t>
      </w:r>
      <w:r w:rsidR="00B0264E">
        <w:rPr>
          <w:rFonts w:eastAsia="MS Mincho" w:cs="Segoe UI"/>
          <w:bCs/>
          <w:szCs w:val="22"/>
        </w:rPr>
        <w:t xml:space="preserve"> šādas prasības, kas obligāti piemērojamas attīstības projektiem: </w:t>
      </w:r>
      <w:r w:rsidR="002A3CFC">
        <w:rPr>
          <w:rFonts w:eastAsia="MS Mincho" w:cs="Segoe UI"/>
          <w:bCs/>
          <w:szCs w:val="22"/>
        </w:rPr>
        <w:t xml:space="preserve"> </w:t>
      </w:r>
    </w:p>
    <w:p w:rsidR="00B0264E" w:rsidRDefault="00B0264E" w:rsidP="00017A0F">
      <w:pPr>
        <w:numPr>
          <w:ilvl w:val="0"/>
          <w:numId w:val="23"/>
        </w:numPr>
        <w:spacing w:before="120" w:after="120"/>
        <w:ind w:right="28"/>
        <w:jc w:val="both"/>
        <w:textAlignment w:val="auto"/>
        <w:rPr>
          <w:rFonts w:eastAsia="MS Mincho" w:cs="Segoe UI"/>
          <w:szCs w:val="18"/>
          <w:lang w:eastAsia="lv-LV"/>
        </w:rPr>
      </w:pPr>
      <w:r w:rsidRPr="00366914">
        <w:rPr>
          <w:rFonts w:eastAsia="MS Mincho" w:cs="Segoe UI"/>
          <w:szCs w:val="18"/>
          <w:lang w:eastAsia="lv-LV"/>
        </w:rPr>
        <w:t xml:space="preserve">Projekta mērķi un </w:t>
      </w:r>
      <w:r>
        <w:rPr>
          <w:rFonts w:eastAsia="MS Mincho" w:cs="Segoe UI"/>
          <w:szCs w:val="18"/>
          <w:lang w:eastAsia="lv-LV"/>
        </w:rPr>
        <w:t xml:space="preserve">sasniedzamie rezultatīvie </w:t>
      </w:r>
      <w:r w:rsidRPr="00366914">
        <w:rPr>
          <w:rFonts w:eastAsia="MS Mincho" w:cs="Segoe UI"/>
          <w:szCs w:val="18"/>
          <w:lang w:eastAsia="lv-LV"/>
        </w:rPr>
        <w:t xml:space="preserve">rādītāji ir jādefinē </w:t>
      </w:r>
      <w:r>
        <w:rPr>
          <w:rFonts w:eastAsia="MS Mincho" w:cs="Segoe UI"/>
          <w:szCs w:val="18"/>
          <w:lang w:eastAsia="lv-LV"/>
        </w:rPr>
        <w:t xml:space="preserve">publisko pakalpojumu, </w:t>
      </w:r>
      <w:r w:rsidRPr="00366914">
        <w:rPr>
          <w:rFonts w:eastAsia="MS Mincho" w:cs="Segoe UI"/>
          <w:szCs w:val="18"/>
          <w:lang w:eastAsia="lv-LV"/>
        </w:rPr>
        <w:t xml:space="preserve">institūcijas/valsts funkciju </w:t>
      </w:r>
      <w:r>
        <w:rPr>
          <w:rFonts w:eastAsia="MS Mincho" w:cs="Segoe UI"/>
          <w:szCs w:val="18"/>
          <w:lang w:eastAsia="lv-LV"/>
        </w:rPr>
        <w:t xml:space="preserve">uzlabojumu vai efektivitātes paaugstināšanas, </w:t>
      </w:r>
      <w:r w:rsidRPr="00366914">
        <w:rPr>
          <w:rFonts w:eastAsia="MS Mincho" w:cs="Segoe UI"/>
          <w:szCs w:val="18"/>
          <w:lang w:eastAsia="lv-LV"/>
        </w:rPr>
        <w:t>ne</w:t>
      </w:r>
      <w:r>
        <w:rPr>
          <w:rFonts w:eastAsia="MS Mincho" w:cs="Segoe UI"/>
          <w:szCs w:val="18"/>
          <w:lang w:eastAsia="lv-LV"/>
        </w:rPr>
        <w:t xml:space="preserve"> </w:t>
      </w:r>
      <w:r w:rsidRPr="00366914">
        <w:rPr>
          <w:rFonts w:eastAsia="MS Mincho" w:cs="Segoe UI"/>
          <w:szCs w:val="18"/>
          <w:lang w:eastAsia="lv-LV"/>
        </w:rPr>
        <w:t>I</w:t>
      </w:r>
      <w:r>
        <w:rPr>
          <w:rFonts w:eastAsia="MS Mincho" w:cs="Segoe UI"/>
          <w:szCs w:val="18"/>
          <w:lang w:eastAsia="lv-LV"/>
        </w:rPr>
        <w:t>K</w:t>
      </w:r>
      <w:r w:rsidRPr="00366914">
        <w:rPr>
          <w:rFonts w:eastAsia="MS Mincho" w:cs="Segoe UI"/>
          <w:szCs w:val="18"/>
          <w:lang w:eastAsia="lv-LV"/>
        </w:rPr>
        <w:t xml:space="preserve">T </w:t>
      </w:r>
      <w:r>
        <w:rPr>
          <w:rFonts w:eastAsia="MS Mincho" w:cs="Segoe UI"/>
          <w:szCs w:val="18"/>
          <w:lang w:eastAsia="lv-LV"/>
        </w:rPr>
        <w:t xml:space="preserve">specifiskās </w:t>
      </w:r>
      <w:r w:rsidRPr="00366914">
        <w:rPr>
          <w:rFonts w:eastAsia="MS Mincho" w:cs="Segoe UI"/>
          <w:szCs w:val="18"/>
          <w:lang w:eastAsia="lv-LV"/>
        </w:rPr>
        <w:t>kategorijās.</w:t>
      </w:r>
      <w:r>
        <w:rPr>
          <w:rFonts w:eastAsia="MS Mincho" w:cs="Segoe UI"/>
          <w:szCs w:val="18"/>
          <w:lang w:eastAsia="lv-LV"/>
        </w:rPr>
        <w:t xml:space="preserve"> Līdz ar to, atbildību par projekta virsvadību</w:t>
      </w:r>
      <w:r w:rsidR="00750BE3">
        <w:rPr>
          <w:rFonts w:eastAsia="MS Mincho" w:cs="Segoe UI"/>
          <w:szCs w:val="18"/>
          <w:lang w:eastAsia="lv-LV"/>
        </w:rPr>
        <w:t xml:space="preserve"> (vadību vai pārraudzību)</w:t>
      </w:r>
      <w:r>
        <w:rPr>
          <w:rFonts w:eastAsia="MS Mincho" w:cs="Segoe UI"/>
          <w:szCs w:val="18"/>
          <w:lang w:eastAsia="lv-LV"/>
        </w:rPr>
        <w:t xml:space="preserve"> ir jāuzņemas pārvaldes struktūrvienībām, kas var nodrošināt projekta mērķu un rezultatīvo rādītāju sasniegšanu</w:t>
      </w:r>
      <w:r w:rsidR="00750BE3">
        <w:rPr>
          <w:rFonts w:eastAsia="MS Mincho" w:cs="Segoe UI"/>
          <w:szCs w:val="18"/>
          <w:lang w:eastAsia="lv-LV"/>
        </w:rPr>
        <w:t>. IT vai administratīvās struktūrvienības var nodrošināt projektu operatīvo vadību un tehnisko realizēšanu</w:t>
      </w:r>
      <w:r>
        <w:rPr>
          <w:rFonts w:eastAsia="MS Mincho" w:cs="Segoe UI"/>
          <w:szCs w:val="18"/>
          <w:lang w:eastAsia="lv-LV"/>
        </w:rPr>
        <w:t>;</w:t>
      </w:r>
    </w:p>
    <w:p w:rsidR="00017A0F" w:rsidRPr="003A0A05" w:rsidRDefault="00017A0F" w:rsidP="00017A0F">
      <w:pPr>
        <w:numPr>
          <w:ilvl w:val="0"/>
          <w:numId w:val="23"/>
        </w:numPr>
        <w:spacing w:before="120" w:after="120"/>
        <w:ind w:right="28"/>
        <w:jc w:val="both"/>
        <w:textAlignment w:val="auto"/>
        <w:rPr>
          <w:rFonts w:eastAsia="MS Mincho" w:cs="Segoe UI"/>
          <w:szCs w:val="18"/>
          <w:lang w:eastAsia="lv-LV"/>
        </w:rPr>
      </w:pPr>
      <w:r w:rsidRPr="003A0A05">
        <w:rPr>
          <w:rFonts w:eastAsia="MS Mincho" w:cs="Segoe UI"/>
          <w:szCs w:val="18"/>
          <w:lang w:eastAsia="lv-LV"/>
        </w:rPr>
        <w:t xml:space="preserve">Projektā ir jāparedz aktivitātes, kuras </w:t>
      </w:r>
      <w:r w:rsidR="002A3CFC" w:rsidRPr="003A0A05">
        <w:rPr>
          <w:rFonts w:eastAsia="MS Mincho" w:cs="Segoe UI"/>
          <w:szCs w:val="18"/>
          <w:lang w:eastAsia="lv-LV"/>
        </w:rPr>
        <w:t xml:space="preserve">nodrošina </w:t>
      </w:r>
      <w:r w:rsidRPr="003A0A05">
        <w:rPr>
          <w:rFonts w:eastAsia="MS Mincho" w:cs="Segoe UI"/>
          <w:szCs w:val="18"/>
          <w:lang w:eastAsia="lv-LV"/>
        </w:rPr>
        <w:t>ietekmēto procesu izmaiņu plānošanu/ieviešanu, normatīvo aktu izmaiņu sagatavošanu, organizatorisko izmaiņu un personāla apmācību veikšanu</w:t>
      </w:r>
      <w:r w:rsidR="00F9143B" w:rsidRPr="003A0A05">
        <w:rPr>
          <w:rFonts w:eastAsia="MS Mincho" w:cs="Segoe UI"/>
          <w:szCs w:val="18"/>
          <w:lang w:eastAsia="lv-LV"/>
        </w:rPr>
        <w:t>;</w:t>
      </w:r>
    </w:p>
    <w:p w:rsidR="00017A0F" w:rsidRPr="00B0264E" w:rsidRDefault="00017A0F" w:rsidP="00B0264E">
      <w:pPr>
        <w:numPr>
          <w:ilvl w:val="0"/>
          <w:numId w:val="23"/>
        </w:numPr>
        <w:spacing w:before="120" w:after="120"/>
        <w:ind w:right="28"/>
        <w:jc w:val="both"/>
        <w:textAlignment w:val="auto"/>
        <w:rPr>
          <w:rFonts w:eastAsia="MS Mincho" w:cs="Segoe UI"/>
          <w:szCs w:val="18"/>
          <w:lang w:eastAsia="lv-LV"/>
        </w:rPr>
      </w:pPr>
      <w:r w:rsidRPr="00366914">
        <w:rPr>
          <w:rFonts w:eastAsia="MS Mincho" w:cs="Segoe UI"/>
          <w:szCs w:val="18"/>
          <w:lang w:eastAsia="lv-LV"/>
        </w:rPr>
        <w:t>Iestādēs jāattīsta nepieciešam</w:t>
      </w:r>
      <w:r w:rsidR="00AE61A3">
        <w:rPr>
          <w:rFonts w:eastAsia="MS Mincho" w:cs="Segoe UI"/>
          <w:szCs w:val="18"/>
          <w:lang w:eastAsia="lv-LV"/>
        </w:rPr>
        <w:t>ā</w:t>
      </w:r>
      <w:r w:rsidRPr="00366914">
        <w:rPr>
          <w:rFonts w:eastAsia="MS Mincho" w:cs="Segoe UI"/>
          <w:szCs w:val="18"/>
          <w:lang w:eastAsia="lv-LV"/>
        </w:rPr>
        <w:t xml:space="preserve"> kapacitāte un kompetence </w:t>
      </w:r>
      <w:r w:rsidR="00F9143B">
        <w:rPr>
          <w:rFonts w:eastAsia="MS Mincho" w:cs="Segoe UI"/>
          <w:szCs w:val="18"/>
          <w:lang w:eastAsia="lv-LV"/>
        </w:rPr>
        <w:t>publisko pakalpojumu un pārvaldes procesu vajadzībām nepieciešamu</w:t>
      </w:r>
      <w:r w:rsidRPr="00366914">
        <w:rPr>
          <w:rFonts w:eastAsia="MS Mincho" w:cs="Segoe UI"/>
          <w:szCs w:val="18"/>
          <w:lang w:eastAsia="lv-LV"/>
        </w:rPr>
        <w:t xml:space="preserve"> IKT pakalpojumu vajadzību definēšanai un  </w:t>
      </w:r>
      <w:r w:rsidR="00F9143B">
        <w:rPr>
          <w:rFonts w:eastAsia="MS Mincho" w:cs="Segoe UI"/>
          <w:szCs w:val="18"/>
          <w:lang w:eastAsia="lv-LV"/>
        </w:rPr>
        <w:t xml:space="preserve">vajadzībām atbilstošu </w:t>
      </w:r>
      <w:r w:rsidRPr="00366914">
        <w:rPr>
          <w:rFonts w:eastAsia="MS Mincho" w:cs="Segoe UI"/>
          <w:szCs w:val="18"/>
          <w:lang w:eastAsia="lv-LV"/>
        </w:rPr>
        <w:t xml:space="preserve">IKT </w:t>
      </w:r>
      <w:r w:rsidR="00F9143B">
        <w:rPr>
          <w:rFonts w:eastAsia="MS Mincho" w:cs="Segoe UI"/>
          <w:szCs w:val="18"/>
          <w:lang w:eastAsia="lv-LV"/>
        </w:rPr>
        <w:t xml:space="preserve">risinājumu un </w:t>
      </w:r>
      <w:r w:rsidRPr="00366914">
        <w:rPr>
          <w:rFonts w:eastAsia="MS Mincho" w:cs="Segoe UI"/>
          <w:szCs w:val="18"/>
          <w:lang w:eastAsia="lv-LV"/>
        </w:rPr>
        <w:t>pakalpojumu iepirk</w:t>
      </w:r>
      <w:r w:rsidR="00F9143B">
        <w:rPr>
          <w:rFonts w:eastAsia="MS Mincho" w:cs="Segoe UI"/>
          <w:szCs w:val="18"/>
          <w:lang w:eastAsia="lv-LV"/>
        </w:rPr>
        <w:t>šanai. Bez pietiekamas iekšējās kapacitātes un kompetences attīstības projekts nevar būt sekmīgs un tāpēc tā uzsākšana nav pieļaujama</w:t>
      </w:r>
      <w:r w:rsidR="00B0264E">
        <w:rPr>
          <w:rFonts w:eastAsia="MS Mincho" w:cs="Segoe UI"/>
          <w:szCs w:val="18"/>
          <w:lang w:eastAsia="lv-LV"/>
        </w:rPr>
        <w:t>.</w:t>
      </w:r>
    </w:p>
    <w:p w:rsidR="00017A0F" w:rsidRDefault="00017A0F" w:rsidP="00017A0F">
      <w:pPr>
        <w:pStyle w:val="ISBodyText"/>
      </w:pPr>
      <w:r w:rsidRPr="00E52C57">
        <w:rPr>
          <w:b/>
        </w:rPr>
        <w:t xml:space="preserve">IKT attīstības projekti </w:t>
      </w:r>
      <w:r w:rsidR="0077628D">
        <w:rPr>
          <w:b/>
        </w:rPr>
        <w:t xml:space="preserve">ir </w:t>
      </w:r>
      <w:r w:rsidRPr="00E52C57">
        <w:rPr>
          <w:b/>
        </w:rPr>
        <w:t>īstenojami atbilstoši vienotai  kārtībai</w:t>
      </w:r>
      <w:r>
        <w:t xml:space="preserve">, izmantojot nozarē aprobētas </w:t>
      </w:r>
      <w:r w:rsidRPr="000435EC">
        <w:t xml:space="preserve"> </w:t>
      </w:r>
      <w:r>
        <w:t xml:space="preserve">metodoloģijas un labāko praksi. Pirms informācijas sistēmas attīstības projekta uzsākšanas jāveic </w:t>
      </w:r>
      <w:r w:rsidRPr="00E52C57">
        <w:rPr>
          <w:b/>
        </w:rPr>
        <w:t>projekta definēšana un akceptēšana</w:t>
      </w:r>
      <w:r>
        <w:t xml:space="preserve">. </w:t>
      </w:r>
      <w:r w:rsidR="001930F3">
        <w:t>Attīstot spēkā esošo daļēji centralizēto IKT pārvaldības modeli, topošajam IKT pārvaldības likumam pakārtotos MK noteikumos ir paredzēts noteikt, ka</w:t>
      </w:r>
      <w:r w:rsidR="00AE61A3">
        <w:t>,</w:t>
      </w:r>
      <w:r w:rsidR="001930F3">
        <w:t xml:space="preserve"> </w:t>
      </w:r>
      <w:r w:rsidR="00AE61A3">
        <w:t xml:space="preserve">neatkarīgi no finansējuma avota, </w:t>
      </w:r>
      <w:r w:rsidR="001930F3">
        <w:t>v</w:t>
      </w:r>
      <w:r>
        <w:t>isi</w:t>
      </w:r>
      <w:r w:rsidR="00B0264E">
        <w:t xml:space="preserve"> </w:t>
      </w:r>
      <w:r w:rsidR="001930F3">
        <w:t xml:space="preserve">publiskās pārvaldes IKT attīstības </w:t>
      </w:r>
      <w:r>
        <w:t>projekti</w:t>
      </w:r>
      <w:r w:rsidR="001930F3">
        <w:t xml:space="preserve">, </w:t>
      </w:r>
      <w:r>
        <w:t>k</w:t>
      </w:r>
      <w:r w:rsidR="00B0264E">
        <w:t xml:space="preserve">uru apjoms </w:t>
      </w:r>
      <w:r>
        <w:t>lielāk</w:t>
      </w:r>
      <w:r w:rsidR="00B0264E">
        <w:t>s</w:t>
      </w:r>
      <w:r>
        <w:t xml:space="preserve"> par noteiktu summu vai atbilst citiem projekta svarīguma kritērijiem</w:t>
      </w:r>
      <w:r w:rsidR="001930F3">
        <w:t xml:space="preserve">, </w:t>
      </w:r>
      <w:r>
        <w:t>tiek sas</w:t>
      </w:r>
      <w:r w:rsidR="002A3CFC">
        <w:t xml:space="preserve">kaņoti </w:t>
      </w:r>
      <w:r w:rsidR="001930F3">
        <w:t xml:space="preserve">Valsts IKT organizācijā (kuras lomu pilda VARAM), tai konsultējoties ar </w:t>
      </w:r>
      <w:r>
        <w:t xml:space="preserve">IKT </w:t>
      </w:r>
      <w:r w:rsidR="002A3CFC">
        <w:t xml:space="preserve">vadītāju </w:t>
      </w:r>
      <w:r>
        <w:t>forum</w:t>
      </w:r>
      <w:r w:rsidR="001930F3">
        <w:t>u</w:t>
      </w:r>
      <w:r>
        <w:t>.</w:t>
      </w:r>
    </w:p>
    <w:p w:rsidR="00017A0F" w:rsidRDefault="00017A0F" w:rsidP="00017A0F">
      <w:pPr>
        <w:pStyle w:val="ISBodyText"/>
      </w:pPr>
      <w:r>
        <w:t xml:space="preserve">IKT </w:t>
      </w:r>
      <w:r w:rsidRPr="000435EC">
        <w:t>attīstības projektu īstenošanas kārtībā kā</w:t>
      </w:r>
      <w:r>
        <w:t xml:space="preserve"> obligāta prasība</w:t>
      </w:r>
      <w:r w:rsidRPr="000435EC">
        <w:t xml:space="preserve"> jāparedz </w:t>
      </w:r>
      <w:r w:rsidRPr="00E52C57">
        <w:rPr>
          <w:b/>
        </w:rPr>
        <w:t xml:space="preserve">projekta izmaksu-ieguvumu analīze </w:t>
      </w:r>
      <w:r w:rsidRPr="000435EC">
        <w:t>pirms finansējuma piešķiršanas/projektu uzsākšanas</w:t>
      </w:r>
      <w:r>
        <w:t>. Tā veicama atbilstoši vienotai metodikai.</w:t>
      </w:r>
      <w:r w:rsidR="00B0264E">
        <w:t xml:space="preserve"> </w:t>
      </w:r>
      <w:r w:rsidRPr="000435EC">
        <w:t xml:space="preserve">Kā </w:t>
      </w:r>
      <w:r>
        <w:t>IKT</w:t>
      </w:r>
      <w:r w:rsidRPr="000435EC">
        <w:t xml:space="preserve"> investīciju pamatojums var kalpot gan ieguvumi saistībā ar iestādes efektivitātes palielināšanos (finanšu ieguvumi), gan arī netiešie ekonomiskie un sociālie ieguvumi, kas rastos saistībā ar attiecīgu politikas rādītāju (</w:t>
      </w:r>
      <w:r w:rsidRPr="00C45CCE">
        <w:rPr>
          <w:i/>
        </w:rPr>
        <w:t>outcomes</w:t>
      </w:r>
      <w:r w:rsidRPr="000435EC">
        <w:t>) uzlabošano</w:t>
      </w:r>
      <w:r>
        <w:t>s.</w:t>
      </w:r>
    </w:p>
    <w:p w:rsidR="00017A0F" w:rsidRDefault="00017A0F" w:rsidP="00017A0F">
      <w:pPr>
        <w:pStyle w:val="ISBodyText"/>
      </w:pPr>
      <w:r>
        <w:t xml:space="preserve">Viens </w:t>
      </w:r>
      <w:r w:rsidR="00B0264E">
        <w:t xml:space="preserve">no attīstības </w:t>
      </w:r>
      <w:r>
        <w:t xml:space="preserve">projektu </w:t>
      </w:r>
      <w:r w:rsidR="00B0264E">
        <w:t xml:space="preserve">pārvaldības </w:t>
      </w:r>
      <w:r>
        <w:t xml:space="preserve">principiem </w:t>
      </w:r>
      <w:r w:rsidR="00B0264E">
        <w:t>ir</w:t>
      </w:r>
      <w:r>
        <w:t xml:space="preserve"> </w:t>
      </w:r>
      <w:r w:rsidRPr="00E52C57">
        <w:rPr>
          <w:b/>
        </w:rPr>
        <w:t>programmu pārvaldības pieejas izmantošana</w:t>
      </w:r>
      <w:r>
        <w:t>, apkopojot projektus programm</w:t>
      </w:r>
      <w:r w:rsidR="00B0264E">
        <w:t xml:space="preserve">ās un veicot koordinētu programmā ietilpstošo </w:t>
      </w:r>
      <w:r>
        <w:t xml:space="preserve">projektu </w:t>
      </w:r>
      <w:r w:rsidR="00B0264E">
        <w:t xml:space="preserve">koordinētu </w:t>
      </w:r>
      <w:r>
        <w:t>pārvaldību</w:t>
      </w:r>
      <w:r w:rsidR="00B0264E">
        <w:t xml:space="preserve">, tādējādi </w:t>
      </w:r>
      <w:r>
        <w:t xml:space="preserve">nodrošinot programmas </w:t>
      </w:r>
      <w:r w:rsidR="00B0264E">
        <w:t xml:space="preserve">kopējo </w:t>
      </w:r>
      <w:r>
        <w:t xml:space="preserve">mērķu sasniegšanu. </w:t>
      </w:r>
    </w:p>
    <w:p w:rsidR="00E1279A" w:rsidRDefault="00017A0F" w:rsidP="0029533C">
      <w:pPr>
        <w:pStyle w:val="ISBodyText"/>
      </w:pPr>
      <w:r>
        <w:t>Svarīgs programmu</w:t>
      </w:r>
      <w:r w:rsidR="00B0264E">
        <w:t xml:space="preserve"> un </w:t>
      </w:r>
      <w:r>
        <w:t>projektu sekmī</w:t>
      </w:r>
      <w:r w:rsidR="00B0264E">
        <w:t>g</w:t>
      </w:r>
      <w:r>
        <w:t xml:space="preserve">as īstenošanas priekšnoteikums ir praktiska </w:t>
      </w:r>
      <w:r w:rsidRPr="007D7C09">
        <w:t>programmu</w:t>
      </w:r>
      <w:r w:rsidR="00B0264E" w:rsidRPr="007D7C09">
        <w:t xml:space="preserve"> un </w:t>
      </w:r>
      <w:r w:rsidRPr="007D7C09">
        <w:t>projektu koordinācija un uzraudzība,</w:t>
      </w:r>
      <w:r>
        <w:rPr>
          <w:b/>
        </w:rPr>
        <w:t xml:space="preserve"> </w:t>
      </w:r>
      <w:r w:rsidRPr="004C4BA6">
        <w:t xml:space="preserve">šim nolūkam izveidojot </w:t>
      </w:r>
      <w:r>
        <w:t>programmu</w:t>
      </w:r>
      <w:r w:rsidR="00B0264E">
        <w:t xml:space="preserve"> un </w:t>
      </w:r>
      <w:r>
        <w:t xml:space="preserve">projektu vadības </w:t>
      </w:r>
      <w:r w:rsidR="007D7C09">
        <w:t xml:space="preserve">un atbalsta </w:t>
      </w:r>
      <w:r>
        <w:t>struktūras ar</w:t>
      </w:r>
      <w:r w:rsidR="00B0264E">
        <w:t xml:space="preserve"> </w:t>
      </w:r>
      <w:r>
        <w:t>visu iesaistīto</w:t>
      </w:r>
      <w:r w:rsidR="00B0264E">
        <w:t xml:space="preserve"> un </w:t>
      </w:r>
      <w:r>
        <w:t>ieinteresēto pušu līdzdalību</w:t>
      </w:r>
      <w:r w:rsidR="00B0264E">
        <w:t xml:space="preserve"> un </w:t>
      </w:r>
      <w:r>
        <w:t xml:space="preserve">sniedzot </w:t>
      </w:r>
      <w:r w:rsidR="00B0264E">
        <w:t xml:space="preserve">par programmu un projektu realizēšanu atbildīgajām </w:t>
      </w:r>
      <w:r>
        <w:t xml:space="preserve">iestādēm </w:t>
      </w:r>
      <w:r w:rsidR="007D7C09">
        <w:t xml:space="preserve">praktisku atbalstu </w:t>
      </w:r>
      <w:r>
        <w:t>projektu īstenošanā</w:t>
      </w:r>
      <w:r w:rsidR="007D7C09">
        <w:t xml:space="preserve">. </w:t>
      </w:r>
      <w:r w:rsidR="003A0A05">
        <w:t>V</w:t>
      </w:r>
      <w:r w:rsidR="007D7C09">
        <w:t xml:space="preserve">alsts IKT </w:t>
      </w:r>
      <w:r w:rsidR="003A0A05">
        <w:t xml:space="preserve">organizācija (kuras lomu pilda VARAM IKT bloks) ar pieejamiem kompetenču resursiem </w:t>
      </w:r>
      <w:r w:rsidR="007D7C09">
        <w:t>iesaist</w:t>
      </w:r>
      <w:r w:rsidR="00E1279A">
        <w:t>īsies</w:t>
      </w:r>
      <w:r w:rsidR="007D7C09">
        <w:t xml:space="preserve"> attīstības programmu un projektu koordinācijas, vadības un atbalsta struktūrās, lai tādējādi nodrošinātu publiskās pārvaldes informācijas sistēmu IKT arhitektūras pārvaldību</w:t>
      </w:r>
      <w:r w:rsidR="00E1279A">
        <w:t xml:space="preserve">, kā arī </w:t>
      </w:r>
      <w:r w:rsidR="003A0A05">
        <w:t>nodrošin</w:t>
      </w:r>
      <w:r w:rsidR="00E1279A">
        <w:t>ātu</w:t>
      </w:r>
      <w:r w:rsidR="003A0A05">
        <w:t xml:space="preserve"> IKT attīstības projektu pārvaldības metodisk</w:t>
      </w:r>
      <w:r w:rsidR="00E1279A">
        <w:t>o</w:t>
      </w:r>
      <w:r w:rsidR="003A0A05">
        <w:t xml:space="preserve"> vadīb</w:t>
      </w:r>
      <w:r w:rsidR="00E1279A">
        <w:t>u</w:t>
      </w:r>
      <w:r w:rsidR="003A0A05">
        <w:t xml:space="preserve">, apkopojot, komunicējot un veicinot labākās prakses ieviešanu publiskās pārvaldes institūcijās. </w:t>
      </w:r>
    </w:p>
    <w:p w:rsidR="00830C97" w:rsidRDefault="00E1279A" w:rsidP="0029533C">
      <w:pPr>
        <w:pStyle w:val="ISBodyText"/>
      </w:pPr>
      <w:r>
        <w:t>Projektu pārvaldības labās prakses ieviešanu Valsts IKT organizācija stimulēs</w:t>
      </w:r>
      <w:r w:rsidR="00830C97">
        <w:t xml:space="preserve">, atbalstot resursu pieejamību (finansējuma attiecināmību) projektu pilnvērtīgai pārvaldībai. </w:t>
      </w:r>
    </w:p>
    <w:p w:rsidR="00570DCE" w:rsidRDefault="00830C97" w:rsidP="0029533C">
      <w:pPr>
        <w:pStyle w:val="ISBodyText"/>
      </w:pPr>
      <w:r>
        <w:t xml:space="preserve"> </w:t>
      </w:r>
    </w:p>
    <w:p w:rsidR="007131CD" w:rsidRPr="00785478" w:rsidRDefault="007131CD" w:rsidP="009A7C5C">
      <w:pPr>
        <w:pStyle w:val="Princips"/>
      </w:pPr>
      <w:bookmarkStart w:id="39" w:name="_Toc410146989"/>
      <w:r w:rsidRPr="00785478">
        <w:lastRenderedPageBreak/>
        <w:t xml:space="preserve">IKT atbalsts kā </w:t>
      </w:r>
      <w:r w:rsidR="00A8133C" w:rsidRPr="00785478">
        <w:t xml:space="preserve">koplietošanas </w:t>
      </w:r>
      <w:r w:rsidRPr="00785478">
        <w:t>pakalpojum</w:t>
      </w:r>
      <w:r w:rsidR="00DB493B" w:rsidRPr="00785478">
        <w:t>u kopums</w:t>
      </w:r>
      <w:bookmarkEnd w:id="39"/>
    </w:p>
    <w:p w:rsidR="009775FD" w:rsidRPr="00785478" w:rsidRDefault="007131CD" w:rsidP="007131CD">
      <w:pPr>
        <w:pStyle w:val="ISBodyText"/>
      </w:pPr>
      <w:r w:rsidRPr="00785478">
        <w:t xml:space="preserve">Pasaulē vispārpieņemta prakse ir IKT </w:t>
      </w:r>
      <w:r w:rsidR="0029533C" w:rsidRPr="00785478">
        <w:t>atbalst</w:t>
      </w:r>
      <w:r w:rsidR="00DB493B" w:rsidRPr="00785478">
        <w:t>u</w:t>
      </w:r>
      <w:r w:rsidRPr="00785478">
        <w:t xml:space="preserve"> nodrošināt kā pakalpojumu</w:t>
      </w:r>
      <w:r w:rsidR="00DB493B" w:rsidRPr="00785478">
        <w:t xml:space="preserve"> (servisu) kopumu</w:t>
      </w:r>
      <w:r w:rsidRPr="00785478">
        <w:t xml:space="preserve">, </w:t>
      </w:r>
      <w:r w:rsidR="00DB493B" w:rsidRPr="00785478">
        <w:t xml:space="preserve">piemērojot tam </w:t>
      </w:r>
      <w:r w:rsidRPr="00785478">
        <w:t xml:space="preserve">pakalpojumu pārvaldības labo praksi un principus. </w:t>
      </w:r>
      <w:r w:rsidR="00FE71E7" w:rsidRPr="00785478">
        <w:t xml:space="preserve">Latvijas publiskajā pārvaldē, </w:t>
      </w:r>
      <w:r w:rsidR="009775FD" w:rsidRPr="00785478">
        <w:t xml:space="preserve">ņemot vērā organizācijas mērogus par </w:t>
      </w:r>
      <w:r w:rsidR="00DB493B" w:rsidRPr="00785478">
        <w:t xml:space="preserve">IKT atbalsta </w:t>
      </w:r>
      <w:r w:rsidR="00FE71E7" w:rsidRPr="00785478">
        <w:t>racionāl</w:t>
      </w:r>
      <w:r w:rsidR="009775FD" w:rsidRPr="00785478">
        <w:t xml:space="preserve">as </w:t>
      </w:r>
      <w:r w:rsidR="00FE71E7" w:rsidRPr="00785478">
        <w:t>pārvaldīb</w:t>
      </w:r>
      <w:r w:rsidR="009775FD" w:rsidRPr="00785478">
        <w:t xml:space="preserve">as ilgtermiņa mērķi ir </w:t>
      </w:r>
      <w:r w:rsidR="00A56787">
        <w:t xml:space="preserve">izvirzāma vienota IKT atbalsta </w:t>
      </w:r>
      <w:r w:rsidR="009775FD" w:rsidRPr="00785478">
        <w:t xml:space="preserve">pakalpojumu kopuma </w:t>
      </w:r>
      <w:r w:rsidR="00A56787">
        <w:t>definēšana. Publiskās pārvaldes funkciju un pakalpojumu daudzveidības dēļ daudzi pakalpojumi šajā kopumā būs unikāli, tomēr būtisku daļu veidos arī no nozarēm neatkarīg</w:t>
      </w:r>
      <w:r w:rsidR="000034F8">
        <w:t>i</w:t>
      </w:r>
      <w:r w:rsidR="00A56787">
        <w:t xml:space="preserve"> jeb t.s. standarta pakalpojumi, kas var būt koplietojami gan resoru, </w:t>
      </w:r>
      <w:r w:rsidR="000034F8">
        <w:t xml:space="preserve">gan pašvaldību, </w:t>
      </w:r>
      <w:r w:rsidR="00A56787">
        <w:t xml:space="preserve">gan valsts mērogā. Tieši šo koplietošanas pakalpojumu izveide un </w:t>
      </w:r>
      <w:r w:rsidR="009775FD" w:rsidRPr="00785478">
        <w:t>pastāvīga pilnveidošana</w:t>
      </w:r>
      <w:r w:rsidR="00A56787">
        <w:t xml:space="preserve"> </w:t>
      </w:r>
      <w:r w:rsidR="00E94D30">
        <w:t xml:space="preserve">var dot būtiskāko pozitīvo ietekmi uz IKT atbalsta kvalitāti un efektivitāti. </w:t>
      </w:r>
      <w:r w:rsidR="00A56787">
        <w:t xml:space="preserve"> </w:t>
      </w:r>
    </w:p>
    <w:p w:rsidR="001C3D67" w:rsidRPr="00785478" w:rsidRDefault="009775FD" w:rsidP="007131CD">
      <w:pPr>
        <w:pStyle w:val="ISBodyText"/>
      </w:pPr>
      <w:r w:rsidRPr="00785478">
        <w:t xml:space="preserve">Apskatot publisko pārvaldi kā publisko pakalpojumu un pārvaldes funkciju kopumu, IKT atbalsta pakalpojumiem kopā ar citiem </w:t>
      </w:r>
      <w:r w:rsidR="001C3D67" w:rsidRPr="00785478">
        <w:t>koplietošanas pakalpojumiem (piemēram, klientu apkalpošanas, nekustamo īpašumu apsaimniekošanas utml.) ir jāiekļaujas kopējā pārvaldes pakalpojumu un funkciju hierarhijā, nodrošinot iespēju atsekot pakalpojumu un resursu racionālu izmantošanu publisko pakalpojumu un valsts pārvaldes funkciju izpildei.</w:t>
      </w:r>
    </w:p>
    <w:p w:rsidR="00785478" w:rsidRPr="00785478" w:rsidRDefault="001C3D67" w:rsidP="007131CD">
      <w:pPr>
        <w:pStyle w:val="ISBodyText"/>
      </w:pPr>
      <w:r w:rsidRPr="00785478">
        <w:t xml:space="preserve">Uzskatot pakalpojumu hierarhiju par nākotnes vīziju, IKT atbalsta organizāciju šajā virzienā ir jāattīsta pakāpeniski, iegūstot konkrētus IKT atbalsta kvalitātes (pirmkārt - pakalpojumu drošas pieejamības) uzlabojumus par optimālām izmaksām katrā attīstības solī. </w:t>
      </w:r>
      <w:r w:rsidR="00785478" w:rsidRPr="00785478">
        <w:t xml:space="preserve">Turpmākajās konceptuālajās rekomendācijās (principos) ir izklāstīti atsevišķi plānotās IKT atbalsta pārvaldības procesu aspekti, kas piemērojami dažādās IKT atbalsta jomās un dažādās attīstības fāzēs, kopumā vedot uz iepriekš definēto vīziju. </w:t>
      </w:r>
    </w:p>
    <w:p w:rsidR="005B595A" w:rsidRPr="00D04DA1" w:rsidRDefault="00785478" w:rsidP="007131CD">
      <w:pPr>
        <w:pStyle w:val="ISBodyText"/>
      </w:pPr>
      <w:r w:rsidRPr="00D04DA1">
        <w:t xml:space="preserve">Jebkura IKT atbalsta pakalpojuma </w:t>
      </w:r>
      <w:r w:rsidR="00845C7C" w:rsidRPr="00D04DA1">
        <w:t xml:space="preserve">efektivitātes priekšnoteikums ir tā sniegšanā izmantoto tehnisko (IKT) resursu un zemāka līmeņa pakalpojumu uzskaite un pārvaldība (skat. principu P9). Atbalsta efektivitātes paaugstināšanā būtiska loma </w:t>
      </w:r>
      <w:r w:rsidR="005B595A" w:rsidRPr="00D04DA1">
        <w:t>ir izmantojamo komponentu un pakalpojumu standartizēšanai, kas savukārt dod iespēju ne tikai efektīvākai uzturēšanai, bet arī apjoma ietaupījumiem</w:t>
      </w:r>
      <w:r w:rsidR="000034F8">
        <w:t>,</w:t>
      </w:r>
      <w:r w:rsidR="005B595A" w:rsidRPr="00D04DA1">
        <w:t xml:space="preserve"> veicot iepirkumus (skat. principu P10). Principi P9 un P10 ir obligāti un pilnā mērā piemērojami neatkarīgi no publiskās pārvaldes IKT atbalsta organizācijas struktūras attīstības fāzes.</w:t>
      </w:r>
    </w:p>
    <w:p w:rsidR="00570DCE" w:rsidRDefault="005B595A" w:rsidP="00EA4123">
      <w:pPr>
        <w:pStyle w:val="ISBodyText"/>
      </w:pPr>
      <w:r w:rsidRPr="00D04DA1">
        <w:t xml:space="preserve">Principi P11, P12 un P13 definē publiskās pārvaldes IKT atbalsta organizācijas struktūras attīstības ceļu, </w:t>
      </w:r>
      <w:r w:rsidR="00D04DA1" w:rsidRPr="00D04DA1">
        <w:t xml:space="preserve">nosakot, ka efektīvas atbalsta organizācijas pamatā ir jābūt specializācijai, ka Latvijas publiskās pārvaldes mērogos no nozarēm neatkarīgu (standarta) IKT atbalsta pakalpojumu pārvaldību ir jāvirza uz pilnīgu konsolidāciju, kā arī to, ka atbilstoši pasaules tendencēm ir jāorientējas uz paaugstinātas pievienotās vērtības pakalpojumu izmantošanu, piemēram, datu centru pakalpojumu jomā pakāpeniski pārejot no serveru izvietošanas uz datu apstrādes jaudu, platformu un lietojumprogrammatūras pakalpojumu izmantošanu publiskās pārvaldes privātā mākoņa ietvaros, atsevišķiem pakalpojumiem neizslēdzot arī publisko mākoņu pakalpojumu izmantošanas iespēju. </w:t>
      </w:r>
    </w:p>
    <w:p w:rsidR="00EA4123" w:rsidRDefault="00570DCE" w:rsidP="00EA4123">
      <w:pPr>
        <w:pStyle w:val="ISBodyText"/>
      </w:pPr>
      <w:r>
        <w:t>Piedāvātā pieeja nodrošinās e</w:t>
      </w:r>
      <w:r w:rsidR="00EA4123" w:rsidRPr="00EA4123">
        <w:t>fektīvāk</w:t>
      </w:r>
      <w:r>
        <w:t>u</w:t>
      </w:r>
      <w:r w:rsidR="00EA4123" w:rsidRPr="00EA4123">
        <w:t xml:space="preserve"> un mērķtiecīgāk</w:t>
      </w:r>
      <w:r>
        <w:t>u</w:t>
      </w:r>
      <w:r w:rsidR="00EA4123" w:rsidRPr="00EA4123">
        <w:t xml:space="preserve"> IKT atbalsta pārvaldīb</w:t>
      </w:r>
      <w:r>
        <w:t>u</w:t>
      </w:r>
      <w:r w:rsidR="00EA4123" w:rsidRPr="00EA4123">
        <w:t xml:space="preserve"> gan no saturiskā, gan arī finanšu viedokļa, nodrošinot iespēju nākotnē pāriet uz rezultātu orientētiem budžet</w:t>
      </w:r>
      <w:r w:rsidR="008F5A84">
        <w:t>a pārvaldības</w:t>
      </w:r>
      <w:r w:rsidR="00EA4123" w:rsidRPr="00EA4123">
        <w:t xml:space="preserve"> principiem un iespēju precīzāk attiecināt IKT atbalsta izmaksas uz konkrētiem publiskajiem pakalpojumiem un pārvaldes funkcijām. </w:t>
      </w:r>
    </w:p>
    <w:p w:rsidR="00EA4123" w:rsidRPr="00F623A2" w:rsidRDefault="00EA4123" w:rsidP="00EA4123">
      <w:pPr>
        <w:pStyle w:val="Princips"/>
      </w:pPr>
      <w:bookmarkStart w:id="40" w:name="_Toc410146990"/>
      <w:r w:rsidRPr="00F623A2">
        <w:t>Tehnisko (IKT) resursu un pakalpojumu uzskaite un pārvaldība</w:t>
      </w:r>
      <w:bookmarkEnd w:id="40"/>
    </w:p>
    <w:p w:rsidR="00FA769E" w:rsidRPr="00F623A2" w:rsidRDefault="00EA4123" w:rsidP="0052161C">
      <w:pPr>
        <w:pStyle w:val="ISBodyText"/>
      </w:pPr>
      <w:r w:rsidRPr="00F623A2">
        <w:t>Būtiska efektīv</w:t>
      </w:r>
      <w:r w:rsidR="00FA769E" w:rsidRPr="00F623A2">
        <w:t xml:space="preserve">u IKT </w:t>
      </w:r>
      <w:r w:rsidRPr="00F623A2">
        <w:t>uzturēšanas proces</w:t>
      </w:r>
      <w:r w:rsidR="00FA769E" w:rsidRPr="00F623A2">
        <w:t>u</w:t>
      </w:r>
      <w:r w:rsidRPr="00F623A2">
        <w:t xml:space="preserve"> sastāvdaļa ir pieejamo</w:t>
      </w:r>
      <w:r w:rsidR="00FA769E" w:rsidRPr="00F623A2">
        <w:t xml:space="preserve"> tehnisko</w:t>
      </w:r>
      <w:r w:rsidRPr="00F623A2">
        <w:t xml:space="preserve"> resursu (programmatūra, aparatūra) </w:t>
      </w:r>
      <w:r w:rsidR="00FA769E" w:rsidRPr="00F623A2">
        <w:t xml:space="preserve">uzskaite </w:t>
      </w:r>
      <w:r w:rsidRPr="00F623A2">
        <w:t>un p</w:t>
      </w:r>
      <w:r w:rsidR="00660966">
        <w:t>ārvaldība.</w:t>
      </w:r>
      <w:r w:rsidRPr="00F623A2">
        <w:t xml:space="preserve"> </w:t>
      </w:r>
      <w:r w:rsidR="00FA769E" w:rsidRPr="00F623A2">
        <w:t xml:space="preserve"> Ir jāveic detalizēta tehnisko resursu uzskaite, ieskaitot risinājumu komponenšu versijas un instalētos atjauninājumus. </w:t>
      </w:r>
    </w:p>
    <w:p w:rsidR="0052161C" w:rsidRPr="00F623A2" w:rsidRDefault="00FA769E" w:rsidP="0052161C">
      <w:pPr>
        <w:pStyle w:val="ISBodyText"/>
      </w:pPr>
      <w:r w:rsidRPr="00F623A2">
        <w:lastRenderedPageBreak/>
        <w:t xml:space="preserve">Uzskaites aktualitāti var nodrošināt tikai </w:t>
      </w:r>
      <w:r w:rsidR="00EA4123" w:rsidRPr="00F623A2">
        <w:t xml:space="preserve">regulārs </w:t>
      </w:r>
      <w:r w:rsidRPr="00F623A2">
        <w:t xml:space="preserve">uzskaites </w:t>
      </w:r>
      <w:r w:rsidR="00EA4123" w:rsidRPr="00F623A2">
        <w:t xml:space="preserve">process, </w:t>
      </w:r>
      <w:r w:rsidRPr="00F623A2">
        <w:t xml:space="preserve">kura ietvaros veic </w:t>
      </w:r>
      <w:r w:rsidR="00EA4123" w:rsidRPr="00F623A2">
        <w:t xml:space="preserve">visu izmantoto programmatūras elementu un aparatūras inventarizāciju un tai sekojošu attīstības plānošanu, optimizējot esošo resursu izmantošanu vai investējot jaunas iegādē tieši tur, kur tas </w:t>
      </w:r>
      <w:r w:rsidRPr="00F623A2">
        <w:t xml:space="preserve">ir </w:t>
      </w:r>
      <w:r w:rsidR="00EA4123" w:rsidRPr="00F623A2">
        <w:t xml:space="preserve">visvairāk nepieciešams. Lielu daļu šī darba var veikt arī automatizēti, izmantojot industrijā pieejamus rīkus, </w:t>
      </w:r>
      <w:r w:rsidRPr="00F623A2">
        <w:t xml:space="preserve">tādējādi neradot lielu </w:t>
      </w:r>
      <w:r w:rsidR="00EA4123" w:rsidRPr="00F623A2">
        <w:t>papildu slodzi IKT atbalsta darbiniekiem.</w:t>
      </w:r>
      <w:r w:rsidR="0052161C" w:rsidRPr="00F623A2">
        <w:t xml:space="preserve"> </w:t>
      </w:r>
      <w:r w:rsidRPr="00F623A2">
        <w:t xml:space="preserve">Pēc iespējas tehnisko resursu automatizētas uzskaites funkcionalitāti ir jāintegrē daudzfunkcionālos </w:t>
      </w:r>
      <w:r w:rsidR="0052161C" w:rsidRPr="00F623A2">
        <w:t>IKT infrastruktūras un risinājumu pārvaldības rīk</w:t>
      </w:r>
      <w:r w:rsidRPr="00F623A2">
        <w:t>os</w:t>
      </w:r>
      <w:r w:rsidR="00B76DDB">
        <w:t>, kā arī jānodrošina informācijas integrācija ar pamatlīdzekļu grāmatvedības uzskaiti</w:t>
      </w:r>
      <w:r w:rsidRPr="00F623A2">
        <w:t xml:space="preserve">. </w:t>
      </w:r>
    </w:p>
    <w:p w:rsidR="00D370AD" w:rsidRPr="00F623A2" w:rsidRDefault="00D370AD" w:rsidP="00EA4123">
      <w:pPr>
        <w:pStyle w:val="ISBodyText"/>
      </w:pPr>
      <w:r w:rsidRPr="00F623A2">
        <w:t xml:space="preserve">Valsts pārvaldes daļēji centralizētās IKT pārvaldības ietvaros tehnisko resursu uzskaiti veic tehnisko resursu īpašnieki, nododot uzskaites informāciju nozares IKT vadībai un </w:t>
      </w:r>
      <w:r w:rsidR="00660966">
        <w:t xml:space="preserve">valsts IKT organizācijai. </w:t>
      </w:r>
      <w:r w:rsidR="000034F8">
        <w:t xml:space="preserve">Par </w:t>
      </w:r>
      <w:r w:rsidR="00B96063">
        <w:t>nododamās uzskaites informācijas apjomu un saturu vienošanās tiek panākta IKT vadītāju forumā.</w:t>
      </w:r>
      <w:r w:rsidRPr="00F623A2">
        <w:t xml:space="preserve"> Vienotas </w:t>
      </w:r>
      <w:r w:rsidR="00EA4123" w:rsidRPr="00F623A2">
        <w:t>uzskaites kārtība</w:t>
      </w:r>
      <w:r w:rsidRPr="00F623A2">
        <w:t>s nodrošināšanai tiek plānots ieviest centralizētu tehnisko resursu un pakalpojumu uzskaites platformu – tehnisko resursu reģistru. Īpaši nozīmīga ir p</w:t>
      </w:r>
      <w:r w:rsidR="00EA4123" w:rsidRPr="00F623A2">
        <w:t>rogrammatūras licen</w:t>
      </w:r>
      <w:r w:rsidRPr="00F623A2">
        <w:t xml:space="preserve">ču un to faktiskā izmantojuma precīza uzskaite, lai nodrošinātu efektīvu esošo licenču izmantošanu un nepieļautu licencēšanas noteikumu pārkāpumus. </w:t>
      </w:r>
    </w:p>
    <w:p w:rsidR="0099144E" w:rsidRDefault="00D370AD" w:rsidP="001C2759">
      <w:pPr>
        <w:pStyle w:val="ISBodyText"/>
      </w:pPr>
      <w:r w:rsidRPr="00F623A2">
        <w:t xml:space="preserve">Uzskaitāmi un pārvaldāmi ir ne tikai </w:t>
      </w:r>
      <w:r w:rsidR="001C2759" w:rsidRPr="00F623A2">
        <w:t xml:space="preserve">īpašumā vai pārvaldībā esošie tehniskie resursi, bet arī izmantojamie IKT infrastruktūras un atbalsta pakalpojumi. </w:t>
      </w:r>
    </w:p>
    <w:p w:rsidR="00CA282C" w:rsidRDefault="00F623A2" w:rsidP="001C2759">
      <w:pPr>
        <w:pStyle w:val="ISBodyText"/>
      </w:pPr>
      <w:r>
        <w:t xml:space="preserve">Informācijas sistēmu attīstības konceptuālās plānošanas (koncepcija, projekta pieteikums) un projektēšanas fāzēs </w:t>
      </w:r>
      <w:r w:rsidR="00660966">
        <w:t xml:space="preserve">iespēju robežās </w:t>
      </w:r>
      <w:r>
        <w:t>ir jādefinē</w:t>
      </w:r>
      <w:r w:rsidR="00B96063">
        <w:t>,</w:t>
      </w:r>
      <w:r>
        <w:t xml:space="preserve"> kād</w:t>
      </w:r>
      <w:r w:rsidR="00660966">
        <w:t>i</w:t>
      </w:r>
      <w:r>
        <w:t xml:space="preserve"> tehniskie resursi un pakalpojumi būs nepieciešami ieviešamās sistēmas darbības nodrošināšanai un</w:t>
      </w:r>
      <w:r w:rsidR="00660966">
        <w:t xml:space="preserve">, ja iespējams - </w:t>
      </w:r>
      <w:r>
        <w:t>kādi tehniskie resursi tiks atbrīvoti, jaunajai sistēmai aizstājot iepriekšējos risinājumus. Aizstājamo un plānojamo jauno tehnisko resursu definēšana ir veicama tehnisko resursu reģistra funkcionalitātes ietvaros</w:t>
      </w:r>
      <w:r w:rsidR="00CA282C">
        <w:t xml:space="preserve">, </w:t>
      </w:r>
      <w:r>
        <w:t xml:space="preserve">pieļaujot izņēmumus </w:t>
      </w:r>
      <w:r w:rsidR="00CA282C">
        <w:t xml:space="preserve">tikai </w:t>
      </w:r>
      <w:r>
        <w:t>līdz reģ</w:t>
      </w:r>
      <w:r w:rsidR="00CA282C">
        <w:t>i</w:t>
      </w:r>
      <w:r>
        <w:t xml:space="preserve">stra funkcionalitātes ieviešanai. </w:t>
      </w:r>
      <w:r w:rsidR="00CA282C">
        <w:t xml:space="preserve">Gadījumos, kad jaunās informācijas sistēmas nerealizē principiāli jaunas funkcijas (iepriekš neautomatizētu procesu automatizācija utml.,) vai nenovērš būtiskas un dokumentētas novirzes no informācijas apstrādes labās prakses (piemēram, datu rezervēšanas vai darbības nepārtrauktības risinājumu neesamība sistēmas kritiskumam atbilstošā līmenī), informācijas sistēmu atjaunināšanai/modernizācijai ir jādod pierādāmu pozitīvu (samazinošu) ietekmi uz IKT atbalsta kopējām izmaksām. </w:t>
      </w:r>
    </w:p>
    <w:p w:rsidR="00F623A2" w:rsidRPr="00F623A2" w:rsidRDefault="00CA282C" w:rsidP="001C2759">
      <w:pPr>
        <w:pStyle w:val="ISBodyText"/>
      </w:pPr>
      <w:r>
        <w:t xml:space="preserve">Informācijas sistēmu </w:t>
      </w:r>
      <w:r w:rsidR="00EC2212">
        <w:t xml:space="preserve">pilnas </w:t>
      </w:r>
      <w:r>
        <w:t>kopējās izmaksas (ieskaitot pilnas ar to saistīto</w:t>
      </w:r>
      <w:r w:rsidR="00EC2212">
        <w:t xml:space="preserve"> – tai nepieciešamo tehnisko resursu un IKT pakalpojumu izmaksas) ir jāizmanto par vienu no pamata kritērijiem sistēmu ieviešanas lietderības un alternatīvo risinājumu savstarpējās salīdzināšanas kritērijiem. Informācijas sistēmu attīstībai vienlaicīgi ar publisko pakalpojumu un pārvaldes procesu efektivitātes uzlabojumiem ir jābūt orientētai arī uz izmantojamo tehnisko resursu un atbalsta pakalpojumu optimizāciju.    </w:t>
      </w:r>
      <w:r>
        <w:t xml:space="preserve">  </w:t>
      </w:r>
    </w:p>
    <w:p w:rsidR="0052161C" w:rsidRDefault="00EC2212" w:rsidP="003F650F">
      <w:pPr>
        <w:pStyle w:val="ISBodyText"/>
      </w:pPr>
      <w:r>
        <w:rPr>
          <w:iCs/>
        </w:rPr>
        <w:t xml:space="preserve">Pietiekami detalizēta un precīza tehnisko resursu un atbalsta pakalpojumu uzskaite, attiecinot tos uz tos izmantojošām informācijas sistēmām, gan vēl tālāk – </w:t>
      </w:r>
      <w:r w:rsidR="00660966">
        <w:rPr>
          <w:iCs/>
        </w:rPr>
        <w:t xml:space="preserve">atbalstāmajiem </w:t>
      </w:r>
      <w:r>
        <w:rPr>
          <w:iCs/>
        </w:rPr>
        <w:t xml:space="preserve">publiskajiem pakalpojumiem un valsts pārvaldes funkcijām, dod iespēju adekvāti attiecināt izmaksas un pamatoti plānot ieguldījumus gan tehniskajos resursos, gan publisko pakalpojumu un valsts pārvaldes funkciju kritiskumam atbilstošas kvalitātes IKT atbalsta pakalpojumos. </w:t>
      </w:r>
    </w:p>
    <w:p w:rsidR="003F650F" w:rsidRPr="00F623A2" w:rsidRDefault="003F650F" w:rsidP="003F650F">
      <w:pPr>
        <w:pStyle w:val="ISBulletText"/>
        <w:numPr>
          <w:ilvl w:val="0"/>
          <w:numId w:val="0"/>
        </w:numPr>
        <w:ind w:left="1080"/>
      </w:pPr>
    </w:p>
    <w:p w:rsidR="00EA4123" w:rsidRPr="003F650F" w:rsidRDefault="00EA4123" w:rsidP="00EA4123">
      <w:pPr>
        <w:pStyle w:val="Princips"/>
      </w:pPr>
      <w:bookmarkStart w:id="41" w:name="_Toc410146991"/>
      <w:r w:rsidRPr="003F650F">
        <w:t>IKT pakalpojumu un komponenšu standartizēšana un iepirkumi</w:t>
      </w:r>
      <w:bookmarkEnd w:id="41"/>
    </w:p>
    <w:p w:rsidR="00EA4123" w:rsidRPr="003F650F" w:rsidRDefault="0052161C" w:rsidP="00EA4123">
      <w:pPr>
        <w:pStyle w:val="ISBodyText"/>
      </w:pPr>
      <w:r w:rsidRPr="003F650F">
        <w:t>Viens no e</w:t>
      </w:r>
      <w:r w:rsidR="00EA4123" w:rsidRPr="003F650F">
        <w:t>fektīva</w:t>
      </w:r>
      <w:r w:rsidRPr="003F650F">
        <w:t xml:space="preserve"> I</w:t>
      </w:r>
      <w:r w:rsidR="00B96063">
        <w:t>K</w:t>
      </w:r>
      <w:r w:rsidRPr="003F650F">
        <w:t xml:space="preserve">T atbalsta </w:t>
      </w:r>
      <w:r w:rsidR="00EA4123" w:rsidRPr="003F650F">
        <w:t>pamatprincipiem ir pēc iespējas liela standartizēšana, kas ļauj izmantot pēc iespējas vienādus infrastruktūras risinājumus, līdz ar to ekonomē</w:t>
      </w:r>
      <w:r w:rsidRPr="003F650F">
        <w:t>jot</w:t>
      </w:r>
      <w:r w:rsidR="00EA4123" w:rsidRPr="003F650F">
        <w:t xml:space="preserve"> infrastruktūras </w:t>
      </w:r>
      <w:r w:rsidR="00EA4123" w:rsidRPr="003F650F">
        <w:lastRenderedPageBreak/>
        <w:t>uzturēšanā, v</w:t>
      </w:r>
      <w:r w:rsidRPr="003F650F">
        <w:t>ienkāršojot</w:t>
      </w:r>
      <w:r w:rsidR="00EA4123" w:rsidRPr="003F650F">
        <w:t xml:space="preserve"> jaunu resursu pievienošanu esošiem risinājumiem, </w:t>
      </w:r>
      <w:r w:rsidRPr="003F650F">
        <w:t xml:space="preserve">kā arī </w:t>
      </w:r>
      <w:r w:rsidR="00EA4123" w:rsidRPr="003F650F">
        <w:t>risinājumu pārcelšanu no vien</w:t>
      </w:r>
      <w:r w:rsidRPr="003F650F">
        <w:t xml:space="preserve">iem infrastruktūras </w:t>
      </w:r>
      <w:r w:rsidR="00BF5114">
        <w:t xml:space="preserve">elementiem </w:t>
      </w:r>
      <w:r w:rsidRPr="003F650F">
        <w:t xml:space="preserve">(piemēram, </w:t>
      </w:r>
      <w:r w:rsidR="00EA4123" w:rsidRPr="003F650F">
        <w:t>datu centra</w:t>
      </w:r>
      <w:r w:rsidRPr="003F650F">
        <w:t xml:space="preserve"> vai serveru virtualizācijas)</w:t>
      </w:r>
      <w:r w:rsidR="00EA4123" w:rsidRPr="003F650F">
        <w:t xml:space="preserve"> uz cit</w:t>
      </w:r>
      <w:r w:rsidR="00BF5114">
        <w:t>iem</w:t>
      </w:r>
      <w:r w:rsidR="00EA4123" w:rsidRPr="003F650F">
        <w:t>.</w:t>
      </w:r>
      <w:r w:rsidR="00BF5114">
        <w:t xml:space="preserve"> Virzība standartizēšanas virzienā ir pieļaujama tikai līdz robežai, kamēr neiestājas atkarība no ražotāja vai piegādātāja – tātad, sabalansējot standartizēšanas un piegādātāju konkurences uzturēšanas pieejas.  </w:t>
      </w:r>
    </w:p>
    <w:p w:rsidR="00226032" w:rsidRPr="003F650F" w:rsidRDefault="00EA4123" w:rsidP="00EA4123">
      <w:pPr>
        <w:pStyle w:val="ISBodyText"/>
      </w:pPr>
      <w:r w:rsidRPr="003F650F">
        <w:t xml:space="preserve">No jauna veidojamajām </w:t>
      </w:r>
      <w:r w:rsidR="0052161C" w:rsidRPr="003F650F">
        <w:t xml:space="preserve">informācijas </w:t>
      </w:r>
      <w:r w:rsidRPr="003F650F">
        <w:t>sistēmām/servisiem</w:t>
      </w:r>
      <w:r w:rsidR="0052161C" w:rsidRPr="003F650F">
        <w:t xml:space="preserve"> un </w:t>
      </w:r>
      <w:r w:rsidRPr="003F650F">
        <w:t xml:space="preserve">arī sistēmām, kas tiek </w:t>
      </w:r>
      <w:r w:rsidR="0052161C" w:rsidRPr="003F650F">
        <w:t xml:space="preserve">būtiski </w:t>
      </w:r>
      <w:r w:rsidRPr="003F650F">
        <w:t>pārstrādātas</w:t>
      </w:r>
      <w:r w:rsidR="00B96063">
        <w:t>,</w:t>
      </w:r>
      <w:r w:rsidR="0052161C" w:rsidRPr="003F650F">
        <w:t xml:space="preserve"> ir jānodrošina, lai tās spēj darboties, izmantojot </w:t>
      </w:r>
      <w:r w:rsidRPr="003F650F">
        <w:t>standartizēt</w:t>
      </w:r>
      <w:r w:rsidR="0052161C" w:rsidRPr="003F650F">
        <w:t>us</w:t>
      </w:r>
      <w:r w:rsidRPr="003F650F">
        <w:t xml:space="preserve"> infrastruktūras resurs</w:t>
      </w:r>
      <w:r w:rsidR="0052161C" w:rsidRPr="003F650F">
        <w:t>us</w:t>
      </w:r>
      <w:r w:rsidRPr="003F650F">
        <w:t xml:space="preserve">. </w:t>
      </w:r>
      <w:r w:rsidR="00226032" w:rsidRPr="003F650F">
        <w:t xml:space="preserve">Atsevišķas specifiskas infrastruktūras izveide ir pieļaujama tikai </w:t>
      </w:r>
      <w:r w:rsidRPr="003F650F">
        <w:t>izņēmuma kārtā – esošo sistēmu uzturēšana</w:t>
      </w:r>
      <w:r w:rsidR="00226032" w:rsidRPr="003F650F">
        <w:t xml:space="preserve">s turpināšanai, </w:t>
      </w:r>
      <w:r w:rsidRPr="003F650F">
        <w:t xml:space="preserve">ļoti specializētu risinājumu izveidei vai </w:t>
      </w:r>
      <w:r w:rsidR="00226032" w:rsidRPr="003F650F">
        <w:t>īpaš</w:t>
      </w:r>
      <w:r w:rsidR="00BF5114">
        <w:t xml:space="preserve">i paaugstinātu pieejamības (darbības nepārtrauktības prasību), veiktspējas vai </w:t>
      </w:r>
      <w:r w:rsidRPr="003F650F">
        <w:t>drošības prasību gadījum</w:t>
      </w:r>
      <w:r w:rsidR="00BF5114">
        <w:t>os</w:t>
      </w:r>
      <w:r w:rsidR="00226032" w:rsidRPr="003F650F">
        <w:t xml:space="preserve">. </w:t>
      </w:r>
      <w:r w:rsidR="00BE5FDA">
        <w:t xml:space="preserve">Arī standartizētajām vidēm ir jāpieļauj pietiekama daudzveidība, nodrošinot iespējas izmantot principiāli atšķirīgo tehnoloģiju priekšrocības (piemēram, Windows un Linux/Unix operētājsistēmu saimēm) un samazinot izmaksas risinājumu migrācijai uz sākotnējai videi radniecīgu standartizēto vidi. Jebkurā gadījumā, risinājumu migrācijas izmaksas ir izvērtējamas no kopējā saimnieciskā izdevīguma (kopējo izmaksu – </w:t>
      </w:r>
      <w:r w:rsidR="00B96063" w:rsidRPr="00B96063">
        <w:rPr>
          <w:i/>
        </w:rPr>
        <w:t>Total Cost of Ownership</w:t>
      </w:r>
      <w:r w:rsidR="00B96063">
        <w:t xml:space="preserve"> jeb </w:t>
      </w:r>
      <w:r w:rsidR="00BE5FDA">
        <w:t>TCO) viedokļa.</w:t>
      </w:r>
    </w:p>
    <w:p w:rsidR="00875046" w:rsidRPr="003F650F" w:rsidRDefault="00226032" w:rsidP="00875046">
      <w:pPr>
        <w:pStyle w:val="ISBodyText"/>
      </w:pPr>
      <w:r w:rsidRPr="003F650F">
        <w:t xml:space="preserve">No jauna veidotajiem risinājumiem vai pārstrādājamajām sistēmām obligāta prasība </w:t>
      </w:r>
      <w:r w:rsidR="00875046" w:rsidRPr="003F650F">
        <w:t>ir atbalsts serveru, datu pārraides tīklu un datu glabāšanas risinājumu virtualizēšanai.  Sistēmas var darboties arī citās vidēs, ja tas nodrošina saimnieciski izdevīgāku risinājumu konkrētā gadījumā, bet tām ir jābūt pārnesamām/darbināmām arī standartizētajā vidē.</w:t>
      </w:r>
    </w:p>
    <w:p w:rsidR="00875046" w:rsidRPr="0038234C" w:rsidRDefault="003F650F" w:rsidP="00875046">
      <w:pPr>
        <w:pStyle w:val="ISBodyText"/>
      </w:pPr>
      <w:r w:rsidRPr="0038234C">
        <w:t>Infrastruktūras standartizēšana rada papildus iespējas arī lielāku apjomu centralizētiem iepirkumiem, kas, savukārt, i</w:t>
      </w:r>
      <w:r w:rsidR="00875046" w:rsidRPr="0038234C">
        <w:t xml:space="preserve">r uzskatāma par vienu no potenciāliem IKT pārvaldības centralizācijas ieguvumiem, kas ļautu gan saņemt labākus piedāvājumus (apjoma dēļ), gan arī atbrīvotu atsevišķas iestādes no nepieciešamības </w:t>
      </w:r>
      <w:r w:rsidRPr="0038234C">
        <w:t xml:space="preserve">uzturēt </w:t>
      </w:r>
      <w:r w:rsidR="00875046" w:rsidRPr="0038234C">
        <w:t>ļoti specifisku iekšēju kompetenci</w:t>
      </w:r>
      <w:r w:rsidRPr="0038234C">
        <w:t xml:space="preserve"> IKT iepirkumu veikšanai</w:t>
      </w:r>
      <w:r w:rsidR="00875046" w:rsidRPr="0038234C">
        <w:t>.</w:t>
      </w:r>
      <w:r w:rsidR="00BF5114">
        <w:t xml:space="preserve"> </w:t>
      </w:r>
    </w:p>
    <w:p w:rsidR="00875046" w:rsidRPr="0038234C" w:rsidRDefault="00875046" w:rsidP="0038234C">
      <w:pPr>
        <w:pStyle w:val="ISBodyText"/>
      </w:pPr>
      <w:r w:rsidRPr="0038234C">
        <w:t>Piemēram, centralizēta licenču iepirkšana ļautu samazināt izmaksas un izvēlēties piemērotāko licencēšanas modeli, piemēram</w:t>
      </w:r>
      <w:r w:rsidR="0038234C">
        <w:t xml:space="preserve">, </w:t>
      </w:r>
      <w:r w:rsidR="003F650F" w:rsidRPr="0038234C">
        <w:t>p</w:t>
      </w:r>
      <w:r w:rsidRPr="0038234C">
        <w:t>ārejot no lietotāju licencēm uz serveru procesoru licencēm vai otrādi</w:t>
      </w:r>
      <w:r w:rsidR="0038234C">
        <w:t xml:space="preserve"> un </w:t>
      </w:r>
      <w:r w:rsidR="003F650F" w:rsidRPr="0038234C">
        <w:t>p</w:t>
      </w:r>
      <w:r w:rsidRPr="0038234C">
        <w:t>ārejot no nomātām licencēm uz iegādātām licencēm vai otrādi.</w:t>
      </w:r>
    </w:p>
    <w:p w:rsidR="00875046" w:rsidRPr="0038234C" w:rsidRDefault="003F650F" w:rsidP="00875046">
      <w:pPr>
        <w:pStyle w:val="ISBodyText"/>
      </w:pPr>
      <w:r w:rsidRPr="0038234C">
        <w:t>Daļēji vai pilnīgi centralizēta</w:t>
      </w:r>
      <w:r w:rsidR="00D179B2" w:rsidRPr="0038234C">
        <w:t>s</w:t>
      </w:r>
      <w:r w:rsidRPr="0038234C">
        <w:t xml:space="preserve"> tehnisko resursu </w:t>
      </w:r>
      <w:r w:rsidR="00875046" w:rsidRPr="0038234C">
        <w:t>un pakalpojumu plānošana</w:t>
      </w:r>
      <w:r w:rsidR="00D179B2" w:rsidRPr="0038234C">
        <w:t>s</w:t>
      </w:r>
      <w:r w:rsidR="00875046" w:rsidRPr="0038234C">
        <w:t xml:space="preserve"> un iegāde</w:t>
      </w:r>
      <w:r w:rsidR="00D179B2" w:rsidRPr="0038234C">
        <w:t xml:space="preserve">s iespējas ir jāattīsta pakāpeniski, reizē ar standartizācijas un atbalsta centralizācijas procesiem, izmantojot tās </w:t>
      </w:r>
      <w:r w:rsidR="00875046" w:rsidRPr="0038234C">
        <w:t xml:space="preserve">licenču, datoru, </w:t>
      </w:r>
      <w:r w:rsidR="00D179B2" w:rsidRPr="0038234C">
        <w:t>tīkla savienojumu un in</w:t>
      </w:r>
      <w:r w:rsidR="00875046" w:rsidRPr="0038234C">
        <w:t>terneta pieslēgumu, datu centr</w:t>
      </w:r>
      <w:r w:rsidR="00D179B2" w:rsidRPr="0038234C">
        <w:t xml:space="preserve">u </w:t>
      </w:r>
      <w:r w:rsidR="00875046" w:rsidRPr="0038234C">
        <w:t>ārpakalpojumu iegāde</w:t>
      </w:r>
      <w:r w:rsidR="00D179B2" w:rsidRPr="0038234C">
        <w:t>i</w:t>
      </w:r>
      <w:r w:rsidR="00875046" w:rsidRPr="0038234C">
        <w:t>,</w:t>
      </w:r>
      <w:r w:rsidR="00D179B2" w:rsidRPr="0038234C">
        <w:t xml:space="preserve"> kā arī IKT </w:t>
      </w:r>
      <w:r w:rsidR="00875046" w:rsidRPr="0038234C">
        <w:t>atbalsta un ietvara līgumu slēgšana</w:t>
      </w:r>
      <w:r w:rsidR="00D179B2" w:rsidRPr="0038234C">
        <w:t>i</w:t>
      </w:r>
      <w:r w:rsidR="00875046" w:rsidRPr="0038234C">
        <w:t>.</w:t>
      </w:r>
      <w:r w:rsidR="00BF5114">
        <w:t xml:space="preserve"> Specializētās IKT iepirkumu kompetences var tikt attīstītas gan specializēto kompetenču centru (P11), gan VESPC (P12), gan arī publiskās pārvaldes specializētas iepirkumu atbalsta iestādes ietvaros. Tās lomu jau šobrīd vismaz daļēji pilda VRAA.    </w:t>
      </w:r>
    </w:p>
    <w:p w:rsidR="00EA4123" w:rsidRPr="00AB1FAE" w:rsidRDefault="0099144E" w:rsidP="00EA4123">
      <w:pPr>
        <w:pStyle w:val="Princips"/>
      </w:pPr>
      <w:bookmarkStart w:id="42" w:name="_Toc410146992"/>
      <w:r w:rsidRPr="00AB1FAE">
        <w:t>S</w:t>
      </w:r>
      <w:r w:rsidR="007B18DD" w:rsidRPr="00AB1FAE">
        <w:t>pecializācija IKT kompetenču optimālai izmantošanai un attīstībai</w:t>
      </w:r>
      <w:bookmarkEnd w:id="42"/>
      <w:r w:rsidR="007B18DD" w:rsidRPr="00AB1FAE">
        <w:t xml:space="preserve"> </w:t>
      </w:r>
    </w:p>
    <w:p w:rsidR="0099144E" w:rsidRPr="00AB1FAE" w:rsidRDefault="0099144E" w:rsidP="0099144E">
      <w:pPr>
        <w:spacing w:before="120" w:after="120"/>
        <w:jc w:val="both"/>
        <w:rPr>
          <w:rFonts w:eastAsia="MS Mincho" w:cs="Segoe UI"/>
          <w:bCs/>
          <w:szCs w:val="22"/>
        </w:rPr>
      </w:pPr>
      <w:r w:rsidRPr="00AB1FAE">
        <w:rPr>
          <w:rFonts w:eastAsia="MS Mincho" w:cs="Segoe UI"/>
          <w:bCs/>
          <w:szCs w:val="22"/>
        </w:rPr>
        <w:t xml:space="preserve">Šobrīd </w:t>
      </w:r>
      <w:r w:rsidR="008F5A84">
        <w:rPr>
          <w:rFonts w:eastAsia="MS Mincho" w:cs="Segoe UI"/>
          <w:bCs/>
          <w:szCs w:val="22"/>
        </w:rPr>
        <w:t xml:space="preserve">publiskās pārvaldes </w:t>
      </w:r>
      <w:r w:rsidRPr="00AB1FAE">
        <w:rPr>
          <w:rFonts w:eastAsia="MS Mincho" w:cs="Segoe UI"/>
          <w:bCs/>
          <w:szCs w:val="22"/>
        </w:rPr>
        <w:t xml:space="preserve">IKT </w:t>
      </w:r>
      <w:r w:rsidR="009F6E08" w:rsidRPr="00AB1FAE">
        <w:rPr>
          <w:rFonts w:eastAsia="MS Mincho" w:cs="Segoe UI"/>
          <w:bCs/>
          <w:szCs w:val="22"/>
        </w:rPr>
        <w:t xml:space="preserve">atbalsta </w:t>
      </w:r>
      <w:r w:rsidRPr="00AB1FAE">
        <w:rPr>
          <w:rFonts w:eastAsia="MS Mincho" w:cs="Segoe UI"/>
          <w:bCs/>
          <w:szCs w:val="22"/>
        </w:rPr>
        <w:t>kompetences ir izkaisītas pa daudzām iestādēm</w:t>
      </w:r>
      <w:r w:rsidR="009F6E08" w:rsidRPr="00AB1FAE">
        <w:rPr>
          <w:rFonts w:eastAsia="MS Mincho" w:cs="Segoe UI"/>
          <w:bCs/>
          <w:szCs w:val="22"/>
        </w:rPr>
        <w:t xml:space="preserve">. </w:t>
      </w:r>
      <w:r w:rsidR="008F5A84">
        <w:rPr>
          <w:rFonts w:eastAsia="MS Mincho" w:cs="Segoe UI"/>
          <w:bCs/>
          <w:szCs w:val="22"/>
        </w:rPr>
        <w:t xml:space="preserve">2014. gada vasarā IKT darbinieki bija 78 valsts tiešās pārvaldes iestādēs. </w:t>
      </w:r>
      <w:r w:rsidRPr="00AB1FAE">
        <w:rPr>
          <w:rFonts w:eastAsia="MS Mincho" w:cs="Segoe UI"/>
          <w:bCs/>
          <w:szCs w:val="22"/>
        </w:rPr>
        <w:t>Nelielie IKT atbalsta dienesti ierobežo darbinieku izaugsmes iespējas</w:t>
      </w:r>
      <w:r w:rsidR="009F6E08" w:rsidRPr="00AB1FAE">
        <w:rPr>
          <w:rFonts w:eastAsia="MS Mincho" w:cs="Segoe UI"/>
          <w:bCs/>
          <w:szCs w:val="22"/>
        </w:rPr>
        <w:t xml:space="preserve"> ne tikai profesionālās izaugsmes (t.sk. specializācijas konkrētu tehnoloģiju jomā), bet arī atalgojuma ziņā. </w:t>
      </w:r>
    </w:p>
    <w:p w:rsidR="0099144E" w:rsidRPr="00AB1FAE" w:rsidRDefault="0038234C" w:rsidP="009F6E08">
      <w:pPr>
        <w:spacing w:before="120" w:after="120"/>
        <w:jc w:val="both"/>
      </w:pPr>
      <w:r w:rsidRPr="00AB1FAE">
        <w:rPr>
          <w:rFonts w:eastAsia="MS Mincho" w:cs="Segoe UI"/>
          <w:bCs/>
          <w:szCs w:val="22"/>
        </w:rPr>
        <w:t xml:space="preserve">Lai nodrošinātu </w:t>
      </w:r>
      <w:r w:rsidR="008F5A84">
        <w:rPr>
          <w:rFonts w:eastAsia="MS Mincho" w:cs="Segoe UI"/>
          <w:bCs/>
          <w:szCs w:val="22"/>
        </w:rPr>
        <w:t xml:space="preserve">IKT personāla </w:t>
      </w:r>
      <w:r w:rsidRPr="00AB1FAE">
        <w:rPr>
          <w:rFonts w:eastAsia="MS Mincho" w:cs="Segoe UI"/>
          <w:bCs/>
          <w:szCs w:val="22"/>
        </w:rPr>
        <w:t xml:space="preserve">izaugsmes iespējas, </w:t>
      </w:r>
      <w:r w:rsidR="008F5A84">
        <w:rPr>
          <w:rFonts w:eastAsia="MS Mincho" w:cs="Segoe UI"/>
          <w:bCs/>
          <w:szCs w:val="22"/>
        </w:rPr>
        <w:t>paaugstināt</w:t>
      </w:r>
      <w:r w:rsidR="00B96063">
        <w:rPr>
          <w:rFonts w:eastAsia="MS Mincho" w:cs="Segoe UI"/>
          <w:bCs/>
          <w:szCs w:val="22"/>
        </w:rPr>
        <w:t>u</w:t>
      </w:r>
      <w:r w:rsidRPr="00AB1FAE">
        <w:rPr>
          <w:rFonts w:eastAsia="MS Mincho" w:cs="Segoe UI"/>
          <w:bCs/>
          <w:szCs w:val="22"/>
        </w:rPr>
        <w:t xml:space="preserve"> motivāciju, </w:t>
      </w:r>
      <w:r w:rsidR="008F5A84">
        <w:rPr>
          <w:rFonts w:eastAsia="MS Mincho" w:cs="Segoe UI"/>
          <w:bCs/>
          <w:szCs w:val="22"/>
        </w:rPr>
        <w:t xml:space="preserve">radot </w:t>
      </w:r>
      <w:r w:rsidRPr="00AB1FAE">
        <w:rPr>
          <w:rFonts w:eastAsia="MS Mincho" w:cs="Segoe UI"/>
          <w:bCs/>
          <w:szCs w:val="22"/>
        </w:rPr>
        <w:t>specializācij</w:t>
      </w:r>
      <w:r w:rsidR="008F5A84">
        <w:rPr>
          <w:rFonts w:eastAsia="MS Mincho" w:cs="Segoe UI"/>
          <w:bCs/>
          <w:szCs w:val="22"/>
        </w:rPr>
        <w:t xml:space="preserve">as iespējas, veicinātu </w:t>
      </w:r>
      <w:r w:rsidRPr="00AB1FAE">
        <w:rPr>
          <w:rFonts w:eastAsia="MS Mincho" w:cs="Segoe UI"/>
          <w:bCs/>
          <w:szCs w:val="22"/>
        </w:rPr>
        <w:t>IKT atbalsta dienest</w:t>
      </w:r>
      <w:r w:rsidR="00B96063">
        <w:rPr>
          <w:rFonts w:eastAsia="MS Mincho" w:cs="Segoe UI"/>
          <w:bCs/>
          <w:szCs w:val="22"/>
        </w:rPr>
        <w:t>u</w:t>
      </w:r>
      <w:r w:rsidRPr="00AB1FAE">
        <w:rPr>
          <w:rFonts w:eastAsia="MS Mincho" w:cs="Segoe UI"/>
          <w:bCs/>
          <w:szCs w:val="22"/>
        </w:rPr>
        <w:t xml:space="preserve"> </w:t>
      </w:r>
      <w:r w:rsidR="008F5A84">
        <w:rPr>
          <w:rFonts w:eastAsia="MS Mincho" w:cs="Segoe UI"/>
          <w:bCs/>
          <w:szCs w:val="22"/>
        </w:rPr>
        <w:t>profesionālo izaugsmi</w:t>
      </w:r>
      <w:r w:rsidRPr="00AB1FAE">
        <w:rPr>
          <w:rFonts w:eastAsia="MS Mincho" w:cs="Segoe UI"/>
          <w:bCs/>
          <w:szCs w:val="22"/>
        </w:rPr>
        <w:t xml:space="preserve">, </w:t>
      </w:r>
      <w:r w:rsidR="008F5A84">
        <w:rPr>
          <w:rFonts w:eastAsia="MS Mincho" w:cs="Segoe UI"/>
          <w:bCs/>
          <w:szCs w:val="22"/>
        </w:rPr>
        <w:t xml:space="preserve">ir </w:t>
      </w:r>
      <w:r w:rsidRPr="00AB1FAE">
        <w:rPr>
          <w:rFonts w:eastAsia="MS Mincho" w:cs="Segoe UI"/>
          <w:bCs/>
          <w:szCs w:val="22"/>
        </w:rPr>
        <w:t xml:space="preserve">nepieciešami </w:t>
      </w:r>
      <w:r w:rsidR="009F6E08" w:rsidRPr="00AB1FAE">
        <w:rPr>
          <w:rFonts w:eastAsia="MS Mincho" w:cs="Segoe UI"/>
          <w:bCs/>
          <w:szCs w:val="22"/>
        </w:rPr>
        <w:t xml:space="preserve">kompetenču centri, </w:t>
      </w:r>
      <w:r w:rsidRPr="00AB1FAE">
        <w:rPr>
          <w:rFonts w:eastAsia="MS Mincho" w:cs="Segoe UI"/>
          <w:bCs/>
          <w:szCs w:val="22"/>
        </w:rPr>
        <w:t xml:space="preserve">kas specializējas </w:t>
      </w:r>
      <w:r w:rsidR="009F6E08" w:rsidRPr="00AB1FAE">
        <w:rPr>
          <w:rFonts w:eastAsia="MS Mincho" w:cs="Segoe UI"/>
          <w:bCs/>
          <w:szCs w:val="22"/>
        </w:rPr>
        <w:t xml:space="preserve">noteiktu tehnoloģisko risinājumu jomā un/vai orientējas </w:t>
      </w:r>
      <w:r w:rsidRPr="00AB1FAE">
        <w:rPr>
          <w:rFonts w:eastAsia="MS Mincho" w:cs="Segoe UI"/>
          <w:bCs/>
          <w:szCs w:val="22"/>
        </w:rPr>
        <w:t>uz noteikt</w:t>
      </w:r>
      <w:r w:rsidR="009F6E08" w:rsidRPr="00AB1FAE">
        <w:rPr>
          <w:rFonts w:eastAsia="MS Mincho" w:cs="Segoe UI"/>
          <w:bCs/>
          <w:szCs w:val="22"/>
        </w:rPr>
        <w:t xml:space="preserve">a veida </w:t>
      </w:r>
      <w:r w:rsidRPr="00AB1FAE">
        <w:rPr>
          <w:rFonts w:eastAsia="MS Mincho" w:cs="Segoe UI"/>
          <w:bCs/>
          <w:szCs w:val="22"/>
        </w:rPr>
        <w:t>pakalpojumu sniegšanu.</w:t>
      </w:r>
      <w:r w:rsidR="009F6E08" w:rsidRPr="00AB1FAE">
        <w:rPr>
          <w:rFonts w:eastAsia="MS Mincho" w:cs="Segoe UI"/>
          <w:bCs/>
          <w:szCs w:val="22"/>
        </w:rPr>
        <w:t xml:space="preserve"> Citiem vārdiem - </w:t>
      </w:r>
      <w:r w:rsidR="0099144E" w:rsidRPr="00AB1FAE">
        <w:t>IKT atbalsta nodrošināšanā</w:t>
      </w:r>
      <w:r w:rsidR="009F6E08" w:rsidRPr="00AB1FAE">
        <w:t xml:space="preserve"> </w:t>
      </w:r>
      <w:r w:rsidR="0099144E" w:rsidRPr="00AB1FAE">
        <w:t>ir maksimāli jāveicina un jāizmanto iestāžu sadarbība un IKT koplietošanas risinājum</w:t>
      </w:r>
      <w:r w:rsidR="00FB5EB5">
        <w:t>i</w:t>
      </w:r>
      <w:r w:rsidR="0099144E" w:rsidRPr="00AB1FAE">
        <w:t xml:space="preserve"> un pakalpojum</w:t>
      </w:r>
      <w:r w:rsidR="00FB5EB5">
        <w:t>i</w:t>
      </w:r>
      <w:r w:rsidR="009F6E08" w:rsidRPr="00AB1FAE">
        <w:t xml:space="preserve">. </w:t>
      </w:r>
    </w:p>
    <w:p w:rsidR="0099144E" w:rsidRPr="00093190" w:rsidRDefault="009F6E08" w:rsidP="0099144E">
      <w:pPr>
        <w:pStyle w:val="ISBodyText"/>
      </w:pPr>
      <w:r w:rsidRPr="00AB1FAE">
        <w:lastRenderedPageBreak/>
        <w:t xml:space="preserve">Ir jāattīsta kompetenču un/vai koplietošanas pakalpojumu centri, kas </w:t>
      </w:r>
      <w:r w:rsidR="0099144E" w:rsidRPr="00AB1FAE">
        <w:t xml:space="preserve">nodrošina noteiktus pakalpojumus citām iestādēm. </w:t>
      </w:r>
      <w:r w:rsidR="0099144E" w:rsidRPr="00093190">
        <w:t xml:space="preserve">Kā </w:t>
      </w:r>
      <w:r w:rsidR="009F61EE">
        <w:t>piemērus</w:t>
      </w:r>
      <w:r w:rsidR="008F5A84">
        <w:t xml:space="preserve"> jau esošiem un </w:t>
      </w:r>
      <w:r w:rsidR="009F61EE">
        <w:t xml:space="preserve">iespējamiem kompetenču un/vai </w:t>
      </w:r>
      <w:r w:rsidR="0099144E" w:rsidRPr="00093190">
        <w:t>koplietošanas pakalpojumu centriem var minēt:</w:t>
      </w:r>
    </w:p>
    <w:p w:rsidR="0099144E" w:rsidRPr="00093190" w:rsidRDefault="00693B64" w:rsidP="006A206C">
      <w:pPr>
        <w:pStyle w:val="ISBulletText"/>
      </w:pPr>
      <w:r w:rsidRPr="00093190">
        <w:t>Koplietošanas</w:t>
      </w:r>
      <w:r w:rsidR="0099144E" w:rsidRPr="00093190">
        <w:t xml:space="preserve"> IKT infrastruktūras pakalpojumu organizācija (</w:t>
      </w:r>
      <w:r w:rsidRPr="00093190">
        <w:t>skat detalizētāku izklāstu P12)</w:t>
      </w:r>
      <w:r w:rsidR="0099144E" w:rsidRPr="00093190">
        <w:t>;</w:t>
      </w:r>
    </w:p>
    <w:p w:rsidR="0099144E" w:rsidRPr="00093190" w:rsidRDefault="00693B64" w:rsidP="006A206C">
      <w:pPr>
        <w:pStyle w:val="ISBulletText"/>
      </w:pPr>
      <w:r w:rsidRPr="00093190">
        <w:t xml:space="preserve">Pakalpojumu un komunikācijas portālu, Publisko pakalpojumu </w:t>
      </w:r>
      <w:r w:rsidR="007903A5">
        <w:t>sniegšanas un pārvaldības</w:t>
      </w:r>
      <w:r w:rsidRPr="00093190">
        <w:t xml:space="preserve">, kā arī </w:t>
      </w:r>
      <w:r w:rsidR="007903A5">
        <w:t>Sadarbspējas</w:t>
      </w:r>
      <w:r w:rsidRPr="00093190">
        <w:t xml:space="preserve"> </w:t>
      </w:r>
      <w:r w:rsidR="0099144E" w:rsidRPr="00093190">
        <w:t>platform</w:t>
      </w:r>
      <w:r w:rsidRPr="00093190">
        <w:t xml:space="preserve">u attīstītājs un uzturētājs (šobrīd pieejamo resursu ietvaros šo lomu pilda VRAA un tās kapacitāte ir jānostiprina, lai funkcijas varētu paplašināt);  </w:t>
      </w:r>
    </w:p>
    <w:p w:rsidR="0099144E" w:rsidRPr="00093190" w:rsidRDefault="0099144E" w:rsidP="006A206C">
      <w:pPr>
        <w:pStyle w:val="ISBulletText"/>
      </w:pPr>
      <w:r w:rsidRPr="00093190">
        <w:t>ĢIS kompetences centrs (šobrīd šī kompetence ir sadalīta starp vairākām iestādēm</w:t>
      </w:r>
      <w:r w:rsidR="00693B64" w:rsidRPr="00093190">
        <w:t xml:space="preserve">); </w:t>
      </w:r>
    </w:p>
    <w:p w:rsidR="0099144E" w:rsidRPr="00093190" w:rsidRDefault="0099144E" w:rsidP="006A206C">
      <w:pPr>
        <w:pStyle w:val="ISBulletText"/>
      </w:pPr>
      <w:r w:rsidRPr="00093190">
        <w:t>IKT drošības kompetences centrs (šobrīd daļēji šo lomu pilda  CERT</w:t>
      </w:r>
      <w:r w:rsidR="00093190" w:rsidRPr="00093190">
        <w:t>.LV</w:t>
      </w:r>
      <w:r w:rsidRPr="00093190">
        <w:t>);</w:t>
      </w:r>
    </w:p>
    <w:p w:rsidR="00502B3F" w:rsidRDefault="0099144E" w:rsidP="006A206C">
      <w:pPr>
        <w:pStyle w:val="ISBulletText"/>
      </w:pPr>
      <w:r w:rsidRPr="00093190">
        <w:t>E</w:t>
      </w:r>
      <w:r w:rsidR="00093190" w:rsidRPr="00093190">
        <w:t xml:space="preserve">lektroniskās uzticamības </w:t>
      </w:r>
      <w:r w:rsidRPr="00093190">
        <w:t>risinājumu kompetenču centrs (šobrīd šo lomu</w:t>
      </w:r>
      <w:r w:rsidR="00093190" w:rsidRPr="00093190">
        <w:t xml:space="preserve"> kā vienīgais sertificētais uzticamības pakalpojumu sniedzējs Latvijā daļēji </w:t>
      </w:r>
      <w:r w:rsidRPr="00093190">
        <w:t>pilda  LVRTC)</w:t>
      </w:r>
      <w:r w:rsidR="00502B3F">
        <w:t>;</w:t>
      </w:r>
    </w:p>
    <w:p w:rsidR="00FB5EB5" w:rsidRDefault="00FB5EB5" w:rsidP="00B75B6F">
      <w:pPr>
        <w:pStyle w:val="ISBulletText"/>
        <w:numPr>
          <w:ilvl w:val="0"/>
          <w:numId w:val="53"/>
        </w:numPr>
        <w:tabs>
          <w:tab w:val="left" w:pos="720"/>
        </w:tabs>
      </w:pPr>
      <w:r>
        <w:rPr>
          <w:bCs/>
          <w:szCs w:val="22"/>
        </w:rPr>
        <w:t>Pašvaldību IKT kompetenču centri, ar mērķi nodrošināt pašvaldību un citu publiskās pārvaldes institūciju darbam nepieciešamo IKT atbalstu attiecīgajā reģionā (šobrīd to daļēji nodrošina pašreizējie pašvaldību kompetenču centri, tomēr šo centru darbības modelis būtu jāpārskata, paredzot šo centru tālāku attīstību un sadarbību ar pārējiem augstāk uzskaitītajiem kompetenču centriem).</w:t>
      </w:r>
    </w:p>
    <w:p w:rsidR="009F61EE" w:rsidRDefault="00FB5EB5" w:rsidP="00BC11C8">
      <w:pPr>
        <w:pStyle w:val="ISBulletText"/>
        <w:numPr>
          <w:ilvl w:val="0"/>
          <w:numId w:val="0"/>
        </w:numPr>
      </w:pPr>
      <w:r>
        <w:t xml:space="preserve"> </w:t>
      </w:r>
      <w:r w:rsidR="00BC11C8">
        <w:t xml:space="preserve">Kā redzams minētajos piemēros, </w:t>
      </w:r>
      <w:r w:rsidR="00BC11C8" w:rsidRPr="00BC11C8">
        <w:t xml:space="preserve">ne vienmēr kompetenču centri ir arī koplietošanas pakalpojumu centri. Kompetenču centriem var būt dažādas organizatoriskās formas. Piemēram, ĢIS kompetenču centrs </w:t>
      </w:r>
      <w:r w:rsidR="00BC11C8">
        <w:t xml:space="preserve">attīstīsies kā pamatā </w:t>
      </w:r>
      <w:r w:rsidR="00BC11C8" w:rsidRPr="00BC11C8">
        <w:t xml:space="preserve">virtuāls – veidots uz LĢIA bāzes, bet bez </w:t>
      </w:r>
      <w:r w:rsidR="00BC11C8">
        <w:t>nolūka</w:t>
      </w:r>
      <w:r w:rsidR="00BC11C8" w:rsidRPr="00BC11C8">
        <w:t xml:space="preserve"> pārņemt </w:t>
      </w:r>
      <w:r w:rsidR="00BC11C8">
        <w:t xml:space="preserve">vienā iestādē </w:t>
      </w:r>
      <w:r w:rsidR="00BC11C8" w:rsidRPr="00BC11C8">
        <w:t xml:space="preserve">visus </w:t>
      </w:r>
      <w:r w:rsidR="00BC11C8">
        <w:t xml:space="preserve">publiskās pārvaldes </w:t>
      </w:r>
      <w:r w:rsidR="00BC11C8" w:rsidRPr="00BC11C8">
        <w:t>ĢIS speciālistus</w:t>
      </w:r>
      <w:r w:rsidR="00BC11C8">
        <w:t xml:space="preserve">. </w:t>
      </w:r>
      <w:r w:rsidR="00BC11C8" w:rsidRPr="00BC11C8">
        <w:t>LĢIA kā ĢIS kompetenču centrs koordinēs ĢIS jautājumus ar  citām iestādēm. Līdzīgi darbojas arī CERT. Savukārt VRAA ne tikai</w:t>
      </w:r>
      <w:r w:rsidR="00BC11C8">
        <w:t xml:space="preserve"> attīstīsies kā centralizēto koplietošanas </w:t>
      </w:r>
      <w:r w:rsidR="00BC11C8" w:rsidRPr="00BC11C8">
        <w:t>platform</w:t>
      </w:r>
      <w:r w:rsidR="00BC11C8">
        <w:t xml:space="preserve">u </w:t>
      </w:r>
      <w:r w:rsidR="00BC11C8" w:rsidRPr="00BC11C8">
        <w:t>kompetences centr</w:t>
      </w:r>
      <w:r w:rsidR="00BC11C8">
        <w:t>s</w:t>
      </w:r>
      <w:r w:rsidR="00BC11C8" w:rsidRPr="00BC11C8">
        <w:t xml:space="preserve">, bet arī nodrošinās </w:t>
      </w:r>
      <w:r w:rsidR="00BC11C8">
        <w:t xml:space="preserve">ar šo platformu darbināšanu saistīto </w:t>
      </w:r>
      <w:r w:rsidR="00BC11C8" w:rsidRPr="00BC11C8">
        <w:t>pakalpojumu sniegšanu.</w:t>
      </w:r>
    </w:p>
    <w:p w:rsidR="00093190" w:rsidRDefault="00093190" w:rsidP="00093190">
      <w:pPr>
        <w:pStyle w:val="ISBulletText"/>
        <w:numPr>
          <w:ilvl w:val="0"/>
          <w:numId w:val="0"/>
        </w:numPr>
      </w:pPr>
      <w:r>
        <w:t>Pieņemot lēmumus par publiskās pārvaldes IKT funkcijas organizācijas un ar IKT jomu saistīto pārvaldes iekšējo kompetenču attīstību</w:t>
      </w:r>
      <w:r w:rsidR="00FB5EB5">
        <w:t>,</w:t>
      </w:r>
      <w:r>
        <w:t xml:space="preserve"> ir stingri jānošķir kompetences, kas ir cieši saistītas ar konkrētajām publiskās pārvaldes jomām</w:t>
      </w:r>
      <w:r w:rsidR="00C61839">
        <w:t xml:space="preserve"> un tām pakārtoti - IKT pakalpojumu un risinājumu pielāgošanu pārvaldes procesu specifiskajām vajadzībām, no “tīrām” IKT dažādu specializāciju kompetencēm, kas nav specifiskas atsevišķām publiskās pārvaldes nozarēm. </w:t>
      </w:r>
    </w:p>
    <w:p w:rsidR="00C61839" w:rsidRPr="00093190" w:rsidRDefault="00C61839" w:rsidP="00093190">
      <w:pPr>
        <w:pStyle w:val="ISBulletText"/>
        <w:numPr>
          <w:ilvl w:val="0"/>
          <w:numId w:val="0"/>
        </w:numPr>
      </w:pPr>
      <w:r>
        <w:t>Plānojot un ieviešot publiskās pārvaldes procesu un informācijas sistēmu attīstības projektus</w:t>
      </w:r>
      <w:r w:rsidR="00FB5EB5">
        <w:t>,</w:t>
      </w:r>
      <w:r>
        <w:t xml:space="preserve"> ir jānodrošina kompetentu speciālistu piesaiste gan projekta plānošanas, gan izstrādes un ieviešanas, gan risinājuma uzturēšanas fāzēs. Tas var nebūt iespējams, ja projekta plāni nav saskaņoti ar IKT kompetenču </w:t>
      </w:r>
      <w:r w:rsidR="000941B1">
        <w:t xml:space="preserve">un to centru </w:t>
      </w:r>
      <w:r>
        <w:t xml:space="preserve">attīstības </w:t>
      </w:r>
      <w:r w:rsidR="000941B1">
        <w:t xml:space="preserve">plāniem vai pat ir pretrunā ar tiem. Latvijas ierobežoto resursu apstākļos kategoriski nav pieļaujama esošu kompetenču centru specializācijas projektu realizācija ārpus esoša kompetences centra vai vismaz cieši neiesaistot esošā kompetences centra speciālistus. Turpretī, kompetenču centru attīstība vai nostiprināšanās attīstības projektu plānošanas un ieviešanas gaitā ir uzskatāma par projekta pozitīvu ieguldījumu publiskās pārvaldes IKT atbalsta organizācijas attīstībā. </w:t>
      </w:r>
    </w:p>
    <w:p w:rsidR="00002703" w:rsidRPr="00DE0479" w:rsidRDefault="00EE11BE" w:rsidP="009A7C5C">
      <w:pPr>
        <w:pStyle w:val="Princips"/>
      </w:pPr>
      <w:bookmarkStart w:id="43" w:name="_Ref392497309"/>
      <w:bookmarkStart w:id="44" w:name="_Toc410146993"/>
      <w:bookmarkEnd w:id="28"/>
      <w:r>
        <w:lastRenderedPageBreak/>
        <w:t>S</w:t>
      </w:r>
      <w:r w:rsidR="00002703">
        <w:t xml:space="preserve">tandarta </w:t>
      </w:r>
      <w:r w:rsidR="00002703" w:rsidRPr="00DE0479">
        <w:t xml:space="preserve">IKT </w:t>
      </w:r>
      <w:r w:rsidR="00002703">
        <w:t>risinājumu un pakalpojumu konsolidācija</w:t>
      </w:r>
      <w:bookmarkEnd w:id="43"/>
      <w:bookmarkEnd w:id="44"/>
    </w:p>
    <w:p w:rsidR="0059547B" w:rsidRDefault="00EC0745" w:rsidP="00002703">
      <w:pPr>
        <w:spacing w:before="120" w:after="120"/>
        <w:jc w:val="both"/>
        <w:rPr>
          <w:rFonts w:eastAsia="MS Mincho" w:cs="Segoe UI"/>
          <w:bCs/>
          <w:szCs w:val="22"/>
        </w:rPr>
      </w:pPr>
      <w:r>
        <w:rPr>
          <w:rFonts w:eastAsia="MS Mincho" w:cs="Segoe UI"/>
          <w:bCs/>
          <w:szCs w:val="22"/>
        </w:rPr>
        <w:t>Latvijas publiskās pārvaldes organizācijas mērogos standarta IKT risinājumu un atbalsta pakalpojumu fragmentācija nav pamatota</w:t>
      </w:r>
      <w:r w:rsidR="00332211">
        <w:rPr>
          <w:rFonts w:eastAsia="MS Mincho" w:cs="Segoe UI"/>
          <w:bCs/>
          <w:szCs w:val="22"/>
        </w:rPr>
        <w:t>,</w:t>
      </w:r>
      <w:r>
        <w:rPr>
          <w:rFonts w:eastAsia="MS Mincho" w:cs="Segoe UI"/>
          <w:bCs/>
          <w:szCs w:val="22"/>
        </w:rPr>
        <w:t xml:space="preserve"> un no efektivitātes viedokļa optimāls ir vienotas (centralizētas) pakalpojumu sagādes un pārvaldības modelis. Ideja par vienotu elektronisko sakaru pakalpojumu centru (VESPC) ir formulēta jau Elektronisko sakaru likumā, precīzi neiezīmējot elektronisko sakaru pakalpojumu sfēras robežu. Vienota pakalpojumu centra pieeja ir paplašināma, to piemērojot visiem no nozarēm neatkarīgiem jeb standarta IKT atbalsta pak</w:t>
      </w:r>
      <w:r w:rsidR="00604629">
        <w:rPr>
          <w:rFonts w:eastAsia="MS Mincho" w:cs="Segoe UI"/>
          <w:bCs/>
          <w:szCs w:val="22"/>
        </w:rPr>
        <w:t xml:space="preserve">alpojumiem. Pieejas </w:t>
      </w:r>
      <w:r>
        <w:rPr>
          <w:rFonts w:eastAsia="MS Mincho" w:cs="Segoe UI"/>
          <w:bCs/>
          <w:szCs w:val="22"/>
        </w:rPr>
        <w:t>ieviešan</w:t>
      </w:r>
      <w:r w:rsidR="00230CE8">
        <w:rPr>
          <w:rFonts w:eastAsia="MS Mincho" w:cs="Segoe UI"/>
          <w:bCs/>
          <w:szCs w:val="22"/>
        </w:rPr>
        <w:t xml:space="preserve">u ir paredzēts </w:t>
      </w:r>
      <w:r>
        <w:rPr>
          <w:rFonts w:eastAsia="MS Mincho" w:cs="Segoe UI"/>
          <w:bCs/>
          <w:szCs w:val="22"/>
        </w:rPr>
        <w:t xml:space="preserve">uzsākt ar </w:t>
      </w:r>
      <w:r w:rsidR="00604629">
        <w:rPr>
          <w:rFonts w:eastAsia="MS Mincho" w:cs="Segoe UI"/>
          <w:bCs/>
          <w:szCs w:val="22"/>
        </w:rPr>
        <w:t xml:space="preserve">centralizētās datu apstrādes zemākā līmeņa pakalpojumiem, </w:t>
      </w:r>
      <w:r w:rsidR="00230CE8">
        <w:rPr>
          <w:rFonts w:eastAsia="MS Mincho" w:cs="Segoe UI"/>
          <w:bCs/>
          <w:szCs w:val="22"/>
        </w:rPr>
        <w:t xml:space="preserve">VESPC nodrošinot iespēju </w:t>
      </w:r>
      <w:r w:rsidR="0059547B">
        <w:rPr>
          <w:rFonts w:eastAsia="MS Mincho" w:cs="Segoe UI"/>
          <w:bCs/>
          <w:szCs w:val="22"/>
        </w:rPr>
        <w:t xml:space="preserve">publiskās pārvaldes institūcijām (ieskaitot pašvaldības un citas publisko pakalpojumu sniegšanā iesaistītas organizācijas) </w:t>
      </w:r>
      <w:r w:rsidR="00230CE8">
        <w:rPr>
          <w:rFonts w:eastAsia="MS Mincho" w:cs="Segoe UI"/>
          <w:bCs/>
          <w:szCs w:val="22"/>
        </w:rPr>
        <w:t xml:space="preserve">vienotā – standartizētā veidā </w:t>
      </w:r>
      <w:r w:rsidR="0059547B">
        <w:rPr>
          <w:rFonts w:eastAsia="MS Mincho" w:cs="Segoe UI"/>
          <w:bCs/>
          <w:szCs w:val="22"/>
        </w:rPr>
        <w:t xml:space="preserve">saņemt dažādu līmeņu datu centru pakalpojumus. </w:t>
      </w:r>
      <w:r w:rsidR="00E64775">
        <w:rPr>
          <w:rFonts w:eastAsia="MS Mincho" w:cs="Segoe UI"/>
          <w:bCs/>
          <w:szCs w:val="22"/>
        </w:rPr>
        <w:t xml:space="preserve">Īpaši nozīmīgs aspekts standartizēto pakalpojumu jomā ir pakalpojumu kvalitātes līmeņa nodrošinājuma (SLA izpildes) garantijas. </w:t>
      </w:r>
    </w:p>
    <w:p w:rsidR="0059547B" w:rsidRDefault="0059547B" w:rsidP="00002703">
      <w:pPr>
        <w:spacing w:before="120" w:after="120"/>
        <w:jc w:val="both"/>
        <w:rPr>
          <w:rFonts w:eastAsia="MS Mincho" w:cs="Segoe UI"/>
          <w:bCs/>
          <w:noProof/>
          <w:szCs w:val="22"/>
          <w:lang w:eastAsia="lv-LV"/>
        </w:rPr>
      </w:pPr>
      <w:r>
        <w:rPr>
          <w:rFonts w:eastAsia="MS Mincho" w:cs="Segoe UI"/>
          <w:bCs/>
          <w:szCs w:val="22"/>
        </w:rPr>
        <w:t xml:space="preserve">Nākotnē, attīstot </w:t>
      </w:r>
      <w:r w:rsidR="00C209D6">
        <w:rPr>
          <w:rFonts w:eastAsia="MS Mincho" w:cs="Segoe UI"/>
          <w:bCs/>
          <w:szCs w:val="22"/>
        </w:rPr>
        <w:t xml:space="preserve">VESPC </w:t>
      </w:r>
      <w:r>
        <w:rPr>
          <w:rFonts w:eastAsia="MS Mincho" w:cs="Segoe UI"/>
          <w:bCs/>
          <w:szCs w:val="22"/>
        </w:rPr>
        <w:t xml:space="preserve">kā kompetentu standarta </w:t>
      </w:r>
      <w:r w:rsidR="00C209D6">
        <w:rPr>
          <w:rFonts w:eastAsia="MS Mincho" w:cs="Segoe UI"/>
          <w:bCs/>
          <w:szCs w:val="22"/>
        </w:rPr>
        <w:t xml:space="preserve">IKT atbalsta pakalpojumu </w:t>
      </w:r>
      <w:r>
        <w:rPr>
          <w:rFonts w:eastAsia="MS Mincho" w:cs="Segoe UI"/>
          <w:bCs/>
          <w:szCs w:val="22"/>
        </w:rPr>
        <w:t xml:space="preserve">pārvaldnieku, tas </w:t>
      </w:r>
      <w:r w:rsidR="00C209D6">
        <w:rPr>
          <w:rFonts w:eastAsia="MS Mincho" w:cs="Segoe UI"/>
          <w:bCs/>
          <w:szCs w:val="22"/>
        </w:rPr>
        <w:t>sagād</w:t>
      </w:r>
      <w:r>
        <w:rPr>
          <w:rFonts w:eastAsia="MS Mincho" w:cs="Segoe UI"/>
          <w:bCs/>
          <w:szCs w:val="22"/>
        </w:rPr>
        <w:t>ās (iepirks)</w:t>
      </w:r>
      <w:r w:rsidR="00C209D6">
        <w:rPr>
          <w:rFonts w:eastAsia="MS Mincho" w:cs="Segoe UI"/>
          <w:bCs/>
          <w:szCs w:val="22"/>
        </w:rPr>
        <w:t>, piegād</w:t>
      </w:r>
      <w:r>
        <w:rPr>
          <w:rFonts w:eastAsia="MS Mincho" w:cs="Segoe UI"/>
          <w:bCs/>
          <w:szCs w:val="22"/>
        </w:rPr>
        <w:t>ās</w:t>
      </w:r>
      <w:r w:rsidR="00C209D6">
        <w:rPr>
          <w:rFonts w:eastAsia="MS Mincho" w:cs="Segoe UI"/>
          <w:bCs/>
          <w:szCs w:val="22"/>
        </w:rPr>
        <w:t xml:space="preserve"> un pārvaldī</w:t>
      </w:r>
      <w:r>
        <w:rPr>
          <w:rFonts w:eastAsia="MS Mincho" w:cs="Segoe UI"/>
          <w:bCs/>
          <w:szCs w:val="22"/>
        </w:rPr>
        <w:t>s standarta IKT pakalpojumus</w:t>
      </w:r>
      <w:r w:rsidR="00C209D6">
        <w:rPr>
          <w:rFonts w:eastAsia="MS Mincho" w:cs="Segoe UI"/>
          <w:bCs/>
          <w:szCs w:val="22"/>
        </w:rPr>
        <w:t>, izmantojot ga</w:t>
      </w:r>
      <w:r w:rsidR="00E5541E">
        <w:rPr>
          <w:rFonts w:eastAsia="MS Mincho" w:cs="Segoe UI"/>
          <w:bCs/>
          <w:szCs w:val="22"/>
        </w:rPr>
        <w:t>n</w:t>
      </w:r>
      <w:r w:rsidR="00C209D6">
        <w:rPr>
          <w:rFonts w:eastAsia="MS Mincho" w:cs="Segoe UI"/>
          <w:bCs/>
          <w:szCs w:val="22"/>
        </w:rPr>
        <w:t xml:space="preserve"> valsts īpašumā esošos tehniskos resursus, gan piesaistot </w:t>
      </w:r>
      <w:r w:rsidR="0029086E">
        <w:rPr>
          <w:rFonts w:eastAsia="MS Mincho" w:cs="Segoe UI"/>
          <w:bCs/>
          <w:szCs w:val="22"/>
        </w:rPr>
        <w:t xml:space="preserve">publiskās pārvaldes koplietošanas kompetenču un pakalpojumu centru (piemēram, pašvaldību kompetenču centru), gan arī </w:t>
      </w:r>
      <w:r w:rsidR="00C209D6">
        <w:rPr>
          <w:rFonts w:eastAsia="MS Mincho" w:cs="Segoe UI"/>
          <w:bCs/>
          <w:szCs w:val="22"/>
        </w:rPr>
        <w:t xml:space="preserve">komerciālu pakalpojumu </w:t>
      </w:r>
      <w:r>
        <w:rPr>
          <w:rFonts w:eastAsia="MS Mincho" w:cs="Segoe UI"/>
          <w:bCs/>
          <w:szCs w:val="22"/>
        </w:rPr>
        <w:t xml:space="preserve">sniedzēju </w:t>
      </w:r>
      <w:r w:rsidR="00C209D6">
        <w:rPr>
          <w:rFonts w:eastAsia="MS Mincho" w:cs="Segoe UI"/>
          <w:bCs/>
          <w:szCs w:val="22"/>
        </w:rPr>
        <w:t>pakalpojumus jomās, kur tas ir lietderīgi un pieļaujami no drošības un pakalpojumu nepārtrauktības viedokļa.</w:t>
      </w:r>
      <w:r w:rsidR="00E5541E">
        <w:rPr>
          <w:rFonts w:eastAsia="MS Mincho" w:cs="Segoe UI"/>
          <w:bCs/>
          <w:szCs w:val="22"/>
        </w:rPr>
        <w:t xml:space="preserve"> VESPC darbības pieeja ir shematiski attēlota 4. attēlā.</w:t>
      </w:r>
      <w:r w:rsidR="00E64775">
        <w:rPr>
          <w:rFonts w:eastAsia="MS Mincho" w:cs="Segoe UI"/>
          <w:bCs/>
          <w:szCs w:val="22"/>
        </w:rPr>
        <w:t xml:space="preserve"> </w:t>
      </w:r>
    </w:p>
    <w:p w:rsidR="0059547B" w:rsidRDefault="0059547B" w:rsidP="00002703">
      <w:pPr>
        <w:spacing w:before="120" w:after="120"/>
        <w:jc w:val="both"/>
        <w:rPr>
          <w:rFonts w:eastAsia="MS Mincho" w:cs="Segoe UI"/>
          <w:bCs/>
          <w:szCs w:val="22"/>
        </w:rPr>
      </w:pPr>
      <w:r>
        <w:rPr>
          <w:rFonts w:eastAsia="MS Mincho" w:cs="Segoe UI"/>
          <w:bCs/>
          <w:noProof/>
          <w:szCs w:val="22"/>
          <w:lang w:eastAsia="lv-LV"/>
        </w:rPr>
        <w:drawing>
          <wp:inline distT="0" distB="0" distL="0" distR="0">
            <wp:extent cx="5575957" cy="3076575"/>
            <wp:effectExtent l="0" t="0" r="571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7177" cy="3132424"/>
                    </a:xfrm>
                    <a:prstGeom prst="rect">
                      <a:avLst/>
                    </a:prstGeom>
                    <a:noFill/>
                  </pic:spPr>
                </pic:pic>
              </a:graphicData>
            </a:graphic>
          </wp:inline>
        </w:drawing>
      </w:r>
    </w:p>
    <w:p w:rsidR="0059547B" w:rsidRPr="00C209D6" w:rsidRDefault="009A77EC" w:rsidP="0059547B">
      <w:pPr>
        <w:spacing w:before="60" w:after="60"/>
        <w:rPr>
          <w:b/>
          <w:bCs/>
          <w:sz w:val="20"/>
        </w:rPr>
      </w:pPr>
      <w:r w:rsidRPr="00C209D6">
        <w:rPr>
          <w:b/>
          <w:bCs/>
          <w:sz w:val="20"/>
        </w:rPr>
        <w:fldChar w:fldCharType="begin"/>
      </w:r>
      <w:r w:rsidR="0059547B" w:rsidRPr="00C209D6">
        <w:rPr>
          <w:b/>
          <w:bCs/>
          <w:sz w:val="20"/>
        </w:rPr>
        <w:instrText xml:space="preserve"> SEQ Attēls \* ARABIC </w:instrText>
      </w:r>
      <w:r w:rsidRPr="00C209D6">
        <w:rPr>
          <w:b/>
          <w:bCs/>
          <w:sz w:val="20"/>
        </w:rPr>
        <w:fldChar w:fldCharType="separate"/>
      </w:r>
      <w:r w:rsidR="009E6559">
        <w:rPr>
          <w:b/>
          <w:bCs/>
          <w:noProof/>
          <w:sz w:val="20"/>
        </w:rPr>
        <w:t>2</w:t>
      </w:r>
      <w:r w:rsidRPr="00C209D6">
        <w:rPr>
          <w:b/>
          <w:bCs/>
          <w:noProof/>
          <w:sz w:val="20"/>
        </w:rPr>
        <w:fldChar w:fldCharType="end"/>
      </w:r>
      <w:r w:rsidR="0059547B" w:rsidRPr="00C209D6">
        <w:rPr>
          <w:b/>
          <w:bCs/>
          <w:sz w:val="20"/>
        </w:rPr>
        <w:t xml:space="preserve">.attēls. Vienots elektronisko </w:t>
      </w:r>
      <w:r w:rsidR="00012017">
        <w:rPr>
          <w:b/>
          <w:bCs/>
          <w:sz w:val="20"/>
        </w:rPr>
        <w:t xml:space="preserve">sakaru </w:t>
      </w:r>
      <w:r w:rsidR="0059547B" w:rsidRPr="00C209D6">
        <w:rPr>
          <w:b/>
          <w:bCs/>
          <w:sz w:val="20"/>
        </w:rPr>
        <w:t>(</w:t>
      </w:r>
      <w:r w:rsidR="00012017">
        <w:rPr>
          <w:b/>
          <w:bCs/>
          <w:sz w:val="20"/>
        </w:rPr>
        <w:t xml:space="preserve">un </w:t>
      </w:r>
      <w:r w:rsidR="0059547B" w:rsidRPr="00C209D6">
        <w:rPr>
          <w:b/>
          <w:bCs/>
          <w:sz w:val="20"/>
        </w:rPr>
        <w:t>IKT atbalsta) pakalpojumu centrs</w:t>
      </w:r>
    </w:p>
    <w:p w:rsidR="00FD6640" w:rsidRPr="00FD6AA8" w:rsidRDefault="0059547B" w:rsidP="00E5541E">
      <w:pPr>
        <w:spacing w:before="120" w:after="120"/>
        <w:jc w:val="both"/>
        <w:rPr>
          <w:rFonts w:eastAsia="MS Mincho" w:cs="Segoe UI"/>
          <w:bCs/>
          <w:szCs w:val="22"/>
        </w:rPr>
      </w:pPr>
      <w:r>
        <w:rPr>
          <w:rFonts w:eastAsia="MS Mincho" w:cs="Segoe UI"/>
          <w:bCs/>
          <w:szCs w:val="22"/>
        </w:rPr>
        <w:t xml:space="preserve">Attēlotos konkrētos pakalpojumu veidus ir jāuzskata tikai par piemēriem. VESPC pieeju var attiecināt arī citiem standarta IKT atbalsta pakalpojumiem. </w:t>
      </w:r>
      <w:r w:rsidR="00E5541E" w:rsidRPr="00FE68B6">
        <w:rPr>
          <w:rFonts w:eastAsia="MS Mincho" w:cs="Segoe UI"/>
          <w:bCs/>
          <w:szCs w:val="22"/>
        </w:rPr>
        <w:t xml:space="preserve">VESPC izveides uzdevums kā Satiksmes un VARAM ministrijām kopīgi realizējams 2015. gadā ir formulēts arī valsts kiberdrošības stratēģijas </w:t>
      </w:r>
      <w:r w:rsidR="00E5541E" w:rsidRPr="00FD6AA8">
        <w:rPr>
          <w:rFonts w:eastAsia="MS Mincho" w:cs="Segoe UI"/>
          <w:bCs/>
          <w:szCs w:val="22"/>
        </w:rPr>
        <w:t>ieviešanas plānā.</w:t>
      </w:r>
    </w:p>
    <w:p w:rsidR="008A282D" w:rsidRPr="006A206C" w:rsidRDefault="008A282D" w:rsidP="009A7C5C">
      <w:pPr>
        <w:pStyle w:val="Princips"/>
      </w:pPr>
      <w:bookmarkStart w:id="45" w:name="_Toc410146994"/>
      <w:r w:rsidRPr="006A206C">
        <w:t xml:space="preserve">Virzība uz augstākas pievienotās vērtības </w:t>
      </w:r>
      <w:r w:rsidR="00506603">
        <w:t xml:space="preserve">atbalsta </w:t>
      </w:r>
      <w:r w:rsidRPr="006A206C">
        <w:t>pakalpojumiem</w:t>
      </w:r>
      <w:bookmarkEnd w:id="45"/>
    </w:p>
    <w:p w:rsidR="008C003A" w:rsidRPr="006A206C" w:rsidRDefault="00DD3512" w:rsidP="004903AE">
      <w:pPr>
        <w:pStyle w:val="ISBodyText"/>
      </w:pPr>
      <w:r w:rsidRPr="006A206C">
        <w:t xml:space="preserve">IKT atbalsta un pārvaldības resursus var optimizēt pārejot uz pēc iespējas augstākas pievienotās vērtības atbalsta pakalpojumu izmantošanu. Tas pilnā mērā atbilst arī pasaules tendencēm IKT </w:t>
      </w:r>
      <w:r w:rsidRPr="006A206C">
        <w:lastRenderedPageBreak/>
        <w:t xml:space="preserve">atbalsta organizācijas jomā, pārejot uz augstākas pievienotas vērtības pakalpojumiem ne tikai standarta, bet arī specializētu IKT risinājumu jomās. Ne vienīgais iespējamais, bet biežāk izmantotais piemērs attiecas uz datu apstrādes jaudu izvietošanas, jaudas kā pakalpojuma iegādes un vēl augstākas pievienotās vērtības </w:t>
      </w:r>
      <w:r w:rsidR="008C003A" w:rsidRPr="006A206C">
        <w:t>pakalpojumiem, grupējot tos četros līmeņos.</w:t>
      </w:r>
    </w:p>
    <w:p w:rsidR="008C003A" w:rsidRPr="006A206C" w:rsidRDefault="008C003A" w:rsidP="008C003A">
      <w:pPr>
        <w:pStyle w:val="ISBodyText"/>
      </w:pPr>
      <w:r w:rsidRPr="006A206C">
        <w:t>Saskaņā ar iepriekš definēto principu, konceptuālā rekomendācija ir izmantot pēc iespējas augstāka līmeņa pakalpojumus, ja vien tādi ir pieejami (atbilstoši funkcionālajām, drošības un pieejamības prasībām) un to izmantošana ir ekonomiski pamatota. Virzība uz pēc iespējas augstāka līmeņa pakalpojumu izmantošan</w:t>
      </w:r>
      <w:r w:rsidR="00332211">
        <w:t>u</w:t>
      </w:r>
      <w:r w:rsidRPr="006A206C">
        <w:t xml:space="preserve"> nenozīmē, ka vienlaicīgi ar tiem netiks izmantoti arī zemāku līmeņu pakalpojumi. Tāpēc publiskās pārvaldes standarta IKT pakalpojumu piegādātājam VESPC (skat. P12) arī perspektīvā būs jānodrošina visu četru </w:t>
      </w:r>
      <w:r w:rsidR="006B79B2" w:rsidRPr="006A206C">
        <w:t>līmeņu</w:t>
      </w:r>
      <w:r w:rsidRPr="006A206C">
        <w:t xml:space="preserve"> pakalpojumu</w:t>
      </w:r>
      <w:r w:rsidR="006B79B2" w:rsidRPr="006A206C">
        <w:t xml:space="preserve"> grupas, ko dažkārt sauc arī par mākoņdatošanas pakalpojumu modeļiem</w:t>
      </w:r>
      <w:r w:rsidRPr="006A206C">
        <w:t xml:space="preserve">: </w:t>
      </w:r>
    </w:p>
    <w:p w:rsidR="004903AE" w:rsidRPr="006A206C" w:rsidRDefault="004903AE" w:rsidP="008C003A">
      <w:pPr>
        <w:pStyle w:val="ISBulletText"/>
      </w:pPr>
      <w:r w:rsidRPr="006A206C">
        <w:t>Tradicionālā izvietošana – fiziski serveri vai serveri ar virtualizāciju specifiskam risinājumam – izmantota tad, ja risinājums neļauj to efektīvi pārvietot uz koplietošanas vidi tehnoloģisku vai juridisku iemeslu dēļ;</w:t>
      </w:r>
    </w:p>
    <w:p w:rsidR="00413C8D" w:rsidRDefault="004903AE" w:rsidP="008E1E68">
      <w:pPr>
        <w:pStyle w:val="ISBulletText"/>
      </w:pPr>
      <w:r w:rsidRPr="006A206C">
        <w:t xml:space="preserve">Infrastruktūra kā serviss – virtuālo mašīnu darbināšanai – </w:t>
      </w:r>
      <w:r w:rsidR="00B64004" w:rsidRPr="006A206C">
        <w:t xml:space="preserve">tiek </w:t>
      </w:r>
      <w:r w:rsidRPr="006A206C">
        <w:t>izmantot</w:t>
      </w:r>
      <w:r w:rsidR="00B64004" w:rsidRPr="006A206C">
        <w:t>a</w:t>
      </w:r>
      <w:r w:rsidRPr="006A206C">
        <w:t xml:space="preserve"> gadījumos, kad esošie pakalpojumi, kas veidoti un darbojas fiziskā vidē vai iestādes datu centrā ir jākonsolidē, nemainot paša pakalpojumu uzbūvi;</w:t>
      </w:r>
    </w:p>
    <w:p w:rsidR="004903AE" w:rsidRPr="006A206C" w:rsidRDefault="00413C8D" w:rsidP="00413C8D">
      <w:pPr>
        <w:pStyle w:val="ISBulletText"/>
        <w:numPr>
          <w:ilvl w:val="0"/>
          <w:numId w:val="0"/>
        </w:numPr>
        <w:ind w:left="1080"/>
      </w:pPr>
      <w:r w:rsidRPr="00413C8D">
        <w:rPr>
          <w:noProof/>
        </w:rPr>
        <w:t xml:space="preserve"> </w:t>
      </w:r>
      <w:r w:rsidRPr="006A206C">
        <w:rPr>
          <w:noProof/>
        </w:rPr>
        <w:drawing>
          <wp:inline distT="0" distB="0" distL="0" distR="0">
            <wp:extent cx="5091242" cy="3074276"/>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28547" cy="3096802"/>
                    </a:xfrm>
                    <a:prstGeom prst="rect">
                      <a:avLst/>
                    </a:prstGeom>
                  </pic:spPr>
                </pic:pic>
              </a:graphicData>
            </a:graphic>
          </wp:inline>
        </w:drawing>
      </w:r>
    </w:p>
    <w:p w:rsidR="00413C8D" w:rsidRPr="00413C8D" w:rsidRDefault="00413C8D" w:rsidP="00413C8D">
      <w:pPr>
        <w:pStyle w:val="ISBulletText"/>
        <w:numPr>
          <w:ilvl w:val="0"/>
          <w:numId w:val="0"/>
        </w:numPr>
        <w:ind w:left="1080"/>
        <w:rPr>
          <w:b/>
        </w:rPr>
      </w:pPr>
      <w:r w:rsidRPr="00413C8D">
        <w:rPr>
          <w:b/>
        </w:rPr>
        <w:t>5.attēls. Mākoņdatošanas pakalpojumu modeļi</w:t>
      </w:r>
    </w:p>
    <w:p w:rsidR="004903AE" w:rsidRPr="006A206C" w:rsidRDefault="004903AE" w:rsidP="008E1E68">
      <w:pPr>
        <w:pStyle w:val="ISBulletText"/>
      </w:pPr>
      <w:r w:rsidRPr="006A206C">
        <w:t>Platforma kā serviss – programmu un datu bāžu darbināšanai – izmantota gadījumos, kad ir jāveido jauni pakalpojumi, kuri nav pieejami kā gatavi pakalpojumi, bet ir nepieciešamība izmantot pēc iespējas daudzas iestrādes; šāda vide var nodrošināt automātisku valsts iestāžu darbinieku, var nodrošināt ārējo lietotāju autentifikāciju un citus standarta komponentus, la</w:t>
      </w:r>
      <w:r w:rsidR="00B64004" w:rsidRPr="006A206C">
        <w:t xml:space="preserve">i paātrinātu izstrādi; </w:t>
      </w:r>
      <w:r w:rsidRPr="006A206C">
        <w:t>platform</w:t>
      </w:r>
      <w:r w:rsidR="00B64004" w:rsidRPr="006A206C">
        <w:t>u</w:t>
      </w:r>
      <w:r w:rsidRPr="006A206C">
        <w:t xml:space="preserve"> piemēri</w:t>
      </w:r>
      <w:r w:rsidR="00B64004" w:rsidRPr="006A206C">
        <w:t xml:space="preserve"> ir arī sadaļā “lietojumprogrammatūras arhitektūra” apskatītās publiskās pārvaldes centralizētās platformas, kas pieļauj specifiskus pielāgojumus un risinājumu attīstību uz to bāzes; </w:t>
      </w:r>
    </w:p>
    <w:p w:rsidR="004903AE" w:rsidRPr="006A206C" w:rsidRDefault="004903AE" w:rsidP="006A206C">
      <w:pPr>
        <w:pStyle w:val="ISBulletText"/>
      </w:pPr>
      <w:r w:rsidRPr="006A206C">
        <w:t>Programmatūra kā serviss – gatavu pakalpojumu izmantošana, kurus pats gala lietotājs pieprasa un darbina bez papildu administr</w:t>
      </w:r>
      <w:r w:rsidR="00B64004" w:rsidRPr="006A206C">
        <w:t xml:space="preserve">atoru un izstrādātāju iesaistes. </w:t>
      </w:r>
    </w:p>
    <w:p w:rsidR="00413C8D" w:rsidRDefault="006B79B2" w:rsidP="00BC11C8">
      <w:pPr>
        <w:pStyle w:val="ISBodyText"/>
      </w:pPr>
      <w:r w:rsidRPr="00BC11C8">
        <w:lastRenderedPageBreak/>
        <w:t>No izveidošanas brīža VESPC nodrošinās pirmo divu (zemāko) līmeņu pakalpojumus, pakāpeniski, atbilstoši pieprasījumam un iespējām attīstot arī augstāko līmeņu pakalpojumus</w:t>
      </w:r>
      <w:r w:rsidR="006A206C" w:rsidRPr="00BC11C8">
        <w:t xml:space="preserve">, tādējādi attīstot “publiskās pārvaldes privātā mākoņa” pakalpojumu piedāvājumu. </w:t>
      </w:r>
      <w:r w:rsidR="00413C8D">
        <w:t>Reizē ar zemākā līmeņa pakalpojumiem ir plānots ieviest arī datu rezerves kopēšanas un darbības nepārtrauktības plānošanas un tehniskā atbalsta pakalpojumus, kā arī IKT drošības pakalpojumu tehniskās aizsardzības līmenī.</w:t>
      </w:r>
    </w:p>
    <w:p w:rsidR="00002703" w:rsidRPr="00BC11C8" w:rsidRDefault="00413C8D" w:rsidP="00BC11C8">
      <w:pPr>
        <w:pStyle w:val="ISBodyText"/>
        <w:rPr>
          <w:bCs w:val="0"/>
        </w:rPr>
      </w:pPr>
      <w:r>
        <w:t xml:space="preserve">Atkarībā no sniegtā pakalpojuma satura, pakalpojuma sniedzējs var pilnā mērā vai daļēji (dalot atbildību ar pasūtītāju) uzņemties atbildību par datu rezerves kopēšanu un darbības nepārtrauktības tehnisko nodrošinājumu.  </w:t>
      </w:r>
      <w:r w:rsidR="00B64004" w:rsidRPr="00BC11C8">
        <w:rPr>
          <w:bCs w:val="0"/>
        </w:rPr>
        <w:t xml:space="preserve">  </w:t>
      </w:r>
    </w:p>
    <w:p w:rsidR="00A44418" w:rsidRDefault="006A206C" w:rsidP="00760C10">
      <w:pPr>
        <w:pStyle w:val="ISBodyText"/>
      </w:pPr>
      <w:r>
        <w:t>Lielāku</w:t>
      </w:r>
      <w:r w:rsidR="00332211">
        <w:t>s</w:t>
      </w:r>
      <w:r>
        <w:t xml:space="preserve"> mēroga efektivitātes ieguvumus var iegūt, izmantojot pēc iespējas augstākas pievienotās vērtības pakalpojumus. </w:t>
      </w:r>
      <w:r w:rsidR="005A6A7B">
        <w:t xml:space="preserve">Efektivitātes ieguvumi tiek iegūti gan izpildot pakalpojuma sniedzēja funkciju (kas “publiskās pārvaldes privātā mākoņa” gadījumā arī ir publiskās pārvaldes funkcija), gan pakalpojumu izmantotāju pusē. </w:t>
      </w:r>
    </w:p>
    <w:p w:rsidR="00FD6AA8" w:rsidRPr="006A206C" w:rsidRDefault="00FD6AA8" w:rsidP="00760C10">
      <w:pPr>
        <w:pStyle w:val="ISBodyText"/>
      </w:pPr>
      <w:r>
        <w:t xml:space="preserve">Prasībām atbilstošu augstāka līmeņa pakalpojumu pieejamības gadījumā zemāka līmeņa pakalpojumu izmantošana ir pieļaujama tikai situācijās, ja pasūtītāja rīcībā ir ilgtspējīgi kompetenču resursi, kas nodrošina iespēju efektīvi pārvaldīt zemāka līmeņa pakalpojumus, patstāvīgi integrējot </w:t>
      </w:r>
      <w:r w:rsidR="005A463A">
        <w:t xml:space="preserve">to augstāka līmeņa pakalpojumos. </w:t>
      </w:r>
      <w:r>
        <w:t xml:space="preserve">  </w:t>
      </w:r>
    </w:p>
    <w:p w:rsidR="007B14F9" w:rsidRDefault="007B14F9" w:rsidP="007B14F9">
      <w:pPr>
        <w:pStyle w:val="ISHeading1"/>
      </w:pPr>
      <w:bookmarkStart w:id="46" w:name="_Toc384377512"/>
      <w:bookmarkStart w:id="47" w:name="_Toc392680532"/>
      <w:bookmarkStart w:id="48" w:name="_Toc402361783"/>
      <w:bookmarkStart w:id="49" w:name="_Toc410146995"/>
      <w:bookmarkStart w:id="50" w:name="_Toc384377513"/>
      <w:bookmarkStart w:id="51" w:name="_Toc392680535"/>
      <w:r w:rsidRPr="00E9397E">
        <w:lastRenderedPageBreak/>
        <w:t>Informācijas arhitektūra</w:t>
      </w:r>
      <w:bookmarkEnd w:id="46"/>
      <w:bookmarkEnd w:id="47"/>
      <w:bookmarkEnd w:id="48"/>
      <w:bookmarkEnd w:id="49"/>
    </w:p>
    <w:p w:rsidR="00231DDA" w:rsidRDefault="00231DDA" w:rsidP="00231DDA">
      <w:pPr>
        <w:pStyle w:val="isbodytext0"/>
      </w:pPr>
      <w:r>
        <w:t xml:space="preserve">Publiskās pārvaldes rīcībā esošā informācija veido </w:t>
      </w:r>
      <w:r>
        <w:rPr>
          <w:b/>
          <w:bCs/>
        </w:rPr>
        <w:t>vienotu datu telpu.</w:t>
      </w:r>
      <w:r>
        <w:t xml:space="preserve"> Vienotā datu telpa nepieciešama, lai nodrošinātu efektīvu informācijas apmaiņu starp iestādēm, informācijas resursu savietojamību un informācijas s</w:t>
      </w:r>
      <w:r w:rsidRPr="00231DDA">
        <w:rPr>
          <w:rFonts w:eastAsia="MS Mincho"/>
          <w:bCs/>
          <w:lang w:eastAsia="en-US"/>
        </w:rPr>
        <w:t>istēmu sadarbspēju, kā arī informācijas pieejamību sabiedrībai. Īpaši augstas prioritātes uzdevums ir efektīvas informācijas apmaiņas nodrošināšana starp valsts pārvaldes iestādēm un pašvaldībām, nodrošinot ilgtspējīgus risinājumus pašvaldību informācijas sistēmu efektīvai un funkcionāli pilnvērtīgai piekļuvei publiskās pārvaldes vienotajai datu telpai.</w:t>
      </w:r>
    </w:p>
    <w:p w:rsidR="007B14F9" w:rsidRDefault="00BA5A07" w:rsidP="007B14F9">
      <w:pPr>
        <w:pStyle w:val="ISBodyText"/>
      </w:pPr>
      <w:r>
        <w:t xml:space="preserve"> </w:t>
      </w:r>
      <w:r w:rsidR="007B14F9">
        <w:t xml:space="preserve">Galvenie informācijas resursu priekšnosacījumi vienotas datu telpas izveidei: </w:t>
      </w:r>
    </w:p>
    <w:p w:rsidR="007B14F9" w:rsidRPr="00880B51" w:rsidRDefault="007B14F9" w:rsidP="007B14F9">
      <w:pPr>
        <w:pStyle w:val="ISBulletText"/>
      </w:pPr>
      <w:r w:rsidRPr="00880B51">
        <w:t>Katram objektam, par kuru valstī tiek vākta informācija, jābūt viennozīmīgi un unikāli identificējamam;</w:t>
      </w:r>
    </w:p>
    <w:p w:rsidR="007B14F9" w:rsidRPr="00880B51" w:rsidRDefault="007B14F9" w:rsidP="007B14F9">
      <w:pPr>
        <w:pStyle w:val="ISBulletText"/>
      </w:pPr>
      <w:r w:rsidRPr="00880B51">
        <w:t>Informācijai jābūt savlaicīgai un aktuālai;</w:t>
      </w:r>
    </w:p>
    <w:p w:rsidR="007B14F9" w:rsidRPr="00880B51" w:rsidRDefault="007B14F9" w:rsidP="007B14F9">
      <w:pPr>
        <w:pStyle w:val="ISBulletText"/>
      </w:pPr>
      <w:r w:rsidRPr="00880B51">
        <w:t>Informācijas resursiem jābūt  semantiski savietojamiem ar citiem informācijas resursiem, kā arī vienu un to pašu reālās pasaules objektu apzīmēšanai jāizmanto vieni un tie paši termini. Informācijas resursu saderība jāplāno katras informācijas sistēmas datu arhitektūrā, pirms tiek uzsākta tās veidošana vai pārstrāde, tajā skaitā apzinot potenciālos informācijas resursu patērētājus publiskajā un privātajā sektorā;</w:t>
      </w:r>
    </w:p>
    <w:p w:rsidR="007B14F9" w:rsidRPr="00880B51" w:rsidRDefault="007B14F9" w:rsidP="007B14F9">
      <w:pPr>
        <w:pStyle w:val="ISBulletText"/>
      </w:pPr>
      <w:r w:rsidRPr="00880B51">
        <w:t>Nepieciešamas vienotas objektu definīcijas, piemēram, XML shēmu veidā, kur izmantojama ES pieredze šādu definīciju veidošanā, piemēram, ISE</w:t>
      </w:r>
      <w:r w:rsidRPr="00676638">
        <w:rPr>
          <w:rStyle w:val="Vresatsauce"/>
          <w:vertAlign w:val="baseline"/>
        </w:rPr>
        <w:footnoteReference w:id="4"/>
      </w:r>
      <w:r w:rsidRPr="00880B51">
        <w:t>, STORK, epSOS;</w:t>
      </w:r>
    </w:p>
    <w:p w:rsidR="007B14F9" w:rsidRPr="00880B51" w:rsidRDefault="007B14F9" w:rsidP="007B14F9">
      <w:pPr>
        <w:pStyle w:val="ISBulletText"/>
      </w:pPr>
      <w:r w:rsidRPr="00880B51">
        <w:t>Informācijas resursu radīšanā jāizmanto vienoti klasifikatori, lai būtu iespējama informācijas analīze.</w:t>
      </w:r>
    </w:p>
    <w:p w:rsidR="007B14F9" w:rsidRDefault="007B14F9" w:rsidP="007B14F9">
      <w:pPr>
        <w:pStyle w:val="ISBodyText"/>
      </w:pPr>
      <w:r>
        <w:t>Vienotas datu telpas izveides mērķi:</w:t>
      </w:r>
    </w:p>
    <w:p w:rsidR="00BA5A07" w:rsidRDefault="007B14F9" w:rsidP="00BA5A07">
      <w:pPr>
        <w:pStyle w:val="ISBulletText"/>
      </w:pPr>
      <w:r>
        <w:t xml:space="preserve">Novērst juridiskos, tehniskos un informācijas savietojamības šķēršļus valsts pārvaldē. Pēc savas būtības vienota datu telpa ir vienas organizācijas principa īstenošana </w:t>
      </w:r>
      <w:r w:rsidR="00282A1A">
        <w:t xml:space="preserve">piekļuvei citu institūciju </w:t>
      </w:r>
      <w:r>
        <w:t>dat</w:t>
      </w:r>
      <w:r w:rsidR="00282A1A">
        <w:t>iem</w:t>
      </w:r>
      <w:r>
        <w:t xml:space="preserve">, panākot, lai </w:t>
      </w:r>
      <w:r w:rsidR="00282A1A">
        <w:t>to praktiski neapgrūtina formālo līgumu slēgšana</w:t>
      </w:r>
      <w:r>
        <w:t>;</w:t>
      </w:r>
    </w:p>
    <w:p w:rsidR="007B14F9" w:rsidRDefault="007B14F9" w:rsidP="00B75B6F">
      <w:pPr>
        <w:pStyle w:val="ISBodyText"/>
        <w:numPr>
          <w:ilvl w:val="0"/>
          <w:numId w:val="39"/>
        </w:numPr>
      </w:pPr>
      <w:r>
        <w:t>Publicēt informāciju par institūcijas pārziņā esošajiem informācijas resursiem (informācijas resursu reģistrs), aprakstot tajā esošos objektus (metadati), datu krāšanas un apstrādes nosacījumus, to pieejamību (licences) lietotājiem, tajā pašā laikā saglabājot IR pārziņa atbildību un pilnu kontroli pār IR pieejamību;</w:t>
      </w:r>
    </w:p>
    <w:p w:rsidR="007B14F9" w:rsidRDefault="007B14F9" w:rsidP="00B75B6F">
      <w:pPr>
        <w:pStyle w:val="ISBodyText"/>
        <w:numPr>
          <w:ilvl w:val="0"/>
          <w:numId w:val="39"/>
        </w:numPr>
      </w:pPr>
      <w:r>
        <w:t>Nodrošināt centralizētu vietu informācijas resursu uzskaitei - IR katalogu, kas nodrošina iespēju uzzināt un meklēt informāciju par informācijas resursa struktūru, tiesību aktiem, pārzini, publicētajām saskarnēm, datu kopām u.c. informāciju;</w:t>
      </w:r>
    </w:p>
    <w:p w:rsidR="007B14F9" w:rsidRDefault="007B14F9" w:rsidP="00B75B6F">
      <w:pPr>
        <w:pStyle w:val="ISBodyText"/>
        <w:numPr>
          <w:ilvl w:val="0"/>
          <w:numId w:val="39"/>
        </w:numPr>
      </w:pPr>
      <w:r>
        <w:t>Izveidot centralizētu datu izplatīšanas (</w:t>
      </w:r>
      <w:r w:rsidRPr="00AB01DA">
        <w:rPr>
          <w:i/>
        </w:rPr>
        <w:t>kešošanas</w:t>
      </w:r>
      <w:r>
        <w:t>) risinājumu - krātuvi apjomīgu datu pieprasījumu nodrošināšanai;</w:t>
      </w:r>
    </w:p>
    <w:p w:rsidR="007B14F9" w:rsidRDefault="007B14F9" w:rsidP="00B75B6F">
      <w:pPr>
        <w:pStyle w:val="ISBodyText"/>
        <w:numPr>
          <w:ilvl w:val="0"/>
          <w:numId w:val="39"/>
        </w:numPr>
      </w:pPr>
      <w:r>
        <w:t>Nodrošināt IS risinājumu nelieliem informācijas resursiem, kuriem nav pašiem savas informācijas sistēmas.</w:t>
      </w:r>
    </w:p>
    <w:p w:rsidR="007B14F9" w:rsidRPr="00A14309" w:rsidRDefault="007B14F9" w:rsidP="007B14F9">
      <w:pPr>
        <w:pStyle w:val="ISBodyText"/>
      </w:pPr>
      <w:r w:rsidRPr="007B14F9">
        <w:t xml:space="preserve">Šajā sadaļā definētie informācijas arhitektūras principi tiešā veidā piemērojami visām publiskās pārvaldes IKT attīstības programmām un projektiem. Programmas vai projekti var būt tieši principus realizējoši, ja tie attiecīgi ir ar informācijas arhitektūras attīstību saistīti projekti vai arī principiem </w:t>
      </w:r>
      <w:r w:rsidRPr="007B14F9">
        <w:lastRenderedPageBreak/>
        <w:t>atbilstoši, ja projektu ietvaros izstrādājamie risinājumi (informācijas sistēmas) izmantos vai varēs izmantot informācijas arhitektūras koplietošanas komponentus. Par arhitektūras principiem neatbilstošu (izņēmumu gadījumos īpaši pamatojamu) tiks uzskatīta alternatīvu, nesavietojamu vai dublējošu risinājumu izstrāde, kā arī ar informācijas arhitektūras koplietošanas risinājumiem  nesavietojamu informācijas sistēmu izstrāde.</w:t>
      </w:r>
    </w:p>
    <w:p w:rsidR="007B14F9" w:rsidRPr="006A747C" w:rsidRDefault="007B14F9" w:rsidP="007B14F9">
      <w:pPr>
        <w:pStyle w:val="Princips"/>
      </w:pPr>
      <w:bookmarkStart w:id="54" w:name="_Toc392680533"/>
      <w:bookmarkStart w:id="55" w:name="_Toc401768539"/>
      <w:bookmarkStart w:id="56" w:name="_Toc401008575"/>
      <w:bookmarkStart w:id="57" w:name="_Toc402361784"/>
      <w:bookmarkStart w:id="58" w:name="_Toc410146996"/>
      <w:r>
        <w:t>Informācijas resursu pārvaldība</w:t>
      </w:r>
      <w:bookmarkEnd w:id="54"/>
      <w:bookmarkEnd w:id="55"/>
      <w:bookmarkEnd w:id="56"/>
      <w:bookmarkEnd w:id="57"/>
      <w:bookmarkEnd w:id="58"/>
    </w:p>
    <w:p w:rsidR="007B14F9" w:rsidRDefault="007B14F9" w:rsidP="007B14F9">
      <w:pPr>
        <w:pStyle w:val="ISBodyText"/>
      </w:pPr>
      <w:bookmarkStart w:id="59" w:name="_Toc401008576"/>
      <w:bookmarkStart w:id="60" w:name="_Ref392081896"/>
      <w:r>
        <w:t>Informācijas pārvaldība ir būtiska labas pārvaldes sastāvdaļa, kuru nepieciešams veikt, lai efektīvi pildītu valsts pārvaldes funkcijas un uzdevumus, padarītu valsts pārvaldi caurskatāmu, savukārt, informācijas apriti drošu un uzticamu. Informācija organizācijas ietvaros tiek pārvaldīta kā resurss. Informācijas esamībai bez iespējas to elektroniski apstrādāt ir maza pievienotā vērtība.</w:t>
      </w:r>
    </w:p>
    <w:p w:rsidR="007B14F9" w:rsidRDefault="007B14F9" w:rsidP="007B14F9">
      <w:pPr>
        <w:pStyle w:val="ISBodyText"/>
      </w:pPr>
      <w:r>
        <w:t>Risinot ar informācijas pārvaldību saistītos uzdevumus, jāsaprot ne tikai</w:t>
      </w:r>
      <w:r w:rsidR="001F015B">
        <w:t xml:space="preserve"> to</w:t>
      </w:r>
      <w:r>
        <w:t>, kā informācija izmantojama katras konkrētās publiskās pārvaldes iestādes primāro uzdevumu risināšanai, bet arī citu informācijas patērētāju vajadzībai, piemēram, gan lēmumu pieņemšanai valsts pārvaldē, tai skaitā pašvaldībās, gan arī komercsektora attīstībai, piemēram, atkalizmanto</w:t>
      </w:r>
      <w:r w:rsidR="001F015B">
        <w:t>šana</w:t>
      </w:r>
      <w:r>
        <w:t xml:space="preserve"> dažādu risinājumu izveidei, kā arī sabiedrības iesaistei valsts pārvaldes procesos.</w:t>
      </w:r>
    </w:p>
    <w:p w:rsidR="007B14F9" w:rsidRDefault="007B14F9" w:rsidP="007B14F9">
      <w:pPr>
        <w:pStyle w:val="ISBodyText"/>
      </w:pPr>
      <w:r>
        <w:t>Valsts pārvalde turpina ieguldīt ievērojamus līdzekļus informācijas izveidei un uzturēšanai, tomēr to izmantošana bieži vien ir nepietiekama, jo trūkst informācijas, kāda informācija valstī tiek veidota un uzturēta, kāds ir tās saturs un izmantojamība.</w:t>
      </w:r>
      <w:r w:rsidR="001F015B">
        <w:t xml:space="preserve"> I</w:t>
      </w:r>
      <w:r w:rsidR="001F015B" w:rsidRPr="001F015B">
        <w:t xml:space="preserve">nformācijas resursa jēdziena ieviešana un IR pārvaldības </w:t>
      </w:r>
      <w:r w:rsidR="001F015B">
        <w:t xml:space="preserve">prakses </w:t>
      </w:r>
      <w:r w:rsidR="001F015B" w:rsidRPr="001F015B">
        <w:t>iedibināšana</w:t>
      </w:r>
      <w:r w:rsidR="001F015B">
        <w:t xml:space="preserve"> ir solis iepriekš aprakstītās problēmas sistemātiskas risināšanas virzienā</w:t>
      </w:r>
      <w:r w:rsidR="001F015B" w:rsidRPr="001F015B">
        <w:t>.</w:t>
      </w:r>
      <w:r>
        <w:t xml:space="preserve"> </w:t>
      </w:r>
    </w:p>
    <w:p w:rsidR="007B14F9" w:rsidRDefault="007B14F9" w:rsidP="007B14F9">
      <w:pPr>
        <w:pStyle w:val="ISBodyText"/>
      </w:pPr>
      <w:r w:rsidRPr="00033700">
        <w:rPr>
          <w:b/>
        </w:rPr>
        <w:t xml:space="preserve">Informācijas resurss (IR) </w:t>
      </w:r>
      <w:r>
        <w:t>–</w:t>
      </w:r>
      <w:r w:rsidRPr="00033700">
        <w:t xml:space="preserve"> loģiski saistīt</w:t>
      </w:r>
      <w:r w:rsidR="00B23EC6">
        <w:t>a</w:t>
      </w:r>
      <w:r w:rsidRPr="00033700">
        <w:t>s informācijas kopums, kas  izmantojams noteiktas funkcijas, uzdevuma vai sabiedrības vajadzību nodrošināšanai</w:t>
      </w:r>
      <w:r>
        <w:t>.</w:t>
      </w:r>
    </w:p>
    <w:p w:rsidR="007B14F9" w:rsidRPr="00033700" w:rsidRDefault="007B14F9" w:rsidP="007B14F9">
      <w:pPr>
        <w:pStyle w:val="ISBodyText"/>
      </w:pPr>
      <w:r w:rsidRPr="00F318AA">
        <w:rPr>
          <w:b/>
        </w:rPr>
        <w:t>Informācijas resursa ieviešanas galvenie mērķi</w:t>
      </w:r>
      <w:r>
        <w:t xml:space="preserve"> ir šādi:</w:t>
      </w:r>
    </w:p>
    <w:p w:rsidR="007B14F9" w:rsidRDefault="007B14F9" w:rsidP="00B75B6F">
      <w:pPr>
        <w:pStyle w:val="ISBodyText"/>
        <w:numPr>
          <w:ilvl w:val="0"/>
          <w:numId w:val="39"/>
        </w:numPr>
      </w:pPr>
      <w:r>
        <w:t>Nodrošināt vienotu sapratni, ka valstī radītā elektroniskā informācija ir resurss, kas adekvāti jāpārvalda;</w:t>
      </w:r>
    </w:p>
    <w:p w:rsidR="007B14F9" w:rsidRDefault="007B14F9" w:rsidP="00B75B6F">
      <w:pPr>
        <w:pStyle w:val="ISBodyText"/>
        <w:numPr>
          <w:ilvl w:val="0"/>
          <w:numId w:val="39"/>
        </w:numPr>
      </w:pPr>
      <w:r>
        <w:t xml:space="preserve">Ieviest mehānismu, kas nodrošina, ka katrai valstiski būtiskai datu kopai ir “saimnieks” (IR pārzinis), kura īpašumā vai valdījumā atrodas informācijas resurss un kas nodrošina IR pārvaldību, rūpējoties par datu kvalitāti un aktualitāti, par IR aprakstošajiem datiem (metadatiem), kā arī par </w:t>
      </w:r>
      <w:r w:rsidR="00EB545E">
        <w:t>piekļuves datiem nodrošināšanu</w:t>
      </w:r>
      <w:r>
        <w:t xml:space="preserve"> sabiedrībai un iestādēm;</w:t>
      </w:r>
    </w:p>
    <w:p w:rsidR="007B14F9" w:rsidRPr="002A77D2" w:rsidRDefault="007B14F9" w:rsidP="00B75B6F">
      <w:pPr>
        <w:pStyle w:val="ISBodyText"/>
        <w:numPr>
          <w:ilvl w:val="0"/>
          <w:numId w:val="39"/>
        </w:numPr>
      </w:pPr>
      <w:r>
        <w:t xml:space="preserve">Risināt koplietošanas informācijas sistēmu pārvaldību ar nodalītu atbildību par satura (IR) uzturēšanu, bet centralizētu koplietošanas platformas uzturēšanu un koplietošanas tehnisko resursu uzturēšanu. </w:t>
      </w:r>
    </w:p>
    <w:p w:rsidR="007B14F9" w:rsidRDefault="007B14F9" w:rsidP="007B14F9">
      <w:pPr>
        <w:pStyle w:val="ISBodyText"/>
      </w:pPr>
      <w:r>
        <w:t>I</w:t>
      </w:r>
      <w:r w:rsidRPr="00E16EEE">
        <w:t xml:space="preserve">nformācijas resursu piemērus </w:t>
      </w:r>
      <w:r>
        <w:t xml:space="preserve">skat. </w:t>
      </w:r>
      <w:r w:rsidR="00715134">
        <w:t>6</w:t>
      </w:r>
      <w:r w:rsidRPr="00E16EEE">
        <w:t>. attēlā.</w:t>
      </w:r>
    </w:p>
    <w:p w:rsidR="007B14F9" w:rsidRDefault="007B14F9" w:rsidP="007B14F9">
      <w:pPr>
        <w:pStyle w:val="ISBodyText"/>
        <w:sectPr w:rsidR="007B14F9" w:rsidSect="00B95FE1">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138" w:right="850" w:bottom="1138" w:left="1411" w:header="288" w:footer="288" w:gutter="0"/>
          <w:cols w:space="708"/>
          <w:titlePg/>
          <w:docGrid w:linePitch="360"/>
        </w:sectPr>
      </w:pPr>
    </w:p>
    <w:p w:rsidR="007B14F9" w:rsidRDefault="007B14F9" w:rsidP="007B14F9">
      <w:pPr>
        <w:pStyle w:val="ISBodyText"/>
        <w:jc w:val="center"/>
      </w:pPr>
      <w:r>
        <w:rPr>
          <w:noProof/>
          <w:lang w:eastAsia="lv-LV"/>
        </w:rPr>
        <w:lastRenderedPageBreak/>
        <w:drawing>
          <wp:inline distT="0" distB="0" distL="0" distR="0">
            <wp:extent cx="9702078" cy="5362575"/>
            <wp:effectExtent l="0" t="0" r="0" b="0"/>
            <wp:docPr id="12" name="Picture 12" descr="C:\Users\DianaA\AppData\Local\Microsoft\Windows\Temporary Internet Files\Content.Outlook\G6TWUC3W\informācijas objekti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anaA\AppData\Local\Microsoft\Windows\Temporary Internet Files\Content.Outlook\G6TWUC3W\informācijas objekti (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87319" cy="5409690"/>
                    </a:xfrm>
                    <a:prstGeom prst="rect">
                      <a:avLst/>
                    </a:prstGeom>
                    <a:noFill/>
                    <a:ln>
                      <a:noFill/>
                    </a:ln>
                  </pic:spPr>
                </pic:pic>
              </a:graphicData>
            </a:graphic>
          </wp:inline>
        </w:drawing>
      </w:r>
    </w:p>
    <w:p w:rsidR="007B14F9" w:rsidRDefault="00715134" w:rsidP="007B14F9">
      <w:pPr>
        <w:pStyle w:val="Parakstszemobjekta"/>
        <w:sectPr w:rsidR="007B14F9" w:rsidSect="007171D3">
          <w:pgSz w:w="16838" w:h="11906" w:orient="landscape" w:code="9"/>
          <w:pgMar w:top="1411" w:right="1138" w:bottom="850" w:left="1138" w:header="288" w:footer="288" w:gutter="0"/>
          <w:cols w:space="708"/>
          <w:docGrid w:linePitch="360"/>
        </w:sectPr>
      </w:pPr>
      <w:r>
        <w:t>6</w:t>
      </w:r>
      <w:r w:rsidR="007B14F9" w:rsidRPr="00E16EEE">
        <w:t>.</w:t>
      </w:r>
      <w:r w:rsidR="007B14F9">
        <w:t xml:space="preserve"> </w:t>
      </w:r>
      <w:r w:rsidR="007B14F9" w:rsidRPr="00112819">
        <w:t xml:space="preserve">attēls. </w:t>
      </w:r>
      <w:r w:rsidR="007B14F9">
        <w:t>Informācijas resursu strukturējuma piemērs</w:t>
      </w:r>
    </w:p>
    <w:p w:rsidR="007B14F9" w:rsidRPr="00E47022" w:rsidRDefault="007B14F9" w:rsidP="007B14F9">
      <w:pPr>
        <w:pStyle w:val="Parakstszemobjekta"/>
      </w:pPr>
    </w:p>
    <w:p w:rsidR="00FE4BD5" w:rsidRDefault="007B14F9" w:rsidP="007B14F9">
      <w:pPr>
        <w:pStyle w:val="ISBodyText"/>
      </w:pPr>
      <w:r>
        <w:t>Informācijas resursi var tikt izmantoti citiem informācijas patērētājiem. Šim nolūkam informācijas resursi jāpadara pieejami, nodrošinot iespējas tos aprakstīt, publicēt un meklēt, kā arī izmantot ar automatizētiem algoritmiem.  Ieteicamais informācijas resursu publicēšanas veids ir to publicēšana atkalizmantojamo datu formātos, izvērtējot, kuras datu kopas iespējams publicēt, atbilstoši tiesību aktiem par personas datu aizsardzību un Informācijas atklātības likuma prasībām.</w:t>
      </w:r>
    </w:p>
    <w:p w:rsidR="007B14F9" w:rsidRDefault="007B14F9" w:rsidP="007B14F9">
      <w:pPr>
        <w:pStyle w:val="ISBodyText"/>
      </w:pPr>
      <w:r w:rsidRPr="00695F69">
        <w:t xml:space="preserve">Vienā informācijas sistēmā var tikt </w:t>
      </w:r>
      <w:r>
        <w:t xml:space="preserve">uzkrāti un </w:t>
      </w:r>
      <w:r w:rsidRPr="00695F69">
        <w:t>apstrādāt</w:t>
      </w:r>
      <w:r>
        <w:t xml:space="preserve">i vairāki informācijas resursi, tomēr uzsverot, ka primārais mērķis ir nevis informācijas sistēmas izveidošana vai uzturēšana, bet informācijas resursa radīšana un apstrāde kontekstā ar biznesa procesu, kura rezultātā informācijas resurss tiek izveidots, mainīts un komunicēts procesā iesaistītajiem dalībniekiem. </w:t>
      </w:r>
    </w:p>
    <w:p w:rsidR="00FE4BD5" w:rsidRDefault="00FE4BD5" w:rsidP="007B14F9">
      <w:pPr>
        <w:pStyle w:val="ISBodyText"/>
      </w:pPr>
      <w:r>
        <w:t xml:space="preserve">Valsts informācijas resursiem ir izvērtējamas pieejamības, drošības un integritātes prasības un to izpildes iespējamie apdraudējumi. Balstoties uz risku izvērtējumu tieši attiecībā uz apstrādājamo informācijas resursu apdraudējumiem, ir definējamas tos apstrādājošo informācijas sistēmu IKT drošības prasības. Veicot būtiskas izmaiņas valsts informācijas resursus apstrādājošās sistēmās, IKT drošības risku izvērtējums, kas balstīts uz iesaistīto informācijas resursu apdraudējumu analīzi, ir obligāta prasība.   </w:t>
      </w:r>
    </w:p>
    <w:p w:rsidR="001F015B" w:rsidRDefault="00FE4BD5" w:rsidP="007B14F9">
      <w:pPr>
        <w:pStyle w:val="ISBodyText"/>
      </w:pPr>
      <w:r>
        <w:t xml:space="preserve">Būtisks aspekts valsts informācijas resursu pārvaldībā ir to arhivēšanas (jeb ilgtermiņa saglabāšanas) prasību noteikšana, plānošana un tās tehniskā realizācija. Veicot būtiskas izmaiņas valsts informācijas resursus apstrādājošās sistēmās, arhivēšanas </w:t>
      </w:r>
      <w:r w:rsidR="003B423E">
        <w:t xml:space="preserve">risinājumu plānošana ir obligāta prasība. It īpaši gadījumos, kad apstrādājamie informācijas resursi vai to daļas ir kvalificējami kā pastāvīgi saglabājami dati. </w:t>
      </w:r>
    </w:p>
    <w:p w:rsidR="00FE4BD5" w:rsidRDefault="001F015B" w:rsidP="007B14F9">
      <w:pPr>
        <w:pStyle w:val="ISBodyText"/>
      </w:pPr>
      <w:r>
        <w:t xml:space="preserve">Informācijas resursa pārvaldība (t.sk. publicēšana) ir informācijas resursa pārziņa – iestādes, kuras funkcijās ietilpst attiecīgā informācijas resursa radīšana un uzturēšana, pienākums. Valsts IKT organizācija veicinās informācijas resursu pārvaldības labās prakses ieviešanu, stimulējot tās attīstību informācijas sistēmu attīstības pasākumu ietvaros un nodrošinot metodisko vadību. </w:t>
      </w:r>
      <w:r w:rsidR="00FE4BD5">
        <w:t xml:space="preserve"> </w:t>
      </w:r>
    </w:p>
    <w:p w:rsidR="007B14F9" w:rsidRPr="001557BA" w:rsidRDefault="001557BA" w:rsidP="007B14F9">
      <w:pPr>
        <w:pStyle w:val="Princips"/>
      </w:pPr>
      <w:bookmarkStart w:id="62" w:name="_Toc410146997"/>
      <w:bookmarkStart w:id="63" w:name="_Toc401768541"/>
      <w:bookmarkStart w:id="64" w:name="_Toc402361785"/>
      <w:bookmarkEnd w:id="59"/>
      <w:bookmarkEnd w:id="60"/>
      <w:r w:rsidRPr="001557BA">
        <w:t>Piekļuve i</w:t>
      </w:r>
      <w:r w:rsidR="007B14F9" w:rsidRPr="001557BA">
        <w:t>nformācija</w:t>
      </w:r>
      <w:r w:rsidRPr="001557BA">
        <w:t>i</w:t>
      </w:r>
      <w:r w:rsidR="003328DB">
        <w:t xml:space="preserve"> un </w:t>
      </w:r>
      <w:r w:rsidRPr="001557BA">
        <w:t xml:space="preserve">tās </w:t>
      </w:r>
      <w:r w:rsidR="007B14F9" w:rsidRPr="001557BA">
        <w:t>atkalizmantošana</w:t>
      </w:r>
      <w:bookmarkEnd w:id="62"/>
      <w:r w:rsidRPr="001557BA">
        <w:t xml:space="preserve"> </w:t>
      </w:r>
      <w:bookmarkEnd w:id="63"/>
      <w:bookmarkEnd w:id="64"/>
    </w:p>
    <w:p w:rsidR="007B14F9" w:rsidRDefault="007B14F9" w:rsidP="007B14F9">
      <w:pPr>
        <w:pStyle w:val="ISBodyText"/>
      </w:pPr>
      <w:r>
        <w:t>Informācijas atkalizmantošana ir būtisks faktors, kas pozitīvi ietekmē informācijas pieejamību publiskā sektora vajadzībām, padara valsts pārvaldi caurspīdīgāku, kā arī sekmē inovatīvu risinājumu attīstību, kas var balstīties uz at</w:t>
      </w:r>
      <w:r w:rsidR="001557BA">
        <w:t xml:space="preserve">kalizmantojamu </w:t>
      </w:r>
      <w:r>
        <w:t xml:space="preserve">datu kopām vai atvērto saskarņu funkcijām, tajā skaitā publiskā sektora datiem. </w:t>
      </w:r>
      <w:r w:rsidR="001557BA">
        <w:t xml:space="preserve">Tas veicina arī </w:t>
      </w:r>
      <w:r>
        <w:t>datu kvalitātes uzlabošan</w:t>
      </w:r>
      <w:r w:rsidR="001557BA">
        <w:t>u</w:t>
      </w:r>
      <w:r>
        <w:t xml:space="preserve">. </w:t>
      </w:r>
    </w:p>
    <w:p w:rsidR="007B14F9" w:rsidRPr="00BC51F8" w:rsidRDefault="007B14F9" w:rsidP="007B14F9">
      <w:pPr>
        <w:pStyle w:val="ISBodyText"/>
      </w:pPr>
      <w:r w:rsidRPr="00BC51F8">
        <w:rPr>
          <w:b/>
        </w:rPr>
        <w:t>Atkalizmantošana</w:t>
      </w:r>
      <w:r w:rsidRPr="00787793">
        <w:t xml:space="preserve"> ir iestādes rīcībā esošās vispārpieejamās informācijas, kas radīta, īstenojot valsts pārvaldes funkcijas vai uzdevumus, izmantošana komerciāliem vai nekomerciāliem mērķiem, kas nav šīs informācijas radīšanas sākotnējais mērķis, un ko veic privātpersona, ja tā iestādes rīcībā esošo informāciju atk</w:t>
      </w:r>
      <w:r w:rsidR="001557BA">
        <w:t>ārtoti izmanto</w:t>
      </w:r>
      <w:r w:rsidRPr="00787793">
        <w:t>, neveicot valsts pārvaldes funkcijas vai uzdevumus</w:t>
      </w:r>
      <w:r>
        <w:t>. Saskaņā ar direktīvu</w:t>
      </w:r>
      <w:r>
        <w:rPr>
          <w:rStyle w:val="Vresatsauce"/>
        </w:rPr>
        <w:footnoteReference w:id="5"/>
      </w:r>
      <w:r>
        <w:t xml:space="preserve">, </w:t>
      </w:r>
      <w:r w:rsidRPr="00BC51F8">
        <w:t> </w:t>
      </w:r>
      <w:r>
        <w:t>d</w:t>
      </w:r>
      <w:r w:rsidRPr="00BC51F8">
        <w:t>okumentu</w:t>
      </w:r>
      <w:r w:rsidR="001557BA">
        <w:t xml:space="preserve"> un datu </w:t>
      </w:r>
      <w:r w:rsidRPr="00BC51F8">
        <w:t>ap</w:t>
      </w:r>
      <w:r w:rsidR="0017645F">
        <w:t>rite</w:t>
      </w:r>
      <w:r w:rsidRPr="00BC51F8">
        <w:t xml:space="preserve"> starp valsts sektora iestādēm, kas tiek veikta, vienīgi pildot to publiskos uzdevumus, nav </w:t>
      </w:r>
      <w:r w:rsidR="003328DB">
        <w:t xml:space="preserve">uzskatāma par </w:t>
      </w:r>
      <w:r w:rsidRPr="00BC51F8">
        <w:t>atkalizmantošan</w:t>
      </w:r>
      <w:r w:rsidR="003328DB">
        <w:t>u</w:t>
      </w:r>
      <w:r>
        <w:t xml:space="preserve">. </w:t>
      </w:r>
    </w:p>
    <w:p w:rsidR="004F71A2" w:rsidRDefault="00537C64" w:rsidP="004F71A2">
      <w:pPr>
        <w:pStyle w:val="ISBodyText"/>
        <w:rPr>
          <w:rFonts w:ascii="Times New Roman" w:eastAsia="Times New Roman" w:hAnsi="Times New Roman"/>
          <w:sz w:val="24"/>
          <w:szCs w:val="24"/>
          <w:lang w:eastAsia="lv-LV"/>
        </w:rPr>
      </w:pPr>
      <w:r>
        <w:t xml:space="preserve">Saskaņā </w:t>
      </w:r>
      <w:r w:rsidR="007B14F9" w:rsidRPr="0066628E">
        <w:t>Informācijas sabiedrības attīstības pamatnostādnēs</w:t>
      </w:r>
      <w:r w:rsidR="007B14F9">
        <w:rPr>
          <w:rFonts w:ascii="Times New Roman" w:eastAsia="Times New Roman" w:hAnsi="Times New Roman" w:cs="Times New Roman"/>
          <w:sz w:val="24"/>
        </w:rPr>
        <w:t xml:space="preserve"> </w:t>
      </w:r>
      <w:r w:rsidR="007B14F9" w:rsidRPr="0066628E">
        <w:t>apstiprināto</w:t>
      </w:r>
      <w:r w:rsidR="007B14F9">
        <w:rPr>
          <w:rStyle w:val="Vresatsauce"/>
          <w:rFonts w:ascii="Times New Roman" w:eastAsia="Times New Roman" w:hAnsi="Times New Roman" w:cs="Times New Roman"/>
          <w:sz w:val="24"/>
        </w:rPr>
        <w:footnoteReference w:id="6"/>
      </w:r>
      <w:r w:rsidR="004F71A2">
        <w:t xml:space="preserve"> </w:t>
      </w:r>
      <w:r w:rsidR="004F71A2" w:rsidRPr="004F71A2">
        <w:t xml:space="preserve">(3.3. </w:t>
      </w:r>
      <w:r w:rsidRPr="00537C64">
        <w:t>sadaļa “Pamatprincipi e-pārvaldes plānošanā” a) apakšpunkts “publiskās pārvaldes dati tautsaimniecības izaugsmei”</w:t>
      </w:r>
      <w:r w:rsidR="004F71A2" w:rsidRPr="004F71A2">
        <w:t>)</w:t>
      </w:r>
      <w:r w:rsidR="004F71A2" w:rsidRPr="00537C64">
        <w:t xml:space="preserve">, </w:t>
      </w:r>
      <w:r w:rsidR="004F71A2" w:rsidRPr="004F71A2">
        <w:t xml:space="preserve">īpaša uzmanība  tiek pievērsta atkalizmantojamo datu principa ieviešanai publiskajā </w:t>
      </w:r>
      <w:r w:rsidR="004F71A2" w:rsidRPr="004F71A2">
        <w:lastRenderedPageBreak/>
        <w:t xml:space="preserve">pārvaldē, kas ietver līdz šim nenovērtētu digitālās ekonomikas attīstības potenciālu, pārvēršot informācijas resursus, kuri rodas publiskajā pārvaldē ar mērķi nodrošināt publiskās pārvaldes funkciju un uzdevumu izpildi, jaunās inovatīvās uzņēmējdarbības idejās un pakalpojumos, kas spēj palielināt ienākumus un radīt darbavietas. </w:t>
      </w:r>
    </w:p>
    <w:p w:rsidR="007B14F9" w:rsidRPr="001557BA" w:rsidRDefault="007B14F9" w:rsidP="007B14F9">
      <w:pPr>
        <w:pStyle w:val="ISBodyText"/>
      </w:pPr>
      <w:r w:rsidRPr="001557BA">
        <w:t xml:space="preserve">Jebkuram informācijas resursa pārzinim jānodrošina, ka informācijas resurss tiek efektīvi pārvaldīts, tajā skaitā, ka tā izmantošana notiek tikai noteiktiem mērķiem un mērķauditorijai, līdz ar to, publicējot informācijas resursus vai atsevišķas datu kopas no informācijas resursa, jānorāda mērķi un nosacījumi, kam šī datu kopa izmantojama. Šos jautājumus risina, publicētajam informācijas resursam vai datu kopai pievienojot </w:t>
      </w:r>
      <w:r w:rsidR="001557BA" w:rsidRPr="001557BA">
        <w:t>to atka</w:t>
      </w:r>
      <w:r w:rsidRPr="001557BA">
        <w:t>l</w:t>
      </w:r>
      <w:r w:rsidR="001557BA" w:rsidRPr="001557BA">
        <w:t xml:space="preserve">izmantošanas noteikumus. </w:t>
      </w:r>
      <w:r w:rsidRPr="001557BA">
        <w:t xml:space="preserve"> </w:t>
      </w:r>
    </w:p>
    <w:p w:rsidR="007B14F9" w:rsidRPr="00AE6A6D" w:rsidRDefault="007B14F9" w:rsidP="007B14F9">
      <w:pPr>
        <w:pStyle w:val="ISBodyText"/>
      </w:pPr>
      <w:r w:rsidRPr="00AE6A6D">
        <w:t>Publicējot informācijas resursus un to datu kopas, ievērojami šādi principi:</w:t>
      </w:r>
    </w:p>
    <w:p w:rsidR="007B14F9" w:rsidRPr="00AE6A6D" w:rsidRDefault="007B14F9" w:rsidP="007B14F9">
      <w:pPr>
        <w:pStyle w:val="ISBulletText"/>
      </w:pPr>
      <w:r w:rsidRPr="00AE6A6D">
        <w:t xml:space="preserve">IR un to datu kopas tiek izplatītas </w:t>
      </w:r>
      <w:r w:rsidR="001557BA">
        <w:t>kopā ar atkalizmantošanas noteikumiem</w:t>
      </w:r>
      <w:r w:rsidRPr="00AE6A6D">
        <w:t xml:space="preserve"> - publicējot datus, jānorāda </w:t>
      </w:r>
      <w:r w:rsidR="001557BA">
        <w:t xml:space="preserve">atkalizmantošanas </w:t>
      </w:r>
      <w:r w:rsidRPr="00AE6A6D">
        <w:t>nosacījumi, līdz ar to datu kopu izmantotājiem ir definēti skaidri nosacījumi, kā drīkst</w:t>
      </w:r>
      <w:r w:rsidR="00C50BB4">
        <w:t xml:space="preserve"> izmantot attiecīgās datu kopas</w:t>
      </w:r>
      <w:r w:rsidRPr="00AE6A6D">
        <w:t>;</w:t>
      </w:r>
    </w:p>
    <w:p w:rsidR="007B14F9" w:rsidRPr="00AE6A6D" w:rsidRDefault="001557BA" w:rsidP="007B14F9">
      <w:pPr>
        <w:pStyle w:val="ISBulletText"/>
      </w:pPr>
      <w:r>
        <w:t xml:space="preserve">Atkalizmantošanas noteikumu </w:t>
      </w:r>
      <w:r w:rsidR="007B14F9" w:rsidRPr="00AE6A6D">
        <w:t>piemērošana</w:t>
      </w:r>
      <w:r>
        <w:t xml:space="preserve"> notiek saskaņā ar </w:t>
      </w:r>
      <w:r w:rsidR="007B14F9" w:rsidRPr="00AE6A6D">
        <w:t>principu, ka jebkādiem datu kopas izmantošanas ierobežojumiem jābūt pamatotiem ar sabiedrības interesēm</w:t>
      </w:r>
      <w:r w:rsidR="007B14F9" w:rsidRPr="00D15067">
        <w:t>.</w:t>
      </w:r>
    </w:p>
    <w:p w:rsidR="007B14F9" w:rsidRPr="00B34A03" w:rsidRDefault="007B14F9" w:rsidP="007B14F9">
      <w:pPr>
        <w:pStyle w:val="Princips"/>
      </w:pPr>
      <w:bookmarkStart w:id="65" w:name="_Toc401768543"/>
      <w:bookmarkStart w:id="66" w:name="_Toc401008579"/>
      <w:bookmarkStart w:id="67" w:name="_Toc402361786"/>
      <w:bookmarkStart w:id="68" w:name="_Toc410146998"/>
      <w:r>
        <w:t>Semantiskā</w:t>
      </w:r>
      <w:r w:rsidRPr="00B34A03">
        <w:t xml:space="preserve"> un tehniskā</w:t>
      </w:r>
      <w:r>
        <w:t xml:space="preserve"> </w:t>
      </w:r>
      <w:r w:rsidRPr="00B34A03">
        <w:t>savietojamība</w:t>
      </w:r>
      <w:bookmarkEnd w:id="65"/>
      <w:bookmarkEnd w:id="66"/>
      <w:bookmarkEnd w:id="67"/>
      <w:bookmarkEnd w:id="68"/>
    </w:p>
    <w:p w:rsidR="007B14F9" w:rsidRDefault="007B14F9" w:rsidP="007B14F9">
      <w:pPr>
        <w:pStyle w:val="ISBodyText"/>
      </w:pPr>
      <w:r>
        <w:t xml:space="preserve">Viens no vienotās datu telpas izveides priekšnosacījumiem ir datu semantiskās un tehniskās savietojamības nodrošināšana. </w:t>
      </w:r>
    </w:p>
    <w:p w:rsidR="007B14F9" w:rsidRDefault="007B14F9" w:rsidP="007B14F9">
      <w:pPr>
        <w:pStyle w:val="ISBodyText"/>
      </w:pPr>
      <w:r>
        <w:t>B</w:t>
      </w:r>
      <w:r w:rsidRPr="00B34A03">
        <w:t>ūtiskākā aktivitāt</w:t>
      </w:r>
      <w:r>
        <w:t>e</w:t>
      </w:r>
      <w:r w:rsidRPr="00B34A03">
        <w:t xml:space="preserve">, kas jāveic, apsteidzot citas aktivitātes, ir informācijas aprites standartu izveidošana un ieviešana, nedublējot pasaulē </w:t>
      </w:r>
      <w:r>
        <w:t xml:space="preserve">jau </w:t>
      </w:r>
      <w:r w:rsidRPr="00B34A03">
        <w:t xml:space="preserve">plaši izmantotos standartus, bet dokumentējot Latvijai specifiskos nosacījumus. </w:t>
      </w:r>
    </w:p>
    <w:p w:rsidR="007B14F9" w:rsidRPr="00B34A03" w:rsidRDefault="007B14F9" w:rsidP="007B14F9">
      <w:pPr>
        <w:pStyle w:val="ISBodyText"/>
      </w:pPr>
      <w:r w:rsidRPr="00B34A03">
        <w:t xml:space="preserve">Standartizācija </w:t>
      </w:r>
      <w:r>
        <w:t>aptvers</w:t>
      </w:r>
      <w:r w:rsidRPr="00B34A03">
        <w:t xml:space="preserve"> virkn</w:t>
      </w:r>
      <w:r>
        <w:t>i</w:t>
      </w:r>
      <w:r w:rsidRPr="00B34A03">
        <w:t xml:space="preserve"> primāri risinām</w:t>
      </w:r>
      <w:r>
        <w:t>o</w:t>
      </w:r>
      <w:r w:rsidRPr="00B34A03">
        <w:t xml:space="preserve"> jautājum</w:t>
      </w:r>
      <w:r>
        <w:t>u</w:t>
      </w:r>
      <w:r w:rsidRPr="00B34A03">
        <w:t>:</w:t>
      </w:r>
    </w:p>
    <w:p w:rsidR="007B14F9" w:rsidRPr="00B34A03" w:rsidRDefault="007B14F9" w:rsidP="00B75B6F">
      <w:pPr>
        <w:pStyle w:val="ISBodyText"/>
        <w:numPr>
          <w:ilvl w:val="0"/>
          <w:numId w:val="43"/>
        </w:numPr>
      </w:pPr>
      <w:r w:rsidRPr="00B34A03">
        <w:t>Semantisko standartu izveide, vienotu datu vārdnīcu izveidošana un izmantošana</w:t>
      </w:r>
      <w:r>
        <w:t>,</w:t>
      </w:r>
    </w:p>
    <w:p w:rsidR="007B14F9" w:rsidRPr="00B34A03" w:rsidRDefault="007B14F9" w:rsidP="00B75B6F">
      <w:pPr>
        <w:pStyle w:val="ISBodyText"/>
        <w:numPr>
          <w:ilvl w:val="0"/>
          <w:numId w:val="43"/>
        </w:numPr>
      </w:pPr>
      <w:r w:rsidRPr="00B34A03">
        <w:t xml:space="preserve">Elektronisko dokumentu veidņu, ziņojumu standartizācija, orientējoties uz tehniski </w:t>
      </w:r>
      <w:r>
        <w:t>vienkāršāk</w:t>
      </w:r>
      <w:r w:rsidRPr="00B34A03">
        <w:t xml:space="preserve"> pielietojamiem standartiem</w:t>
      </w:r>
      <w:r>
        <w:t>,</w:t>
      </w:r>
    </w:p>
    <w:p w:rsidR="007B14F9" w:rsidRPr="00B34A03" w:rsidRDefault="007B14F9" w:rsidP="00B75B6F">
      <w:pPr>
        <w:pStyle w:val="ISBodyText"/>
        <w:numPr>
          <w:ilvl w:val="0"/>
          <w:numId w:val="43"/>
        </w:numPr>
      </w:pPr>
      <w:r w:rsidRPr="00B34A03">
        <w:t>Obligāti lietojamo klasifikatoru izmantošana dažādās nozarēs un valstī kopumā</w:t>
      </w:r>
      <w:r>
        <w:t>,</w:t>
      </w:r>
    </w:p>
    <w:p w:rsidR="007B14F9" w:rsidRPr="00B34A03" w:rsidRDefault="007B14F9" w:rsidP="00B75B6F">
      <w:pPr>
        <w:pStyle w:val="ISBodyText"/>
        <w:numPr>
          <w:ilvl w:val="0"/>
          <w:numId w:val="43"/>
        </w:numPr>
      </w:pPr>
      <w:r w:rsidRPr="00B34A03">
        <w:t xml:space="preserve">Datu un elektronisko dokumentu </w:t>
      </w:r>
      <w:r>
        <w:t>arhivēšanas</w:t>
      </w:r>
      <w:r w:rsidRPr="00B34A03">
        <w:t xml:space="preserve"> risinājumi</w:t>
      </w:r>
      <w:r>
        <w:t>,</w:t>
      </w:r>
    </w:p>
    <w:p w:rsidR="007B14F9" w:rsidRPr="00B34A03" w:rsidRDefault="007B14F9" w:rsidP="00B75B6F">
      <w:pPr>
        <w:pStyle w:val="ISBodyText"/>
        <w:numPr>
          <w:ilvl w:val="0"/>
          <w:numId w:val="43"/>
        </w:numPr>
      </w:pPr>
      <w:r w:rsidRPr="00B34A03">
        <w:t>Informācijas resursu klasifikācijas shēmas, piemēram pēc pieejamības, kritiskuma, nepieciešamā glabāšanas ilguma, u.c.</w:t>
      </w:r>
      <w:r>
        <w:t>,</w:t>
      </w:r>
    </w:p>
    <w:p w:rsidR="007B14F9" w:rsidRPr="00B34A03" w:rsidRDefault="007B14F9" w:rsidP="00B75B6F">
      <w:pPr>
        <w:pStyle w:val="ISBodyText"/>
        <w:numPr>
          <w:ilvl w:val="0"/>
          <w:numId w:val="43"/>
        </w:numPr>
      </w:pPr>
      <w:r w:rsidRPr="00B34A03">
        <w:t>Meta datu standarti informācijas resursiem</w:t>
      </w:r>
      <w:r w:rsidR="009A0E75">
        <w:t>.</w:t>
      </w:r>
    </w:p>
    <w:p w:rsidR="007B14F9" w:rsidRDefault="007B14F9" w:rsidP="007B14F9">
      <w:pPr>
        <w:pStyle w:val="ISBodyText"/>
      </w:pPr>
      <w:r>
        <w:t>Standartizācija nozīmēs panākt vienošanos starp dažādām pusēm, tai skaitā starp valsts pārvaldes institūcijām, pašvaldībām, industrijas pārstāvjiem, saglabājot uzstādījumu, ka standartiem jābūt  viegli pielietojamiem, pieejamiem un saprotamiem.</w:t>
      </w:r>
    </w:p>
    <w:p w:rsidR="007B14F9" w:rsidRDefault="007B14F9" w:rsidP="007B14F9">
      <w:pPr>
        <w:pStyle w:val="ISBodyText"/>
      </w:pPr>
      <w:r>
        <w:t>Viens no uzdevumiem ir k</w:t>
      </w:r>
      <w:r w:rsidRPr="00B34A03">
        <w:t>lasifikatoru</w:t>
      </w:r>
      <w:r>
        <w:t xml:space="preserve"> (kas ir viens no informācijas resursu veidiem) pārvaldības sakārtošana, nodrošinot šādas darbības:</w:t>
      </w:r>
    </w:p>
    <w:p w:rsidR="007B14F9" w:rsidRDefault="00FE0041" w:rsidP="007B14F9">
      <w:pPr>
        <w:pStyle w:val="ISBulletText"/>
      </w:pPr>
      <w:r>
        <w:t>I</w:t>
      </w:r>
      <w:r w:rsidR="007B14F9">
        <w:t>nformācijas resursa p</w:t>
      </w:r>
      <w:r w:rsidR="007B14F9" w:rsidRPr="00B34A03">
        <w:t>ārziņa pienākum</w:t>
      </w:r>
      <w:r>
        <w:t xml:space="preserve">u ietvaros tiks noteikta obligāto klasifikatoru izmantošanas uzraudzība; </w:t>
      </w:r>
    </w:p>
    <w:p w:rsidR="007B14F9" w:rsidRDefault="00FE0041" w:rsidP="00605F4C">
      <w:pPr>
        <w:pStyle w:val="ISBulletText"/>
      </w:pPr>
      <w:r>
        <w:t xml:space="preserve">Tiks izveidoti </w:t>
      </w:r>
      <w:r w:rsidR="007B14F9">
        <w:t>koplietošanas risinājum</w:t>
      </w:r>
      <w:r>
        <w:t>i klasifikatoru uzturēšanai un izplatīšanai (skat. P</w:t>
      </w:r>
      <w:r w:rsidR="00605F4C">
        <w:t xml:space="preserve">34), tādējādi nodrošinot klasifikatoru pieejamību mašīnlasāmā formā. </w:t>
      </w:r>
    </w:p>
    <w:p w:rsidR="007B14F9" w:rsidRPr="00B34A03" w:rsidRDefault="007B14F9" w:rsidP="007B14F9">
      <w:pPr>
        <w:pStyle w:val="ISBodyText"/>
      </w:pPr>
      <w:r>
        <w:lastRenderedPageBreak/>
        <w:t xml:space="preserve">Papildus </w:t>
      </w:r>
      <w:r w:rsidR="00605F4C">
        <w:t>tiks turpināts</w:t>
      </w:r>
      <w:r>
        <w:t xml:space="preserve"> darbs pie d</w:t>
      </w:r>
      <w:r w:rsidRPr="00B34A03">
        <w:t>atu shēmu izmantošana</w:t>
      </w:r>
      <w:r>
        <w:t>s</w:t>
      </w:r>
      <w:r w:rsidRPr="00B34A03">
        <w:t xml:space="preserve"> standartizācija</w:t>
      </w:r>
      <w:r w:rsidR="00605F4C">
        <w:t>s</w:t>
      </w:r>
      <w:r w:rsidRPr="00B34A03">
        <w:t xml:space="preserve"> (datu  vienumi/elementi, datu ap</w:t>
      </w:r>
      <w:r w:rsidR="0017645F">
        <w:t>rites</w:t>
      </w:r>
      <w:r w:rsidRPr="00B34A03">
        <w:t xml:space="preserve"> ziņojumi)</w:t>
      </w:r>
      <w:r>
        <w:t xml:space="preserve">, </w:t>
      </w:r>
      <w:r w:rsidR="00605F4C">
        <w:t xml:space="preserve">nodrošinot to </w:t>
      </w:r>
      <w:r>
        <w:t>pielieto</w:t>
      </w:r>
      <w:r w:rsidR="00605F4C">
        <w:t xml:space="preserve">šanas iespējas </w:t>
      </w:r>
      <w:r>
        <w:t>standartizētiem dokumentu formātiem</w:t>
      </w:r>
      <w:r w:rsidR="00605F4C">
        <w:t xml:space="preserve">. </w:t>
      </w:r>
      <w:r>
        <w:t xml:space="preserve">Ziņojumu formātiem </w:t>
      </w:r>
      <w:r w:rsidR="00605F4C">
        <w:t xml:space="preserve">tiks </w:t>
      </w:r>
      <w:r>
        <w:t>izmanto</w:t>
      </w:r>
      <w:r w:rsidR="00605F4C">
        <w:t>tas</w:t>
      </w:r>
      <w:r>
        <w:t xml:space="preserve"> datu vārdnīca</w:t>
      </w:r>
      <w:r w:rsidR="00605F4C">
        <w:t>s</w:t>
      </w:r>
      <w:r>
        <w:t>, kurā</w:t>
      </w:r>
      <w:r w:rsidR="00605F4C">
        <w:t>s</w:t>
      </w:r>
      <w:r>
        <w:t xml:space="preserve"> aprakstīt</w:t>
      </w:r>
      <w:r w:rsidR="00605F4C">
        <w:t>as</w:t>
      </w:r>
      <w:r>
        <w:t xml:space="preserve"> standarta element</w:t>
      </w:r>
      <w:r w:rsidR="00605F4C">
        <w:t>u struktūras. Standarta elementu struktūru aprakstiem tiks nodrošināta brīva piekļuve p</w:t>
      </w:r>
      <w:r>
        <w:t>ubliskā vidē, lai veicinātu un pēc iespējas atvieglotu to izmantošanu.</w:t>
      </w:r>
      <w:r w:rsidR="001F015B">
        <w:t xml:space="preserve"> Koordinējošo lomu sadarbspēju veicinošas standartizācijas attīstībā</w:t>
      </w:r>
      <w:r w:rsidR="00AA011D">
        <w:t xml:space="preserve"> (kas neietver nozarēm specifisku jautājumu, piemēram, klasifikatoru satura noteikšanu)</w:t>
      </w:r>
      <w:r w:rsidR="001F015B">
        <w:t xml:space="preserve">, ieskaitot koordināciju ar Eiropas starpnozaru koordinācijas programmas ISA aktivitātēm, nodrošinās Valsts IKT organizācija. Nozaru ietvaros, tajā skaitā Eiropas Savienības sadarbības savas nozares ietvaros, koordināciju nodrošinās resoru IKT vadība vai resora iestādes, kam šī funkcija tiks deleģēta. </w:t>
      </w:r>
    </w:p>
    <w:p w:rsidR="007B14F9" w:rsidRDefault="007B14F9" w:rsidP="007B14F9">
      <w:pPr>
        <w:pStyle w:val="Princips"/>
      </w:pPr>
      <w:bookmarkStart w:id="69" w:name="_Toc401768544"/>
      <w:bookmarkStart w:id="70" w:name="_Toc401008580"/>
      <w:bookmarkStart w:id="71" w:name="_Toc402361787"/>
      <w:bookmarkStart w:id="72" w:name="_Toc410146999"/>
      <w:r>
        <w:t>Valsts vienotais datu modelis</w:t>
      </w:r>
      <w:bookmarkEnd w:id="69"/>
      <w:bookmarkEnd w:id="70"/>
      <w:bookmarkEnd w:id="71"/>
      <w:bookmarkEnd w:id="72"/>
      <w:r>
        <w:t xml:space="preserve"> </w:t>
      </w:r>
    </w:p>
    <w:p w:rsidR="007B14F9" w:rsidRPr="002A77D2" w:rsidRDefault="007B14F9" w:rsidP="007B14F9">
      <w:pPr>
        <w:pStyle w:val="ISBodyText"/>
      </w:pPr>
      <w:r>
        <w:t xml:space="preserve">Informācijas sistēmas, kurās tiek radīti valsts nozīmes informācijas resursi, </w:t>
      </w:r>
      <w:r w:rsidR="00605F4C">
        <w:t>tiks plānot</w:t>
      </w:r>
      <w:r w:rsidR="003E14F0">
        <w:t>as</w:t>
      </w:r>
      <w:r w:rsidR="00605F4C">
        <w:t xml:space="preserve"> </w:t>
      </w:r>
      <w:r>
        <w:t>tā, lai būtu iespējams nodrošināt informācijas resursu savietojamību ne tikai pašreiz, bet arī nākotnē.</w:t>
      </w:r>
    </w:p>
    <w:p w:rsidR="007B14F9" w:rsidRDefault="007B14F9" w:rsidP="007B14F9">
      <w:pPr>
        <w:pStyle w:val="ISBodyText"/>
      </w:pPr>
      <w:r>
        <w:t xml:space="preserve">Projektos, kuros tiek veidotas vai papildinātas IS, radīti informācijas resursi, pakalpes vai rīki to apstrādei, </w:t>
      </w:r>
      <w:r w:rsidR="00605F4C">
        <w:t xml:space="preserve">ir </w:t>
      </w:r>
      <w:r>
        <w:t>jāievēro noteikti nosacījumi, kas nodrošina informācijas resursa kvalitāti un savietojamību ar citiem informācijas resursiem</w:t>
      </w:r>
      <w:r w:rsidR="003E14F0">
        <w:t>,</w:t>
      </w:r>
      <w:r>
        <w:t xml:space="preserve"> veidojot </w:t>
      </w:r>
      <w:r w:rsidRPr="00751A2B">
        <w:rPr>
          <w:b/>
        </w:rPr>
        <w:t>vienotu un saderīgu valsts datu modeli</w:t>
      </w:r>
      <w:r>
        <w:t>. T</w:t>
      </w:r>
      <w:r w:rsidR="00605F4C">
        <w:t xml:space="preserve">iks </w:t>
      </w:r>
      <w:r>
        <w:t>vei</w:t>
      </w:r>
      <w:r w:rsidR="00605F4C">
        <w:t>kta</w:t>
      </w:r>
      <w:r>
        <w:t xml:space="preserve"> uzraudzība, lai tiktu ievēroti informācijas pārvaldības, sadarbspējas un datu kvalitātes principi. Lai </w:t>
      </w:r>
      <w:r w:rsidR="00605F4C">
        <w:t>uzlabotu</w:t>
      </w:r>
      <w:r>
        <w:t xml:space="preserve"> datu kvalitāti jau šobrīd izveidotajos informācijas resursos, kā arī padarītu šos informācijas resursus </w:t>
      </w:r>
      <w:r w:rsidR="00605F4C">
        <w:t xml:space="preserve">labāk </w:t>
      </w:r>
      <w:r>
        <w:t>izmantojam</w:t>
      </w:r>
      <w:r w:rsidR="00605F4C">
        <w:t xml:space="preserve">us </w:t>
      </w:r>
      <w:r>
        <w:t>citiem</w:t>
      </w:r>
      <w:r w:rsidR="00605F4C">
        <w:t xml:space="preserve"> lietotājiem</w:t>
      </w:r>
      <w:r>
        <w:t xml:space="preserve">, valsts vienotā datu modeļa izveidošanai </w:t>
      </w:r>
      <w:r w:rsidR="00605F4C">
        <w:t xml:space="preserve">tiks veiktas šādas </w:t>
      </w:r>
      <w:r>
        <w:t>darbības:</w:t>
      </w:r>
    </w:p>
    <w:p w:rsidR="007B14F9" w:rsidRDefault="007B14F9" w:rsidP="007B14F9">
      <w:pPr>
        <w:pStyle w:val="ISBulletText"/>
      </w:pPr>
      <w:r>
        <w:t>Sakārtoti jautājumi par objektu unikālo identifikāciju;</w:t>
      </w:r>
    </w:p>
    <w:p w:rsidR="007B14F9" w:rsidRDefault="00605F4C" w:rsidP="007B14F9">
      <w:pPr>
        <w:pStyle w:val="ISBulletText"/>
      </w:pPr>
      <w:r>
        <w:t>Nodrošināta v</w:t>
      </w:r>
      <w:r w:rsidR="007B14F9">
        <w:t>ienotu klasifikatoru izmantošana;</w:t>
      </w:r>
    </w:p>
    <w:p w:rsidR="007B14F9" w:rsidRDefault="007B14F9" w:rsidP="007B14F9">
      <w:pPr>
        <w:pStyle w:val="ISBulletText"/>
      </w:pPr>
      <w:r>
        <w:t>Citiem informācijas resursa patērētājiem izmantojamo informācijas resursu aktualizācija un datu kvalitātes nodrošināšana (IR pārvaldes procesi jāorganizē tā, lai nodrošinātu datu kvalitāti ne tikai pašas iestādes primāro uzdevumu veikšanai, bet arī patērētāju vajadzībām, nodrošinot informācijas aktualitāti, samazinot nobīdi laikā no reālās pasaules objektiem, realizējot nepieciešamās kontroles biznesa procesa ietvaros, kā arī datu kvalitātes un informācijas resursa pārvaldības procesa regulāra novērtēšana, izveidojot metrikas, pēc kurām veikt šo procesu mērīšanu);</w:t>
      </w:r>
    </w:p>
    <w:p w:rsidR="007B14F9" w:rsidRDefault="007B14F9" w:rsidP="007B14F9">
      <w:pPr>
        <w:pStyle w:val="ISBulletText"/>
      </w:pPr>
      <w:r>
        <w:t>Datu kvalitāti būtiski uzlabot, paredzot iespēju katram iedzīvotājam pārliecināties par uzkrāto datu kvalitāti un aktualitāti un pieprasīt veikt izmaiņas attiecīgajos reģistros.</w:t>
      </w:r>
    </w:p>
    <w:p w:rsidR="007B14F9" w:rsidRDefault="007B14F9" w:rsidP="007B14F9">
      <w:pPr>
        <w:pStyle w:val="ISBodyText"/>
      </w:pPr>
      <w:r>
        <w:t>Vienotā valsts datu modeļa veidošanas principi:</w:t>
      </w:r>
    </w:p>
    <w:p w:rsidR="007B14F9" w:rsidRDefault="007B14F9" w:rsidP="007B14F9">
      <w:pPr>
        <w:pStyle w:val="ISBulletText"/>
      </w:pPr>
      <w:r>
        <w:t xml:space="preserve">Katrs valsts informācijas resurss tiek aprakstīts, nosakot: </w:t>
      </w:r>
    </w:p>
    <w:p w:rsidR="007B14F9" w:rsidRDefault="007B14F9" w:rsidP="007B14F9">
      <w:pPr>
        <w:pStyle w:val="ISBulletText"/>
        <w:numPr>
          <w:ilvl w:val="1"/>
          <w:numId w:val="23"/>
        </w:numPr>
      </w:pPr>
      <w:r>
        <w:t>Primāro radīšanas un uzturēšanas mērķi, uzdevumus un funkcijas;</w:t>
      </w:r>
    </w:p>
    <w:p w:rsidR="007B14F9" w:rsidRDefault="007B14F9" w:rsidP="007B14F9">
      <w:pPr>
        <w:pStyle w:val="ISBulletText"/>
        <w:numPr>
          <w:ilvl w:val="1"/>
          <w:numId w:val="23"/>
        </w:numPr>
      </w:pPr>
      <w:r>
        <w:t>Tiesību aktus, kas pamato informācijas resursa radīšanu un izmantošanu;</w:t>
      </w:r>
    </w:p>
    <w:p w:rsidR="007B14F9" w:rsidRDefault="007B14F9" w:rsidP="007B14F9">
      <w:pPr>
        <w:pStyle w:val="ISBulletText"/>
        <w:numPr>
          <w:ilvl w:val="1"/>
          <w:numId w:val="23"/>
        </w:numPr>
      </w:pPr>
      <w:r>
        <w:t>Informācijas resursa patērētājus;</w:t>
      </w:r>
    </w:p>
    <w:p w:rsidR="007B14F9" w:rsidRDefault="007B14F9" w:rsidP="007B14F9">
      <w:pPr>
        <w:pStyle w:val="ISBulletText"/>
        <w:numPr>
          <w:ilvl w:val="1"/>
          <w:numId w:val="23"/>
        </w:numPr>
      </w:pPr>
      <w:r>
        <w:t>Objektus, par kuriem tiek vākta un uzturēta informācija, to savstarpējās attiecības un pret ko tiek veikta šo objektu validācija, kā arī informācijas aktualizācijas novēlošanos (</w:t>
      </w:r>
      <w:r w:rsidRPr="001447AD">
        <w:rPr>
          <w:i/>
        </w:rPr>
        <w:t>timeliness</w:t>
      </w:r>
      <w:r>
        <w:t xml:space="preserve">, arī </w:t>
      </w:r>
      <w:r w:rsidRPr="001447AD">
        <w:rPr>
          <w:i/>
        </w:rPr>
        <w:t>latency</w:t>
      </w:r>
      <w:r>
        <w:t>) – maksimālo laiku, par kādu var atšķirties informācija resursā no reālās pasaules situācijas;</w:t>
      </w:r>
    </w:p>
    <w:p w:rsidR="007B14F9" w:rsidRDefault="007B14F9" w:rsidP="007B14F9">
      <w:pPr>
        <w:pStyle w:val="ISBulletText"/>
        <w:numPr>
          <w:ilvl w:val="1"/>
          <w:numId w:val="23"/>
        </w:numPr>
      </w:pPr>
      <w:r>
        <w:t>Citus metadatus, lai aprakstītu informācijas resursa izmantošanas nosacījumus, pieejamību;</w:t>
      </w:r>
    </w:p>
    <w:p w:rsidR="007B14F9" w:rsidRDefault="007B14F9" w:rsidP="007B14F9">
      <w:pPr>
        <w:pStyle w:val="ISBulletText"/>
        <w:numPr>
          <w:ilvl w:val="1"/>
          <w:numId w:val="23"/>
        </w:numPr>
      </w:pPr>
      <w:r>
        <w:lastRenderedPageBreak/>
        <w:t>Datu kopas, kas tiek sagatavotas, izmantojot attiecīgo informācijas resursu;</w:t>
      </w:r>
    </w:p>
    <w:p w:rsidR="007B14F9" w:rsidRDefault="007B14F9" w:rsidP="007B14F9">
      <w:pPr>
        <w:pStyle w:val="ISBulletText"/>
        <w:numPr>
          <w:ilvl w:val="1"/>
          <w:numId w:val="23"/>
        </w:numPr>
      </w:pPr>
      <w:r>
        <w:t>Pakalpes, kas tiek izmantotas, lai nodrošinātu piekļuvi informācijas resursam.</w:t>
      </w:r>
    </w:p>
    <w:p w:rsidR="007B14F9" w:rsidRDefault="007B14F9" w:rsidP="007B14F9">
      <w:pPr>
        <w:pStyle w:val="ISBulletText"/>
      </w:pPr>
      <w:r>
        <w:t>Veicot izmaiņas informācijas sistēmā, ar kuras palīdzību tiek veikta informācijas resursa uzturēšana, pirms izmaiņu veikšanas (prasību sagatavošanas posmā) veic šādas aktivitātes:</w:t>
      </w:r>
    </w:p>
    <w:p w:rsidR="007B14F9" w:rsidRDefault="007B14F9" w:rsidP="007B14F9">
      <w:pPr>
        <w:pStyle w:val="ISBulletText"/>
        <w:numPr>
          <w:ilvl w:val="1"/>
          <w:numId w:val="23"/>
        </w:numPr>
      </w:pPr>
      <w:r>
        <w:t>Apzina objektus, par kuriem tiks vākta informācija informācijas resursā, nosakot to atribūtus, savstarpējo saistību;</w:t>
      </w:r>
    </w:p>
    <w:p w:rsidR="007B14F9" w:rsidRPr="00C27623" w:rsidRDefault="007B14F9" w:rsidP="007B14F9">
      <w:pPr>
        <w:pStyle w:val="ISBulletText"/>
        <w:numPr>
          <w:ilvl w:val="1"/>
          <w:numId w:val="23"/>
        </w:numPr>
      </w:pPr>
      <w:r>
        <w:t xml:space="preserve">Nosaka taksonomijas, kas izmantojamas šo objektu klasificēšanai, pēc iespējas lietojot valstī vai nozarē plaši izmantotus klasifikatorus. Ja </w:t>
      </w:r>
      <w:r w:rsidRPr="00C27623">
        <w:t xml:space="preserve">klasifikators tiek radīts informācijas resursā, tas jāpadara pieejams citiem informācijas patērētājiem, publicējot to kā </w:t>
      </w:r>
      <w:r w:rsidR="00C50BB4">
        <w:t>koplietojamu vai atkalizmantojamu</w:t>
      </w:r>
      <w:r w:rsidRPr="00C27623">
        <w:t xml:space="preserve"> datu kopu vai ievietojot vienotajā klasifikatoru izplatīšanas risinājumā;</w:t>
      </w:r>
    </w:p>
    <w:p w:rsidR="007B14F9" w:rsidRPr="00C27623" w:rsidRDefault="007B14F9" w:rsidP="007B14F9">
      <w:pPr>
        <w:pStyle w:val="ISBulletText"/>
        <w:numPr>
          <w:ilvl w:val="1"/>
          <w:numId w:val="23"/>
        </w:numPr>
      </w:pPr>
      <w:r w:rsidRPr="00C27623">
        <w:t>Katram objekt</w:t>
      </w:r>
      <w:r>
        <w:t>a</w:t>
      </w:r>
      <w:r w:rsidRPr="00C27623">
        <w:t xml:space="preserve">m </w:t>
      </w:r>
      <w:r>
        <w:t xml:space="preserve">nosakāms </w:t>
      </w:r>
      <w:r w:rsidRPr="00C27623">
        <w:t>unikāl</w:t>
      </w:r>
      <w:r>
        <w:t>a</w:t>
      </w:r>
      <w:r w:rsidRPr="00C27623">
        <w:t>s identifikācijas mehānisms, pēc iespējas izmantojot jau valstī esošus identifikācijas risinājumus, piemēram, ja objekts ir apakštips kādai citai objektu klasei;</w:t>
      </w:r>
    </w:p>
    <w:p w:rsidR="007B14F9" w:rsidRPr="00C27623" w:rsidRDefault="007B14F9" w:rsidP="007B14F9">
      <w:pPr>
        <w:pStyle w:val="ISBulletText"/>
        <w:numPr>
          <w:ilvl w:val="1"/>
          <w:numId w:val="23"/>
        </w:numPr>
      </w:pPr>
      <w:r w:rsidRPr="00C27623">
        <w:t>Katram objekt</w:t>
      </w:r>
      <w:r>
        <w:t>a</w:t>
      </w:r>
      <w:r w:rsidRPr="00C27623">
        <w:t>m nosaka tā raksturlielumus, ta</w:t>
      </w:r>
      <w:r>
        <w:t>jā</w:t>
      </w:r>
      <w:r w:rsidRPr="00C27623">
        <w:t xml:space="preserve"> skaitā ierakstu skaitu, pieaugumu gadā, informācijas pieejamības un informācijas aktualizācijas novēlošanos, veidu, kā tiks veikta uzkrātās informācijas pārbaude pret citiem informācijas resursiem; </w:t>
      </w:r>
    </w:p>
    <w:p w:rsidR="007B14F9" w:rsidRPr="00C27623" w:rsidRDefault="00F04F16" w:rsidP="007B14F9">
      <w:pPr>
        <w:pStyle w:val="ISBulletText"/>
        <w:numPr>
          <w:ilvl w:val="1"/>
          <w:numId w:val="23"/>
        </w:numPr>
      </w:pPr>
      <w:r w:rsidRPr="00F04F16">
        <w:t>savlaicīgi informē par plānotajām izmaiņām citus informācijas resursa patērētājus</w:t>
      </w:r>
      <w:r w:rsidR="007B14F9" w:rsidRPr="00C27623">
        <w:t>.</w:t>
      </w:r>
    </w:p>
    <w:p w:rsidR="007B14F9" w:rsidRPr="00C27623" w:rsidRDefault="007B14F9" w:rsidP="007B14F9">
      <w:pPr>
        <w:pStyle w:val="ISBulletText"/>
      </w:pPr>
      <w:r>
        <w:t xml:space="preserve">Veicot izmaiņas informācijas sistēmā, ar kuras palīdzību tiek veikta informācijas resursa </w:t>
      </w:r>
      <w:r w:rsidRPr="00C27623">
        <w:t xml:space="preserve">uzturēšana, pirms izmaiņu nodošanas ekspluatācijā veic </w:t>
      </w:r>
      <w:r>
        <w:t>šādas</w:t>
      </w:r>
      <w:r w:rsidRPr="00C27623">
        <w:t xml:space="preserve"> aktivitātes:</w:t>
      </w:r>
    </w:p>
    <w:p w:rsidR="007B14F9" w:rsidRPr="00C27623" w:rsidRDefault="007B14F9" w:rsidP="007B14F9">
      <w:pPr>
        <w:pStyle w:val="ISBulletText"/>
        <w:numPr>
          <w:ilvl w:val="1"/>
          <w:numId w:val="23"/>
        </w:numPr>
      </w:pPr>
      <w:r w:rsidRPr="00C27623">
        <w:t>Sagatavo jaunu versiju informācijas resursa aprakstā metadatu katalogā</w:t>
      </w:r>
      <w:r>
        <w:t>;</w:t>
      </w:r>
    </w:p>
    <w:p w:rsidR="007B14F9" w:rsidRPr="00C27623" w:rsidRDefault="007B14F9" w:rsidP="007B14F9">
      <w:pPr>
        <w:pStyle w:val="ISBulletText"/>
        <w:numPr>
          <w:ilvl w:val="1"/>
          <w:numId w:val="23"/>
        </w:numPr>
      </w:pPr>
      <w:r w:rsidRPr="00C27623">
        <w:t>Informē informācijas patērētājus.</w:t>
      </w:r>
    </w:p>
    <w:p w:rsidR="007B14F9" w:rsidRDefault="007B14F9" w:rsidP="007B14F9">
      <w:pPr>
        <w:pStyle w:val="ISBulletText"/>
      </w:pPr>
      <w:r>
        <w:t xml:space="preserve">Datu kvalitātes </w:t>
      </w:r>
      <w:r w:rsidR="00605F4C">
        <w:t xml:space="preserve">uzlabošanai ir jāizvērtē šādu </w:t>
      </w:r>
      <w:r>
        <w:t>paņēmien</w:t>
      </w:r>
      <w:r w:rsidR="00605F4C">
        <w:t>u piemērojamība konkrētiem informācijas resursiem</w:t>
      </w:r>
      <w:r>
        <w:t>:</w:t>
      </w:r>
    </w:p>
    <w:p w:rsidR="007B14F9" w:rsidRDefault="007B14F9" w:rsidP="00B75B6F">
      <w:pPr>
        <w:pStyle w:val="ISBulletText"/>
        <w:numPr>
          <w:ilvl w:val="1"/>
          <w:numId w:val="41"/>
        </w:numPr>
      </w:pPr>
      <w:r>
        <w:t>Automātisku rīku un manuālu procedūru izmantošana, lai labotu datus informācijas resursu sastāvā;</w:t>
      </w:r>
    </w:p>
    <w:p w:rsidR="007B14F9" w:rsidRDefault="007B14F9" w:rsidP="00B75B6F">
      <w:pPr>
        <w:pStyle w:val="ISBulletText"/>
        <w:numPr>
          <w:ilvl w:val="1"/>
          <w:numId w:val="41"/>
        </w:numPr>
      </w:pPr>
      <w:r>
        <w:t>Biznesa procesu pārskatīšana, lai pielāgotu  informācijas resursus tā patērētāju interesēm;</w:t>
      </w:r>
    </w:p>
    <w:p w:rsidR="007B14F9" w:rsidRDefault="007B14F9" w:rsidP="00B75B6F">
      <w:pPr>
        <w:pStyle w:val="ISBulletText"/>
        <w:numPr>
          <w:ilvl w:val="1"/>
          <w:numId w:val="41"/>
        </w:numPr>
      </w:pPr>
      <w:r>
        <w:t>Izmaiņas informācijas sistēmās, lai nodrošinātu validāciju pret citiem informācijas resursiem.</w:t>
      </w:r>
    </w:p>
    <w:p w:rsidR="001F015B" w:rsidRPr="00DA7330" w:rsidRDefault="001F015B" w:rsidP="001F015B">
      <w:pPr>
        <w:pStyle w:val="ISBulletText"/>
        <w:numPr>
          <w:ilvl w:val="0"/>
          <w:numId w:val="0"/>
        </w:numPr>
        <w:ind w:left="141"/>
      </w:pPr>
      <w:r>
        <w:t>Valsts datu modeļa attīstību, koordinējot to ar Eiropas Savienības starpnozaru sadarbspējas programmas ISA aktivitātēm (</w:t>
      </w:r>
      <w:r w:rsidRPr="003E14F0">
        <w:rPr>
          <w:i/>
        </w:rPr>
        <w:t>Core data vocabularies, core data models, base registers</w:t>
      </w:r>
      <w:r>
        <w:t xml:space="preserve"> u.c) koordinēs Valsts IKT organizācija, stimulējot datu modeļa attīstību informācijas sistēmu attīstības pasākumu ietvaros. </w:t>
      </w:r>
      <w:r w:rsidR="00950BF6">
        <w:t xml:space="preserve">Datu modeļa izstrāde ir veicama pakāpeniski, sākot ar nozīmīgākajiem informācijas resursiem, kurus apstrādājošās sistēmas tiks būtiski modificētas tuvākajā nākotnē plānoto attīstības pasākumu ietvaros.  </w:t>
      </w:r>
      <w:r>
        <w:t xml:space="preserve"> </w:t>
      </w:r>
    </w:p>
    <w:p w:rsidR="00CC44EE" w:rsidRPr="008C1765" w:rsidRDefault="00CC44EE" w:rsidP="00CC44EE">
      <w:pPr>
        <w:pStyle w:val="Princips"/>
      </w:pPr>
      <w:bookmarkStart w:id="73" w:name="_Toc410147000"/>
      <w:r>
        <w:lastRenderedPageBreak/>
        <w:t xml:space="preserve">Trīs </w:t>
      </w:r>
      <w:r w:rsidRPr="008C1765">
        <w:t xml:space="preserve">datu </w:t>
      </w:r>
      <w:r>
        <w:t>piekļuves risinājumi vienotajā datu telpā</w:t>
      </w:r>
      <w:bookmarkEnd w:id="73"/>
    </w:p>
    <w:p w:rsidR="00CC44EE" w:rsidRPr="00A7123D" w:rsidRDefault="00CC44EE" w:rsidP="00CC44EE">
      <w:pPr>
        <w:pStyle w:val="ISBodySubhead2"/>
        <w:rPr>
          <w:bCs/>
          <w:i w:val="0"/>
          <w:iCs w:val="0"/>
          <w:u w:val="none"/>
          <w:lang w:eastAsia="en-US"/>
        </w:rPr>
      </w:pPr>
      <w:r w:rsidRPr="00A7123D">
        <w:rPr>
          <w:bCs/>
          <w:i w:val="0"/>
          <w:iCs w:val="0"/>
          <w:u w:val="none"/>
          <w:lang w:eastAsia="en-US"/>
        </w:rPr>
        <w:t>Publiskās pārvaldes vienotā datu telpa ir īstenojama, nodrošinot piekļuvi (jeb publicējot) datus šādos trīs veidos:</w:t>
      </w:r>
    </w:p>
    <w:p w:rsidR="00CC44EE" w:rsidRPr="00A7123D" w:rsidRDefault="00CC44EE" w:rsidP="00CC44EE">
      <w:pPr>
        <w:pStyle w:val="ISBulletText"/>
      </w:pPr>
      <w:r w:rsidRPr="00A7123D">
        <w:rPr>
          <w:b/>
          <w:i/>
        </w:rPr>
        <w:t>XML ziņojumu pakalpes</w:t>
      </w:r>
      <w:r w:rsidRPr="00A7123D">
        <w:t xml:space="preserve"> - nodrošinot piekļuvi būtiskākajām datu kopām ar standarta pieprasījumu izpildei specializētu pakalpju (servisu) palīdzību, publicējot pakalpes un to izmantoto ziņojumu struktūras (SOAP, XML ziņojumu pieeja) </w:t>
      </w:r>
      <w:r w:rsidR="008E6DE2">
        <w:t>sadarbspējas</w:t>
      </w:r>
      <w:r w:rsidRPr="00A7123D">
        <w:t xml:space="preserve"> platformā;</w:t>
      </w:r>
    </w:p>
    <w:p w:rsidR="00CC44EE" w:rsidRPr="00A7123D" w:rsidRDefault="00CC44EE" w:rsidP="00CC44EE">
      <w:pPr>
        <w:pStyle w:val="ISBulletText"/>
      </w:pPr>
      <w:r w:rsidRPr="00A7123D">
        <w:rPr>
          <w:b/>
          <w:i/>
        </w:rPr>
        <w:t>Datu kopu publicēšana kopēšanai</w:t>
      </w:r>
      <w:r w:rsidRPr="00A7123D">
        <w:t xml:space="preserve"> - fiziski kopējot ārpus avotu datu bāzes un nododot partneru vai publiskai piekļuvei (kopēšanai kopumā) noteiktas datu kopas, informācija par kurām (metadati) tiek publicēt</w:t>
      </w:r>
      <w:r w:rsidR="003E14F0">
        <w:t>a</w:t>
      </w:r>
      <w:r w:rsidRPr="00A7123D">
        <w:t xml:space="preserve"> </w:t>
      </w:r>
      <w:r w:rsidR="008E6DE2">
        <w:t>sadarbspējas</w:t>
      </w:r>
      <w:r w:rsidRPr="00A7123D">
        <w:t xml:space="preserve"> platformā;</w:t>
      </w:r>
    </w:p>
    <w:p w:rsidR="00CC44EE" w:rsidRPr="00A7123D" w:rsidRDefault="00CC44EE" w:rsidP="00CC44EE">
      <w:pPr>
        <w:pStyle w:val="ISBulletText"/>
      </w:pPr>
      <w:r w:rsidRPr="00A7123D">
        <w:rPr>
          <w:b/>
          <w:i/>
        </w:rPr>
        <w:t>Datu dinamiskā izplatīšana ar iespējām veikt pieprasījumus</w:t>
      </w:r>
      <w:r w:rsidRPr="00A7123D">
        <w:t xml:space="preserve"> - nodrošinot kontrolētu piekļuvi īpaši transformētām un strukturētām datu kopām, publicējot </w:t>
      </w:r>
      <w:r w:rsidR="008E6DE2">
        <w:t>sadarbspējas</w:t>
      </w:r>
      <w:r w:rsidR="00521F14">
        <w:t>d</w:t>
      </w:r>
      <w:r w:rsidRPr="00A7123D">
        <w:t xml:space="preserve"> platformā šo datu struktūras un piekļuves (datu apakškopu pieprasījumu) protokolus. </w:t>
      </w:r>
    </w:p>
    <w:p w:rsidR="00CC44EE" w:rsidRPr="00A7123D" w:rsidRDefault="00CC44EE" w:rsidP="00CC44EE">
      <w:pPr>
        <w:pStyle w:val="ISBodySubhead2"/>
        <w:rPr>
          <w:bCs/>
          <w:i w:val="0"/>
          <w:iCs w:val="0"/>
          <w:u w:val="none"/>
          <w:lang w:eastAsia="en-US"/>
        </w:rPr>
      </w:pPr>
      <w:r w:rsidRPr="00A7123D">
        <w:rPr>
          <w:bCs/>
          <w:i w:val="0"/>
          <w:iCs w:val="0"/>
          <w:u w:val="none"/>
          <w:lang w:eastAsia="en-US"/>
        </w:rPr>
        <w:t xml:space="preserve">Lai efektīvi izmantotu resursus, nodrošinātu vienotu ieejas punktu izstrādātājiem, kas izmantos </w:t>
      </w:r>
      <w:r w:rsidR="00630EB0">
        <w:rPr>
          <w:bCs/>
          <w:i w:val="0"/>
          <w:iCs w:val="0"/>
          <w:u w:val="none"/>
          <w:lang w:eastAsia="en-US"/>
        </w:rPr>
        <w:t>publiskās pārvaldes datus</w:t>
      </w:r>
      <w:r w:rsidRPr="00A7123D">
        <w:rPr>
          <w:bCs/>
          <w:i w:val="0"/>
          <w:iCs w:val="0"/>
          <w:u w:val="none"/>
          <w:lang w:eastAsia="en-US"/>
        </w:rPr>
        <w:t xml:space="preserve">, tiek veidots centralizēts datu </w:t>
      </w:r>
      <w:r w:rsidR="0017645F">
        <w:rPr>
          <w:bCs/>
          <w:i w:val="0"/>
          <w:iCs w:val="0"/>
          <w:u w:val="none"/>
          <w:lang w:eastAsia="en-US"/>
        </w:rPr>
        <w:t>piekļuve</w:t>
      </w:r>
      <w:r w:rsidRPr="00A7123D">
        <w:rPr>
          <w:bCs/>
          <w:i w:val="0"/>
          <w:iCs w:val="0"/>
          <w:u w:val="none"/>
          <w:lang w:eastAsia="en-US"/>
        </w:rPr>
        <w:t xml:space="preserve">s administrēšanas un izplatīšanas atbalsta risinājums (datu integrācijas </w:t>
      </w:r>
      <w:r w:rsidR="00630EB0">
        <w:rPr>
          <w:bCs/>
          <w:i w:val="0"/>
          <w:iCs w:val="0"/>
          <w:u w:val="none"/>
          <w:lang w:eastAsia="en-US"/>
        </w:rPr>
        <w:t>serviss sadarbspējas platformas ietvaros</w:t>
      </w:r>
      <w:r w:rsidRPr="00A7123D">
        <w:rPr>
          <w:bCs/>
          <w:i w:val="0"/>
          <w:iCs w:val="0"/>
          <w:u w:val="none"/>
          <w:lang w:eastAsia="en-US"/>
        </w:rPr>
        <w:t xml:space="preserve"> – skat. P29), k</w:t>
      </w:r>
      <w:r w:rsidR="00630EB0">
        <w:rPr>
          <w:bCs/>
          <w:i w:val="0"/>
          <w:iCs w:val="0"/>
          <w:u w:val="none"/>
          <w:lang w:eastAsia="en-US"/>
        </w:rPr>
        <w:t>as</w:t>
      </w:r>
      <w:r w:rsidRPr="00A7123D">
        <w:rPr>
          <w:bCs/>
          <w:i w:val="0"/>
          <w:iCs w:val="0"/>
          <w:u w:val="none"/>
          <w:lang w:eastAsia="en-US"/>
        </w:rPr>
        <w:t xml:space="preserve"> nodrošina šādu koplietošanas  funkcionalitāti:</w:t>
      </w:r>
    </w:p>
    <w:p w:rsidR="00CC44EE" w:rsidRPr="00A7123D" w:rsidRDefault="00CC44EE" w:rsidP="00CC44EE">
      <w:pPr>
        <w:pStyle w:val="ISBulletText"/>
      </w:pPr>
      <w:r w:rsidRPr="00A7123D">
        <w:t xml:space="preserve">Datu </w:t>
      </w:r>
      <w:r w:rsidR="00521F14">
        <w:t>kopu</w:t>
      </w:r>
      <w:r w:rsidRPr="00A7123D">
        <w:t xml:space="preserve"> aprakstīšanu;</w:t>
      </w:r>
    </w:p>
    <w:p w:rsidR="00CC44EE" w:rsidRPr="00A7123D" w:rsidRDefault="00CC44EE" w:rsidP="00CC44EE">
      <w:pPr>
        <w:pStyle w:val="ISBulletText"/>
      </w:pPr>
      <w:r w:rsidRPr="00A7123D">
        <w:t xml:space="preserve">Dažāda veida </w:t>
      </w:r>
      <w:r w:rsidR="00630EB0">
        <w:t xml:space="preserve">datu atkalizmantošanas noteikumu </w:t>
      </w:r>
      <w:r w:rsidRPr="00A7123D">
        <w:t>publicēšanu</w:t>
      </w:r>
      <w:r w:rsidR="00630EB0">
        <w:t xml:space="preserve"> un </w:t>
      </w:r>
      <w:r w:rsidRPr="00A7123D">
        <w:t xml:space="preserve">sasaisti ar datu </w:t>
      </w:r>
      <w:r w:rsidR="00521F14">
        <w:t>kopām</w:t>
      </w:r>
      <w:r w:rsidRPr="00A7123D">
        <w:t>;</w:t>
      </w:r>
    </w:p>
    <w:p w:rsidR="00CC44EE" w:rsidRPr="00A7123D" w:rsidRDefault="00CC44EE" w:rsidP="00CC44EE">
      <w:pPr>
        <w:pStyle w:val="ISBulletText"/>
      </w:pPr>
      <w:r w:rsidRPr="00A7123D">
        <w:t>Piekļuves tiesību definēšanu un kontroli (gadījumā, ja publicēti dati, kas nav at</w:t>
      </w:r>
      <w:r w:rsidR="00C50BB4">
        <w:t>kalizmantojami</w:t>
      </w:r>
      <w:r w:rsidRPr="00A7123D">
        <w:t>, bet paredzēti ie</w:t>
      </w:r>
      <w:r w:rsidR="00C50BB4">
        <w:t xml:space="preserve">robežotai koplietošanai </w:t>
      </w:r>
      <w:r w:rsidRPr="00A7123D">
        <w:t>citās iestādēs);</w:t>
      </w:r>
    </w:p>
    <w:p w:rsidR="00CC44EE" w:rsidRPr="00A7123D" w:rsidRDefault="00CC44EE" w:rsidP="00CC44EE">
      <w:pPr>
        <w:pStyle w:val="ISBulletText"/>
      </w:pPr>
      <w:r w:rsidRPr="00A7123D">
        <w:t>Maksas datu kopu izplatīšanas kontroli un apmaksas servisa integrēšanu;</w:t>
      </w:r>
    </w:p>
    <w:p w:rsidR="00CC44EE" w:rsidRPr="00A7123D" w:rsidRDefault="00CC44EE" w:rsidP="00CC44EE">
      <w:pPr>
        <w:pStyle w:val="ISBulletText"/>
      </w:pPr>
      <w:r w:rsidRPr="00A7123D">
        <w:t>Auditēšanu un audita informācijas apskati;</w:t>
      </w:r>
    </w:p>
    <w:p w:rsidR="00CC44EE" w:rsidRPr="00A7123D" w:rsidRDefault="00CC44EE" w:rsidP="00CC44EE">
      <w:pPr>
        <w:pStyle w:val="ISBulletText"/>
      </w:pPr>
      <w:r w:rsidRPr="00A7123D">
        <w:t xml:space="preserve">Datu </w:t>
      </w:r>
      <w:r w:rsidR="00521F14">
        <w:t>kopu</w:t>
      </w:r>
      <w:r w:rsidRPr="00A7123D">
        <w:t xml:space="preserve"> uzglabāšanu kešā, lai uzlabotu to pieejamību (ja nepieciešams);</w:t>
      </w:r>
    </w:p>
    <w:p w:rsidR="00CC44EE" w:rsidRPr="00A7123D" w:rsidRDefault="00CC44EE" w:rsidP="00CC44EE">
      <w:pPr>
        <w:pStyle w:val="ISBulletText"/>
      </w:pPr>
      <w:r w:rsidRPr="00A7123D">
        <w:t xml:space="preserve">Tikai </w:t>
      </w:r>
      <w:r w:rsidR="00630EB0">
        <w:t>iz</w:t>
      </w:r>
      <w:r w:rsidRPr="00A7123D">
        <w:t xml:space="preserve">mainīto datu (datu jauninājumu) izplatīšanu (aktuāli lieliem datu </w:t>
      </w:r>
      <w:r w:rsidR="00521F14">
        <w:t>kopām</w:t>
      </w:r>
      <w:r w:rsidRPr="00A7123D">
        <w:t>);</w:t>
      </w:r>
    </w:p>
    <w:p w:rsidR="00CC44EE" w:rsidRPr="00A7123D" w:rsidRDefault="00CC44EE" w:rsidP="00CC44EE">
      <w:pPr>
        <w:pStyle w:val="ISBulletText"/>
      </w:pPr>
      <w:r w:rsidRPr="00A7123D">
        <w:t xml:space="preserve">API virtualizācija (tiek piešķirts unikāls datu </w:t>
      </w:r>
      <w:r w:rsidR="00521F14">
        <w:t>kopas</w:t>
      </w:r>
      <w:r w:rsidRPr="00A7123D">
        <w:t xml:space="preserve"> URL, kas ļauj mainīt iekšējo vietni, kur dati tiek publicēti no iestādes sistēmas, saglabājot ārējo URL nemainītu);</w:t>
      </w:r>
    </w:p>
    <w:p w:rsidR="00CC44EE" w:rsidRPr="00A7123D" w:rsidRDefault="00CC44EE" w:rsidP="00CC44EE">
      <w:pPr>
        <w:pStyle w:val="ISBulletText"/>
      </w:pPr>
      <w:r w:rsidRPr="00A7123D">
        <w:t>Iestāžu darba vietu publicēto datu pārvaldīšanai, audita apskatei un tml.</w:t>
      </w:r>
    </w:p>
    <w:p w:rsidR="00CC44EE" w:rsidRPr="00A7123D" w:rsidRDefault="00CC44EE" w:rsidP="00CC44EE">
      <w:pPr>
        <w:pStyle w:val="ISBodyText"/>
      </w:pPr>
      <w:r w:rsidRPr="00A7123D">
        <w:t xml:space="preserve">Iestāžu sistēmu pārvaldītāji, kas administrē datu izplatīšanu, var izvēlēties, vai izmantot centralizēto risinājumu tikai datu kopu </w:t>
      </w:r>
      <w:r w:rsidR="00514873">
        <w:t xml:space="preserve">satura </w:t>
      </w:r>
      <w:r w:rsidRPr="00A7123D">
        <w:t xml:space="preserve">aprakstīšanai un </w:t>
      </w:r>
      <w:r w:rsidR="00514873">
        <w:t>datu kopu atkalizmantošanas noteikumu publicēšanai</w:t>
      </w:r>
      <w:r w:rsidRPr="00A7123D">
        <w:t>, vai arī datu izplatīšanai</w:t>
      </w:r>
      <w:r w:rsidR="00514873">
        <w:t xml:space="preserve">, </w:t>
      </w:r>
      <w:r w:rsidRPr="00A7123D">
        <w:t>ko var ve</w:t>
      </w:r>
      <w:r w:rsidR="00514873">
        <w:t>ikt arī tieši no avotu sistēmām</w:t>
      </w:r>
      <w:r w:rsidRPr="00A7123D">
        <w:t>.</w:t>
      </w:r>
    </w:p>
    <w:p w:rsidR="00CC44EE" w:rsidRPr="00A7123D" w:rsidRDefault="00CC44EE" w:rsidP="00CC44EE">
      <w:pPr>
        <w:pStyle w:val="ISBodyText"/>
      </w:pPr>
      <w:r w:rsidRPr="00A7123D">
        <w:t xml:space="preserve">Datu kopu publicēšanai kopēšanai ir ieteicams izmantot CSV formātu. Datu dinamiskā izplatīšana ar iespējām veikt pieprasījumus ir jauns datu izplatīšanas veids, kura atbalstam tiks izstrādātas papildus komponentes </w:t>
      </w:r>
      <w:r w:rsidR="00630EB0">
        <w:t xml:space="preserve">sadarbspējas </w:t>
      </w:r>
      <w:r w:rsidRPr="00A7123D">
        <w:t xml:space="preserve">platformā (skat. P29). </w:t>
      </w:r>
    </w:p>
    <w:p w:rsidR="00CC44EE" w:rsidRPr="00A7123D" w:rsidRDefault="00CC44EE" w:rsidP="00CC44EE">
      <w:pPr>
        <w:pStyle w:val="ISBodyText"/>
        <w:rPr>
          <w:i/>
        </w:rPr>
      </w:pPr>
      <w:r w:rsidRPr="00A7123D">
        <w:t xml:space="preserve">Izmantojot datu izplatīšanai vienotas pieejas un aprakstot datu </w:t>
      </w:r>
      <w:r w:rsidR="00521F14">
        <w:t>kopa</w:t>
      </w:r>
      <w:r w:rsidRPr="00A7123D">
        <w:t>s vienviet, tiek nodrošināta:</w:t>
      </w:r>
    </w:p>
    <w:p w:rsidR="00CC44EE" w:rsidRPr="00A7123D" w:rsidRDefault="00CC44EE" w:rsidP="00CC44EE">
      <w:pPr>
        <w:pStyle w:val="ISBulletText"/>
      </w:pPr>
      <w:r w:rsidRPr="00A7123D">
        <w:t>Datu pēc iespējas lielāka tehniskā savietojamība;</w:t>
      </w:r>
    </w:p>
    <w:p w:rsidR="00CC44EE" w:rsidRPr="00A7123D" w:rsidRDefault="00CC44EE" w:rsidP="00CC44EE">
      <w:pPr>
        <w:pStyle w:val="ISBulletText"/>
      </w:pPr>
      <w:r w:rsidRPr="00A7123D">
        <w:t xml:space="preserve">Datu saņēmējiem un atkalizmantotājiem </w:t>
      </w:r>
      <w:r w:rsidR="003E14F0">
        <w:t xml:space="preserve">- </w:t>
      </w:r>
      <w:r w:rsidRPr="00A7123D">
        <w:t xml:space="preserve">viens sākotnējais piekļuves punkts datiem un visu </w:t>
      </w:r>
      <w:r w:rsidR="00630EB0">
        <w:t>datu atkalizmantošanas noteikumu</w:t>
      </w:r>
      <w:r w:rsidRPr="00A7123D">
        <w:t xml:space="preserve"> administrēšana;</w:t>
      </w:r>
    </w:p>
    <w:p w:rsidR="00CC44EE" w:rsidRPr="00A7123D" w:rsidRDefault="00CC44EE" w:rsidP="00CC44EE">
      <w:pPr>
        <w:pStyle w:val="ISBulletText"/>
      </w:pPr>
      <w:r w:rsidRPr="00A7123D">
        <w:t xml:space="preserve">Izstrādātājiem – piekļuve tehniskai informācijai par datu </w:t>
      </w:r>
      <w:r w:rsidR="00521F14">
        <w:t>kopā</w:t>
      </w:r>
      <w:r w:rsidRPr="00A7123D">
        <w:t>m, to struktūru un izguves pieeju;</w:t>
      </w:r>
    </w:p>
    <w:p w:rsidR="00CC44EE" w:rsidRPr="00A7123D" w:rsidRDefault="00CC44EE" w:rsidP="00CC44EE">
      <w:pPr>
        <w:pStyle w:val="ISBulletText"/>
      </w:pPr>
      <w:r w:rsidRPr="00A7123D">
        <w:lastRenderedPageBreak/>
        <w:t>Efektīva valsts resursu izmantošana, veidojot vienviet papildu servisus (autorizācija, maksājumi, licences kontrole), kas nepieciešami maksas datu kopu izplatīšanai un datu kopām, kuras tiek izplatītas starp iestādēm.</w:t>
      </w:r>
    </w:p>
    <w:p w:rsidR="00CC44EE" w:rsidRPr="00A7123D" w:rsidRDefault="00CC44EE" w:rsidP="00CC44EE">
      <w:pPr>
        <w:pStyle w:val="ISBodyText"/>
      </w:pPr>
      <w:r w:rsidRPr="00A7123D">
        <w:t>Nodrošinot datu ap</w:t>
      </w:r>
      <w:r w:rsidR="0017645F">
        <w:t>riti</w:t>
      </w:r>
      <w:r w:rsidRPr="00A7123D">
        <w:t xml:space="preserve"> pēc iespējas vienkāršā CSV formātā, tiek atbalstītas iepriekš izstrādātas sistēmas, arī sistēmas, kas izplata lielus datu </w:t>
      </w:r>
      <w:r w:rsidR="00521F14">
        <w:t>kopas</w:t>
      </w:r>
      <w:r w:rsidRPr="00A7123D">
        <w:t xml:space="preserve">. Izmantojot datu dinamiskās izplatīšanas pieeju, tiek nodrošināta efektīva datu piekļuves saskarne, kas ļauj darboties ar datu </w:t>
      </w:r>
      <w:r w:rsidR="00521F14">
        <w:t>kopu</w:t>
      </w:r>
      <w:r w:rsidRPr="00A7123D">
        <w:t xml:space="preserve"> apakškopām, neveicot pilnu </w:t>
      </w:r>
      <w:r w:rsidR="00521F14">
        <w:t>kopu</w:t>
      </w:r>
      <w:r w:rsidRPr="00A7123D">
        <w:t xml:space="preserve"> pārsūtīšanu pa tīk</w:t>
      </w:r>
      <w:r w:rsidR="003E14F0">
        <w:t>l</w:t>
      </w:r>
      <w:r w:rsidRPr="00A7123D">
        <w:t>u.</w:t>
      </w:r>
    </w:p>
    <w:p w:rsidR="007B14F9" w:rsidRPr="0036392F" w:rsidRDefault="007B14F9" w:rsidP="007B14F9">
      <w:pPr>
        <w:pStyle w:val="ISBodyText"/>
      </w:pPr>
    </w:p>
    <w:p w:rsidR="00E95D38" w:rsidRDefault="00E95D38" w:rsidP="00E95D38">
      <w:pPr>
        <w:pStyle w:val="ISHeading1"/>
      </w:pPr>
      <w:bookmarkStart w:id="74" w:name="_Toc405912579"/>
      <w:bookmarkStart w:id="75" w:name="_Toc410147001"/>
      <w:bookmarkStart w:id="76" w:name="_Toc405912600"/>
      <w:bookmarkStart w:id="77" w:name="_Toc384377514"/>
      <w:bookmarkStart w:id="78" w:name="_Toc392680547"/>
      <w:bookmarkEnd w:id="50"/>
      <w:bookmarkEnd w:id="51"/>
      <w:r>
        <w:lastRenderedPageBreak/>
        <w:t>Lietojumprogrammatūras</w:t>
      </w:r>
      <w:r w:rsidRPr="00A81915">
        <w:t xml:space="preserve"> arhitektūra</w:t>
      </w:r>
      <w:bookmarkEnd w:id="74"/>
      <w:bookmarkEnd w:id="75"/>
    </w:p>
    <w:p w:rsidR="00E95D38" w:rsidRDefault="00E95D38" w:rsidP="00E95D38">
      <w:pPr>
        <w:pStyle w:val="ISBodyText"/>
      </w:pPr>
      <w:r w:rsidRPr="00571028">
        <w:t>Lietojumprogrammatūras konceptuālo arhitektūru definē divas principu grupas. Pirm</w:t>
      </w:r>
      <w:r>
        <w:t>ajā</w:t>
      </w:r>
      <w:r w:rsidRPr="00571028">
        <w:t xml:space="preserve"> – lietojumprogrammatūras risinājumu attīstības un ieviešanas principu grupā ir iekļauti vispārēji principi, kas jāievēro, izvēloties, projektējot, attīstot un ieviešot publiskās pārvaldes procesus atbalstošus lietojumprogrammatūras risinājumus, kā arī definē publiskās pārvaldes institūcijas tipveida jeb references lietojumprogrammatūras arhitektūras modeli, kurā attēlots konceptuāli iespējamais (teorētiskais) specializētās lietojumprogrammatūras vai atbilstošo funkcionalitāti nodrošinošo pakalpojumu kopums,</w:t>
      </w:r>
      <w:r>
        <w:t xml:space="preserve"> tajā izdalot to funkcionalitāti, kas jau ir vai tuvākajā </w:t>
      </w:r>
      <w:r w:rsidR="003E14F0">
        <w:t xml:space="preserve">laikā </w:t>
      </w:r>
      <w:r>
        <w:t>būs pieejama centralizētajās platformās vai koplietošanas servisos.</w:t>
      </w:r>
    </w:p>
    <w:p w:rsidR="00E95D38" w:rsidRDefault="00E95D38" w:rsidP="00E95D38">
      <w:pPr>
        <w:pStyle w:val="ISBodyText"/>
      </w:pPr>
      <w:r>
        <w:t xml:space="preserve">Otrā principu grupa detalizētāk izskaidro galveno koplietošanas platformu un risinājumu būtību un izmantošanas principus, kā arī definē rekomendējamo pieeju platformu un koplietošanas risinājumu attīstībai. </w:t>
      </w:r>
    </w:p>
    <w:p w:rsidR="00E95D38" w:rsidRDefault="00E95D38" w:rsidP="00E95D38">
      <w:pPr>
        <w:pStyle w:val="ISBodyText"/>
      </w:pPr>
      <w:r>
        <w:t xml:space="preserve">Lietojumprogrammatūras arhitektūras izklāstā ir izmantotas shēmas, kuru apzīmējumi izskaidroti </w:t>
      </w:r>
      <w:r w:rsidR="00715134">
        <w:t>7</w:t>
      </w:r>
      <w:r>
        <w:t>. attēlā.</w:t>
      </w:r>
    </w:p>
    <w:p w:rsidR="00E95D38" w:rsidRPr="00CC44EE" w:rsidRDefault="00E95D38" w:rsidP="00E95D38">
      <w:pPr>
        <w:keepNext/>
        <w:spacing w:before="120" w:after="120"/>
        <w:jc w:val="center"/>
        <w:rPr>
          <w:rFonts w:eastAsia="MS Mincho" w:cs="Segoe UI"/>
          <w:bCs/>
          <w:szCs w:val="22"/>
        </w:rPr>
      </w:pPr>
      <w:r w:rsidRPr="00CC44EE">
        <w:rPr>
          <w:rFonts w:eastAsia="MS Mincho" w:cs="Segoe UI"/>
          <w:bCs/>
          <w:noProof/>
          <w:szCs w:val="22"/>
          <w:lang w:eastAsia="lv-LV"/>
        </w:rPr>
        <w:drawing>
          <wp:inline distT="0" distB="0" distL="0" distR="0">
            <wp:extent cx="2879226" cy="2869316"/>
            <wp:effectExtent l="0" t="0" r="0" b="762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rka-merka-arhitektura-apzimejumi.png"/>
                    <pic:cNvPicPr/>
                  </pic:nvPicPr>
                  <pic:blipFill>
                    <a:blip r:embed="rId20">
                      <a:extLst>
                        <a:ext uri="{28A0092B-C50C-407E-A947-70E740481C1C}">
                          <a14:useLocalDpi xmlns:a14="http://schemas.microsoft.com/office/drawing/2010/main" val="0"/>
                        </a:ext>
                      </a:extLst>
                    </a:blip>
                    <a:stretch>
                      <a:fillRect/>
                    </a:stretch>
                  </pic:blipFill>
                  <pic:spPr>
                    <a:xfrm>
                      <a:off x="0" y="0"/>
                      <a:ext cx="2941500" cy="2931375"/>
                    </a:xfrm>
                    <a:prstGeom prst="rect">
                      <a:avLst/>
                    </a:prstGeom>
                  </pic:spPr>
                </pic:pic>
              </a:graphicData>
            </a:graphic>
          </wp:inline>
        </w:drawing>
      </w:r>
    </w:p>
    <w:p w:rsidR="00E95D38" w:rsidRPr="00CC44EE" w:rsidRDefault="00715134" w:rsidP="00E95D38">
      <w:pPr>
        <w:spacing w:before="60" w:after="60"/>
        <w:jc w:val="center"/>
        <w:rPr>
          <w:b/>
          <w:bCs/>
          <w:sz w:val="20"/>
        </w:rPr>
      </w:pPr>
      <w:bookmarkStart w:id="79" w:name="_Ref400338317"/>
      <w:r>
        <w:rPr>
          <w:b/>
          <w:bCs/>
          <w:sz w:val="20"/>
        </w:rPr>
        <w:t>7</w:t>
      </w:r>
      <w:r w:rsidR="00E95D38" w:rsidRPr="00CC44EE">
        <w:rPr>
          <w:b/>
          <w:bCs/>
          <w:sz w:val="20"/>
        </w:rPr>
        <w:t>. attēls</w:t>
      </w:r>
      <w:bookmarkEnd w:id="79"/>
      <w:r w:rsidR="00E95D38" w:rsidRPr="00CC44EE">
        <w:rPr>
          <w:b/>
          <w:bCs/>
          <w:sz w:val="20"/>
        </w:rPr>
        <w:t xml:space="preserve">. </w:t>
      </w:r>
      <w:r w:rsidR="00E95D38">
        <w:rPr>
          <w:b/>
          <w:bCs/>
          <w:sz w:val="20"/>
        </w:rPr>
        <w:t>Lietojump</w:t>
      </w:r>
      <w:r w:rsidR="00E95D38" w:rsidRPr="00CC44EE">
        <w:rPr>
          <w:b/>
          <w:bCs/>
          <w:sz w:val="20"/>
        </w:rPr>
        <w:t>rogrammatūras arhitektūras shēmās izmantotie apzīmējumi.</w:t>
      </w:r>
    </w:p>
    <w:p w:rsidR="00E95D38" w:rsidRDefault="00E95D38" w:rsidP="00E95D38">
      <w:pPr>
        <w:pStyle w:val="ISBodyText"/>
      </w:pPr>
      <w:r>
        <w:t xml:space="preserve"> </w:t>
      </w:r>
    </w:p>
    <w:p w:rsidR="00E95D38" w:rsidRDefault="00E95D38" w:rsidP="00E95D38">
      <w:pPr>
        <w:pStyle w:val="ISHeading2"/>
      </w:pPr>
      <w:bookmarkStart w:id="80" w:name="_Toc405912580"/>
      <w:bookmarkStart w:id="81" w:name="_Toc410147002"/>
      <w:r>
        <w:t>Lietojumprogrammatūras risinājumu attīstības un ieviešanas principi</w:t>
      </w:r>
      <w:bookmarkEnd w:id="80"/>
      <w:bookmarkEnd w:id="81"/>
    </w:p>
    <w:p w:rsidR="00E95D38" w:rsidRPr="00665D90" w:rsidRDefault="00E95D38" w:rsidP="00E95D38">
      <w:pPr>
        <w:pStyle w:val="ISBodyText"/>
      </w:pPr>
      <w:r w:rsidRPr="00B95E56">
        <w:t xml:space="preserve">Sadaļā iekļautie principi P18 – P24 ir tieši piemērojami visu publiskās pārvaldes informācijas apstrādes risinājumu konceptuālās projektēšanas, tehnoloģisko risinājumu izvēles, pielāgošanas, attīstības un ieviešanas fāzēs. References modeļa apraksts (P25) ir izmantojams risinājumu konceptuālās projektēšanas fāzē, definējot attīstāmā risinājuma sfēru attiecībā pret organizācijas kopējo IKT risinājumu arhitektūru un koplietošanas platformu un risinājumu izmantošanu. </w:t>
      </w:r>
      <w:r w:rsidR="00B95E56" w:rsidRPr="00B95E56">
        <w:t>Kā ar konkrētiem piemēriem ir izskaidrots arī konkrēto principu aprakstos, pamatotas atkāpes no principiem var būt pieļaujamas.</w:t>
      </w:r>
      <w:r w:rsidR="00B95E56">
        <w:t xml:space="preserve"> </w:t>
      </w:r>
      <w:r w:rsidRPr="00665D90">
        <w:t xml:space="preserve"> </w:t>
      </w:r>
    </w:p>
    <w:p w:rsidR="00E95D38" w:rsidRPr="000D79F2" w:rsidRDefault="00E95D38" w:rsidP="00E95D38">
      <w:pPr>
        <w:pStyle w:val="Princips"/>
      </w:pPr>
      <w:bookmarkStart w:id="82" w:name="_Toc405912581"/>
      <w:bookmarkStart w:id="83" w:name="_Toc410147003"/>
      <w:r w:rsidRPr="000D79F2">
        <w:lastRenderedPageBreak/>
        <w:t>Lietojumprogrammatūras neierobežota atkārtota izmantošana</w:t>
      </w:r>
      <w:bookmarkEnd w:id="82"/>
      <w:r>
        <w:t xml:space="preserve"> un koplietošana</w:t>
      </w:r>
      <w:bookmarkEnd w:id="83"/>
    </w:p>
    <w:p w:rsidR="00E95D38" w:rsidRPr="00B32017" w:rsidRDefault="00E95D38" w:rsidP="00E95D38">
      <w:pPr>
        <w:pStyle w:val="ISBodyText"/>
      </w:pPr>
      <w:r w:rsidRPr="00B32017">
        <w:t xml:space="preserve">Lietojumprogrammatūras atkārtota izmantošana (jeb unikālas lietojumprogrammatūras izstrādes ierobežošana līdz nepieciešamajam minimumam) ir viens no racionālas IKT pārvaldības pamatprincipiem. Publiskajā pārvaldē, kur IKT attīstība tiek finansēta par </w:t>
      </w:r>
      <w:r w:rsidR="000A6D1E">
        <w:t xml:space="preserve">publiskiem </w:t>
      </w:r>
      <w:r w:rsidRPr="00B32017">
        <w:t>līdzekļiem</w:t>
      </w:r>
      <w:r w:rsidR="00687193">
        <w:t>,</w:t>
      </w:r>
      <w:r w:rsidRPr="00B32017">
        <w:t xml:space="preserve"> konsekventa </w:t>
      </w:r>
      <w:r w:rsidRPr="000D79F2">
        <w:t>atkārtotas izmantošanas</w:t>
      </w:r>
      <w:r w:rsidRPr="00B32017">
        <w:t xml:space="preserve"> p</w:t>
      </w:r>
      <w:r>
        <w:t>ieeja</w:t>
      </w:r>
      <w:r w:rsidRPr="00B32017">
        <w:t xml:space="preserve"> “abos virzienos” ir īpaši svarīga.</w:t>
      </w:r>
    </w:p>
    <w:p w:rsidR="00E95D38" w:rsidRDefault="00E95D38" w:rsidP="00E95D38">
      <w:pPr>
        <w:pStyle w:val="ISBodyText"/>
      </w:pPr>
      <w:r>
        <w:t>N</w:t>
      </w:r>
      <w:r w:rsidRPr="00B32017">
        <w:t xml:space="preserve">o vienas puses, pirms lēmuma par </w:t>
      </w:r>
      <w:r>
        <w:t xml:space="preserve">jaunas </w:t>
      </w:r>
      <w:r w:rsidRPr="00B32017">
        <w:t>oriģinālas funkcionalitātes izstrādes pieņemšanas obligāti ir jāizvērtē</w:t>
      </w:r>
      <w:r w:rsidR="00687193">
        <w:t>,</w:t>
      </w:r>
      <w:r w:rsidRPr="00B32017">
        <w:t xml:space="preserve"> vai līdzvērtīga vai efektīvi pielāgojama lietojumprogrammatūra (vai servisi) jau nav pieejama iepriekšēju nozares, nacionālās valsts vai Eiropas Savienības institūciju  realizētu projektu izpildes rezultātā. No otras puses – </w:t>
      </w:r>
      <w:r w:rsidRPr="00A66FB7">
        <w:rPr>
          <w:b/>
        </w:rPr>
        <w:t xml:space="preserve">attīstot lietojumprogrammatūras risinājumus un to komponentes par publisku finansējumu, </w:t>
      </w:r>
      <w:r w:rsidR="005C0EEF" w:rsidRPr="00A66FB7">
        <w:rPr>
          <w:b/>
        </w:rPr>
        <w:t>ir jānodrošina</w:t>
      </w:r>
      <w:r w:rsidR="00687193" w:rsidRPr="00A66FB7">
        <w:rPr>
          <w:b/>
        </w:rPr>
        <w:t>,</w:t>
      </w:r>
      <w:r w:rsidR="005C0EEF" w:rsidRPr="00A66FB7">
        <w:rPr>
          <w:b/>
        </w:rPr>
        <w:t xml:space="preserve"> lai izstrādes rezultāti (tajā skaitā programmatūras pirmkods un tā dokumentācija) ir pieejami pēc iespējas plašākam potenciālo izmantotāju lokam</w:t>
      </w:r>
      <w:r w:rsidR="005C0EEF" w:rsidRPr="00B32017">
        <w:t xml:space="preserve"> (ideāli – visām ES institūcijām, dalībvalstu institūcijām un arī dalībvalstu fiziskām un juridiskām personām</w:t>
      </w:r>
      <w:r w:rsidR="005C0EEF">
        <w:t xml:space="preserve">) </w:t>
      </w:r>
      <w:r w:rsidR="005C0EEF" w:rsidRPr="005C0EEF">
        <w:t>un ir izmantojami citas lietojumprogrammatūras izstrādei</w:t>
      </w:r>
      <w:r w:rsidR="005C0EEF">
        <w:t>.</w:t>
      </w:r>
    </w:p>
    <w:p w:rsidR="00E95D38" w:rsidRDefault="00E95D38" w:rsidP="00E95D38">
      <w:pPr>
        <w:pStyle w:val="ISBodyText"/>
      </w:pPr>
      <w:r>
        <w:t xml:space="preserve">Lietojumprogrammatūras reālas </w:t>
      </w:r>
      <w:r w:rsidRPr="000D79F2">
        <w:t>atkārtotas izmantošanas</w:t>
      </w:r>
      <w:r>
        <w:t xml:space="preserve"> iespēju nodrošināšana var prasīt papildus investīcijas (piemēram, licenču vai izstrādes izmaksu sadārdzinājums, papildus dokumentācijas izstrāde utml.) un/vai uzlikt ierobežojumus komerciālu tehnoloģiju izmantošanā. Lēmumus par šāda veida papildus ieguldījumiem var pieņemt tikai tādu attīstības programmu ietvaros, kurās var gūt reālus papildus ieguvumus no attiecīgo komponentu </w:t>
      </w:r>
      <w:r w:rsidRPr="000D79F2">
        <w:t>atkārtotas izmantošanas.</w:t>
      </w:r>
      <w:r>
        <w:t xml:space="preserve"> Konceptuālās rekomendācijas būtība ir izvairīties no risinājumiem un tehnoloģijām, kas nepamatoti ierobežo (piemēram, no licencēšanas viedokļa) </w:t>
      </w:r>
      <w:r w:rsidRPr="006E0EBD">
        <w:t xml:space="preserve">atkārtotu izmantošanu vai lietotāju loku. </w:t>
      </w:r>
    </w:p>
    <w:p w:rsidR="00E95D38" w:rsidRPr="00791FA2" w:rsidRDefault="00E95D38" w:rsidP="00E95D38">
      <w:pPr>
        <w:pStyle w:val="ISBodyText"/>
        <w:rPr>
          <w:b/>
          <w:i/>
          <w:iCs/>
          <w:u w:val="single"/>
        </w:rPr>
      </w:pPr>
      <w:r>
        <w:t xml:space="preserve">Attiecībā uz ES, nacionālā līmenī vai </w:t>
      </w:r>
      <w:r w:rsidRPr="006E0EBD">
        <w:t>pat nozarē jau pieejamu risinājumu atkārtotu izmantošanu princips ir piemērojams strikti. Funkcionalitātes pieejamības analīze ir obligāta prasība lietojumprogrammatūras risinājumu attīstības projektiem</w:t>
      </w:r>
      <w:r w:rsidR="002B184C">
        <w:t xml:space="preserve"> un ir veicama gan risinājuma konceptuālās projektēšanas fāzē (attiecībā uz risinājuma pamata elementiem – sistēmām un būtiskām komponentēm), gan turpmākajās projektēšanas fāzēs (attiecībā uz mazāku komponentu atkārtotas izmantošanas iespējām)</w:t>
      </w:r>
      <w:r w:rsidRPr="006E0EBD">
        <w:t>. Galīgais lēmums par atkārtotu izmantošanu (un tās veidu) vai oriģināla risinājuma</w:t>
      </w:r>
      <w:r w:rsidR="002B184C">
        <w:t xml:space="preserve"> (vai komponenta)</w:t>
      </w:r>
      <w:r w:rsidRPr="006E0EBD">
        <w:t xml:space="preserve"> izstrādi ir pieņemams</w:t>
      </w:r>
      <w:r w:rsidR="00687193">
        <w:t>,</w:t>
      </w:r>
      <w:r w:rsidRPr="006E0EBD">
        <w:t xml:space="preserve"> pamatā balstoties uz risinājumu savietojamības un ilgtermiņa kopējo izmaksu</w:t>
      </w:r>
      <w:r>
        <w:t xml:space="preserve"> (TCO) apsvērumiem. Salīdzinot oriģinālas jaunas izstrādes potenciālās izstrādes izmaksas ar aprobētu risinājumu izmaksām</w:t>
      </w:r>
      <w:r w:rsidR="00687193">
        <w:t>,</w:t>
      </w:r>
      <w:r>
        <w:t xml:space="preserve"> ir jāņem vērā ar izstrādi un tās kvalitāti sa</w:t>
      </w:r>
      <w:r w:rsidRPr="00791FA2">
        <w:t xml:space="preserve">istītos riskus.   </w:t>
      </w:r>
    </w:p>
    <w:p w:rsidR="00E95D38" w:rsidRPr="00791FA2" w:rsidRDefault="00E95D38" w:rsidP="00E95D38">
      <w:pPr>
        <w:pStyle w:val="ISBodyText"/>
      </w:pPr>
      <w:r w:rsidRPr="00791FA2">
        <w:t xml:space="preserve">Lietojumprogrammatūras atkārtota izmantošana var dot papildus ieguvumus no sabiedriskā finansējuma ieguldījumiem. Aprobētu (arī komerciālu produktu un risinājumu) izmantošana oriģinālas programmatūras izstrādes vietā var būtiski samazināt projektu riskus. </w:t>
      </w:r>
    </w:p>
    <w:p w:rsidR="00E95D38" w:rsidRPr="008056A6" w:rsidRDefault="00E95D38" w:rsidP="00E95D38">
      <w:pPr>
        <w:pStyle w:val="Princips"/>
      </w:pPr>
      <w:bookmarkStart w:id="84" w:name="_Toc405912582"/>
      <w:bookmarkStart w:id="85" w:name="_Toc410147004"/>
      <w:r w:rsidRPr="008056A6">
        <w:t xml:space="preserve">Risinājumu </w:t>
      </w:r>
      <w:r>
        <w:t>koplietošana</w:t>
      </w:r>
      <w:r w:rsidRPr="008056A6">
        <w:t xml:space="preserve"> servisu</w:t>
      </w:r>
      <w:r>
        <w:t xml:space="preserve"> (pakalpoju</w:t>
      </w:r>
      <w:r w:rsidR="00B95E56">
        <w:t>mu</w:t>
      </w:r>
      <w:r>
        <w:t>)</w:t>
      </w:r>
      <w:r w:rsidRPr="008056A6">
        <w:t xml:space="preserve"> līmenī</w:t>
      </w:r>
      <w:bookmarkEnd w:id="84"/>
      <w:bookmarkEnd w:id="85"/>
      <w:r w:rsidRPr="008056A6">
        <w:t xml:space="preserve"> </w:t>
      </w:r>
    </w:p>
    <w:p w:rsidR="00E95D38" w:rsidRDefault="00E95D38" w:rsidP="00E95D38">
      <w:pPr>
        <w:pStyle w:val="ISBodyText"/>
      </w:pPr>
      <w:r>
        <w:t xml:space="preserve">Konceptuāli atbalstot visa veida koplietošanu, </w:t>
      </w:r>
      <w:r w:rsidR="00A66FB7">
        <w:t xml:space="preserve">publiskās pārvaldes ietvaros </w:t>
      </w:r>
      <w:r>
        <w:t xml:space="preserve">par pašu vēlamāko tiek uzskatīta koplietošana </w:t>
      </w:r>
      <w:r w:rsidR="00B95E56">
        <w:t>pakalpojumu</w:t>
      </w:r>
      <w:r>
        <w:t xml:space="preserve"> līmenī - centralizētajās platformās (pamatā) un iestāžu informācijas sistēmās (gadījumos, kad tas ir pamatoti) veidojot servisus, kurus var izmantot citas iestādes atkārtoti:</w:t>
      </w:r>
    </w:p>
    <w:p w:rsidR="00E95D38" w:rsidRDefault="00E95D38" w:rsidP="00E95D38">
      <w:pPr>
        <w:pStyle w:val="ISBulletText"/>
      </w:pPr>
      <w:r>
        <w:t>Tiek koplietots ne tikai programmatūras komponents, bet aparatūra, uzturēšanas pakalpojums;</w:t>
      </w:r>
    </w:p>
    <w:p w:rsidR="00E95D38" w:rsidRDefault="00E95D38" w:rsidP="00E95D38">
      <w:pPr>
        <w:pStyle w:val="ISBulletText"/>
      </w:pPr>
      <w:r>
        <w:t>Koplietošana (jeb atkārtota izmantošana) komponentu vai programmatūras pirmkoda līmenī ir iespējama, taču ir mazāk ieteicama;</w:t>
      </w:r>
    </w:p>
    <w:p w:rsidR="00E95D38" w:rsidRDefault="00E95D38" w:rsidP="00E95D38">
      <w:pPr>
        <w:pStyle w:val="ISBulletText"/>
      </w:pPr>
      <w:r>
        <w:lastRenderedPageBreak/>
        <w:t>Sistēmu veidošanā koplietojami servisi ir būtisks projektēšanas aspekts;</w:t>
      </w:r>
    </w:p>
    <w:p w:rsidR="00E95D38" w:rsidRDefault="00E95D38" w:rsidP="00E95D38">
      <w:pPr>
        <w:pStyle w:val="ISBulletText"/>
      </w:pPr>
      <w:r>
        <w:t>Sistēmu uzturētājiem saviem pakalpojumiem jādefinē precīzs servisa apraksts un servisa līmeņa garantējums (SLA), kurā definēta pakalpojuma pieejamība, drošība un citi kvalitatīvie aspekti.</w:t>
      </w:r>
    </w:p>
    <w:p w:rsidR="00E95D38" w:rsidRDefault="00E95D38" w:rsidP="00E95D38">
      <w:pPr>
        <w:pStyle w:val="ISBulletText"/>
        <w:numPr>
          <w:ilvl w:val="0"/>
          <w:numId w:val="0"/>
        </w:numPr>
      </w:pPr>
      <w:r>
        <w:t xml:space="preserve">Centralizēto platformu nodrošinātie koplietojamie servisi ir iekļaujami koplietojamo servisu katalogos, kas ir attiecīgo centralizēto platformu sastāvdaļas, turpretī iestāžu informācijas sistēmu ietvaros realizējamie koplietošanas servisi ir reģistrējami valsts informācijas resursu, sistēmu un sadarbspējas reģistrā, kas aizstās esošo valsts informācijas sistēmu reģistru, paplašinot tā funkcijas. </w:t>
      </w:r>
    </w:p>
    <w:p w:rsidR="00E95D38" w:rsidRDefault="00E95D38" w:rsidP="00E95D38">
      <w:pPr>
        <w:pStyle w:val="ISBodyText"/>
      </w:pPr>
      <w:r>
        <w:t>P</w:t>
      </w:r>
      <w:r w:rsidRPr="00E20E07">
        <w:t xml:space="preserve">iemērs </w:t>
      </w:r>
      <w:r>
        <w:t>koplietošanai</w:t>
      </w:r>
      <w:r w:rsidRPr="00E20E07">
        <w:t xml:space="preserve"> servisu līmenī ir lietotāju autentifikācijas koplietošanas </w:t>
      </w:r>
      <w:r>
        <w:t xml:space="preserve">moduļa (faktiski – servisa, kas ietver sadarbību ar e-identifikācijas pakalpojumu sniedzējiem) </w:t>
      </w:r>
      <w:r w:rsidRPr="00E20E07">
        <w:t xml:space="preserve">integrēšana iestādes </w:t>
      </w:r>
      <w:r>
        <w:t xml:space="preserve">informācijas sistēmas </w:t>
      </w:r>
      <w:r w:rsidRPr="00E20E07">
        <w:t>risinājumā</w:t>
      </w:r>
      <w:r>
        <w:t xml:space="preserve">. Pašu servisu darbina par to atbildīgā institūcija (konkrētajā gadījumā – VRAA) un tas netiek </w:t>
      </w:r>
      <w:r w:rsidRPr="00E20E07">
        <w:t xml:space="preserve">“nokopēts” un padarīts par daļu no iestādes </w:t>
      </w:r>
      <w:r>
        <w:t xml:space="preserve">informācijas </w:t>
      </w:r>
      <w:r w:rsidRPr="00E20E07">
        <w:t>sistēmas</w:t>
      </w:r>
      <w:r>
        <w:t xml:space="preserve"> lietojumprogrammatūras</w:t>
      </w:r>
      <w:r w:rsidRPr="00E20E07">
        <w:t>, kuru tad būtu jāuztur un jāattīsta atsevišķi.</w:t>
      </w:r>
      <w:r>
        <w:t xml:space="preserve"> </w:t>
      </w:r>
    </w:p>
    <w:p w:rsidR="00E95D38" w:rsidRDefault="00E95D38" w:rsidP="00E95D38">
      <w:pPr>
        <w:pStyle w:val="ISBodyText"/>
      </w:pPr>
      <w:r>
        <w:t>Ir jāņem vērā, ka servisu koplietošana nozīmē nepārtrauktu sasaisti starp pakalpojuma (servisa) nodrošinātāju un izmantotāju visa sistēmas dzīves cikla laikā. Tam ir nepieciešami precīzi definēti SLA, kā arī sadarbības procesi, lai nodrošinātu lietotāju atbalstu.</w:t>
      </w:r>
    </w:p>
    <w:p w:rsidR="00E95D38" w:rsidRDefault="00E95D38" w:rsidP="00E95D38">
      <w:pPr>
        <w:pStyle w:val="ISBodyText"/>
      </w:pPr>
      <w:r>
        <w:t>Koplietojot</w:t>
      </w:r>
      <w:r w:rsidRPr="00D501C9">
        <w:t xml:space="preserve"> servisus</w:t>
      </w:r>
      <w:r w:rsidR="0088486E">
        <w:t>,</w:t>
      </w:r>
      <w:r w:rsidRPr="00D501C9">
        <w:t xml:space="preserve"> tiek </w:t>
      </w:r>
      <w:r>
        <w:t>koplietoti</w:t>
      </w:r>
      <w:r w:rsidRPr="00D501C9">
        <w:t xml:space="preserve"> ne tikai programmatūras komponenti, bet arī to darbināšanā un uzturēšanā iesaistītie resursi. Ieguvēji ir arī risinājumu gala lietotāji, jo, ja viens un tas pats serviss tiek izmantots vairākās sistēmās (piemēram, vienotais autentifikācijas serviss), tad sistēmas lietotājiem tas atvieglo darbu, jo jāapgūst tikai viens veids, kā veikt autentifikāciju</w:t>
      </w:r>
      <w:r w:rsidR="0088486E">
        <w:t>,</w:t>
      </w:r>
      <w:r w:rsidRPr="00D501C9">
        <w:t xml:space="preserve"> nevis katrā sistēmā jāapgūst cita saskarne vai pat pieeja.</w:t>
      </w:r>
    </w:p>
    <w:p w:rsidR="00261352" w:rsidRPr="005A1118" w:rsidRDefault="00261352" w:rsidP="00261352">
      <w:pPr>
        <w:pStyle w:val="ISBodyText"/>
      </w:pPr>
      <w:r w:rsidRPr="005A1118">
        <w:t>Lai izvairītos no situācijām, kad katras jaunas integrācijas gadījumā jāpārveido gan izsaucošā sistēma, gan arī sistēma, kuru izsauc, ir nepieciešama tāda pieeja sistēmu projektēšanā, kura nodrošina attālinātu piekļuvi sistēmu funkcionalitātei, izmantojot internetam draudzīgus protokolus (standarta un uz HTTPS balstītus). Šīm saskarnēm jau sākotnēji jābūt veidotām tā, ka tās var izsaukt konkrēta lietotāja kontekstā vai arī kādas citas sistēmas kontekstā.</w:t>
      </w:r>
    </w:p>
    <w:p w:rsidR="00261352" w:rsidRPr="005A1118" w:rsidRDefault="00261352" w:rsidP="00261352">
      <w:pPr>
        <w:pStyle w:val="ISBodySubhead2"/>
        <w:rPr>
          <w:bCs/>
          <w:i w:val="0"/>
          <w:iCs w:val="0"/>
          <w:u w:val="none"/>
          <w:lang w:eastAsia="en-US"/>
        </w:rPr>
      </w:pPr>
      <w:r w:rsidRPr="005A1118">
        <w:rPr>
          <w:bCs/>
          <w:i w:val="0"/>
          <w:iCs w:val="0"/>
          <w:u w:val="none"/>
          <w:lang w:eastAsia="en-US"/>
        </w:rPr>
        <w:t>Konceptuālā rekomendācija prasa projektējot esošo sistēmu jaunas versijas vai arī jaunus risinājumus nodrošināt, ka visa būtiskākā lietotājiem paredzētā funkcionalitāte ir pieejama arī programmatiski izsaucamas saskarnes (API) veidā – attiecinot to gan uz datu izgūšanas pieprasījumiem, gan arī uz izmaiņu veikšanas pieprasījumiem.</w:t>
      </w:r>
    </w:p>
    <w:p w:rsidR="00261352" w:rsidRPr="005A1118" w:rsidRDefault="00261352" w:rsidP="00261352">
      <w:pPr>
        <w:pStyle w:val="ISBodySubhead2"/>
        <w:rPr>
          <w:bCs/>
          <w:i w:val="0"/>
          <w:iCs w:val="0"/>
          <w:u w:val="none"/>
          <w:lang w:eastAsia="en-US"/>
        </w:rPr>
      </w:pPr>
      <w:r w:rsidRPr="005A1118">
        <w:rPr>
          <w:bCs/>
          <w:i w:val="0"/>
          <w:iCs w:val="0"/>
          <w:u w:val="none"/>
          <w:lang w:eastAsia="en-US"/>
        </w:rPr>
        <w:t>Lai nodrošinātu ārēji publicēto adrešu nemainību arī tad, ja sistēma tiek pārvietota/pārveidota un saskarņu komponenti tiek mainīti, un lai veicinātu saskarņu atrodamību un atkārtotu izmantošanu, tās jāpublicē un jāapraksta centralizētajā programmatūras saskarņu komponentā. Šis komponents arī nodrošina iestādes administratoru pārvaldītu ārējo lietotāju/sistēmu autentifikāciju un autorizāciju, piekļuves auditu un pat iespēju prasīt maksu (ārējo lietotāju gadījumā).</w:t>
      </w:r>
    </w:p>
    <w:p w:rsidR="00261352" w:rsidRPr="005A1118" w:rsidRDefault="00261352" w:rsidP="00261352">
      <w:pPr>
        <w:pStyle w:val="ISBodyText"/>
      </w:pPr>
      <w:r w:rsidRPr="005A1118">
        <w:t xml:space="preserve">Konceptuālā rekomendācija par galveno funkciju pieejamību standartizētu programmējamu saskarņu līmenī ir obligāti piemērojama attiecībā uz sistēmu funkcijām, kam to dzīves ciklā ir reāli plānojami starpsistēmu saskarņu pielietojumi. Gadījumos, kad tehnoloģisku ierobežojumu vai citu iemeslu dēļ rekomendācija attiecībā pret būtiskām funkcijām netiek piemērota, to ir jāpamato.  </w:t>
      </w:r>
    </w:p>
    <w:p w:rsidR="00261352" w:rsidRPr="00C47A17" w:rsidRDefault="00261352" w:rsidP="00261352">
      <w:pPr>
        <w:pStyle w:val="ISBodyText"/>
      </w:pPr>
      <w:r w:rsidRPr="005A1118">
        <w:t>Pat gadījumos, kad sākotnēji izstrādājot sistēmas vēl netiek konkrēti projektēta to savstarpēja integrācija servisu līmenī, programmatiski pieejamu saskarņu izmantošana un ārējo sistēmu kā sistēmas lietotāju atbalsts nodrošina šādu integrāciju izstrādes iespēju, tādējādi veidojot saliktus pakalpojumus, paātrinot datu ap</w:t>
      </w:r>
      <w:r w:rsidR="0017645F">
        <w:t>riti</w:t>
      </w:r>
      <w:r w:rsidRPr="005A1118">
        <w:t xml:space="preserve"> starp iestādēm, automatizējot starpiestāžu un starpresoru sadarbību. Iespēja saskarnes publicēt un pārvaldīt centralizēti nodrošina papildu saskarņu atrodamību, tādā veidā veicinot atkārtotu izmantošanu.</w:t>
      </w:r>
    </w:p>
    <w:p w:rsidR="00261352" w:rsidRDefault="00261352" w:rsidP="00E95D38">
      <w:pPr>
        <w:pStyle w:val="ISBodyText"/>
      </w:pPr>
    </w:p>
    <w:p w:rsidR="00261352" w:rsidRDefault="00261352" w:rsidP="00E95D38">
      <w:pPr>
        <w:pStyle w:val="ISBodyText"/>
      </w:pPr>
    </w:p>
    <w:p w:rsidR="00261352" w:rsidRPr="00D501C9" w:rsidRDefault="00261352" w:rsidP="00E95D38">
      <w:pPr>
        <w:pStyle w:val="ISBodyText"/>
      </w:pPr>
    </w:p>
    <w:p w:rsidR="00E95D38" w:rsidRDefault="00E95D38" w:rsidP="00E95D38">
      <w:pPr>
        <w:pStyle w:val="Princips"/>
      </w:pPr>
      <w:bookmarkStart w:id="86" w:name="_Toc405912583"/>
      <w:bookmarkStart w:id="87" w:name="_Toc410147005"/>
      <w:r w:rsidRPr="00197178">
        <w:t>Lietotāju</w:t>
      </w:r>
      <w:r>
        <w:t xml:space="preserve"> iesaiste un lietojamības testēšana</w:t>
      </w:r>
      <w:bookmarkEnd w:id="86"/>
      <w:bookmarkEnd w:id="87"/>
    </w:p>
    <w:p w:rsidR="00E95D38" w:rsidRDefault="00E95D38" w:rsidP="00E95D38">
      <w:pPr>
        <w:pStyle w:val="ISBodyText"/>
      </w:pPr>
      <w:r>
        <w:t>Kā viens no elementiem, kas uzsvērts informācijas sabiedrības attīstības pamatnostādnēs, ir risinājumu lietojamības uzlabošana. Papildus tam, ņemot vērā arī pašlaik ierobežoto atbalstu ārējiem izstrādātājiem, kas vēlētos izmantot valsts pakalpojumus vai datus atvasinātu pakalpojumu veidošanai, ir nepieciešams skatīties uz “lietotājiem” plašāk un ņemt vērā dažādas lietotāju grupas, kuras ir svarīgas gan pakalpojumu sniegšanai (tātad iestāžu darbinieki, iedzīvotāji un uzņēmēji), gan attīstībai (trešo pušu izstrādātāji).</w:t>
      </w:r>
    </w:p>
    <w:p w:rsidR="00E95D38" w:rsidRDefault="00E95D38" w:rsidP="00E95D38">
      <w:pPr>
        <w:pStyle w:val="ISBodyText"/>
      </w:pPr>
      <w:r>
        <w:t xml:space="preserve">Tāpēc papildus citiem risinājuma izvērtēšanas elementiem (funkcionalitāte, drošība, pieejamība) nepieciešams paredzēt arī risinājuma izmantojamību un lietotāju apmierinātību, dažkārt atsakoties no neobligātām vai nekritiskām funkcijām, ieviešamo funkcionalitāti veidojot lietotājam ērti izmantojamu un ņemot vērā tās specifiku. </w:t>
      </w:r>
    </w:p>
    <w:p w:rsidR="00E95D38" w:rsidRPr="002A77D2" w:rsidRDefault="00E95D38" w:rsidP="00E95D38">
      <w:pPr>
        <w:pStyle w:val="ISBodyText"/>
      </w:pPr>
      <w:r>
        <w:t xml:space="preserve">Konceptuālā rekomendācija prasa šādu aktivitāšu obligātu iekļaušanu lietojumprogrammatūras izstrādes un pielāgošanas projektos: </w:t>
      </w:r>
    </w:p>
    <w:p w:rsidR="00E95D38" w:rsidRDefault="00E95D38" w:rsidP="00B75B6F">
      <w:pPr>
        <w:pStyle w:val="ISBodyText"/>
        <w:numPr>
          <w:ilvl w:val="0"/>
          <w:numId w:val="50"/>
        </w:numPr>
      </w:pPr>
      <w:r>
        <w:t>Personu analīzes (</w:t>
      </w:r>
      <w:r>
        <w:rPr>
          <w:i/>
          <w:iCs/>
        </w:rPr>
        <w:t>persona analysis</w:t>
      </w:r>
      <w:r>
        <w:t>) iekļaušana iniciatīvas/projekta sagatavošanā, identificējot galvenās lietotāju grupas, viņu izmantotās ierīces/programmas un norādot, kuri lietošanas scenāriji attiecas uz katru no identificētajām personām.</w:t>
      </w:r>
    </w:p>
    <w:p w:rsidR="00E95D38" w:rsidRDefault="00E95D38" w:rsidP="00B75B6F">
      <w:pPr>
        <w:pStyle w:val="ISBodyText"/>
        <w:numPr>
          <w:ilvl w:val="0"/>
          <w:numId w:val="50"/>
        </w:numPr>
      </w:pPr>
      <w:r>
        <w:t>Lietotāja sadarbības dizaina (</w:t>
      </w:r>
      <w:r>
        <w:rPr>
          <w:i/>
          <w:iCs/>
        </w:rPr>
        <w:t>user interaction design</w:t>
      </w:r>
      <w:r>
        <w:t>) iekļaušana risinājumu izstrādes procesā, veidojot risinājumu tā, lai tā izmantošana no lietošanas uzsākšanas līdz darbības pabeigšanai ir pārdomāta no lietojamības viedokļa.</w:t>
      </w:r>
    </w:p>
    <w:p w:rsidR="00E95D38" w:rsidRDefault="00E95D38" w:rsidP="00B75B6F">
      <w:pPr>
        <w:pStyle w:val="ISBodyText"/>
        <w:numPr>
          <w:ilvl w:val="0"/>
          <w:numId w:val="50"/>
        </w:numPr>
      </w:pPr>
      <w:r>
        <w:t>Lietojamības testēšanas (</w:t>
      </w:r>
      <w:r>
        <w:rPr>
          <w:i/>
          <w:iCs/>
        </w:rPr>
        <w:t>usability testing</w:t>
      </w:r>
      <w:r>
        <w:t>) iekļaušana risinājumu izstrādes procesā, paredzot vismaz 2 iterācijas – sākotnējā testēšana un testēšana pēc veiktajiem uzlabojumiem.</w:t>
      </w:r>
    </w:p>
    <w:p w:rsidR="00E95D38" w:rsidRDefault="00E95D38" w:rsidP="00B75B6F">
      <w:pPr>
        <w:pStyle w:val="ISBodyText"/>
        <w:numPr>
          <w:ilvl w:val="0"/>
          <w:numId w:val="50"/>
        </w:numPr>
      </w:pPr>
      <w:r>
        <w:t>Visiem risinājumiem ir jāparedz pilotdarbināšanas posmu, kura noslēgumā notiek lietotāju aptauja, lai novērtētu izstrādātā risinājuma lietojamību un tās uzlabojumu iespējas.</w:t>
      </w:r>
    </w:p>
    <w:p w:rsidR="00E95D38" w:rsidRDefault="00E95D38" w:rsidP="00E95D38">
      <w:pPr>
        <w:pStyle w:val="ISBodyText"/>
      </w:pPr>
      <w:r>
        <w:t xml:space="preserve">Lietotāju iesaistes un lietojamības testēšanas princips budžeta pieejamības ietvaros (pieļaujot ierobežojumus un izņēmumus)  ir piemērojams ne tikai pilnīgi jaunu sistēmu izstrādē, bet arī veicot būtiskas izmaiņas esošajās informācijas sistēmās. </w:t>
      </w:r>
      <w:r w:rsidRPr="00775850">
        <w:t>Lietotāju apmierinātība</w:t>
      </w:r>
      <w:r w:rsidR="00A66FB7">
        <w:t xml:space="preserve"> ir svarīgs faktors</w:t>
      </w:r>
      <w:r w:rsidRPr="00775850">
        <w:t xml:space="preserve">, kas iekšēji publiskajā pārvaldē izmantojamo lietojumprogrammatūras risinājumu jomā dod pozitīvu ietekmi uz lietotāju produktivitātes pieaugumu, bet e-pakalpojumu jomā uz to popularitāti un izmantošanas intensitāti, attiecīgi atslogojot alternatīvos publisko pakalpojumu </w:t>
      </w:r>
      <w:r>
        <w:t>sniegšanas</w:t>
      </w:r>
      <w:r w:rsidRPr="00775850">
        <w:t xml:space="preserve"> kanālus. </w:t>
      </w:r>
    </w:p>
    <w:p w:rsidR="00E95D38" w:rsidRDefault="00E95D38" w:rsidP="00E95D38">
      <w:pPr>
        <w:pStyle w:val="Princips"/>
      </w:pPr>
      <w:bookmarkStart w:id="88" w:name="_Toc405912584"/>
      <w:bookmarkStart w:id="89" w:name="_Toc410147006"/>
      <w:r>
        <w:t>Droša izstrāde</w:t>
      </w:r>
      <w:bookmarkEnd w:id="88"/>
      <w:bookmarkEnd w:id="89"/>
      <w:r>
        <w:t xml:space="preserve"> </w:t>
      </w:r>
    </w:p>
    <w:p w:rsidR="00E95D38" w:rsidRDefault="00E95D38" w:rsidP="00E95D38">
      <w:pPr>
        <w:pStyle w:val="ISBodySubhead2"/>
        <w:keepNext w:val="0"/>
        <w:rPr>
          <w:bCs/>
          <w:i w:val="0"/>
          <w:iCs w:val="0"/>
          <w:u w:val="none"/>
          <w:lang w:eastAsia="en-US"/>
        </w:rPr>
      </w:pPr>
      <w:r w:rsidRPr="00107941">
        <w:rPr>
          <w:bCs/>
          <w:i w:val="0"/>
          <w:iCs w:val="0"/>
          <w:u w:val="none"/>
          <w:lang w:eastAsia="en-US"/>
        </w:rPr>
        <w:t>Ņemot vērā kiberdrošības attīstības tendences un arvien lielāku mērķēto uzbrukumu skaitu (</w:t>
      </w:r>
      <w:r w:rsidRPr="00C0077B">
        <w:rPr>
          <w:bCs/>
          <w:iCs w:val="0"/>
          <w:u w:val="none"/>
          <w:lang w:eastAsia="en-US"/>
        </w:rPr>
        <w:t>persistent adversary attack</w:t>
      </w:r>
      <w:r w:rsidRPr="00107941">
        <w:rPr>
          <w:bCs/>
          <w:i w:val="0"/>
          <w:iCs w:val="0"/>
          <w:u w:val="none"/>
          <w:lang w:eastAsia="en-US"/>
        </w:rPr>
        <w:t xml:space="preserve">), lielāka uzmanība </w:t>
      </w:r>
      <w:r>
        <w:rPr>
          <w:bCs/>
          <w:i w:val="0"/>
          <w:iCs w:val="0"/>
          <w:u w:val="none"/>
          <w:lang w:eastAsia="en-US"/>
        </w:rPr>
        <w:t xml:space="preserve">lietojumprogrammatūras risinājumu </w:t>
      </w:r>
      <w:r w:rsidRPr="00107941">
        <w:rPr>
          <w:bCs/>
          <w:i w:val="0"/>
          <w:iCs w:val="0"/>
          <w:u w:val="none"/>
          <w:lang w:eastAsia="en-US"/>
        </w:rPr>
        <w:t>izstrādē</w:t>
      </w:r>
      <w:r>
        <w:rPr>
          <w:bCs/>
          <w:i w:val="0"/>
          <w:iCs w:val="0"/>
          <w:u w:val="none"/>
          <w:lang w:eastAsia="en-US"/>
        </w:rPr>
        <w:t xml:space="preserve"> ir</w:t>
      </w:r>
      <w:r w:rsidRPr="00107941">
        <w:rPr>
          <w:bCs/>
          <w:i w:val="0"/>
          <w:iCs w:val="0"/>
          <w:u w:val="none"/>
          <w:lang w:eastAsia="en-US"/>
        </w:rPr>
        <w:t xml:space="preserve"> jāpievērš drošas izstrādes procesam</w:t>
      </w:r>
      <w:r>
        <w:rPr>
          <w:bCs/>
          <w:i w:val="0"/>
          <w:iCs w:val="0"/>
          <w:u w:val="none"/>
          <w:lang w:eastAsia="en-US"/>
        </w:rPr>
        <w:t xml:space="preserve">. </w:t>
      </w:r>
    </w:p>
    <w:p w:rsidR="00E95D38" w:rsidRPr="00107941" w:rsidRDefault="00E95D38" w:rsidP="00E95D38">
      <w:pPr>
        <w:pStyle w:val="ISBodySubhead2"/>
        <w:keepNext w:val="0"/>
        <w:rPr>
          <w:bCs/>
          <w:i w:val="0"/>
          <w:iCs w:val="0"/>
          <w:u w:val="none"/>
          <w:lang w:eastAsia="en-US"/>
        </w:rPr>
      </w:pPr>
      <w:r>
        <w:rPr>
          <w:bCs/>
          <w:i w:val="0"/>
          <w:iCs w:val="0"/>
          <w:u w:val="none"/>
          <w:lang w:eastAsia="en-US"/>
        </w:rPr>
        <w:t xml:space="preserve">Kiberdrošības incidenti ir pierādījuši, ka pieeja, izvēloties sistēmu kiberaizsardzību, kas balstīta tikai uz speciāliem drošības risinājumiem (piemēram, IDS sistēmas, antivīrusi), ir nepilnīga, jo nodrošina tikai papildus aizsardzību. Statistika liecina, ka lielākais sistēmu uzlaušanas gadījumu īpatsvars ir </w:t>
      </w:r>
      <w:r>
        <w:rPr>
          <w:bCs/>
          <w:i w:val="0"/>
          <w:iCs w:val="0"/>
          <w:u w:val="none"/>
          <w:lang w:eastAsia="en-US"/>
        </w:rPr>
        <w:lastRenderedPageBreak/>
        <w:t xml:space="preserve">tieši uzbrukumi lietojumprogrammatūras risinājumiem, nevis uzbrukumi infrastruktūrai (tīkla aparatūra, operētājsistēmas, standarta programmatūra). </w:t>
      </w:r>
    </w:p>
    <w:p w:rsidR="00E95D38" w:rsidRDefault="00E95D38" w:rsidP="00E95D38">
      <w:pPr>
        <w:pStyle w:val="ISBodyText"/>
      </w:pPr>
      <w:r>
        <w:t xml:space="preserve">Atbilstoši attīstāmās sistēmas apstrādājamo informācijas resursu pieejamības un aizsardzības klasifikācijai, sistēmas attīstības procesā un tā nodevumos ir iekļaujami:  </w:t>
      </w:r>
    </w:p>
    <w:p w:rsidR="00E95D38" w:rsidRDefault="00E95D38" w:rsidP="00E95D38">
      <w:pPr>
        <w:pStyle w:val="ISBulletText"/>
      </w:pPr>
      <w:r>
        <w:t xml:space="preserve">Sistēmas apdraudējumu analīze (saukta arī par </w:t>
      </w:r>
      <w:r>
        <w:rPr>
          <w:i/>
          <w:iCs/>
        </w:rPr>
        <w:t>threat model</w:t>
      </w:r>
      <w:r>
        <w:t>);</w:t>
      </w:r>
    </w:p>
    <w:p w:rsidR="00E95D38" w:rsidRDefault="00E95D38" w:rsidP="00E95D38">
      <w:pPr>
        <w:pStyle w:val="ISBulletText"/>
      </w:pPr>
      <w:r>
        <w:t>Drošības elementu plānošana sistēmas projektējumā;</w:t>
      </w:r>
    </w:p>
    <w:p w:rsidR="00E95D38" w:rsidRDefault="00E95D38" w:rsidP="00E95D38">
      <w:pPr>
        <w:pStyle w:val="ISBulletText"/>
      </w:pPr>
      <w:r>
        <w:t>Izstrādes drošības testēšana (koda apskate, konfigurācijas testēšana, lai pārliecinātos, ka sistēmas konfigurācija atbilstoša plānotajai);</w:t>
      </w:r>
    </w:p>
    <w:p w:rsidR="00E95D38" w:rsidRDefault="00E95D38" w:rsidP="00E95D38">
      <w:pPr>
        <w:pStyle w:val="ISBulletText"/>
      </w:pPr>
      <w:r>
        <w:t>Ārējie (neatkarīga uzņēmuma veikti) ielaušanās testi.</w:t>
      </w:r>
    </w:p>
    <w:p w:rsidR="00E95D38" w:rsidRPr="00C47A17" w:rsidRDefault="00E95D38" w:rsidP="00E95D38">
      <w:pPr>
        <w:pStyle w:val="ISBodyText"/>
      </w:pPr>
      <w:r>
        <w:t>D</w:t>
      </w:r>
      <w:r w:rsidRPr="00107941">
        <w:t xml:space="preserve">rošas izstrādes </w:t>
      </w:r>
      <w:r>
        <w:t>prakses</w:t>
      </w:r>
      <w:r w:rsidRPr="00107941">
        <w:t xml:space="preserve"> ieviešana</w:t>
      </w:r>
      <w:r>
        <w:t xml:space="preserve"> būtiski samazina informācijas sistēmu ievainojamību no drošības apdraudējumiem. </w:t>
      </w:r>
    </w:p>
    <w:p w:rsidR="00E95D38" w:rsidRDefault="00E95D38" w:rsidP="00E95D38">
      <w:pPr>
        <w:pStyle w:val="Princips"/>
      </w:pPr>
      <w:bookmarkStart w:id="90" w:name="_Toc405912586"/>
      <w:bookmarkStart w:id="91" w:name="_Toc410147007"/>
      <w:r>
        <w:t>Mobilajām ierīcēm draudzīgu protokolu un risinājumu atbalsts</w:t>
      </w:r>
      <w:bookmarkEnd w:id="90"/>
      <w:bookmarkEnd w:id="91"/>
    </w:p>
    <w:p w:rsidR="00E95D38" w:rsidRDefault="00E95D38" w:rsidP="00E95D38">
      <w:pPr>
        <w:pStyle w:val="ISBodyText"/>
      </w:pPr>
      <w:r>
        <w:t>Mūsdienās arvien lielāks Interneta lietotāju skaits piekļūst Internetam izmantojot mobilās ierīces – telefonus un planšetdatorus. Šīs ierīces jaudas un citu resursu ziņā, salīdzinot ar tradicionālajiem personālajiem datoriem</w:t>
      </w:r>
      <w:r w:rsidR="00DB02CA">
        <w:t>,</w:t>
      </w:r>
      <w:r>
        <w:t xml:space="preserve"> var būt mazāk jaudīgas un orientētas uz relatīvi “lēnāk</w:t>
      </w:r>
      <w:r w:rsidR="00DB02CA">
        <w:t>u</w:t>
      </w:r>
      <w:r>
        <w:t>” mobilā Interneta pieslēgum</w:t>
      </w:r>
      <w:r w:rsidR="00DB02CA">
        <w:t>u</w:t>
      </w:r>
      <w:r>
        <w:t xml:space="preserve">. Lai gan ar laiku gan skaitļošanas jaudas, gan arī mobilā Interneta pieslēgumu ātrumi aug, bet izmaksas samazinās, tomēr IKT industrijas attīstības tendence ir pēc iespējas efektīvāku datu </w:t>
      </w:r>
      <w:r w:rsidR="0017645F">
        <w:t>piekļuves</w:t>
      </w:r>
      <w:r>
        <w:t xml:space="preserve"> protokolu izmantošana. Papildus iemesls tam, kāpēc industrija nepaļaujas uz gala iekārtu jaudu neierobežotu pieaugumu, ir tāds, ka pieaugot viena veida iekārtu jaudai (piemēram, viedtālruņu un planšetdatoru), parādās arvien jaunas mazjaudīgas gala ierīces (piemēram, “wearable” tipa iekārtas).</w:t>
      </w:r>
    </w:p>
    <w:p w:rsidR="00E95D38" w:rsidRDefault="00E95D38" w:rsidP="00E95D38">
      <w:pPr>
        <w:pStyle w:val="ISBodyText"/>
      </w:pPr>
      <w:r>
        <w:t>Pašreizējie e-pārvaldes tehniskie risinājumi pamatā ir balstīti uz standarta apmaiņas mehānismiem ar SOAP bāzētām pakalpēm (</w:t>
      </w:r>
      <w:r w:rsidRPr="003E64DB">
        <w:rPr>
          <w:i/>
        </w:rPr>
        <w:t>web service</w:t>
      </w:r>
      <w:r>
        <w:t>), autorizācijai un autentifikācijai izmantojot WS-* paplašinājumus. Lai gan funkcionāli šie protokoli nodrošina plašu funkcionalitāti, tie ir balstīti uz smagnēju datu pārraides pieeju, kuras pamatā ir XML ziņojumi, un tāpēc ir vislabāk piemēroti datu ap</w:t>
      </w:r>
      <w:r w:rsidR="0017645F">
        <w:t>ritei</w:t>
      </w:r>
      <w:r>
        <w:t xml:space="preserve"> iestādes ietvaros vai starp iestādēm, bet ne darbam ar mazjaudīgām gala lietotāju ierīcēm. Arī datu aizsardzība tiek nodrošināta ļoti labā līmenī, bet tieši tāpēc ir atkarīga no daudzām asimetriskās kriptogrāfijas darbībām, kas ir gan salīdzinoši lēna, gan patērē relatīvi daudz skaitļošanas resursu.  </w:t>
      </w:r>
    </w:p>
    <w:p w:rsidR="00782302" w:rsidRDefault="00E95D38" w:rsidP="00782302">
      <w:pPr>
        <w:pStyle w:val="ISBodyText"/>
      </w:pPr>
      <w:r>
        <w:t xml:space="preserve">Līdz ar to, lai nodrošinātu nākamās paaudzes ierīču atbalstu darbā ar publiskās pārvaldes lietojumprogrammatūras risinājumiem, uzlabotu sistēmu ātrdarbību un datu pārsūtīšanas ātrumu, ir pakāpeniski jāveic pāreja uz </w:t>
      </w:r>
      <w:r w:rsidR="004B415C">
        <w:t>mobilajām ierīcēm</w:t>
      </w:r>
      <w:r w:rsidR="00782302">
        <w:t xml:space="preserve"> </w:t>
      </w:r>
      <w:r>
        <w:t xml:space="preserve">draudzīgākiem protokoliem. </w:t>
      </w:r>
      <w:r w:rsidR="00341885">
        <w:t xml:space="preserve">Rekomendācijas konkrētu protokolu izmantošanai tiks iekļautas mērķarhitektūrā, kura tiks izstrādāta un papildināta pakāpeniski, tādējādi nodrošinot iespēju sekot līdzi tehnoloģiju attīstībai. </w:t>
      </w:r>
      <w:r>
        <w:t>Ieviešot šādus risinājumus</w:t>
      </w:r>
      <w:r w:rsidR="00341885">
        <w:t>,</w:t>
      </w:r>
      <w:r>
        <w:t xml:space="preserve"> ir stingri jāievēro fizisko personu datu aizsardzības prasības un</w:t>
      </w:r>
      <w:r w:rsidR="00341885">
        <w:t>,</w:t>
      </w:r>
      <w:r>
        <w:t xml:space="preserve"> kamēr nav nodrošināts drošs piekļuves ierobežojumu un to administrēšanas mehānisms personu datu aizsardzībai datu izguves līmenī (līdzvērtīgi tam, kā tas šobrīd jau tiek nodrošināts SOAP servisu pieejamībai), risinājumi ir piemērojami tikai datu kopām, kas nesatur fizisku personu un citus aizsargājamus datus.  </w:t>
      </w:r>
    </w:p>
    <w:p w:rsidR="00E95D38" w:rsidRPr="00782302" w:rsidRDefault="00E95D38" w:rsidP="00782302">
      <w:pPr>
        <w:pStyle w:val="ISBodyText"/>
      </w:pPr>
      <w:r w:rsidRPr="00782302">
        <w:t xml:space="preserve">Ņemot vērā, ka pašlaik esošās sistēmas un savietotājs savos pakalpojumos pārsvarā izmanto XML bāzētos protokolus (SOAP, XML, WS-*), </w:t>
      </w:r>
      <w:r w:rsidR="00341885">
        <w:t xml:space="preserve">mobilajām ierīcēm draudzīgāku </w:t>
      </w:r>
      <w:r w:rsidRPr="00782302">
        <w:t>protokolu kopa primāri izmantojama jaunu pakalpojumu veidošanai vai esošo attīstībai, atpakaļsavietojamības nolūkos saglabājot arī esošās saskarnes.</w:t>
      </w:r>
    </w:p>
    <w:p w:rsidR="00E95D38" w:rsidRDefault="00E95D38" w:rsidP="00E95D38">
      <w:pPr>
        <w:pStyle w:val="Princips"/>
      </w:pPr>
      <w:bookmarkStart w:id="92" w:name="_Toc405912587"/>
      <w:bookmarkStart w:id="93" w:name="_Toc410147008"/>
      <w:r>
        <w:lastRenderedPageBreak/>
        <w:t>Valsts informācijas sistēmas tipveida (references) arhitektūra</w:t>
      </w:r>
      <w:bookmarkEnd w:id="92"/>
      <w:bookmarkEnd w:id="93"/>
    </w:p>
    <w:p w:rsidR="00E95D38" w:rsidRDefault="00E95D38" w:rsidP="00E95D38">
      <w:pPr>
        <w:pStyle w:val="ISBodyText"/>
      </w:pPr>
      <w:r>
        <w:t>Rekomendējamā tipveida arhitektūra stimulē un paredz pakāpenisku pāreju uz servisorientētu pieeju informācijas apstrādes risinājumu izstrādē. Servisorientēta pieeja veicina gan risinājumu modularitāti, gan paplašināmību, gan koplietojamību, gan arī palīdz risinājumu ārējai integrācijai bez specializētu papildus integrācijas risinājumu izveides.</w:t>
      </w:r>
    </w:p>
    <w:p w:rsidR="00E95D38" w:rsidRDefault="00E95D38" w:rsidP="00E95D38">
      <w:pPr>
        <w:pStyle w:val="ISBodyText"/>
      </w:pPr>
      <w:r>
        <w:t>Funkcionalitātei, kas ir tipiska daudzām iestādēm, obligāti ir jāizmanto centralizētās platformas un koplietošanas risinājumus, kuri savukārt tiek attīstīti, lai būtu atvērti ārējiem izstrādātājiem un integrējami citos risinājumos. Iestādes tipveida (references) arhitektūra, kurā parādītas galvenās iestāžu sistēmu tipiskās funkcionālās daļas, kā arī nepieciešamā integrācija ar centrālajām platformām un koplietošanas risinājumiem</w:t>
      </w:r>
      <w:r w:rsidR="00341885">
        <w:t>,</w:t>
      </w:r>
      <w:r>
        <w:t xml:space="preserve"> ir parādīta </w:t>
      </w:r>
      <w:r w:rsidR="00715134">
        <w:t>8</w:t>
      </w:r>
      <w:r>
        <w:t>. attēlā.</w:t>
      </w:r>
    </w:p>
    <w:p w:rsidR="00E95D38" w:rsidRDefault="00E95D38" w:rsidP="00E95D38">
      <w:pPr>
        <w:pStyle w:val="ISBodyText"/>
      </w:pPr>
      <w:r>
        <w:t>Klientu apkalpošanas sistēmas nodrošina pilnu pakalpojumu sniegšanas procesa atbalstu un klientiem paredzētās informācijas publicēšanu portālos.</w:t>
      </w:r>
    </w:p>
    <w:p w:rsidR="00E95D38" w:rsidRDefault="00E95D38" w:rsidP="00E95D38">
      <w:pPr>
        <w:pStyle w:val="ISBodyText"/>
      </w:pPr>
      <w:r>
        <w:t>Atbalsta sistēmas nodrošina atbalstu tipveida biznesa procesiem, kā piemēram, dokumentu vadība, lietvedība, personāla vadība, algu aprēķins un uzņēmuma resursu plānošana, kā arī iestādes koplietošanas servisiem.</w:t>
      </w:r>
    </w:p>
    <w:p w:rsidR="00E95D38" w:rsidRDefault="00E95D38" w:rsidP="00E95D38">
      <w:pPr>
        <w:pStyle w:val="ISBodyText"/>
      </w:pPr>
      <w:r>
        <w:t>Funkcionālās sistēmas nodrošina atbalstu specifisko valsts un pašvaldību funkciju veikšanai. Atkarībā no iestādes specifikas var būt viena vai vairākas funkcionālās sistēmas.</w:t>
      </w:r>
    </w:p>
    <w:p w:rsidR="00E95D38" w:rsidRDefault="00E95D38" w:rsidP="00E95D38">
      <w:pPr>
        <w:pStyle w:val="ISBodyText"/>
      </w:pPr>
      <w:r>
        <w:t xml:space="preserve">Kā unificētu biznesa sistēmu komponenti konceptuāli (kā rāda, piemēram, Rīgas Domes </w:t>
      </w:r>
      <w:r w:rsidR="00782302">
        <w:t xml:space="preserve">un Ventspils pašvaldības </w:t>
      </w:r>
      <w:r>
        <w:t xml:space="preserve">“Universālās darba vietas”) var izdalīt iestādes lietotāja darba vietu kā vienotu komunikācijas un piekļuves punktu citām atbalsta un funkcionālajām sistēmām, kas atvieglo saziņu, paātrina datu un informācijas apmaiņu iestādē. </w:t>
      </w:r>
    </w:p>
    <w:p w:rsidR="00E95D38" w:rsidRDefault="00E95D38" w:rsidP="00E95D38">
      <w:pPr>
        <w:pStyle w:val="ISBodyText"/>
        <w:keepNext/>
        <w:jc w:val="center"/>
      </w:pPr>
      <w:r w:rsidRPr="00D03499">
        <w:rPr>
          <w:noProof/>
          <w:lang w:eastAsia="lv-LV"/>
        </w:rPr>
        <w:drawing>
          <wp:inline distT="0" distB="0" distL="0" distR="0">
            <wp:extent cx="6124575" cy="4013835"/>
            <wp:effectExtent l="0" t="0" r="9525" b="571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6124575" cy="4013835"/>
                    </a:xfrm>
                    <a:prstGeom prst="rect">
                      <a:avLst/>
                    </a:prstGeom>
                  </pic:spPr>
                </pic:pic>
              </a:graphicData>
            </a:graphic>
          </wp:inline>
        </w:drawing>
      </w:r>
    </w:p>
    <w:p w:rsidR="00E95D38" w:rsidRPr="00E47022" w:rsidRDefault="00715134" w:rsidP="00E95D38">
      <w:pPr>
        <w:pStyle w:val="Parakstszemobjekta"/>
      </w:pPr>
      <w:r>
        <w:t>8</w:t>
      </w:r>
      <w:r w:rsidR="00E95D38" w:rsidRPr="00112819">
        <w:t>.</w:t>
      </w:r>
      <w:r w:rsidR="00E95D38">
        <w:t xml:space="preserve"> </w:t>
      </w:r>
      <w:r w:rsidR="00E95D38" w:rsidRPr="00112819">
        <w:t xml:space="preserve">attēls. </w:t>
      </w:r>
      <w:r w:rsidR="00E95D38">
        <w:t>Iestādes tipveida (references) arhitektūra</w:t>
      </w:r>
    </w:p>
    <w:p w:rsidR="00E95D38" w:rsidRDefault="00E95D38" w:rsidP="00E95D38">
      <w:pPr>
        <w:pStyle w:val="ISBodyText"/>
      </w:pPr>
      <w:r>
        <w:lastRenderedPageBreak/>
        <w:t>Attēlā zilā krāsā attēlota nepieciešamā integrācija, sarkanīgā krāsā funkciju pārņemšana. Komponenti, kuru funkcijas pilnībā vai daļēji plānots nodot centralizētām platformām, norādīti ar raustītām robežlīnijām.</w:t>
      </w:r>
    </w:p>
    <w:p w:rsidR="00E95D38" w:rsidRDefault="00E95D38" w:rsidP="00E95D38">
      <w:pPr>
        <w:pStyle w:val="ISBodyText"/>
      </w:pPr>
      <w:r>
        <w:t>Iestād</w:t>
      </w:r>
      <w:r w:rsidR="00715134">
        <w:t>es</w:t>
      </w:r>
      <w:r>
        <w:t xml:space="preserve"> valsts informācijas sistēmas nākotnes programmatūras arhitektūra shematiski parādīta </w:t>
      </w:r>
      <w:r w:rsidR="00715134">
        <w:t>9</w:t>
      </w:r>
      <w:r>
        <w:t>. attēlā, ilustrējot gan sistēmas iekšējo uzbūvi un komponentu dalījumu, gan arī ārējo sadarbību ar dažāda veida klientiem un koplietošanas komponentiem.</w:t>
      </w:r>
    </w:p>
    <w:p w:rsidR="00E95D38" w:rsidRDefault="00E95D38" w:rsidP="00E95D38">
      <w:pPr>
        <w:pStyle w:val="ISBodyText"/>
        <w:keepNext/>
        <w:jc w:val="center"/>
      </w:pPr>
      <w:r>
        <w:rPr>
          <w:noProof/>
          <w:lang w:eastAsia="lv-LV"/>
        </w:rPr>
        <w:drawing>
          <wp:inline distT="0" distB="0" distL="0" distR="0">
            <wp:extent cx="6231433" cy="641985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36354" cy="6424920"/>
                    </a:xfrm>
                    <a:prstGeom prst="rect">
                      <a:avLst/>
                    </a:prstGeom>
                    <a:noFill/>
                  </pic:spPr>
                </pic:pic>
              </a:graphicData>
            </a:graphic>
          </wp:inline>
        </w:drawing>
      </w:r>
    </w:p>
    <w:p w:rsidR="00E95D38" w:rsidRDefault="00715134" w:rsidP="00E95D38">
      <w:pPr>
        <w:pStyle w:val="Parakstszemobjekta"/>
        <w:rPr>
          <w:noProof/>
        </w:rPr>
      </w:pPr>
      <w:r>
        <w:rPr>
          <w:noProof/>
        </w:rPr>
        <w:t>9</w:t>
      </w:r>
      <w:r w:rsidR="00E95D38">
        <w:rPr>
          <w:noProof/>
        </w:rPr>
        <w:t>. attēls. Valsts informācijas sistēmas nākotnes programmatūras arhitektūras modelis</w:t>
      </w:r>
    </w:p>
    <w:p w:rsidR="00E95D38" w:rsidRDefault="00563632" w:rsidP="00E95D38">
      <w:r>
        <w:t xml:space="preserve">Šajā un citos attēlos ilustrētie protokoli un datu formāti (XML, CSV, SOAP, REST, JASON, OData u.c.) norādīti kā piemēri. </w:t>
      </w:r>
      <w:r w:rsidR="00E95D38">
        <w:t>Galvenie modeļa elementi ir izcelti, izmantojot zaļos skaitļus pie atbilstošā elementa. Katrs no tiem sīkāk aprakstīts šajā sarakstā:</w:t>
      </w:r>
    </w:p>
    <w:p w:rsidR="00E95D38" w:rsidRDefault="00E95D38" w:rsidP="00E95D38">
      <w:pPr>
        <w:pStyle w:val="ISBodyTextNumbered"/>
      </w:pPr>
      <w:r>
        <w:t xml:space="preserve">Informācijas sistēmām tiek atsevišķi nodalīts biznesa loģikas (datu apstrādes un pārbaudes) slānis, lai tas nebūtu piesaistīts vienam konkrētam kanālam (piemēram, web lietojumam vai </w:t>
      </w:r>
      <w:r>
        <w:lastRenderedPageBreak/>
        <w:t>arī klienta datorā darbināmai programmai); tas ļauj nākotnē šo pašu biznesa loģiku atkārtoti izmantot gan citām lietotāju grupām vai izmantošanas kanāliem, gan ārējām sistēmām;</w:t>
      </w:r>
    </w:p>
    <w:p w:rsidR="00E95D38" w:rsidRDefault="00E95D38" w:rsidP="00E95D38">
      <w:pPr>
        <w:pStyle w:val="ISBodyTextNumbered"/>
      </w:pPr>
      <w:r>
        <w:t>Biznesa loģika darbību veikšanai ir pieejama pa standartizētām saskarnēm, kuras tiek uzturētas atbilstoši uz servisiem orientētas izstrādes principiem, t.i, tiek nodrošināta versiju kontrole un atpakaļsavietojamība, netiek  publicēta informācija par iekšējiem servisa izveides tehniskajiem aspektiem;</w:t>
      </w:r>
    </w:p>
    <w:p w:rsidR="00E95D38" w:rsidRDefault="00E95D38" w:rsidP="00E95D38">
      <w:pPr>
        <w:pStyle w:val="ISBodyTextNumbered"/>
      </w:pPr>
      <w:r>
        <w:t xml:space="preserve">Transakciju servisi ir pieejami gan no ārpuses (citu iestāžu vai partneru sistēmām), gan no iekšpuses (lietotāju saskarni nodrošinošajiem komponentiem), izmantojot </w:t>
      </w:r>
      <w:r w:rsidR="00DA0944">
        <w:t xml:space="preserve">atvērtu </w:t>
      </w:r>
      <w:r>
        <w:t>standart</w:t>
      </w:r>
      <w:r w:rsidR="00DA0944">
        <w:t>u</w:t>
      </w:r>
      <w:r>
        <w:t xml:space="preserve"> protokolus un datu apstrādes pieejas</w:t>
      </w:r>
      <w:r w:rsidR="00DA0944">
        <w:t xml:space="preserve">; </w:t>
      </w:r>
    </w:p>
    <w:p w:rsidR="00E95D38" w:rsidRDefault="00E95D38" w:rsidP="00E95D38">
      <w:pPr>
        <w:pStyle w:val="ISBodyTextNumbered"/>
      </w:pPr>
      <w:r>
        <w:t xml:space="preserve">Datu pieprasījumu apstrādes biznesa loģika ir pieejama arī servisu veidā, izmantojot </w:t>
      </w:r>
      <w:r w:rsidR="00DA0944">
        <w:t>atvērtu standartu protokolus un datu apstrādes pieejas;</w:t>
      </w:r>
      <w:r>
        <w:t xml:space="preserve"> visos gadījumos tās pašas saskarnes, kas tiek izmantotas iestādes lietotāju darbam, var tikt izmantotas arī pieprasījumiem no ārpuses (citām iestādēm);</w:t>
      </w:r>
    </w:p>
    <w:p w:rsidR="00E95D38" w:rsidRDefault="00E95D38" w:rsidP="00E95D38">
      <w:pPr>
        <w:pStyle w:val="ISBodyTextNumbered"/>
      </w:pPr>
      <w:r>
        <w:t>Sistēmas biznesa loģikas komponenti izmaiņu gadījumā var publicēt notikumus, uz kuriem var parakstīties citas sistēmas, lai veiktu ar interesējošiem notikumiem saistītas darbības; notikumu mehānisma izmantošana atsaista vienu sistēmu no otras, jo notikuma publicētājsistēma nezina, cik daudzas citas sistēmas šo notikumu izmanto (“parakstīšanos” nodrošina centralizēts komponents);</w:t>
      </w:r>
    </w:p>
    <w:p w:rsidR="00E95D38" w:rsidRDefault="00E95D38" w:rsidP="00E95D38">
      <w:pPr>
        <w:pStyle w:val="ISBodyTextNumbered"/>
      </w:pPr>
      <w:r>
        <w:t>Sistēmas izveidē tiek izmantoti gatavie koplietošanas pakalpojumi jeb servisi, kuri nodrošina bieži lietotu/izmantotu funkcionalitāti, piemēram, maksājumu apstrādi, ārējo lietotāju autentifikāciju;</w:t>
      </w:r>
    </w:p>
    <w:p w:rsidR="00E95D38" w:rsidRDefault="00E95D38" w:rsidP="00E95D38">
      <w:pPr>
        <w:pStyle w:val="ISBodyTextNumbered"/>
      </w:pPr>
      <w:r>
        <w:t>Sistēma citu iestāžu lietotājiem un sistēmām nodrošina piekļuvi savai lietotāju saskarnei vai arī programmatūras saskarnei, izmantojot vienoto federatīvo autentifikācijas risinājumu; tas nodrošina, ka ārējo lietotāju piekļuvei sistēmai nav jāpārveido izmantotais sistēmas autentifikācijas mehānisms (kas uzticas tikai iestādes iekšējam autentifikācijas servisam);</w:t>
      </w:r>
    </w:p>
    <w:p w:rsidR="00E95D38" w:rsidRDefault="00E95D38" w:rsidP="00E95D38">
      <w:pPr>
        <w:pStyle w:val="ISBodyTextNumbered"/>
      </w:pPr>
      <w:r>
        <w:t>Tā vietā, lai automatizētu procesus tikai sistēmu integrācijas ceļā, tiek paredzēts modelis, ka citu iestāžu lietotāji pa tiešo izmanto sistēmas, kuras atrodas citās iestādēs; ne pārāk intensīvas datu apstrādes gadījumā starp iestādēm šis ir saimnieciski izdevīgāks modelis nekā sistēmu integrācija;</w:t>
      </w:r>
    </w:p>
    <w:p w:rsidR="00E95D38" w:rsidRDefault="00E95D38" w:rsidP="00E95D38">
      <w:pPr>
        <w:pStyle w:val="ISBodyTextNumbered"/>
      </w:pPr>
      <w:r>
        <w:t>Iestādes darbinieki papildu savu iekšējo sistēmu izmantošanai, izmanto centralizētās sistēmās, kurām nodota daļa funkcionalitātes, piemēram, portālu platformu, kurā pārvalda savas iestādes saturiskās lapas;</w:t>
      </w:r>
    </w:p>
    <w:p w:rsidR="00E95D38" w:rsidRDefault="00E95D38" w:rsidP="00E95D38">
      <w:pPr>
        <w:pStyle w:val="ISBodyTextNumbered"/>
      </w:pPr>
      <w:r>
        <w:t>Līdzīgi kā centralizēto sistēmu izmantošanas gadījumā iestādes darbinieki var izmantot arī centralizēto pakalpojumu sniegšanas un pārvaldības platformu, apskatot klienta informāciju, reģistrējot pakalpojumu pieprasījumus un kontrolējot to sniegšanas procesu; iestāžu darbinieki var izmantot tikai centralizēto pakalpojumu sniegšanas un pārvaldības platformu vai arī integrēt savu esošo platformu, kas nozarei ļoti specifiska (piemēram, e-veselība), ar centralizēto, lai centrālajā vismaz parādās pakalpojuma piegādes fakts un, iespējams, rezultāts.</w:t>
      </w:r>
    </w:p>
    <w:p w:rsidR="00882F81" w:rsidRDefault="00882F81" w:rsidP="00882F81">
      <w:pPr>
        <w:pStyle w:val="ISBodyTextNumbered"/>
        <w:numPr>
          <w:ilvl w:val="0"/>
          <w:numId w:val="0"/>
        </w:numPr>
      </w:pPr>
      <w:r>
        <w:t xml:space="preserve">Attīstot publiskās pārvaldes institūcijas informācijas sistēmas, kas apstrādā pastāvīgi saglabājamus valsts informācijas resursus, ir </w:t>
      </w:r>
      <w:r w:rsidR="009915C4">
        <w:t xml:space="preserve">jāplāno un </w:t>
      </w:r>
      <w:r>
        <w:t>jā</w:t>
      </w:r>
      <w:r w:rsidR="009915C4">
        <w:t xml:space="preserve">izstrādā Valsts arhīva prasībām atbilstoši arhivējamo datu apstrādes risinājumi. </w:t>
      </w:r>
    </w:p>
    <w:p w:rsidR="00E95D38" w:rsidRDefault="00E95D38" w:rsidP="00E95D38">
      <w:pPr>
        <w:pStyle w:val="ISHeading2"/>
      </w:pPr>
      <w:bookmarkStart w:id="94" w:name="_Toc392680536"/>
      <w:bookmarkStart w:id="95" w:name="_Toc405912588"/>
      <w:bookmarkStart w:id="96" w:name="_Toc410147009"/>
      <w:r>
        <w:lastRenderedPageBreak/>
        <w:t xml:space="preserve">Centralizētās platformas </w:t>
      </w:r>
      <w:bookmarkEnd w:id="94"/>
      <w:r>
        <w:t>un koplietošanas risinājumi</w:t>
      </w:r>
      <w:bookmarkEnd w:id="95"/>
      <w:bookmarkEnd w:id="96"/>
      <w:r>
        <w:t xml:space="preserve"> </w:t>
      </w:r>
    </w:p>
    <w:p w:rsidR="00E95D38" w:rsidRDefault="00E95D38" w:rsidP="00E95D38">
      <w:pPr>
        <w:pStyle w:val="ISBodyText"/>
      </w:pPr>
      <w:r w:rsidRPr="00E77931">
        <w:t>Centralizēto platformu un koplietošanas risinājumu sadaļā iekļautie principi jeb konceptuālās rekomendācijas</w:t>
      </w:r>
      <w:r w:rsidR="003461DB">
        <w:t xml:space="preserve"> P25-P34</w:t>
      </w:r>
      <w:r w:rsidRPr="00E77931">
        <w:t xml:space="preserve"> apraksta būtiskāko platformu un koplietošanas risinājumu pamata uzbūvi, darbības principus un pielietojumus. </w:t>
      </w:r>
      <w:r w:rsidR="003461DB">
        <w:t>Savukārt, P35 – P36 definē</w:t>
      </w:r>
      <w:r w:rsidR="003461DB" w:rsidRPr="00E77931">
        <w:t xml:space="preserve"> centralizēto platformu veidošanas, pārvaldības un attīstības </w:t>
      </w:r>
      <w:r w:rsidR="003461DB">
        <w:t xml:space="preserve">kopējos </w:t>
      </w:r>
      <w:r w:rsidR="003461DB" w:rsidRPr="00E77931">
        <w:t>principus</w:t>
      </w:r>
      <w:r w:rsidR="003461DB">
        <w:t xml:space="preserve">. </w:t>
      </w:r>
      <w:r w:rsidRPr="00E77931">
        <w:t>Konkrētās platformas un koplietošanas risinājumi to pielietojumu sfērās ir obligāti izmantojami visās no jauna izstrādājamās un attīstāmās publiskās pārvaldes informācijas sistēmās</w:t>
      </w:r>
      <w:r>
        <w:t>, ja vien tie nodrošina attīstāmo darbības procesu prasības</w:t>
      </w:r>
      <w:r w:rsidR="003461DB">
        <w:t xml:space="preserve"> un to izmantošana ir lietderīga un pamatota no kopējo risinājumu attīstības un darbības izmaksu (TCO) viedokļa. </w:t>
      </w:r>
      <w:r w:rsidR="00605FA7" w:rsidRPr="00605FA7">
        <w:t>Centralizēto platformu neizmantošanas vai nelietderības gadījumi ir</w:t>
      </w:r>
      <w:r>
        <w:t xml:space="preserve"> jāpamato, attīstāmo informācijas sistēmu konceptuālā projektējuma dokumentos norādot konkrētos centralizēto platformu un koplietošanas risinājumu neizmantošanas iemeslus un aprakstot plānotos alternatīvos risinājumus (ieskaitot to izveidei un uzturēšanai nepieciešamos resursus). </w:t>
      </w:r>
    </w:p>
    <w:p w:rsidR="00E95D38" w:rsidRDefault="00E95D38" w:rsidP="00E95D38">
      <w:pPr>
        <w:pStyle w:val="ISBodyText"/>
      </w:pPr>
      <w:r w:rsidRPr="00E77931">
        <w:t xml:space="preserve">Publisko pakalpojumu sistēmas pilnveides ietvaros īpaši būtiska ir visu publisko pakalpojumu sniegšanā tieši iesaistīto informācijas sistēmu pilnvērtīga integrācija ar </w:t>
      </w:r>
      <w:r>
        <w:t>pakalpojumu sniegšanas un pārvaldības</w:t>
      </w:r>
      <w:r w:rsidRPr="00E77931">
        <w:t xml:space="preserve"> platformu, kā arī koplietošanas autentifikācijas un maksājumu risinājumu izmantošana. </w:t>
      </w:r>
    </w:p>
    <w:p w:rsidR="00BA14DD" w:rsidRPr="00E77931" w:rsidRDefault="00BA14DD" w:rsidP="00E95D38">
      <w:pPr>
        <w:pStyle w:val="ISBodyText"/>
      </w:pPr>
      <w:r w:rsidRPr="00BA14DD">
        <w:t>Intensificējot centralizēto platformu izmantošanu, un it īpaši – izmantojot tās arī īpaši kritisku darbības procesu atbalstam, radikāli paaugstinās prasības centralizēto platformu pieejamībai un darbības nepārtrauktībai.</w:t>
      </w:r>
    </w:p>
    <w:p w:rsidR="003461DB" w:rsidRDefault="003461DB" w:rsidP="003461DB">
      <w:pPr>
        <w:pStyle w:val="Princips"/>
      </w:pPr>
      <w:bookmarkStart w:id="97" w:name="_Toc410147010"/>
      <w:bookmarkStart w:id="98" w:name="_Toc405912589"/>
      <w:r>
        <w:t>Pakalpojumu, portālu, sadarbspējas un infrastruktūras servisu nodrošinājums centralizētu platformu veidā</w:t>
      </w:r>
      <w:bookmarkEnd w:id="97"/>
    </w:p>
    <w:p w:rsidR="00E95D38" w:rsidRDefault="00E95D38" w:rsidP="00E95D38">
      <w:pPr>
        <w:pStyle w:val="ISBodyText"/>
      </w:pPr>
      <w:r>
        <w:t>Centralizēt</w:t>
      </w:r>
      <w:r w:rsidR="00715134">
        <w:t xml:space="preserve">os </w:t>
      </w:r>
      <w:r>
        <w:t>koplietošanas risinājum</w:t>
      </w:r>
      <w:r w:rsidR="00715134">
        <w:t>us var</w:t>
      </w:r>
      <w:r>
        <w:t xml:space="preserve"> grupēt loģiskos līmeņos, kas atbilst attiecīgās komponentes lomai/pienesumam kopējās funkcionalitātes nodrošināšanai:</w:t>
      </w:r>
    </w:p>
    <w:p w:rsidR="00E95D38" w:rsidRDefault="00BA14DD" w:rsidP="00E95D38">
      <w:pPr>
        <w:pStyle w:val="ISBulletText"/>
      </w:pPr>
      <w:r>
        <w:rPr>
          <w:b/>
        </w:rPr>
        <w:t>Piegādes</w:t>
      </w:r>
      <w:r w:rsidR="00E95D38" w:rsidRPr="002D35B4">
        <w:rPr>
          <w:b/>
        </w:rPr>
        <w:t xml:space="preserve"> kanāli</w:t>
      </w:r>
      <w:r w:rsidR="00E95D38">
        <w:t xml:space="preserve"> – dažādu pakalpojumu sniegšanas un komunikāciju kanālu IKT atbalsts</w:t>
      </w:r>
      <w:r w:rsidR="00C50BB4">
        <w:t>;</w:t>
      </w:r>
    </w:p>
    <w:p w:rsidR="00E95D38" w:rsidRDefault="00E95D38" w:rsidP="00E95D38">
      <w:pPr>
        <w:pStyle w:val="ISBulletText"/>
      </w:pPr>
      <w:r w:rsidRPr="002D35B4">
        <w:rPr>
          <w:b/>
        </w:rPr>
        <w:t>Vienotais e-konts</w:t>
      </w:r>
      <w:r>
        <w:t xml:space="preserve"> – centralizēta klienta sadarbības vēstures ar valsti, dokumentu uzglabāšana, vienotas saskarnes un saziņas ar klientu nodrošināšana (oficiālā e-adrese)</w:t>
      </w:r>
      <w:r w:rsidR="00C50BB4">
        <w:t>;</w:t>
      </w:r>
    </w:p>
    <w:p w:rsidR="00E95D38" w:rsidRDefault="00E95D38" w:rsidP="00E95D38">
      <w:pPr>
        <w:pStyle w:val="ISBulletText"/>
      </w:pPr>
      <w:r w:rsidRPr="002D35B4">
        <w:rPr>
          <w:b/>
        </w:rPr>
        <w:t>Sadarbspējas platforma</w:t>
      </w:r>
      <w:r>
        <w:t xml:space="preserve"> – funkcionalitāte, kas nodrošina sadarbspēju starp informācijas sistēmām, datu pieejamību valsts pārvaldē (vienoto datu telpu), kā arī </w:t>
      </w:r>
      <w:r w:rsidR="00C50BB4">
        <w:t xml:space="preserve">datu </w:t>
      </w:r>
      <w:r>
        <w:t>atkalizmantošanu</w:t>
      </w:r>
      <w:r w:rsidR="00C50BB4">
        <w:t>;</w:t>
      </w:r>
      <w:r>
        <w:t xml:space="preserve"> </w:t>
      </w:r>
    </w:p>
    <w:p w:rsidR="00E95D38" w:rsidRDefault="00E95D38" w:rsidP="00E95D38">
      <w:pPr>
        <w:pStyle w:val="ISBulletText"/>
      </w:pPr>
      <w:r w:rsidRPr="00914D8B">
        <w:rPr>
          <w:b/>
        </w:rPr>
        <w:t>Pamatpakalpes</w:t>
      </w:r>
      <w:r>
        <w:t xml:space="preserve"> – dažādas iestāžu un centralizēti nodrošināmas koplietošanas pakalpes</w:t>
      </w:r>
      <w:r w:rsidR="00C50BB4">
        <w:t>;</w:t>
      </w:r>
      <w:r>
        <w:t xml:space="preserve"> </w:t>
      </w:r>
    </w:p>
    <w:p w:rsidR="00E95D38" w:rsidRDefault="00E95D38" w:rsidP="00E95D38">
      <w:pPr>
        <w:pStyle w:val="ISBulletText"/>
      </w:pPr>
      <w:r w:rsidRPr="002D35B4">
        <w:rPr>
          <w:b/>
        </w:rPr>
        <w:t>Infrastruktūras un izvietošanas  platformas</w:t>
      </w:r>
      <w:r>
        <w:t xml:space="preserve"> – risinājumi, kas nodrošina dažād</w:t>
      </w:r>
      <w:r w:rsidR="009C23CE">
        <w:t>u</w:t>
      </w:r>
      <w:r>
        <w:t xml:space="preserve"> infrastruktūras pakalpojumu pieejamību, kas nepieciešamas IS darbināšanai.</w:t>
      </w:r>
    </w:p>
    <w:p w:rsidR="00E95D38" w:rsidRDefault="00E95D38" w:rsidP="00E95D38">
      <w:pPr>
        <w:pStyle w:val="ISBodyText"/>
      </w:pPr>
      <w:r>
        <w:t xml:space="preserve">Plānotās koplietošanas funkcionalitātes izveidei un pārvaldībai koplietošanas komponentes un risinājumi </w:t>
      </w:r>
      <w:r w:rsidR="00715134">
        <w:t>ir</w:t>
      </w:r>
      <w:r>
        <w:t xml:space="preserve"> sagrupēti šādos risinājumu funkcionālajos blokos</w:t>
      </w:r>
      <w:r w:rsidR="00715134">
        <w:t>:</w:t>
      </w:r>
      <w:r>
        <w:t xml:space="preserve"> </w:t>
      </w:r>
    </w:p>
    <w:p w:rsidR="00E95D38" w:rsidRDefault="00E95D38" w:rsidP="00E95D38">
      <w:pPr>
        <w:pStyle w:val="ISBulletText"/>
      </w:pPr>
      <w:r>
        <w:t>Pakalpojumu sniegšanas un pārvaldības platforma</w:t>
      </w:r>
      <w:r w:rsidR="0050559C">
        <w:t>,</w:t>
      </w:r>
    </w:p>
    <w:p w:rsidR="00E95D38" w:rsidRDefault="00E95D38" w:rsidP="00E95D38">
      <w:pPr>
        <w:pStyle w:val="ISBulletText"/>
      </w:pPr>
      <w:r>
        <w:t>Portālu platforma</w:t>
      </w:r>
      <w:r w:rsidR="0050559C">
        <w:t>,</w:t>
      </w:r>
    </w:p>
    <w:p w:rsidR="00E95D38" w:rsidRDefault="00E95D38" w:rsidP="00E95D38">
      <w:pPr>
        <w:pStyle w:val="ISBulletText"/>
      </w:pPr>
      <w:r>
        <w:t>Sadarbspējas platforma un koplietošanas pamatpakalpes</w:t>
      </w:r>
      <w:r w:rsidR="0050559C">
        <w:t>,</w:t>
      </w:r>
    </w:p>
    <w:p w:rsidR="00E95D38" w:rsidRDefault="00E95D38" w:rsidP="00E95D38">
      <w:pPr>
        <w:pStyle w:val="ISBulletText"/>
      </w:pPr>
      <w:r>
        <w:t>Iestāžu pamatpakalpes (kā daļa no attiecīgās iestādes IS attīstības)</w:t>
      </w:r>
      <w:r w:rsidR="0050559C">
        <w:t>,</w:t>
      </w:r>
    </w:p>
    <w:p w:rsidR="00E95D38" w:rsidRDefault="00E95D38" w:rsidP="00E95D38">
      <w:pPr>
        <w:pStyle w:val="ISBulletText"/>
      </w:pPr>
      <w:r>
        <w:t>IKT infrastruktūras un izvietošanas platformas</w:t>
      </w:r>
      <w:r w:rsidR="0050559C">
        <w:t>.</w:t>
      </w:r>
    </w:p>
    <w:p w:rsidR="00E95D38" w:rsidRDefault="00E95D38" w:rsidP="00E95D38">
      <w:pPr>
        <w:pStyle w:val="ISBodyText"/>
      </w:pPr>
      <w:r>
        <w:lastRenderedPageBreak/>
        <w:t xml:space="preserve">Sekojošā attēlā </w:t>
      </w:r>
      <w:r w:rsidR="00715134">
        <w:t xml:space="preserve">(skat. 10. attēlu) </w:t>
      </w:r>
      <w:r>
        <w:t>ir parādīt</w:t>
      </w:r>
      <w:r w:rsidR="002F25C5">
        <w:t>i</w:t>
      </w:r>
      <w:r>
        <w:t xml:space="preserve"> galvenie koplietošanas komponenti, kā arī ar attiecīgu krāsu iekrāsota šo komponentu piederība attiecīgajam funkcionālajam blokam</w:t>
      </w:r>
      <w:r w:rsidR="0050559C">
        <w:t xml:space="preserve">. </w:t>
      </w:r>
    </w:p>
    <w:p w:rsidR="00E95D38" w:rsidRDefault="00E95D38" w:rsidP="00E95D38">
      <w:pPr>
        <w:pStyle w:val="ISBodyText"/>
        <w:keepNext/>
        <w:ind w:left="-142"/>
      </w:pPr>
      <w:r w:rsidRPr="009B714C">
        <w:rPr>
          <w:noProof/>
          <w:lang w:eastAsia="lv-LV"/>
        </w:rPr>
        <w:drawing>
          <wp:inline distT="0" distB="0" distL="0" distR="0">
            <wp:extent cx="6231474" cy="6699885"/>
            <wp:effectExtent l="0" t="0" r="0" b="571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43568" cy="6712889"/>
                    </a:xfrm>
                    <a:prstGeom prst="rect">
                      <a:avLst/>
                    </a:prstGeom>
                  </pic:spPr>
                </pic:pic>
              </a:graphicData>
            </a:graphic>
          </wp:inline>
        </w:drawing>
      </w:r>
    </w:p>
    <w:p w:rsidR="00E95D38" w:rsidRDefault="00715134" w:rsidP="00E95D38">
      <w:pPr>
        <w:pStyle w:val="Parakstszemobjekta"/>
      </w:pPr>
      <w:r>
        <w:t>10</w:t>
      </w:r>
      <w:r w:rsidR="00E95D38">
        <w:t>.</w:t>
      </w:r>
      <w:r>
        <w:t xml:space="preserve"> </w:t>
      </w:r>
      <w:r w:rsidR="00E95D38">
        <w:t>attēls. Koplietošanas risinājumu un komponentu pārskats</w:t>
      </w:r>
    </w:p>
    <w:p w:rsidR="00E95D38" w:rsidRDefault="00E95D38" w:rsidP="00E95D38">
      <w:pPr>
        <w:pStyle w:val="Princips"/>
      </w:pPr>
      <w:bookmarkStart w:id="99" w:name="_Toc392680543"/>
      <w:bookmarkStart w:id="100" w:name="_Toc405912590"/>
      <w:bookmarkStart w:id="101" w:name="_Toc410147011"/>
      <w:bookmarkEnd w:id="98"/>
      <w:r>
        <w:t>Portālu platforma</w:t>
      </w:r>
      <w:bookmarkEnd w:id="99"/>
      <w:bookmarkEnd w:id="100"/>
      <w:bookmarkEnd w:id="101"/>
    </w:p>
    <w:p w:rsidR="00E95D38" w:rsidRDefault="00E95D38" w:rsidP="00E95D38">
      <w:pPr>
        <w:pStyle w:val="ISBodyText"/>
      </w:pPr>
      <w:r>
        <w:t>Portālu platforma tiek attīstīta ar mērķi nodrošināt:</w:t>
      </w:r>
    </w:p>
    <w:p w:rsidR="00E95D38" w:rsidRDefault="00E95D38" w:rsidP="00E95D38">
      <w:pPr>
        <w:pStyle w:val="ISBulletText"/>
      </w:pPr>
      <w:r>
        <w:t>Vienota valsts zīmola izmantošanu komunikācijā ar iedzīvotājiem un iebraucējiem;</w:t>
      </w:r>
    </w:p>
    <w:p w:rsidR="00E95D38" w:rsidRDefault="00E95D38" w:rsidP="00E95D38">
      <w:pPr>
        <w:pStyle w:val="ISBulletText"/>
      </w:pPr>
      <w:r>
        <w:t>Vienotas satura tipu (informācijas arhitektūras) pieejas izmantošanu;</w:t>
      </w:r>
    </w:p>
    <w:p w:rsidR="00E95D38" w:rsidRDefault="00E95D38" w:rsidP="00E95D38">
      <w:pPr>
        <w:pStyle w:val="ISBulletText"/>
      </w:pPr>
      <w:r>
        <w:lastRenderedPageBreak/>
        <w:t xml:space="preserve">Resursu ekonomiju, tehniski ieviešot un uzturot platformu tikai vienviet un ar vienas uzturēšanas komandas palīdzību (tā vietā, lai darbinātu tās vairākas instances vai pat vairākas platformas vairākkārt). </w:t>
      </w:r>
    </w:p>
    <w:p w:rsidR="00E95D38" w:rsidRDefault="00E95D38" w:rsidP="00E95D38">
      <w:pPr>
        <w:pStyle w:val="ISBodyText"/>
      </w:pPr>
      <w:r>
        <w:t xml:space="preserve">Shematiska sadarbības karte, kurā attēlotas galvenās portāla platformas lietotāju grupas un ārējas sistēmas, ar kurām nepieciešama sadarbība, parādīta </w:t>
      </w:r>
      <w:r w:rsidR="0050559C">
        <w:t>11</w:t>
      </w:r>
      <w:r>
        <w:t>. attēlā. Attēlā redzams, ka viens no platformas efektīvas ieviešanas priekšnosacījumiem ir vienotās autentifikācijas risinājuma ieviešana valsts pārvaldē (skat. P33 un P34), jo tas nodrošina ērtu piekļuvi portālam bez papildus autentifikācijas informācijas norādīšanas (</w:t>
      </w:r>
      <w:r w:rsidRPr="00291618">
        <w:rPr>
          <w:i/>
        </w:rPr>
        <w:t>single sign-on</w:t>
      </w:r>
      <w:r>
        <w:t>). Ņemot vērā pasaulē arvien pieaugošo tendenci publicēt informāciju sociālajos tīklos, paredzēts, ka platforma tiks integrēta ar populārākajiem sociālajiem tīkliem, kur var publicēt jaunumus un perspektīvā arī atbildēt uz tur publicētajiem komentāriem.</w:t>
      </w:r>
    </w:p>
    <w:p w:rsidR="00E95D38" w:rsidRDefault="00E95D38" w:rsidP="00E95D38">
      <w:pPr>
        <w:pStyle w:val="ISBodyText"/>
        <w:jc w:val="center"/>
      </w:pPr>
      <w:r w:rsidRPr="00F727A4">
        <w:rPr>
          <w:noProof/>
          <w:lang w:eastAsia="lv-LV"/>
        </w:rPr>
        <w:drawing>
          <wp:inline distT="0" distB="0" distL="0" distR="0">
            <wp:extent cx="4295775" cy="4313201"/>
            <wp:effectExtent l="0" t="0" r="0" b="0"/>
            <wp:docPr id="9" name="Content Placeholde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7"/>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342379" cy="4359994"/>
                    </a:xfrm>
                    <a:prstGeom prst="rect">
                      <a:avLst/>
                    </a:prstGeom>
                  </pic:spPr>
                </pic:pic>
              </a:graphicData>
            </a:graphic>
          </wp:inline>
        </w:drawing>
      </w:r>
    </w:p>
    <w:p w:rsidR="00E95D38" w:rsidRDefault="0050559C" w:rsidP="00E95D38">
      <w:pPr>
        <w:pStyle w:val="Parakstszemobjekta"/>
        <w:rPr>
          <w:noProof/>
        </w:rPr>
      </w:pPr>
      <w:r>
        <w:rPr>
          <w:noProof/>
        </w:rPr>
        <w:t>11</w:t>
      </w:r>
      <w:r w:rsidR="00E95D38">
        <w:rPr>
          <w:noProof/>
        </w:rPr>
        <w:t>. attēls. Portālu platformas sadarbības skats</w:t>
      </w:r>
    </w:p>
    <w:p w:rsidR="00E95D38" w:rsidRDefault="00E95D38" w:rsidP="00E95D38">
      <w:pPr>
        <w:pStyle w:val="ISBodyText"/>
      </w:pPr>
      <w:r>
        <w:t>Atbilstoši P23, portālu platforma nodrošina galveno funkcionalitāti arī programmatūras saskarnes veidā, ļaujot citām sistēmām publicēt informāciju automātiski (piemēram, iestādes portālā varētu automātiski publicēt informāciju par iestādes darbiniekiem, ja darbinieku pārvaldību veic ar sistēmas palīdzību, kas integrēta ar portālu).</w:t>
      </w:r>
    </w:p>
    <w:p w:rsidR="00E95D38" w:rsidRDefault="00E95D38" w:rsidP="00E95D38">
      <w:pPr>
        <w:pStyle w:val="ISBodyText"/>
      </w:pPr>
      <w:r>
        <w:t>Lai nodrošinātu, ka portālu platforma ir vienotais iedzīvotāju piekļuves punkts, arī tās meklēšanas sistēmai jādarbojas ne tikai pa elementiem, kuri ir pašā platformā, bet jāļauj arī veikt ārējo vietņu (citu iestāžu mājas esošo lapu</w:t>
      </w:r>
      <w:r w:rsidR="007A4A56">
        <w:t>)</w:t>
      </w:r>
      <w:r>
        <w:t xml:space="preserve"> indeksēšana un attēlošana meklēšanas rezultātos. Arī šī meklēšanas funkcija tālāk publicēta programmatūras saskarnes veidā, ļaujot ārējām sistēmām to integrēt. Izmantojot iepriekš definēto pieeju, ka visi satura elementi ir standartizēti, meklēšanas risinājums var nodrošināt nevis tikai vienkāršu meklēšanu tekstā, bet arī elementu grupēšanu/filtrēšanu pēc dažāda veida piesaistītajiem metadatiem (izmantojot definētas taksonomijas), tai skaitā pēc </w:t>
      </w:r>
      <w:r>
        <w:lastRenderedPageBreak/>
        <w:t>elementa tipa, piemēram, atlasot tikai elementus “darba sludinājums” no visām valsts pārvaldes satura pārvaldības sistēmām, kas integrētas šajā meklēšanas risinājumā.</w:t>
      </w:r>
    </w:p>
    <w:p w:rsidR="00E95D38" w:rsidRDefault="00E95D38" w:rsidP="00E95D38">
      <w:pPr>
        <w:pStyle w:val="ISBodyText"/>
      </w:pPr>
      <w:r>
        <w:t>Atbilstoši P26 noteiktajam, ka centralizētās sistēmas/platformas tiek tehniski uzturētas centralizēti</w:t>
      </w:r>
      <w:r w:rsidR="007A4A56">
        <w:t>,</w:t>
      </w:r>
      <w:r>
        <w:t xml:space="preserve"> bet pašas iestādes tās pārvalda no satura viedokļa, arī portālu platformas pārvaldības modelis ir tāds, ka tehniski platformu uztur viena komanda, pamatelementus definē centralizētie redaktori, bet katras iestrādes saturiskie un strukturālie pielāgojumi ir iestādes darbinieku ziņā – gan tehnisko darbinieku, gan satura pārvaldnieku. Portālu platformas organizatoriskais modelis ir parādīts </w:t>
      </w:r>
      <w:r w:rsidR="0050559C">
        <w:t>12</w:t>
      </w:r>
      <w:r>
        <w:t>. attēlā. Papildu portālu platformas pārvaldības modelim tajā parādīts arī, kā esošie iestāžu portāli tiek integrēti, izmantojot, piemēram, vienoto meklēšanas funkcionalitāti, iespējams, arī vienoto lietotāju autentifikāciju (ja iedzīvotāju autentifikācija nepieciešama).</w:t>
      </w:r>
    </w:p>
    <w:p w:rsidR="00E95D38" w:rsidRDefault="00E95D38" w:rsidP="00E95D38">
      <w:pPr>
        <w:pStyle w:val="ISBodyText"/>
        <w:jc w:val="center"/>
      </w:pPr>
      <w:r w:rsidRPr="00F727A4">
        <w:rPr>
          <w:noProof/>
          <w:lang w:eastAsia="lv-LV"/>
        </w:rPr>
        <w:drawing>
          <wp:inline distT="0" distB="0" distL="0" distR="0">
            <wp:extent cx="4153179" cy="4021455"/>
            <wp:effectExtent l="0" t="0" r="0" b="0"/>
            <wp:docPr id="10" name="Content Placehold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164116" cy="4032045"/>
                    </a:xfrm>
                    <a:prstGeom prst="rect">
                      <a:avLst/>
                    </a:prstGeom>
                  </pic:spPr>
                </pic:pic>
              </a:graphicData>
            </a:graphic>
          </wp:inline>
        </w:drawing>
      </w:r>
    </w:p>
    <w:p w:rsidR="00E95D38" w:rsidRDefault="0050559C" w:rsidP="00E95D38">
      <w:pPr>
        <w:pStyle w:val="Parakstszemobjekta"/>
        <w:rPr>
          <w:noProof/>
        </w:rPr>
      </w:pPr>
      <w:r>
        <w:rPr>
          <w:noProof/>
        </w:rPr>
        <w:t>12</w:t>
      </w:r>
      <w:r w:rsidR="00E95D38">
        <w:rPr>
          <w:noProof/>
        </w:rPr>
        <w:t>. attēls. Portālu platformas organizatoriskais skats</w:t>
      </w:r>
    </w:p>
    <w:p w:rsidR="00E95D38" w:rsidRDefault="00E95D38" w:rsidP="00E95D38">
      <w:pPr>
        <w:pStyle w:val="ISBodyText"/>
      </w:pPr>
      <w:r>
        <w:t>Saturiski shēmā parādīts arī valsts galvenais portāls (opcionāla satura komponente), kas varētu būt daļēji automātiski veidots, apkopojot citos portālos (iestāžu satura komponentēs) esošo informāciju, kas veidota izmantojot kopējos satura tipus, piemēram, jaunumu sadaļā tas attēlotu jaunumus no dažādām iestādēm vienviet. Lai gan šāda galvenā portāla izveide ir iespējama atbilstoši aprakstītajai pieejai, tas nebūtu pirmās kārtas uzdevums, jo vispirms nepieciešams veikt izmaiņas, lai platformā tiek darbināti daudzi iestāžu satura pārvaldības risinājumi vai lai esošie ir integrēti ne tikai tehniski, bet arī saturiski (izmanto tos pašus satura tipus un publicē informāciju strukturētā veidā ar metadatiem, piemēram, kā RSS).</w:t>
      </w:r>
    </w:p>
    <w:p w:rsidR="00E95D38" w:rsidRDefault="00E95D38" w:rsidP="00E95D38">
      <w:pPr>
        <w:pStyle w:val="ISBodyText"/>
      </w:pPr>
      <w:r>
        <w:t xml:space="preserve">Sīkāka informācija par portāla platformas funkcionālo (jeb saturisko pusi) ir sniegta </w:t>
      </w:r>
      <w:r w:rsidR="00444A1F">
        <w:t>1</w:t>
      </w:r>
      <w:r w:rsidR="0050559C">
        <w:t>3</w:t>
      </w:r>
      <w:r>
        <w:t>. attēlā, kur ir parādīti galvenie bloki, kurus nodrošina pati platforma un aprakstīta dažādu elementu specifika.</w:t>
      </w:r>
    </w:p>
    <w:p w:rsidR="00E95D38" w:rsidRDefault="00E95D38" w:rsidP="00E95D38">
      <w:pPr>
        <w:pStyle w:val="ISBodyText"/>
      </w:pPr>
      <w:r w:rsidRPr="00C15C76">
        <w:rPr>
          <w:noProof/>
          <w:lang w:eastAsia="lv-LV"/>
        </w:rPr>
        <w:lastRenderedPageBreak/>
        <w:t xml:space="preserve"> </w:t>
      </w:r>
      <w:r w:rsidRPr="00DB1EF7">
        <w:rPr>
          <w:noProof/>
          <w:lang w:eastAsia="lv-LV"/>
        </w:rPr>
        <w:drawing>
          <wp:inline distT="0" distB="0" distL="0" distR="0">
            <wp:extent cx="6442379" cy="4029075"/>
            <wp:effectExtent l="0" t="0" r="0" b="0"/>
            <wp:docPr id="11" name="Content Placehold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6449244" cy="4033369"/>
                    </a:xfrm>
                    <a:prstGeom prst="rect">
                      <a:avLst/>
                    </a:prstGeom>
                  </pic:spPr>
                </pic:pic>
              </a:graphicData>
            </a:graphic>
          </wp:inline>
        </w:drawing>
      </w:r>
    </w:p>
    <w:p w:rsidR="00E95D38" w:rsidRPr="00DB1EF7" w:rsidRDefault="0050559C" w:rsidP="00E95D38">
      <w:pPr>
        <w:pStyle w:val="Parakstszemobjekta"/>
        <w:jc w:val="left"/>
      </w:pPr>
      <w:r>
        <w:t>13</w:t>
      </w:r>
      <w:r w:rsidR="00E95D38">
        <w:t>. attēls. Portālu platformas saturiskais skats</w:t>
      </w:r>
    </w:p>
    <w:p w:rsidR="00E95D38" w:rsidRDefault="00E95D38" w:rsidP="00E95D38">
      <w:pPr>
        <w:pStyle w:val="ISBodyText"/>
      </w:pPr>
      <w:r>
        <w:t>Portāla platformas galvenie funkcionālie bloki ir šādi:</w:t>
      </w:r>
    </w:p>
    <w:p w:rsidR="00E95D38" w:rsidRDefault="00E95D38" w:rsidP="00E95D38">
      <w:pPr>
        <w:pStyle w:val="ISBulletText"/>
      </w:pPr>
      <w:r>
        <w:t>Meklēšanas risinājums, kas nodrošina platformas un ārējo vietņu indeksēšanu, piesaisti metadatiem, kā arī funkcionalitātes pārpublicēšanu API veidā;</w:t>
      </w:r>
    </w:p>
    <w:p w:rsidR="00E95D38" w:rsidRDefault="00E95D38" w:rsidP="00E95D38">
      <w:pPr>
        <w:pStyle w:val="ISBulletText"/>
      </w:pPr>
      <w:r>
        <w:t>Satura tipu un taksonomiju uzturēšana, lai nodrošinātu vienotus datu elementus dažādos portālos, ļaujot panākt vienotas informācijas arhitektūras ieviešanu satura publicēšanas daļā;</w:t>
      </w:r>
    </w:p>
    <w:p w:rsidR="00E95D38" w:rsidRDefault="00E95D38" w:rsidP="00E95D38">
      <w:pPr>
        <w:pStyle w:val="ISBulletText"/>
      </w:pPr>
      <w:r>
        <w:t>Funkcionālo un vizuālo elementu atbalsts, ļaujot vietot vienotu vizuālo pieeju (vienoti logo, krāsas, vizuālais izkārtojums, zīmols un iespējams tā “apakšzīmoli”) un vienotu veidu dažādu funkciju veikšanai (piemēram, portlets/widžets, kas veic raksta norādes publicēšanu sociālajā tīklā un kuru var izmantot visu iestāžu portālu veidotāji savās lapās);</w:t>
      </w:r>
    </w:p>
    <w:p w:rsidR="00E95D38" w:rsidRDefault="00E95D38" w:rsidP="00E95D38">
      <w:pPr>
        <w:pStyle w:val="ISBulletText"/>
      </w:pPr>
      <w:r>
        <w:t>Vienota autentifikācija, kas integrēta ar vienoto federatīvās autentifikācijas mehānismu, ļaujot gan iestāžu darbiniekiem pieteikties portālu platformā bez papildu informācijas ievades, gan iedzīvotājiem autentificēties, izmantojot jau šobrīd ieviestos mehānismus;</w:t>
      </w:r>
    </w:p>
    <w:p w:rsidR="00E95D38" w:rsidRPr="00FB6474" w:rsidRDefault="00E95D38" w:rsidP="00E95D38">
      <w:pPr>
        <w:pStyle w:val="ISBulletText"/>
      </w:pPr>
      <w:r>
        <w:t xml:space="preserve">Programmatūras saskarnes (API) datu apstrādei attālināti un integrācijai ar ārējām sistēmām (gan informācijas publicēšanas, gan atkalizmantošanas nolūkos). </w:t>
      </w:r>
    </w:p>
    <w:p w:rsidR="00E95D38" w:rsidRDefault="00E95D38" w:rsidP="00E95D38">
      <w:pPr>
        <w:pStyle w:val="ISBodyText"/>
      </w:pPr>
    </w:p>
    <w:p w:rsidR="00E95D38" w:rsidRPr="00B97F6D" w:rsidRDefault="00E95D38" w:rsidP="00E95D38">
      <w:pPr>
        <w:pStyle w:val="Princips"/>
      </w:pPr>
      <w:bookmarkStart w:id="102" w:name="_Toc392680544"/>
      <w:bookmarkStart w:id="103" w:name="_Toc405912591"/>
      <w:bookmarkStart w:id="104" w:name="_Toc410147012"/>
      <w:r w:rsidRPr="00B97F6D">
        <w:t xml:space="preserve">Pakalpojumu </w:t>
      </w:r>
      <w:r>
        <w:t>sniegšanas un pārvaldības</w:t>
      </w:r>
      <w:r w:rsidRPr="00B97F6D">
        <w:t xml:space="preserve"> platforma</w:t>
      </w:r>
      <w:bookmarkEnd w:id="102"/>
      <w:bookmarkEnd w:id="103"/>
      <w:bookmarkEnd w:id="104"/>
    </w:p>
    <w:p w:rsidR="00E95D38" w:rsidRPr="00B97F6D" w:rsidRDefault="00E95D38" w:rsidP="00E95D38">
      <w:pPr>
        <w:pStyle w:val="ISBodyText"/>
      </w:pPr>
      <w:r w:rsidRPr="00B97F6D">
        <w:t xml:space="preserve">Lai iedzīvotājiem un uzņēmējiem nodrošinātu ne tikai vienotu publisko pakalpojumu katalogu, bet arī reāli nodrošinātu vienveidīgu sadarbības modeli, visas informācijas (tai skaitā pakalpojumu </w:t>
      </w:r>
      <w:r w:rsidRPr="00B97F6D">
        <w:lastRenderedPageBreak/>
        <w:t xml:space="preserve">izpildes rezultātu) saglabāšanu vienviet līdzīgi tam, kā darbojas Internetbanku risinājumi, ir nepieciešama platforma, kas integrē pakalpojumu </w:t>
      </w:r>
      <w:r>
        <w:t>sniegšanas</w:t>
      </w:r>
      <w:r w:rsidRPr="00B97F6D">
        <w:t xml:space="preserve"> procesu, neatkarīgi no pakalpojumu </w:t>
      </w:r>
      <w:r w:rsidR="002B184C">
        <w:t>piegādes</w:t>
      </w:r>
      <w:r w:rsidRPr="00B97F6D">
        <w:t xml:space="preserve"> kanāla (</w:t>
      </w:r>
      <w:r>
        <w:t>t</w:t>
      </w:r>
      <w:r w:rsidRPr="00B97F6D">
        <w:t xml:space="preserve">ātad, arī pakalpojumiem, kuri tiek piegādāti klātienē (ne e-pakalpojumiem), gan  vienas pieturas aģentūrās, gan specializētās iestādēs). Vēlamā kārtā tas ir attiecināms arī uz pašvaldību pakalpojumiem. </w:t>
      </w:r>
    </w:p>
    <w:p w:rsidR="00E95D38" w:rsidRPr="00B97F6D" w:rsidRDefault="00E95D38" w:rsidP="00E95D38">
      <w:pPr>
        <w:pStyle w:val="ISBodySubhead2"/>
        <w:rPr>
          <w:bCs/>
          <w:i w:val="0"/>
          <w:iCs w:val="0"/>
          <w:u w:val="none"/>
          <w:lang w:eastAsia="en-US"/>
        </w:rPr>
      </w:pPr>
      <w:r w:rsidRPr="00B97F6D">
        <w:rPr>
          <w:bCs/>
          <w:i w:val="0"/>
          <w:iCs w:val="0"/>
          <w:u w:val="none"/>
          <w:lang w:eastAsia="en-US"/>
        </w:rPr>
        <w:t xml:space="preserve">Pakalpojumu </w:t>
      </w:r>
      <w:r>
        <w:rPr>
          <w:bCs/>
          <w:i w:val="0"/>
          <w:iCs w:val="0"/>
          <w:u w:val="none"/>
          <w:lang w:eastAsia="en-US"/>
        </w:rPr>
        <w:t>sniegšanas un pārvaldības</w:t>
      </w:r>
      <w:r w:rsidRPr="00B97F6D">
        <w:rPr>
          <w:bCs/>
          <w:i w:val="0"/>
          <w:iCs w:val="0"/>
          <w:u w:val="none"/>
          <w:lang w:eastAsia="en-US"/>
        </w:rPr>
        <w:t xml:space="preserve"> platforma tiks attīstīta uz esošā portāla </w:t>
      </w:r>
      <w:hyperlink r:id="rId27" w:history="1">
        <w:r w:rsidRPr="00B97F6D">
          <w:rPr>
            <w:rStyle w:val="Hipersaite"/>
            <w:bCs/>
            <w:i w:val="0"/>
            <w:iCs w:val="0"/>
            <w:lang w:eastAsia="en-US"/>
          </w:rPr>
          <w:t>www.latvija.lv</w:t>
        </w:r>
      </w:hyperlink>
      <w:r w:rsidRPr="00B97F6D">
        <w:rPr>
          <w:bCs/>
          <w:i w:val="0"/>
          <w:iCs w:val="0"/>
          <w:u w:val="none"/>
          <w:lang w:eastAsia="en-US"/>
        </w:rPr>
        <w:t xml:space="preserve"> un ar to saistīto risinājumu bāzes, lai nodrošinātu:</w:t>
      </w:r>
    </w:p>
    <w:p w:rsidR="00E95D38" w:rsidRPr="00B97F6D" w:rsidRDefault="00E95D38" w:rsidP="00E95D38">
      <w:pPr>
        <w:pStyle w:val="ISBulletText"/>
      </w:pPr>
      <w:r w:rsidRPr="00B97F6D">
        <w:t>Lietotāja profila uzturēšanu, tai skaitā tiesību deleģējumus veikt noteiktus pakalpojumus citu iedzīvotāju vai uzņēmumu vārdā;</w:t>
      </w:r>
    </w:p>
    <w:p w:rsidR="00E95D38" w:rsidRPr="00B97F6D" w:rsidRDefault="00E95D38" w:rsidP="00E95D38">
      <w:pPr>
        <w:pStyle w:val="ISBulletText"/>
      </w:pPr>
      <w:r w:rsidRPr="00B97F6D">
        <w:t xml:space="preserve">Visu pakalpojumu </w:t>
      </w:r>
      <w:r>
        <w:t>sniegšanas</w:t>
      </w:r>
      <w:r w:rsidRPr="00B97F6D">
        <w:t xml:space="preserve"> faktu un arī rezultātu uzturēšanu vienviet, nodrošinot informāciju par iedzīvotāja vai uzņēmēja sadarbību ar valsti;</w:t>
      </w:r>
    </w:p>
    <w:p w:rsidR="00E95D38" w:rsidRPr="00B97F6D" w:rsidRDefault="00E95D38" w:rsidP="00E95D38">
      <w:pPr>
        <w:pStyle w:val="ISBulletText"/>
      </w:pPr>
      <w:r w:rsidRPr="00B97F6D">
        <w:t>Veikto e-pakalpojumu un pakalpojumu klātienē vēsturi (tai skaitā nosūtītos un saņemtos dokumentus), arī veicamos un veiktos maksājumus (piemēram, par veikto pakalpojumu);</w:t>
      </w:r>
    </w:p>
    <w:p w:rsidR="00E95D38" w:rsidRPr="00B97F6D" w:rsidRDefault="00E95D38" w:rsidP="00E95D38">
      <w:pPr>
        <w:pStyle w:val="ISBulletText"/>
      </w:pPr>
      <w:r w:rsidRPr="00B97F6D">
        <w:t>Daudzu sadarbības kanālu nodrošināšanu un integrēšanu – portāls, mobilie risinājumi, klātiene, zvanu centrs;</w:t>
      </w:r>
    </w:p>
    <w:p w:rsidR="00E95D38" w:rsidRPr="00B97F6D" w:rsidRDefault="00E95D38" w:rsidP="00E95D38">
      <w:pPr>
        <w:pStyle w:val="ISBulletText"/>
      </w:pPr>
      <w:r w:rsidRPr="00B97F6D">
        <w:t>Pakalpojumu katalogu ar iekšējo zināšanu bāzi, kuru izmantotu vienotās pieturas aģentūrās vai zvanu centrā, un ārējo BUJ sarakstu;</w:t>
      </w:r>
    </w:p>
    <w:p w:rsidR="00E95D38" w:rsidRPr="00B97F6D" w:rsidRDefault="00E95D38" w:rsidP="00E95D38">
      <w:pPr>
        <w:pStyle w:val="ISBulletText"/>
      </w:pPr>
      <w:r w:rsidRPr="00B97F6D">
        <w:t xml:space="preserve">Vienkāršo pakalpojumu </w:t>
      </w:r>
      <w:r>
        <w:t>sniegšanas</w:t>
      </w:r>
      <w:r w:rsidRPr="00B97F6D">
        <w:t xml:space="preserve"> atbalstu, nodrošinot darba plūsmu definēšanu un iestāžu darbinieku iesaisti pakalpojuma </w:t>
      </w:r>
      <w:r w:rsidR="007903A5">
        <w:t>sniegšanā</w:t>
      </w:r>
      <w:r w:rsidRPr="00B97F6D">
        <w:t>;</w:t>
      </w:r>
    </w:p>
    <w:p w:rsidR="00E95D38" w:rsidRPr="00B97F6D" w:rsidRDefault="00E95D38" w:rsidP="00E95D38">
      <w:pPr>
        <w:pStyle w:val="ISBulletText"/>
      </w:pPr>
      <w:r w:rsidRPr="00B97F6D">
        <w:t xml:space="preserve">Pēc iespējas integrētu nozaru specifisko pakalpojumu </w:t>
      </w:r>
      <w:r>
        <w:t xml:space="preserve">sniegšanas </w:t>
      </w:r>
      <w:r w:rsidRPr="00B97F6D">
        <w:t xml:space="preserve"> platformu attēlošanu paša pakalpojuma veikšanai, turpinot nodrošināt vienotu autentifikāciju, bet arī nosakot pieeju vizuālai un saturiskai integrācijai, lai no lietotāja viedokļa izmaiņas, pārejot no viena pakalpojuma </w:t>
      </w:r>
      <w:r>
        <w:t>sniegšana</w:t>
      </w:r>
      <w:r w:rsidRPr="00B97F6D">
        <w:t>s vietnes uz citu, nav kardinālas;</w:t>
      </w:r>
    </w:p>
    <w:p w:rsidR="00E95D38" w:rsidRPr="00B97F6D" w:rsidRDefault="00E95D38" w:rsidP="00E95D38">
      <w:pPr>
        <w:pStyle w:val="ISBulletText"/>
      </w:pPr>
      <w:r w:rsidRPr="00B97F6D">
        <w:t xml:space="preserve">Programmatūras saskarņu nodrošināšanu nozaru pakalpojumu </w:t>
      </w:r>
      <w:r>
        <w:t>sniegšanas</w:t>
      </w:r>
      <w:r w:rsidRPr="00B97F6D">
        <w:t xml:space="preserve"> platformu integrēšanai centrālajā gan autentifikācijas vajadzībām, gan pašu pakalpojumu </w:t>
      </w:r>
      <w:r>
        <w:t>sniegšanas</w:t>
      </w:r>
      <w:r w:rsidRPr="00B97F6D">
        <w:t xml:space="preserve"> statusu un rezultātu publicēšanai; integrēšanu var paredzēt divos veidos – saskarnes, lai ārējas sistēmas proaktīvi publicē statusus un rezultātus, un saskarnes nozaru sistēmās, kuras centrālā regulāri izsauc, lai iegūtu informāciju par iniciētajiem un arī piegādātajiem pakalpojumiem un to rezultātiem.</w:t>
      </w:r>
    </w:p>
    <w:p w:rsidR="00E95D38" w:rsidRPr="00B97F6D" w:rsidRDefault="00E95D38" w:rsidP="00E95D38">
      <w:pPr>
        <w:pStyle w:val="ISBodyText"/>
      </w:pPr>
      <w:r w:rsidRPr="00B97F6D">
        <w:t xml:space="preserve">Nozaru pakalpojumu </w:t>
      </w:r>
      <w:r>
        <w:t>sniegšanas</w:t>
      </w:r>
      <w:r w:rsidRPr="00B97F6D">
        <w:t xml:space="preserve"> risinājumiem un platformām tiks piemērots viens no diviem alternatīviem integrācijas scenārijiem:</w:t>
      </w:r>
    </w:p>
    <w:p w:rsidR="00E95D38" w:rsidRPr="00B97F6D" w:rsidRDefault="00E95D38" w:rsidP="008F1BA5">
      <w:pPr>
        <w:pStyle w:val="ISBulletText"/>
      </w:pPr>
      <w:r w:rsidRPr="00B97F6D">
        <w:t>Tās tiks integrētas ar centralizēto piekļuves punktu (sarežģītu resora pakalpojumu gadījumā, piemēram, VID, e-Veselība)</w:t>
      </w:r>
      <w:r w:rsidR="008F1BA5" w:rsidRPr="008F1BA5">
        <w:t xml:space="preserve">, nodrošinot savstarpējo drošības, identifikācijas un autorizācijas kopdarbību, bez pakalpojuma </w:t>
      </w:r>
      <w:r w:rsidR="008F1BA5">
        <w:t>saņē</w:t>
      </w:r>
      <w:r w:rsidR="008F1BA5" w:rsidRPr="008F1BA5">
        <w:t xml:space="preserve">mēja </w:t>
      </w:r>
      <w:r w:rsidR="008F1BA5">
        <w:t>tiešas iesaistīšanā</w:t>
      </w:r>
      <w:r w:rsidR="008F1BA5" w:rsidRPr="008F1BA5">
        <w:t>s</w:t>
      </w:r>
      <w:r w:rsidRPr="00B97F6D">
        <w:t>;</w:t>
      </w:r>
    </w:p>
    <w:p w:rsidR="00E95D38" w:rsidRPr="00B97F6D" w:rsidRDefault="00E95D38" w:rsidP="00E95D38">
      <w:pPr>
        <w:pStyle w:val="ISBulletText"/>
      </w:pPr>
      <w:r w:rsidRPr="00B97F6D">
        <w:t>Izveidotas centralizētajā pakalpojumu platformā (nelielajiem pakalpojumiem un pārsvarā manuāli piegādātajiem pakalpojumiem).</w:t>
      </w:r>
    </w:p>
    <w:p w:rsidR="00E95D38" w:rsidRPr="00B97F6D" w:rsidRDefault="00E95D38" w:rsidP="00E95D38">
      <w:pPr>
        <w:pStyle w:val="ISBodyText"/>
      </w:pPr>
      <w:r w:rsidRPr="00B97F6D">
        <w:t xml:space="preserve">Pakalpojumu </w:t>
      </w:r>
      <w:r>
        <w:t>sniegšanas un pārv</w:t>
      </w:r>
      <w:r w:rsidR="007A4A56">
        <w:t>al</w:t>
      </w:r>
      <w:r>
        <w:t>dības</w:t>
      </w:r>
      <w:r w:rsidRPr="00B97F6D">
        <w:t xml:space="preserve"> platformas viens no galvenajiem mērķiem ir vienota sadarbības mehānisma izveide starp iedzīvotājiem un valsti, nodrošinot vienas pieturas principu (</w:t>
      </w:r>
      <w:r w:rsidRPr="00B97F6D">
        <w:rPr>
          <w:i/>
        </w:rPr>
        <w:t>one stop shop</w:t>
      </w:r>
      <w:r w:rsidRPr="00B97F6D">
        <w:rPr>
          <w:rStyle w:val="Vresatsauce"/>
        </w:rPr>
        <w:footnoteReference w:id="7"/>
      </w:r>
      <w:r w:rsidRPr="00B97F6D">
        <w:t xml:space="preserve">), ļaujot iedzīvotājiem saņemt pakalpojumus vienviet pēc iespējas tuvāk dzīves vietai. Platforma nodrošina atbalstu hibrīdam pakalpojumu </w:t>
      </w:r>
      <w:r>
        <w:t>sniegšanas</w:t>
      </w:r>
      <w:r w:rsidRPr="00B97F6D">
        <w:t xml:space="preserve"> modelim, ņemot vērā, ka papildu </w:t>
      </w:r>
      <w:r w:rsidRPr="00B97F6D">
        <w:lastRenderedPageBreak/>
        <w:t>vienkāršiem pakalpojumiem, kuri balstīti uz iesniegumu un rezultējas ar, piemēram, atbildes vēstuli, ir arī nozarēm ļoti specifiski pakalpojumi, kuri prasa atbilstošus risinājumus, kuru uzturēšana centralizētā (vienotā) platformā nebūtu praktiska.</w:t>
      </w:r>
    </w:p>
    <w:p w:rsidR="00E95D38" w:rsidRPr="00B97F6D" w:rsidRDefault="00E95D38" w:rsidP="00E95D38">
      <w:pPr>
        <w:pStyle w:val="ISBodyText"/>
        <w:rPr>
          <w:noProof/>
          <w:lang w:eastAsia="lv-LV"/>
        </w:rPr>
      </w:pPr>
      <w:r w:rsidRPr="00B97F6D">
        <w:t xml:space="preserve">Piedāvātais modelis, kura sadarbības karte ilustrēta </w:t>
      </w:r>
      <w:r w:rsidR="00444A1F">
        <w:t>1</w:t>
      </w:r>
      <w:r w:rsidR="0050559C">
        <w:t>4</w:t>
      </w:r>
      <w:r w:rsidRPr="00B97F6D">
        <w:t xml:space="preserve">. attēlā, nodrošina, ka lietotājiem ir vienots ieejas punkts gan pakalpojuma iniciēšanai, gan arī rezultātu saņemšanai, bet atkarībā no paša pakalpojuma tā </w:t>
      </w:r>
      <w:r>
        <w:t>sniegšana</w:t>
      </w:r>
      <w:r w:rsidRPr="00B97F6D">
        <w:t xml:space="preserve"> var norisināties arī specializētā sistēmā, piemēram, VID EDS vai e-Veselības portāls (shēmā sauktas par resora portāliem un resoru integrācijas platformām)</w:t>
      </w:r>
      <w:r w:rsidR="007A4A56">
        <w:t>, vai arī pašvaldības pakalpojumu portāls</w:t>
      </w:r>
      <w:r w:rsidRPr="00B97F6D">
        <w:t>. Pieeja atbalsta ne tikai vienotu pieeju elektroniskajā vidē (portāli, e-pasts un tml.), bet arī vienotu informācijas krātuvi par prasītājiem un piegādātajiem pakalpojumiem klātienē vai pa telefonu.</w:t>
      </w:r>
      <w:r w:rsidRPr="00B97F6D">
        <w:rPr>
          <w:noProof/>
          <w:lang w:eastAsia="lv-LV"/>
        </w:rPr>
        <w:t xml:space="preserve"> </w:t>
      </w:r>
    </w:p>
    <w:p w:rsidR="00E95D38" w:rsidRPr="00B97F6D" w:rsidRDefault="00E95D38" w:rsidP="003369A5">
      <w:pPr>
        <w:pStyle w:val="ISBodyText"/>
      </w:pPr>
      <w:r>
        <w:object w:dxaOrig="9825" w:dyaOrig="7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371.25pt" o:ole="">
            <v:imagedata r:id="rId28" o:title=""/>
          </v:shape>
          <o:OLEObject Type="Embed" ProgID="Visio.Drawing.15" ShapeID="_x0000_i1025" DrawAspect="Content" ObjectID="_1488881446" r:id="rId29"/>
        </w:object>
      </w:r>
      <w:r w:rsidR="0050559C">
        <w:rPr>
          <w:b/>
        </w:rPr>
        <w:t>14</w:t>
      </w:r>
      <w:r w:rsidRPr="003369A5">
        <w:rPr>
          <w:b/>
        </w:rPr>
        <w:t>. attēls. Pakalpojumu sniegšanas un pārvaldības platformas sadarbības skats</w:t>
      </w:r>
    </w:p>
    <w:p w:rsidR="00E95D38" w:rsidRPr="00B97F6D" w:rsidRDefault="00E95D38" w:rsidP="00E95D38">
      <w:pPr>
        <w:pStyle w:val="ISBodyText"/>
      </w:pPr>
      <w:r w:rsidRPr="00B97F6D">
        <w:t xml:space="preserve">Līdz ar to, piedāvātā risinājuma hibrīdais modelis izpaužas ne tikai tajā, ka tiek atbalstītas arī resoru specifiskas pakalpojumu </w:t>
      </w:r>
      <w:r>
        <w:t>sniegšanas</w:t>
      </w:r>
      <w:r w:rsidRPr="00B97F6D">
        <w:t xml:space="preserve"> platformas/risinājumi, bet arī tajā, ka paši pakalpojumu </w:t>
      </w:r>
      <w:r>
        <w:t>sniegšanas</w:t>
      </w:r>
      <w:r w:rsidRPr="00B97F6D">
        <w:t xml:space="preserve"> mehānismi var būt gan elektroniski (viss pakalpojums pilnībā automatizēts un veikts ar integrācijas vides palīdzību izsaucot iestādes sistēmu), gan neautomatizēti. Neautomatizēta pakalpojuma </w:t>
      </w:r>
      <w:r>
        <w:t>sniegšana</w:t>
      </w:r>
      <w:r w:rsidRPr="00B97F6D">
        <w:t xml:space="preserve">s viens no piemēriem var būt tāds: iedzīvotājs vai nu ar portāla vai </w:t>
      </w:r>
      <w:r>
        <w:t xml:space="preserve">klientu apkalpošanas darbinieka </w:t>
      </w:r>
      <w:r w:rsidRPr="00B97F6D">
        <w:t xml:space="preserve">palīdzību </w:t>
      </w:r>
      <w:r w:rsidR="002B184C">
        <w:t>klientu apkalpošanas centrā</w:t>
      </w:r>
      <w:r w:rsidRPr="00B97F6D">
        <w:t xml:space="preserve"> reģistrē savu pieprasījumu, atbilstošās iestādes lietotājs saņem pieprasījumu veikt darbību savā darba vidē, veic darbību manuāli, piemēram, sagatavo izziņu un izsūta prasītājam pa pastu, beigās sistēmā a</w:t>
      </w:r>
      <w:r w:rsidR="007903A5">
        <w:t>tzīmējot, ka pakalpojuma sniegšana</w:t>
      </w:r>
      <w:r w:rsidRPr="00B97F6D">
        <w:t xml:space="preserve"> veikta.</w:t>
      </w:r>
    </w:p>
    <w:p w:rsidR="00E95D38" w:rsidRPr="00B97F6D" w:rsidRDefault="00E95D38" w:rsidP="00E95D38">
      <w:pPr>
        <w:pStyle w:val="ISBodyText"/>
      </w:pPr>
      <w:r w:rsidRPr="00B97F6D">
        <w:t xml:space="preserve">Platformas uzturēšanas nozīmē </w:t>
      </w:r>
      <w:r>
        <w:t>pakalpojumu sniegšanas un pārvaldības</w:t>
      </w:r>
      <w:r w:rsidRPr="00B97F6D">
        <w:t xml:space="preserve"> platforma </w:t>
      </w:r>
      <w:r w:rsidR="0050559C">
        <w:t xml:space="preserve">ievēro </w:t>
      </w:r>
      <w:r w:rsidRPr="00B97F6D">
        <w:t>centralizētās tehniskās uzturēšanas, bet decentralizētās pārvaldības princip</w:t>
      </w:r>
      <w:r w:rsidR="0050559C">
        <w:t>u</w:t>
      </w:r>
      <w:r w:rsidRPr="00B97F6D">
        <w:t xml:space="preserve">. Iestāžu darbinieki, kuri </w:t>
      </w:r>
      <w:r w:rsidRPr="00B97F6D">
        <w:lastRenderedPageBreak/>
        <w:t xml:space="preserve">izmanto sistēmu kā primāro pakalpojumu </w:t>
      </w:r>
      <w:r>
        <w:t>sniegšanas</w:t>
      </w:r>
      <w:r w:rsidRPr="00B97F6D">
        <w:t xml:space="preserve"> atbalsta rīku, pārvalda gan savu pakalpojumu sarakstu, gan arī zināšanu bāzi, gan arī var veidot vienkāršas pakalpojumu </w:t>
      </w:r>
      <w:r>
        <w:t>sniegšanas</w:t>
      </w:r>
      <w:r w:rsidRPr="00B97F6D">
        <w:t xml:space="preserve"> darba plūsmas, kas iesaista arī iestāžu darbiniekus </w:t>
      </w:r>
      <w:r w:rsidR="0050559C">
        <w:t>(skat. 15. attēls)</w:t>
      </w:r>
      <w:r w:rsidRPr="00B97F6D">
        <w:t xml:space="preserve">. Iestāžu darbinieki, kuriem ir savas pakalpojumu </w:t>
      </w:r>
      <w:r>
        <w:t>sniegšanas</w:t>
      </w:r>
      <w:r w:rsidRPr="00B97F6D">
        <w:t xml:space="preserve"> platformas, vienotajā platformā definē visus pakalpojumus un to publiskos aprakstus, konfigurē tehnisko integrāciju starp centrālo un resora pakalpojuma </w:t>
      </w:r>
      <w:r w:rsidR="007903A5">
        <w:t>sniegšana</w:t>
      </w:r>
      <w:r w:rsidRPr="00B97F6D">
        <w:t xml:space="preserve">s vidi (piemēram, veicot lietotāja pārsūtīšanu </w:t>
      </w:r>
      <w:r w:rsidRPr="00B97F6D">
        <w:rPr>
          <w:i/>
        </w:rPr>
        <w:t>single sign-on</w:t>
      </w:r>
      <w:r w:rsidRPr="00B97F6D">
        <w:t xml:space="preserve"> režīmā).</w:t>
      </w:r>
    </w:p>
    <w:p w:rsidR="00E95D38" w:rsidRPr="00B97F6D" w:rsidRDefault="00FB4EB7" w:rsidP="00E95D38">
      <w:pPr>
        <w:pStyle w:val="ISBodyText"/>
        <w:keepNext/>
        <w:jc w:val="center"/>
      </w:pPr>
      <w:r>
        <w:rPr>
          <w:noProof/>
          <w:lang w:eastAsia="lv-LV"/>
        </w:rPr>
        <w:drawing>
          <wp:inline distT="0" distB="0" distL="0" distR="0">
            <wp:extent cx="3840480" cy="3734998"/>
            <wp:effectExtent l="0" t="0" r="762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62828" cy="3756732"/>
                    </a:xfrm>
                    <a:prstGeom prst="rect">
                      <a:avLst/>
                    </a:prstGeom>
                    <a:noFill/>
                  </pic:spPr>
                </pic:pic>
              </a:graphicData>
            </a:graphic>
          </wp:inline>
        </w:drawing>
      </w:r>
    </w:p>
    <w:p w:rsidR="00E95D38" w:rsidRPr="00B97F6D" w:rsidRDefault="0050559C" w:rsidP="00E95D38">
      <w:pPr>
        <w:pStyle w:val="Parakstszemobjekta"/>
      </w:pPr>
      <w:r>
        <w:t>15</w:t>
      </w:r>
      <w:r w:rsidR="00E95D38" w:rsidRPr="00B97F6D">
        <w:t xml:space="preserve">. attēls. Pakalpojumu </w:t>
      </w:r>
      <w:r w:rsidR="00E95D38">
        <w:t xml:space="preserve">sniegšanas un pārvaldības </w:t>
      </w:r>
      <w:r w:rsidR="00E95D38" w:rsidRPr="00B97F6D">
        <w:t>platformas organizatoriskais skats</w:t>
      </w:r>
    </w:p>
    <w:p w:rsidR="00E95D38" w:rsidRPr="00B97F6D" w:rsidRDefault="00E95D38" w:rsidP="00E95D38">
      <w:pPr>
        <w:pStyle w:val="ISBodyText"/>
      </w:pPr>
      <w:r w:rsidRPr="00B97F6D">
        <w:t xml:space="preserve">Pakalpojumu platformas sadarbības piemērs, kurā attēlota pakalpojumu platforma, tajā esošā informācija, un resora pakalpojumu platforma (e-veselība) ar tajā nodrošināto funkcionalitāti, ir parādīts </w:t>
      </w:r>
      <w:r w:rsidR="00695858">
        <w:t>1</w:t>
      </w:r>
      <w:r w:rsidR="0050559C">
        <w:t>6</w:t>
      </w:r>
      <w:r w:rsidRPr="00B97F6D">
        <w:t xml:space="preserve">. attēlā. Attēlā parādīts, ka primāri visa elektronisko pakalpojumu </w:t>
      </w:r>
      <w:r>
        <w:t>sniegšana</w:t>
      </w:r>
      <w:r w:rsidRPr="00B97F6D">
        <w:t xml:space="preserve"> tiek veikta e-veselības portālā (iedzīvotājiem) vai integrācijas vidē (uzņēmējiem, kuru sistēmas integrētas). Tikai fakts par sniegto pakalpojumu šajā gadījumā tiek reģistrēts centrālajā pakal</w:t>
      </w:r>
      <w:r>
        <w:t>pojumu sniegšanas vidē. KAC darbinieki</w:t>
      </w:r>
      <w:r w:rsidRPr="00B97F6D">
        <w:t xml:space="preserve"> izmanto pakalpojumu </w:t>
      </w:r>
      <w:r>
        <w:t>sniegšanas</w:t>
      </w:r>
      <w:r w:rsidRPr="00B97F6D">
        <w:t xml:space="preserve"> centrālo platformu, lai atbildētu uz pamatjautājumiem, izmantojot integrāciju ar pamatinformāciju sniedzošajiem e-veselības servisiem, bet, ja nepieciešams veikt kādu darbību lietotāja vārdā, tad tiek izmantota tā pati e-veselības portāla platforma, kura nodrošina </w:t>
      </w:r>
      <w:r>
        <w:t xml:space="preserve">klientu apkalpošanas darbinieka </w:t>
      </w:r>
      <w:r w:rsidRPr="00B97F6D">
        <w:t>darba vietu (ar iespēju kontrolēti veikt darbības citu iedzīvotāju vārdā).</w:t>
      </w:r>
    </w:p>
    <w:p w:rsidR="00E95D38" w:rsidRPr="00B97F6D" w:rsidRDefault="00E95D38" w:rsidP="00E95D38">
      <w:pPr>
        <w:pStyle w:val="ISBodyText"/>
      </w:pPr>
      <w:r w:rsidRPr="00B97F6D">
        <w:t xml:space="preserve"> </w:t>
      </w:r>
    </w:p>
    <w:p w:rsidR="00E95D38" w:rsidRPr="00B97F6D" w:rsidRDefault="00FB4EB7" w:rsidP="00E95D38">
      <w:pPr>
        <w:pStyle w:val="ISBodyText"/>
        <w:keepNext/>
        <w:jc w:val="center"/>
      </w:pPr>
      <w:r>
        <w:rPr>
          <w:noProof/>
          <w:lang w:eastAsia="lv-LV"/>
        </w:rPr>
        <w:lastRenderedPageBreak/>
        <w:drawing>
          <wp:inline distT="0" distB="0" distL="0" distR="0">
            <wp:extent cx="6473053" cy="4693920"/>
            <wp:effectExtent l="0" t="0" r="444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01165" cy="4714305"/>
                    </a:xfrm>
                    <a:prstGeom prst="rect">
                      <a:avLst/>
                    </a:prstGeom>
                    <a:noFill/>
                  </pic:spPr>
                </pic:pic>
              </a:graphicData>
            </a:graphic>
          </wp:inline>
        </w:drawing>
      </w:r>
    </w:p>
    <w:p w:rsidR="00E95D38" w:rsidRPr="00B97F6D" w:rsidRDefault="0050559C" w:rsidP="00E95D38">
      <w:pPr>
        <w:pStyle w:val="Parakstszemobjekta"/>
      </w:pPr>
      <w:r>
        <w:t>16</w:t>
      </w:r>
      <w:r w:rsidR="00E95D38" w:rsidRPr="00B97F6D">
        <w:t xml:space="preserve">. attēls. Pakalpojumu </w:t>
      </w:r>
      <w:r w:rsidR="00E95D38">
        <w:t>sniegšanas un pārvaldības</w:t>
      </w:r>
      <w:r w:rsidR="00E95D38" w:rsidRPr="00B97F6D">
        <w:t xml:space="preserve"> platformas sadarbības piemērs ar e-Veselības risinājumu</w:t>
      </w:r>
    </w:p>
    <w:p w:rsidR="00E95D38" w:rsidRDefault="00E95D38" w:rsidP="00E95D38">
      <w:pPr>
        <w:pStyle w:val="ISBodyText"/>
      </w:pPr>
      <w:r w:rsidRPr="00B97F6D">
        <w:t xml:space="preserve">Saturiski funkcionālie bloki, kas nepieciešami, lai nodrošinātu pakalpojumu platformas darbu un atbilstu izvirzītajiem programmatūras arhitektūras principiem, ir parādīti </w:t>
      </w:r>
      <w:r w:rsidR="00444A1F">
        <w:t>1</w:t>
      </w:r>
      <w:r w:rsidR="0050559C">
        <w:t>7</w:t>
      </w:r>
      <w:r w:rsidRPr="00B97F6D">
        <w:t>. attēlā</w:t>
      </w:r>
      <w:r>
        <w:t xml:space="preserve"> (pakalpojumu platformai piederīgās komponentes ir iekrāsotas sārtā krāsā).</w:t>
      </w:r>
      <w:r w:rsidRPr="00B97F6D">
        <w:t xml:space="preserve">. Pakalpojumu </w:t>
      </w:r>
      <w:r>
        <w:t xml:space="preserve">sniegšanas un pārvaldības </w:t>
      </w:r>
      <w:r w:rsidRPr="00B97F6D">
        <w:t xml:space="preserve"> platforma primāri sastāv no </w:t>
      </w:r>
      <w:r>
        <w:t>šādām</w:t>
      </w:r>
      <w:r w:rsidRPr="00B97F6D">
        <w:t xml:space="preserve"> lielām sadaļām</w:t>
      </w:r>
      <w:r>
        <w:t>:</w:t>
      </w:r>
    </w:p>
    <w:p w:rsidR="00E95D38" w:rsidRDefault="00E95D38" w:rsidP="00834920">
      <w:pPr>
        <w:pStyle w:val="ISBulletText"/>
        <w:rPr>
          <w:noProof/>
        </w:rPr>
      </w:pPr>
      <w:r>
        <w:t>P</w:t>
      </w:r>
      <w:r w:rsidRPr="00B97F6D">
        <w:t xml:space="preserve">akalpojumu </w:t>
      </w:r>
      <w:r>
        <w:t>sniegšanas</w:t>
      </w:r>
      <w:r w:rsidRPr="00B97F6D">
        <w:t xml:space="preserve"> portāla, kas </w:t>
      </w:r>
      <w:r>
        <w:t>nodrošina publisko pakalpojumu kataloga funkcionalitāti un vienotu vidi e-pakalpojumu izpildei,</w:t>
      </w:r>
    </w:p>
    <w:p w:rsidR="00E95D38" w:rsidRDefault="00E95D38" w:rsidP="00834920">
      <w:pPr>
        <w:pStyle w:val="ISBulletText"/>
        <w:rPr>
          <w:noProof/>
        </w:rPr>
      </w:pPr>
      <w:r>
        <w:t>Pakalpojumu sniegšanas atbalsta risinājuma, kas nodrošina klientu apkalpošanas procesu atbalstu;</w:t>
      </w:r>
    </w:p>
    <w:p w:rsidR="00E95D38" w:rsidRDefault="00E95D38" w:rsidP="00834920">
      <w:pPr>
        <w:pStyle w:val="ISBulletText"/>
        <w:rPr>
          <w:noProof/>
        </w:rPr>
      </w:pPr>
      <w:r>
        <w:t>Vienotā e-konta risinājuma, kas nodrošina visas informācijas par sadarbību ar klientu  uzkrāšanu vienuviet, personalizētu “internetbanku” klientiem, caur kuru klientus veic visu e-saziņu ar valsti;</w:t>
      </w:r>
    </w:p>
    <w:p w:rsidR="00E95D38" w:rsidRDefault="00E95D38" w:rsidP="00834920">
      <w:pPr>
        <w:pStyle w:val="ISBulletText"/>
        <w:rPr>
          <w:noProof/>
        </w:rPr>
      </w:pPr>
      <w:r>
        <w:t>Izmaksu vadības un rādītāju risinājuma, kas nodrošina pakalpojumu dažādu ar pakalpojumu sniegšanu saistītu rādītāju un izmaksu uzskaiti.</w:t>
      </w:r>
    </w:p>
    <w:p w:rsidR="00E95D38" w:rsidRDefault="00E95D38" w:rsidP="00E95D38">
      <w:pPr>
        <w:pStyle w:val="ISBodyText"/>
        <w:rPr>
          <w:noProof/>
        </w:rPr>
      </w:pPr>
      <w:r>
        <w:object w:dxaOrig="11131" w:dyaOrig="8715">
          <v:shape id="_x0000_i1026" type="#_x0000_t75" style="width:482.25pt;height:377.25pt" o:ole="">
            <v:imagedata r:id="rId32" o:title=""/>
          </v:shape>
          <o:OLEObject Type="Embed" ProgID="Visio.Drawing.15" ShapeID="_x0000_i1026" DrawAspect="Content" ObjectID="_1488881447" r:id="rId33"/>
        </w:object>
      </w:r>
    </w:p>
    <w:p w:rsidR="00E95D38" w:rsidRPr="00B97F6D" w:rsidRDefault="00444A1F" w:rsidP="00E95D38">
      <w:pPr>
        <w:pStyle w:val="Parakstszemobjekta"/>
      </w:pPr>
      <w:r>
        <w:rPr>
          <w:noProof/>
        </w:rPr>
        <w:t>1</w:t>
      </w:r>
      <w:r w:rsidR="0050559C">
        <w:rPr>
          <w:noProof/>
        </w:rPr>
        <w:t>7</w:t>
      </w:r>
      <w:r w:rsidR="00E95D38" w:rsidRPr="00B97F6D">
        <w:t xml:space="preserve">. attēls. </w:t>
      </w:r>
      <w:r w:rsidR="00E95D38">
        <w:t>Pakalpojumu sniegšanas un pārvaldības</w:t>
      </w:r>
      <w:r w:rsidR="00E95D38" w:rsidRPr="00B97F6D">
        <w:t xml:space="preserve"> platformas saturiskais skats</w:t>
      </w:r>
    </w:p>
    <w:p w:rsidR="00E95D38" w:rsidRPr="007D0447" w:rsidRDefault="00E95D38" w:rsidP="00E95D38">
      <w:pPr>
        <w:pStyle w:val="ISBulletText"/>
        <w:numPr>
          <w:ilvl w:val="0"/>
          <w:numId w:val="0"/>
        </w:numPr>
      </w:pPr>
      <w:r w:rsidRPr="007D0447">
        <w:t>Vienota sadarbības punkta</w:t>
      </w:r>
      <w:r>
        <w:t xml:space="preserve"> (e-konta)</w:t>
      </w:r>
      <w:r w:rsidRPr="007D0447">
        <w:t xml:space="preserve"> izveide elektroniskā vidē, atbalstot no vienas puses dažādus pakalpojumu </w:t>
      </w:r>
      <w:r>
        <w:t>sniegšanas</w:t>
      </w:r>
      <w:r w:rsidRPr="007D0447">
        <w:t xml:space="preserve"> kanālus, no otras puses - visus e-pakalpojumus to </w:t>
      </w:r>
      <w:r>
        <w:t>sniegšana</w:t>
      </w:r>
      <w:r w:rsidRPr="007D0447">
        <w:t xml:space="preserve">s platformās,  gan centralizētajā, gan nozaru platformās, nodrošina lietotājam (iedzīvotājam vai uzņēmējam) vienotu sadarbības punktu un modeli publisko pakalpojumu saņemšanai, savukārt, valsts vienotajai publisko pakalpojumu pārvaldības klientu apkalpošanas organizācijai – pilnu informāciju par pakalpojumu piegādi un klientu apkalpošanu, kas nepieciešama pakalpojumu </w:t>
      </w:r>
      <w:r>
        <w:t>sniegšanas</w:t>
      </w:r>
      <w:r w:rsidRPr="007D0447">
        <w:t xml:space="preserve"> uzlabošanas darbību veikšanai. </w:t>
      </w:r>
    </w:p>
    <w:p w:rsidR="00E95D38" w:rsidRPr="007D0447" w:rsidRDefault="00E95D38" w:rsidP="00E95D38">
      <w:pPr>
        <w:pStyle w:val="ISBodyText"/>
      </w:pPr>
      <w:r w:rsidRPr="007D0447">
        <w:t>Risinājums ar vienkāršāko pakalpojumu pilnu nodrošinājumu centrālajā platformā un ar labi integrētām nozaru pakalpojumu platformām, ļauj nelielajām iestādēm un vienkāršo pakalpojumu gadījumā ekonomēt, neizstrādājot atsevišķas sistēmas, tajā pašā laikā atbalstot arī lielos pakalpojumu sniedzējus, kuru pakalpojumi ir ļoti specifiski un prasa specializētus risinājumus (piemēram, e-veselība un sniegto veselības pakalpojumu informācijas uzglabāšana).</w:t>
      </w:r>
    </w:p>
    <w:p w:rsidR="00E95D38" w:rsidRPr="007171D3" w:rsidRDefault="00E95D38" w:rsidP="00E95D38">
      <w:pPr>
        <w:pStyle w:val="Princips"/>
      </w:pPr>
      <w:bookmarkStart w:id="105" w:name="_Toc392680545"/>
      <w:bookmarkStart w:id="106" w:name="_Toc405912592"/>
      <w:bookmarkStart w:id="107" w:name="_Toc410147013"/>
      <w:r>
        <w:t>Sadarbspējas</w:t>
      </w:r>
      <w:r w:rsidRPr="007171D3">
        <w:t xml:space="preserve"> platforma</w:t>
      </w:r>
      <w:bookmarkEnd w:id="105"/>
      <w:bookmarkEnd w:id="106"/>
      <w:bookmarkEnd w:id="107"/>
    </w:p>
    <w:p w:rsidR="00E95D38" w:rsidRPr="00B52F0F" w:rsidRDefault="00E95D38" w:rsidP="00E95D38">
      <w:pPr>
        <w:pStyle w:val="ISBodyText"/>
        <w:rPr>
          <w:lang w:eastAsia="lv-LV"/>
        </w:rPr>
      </w:pPr>
      <w:bookmarkStart w:id="108" w:name="_Toc392680540"/>
      <w:r w:rsidRPr="00B52F0F">
        <w:rPr>
          <w:lang w:eastAsia="lv-LV"/>
        </w:rPr>
        <w:t>Sadarbspējas platformas risinājums nodrošina dažādu tipu datu ap</w:t>
      </w:r>
      <w:r w:rsidR="0017645F">
        <w:rPr>
          <w:lang w:eastAsia="lv-LV"/>
        </w:rPr>
        <w:t>riti</w:t>
      </w:r>
      <w:r w:rsidRPr="00B52F0F">
        <w:rPr>
          <w:lang w:eastAsia="lv-LV"/>
        </w:rPr>
        <w:t xml:space="preserve"> starp valsts iestādēm, kā arī starp valsts iestādēm, iedzīvotājiem un uzņēmējiem. Tas nodrošina datu ap</w:t>
      </w:r>
      <w:r w:rsidR="0017645F">
        <w:rPr>
          <w:lang w:eastAsia="lv-LV"/>
        </w:rPr>
        <w:t>riti</w:t>
      </w:r>
      <w:r w:rsidRPr="00B52F0F">
        <w:rPr>
          <w:lang w:eastAsia="lv-LV"/>
        </w:rPr>
        <w:t xml:space="preserve"> arī pārrobežas scenārijos atbilstoši EIF (</w:t>
      </w:r>
      <w:r w:rsidRPr="00B52F0F">
        <w:rPr>
          <w:i/>
          <w:lang w:eastAsia="lv-LV"/>
        </w:rPr>
        <w:t>European Interoperability Framework</w:t>
      </w:r>
      <w:r w:rsidRPr="00B52F0F">
        <w:rPr>
          <w:lang w:eastAsia="lv-LV"/>
        </w:rPr>
        <w:t>)</w:t>
      </w:r>
      <w:r>
        <w:rPr>
          <w:rStyle w:val="Vresatsauce"/>
          <w:lang w:eastAsia="lv-LV"/>
        </w:rPr>
        <w:footnoteReference w:id="8"/>
      </w:r>
      <w:r w:rsidRPr="00B52F0F">
        <w:rPr>
          <w:lang w:eastAsia="lv-LV"/>
        </w:rPr>
        <w:t xml:space="preserve"> tehniskajām rekomendācijām. Šis </w:t>
      </w:r>
      <w:r w:rsidRPr="00B52F0F">
        <w:rPr>
          <w:lang w:eastAsia="lv-LV"/>
        </w:rPr>
        <w:lastRenderedPageBreak/>
        <w:t xml:space="preserve">risinājums no vienas puses tehnisko pakalpojumu (atkal)izmantotājam nodrošina vienu sadarbības punktu ar visām valsts (un pašvaldības) iestādēm, kuras publicē savas pakalpes. No otras puses valsts un pašvaldības iestādēm, arī trešajām pusēm, kas </w:t>
      </w:r>
      <w:r w:rsidR="007903A5">
        <w:rPr>
          <w:lang w:eastAsia="lv-LV"/>
        </w:rPr>
        <w:t>sniedz</w:t>
      </w:r>
      <w:r w:rsidRPr="00B52F0F">
        <w:rPr>
          <w:lang w:eastAsia="lv-LV"/>
        </w:rPr>
        <w:t xml:space="preserve"> tehniskos pakalpojumus, tas ļauj koncentrēties uz pašu pakalpju funkcionalitāti, nevis dažādām tehniskām un vienmēr nepieciešamām funkcionālām lietām. Piemēri platformā nodrošinātajai funkcionalitātei, kuru citādi katrā iestādē būtu jāveido no jauna, ir:</w:t>
      </w:r>
    </w:p>
    <w:p w:rsidR="00E95D38" w:rsidRPr="00B52F0F" w:rsidRDefault="00E95D38" w:rsidP="001F7A9E">
      <w:pPr>
        <w:pStyle w:val="ISBulletText"/>
      </w:pPr>
      <w:r w:rsidRPr="00B52F0F">
        <w:t xml:space="preserve">Pakalpju kataloga uzturēšana un pieejamība apskatei izmantotājiem, </w:t>
      </w:r>
    </w:p>
    <w:p w:rsidR="00E95D38" w:rsidRPr="00B52F0F" w:rsidRDefault="00E95D38" w:rsidP="001F7A9E">
      <w:pPr>
        <w:pStyle w:val="ISBulletText"/>
      </w:pPr>
      <w:r w:rsidRPr="00B52F0F">
        <w:t xml:space="preserve">Datu keša uzturēšana, lai atslogotu iestādes sistēmas, </w:t>
      </w:r>
    </w:p>
    <w:p w:rsidR="00E95D38" w:rsidRPr="00B52F0F" w:rsidRDefault="00E95D38" w:rsidP="001F7A9E">
      <w:pPr>
        <w:pStyle w:val="ISBulletText"/>
      </w:pPr>
      <w:r w:rsidRPr="00B52F0F">
        <w:t xml:space="preserve">Maksājumu apstrāde un samaksas kontrole maksas pakalpojumiem, </w:t>
      </w:r>
    </w:p>
    <w:p w:rsidR="00E95D38" w:rsidRPr="00B52F0F" w:rsidRDefault="00E95D38" w:rsidP="001F7A9E">
      <w:pPr>
        <w:pStyle w:val="ISBulletText"/>
      </w:pPr>
      <w:r w:rsidRPr="00B52F0F">
        <w:t>Izmantotāju (abonentu) uzska</w:t>
      </w:r>
      <w:r w:rsidR="00806568">
        <w:t>i</w:t>
      </w:r>
      <w:r w:rsidRPr="00B52F0F">
        <w:t>te,</w:t>
      </w:r>
    </w:p>
    <w:p w:rsidR="00E95D38" w:rsidRPr="00B52F0F" w:rsidRDefault="00E95D38" w:rsidP="001F7A9E">
      <w:pPr>
        <w:pStyle w:val="ISBulletText"/>
      </w:pPr>
      <w:r w:rsidRPr="00B52F0F">
        <w:t>Vienota autentifikācijas un autorizācijas pieeja (izmantotājam nepieciešams tikai viens autentifikācijas ieraksts, lai darbotos ar dažādām valsts vai pašvaldību sistēmām),</w:t>
      </w:r>
    </w:p>
    <w:p w:rsidR="00E95D38" w:rsidRPr="00B52F0F" w:rsidRDefault="00E95D38" w:rsidP="001F7A9E">
      <w:pPr>
        <w:pStyle w:val="ISBulletText"/>
      </w:pPr>
      <w:r w:rsidRPr="00B52F0F">
        <w:t>Visu izsaukumu centralizēts audits un tehniskais žurnāls, kas pieejams pašām iestādēm,</w:t>
      </w:r>
    </w:p>
    <w:p w:rsidR="00E95D38" w:rsidRPr="00B52F0F" w:rsidRDefault="00E95D38" w:rsidP="001F7A9E">
      <w:pPr>
        <w:pStyle w:val="ISBulletText"/>
      </w:pPr>
      <w:r w:rsidRPr="00B52F0F">
        <w:t>Augstas pieejamības koplietošanas infrastruktūra, kas mērogojama, pielāgojoties noslodzes izmaiņām un nodrošina noteiktu pieejamības līmeni (SLA).</w:t>
      </w:r>
    </w:p>
    <w:p w:rsidR="00E95D38" w:rsidRPr="00B52F0F" w:rsidRDefault="00E95D38" w:rsidP="00E95D38">
      <w:pPr>
        <w:pStyle w:val="ISBodyText"/>
      </w:pPr>
      <w:r w:rsidRPr="00B52F0F">
        <w:t>Sadarbības platformas kopskats, kurā attēloti ārējie elementi, ar kuriem vienotās datu telpas risinājums sadarbojas, vai kuriem tas nodrošina tehniskos pakalpojumus, ir parādīts attēlā zemāk (</w:t>
      </w:r>
      <w:r w:rsidR="0050559C">
        <w:t>18. attēls</w:t>
      </w:r>
      <w:r w:rsidRPr="00B52F0F">
        <w:t>). Attēlā redzams, ka risinājums kā vienu no prioritātēm uz</w:t>
      </w:r>
      <w:r w:rsidR="00806568">
        <w:t>s</w:t>
      </w:r>
      <w:r w:rsidRPr="00B52F0F">
        <w:t>ver pieejamību izstrādātājiem – gan valsts iestāžu, gan uzņēmumu izstrādātājiem</w:t>
      </w:r>
      <w:r w:rsidR="00806568">
        <w:t xml:space="preserve"> -</w:t>
      </w:r>
      <w:r w:rsidRPr="00B52F0F">
        <w:t xml:space="preserve"> un arī nodrošina tehniskos pakalpojumus vienotā veidā gan citām iestādēm, gan trešo pušu risinājumiem. Tāpat pakalpes, kuras publicētas sadarbspējas platformā, var nākt gan no valsts iestāžu risinājumiem, pašvaldību risinājumiem, </w:t>
      </w:r>
      <w:r w:rsidR="00806568">
        <w:t>gan</w:t>
      </w:r>
      <w:r w:rsidR="00806568" w:rsidRPr="00B52F0F">
        <w:t xml:space="preserve"> </w:t>
      </w:r>
      <w:r w:rsidRPr="00B52F0F">
        <w:t>arī no trešo pušu sistēmām</w:t>
      </w:r>
      <w:r w:rsidR="00806568">
        <w:t>.</w:t>
      </w:r>
      <w:r w:rsidRPr="00B52F0F">
        <w:t xml:space="preserve"> </w:t>
      </w:r>
      <w:r w:rsidR="00806568">
        <w:t>P</w:t>
      </w:r>
      <w:r w:rsidRPr="00B52F0F">
        <w:t>iemēram, SMS nosūtīšanas servisu valsts var nodrošināt centralizēti, iegādājoties pašu servisu no trešās puses un padarot to pieejamu citām valsts sistēmām.</w:t>
      </w:r>
    </w:p>
    <w:p w:rsidR="00E95D38" w:rsidRPr="00B52F0F" w:rsidRDefault="00E95D38" w:rsidP="00E95D38">
      <w:pPr>
        <w:pStyle w:val="ISBulletText"/>
        <w:keepNext/>
        <w:numPr>
          <w:ilvl w:val="0"/>
          <w:numId w:val="0"/>
        </w:numPr>
        <w:ind w:left="-567"/>
        <w:jc w:val="center"/>
      </w:pPr>
      <w:r w:rsidRPr="00B52F0F">
        <w:rPr>
          <w:noProof/>
        </w:rPr>
        <w:drawing>
          <wp:inline distT="0" distB="0" distL="0" distR="0">
            <wp:extent cx="4752132" cy="3860800"/>
            <wp:effectExtent l="0" t="0" r="0" b="6350"/>
            <wp:docPr id="1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4777346" cy="3881285"/>
                    </a:xfrm>
                    <a:prstGeom prst="rect">
                      <a:avLst/>
                    </a:prstGeom>
                    <a:noFill/>
                    <a:ln>
                      <a:noFill/>
                    </a:ln>
                  </pic:spPr>
                </pic:pic>
              </a:graphicData>
            </a:graphic>
          </wp:inline>
        </w:drawing>
      </w:r>
    </w:p>
    <w:p w:rsidR="00E95D38" w:rsidRPr="00B52F0F" w:rsidRDefault="00E95D38" w:rsidP="00E95D38">
      <w:pPr>
        <w:pStyle w:val="Parakstszemobjekta"/>
      </w:pPr>
      <w:bookmarkStart w:id="109" w:name="_Ref400435196"/>
      <w:r>
        <w:t>1</w:t>
      </w:r>
      <w:r w:rsidR="0050559C">
        <w:t>8</w:t>
      </w:r>
      <w:r w:rsidRPr="00B52F0F">
        <w:t>. attēls</w:t>
      </w:r>
      <w:bookmarkEnd w:id="109"/>
      <w:r w:rsidRPr="00B52F0F">
        <w:t>. Sadarbspējas platforma un tās ārējā sadarbība.</w:t>
      </w:r>
    </w:p>
    <w:p w:rsidR="00E95D38" w:rsidRPr="00B52F0F" w:rsidRDefault="00E95D38" w:rsidP="00E95D38">
      <w:pPr>
        <w:pStyle w:val="ISBodyText"/>
        <w:rPr>
          <w:lang w:eastAsia="lv-LV"/>
        </w:rPr>
      </w:pPr>
      <w:r w:rsidRPr="00B52F0F">
        <w:rPr>
          <w:lang w:eastAsia="lv-LV"/>
        </w:rPr>
        <w:lastRenderedPageBreak/>
        <w:t>Sadarbspējas platformas iekšējā uzbūve, kurā parādīti tās komponenti, kas nodrošina iepriekš aprakstītās iespējas un atbalsta dažāda veida datu integrēšanu, parādīta attēlā zemāk (</w:t>
      </w:r>
      <w:r w:rsidR="0050559C">
        <w:rPr>
          <w:lang w:eastAsia="lv-LV"/>
        </w:rPr>
        <w:t>19. attēls</w:t>
      </w:r>
      <w:r w:rsidRPr="00B52F0F">
        <w:rPr>
          <w:lang w:eastAsia="lv-LV"/>
        </w:rPr>
        <w:t>). Attēlā papildus centralizētajiem sadarbspējas platformas komponentiem parādīts, ka centralizētie komponenti izvietoti vienotajā infrastruktūras kā servisa pakalpojumā, nodrošinot tā mērogojamību un augstu pieejamību (infrastruktūras līmenī). Visiem sadarbspējas platformas komponentiem tiek nodrošināta gan funkcionalitāte lietotāju saskarnes līmenī (administrēšanas un izstrādātāju informēšanas nolūkos), gan arī programmatūras saskarnes līmenī (izmantošanai citos risinājumos).</w:t>
      </w:r>
    </w:p>
    <w:p w:rsidR="00E95D38" w:rsidRPr="00B52F0F" w:rsidRDefault="00E95D38" w:rsidP="00E95D38">
      <w:pPr>
        <w:pStyle w:val="ISBodyText"/>
        <w:keepNext/>
        <w:ind w:left="-142"/>
        <w:jc w:val="center"/>
      </w:pPr>
      <w:r w:rsidRPr="00B52F0F">
        <w:rPr>
          <w:noProof/>
          <w:lang w:eastAsia="lv-LV"/>
        </w:rPr>
        <w:drawing>
          <wp:inline distT="0" distB="0" distL="0" distR="0">
            <wp:extent cx="4660942" cy="3250329"/>
            <wp:effectExtent l="0" t="0" r="6350" b="7620"/>
            <wp:docPr id="1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4714763" cy="3287862"/>
                    </a:xfrm>
                    <a:prstGeom prst="rect">
                      <a:avLst/>
                    </a:prstGeom>
                    <a:noFill/>
                    <a:ln>
                      <a:noFill/>
                    </a:ln>
                  </pic:spPr>
                </pic:pic>
              </a:graphicData>
            </a:graphic>
          </wp:inline>
        </w:drawing>
      </w:r>
    </w:p>
    <w:p w:rsidR="00E95D38" w:rsidRPr="00B52F0F" w:rsidRDefault="00E95D38" w:rsidP="00E95D38">
      <w:pPr>
        <w:pStyle w:val="Parakstszemobjekta"/>
      </w:pPr>
      <w:bookmarkStart w:id="110" w:name="_Ref400436787"/>
      <w:r>
        <w:t>1</w:t>
      </w:r>
      <w:r w:rsidR="0050559C">
        <w:t>9</w:t>
      </w:r>
      <w:r w:rsidRPr="00B52F0F">
        <w:t>. attēls</w:t>
      </w:r>
      <w:bookmarkEnd w:id="110"/>
      <w:r w:rsidRPr="00B52F0F">
        <w:t>. Vienotās datu telpas risinājuma komponenti.</w:t>
      </w:r>
    </w:p>
    <w:p w:rsidR="00E95D38" w:rsidRPr="00B52F0F" w:rsidRDefault="00E95D38" w:rsidP="00E95D38">
      <w:pPr>
        <w:pStyle w:val="ISBodyText"/>
        <w:rPr>
          <w:lang w:eastAsia="lv-LV"/>
        </w:rPr>
      </w:pPr>
    </w:p>
    <w:p w:rsidR="00E95D38" w:rsidRPr="00A97A66" w:rsidRDefault="00E95D38" w:rsidP="00E95D38">
      <w:pPr>
        <w:pStyle w:val="Princips"/>
      </w:pPr>
      <w:bookmarkStart w:id="111" w:name="_Toc405912593"/>
      <w:bookmarkStart w:id="112" w:name="_Toc410147014"/>
      <w:r w:rsidRPr="00A97A66">
        <w:t xml:space="preserve">Ģeotelpiskās informācijas </w:t>
      </w:r>
      <w:r>
        <w:t xml:space="preserve">uzkrāšanas un izplatīšanas koplietošanas </w:t>
      </w:r>
      <w:r w:rsidR="0095741E">
        <w:t>serviss</w:t>
      </w:r>
      <w:bookmarkEnd w:id="108"/>
      <w:bookmarkEnd w:id="111"/>
      <w:bookmarkEnd w:id="112"/>
    </w:p>
    <w:p w:rsidR="00EF31EE" w:rsidRPr="00A97A66" w:rsidRDefault="00E95D38" w:rsidP="00E95D38">
      <w:r w:rsidRPr="00A97A66">
        <w:t xml:space="preserve">Ģeotelpiskās informācijas </w:t>
      </w:r>
      <w:r w:rsidR="00EF31EE">
        <w:t xml:space="preserve">uzkrāšanas un izplatīšanas koplietošanas </w:t>
      </w:r>
      <w:r w:rsidR="0095741E">
        <w:t>serviss ir</w:t>
      </w:r>
      <w:r w:rsidR="00EF31EE">
        <w:t xml:space="preserve"> sadarbspējas platformas sastāvdaļa</w:t>
      </w:r>
      <w:r w:rsidR="0095741E">
        <w:t xml:space="preserve">, kas tehniski nodrošina normatīvajos aktos noteiktās Valsts vienotā ģeotelpiskās informācijas portāla funkcijas. Tajā skaitā: </w:t>
      </w:r>
      <w:r w:rsidR="00EF31EE">
        <w:t xml:space="preserve"> </w:t>
      </w:r>
    </w:p>
    <w:p w:rsidR="00E95D38" w:rsidRPr="00A97A66" w:rsidRDefault="00E95D38" w:rsidP="00E95D38">
      <w:pPr>
        <w:pStyle w:val="ISBulletText"/>
      </w:pPr>
      <w:r w:rsidRPr="00A97A66">
        <w:t>Vienotu ģeotelpiskās informācijas piekļuves punktu</w:t>
      </w:r>
      <w:r w:rsidR="00806568">
        <w:t>,</w:t>
      </w:r>
      <w:r w:rsidRPr="00A97A66">
        <w:t xml:space="preserve"> caur kuru var iegūt nepieciešamo ģeotelpisko informāciju no dažādām valsts, pašvaldību un potenciāli arī privātām organizācijām</w:t>
      </w:r>
      <w:r w:rsidR="005076C3">
        <w:t xml:space="preserve">. Tajā skaitā - </w:t>
      </w:r>
      <w:r w:rsidR="005076C3" w:rsidRPr="005076C3">
        <w:t>nodrošina ģeotelpisko datu kopu un to metadatu pieejamību Eiropas Kopienas ģeoportālam saskaņā ar Ģeotelpiskās informācijas likuma 29.panta pirmo daļu</w:t>
      </w:r>
      <w:r w:rsidRPr="00A97A66">
        <w:t>;</w:t>
      </w:r>
    </w:p>
    <w:p w:rsidR="00E95D38" w:rsidRPr="00A97A66" w:rsidRDefault="00E95D38" w:rsidP="00E95D38">
      <w:pPr>
        <w:pStyle w:val="ISBulletText"/>
      </w:pPr>
      <w:r w:rsidRPr="00A97A66">
        <w:t>Ģeotelpiskās informācijas pieejamību vienotu formātu un specifikāciju veidā;</w:t>
      </w:r>
    </w:p>
    <w:p w:rsidR="00E95D38" w:rsidRPr="00A97A66" w:rsidRDefault="00E95D38" w:rsidP="00E95D38">
      <w:pPr>
        <w:pStyle w:val="ISBulletText"/>
      </w:pPr>
      <w:r w:rsidRPr="00A97A66">
        <w:t>Ģeotelpiskās informācijas vienotus pieejas un apmaksas mehānismus</w:t>
      </w:r>
      <w:r w:rsidR="00806568">
        <w:t>,</w:t>
      </w:r>
      <w:r w:rsidRPr="00A97A66">
        <w:t xml:space="preserve"> tai skaitā iespēju tieš</w:t>
      </w:r>
      <w:r w:rsidR="005076C3">
        <w:t>saistē iegādāties pieeju datiem.</w:t>
      </w:r>
    </w:p>
    <w:p w:rsidR="00E95D38" w:rsidRDefault="00E95D38" w:rsidP="00E95D38">
      <w:pPr>
        <w:pStyle w:val="ISBulletText"/>
        <w:numPr>
          <w:ilvl w:val="0"/>
          <w:numId w:val="0"/>
        </w:numPr>
      </w:pPr>
      <w:r w:rsidRPr="00A97A66">
        <w:t xml:space="preserve">Ģeotelpiskās informācijas </w:t>
      </w:r>
      <w:r w:rsidR="0095741E">
        <w:t xml:space="preserve">uzkrāšanas un izplatīšanas serviss </w:t>
      </w:r>
      <w:r w:rsidRPr="00A97A66">
        <w:t xml:space="preserve">spēj nodrošināt ģeotelpisko datu pieejamību gan no datu turētāja IT infrastruktūras, gan izmantojot </w:t>
      </w:r>
      <w:r w:rsidR="0095741E">
        <w:t xml:space="preserve">platformas ietvaros izveidoto </w:t>
      </w:r>
      <w:r w:rsidRPr="00A97A66">
        <w:t>ģeotelpiskās informācijas koplietošanas krātuv</w:t>
      </w:r>
      <w:r w:rsidR="0095741E">
        <w:t>i</w:t>
      </w:r>
      <w:r w:rsidRPr="00A97A66">
        <w:t xml:space="preserve">, tādējādi apmierinot </w:t>
      </w:r>
      <w:r w:rsidR="0095741E">
        <w:t xml:space="preserve">arī tādu iestāžu, kurām nav </w:t>
      </w:r>
      <w:r w:rsidR="0095741E">
        <w:lastRenderedPageBreak/>
        <w:t xml:space="preserve">savu ģeotelpisko informācijas sistēmu, </w:t>
      </w:r>
      <w:r w:rsidRPr="00A97A66">
        <w:t xml:space="preserve">bet kuru rīcībā ir konkrētas </w:t>
      </w:r>
      <w:r w:rsidR="0095741E">
        <w:t xml:space="preserve">ģeotelpiskās datu kopas, </w:t>
      </w:r>
      <w:r w:rsidRPr="00A97A66">
        <w:t xml:space="preserve">vajadzības. </w:t>
      </w:r>
    </w:p>
    <w:p w:rsidR="0095741E" w:rsidRPr="00570205" w:rsidRDefault="0095741E" w:rsidP="0095741E">
      <w:pPr>
        <w:spacing w:before="120" w:after="120"/>
        <w:jc w:val="both"/>
        <w:rPr>
          <w:rFonts w:eastAsia="MS Mincho" w:cs="Segoe UI"/>
          <w:bCs/>
          <w:szCs w:val="22"/>
        </w:rPr>
      </w:pPr>
      <w:r w:rsidRPr="0095741E">
        <w:rPr>
          <w:rFonts w:eastAsia="MS Mincho" w:cs="Segoe UI"/>
          <w:bCs/>
          <w:szCs w:val="22"/>
        </w:rPr>
        <w:t xml:space="preserve">Shematiski ģeotelpiskās informācijas uzkrāšanas un izplatīšanas servisa struktūra un galvenās ārējās saskarnes ir parādītas </w:t>
      </w:r>
      <w:r w:rsidR="0050559C">
        <w:rPr>
          <w:rFonts w:eastAsia="MS Mincho" w:cs="Segoe UI"/>
          <w:bCs/>
          <w:szCs w:val="22"/>
        </w:rPr>
        <w:t>20</w:t>
      </w:r>
      <w:r w:rsidRPr="0095741E">
        <w:rPr>
          <w:rFonts w:eastAsia="MS Mincho" w:cs="Segoe UI"/>
          <w:bCs/>
          <w:szCs w:val="22"/>
        </w:rPr>
        <w:t>. attēlā.</w:t>
      </w:r>
      <w:r>
        <w:rPr>
          <w:rFonts w:eastAsia="MS Mincho" w:cs="Segoe UI"/>
          <w:bCs/>
          <w:szCs w:val="22"/>
        </w:rPr>
        <w:t xml:space="preserve"> </w:t>
      </w:r>
    </w:p>
    <w:p w:rsidR="0095741E" w:rsidRPr="00A97A66" w:rsidRDefault="0095741E" w:rsidP="00E95D38">
      <w:pPr>
        <w:pStyle w:val="ISBulletText"/>
        <w:numPr>
          <w:ilvl w:val="0"/>
          <w:numId w:val="0"/>
        </w:numPr>
      </w:pPr>
    </w:p>
    <w:p w:rsidR="0095741E" w:rsidRDefault="0095741E" w:rsidP="00E95D38">
      <w:pPr>
        <w:pStyle w:val="ISBulletText"/>
        <w:numPr>
          <w:ilvl w:val="0"/>
          <w:numId w:val="0"/>
        </w:numPr>
      </w:pPr>
      <w:r w:rsidRPr="00570205">
        <w:rPr>
          <w:bCs/>
          <w:noProof/>
          <w:szCs w:val="22"/>
        </w:rPr>
        <w:drawing>
          <wp:inline distT="0" distB="0" distL="0" distR="0">
            <wp:extent cx="4379802" cy="4371396"/>
            <wp:effectExtent l="0" t="0" r="1905"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26403" cy="4417908"/>
                    </a:xfrm>
                    <a:prstGeom prst="rect">
                      <a:avLst/>
                    </a:prstGeom>
                  </pic:spPr>
                </pic:pic>
              </a:graphicData>
            </a:graphic>
          </wp:inline>
        </w:drawing>
      </w:r>
    </w:p>
    <w:p w:rsidR="0095741E" w:rsidRPr="00570205" w:rsidRDefault="0050559C" w:rsidP="0095741E">
      <w:pPr>
        <w:spacing w:before="60" w:after="60"/>
        <w:rPr>
          <w:b/>
          <w:bCs/>
          <w:sz w:val="20"/>
        </w:rPr>
      </w:pPr>
      <w:bookmarkStart w:id="113" w:name="_Ref400512756"/>
      <w:r>
        <w:rPr>
          <w:b/>
          <w:bCs/>
          <w:sz w:val="20"/>
        </w:rPr>
        <w:t>20</w:t>
      </w:r>
      <w:r w:rsidR="0095741E" w:rsidRPr="00570205">
        <w:rPr>
          <w:b/>
          <w:bCs/>
          <w:sz w:val="20"/>
        </w:rPr>
        <w:t>. attēls</w:t>
      </w:r>
      <w:bookmarkEnd w:id="113"/>
      <w:r w:rsidR="0095741E" w:rsidRPr="00570205">
        <w:rPr>
          <w:b/>
          <w:bCs/>
          <w:sz w:val="20"/>
        </w:rPr>
        <w:t>. Ģeotelpiskās informācijas uzkrāšanas un izplatīšanas serviss.</w:t>
      </w:r>
    </w:p>
    <w:p w:rsidR="0095741E" w:rsidRDefault="00E95D38" w:rsidP="00E95D38">
      <w:pPr>
        <w:pStyle w:val="ISBulletText"/>
        <w:numPr>
          <w:ilvl w:val="0"/>
          <w:numId w:val="0"/>
        </w:numPr>
      </w:pPr>
      <w:r>
        <w:t>Ģeotelpiskās informācijas apstrādes platformas attīstību pamato</w:t>
      </w:r>
      <w:r w:rsidR="0050559C">
        <w:t xml:space="preserve"> n</w:t>
      </w:r>
      <w:r w:rsidR="0095741E">
        <w:t>epieciešamība paaugstināt ģ</w:t>
      </w:r>
      <w:r w:rsidRPr="00A97A66">
        <w:t>eotelpiskās informācijas pieejamīb</w:t>
      </w:r>
      <w:r w:rsidR="0095741E">
        <w:t>u</w:t>
      </w:r>
      <w:r w:rsidRPr="00A97A66">
        <w:t xml:space="preserve"> vis</w:t>
      </w:r>
      <w:r w:rsidR="0095741E">
        <w:t>ām ieinteresētajām pusēm</w:t>
      </w:r>
      <w:r w:rsidR="0050559C">
        <w:t>, kā arī n</w:t>
      </w:r>
      <w:r w:rsidR="0095741E">
        <w:t xml:space="preserve">epieciešamība visefektīvākajā veidā izmantot </w:t>
      </w:r>
      <w:r w:rsidR="0095741E" w:rsidRPr="00A97A66">
        <w:t>ģeotelpisko datu iegūšanai un konvertācijai</w:t>
      </w:r>
      <w:r w:rsidR="0095741E">
        <w:t xml:space="preserve"> pieejamos ierobežotos finanšu un profesionālo kompetenču resursus. </w:t>
      </w:r>
    </w:p>
    <w:p w:rsidR="00E95D38" w:rsidRPr="0044627E" w:rsidRDefault="00E95D38" w:rsidP="00E95D38">
      <w:pPr>
        <w:pStyle w:val="Princips"/>
      </w:pPr>
      <w:bookmarkStart w:id="114" w:name="_Toc405912594"/>
      <w:bookmarkStart w:id="115" w:name="_Toc410147015"/>
      <w:r w:rsidRPr="0044627E">
        <w:t>Maksājumu apstrādes risinājums</w:t>
      </w:r>
      <w:bookmarkEnd w:id="114"/>
      <w:bookmarkEnd w:id="115"/>
    </w:p>
    <w:p w:rsidR="009E12BF" w:rsidRDefault="009E12BF" w:rsidP="009E12BF">
      <w:pPr>
        <w:pStyle w:val="ISBodyText"/>
      </w:pPr>
      <w:bookmarkStart w:id="116" w:name="_Toc392680546"/>
      <w:bookmarkStart w:id="117" w:name="_Toc405912595"/>
      <w:r>
        <w:t>Maksas publiskajiem pakalpojumiem papildus citām prasībām tiek izvirzītas šādas prasības attiecībā pret norēķiniem:</w:t>
      </w:r>
    </w:p>
    <w:p w:rsidR="009E12BF" w:rsidRDefault="009E12BF" w:rsidP="009E12BF">
      <w:pPr>
        <w:pStyle w:val="ISBodyText"/>
        <w:numPr>
          <w:ilvl w:val="0"/>
          <w:numId w:val="58"/>
        </w:numPr>
        <w:textAlignment w:val="auto"/>
      </w:pPr>
      <w:r>
        <w:t>maksājumu apmēra aprēķinam jānotiek precīzā saskaņā ar normatīvo aktu noteikto;</w:t>
      </w:r>
    </w:p>
    <w:p w:rsidR="009E12BF" w:rsidRDefault="009E12BF" w:rsidP="009E12BF">
      <w:pPr>
        <w:pStyle w:val="ISBodyText"/>
        <w:numPr>
          <w:ilvl w:val="0"/>
          <w:numId w:val="58"/>
        </w:numPr>
        <w:textAlignment w:val="auto"/>
      </w:pPr>
      <w:r>
        <w:t>maksājuma pieņemšanai ir jābūt pakalpojumu izmantotājiem ērtai un jāpieļauj viņiem pieņemamas un tradicionālas maksāšanas metodes;</w:t>
      </w:r>
    </w:p>
    <w:p w:rsidR="009E12BF" w:rsidRDefault="009E12BF" w:rsidP="009E12BF">
      <w:pPr>
        <w:pStyle w:val="ISBodyText"/>
        <w:numPr>
          <w:ilvl w:val="0"/>
          <w:numId w:val="58"/>
        </w:numPr>
        <w:textAlignment w:val="auto"/>
      </w:pPr>
      <w:r>
        <w:t>maksājumu apstrādes procesam ir jābūt efektīvam gan no konkrēto pakalpojumu turētāju, gan pakalpojumu piegādātāju (klientu apkalpotāju), gan valsts budžeta pārvaldītāju (Valsts kases) darbības procesu viedokļa.</w:t>
      </w:r>
    </w:p>
    <w:p w:rsidR="009E12BF" w:rsidRDefault="009E12BF" w:rsidP="009E12BF">
      <w:pPr>
        <w:pStyle w:val="ISBodyText"/>
      </w:pPr>
      <w:r>
        <w:lastRenderedPageBreak/>
        <w:t>Atstājot pirmā uzdevuma risināšanu konkrēto pakalpojumu turētāju pārziņā, maksājumu apstrādes koplietošanas risinājums, ko var uzskatīt par pakalpojumu sniegšanas un pārvaldības platformas sastāvdaļu, bet var izmantot arī atsevišķi, kā pakalpojumu turētāju pamatdarbības sistēmās integrējamu komponentu, risina otro un trešo uzdevumu.</w:t>
      </w:r>
    </w:p>
    <w:p w:rsidR="009E12BF" w:rsidRDefault="009E12BF" w:rsidP="009E12BF">
      <w:pPr>
        <w:pStyle w:val="ISBodyText"/>
      </w:pPr>
      <w:r>
        <w:t xml:space="preserve">Maksājuma apstrādes koplietošanas risinājuma attīstības vīzija ir saistīta ar jauna, vienveidīga  maksājumu apstrādes procesa ieviešanu publiskajā pārvaldē. Tā pamata soļi ir šādi: </w:t>
      </w:r>
    </w:p>
    <w:p w:rsidR="009E12BF" w:rsidRDefault="009E12BF" w:rsidP="009E12BF">
      <w:pPr>
        <w:pStyle w:val="ISBulletText"/>
        <w:numPr>
          <w:ilvl w:val="0"/>
          <w:numId w:val="57"/>
        </w:numPr>
        <w:tabs>
          <w:tab w:val="left" w:pos="720"/>
        </w:tabs>
      </w:pPr>
      <w:r>
        <w:t>Publisko pakalpojumu katalogā ir aprakstīti visi pakalpojumi, katram pakalpojumam ir piesaistīts apmaksas konts un klasifikācijas kods ;</w:t>
      </w:r>
    </w:p>
    <w:p w:rsidR="009E12BF" w:rsidRDefault="009E12BF" w:rsidP="009E12BF">
      <w:pPr>
        <w:pStyle w:val="ISBulletText"/>
        <w:numPr>
          <w:ilvl w:val="0"/>
          <w:numId w:val="57"/>
        </w:numPr>
        <w:tabs>
          <w:tab w:val="left" w:pos="720"/>
        </w:tabs>
      </w:pPr>
      <w:r>
        <w:t xml:space="preserve">Visu publisko pakalpojumu apmaksai tiek izveidots vienotais norēķinu konts, kurā pakalpojuma pieprasītājs ieskaita samaksu par pakalpojumu (vienotā norēķinu konta numurs ir norādīts samaksas paziņojumā); </w:t>
      </w:r>
    </w:p>
    <w:p w:rsidR="009E12BF" w:rsidRDefault="009E12BF" w:rsidP="009E12BF">
      <w:pPr>
        <w:pStyle w:val="ISBulletText"/>
        <w:numPr>
          <w:ilvl w:val="0"/>
          <w:numId w:val="57"/>
        </w:numPr>
        <w:tabs>
          <w:tab w:val="left" w:pos="720"/>
        </w:tabs>
      </w:pPr>
      <w:r>
        <w:t>Iestāde reģistrējot pakalpojuma pieprasījumu tajā norāda visus ietvertos pakalpojumus, to identifikācijas kodus un uz pakalpojumu attiecināmās summas. Pakalpojuma pieprasījumam piešķir unikālu identifikatoru. Pakalpojuma saņēmējs veic vienu maksājumu par visu pieprasījumu uz vienoto norēķinu kontu;</w:t>
      </w:r>
    </w:p>
    <w:p w:rsidR="009E12BF" w:rsidRDefault="009E12BF" w:rsidP="009E12BF">
      <w:pPr>
        <w:pStyle w:val="ISBulletText"/>
        <w:numPr>
          <w:ilvl w:val="0"/>
          <w:numId w:val="57"/>
        </w:numPr>
        <w:tabs>
          <w:tab w:val="left" w:pos="720"/>
        </w:tabs>
      </w:pPr>
      <w:r>
        <w:t>Visi pakalpojumu pieprasījumu tiek apstrādāti pakalpojumu sniegšanas un pārvaldības platformā (reģistrēti vienotajā pakalpojumu pieprasījumu datu bāzē);</w:t>
      </w:r>
    </w:p>
    <w:p w:rsidR="009E12BF" w:rsidRDefault="009E12BF" w:rsidP="009E12BF">
      <w:pPr>
        <w:pStyle w:val="ISBulletText"/>
        <w:numPr>
          <w:ilvl w:val="0"/>
          <w:numId w:val="57"/>
        </w:numPr>
        <w:tabs>
          <w:tab w:val="left" w:pos="720"/>
        </w:tabs>
      </w:pPr>
      <w:r>
        <w:t>saņemot uz vienoto norēķinu kontu maksājumu no tā strukturētā mērķa lauka nolasa pakalpojuma pieprasījuma kodu un atbilstoši tam pieprasa datus no  pakalpojumu sniegšanas un pārvaldības platformas, kura atgriež strukturētu informāciju par katru pakalpojuma pieprasījumā iekļauto pakalpojumu (pakalpojuma kods, uzskaites konts Valsts kasē, klasifikācijas kods un summa);</w:t>
      </w:r>
    </w:p>
    <w:p w:rsidR="009E12BF" w:rsidRDefault="009E12BF" w:rsidP="009E12BF">
      <w:pPr>
        <w:pStyle w:val="ISBulletText"/>
        <w:numPr>
          <w:ilvl w:val="0"/>
          <w:numId w:val="57"/>
        </w:numPr>
        <w:tabs>
          <w:tab w:val="left" w:pos="720"/>
        </w:tabs>
      </w:pPr>
      <w:r>
        <w:t>Pēc datu apstrādes no vienotā norēķinu konta tiek veikti sadales maksājumi uz pakalpojuma pieprasījumā ietilpstošo pakalpojumu uzskaites kontiem Valsts kasē.</w:t>
      </w:r>
    </w:p>
    <w:p w:rsidR="009E12BF" w:rsidRDefault="009E12BF" w:rsidP="009E12BF">
      <w:pPr>
        <w:pStyle w:val="ISBulletText"/>
        <w:numPr>
          <w:ilvl w:val="0"/>
          <w:numId w:val="0"/>
        </w:numPr>
        <w:tabs>
          <w:tab w:val="left" w:pos="720"/>
        </w:tabs>
      </w:pPr>
      <w:r>
        <w:t xml:space="preserve">Līdz pārejai uz jauno, vienveidīgo maksājumu apstrādes procesu, maksājumu apstrādes koplietošanas risinājums ir izmantojams ar ierobežotu funkcionalitāti. </w:t>
      </w:r>
    </w:p>
    <w:p w:rsidR="009E12BF" w:rsidRDefault="009E12BF" w:rsidP="009E12BF">
      <w:pPr>
        <w:pStyle w:val="ISBulletText"/>
        <w:numPr>
          <w:ilvl w:val="0"/>
          <w:numId w:val="0"/>
        </w:numPr>
        <w:tabs>
          <w:tab w:val="left" w:pos="720"/>
        </w:tabs>
      </w:pPr>
      <w:r>
        <w:t xml:space="preserve">Maksājumu apstrādes koplietošanas risinājuma attīstību pamato šādi plānotie ieguvumi: 1) Efektīvi atrisināta maksājumu attiecināšanas problēma; 2) Lietotāju un pakalpojumu sniedzēju ieguvumi no vienveidīga servisa izmantošanas un koplietošanas. </w:t>
      </w:r>
    </w:p>
    <w:p w:rsidR="00E95D38" w:rsidRDefault="00E95D38" w:rsidP="00E95D38">
      <w:pPr>
        <w:pStyle w:val="Princips"/>
      </w:pPr>
      <w:bookmarkStart w:id="118" w:name="_Toc410147016"/>
      <w:r>
        <w:t xml:space="preserve">Vienotais </w:t>
      </w:r>
      <w:r w:rsidR="00044F82">
        <w:t>publiskās pārvaldes</w:t>
      </w:r>
      <w:r>
        <w:t xml:space="preserve"> darbinieku autentifikācijas risinājums</w:t>
      </w:r>
      <w:bookmarkEnd w:id="116"/>
      <w:bookmarkEnd w:id="117"/>
      <w:bookmarkEnd w:id="118"/>
    </w:p>
    <w:p w:rsidR="00E95D38" w:rsidRPr="00D93AD5" w:rsidRDefault="00E95D38" w:rsidP="00E95D38">
      <w:pPr>
        <w:pStyle w:val="ISBodyText"/>
      </w:pPr>
      <w:r w:rsidRPr="00D93AD5">
        <w:t>Atkārtota pakalpojumu izmantošana ir iespējama vairākos veidos: sistēmas piekļuve citai sistēmai vai servisam, lai veiktu darbību, sistēmas datu iegūšana, izmantojot programmatūras saskarni, vai arī lietotāja darbs ar citas iestādes sistēmu (kas ietver arī centralizēti uzturētu platformu). Šis pēdējais servisa atkārtotas izmantošanas veids ir viens no saimnieciski labākajiem, jo neprasa papildu integrācijas izstrādi, tāpēc nepieciešama gan tā attīstība un papildu atbalsts, gan arī atbalsts koplietošanas platformu (kuru skaits nākamajā periodā pieaugs) ērtākai lietošanai.</w:t>
      </w:r>
    </w:p>
    <w:p w:rsidR="00E95D38" w:rsidRPr="00D93AD5" w:rsidRDefault="00E95D38" w:rsidP="00E95D38">
      <w:pPr>
        <w:pStyle w:val="ISBodyText"/>
      </w:pPr>
      <w:r w:rsidRPr="00D93AD5">
        <w:t>Lai nodrošinātu, ka piekļuve citu iestāžu uzturētām sistēmām nerada papildu apgrūtinājumus lietotāju darbā, kas, savukārt, var ierobežot servisu atkalizmantojamību un apmierinātību ar koplietošanas platformām, valsts pārvaldē nepieciešams vienotās autentifikācijas risinājums (</w:t>
      </w:r>
      <w:r w:rsidRPr="00D93AD5">
        <w:rPr>
          <w:i/>
        </w:rPr>
        <w:t>single sign-on</w:t>
      </w:r>
      <w:r w:rsidRPr="00D93AD5">
        <w:t>).</w:t>
      </w:r>
    </w:p>
    <w:p w:rsidR="00E95D38" w:rsidRPr="00D93AD5" w:rsidRDefault="00E95D38" w:rsidP="00E95D38">
      <w:pPr>
        <w:pStyle w:val="ISBodyText"/>
      </w:pPr>
      <w:r w:rsidRPr="00D93AD5">
        <w:lastRenderedPageBreak/>
        <w:t xml:space="preserve">Ņemot vērā, ka autentifikācijas risinājumi ir cieši saistīti ar esošajām iestāžu sistēmām, kuras izmanto tos lietotāju autentifikācijai, piedāvātais risinājums ir balstīts uz atvērtiem standartiem atbilstošu </w:t>
      </w:r>
      <w:r w:rsidRPr="00D93AD5">
        <w:rPr>
          <w:b/>
          <w:u w:val="single"/>
        </w:rPr>
        <w:t>federatīvu autentifikācijas risinājumu</w:t>
      </w:r>
      <w:r w:rsidRPr="00D93AD5">
        <w:t>, kurā:</w:t>
      </w:r>
    </w:p>
    <w:p w:rsidR="00E95D38" w:rsidRPr="00D93AD5" w:rsidRDefault="00E95D38" w:rsidP="00E95D38">
      <w:pPr>
        <w:pStyle w:val="ISBulletText"/>
      </w:pPr>
      <w:r w:rsidRPr="00D93AD5">
        <w:t>Katra iestāde uztur savu aktīvo lietotāju sarakstu un ir atbildīga par to aktualitāti;</w:t>
      </w:r>
    </w:p>
    <w:p w:rsidR="00E95D38" w:rsidRPr="00D93AD5" w:rsidRDefault="00E95D38" w:rsidP="00E95D38">
      <w:pPr>
        <w:pStyle w:val="ISBulletText"/>
      </w:pPr>
      <w:r w:rsidRPr="00D93AD5">
        <w:t>Šīs lietotāju datu bāzes ir savienotas ar centrālo federatīvās autentifikācijas servisu un/vai savā starpā, nodrošinot, ka lietotāji ar savas iestādes pieteikšanās informāciju (piemēram, lietotāja vārdu un paroli) var pieteikties savā lietotāju autentifikācijas sistēmā (piemēram, uzsākto darbu Windows darbstacijā) un pēc tam bez papildu autentifikācijas piekļūt citām sistēmām citās iestādēs atbilstoši iepriekš definētiem tiesību pārmantošanas noteikumiem.</w:t>
      </w:r>
    </w:p>
    <w:p w:rsidR="00E95D38" w:rsidRPr="00D93AD5" w:rsidRDefault="00E95D38" w:rsidP="00E95D38">
      <w:pPr>
        <w:pStyle w:val="ISBodyText"/>
      </w:pPr>
      <w:r w:rsidRPr="00D93AD5">
        <w:t>Risinājuma ieviešanai nepieciešami divi elementi:</w:t>
      </w:r>
    </w:p>
    <w:p w:rsidR="00E95D38" w:rsidRPr="00D93AD5" w:rsidRDefault="00E95D38" w:rsidP="00E95D38">
      <w:pPr>
        <w:pStyle w:val="ISBulletText"/>
      </w:pPr>
      <w:r w:rsidRPr="00D93AD5">
        <w:t>Lietotāju identifikācijas sistēmu savienošana atbilstoši federatīvās autentificēšanas standartiem;</w:t>
      </w:r>
    </w:p>
    <w:p w:rsidR="00E95D38" w:rsidRPr="00D93AD5" w:rsidRDefault="00E95D38" w:rsidP="00E95D38">
      <w:pPr>
        <w:pStyle w:val="ISBulletText"/>
      </w:pPr>
      <w:r w:rsidRPr="00D93AD5">
        <w:t>Sistēmu autentifikācijas mehānismu pārveide (kur tie jau šobrīd neatbalsta federatīvo autentificēšanu), lai tās izmanto standarta autentificēšanās mehānismus.</w:t>
      </w:r>
    </w:p>
    <w:p w:rsidR="00E95D38" w:rsidRPr="00D93AD5" w:rsidRDefault="00E95D38" w:rsidP="00E95D38">
      <w:pPr>
        <w:pStyle w:val="ISBodyText"/>
      </w:pPr>
      <w:r w:rsidRPr="00D93AD5">
        <w:t>Lai nodrošinātu gan esošo sistēmu iekļaušanu kopējā risinājumā, gan atbalstītu pakalpojumus, kas veidoti, izmantojot jaunākus, mobilām ierīcēm draudzīgākus protokolus, iestāžu risinājumi var atbalstīt WS-Federation bāzētu federāciju (izmantota pašreizējā latvija.lv autentifikācijas modulī PFAUTH) vai OpenID Connect bāzētu federāciju. Centrālais autentifikācijas serviss paplašināms, lai atbalstītu OpenID Connect un nodrošinātu arī protokola transformāciju risinājumu savietošanai.</w:t>
      </w:r>
    </w:p>
    <w:p w:rsidR="00E95D38" w:rsidRPr="00D93AD5" w:rsidRDefault="00E95D38" w:rsidP="00E95D38">
      <w:pPr>
        <w:pStyle w:val="ISBodyText"/>
      </w:pPr>
      <w:r w:rsidRPr="00D93AD5">
        <w:t xml:space="preserve">Kā papildu elements risinājumam ir iespēja to pēc tam paplašināt, lai nodrošinātu pārrobežu sadarbību, piemēram, dalību STORK programmā. Šāda paplašināšana prasītu izmaiņas tikai centralizētājā autentifikācijas modulī. No otras puses, lai informācijas apmaiņas ziņā šāda paplašināšana būtu iespējama, jau sākotnēji ieviešot risinājumu, jāparedz lietotāju identifikācija, kas ietver ne tikai Latvijas rezidentus, bet arī citu valstu iedzīvotājus (gan Eiropas </w:t>
      </w:r>
      <w:r w:rsidR="00206811">
        <w:t>S</w:t>
      </w:r>
      <w:r w:rsidRPr="00D93AD5">
        <w:t xml:space="preserve">avienībā, gan ārpus tās). </w:t>
      </w:r>
    </w:p>
    <w:p w:rsidR="00E95D38" w:rsidRPr="00D93AD5" w:rsidRDefault="00E95D38" w:rsidP="00E95D38">
      <w:pPr>
        <w:pStyle w:val="ISBodyText"/>
      </w:pPr>
      <w:r w:rsidRPr="00D93AD5">
        <w:t xml:space="preserve">Neskatoties uz federatīvo pieeju, kur iestādēm vai resoriem ir savas autentifikācijas sistēmas un ir viens centralizētais autentifikācijas serviss, kurš savienots ar citiem, lai nodrošinātu piekļuvi centrālajām sistēmām un platformām, konceptuāli ir paredzēts arī vienotais iestāžu autentifikācijas serviss, kurš saturētu vairāku iestāžu lietotāju informāciju gadījumā, ja iestāde nav liela vai tai nav vajadzības (piemēram, specifiskas drošības prasības) savu neatkarīgu servisu uzturēšanai. </w:t>
      </w:r>
    </w:p>
    <w:p w:rsidR="00E95D38" w:rsidRDefault="00E95D38" w:rsidP="00E95D38">
      <w:pPr>
        <w:pStyle w:val="ISBodyText"/>
      </w:pPr>
      <w:r w:rsidRPr="00D93AD5">
        <w:t xml:space="preserve">Shematiski aprakstītā pieeja parādīta </w:t>
      </w:r>
      <w:r w:rsidR="0050559C">
        <w:t>21</w:t>
      </w:r>
      <w:r w:rsidRPr="00D93AD5">
        <w:t xml:space="preserve">. attēlā. Shēmā parādīti vairāku iestāžu autentifikācijas servisi un arī vienotais serviss iestādēm, kas koplieto autentifikācijas risinājumu, kuri savienoti federatīvā konfigurācijā ar centrālo autentifikācijas servisu (lai piekļūtu centrālajiem servisiem) un, iespējams, savā starpā (ja vienas iestādes darbiniekiem jāpiekļūst otras sistēmām). Centrālais autentifikācijas serviss kalpo arī kā iedzīvotāju autentifikācijas risinājums (izmantojot ārējos autentifikācijas mehānismus – </w:t>
      </w:r>
      <w:r w:rsidR="00206811">
        <w:t>e</w:t>
      </w:r>
      <w:r w:rsidRPr="00D93AD5">
        <w:t>ID karti, bankas utml.) un ārvalstu iedzīvotāju autentifikācijas risinājums sadarbībā ar citu valstu STORK pieslēgumiem. Shēmā arī attēlots centralizētās sistēmas/platformas piemērs, kas uzticas centrālajam servisam</w:t>
      </w:r>
      <w:r w:rsidR="00CE1447">
        <w:t>,</w:t>
      </w:r>
      <w:r w:rsidRPr="00D93AD5">
        <w:t xml:space="preserve"> un iestādes sistēma, kas var uzticēties gan centrālajam, gan pašas iestādes autentifikācijas servisam.</w:t>
      </w:r>
    </w:p>
    <w:p w:rsidR="007D18C6" w:rsidRPr="00D93AD5" w:rsidRDefault="007D18C6" w:rsidP="00E95D38">
      <w:pPr>
        <w:pStyle w:val="ISBodyText"/>
      </w:pPr>
      <w:r>
        <w:t>Lietotājiem ar paaugstināt</w:t>
      </w:r>
      <w:r w:rsidR="00904F1A">
        <w:t xml:space="preserve">u autorizācijas līmeni (administratoriem) var tikt piemērots paaugstinātas piekļuves drošības prasības – autentifikācija tikai ar nacionālo augstākā līmeņa elektroniskās identifikācijas risinājumu – eID karti. Arī pārējiem lietotājiem nākotnē ir jānodrošina iespēju izmantot nacionālo elektroniskās identifikācijas risinājumu piekļuvei darba vajadzībām izmantojamām publiskās pārvaldes informācijas sistēmām un IKT videi. </w:t>
      </w:r>
      <w:r>
        <w:t xml:space="preserve"> </w:t>
      </w:r>
    </w:p>
    <w:p w:rsidR="00E95D38" w:rsidRPr="00D93AD5" w:rsidRDefault="00E95D38" w:rsidP="00E95D38">
      <w:pPr>
        <w:pStyle w:val="ISBodyText"/>
      </w:pPr>
      <w:r w:rsidRPr="00D93AD5">
        <w:lastRenderedPageBreak/>
        <w:t>No tehniskā viedokļa paredzētie risinājumi saglabā līdz šim izmantoto federatīvās autentifikācijas protokolu atbalstu (WS*Federation un saistītie protokoli), bet tiek paplašināti, lai nākotnē atbalstītu lietotāju autentifikāciju no mobilajām ierīcēm, ieviešot atbalstu OpenID Connect.</w:t>
      </w:r>
    </w:p>
    <w:p w:rsidR="00E95D38" w:rsidRPr="00D93AD5" w:rsidRDefault="00E95D38" w:rsidP="00E95D38">
      <w:pPr>
        <w:pStyle w:val="ISBodyText"/>
        <w:keepNext/>
      </w:pPr>
      <w:r w:rsidRPr="00D93AD5">
        <w:rPr>
          <w:noProof/>
          <w:lang w:eastAsia="lv-LV"/>
        </w:rPr>
        <w:drawing>
          <wp:inline distT="0" distB="0" distL="0" distR="0">
            <wp:extent cx="5847563" cy="2993806"/>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883962" cy="3012442"/>
                    </a:xfrm>
                    <a:prstGeom prst="rect">
                      <a:avLst/>
                    </a:prstGeom>
                  </pic:spPr>
                </pic:pic>
              </a:graphicData>
            </a:graphic>
          </wp:inline>
        </w:drawing>
      </w:r>
    </w:p>
    <w:p w:rsidR="00E95D38" w:rsidRPr="00D93AD5" w:rsidRDefault="0050559C" w:rsidP="00E95D38">
      <w:pPr>
        <w:pStyle w:val="Parakstszemobjekta"/>
      </w:pPr>
      <w:r>
        <w:t>21</w:t>
      </w:r>
      <w:r w:rsidR="00E95D38" w:rsidRPr="00D93AD5">
        <w:t>. attēls. Autentifikācijas un autorizācijas konceptuālais risinājums</w:t>
      </w:r>
    </w:p>
    <w:p w:rsidR="00E95D38" w:rsidRPr="00D93AD5" w:rsidRDefault="00E95D38" w:rsidP="00E95D38">
      <w:r w:rsidRPr="00D93AD5">
        <w:t>Lai nodrošinātu, ka lietotāju pārvaldības process tiek piesaistīts darbinieka statusam valsts pārvaldē, vienotā personāla pārvaldības sistēma var tikt integrēta ar iestāžu autentifikācijas servisiem vai vienoto iestāžu autentifikācijas servisu. Šāds papildu integrācijas risinājums novērš risku, ka darba attiecību izbeigšanas gadījumā darbinieks vēl joprojām var piekļūt valsts pārvaldes sistēmām. Risinājums sevišķi svarīgs tāpēc, ka, ieviešot vienoto federatīvo autentifikācijas risinājumu, darbinieku piekļuve dažādām sistēmām arī citās iestādēs ir vienkāršāka (ja piekļuve atļauta).</w:t>
      </w:r>
    </w:p>
    <w:p w:rsidR="00E95D38" w:rsidRPr="0095451F" w:rsidRDefault="00E95D38" w:rsidP="00E95D38">
      <w:pPr>
        <w:pStyle w:val="ISBodySubhead2"/>
        <w:rPr>
          <w:i w:val="0"/>
          <w:u w:val="none"/>
        </w:rPr>
      </w:pPr>
      <w:r w:rsidRPr="0095451F">
        <w:rPr>
          <w:i w:val="0"/>
          <w:u w:val="none"/>
        </w:rPr>
        <w:t xml:space="preserve">Federatīva autentifikācijas risinājuma ieviešanas rezultātā: </w:t>
      </w:r>
    </w:p>
    <w:p w:rsidR="00E95D38" w:rsidRPr="00D93AD5" w:rsidRDefault="00E95D38" w:rsidP="00E95D38">
      <w:pPr>
        <w:pStyle w:val="ISBulletText"/>
      </w:pPr>
      <w:r w:rsidRPr="00D93AD5">
        <w:t>Iestāžu administratori ir tie, kas pārvalda savu lietotāju sarakstu, kas nozīmē, ka lietotāju pārvaldīšanas procesi nemainās;</w:t>
      </w:r>
    </w:p>
    <w:p w:rsidR="00E95D38" w:rsidRPr="00D93AD5" w:rsidRDefault="00E95D38" w:rsidP="00E95D38">
      <w:pPr>
        <w:pStyle w:val="ISBulletText"/>
      </w:pPr>
      <w:r w:rsidRPr="00D93AD5">
        <w:t>Lietojot atvērtos standartus, katrā iestādē var izmanot savu standartiem atbilstošu lietotāju pārvaldības sistēmu;</w:t>
      </w:r>
    </w:p>
    <w:p w:rsidR="00E95D38" w:rsidRPr="00D93AD5" w:rsidRDefault="00E95D38" w:rsidP="00E95D38">
      <w:pPr>
        <w:pStyle w:val="ISBulletText"/>
      </w:pPr>
      <w:r w:rsidRPr="00D93AD5">
        <w:t>Tiek atbalstīta lietotāju autentifikācija no mobilajām ierīcēm (izmantojama, lai nākotnē arī valsts iestāžu darbinieku izmantotās programmas – piemēram, inspektora, kura darba režīms ir mobils, varētu veidot kā mobilos lietojumus);</w:t>
      </w:r>
    </w:p>
    <w:p w:rsidR="00E95D38" w:rsidRPr="00D93AD5" w:rsidRDefault="00E95D38" w:rsidP="00E95D38">
      <w:pPr>
        <w:pStyle w:val="ISBulletText"/>
      </w:pPr>
      <w:r w:rsidRPr="00D93AD5">
        <w:t>Nodrošināta savietojamība ar esošajiem servisiem, kas veidoti, izmantojot WS-Federation un saistītos protokolus autentifikācijas nodrošināšanai;</w:t>
      </w:r>
    </w:p>
    <w:p w:rsidR="00E95D38" w:rsidRPr="00D93AD5" w:rsidRDefault="00E95D38" w:rsidP="00E95D38">
      <w:pPr>
        <w:pStyle w:val="ISBulletText"/>
      </w:pPr>
      <w:r w:rsidRPr="00D93AD5">
        <w:t>Tiek ieviests papildu autentifikācijas variants (izmantojot Open ID Connect), kuram ir plašs industrijas atbalsts, kas nozīmē vairāk iespēju (dažādās platformās) veidot ar centrālo infrastruktūru un iestāžu sistēmām integrētus risinājumus;</w:t>
      </w:r>
    </w:p>
    <w:p w:rsidR="00E95D38" w:rsidRPr="00D93AD5" w:rsidRDefault="00E95D38" w:rsidP="00E95D38">
      <w:pPr>
        <w:pStyle w:val="ISBulletText"/>
      </w:pPr>
      <w:r w:rsidRPr="00D93AD5">
        <w:t>Tiek atvieglota pārrobežu sadarbība, ieviešot mehānismus tikai centralizēti (nevis katrā resorā).</w:t>
      </w:r>
    </w:p>
    <w:p w:rsidR="00E95D38" w:rsidRDefault="00E95D38" w:rsidP="00E95D38">
      <w:pPr>
        <w:pStyle w:val="Princips"/>
      </w:pPr>
      <w:bookmarkStart w:id="119" w:name="_Toc405912596"/>
      <w:bookmarkStart w:id="120" w:name="_Toc410147017"/>
      <w:r>
        <w:lastRenderedPageBreak/>
        <w:t>Elektroniskā identifikācija e-pakalpojumiem</w:t>
      </w:r>
      <w:bookmarkEnd w:id="119"/>
      <w:bookmarkEnd w:id="120"/>
      <w:r>
        <w:t xml:space="preserve"> </w:t>
      </w:r>
    </w:p>
    <w:p w:rsidR="00E95D38" w:rsidRPr="002102F6" w:rsidRDefault="00E95D38" w:rsidP="00E95D38">
      <w:pPr>
        <w:pStyle w:val="ISBodyText"/>
        <w:rPr>
          <w:lang w:eastAsia="lv-LV"/>
        </w:rPr>
      </w:pPr>
      <w:r w:rsidRPr="002102F6">
        <w:rPr>
          <w:lang w:eastAsia="lv-LV"/>
        </w:rPr>
        <w:t>Fizisko personu elektroniskās identifikācijas likumprojekts, neaizliedzot publisko pakalpojumu sniegšanu, izmantojot nekvalificētus elektroniskās identitātes risinājumus, nosaka, ka publisko e-pakalpojumu sniedzējiem ir obligāti jāpieņem visus Latvijā kvalificētos e-identitātes risinājumus. Savukārt, saskaņā ar eIDAS regulas prasībām, publisko e-pakalpojumu sniedzējiem visās ES dalībvalstīs ir jāpieņem arī visu pārējo ES dalībvalstu, saskaņā ar eIDAS regulas prasībām izziņotos atbilstoša elektroniskās identifikācijas risinājumus (skat. sadaļu “pārrobežu elektroniskā identifikācija”). Lai standartizētu un vienkāršotu elektronisko identifikāciju e-pakalpojumu saņemšanai, ir izstrādāts un tiek attīstīts elektroniskās identifikācijas koplietošanas serviss, kas jau šobrīd nodrošina iespēju izmantot Latvijā populārāko elektroniskās identifikācijas pakalpojumu sniedzēju (populārāko internetbanku un eID karšu) pakalpojumus un kas nākotnē tiks attīstīts, iekļaujot tajā pārrobežu e-identifikācijas iespējas un Latvijā kvalificētos elektroniskās identifikācijas pakalpojumus.</w:t>
      </w:r>
    </w:p>
    <w:p w:rsidR="00E95D38" w:rsidRPr="002102F6" w:rsidRDefault="00E95D38" w:rsidP="00E95D38">
      <w:pPr>
        <w:pStyle w:val="ISBodyText"/>
        <w:rPr>
          <w:lang w:eastAsia="lv-LV"/>
        </w:rPr>
      </w:pPr>
      <w:r w:rsidRPr="002102F6">
        <w:rPr>
          <w:lang w:eastAsia="lv-LV"/>
        </w:rPr>
        <w:t>Vienkāršākais un efektīvākais veids</w:t>
      </w:r>
      <w:r w:rsidR="00CE1447">
        <w:rPr>
          <w:lang w:eastAsia="lv-LV"/>
        </w:rPr>
        <w:t>,</w:t>
      </w:r>
      <w:r w:rsidRPr="002102F6">
        <w:rPr>
          <w:lang w:eastAsia="lv-LV"/>
        </w:rPr>
        <w:t xml:space="preserve"> kā e-pakalpojumu sniedzējiem izpildīt Latvijas un ES likumdošanas prasības elektroniskās identifikācijas jomā</w:t>
      </w:r>
      <w:r w:rsidR="00CE1447">
        <w:rPr>
          <w:lang w:eastAsia="lv-LV"/>
        </w:rPr>
        <w:t>,</w:t>
      </w:r>
      <w:r w:rsidRPr="002102F6">
        <w:rPr>
          <w:lang w:eastAsia="lv-LV"/>
        </w:rPr>
        <w:t xml:space="preserve"> ir koplietošanas elektroniskās identifikācijas servisa izmantošana. Atbilstoši pakalpojuma saturam un ar pakalpojumu saistīto risku līmenim, pakalpojuma turētājam ir jāizvēlas pieļaujamais drošības līmenis. </w:t>
      </w:r>
    </w:p>
    <w:p w:rsidR="00E95D38" w:rsidRPr="002102F6" w:rsidRDefault="00E95D38" w:rsidP="00E95D38">
      <w:pPr>
        <w:pStyle w:val="ISBodyText"/>
        <w:rPr>
          <w:lang w:eastAsia="lv-LV"/>
        </w:rPr>
      </w:pPr>
      <w:r w:rsidRPr="002102F6">
        <w:rPr>
          <w:lang w:eastAsia="lv-LV"/>
        </w:rPr>
        <w:t>Atbilstoši fizisko personu elektroniskās identifikācijas likumprojektam kvalificētai personas elektroniskai identifikācijai ir pieejami divi drošības līmeņi:</w:t>
      </w:r>
    </w:p>
    <w:p w:rsidR="00E95D38" w:rsidRPr="00D01594" w:rsidRDefault="00E95D38" w:rsidP="00E95D38">
      <w:pPr>
        <w:pStyle w:val="ISBulletText"/>
      </w:pPr>
      <w:r w:rsidRPr="002102F6">
        <w:t>Paaugstinātas drošības kvalificēta person</w:t>
      </w:r>
      <w:r w:rsidRPr="00D01594">
        <w:t>as elektroniskā identifikācija.</w:t>
      </w:r>
    </w:p>
    <w:p w:rsidR="00E95D38" w:rsidRDefault="00E95D38" w:rsidP="00E95D38">
      <w:pPr>
        <w:pStyle w:val="ISBulletText"/>
      </w:pPr>
      <w:r>
        <w:t>Kvalificēta personas elektroniskā identifikācija;</w:t>
      </w:r>
    </w:p>
    <w:p w:rsidR="00E95D38" w:rsidRDefault="00E95D38" w:rsidP="00E95D38">
      <w:pPr>
        <w:pStyle w:val="ISBodyText"/>
        <w:rPr>
          <w:lang w:eastAsia="lv-LV"/>
        </w:rPr>
      </w:pPr>
      <w:r>
        <w:rPr>
          <w:lang w:eastAsia="lv-LV"/>
        </w:rPr>
        <w:t>Paaugstinātas drošības kvalificētai personas elektronisk</w:t>
      </w:r>
      <w:r w:rsidR="00CE1447">
        <w:rPr>
          <w:lang w:eastAsia="lv-LV"/>
        </w:rPr>
        <w:t>ajai</w:t>
      </w:r>
      <w:r>
        <w:rPr>
          <w:lang w:eastAsia="lv-LV"/>
        </w:rPr>
        <w:t xml:space="preserve"> identifikācijai minimālās tehniskās un organizatoriskās prasības ir noteiktas atbilstoši eIDAS regulā definētajam AUGSTAM (HIGH) drošības līmenim (kas, savukārt, pēc būtības atbilst Eiropas liela mēroga pilotprojektā STORK definētajam QAA 4 līmenim). Tiek plānots, ka Latvijas nacionālās eID kartes e-identifikācijas risinājums tiks attīstīts tā, lai tas atbilstu paaugstinātas drošības (ES – AUGSTAM) līmenim.</w:t>
      </w:r>
    </w:p>
    <w:p w:rsidR="00E95D38" w:rsidRDefault="00E95D38" w:rsidP="00E95D38">
      <w:pPr>
        <w:pStyle w:val="ISBodyText"/>
        <w:rPr>
          <w:lang w:eastAsia="lv-LV"/>
        </w:rPr>
      </w:pPr>
      <w:r>
        <w:rPr>
          <w:lang w:eastAsia="lv-LV"/>
        </w:rPr>
        <w:t>Kvalificētai personas elektroniskā identifikācijai minimālās tehniskās un organizatoriskās prasības ir noteiktas atbilstoši eIDAS regulā definētajam VIDĒJAM (ES - SUBSTANTIAL) drošības līmenim (kas, savukārt, pēc būtības atbilst Eiropas liela mēroga pilotprojektā STORK definētajam QAA 2 līmenim). Tehniski kvalificētam līmenim varētu atbilst internetbanku izmantotie divu faktoru elektroniskās identifikācijas risinājumi (arī vienkāršākie – ar kodu karti), tomēr ir jāņem vērā, ka kvalificētu statusu tie iegūs tikai tad, ja to turētāji izpildīs fizisko personu elektroniskās identifikācijas likumprojektā (iesniegts izskatīšanai MK 30.10.2014.) noteikto kvalifikācijas procedūru.</w:t>
      </w:r>
    </w:p>
    <w:p w:rsidR="00E95D38" w:rsidRDefault="00E95D38" w:rsidP="00E95D38">
      <w:pPr>
        <w:pStyle w:val="ISBodyText"/>
        <w:rPr>
          <w:lang w:eastAsia="lv-LV"/>
        </w:rPr>
      </w:pPr>
      <w:r>
        <w:rPr>
          <w:lang w:eastAsia="lv-LV"/>
        </w:rPr>
        <w:t>Elektronisko pakalpojumu turētāj</w:t>
      </w:r>
      <w:r w:rsidR="00904F1A">
        <w:rPr>
          <w:lang w:eastAsia="lv-LV"/>
        </w:rPr>
        <w:t>iem ir tiesības</w:t>
      </w:r>
      <w:r>
        <w:rPr>
          <w:lang w:eastAsia="lv-LV"/>
        </w:rPr>
        <w:t xml:space="preserve"> pieļaut arī atsevišķu vai visu koplietošanas elektroniskās identifikācijas servisa atbalstīto nekvalificēto elektroniskās identifikācijas risinājumu (kādi šobrīd ir visi internetbanku elektroniskās identifikācijas risinājumi) izmantošanu. </w:t>
      </w:r>
      <w:r w:rsidR="00904F1A">
        <w:rPr>
          <w:lang w:eastAsia="lv-LV"/>
        </w:rPr>
        <w:t xml:space="preserve">Līdz brīdim, kamēr Latvijā nav pietiekami izplatīti kvalificēti un paaugstinātas drošības elektroniskās identifikācijas risinājumi, šāda pieeja ir saprotama parastā prakse. Tomēr, pēc Fizisko personu elektroniskās identifikācijas likuma stāšanās spēkā, kvalificējoties un iegūstot popularitāti lielākam skaitam kvalificētu elektroniskās identifikācijas pakalpojumu, būs pamats pakāpeniski paaugstināt prasības elektroniskās identifikācijas drošības līmeņiem, pakāpeniski virzoties uz to, ka publiskajiem pakalpojumiem, kas prasa drošu autentifikāciju, tiek akceptēti tikai kvalificēti un paaugstināta drošības līmeņa elektroniskās identifikācijas risinājumi. </w:t>
      </w:r>
    </w:p>
    <w:p w:rsidR="00E95D38" w:rsidRDefault="00E95D38" w:rsidP="00904F1A">
      <w:pPr>
        <w:pStyle w:val="ISBodyText"/>
      </w:pPr>
      <w:r>
        <w:rPr>
          <w:lang w:eastAsia="lv-LV"/>
        </w:rPr>
        <w:t xml:space="preserve">Līdz brīdim, kad Latvijā stāsies spēkā fizisko personu elektroniskās identifikācijas likums (šobrīd likumprojekts), vienīgais ar Latvijas normatīvajiem aktiem regulētais elektroniskās identifikācijas </w:t>
      </w:r>
      <w:r>
        <w:rPr>
          <w:lang w:eastAsia="lv-LV"/>
        </w:rPr>
        <w:lastRenderedPageBreak/>
        <w:t xml:space="preserve">risinājums ir elektroniskā identifikācija ar nacionālo eID karti (tajā iekļauto </w:t>
      </w:r>
      <w:r w:rsidRPr="00507000">
        <w:rPr>
          <w:lang w:eastAsia="lv-LV"/>
        </w:rPr>
        <w:t>valsts akciju sabiedrības „Latvijas Valsts radio un televīzijas centrs”</w:t>
      </w:r>
      <w:r>
        <w:rPr>
          <w:lang w:eastAsia="lv-LV"/>
        </w:rPr>
        <w:t xml:space="preserve"> (LVRTC) izsniegto autentifikācijas sertifikātu). </w:t>
      </w:r>
    </w:p>
    <w:p w:rsidR="00E95D38" w:rsidRDefault="00E95D38" w:rsidP="00E95D38">
      <w:pPr>
        <w:pStyle w:val="ISBodyText"/>
        <w:rPr>
          <w:lang w:eastAsia="lv-LV"/>
        </w:rPr>
      </w:pPr>
      <w:r>
        <w:rPr>
          <w:lang w:eastAsia="lv-LV"/>
        </w:rPr>
        <w:t xml:space="preserve">LVRTC uzticamības pakalpojumu platforma tiks attīstīta par nacionālo infrastruktūru, kas nodrošinās ne tikai nacionālājās eID kartēs iekļaujamo autentifikācijas, paraksta un šifrēšanas sertifikātu izsniegšanu un pārvaldību, bet arī nodrošinās nacionālo eID karšu elektroniskās identifikācijas risinājuma attīstību un uzturēšanu atbilstoši regulas eIDAS prasībām tā, lai Latvija to varētu izziņot par augsta drošības līmeņa elektroniskās identifikācijas risinājumu un tas tiktu iekļauts ES uzticamības sarakstā un līdz ar to nākotnē kļūtu izmantojams Latvijas iedzīvotājiem piekļuvei citu ES valstu publiskajiem pakalpojumiem. Lai uzlabotu nacionālo eID karšu lietojamību un it īpaši, </w:t>
      </w:r>
      <w:r w:rsidR="00CE1447">
        <w:rPr>
          <w:lang w:eastAsia="lv-LV"/>
        </w:rPr>
        <w:t xml:space="preserve">lai </w:t>
      </w:r>
      <w:r>
        <w:rPr>
          <w:lang w:eastAsia="lv-LV"/>
        </w:rPr>
        <w:t>atvieglotu to pielietojumus elektroniskajai identifikācijā, izmantojot mobilā</w:t>
      </w:r>
      <w:r w:rsidR="00CE1447">
        <w:rPr>
          <w:lang w:eastAsia="lv-LV"/>
        </w:rPr>
        <w:t>s</w:t>
      </w:r>
      <w:r>
        <w:rPr>
          <w:lang w:eastAsia="lv-LV"/>
        </w:rPr>
        <w:t xml:space="preserve"> iekārtas, tiek plānots, ka sākot ar 2017. gadu no jauna izsniegtās nacionālās eID kartes būs aprīkotas ar bezkontaktu (vienlaicīgi ar kontaktu) procesoru, kas atbalsta NFC protokolu. </w:t>
      </w:r>
    </w:p>
    <w:p w:rsidR="00E95D38" w:rsidRDefault="00E95D38" w:rsidP="00E95D38">
      <w:pPr>
        <w:pStyle w:val="ISBodyText"/>
        <w:rPr>
          <w:lang w:eastAsia="lv-LV"/>
        </w:rPr>
      </w:pPr>
      <w:r>
        <w:rPr>
          <w:lang w:eastAsia="lv-LV"/>
        </w:rPr>
        <w:t>Saskaņā ar eIDAS regulu un fizisko personu identifikācijas likumu, var būt gan nacionāli (valsts nodrošināti), gan privātu (komerciālu) pakalpojumu sniedzēju elektroniskās identifikācijas pakalpojumi. Kā minēts jau iepriekš, Latvijā jau šobrīd privātu elektroniskās identifikācijas pakalpojumu sniedzēju lomā darbojas komercbankas, kas</w:t>
      </w:r>
      <w:r w:rsidR="00CE1447">
        <w:rPr>
          <w:lang w:eastAsia="lv-LV"/>
        </w:rPr>
        <w:t>,</w:t>
      </w:r>
      <w:r>
        <w:rPr>
          <w:lang w:eastAsia="lv-LV"/>
        </w:rPr>
        <w:t xml:space="preserve"> savstarpēji to saskaņojot, pieļauj un pat veicina savu internetbanku elektroniskās identifikācijas risinājumu izmantošanu arī citiem pakalpojumiem. Šobrīd ir grūti prognozēt komercbanku turpmāko rīcību šajā jomā, konkrēti – attiecībā uz e-identifikācijas pakalpojumu pielietojumu ierobežojumiem, izcenojumiem un kvalificēšanu Latvijā un/vai citās ES valstīs.</w:t>
      </w:r>
      <w:r w:rsidR="00267B12">
        <w:rPr>
          <w:lang w:eastAsia="lv-LV"/>
        </w:rPr>
        <w:t xml:space="preserve"> Neskaidrība šajā jautājumā ir papildus arguments par labu nacionālā elektroniskās identifikācijas risinājuma attīstībai, veicinot tā izmantošanu arī bankās.</w:t>
      </w:r>
    </w:p>
    <w:p w:rsidR="00E95D38" w:rsidRDefault="00E95D38" w:rsidP="00E95D38">
      <w:pPr>
        <w:pStyle w:val="ISBodyText"/>
        <w:rPr>
          <w:highlight w:val="yellow"/>
        </w:rPr>
      </w:pPr>
      <w:r>
        <w:rPr>
          <w:lang w:eastAsia="lv-LV"/>
        </w:rPr>
        <w:t>Var prognozēt, ka vēl vairāk pieaugot mobilo ierīču un uz tām balstītu risinājumu popularitātei, pieaugs tādu uz privāto atslēgu infrastruktūru (PKI, sertifikātiem) balstītajiem elektroniskās identitātes risinājumiem alternatīvu divu fak</w:t>
      </w:r>
      <w:r w:rsidRPr="00F96EE3">
        <w:rPr>
          <w:lang w:eastAsia="lv-LV"/>
        </w:rPr>
        <w:t xml:space="preserve">toru autentifikācijas risinājumu popularitāte, kas izmanto tieši mobilo ierīču iespējas. Piemēram, </w:t>
      </w:r>
      <w:r w:rsidRPr="00F96EE3">
        <w:t>nosūtot SMS ziņojumu ar ģenerētu kodu, vai arī izmantojot speciālas programmas. Šādā veidā, sasaistot lietotāja profilu ar telefona numuru</w:t>
      </w:r>
      <w:r w:rsidR="00CE1447">
        <w:t>,</w:t>
      </w:r>
      <w:r w:rsidRPr="00F96EE3">
        <w:t xml:space="preserve"> ir iespējams nodrošināt drošu un vienkāršu piekļuvi e-pakalpojumam vai sistēmai  arī no mobilajiem telefoniem un planšetdatoriem. Arī šādi risinājumi var tikt izveidoti tā, lai būtu kvalificējami kvalificētam (ES – VIDĒJAM (SUBSTANTIAL)) drošības līmenim.   </w:t>
      </w:r>
    </w:p>
    <w:p w:rsidR="00E95D38" w:rsidRPr="00B930A2" w:rsidRDefault="00E95D38" w:rsidP="00E95D38">
      <w:pPr>
        <w:pStyle w:val="ISBodyText"/>
      </w:pPr>
      <w:r w:rsidRPr="00B930A2">
        <w:t>Koplietošanas elektroniskās identifikācijas servisa nodrošinātie ieguvumi:</w:t>
      </w:r>
    </w:p>
    <w:p w:rsidR="00E95D38" w:rsidRPr="00B930A2" w:rsidRDefault="00E95D38" w:rsidP="00E95D38">
      <w:pPr>
        <w:pStyle w:val="ISBulletText"/>
      </w:pPr>
      <w:r w:rsidRPr="00B930A2">
        <w:t>Vienkāršota e-pakalpojumu izstrāde, ieviešana un uzturēšana, nodrošinot Latvijas un ES likumdošanas prasību izpildi attiecībā uz elektronisko (arī pārrobežu) elektronisko identifikāciju;</w:t>
      </w:r>
    </w:p>
    <w:p w:rsidR="00E95D38" w:rsidRPr="00B930A2" w:rsidRDefault="00E95D38" w:rsidP="00E95D38">
      <w:pPr>
        <w:pStyle w:val="ISBulletText"/>
      </w:pPr>
      <w:r w:rsidRPr="00B930A2">
        <w:t>Uzlabota e-pakalpojumu pieejamība un lietojamība, nodrošinot to pieejamību ar visiem koplietošanas servisā iekļautajiem atbilstoša drošības līmeņa elektroniskās identifikācijas risinājum</w:t>
      </w:r>
      <w:r w:rsidR="00E15753">
        <w:t>iem</w:t>
      </w:r>
      <w:r w:rsidRPr="00B930A2">
        <w:t xml:space="preserve">, nākotnē ieskaitot arī ārzemju (pārrobežu) risinājumus. </w:t>
      </w:r>
    </w:p>
    <w:p w:rsidR="00E95D38" w:rsidRPr="00B930A2" w:rsidRDefault="00E95D38" w:rsidP="00E95D38">
      <w:pPr>
        <w:pStyle w:val="ISBulletText"/>
        <w:numPr>
          <w:ilvl w:val="0"/>
          <w:numId w:val="0"/>
        </w:numPr>
      </w:pPr>
      <w:r w:rsidRPr="00B930A2">
        <w:t>Nacionālās uzticamības pakalpojumu platformas nodrošinātie ieguvumi:</w:t>
      </w:r>
    </w:p>
    <w:p w:rsidR="00E95D38" w:rsidRPr="00B930A2" w:rsidRDefault="00E95D38" w:rsidP="00E95D38">
      <w:pPr>
        <w:pStyle w:val="ISBulletText"/>
      </w:pPr>
      <w:r w:rsidRPr="00B930A2">
        <w:t>Nodrošināta droša bezmaksas alternatīva komercbanku nodrošinātiem elektroniskās identitātes pakalpojumiem, kuru pielietojamība un izcenojumi ir atkarīgi no komercbanku biznesa lēmumiem, ko publisko pakalpojumu sniedzēji nevar ietekmēt;</w:t>
      </w:r>
    </w:p>
    <w:p w:rsidR="00E95D38" w:rsidRPr="00B930A2" w:rsidRDefault="00E95D38" w:rsidP="00E95D38">
      <w:pPr>
        <w:pStyle w:val="ISBulletText"/>
      </w:pPr>
      <w:r w:rsidRPr="00B930A2">
        <w:t>Pēc nacionālā elektroniskās identifikācijas risinājuma (eID kartes) izziņošanas un iekļaušanas ES uzticamības sarakstā – citu ES valstu publisko e-pakalpojumu pieejamība Latvijas eID kartes lietotājiem (pēc eID regulas stāšanās spēkā pilnā apmērā 2018. gadā).</w:t>
      </w:r>
    </w:p>
    <w:p w:rsidR="00E95D38" w:rsidRDefault="00E95D38" w:rsidP="00E95D38">
      <w:pPr>
        <w:pStyle w:val="Princips"/>
      </w:pPr>
      <w:bookmarkStart w:id="121" w:name="_Toc405912597"/>
      <w:bookmarkStart w:id="122" w:name="_Toc410147018"/>
      <w:r>
        <w:lastRenderedPageBreak/>
        <w:t>Pārrobežu elektroniskā identifikācija</w:t>
      </w:r>
      <w:bookmarkEnd w:id="121"/>
      <w:bookmarkEnd w:id="122"/>
    </w:p>
    <w:p w:rsidR="00E95D38" w:rsidRDefault="00E95D38" w:rsidP="00E95D38">
      <w:pPr>
        <w:pStyle w:val="ISBodyText"/>
        <w:rPr>
          <w:lang w:eastAsia="lv-LV"/>
        </w:rPr>
      </w:pPr>
      <w:r>
        <w:rPr>
          <w:lang w:eastAsia="lv-LV"/>
        </w:rPr>
        <w:t>Izpildot eIDAS regulas prasības</w:t>
      </w:r>
      <w:r w:rsidR="00123B59">
        <w:rPr>
          <w:lang w:eastAsia="lv-LV"/>
        </w:rPr>
        <w:t>,</w:t>
      </w:r>
      <w:r>
        <w:rPr>
          <w:lang w:eastAsia="lv-LV"/>
        </w:rPr>
        <w:t xml:space="preserve"> Latvijā tiek ieviests t.s. centralizētais pārrobežu elektroniskās identifikācijas modelis, kas paredz vienas centralizētas nacionālās vārtejas izmantošanu. Ar atsevišķiem izņēmumiem (Vācija, Austrija u.c.) centralizētās vārtejas pieeju plāno izmantot vairums ES dalībvalstu. Konceptuālās arhitektūras izstrādes laikā vēl turpinās eIDAS regulas ieviešanas normatīvo aktu un to atbalstošo tehnisko risinājumu izstrāde. Vēl atlikušie (līdz 2014. gada novembrim pilnībā neatrisinātie) izaicinājumi ir saistīti ar efektīvu risinājumu integrāciju valstīm, kas izmanto decentralizēto modeli, kā arī personu (fizisko un juridisko) datu ap</w:t>
      </w:r>
      <w:r w:rsidR="0017645F">
        <w:rPr>
          <w:lang w:eastAsia="lv-LV"/>
        </w:rPr>
        <w:t>riti</w:t>
      </w:r>
      <w:r>
        <w:rPr>
          <w:lang w:eastAsia="lv-LV"/>
        </w:rPr>
        <w:t xml:space="preserve"> pārrobežu elektroniskās identifikācijas procesu ietvaros.       </w:t>
      </w:r>
    </w:p>
    <w:p w:rsidR="00E95D38" w:rsidRPr="00284D5B" w:rsidRDefault="00E95D38" w:rsidP="00E95D38">
      <w:pPr>
        <w:pStyle w:val="ISBodyText"/>
        <w:rPr>
          <w:lang w:eastAsia="lv-LV"/>
        </w:rPr>
      </w:pPr>
      <w:r w:rsidRPr="00284D5B">
        <w:rPr>
          <w:lang w:eastAsia="lv-LV"/>
        </w:rPr>
        <w:t>Centralizētās vārtejas risinājums ir izstrādāts ES liela apjoma pilotprojekta STORK (</w:t>
      </w:r>
      <w:r w:rsidRPr="00284D5B">
        <w:rPr>
          <w:i/>
          <w:lang w:eastAsia="lv-LV"/>
        </w:rPr>
        <w:t>Secure IdenTity across boRders linked</w:t>
      </w:r>
      <w:r w:rsidRPr="00284D5B">
        <w:rPr>
          <w:lang w:eastAsia="lv-LV"/>
        </w:rPr>
        <w:t>) ietvaros. STORK darba grupa rekomendē izmantot PEPS (</w:t>
      </w:r>
      <w:r w:rsidRPr="00284D5B">
        <w:rPr>
          <w:i/>
          <w:lang w:eastAsia="lv-LV"/>
        </w:rPr>
        <w:t>Pan European Proxy Service</w:t>
      </w:r>
      <w:r w:rsidRPr="00284D5B">
        <w:rPr>
          <w:lang w:eastAsia="lv-LV"/>
        </w:rPr>
        <w:t>) nacionālās vārtejas. Šo vārteju galvenie uzdevumi ir šādi:</w:t>
      </w:r>
    </w:p>
    <w:p w:rsidR="00E95D38" w:rsidRPr="00284D5B" w:rsidRDefault="00E95D38" w:rsidP="00E95D38">
      <w:pPr>
        <w:pStyle w:val="ISBulletText"/>
      </w:pPr>
      <w:r w:rsidRPr="00284D5B">
        <w:t>Nodrošināt integrācijas starpslāni, kas apslēpj konkrētās valsts elektroniskās identifikācijas infrastruktūras specifiku;</w:t>
      </w:r>
    </w:p>
    <w:p w:rsidR="00E95D38" w:rsidRPr="00284D5B" w:rsidRDefault="00E95D38" w:rsidP="00E95D38">
      <w:pPr>
        <w:pStyle w:val="ISBulletText"/>
      </w:pPr>
      <w:r w:rsidRPr="00284D5B">
        <w:t>Kalpot par savstarpējās uzticamības (</w:t>
      </w:r>
      <w:r w:rsidRPr="00284D5B">
        <w:rPr>
          <w:i/>
        </w:rPr>
        <w:t>trust</w:t>
      </w:r>
      <w:r w:rsidRPr="00284D5B">
        <w:t>) punktu pārrobežu elektroniskās identifikācijas dalībniekiem;</w:t>
      </w:r>
    </w:p>
    <w:p w:rsidR="00E95D38" w:rsidRPr="00284D5B" w:rsidRDefault="00E95D38" w:rsidP="00E95D38">
      <w:pPr>
        <w:pStyle w:val="ISBulletText"/>
      </w:pPr>
      <w:r w:rsidRPr="00284D5B">
        <w:t>PEPS savieno nacionālo eID infrastruktūru ar ārvalstu e-pakalpojumu sniedzējiem, kā arī nacionālos e-pakalpojumu sniedzējus ar ārvalstu eID infrastruktūru.</w:t>
      </w:r>
    </w:p>
    <w:p w:rsidR="00E95D38" w:rsidRDefault="00E95D38" w:rsidP="00E95D38">
      <w:pPr>
        <w:pStyle w:val="ISBulletText"/>
        <w:numPr>
          <w:ilvl w:val="0"/>
          <w:numId w:val="0"/>
        </w:numPr>
      </w:pPr>
      <w:r w:rsidRPr="00284D5B">
        <w:t>Attēlā zemāk ir parādīts, ka katrai valstij, kas piedalās pārrobežu elektroniskās identifikācijas shēmā, izmantojot centralizēto modeli, ir izvietota PEPS vārteja, kas kalpo par pieslēguma un savstarpējās uzticamības punktu. Katrā dalībvalstī var būt viens vai vairāki elektroniskās identitātes pakalpojumu sniedzēji un e-pakalpojumu sniedzēji. Elektroniskās identitātes pakalpojumu sniedzēji, lietotājam autentificējoties, sniedz papildus atribūtus par personu, piemēram, vārds, uzvārds, dzimums, dzimšanas datums un nacionalitāte. E-pakalpojumu sniedzēji nodrošina publiskos pakalpojumus, kuriem lietotāji vēlas piekļūt</w:t>
      </w:r>
      <w:r w:rsidR="00123B59">
        <w:t>,</w:t>
      </w:r>
      <w:r w:rsidRPr="00284D5B">
        <w:t xml:space="preserve"> tiem autentificējoties.</w:t>
      </w:r>
    </w:p>
    <w:p w:rsidR="00E95D38" w:rsidRDefault="00E95D38" w:rsidP="00E95D38">
      <w:pPr>
        <w:pStyle w:val="ISBodyText"/>
        <w:jc w:val="center"/>
        <w:rPr>
          <w:lang w:eastAsia="lv-LV"/>
        </w:rPr>
      </w:pPr>
      <w:r>
        <w:rPr>
          <w:noProof/>
          <w:lang w:eastAsia="lv-LV"/>
        </w:rPr>
        <w:drawing>
          <wp:inline distT="0" distB="0" distL="0" distR="0">
            <wp:extent cx="3878740" cy="2607945"/>
            <wp:effectExtent l="0" t="0" r="7620" b="1905"/>
            <wp:docPr id="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900816" cy="2622788"/>
                    </a:xfrm>
                    <a:prstGeom prst="rect">
                      <a:avLst/>
                    </a:prstGeom>
                  </pic:spPr>
                </pic:pic>
              </a:graphicData>
            </a:graphic>
          </wp:inline>
        </w:drawing>
      </w:r>
    </w:p>
    <w:p w:rsidR="00E95D38" w:rsidRDefault="002B2868" w:rsidP="00E95D38">
      <w:pPr>
        <w:pStyle w:val="Parakstszemobjekta"/>
      </w:pPr>
      <w:r>
        <w:t>22</w:t>
      </w:r>
      <w:r w:rsidR="00E95D38" w:rsidRPr="00112819">
        <w:t xml:space="preserve">.attēls. </w:t>
      </w:r>
      <w:r w:rsidR="00E95D38">
        <w:t>Eiropas Kopienas dalībvalstu pārrobežu elektroniskā identifikācija</w:t>
      </w:r>
    </w:p>
    <w:p w:rsidR="00E95D38" w:rsidRDefault="00E95D38" w:rsidP="00E95D38">
      <w:pPr>
        <w:pStyle w:val="ISBodyText"/>
        <w:rPr>
          <w:noProof/>
          <w:lang w:eastAsia="lv-LV"/>
        </w:rPr>
      </w:pPr>
      <w:r>
        <w:rPr>
          <w:lang w:eastAsia="lv-LV"/>
        </w:rPr>
        <w:t>Lietotāja autentifikācijas process ir parādīts attēlā zemāk un tas notiek šādi:</w:t>
      </w:r>
      <w:r w:rsidRPr="00A71173">
        <w:rPr>
          <w:noProof/>
          <w:lang w:eastAsia="lv-LV"/>
        </w:rPr>
        <w:t xml:space="preserve"> </w:t>
      </w:r>
    </w:p>
    <w:p w:rsidR="00267B12" w:rsidRDefault="00267B12" w:rsidP="00B75B6F">
      <w:pPr>
        <w:pStyle w:val="ISBodyTextNumbered"/>
        <w:numPr>
          <w:ilvl w:val="0"/>
          <w:numId w:val="47"/>
        </w:numPr>
      </w:pPr>
      <w:r>
        <w:t>Kad lietotājs no vienas dalībvalsts (precīzāk – ar vienas valsts elektronisko identifikāciju) vēlas pieslēgties kādam e-pakalpojumam citā valstī un izmantot tā personalizēto daļu, e-pakalpojuma sniedzējs liks lietotājam autentificēties. Ja tas izvēlēsies autentificēties kā ārzemnieks, tam liks izvēlēties konkrēto valsti no saraksta;</w:t>
      </w:r>
    </w:p>
    <w:p w:rsidR="00267B12" w:rsidRDefault="00267B12" w:rsidP="00B75B6F">
      <w:pPr>
        <w:pStyle w:val="ISBodyTextNumbered"/>
        <w:numPr>
          <w:ilvl w:val="0"/>
          <w:numId w:val="47"/>
        </w:numPr>
      </w:pPr>
      <w:r>
        <w:lastRenderedPageBreak/>
        <w:t>Tā rezultātā e-pakalpojuma sniedzējs nosūtīs pieprasījumu uz lietotāja valsts PEPS serveri;</w:t>
      </w:r>
    </w:p>
    <w:p w:rsidR="00267B12" w:rsidRDefault="00267B12" w:rsidP="00B75B6F">
      <w:pPr>
        <w:pStyle w:val="ISBodyTextNumbered"/>
        <w:numPr>
          <w:ilvl w:val="0"/>
          <w:numId w:val="47"/>
        </w:numPr>
      </w:pPr>
      <w:r>
        <w:t>PEPS serveris pārsūtīs lietotāju uz tā autentifikācijas portālu;</w:t>
      </w:r>
    </w:p>
    <w:p w:rsidR="00267B12" w:rsidRDefault="00267B12" w:rsidP="00B75B6F">
      <w:pPr>
        <w:pStyle w:val="ISBodyTextNumbered"/>
        <w:numPr>
          <w:ilvl w:val="0"/>
          <w:numId w:val="47"/>
        </w:numPr>
      </w:pPr>
      <w:r>
        <w:t>Pēc lietotāja veiksmīgas autentifikācijas PEPS serveris no elektroniskās identitātes pakalpojuma sniedzēja pieprasīs tos papildus atribūtus par lietotāju, kuri ir nepieciešami konkrētajam e-pakalpojuma sniedzējam konkrētā pakalpojuma sniegšanai;</w:t>
      </w:r>
    </w:p>
    <w:p w:rsidR="00267B12" w:rsidRDefault="00267B12" w:rsidP="00B75B6F">
      <w:pPr>
        <w:pStyle w:val="ISBodyTextNumbered"/>
        <w:numPr>
          <w:ilvl w:val="0"/>
          <w:numId w:val="47"/>
        </w:numPr>
      </w:pPr>
      <w:r>
        <w:t>Rezultātā lietotājs iegūs piekļuvi e-pakalpojumam un spēs to izpildīt.</w:t>
      </w:r>
    </w:p>
    <w:p w:rsidR="00E95D38" w:rsidRDefault="00E95D38" w:rsidP="00E95D38">
      <w:pPr>
        <w:pStyle w:val="ISBodyText"/>
        <w:rPr>
          <w:noProof/>
          <w:lang w:eastAsia="lv-LV"/>
        </w:rPr>
      </w:pPr>
    </w:p>
    <w:p w:rsidR="00E95D38" w:rsidRDefault="00E95D38" w:rsidP="00E95D38">
      <w:pPr>
        <w:pStyle w:val="ISBodyText"/>
        <w:jc w:val="center"/>
        <w:rPr>
          <w:lang w:eastAsia="lv-LV"/>
        </w:rPr>
      </w:pPr>
      <w:r>
        <w:rPr>
          <w:noProof/>
          <w:lang w:eastAsia="lv-LV"/>
        </w:rPr>
        <w:drawing>
          <wp:inline distT="0" distB="0" distL="0" distR="0">
            <wp:extent cx="4143870" cy="2696845"/>
            <wp:effectExtent l="0" t="0" r="9525" b="8255"/>
            <wp:docPr id="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223917" cy="2748940"/>
                    </a:xfrm>
                    <a:prstGeom prst="rect">
                      <a:avLst/>
                    </a:prstGeom>
                  </pic:spPr>
                </pic:pic>
              </a:graphicData>
            </a:graphic>
          </wp:inline>
        </w:drawing>
      </w:r>
    </w:p>
    <w:p w:rsidR="00E95D38" w:rsidRDefault="002B2868" w:rsidP="00E95D38">
      <w:pPr>
        <w:pStyle w:val="Parakstszemobjekta"/>
      </w:pPr>
      <w:r>
        <w:t>23</w:t>
      </w:r>
      <w:r w:rsidR="00E95D38" w:rsidRPr="00112819">
        <w:t xml:space="preserve">.attēls. </w:t>
      </w:r>
      <w:r w:rsidR="00E95D38">
        <w:t>Pārrobežu elektroniskā identifikācija, izmantojot PEPS vārtejas</w:t>
      </w:r>
    </w:p>
    <w:p w:rsidR="00E95D38" w:rsidRDefault="00E95D38" w:rsidP="00E95D38">
      <w:pPr>
        <w:pStyle w:val="ISBodyText"/>
        <w:rPr>
          <w:lang w:eastAsia="lv-LV"/>
        </w:rPr>
      </w:pPr>
      <w:r>
        <w:rPr>
          <w:lang w:eastAsia="lv-LV"/>
        </w:rPr>
        <w:t xml:space="preserve">STORK autentifikācijas process lieto federatīvās autentifikācijas pieeju, izmantojot SAML formāta drošības talonus. </w:t>
      </w:r>
    </w:p>
    <w:p w:rsidR="00E95D38" w:rsidRDefault="00E95D38" w:rsidP="00E95D38">
      <w:pPr>
        <w:pStyle w:val="ISBodyText"/>
        <w:rPr>
          <w:lang w:eastAsia="lv-LV"/>
        </w:rPr>
      </w:pPr>
      <w:r>
        <w:rPr>
          <w:lang w:eastAsia="lv-LV"/>
        </w:rPr>
        <w:t>Lai nodrošinātu Latvijas publisko pakalpojumu saņēmēju unikālu identifikāciju, kā arī publiskās pārvaldes datu integritāti, ārvalstnieki, kas saņem Latvijas publiskos pakalpojumus (piemēram, iegādājas nekustamo īpašumu, reģistrē uzņēmumu Latvijā vai izmanto jebkuru Latvijas e-pakalpojumu, kas prasa personas unikālu identifikāciju, tiks iekļauti Personu reģistrā, kas tiks attīstīts kā Latvijas Iedzīvotāju reģistra paplašinājums. Pēc iekļaušanas Latvijas Personu reģistrā, turpmākā datu apstrāde un e-pakalpojumu (un citu publisko pakalpojumu) sniegšana ārvalstniekiem, kas izmanto ES izziņotus ārvalstu elektroniskās identifikācijas risinājumus varēs notikt tāpat kā Latvijas pavalstniekiem, kas izmanto vietējos elektroniskās identifikācijas risinājumus.</w:t>
      </w:r>
    </w:p>
    <w:p w:rsidR="00E95D38" w:rsidRDefault="00E95D38" w:rsidP="00E95D38">
      <w:pPr>
        <w:pStyle w:val="ISBodyText"/>
        <w:rPr>
          <w:lang w:eastAsia="lv-LV"/>
        </w:rPr>
      </w:pPr>
      <w:r>
        <w:rPr>
          <w:lang w:eastAsia="lv-LV"/>
        </w:rPr>
        <w:t>Juridisko personu elektroniskajai identifikācijai ES dalībvalstīs tiek izmantotas divējādas pieejas. Populārākā, kura tiks konsekventi izmantota arī Latvijā, ir juridisko personu identifikācijas balstīšana uz fizisko personu identifikāciju, pārstāvniecības tiesības un pilnvaras pārbaudot attiecīgos reģistros un datu bāzēs. Alternatīva pieeja (ko izmanto, piemēram, Dānijā) ir t.s. “darbinieku sertifikātu” izsniegšana, tieši autentifikācijas un parakstu sertifikātos iekļaujot informāciju par attiecīgās fiziskās personas saistību ar juridisko personu un pilnvarām (vai amatu) tajā.</w:t>
      </w:r>
    </w:p>
    <w:p w:rsidR="00267B12" w:rsidRDefault="00E95D38" w:rsidP="00267B12">
      <w:pPr>
        <w:pStyle w:val="ISBodyText"/>
        <w:rPr>
          <w:lang w:eastAsia="lv-LV"/>
        </w:rPr>
      </w:pPr>
      <w:r>
        <w:rPr>
          <w:lang w:eastAsia="lv-LV"/>
        </w:rPr>
        <w:t>Latvijā piekļuvi juridisko personu pārstāvniecības un pilnvarojumu reģistram (datu bāzei) nodrošinās pakalpojumu sniegšanas un pārvaldības platforma. Juridisko personu pilnvarojumu un pārstāvniecības reģistra (datu bāzes) attīstību un uzturēšanu nodrošinās VRAA sadarbībā ar Uzņēmumu reģistru</w:t>
      </w:r>
      <w:r w:rsidR="00123B59">
        <w:rPr>
          <w:lang w:eastAsia="lv-LV"/>
        </w:rPr>
        <w:t>,</w:t>
      </w:r>
      <w:r>
        <w:rPr>
          <w:lang w:eastAsia="lv-LV"/>
        </w:rPr>
        <w:t xml:space="preserve"> un tas būs pieejams gala lietotājiem (juridisko personu pārstāvjiem) kā e-pakalpojums juridiskās personas profila uzturēšanas pakalpojuma ietvaros, bet e-pakalpojumu sniedzējiem Latvijā un ārvalstīs – kā koplietošanas pakalpojums, kas pieejams tieši (vietējiem) vai ar PEPS starpniecību (ārvalstu pakalpojumu sniedzējiem).</w:t>
      </w:r>
      <w:r w:rsidR="00267B12">
        <w:rPr>
          <w:lang w:eastAsia="lv-LV"/>
        </w:rPr>
        <w:t xml:space="preserve"> </w:t>
      </w:r>
    </w:p>
    <w:p w:rsidR="00E95D38" w:rsidRDefault="00E95D38" w:rsidP="00267B12">
      <w:pPr>
        <w:pStyle w:val="ISBodyText"/>
        <w:rPr>
          <w:lang w:eastAsia="lv-LV"/>
        </w:rPr>
      </w:pPr>
      <w:r w:rsidRPr="00267B12">
        <w:rPr>
          <w:lang w:eastAsia="lv-LV"/>
        </w:rPr>
        <w:lastRenderedPageBreak/>
        <w:t xml:space="preserve">Centralizētā pārrobežu elektroniskās identifikācijas modeļa un Personu reģistra izveidošana (paplašinot Iedzīvotāju reģistru ar Latvijas publiskos pakalpojumus izmantojošiem ārvalstniekiem) un izmantošana nodrošina, ka eIDAS regulas noteiktās pārrobežu elektroniskās identifikācijas prasības var tikt izpildītas visefektīvākajā veidā, uzliekot minimālu papildus slogu (ņemot vērā arī koplietošanas elektroniskās identifikācijas servisu) e-pakalpojumu sniedzējiem. </w:t>
      </w:r>
    </w:p>
    <w:p w:rsidR="00E95D38" w:rsidRPr="001D39A6" w:rsidRDefault="00E95D38" w:rsidP="00E95D38">
      <w:pPr>
        <w:pStyle w:val="Princips"/>
      </w:pPr>
      <w:bookmarkStart w:id="123" w:name="_Toc405912598"/>
      <w:bookmarkStart w:id="124" w:name="_Toc410147019"/>
      <w:bookmarkStart w:id="125" w:name="_Toc392680539"/>
      <w:r>
        <w:t xml:space="preserve">Citi efektīvu e-pārvaldi veicinoši </w:t>
      </w:r>
      <w:r w:rsidRPr="001D39A6">
        <w:t xml:space="preserve">lietojumprogrammatūras koplietošanas </w:t>
      </w:r>
      <w:r>
        <w:t>risinājumi</w:t>
      </w:r>
      <w:bookmarkEnd w:id="123"/>
      <w:bookmarkEnd w:id="124"/>
      <w:r>
        <w:t xml:space="preserve"> </w:t>
      </w:r>
      <w:bookmarkEnd w:id="125"/>
    </w:p>
    <w:p w:rsidR="00E95D38" w:rsidRPr="001D39A6" w:rsidRDefault="00E95D38" w:rsidP="00E95D38">
      <w:pPr>
        <w:pStyle w:val="ISBodyText"/>
      </w:pPr>
      <w:r w:rsidRPr="001D39A6">
        <w:t>Efektīva un iedzīvotājam vai uzņēmējam ērta e-pakalpojuma izveide bieži vien atkarīga  ne tikai no iestādē esošaj</w:t>
      </w:r>
      <w:r w:rsidR="00123B59">
        <w:t>ā</w:t>
      </w:r>
      <w:r w:rsidRPr="001D39A6">
        <w:t>m iestādes IT sistēmām, bet arī no sistēmām citās iestādēs. Ja dati vai funkcijas citās iestādēs nav pieejami elektroniskā veidā vai nav pietiekami kvalitatīvi un pieejami (sistēmu pieejamības līmeņi atšķirīgi), tas būtiski apgrūtina e-pakalpojuma procesu, liek veidot neefektīvus apkārtceļa risinājumus (</w:t>
      </w:r>
      <w:r w:rsidRPr="001D39A6">
        <w:rPr>
          <w:i/>
        </w:rPr>
        <w:t>workaround</w:t>
      </w:r>
      <w:r w:rsidRPr="001D39A6">
        <w:t>).</w:t>
      </w:r>
    </w:p>
    <w:p w:rsidR="00E95D38" w:rsidRPr="001D39A6" w:rsidRDefault="00E95D38" w:rsidP="00E95D38">
      <w:pPr>
        <w:pStyle w:val="ISBodyText"/>
      </w:pPr>
      <w:r w:rsidRPr="001D39A6">
        <w:t>Lai mazinātu šādus šķēršļus</w:t>
      </w:r>
      <w:r w:rsidR="00123B59">
        <w:t>,</w:t>
      </w:r>
      <w:r w:rsidRPr="001D39A6">
        <w:t xml:space="preserve"> ir nepieciešami risinājumi tipisko elektronizācijas problēmu risināšanai, atbalstot elektronizāciju un svarīgas informācijas drošu pieejamību atvērto standartu veidā arī situācijās, ja attiecīga informācijas resursa pārvaldniekam nav iespēju patstāvīgi izveidot un uzturēt šādu risinājumu vai tas ir tik nebūtiska tā funkciju daļa, ka būtisku resursu ieguldīšana risinājumā no iestādes viedokļa nav attaisnojama. </w:t>
      </w:r>
    </w:p>
    <w:p w:rsidR="00E95D38" w:rsidRPr="001D39A6" w:rsidRDefault="00E95D38" w:rsidP="00E95D38">
      <w:pPr>
        <w:pStyle w:val="ISBodyText"/>
      </w:pPr>
      <w:r w:rsidRPr="001D39A6">
        <w:t>Piemēri šādai daudzās sistēmās nepieciešamai informācijai vai svarīgai informācijai, kurai ir nepieciešami īpaši augsti ticamības, aktualitātes un pieejamības līmeņi, bet par to saturu atbildīgām iestādēm šo datu tehniskas pieejamības nodrošināšana ir neraksturīga funkcija:</w:t>
      </w:r>
    </w:p>
    <w:p w:rsidR="00E95D38" w:rsidRPr="001D39A6" w:rsidRDefault="00E95D38" w:rsidP="00E95D38">
      <w:pPr>
        <w:pStyle w:val="ISBulletText"/>
      </w:pPr>
      <w:r w:rsidRPr="001D39A6">
        <w:t>Nelielie klasifikatori – piemēram, valstu starptautisko telefonu kodu saraksts;</w:t>
      </w:r>
    </w:p>
    <w:p w:rsidR="00E95D38" w:rsidRPr="001D39A6" w:rsidRDefault="00E95D38" w:rsidP="00E95D38">
      <w:pPr>
        <w:pStyle w:val="ISBulletText"/>
      </w:pPr>
      <w:r w:rsidRPr="001D39A6">
        <w:t>Nelielie reģistri – piemēram, Latvijā akreditēto sertifikācijas pakalpojumu sniedzēju reģistrs (šobrīd - ar tieši VIENU ierakstu!).</w:t>
      </w:r>
    </w:p>
    <w:p w:rsidR="00E95D38" w:rsidRPr="001D39A6" w:rsidRDefault="00E95D38" w:rsidP="00E95D38">
      <w:pPr>
        <w:pStyle w:val="ISBodyText"/>
      </w:pPr>
      <w:r w:rsidRPr="001D39A6">
        <w:t>Lai risinātu iepriekš minēto problēmu, tiks attīstīts centralizēts risinājums (platforma) bieži izmantotām koplietošanas informācijas uzkrāšanas un publicēšanas funkcijām, kuras ir:</w:t>
      </w:r>
    </w:p>
    <w:p w:rsidR="00E95D38" w:rsidRPr="001D39A6" w:rsidRDefault="00E95D38" w:rsidP="00E95D38">
      <w:pPr>
        <w:pStyle w:val="ISBulletText"/>
      </w:pPr>
      <w:r w:rsidRPr="001D39A6">
        <w:t>Individuāli (katra atsevišķi) nelielas;</w:t>
      </w:r>
    </w:p>
    <w:p w:rsidR="00E95D38" w:rsidRPr="001D39A6" w:rsidRDefault="00E95D38" w:rsidP="00E95D38">
      <w:pPr>
        <w:pStyle w:val="ISBulletText"/>
      </w:pPr>
      <w:r w:rsidRPr="001D39A6">
        <w:t>Kopumā kavē e-pakalpojumu veidošanu, ja nav elektroniski pieejamas;</w:t>
      </w:r>
    </w:p>
    <w:p w:rsidR="00E95D38" w:rsidRPr="001D39A6" w:rsidRDefault="00E95D38" w:rsidP="00E95D38">
      <w:pPr>
        <w:pStyle w:val="ISBulletText"/>
      </w:pPr>
      <w:r w:rsidRPr="001D39A6">
        <w:t>Rada datu savietošanas problēmas (bieži izmantoti klasifikatori, kurus katra iestāde savās sistēmās veido citādāk).</w:t>
      </w:r>
    </w:p>
    <w:p w:rsidR="00E95D38" w:rsidRPr="001D39A6" w:rsidRDefault="00E95D38" w:rsidP="00E95D38">
      <w:pPr>
        <w:pStyle w:val="ISBodyText"/>
      </w:pPr>
      <w:r w:rsidRPr="001D39A6">
        <w:t>Šāds centralizēts risinājums atbildīgajām iestādēm, kurām nav savu sistēmu svarīgas nozares vai valsts informācijas drošai uzturēšanai un publicēšanai, nodrošinās iespējas:</w:t>
      </w:r>
    </w:p>
    <w:p w:rsidR="00E95D38" w:rsidRPr="001D39A6" w:rsidRDefault="00E95D38" w:rsidP="00E95D38">
      <w:pPr>
        <w:pStyle w:val="ISBulletText"/>
      </w:pPr>
      <w:r w:rsidRPr="001D39A6">
        <w:t xml:space="preserve">Tieši un patstāvīgi publicēt informāciju </w:t>
      </w:r>
      <w:r w:rsidR="00C50BB4">
        <w:t>koplietojamu vai atkalizmantojamu</w:t>
      </w:r>
      <w:r w:rsidRPr="001D39A6">
        <w:t xml:space="preserve"> datu veidā;</w:t>
      </w:r>
    </w:p>
    <w:p w:rsidR="00E95D38" w:rsidRPr="001D39A6" w:rsidRDefault="00E95D38" w:rsidP="00E95D38">
      <w:pPr>
        <w:pStyle w:val="ISBulletText"/>
      </w:pPr>
      <w:r w:rsidRPr="001D39A6">
        <w:t>Nodrošināt informācijas augstu pieejamību un versiju uzturēšanu.</w:t>
      </w:r>
    </w:p>
    <w:p w:rsidR="00E95D38" w:rsidRDefault="00E95D38" w:rsidP="00E95D38">
      <w:pPr>
        <w:pStyle w:val="ISBulletText"/>
        <w:numPr>
          <w:ilvl w:val="0"/>
          <w:numId w:val="0"/>
        </w:numPr>
      </w:pPr>
      <w:r w:rsidRPr="001D39A6">
        <w:t xml:space="preserve">Detalizētāk aprakstītais risinājums, kas risina klasifikatoru un īpaši maza apjoma reģistru uzturēšanas un publicēšanas problēmu ir viens konkrēts, jau identificēts piemērs elektronizācijas šķēršļu likvidējošu risinājumu jomā. E-pārvaldes attīstības gaitā tiks atklātas un atbilstoši, balstoties uz efektīvas servisu koplietošanas principu, risinātas arī citas problēmas. </w:t>
      </w:r>
    </w:p>
    <w:p w:rsidR="0049698D" w:rsidRDefault="0049698D" w:rsidP="0049698D">
      <w:pPr>
        <w:pStyle w:val="Princips"/>
      </w:pPr>
      <w:bookmarkStart w:id="126" w:name="_Toc410147020"/>
      <w:r>
        <w:lastRenderedPageBreak/>
        <w:t>Centralizētas platformas, decentralizēta pārvaldība</w:t>
      </w:r>
      <w:bookmarkEnd w:id="126"/>
    </w:p>
    <w:p w:rsidR="0049698D" w:rsidRDefault="0049698D" w:rsidP="0049698D">
      <w:pPr>
        <w:pStyle w:val="ISBodySubhead2"/>
        <w:rPr>
          <w:bCs/>
          <w:i w:val="0"/>
          <w:iCs w:val="0"/>
          <w:u w:val="none"/>
          <w:lang w:eastAsia="en-US"/>
        </w:rPr>
      </w:pPr>
      <w:r w:rsidRPr="00107941">
        <w:rPr>
          <w:bCs/>
          <w:i w:val="0"/>
          <w:iCs w:val="0"/>
          <w:u w:val="none"/>
          <w:lang w:eastAsia="en-US"/>
        </w:rPr>
        <w:t>Lai palielinātu iestāžu uz</w:t>
      </w:r>
      <w:r>
        <w:rPr>
          <w:bCs/>
          <w:i w:val="0"/>
          <w:iCs w:val="0"/>
          <w:u w:val="none"/>
          <w:lang w:eastAsia="en-US"/>
        </w:rPr>
        <w:t>ticību koplietošanas platformām un līdz ar to veicinātu</w:t>
      </w:r>
      <w:r w:rsidRPr="00107941">
        <w:rPr>
          <w:bCs/>
          <w:i w:val="0"/>
          <w:iCs w:val="0"/>
          <w:u w:val="none"/>
          <w:lang w:eastAsia="en-US"/>
        </w:rPr>
        <w:t xml:space="preserve"> </w:t>
      </w:r>
      <w:r>
        <w:rPr>
          <w:bCs/>
          <w:i w:val="0"/>
          <w:iCs w:val="0"/>
          <w:u w:val="none"/>
          <w:lang w:eastAsia="en-US"/>
        </w:rPr>
        <w:t>platformu</w:t>
      </w:r>
      <w:r w:rsidRPr="00107941">
        <w:rPr>
          <w:bCs/>
          <w:i w:val="0"/>
          <w:iCs w:val="0"/>
          <w:u w:val="none"/>
          <w:lang w:eastAsia="en-US"/>
        </w:rPr>
        <w:t xml:space="preserve"> </w:t>
      </w:r>
      <w:r>
        <w:rPr>
          <w:bCs/>
          <w:i w:val="0"/>
          <w:iCs w:val="0"/>
          <w:u w:val="none"/>
          <w:lang w:eastAsia="en-US"/>
        </w:rPr>
        <w:t xml:space="preserve">intensīvāku un efektīvāku </w:t>
      </w:r>
      <w:r w:rsidRPr="00107941">
        <w:rPr>
          <w:bCs/>
          <w:i w:val="0"/>
          <w:iCs w:val="0"/>
          <w:u w:val="none"/>
          <w:lang w:eastAsia="en-US"/>
        </w:rPr>
        <w:t>izmantošanu,</w:t>
      </w:r>
      <w:r>
        <w:rPr>
          <w:bCs/>
          <w:i w:val="0"/>
          <w:iCs w:val="0"/>
          <w:u w:val="none"/>
          <w:lang w:eastAsia="en-US"/>
        </w:rPr>
        <w:t xml:space="preserve"> tās pilnveidojot un attīstot i</w:t>
      </w:r>
      <w:r w:rsidR="00C92386">
        <w:rPr>
          <w:bCs/>
          <w:i w:val="0"/>
          <w:iCs w:val="0"/>
          <w:u w:val="none"/>
          <w:lang w:eastAsia="en-US"/>
        </w:rPr>
        <w:t xml:space="preserve">nstitūcijām (tajā skaitā – pašvaldībām) </w:t>
      </w:r>
      <w:r>
        <w:rPr>
          <w:bCs/>
          <w:i w:val="0"/>
          <w:iCs w:val="0"/>
          <w:u w:val="none"/>
          <w:lang w:eastAsia="en-US"/>
        </w:rPr>
        <w:t>– platformu izmantotājām tiks nodrošināta iespēja</w:t>
      </w:r>
      <w:r w:rsidRPr="00107941">
        <w:rPr>
          <w:bCs/>
          <w:i w:val="0"/>
          <w:iCs w:val="0"/>
          <w:u w:val="none"/>
          <w:lang w:eastAsia="en-US"/>
        </w:rPr>
        <w:t xml:space="preserve"> kontrolē</w:t>
      </w:r>
      <w:r>
        <w:rPr>
          <w:bCs/>
          <w:i w:val="0"/>
          <w:iCs w:val="0"/>
          <w:u w:val="none"/>
          <w:lang w:eastAsia="en-US"/>
        </w:rPr>
        <w:t>t</w:t>
      </w:r>
      <w:r w:rsidRPr="00107941">
        <w:rPr>
          <w:bCs/>
          <w:i w:val="0"/>
          <w:iCs w:val="0"/>
          <w:u w:val="none"/>
          <w:lang w:eastAsia="en-US"/>
        </w:rPr>
        <w:t xml:space="preserve"> un </w:t>
      </w:r>
      <w:r>
        <w:rPr>
          <w:bCs/>
          <w:i w:val="0"/>
          <w:iCs w:val="0"/>
          <w:u w:val="none"/>
          <w:lang w:eastAsia="en-US"/>
        </w:rPr>
        <w:t xml:space="preserve">būt </w:t>
      </w:r>
      <w:r w:rsidRPr="00107941">
        <w:rPr>
          <w:bCs/>
          <w:i w:val="0"/>
          <w:iCs w:val="0"/>
          <w:u w:val="none"/>
          <w:lang w:eastAsia="en-US"/>
        </w:rPr>
        <w:t>pilnībā atbildīg</w:t>
      </w:r>
      <w:r>
        <w:rPr>
          <w:bCs/>
          <w:i w:val="0"/>
          <w:iCs w:val="0"/>
          <w:u w:val="none"/>
          <w:lang w:eastAsia="en-US"/>
        </w:rPr>
        <w:t>ām</w:t>
      </w:r>
      <w:r w:rsidRPr="00107941">
        <w:rPr>
          <w:bCs/>
          <w:i w:val="0"/>
          <w:iCs w:val="0"/>
          <w:u w:val="none"/>
          <w:lang w:eastAsia="en-US"/>
        </w:rPr>
        <w:t xml:space="preserve"> par koplietošanas platformās izvietotajiem šo iestāžu komponentiem, informāciju, </w:t>
      </w:r>
      <w:r>
        <w:rPr>
          <w:bCs/>
          <w:i w:val="0"/>
          <w:iCs w:val="0"/>
          <w:u w:val="none"/>
          <w:lang w:eastAsia="en-US"/>
        </w:rPr>
        <w:t xml:space="preserve">kā arī </w:t>
      </w:r>
      <w:r w:rsidRPr="00107941">
        <w:rPr>
          <w:bCs/>
          <w:i w:val="0"/>
          <w:iCs w:val="0"/>
          <w:u w:val="none"/>
          <w:lang w:eastAsia="en-US"/>
        </w:rPr>
        <w:t>lietotāju</w:t>
      </w:r>
      <w:r>
        <w:rPr>
          <w:bCs/>
          <w:i w:val="0"/>
          <w:iCs w:val="0"/>
          <w:u w:val="none"/>
          <w:lang w:eastAsia="en-US"/>
        </w:rPr>
        <w:t xml:space="preserve"> un </w:t>
      </w:r>
      <w:r w:rsidRPr="00107941">
        <w:rPr>
          <w:bCs/>
          <w:i w:val="0"/>
          <w:iCs w:val="0"/>
          <w:u w:val="none"/>
          <w:lang w:eastAsia="en-US"/>
        </w:rPr>
        <w:t>sistēmu autorizāciju</w:t>
      </w:r>
      <w:r>
        <w:rPr>
          <w:bCs/>
          <w:i w:val="0"/>
          <w:iCs w:val="0"/>
          <w:u w:val="none"/>
          <w:lang w:eastAsia="en-US"/>
        </w:rPr>
        <w:t xml:space="preserve"> piekļuvei un darbībām ar iepriekš minētajiem resursiem</w:t>
      </w:r>
      <w:r w:rsidRPr="00107941">
        <w:rPr>
          <w:bCs/>
          <w:i w:val="0"/>
          <w:iCs w:val="0"/>
          <w:u w:val="none"/>
          <w:lang w:eastAsia="en-US"/>
        </w:rPr>
        <w:t>.</w:t>
      </w:r>
    </w:p>
    <w:p w:rsidR="0049698D" w:rsidRDefault="0049698D" w:rsidP="0049698D">
      <w:pPr>
        <w:pStyle w:val="ISBodySubhead2"/>
        <w:rPr>
          <w:bCs/>
          <w:i w:val="0"/>
          <w:iCs w:val="0"/>
          <w:u w:val="none"/>
          <w:lang w:eastAsia="en-US"/>
        </w:rPr>
      </w:pPr>
      <w:r>
        <w:rPr>
          <w:bCs/>
          <w:i w:val="0"/>
          <w:iCs w:val="0"/>
          <w:u w:val="none"/>
          <w:lang w:eastAsia="en-US"/>
        </w:rPr>
        <w:t xml:space="preserve">Konceptuālā rekomendācija nosaka, ka attīstot esošās platformas </w:t>
      </w:r>
      <w:r w:rsidRPr="0091606E">
        <w:rPr>
          <w:bCs/>
          <w:i w:val="0"/>
          <w:iCs w:val="0"/>
          <w:u w:val="none"/>
          <w:lang w:eastAsia="en-US"/>
        </w:rPr>
        <w:t>vai veidojot jaunas platformas, tās jāveido</w:t>
      </w:r>
      <w:r>
        <w:rPr>
          <w:bCs/>
          <w:i w:val="0"/>
          <w:iCs w:val="0"/>
          <w:u w:val="none"/>
          <w:lang w:eastAsia="en-US"/>
        </w:rPr>
        <w:t xml:space="preserve"> tā</w:t>
      </w:r>
      <w:r w:rsidRPr="0091606E">
        <w:rPr>
          <w:bCs/>
          <w:i w:val="0"/>
          <w:iCs w:val="0"/>
          <w:u w:val="none"/>
          <w:lang w:eastAsia="en-US"/>
        </w:rPr>
        <w:t xml:space="preserve">, lai tiktu </w:t>
      </w:r>
      <w:r>
        <w:rPr>
          <w:bCs/>
          <w:i w:val="0"/>
          <w:iCs w:val="0"/>
          <w:u w:val="none"/>
          <w:lang w:eastAsia="en-US"/>
        </w:rPr>
        <w:t xml:space="preserve">konsekventi nodalīta </w:t>
      </w:r>
      <w:r w:rsidRPr="0091606E">
        <w:rPr>
          <w:bCs/>
          <w:i w:val="0"/>
          <w:iCs w:val="0"/>
          <w:u w:val="none"/>
          <w:lang w:eastAsia="en-US"/>
        </w:rPr>
        <w:t xml:space="preserve"> platformu tehniskā </w:t>
      </w:r>
      <w:r w:rsidR="004107A5">
        <w:rPr>
          <w:bCs/>
          <w:i w:val="0"/>
          <w:iCs w:val="0"/>
          <w:u w:val="none"/>
          <w:lang w:eastAsia="en-US"/>
        </w:rPr>
        <w:t>uzturēšana no platformas realizēto saturīgo darbības procesu pārvaldīšanas, kas, savukārt, arī var tikt dalīta centralizētajā un nozarēm vai iestādēm specifiskās, atsevišķi pārvaldāmās daļās</w:t>
      </w:r>
      <w:r>
        <w:rPr>
          <w:bCs/>
          <w:i w:val="0"/>
          <w:iCs w:val="0"/>
          <w:u w:val="none"/>
          <w:lang w:eastAsia="en-US"/>
        </w:rPr>
        <w:t>:</w:t>
      </w:r>
    </w:p>
    <w:p w:rsidR="0049698D" w:rsidRDefault="0049698D" w:rsidP="0049698D">
      <w:pPr>
        <w:pStyle w:val="ISBulletText"/>
      </w:pPr>
      <w:r>
        <w:t>C</w:t>
      </w:r>
      <w:r w:rsidRPr="0091606E">
        <w:t>entrali</w:t>
      </w:r>
      <w:r>
        <w:t xml:space="preserve">zētu risinājumu un </w:t>
      </w:r>
      <w:r w:rsidRPr="0091606E">
        <w:t xml:space="preserve">servisu izmantošanas gadījumā </w:t>
      </w:r>
      <w:r w:rsidR="004107A5">
        <w:t xml:space="preserve">katra </w:t>
      </w:r>
      <w:r w:rsidRPr="0091606E">
        <w:t>iestāde patstāvīgi pārvalda</w:t>
      </w:r>
      <w:r>
        <w:t xml:space="preserve"> savu funkcionalitātes un IR daļu;</w:t>
      </w:r>
    </w:p>
    <w:p w:rsidR="004107A5" w:rsidRPr="0091606E" w:rsidRDefault="004107A5" w:rsidP="0049698D">
      <w:pPr>
        <w:pStyle w:val="ISBulletText"/>
      </w:pPr>
      <w:r>
        <w:t xml:space="preserve">Ja centralizētajai platformai ir atdalīta centralizēto darbības procesu pārvaldības sadaļa, tad to pārvalda centralizētās platformas pārzinis;  </w:t>
      </w:r>
    </w:p>
    <w:p w:rsidR="0049698D" w:rsidRPr="0091606E" w:rsidRDefault="004107A5" w:rsidP="0049698D">
      <w:pPr>
        <w:pStyle w:val="ISBulletText"/>
      </w:pPr>
      <w:r>
        <w:t>Platformas t</w:t>
      </w:r>
      <w:r w:rsidR="0049698D" w:rsidRPr="0091606E">
        <w:t>ehnisko risinājumu pārvalda tās tehniskais uzturētājs</w:t>
      </w:r>
      <w:r>
        <w:t xml:space="preserve"> (turētājs)</w:t>
      </w:r>
      <w:r w:rsidR="0049698D" w:rsidRPr="0091606E">
        <w:t>.</w:t>
      </w:r>
    </w:p>
    <w:p w:rsidR="0049698D" w:rsidRPr="0091606E" w:rsidRDefault="0049698D" w:rsidP="0049698D">
      <w:pPr>
        <w:pStyle w:val="ISBodySubhead2"/>
        <w:rPr>
          <w:bCs/>
          <w:i w:val="0"/>
          <w:iCs w:val="0"/>
          <w:u w:val="none"/>
          <w:lang w:eastAsia="en-US"/>
        </w:rPr>
      </w:pPr>
      <w:r>
        <w:rPr>
          <w:bCs/>
          <w:i w:val="0"/>
          <w:iCs w:val="0"/>
          <w:u w:val="none"/>
          <w:lang w:eastAsia="en-US"/>
        </w:rPr>
        <w:t xml:space="preserve">Centralizēto platformu decentralizētas pārvaldības princips prasa </w:t>
      </w:r>
      <w:r w:rsidRPr="0091606E">
        <w:rPr>
          <w:bCs/>
          <w:i w:val="0"/>
          <w:iCs w:val="0"/>
          <w:u w:val="none"/>
          <w:lang w:eastAsia="en-US"/>
        </w:rPr>
        <w:t>obligāt</w:t>
      </w:r>
      <w:r>
        <w:rPr>
          <w:bCs/>
          <w:i w:val="0"/>
          <w:iCs w:val="0"/>
          <w:u w:val="none"/>
          <w:lang w:eastAsia="en-US"/>
        </w:rPr>
        <w:t>u un konsekventu</w:t>
      </w:r>
      <w:r w:rsidRPr="0091606E">
        <w:rPr>
          <w:bCs/>
          <w:i w:val="0"/>
          <w:iCs w:val="0"/>
          <w:u w:val="none"/>
          <w:lang w:eastAsia="en-US"/>
        </w:rPr>
        <w:t xml:space="preserve"> vairāku klientu (</w:t>
      </w:r>
      <w:r w:rsidRPr="00445E0B">
        <w:rPr>
          <w:u w:val="none"/>
          <w:lang w:eastAsia="en-US"/>
        </w:rPr>
        <w:t>multi-tenancy</w:t>
      </w:r>
      <w:r w:rsidRPr="0091606E">
        <w:rPr>
          <w:bCs/>
          <w:i w:val="0"/>
          <w:iCs w:val="0"/>
          <w:u w:val="none"/>
          <w:lang w:eastAsia="en-US"/>
        </w:rPr>
        <w:t>) režīm</w:t>
      </w:r>
      <w:r>
        <w:rPr>
          <w:bCs/>
          <w:i w:val="0"/>
          <w:iCs w:val="0"/>
          <w:u w:val="none"/>
          <w:lang w:eastAsia="en-US"/>
        </w:rPr>
        <w:t xml:space="preserve">a ieviešanu </w:t>
      </w:r>
      <w:r w:rsidRPr="0091606E">
        <w:rPr>
          <w:bCs/>
          <w:i w:val="0"/>
          <w:iCs w:val="0"/>
          <w:u w:val="none"/>
          <w:lang w:eastAsia="en-US"/>
        </w:rPr>
        <w:t>visā</w:t>
      </w:r>
      <w:r>
        <w:rPr>
          <w:bCs/>
          <w:i w:val="0"/>
          <w:iCs w:val="0"/>
          <w:u w:val="none"/>
          <w:lang w:eastAsia="en-US"/>
        </w:rPr>
        <w:t xml:space="preserve">s centralizētajās platformās, lai </w:t>
      </w:r>
      <w:r w:rsidRPr="0091606E">
        <w:rPr>
          <w:bCs/>
          <w:i w:val="0"/>
          <w:iCs w:val="0"/>
          <w:u w:val="none"/>
          <w:lang w:eastAsia="en-US"/>
        </w:rPr>
        <w:t>vienas iestādes satura pārvaldība ne</w:t>
      </w:r>
      <w:r>
        <w:rPr>
          <w:bCs/>
          <w:i w:val="0"/>
          <w:iCs w:val="0"/>
          <w:u w:val="none"/>
          <w:lang w:eastAsia="en-US"/>
        </w:rPr>
        <w:t xml:space="preserve">kādi nevarētu ietekmēt </w:t>
      </w:r>
      <w:r w:rsidRPr="0091606E">
        <w:rPr>
          <w:bCs/>
          <w:i w:val="0"/>
          <w:iCs w:val="0"/>
          <w:u w:val="none"/>
          <w:lang w:eastAsia="en-US"/>
        </w:rPr>
        <w:t>citas iestādes satura pārvaldību</w:t>
      </w:r>
      <w:r>
        <w:rPr>
          <w:bCs/>
          <w:i w:val="0"/>
          <w:iCs w:val="0"/>
          <w:u w:val="none"/>
          <w:lang w:eastAsia="en-US"/>
        </w:rPr>
        <w:t>. Dažādu platformu gadījumā</w:t>
      </w:r>
      <w:r w:rsidRPr="0091606E">
        <w:rPr>
          <w:bCs/>
          <w:i w:val="0"/>
          <w:iCs w:val="0"/>
          <w:u w:val="none"/>
          <w:lang w:eastAsia="en-US"/>
        </w:rPr>
        <w:t xml:space="preserve"> satur</w:t>
      </w:r>
      <w:r>
        <w:rPr>
          <w:bCs/>
          <w:i w:val="0"/>
          <w:iCs w:val="0"/>
          <w:u w:val="none"/>
          <w:lang w:eastAsia="en-US"/>
        </w:rPr>
        <w:t xml:space="preserve">a pārvaldība </w:t>
      </w:r>
      <w:r w:rsidRPr="0091606E">
        <w:rPr>
          <w:bCs/>
          <w:i w:val="0"/>
          <w:iCs w:val="0"/>
          <w:u w:val="none"/>
          <w:lang w:eastAsia="en-US"/>
        </w:rPr>
        <w:t>nozīmē dažādas lietas:</w:t>
      </w:r>
    </w:p>
    <w:p w:rsidR="0049698D" w:rsidRPr="0091606E" w:rsidRDefault="0049698D" w:rsidP="0049698D">
      <w:pPr>
        <w:pStyle w:val="ISBulletText"/>
      </w:pPr>
      <w:r>
        <w:t>P</w:t>
      </w:r>
      <w:r w:rsidRPr="0091606E">
        <w:t>ortālu p</w:t>
      </w:r>
      <w:r>
        <w:t xml:space="preserve">latforma nodrošina vienotu pieeju un bāzes risinājumus, bet </w:t>
      </w:r>
      <w:r w:rsidRPr="00DC6F9E">
        <w:t xml:space="preserve">katrai iestādei </w:t>
      </w:r>
      <w:r>
        <w:t xml:space="preserve">ir </w:t>
      </w:r>
      <w:r w:rsidRPr="00DC6F9E">
        <w:t xml:space="preserve">savs saturs un </w:t>
      </w:r>
      <w:r>
        <w:t xml:space="preserve">portāla struktūras, kā arī </w:t>
      </w:r>
      <w:r w:rsidRPr="00DC6F9E">
        <w:t>izskata pielāgojumi</w:t>
      </w:r>
      <w:r w:rsidRPr="0091606E">
        <w:t>;</w:t>
      </w:r>
    </w:p>
    <w:p w:rsidR="0049698D" w:rsidRPr="0091606E" w:rsidRDefault="0049698D" w:rsidP="0049698D">
      <w:pPr>
        <w:pStyle w:val="ISBulletText"/>
      </w:pPr>
      <w:r>
        <w:t>Pakalpojumu sniegšanas un pārvaldības</w:t>
      </w:r>
      <w:r w:rsidRPr="0091606E">
        <w:t xml:space="preserve"> platformas gadījumā </w:t>
      </w:r>
      <w:r>
        <w:t xml:space="preserve">iestāžu darbinieki veic </w:t>
      </w:r>
      <w:r w:rsidRPr="0091606E">
        <w:t>pakalpojumu aprakstīšanu, ieskaitot darba plūsm</w:t>
      </w:r>
      <w:r>
        <w:t>u</w:t>
      </w:r>
      <w:r w:rsidRPr="0091606E">
        <w:t xml:space="preserve"> definēšanu, zināšanu bāzes izveidošanu;</w:t>
      </w:r>
    </w:p>
    <w:p w:rsidR="0049698D" w:rsidRDefault="0049698D" w:rsidP="0049698D">
      <w:pPr>
        <w:pStyle w:val="ISBulletText"/>
      </w:pPr>
      <w:r>
        <w:t>D</w:t>
      </w:r>
      <w:r w:rsidRPr="00E20E07">
        <w:t>atu izplatīšanas platforma</w:t>
      </w:r>
      <w:r>
        <w:t xml:space="preserve"> nodrošina vienotus rīkus</w:t>
      </w:r>
      <w:r w:rsidRPr="00E20E07">
        <w:t xml:space="preserve"> datu aprakstīšanai un izplatīšanas atbalstam, bet iestāžu darbinieki ir tie, kas definē datu kopas, licences, maksu, izplatīšanas parametrus utml.</w:t>
      </w:r>
      <w:r>
        <w:t xml:space="preserve"> </w:t>
      </w:r>
    </w:p>
    <w:p w:rsidR="0049698D" w:rsidRPr="00C47A17" w:rsidRDefault="0049698D" w:rsidP="0049698D">
      <w:pPr>
        <w:pStyle w:val="ISBodyText"/>
      </w:pPr>
      <w:r w:rsidRPr="001B3987">
        <w:t>Centralizēto platformu decentralizētas pārvaldības princip</w:t>
      </w:r>
      <w:r>
        <w:t xml:space="preserve">a ievērošana </w:t>
      </w:r>
      <w:r w:rsidRPr="001B3987">
        <w:t>nodrošin</w:t>
      </w:r>
      <w:r>
        <w:t>ās</w:t>
      </w:r>
      <w:r w:rsidRPr="001B3987">
        <w:t xml:space="preserve">, ka </w:t>
      </w:r>
      <w:r>
        <w:t>platformas</w:t>
      </w:r>
      <w:r w:rsidRPr="001B3987">
        <w:t xml:space="preserve"> izmantojošās i</w:t>
      </w:r>
      <w:r w:rsidR="00C92386">
        <w:t xml:space="preserve">nstitūcijas (tajā skaitā – pašvaldības) </w:t>
      </w:r>
      <w:r w:rsidRPr="001B3987">
        <w:t>var</w:t>
      </w:r>
      <w:r>
        <w:t>ēs</w:t>
      </w:r>
      <w:r w:rsidRPr="001B3987">
        <w:t xml:space="preserve"> justies kā šo platformu pilnvērtīgi saimnieki, pilnībā pārvaldot izmanto platform</w:t>
      </w:r>
      <w:r>
        <w:t>u</w:t>
      </w:r>
      <w:r w:rsidRPr="001B3987">
        <w:t xml:space="preserve"> funkcionalitāti un/vai tajā izvietoto saturu. Cieša sadarbība ar platformas tehnisko turētāju (platformas, kā koplietošanas valsts informācijas sistēmas pārvaldnieku) un pārējiem platformas lietotājiem ir nepieciešama tikai platformas kopējās attīstības jautājumos. </w:t>
      </w:r>
      <w:r>
        <w:t>Centralizēto platformu intensīvāka izmantošana samazinās kopējās IKT izmaksas, unificēs saskarnes un sadarbības procesus ar ārējiem lietotājiem.</w:t>
      </w:r>
      <w:r w:rsidR="00F04F16">
        <w:t xml:space="preserve"> Atkarībā no platformas specifikas, pienākumu un atbildību sadalījuma nianses dažādām platformām var atšķirties.</w:t>
      </w:r>
      <w:r>
        <w:t xml:space="preserve"> </w:t>
      </w:r>
    </w:p>
    <w:p w:rsidR="00E95D38" w:rsidRPr="004D70BE" w:rsidRDefault="00E95D38" w:rsidP="00E95D38">
      <w:pPr>
        <w:pStyle w:val="Princips"/>
      </w:pPr>
      <w:bookmarkStart w:id="127" w:name="_Toc405912599"/>
      <w:bookmarkStart w:id="128" w:name="_Toc410147021"/>
      <w:r>
        <w:t>Platformu attīstība un ieviešana kopā ar to izmantošanas projektiem</w:t>
      </w:r>
      <w:bookmarkEnd w:id="127"/>
      <w:bookmarkEnd w:id="128"/>
    </w:p>
    <w:p w:rsidR="00E95D38" w:rsidRPr="00332004" w:rsidRDefault="00E95D38" w:rsidP="00E95D38">
      <w:pPr>
        <w:pStyle w:val="ISBodyText"/>
      </w:pPr>
      <w:r w:rsidRPr="00332004">
        <w:t>Centralizēto platformu funkcionālās papildināšanas iespējas būtiski ietekmē to pielietojamību un līdz ar to izmantošanas intensitāti un tās ekonomisko atdevi. Lai noņemtu šķēršļus platformu funkcionālās papildināšanas iespējām un šo papildināšanu varētu veikt pēc iespējas plašāks izstrādātāju loks (pēc iespējas, pat neatkarīgi no viņu izmantotajām tehnoloģiskajām izstrādes platformām), centralizētās platformas tiks attīstītas tā, lai tās nodrošinātu paplašināšanas iespējas vismaz vienā no šādiem veidiem:</w:t>
      </w:r>
    </w:p>
    <w:p w:rsidR="00E95D38" w:rsidRPr="00332004" w:rsidRDefault="00E95D38" w:rsidP="00E95D38">
      <w:pPr>
        <w:pStyle w:val="ISBulletText"/>
      </w:pPr>
      <w:r w:rsidRPr="00332004">
        <w:lastRenderedPageBreak/>
        <w:t>Izmantojot uz atvērtiem standartiem balstītus risinājumus (platforma var izmantot citus komponentus savā darbā, šo komponentu pievienošana/izsaukšana, izmantojot uz atvērtiem standartiem balstītu mehānismu);</w:t>
      </w:r>
    </w:p>
    <w:p w:rsidR="00E95D38" w:rsidRPr="00332004" w:rsidRDefault="00E95D38" w:rsidP="00E95D38">
      <w:pPr>
        <w:pStyle w:val="ISBulletText"/>
      </w:pPr>
      <w:r w:rsidRPr="00332004">
        <w:t>Deklaratīvi (piemēram, e-formas definēšana notiek konkrētai tehnoloģijai nepiesaistītā veidā);</w:t>
      </w:r>
    </w:p>
    <w:p w:rsidR="00E95D38" w:rsidRPr="00332004" w:rsidRDefault="00E95D38" w:rsidP="00E95D38">
      <w:pPr>
        <w:pStyle w:val="ISBulletText"/>
      </w:pPr>
      <w:r w:rsidRPr="00332004">
        <w:t xml:space="preserve">Nodrošinot vairākas tehnoloģiskās alternatīvas, kas ir </w:t>
      </w:r>
      <w:r w:rsidRPr="00332004">
        <w:rPr>
          <w:i/>
        </w:rPr>
        <w:t>de facto</w:t>
      </w:r>
      <w:r w:rsidRPr="00332004">
        <w:t xml:space="preserve"> populārākās Latvijas tirgū.</w:t>
      </w:r>
    </w:p>
    <w:p w:rsidR="00C92386" w:rsidRDefault="00C92386" w:rsidP="00E95D38">
      <w:pPr>
        <w:pStyle w:val="ISBodyText"/>
      </w:pPr>
      <w:r w:rsidRPr="00C92386">
        <w:t>Lai nodrošinātu centralizēto platformu pieejamību un izmantošanu pēc iespējas plašākam lietotāju lokam, centralizētās platformas tiks attīstītas, to projektēšanā, attīstībā un uzturēšanā iesaistot publiskās pārvaldes institūcijas</w:t>
      </w:r>
      <w:r w:rsidR="00547238">
        <w:t xml:space="preserve"> (</w:t>
      </w:r>
      <w:r w:rsidR="00547238" w:rsidRPr="00C92386">
        <w:t>tajā skaitā pašvaldības</w:t>
      </w:r>
      <w:r w:rsidR="00547238">
        <w:t xml:space="preserve">), </w:t>
      </w:r>
      <w:r>
        <w:t>to potenciālās lietotājas</w:t>
      </w:r>
      <w:r w:rsidR="00547238">
        <w:t>.</w:t>
      </w:r>
      <w:r w:rsidRPr="00C92386">
        <w:t xml:space="preserve"> </w:t>
      </w:r>
    </w:p>
    <w:p w:rsidR="00E95D38" w:rsidRPr="00332004" w:rsidRDefault="00E95D38" w:rsidP="00E95D38">
      <w:pPr>
        <w:pStyle w:val="ISBodyText"/>
      </w:pPr>
      <w:r w:rsidRPr="00332004">
        <w:t>Lai paātrinātu pakalpojuma lietošanas novērtējuma ciklu (</w:t>
      </w:r>
      <w:r w:rsidRPr="00332004">
        <w:rPr>
          <w:i/>
        </w:rPr>
        <w:t>feedback loop</w:t>
      </w:r>
      <w:r w:rsidRPr="00332004">
        <w:t>) un samazinātu laika nobīdi starp platformas (vai tās būtiska papildinājuma) ieviešanu un tās izmantošanas uzsākšanu, centralizētu platformu ieviešanas projektu obligātai sastāvdaļai ir jābūt vairāku tās lietotāju (resoru/iestāžu) scenāriju realizēšana, nekavējoši, jau platformas attīstības projekta ietvaros iegūstot:</w:t>
      </w:r>
    </w:p>
    <w:p w:rsidR="00E95D38" w:rsidRPr="00332004" w:rsidRDefault="00E95D38" w:rsidP="00E95D38">
      <w:pPr>
        <w:pStyle w:val="ISBulletText"/>
      </w:pPr>
      <w:r w:rsidRPr="00332004">
        <w:t>Pārliecību par platformas darbspēju un atbilstību praktiskajām vajadzībām;</w:t>
      </w:r>
    </w:p>
    <w:p w:rsidR="00E95D38" w:rsidRPr="00332004" w:rsidRDefault="00E95D38" w:rsidP="00E95D38">
      <w:pPr>
        <w:pStyle w:val="ISBulletText"/>
      </w:pPr>
      <w:r w:rsidRPr="00332004">
        <w:t>No pirmās darbināšanas dienas strādājošus gala lietotājiem vai partneriem paredzētus risinājumus;</w:t>
      </w:r>
    </w:p>
    <w:p w:rsidR="00E95D38" w:rsidRPr="00332004" w:rsidRDefault="00E95D38" w:rsidP="00E95D38">
      <w:pPr>
        <w:pStyle w:val="ISBulletText"/>
      </w:pPr>
      <w:r w:rsidRPr="00332004">
        <w:t>Zināšanu nodošanu iestādēm</w:t>
      </w:r>
      <w:r w:rsidR="0082104A">
        <w:t xml:space="preserve"> </w:t>
      </w:r>
      <w:r w:rsidRPr="00332004">
        <w:t>-</w:t>
      </w:r>
      <w:r w:rsidR="0082104A">
        <w:t xml:space="preserve"> </w:t>
      </w:r>
      <w:r w:rsidRPr="00332004">
        <w:t>platformas izmantotājām turpmākai platformas izmantošanai.</w:t>
      </w:r>
    </w:p>
    <w:p w:rsidR="00E95D38" w:rsidRPr="0095451F" w:rsidRDefault="00E95D38" w:rsidP="00E95D38">
      <w:pPr>
        <w:pStyle w:val="ISBodySubhead2"/>
        <w:rPr>
          <w:i w:val="0"/>
          <w:u w:val="none"/>
        </w:rPr>
      </w:pPr>
      <w:r w:rsidRPr="0095451F">
        <w:rPr>
          <w:i w:val="0"/>
          <w:u w:val="none"/>
        </w:rPr>
        <w:t>Piedāvātā pieeja nodrošina šādus ieguvumus:</w:t>
      </w:r>
    </w:p>
    <w:p w:rsidR="00E95D38" w:rsidRPr="00332004" w:rsidRDefault="00E95D38" w:rsidP="00E95D38">
      <w:pPr>
        <w:pStyle w:val="ISBulletText"/>
      </w:pPr>
      <w:r w:rsidRPr="00332004">
        <w:t>Platformu papildināšanā var piedalīties lielāks izstrādātāju (piegādātāju) loks;</w:t>
      </w:r>
    </w:p>
    <w:p w:rsidR="00E95D38" w:rsidRPr="00332004" w:rsidRDefault="00E95D38" w:rsidP="00E95D38">
      <w:pPr>
        <w:pStyle w:val="ISBulletText"/>
      </w:pPr>
      <w:r w:rsidRPr="00332004">
        <w:t>Tiek atbalstītas dažādas izstrādes platformas, kas atbilst platformas definētām standarta saskarnēm;</w:t>
      </w:r>
    </w:p>
    <w:p w:rsidR="00E95D38" w:rsidRPr="00332004" w:rsidRDefault="00E95D38" w:rsidP="00E95D38">
      <w:pPr>
        <w:pStyle w:val="ISBulletText"/>
      </w:pPr>
      <w:r w:rsidRPr="00332004">
        <w:t>Ātrāka platformā izvietoto risinājumu attīstība;</w:t>
      </w:r>
    </w:p>
    <w:p w:rsidR="00E95D38" w:rsidRPr="00332004" w:rsidRDefault="00E95D38" w:rsidP="00E95D38">
      <w:pPr>
        <w:pStyle w:val="ISBulletText"/>
      </w:pPr>
      <w:r w:rsidRPr="00332004">
        <w:t>Prasības koplietošanas platformai vai pakalpojumam nav abstraktas, bet gan ļoti konkrētas;</w:t>
      </w:r>
    </w:p>
    <w:p w:rsidR="00E95D38" w:rsidRPr="00332004" w:rsidRDefault="00E95D38" w:rsidP="00E95D38">
      <w:pPr>
        <w:pStyle w:val="ISBulletText"/>
      </w:pPr>
      <w:r w:rsidRPr="00332004">
        <w:t>Jau izstrādes laikā notiek pilno scenāriju pārbaude, iesaistot tās iestāžu vai uzņēmēju sistēmas, kas platformas vai koplietošanas servisus izmantos;</w:t>
      </w:r>
    </w:p>
    <w:p w:rsidR="00E95D38" w:rsidRPr="00332004" w:rsidRDefault="00E95D38" w:rsidP="00E95D38">
      <w:pPr>
        <w:pStyle w:val="ISBulletText"/>
      </w:pPr>
      <w:r w:rsidRPr="00332004">
        <w:t>Platformas vai tās būtiska papildinājuma reāla izmantošana tiek uzsākta uzreiz pēc sistēmas ieviešanas;</w:t>
      </w:r>
    </w:p>
    <w:p w:rsidR="00E95D38" w:rsidRPr="00332004" w:rsidRDefault="00E95D38" w:rsidP="00E95D38">
      <w:pPr>
        <w:pStyle w:val="ISBulletText"/>
      </w:pPr>
      <w:r w:rsidRPr="00332004">
        <w:t xml:space="preserve">Iestādes tiek iesaistītas platformas vai pakalpojuma izstrādē, nodrošinot arī zināšanu nodošanu par veidojamo risinājumu. </w:t>
      </w:r>
      <w:bookmarkEnd w:id="76"/>
    </w:p>
    <w:p w:rsidR="007108CA" w:rsidRDefault="007108CA" w:rsidP="007108CA">
      <w:pPr>
        <w:pStyle w:val="ISHeading1"/>
      </w:pPr>
      <w:bookmarkStart w:id="129" w:name="_Toc410147022"/>
      <w:r>
        <w:lastRenderedPageBreak/>
        <w:t>IKT infrastruktūr</w:t>
      </w:r>
      <w:bookmarkEnd w:id="77"/>
      <w:bookmarkEnd w:id="78"/>
      <w:r>
        <w:t>a</w:t>
      </w:r>
      <w:bookmarkEnd w:id="129"/>
    </w:p>
    <w:p w:rsidR="007108CA" w:rsidRPr="00A04A40" w:rsidRDefault="007108CA" w:rsidP="007108CA">
      <w:pPr>
        <w:pStyle w:val="ISBodyText"/>
      </w:pPr>
      <w:r w:rsidRPr="00A04A40">
        <w:t xml:space="preserve">IKT infrastruktūra ir joma, kas mazāk par citām ir atkarīga no publiskās pārvaldes nozaru specifikas. Tāpēc tieši uz IKT infrastruktūru un IKT infrastruktūras pakalpojumiem vislielākajā mērā ir attiecināmi racionālas IKT pārvaldības procesu (4.3.) sadaļā formulētie principi P8., P10., P11. un P12. par standarta IKT pakalpojumu konsolidāciju, virzību uz pēc iespējas augstākas pievienotās vērtības pakalpojumiem, kā arī IKT komponentu un pakalpojumu standartizēšanu un iepirkumu centralizēšanu. Šajā sadaļā apkopoti konceptuālie principi, kas attiecināmi uz IKT infrastruktūras un IKT drošības organizatoriski tehnisko (ne procesu) nodrošinājumu.  </w:t>
      </w:r>
    </w:p>
    <w:p w:rsidR="007108CA" w:rsidRDefault="007108CA" w:rsidP="007108CA">
      <w:pPr>
        <w:pStyle w:val="ISBodyText"/>
      </w:pPr>
      <w:r w:rsidRPr="00A04A40">
        <w:t>Latvijas publiskās pārvaldes konceptuālā arhitektūra IKT infrastruktūras jomā balstās uz publiskās pārvaldes loģiski vienotā datu centra konceptu</w:t>
      </w:r>
      <w:r w:rsidRPr="005A1118">
        <w:t>, kas nosaka, ka visi valsts svarīgākie informācijas resursi un informācijas sistēmas tiek koncentrētas loģiski vienotā, bet fiziski sadalītā (ar rezervēšanu ārzemēs) datu centrā, kuram ar vienota valsts datu pārraides tīkla un vienotas drošības platformas palīdzību tiek nodrošināta īpaši droša ārējā perimetra aizsardzība.</w:t>
      </w:r>
    </w:p>
    <w:p w:rsidR="009A2DF1" w:rsidRDefault="0082104A" w:rsidP="005715C2">
      <w:pPr>
        <w:pStyle w:val="ISBodyText"/>
      </w:pPr>
      <w:r>
        <w:t>Latvijas publiskās pārvaldes IKT infrastruktūras ieviešanas un izmantošanas atbalstu reģionos nodrošinot pašvaldību I</w:t>
      </w:r>
      <w:r w:rsidR="000A7D03">
        <w:t>K</w:t>
      </w:r>
      <w:r>
        <w:t xml:space="preserve">T kompetenču centros (atbilstoši </w:t>
      </w:r>
      <w:r w:rsidR="000A7D03">
        <w:t xml:space="preserve">principam </w:t>
      </w:r>
      <w:r>
        <w:t xml:space="preserve">P11), būtu racionāli jāizmanto šajos kompetenču centros pieejamā IKT infrastruktūra, tai skaitā datu centri (piemēram, izmantojot šos </w:t>
      </w:r>
      <w:r w:rsidR="000A7D03">
        <w:t>datu centrus</w:t>
      </w:r>
      <w:r w:rsidR="009A2DF1">
        <w:t xml:space="preserve"> programmatūras</w:t>
      </w:r>
      <w:r>
        <w:t xml:space="preserve"> un virtualizētu serveru</w:t>
      </w:r>
      <w:r w:rsidR="009A2DF1">
        <w:t xml:space="preserve"> izvietošanai</w:t>
      </w:r>
      <w:r>
        <w:t xml:space="preserve"> datorzinību un programmēšanas pamatu apmācībai vispārizglītojošajās un profesionālajās skolās)</w:t>
      </w:r>
      <w:r w:rsidR="000A7D03">
        <w:t xml:space="preserve">. </w:t>
      </w:r>
      <w:r w:rsidR="009A2DF1">
        <w:t>Plānojot pašvaldību IKT kompetenču centros pieejamās IKT infrastruktūras attīstību, tā jāskata kontekstā ar kopējo publiskās pārvaldes IKT infrastruktūras attīstības vīziju un 4.3. sadaļā formulētajiem principiem.</w:t>
      </w:r>
    </w:p>
    <w:p w:rsidR="007108CA" w:rsidRDefault="007108CA" w:rsidP="007108CA">
      <w:pPr>
        <w:pStyle w:val="ISBodyText"/>
      </w:pPr>
      <w:r w:rsidRPr="00A04A40">
        <w:t xml:space="preserve">Attiecībā uz klientu gala iekārtām, konceptuālā arhitektūra uzsver to kvalitātes un daudzveidības prasību pieaugumu publiskajai pārvaldei pārejot uz pilnībā elektronizētiem darba procesiem. </w:t>
      </w:r>
    </w:p>
    <w:p w:rsidR="007108CA" w:rsidRPr="00A267A3" w:rsidRDefault="007108CA" w:rsidP="007108CA">
      <w:pPr>
        <w:pStyle w:val="ISBodySubhead2"/>
        <w:rPr>
          <w:i w:val="0"/>
          <w:u w:val="none"/>
        </w:rPr>
      </w:pPr>
      <w:r w:rsidRPr="00EC0100">
        <w:rPr>
          <w:b/>
          <w:i w:val="0"/>
          <w:u w:val="none"/>
        </w:rPr>
        <w:t xml:space="preserve">Arhitektūras principu piemērošana IKT attīstības programmām un projektiem </w:t>
      </w:r>
      <w:r w:rsidRPr="00EC0100">
        <w:rPr>
          <w:i w:val="0"/>
          <w:u w:val="none"/>
        </w:rPr>
        <w:t>V</w:t>
      </w:r>
      <w:r>
        <w:rPr>
          <w:i w:val="0"/>
          <w:u w:val="none"/>
        </w:rPr>
        <w:t xml:space="preserve">isi IKT infrastruktūras arhitektūras principi tiešā veidā ir piemērojami visām publiskās pārvaldes IKT attīstības programmām un projektiem. Programmas vai projekti var būt tieši </w:t>
      </w:r>
      <w:r w:rsidRPr="007303FA">
        <w:t>principus realizējoši</w:t>
      </w:r>
      <w:r>
        <w:rPr>
          <w:i w:val="0"/>
          <w:u w:val="none"/>
        </w:rPr>
        <w:t xml:space="preserve">, ja tie ir attiecīgo infrastruktūru attīstības projekti vai arī </w:t>
      </w:r>
      <w:r w:rsidRPr="007303FA">
        <w:t>principiem atbilstoši</w:t>
      </w:r>
      <w:r>
        <w:rPr>
          <w:i w:val="0"/>
          <w:u w:val="none"/>
        </w:rPr>
        <w:t xml:space="preserve">, ja projektu ietvaros izstrādājamie risinājumi (informācijas sistēmas) izmantos vai varēs izmantot koplietošanas IKT infrastruktūru un gala iekārtas, atbilstoši gala iekārtu daudzveidības un mobilitātes principam. Par arhitektūras </w:t>
      </w:r>
      <w:r w:rsidRPr="007303FA">
        <w:t>principiem neatbilstošu</w:t>
      </w:r>
      <w:r>
        <w:rPr>
          <w:i w:val="0"/>
          <w:u w:val="none"/>
        </w:rPr>
        <w:t xml:space="preserve"> (izņēmumu gadījumos īpaši pamatojamu) tiks uzskatīta alternatīvu, nesa</w:t>
      </w:r>
      <w:r w:rsidRPr="005A1118">
        <w:rPr>
          <w:i w:val="0"/>
          <w:iCs w:val="0"/>
          <w:szCs w:val="18"/>
          <w:u w:val="none"/>
        </w:rPr>
        <w:t>vietojamu vai dublējošu IKT infrastruktūras risinājumu izstrāde, kā arī ar koplietošanas infrastruktūru nesavietojamu</w:t>
      </w:r>
      <w:r>
        <w:rPr>
          <w:i w:val="0"/>
          <w:u w:val="none"/>
        </w:rPr>
        <w:t xml:space="preserve"> informācijas sistēmu izstrāde. </w:t>
      </w:r>
      <w:r w:rsidRPr="00A267A3">
        <w:rPr>
          <w:i w:val="0"/>
          <w:u w:val="none"/>
        </w:rPr>
        <w:t xml:space="preserve"> </w:t>
      </w:r>
    </w:p>
    <w:p w:rsidR="007108CA" w:rsidRPr="005A1118" w:rsidRDefault="007108CA" w:rsidP="007108CA">
      <w:pPr>
        <w:pStyle w:val="Princips"/>
      </w:pPr>
      <w:bookmarkStart w:id="130" w:name="_Toc410147023"/>
      <w:r w:rsidRPr="005A1118">
        <w:t>Loģiski vienots datu centrs</w:t>
      </w:r>
      <w:bookmarkEnd w:id="130"/>
      <w:r w:rsidRPr="005A1118">
        <w:t xml:space="preserve"> </w:t>
      </w:r>
    </w:p>
    <w:p w:rsidR="003061F1" w:rsidRPr="009412ED" w:rsidRDefault="003061F1" w:rsidP="009412ED">
      <w:pPr>
        <w:spacing w:before="120" w:after="120"/>
        <w:ind w:right="28"/>
        <w:jc w:val="both"/>
        <w:rPr>
          <w:rFonts w:eastAsia="MS Mincho" w:cs="Segoe UI"/>
          <w:szCs w:val="18"/>
          <w:lang w:eastAsia="lv-LV"/>
        </w:rPr>
      </w:pPr>
      <w:r w:rsidRPr="009412ED">
        <w:rPr>
          <w:rFonts w:eastAsia="MS Mincho" w:cs="Segoe UI"/>
          <w:szCs w:val="18"/>
          <w:lang w:eastAsia="lv-LV"/>
        </w:rPr>
        <w:t>Loģiski vienotais publiskās pārvaldes datu centrs tiks veidots no vairākiem datu centriem dažādās atrašanās vietās, izmantojot tās investīcijas datu centru izveidē, kas dažādās valsts nozarēs pēdējā laikā jau veiktas. Infrastruktūras un datu dublēšanai tiks izveidots rezerves datu centrs ārvalstīs</w:t>
      </w:r>
      <w:r w:rsidR="005A1118" w:rsidRPr="009412ED">
        <w:rPr>
          <w:rFonts w:eastAsia="MS Mincho" w:cs="Segoe UI"/>
          <w:szCs w:val="18"/>
          <w:lang w:eastAsia="lv-LV"/>
        </w:rPr>
        <w:t>.</w:t>
      </w:r>
      <w:r w:rsidRPr="009412ED">
        <w:rPr>
          <w:rFonts w:eastAsia="MS Mincho" w:cs="Segoe UI"/>
          <w:szCs w:val="18"/>
          <w:lang w:eastAsia="lv-LV"/>
        </w:rPr>
        <w:t xml:space="preserve"> </w:t>
      </w:r>
    </w:p>
    <w:p w:rsidR="003061F1" w:rsidRPr="009412ED" w:rsidRDefault="003061F1" w:rsidP="009412ED">
      <w:pPr>
        <w:spacing w:before="120" w:after="120"/>
        <w:ind w:right="28"/>
        <w:jc w:val="both"/>
        <w:rPr>
          <w:rFonts w:eastAsia="MS Mincho" w:cs="Segoe UI"/>
          <w:szCs w:val="18"/>
          <w:lang w:eastAsia="lv-LV"/>
        </w:rPr>
      </w:pPr>
      <w:r w:rsidRPr="009412ED">
        <w:rPr>
          <w:rFonts w:eastAsia="MS Mincho" w:cs="Segoe UI"/>
          <w:szCs w:val="18"/>
          <w:lang w:eastAsia="lv-LV"/>
        </w:rPr>
        <w:t>IKT infrastruktūras pakalpojumi tiek nodrošināti, izmantojot dažādus resursus:</w:t>
      </w:r>
    </w:p>
    <w:p w:rsidR="003061F1" w:rsidRPr="009412ED" w:rsidRDefault="003061F1" w:rsidP="004D0A76">
      <w:pPr>
        <w:pStyle w:val="ISBulletText"/>
      </w:pPr>
      <w:r w:rsidRPr="009412ED">
        <w:t>Pašas institūcijas serverus, DC u.c. resursus;</w:t>
      </w:r>
    </w:p>
    <w:p w:rsidR="003061F1" w:rsidRPr="009412ED" w:rsidRDefault="003061F1" w:rsidP="004D0A76">
      <w:pPr>
        <w:pStyle w:val="ISBulletText"/>
      </w:pPr>
      <w:r w:rsidRPr="009412ED">
        <w:t>Esošos citu resoru/iestāžu DC u.c. resursus;</w:t>
      </w:r>
    </w:p>
    <w:p w:rsidR="003061F1" w:rsidRPr="009412ED" w:rsidRDefault="003061F1" w:rsidP="004D0A76">
      <w:pPr>
        <w:pStyle w:val="ISBulletText"/>
      </w:pPr>
      <w:r w:rsidRPr="009412ED">
        <w:t>Privāto komersantu piedāvātos resursus/pakalpojumus;</w:t>
      </w:r>
    </w:p>
    <w:p w:rsidR="003061F1" w:rsidRPr="009412ED" w:rsidRDefault="003061F1" w:rsidP="004D0A76">
      <w:pPr>
        <w:pStyle w:val="ISBulletText"/>
      </w:pPr>
      <w:r w:rsidRPr="009412ED">
        <w:t>Mākoņpakalpojumus.</w:t>
      </w:r>
    </w:p>
    <w:p w:rsidR="003061F1" w:rsidRPr="009412ED" w:rsidRDefault="003061F1" w:rsidP="009412ED">
      <w:pPr>
        <w:spacing w:before="120" w:after="120"/>
        <w:ind w:right="28"/>
        <w:jc w:val="both"/>
        <w:rPr>
          <w:rFonts w:eastAsia="MS Mincho" w:cs="Segoe UI"/>
          <w:szCs w:val="18"/>
          <w:lang w:eastAsia="lv-LV"/>
        </w:rPr>
      </w:pPr>
      <w:r w:rsidRPr="009412ED">
        <w:rPr>
          <w:rFonts w:eastAsia="MS Mincho" w:cs="Segoe UI"/>
          <w:szCs w:val="18"/>
          <w:lang w:eastAsia="lv-LV"/>
        </w:rPr>
        <w:lastRenderedPageBreak/>
        <w:t>Tas var iekļaut sevī arī privātu uzņēmēju fizisko datu centru daļas, kurās var tikt izvietota daļa no pakalpojumiem vai infrastruktūras. Šinī gadījumā tiks nodrošināta centralizēta datu centra izvietošanas ārpakalpojumu iegāde, t.sk. ietvara līgumu slēgšana.</w:t>
      </w:r>
    </w:p>
    <w:p w:rsidR="003061F1" w:rsidRPr="009412ED" w:rsidRDefault="003061F1" w:rsidP="009412ED">
      <w:pPr>
        <w:spacing w:before="120" w:after="120"/>
        <w:jc w:val="both"/>
        <w:rPr>
          <w:rFonts w:eastAsia="MS Mincho" w:cs="Segoe UI"/>
          <w:bCs/>
          <w:szCs w:val="22"/>
        </w:rPr>
      </w:pPr>
      <w:r w:rsidRPr="009412ED">
        <w:rPr>
          <w:rFonts w:eastAsia="MS Mincho" w:cs="Segoe UI"/>
          <w:bCs/>
          <w:szCs w:val="22"/>
        </w:rPr>
        <w:t>Vienotais datu centrs satur vairākus fiziski netālu novietotus un infrastruktūras ziņā labi savienotus centrus, lai nodrošinātu iespējas veidot vairāku aktīvu instanču risinājumus, kas vienlaicīgi darbojas vismaz divos datu centros. Savienojumam starp šiem datu centriem jābūt tādam, lai nodrošinātu liela apjoma datu pārraidi ar zemu tīkla aizturi (</w:t>
      </w:r>
      <w:r w:rsidRPr="009412ED">
        <w:rPr>
          <w:rFonts w:eastAsia="MS Mincho" w:cs="Segoe UI"/>
          <w:bCs/>
          <w:i/>
          <w:szCs w:val="22"/>
        </w:rPr>
        <w:t>latency</w:t>
      </w:r>
      <w:r w:rsidRPr="009412ED">
        <w:rPr>
          <w:rFonts w:eastAsia="MS Mincho" w:cs="Segoe UI"/>
          <w:bCs/>
          <w:szCs w:val="22"/>
        </w:rPr>
        <w:t xml:space="preserve">). Šie divi fiziskie datu centri ir papildināti ar vismaz vienu attālinātu datu centru ārpus Latvijas robežām, kas kalpo par rezervi gadījumos, kad abi primārie nosacīti tuvu atrodošies datu centri tiek bojāti vai padarīti nepieejami, piemēram, plūdu rezultātā. Shematiski loģiski vienotā publiskās pārvaldes datu centra risinājums, identificējot arī iespējamos/ieteiktos attālumus un nepieciešamos tehnoloģiskos risinājumus, ir ilustrēts </w:t>
      </w:r>
      <w:r w:rsidR="002B2868">
        <w:rPr>
          <w:rFonts w:eastAsia="MS Mincho" w:cs="Segoe UI"/>
          <w:bCs/>
          <w:szCs w:val="22"/>
        </w:rPr>
        <w:t xml:space="preserve">24. </w:t>
      </w:r>
      <w:r w:rsidRPr="009412ED">
        <w:rPr>
          <w:rFonts w:eastAsia="MS Mincho" w:cs="Segoe UI"/>
          <w:bCs/>
          <w:szCs w:val="22"/>
        </w:rPr>
        <w:t>attēlā zemāk.</w:t>
      </w:r>
    </w:p>
    <w:p w:rsidR="003061F1" w:rsidRPr="009412ED" w:rsidRDefault="003061F1" w:rsidP="009412ED">
      <w:pPr>
        <w:spacing w:before="120" w:after="120"/>
        <w:jc w:val="center"/>
        <w:rPr>
          <w:rFonts w:eastAsia="MS Mincho" w:cs="Segoe UI"/>
          <w:bCs/>
          <w:szCs w:val="22"/>
        </w:rPr>
      </w:pPr>
      <w:r w:rsidRPr="009412ED">
        <w:rPr>
          <w:rFonts w:eastAsia="MS Mincho" w:cs="Segoe UI"/>
          <w:bCs/>
          <w:noProof/>
          <w:szCs w:val="22"/>
          <w:lang w:eastAsia="lv-LV"/>
        </w:rPr>
        <w:drawing>
          <wp:inline distT="0" distB="0" distL="0" distR="0">
            <wp:extent cx="5061388" cy="4381500"/>
            <wp:effectExtent l="0" t="0" r="6350" b="0"/>
            <wp:docPr id="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69624" cy="4388629"/>
                    </a:xfrm>
                    <a:prstGeom prst="rect">
                      <a:avLst/>
                    </a:prstGeom>
                    <a:noFill/>
                    <a:ln>
                      <a:noFill/>
                    </a:ln>
                  </pic:spPr>
                </pic:pic>
              </a:graphicData>
            </a:graphic>
          </wp:inline>
        </w:drawing>
      </w:r>
    </w:p>
    <w:p w:rsidR="003061F1" w:rsidRPr="009412ED" w:rsidRDefault="002B2868" w:rsidP="009412ED">
      <w:pPr>
        <w:spacing w:before="60" w:after="60"/>
        <w:jc w:val="center"/>
        <w:rPr>
          <w:b/>
          <w:bCs/>
          <w:sz w:val="20"/>
        </w:rPr>
      </w:pPr>
      <w:r>
        <w:rPr>
          <w:b/>
          <w:bCs/>
          <w:sz w:val="20"/>
        </w:rPr>
        <w:t>24</w:t>
      </w:r>
      <w:r w:rsidR="003061F1" w:rsidRPr="009412ED">
        <w:rPr>
          <w:b/>
          <w:bCs/>
          <w:sz w:val="20"/>
        </w:rPr>
        <w:t>. attēls. Loģiski vienotais publiskās pārvaldes datu centrs.</w:t>
      </w:r>
    </w:p>
    <w:p w:rsidR="003061F1" w:rsidRDefault="003061F1" w:rsidP="009412ED">
      <w:pPr>
        <w:spacing w:before="120" w:after="120"/>
        <w:jc w:val="both"/>
        <w:rPr>
          <w:rFonts w:eastAsia="MS Mincho" w:cs="Segoe UI"/>
          <w:bCs/>
          <w:szCs w:val="22"/>
        </w:rPr>
      </w:pPr>
      <w:r w:rsidRPr="009412ED">
        <w:rPr>
          <w:rFonts w:eastAsia="MS Mincho" w:cs="Segoe UI"/>
          <w:bCs/>
          <w:szCs w:val="22"/>
        </w:rPr>
        <w:t>Trešo pušu un publiskās pārvaldes iestāžu datu centri kā bāzes infrastruktūra daļēji var tikt iekļauta pa tiešo loģiski vienotā publiskās pārvaldes datu centra infrastruktūrā kā to daļa, bet ir iespējami arī gadījumi, kad trešās puses nodrošina visu konkrēto infrastruktūras pakalpojumu – šinī gadījumā tas var tikt nodrošināts pa tiešo no trešo pušu datu centra.</w:t>
      </w:r>
      <w:r w:rsidR="005715C2">
        <w:rPr>
          <w:rFonts w:eastAsia="MS Mincho" w:cs="Segoe UI"/>
          <w:bCs/>
          <w:szCs w:val="22"/>
        </w:rPr>
        <w:t xml:space="preserve"> Piemēram</w:t>
      </w:r>
      <w:r w:rsidR="005715C2" w:rsidRPr="005715C2">
        <w:rPr>
          <w:rFonts w:eastAsia="MS Mincho" w:cs="Segoe UI"/>
          <w:bCs/>
          <w:szCs w:val="22"/>
        </w:rPr>
        <w:t>, pašvaldību un citu publiskās pārvaldes institūciju darbam nepieciešamos resursus var nodrošināt arī reģionāli pašvaldību I</w:t>
      </w:r>
      <w:r w:rsidR="00C836CE">
        <w:rPr>
          <w:rFonts w:eastAsia="MS Mincho" w:cs="Segoe UI"/>
          <w:bCs/>
          <w:szCs w:val="22"/>
        </w:rPr>
        <w:t>K</w:t>
      </w:r>
      <w:r w:rsidR="005715C2" w:rsidRPr="005715C2">
        <w:rPr>
          <w:rFonts w:eastAsia="MS Mincho" w:cs="Segoe UI"/>
          <w:bCs/>
          <w:szCs w:val="22"/>
        </w:rPr>
        <w:t>T resursu centri, kas var tikt veidoti uz pašreizējo pašvaldību I</w:t>
      </w:r>
      <w:r w:rsidR="00C836CE">
        <w:rPr>
          <w:rFonts w:eastAsia="MS Mincho" w:cs="Segoe UI"/>
          <w:bCs/>
          <w:szCs w:val="22"/>
        </w:rPr>
        <w:t>K</w:t>
      </w:r>
      <w:r w:rsidR="005715C2" w:rsidRPr="005715C2">
        <w:rPr>
          <w:rFonts w:eastAsia="MS Mincho" w:cs="Segoe UI"/>
          <w:bCs/>
          <w:szCs w:val="22"/>
        </w:rPr>
        <w:t>T kompetenču centru bāzes</w:t>
      </w:r>
      <w:r w:rsidR="005715C2">
        <w:rPr>
          <w:rFonts w:eastAsia="MS Mincho" w:cs="Segoe UI"/>
          <w:bCs/>
          <w:szCs w:val="22"/>
        </w:rPr>
        <w:t>.</w:t>
      </w:r>
    </w:p>
    <w:p w:rsidR="00AA1D8B" w:rsidRPr="003061F1" w:rsidRDefault="00AA1D8B" w:rsidP="009412ED">
      <w:pPr>
        <w:spacing w:before="120" w:after="120"/>
        <w:jc w:val="both"/>
        <w:rPr>
          <w:rFonts w:eastAsia="MS Mincho" w:cs="Segoe UI"/>
          <w:bCs/>
          <w:szCs w:val="22"/>
        </w:rPr>
      </w:pPr>
      <w:r>
        <w:rPr>
          <w:rFonts w:eastAsia="MS Mincho" w:cs="Segoe UI"/>
          <w:bCs/>
          <w:szCs w:val="22"/>
        </w:rPr>
        <w:t>Lai nodrošinātu loģiski vienotā datu centra risinājumu savietojamību, tā resursu attīstība tiks realizēta vienotas attīstības aktivitātes (projekta</w:t>
      </w:r>
      <w:r w:rsidR="00C836CE">
        <w:rPr>
          <w:rFonts w:eastAsia="MS Mincho" w:cs="Segoe UI"/>
          <w:bCs/>
          <w:szCs w:val="22"/>
        </w:rPr>
        <w:t xml:space="preserve"> vai programmas</w:t>
      </w:r>
      <w:r>
        <w:rPr>
          <w:rFonts w:eastAsia="MS Mincho" w:cs="Segoe UI"/>
          <w:bCs/>
          <w:szCs w:val="22"/>
        </w:rPr>
        <w:t xml:space="preserve">) ietvaros, kā partnerus </w:t>
      </w:r>
      <w:r w:rsidR="00EE299D">
        <w:rPr>
          <w:rFonts w:eastAsia="MS Mincho" w:cs="Segoe UI"/>
          <w:bCs/>
          <w:szCs w:val="22"/>
        </w:rPr>
        <w:t xml:space="preserve">pēc iespējas </w:t>
      </w:r>
      <w:r>
        <w:rPr>
          <w:rFonts w:eastAsia="MS Mincho" w:cs="Segoe UI"/>
          <w:bCs/>
          <w:szCs w:val="22"/>
        </w:rPr>
        <w:t xml:space="preserve">iesaistot visas ieinteresētās puses. Jaunu tehnoloģisku risinājumu ieviešana tiks uzsākta ar mazāka apjoma projektiem, neizraisot īpaši kritisku sistēmu nepieejamības riskus.  </w:t>
      </w:r>
    </w:p>
    <w:p w:rsidR="00007E19" w:rsidRPr="00E51B80" w:rsidRDefault="00007E19" w:rsidP="00007E19">
      <w:pPr>
        <w:pStyle w:val="Princips"/>
      </w:pPr>
      <w:bookmarkStart w:id="131" w:name="_Toc410147024"/>
      <w:bookmarkStart w:id="132" w:name="_Toc384377515"/>
      <w:r w:rsidRPr="00E51B80">
        <w:lastRenderedPageBreak/>
        <w:t>Vienots datu pārraides tīkls loģiski vienotā datu centra tvērumā</w:t>
      </w:r>
      <w:bookmarkEnd w:id="131"/>
    </w:p>
    <w:p w:rsidR="00007E19" w:rsidRPr="007E4A90" w:rsidRDefault="00007E19" w:rsidP="00007E19">
      <w:pPr>
        <w:pStyle w:val="ISBodyText"/>
      </w:pPr>
      <w:r w:rsidRPr="007E4A90">
        <w:t xml:space="preserve">Šobrīd datu pārraides tīkls starp valsts institūcijām ir fragmentēts, neelastīgs un </w:t>
      </w:r>
      <w:r w:rsidR="00020567">
        <w:t>tajā pastāv augstāki drošības riski</w:t>
      </w:r>
      <w:r w:rsidRPr="007E4A90">
        <w:t>, jo tiek izmantoti dažādi tīkla pakalpojumu sniedzēji un savienojumi bez vienotas pieejas un kopējiem drošības standartiem. Tīkla koplietošana ir sarežģīta un nav optimizēta, jo visbiežāk starp institūcijām tiek veidoti tiešie VPN (</w:t>
      </w:r>
      <w:r w:rsidRPr="007E4A90">
        <w:rPr>
          <w:i/>
        </w:rPr>
        <w:t>Virtual Private Network</w:t>
      </w:r>
      <w:r w:rsidRPr="007E4A90">
        <w:t>) tīkla savienojumi. Tas arī palielina kopējās izmaksas, jo ir nepieciešama papildus tīkla aparatūra.</w:t>
      </w:r>
    </w:p>
    <w:p w:rsidR="00007E19" w:rsidRPr="007E4A90" w:rsidRDefault="00007E19" w:rsidP="00007E19">
      <w:pPr>
        <w:pStyle w:val="ISBodyText"/>
      </w:pPr>
      <w:r w:rsidRPr="007E4A90">
        <w:t xml:space="preserve">Lai risinātu iepriekš minēto problēmu, konceptuālā arhitektūra paredz vienota datu pārraides tīkla ieviešanu loģiski vienotā datu centra </w:t>
      </w:r>
      <w:r>
        <w:t>tvēruma</w:t>
      </w:r>
      <w:r w:rsidRPr="007E4A90">
        <w:t xml:space="preserve"> ietvaros. Vienots valsts datu pārraides tīkls ir nepieciešams, lai nodrošinātu vienotu un drošu datu pārraidi starp institūcijām - datu centru un citu kritisko resursu savienošanai. Tas nodrošina savienojumu starp loģiski vienotā valsts datu centra fiziskajiem centriem Rīgas robežās, kā arī savienojumus uz ārzemju rezerves datu centriem. Savienojums starp šiem datu centriem nodrošina liela apjoma datu pārraidi ar zemu tīkla aizturi (</w:t>
      </w:r>
      <w:r w:rsidRPr="007E4A90">
        <w:rPr>
          <w:i/>
        </w:rPr>
        <w:t>latency</w:t>
      </w:r>
      <w:r w:rsidRPr="007E4A90">
        <w:t>).</w:t>
      </w:r>
      <w:r>
        <w:t xml:space="preserve"> </w:t>
      </w:r>
      <w:r w:rsidRPr="007E4A90">
        <w:t>Loģiski vienotais valsts datu pārraides tīkls ir:</w:t>
      </w:r>
    </w:p>
    <w:p w:rsidR="00007E19" w:rsidRPr="007E4A90" w:rsidRDefault="00007E19" w:rsidP="00007E19">
      <w:pPr>
        <w:pStyle w:val="ISBulletText"/>
      </w:pPr>
      <w:r w:rsidRPr="007E4A90">
        <w:t xml:space="preserve">Vienota, integrēta tīkla infrastruktūra, ko </w:t>
      </w:r>
      <w:r>
        <w:t xml:space="preserve">nodrošina </w:t>
      </w:r>
      <w:r w:rsidRPr="007E4A90">
        <w:t xml:space="preserve">vairāki iepriekš izvēlēti (akreditēti) tīkla </w:t>
      </w:r>
      <w:r>
        <w:t>pakalpojumu sniedzēji, balstoties uz ilgtermiņa pakalpojumu piegādes līgumiem</w:t>
      </w:r>
      <w:r w:rsidRPr="007E4A90">
        <w:t>;</w:t>
      </w:r>
    </w:p>
    <w:p w:rsidR="00007E19" w:rsidRPr="007E4A90" w:rsidRDefault="00007E19" w:rsidP="00007E19">
      <w:pPr>
        <w:pStyle w:val="ISBulletText"/>
      </w:pPr>
      <w:r w:rsidRPr="007E4A90">
        <w:t>Valsts pārvaldes privāts tīklu tīkls, kas nodrošina drošības, pieejamības un elastības vajadzības;</w:t>
      </w:r>
    </w:p>
    <w:p w:rsidR="00007E19" w:rsidRPr="007E4A90" w:rsidRDefault="00007E19" w:rsidP="00007E19">
      <w:pPr>
        <w:pStyle w:val="ISBulletText"/>
      </w:pPr>
      <w:r w:rsidRPr="007E4A90">
        <w:t xml:space="preserve">Tas ir globāls, iekļaujot starptautiskos tīkla </w:t>
      </w:r>
      <w:r>
        <w:t>pakalpojumu sniedzējus</w:t>
      </w:r>
      <w:r w:rsidRPr="007E4A90">
        <w:t xml:space="preserve"> un valsts pārvaldes iestādes.</w:t>
      </w:r>
    </w:p>
    <w:p w:rsidR="00007E19" w:rsidRPr="007E4A90" w:rsidRDefault="00007E19" w:rsidP="00007E19">
      <w:pPr>
        <w:pStyle w:val="ISBodyText"/>
      </w:pPr>
      <w:r w:rsidRPr="007E4A90">
        <w:t>Faktiski to var uzskatīt par droša Interneta tīkla versiju, kas paredzēta valsts pārvaldei. Piekļuves kontrole tiek balstīta uz lietotāja identitāti, izmantoto iekārtu un tā atrašanās vietu. Tas nodrošina:</w:t>
      </w:r>
    </w:p>
    <w:p w:rsidR="00007E19" w:rsidRPr="007E4A90" w:rsidRDefault="00007E19" w:rsidP="00007E19">
      <w:pPr>
        <w:pStyle w:val="ISBulletText"/>
      </w:pPr>
      <w:r w:rsidRPr="007E4A90">
        <w:t>Pilnu (</w:t>
      </w:r>
      <w:r w:rsidRPr="007E4A90">
        <w:rPr>
          <w:i/>
        </w:rPr>
        <w:t>end-to-end</w:t>
      </w:r>
      <w:r w:rsidRPr="007E4A90">
        <w:t xml:space="preserve">) tīkla </w:t>
      </w:r>
      <w:r>
        <w:t>pakalpojum</w:t>
      </w:r>
      <w:r w:rsidRPr="007E4A90">
        <w:t xml:space="preserve">u pieejamību un to pārvaldību neatkarīgi no </w:t>
      </w:r>
      <w:r>
        <w:t>pakalpojumu sniedzēju</w:t>
      </w:r>
      <w:r w:rsidRPr="007E4A90">
        <w:t xml:space="preserve"> skaita;</w:t>
      </w:r>
    </w:p>
    <w:p w:rsidR="00007E19" w:rsidRPr="007E4A90" w:rsidRDefault="00007E19" w:rsidP="00007E19">
      <w:pPr>
        <w:pStyle w:val="ISBulletText"/>
      </w:pPr>
      <w:r w:rsidRPr="007E4A90">
        <w:t xml:space="preserve">Publisko pakalpojumu </w:t>
      </w:r>
      <w:r>
        <w:t>sniegšana</w:t>
      </w:r>
      <w:r w:rsidRPr="007E4A90">
        <w:t>s vides un koplietošanas IKT servisu atbalstu;</w:t>
      </w:r>
    </w:p>
    <w:p w:rsidR="00007E19" w:rsidRPr="007E4A90" w:rsidRDefault="00007E19" w:rsidP="00007E19">
      <w:pPr>
        <w:pStyle w:val="ISBulletText"/>
      </w:pPr>
      <w:r w:rsidRPr="007E4A90">
        <w:t>Piekļuvi valsts informācijas resursiem, informācijas sistēmām, personu grupām un indivīdiem neatkarīgi no atrašanās vietas, iekārtas un tīkla;</w:t>
      </w:r>
    </w:p>
    <w:p w:rsidR="00007E19" w:rsidRDefault="00007E19" w:rsidP="00007E19">
      <w:pPr>
        <w:pStyle w:val="ISBulletText"/>
      </w:pPr>
      <w:r w:rsidRPr="007E4A90">
        <w:t>Vienotās tīklošanas (</w:t>
      </w:r>
      <w:r w:rsidRPr="007E4A90">
        <w:rPr>
          <w:i/>
        </w:rPr>
        <w:t>converged networking</w:t>
      </w:r>
      <w:r w:rsidRPr="007E4A90">
        <w:t xml:space="preserve">) pieeju, kas nozīmē, ka fiziski vairs netiks dalīti dažādi tīkli – gan telekomunikācijas, gan datu pārraide, gan saziņa starp serveriem un datu </w:t>
      </w:r>
      <w:r w:rsidR="00521F14">
        <w:t>kopām</w:t>
      </w:r>
      <w:r w:rsidRPr="007E4A90">
        <w:t xml:space="preserve"> fiziski notiek, izmantojot tās pašas ierīces un tīkla kabeļus, būtiski samazinot kopējās izmaksas un nodrošinot vienu centralizētu administrēšanu</w:t>
      </w:r>
      <w:r>
        <w:t>.</w:t>
      </w:r>
    </w:p>
    <w:p w:rsidR="004E0A14" w:rsidRDefault="004E0A14" w:rsidP="004E0A14">
      <w:pPr>
        <w:pStyle w:val="ISBulletText"/>
        <w:numPr>
          <w:ilvl w:val="0"/>
          <w:numId w:val="0"/>
        </w:numPr>
        <w:ind w:left="141"/>
      </w:pPr>
      <w:r>
        <w:t>Vienota datu pārraides tīkla izveidošana loģiski vienotā datu centra tvēruma ietvaros (savienojot tajā iesaistītos fiziskos datu centrus) neizslēdz iespēju saglabāt un pārejas periodā pat attīstīt alternatīvus</w:t>
      </w:r>
      <w:r w:rsidR="00C836CE">
        <w:t>,</w:t>
      </w:r>
      <w:r>
        <w:t xml:space="preserve"> papildus šobrīd izma</w:t>
      </w:r>
      <w:r w:rsidR="00C836CE">
        <w:t>n</w:t>
      </w:r>
      <w:r>
        <w:t xml:space="preserve">toto tehnoloģisko risinājumu (piemēram, specifisku datu krātuvju (SAN) atdalītu tīklu) nodrošinājumam nepieciešamus tīklošanas risinājumus loģiski vienotajā datu centrā iekļautos atsevišķos datu centros un starp tiem.  </w:t>
      </w:r>
    </w:p>
    <w:p w:rsidR="007108CA" w:rsidRPr="00007E19" w:rsidRDefault="007108CA" w:rsidP="007108CA">
      <w:pPr>
        <w:pStyle w:val="Princips"/>
      </w:pPr>
      <w:bookmarkStart w:id="133" w:name="_Toc410147025"/>
      <w:r w:rsidRPr="00007E19">
        <w:t>Vienota IKT drošības platforma</w:t>
      </w:r>
      <w:r w:rsidR="00B148E9" w:rsidRPr="00007E19">
        <w:t xml:space="preserve"> loģiski vienotā datu centra tvērumā</w:t>
      </w:r>
      <w:bookmarkEnd w:id="133"/>
    </w:p>
    <w:p w:rsidR="007108CA" w:rsidRDefault="007108CA" w:rsidP="007108CA">
      <w:pPr>
        <w:pStyle w:val="ISBodyText"/>
        <w:rPr>
          <w:lang w:eastAsia="lv-LV"/>
        </w:rPr>
      </w:pPr>
      <w:r>
        <w:rPr>
          <w:lang w:eastAsia="lv-LV"/>
        </w:rPr>
        <w:t xml:space="preserve">IKT drošības koplietošanas platforma ir paredzēta ielaušanās </w:t>
      </w:r>
      <w:r w:rsidR="00007E19">
        <w:rPr>
          <w:lang w:eastAsia="lv-LV"/>
        </w:rPr>
        <w:t>profilaksei un atklāšanai</w:t>
      </w:r>
      <w:r>
        <w:rPr>
          <w:lang w:eastAsia="lv-LV"/>
        </w:rPr>
        <w:t xml:space="preserve"> nozīmīgākajiem publiskās pārvaldes IKT resursiem – pirmkārt, loģiski vienotā publiskās pārvaldes datu centra ietvaros.</w:t>
      </w:r>
    </w:p>
    <w:p w:rsidR="007108CA" w:rsidRDefault="007108CA" w:rsidP="007108CA">
      <w:pPr>
        <w:pStyle w:val="ISBodyText"/>
        <w:rPr>
          <w:lang w:eastAsia="lv-LV"/>
        </w:rPr>
      </w:pPr>
      <w:r>
        <w:rPr>
          <w:lang w:eastAsia="lv-LV"/>
        </w:rPr>
        <w:t xml:space="preserve">Ielaušanās atklāšanas sistēmas (IAS) caurskata pilnīgi visus tām cauri izsūtītos datus un konstatē ielaušanos vai ielaušanās mēģinājumus. Šādos gadījumos tās izsūta paziņojumu administratoriem un/vai liedz pieeju turpmāk izmantot resursus. </w:t>
      </w:r>
      <w:r w:rsidRPr="005D31AD">
        <w:rPr>
          <w:lang w:eastAsia="lv-LV"/>
        </w:rPr>
        <w:t xml:space="preserve">Tā kā IAS var tikt novietota pirms ugunssienas (vai </w:t>
      </w:r>
      <w:r w:rsidRPr="005D31AD">
        <w:rPr>
          <w:lang w:eastAsia="lv-LV"/>
        </w:rPr>
        <w:lastRenderedPageBreak/>
        <w:t>arī apvienota ar ugunssienu, vispirms datus apstrādājot IAS, pēc tam ugunssienai), tad IAS ir iesp</w:t>
      </w:r>
      <w:r>
        <w:rPr>
          <w:lang w:eastAsia="lv-LV"/>
        </w:rPr>
        <w:t xml:space="preserve">ēja vērot pilnīgi visus </w:t>
      </w:r>
      <w:r w:rsidRPr="005D31AD">
        <w:rPr>
          <w:lang w:eastAsia="lv-LV"/>
        </w:rPr>
        <w:t>datus, kas plūst tai cauri, tādējādi iegūstot datus par pilnīgi visiem uzbrukumu mēģinājumiem</w:t>
      </w:r>
      <w:r>
        <w:rPr>
          <w:lang w:eastAsia="lv-LV"/>
        </w:rPr>
        <w:t>.</w:t>
      </w:r>
      <w:r w:rsidR="00007E19">
        <w:rPr>
          <w:lang w:eastAsia="lv-LV"/>
        </w:rPr>
        <w:t xml:space="preserve"> </w:t>
      </w:r>
      <w:r>
        <w:rPr>
          <w:lang w:eastAsia="lv-LV"/>
        </w:rPr>
        <w:t>IAS analizē tīkla datus pakešu līmenī un uzkrāj reālā laika uzbrukumu norises gaitu datubāzē, lai uzbrucējs nevarētu noslēpt pēdas. Š</w:t>
      </w:r>
      <w:r w:rsidR="00007E19">
        <w:rPr>
          <w:lang w:eastAsia="lv-LV"/>
        </w:rPr>
        <w:t xml:space="preserve">āda veida </w:t>
      </w:r>
      <w:r>
        <w:rPr>
          <w:lang w:eastAsia="lv-LV"/>
        </w:rPr>
        <w:t>pierādījumi var būt noderīgi tiesā, ja tiek izvirzīta apsūdzība uzbrucējam. IAS atklāj ielaušanās mēģinājumus reālajā laikā - brīdī, kad tie notiek, uzreiz tiek izsaukta trauksme.</w:t>
      </w:r>
      <w:r w:rsidR="00007E19">
        <w:rPr>
          <w:lang w:eastAsia="lv-LV"/>
        </w:rPr>
        <w:t xml:space="preserve"> </w:t>
      </w:r>
    </w:p>
    <w:p w:rsidR="00007E19" w:rsidRDefault="007108CA" w:rsidP="007108CA">
      <w:pPr>
        <w:pStyle w:val="ISBodyText"/>
        <w:rPr>
          <w:lang w:eastAsia="lv-LV"/>
        </w:rPr>
      </w:pPr>
      <w:r>
        <w:rPr>
          <w:lang w:eastAsia="lv-LV"/>
        </w:rPr>
        <w:t>Loģiski vienoto valsts datu pārraides tīklu ir vēlams veidot tādu, kuram ir minimāls skaits pieslēguma punktu Internet tīklam, lai būtu iespējams pēc iespējas efektīvi kontrolēt datu plūsmu caur to un veikt ielaušanās profilaksi un identificēšanu.</w:t>
      </w:r>
      <w:r w:rsidR="00007E19">
        <w:rPr>
          <w:lang w:eastAsia="lv-LV"/>
        </w:rPr>
        <w:t xml:space="preserve"> Šāda risinājuma galven</w:t>
      </w:r>
      <w:r w:rsidR="00C836CE">
        <w:rPr>
          <w:lang w:eastAsia="lv-LV"/>
        </w:rPr>
        <w:t>ais</w:t>
      </w:r>
      <w:r w:rsidR="00007E19">
        <w:rPr>
          <w:lang w:eastAsia="lv-LV"/>
        </w:rPr>
        <w:t xml:space="preserve"> izaicinājums ir milzīgais analizējamo datu apjoms un loģiski vienotajā datu centrā izvietoto risinājumu un informācijas resursu daudzveidība, kas apgrūtina vienota un efektīva risinājuma izveidi.</w:t>
      </w:r>
    </w:p>
    <w:p w:rsidR="007108CA" w:rsidRDefault="007108CA" w:rsidP="007108CA">
      <w:pPr>
        <w:pStyle w:val="ISBodyText"/>
      </w:pPr>
      <w:r>
        <w:rPr>
          <w:lang w:eastAsia="lv-LV"/>
        </w:rPr>
        <w:t>Ielaušanās profilakses un identificēšanas ieviešana notiks atbilstoši resursu klasifikācijai, tāpēc IKT drošības platformas priekšnosacījums ir valsts informācijas sistēmu un citu IKT resursu drošības risku izvērtējums, kā arī klasificēšanas ietvara izstrāde un klasificēšana.</w:t>
      </w:r>
      <w:r w:rsidR="00007E19">
        <w:rPr>
          <w:lang w:eastAsia="lv-LV"/>
        </w:rPr>
        <w:t xml:space="preserve"> Daļai no resursiem, sistēmām un platformām par pietiekamu var tikt atzīts minimālais aizsardzības līmenis, ko nodrošinās drošības platformas standarta konfigurācija un tehniskā līmeņa aizsardzība, turpretī citiem resursiem tiks piemēroti paaugstināti aizsardzības līmeņi, ko nodrošinās ar centralizētās platformas īpašiem konfigurējumiem, atbilstoši aizsargājamās sistēmas darbības loģikai (saskaņā ar centralizētu platformu decentralizētas pārvaldības principu) vai izņēmumu (īpašu drošības prasību vai sistēmu specifikas) gadījumos izmantojot atsevišķas aizsardzības sistēmas.  </w:t>
      </w:r>
      <w:r>
        <w:t xml:space="preserve"> </w:t>
      </w:r>
    </w:p>
    <w:p w:rsidR="007108CA" w:rsidRPr="00864F96" w:rsidRDefault="007108CA" w:rsidP="007108CA">
      <w:pPr>
        <w:pStyle w:val="ISBodySubhead2"/>
        <w:rPr>
          <w:i w:val="0"/>
          <w:u w:val="none"/>
        </w:rPr>
      </w:pPr>
      <w:r w:rsidRPr="00864F96">
        <w:rPr>
          <w:i w:val="0"/>
          <w:u w:val="none"/>
        </w:rPr>
        <w:t>Apstākļos, kad tieši IKT drošības kompetences ir īpaši pieprasītas un deficītas, gan publiskajā pārvaldē, gan valstī kopumā, ļoti būtisks ieguvums ir iespēja nodrošināt IKT drošības pakalpojumu centralizēti, izmantojot vienā, augsti profesionālā komandā apvienotas kompetences. Tādējādi tiks iegūts gan labākais, pieejamā budžeta ietvaros iespējamais</w:t>
      </w:r>
      <w:r w:rsidR="00C836CE">
        <w:rPr>
          <w:i w:val="0"/>
          <w:u w:val="none"/>
        </w:rPr>
        <w:t>,</w:t>
      </w:r>
      <w:r w:rsidRPr="00864F96">
        <w:rPr>
          <w:i w:val="0"/>
          <w:u w:val="none"/>
        </w:rPr>
        <w:t xml:space="preserve"> drošības platformas risinājums (platformas prasību definēšanas, izvēles, pielāgošanas un ieviešanas fāzē), gan profes</w:t>
      </w:r>
      <w:r>
        <w:rPr>
          <w:i w:val="0"/>
          <w:u w:val="none"/>
        </w:rPr>
        <w:t xml:space="preserve">ionāla un efektīva drošības platformas uzturēšana. </w:t>
      </w:r>
    </w:p>
    <w:p w:rsidR="007108CA" w:rsidRPr="00A267A3" w:rsidRDefault="007108CA" w:rsidP="007108CA">
      <w:pPr>
        <w:pStyle w:val="Princips"/>
      </w:pPr>
      <w:bookmarkStart w:id="134" w:name="_Toc410147026"/>
      <w:bookmarkEnd w:id="132"/>
      <w:r w:rsidRPr="00A267A3">
        <w:t>Gala iekārtas (arī mobilās) un personālās produktivitātes rīki</w:t>
      </w:r>
      <w:bookmarkEnd w:id="134"/>
    </w:p>
    <w:p w:rsidR="007108CA" w:rsidRPr="00A267A3" w:rsidRDefault="007108CA" w:rsidP="007108CA">
      <w:pPr>
        <w:pStyle w:val="ISBodyText"/>
      </w:pPr>
      <w:r w:rsidRPr="00A267A3">
        <w:t xml:space="preserve">Mūsdienu pieejas korporatīvo IKT infrastruktūru attīstībā ir daudz liberālākas attiecībā uz datorsistēmu lietotāju gala iekārtām un to daudzveidību, nekā tas bija korporatīvo infrastruktūru stingras standartizēšanas laikmetā 5 un vairāk gadus atpakaļ. Pieaug gan dažāda veida mobilo ierīču daudzveidība un izmantošanas intensitāte, faktiski nojaucot robežas starp datoru (portatīvo) un mobilo ierīci, gan iespējas bez būtiskiem papildus ieguldījumiem nodrošināt informācijas sistēmu pieejamību šajās daudzveidīgajās iekārtās (piemēram, izmantojot pārlūkprogrammas, kas strādā dažādās operētājvidēs, kā arī programmatūras izstrādes rīkus, kas nodrošina lietojumprogrammatūras automātisku pielāgošanos atšķirīgām gala iekārtām). </w:t>
      </w:r>
    </w:p>
    <w:p w:rsidR="007108CA" w:rsidRPr="00A267A3" w:rsidRDefault="007108CA" w:rsidP="007108CA">
      <w:pPr>
        <w:pStyle w:val="ISBodyText"/>
      </w:pPr>
      <w:r w:rsidRPr="00A267A3">
        <w:t>No gala iekārtu sagādes un pārvaldības viedokļa, korporatīvajās vidēs absolūti stingras standartizēšanas (vienveidīgu iekārtu sagāde un instalācijas klonu izplatīšana utml.) vietā tiek aprobēti pat “strādā ar savu iekārtu” (</w:t>
      </w:r>
      <w:r w:rsidRPr="00A267A3">
        <w:rPr>
          <w:i/>
        </w:rPr>
        <w:t>bring your own device</w:t>
      </w:r>
      <w:r w:rsidRPr="00A267A3">
        <w:t xml:space="preserve">) vai tam tuvināti (piemēram, “izvēlies savu iekārtu “ (no pietiekami plaša alternatīvu loka) koncepti. Tiek augstu novērtētas darbinieku iespējas paaugstināt savu produktivitāti un mobilitāti (precīzāk – produktivitāti arī ārpus kabineta), pieļaujot iekārtu, operētājvižu un personīgās produktivitātes lietojumprogrammatūras dažādību, nodrošinot to optimālu atbilstību ne tikai konkrētu amata pienākumu izpildes vajadzībām, bet arī konkrēto darbinieku prasmēm, darba organizācijas un pat paradumiem. Tādējādi, komerciāli uzņēmumi nodrošina gan augstāku darbinieku produktivitāti, gan papildus motivāciju, efektīvi izpildīt darba pienākumus ne tikai stingri noteiktajās darba vietās un laikos, bet arī ārpus tiem. </w:t>
      </w:r>
      <w:r w:rsidRPr="00A267A3">
        <w:lastRenderedPageBreak/>
        <w:t xml:space="preserve">Pieaugot publiskās pārvaldes darba dinamikai un prasībām attiecībā uz darbinieku produktivitāti, līdzīga pieeja ir jāpiemēro arī attiecībā uz daudzu publiskās pārvaldes darbinieku amatu grupām. </w:t>
      </w:r>
    </w:p>
    <w:p w:rsidR="007108CA" w:rsidRPr="003A40BC" w:rsidRDefault="007108CA" w:rsidP="007108CA">
      <w:pPr>
        <w:pStyle w:val="ISBodyText"/>
      </w:pPr>
      <w:r w:rsidRPr="00A267A3">
        <w:t xml:space="preserve">Papildus prasības gala iekārtām izvirza arī mērķis pilnībā atteikties no papīra dokumentu apstrādes procesiem vismaz valsts pārvaldes iestāžu iekšējos un starpiestāžu informācijas apmaiņas procesos. Apstākļos, kad oficiālā informācija tiek uzkrāta un oficiālā saziņa tiek veikta tikai elektroniskā formā, papīri un izdrukas var tikt izmantotas tikai piezīmju un personīgās darba produktivitātes vajadzībām (piemēram, mobilās/portatīvās iekārtas iztrūkuma gadījumā, uz apspriedēm/sanāksmēm ņemot dokumentu izdrukas). Gala iekārtu politikai ir jāstimulē atteikšanos no papīra izdrukām ne tikai oficiālā sarakstē un oficiālās informācijas uzkrāšanā, bet arī iestāžu iekšējos ikdienas darba procesos. </w:t>
      </w:r>
      <w:r w:rsidRPr="003A40BC">
        <w:t xml:space="preserve">Praktiski tas nozīmē ieguldījumu </w:t>
      </w:r>
      <w:r w:rsidRPr="003A40BC">
        <w:rPr>
          <w:b/>
        </w:rPr>
        <w:t>ierobežojumus drukāšanas un kopēšanas iekārtām un materiāliem, pārvirzot līdzekļus kvalitatīvāku (arī lielāku) monitoru un portatīvo (arī mobilo) iekārtu iegādei un bezpapīru procesu atbalstam</w:t>
      </w:r>
      <w:r w:rsidR="003A40BC" w:rsidRPr="003A40BC">
        <w:t>.</w:t>
      </w:r>
      <w:r w:rsidR="003A40BC" w:rsidRPr="003A40BC">
        <w:rPr>
          <w:i/>
        </w:rPr>
        <w:t xml:space="preserve"> </w:t>
      </w:r>
      <w:r w:rsidR="003A40BC">
        <w:t xml:space="preserve">Ierobežojumi nav attiecināmi uz iekārtām un materiāliem, kas tiek izmantoti specifisku funkciju veikšanai, piemēram, lielformāta drukas iekārtām un ploteriem kartogrāfisko materiālu sagatavošanai utml. </w:t>
      </w:r>
    </w:p>
    <w:p w:rsidR="007108CA" w:rsidRPr="00A267A3" w:rsidRDefault="007108CA" w:rsidP="007108CA">
      <w:pPr>
        <w:pStyle w:val="ISBodyText"/>
      </w:pPr>
      <w:r w:rsidRPr="00A267A3">
        <w:t xml:space="preserve">Attiecībā uz informācijas sistēmu izstrādi ir kritiski svarīgi, lai ieviešamie risinājumi neizvirza īpašas prasības gala iekārtām, pieļaujot to efektīvu darbību pēc iespējas daudzveidīgās gala iekārtās. Ļoti  vēlama ir arī informācijas sistēmu un koplietošanas risinājumu neatkarība no konkrētiem personīgās produktivitātes lietojumprogrammatūras risinājumiem (piemēram, biroja programmatūras). Īpaši </w:t>
      </w:r>
      <w:r w:rsidRPr="003A40BC">
        <w:rPr>
          <w:b/>
        </w:rPr>
        <w:t>veicināma ir tādu koplietošanas (privāto mākoņ-) pakalpojumu attīstība, kas konkrētajās pielietojuma jomās nodrošina pilnīgu neatkarību no specifiskiem personīgās produktivitātes rīkiem</w:t>
      </w:r>
      <w:r w:rsidRPr="003A40BC">
        <w:t xml:space="preserve">. </w:t>
      </w:r>
      <w:r w:rsidRPr="00A267A3">
        <w:t xml:space="preserve">Piemēram, normatīvo aktu projektu izstrādes un saskaņošanas (koprades) portāls veiksmīga tehnoloģiska risinājuma izvēles gadījumā var nodrošināt attiecīgo dokumentu efektīvu rediģēšanu un versiju kontroli bez specifiskiem lietojumprogrammatūras rīkiem (biroja programmatūras) publiskās pārvaldes darbinieku gala iekārtās. </w:t>
      </w:r>
    </w:p>
    <w:p w:rsidR="007108CA" w:rsidRPr="00A267A3" w:rsidRDefault="007108CA" w:rsidP="007108CA">
      <w:pPr>
        <w:pStyle w:val="ISBodyText"/>
      </w:pPr>
      <w:r w:rsidRPr="00A267A3">
        <w:t xml:space="preserve">Gala iekārtām ir jāatbalsta izvēlēto elektroniskās identifikācijas risinājumu efektīvs (t.i. ērts un drošs)  pielietojums. Publiskajā pārvaldē arī augstākās drošības pakāpes iekšējo lietojumu (pakalpojumu un informācijas sistēmu) piekļuvei ieviešot nacionālo, uz PKI balstīto uzticamības pakalpojumu platformu, tas nozīmē viedkaršu lasītāju vai NFC saskarnes pieejamību gala iekārtās.       </w:t>
      </w:r>
    </w:p>
    <w:p w:rsidR="001C1AF0" w:rsidRPr="00DB54B3" w:rsidRDefault="001C1AF0" w:rsidP="001C1AF0">
      <w:pPr>
        <w:ind w:firstLine="360"/>
        <w:rPr>
          <w:rFonts w:ascii="Times New Roman" w:hAnsi="Times New Roman"/>
          <w:color w:val="000000"/>
          <w:sz w:val="28"/>
          <w:szCs w:val="28"/>
        </w:rPr>
      </w:pPr>
    </w:p>
    <w:p w:rsidR="001C1AF0" w:rsidRPr="00DB54B3" w:rsidRDefault="001C1AF0" w:rsidP="001C1AF0">
      <w:pPr>
        <w:ind w:firstLine="709"/>
        <w:rPr>
          <w:rFonts w:ascii="Times New Roman" w:hAnsi="Times New Roman"/>
          <w:color w:val="000000"/>
          <w:sz w:val="28"/>
          <w:szCs w:val="28"/>
        </w:rPr>
      </w:pPr>
      <w:r w:rsidRPr="00DB54B3">
        <w:rPr>
          <w:rFonts w:ascii="Times New Roman" w:hAnsi="Times New Roman"/>
          <w:color w:val="000000"/>
          <w:sz w:val="28"/>
          <w:szCs w:val="28"/>
        </w:rPr>
        <w:t xml:space="preserve">Vides aizsardzības un </w:t>
      </w:r>
    </w:p>
    <w:p w:rsidR="001C1AF0" w:rsidRDefault="001C1AF0" w:rsidP="001C1AF0">
      <w:pPr>
        <w:tabs>
          <w:tab w:val="left" w:pos="6660"/>
        </w:tabs>
        <w:ind w:firstLine="709"/>
        <w:rPr>
          <w:rFonts w:ascii="Times New Roman" w:hAnsi="Times New Roman"/>
          <w:color w:val="000000"/>
          <w:sz w:val="28"/>
          <w:szCs w:val="28"/>
        </w:rPr>
      </w:pPr>
      <w:r w:rsidRPr="00DB54B3">
        <w:rPr>
          <w:rFonts w:ascii="Times New Roman" w:hAnsi="Times New Roman"/>
          <w:color w:val="000000"/>
          <w:sz w:val="28"/>
          <w:szCs w:val="28"/>
        </w:rPr>
        <w:t>reģionālās attīstības ministrs</w:t>
      </w:r>
      <w:r w:rsidRPr="00DB54B3">
        <w:rPr>
          <w:rFonts w:ascii="Times New Roman" w:hAnsi="Times New Roman"/>
          <w:color w:val="000000"/>
          <w:sz w:val="28"/>
          <w:szCs w:val="28"/>
        </w:rPr>
        <w:tab/>
      </w:r>
      <w:r w:rsidR="00AF6D67">
        <w:rPr>
          <w:rFonts w:ascii="Times New Roman" w:hAnsi="Times New Roman"/>
          <w:color w:val="000000"/>
          <w:sz w:val="28"/>
          <w:szCs w:val="28"/>
        </w:rPr>
        <w:t>K. Gerhards</w:t>
      </w:r>
    </w:p>
    <w:p w:rsidR="00B95FE1" w:rsidRDefault="00B95FE1" w:rsidP="001C1AF0">
      <w:pPr>
        <w:tabs>
          <w:tab w:val="left" w:pos="6660"/>
        </w:tabs>
        <w:ind w:firstLine="709"/>
        <w:rPr>
          <w:rFonts w:ascii="Times New Roman" w:hAnsi="Times New Roman"/>
          <w:color w:val="000000"/>
          <w:sz w:val="28"/>
          <w:szCs w:val="28"/>
        </w:rPr>
      </w:pPr>
    </w:p>
    <w:p w:rsidR="00B95FE1" w:rsidRPr="00C578A5" w:rsidRDefault="00B95FE1" w:rsidP="00B95FE1">
      <w:pPr>
        <w:rPr>
          <w:sz w:val="20"/>
          <w:szCs w:val="20"/>
        </w:rPr>
      </w:pPr>
      <w:r w:rsidRPr="00C578A5">
        <w:rPr>
          <w:sz w:val="20"/>
          <w:szCs w:val="20"/>
        </w:rPr>
        <w:t>201</w:t>
      </w:r>
      <w:r w:rsidR="00444A1F">
        <w:rPr>
          <w:sz w:val="20"/>
          <w:szCs w:val="20"/>
        </w:rPr>
        <w:t>5</w:t>
      </w:r>
      <w:r w:rsidRPr="00C578A5">
        <w:rPr>
          <w:sz w:val="20"/>
          <w:szCs w:val="20"/>
        </w:rPr>
        <w:t>.</w:t>
      </w:r>
      <w:r w:rsidR="007F7034">
        <w:rPr>
          <w:sz w:val="20"/>
          <w:szCs w:val="20"/>
        </w:rPr>
        <w:t>2</w:t>
      </w:r>
      <w:r w:rsidR="00F60BF7">
        <w:rPr>
          <w:sz w:val="20"/>
          <w:szCs w:val="20"/>
        </w:rPr>
        <w:t>6</w:t>
      </w:r>
      <w:r w:rsidRPr="00C578A5">
        <w:rPr>
          <w:sz w:val="20"/>
          <w:szCs w:val="20"/>
        </w:rPr>
        <w:t>.</w:t>
      </w:r>
      <w:r w:rsidR="00444A1F">
        <w:rPr>
          <w:sz w:val="20"/>
          <w:szCs w:val="20"/>
        </w:rPr>
        <w:t>0</w:t>
      </w:r>
      <w:r w:rsidR="00F60BF7">
        <w:rPr>
          <w:sz w:val="20"/>
          <w:szCs w:val="20"/>
        </w:rPr>
        <w:t>3</w:t>
      </w:r>
      <w:r w:rsidRPr="00C578A5">
        <w:rPr>
          <w:sz w:val="20"/>
          <w:szCs w:val="20"/>
        </w:rPr>
        <w:t>.</w:t>
      </w:r>
      <w:r w:rsidR="001972D3">
        <w:rPr>
          <w:sz w:val="20"/>
          <w:szCs w:val="20"/>
        </w:rPr>
        <w:t>1</w:t>
      </w:r>
      <w:r w:rsidR="00F60BF7">
        <w:rPr>
          <w:sz w:val="20"/>
          <w:szCs w:val="20"/>
        </w:rPr>
        <w:t>3</w:t>
      </w:r>
      <w:r w:rsidRPr="00C578A5">
        <w:rPr>
          <w:sz w:val="20"/>
          <w:szCs w:val="20"/>
        </w:rPr>
        <w:t>:</w:t>
      </w:r>
      <w:r w:rsidR="00F60BF7">
        <w:rPr>
          <w:sz w:val="20"/>
          <w:szCs w:val="20"/>
        </w:rPr>
        <w:t>13</w:t>
      </w:r>
    </w:p>
    <w:p w:rsidR="00B95FE1" w:rsidRDefault="001972D3" w:rsidP="00B95FE1">
      <w:pPr>
        <w:rPr>
          <w:sz w:val="20"/>
          <w:szCs w:val="20"/>
        </w:rPr>
      </w:pPr>
      <w:r>
        <w:rPr>
          <w:sz w:val="20"/>
          <w:szCs w:val="20"/>
        </w:rPr>
        <w:t>7</w:t>
      </w:r>
      <w:r w:rsidR="007F7034">
        <w:rPr>
          <w:sz w:val="20"/>
          <w:szCs w:val="20"/>
        </w:rPr>
        <w:t>0</w:t>
      </w:r>
      <w:r w:rsidR="00B95FE1" w:rsidRPr="00C578A5">
        <w:rPr>
          <w:sz w:val="20"/>
          <w:szCs w:val="20"/>
        </w:rPr>
        <w:t xml:space="preserve">, </w:t>
      </w:r>
      <w:r w:rsidR="003B0F7F">
        <w:rPr>
          <w:sz w:val="20"/>
          <w:szCs w:val="20"/>
        </w:rPr>
        <w:t>210</w:t>
      </w:r>
      <w:r w:rsidR="00545C37">
        <w:rPr>
          <w:sz w:val="20"/>
          <w:szCs w:val="20"/>
        </w:rPr>
        <w:t>57</w:t>
      </w:r>
    </w:p>
    <w:p w:rsidR="00C578A5" w:rsidRPr="00C578A5" w:rsidRDefault="00C578A5" w:rsidP="00B95FE1">
      <w:pPr>
        <w:rPr>
          <w:sz w:val="20"/>
          <w:szCs w:val="20"/>
        </w:rPr>
      </w:pPr>
    </w:p>
    <w:p w:rsidR="00C578A5" w:rsidRPr="0049379D" w:rsidRDefault="00C578A5" w:rsidP="0049379D">
      <w:pPr>
        <w:rPr>
          <w:sz w:val="20"/>
          <w:szCs w:val="20"/>
        </w:rPr>
      </w:pPr>
      <w:r w:rsidRPr="00C578A5">
        <w:rPr>
          <w:sz w:val="20"/>
          <w:szCs w:val="20"/>
        </w:rPr>
        <w:t xml:space="preserve">A.Daugulis, </w:t>
      </w:r>
      <w:r w:rsidR="007108C6">
        <w:rPr>
          <w:sz w:val="20"/>
          <w:szCs w:val="20"/>
        </w:rPr>
        <w:t>67026535</w:t>
      </w:r>
    </w:p>
    <w:p w:rsidR="00C578A5" w:rsidRPr="00C578A5" w:rsidRDefault="00C578A5" w:rsidP="0049379D">
      <w:pPr>
        <w:rPr>
          <w:sz w:val="20"/>
          <w:szCs w:val="20"/>
        </w:rPr>
      </w:pPr>
      <w:r w:rsidRPr="0049379D">
        <w:rPr>
          <w:sz w:val="20"/>
          <w:szCs w:val="20"/>
        </w:rPr>
        <w:t>arnis.daugulis@varam.gov.lv</w:t>
      </w:r>
    </w:p>
    <w:p w:rsidR="00C578A5" w:rsidRPr="0049379D" w:rsidRDefault="00C578A5" w:rsidP="0049379D">
      <w:pPr>
        <w:rPr>
          <w:sz w:val="20"/>
          <w:szCs w:val="20"/>
        </w:rPr>
      </w:pPr>
    </w:p>
    <w:p w:rsidR="00C578A5" w:rsidRPr="0049379D" w:rsidRDefault="00C578A5" w:rsidP="0049379D">
      <w:pPr>
        <w:rPr>
          <w:sz w:val="20"/>
          <w:szCs w:val="20"/>
        </w:rPr>
      </w:pPr>
      <w:r w:rsidRPr="00C578A5">
        <w:rPr>
          <w:sz w:val="20"/>
          <w:szCs w:val="20"/>
        </w:rPr>
        <w:t xml:space="preserve">U.Bisenieks, </w:t>
      </w:r>
      <w:r w:rsidR="007108C6">
        <w:rPr>
          <w:sz w:val="20"/>
          <w:szCs w:val="20"/>
        </w:rPr>
        <w:t>66016533</w:t>
      </w:r>
    </w:p>
    <w:p w:rsidR="00C578A5" w:rsidRPr="00C578A5" w:rsidRDefault="00C578A5" w:rsidP="0049379D">
      <w:pPr>
        <w:rPr>
          <w:sz w:val="20"/>
          <w:szCs w:val="20"/>
        </w:rPr>
      </w:pPr>
      <w:r w:rsidRPr="0049379D">
        <w:rPr>
          <w:sz w:val="20"/>
          <w:szCs w:val="20"/>
        </w:rPr>
        <w:t>ugis.bisenieks@varam.gov.lv</w:t>
      </w:r>
    </w:p>
    <w:p w:rsidR="00C578A5" w:rsidRPr="0049379D" w:rsidRDefault="00C578A5" w:rsidP="0049379D">
      <w:pPr>
        <w:rPr>
          <w:sz w:val="20"/>
          <w:szCs w:val="20"/>
        </w:rPr>
      </w:pPr>
    </w:p>
    <w:p w:rsidR="00C578A5" w:rsidRPr="0049379D" w:rsidRDefault="00C578A5" w:rsidP="0049379D">
      <w:pPr>
        <w:rPr>
          <w:sz w:val="20"/>
          <w:szCs w:val="20"/>
        </w:rPr>
      </w:pPr>
      <w:r w:rsidRPr="00C578A5">
        <w:rPr>
          <w:sz w:val="20"/>
          <w:szCs w:val="20"/>
        </w:rPr>
        <w:t>L.Linabergs</w:t>
      </w:r>
      <w:r w:rsidRPr="0049379D">
        <w:rPr>
          <w:sz w:val="20"/>
          <w:szCs w:val="20"/>
        </w:rPr>
        <w:t>,</w:t>
      </w:r>
      <w:r w:rsidR="007108C6">
        <w:rPr>
          <w:sz w:val="20"/>
          <w:szCs w:val="20"/>
        </w:rPr>
        <w:t xml:space="preserve"> 66016572</w:t>
      </w:r>
    </w:p>
    <w:p w:rsidR="00C578A5" w:rsidRPr="00C578A5" w:rsidRDefault="00C578A5" w:rsidP="00C578A5">
      <w:pPr>
        <w:rPr>
          <w:sz w:val="20"/>
          <w:szCs w:val="20"/>
        </w:rPr>
      </w:pPr>
      <w:r w:rsidRPr="00C578A5">
        <w:rPr>
          <w:sz w:val="20"/>
          <w:szCs w:val="20"/>
        </w:rPr>
        <w:t>lauris.linabergs@varam.gov.lv</w:t>
      </w:r>
    </w:p>
    <w:p w:rsidR="00C578A5" w:rsidRPr="00C578A5" w:rsidRDefault="00C578A5" w:rsidP="0049379D">
      <w:pPr>
        <w:rPr>
          <w:sz w:val="20"/>
          <w:szCs w:val="20"/>
        </w:rPr>
      </w:pPr>
    </w:p>
    <w:p w:rsidR="00C578A5" w:rsidRPr="0049379D" w:rsidRDefault="00C578A5" w:rsidP="0049379D">
      <w:pPr>
        <w:rPr>
          <w:sz w:val="20"/>
          <w:szCs w:val="20"/>
        </w:rPr>
      </w:pPr>
      <w:r w:rsidRPr="00C578A5">
        <w:rPr>
          <w:sz w:val="20"/>
          <w:szCs w:val="20"/>
        </w:rPr>
        <w:t>D.Andžāne,</w:t>
      </w:r>
      <w:r w:rsidR="007108C6">
        <w:rPr>
          <w:sz w:val="20"/>
          <w:szCs w:val="20"/>
        </w:rPr>
        <w:t xml:space="preserve"> 66016544</w:t>
      </w:r>
    </w:p>
    <w:p w:rsidR="00C578A5" w:rsidRPr="0049379D" w:rsidRDefault="00C578A5" w:rsidP="0049379D">
      <w:pPr>
        <w:rPr>
          <w:sz w:val="20"/>
          <w:szCs w:val="20"/>
        </w:rPr>
      </w:pPr>
      <w:r w:rsidRPr="0049379D">
        <w:rPr>
          <w:sz w:val="20"/>
          <w:szCs w:val="20"/>
        </w:rPr>
        <w:t>diana.andzane@varam.gov.lv</w:t>
      </w:r>
    </w:p>
    <w:p w:rsidR="00C578A5" w:rsidRPr="00C578A5" w:rsidRDefault="00C578A5" w:rsidP="0049379D">
      <w:pPr>
        <w:rPr>
          <w:sz w:val="20"/>
          <w:szCs w:val="20"/>
        </w:rPr>
      </w:pPr>
    </w:p>
    <w:p w:rsidR="00C578A5" w:rsidRDefault="00C578A5" w:rsidP="00C578A5">
      <w:pPr>
        <w:rPr>
          <w:sz w:val="20"/>
          <w:szCs w:val="20"/>
        </w:rPr>
      </w:pPr>
      <w:r w:rsidRPr="0049379D">
        <w:rPr>
          <w:sz w:val="20"/>
          <w:szCs w:val="20"/>
        </w:rPr>
        <w:t>E.Harčuks,</w:t>
      </w:r>
      <w:r w:rsidR="007108C6">
        <w:rPr>
          <w:sz w:val="20"/>
          <w:szCs w:val="20"/>
        </w:rPr>
        <w:t xml:space="preserve"> 66016575</w:t>
      </w:r>
    </w:p>
    <w:p w:rsidR="001C1AF0" w:rsidRDefault="00C578A5" w:rsidP="009D4EFD">
      <w:r>
        <w:rPr>
          <w:sz w:val="20"/>
          <w:szCs w:val="20"/>
        </w:rPr>
        <w:t>Eduards.harcuks@varam.gov.lv</w:t>
      </w:r>
    </w:p>
    <w:sectPr w:rsidR="001C1AF0" w:rsidSect="0034410F">
      <w:footerReference w:type="default" r:id="rId41"/>
      <w:type w:val="continuous"/>
      <w:pgSz w:w="11906" w:h="16838" w:code="9"/>
      <w:pgMar w:top="1138" w:right="850" w:bottom="1138" w:left="1411" w:header="288" w:footer="28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1">
      <wne:fci wne:fciName="AcceptChangesOrAdvance" wne:swArg="0000"/>
    </wne:keymap>
    <wne:keymap wne:kcmPrimary="0430">
      <wne:acd wne:acdName="acd20"/>
    </wne:keymap>
    <wne:keymap wne:kcmPrimary="0431">
      <wne:acd wne:acdName="acd21"/>
    </wne:keymap>
    <wne:keymap wne:kcmPrimary="0432">
      <wne:acd wne:acdName="acd22"/>
    </wne:keymap>
    <wne:keymap wne:kcmPrimary="0433">
      <wne:acd wne:acdName="acd23"/>
    </wne:keymap>
    <wne:keymap wne:kcmPrimary="0434">
      <wne:acd wne:acdName="acd0"/>
    </wne:keymap>
    <wne:keymap wne:kcmPrimary="0436">
      <wne:acd wne:acdName="acd27"/>
    </wne:keymap>
    <wne:keymap wne:kcmPrimary="0437">
      <wne:acd wne:acdName="acd26"/>
    </wne:keymap>
    <wne:keymap wne:kcmPrimary="0438">
      <wne:acd wne:acdName="acd24"/>
    </wne:keymap>
    <wne:keymap wne:kcmPrimary="0439">
      <wne:acd wne:acdName="acd25"/>
    </wne:keymap>
    <wne:keymap wne:kcmPrimary="0441">
      <wne:acd wne:acdName="acd31"/>
    </wne:keymap>
    <wne:keymap wne:kcmPrimary="0442">
      <wne:acd wne:acdName="acd16"/>
    </wne:keymap>
    <wne:keymap wne:kcmPrimary="0443">
      <wne:acd wne:acdName="acd2"/>
    </wne:keymap>
    <wne:keymap wne:kcmPrimary="0444">
      <wne:acd wne:acdName="acd33"/>
    </wne:keymap>
    <wne:keymap wne:kcmPrimary="0445">
      <wne:acd wne:acdName="acd19"/>
    </wne:keymap>
    <wne:keymap wne:kcmPrimary="0446">
      <wne:acd wne:acdName="acd4"/>
    </wne:keymap>
    <wne:keymap wne:kcmPrimary="0447">
      <wne:acd wne:acdName="acd6"/>
    </wne:keymap>
    <wne:keymap wne:kcmPrimary="0448">
      <wne:acd wne:acdName="acd15"/>
    </wne:keymap>
    <wne:keymap wne:kcmPrimary="0449">
      <wne:acd wne:acdName="acd1"/>
    </wne:keymap>
    <wne:keymap wne:kcmPrimary="044A">
      <wne:acd wne:acdName="acd30"/>
    </wne:keymap>
    <wne:keymap wne:kcmPrimary="044D">
      <wne:fci wne:fciName="ContinueNumbering" wne:swArg="0000"/>
    </wne:keymap>
    <wne:keymap wne:kcmPrimary="044E">
      <wne:acd wne:acdName="acd5"/>
    </wne:keymap>
    <wne:keymap wne:kcmPrimary="0451">
      <wne:acd wne:acdName="acd17"/>
    </wne:keymap>
    <wne:keymap wne:kcmPrimary="0453">
      <wne:acd wne:acdName="acd32"/>
    </wne:keymap>
    <wne:keymap wne:kcmPrimary="0454">
      <wne:acd wne:acdName="acd28"/>
    </wne:keymap>
    <wne:keymap wne:kcmPrimary="0457">
      <wne:acd wne:acdName="acd1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Manifest>
  </wne:toolbars>
  <wne:acds>
    <wne:acd wne:argValue="AgBJAFMAIABIAGUAYQBkAGkAbgBnACAANAA=" wne:acdName="acd0" wne:fciIndexBasedOn="0065"/>
    <wne:acd wne:argValue="AgBJAFMAIABCAG8AZAB5ACAAVABlAHgAdAAgAEkAbgBkAGUAbgB0AA==" wne:acdName="acd1" wne:fciIndexBasedOn="0065"/>
    <wne:acd wne:argValue="AgBJAFMAIABDAG8AbQBtAGUAbgB0AA==" wne:acdName="acd2" wne:fciIndexBasedOn="0065"/>
    <wne:acd wne:acdName="acd3" wne:fciIndexBasedOn="0065"/>
    <wne:acd wne:argValue="AgBJAFMAIABCAG8AZAB5ACAAUwB1AGIAaABlAGEAZAAgAFAAQQA=" wne:acdName="acd4" wne:fciIndexBasedOn="0065"/>
    <wne:acd wne:argValue="AgBJAFMAMQA=" wne:acdName="acd5" wne:fciIndexBasedOn="0065"/>
    <wne:acd wne:argValue="AgBJAFMAIABCAG8AZAB5ACAAUwB1AGIAaABlAGEAZAAgAFAAVAA=" wne:acdName="acd6" wne:fciIndexBasedOn="0065"/>
    <wne:acd wne:argValue="AgBJAFMAIABUAGEAYgBsAGUAIABUAGUAeAB0AA==" wne:acdName="acd7" wne:fciIndexBasedOn="0065"/>
    <wne:acd wne:argValue="AgBJAFMAIABUAGEAYgBsAGUAIABUAGUAeAB0AA==" wne:acdName="acd8" wne:fciIndexBasedOn="0065"/>
    <wne:acd wne:argValue="AgBJAFMAIABUAGEAYgBsAGUAIABUAGUAeAB0AA==" wne:acdName="acd9" wne:fciIndexBasedOn="0065"/>
    <wne:acd wne:acdName="acd10" wne:fciIndexBasedOn="0065"/>
    <wne:acd wne:argValue="AgBJAFMAIABUAGEAYgBsAGUAIABUAGUAeAB0AA==" wne:acdName="acd11" wne:fciIndexBasedOn="0065"/>
    <wne:acd wne:argValue="AgBJAFMAIABUAGEAYgBsAGUAIABUAGUAeAB0AA==" wne:acdName="acd12" wne:fciIndexBasedOn="0065"/>
    <wne:acd wne:argValue="AgBJAFMAIABUAGEAYgBsAGUAIABUAGUAeAB0AA==" wne:acdName="acd13" wne:fciIndexBasedOn="0065"/>
    <wne:acd wne:argValue="AgBJAFMAIABUAGEAYgBsAGUAIABUAGUAeAB0AA==" wne:acdName="acd14" wne:fciIndexBasedOn="0065"/>
    <wne:acd wne:argValue="AgBJAFMAIABCAG8AZAB5ACAAUwB1AGIAaABlAGEAZAA=" wne:acdName="acd15" wne:fciIndexBasedOn="0065"/>
    <wne:acd wne:argValue="AgBJAFMAIABCAG8AZAB5ACAAVABlAHgAdAA=" wne:acdName="acd16" wne:fciIndexBasedOn="0065"/>
    <wne:acd wne:argValue="AgBJAFMAIABCAG8AZAB5ACAAVABlAHgAdAAgADEA" wne:acdName="acd17" wne:fciIndexBasedOn="0065"/>
    <wne:acd wne:argValue="AgBJAFMAIABCAG8AZAB5ACAAVABlAHgAdAAgADIA" wne:acdName="acd18" wne:fciIndexBasedOn="0065"/>
    <wne:acd wne:argValue="AgBJAFMAIABCAG8AZAB5ACAAVABlAHgAdAAgADMA" wne:acdName="acd19" wne:fciIndexBasedOn="0065"/>
    <wne:acd wne:argValue="AgBJAFMAIABIAGUAYQBkAGkAbgBnAA==" wne:acdName="acd20" wne:fciIndexBasedOn="0065"/>
    <wne:acd wne:argValue="AgBJAFMAIABIAGUAYQBkAGkAbgBnACAAMQA=" wne:acdName="acd21" wne:fciIndexBasedOn="0065"/>
    <wne:acd wne:argValue="AgBJAFMAIABIAGUAYQBkAGkAbgBnACAAMgA=" wne:acdName="acd22" wne:fciIndexBasedOn="0065"/>
    <wne:acd wne:argValue="AgBJAFMAIABIAGUAYQBkAGkAbgBnACAAMwA=" wne:acdName="acd23" wne:fciIndexBasedOn="0065"/>
    <wne:acd wne:argValue="AgBJAFMAIABCAHUAbABsAGUAdAAgAFQAZQB4AHQA" wne:acdName="acd24" wne:fciIndexBasedOn="0065"/>
    <wne:acd wne:argValue="AgBJAFMAIABOAHUAbQBiAGUAcgBlAGQAIABMAGkAcwB0AA==" wne:acdName="acd25" wne:fciIndexBasedOn="0065"/>
    <wne:acd wne:argValue="AgBJAFMAIABUAGEAYgBsAGUAIABCAHUAbABsAGUAdAA=" wne:acdName="acd26" wne:fciIndexBasedOn="0065"/>
    <wne:acd wne:argValue="AgBJAFMAIABUAGEAYgBsAGUAIABOAHUAbQBiAGUAcgBlAGQAIABMAGkAcwB0AA==" wne:acdName="acd27" wne:fciIndexBasedOn="0065"/>
    <wne:acd wne:argValue="AgBJAFMAIABUAGEAYgBsAGUAIABUAGUAeAB0AA==" wne:acdName="acd28" wne:fciIndexBasedOn="0065"/>
    <wne:acd wne:acdName="acd29" wne:fciIndexBasedOn="0065"/>
    <wne:acd wne:argValue="AgBJAFMAIABCAG8AZAB5ACAAUwB1AGIAaABlAGEAZAAgADIA" wne:acdName="acd30" wne:fciIndexBasedOn="0065"/>
    <wne:acd wne:argValue="AgBJAFMAIABCAG8AZAB5ACAAUwB1AGIAaABlAGEAZAAgAFAAVgA=" wne:acdName="acd31" wne:fciIndexBasedOn="0065"/>
    <wne:acd wne:argValue="AgBJAFMAIABCAG8AZAB5ACAAUwB1AGIAaABlAGEAZAAgAFAAQgA=" wne:acdName="acd32" wne:fciIndexBasedOn="0065"/>
    <wne:acd wne:argValue="AgBJAFMAIABCAG8AZAB5ACAAUwB1AGIAaABlAGEAZAAgAFAASQA=" wne:acdName="acd33"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FAB" w:rsidRDefault="00AC3FAB">
      <w:r>
        <w:separator/>
      </w:r>
    </w:p>
  </w:endnote>
  <w:endnote w:type="continuationSeparator" w:id="0">
    <w:p w:rsidR="00AC3FAB" w:rsidRDefault="00AC3FAB">
      <w:r>
        <w:continuationSeparator/>
      </w:r>
    </w:p>
  </w:endnote>
  <w:endnote w:type="continuationNotice" w:id="1">
    <w:p w:rsidR="00AC3FAB" w:rsidRDefault="00AC3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Neo'w Arial">
    <w:altName w:val="Arial"/>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egoe Condensed">
    <w:altName w:val="Times New Roman"/>
    <w:panose1 w:val="00000000000000000000"/>
    <w:charset w:val="00"/>
    <w:family w:val="roman"/>
    <w:notTrueType/>
    <w:pitch w:val="default"/>
  </w:font>
  <w:font w:name="Segoe">
    <w:altName w:val="Cambria"/>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Y Gothic Cond Medium">
    <w:altName w:val="Times New Roman"/>
    <w:charset w:val="00"/>
    <w:family w:val="auto"/>
    <w:pitch w:val="variable"/>
    <w:sig w:usb0="800000A7" w:usb1="00000040" w:usb2="00000000" w:usb3="00000000" w:csb0="00000009" w:csb1="00000000"/>
  </w:font>
  <w:font w:name="Lucida Sans Unicode">
    <w:panose1 w:val="020B0602030504020204"/>
    <w:charset w:val="BA"/>
    <w:family w:val="swiss"/>
    <w:pitch w:val="variable"/>
    <w:sig w:usb0="80000AFF" w:usb1="0000396B" w:usb2="00000000" w:usb3="00000000" w:csb0="000000BF" w:csb1="00000000"/>
  </w:font>
  <w:font w:name="Arial Black">
    <w:panose1 w:val="020B0A04020102020204"/>
    <w:charset w:val="BA"/>
    <w:family w:val="swiss"/>
    <w:pitch w:val="variable"/>
    <w:sig w:usb0="A00002AF" w:usb1="400078FB" w:usb2="00000000" w:usb3="00000000" w:csb0="000000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9C2" w:rsidRDefault="006729C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386224"/>
      <w:docPartObj>
        <w:docPartGallery w:val="Page Numbers (Bottom of Page)"/>
        <w:docPartUnique/>
      </w:docPartObj>
    </w:sdtPr>
    <w:sdtEndPr>
      <w:rPr>
        <w:noProof/>
      </w:rPr>
    </w:sdtEndPr>
    <w:sdtContent>
      <w:sdt>
        <w:sdtPr>
          <w:id w:val="1122801792"/>
          <w:docPartObj>
            <w:docPartGallery w:val="Page Numbers (Bottom of Page)"/>
            <w:docPartUnique/>
          </w:docPartObj>
        </w:sdtPr>
        <w:sdtEndPr>
          <w:rPr>
            <w:noProof/>
          </w:rPr>
        </w:sdtEndPr>
        <w:sdtContent>
          <w:p w:rsidR="000263B5" w:rsidRDefault="001B0FF6" w:rsidP="00D623FD">
            <w:pPr>
              <w:pStyle w:val="Kjene"/>
              <w:jc w:val="center"/>
            </w:pPr>
            <w:fldSimple w:instr=" FILENAME   \* MERGEFORMAT ">
              <w:r w:rsidR="000263B5" w:rsidRPr="009E6559">
                <w:rPr>
                  <w:rFonts w:ascii="Times New Roman" w:hAnsi="Times New Roman"/>
                  <w:noProof/>
                  <w:sz w:val="20"/>
                  <w:szCs w:val="20"/>
                </w:rPr>
                <w:t>VARAMZINO_</w:t>
              </w:r>
              <w:r w:rsidR="000263B5">
                <w:rPr>
                  <w:rFonts w:ascii="Times New Roman" w:hAnsi="Times New Roman"/>
                  <w:noProof/>
                  <w:sz w:val="20"/>
                  <w:szCs w:val="20"/>
                </w:rPr>
                <w:t>270</w:t>
              </w:r>
              <w:r w:rsidR="006729C2">
                <w:rPr>
                  <w:rFonts w:ascii="Times New Roman" w:hAnsi="Times New Roman"/>
                  <w:noProof/>
                  <w:sz w:val="20"/>
                  <w:szCs w:val="20"/>
                </w:rPr>
                <w:t>3</w:t>
              </w:r>
              <w:r w:rsidR="000263B5" w:rsidRPr="009E6559">
                <w:rPr>
                  <w:rFonts w:ascii="Times New Roman" w:hAnsi="Times New Roman"/>
                  <w:noProof/>
                  <w:sz w:val="20"/>
                  <w:szCs w:val="20"/>
                </w:rPr>
                <w:t>1</w:t>
              </w:r>
              <w:r w:rsidR="000263B5">
                <w:rPr>
                  <w:rFonts w:ascii="Times New Roman" w:hAnsi="Times New Roman"/>
                  <w:noProof/>
                  <w:sz w:val="20"/>
                  <w:szCs w:val="20"/>
                </w:rPr>
                <w:t>5</w:t>
              </w:r>
              <w:r w:rsidR="000263B5" w:rsidRPr="009E6559">
                <w:rPr>
                  <w:rFonts w:ascii="Times New Roman" w:hAnsi="Times New Roman"/>
                  <w:noProof/>
                  <w:sz w:val="20"/>
                  <w:szCs w:val="20"/>
                </w:rPr>
                <w:t>_</w:t>
              </w:r>
            </w:fldSimple>
            <w:r w:rsidR="000263B5">
              <w:rPr>
                <w:rFonts w:ascii="Times New Roman" w:hAnsi="Times New Roman"/>
                <w:noProof/>
                <w:sz w:val="20"/>
                <w:szCs w:val="20"/>
              </w:rPr>
              <w:t>ISARH</w:t>
            </w:r>
            <w:r w:rsidR="000263B5" w:rsidRPr="00FA2A6C">
              <w:rPr>
                <w:rFonts w:ascii="Times New Roman" w:hAnsi="Times New Roman"/>
                <w:sz w:val="20"/>
                <w:szCs w:val="20"/>
              </w:rPr>
              <w:t>;</w:t>
            </w:r>
            <w:r w:rsidR="000263B5">
              <w:rPr>
                <w:rFonts w:ascii="Times New Roman" w:hAnsi="Times New Roman"/>
                <w:sz w:val="20"/>
              </w:rPr>
              <w:t xml:space="preserve"> Informatīvais ziņojums par publiskās pārvaldes informācijas sistēmu konceptuālo arhitektūru              </w:t>
            </w:r>
            <w:r w:rsidR="000263B5">
              <w:t xml:space="preserve">  </w:t>
            </w:r>
            <w:r w:rsidR="000263B5">
              <w:tab/>
            </w:r>
            <w:r w:rsidR="000263B5">
              <w:tab/>
            </w:r>
            <w:r w:rsidR="000263B5">
              <w:tab/>
            </w:r>
            <w:r w:rsidR="000263B5">
              <w:fldChar w:fldCharType="begin"/>
            </w:r>
            <w:r w:rsidR="000263B5">
              <w:instrText xml:space="preserve"> PAGE   \* MERGEFORMAT </w:instrText>
            </w:r>
            <w:r w:rsidR="000263B5">
              <w:fldChar w:fldCharType="separate"/>
            </w:r>
            <w:r w:rsidR="00167A24">
              <w:rPr>
                <w:noProof/>
              </w:rPr>
              <w:t>26</w:t>
            </w:r>
            <w:r w:rsidR="000263B5">
              <w:rPr>
                <w:noProof/>
              </w:rPr>
              <w:fldChar w:fldCharType="end"/>
            </w:r>
            <w:r w:rsidR="000263B5">
              <w:rPr>
                <w:noProof/>
              </w:rPr>
              <w:t xml:space="preserve"> (</w:t>
            </w:r>
            <w:fldSimple w:instr=" NUMPAGES   \* MERGEFORMAT ">
              <w:r w:rsidR="00167A24">
                <w:rPr>
                  <w:noProof/>
                </w:rPr>
                <w:t>70</w:t>
              </w:r>
            </w:fldSimple>
            <w:r w:rsidR="000263B5">
              <w:rPr>
                <w:noProof/>
              </w:rPr>
              <w:t>)</w:t>
            </w:r>
          </w:p>
        </w:sdtContent>
      </w:sdt>
      <w:p w:rsidR="000263B5" w:rsidRDefault="00AC3FAB" w:rsidP="00B95FE1">
        <w:pPr>
          <w:pStyle w:val="Kjene"/>
          <w:jc w:val="both"/>
        </w:pPr>
      </w:p>
    </w:sdtContent>
  </w:sdt>
  <w:p w:rsidR="000263B5" w:rsidRDefault="000263B5" w:rsidP="002C7079">
    <w:pPr>
      <w:pStyle w:val="Kjene"/>
      <w:tabs>
        <w:tab w:val="clear" w:pos="4153"/>
        <w:tab w:val="clear" w:pos="8306"/>
        <w:tab w:val="left" w:pos="2568"/>
      </w:tabs>
      <w:jc w:val="both"/>
    </w:pPr>
    <w:r>
      <w:t xml:space="preserve"> </w:t>
    </w:r>
    <w:r>
      <w:tab/>
    </w:r>
  </w:p>
  <w:p w:rsidR="000263B5" w:rsidRDefault="000263B5">
    <w:pPr>
      <w:pStyle w:val="Kjene"/>
    </w:pPr>
    <w:bookmarkStart w:id="61" w:name="_GoBack"/>
    <w:bookmarkEnd w:id="6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9C2" w:rsidRDefault="006729C2">
    <w:pPr>
      <w:pStyle w:val="Kjen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218239"/>
      <w:docPartObj>
        <w:docPartGallery w:val="Page Numbers (Bottom of Page)"/>
        <w:docPartUnique/>
      </w:docPartObj>
    </w:sdtPr>
    <w:sdtEndPr>
      <w:rPr>
        <w:noProof/>
      </w:rPr>
    </w:sdtEndPr>
    <w:sdtContent>
      <w:p w:rsidR="000263B5" w:rsidRDefault="001B0FF6" w:rsidP="00D623FD">
        <w:pPr>
          <w:pStyle w:val="Kjene"/>
          <w:jc w:val="center"/>
        </w:pPr>
        <w:fldSimple w:instr=" FILENAME   \* MERGEFORMAT ">
          <w:r w:rsidR="000263B5" w:rsidRPr="009E6559">
            <w:rPr>
              <w:rFonts w:ascii="Times New Roman" w:hAnsi="Times New Roman"/>
              <w:noProof/>
              <w:sz w:val="20"/>
              <w:szCs w:val="20"/>
            </w:rPr>
            <w:t>VARAMZINO_</w:t>
          </w:r>
          <w:r w:rsidR="000263B5">
            <w:rPr>
              <w:rFonts w:ascii="Times New Roman" w:hAnsi="Times New Roman"/>
              <w:noProof/>
              <w:sz w:val="20"/>
              <w:szCs w:val="20"/>
            </w:rPr>
            <w:t>2703</w:t>
          </w:r>
          <w:r w:rsidR="000263B5" w:rsidRPr="009E6559">
            <w:rPr>
              <w:rFonts w:ascii="Times New Roman" w:hAnsi="Times New Roman"/>
              <w:noProof/>
              <w:sz w:val="20"/>
              <w:szCs w:val="20"/>
            </w:rPr>
            <w:t>1</w:t>
          </w:r>
          <w:r w:rsidR="000263B5">
            <w:rPr>
              <w:rFonts w:ascii="Times New Roman" w:hAnsi="Times New Roman"/>
              <w:noProof/>
              <w:sz w:val="20"/>
              <w:szCs w:val="20"/>
            </w:rPr>
            <w:t>5</w:t>
          </w:r>
          <w:r w:rsidR="000263B5" w:rsidRPr="009E6559">
            <w:rPr>
              <w:rFonts w:ascii="Times New Roman" w:hAnsi="Times New Roman"/>
              <w:noProof/>
              <w:sz w:val="20"/>
              <w:szCs w:val="20"/>
            </w:rPr>
            <w:t>_</w:t>
          </w:r>
        </w:fldSimple>
        <w:r w:rsidR="000263B5">
          <w:rPr>
            <w:rFonts w:ascii="Times New Roman" w:hAnsi="Times New Roman"/>
            <w:noProof/>
            <w:sz w:val="20"/>
            <w:szCs w:val="20"/>
          </w:rPr>
          <w:t>ISARH</w:t>
        </w:r>
        <w:r w:rsidR="000263B5" w:rsidRPr="00FA2A6C">
          <w:rPr>
            <w:rFonts w:ascii="Times New Roman" w:hAnsi="Times New Roman"/>
            <w:sz w:val="20"/>
            <w:szCs w:val="20"/>
          </w:rPr>
          <w:t>;</w:t>
        </w:r>
        <w:r w:rsidR="000263B5">
          <w:rPr>
            <w:rFonts w:ascii="Times New Roman" w:hAnsi="Times New Roman"/>
            <w:sz w:val="20"/>
          </w:rPr>
          <w:t xml:space="preserve"> Informatīvais ziņojums par publiskās pārvaldes informācijas sistēmu konceptuālo arhitektūru              </w:t>
        </w:r>
        <w:r w:rsidR="000263B5">
          <w:t xml:space="preserve">  </w:t>
        </w:r>
        <w:r w:rsidR="000263B5">
          <w:tab/>
        </w:r>
        <w:r w:rsidR="000263B5">
          <w:tab/>
        </w:r>
        <w:r w:rsidR="000263B5">
          <w:tab/>
        </w:r>
        <w:r w:rsidR="000263B5">
          <w:fldChar w:fldCharType="begin"/>
        </w:r>
        <w:r w:rsidR="000263B5">
          <w:instrText xml:space="preserve"> PAGE   \* MERGEFORMAT </w:instrText>
        </w:r>
        <w:r w:rsidR="000263B5">
          <w:fldChar w:fldCharType="separate"/>
        </w:r>
        <w:r w:rsidR="006729C2">
          <w:rPr>
            <w:noProof/>
          </w:rPr>
          <w:t>70</w:t>
        </w:r>
        <w:r w:rsidR="000263B5">
          <w:rPr>
            <w:noProof/>
          </w:rPr>
          <w:fldChar w:fldCharType="end"/>
        </w:r>
        <w:r w:rsidR="000263B5">
          <w:rPr>
            <w:noProof/>
          </w:rPr>
          <w:t xml:space="preserve"> (</w:t>
        </w:r>
        <w:fldSimple w:instr=" NUMPAGES   \* MERGEFORMAT ">
          <w:r w:rsidR="006729C2">
            <w:rPr>
              <w:noProof/>
            </w:rPr>
            <w:t>70</w:t>
          </w:r>
        </w:fldSimple>
        <w:r w:rsidR="000263B5">
          <w:rPr>
            <w:noProof/>
          </w:rPr>
          <w:t>)</w:t>
        </w:r>
      </w:p>
    </w:sdtContent>
  </w:sdt>
  <w:p w:rsidR="000263B5" w:rsidRDefault="000263B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FAB" w:rsidRDefault="00AC3FAB">
      <w:r>
        <w:separator/>
      </w:r>
    </w:p>
  </w:footnote>
  <w:footnote w:type="continuationSeparator" w:id="0">
    <w:p w:rsidR="00AC3FAB" w:rsidRDefault="00AC3FAB">
      <w:r>
        <w:continuationSeparator/>
      </w:r>
    </w:p>
  </w:footnote>
  <w:footnote w:type="continuationNotice" w:id="1">
    <w:p w:rsidR="00AC3FAB" w:rsidRDefault="00AC3FAB"/>
  </w:footnote>
  <w:footnote w:id="2">
    <w:p w:rsidR="000263B5" w:rsidRDefault="000263B5" w:rsidP="00FC64CC">
      <w:pPr>
        <w:pStyle w:val="Vresteksts"/>
      </w:pPr>
      <w:r>
        <w:rPr>
          <w:rStyle w:val="Vresatsauce"/>
        </w:rPr>
        <w:footnoteRef/>
      </w:r>
      <w:r>
        <w:t xml:space="preserve"> </w:t>
      </w:r>
      <w:r w:rsidRPr="000A4880">
        <w:rPr>
          <w:i/>
        </w:rPr>
        <w:t>Digital by default</w:t>
      </w:r>
      <w:r>
        <w:t xml:space="preserve"> ir viens no Apvienotās karaliste IKT stratēģijas pamatprincipiem. Saskaņā ar to, tiek definēti noteikti pakalpojumu elektronizācijas un pilnveides standarti/pieeja, kas nodrošina to, ka klienti izvēlēsies elektroniskus pakalpojumu piegādes kanālus, jo tie būs klientiem ērtāki. Tādejādi apvienotā karalistē šīs principa jēga ir šaurāka nekā arhitektūras dokumentā izklāstītā.</w:t>
      </w:r>
    </w:p>
  </w:footnote>
  <w:footnote w:id="3">
    <w:p w:rsidR="000263B5" w:rsidRDefault="000263B5" w:rsidP="00FC64CC">
      <w:pPr>
        <w:pStyle w:val="Vresteksts"/>
      </w:pPr>
      <w:r>
        <w:rPr>
          <w:rStyle w:val="Vresatsauce"/>
        </w:rPr>
        <w:footnoteRef/>
      </w:r>
      <w:r>
        <w:t xml:space="preserve"> Izņēmums varētu būt šāda veida dokumentu izmantošana ārvalstīs</w:t>
      </w:r>
    </w:p>
  </w:footnote>
  <w:footnote w:id="4">
    <w:p w:rsidR="000263B5" w:rsidRDefault="000263B5" w:rsidP="007B14F9">
      <w:pPr>
        <w:pStyle w:val="Vresteksts"/>
      </w:pPr>
      <w:r>
        <w:rPr>
          <w:rStyle w:val="Vresatsauce"/>
        </w:rPr>
        <w:footnoteRef/>
      </w:r>
      <w:r>
        <w:t xml:space="preserve"> </w:t>
      </w:r>
      <w:hyperlink r:id="rId1" w:history="1">
        <w:r w:rsidRPr="00B5621F">
          <w:rPr>
            <w:rStyle w:val="Hipersaite"/>
          </w:rPr>
          <w:t>https://joinup.ec.europa.e</w:t>
        </w:r>
        <w:bookmarkStart w:id="52" w:name="_Hlt400955064"/>
        <w:bookmarkStart w:id="53" w:name="_Hlt400955065"/>
        <w:r w:rsidRPr="00B5621F">
          <w:rPr>
            <w:rStyle w:val="Hipersaite"/>
          </w:rPr>
          <w:t>u</w:t>
        </w:r>
        <w:bookmarkEnd w:id="52"/>
        <w:bookmarkEnd w:id="53"/>
        <w:r w:rsidRPr="00B5621F">
          <w:rPr>
            <w:rStyle w:val="Hipersaite"/>
          </w:rPr>
          <w:t>/catalogue/repository</w:t>
        </w:r>
      </w:hyperlink>
      <w:r>
        <w:t xml:space="preserve"> </w:t>
      </w:r>
    </w:p>
  </w:footnote>
  <w:footnote w:id="5">
    <w:p w:rsidR="000263B5" w:rsidRDefault="000263B5" w:rsidP="007B14F9">
      <w:pPr>
        <w:pStyle w:val="Vresteksts"/>
      </w:pPr>
      <w:r>
        <w:rPr>
          <w:rStyle w:val="Vresatsauce"/>
        </w:rPr>
        <w:footnoteRef/>
      </w:r>
      <w:r>
        <w:t xml:space="preserve"> Eiropas Parlamenta un padomes Direktīva 2003/98/EK. Par valsts sektora informācijas atkalizmantošanu</w:t>
      </w:r>
    </w:p>
  </w:footnote>
  <w:footnote w:id="6">
    <w:p w:rsidR="000263B5" w:rsidRDefault="000263B5" w:rsidP="007B14F9">
      <w:pPr>
        <w:pStyle w:val="Vresteksts"/>
      </w:pPr>
      <w:r w:rsidRPr="0066628E">
        <w:rPr>
          <w:rStyle w:val="Vresatsauce"/>
          <w:rFonts w:ascii="Arial Unicode MS" w:eastAsia="Arial Unicode MS" w:hAnsi="Arial Unicode MS" w:cs="Arial Unicode MS"/>
          <w:color w:val="000000"/>
          <w:sz w:val="20"/>
          <w:szCs w:val="20"/>
        </w:rPr>
        <w:footnoteRef/>
      </w:r>
      <w:r>
        <w:t xml:space="preserve"> </w:t>
      </w:r>
      <w:r w:rsidRPr="001C61C3">
        <w:rPr>
          <w:rFonts w:ascii="Arial Unicode MS" w:eastAsia="Arial Unicode MS" w:hAnsi="Arial Unicode MS" w:cs="Arial Unicode MS"/>
          <w:color w:val="000000"/>
          <w:sz w:val="20"/>
          <w:szCs w:val="20"/>
        </w:rPr>
        <w:t>Informācijas sabiedrības attīstības pamatnostādnes 2014.–2020.gadam. Ministru kabineta 2013.gada</w:t>
      </w:r>
      <w:r>
        <w:rPr>
          <w:rFonts w:ascii="Arial Unicode MS" w:eastAsia="Arial Unicode MS" w:hAnsi="Arial Unicode MS" w:cs="Arial Unicode MS"/>
          <w:color w:val="000000"/>
          <w:sz w:val="20"/>
          <w:szCs w:val="20"/>
        </w:rPr>
        <w:t xml:space="preserve"> </w:t>
      </w:r>
      <w:r w:rsidRPr="001C61C3">
        <w:rPr>
          <w:rFonts w:ascii="Arial Unicode MS" w:eastAsia="Arial Unicode MS" w:hAnsi="Arial Unicode MS" w:cs="Arial Unicode MS"/>
          <w:color w:val="000000"/>
          <w:sz w:val="20"/>
          <w:szCs w:val="20"/>
        </w:rPr>
        <w:t>14.oktobra rīkojums Nr. 468.</w:t>
      </w:r>
    </w:p>
  </w:footnote>
  <w:footnote w:id="7">
    <w:p w:rsidR="000263B5" w:rsidRDefault="000263B5" w:rsidP="00E95D38">
      <w:pPr>
        <w:pStyle w:val="Vresteksts"/>
      </w:pPr>
      <w:r>
        <w:rPr>
          <w:rStyle w:val="Vresatsauce"/>
        </w:rPr>
        <w:footnoteRef/>
      </w:r>
      <w:r>
        <w:rPr>
          <w:lang w:val="en-US"/>
        </w:rPr>
        <w:t xml:space="preserve"> </w:t>
      </w:r>
      <w:r w:rsidRPr="00C21B8F">
        <w:rPr>
          <w:lang w:val="en-US"/>
        </w:rPr>
        <w:t>The Case for Case Management Solutions, Gartner, Published: 19 June 2012</w:t>
      </w:r>
    </w:p>
  </w:footnote>
  <w:footnote w:id="8">
    <w:p w:rsidR="000263B5" w:rsidRPr="00345F6A" w:rsidRDefault="000263B5" w:rsidP="00E95D38">
      <w:pPr>
        <w:pStyle w:val="Vresteksts"/>
      </w:pPr>
      <w:r>
        <w:rPr>
          <w:rStyle w:val="Vresatsauce"/>
        </w:rPr>
        <w:footnoteRef/>
      </w:r>
      <w:r>
        <w:t xml:space="preserve"> </w:t>
      </w:r>
      <w:hyperlink r:id="rId2" w:history="1">
        <w:r w:rsidRPr="009E3A51">
          <w:rPr>
            <w:rStyle w:val="Hipersaite"/>
          </w:rPr>
          <w:t>http://ec.europa.eu/isa/documents/isa_annex_ii_eif_en.pdf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9C2" w:rsidRDefault="006729C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9C2" w:rsidRDefault="006729C2">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9C2" w:rsidRDefault="006729C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E"/>
    <w:multiLevelType w:val="singleLevel"/>
    <w:tmpl w:val="52DAE9F2"/>
    <w:lvl w:ilvl="0">
      <w:start w:val="1"/>
      <w:numFmt w:val="decimal"/>
      <w:pStyle w:val="Sarakstanumurs3"/>
      <w:lvlText w:val="%1."/>
      <w:lvlJc w:val="left"/>
      <w:pPr>
        <w:tabs>
          <w:tab w:val="num" w:pos="926"/>
        </w:tabs>
        <w:ind w:left="926" w:hanging="360"/>
      </w:pPr>
      <w:rPr>
        <w:rFonts w:cs="Times New Roman"/>
      </w:rPr>
    </w:lvl>
  </w:abstractNum>
  <w:abstractNum w:abstractNumId="1">
    <w:nsid w:val="FFFFFF82"/>
    <w:multiLevelType w:val="singleLevel"/>
    <w:tmpl w:val="37BA51EE"/>
    <w:lvl w:ilvl="0">
      <w:start w:val="1"/>
      <w:numFmt w:val="bullet"/>
      <w:pStyle w:val="Sarakstaaizzme3"/>
      <w:lvlText w:val=""/>
      <w:lvlJc w:val="left"/>
      <w:pPr>
        <w:tabs>
          <w:tab w:val="num" w:pos="926"/>
        </w:tabs>
        <w:ind w:left="926" w:hanging="360"/>
      </w:pPr>
      <w:rPr>
        <w:rFonts w:ascii="Symbol" w:hAnsi="Symbol" w:hint="default"/>
      </w:rPr>
    </w:lvl>
  </w:abstractNum>
  <w:abstractNum w:abstractNumId="2">
    <w:nsid w:val="FFFFFF88"/>
    <w:multiLevelType w:val="singleLevel"/>
    <w:tmpl w:val="F57A0DE6"/>
    <w:styleLink w:val="ISBullets1"/>
    <w:lvl w:ilvl="0">
      <w:start w:val="1"/>
      <w:numFmt w:val="decimal"/>
      <w:pStyle w:val="Sarakstanumurs"/>
      <w:lvlText w:val="%1."/>
      <w:lvlJc w:val="left"/>
      <w:pPr>
        <w:tabs>
          <w:tab w:val="num" w:pos="360"/>
        </w:tabs>
        <w:ind w:left="360" w:hanging="360"/>
      </w:pPr>
    </w:lvl>
  </w:abstractNum>
  <w:abstractNum w:abstractNumId="3">
    <w:nsid w:val="00000034"/>
    <w:multiLevelType w:val="multilevel"/>
    <w:tmpl w:val="00000034"/>
    <w:name w:val="WW8Num65"/>
    <w:lvl w:ilvl="0">
      <w:start w:val="1"/>
      <w:numFmt w:val="upperRoman"/>
      <w:lvlText w:val="%1.Nodaļa."/>
      <w:lvlJc w:val="left"/>
      <w:pPr>
        <w:tabs>
          <w:tab w:val="num" w:pos="0"/>
        </w:tabs>
        <w:ind w:left="0" w:firstLine="0"/>
      </w:pPr>
      <w:rPr>
        <w:rFonts w:ascii="Calibri" w:hAnsi="Calibri" w:cs="Times New Roman"/>
        <w:b/>
        <w:i w:val="0"/>
        <w:sz w:val="24"/>
      </w:rPr>
    </w:lvl>
    <w:lvl w:ilvl="1">
      <w:start w:val="1"/>
      <w:numFmt w:val="decimal"/>
      <w:lvlText w:val="[%2]"/>
      <w:lvlJc w:val="left"/>
      <w:pPr>
        <w:tabs>
          <w:tab w:val="num" w:pos="0"/>
        </w:tabs>
        <w:ind w:left="0" w:firstLine="0"/>
      </w:pPr>
      <w:rPr>
        <w:rFonts w:ascii="Times New Roman" w:hAnsi="Times New Roman" w:cs="Times New Roman"/>
        <w:b/>
        <w:i w:val="0"/>
        <w:sz w:val="28"/>
        <w:szCs w:val="28"/>
      </w:rPr>
    </w:lvl>
    <w:lvl w:ilvl="2">
      <w:start w:val="1"/>
      <w:numFmt w:val="decimal"/>
      <w:lvlText w:val="[%2.%3]"/>
      <w:lvlJc w:val="left"/>
      <w:pPr>
        <w:tabs>
          <w:tab w:val="num" w:pos="0"/>
        </w:tabs>
        <w:ind w:left="1134" w:firstLine="170"/>
      </w:pPr>
      <w:rPr>
        <w:rFonts w:ascii="Times New Roman" w:hAnsi="Times New Roman" w:cs="Times New Roman"/>
        <w:b/>
        <w:i w:val="0"/>
        <w:sz w:val="28"/>
        <w:szCs w:val="28"/>
      </w:rPr>
    </w:lvl>
    <w:lvl w:ilvl="3">
      <w:start w:val="1"/>
      <w:numFmt w:val="decimal"/>
      <w:lvlText w:val="[%2.%3.%4]"/>
      <w:lvlJc w:val="left"/>
      <w:pPr>
        <w:tabs>
          <w:tab w:val="num" w:pos="0"/>
        </w:tabs>
        <w:ind w:left="1588" w:firstLine="0"/>
      </w:pPr>
      <w:rPr>
        <w:b w:val="0"/>
      </w:rPr>
    </w:lvl>
    <w:lvl w:ilvl="4">
      <w:start w:val="1"/>
      <w:numFmt w:val="lowerLetter"/>
      <w:lvlText w:val="%5)"/>
      <w:lvlJc w:val="left"/>
      <w:pPr>
        <w:tabs>
          <w:tab w:val="num" w:pos="0"/>
        </w:tabs>
        <w:ind w:left="2913" w:hanging="360"/>
      </w:pPr>
    </w:lvl>
    <w:lvl w:ilvl="5">
      <w:start w:val="1"/>
      <w:numFmt w:val="lowerRoman"/>
      <w:lvlText w:val="%6."/>
      <w:lvlJc w:val="left"/>
      <w:pPr>
        <w:tabs>
          <w:tab w:val="num" w:pos="0"/>
        </w:tabs>
        <w:ind w:left="3633" w:hanging="180"/>
      </w:pPr>
    </w:lvl>
    <w:lvl w:ilvl="6">
      <w:start w:val="1"/>
      <w:numFmt w:val="decimal"/>
      <w:lvlText w:val="%7."/>
      <w:lvlJc w:val="left"/>
      <w:pPr>
        <w:tabs>
          <w:tab w:val="num" w:pos="0"/>
        </w:tabs>
        <w:ind w:left="4353" w:hanging="360"/>
      </w:pPr>
    </w:lvl>
    <w:lvl w:ilvl="7">
      <w:start w:val="1"/>
      <w:numFmt w:val="lowerLetter"/>
      <w:lvlText w:val="%8."/>
      <w:lvlJc w:val="left"/>
      <w:pPr>
        <w:tabs>
          <w:tab w:val="num" w:pos="0"/>
        </w:tabs>
        <w:ind w:left="5073" w:hanging="360"/>
      </w:pPr>
    </w:lvl>
    <w:lvl w:ilvl="8">
      <w:start w:val="1"/>
      <w:numFmt w:val="lowerRoman"/>
      <w:lvlText w:val="%9."/>
      <w:lvlJc w:val="left"/>
      <w:pPr>
        <w:tabs>
          <w:tab w:val="num" w:pos="0"/>
        </w:tabs>
        <w:ind w:left="5793" w:hanging="180"/>
      </w:pPr>
    </w:lvl>
  </w:abstractNum>
  <w:abstractNum w:abstractNumId="4">
    <w:nsid w:val="003E0516"/>
    <w:multiLevelType w:val="multilevel"/>
    <w:tmpl w:val="D8BAD350"/>
    <w:lvl w:ilvl="0">
      <w:start w:val="1"/>
      <w:numFmt w:val="decimal"/>
      <w:lvlRestart w:val="0"/>
      <w:pStyle w:val="NumHeading1"/>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247"/>
        </w:tabs>
        <w:ind w:left="1247" w:hanging="1247"/>
      </w:pPr>
      <w:rPr>
        <w:rFonts w:hint="default"/>
      </w:rPr>
    </w:lvl>
    <w:lvl w:ilvl="4">
      <w:start w:val="1"/>
      <w:numFmt w:val="decimal"/>
      <w:lvlText w:val="%1.%2.%3.%4.%5"/>
      <w:lvlJc w:val="left"/>
      <w:pPr>
        <w:tabs>
          <w:tab w:val="num" w:pos="1474"/>
        </w:tabs>
        <w:ind w:left="1474" w:hanging="1474"/>
      </w:pPr>
      <w:rPr>
        <w:rFonts w:hint="default"/>
      </w:rPr>
    </w:lvl>
    <w:lvl w:ilvl="5">
      <w:start w:val="1"/>
      <w:numFmt w:val="decimal"/>
      <w:lvlText w:val="%2.%3.%4.%5.%6."/>
      <w:lvlJc w:val="left"/>
      <w:pPr>
        <w:tabs>
          <w:tab w:val="num" w:pos="2835"/>
        </w:tabs>
        <w:ind w:left="2835" w:hanging="2608"/>
      </w:pPr>
      <w:rPr>
        <w:rFonts w:hint="default"/>
      </w:rPr>
    </w:lvl>
    <w:lvl w:ilvl="6">
      <w:start w:val="1"/>
      <w:numFmt w:val="decimal"/>
      <w:lvlText w:val="%1.%2.%3.%4.%5.%6.%7."/>
      <w:lvlJc w:val="left"/>
      <w:pPr>
        <w:tabs>
          <w:tab w:val="num" w:pos="5627"/>
        </w:tabs>
        <w:ind w:left="3467" w:hanging="1080"/>
      </w:pPr>
      <w:rPr>
        <w:rFonts w:hint="default"/>
      </w:rPr>
    </w:lvl>
    <w:lvl w:ilvl="7">
      <w:start w:val="1"/>
      <w:numFmt w:val="upperLetter"/>
      <w:lvlRestart w:val="0"/>
      <w:pStyle w:val="HeadingAppendixOld"/>
      <w:lvlText w:val="APPENDIX %8"/>
      <w:lvlJc w:val="left"/>
      <w:pPr>
        <w:tabs>
          <w:tab w:val="num" w:pos="2155"/>
        </w:tabs>
        <w:ind w:left="2155" w:hanging="2155"/>
      </w:pPr>
      <w:rPr>
        <w:rFonts w:hint="default"/>
      </w:rPr>
    </w:lvl>
    <w:lvl w:ilvl="8">
      <w:start w:val="1"/>
      <w:numFmt w:val="upperRoman"/>
      <w:lvlRestart w:val="0"/>
      <w:pStyle w:val="HeadingPart"/>
      <w:lvlText w:val="PART %9"/>
      <w:lvlJc w:val="left"/>
      <w:pPr>
        <w:tabs>
          <w:tab w:val="num" w:pos="1418"/>
        </w:tabs>
        <w:ind w:left="1418" w:hanging="1418"/>
      </w:pPr>
      <w:rPr>
        <w:rFonts w:hint="default"/>
      </w:rPr>
    </w:lvl>
  </w:abstractNum>
  <w:abstractNum w:abstractNumId="5">
    <w:nsid w:val="00671962"/>
    <w:multiLevelType w:val="hybridMultilevel"/>
    <w:tmpl w:val="9E56E6FE"/>
    <w:lvl w:ilvl="0" w:tplc="5614A666">
      <w:start w:val="1"/>
      <w:numFmt w:val="decimal"/>
      <w:pStyle w:val="ISBodySubheadKT"/>
      <w:lvlText w:val="KT%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12A56D4"/>
    <w:multiLevelType w:val="multilevel"/>
    <w:tmpl w:val="63D2FBD0"/>
    <w:styleLink w:val="Style3"/>
    <w:lvl w:ilvl="0">
      <w:start w:val="1"/>
      <w:numFmt w:val="bullet"/>
      <w:lvlText w:val=""/>
      <w:lvlJc w:val="left"/>
      <w:pPr>
        <w:ind w:left="1080" w:hanging="360"/>
      </w:pPr>
      <w:rPr>
        <w:rFonts w:ascii="Wingdings" w:hAnsi="Wingdings" w:hint="default"/>
        <w:color w:val="C00000"/>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nsid w:val="020F2125"/>
    <w:multiLevelType w:val="hybridMultilevel"/>
    <w:tmpl w:val="96C461E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nsid w:val="02F36170"/>
    <w:multiLevelType w:val="hybridMultilevel"/>
    <w:tmpl w:val="9A5685EA"/>
    <w:lvl w:ilvl="0" w:tplc="042A4276">
      <w:start w:val="1"/>
      <w:numFmt w:val="decimal"/>
      <w:pStyle w:val="ISBodySubheadKV"/>
      <w:lvlText w:val="PB%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035B58AE"/>
    <w:multiLevelType w:val="multilevel"/>
    <w:tmpl w:val="DF960738"/>
    <w:styleLink w:val="ISBullets"/>
    <w:lvl w:ilvl="0">
      <w:start w:val="1"/>
      <w:numFmt w:val="bullet"/>
      <w:lvlText w:val=""/>
      <w:lvlJc w:val="left"/>
      <w:pPr>
        <w:ind w:left="1080" w:hanging="360"/>
      </w:pPr>
      <w:rPr>
        <w:rFonts w:ascii="Wingdings" w:hAnsi="Wingdings"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045F50F9"/>
    <w:multiLevelType w:val="multilevel"/>
    <w:tmpl w:val="ECA4EAFA"/>
    <w:numStyleLink w:val="Bullets"/>
  </w:abstractNum>
  <w:abstractNum w:abstractNumId="11">
    <w:nsid w:val="05164C2E"/>
    <w:multiLevelType w:val="multilevel"/>
    <w:tmpl w:val="DF960738"/>
    <w:lvl w:ilvl="0">
      <w:start w:val="1"/>
      <w:numFmt w:val="bullet"/>
      <w:pStyle w:val="ISBulletText"/>
      <w:lvlText w:val=""/>
      <w:lvlJc w:val="left"/>
      <w:pPr>
        <w:ind w:left="1080" w:hanging="360"/>
      </w:pPr>
      <w:rPr>
        <w:rFonts w:ascii="Wingdings" w:hAnsi="Wingdings"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nsid w:val="054437D8"/>
    <w:multiLevelType w:val="multilevel"/>
    <w:tmpl w:val="8B9C8B04"/>
    <w:lvl w:ilvl="0">
      <w:start w:val="1"/>
      <w:numFmt w:val="decimal"/>
      <w:pStyle w:val="ISBodyTextNumbered"/>
      <w:lvlText w:val="[%1]"/>
      <w:lvlJc w:val="left"/>
      <w:pPr>
        <w:tabs>
          <w:tab w:val="num" w:pos="567"/>
        </w:tabs>
        <w:ind w:left="567" w:hanging="567"/>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8347356"/>
    <w:multiLevelType w:val="hybridMultilevel"/>
    <w:tmpl w:val="FC8E8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815AC4"/>
    <w:multiLevelType w:val="multilevel"/>
    <w:tmpl w:val="FC808132"/>
    <w:styleLink w:val="CurrentList3"/>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Neo'w 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Neo'w 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Neo'w 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2E106F0"/>
    <w:multiLevelType w:val="multilevel"/>
    <w:tmpl w:val="4AB09CF4"/>
    <w:numStyleLink w:val="Style4"/>
  </w:abstractNum>
  <w:abstractNum w:abstractNumId="16">
    <w:nsid w:val="142E6456"/>
    <w:multiLevelType w:val="multilevel"/>
    <w:tmpl w:val="DF960738"/>
    <w:numStyleLink w:val="ISBullets"/>
  </w:abstractNum>
  <w:abstractNum w:abstractNumId="17">
    <w:nsid w:val="147E6190"/>
    <w:multiLevelType w:val="hybridMultilevel"/>
    <w:tmpl w:val="283AB1EC"/>
    <w:lvl w:ilvl="0" w:tplc="7C1A5DDC">
      <w:start w:val="1"/>
      <w:numFmt w:val="bullet"/>
      <w:pStyle w:val="Sarakstaaizzme"/>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00A62D7"/>
    <w:multiLevelType w:val="multilevel"/>
    <w:tmpl w:val="EC064CC4"/>
    <w:lvl w:ilvl="0">
      <w:start w:val="1"/>
      <w:numFmt w:val="decimal"/>
      <w:pStyle w:val="ISNumbered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0935DBD"/>
    <w:multiLevelType w:val="hybridMultilevel"/>
    <w:tmpl w:val="92A09AD8"/>
    <w:lvl w:ilvl="0" w:tplc="1D98AB12">
      <w:start w:val="1"/>
      <w:numFmt w:val="decimal"/>
      <w:pStyle w:val="ISTableNumberedList"/>
      <w:lvlText w:val="%1."/>
      <w:lvlJc w:val="left"/>
      <w:pPr>
        <w:tabs>
          <w:tab w:val="num" w:pos="360"/>
        </w:tabs>
        <w:ind w:left="357" w:hanging="357"/>
      </w:pPr>
      <w:rPr>
        <w:rFonts w:hint="default"/>
      </w:rPr>
    </w:lvl>
    <w:lvl w:ilvl="1" w:tplc="0426000F">
      <w:start w:val="1"/>
      <w:numFmt w:val="bullet"/>
      <w:lvlText w:val=""/>
      <w:lvlJc w:val="left"/>
      <w:pPr>
        <w:tabs>
          <w:tab w:val="num" w:pos="1080"/>
        </w:tabs>
        <w:ind w:left="1080" w:hanging="360"/>
      </w:pPr>
      <w:rPr>
        <w:rFonts w:ascii="Symbol" w:hAnsi="Symbol" w:hint="default"/>
      </w:rPr>
    </w:lvl>
    <w:lvl w:ilvl="2" w:tplc="04260005" w:tentative="1">
      <w:start w:val="1"/>
      <w:numFmt w:val="lowerRoman"/>
      <w:lvlText w:val="%3."/>
      <w:lvlJc w:val="right"/>
      <w:pPr>
        <w:tabs>
          <w:tab w:val="num" w:pos="1800"/>
        </w:tabs>
        <w:ind w:left="1800" w:hanging="180"/>
      </w:pPr>
    </w:lvl>
    <w:lvl w:ilvl="3" w:tplc="04260001" w:tentative="1">
      <w:start w:val="1"/>
      <w:numFmt w:val="decimal"/>
      <w:lvlText w:val="%4."/>
      <w:lvlJc w:val="left"/>
      <w:pPr>
        <w:tabs>
          <w:tab w:val="num" w:pos="2520"/>
        </w:tabs>
        <w:ind w:left="2520" w:hanging="360"/>
      </w:pPr>
    </w:lvl>
    <w:lvl w:ilvl="4" w:tplc="04260003" w:tentative="1">
      <w:start w:val="1"/>
      <w:numFmt w:val="lowerLetter"/>
      <w:lvlText w:val="%5."/>
      <w:lvlJc w:val="left"/>
      <w:pPr>
        <w:tabs>
          <w:tab w:val="num" w:pos="3240"/>
        </w:tabs>
        <w:ind w:left="3240" w:hanging="360"/>
      </w:pPr>
    </w:lvl>
    <w:lvl w:ilvl="5" w:tplc="04260005" w:tentative="1">
      <w:start w:val="1"/>
      <w:numFmt w:val="lowerRoman"/>
      <w:lvlText w:val="%6."/>
      <w:lvlJc w:val="right"/>
      <w:pPr>
        <w:tabs>
          <w:tab w:val="num" w:pos="3960"/>
        </w:tabs>
        <w:ind w:left="3960" w:hanging="180"/>
      </w:pPr>
    </w:lvl>
    <w:lvl w:ilvl="6" w:tplc="04260001" w:tentative="1">
      <w:start w:val="1"/>
      <w:numFmt w:val="decimal"/>
      <w:lvlText w:val="%7."/>
      <w:lvlJc w:val="left"/>
      <w:pPr>
        <w:tabs>
          <w:tab w:val="num" w:pos="4680"/>
        </w:tabs>
        <w:ind w:left="4680" w:hanging="360"/>
      </w:pPr>
    </w:lvl>
    <w:lvl w:ilvl="7" w:tplc="04260003" w:tentative="1">
      <w:start w:val="1"/>
      <w:numFmt w:val="lowerLetter"/>
      <w:lvlText w:val="%8."/>
      <w:lvlJc w:val="left"/>
      <w:pPr>
        <w:tabs>
          <w:tab w:val="num" w:pos="5400"/>
        </w:tabs>
        <w:ind w:left="5400" w:hanging="360"/>
      </w:pPr>
    </w:lvl>
    <w:lvl w:ilvl="8" w:tplc="04260005" w:tentative="1">
      <w:start w:val="1"/>
      <w:numFmt w:val="lowerRoman"/>
      <w:lvlText w:val="%9."/>
      <w:lvlJc w:val="right"/>
      <w:pPr>
        <w:tabs>
          <w:tab w:val="num" w:pos="6120"/>
        </w:tabs>
        <w:ind w:left="6120" w:hanging="180"/>
      </w:pPr>
    </w:lvl>
  </w:abstractNum>
  <w:abstractNum w:abstractNumId="20">
    <w:nsid w:val="20DE1EC0"/>
    <w:multiLevelType w:val="hybridMultilevel"/>
    <w:tmpl w:val="CDC82CA6"/>
    <w:lvl w:ilvl="0" w:tplc="7C1A5DDC">
      <w:start w:val="1"/>
      <w:numFmt w:val="bullet"/>
      <w:pStyle w:val="StyleEYBulletTextRight0cmAfter0ptLinespacings"/>
      <w:lvlText w:val=""/>
      <w:lvlJc w:val="left"/>
      <w:pPr>
        <w:tabs>
          <w:tab w:val="num" w:pos="340"/>
        </w:tabs>
        <w:ind w:left="340" w:hanging="340"/>
      </w:pPr>
      <w:rPr>
        <w:rFonts w:ascii="Wingdings" w:hAnsi="Wingdings" w:hint="default"/>
        <w:color w:val="4367C5"/>
        <w:sz w:val="18"/>
        <w:szCs w:val="18"/>
      </w:rPr>
    </w:lvl>
    <w:lvl w:ilvl="1" w:tplc="FFFFFFFF">
      <w:start w:val="1"/>
      <w:numFmt w:val="decimal"/>
      <w:lvlText w:val="%2."/>
      <w:lvlJc w:val="left"/>
      <w:pPr>
        <w:tabs>
          <w:tab w:val="num" w:pos="1440"/>
        </w:tabs>
        <w:ind w:left="1440" w:hanging="360"/>
      </w:pPr>
      <w:rPr>
        <w:rFonts w:hint="default"/>
        <w:color w:val="4367C5"/>
        <w:sz w:val="1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Neo'w 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Neo'w 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23B87FAB"/>
    <w:multiLevelType w:val="multilevel"/>
    <w:tmpl w:val="ECA4EAFA"/>
    <w:styleLink w:val="Bullets"/>
    <w:lvl w:ilvl="0">
      <w:start w:val="1"/>
      <w:numFmt w:val="bullet"/>
      <w:pStyle w:val="Sarakstarindkopa"/>
      <w:lvlText w:val=""/>
      <w:lvlJc w:val="left"/>
      <w:pPr>
        <w:tabs>
          <w:tab w:val="num" w:pos="907"/>
        </w:tabs>
        <w:ind w:left="907" w:hanging="340"/>
      </w:pPr>
      <w:rPr>
        <w:rFonts w:ascii="Wingdings 2" w:hAnsi="Wingdings 2" w:cs="!Neo'w Arial" w:hint="default"/>
        <w:color w:val="808080"/>
        <w:sz w:val="20"/>
        <w:szCs w:val="20"/>
      </w:rPr>
    </w:lvl>
    <w:lvl w:ilvl="1">
      <w:start w:val="1"/>
      <w:numFmt w:val="bullet"/>
      <w:lvlText w:val=""/>
      <w:lvlJc w:val="left"/>
      <w:pPr>
        <w:tabs>
          <w:tab w:val="num" w:pos="1247"/>
        </w:tabs>
        <w:ind w:left="1247" w:hanging="340"/>
      </w:pPr>
      <w:rPr>
        <w:rFonts w:ascii="Wingdings 2" w:hAnsi="Wingdings 2" w:cs="!Neo'w Arial" w:hint="default"/>
        <w:b w:val="0"/>
        <w:bCs w:val="0"/>
        <w:i w:val="0"/>
        <w:iCs w:val="0"/>
        <w:color w:val="808080"/>
        <w:sz w:val="20"/>
        <w:szCs w:val="20"/>
      </w:rPr>
    </w:lvl>
    <w:lvl w:ilvl="2">
      <w:start w:val="1"/>
      <w:numFmt w:val="bullet"/>
      <w:lvlText w:val=""/>
      <w:lvlJc w:val="left"/>
      <w:pPr>
        <w:tabs>
          <w:tab w:val="num" w:pos="1588"/>
        </w:tabs>
        <w:ind w:left="1588" w:hanging="341"/>
      </w:pPr>
      <w:rPr>
        <w:rFonts w:ascii="Wingdings 2" w:hAnsi="Wingdings 2" w:cs="!Neo'w Arial" w:hint="default"/>
        <w:bCs w:val="0"/>
        <w:iCs w:val="0"/>
        <w:color w:val="808080"/>
        <w:sz w:val="20"/>
        <w:szCs w:val="20"/>
      </w:rPr>
    </w:lvl>
    <w:lvl w:ilvl="3">
      <w:start w:val="1"/>
      <w:numFmt w:val="bullet"/>
      <w:lvlText w:val=""/>
      <w:lvlJc w:val="left"/>
      <w:pPr>
        <w:tabs>
          <w:tab w:val="num" w:pos="1928"/>
        </w:tabs>
        <w:ind w:left="1928" w:hanging="340"/>
      </w:pPr>
      <w:rPr>
        <w:rFonts w:ascii="Wingdings 2" w:hAnsi="Wingdings 2" w:cs="!Neo'w Arial" w:hint="default"/>
        <w:b w:val="0"/>
        <w:bCs w:val="0"/>
        <w:i w:val="0"/>
        <w:iCs w:val="0"/>
        <w:color w:val="80808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27DD7D11"/>
    <w:multiLevelType w:val="hybridMultilevel"/>
    <w:tmpl w:val="CD42DC46"/>
    <w:lvl w:ilvl="0" w:tplc="0FD0FA02">
      <w:start w:val="1"/>
      <w:numFmt w:val="decimal"/>
      <w:pStyle w:val="ISBodySubheadPV"/>
      <w:lvlText w:val="PV%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2B8967E3"/>
    <w:multiLevelType w:val="hybridMultilevel"/>
    <w:tmpl w:val="6492CAF8"/>
    <w:lvl w:ilvl="0" w:tplc="BC84C6B2">
      <w:start w:val="1"/>
      <w:numFmt w:val="decimal"/>
      <w:pStyle w:val="EYResumeNameTitle"/>
      <w:lvlText w:val="%1."/>
      <w:lvlJc w:val="left"/>
      <w:pPr>
        <w:tabs>
          <w:tab w:val="num" w:pos="720"/>
        </w:tabs>
        <w:ind w:left="720" w:hanging="360"/>
      </w:pPr>
      <w:rPr>
        <w:rFonts w:hint="default"/>
        <w:color w:val="3F6BC1"/>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nsid w:val="2ED84FE8"/>
    <w:multiLevelType w:val="multilevel"/>
    <w:tmpl w:val="C3C29A28"/>
    <w:lvl w:ilvl="0">
      <w:start w:val="1"/>
      <w:numFmt w:val="decimal"/>
      <w:pStyle w:val="ISBodySubheadNumbered"/>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FC024EA"/>
    <w:multiLevelType w:val="hybridMultilevel"/>
    <w:tmpl w:val="E806F254"/>
    <w:lvl w:ilvl="0" w:tplc="D6A07916">
      <w:start w:val="1"/>
      <w:numFmt w:val="decimal"/>
      <w:pStyle w:val="Princips"/>
      <w:lvlText w:val="P%1:"/>
      <w:lvlJc w:val="right"/>
      <w:pPr>
        <w:ind w:left="501"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nsid w:val="32662610"/>
    <w:multiLevelType w:val="multilevel"/>
    <w:tmpl w:val="9B28BE1E"/>
    <w:styleLink w:val="CurrentList1"/>
    <w:lvl w:ilvl="0">
      <w:start w:val="1"/>
      <w:numFmt w:val="bullet"/>
      <w:lvlText w:val=""/>
      <w:lvlJc w:val="left"/>
      <w:pPr>
        <w:tabs>
          <w:tab w:val="num" w:pos="1134"/>
        </w:tabs>
        <w:ind w:left="1134" w:hanging="283"/>
      </w:pPr>
      <w:rPr>
        <w:rFonts w:ascii="Symbol" w:hAnsi="Symbol" w:hint="default"/>
        <w:sz w:val="28"/>
      </w:rPr>
    </w:lvl>
    <w:lvl w:ilvl="1">
      <w:start w:val="1"/>
      <w:numFmt w:val="bullet"/>
      <w:lvlText w:val="o"/>
      <w:lvlJc w:val="left"/>
      <w:pPr>
        <w:tabs>
          <w:tab w:val="num" w:pos="1701"/>
        </w:tabs>
        <w:ind w:left="1701" w:hanging="283"/>
      </w:pPr>
      <w:rPr>
        <w:rFonts w:ascii="Times New Roman" w:hAnsi="Times New Roman" w:cs="Times New Roman" w:hint="default"/>
      </w:rPr>
    </w:lvl>
    <w:lvl w:ilvl="2">
      <w:start w:val="1"/>
      <w:numFmt w:val="bullet"/>
      <w:lvlText w:val=""/>
      <w:lvlJc w:val="left"/>
      <w:pPr>
        <w:tabs>
          <w:tab w:val="num" w:pos="2268"/>
        </w:tabs>
        <w:ind w:left="2268" w:hanging="283"/>
      </w:pPr>
      <w:rPr>
        <w:rFonts w:ascii="Wingdings" w:hAnsi="Wingdings" w:hint="default"/>
      </w:rPr>
    </w:lvl>
    <w:lvl w:ilvl="3">
      <w:start w:val="1"/>
      <w:numFmt w:val="bullet"/>
      <w:lvlText w:val=""/>
      <w:lvlJc w:val="left"/>
      <w:pPr>
        <w:tabs>
          <w:tab w:val="num" w:pos="16200"/>
        </w:tabs>
        <w:ind w:left="16200" w:hanging="360"/>
      </w:pPr>
      <w:rPr>
        <w:rFonts w:ascii="Symbol" w:hAnsi="Symbol" w:hint="default"/>
      </w:rPr>
    </w:lvl>
    <w:lvl w:ilvl="4">
      <w:start w:val="1"/>
      <w:numFmt w:val="bullet"/>
      <w:lvlText w:val="o"/>
      <w:lvlJc w:val="left"/>
      <w:pPr>
        <w:tabs>
          <w:tab w:val="num" w:pos="16920"/>
        </w:tabs>
        <w:ind w:left="16920" w:hanging="360"/>
      </w:pPr>
      <w:rPr>
        <w:rFonts w:ascii="Courier New" w:hAnsi="Courier New" w:cs="!Neo'w Arial" w:hint="default"/>
      </w:rPr>
    </w:lvl>
    <w:lvl w:ilvl="5">
      <w:start w:val="1"/>
      <w:numFmt w:val="bullet"/>
      <w:lvlText w:val=""/>
      <w:lvlJc w:val="left"/>
      <w:pPr>
        <w:tabs>
          <w:tab w:val="num" w:pos="17640"/>
        </w:tabs>
        <w:ind w:left="17640" w:hanging="360"/>
      </w:pPr>
      <w:rPr>
        <w:rFonts w:ascii="Wingdings" w:hAnsi="Wingdings" w:hint="default"/>
      </w:rPr>
    </w:lvl>
    <w:lvl w:ilvl="6">
      <w:start w:val="1"/>
      <w:numFmt w:val="bullet"/>
      <w:lvlText w:val=""/>
      <w:lvlJc w:val="left"/>
      <w:pPr>
        <w:tabs>
          <w:tab w:val="num" w:pos="18360"/>
        </w:tabs>
        <w:ind w:left="18360" w:hanging="360"/>
      </w:pPr>
      <w:rPr>
        <w:rFonts w:ascii="Symbol" w:hAnsi="Symbol" w:hint="default"/>
      </w:rPr>
    </w:lvl>
    <w:lvl w:ilvl="7">
      <w:start w:val="1"/>
      <w:numFmt w:val="bullet"/>
      <w:lvlText w:val="o"/>
      <w:lvlJc w:val="left"/>
      <w:pPr>
        <w:tabs>
          <w:tab w:val="num" w:pos="19080"/>
        </w:tabs>
        <w:ind w:left="19080" w:hanging="360"/>
      </w:pPr>
      <w:rPr>
        <w:rFonts w:ascii="Courier New" w:hAnsi="Courier New" w:cs="!Neo'w Arial" w:hint="default"/>
      </w:rPr>
    </w:lvl>
    <w:lvl w:ilvl="8">
      <w:start w:val="1"/>
      <w:numFmt w:val="bullet"/>
      <w:lvlText w:val=""/>
      <w:lvlJc w:val="left"/>
      <w:pPr>
        <w:tabs>
          <w:tab w:val="num" w:pos="19800"/>
        </w:tabs>
        <w:ind w:left="19800" w:hanging="360"/>
      </w:pPr>
      <w:rPr>
        <w:rFonts w:ascii="Wingdings" w:hAnsi="Wingdings" w:hint="default"/>
      </w:rPr>
    </w:lvl>
  </w:abstractNum>
  <w:abstractNum w:abstractNumId="27">
    <w:nsid w:val="35ED781E"/>
    <w:multiLevelType w:val="hybridMultilevel"/>
    <w:tmpl w:val="ACF01D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386A6E73"/>
    <w:multiLevelType w:val="hybridMultilevel"/>
    <w:tmpl w:val="4F4A1F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386E20E5"/>
    <w:multiLevelType w:val="hybridMultilevel"/>
    <w:tmpl w:val="65A6E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3CEA12BA"/>
    <w:multiLevelType w:val="multilevel"/>
    <w:tmpl w:val="E9C8569A"/>
    <w:lvl w:ilvl="0">
      <w:start w:val="1"/>
      <w:numFmt w:val="decimal"/>
      <w:lvlText w:val="%1."/>
      <w:lvlJc w:val="left"/>
      <w:pPr>
        <w:tabs>
          <w:tab w:val="num" w:pos="720"/>
        </w:tabs>
        <w:ind w:left="360" w:hanging="360"/>
      </w:pPr>
      <w:rPr>
        <w:rFonts w:hint="default"/>
      </w:rPr>
    </w:lvl>
    <w:lvl w:ilvl="1">
      <w:start w:val="1"/>
      <w:numFmt w:val="decimal"/>
      <w:pStyle w:val="StyleEYHeading1LatinArial10pt"/>
      <w:lvlText w:val="%1.%2."/>
      <w:lvlJc w:val="left"/>
      <w:pPr>
        <w:tabs>
          <w:tab w:val="num" w:pos="180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31">
    <w:nsid w:val="42422B5C"/>
    <w:multiLevelType w:val="multilevel"/>
    <w:tmpl w:val="BBCE5268"/>
    <w:styleLink w:val="BulletsTable"/>
    <w:lvl w:ilvl="0">
      <w:start w:val="1"/>
      <w:numFmt w:val="bullet"/>
      <w:lvlText w:val=""/>
      <w:lvlJc w:val="left"/>
      <w:pPr>
        <w:tabs>
          <w:tab w:val="num" w:pos="227"/>
        </w:tabs>
        <w:ind w:left="227" w:hanging="227"/>
      </w:pPr>
      <w:rPr>
        <w:rFonts w:ascii="Wingdings 2" w:eastAsia="Wingdings 2" w:hAnsi="Wingdings 2" w:cs="!Neo'w Arial" w:hint="default"/>
        <w:b w:val="0"/>
        <w:bCs w:val="0"/>
        <w:i w:val="0"/>
        <w:iCs w:val="0"/>
        <w:color w:val="808080"/>
        <w:sz w:val="18"/>
        <w:szCs w:val="18"/>
      </w:rPr>
    </w:lvl>
    <w:lvl w:ilvl="1">
      <w:start w:val="1"/>
      <w:numFmt w:val="bullet"/>
      <w:lvlText w:val=""/>
      <w:lvlJc w:val="left"/>
      <w:pPr>
        <w:tabs>
          <w:tab w:val="num" w:pos="454"/>
        </w:tabs>
        <w:ind w:left="454" w:hanging="227"/>
      </w:pPr>
      <w:rPr>
        <w:rFonts w:ascii="Wingdings 2" w:eastAsia="Wingdings 2" w:hAnsi="Wingdings 2" w:cs="!Neo'w Arial" w:hint="default"/>
        <w:bCs w:val="0"/>
        <w:iCs w:val="0"/>
        <w:color w:val="808080"/>
        <w:sz w:val="18"/>
        <w:szCs w:val="18"/>
      </w:rPr>
    </w:lvl>
    <w:lvl w:ilvl="2">
      <w:start w:val="1"/>
      <w:numFmt w:val="bullet"/>
      <w:lvlText w:val=""/>
      <w:lvlJc w:val="left"/>
      <w:pPr>
        <w:tabs>
          <w:tab w:val="num" w:pos="680"/>
        </w:tabs>
        <w:ind w:left="680" w:hanging="226"/>
      </w:pPr>
      <w:rPr>
        <w:rFonts w:ascii="Wingdings 2" w:eastAsia="Wingdings 2" w:hAnsi="Wingdings 2" w:cs="!Neo'w Arial" w:hint="default"/>
        <w:color w:val="808080"/>
        <w:sz w:val="18"/>
        <w:szCs w:val="18"/>
      </w:rPr>
    </w:lvl>
    <w:lvl w:ilvl="3">
      <w:start w:val="1"/>
      <w:numFmt w:val="bullet"/>
      <w:lvlText w:val=""/>
      <w:lvlJc w:val="left"/>
      <w:pPr>
        <w:tabs>
          <w:tab w:val="num" w:pos="907"/>
        </w:tabs>
        <w:ind w:left="907" w:hanging="227"/>
      </w:pPr>
      <w:rPr>
        <w:rFonts w:ascii="Wingdings 2" w:eastAsia="Wingdings 2" w:hAnsi="Wingdings 2" w:cs="!Neo'w Arial" w:hint="default"/>
        <w:color w:val="808080"/>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43A312F3"/>
    <w:multiLevelType w:val="hybridMultilevel"/>
    <w:tmpl w:val="686A081A"/>
    <w:lvl w:ilvl="0" w:tplc="442CA8A6">
      <w:start w:val="1"/>
      <w:numFmt w:val="decimal"/>
      <w:pStyle w:val="ISBodySubheadPB"/>
      <w:lvlText w:val="PB%1: "/>
      <w:lvlJc w:val="left"/>
      <w:pPr>
        <w:ind w:left="360" w:hanging="360"/>
      </w:pPr>
      <w:rPr>
        <w:rFonts w:hint="default"/>
        <w:lang w:val="lv-LV"/>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442627AB"/>
    <w:multiLevelType w:val="multilevel"/>
    <w:tmpl w:val="21CE215A"/>
    <w:lvl w:ilvl="0">
      <w:start w:val="1"/>
      <w:numFmt w:val="bullet"/>
      <w:lvlText w:val="●"/>
      <w:lvlJc w:val="left"/>
      <w:pPr>
        <w:ind w:left="-566" w:firstLine="1276"/>
      </w:pPr>
      <w:rPr>
        <w:rFonts w:ascii="Arial" w:eastAsia="Arial" w:hAnsi="Arial" w:cs="Arial"/>
        <w:b w:val="0"/>
        <w:i w:val="0"/>
        <w:smallCaps w:val="0"/>
        <w:strike w:val="0"/>
        <w:dstrike w:val="0"/>
        <w:color w:val="000000"/>
        <w:sz w:val="22"/>
        <w:u w:val="none"/>
        <w:effect w:val="none"/>
        <w:vertAlign w:val="baseline"/>
      </w:rPr>
    </w:lvl>
    <w:lvl w:ilvl="1">
      <w:start w:val="1"/>
      <w:numFmt w:val="bullet"/>
      <w:lvlText w:val="○"/>
      <w:lvlJc w:val="left"/>
      <w:pPr>
        <w:ind w:left="-861" w:firstLine="1996"/>
      </w:pPr>
      <w:rPr>
        <w:rFonts w:ascii="Arial" w:eastAsia="Arial" w:hAnsi="Arial" w:cs="Arial"/>
        <w:b w:val="0"/>
        <w:i w:val="0"/>
        <w:smallCaps w:val="0"/>
        <w:strike w:val="0"/>
        <w:dstrike w:val="0"/>
        <w:color w:val="000000"/>
        <w:sz w:val="22"/>
        <w:u w:val="none"/>
        <w:effect w:val="none"/>
        <w:vertAlign w:val="baseline"/>
      </w:rPr>
    </w:lvl>
    <w:lvl w:ilvl="2">
      <w:start w:val="1"/>
      <w:numFmt w:val="bullet"/>
      <w:lvlText w:val="■"/>
      <w:lvlJc w:val="left"/>
      <w:pPr>
        <w:ind w:left="874" w:firstLine="2716"/>
      </w:pPr>
      <w:rPr>
        <w:rFonts w:ascii="Arial" w:eastAsia="Arial" w:hAnsi="Arial" w:cs="Arial"/>
        <w:b w:val="0"/>
        <w:i w:val="0"/>
        <w:smallCaps w:val="0"/>
        <w:strike w:val="0"/>
        <w:dstrike w:val="0"/>
        <w:color w:val="000000"/>
        <w:sz w:val="22"/>
        <w:u w:val="none"/>
        <w:effect w:val="none"/>
        <w:vertAlign w:val="baseline"/>
      </w:rPr>
    </w:lvl>
    <w:lvl w:ilvl="3">
      <w:start w:val="1"/>
      <w:numFmt w:val="bullet"/>
      <w:lvlText w:val="●"/>
      <w:lvlJc w:val="left"/>
      <w:pPr>
        <w:ind w:left="1594" w:firstLine="3436"/>
      </w:pPr>
      <w:rPr>
        <w:rFonts w:ascii="Arial" w:eastAsia="Arial" w:hAnsi="Arial" w:cs="Arial"/>
        <w:b w:val="0"/>
        <w:i w:val="0"/>
        <w:smallCaps w:val="0"/>
        <w:strike w:val="0"/>
        <w:dstrike w:val="0"/>
        <w:color w:val="000000"/>
        <w:sz w:val="22"/>
        <w:u w:val="none"/>
        <w:effect w:val="none"/>
        <w:vertAlign w:val="baseline"/>
      </w:rPr>
    </w:lvl>
    <w:lvl w:ilvl="4">
      <w:start w:val="1"/>
      <w:numFmt w:val="bullet"/>
      <w:lvlText w:val="○"/>
      <w:lvlJc w:val="left"/>
      <w:pPr>
        <w:ind w:left="2314" w:firstLine="4156"/>
      </w:pPr>
      <w:rPr>
        <w:rFonts w:ascii="Arial" w:eastAsia="Arial" w:hAnsi="Arial" w:cs="Arial"/>
        <w:b w:val="0"/>
        <w:i w:val="0"/>
        <w:smallCaps w:val="0"/>
        <w:strike w:val="0"/>
        <w:dstrike w:val="0"/>
        <w:color w:val="000000"/>
        <w:sz w:val="22"/>
        <w:u w:val="none"/>
        <w:effect w:val="none"/>
        <w:vertAlign w:val="baseline"/>
      </w:rPr>
    </w:lvl>
    <w:lvl w:ilvl="5">
      <w:start w:val="1"/>
      <w:numFmt w:val="bullet"/>
      <w:lvlText w:val="■"/>
      <w:lvlJc w:val="left"/>
      <w:pPr>
        <w:ind w:left="3034" w:firstLine="4876"/>
      </w:pPr>
      <w:rPr>
        <w:rFonts w:ascii="Arial" w:eastAsia="Arial" w:hAnsi="Arial" w:cs="Arial"/>
        <w:b w:val="0"/>
        <w:i w:val="0"/>
        <w:smallCaps w:val="0"/>
        <w:strike w:val="0"/>
        <w:dstrike w:val="0"/>
        <w:color w:val="000000"/>
        <w:sz w:val="22"/>
        <w:u w:val="none"/>
        <w:effect w:val="none"/>
        <w:vertAlign w:val="baseline"/>
      </w:rPr>
    </w:lvl>
    <w:lvl w:ilvl="6">
      <w:start w:val="1"/>
      <w:numFmt w:val="bullet"/>
      <w:lvlText w:val="●"/>
      <w:lvlJc w:val="left"/>
      <w:pPr>
        <w:ind w:left="3754" w:firstLine="5596"/>
      </w:pPr>
      <w:rPr>
        <w:rFonts w:ascii="Arial" w:eastAsia="Arial" w:hAnsi="Arial" w:cs="Arial"/>
        <w:b w:val="0"/>
        <w:i w:val="0"/>
        <w:smallCaps w:val="0"/>
        <w:strike w:val="0"/>
        <w:dstrike w:val="0"/>
        <w:color w:val="000000"/>
        <w:sz w:val="22"/>
        <w:u w:val="none"/>
        <w:effect w:val="none"/>
        <w:vertAlign w:val="baseline"/>
      </w:rPr>
    </w:lvl>
    <w:lvl w:ilvl="7">
      <w:start w:val="1"/>
      <w:numFmt w:val="bullet"/>
      <w:lvlText w:val="○"/>
      <w:lvlJc w:val="left"/>
      <w:pPr>
        <w:ind w:left="4474" w:firstLine="6316"/>
      </w:pPr>
      <w:rPr>
        <w:rFonts w:ascii="Arial" w:eastAsia="Arial" w:hAnsi="Arial" w:cs="Arial"/>
        <w:b w:val="0"/>
        <w:i w:val="0"/>
        <w:smallCaps w:val="0"/>
        <w:strike w:val="0"/>
        <w:dstrike w:val="0"/>
        <w:color w:val="000000"/>
        <w:sz w:val="22"/>
        <w:u w:val="none"/>
        <w:effect w:val="none"/>
        <w:vertAlign w:val="baseline"/>
      </w:rPr>
    </w:lvl>
    <w:lvl w:ilvl="8">
      <w:start w:val="1"/>
      <w:numFmt w:val="bullet"/>
      <w:lvlText w:val="■"/>
      <w:lvlJc w:val="left"/>
      <w:pPr>
        <w:ind w:left="5194" w:firstLine="7036"/>
      </w:pPr>
      <w:rPr>
        <w:rFonts w:ascii="Arial" w:eastAsia="Arial" w:hAnsi="Arial" w:cs="Arial"/>
        <w:b w:val="0"/>
        <w:i w:val="0"/>
        <w:smallCaps w:val="0"/>
        <w:strike w:val="0"/>
        <w:dstrike w:val="0"/>
        <w:color w:val="000000"/>
        <w:sz w:val="22"/>
        <w:u w:val="none"/>
        <w:effect w:val="none"/>
        <w:vertAlign w:val="baseline"/>
      </w:rPr>
    </w:lvl>
  </w:abstractNum>
  <w:abstractNum w:abstractNumId="34">
    <w:nsid w:val="48095527"/>
    <w:multiLevelType w:val="multilevel"/>
    <w:tmpl w:val="4C1E9172"/>
    <w:styleLink w:val="NumberedListTable"/>
    <w:lvl w:ilvl="0">
      <w:start w:val="1"/>
      <w:numFmt w:val="decimal"/>
      <w:lvlText w:val="%1."/>
      <w:lvlJc w:val="left"/>
      <w:pPr>
        <w:tabs>
          <w:tab w:val="num" w:pos="227"/>
        </w:tabs>
        <w:ind w:left="227" w:hanging="227"/>
      </w:pPr>
      <w:rPr>
        <w:rFonts w:ascii="Segoe Condensed" w:eastAsia="Segoe Condensed" w:hAnsi="Segoe Condensed" w:cs="!Neo'w Arial" w:hint="default"/>
        <w:sz w:val="18"/>
        <w:szCs w:val="18"/>
      </w:rPr>
    </w:lvl>
    <w:lvl w:ilvl="1">
      <w:start w:val="1"/>
      <w:numFmt w:val="lowerLetter"/>
      <w:lvlText w:val="%2."/>
      <w:lvlJc w:val="left"/>
      <w:pPr>
        <w:tabs>
          <w:tab w:val="num" w:pos="454"/>
        </w:tabs>
        <w:ind w:left="454" w:hanging="227"/>
      </w:pPr>
      <w:rPr>
        <w:rFonts w:ascii="Segoe Condensed" w:eastAsia="Segoe Condensed" w:hAnsi="Segoe Condensed" w:cs="!Neo'w Arial" w:hint="default"/>
        <w:sz w:val="18"/>
        <w:szCs w:val="18"/>
      </w:rPr>
    </w:lvl>
    <w:lvl w:ilvl="2">
      <w:start w:val="1"/>
      <w:numFmt w:val="lowerRoman"/>
      <w:lvlText w:val="%3."/>
      <w:lvlJc w:val="left"/>
      <w:pPr>
        <w:tabs>
          <w:tab w:val="num" w:pos="680"/>
        </w:tabs>
        <w:ind w:left="680" w:hanging="226"/>
      </w:pPr>
      <w:rPr>
        <w:rFonts w:ascii="Segoe Condensed" w:eastAsia="Segoe Condensed" w:hAnsi="Segoe Condensed" w:cs="!Neo'w Arial" w:hint="default"/>
        <w:sz w:val="18"/>
        <w:szCs w:val="18"/>
      </w:rPr>
    </w:lvl>
    <w:lvl w:ilvl="3">
      <w:start w:val="1"/>
      <w:numFmt w:val="decimal"/>
      <w:lvlText w:val="(%4)"/>
      <w:lvlJc w:val="left"/>
      <w:pPr>
        <w:tabs>
          <w:tab w:val="num" w:pos="7920"/>
        </w:tabs>
        <w:ind w:left="7920" w:hanging="360"/>
      </w:pPr>
      <w:rPr>
        <w:rFonts w:hint="default"/>
      </w:rPr>
    </w:lvl>
    <w:lvl w:ilvl="4">
      <w:start w:val="1"/>
      <w:numFmt w:val="lowerLetter"/>
      <w:lvlText w:val="(%5)"/>
      <w:lvlJc w:val="left"/>
      <w:pPr>
        <w:tabs>
          <w:tab w:val="num" w:pos="8280"/>
        </w:tabs>
        <w:ind w:left="8280" w:hanging="360"/>
      </w:pPr>
      <w:rPr>
        <w:rFonts w:hint="default"/>
      </w:rPr>
    </w:lvl>
    <w:lvl w:ilvl="5">
      <w:start w:val="1"/>
      <w:numFmt w:val="lowerRoman"/>
      <w:lvlText w:val="(%6)"/>
      <w:lvlJc w:val="left"/>
      <w:pPr>
        <w:tabs>
          <w:tab w:val="num" w:pos="8640"/>
        </w:tabs>
        <w:ind w:left="8640" w:hanging="360"/>
      </w:pPr>
      <w:rPr>
        <w:rFonts w:hint="default"/>
      </w:rPr>
    </w:lvl>
    <w:lvl w:ilvl="6">
      <w:start w:val="1"/>
      <w:numFmt w:val="decimal"/>
      <w:lvlText w:val="%7."/>
      <w:lvlJc w:val="left"/>
      <w:pPr>
        <w:tabs>
          <w:tab w:val="num" w:pos="9000"/>
        </w:tabs>
        <w:ind w:left="9000" w:hanging="360"/>
      </w:pPr>
      <w:rPr>
        <w:rFonts w:hint="default"/>
      </w:rPr>
    </w:lvl>
    <w:lvl w:ilvl="7">
      <w:start w:val="1"/>
      <w:numFmt w:val="lowerLetter"/>
      <w:lvlText w:val="%8."/>
      <w:lvlJc w:val="left"/>
      <w:pPr>
        <w:tabs>
          <w:tab w:val="num" w:pos="9360"/>
        </w:tabs>
        <w:ind w:left="9360" w:hanging="360"/>
      </w:pPr>
      <w:rPr>
        <w:rFonts w:hint="default"/>
      </w:rPr>
    </w:lvl>
    <w:lvl w:ilvl="8">
      <w:start w:val="1"/>
      <w:numFmt w:val="lowerRoman"/>
      <w:lvlText w:val="%9."/>
      <w:lvlJc w:val="left"/>
      <w:pPr>
        <w:tabs>
          <w:tab w:val="num" w:pos="9720"/>
        </w:tabs>
        <w:ind w:left="9720" w:hanging="360"/>
      </w:pPr>
      <w:rPr>
        <w:rFonts w:hint="default"/>
      </w:rPr>
    </w:lvl>
  </w:abstractNum>
  <w:abstractNum w:abstractNumId="35">
    <w:nsid w:val="4E820C04"/>
    <w:multiLevelType w:val="hybridMultilevel"/>
    <w:tmpl w:val="62082C08"/>
    <w:lvl w:ilvl="0" w:tplc="7696F94C">
      <w:start w:val="1"/>
      <w:numFmt w:val="decimal"/>
      <w:pStyle w:val="ISBodySubheadPI"/>
      <w:lvlText w:val="PI%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52461F2C"/>
    <w:multiLevelType w:val="hybridMultilevel"/>
    <w:tmpl w:val="19D45AD4"/>
    <w:lvl w:ilvl="0" w:tplc="E4A2B45A">
      <w:start w:val="1"/>
      <w:numFmt w:val="decimal"/>
      <w:pStyle w:val="ISSolution"/>
      <w:lvlText w:val="R%1:"/>
      <w:lvlJc w:val="left"/>
      <w:pPr>
        <w:ind w:left="720" w:hanging="360"/>
      </w:pPr>
      <w:rPr>
        <w:rFonts w:ascii="Calibri" w:hAnsi="Calibri" w:hint="default"/>
        <w:b/>
        <w:bCs w:val="0"/>
        <w:i/>
        <w:iCs w:val="0"/>
        <w:color w:val="auto"/>
        <w:sz w:val="24"/>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2A70E10"/>
    <w:multiLevelType w:val="hybridMultilevel"/>
    <w:tmpl w:val="DDB046B6"/>
    <w:lvl w:ilvl="0" w:tplc="053C1228">
      <w:start w:val="1"/>
      <w:numFmt w:val="decimal"/>
      <w:pStyle w:val="ISBodySubheadPT"/>
      <w:lvlText w:val="PT%1: "/>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54B8605E"/>
    <w:multiLevelType w:val="multilevel"/>
    <w:tmpl w:val="5B2AECD2"/>
    <w:styleLink w:val="IS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560"/>
        </w:tabs>
        <w:ind w:left="1560"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5E215635"/>
    <w:multiLevelType w:val="multilevel"/>
    <w:tmpl w:val="DFD23A54"/>
    <w:lvl w:ilvl="0">
      <w:start w:val="1"/>
      <w:numFmt w:val="bullet"/>
      <w:pStyle w:val="EYBullettext"/>
      <w:lvlText w:val=""/>
      <w:lvlJc w:val="left"/>
      <w:pPr>
        <w:tabs>
          <w:tab w:val="num" w:pos="1080"/>
        </w:tabs>
        <w:ind w:left="1080" w:hanging="360"/>
      </w:pPr>
      <w:rPr>
        <w:rFonts w:ascii="Wingdings" w:hAnsi="Wingdings" w:hint="default"/>
        <w:color w:val="9999FF"/>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Wingdings" w:hAnsi="Wingdings" w:hint="default"/>
        <w:color w:val="9999FF"/>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50C546B"/>
    <w:multiLevelType w:val="multilevel"/>
    <w:tmpl w:val="04260023"/>
    <w:styleLink w:val="Daasadaa"/>
    <w:lvl w:ilvl="0">
      <w:start w:val="1"/>
      <w:numFmt w:val="upperRoman"/>
      <w:pStyle w:val="Virsraksts1"/>
      <w:lvlText w:val="Article %1."/>
      <w:lvlJc w:val="left"/>
      <w:pPr>
        <w:tabs>
          <w:tab w:val="num" w:pos="1440"/>
        </w:tabs>
        <w:ind w:left="0" w:firstLine="0"/>
      </w:pPr>
    </w:lvl>
    <w:lvl w:ilvl="1">
      <w:start w:val="1"/>
      <w:numFmt w:val="decimalZero"/>
      <w:pStyle w:val="Virsraksts2"/>
      <w:isLgl/>
      <w:lvlText w:val="Section %1.%2"/>
      <w:lvlJc w:val="left"/>
      <w:pPr>
        <w:tabs>
          <w:tab w:val="num" w:pos="1080"/>
        </w:tabs>
        <w:ind w:left="0" w:firstLine="0"/>
      </w:pPr>
    </w:lvl>
    <w:lvl w:ilvl="2">
      <w:start w:val="1"/>
      <w:numFmt w:val="lowerLetter"/>
      <w:pStyle w:val="Virsraksts3"/>
      <w:lvlText w:val="(%3)"/>
      <w:lvlJc w:val="left"/>
      <w:pPr>
        <w:tabs>
          <w:tab w:val="num" w:pos="720"/>
        </w:tabs>
        <w:ind w:left="720" w:hanging="432"/>
      </w:pPr>
    </w:lvl>
    <w:lvl w:ilvl="3">
      <w:start w:val="1"/>
      <w:numFmt w:val="lowerRoman"/>
      <w:pStyle w:val="Virsraksts4"/>
      <w:lvlText w:val="(%4)"/>
      <w:lvlJc w:val="right"/>
      <w:pPr>
        <w:tabs>
          <w:tab w:val="num" w:pos="864"/>
        </w:tabs>
        <w:ind w:left="864" w:hanging="144"/>
      </w:pPr>
    </w:lvl>
    <w:lvl w:ilvl="4">
      <w:start w:val="1"/>
      <w:numFmt w:val="decimal"/>
      <w:pStyle w:val="Virsraksts5"/>
      <w:lvlText w:val="%5)"/>
      <w:lvlJc w:val="left"/>
      <w:pPr>
        <w:tabs>
          <w:tab w:val="num" w:pos="1008"/>
        </w:tabs>
        <w:ind w:left="1008" w:hanging="432"/>
      </w:pPr>
    </w:lvl>
    <w:lvl w:ilvl="5">
      <w:start w:val="1"/>
      <w:numFmt w:val="lowerLetter"/>
      <w:pStyle w:val="Virsraksts6"/>
      <w:lvlText w:val="%6)"/>
      <w:lvlJc w:val="left"/>
      <w:pPr>
        <w:tabs>
          <w:tab w:val="num" w:pos="1152"/>
        </w:tabs>
        <w:ind w:left="1152" w:hanging="432"/>
      </w:pPr>
    </w:lvl>
    <w:lvl w:ilvl="6">
      <w:start w:val="1"/>
      <w:numFmt w:val="lowerRoman"/>
      <w:pStyle w:val="Virsraksts7"/>
      <w:lvlText w:val="%7)"/>
      <w:lvlJc w:val="right"/>
      <w:pPr>
        <w:tabs>
          <w:tab w:val="num" w:pos="1296"/>
        </w:tabs>
        <w:ind w:left="1296" w:hanging="288"/>
      </w:pPr>
    </w:lvl>
    <w:lvl w:ilvl="7">
      <w:start w:val="1"/>
      <w:numFmt w:val="lowerLetter"/>
      <w:pStyle w:val="Virsraksts8"/>
      <w:lvlText w:val="%8."/>
      <w:lvlJc w:val="left"/>
      <w:pPr>
        <w:tabs>
          <w:tab w:val="num" w:pos="1440"/>
        </w:tabs>
        <w:ind w:left="1440" w:hanging="432"/>
      </w:pPr>
    </w:lvl>
    <w:lvl w:ilvl="8">
      <w:start w:val="1"/>
      <w:numFmt w:val="lowerRoman"/>
      <w:pStyle w:val="Virsraksts9"/>
      <w:lvlText w:val="%9."/>
      <w:lvlJc w:val="right"/>
      <w:pPr>
        <w:tabs>
          <w:tab w:val="num" w:pos="1584"/>
        </w:tabs>
        <w:ind w:left="1584" w:hanging="144"/>
      </w:pPr>
    </w:lvl>
  </w:abstractNum>
  <w:abstractNum w:abstractNumId="41">
    <w:nsid w:val="68CC14EE"/>
    <w:multiLevelType w:val="hybridMultilevel"/>
    <w:tmpl w:val="39861D7C"/>
    <w:lvl w:ilvl="0" w:tplc="1382EAD0">
      <w:start w:val="1"/>
      <w:numFmt w:val="bullet"/>
      <w:lvlText w:val=""/>
      <w:lvlJc w:val="left"/>
      <w:pPr>
        <w:tabs>
          <w:tab w:val="num" w:pos="391"/>
        </w:tabs>
        <w:ind w:left="391" w:hanging="360"/>
      </w:pPr>
      <w:rPr>
        <w:rFonts w:ascii="Wingdings" w:hAnsi="Wingdings" w:hint="default"/>
      </w:rPr>
    </w:lvl>
    <w:lvl w:ilvl="1" w:tplc="AC468E26">
      <w:start w:val="1"/>
      <w:numFmt w:val="bullet"/>
      <w:lvlText w:val=""/>
      <w:lvlJc w:val="left"/>
      <w:pPr>
        <w:tabs>
          <w:tab w:val="num" w:pos="1111"/>
        </w:tabs>
        <w:ind w:left="1111" w:hanging="360"/>
      </w:pPr>
      <w:rPr>
        <w:rFonts w:ascii="Wingdings" w:hAnsi="Wingdings" w:hint="default"/>
      </w:rPr>
    </w:lvl>
    <w:lvl w:ilvl="2" w:tplc="B9183D84">
      <w:start w:val="1"/>
      <w:numFmt w:val="bullet"/>
      <w:pStyle w:val="Tablebullet1"/>
      <w:lvlText w:val=""/>
      <w:lvlJc w:val="left"/>
      <w:pPr>
        <w:tabs>
          <w:tab w:val="num" w:pos="1831"/>
        </w:tabs>
        <w:ind w:left="1831" w:hanging="360"/>
      </w:pPr>
      <w:rPr>
        <w:rFonts w:ascii="Wingdings" w:hAnsi="Wingdings" w:hint="default"/>
      </w:rPr>
    </w:lvl>
    <w:lvl w:ilvl="3" w:tplc="646260A8">
      <w:start w:val="1"/>
      <w:numFmt w:val="bullet"/>
      <w:pStyle w:val="CVstyle"/>
      <w:lvlText w:val=""/>
      <w:lvlJc w:val="left"/>
      <w:pPr>
        <w:tabs>
          <w:tab w:val="num" w:pos="2758"/>
        </w:tabs>
        <w:ind w:left="2758" w:hanging="567"/>
      </w:pPr>
      <w:rPr>
        <w:rFonts w:ascii="Symbol" w:hAnsi="Symbol" w:hint="default"/>
      </w:rPr>
    </w:lvl>
    <w:lvl w:ilvl="4" w:tplc="938C0A5C">
      <w:start w:val="1"/>
      <w:numFmt w:val="bullet"/>
      <w:lvlText w:val=""/>
      <w:lvlJc w:val="left"/>
      <w:pPr>
        <w:tabs>
          <w:tab w:val="num" w:pos="3271"/>
        </w:tabs>
        <w:ind w:left="3271" w:hanging="360"/>
      </w:pPr>
      <w:rPr>
        <w:rFonts w:ascii="Symbol" w:hAnsi="Symbol" w:hint="default"/>
        <w:color w:val="auto"/>
      </w:rPr>
    </w:lvl>
    <w:lvl w:ilvl="5" w:tplc="C77690A0" w:tentative="1">
      <w:start w:val="1"/>
      <w:numFmt w:val="bullet"/>
      <w:lvlText w:val=""/>
      <w:lvlJc w:val="left"/>
      <w:pPr>
        <w:tabs>
          <w:tab w:val="num" w:pos="3991"/>
        </w:tabs>
        <w:ind w:left="3991" w:hanging="360"/>
      </w:pPr>
      <w:rPr>
        <w:rFonts w:ascii="Wingdings" w:hAnsi="Wingdings" w:hint="default"/>
      </w:rPr>
    </w:lvl>
    <w:lvl w:ilvl="6" w:tplc="C3C025B0" w:tentative="1">
      <w:start w:val="1"/>
      <w:numFmt w:val="bullet"/>
      <w:lvlText w:val=""/>
      <w:lvlJc w:val="left"/>
      <w:pPr>
        <w:tabs>
          <w:tab w:val="num" w:pos="4711"/>
        </w:tabs>
        <w:ind w:left="4711" w:hanging="360"/>
      </w:pPr>
      <w:rPr>
        <w:rFonts w:ascii="Symbol" w:hAnsi="Symbol" w:hint="default"/>
      </w:rPr>
    </w:lvl>
    <w:lvl w:ilvl="7" w:tplc="34D40D7C" w:tentative="1">
      <w:start w:val="1"/>
      <w:numFmt w:val="bullet"/>
      <w:lvlText w:val="o"/>
      <w:lvlJc w:val="left"/>
      <w:pPr>
        <w:tabs>
          <w:tab w:val="num" w:pos="5431"/>
        </w:tabs>
        <w:ind w:left="5431" w:hanging="360"/>
      </w:pPr>
      <w:rPr>
        <w:rFonts w:ascii="Courier New" w:hAnsi="Courier New" w:hint="default"/>
      </w:rPr>
    </w:lvl>
    <w:lvl w:ilvl="8" w:tplc="C82233EC" w:tentative="1">
      <w:start w:val="1"/>
      <w:numFmt w:val="bullet"/>
      <w:lvlText w:val=""/>
      <w:lvlJc w:val="left"/>
      <w:pPr>
        <w:tabs>
          <w:tab w:val="num" w:pos="6151"/>
        </w:tabs>
        <w:ind w:left="6151" w:hanging="360"/>
      </w:pPr>
      <w:rPr>
        <w:rFonts w:ascii="Wingdings" w:hAnsi="Wingdings" w:hint="default"/>
      </w:rPr>
    </w:lvl>
  </w:abstractNum>
  <w:abstractNum w:abstractNumId="42">
    <w:nsid w:val="69970B7E"/>
    <w:multiLevelType w:val="multilevel"/>
    <w:tmpl w:val="918AFD14"/>
    <w:styleLink w:val="Style5"/>
    <w:lvl w:ilvl="0">
      <w:start w:val="1"/>
      <w:numFmt w:val="decimal"/>
      <w:lvlText w:val="#%1: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9F53201"/>
    <w:multiLevelType w:val="multilevel"/>
    <w:tmpl w:val="8F647CC0"/>
    <w:styleLink w:val="NumberedList"/>
    <w:lvl w:ilvl="0">
      <w:start w:val="1"/>
      <w:numFmt w:val="decimal"/>
      <w:lvlText w:val="%1."/>
      <w:lvlJc w:val="left"/>
      <w:pPr>
        <w:tabs>
          <w:tab w:val="num" w:pos="907"/>
        </w:tabs>
        <w:ind w:left="907" w:hanging="340"/>
      </w:pPr>
      <w:rPr>
        <w:rFonts w:ascii="Segoe" w:eastAsia="Segoe" w:hAnsi="Segoe" w:cs="!Neo'w Arial" w:hint="default"/>
        <w:sz w:val="20"/>
        <w:szCs w:val="20"/>
      </w:rPr>
    </w:lvl>
    <w:lvl w:ilvl="1">
      <w:start w:val="1"/>
      <w:numFmt w:val="lowerLetter"/>
      <w:lvlText w:val="%2."/>
      <w:lvlJc w:val="left"/>
      <w:pPr>
        <w:tabs>
          <w:tab w:val="num" w:pos="1247"/>
        </w:tabs>
        <w:ind w:left="1247" w:hanging="340"/>
      </w:pPr>
      <w:rPr>
        <w:rFonts w:hint="default"/>
        <w:sz w:val="20"/>
        <w:szCs w:val="20"/>
      </w:rPr>
    </w:lvl>
    <w:lvl w:ilvl="2">
      <w:start w:val="1"/>
      <w:numFmt w:val="lowerRoman"/>
      <w:lvlText w:val="%3."/>
      <w:lvlJc w:val="left"/>
      <w:pPr>
        <w:tabs>
          <w:tab w:val="num" w:pos="1588"/>
        </w:tabs>
        <w:ind w:left="1588" w:hanging="341"/>
      </w:pPr>
      <w:rPr>
        <w:rFonts w:hint="default"/>
        <w:sz w:val="20"/>
        <w:szCs w:val="20"/>
      </w:rPr>
    </w:lvl>
    <w:lvl w:ilvl="3">
      <w:start w:val="1"/>
      <w:numFmt w:val="decimal"/>
      <w:lvlText w:val="(%4)"/>
      <w:lvlJc w:val="left"/>
      <w:pPr>
        <w:tabs>
          <w:tab w:val="num" w:pos="10752"/>
        </w:tabs>
        <w:ind w:left="10752" w:hanging="360"/>
      </w:pPr>
      <w:rPr>
        <w:rFonts w:hint="default"/>
      </w:rPr>
    </w:lvl>
    <w:lvl w:ilvl="4">
      <w:start w:val="1"/>
      <w:numFmt w:val="lowerLetter"/>
      <w:lvlText w:val="(%5)"/>
      <w:lvlJc w:val="left"/>
      <w:pPr>
        <w:tabs>
          <w:tab w:val="num" w:pos="11112"/>
        </w:tabs>
        <w:ind w:left="11112" w:hanging="360"/>
      </w:pPr>
      <w:rPr>
        <w:rFonts w:hint="default"/>
      </w:rPr>
    </w:lvl>
    <w:lvl w:ilvl="5">
      <w:start w:val="1"/>
      <w:numFmt w:val="lowerRoman"/>
      <w:lvlText w:val="(%6)"/>
      <w:lvlJc w:val="left"/>
      <w:pPr>
        <w:tabs>
          <w:tab w:val="num" w:pos="11472"/>
        </w:tabs>
        <w:ind w:left="11472" w:hanging="360"/>
      </w:pPr>
      <w:rPr>
        <w:rFonts w:hint="default"/>
      </w:rPr>
    </w:lvl>
    <w:lvl w:ilvl="6">
      <w:start w:val="1"/>
      <w:numFmt w:val="decimal"/>
      <w:lvlText w:val="%7."/>
      <w:lvlJc w:val="left"/>
      <w:pPr>
        <w:tabs>
          <w:tab w:val="num" w:pos="11832"/>
        </w:tabs>
        <w:ind w:left="11832" w:hanging="360"/>
      </w:pPr>
      <w:rPr>
        <w:rFonts w:hint="default"/>
      </w:rPr>
    </w:lvl>
    <w:lvl w:ilvl="7">
      <w:start w:val="1"/>
      <w:numFmt w:val="lowerLetter"/>
      <w:lvlText w:val="%8."/>
      <w:lvlJc w:val="left"/>
      <w:pPr>
        <w:tabs>
          <w:tab w:val="num" w:pos="12192"/>
        </w:tabs>
        <w:ind w:left="12192" w:hanging="360"/>
      </w:pPr>
      <w:rPr>
        <w:rFonts w:hint="default"/>
      </w:rPr>
    </w:lvl>
    <w:lvl w:ilvl="8">
      <w:start w:val="1"/>
      <w:numFmt w:val="lowerRoman"/>
      <w:lvlText w:val="%9."/>
      <w:lvlJc w:val="left"/>
      <w:pPr>
        <w:tabs>
          <w:tab w:val="num" w:pos="12552"/>
        </w:tabs>
        <w:ind w:left="12552" w:hanging="360"/>
      </w:pPr>
      <w:rPr>
        <w:rFonts w:hint="default"/>
      </w:rPr>
    </w:lvl>
  </w:abstractNum>
  <w:abstractNum w:abstractNumId="44">
    <w:nsid w:val="6A85484A"/>
    <w:multiLevelType w:val="hybridMultilevel"/>
    <w:tmpl w:val="5B12213C"/>
    <w:lvl w:ilvl="0" w:tplc="DB1C7108">
      <w:start w:val="1"/>
      <w:numFmt w:val="decimal"/>
      <w:pStyle w:val="ISProblem"/>
      <w:lvlText w:val="P%1:"/>
      <w:lvlJc w:val="left"/>
      <w:pPr>
        <w:ind w:left="720" w:hanging="360"/>
      </w:pPr>
      <w:rPr>
        <w:rFonts w:ascii="Calibri" w:hAnsi="Calibri" w:hint="default"/>
        <w:b/>
        <w:bCs w:val="0"/>
        <w:i/>
        <w:iCs w:val="0"/>
        <w:color w:val="auto"/>
        <w:sz w:val="24"/>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CFB1C56"/>
    <w:multiLevelType w:val="multilevel"/>
    <w:tmpl w:val="DF960738"/>
    <w:numStyleLink w:val="ISBullets"/>
  </w:abstractNum>
  <w:abstractNum w:abstractNumId="46">
    <w:nsid w:val="6DB22422"/>
    <w:multiLevelType w:val="multilevel"/>
    <w:tmpl w:val="0C09001D"/>
    <w:styleLink w:val="Checklist"/>
    <w:lvl w:ilvl="0">
      <w:start w:val="1"/>
      <w:numFmt w:val="bullet"/>
      <w:lvlText w:val=""/>
      <w:lvlJc w:val="left"/>
      <w:pPr>
        <w:tabs>
          <w:tab w:val="num" w:pos="360"/>
        </w:tabs>
        <w:ind w:left="360" w:hanging="360"/>
      </w:pPr>
      <w:rPr>
        <w:rFonts w:ascii="Wingdings" w:hAnsi="Wingdings" w:cs="Times New Roman" w:hint="default"/>
        <w:color w:val="808080"/>
        <w:sz w:val="28"/>
        <w:szCs w:val="28"/>
      </w:rPr>
    </w:lvl>
    <w:lvl w:ilvl="1">
      <w:start w:val="1"/>
      <w:numFmt w:val="bullet"/>
      <w:lvlText w:val=""/>
      <w:lvlJc w:val="left"/>
      <w:pPr>
        <w:tabs>
          <w:tab w:val="num" w:pos="720"/>
        </w:tabs>
        <w:ind w:left="720" w:hanging="360"/>
      </w:pPr>
      <w:rPr>
        <w:rFonts w:ascii="Wingdings" w:hAnsi="Wingdings" w:cs="Times New Roman" w:hint="default"/>
        <w:color w:val="808080"/>
        <w:sz w:val="28"/>
        <w:szCs w:val="28"/>
      </w:rPr>
    </w:lvl>
    <w:lvl w:ilvl="2">
      <w:start w:val="1"/>
      <w:numFmt w:val="bullet"/>
      <w:lvlText w:val=""/>
      <w:lvlJc w:val="left"/>
      <w:pPr>
        <w:tabs>
          <w:tab w:val="num" w:pos="1080"/>
        </w:tabs>
        <w:ind w:left="1080" w:hanging="360"/>
      </w:pPr>
      <w:rPr>
        <w:rFonts w:ascii="Wingdings" w:hAnsi="Wingdings" w:cs="Times New Roman" w:hint="default"/>
        <w:color w:val="808080"/>
        <w:sz w:val="28"/>
        <w:szCs w:val="28"/>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0EE304B"/>
    <w:multiLevelType w:val="multilevel"/>
    <w:tmpl w:val="2528C44A"/>
    <w:lvl w:ilvl="0">
      <w:start w:val="1"/>
      <w:numFmt w:val="decimal"/>
      <w:pStyle w:val="ISHeading1"/>
      <w:lvlText w:val="%1."/>
      <w:lvlJc w:val="left"/>
      <w:pPr>
        <w:tabs>
          <w:tab w:val="num" w:pos="851"/>
        </w:tabs>
        <w:ind w:left="851" w:hanging="851"/>
      </w:pPr>
      <w:rPr>
        <w:rFonts w:hint="default"/>
      </w:rPr>
    </w:lvl>
    <w:lvl w:ilvl="1">
      <w:start w:val="1"/>
      <w:numFmt w:val="decimal"/>
      <w:pStyle w:val="ISHeading2"/>
      <w:lvlText w:val="%1.%2."/>
      <w:lvlJc w:val="left"/>
      <w:pPr>
        <w:tabs>
          <w:tab w:val="num" w:pos="851"/>
        </w:tabs>
        <w:ind w:left="851" w:hanging="851"/>
      </w:pPr>
      <w:rPr>
        <w:rFonts w:hint="default"/>
      </w:rPr>
    </w:lvl>
    <w:lvl w:ilvl="2">
      <w:start w:val="1"/>
      <w:numFmt w:val="decimal"/>
      <w:pStyle w:val="ISHeading3"/>
      <w:lvlText w:val="%1.%2.%3."/>
      <w:lvlJc w:val="left"/>
      <w:pPr>
        <w:tabs>
          <w:tab w:val="num" w:pos="1134"/>
        </w:tabs>
        <w:ind w:left="1134" w:hanging="851"/>
      </w:pPr>
      <w:rPr>
        <w:rFonts w:ascii="Segoe UI" w:hAnsi="Segoe UI" w:cs="Segoe UI" w:hint="default"/>
      </w:rPr>
    </w:lvl>
    <w:lvl w:ilvl="3">
      <w:start w:val="1"/>
      <w:numFmt w:val="decimal"/>
      <w:pStyle w:val="ISHeading4"/>
      <w:lvlText w:val="%1.%2.%3.%4."/>
      <w:lvlJc w:val="left"/>
      <w:pPr>
        <w:tabs>
          <w:tab w:val="num" w:pos="851"/>
        </w:tabs>
        <w:ind w:left="851" w:hanging="851"/>
      </w:pPr>
      <w:rPr>
        <w:rFonts w:hint="default"/>
      </w:rPr>
    </w:lvl>
    <w:lvl w:ilvl="4">
      <w:start w:val="1"/>
      <w:numFmt w:val="decimal"/>
      <w:lvlText w:val="%1.%5."/>
      <w:lvlJc w:val="left"/>
      <w:pPr>
        <w:tabs>
          <w:tab w:val="num" w:pos="851"/>
        </w:tabs>
        <w:ind w:left="851" w:hanging="851"/>
      </w:pPr>
      <w:rPr>
        <w:rFonts w:hint="default"/>
      </w:rPr>
    </w:lvl>
    <w:lvl w:ilvl="5">
      <w:start w:val="1"/>
      <w:numFmt w:val="decimal"/>
      <w:lvlText w:val="%1.%2.%6"/>
      <w:lvlJc w:val="left"/>
      <w:pPr>
        <w:tabs>
          <w:tab w:val="num" w:pos="851"/>
        </w:tabs>
        <w:ind w:left="851" w:hanging="851"/>
      </w:pPr>
      <w:rPr>
        <w:rFonts w:hint="default"/>
      </w:rPr>
    </w:lvl>
    <w:lvl w:ilvl="6">
      <w:start w:val="1"/>
      <w:numFmt w:val="decimal"/>
      <w:lvlText w:val="%1.%2.%3.%7"/>
      <w:lvlJc w:val="left"/>
      <w:pPr>
        <w:tabs>
          <w:tab w:val="num" w:pos="851"/>
        </w:tabs>
        <w:ind w:left="851" w:hanging="851"/>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8">
    <w:nsid w:val="71285582"/>
    <w:multiLevelType w:val="hybridMultilevel"/>
    <w:tmpl w:val="5A002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2A610CE"/>
    <w:multiLevelType w:val="hybridMultilevel"/>
    <w:tmpl w:val="573C1B3A"/>
    <w:lvl w:ilvl="0" w:tplc="CE32022C">
      <w:start w:val="1"/>
      <w:numFmt w:val="decimal"/>
      <w:pStyle w:val="ISBodySubheadPA"/>
      <w:lvlText w:val="PA%1: "/>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nsid w:val="776E07DD"/>
    <w:multiLevelType w:val="multilevel"/>
    <w:tmpl w:val="2DBE56AA"/>
    <w:styleLink w:val="EY1"/>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4."/>
      <w:lvlJc w:val="left"/>
      <w:pPr>
        <w:tabs>
          <w:tab w:val="num" w:pos="1440"/>
        </w:tabs>
        <w:ind w:left="1368" w:hanging="648"/>
      </w:pPr>
      <w:rPr>
        <w:rFonts w:hint="default"/>
      </w:rPr>
    </w:lvl>
    <w:lvl w:ilvl="4">
      <w:start w:val="1"/>
      <w:numFmt w:val="decimal"/>
      <w:lvlText w:val="%1.%5."/>
      <w:lvlJc w:val="left"/>
      <w:pPr>
        <w:tabs>
          <w:tab w:val="num" w:pos="851"/>
        </w:tabs>
        <w:ind w:left="851" w:hanging="851"/>
      </w:pPr>
      <w:rPr>
        <w:rFonts w:hint="default"/>
      </w:rPr>
    </w:lvl>
    <w:lvl w:ilvl="5">
      <w:start w:val="1"/>
      <w:numFmt w:val="decimal"/>
      <w:lvlText w:val="%1.%2.%6"/>
      <w:lvlJc w:val="left"/>
      <w:pPr>
        <w:tabs>
          <w:tab w:val="num" w:pos="851"/>
        </w:tabs>
        <w:ind w:left="851" w:hanging="851"/>
      </w:pPr>
      <w:rPr>
        <w:rFonts w:hint="default"/>
      </w:rPr>
    </w:lvl>
    <w:lvl w:ilvl="6">
      <w:start w:val="1"/>
      <w:numFmt w:val="decimal"/>
      <w:lvlText w:val="%1.%2.%3.%7"/>
      <w:lvlJc w:val="left"/>
      <w:pPr>
        <w:tabs>
          <w:tab w:val="num" w:pos="851"/>
        </w:tabs>
        <w:ind w:left="851" w:hanging="851"/>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51">
    <w:nsid w:val="7A11340C"/>
    <w:multiLevelType w:val="hybridMultilevel"/>
    <w:tmpl w:val="B86C8F66"/>
    <w:lvl w:ilvl="0" w:tplc="04260001">
      <w:start w:val="1"/>
      <w:numFmt w:val="bullet"/>
      <w:lvlText w:val=""/>
      <w:lvlJc w:val="left"/>
      <w:pPr>
        <w:ind w:left="360" w:hanging="360"/>
      </w:pPr>
      <w:rPr>
        <w:rFonts w:ascii="Symbol" w:hAnsi="Symbol"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nsid w:val="7E2E04A4"/>
    <w:multiLevelType w:val="multilevel"/>
    <w:tmpl w:val="2C52B770"/>
    <w:styleLink w:val="Style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Neo'w 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Neo'w 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Neo'w 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nsid w:val="7E571E06"/>
    <w:multiLevelType w:val="multilevel"/>
    <w:tmpl w:val="4AB09CF4"/>
    <w:styleLink w:val="Style4"/>
    <w:lvl w:ilvl="0">
      <w:start w:val="1"/>
      <w:numFmt w:val="bullet"/>
      <w:pStyle w:val="ISTableBullet"/>
      <w:lvlText w:val=""/>
      <w:lvlJc w:val="left"/>
      <w:pPr>
        <w:tabs>
          <w:tab w:val="num" w:pos="360"/>
        </w:tabs>
        <w:ind w:left="216" w:hanging="216"/>
      </w:pPr>
      <w:rPr>
        <w:rFonts w:ascii="ZapfDingbats" w:hAnsi="ZapfDingbats" w:hint="default"/>
        <w:color w:val="C0000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7"/>
  </w:num>
  <w:num w:numId="3">
    <w:abstractNumId w:val="19"/>
  </w:num>
  <w:num w:numId="4">
    <w:abstractNumId w:val="52"/>
  </w:num>
  <w:num w:numId="5">
    <w:abstractNumId w:val="20"/>
  </w:num>
  <w:num w:numId="6">
    <w:abstractNumId w:val="30"/>
  </w:num>
  <w:num w:numId="7">
    <w:abstractNumId w:val="40"/>
    <w:lvlOverride w:ilvl="0">
      <w:lvl w:ilvl="0">
        <w:numFmt w:val="decimal"/>
        <w:pStyle w:val="Virsraksts1"/>
        <w:lvlText w:val=""/>
        <w:lvlJc w:val="left"/>
      </w:lvl>
    </w:lvlOverride>
    <w:lvlOverride w:ilvl="1">
      <w:lvl w:ilvl="1">
        <w:start w:val="1"/>
        <w:numFmt w:val="decimalZero"/>
        <w:pStyle w:val="Virsraksts2"/>
        <w:isLgl/>
        <w:lvlText w:val="Section %1.%2"/>
        <w:lvlJc w:val="left"/>
        <w:pPr>
          <w:tabs>
            <w:tab w:val="num" w:pos="1080"/>
          </w:tabs>
          <w:ind w:left="0" w:firstLine="0"/>
        </w:pPr>
      </w:lvl>
    </w:lvlOverride>
  </w:num>
  <w:num w:numId="8">
    <w:abstractNumId w:val="21"/>
  </w:num>
  <w:num w:numId="9">
    <w:abstractNumId w:val="4"/>
  </w:num>
  <w:num w:numId="10">
    <w:abstractNumId w:val="34"/>
  </w:num>
  <w:num w:numId="11">
    <w:abstractNumId w:val="46"/>
  </w:num>
  <w:num w:numId="12">
    <w:abstractNumId w:val="31"/>
  </w:num>
  <w:num w:numId="13">
    <w:abstractNumId w:val="43"/>
  </w:num>
  <w:num w:numId="14">
    <w:abstractNumId w:val="10"/>
  </w:num>
  <w:num w:numId="15">
    <w:abstractNumId w:val="23"/>
  </w:num>
  <w:num w:numId="16">
    <w:abstractNumId w:val="50"/>
  </w:num>
  <w:num w:numId="17">
    <w:abstractNumId w:val="41"/>
  </w:num>
  <w:num w:numId="18">
    <w:abstractNumId w:val="0"/>
  </w:num>
  <w:num w:numId="19">
    <w:abstractNumId w:val="1"/>
  </w:num>
  <w:num w:numId="20">
    <w:abstractNumId w:val="39"/>
  </w:num>
  <w:num w:numId="21">
    <w:abstractNumId w:val="14"/>
  </w:num>
  <w:num w:numId="22">
    <w:abstractNumId w:val="6"/>
  </w:num>
  <w:num w:numId="23">
    <w:abstractNumId w:val="9"/>
  </w:num>
  <w:num w:numId="24">
    <w:abstractNumId w:val="53"/>
  </w:num>
  <w:num w:numId="25">
    <w:abstractNumId w:val="15"/>
    <w:lvlOverride w:ilvl="0">
      <w:lvl w:ilvl="0">
        <w:start w:val="1"/>
        <w:numFmt w:val="bullet"/>
        <w:pStyle w:val="ISTableBullet"/>
        <w:lvlText w:val=""/>
        <w:lvlJc w:val="left"/>
        <w:pPr>
          <w:tabs>
            <w:tab w:val="num" w:pos="360"/>
          </w:tabs>
          <w:ind w:left="216" w:hanging="216"/>
        </w:pPr>
        <w:rPr>
          <w:rFonts w:ascii="ZapfDingbats" w:hAnsi="ZapfDingbats" w:hint="default"/>
          <w:color w:val="C00000"/>
          <w:sz w:val="16"/>
        </w:rPr>
      </w:lvl>
    </w:lvlOverride>
  </w:num>
  <w:num w:numId="26">
    <w:abstractNumId w:val="26"/>
  </w:num>
  <w:num w:numId="27">
    <w:abstractNumId w:val="42"/>
  </w:num>
  <w:num w:numId="28">
    <w:abstractNumId w:val="24"/>
  </w:num>
  <w:num w:numId="29">
    <w:abstractNumId w:val="12"/>
  </w:num>
  <w:num w:numId="30">
    <w:abstractNumId w:val="38"/>
  </w:num>
  <w:num w:numId="31">
    <w:abstractNumId w:val="18"/>
  </w:num>
  <w:num w:numId="32">
    <w:abstractNumId w:val="40"/>
  </w:num>
  <w:num w:numId="33">
    <w:abstractNumId w:val="22"/>
  </w:num>
  <w:num w:numId="34">
    <w:abstractNumId w:val="8"/>
  </w:num>
  <w:num w:numId="35">
    <w:abstractNumId w:val="32"/>
  </w:num>
  <w:num w:numId="36">
    <w:abstractNumId w:val="35"/>
  </w:num>
  <w:num w:numId="37">
    <w:abstractNumId w:val="49"/>
  </w:num>
  <w:num w:numId="38">
    <w:abstractNumId w:val="37"/>
  </w:num>
  <w:num w:numId="39">
    <w:abstractNumId w:val="16"/>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num>
  <w:num w:numId="42">
    <w:abstractNumId w:val="47"/>
  </w:num>
  <w:num w:numId="43">
    <w:abstractNumId w:val="13"/>
  </w:num>
  <w:num w:numId="44">
    <w:abstractNumId w:val="36"/>
  </w:num>
  <w:num w:numId="45">
    <w:abstractNumId w:val="44"/>
  </w:num>
  <w:num w:numId="46">
    <w:abstractNumId w:val="5"/>
  </w:num>
  <w:num w:numId="47">
    <w:abstractNumId w:val="48"/>
  </w:num>
  <w:num w:numId="48">
    <w:abstractNumId w:val="25"/>
  </w:num>
  <w:num w:numId="49">
    <w:abstractNumId w:val="11"/>
  </w:num>
  <w:num w:numId="50">
    <w:abstractNumId w:val="27"/>
  </w:num>
  <w:num w:numId="51">
    <w:abstractNumId w:val="29"/>
  </w:num>
  <w:num w:numId="52">
    <w:abstractNumId w:val="28"/>
  </w:num>
  <w:num w:numId="53">
    <w:abstractNumId w:val="11"/>
  </w:num>
  <w:num w:numId="54">
    <w:abstractNumId w:val="7"/>
  </w:num>
  <w:num w:numId="55">
    <w:abstractNumId w:val="51"/>
  </w:num>
  <w:num w:numId="56">
    <w:abstractNumId w:val="11"/>
  </w:num>
  <w:num w:numId="57">
    <w:abstractNumId w:val="11"/>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activeWritingStyle w:appName="MSWord" w:lang="lv-LV" w:vendorID="71" w:dllVersion="512" w:checkStyle="0"/>
  <w:activeWritingStyle w:appName="MSWord" w:lang="cs-CZ" w:vendorID="7" w:dllVersion="514" w:checkStyle="1"/>
  <w:stylePaneFormatFilter w:val="1521" w:allStyles="1" w:customStyles="0" w:latentStyles="0" w:stylesInUse="0" w:headingStyles="1" w:numberingStyles="0" w:tableStyles="0" w:directFormattingOnRuns="1" w:directFormattingOnParagraphs="0" w:directFormattingOnNumbering="1" w:directFormattingOnTables="0" w:clearFormatting="1" w:top3HeadingStyles="0" w:visibleStyles="0" w:alternateStyleNames="0"/>
  <w:stylePaneSortMethod w:val="0000"/>
  <w:defaultTabStop w:val="720"/>
  <w:clickAndTypeStyle w:val="ISBodyText"/>
  <w:defaultTableStyle w:val="TableGridComplex"/>
  <w:drawingGridHorizontalSpacing w:val="9639"/>
  <w:drawingGridVerticalSpacing w:val="1455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52379A"/>
    <w:rsid w:val="00000238"/>
    <w:rsid w:val="00000586"/>
    <w:rsid w:val="0000063C"/>
    <w:rsid w:val="00000BF8"/>
    <w:rsid w:val="00001262"/>
    <w:rsid w:val="000015F6"/>
    <w:rsid w:val="00001B2C"/>
    <w:rsid w:val="00002205"/>
    <w:rsid w:val="0000220F"/>
    <w:rsid w:val="000022CC"/>
    <w:rsid w:val="00002410"/>
    <w:rsid w:val="00002703"/>
    <w:rsid w:val="0000306B"/>
    <w:rsid w:val="000033BA"/>
    <w:rsid w:val="000034F8"/>
    <w:rsid w:val="000037D4"/>
    <w:rsid w:val="00003835"/>
    <w:rsid w:val="00003910"/>
    <w:rsid w:val="0000406C"/>
    <w:rsid w:val="00004149"/>
    <w:rsid w:val="000042BF"/>
    <w:rsid w:val="0000457C"/>
    <w:rsid w:val="00004777"/>
    <w:rsid w:val="00004EED"/>
    <w:rsid w:val="000057F9"/>
    <w:rsid w:val="00005A19"/>
    <w:rsid w:val="00005D74"/>
    <w:rsid w:val="00005ECF"/>
    <w:rsid w:val="000069BC"/>
    <w:rsid w:val="00006B11"/>
    <w:rsid w:val="00006C86"/>
    <w:rsid w:val="00007450"/>
    <w:rsid w:val="000079E3"/>
    <w:rsid w:val="00007A80"/>
    <w:rsid w:val="00007BDB"/>
    <w:rsid w:val="00007C45"/>
    <w:rsid w:val="00007E19"/>
    <w:rsid w:val="00010018"/>
    <w:rsid w:val="00010164"/>
    <w:rsid w:val="00010219"/>
    <w:rsid w:val="00010EEC"/>
    <w:rsid w:val="0001145F"/>
    <w:rsid w:val="000114D7"/>
    <w:rsid w:val="00011598"/>
    <w:rsid w:val="00012017"/>
    <w:rsid w:val="00012096"/>
    <w:rsid w:val="000122D9"/>
    <w:rsid w:val="000123FE"/>
    <w:rsid w:val="00012862"/>
    <w:rsid w:val="00012A7A"/>
    <w:rsid w:val="00012CD4"/>
    <w:rsid w:val="00012F82"/>
    <w:rsid w:val="00013117"/>
    <w:rsid w:val="0001344E"/>
    <w:rsid w:val="000134CF"/>
    <w:rsid w:val="00013621"/>
    <w:rsid w:val="00013673"/>
    <w:rsid w:val="00013A81"/>
    <w:rsid w:val="00013E4E"/>
    <w:rsid w:val="00014295"/>
    <w:rsid w:val="00014296"/>
    <w:rsid w:val="00014751"/>
    <w:rsid w:val="00014BDB"/>
    <w:rsid w:val="00014D1E"/>
    <w:rsid w:val="00014E89"/>
    <w:rsid w:val="000153ED"/>
    <w:rsid w:val="000157B7"/>
    <w:rsid w:val="000167DE"/>
    <w:rsid w:val="000167E3"/>
    <w:rsid w:val="000168E2"/>
    <w:rsid w:val="00016A8B"/>
    <w:rsid w:val="000173E8"/>
    <w:rsid w:val="000174CB"/>
    <w:rsid w:val="00017946"/>
    <w:rsid w:val="00017A0F"/>
    <w:rsid w:val="00020256"/>
    <w:rsid w:val="000204E3"/>
    <w:rsid w:val="00020567"/>
    <w:rsid w:val="00020B00"/>
    <w:rsid w:val="00021560"/>
    <w:rsid w:val="00021A6D"/>
    <w:rsid w:val="00021D44"/>
    <w:rsid w:val="0002201A"/>
    <w:rsid w:val="00022C6F"/>
    <w:rsid w:val="00022FBB"/>
    <w:rsid w:val="000239D4"/>
    <w:rsid w:val="00024419"/>
    <w:rsid w:val="00024891"/>
    <w:rsid w:val="00024DE2"/>
    <w:rsid w:val="000258FB"/>
    <w:rsid w:val="000263B5"/>
    <w:rsid w:val="0002644C"/>
    <w:rsid w:val="00026591"/>
    <w:rsid w:val="000267D1"/>
    <w:rsid w:val="0002747B"/>
    <w:rsid w:val="00027FAA"/>
    <w:rsid w:val="00030393"/>
    <w:rsid w:val="0003063F"/>
    <w:rsid w:val="0003077F"/>
    <w:rsid w:val="000308C3"/>
    <w:rsid w:val="00030B90"/>
    <w:rsid w:val="000310C2"/>
    <w:rsid w:val="00031100"/>
    <w:rsid w:val="00031374"/>
    <w:rsid w:val="000316A1"/>
    <w:rsid w:val="00032603"/>
    <w:rsid w:val="00032848"/>
    <w:rsid w:val="00032B5A"/>
    <w:rsid w:val="00032F27"/>
    <w:rsid w:val="0003366E"/>
    <w:rsid w:val="00033BCE"/>
    <w:rsid w:val="0003412A"/>
    <w:rsid w:val="0003413B"/>
    <w:rsid w:val="000356AF"/>
    <w:rsid w:val="00035AD2"/>
    <w:rsid w:val="00035D23"/>
    <w:rsid w:val="00035D3D"/>
    <w:rsid w:val="000362F6"/>
    <w:rsid w:val="000366A6"/>
    <w:rsid w:val="00036CBB"/>
    <w:rsid w:val="00036D34"/>
    <w:rsid w:val="00036D8C"/>
    <w:rsid w:val="000370C3"/>
    <w:rsid w:val="00037E6F"/>
    <w:rsid w:val="00040148"/>
    <w:rsid w:val="000403CC"/>
    <w:rsid w:val="000405FA"/>
    <w:rsid w:val="000414E4"/>
    <w:rsid w:val="000416DC"/>
    <w:rsid w:val="00041B6B"/>
    <w:rsid w:val="00041D21"/>
    <w:rsid w:val="00041D62"/>
    <w:rsid w:val="00041D72"/>
    <w:rsid w:val="00042484"/>
    <w:rsid w:val="000429AE"/>
    <w:rsid w:val="000438FD"/>
    <w:rsid w:val="00043B33"/>
    <w:rsid w:val="00043BC6"/>
    <w:rsid w:val="000444B0"/>
    <w:rsid w:val="000447B4"/>
    <w:rsid w:val="0004499F"/>
    <w:rsid w:val="00044F82"/>
    <w:rsid w:val="0004524A"/>
    <w:rsid w:val="0004534F"/>
    <w:rsid w:val="00045452"/>
    <w:rsid w:val="00045B0D"/>
    <w:rsid w:val="00045B42"/>
    <w:rsid w:val="00046059"/>
    <w:rsid w:val="00046113"/>
    <w:rsid w:val="0004629A"/>
    <w:rsid w:val="00046318"/>
    <w:rsid w:val="00046822"/>
    <w:rsid w:val="00047036"/>
    <w:rsid w:val="000478DF"/>
    <w:rsid w:val="000504AC"/>
    <w:rsid w:val="000504F8"/>
    <w:rsid w:val="00050730"/>
    <w:rsid w:val="00050A97"/>
    <w:rsid w:val="00050EF3"/>
    <w:rsid w:val="000515BE"/>
    <w:rsid w:val="00051B2D"/>
    <w:rsid w:val="00051D9D"/>
    <w:rsid w:val="0005214E"/>
    <w:rsid w:val="00052465"/>
    <w:rsid w:val="00052724"/>
    <w:rsid w:val="00052842"/>
    <w:rsid w:val="0005298A"/>
    <w:rsid w:val="00052DF3"/>
    <w:rsid w:val="00053238"/>
    <w:rsid w:val="00053497"/>
    <w:rsid w:val="00053BA4"/>
    <w:rsid w:val="00053BBF"/>
    <w:rsid w:val="00054341"/>
    <w:rsid w:val="00054CBC"/>
    <w:rsid w:val="0005546F"/>
    <w:rsid w:val="00055942"/>
    <w:rsid w:val="000567D7"/>
    <w:rsid w:val="000569E5"/>
    <w:rsid w:val="00056D64"/>
    <w:rsid w:val="00057086"/>
    <w:rsid w:val="0005717A"/>
    <w:rsid w:val="000577E2"/>
    <w:rsid w:val="00057974"/>
    <w:rsid w:val="00057AAC"/>
    <w:rsid w:val="00060046"/>
    <w:rsid w:val="000606C3"/>
    <w:rsid w:val="000606F4"/>
    <w:rsid w:val="00060BC4"/>
    <w:rsid w:val="00060CD9"/>
    <w:rsid w:val="00060D4F"/>
    <w:rsid w:val="000611CC"/>
    <w:rsid w:val="0006201E"/>
    <w:rsid w:val="0006231A"/>
    <w:rsid w:val="00062391"/>
    <w:rsid w:val="000629D2"/>
    <w:rsid w:val="00062A7A"/>
    <w:rsid w:val="000634A0"/>
    <w:rsid w:val="000639B5"/>
    <w:rsid w:val="00063E1B"/>
    <w:rsid w:val="00063F7A"/>
    <w:rsid w:val="00064A87"/>
    <w:rsid w:val="00064AB1"/>
    <w:rsid w:val="00064F55"/>
    <w:rsid w:val="0006542A"/>
    <w:rsid w:val="000664BF"/>
    <w:rsid w:val="00066841"/>
    <w:rsid w:val="00066E3E"/>
    <w:rsid w:val="000672BB"/>
    <w:rsid w:val="0006765D"/>
    <w:rsid w:val="00067827"/>
    <w:rsid w:val="00067CCF"/>
    <w:rsid w:val="00070284"/>
    <w:rsid w:val="0007053E"/>
    <w:rsid w:val="00070956"/>
    <w:rsid w:val="00070B23"/>
    <w:rsid w:val="00070C01"/>
    <w:rsid w:val="00070FBA"/>
    <w:rsid w:val="0007136C"/>
    <w:rsid w:val="00071621"/>
    <w:rsid w:val="0007173E"/>
    <w:rsid w:val="00071A16"/>
    <w:rsid w:val="00071BD4"/>
    <w:rsid w:val="00071DED"/>
    <w:rsid w:val="00071F2C"/>
    <w:rsid w:val="00074233"/>
    <w:rsid w:val="00074284"/>
    <w:rsid w:val="000746DB"/>
    <w:rsid w:val="000748F1"/>
    <w:rsid w:val="0007543A"/>
    <w:rsid w:val="00075A26"/>
    <w:rsid w:val="00076930"/>
    <w:rsid w:val="000771FB"/>
    <w:rsid w:val="00077240"/>
    <w:rsid w:val="000773A9"/>
    <w:rsid w:val="0007774E"/>
    <w:rsid w:val="000777B6"/>
    <w:rsid w:val="0007798B"/>
    <w:rsid w:val="00077BBC"/>
    <w:rsid w:val="00077E4C"/>
    <w:rsid w:val="00077F06"/>
    <w:rsid w:val="00080334"/>
    <w:rsid w:val="00080BA4"/>
    <w:rsid w:val="00080C19"/>
    <w:rsid w:val="00081B04"/>
    <w:rsid w:val="00081BB4"/>
    <w:rsid w:val="00081BC6"/>
    <w:rsid w:val="0008225E"/>
    <w:rsid w:val="00082329"/>
    <w:rsid w:val="0008243C"/>
    <w:rsid w:val="0008261D"/>
    <w:rsid w:val="000828F6"/>
    <w:rsid w:val="00082C7C"/>
    <w:rsid w:val="00082CB1"/>
    <w:rsid w:val="00082D9D"/>
    <w:rsid w:val="00082DBB"/>
    <w:rsid w:val="0008325F"/>
    <w:rsid w:val="00083491"/>
    <w:rsid w:val="000838F8"/>
    <w:rsid w:val="00083A32"/>
    <w:rsid w:val="00083EA2"/>
    <w:rsid w:val="00084786"/>
    <w:rsid w:val="000847D1"/>
    <w:rsid w:val="00084A4C"/>
    <w:rsid w:val="00084E37"/>
    <w:rsid w:val="000851E1"/>
    <w:rsid w:val="0008520F"/>
    <w:rsid w:val="00085B8C"/>
    <w:rsid w:val="00085BFC"/>
    <w:rsid w:val="000862F3"/>
    <w:rsid w:val="000866CA"/>
    <w:rsid w:val="000872DB"/>
    <w:rsid w:val="000874EE"/>
    <w:rsid w:val="00087D52"/>
    <w:rsid w:val="00090122"/>
    <w:rsid w:val="00090A46"/>
    <w:rsid w:val="00090AAB"/>
    <w:rsid w:val="00090DD6"/>
    <w:rsid w:val="00090EF9"/>
    <w:rsid w:val="00091D4F"/>
    <w:rsid w:val="00092034"/>
    <w:rsid w:val="0009203F"/>
    <w:rsid w:val="000920D1"/>
    <w:rsid w:val="0009295E"/>
    <w:rsid w:val="00093190"/>
    <w:rsid w:val="0009359D"/>
    <w:rsid w:val="0009361A"/>
    <w:rsid w:val="00094076"/>
    <w:rsid w:val="000940E7"/>
    <w:rsid w:val="000941B1"/>
    <w:rsid w:val="00094EA2"/>
    <w:rsid w:val="000954A8"/>
    <w:rsid w:val="000955C8"/>
    <w:rsid w:val="00095944"/>
    <w:rsid w:val="0009602D"/>
    <w:rsid w:val="0009618D"/>
    <w:rsid w:val="000963DE"/>
    <w:rsid w:val="000964E7"/>
    <w:rsid w:val="00096A8B"/>
    <w:rsid w:val="00096B63"/>
    <w:rsid w:val="0009716E"/>
    <w:rsid w:val="0009769C"/>
    <w:rsid w:val="00097745"/>
    <w:rsid w:val="00097770"/>
    <w:rsid w:val="00097AA5"/>
    <w:rsid w:val="00097F84"/>
    <w:rsid w:val="000A03C9"/>
    <w:rsid w:val="000A050F"/>
    <w:rsid w:val="000A066B"/>
    <w:rsid w:val="000A07F1"/>
    <w:rsid w:val="000A10B7"/>
    <w:rsid w:val="000A1157"/>
    <w:rsid w:val="000A1998"/>
    <w:rsid w:val="000A1AE0"/>
    <w:rsid w:val="000A2290"/>
    <w:rsid w:val="000A25EE"/>
    <w:rsid w:val="000A26B1"/>
    <w:rsid w:val="000A2B11"/>
    <w:rsid w:val="000A2F48"/>
    <w:rsid w:val="000A3205"/>
    <w:rsid w:val="000A3485"/>
    <w:rsid w:val="000A38E5"/>
    <w:rsid w:val="000A38EC"/>
    <w:rsid w:val="000A3A98"/>
    <w:rsid w:val="000A3D6C"/>
    <w:rsid w:val="000A3FC2"/>
    <w:rsid w:val="000A4880"/>
    <w:rsid w:val="000A4E4B"/>
    <w:rsid w:val="000A5009"/>
    <w:rsid w:val="000A6003"/>
    <w:rsid w:val="000A60C4"/>
    <w:rsid w:val="000A620B"/>
    <w:rsid w:val="000A6524"/>
    <w:rsid w:val="000A690B"/>
    <w:rsid w:val="000A6D1E"/>
    <w:rsid w:val="000A75C8"/>
    <w:rsid w:val="000A7AC8"/>
    <w:rsid w:val="000A7D03"/>
    <w:rsid w:val="000B0202"/>
    <w:rsid w:val="000B0448"/>
    <w:rsid w:val="000B16A2"/>
    <w:rsid w:val="000B2424"/>
    <w:rsid w:val="000B24D0"/>
    <w:rsid w:val="000B2C46"/>
    <w:rsid w:val="000B329C"/>
    <w:rsid w:val="000B36F5"/>
    <w:rsid w:val="000B3C82"/>
    <w:rsid w:val="000B3CF4"/>
    <w:rsid w:val="000B42C5"/>
    <w:rsid w:val="000B43BE"/>
    <w:rsid w:val="000B44F1"/>
    <w:rsid w:val="000B492D"/>
    <w:rsid w:val="000B49FE"/>
    <w:rsid w:val="000B525A"/>
    <w:rsid w:val="000B5555"/>
    <w:rsid w:val="000B5C90"/>
    <w:rsid w:val="000B5C9E"/>
    <w:rsid w:val="000B5E94"/>
    <w:rsid w:val="000B612D"/>
    <w:rsid w:val="000B63E0"/>
    <w:rsid w:val="000B6666"/>
    <w:rsid w:val="000B67B8"/>
    <w:rsid w:val="000B68A8"/>
    <w:rsid w:val="000B6CF0"/>
    <w:rsid w:val="000B6F5D"/>
    <w:rsid w:val="000B773B"/>
    <w:rsid w:val="000B7F6A"/>
    <w:rsid w:val="000C0A46"/>
    <w:rsid w:val="000C0D85"/>
    <w:rsid w:val="000C128F"/>
    <w:rsid w:val="000C2508"/>
    <w:rsid w:val="000C2B35"/>
    <w:rsid w:val="000C3058"/>
    <w:rsid w:val="000C3392"/>
    <w:rsid w:val="000C34DC"/>
    <w:rsid w:val="000C3681"/>
    <w:rsid w:val="000C42E4"/>
    <w:rsid w:val="000C4775"/>
    <w:rsid w:val="000C47E4"/>
    <w:rsid w:val="000C4D63"/>
    <w:rsid w:val="000C54EB"/>
    <w:rsid w:val="000C568A"/>
    <w:rsid w:val="000C58DF"/>
    <w:rsid w:val="000C664D"/>
    <w:rsid w:val="000C6936"/>
    <w:rsid w:val="000C6D7A"/>
    <w:rsid w:val="000C71C8"/>
    <w:rsid w:val="000C7766"/>
    <w:rsid w:val="000C78FC"/>
    <w:rsid w:val="000C7CFF"/>
    <w:rsid w:val="000D001E"/>
    <w:rsid w:val="000D105F"/>
    <w:rsid w:val="000D144D"/>
    <w:rsid w:val="000D1971"/>
    <w:rsid w:val="000D1D5C"/>
    <w:rsid w:val="000D2617"/>
    <w:rsid w:val="000D2F9D"/>
    <w:rsid w:val="000D30A7"/>
    <w:rsid w:val="000D31FC"/>
    <w:rsid w:val="000D3311"/>
    <w:rsid w:val="000D4013"/>
    <w:rsid w:val="000D406C"/>
    <w:rsid w:val="000D439C"/>
    <w:rsid w:val="000D47BC"/>
    <w:rsid w:val="000D4B7C"/>
    <w:rsid w:val="000D6404"/>
    <w:rsid w:val="000D683D"/>
    <w:rsid w:val="000D70CF"/>
    <w:rsid w:val="000D72F0"/>
    <w:rsid w:val="000D733C"/>
    <w:rsid w:val="000D756D"/>
    <w:rsid w:val="000D79F2"/>
    <w:rsid w:val="000D7DAE"/>
    <w:rsid w:val="000D7E99"/>
    <w:rsid w:val="000E016C"/>
    <w:rsid w:val="000E02B9"/>
    <w:rsid w:val="000E05E7"/>
    <w:rsid w:val="000E065B"/>
    <w:rsid w:val="000E0CA8"/>
    <w:rsid w:val="000E102C"/>
    <w:rsid w:val="000E14E5"/>
    <w:rsid w:val="000E204E"/>
    <w:rsid w:val="000E2E03"/>
    <w:rsid w:val="000E2F46"/>
    <w:rsid w:val="000E31B1"/>
    <w:rsid w:val="000E31C1"/>
    <w:rsid w:val="000E3243"/>
    <w:rsid w:val="000E33C0"/>
    <w:rsid w:val="000E34DC"/>
    <w:rsid w:val="000E3DA2"/>
    <w:rsid w:val="000E426D"/>
    <w:rsid w:val="000E45FF"/>
    <w:rsid w:val="000E469A"/>
    <w:rsid w:val="000E4BEA"/>
    <w:rsid w:val="000E4FDE"/>
    <w:rsid w:val="000E50F9"/>
    <w:rsid w:val="000E5C42"/>
    <w:rsid w:val="000E610E"/>
    <w:rsid w:val="000E6A29"/>
    <w:rsid w:val="000E6E16"/>
    <w:rsid w:val="000E74EA"/>
    <w:rsid w:val="000E7A4C"/>
    <w:rsid w:val="000E7AC6"/>
    <w:rsid w:val="000F0D90"/>
    <w:rsid w:val="000F15E7"/>
    <w:rsid w:val="000F218E"/>
    <w:rsid w:val="000F21D6"/>
    <w:rsid w:val="000F2D1E"/>
    <w:rsid w:val="000F324B"/>
    <w:rsid w:val="000F3528"/>
    <w:rsid w:val="000F37AA"/>
    <w:rsid w:val="000F3F30"/>
    <w:rsid w:val="000F424F"/>
    <w:rsid w:val="000F4A8E"/>
    <w:rsid w:val="000F4E4F"/>
    <w:rsid w:val="000F548A"/>
    <w:rsid w:val="000F628D"/>
    <w:rsid w:val="000F6434"/>
    <w:rsid w:val="000F6A22"/>
    <w:rsid w:val="000F746C"/>
    <w:rsid w:val="000F7781"/>
    <w:rsid w:val="000F7A35"/>
    <w:rsid w:val="000F7C3F"/>
    <w:rsid w:val="000F7E95"/>
    <w:rsid w:val="001003A9"/>
    <w:rsid w:val="001008EE"/>
    <w:rsid w:val="00100951"/>
    <w:rsid w:val="00101E3F"/>
    <w:rsid w:val="00101F78"/>
    <w:rsid w:val="0010387C"/>
    <w:rsid w:val="00103B2C"/>
    <w:rsid w:val="00103FA2"/>
    <w:rsid w:val="001049B9"/>
    <w:rsid w:val="00104BCB"/>
    <w:rsid w:val="00104C2D"/>
    <w:rsid w:val="00105318"/>
    <w:rsid w:val="001055A1"/>
    <w:rsid w:val="001055B8"/>
    <w:rsid w:val="00105C05"/>
    <w:rsid w:val="00105CD1"/>
    <w:rsid w:val="00105D85"/>
    <w:rsid w:val="00105EAD"/>
    <w:rsid w:val="00105F5D"/>
    <w:rsid w:val="00105FF7"/>
    <w:rsid w:val="00106C52"/>
    <w:rsid w:val="00106D76"/>
    <w:rsid w:val="001076E3"/>
    <w:rsid w:val="00107941"/>
    <w:rsid w:val="00107B60"/>
    <w:rsid w:val="00107E18"/>
    <w:rsid w:val="0011060F"/>
    <w:rsid w:val="00110956"/>
    <w:rsid w:val="0011095B"/>
    <w:rsid w:val="00110CF0"/>
    <w:rsid w:val="00110DC9"/>
    <w:rsid w:val="00111038"/>
    <w:rsid w:val="0011121B"/>
    <w:rsid w:val="0011149D"/>
    <w:rsid w:val="001114E3"/>
    <w:rsid w:val="0011197E"/>
    <w:rsid w:val="00111995"/>
    <w:rsid w:val="00111D19"/>
    <w:rsid w:val="00112384"/>
    <w:rsid w:val="001129EE"/>
    <w:rsid w:val="00113500"/>
    <w:rsid w:val="00114475"/>
    <w:rsid w:val="001146B0"/>
    <w:rsid w:val="00114B12"/>
    <w:rsid w:val="00114ED4"/>
    <w:rsid w:val="00115643"/>
    <w:rsid w:val="001159C9"/>
    <w:rsid w:val="00116427"/>
    <w:rsid w:val="0011672C"/>
    <w:rsid w:val="001168B0"/>
    <w:rsid w:val="00116AE7"/>
    <w:rsid w:val="00116E77"/>
    <w:rsid w:val="00117064"/>
    <w:rsid w:val="00117424"/>
    <w:rsid w:val="001175AC"/>
    <w:rsid w:val="001175D3"/>
    <w:rsid w:val="001178B8"/>
    <w:rsid w:val="00120229"/>
    <w:rsid w:val="00120541"/>
    <w:rsid w:val="0012077C"/>
    <w:rsid w:val="001207D3"/>
    <w:rsid w:val="001209F7"/>
    <w:rsid w:val="00120BD7"/>
    <w:rsid w:val="00121422"/>
    <w:rsid w:val="00121EAB"/>
    <w:rsid w:val="00122DBD"/>
    <w:rsid w:val="00122EFD"/>
    <w:rsid w:val="00123409"/>
    <w:rsid w:val="00123B21"/>
    <w:rsid w:val="00123B59"/>
    <w:rsid w:val="0012461A"/>
    <w:rsid w:val="00124F8E"/>
    <w:rsid w:val="0012547E"/>
    <w:rsid w:val="00125B04"/>
    <w:rsid w:val="00126775"/>
    <w:rsid w:val="00126778"/>
    <w:rsid w:val="001267AC"/>
    <w:rsid w:val="00127C67"/>
    <w:rsid w:val="0013097B"/>
    <w:rsid w:val="00130F63"/>
    <w:rsid w:val="001310D5"/>
    <w:rsid w:val="00132A3B"/>
    <w:rsid w:val="0013322C"/>
    <w:rsid w:val="001332A2"/>
    <w:rsid w:val="001333E0"/>
    <w:rsid w:val="00133528"/>
    <w:rsid w:val="00133541"/>
    <w:rsid w:val="00133C97"/>
    <w:rsid w:val="001344FB"/>
    <w:rsid w:val="0013492E"/>
    <w:rsid w:val="00134987"/>
    <w:rsid w:val="00134AA8"/>
    <w:rsid w:val="00135361"/>
    <w:rsid w:val="001358AD"/>
    <w:rsid w:val="00136622"/>
    <w:rsid w:val="001369CF"/>
    <w:rsid w:val="00136BBD"/>
    <w:rsid w:val="0013730F"/>
    <w:rsid w:val="00137EAE"/>
    <w:rsid w:val="00140026"/>
    <w:rsid w:val="00140593"/>
    <w:rsid w:val="00140618"/>
    <w:rsid w:val="001408BD"/>
    <w:rsid w:val="00140C18"/>
    <w:rsid w:val="00140E02"/>
    <w:rsid w:val="0014153A"/>
    <w:rsid w:val="00141768"/>
    <w:rsid w:val="00141926"/>
    <w:rsid w:val="00141B4E"/>
    <w:rsid w:val="00141CE6"/>
    <w:rsid w:val="00141DC1"/>
    <w:rsid w:val="00141F11"/>
    <w:rsid w:val="001427C3"/>
    <w:rsid w:val="00142F07"/>
    <w:rsid w:val="00143573"/>
    <w:rsid w:val="00143614"/>
    <w:rsid w:val="00143F7C"/>
    <w:rsid w:val="00144216"/>
    <w:rsid w:val="00144408"/>
    <w:rsid w:val="0014443D"/>
    <w:rsid w:val="001447AD"/>
    <w:rsid w:val="0014486A"/>
    <w:rsid w:val="00144DFC"/>
    <w:rsid w:val="00145091"/>
    <w:rsid w:val="0014572D"/>
    <w:rsid w:val="00145A43"/>
    <w:rsid w:val="00145B76"/>
    <w:rsid w:val="001461AB"/>
    <w:rsid w:val="00146690"/>
    <w:rsid w:val="00146B59"/>
    <w:rsid w:val="001477AA"/>
    <w:rsid w:val="00147AAD"/>
    <w:rsid w:val="00147AC2"/>
    <w:rsid w:val="00147B0D"/>
    <w:rsid w:val="001502FF"/>
    <w:rsid w:val="00150E11"/>
    <w:rsid w:val="00151FEB"/>
    <w:rsid w:val="00152712"/>
    <w:rsid w:val="001527C1"/>
    <w:rsid w:val="00152962"/>
    <w:rsid w:val="001530A7"/>
    <w:rsid w:val="001531F4"/>
    <w:rsid w:val="001532C5"/>
    <w:rsid w:val="001534F9"/>
    <w:rsid w:val="00154361"/>
    <w:rsid w:val="00154524"/>
    <w:rsid w:val="001545D7"/>
    <w:rsid w:val="001546BE"/>
    <w:rsid w:val="00154A6B"/>
    <w:rsid w:val="00154D19"/>
    <w:rsid w:val="001557BA"/>
    <w:rsid w:val="00155AAF"/>
    <w:rsid w:val="001562B7"/>
    <w:rsid w:val="00156344"/>
    <w:rsid w:val="00156D73"/>
    <w:rsid w:val="001570AB"/>
    <w:rsid w:val="00157338"/>
    <w:rsid w:val="00157710"/>
    <w:rsid w:val="00157D3D"/>
    <w:rsid w:val="00157EB3"/>
    <w:rsid w:val="00160759"/>
    <w:rsid w:val="00160834"/>
    <w:rsid w:val="00161239"/>
    <w:rsid w:val="00161989"/>
    <w:rsid w:val="00161EBA"/>
    <w:rsid w:val="00162935"/>
    <w:rsid w:val="00162F1A"/>
    <w:rsid w:val="001631E7"/>
    <w:rsid w:val="001635E1"/>
    <w:rsid w:val="00163B66"/>
    <w:rsid w:val="00163DA6"/>
    <w:rsid w:val="00163F0E"/>
    <w:rsid w:val="0016456F"/>
    <w:rsid w:val="00164A34"/>
    <w:rsid w:val="00165099"/>
    <w:rsid w:val="001650F7"/>
    <w:rsid w:val="0016511E"/>
    <w:rsid w:val="0016580A"/>
    <w:rsid w:val="001658A6"/>
    <w:rsid w:val="00165BC2"/>
    <w:rsid w:val="00165D2D"/>
    <w:rsid w:val="00165D3B"/>
    <w:rsid w:val="00165F5A"/>
    <w:rsid w:val="00166E94"/>
    <w:rsid w:val="00167607"/>
    <w:rsid w:val="001676B0"/>
    <w:rsid w:val="001678C1"/>
    <w:rsid w:val="00167A24"/>
    <w:rsid w:val="00167D89"/>
    <w:rsid w:val="00167EA9"/>
    <w:rsid w:val="00167F1A"/>
    <w:rsid w:val="0017043B"/>
    <w:rsid w:val="00170769"/>
    <w:rsid w:val="00170F9A"/>
    <w:rsid w:val="00171022"/>
    <w:rsid w:val="001714F5"/>
    <w:rsid w:val="00171739"/>
    <w:rsid w:val="00171E2D"/>
    <w:rsid w:val="00172038"/>
    <w:rsid w:val="00172112"/>
    <w:rsid w:val="00172280"/>
    <w:rsid w:val="001723BD"/>
    <w:rsid w:val="0017255D"/>
    <w:rsid w:val="001727E2"/>
    <w:rsid w:val="00172F70"/>
    <w:rsid w:val="00173109"/>
    <w:rsid w:val="0017366E"/>
    <w:rsid w:val="00173F2B"/>
    <w:rsid w:val="001740A4"/>
    <w:rsid w:val="0017413A"/>
    <w:rsid w:val="00174802"/>
    <w:rsid w:val="0017498A"/>
    <w:rsid w:val="00174DB8"/>
    <w:rsid w:val="00175732"/>
    <w:rsid w:val="00175D4E"/>
    <w:rsid w:val="00175E66"/>
    <w:rsid w:val="0017641C"/>
    <w:rsid w:val="0017645F"/>
    <w:rsid w:val="001768C8"/>
    <w:rsid w:val="00176DBA"/>
    <w:rsid w:val="00177374"/>
    <w:rsid w:val="0017756B"/>
    <w:rsid w:val="00177C3C"/>
    <w:rsid w:val="00177E8B"/>
    <w:rsid w:val="00180AAE"/>
    <w:rsid w:val="00180AD7"/>
    <w:rsid w:val="00180CFB"/>
    <w:rsid w:val="001812DB"/>
    <w:rsid w:val="00181867"/>
    <w:rsid w:val="00181A25"/>
    <w:rsid w:val="00182415"/>
    <w:rsid w:val="0018255F"/>
    <w:rsid w:val="001829A1"/>
    <w:rsid w:val="001829C5"/>
    <w:rsid w:val="00182ED4"/>
    <w:rsid w:val="00182EED"/>
    <w:rsid w:val="001839DC"/>
    <w:rsid w:val="00183C00"/>
    <w:rsid w:val="00184074"/>
    <w:rsid w:val="001844A5"/>
    <w:rsid w:val="00184BF6"/>
    <w:rsid w:val="00184D6F"/>
    <w:rsid w:val="001855D9"/>
    <w:rsid w:val="00185B25"/>
    <w:rsid w:val="00185EA3"/>
    <w:rsid w:val="001865A7"/>
    <w:rsid w:val="0018664B"/>
    <w:rsid w:val="0018670D"/>
    <w:rsid w:val="00187B89"/>
    <w:rsid w:val="00187CD9"/>
    <w:rsid w:val="00187D96"/>
    <w:rsid w:val="00187E37"/>
    <w:rsid w:val="001904AB"/>
    <w:rsid w:val="001906E8"/>
    <w:rsid w:val="00190B2E"/>
    <w:rsid w:val="00190D55"/>
    <w:rsid w:val="00190E43"/>
    <w:rsid w:val="00190F6F"/>
    <w:rsid w:val="00191EED"/>
    <w:rsid w:val="00192E86"/>
    <w:rsid w:val="001930F3"/>
    <w:rsid w:val="00193365"/>
    <w:rsid w:val="0019364D"/>
    <w:rsid w:val="00193788"/>
    <w:rsid w:val="00193835"/>
    <w:rsid w:val="00194C94"/>
    <w:rsid w:val="00194D43"/>
    <w:rsid w:val="00194D98"/>
    <w:rsid w:val="001953BB"/>
    <w:rsid w:val="00195B4D"/>
    <w:rsid w:val="00196112"/>
    <w:rsid w:val="00196739"/>
    <w:rsid w:val="001968D2"/>
    <w:rsid w:val="00197178"/>
    <w:rsid w:val="001972D3"/>
    <w:rsid w:val="00197520"/>
    <w:rsid w:val="001979C7"/>
    <w:rsid w:val="00197C43"/>
    <w:rsid w:val="00197F0F"/>
    <w:rsid w:val="001A0775"/>
    <w:rsid w:val="001A139F"/>
    <w:rsid w:val="001A15EC"/>
    <w:rsid w:val="001A1845"/>
    <w:rsid w:val="001A198B"/>
    <w:rsid w:val="001A19A9"/>
    <w:rsid w:val="001A1A02"/>
    <w:rsid w:val="001A1C0C"/>
    <w:rsid w:val="001A2364"/>
    <w:rsid w:val="001A2770"/>
    <w:rsid w:val="001A2A2C"/>
    <w:rsid w:val="001A2C8A"/>
    <w:rsid w:val="001A3835"/>
    <w:rsid w:val="001A3C18"/>
    <w:rsid w:val="001A404C"/>
    <w:rsid w:val="001A42A8"/>
    <w:rsid w:val="001A439E"/>
    <w:rsid w:val="001A4D62"/>
    <w:rsid w:val="001A524D"/>
    <w:rsid w:val="001A53C7"/>
    <w:rsid w:val="001A54F6"/>
    <w:rsid w:val="001A616C"/>
    <w:rsid w:val="001A6B60"/>
    <w:rsid w:val="001A6DDA"/>
    <w:rsid w:val="001A7405"/>
    <w:rsid w:val="001A7F34"/>
    <w:rsid w:val="001B035E"/>
    <w:rsid w:val="001B07AF"/>
    <w:rsid w:val="001B0863"/>
    <w:rsid w:val="001B0EB7"/>
    <w:rsid w:val="001B0F27"/>
    <w:rsid w:val="001B0F2B"/>
    <w:rsid w:val="001B0FF6"/>
    <w:rsid w:val="001B13E8"/>
    <w:rsid w:val="001B213A"/>
    <w:rsid w:val="001B2C02"/>
    <w:rsid w:val="001B2FC0"/>
    <w:rsid w:val="001B377E"/>
    <w:rsid w:val="001B3987"/>
    <w:rsid w:val="001B3B2F"/>
    <w:rsid w:val="001B4794"/>
    <w:rsid w:val="001B496B"/>
    <w:rsid w:val="001B49CD"/>
    <w:rsid w:val="001B522D"/>
    <w:rsid w:val="001B5852"/>
    <w:rsid w:val="001B6031"/>
    <w:rsid w:val="001B60AC"/>
    <w:rsid w:val="001B6BC7"/>
    <w:rsid w:val="001B7BF9"/>
    <w:rsid w:val="001B7D18"/>
    <w:rsid w:val="001C1070"/>
    <w:rsid w:val="001C15D3"/>
    <w:rsid w:val="001C185B"/>
    <w:rsid w:val="001C1AF0"/>
    <w:rsid w:val="001C1B43"/>
    <w:rsid w:val="001C1C12"/>
    <w:rsid w:val="001C1CC6"/>
    <w:rsid w:val="001C274C"/>
    <w:rsid w:val="001C2759"/>
    <w:rsid w:val="001C316A"/>
    <w:rsid w:val="001C35CA"/>
    <w:rsid w:val="001C3A3C"/>
    <w:rsid w:val="001C3D67"/>
    <w:rsid w:val="001C4AAD"/>
    <w:rsid w:val="001C55A3"/>
    <w:rsid w:val="001C597A"/>
    <w:rsid w:val="001C5BC1"/>
    <w:rsid w:val="001C6191"/>
    <w:rsid w:val="001C61C3"/>
    <w:rsid w:val="001C61D8"/>
    <w:rsid w:val="001C6811"/>
    <w:rsid w:val="001C6EF8"/>
    <w:rsid w:val="001C6FD4"/>
    <w:rsid w:val="001C720C"/>
    <w:rsid w:val="001C74A3"/>
    <w:rsid w:val="001C76F9"/>
    <w:rsid w:val="001D002E"/>
    <w:rsid w:val="001D0478"/>
    <w:rsid w:val="001D0AFD"/>
    <w:rsid w:val="001D0BD9"/>
    <w:rsid w:val="001D0DEC"/>
    <w:rsid w:val="001D16DC"/>
    <w:rsid w:val="001D1856"/>
    <w:rsid w:val="001D1BB4"/>
    <w:rsid w:val="001D28CA"/>
    <w:rsid w:val="001D2B50"/>
    <w:rsid w:val="001D2E4D"/>
    <w:rsid w:val="001D3179"/>
    <w:rsid w:val="001D349B"/>
    <w:rsid w:val="001D39A6"/>
    <w:rsid w:val="001D39C7"/>
    <w:rsid w:val="001D491A"/>
    <w:rsid w:val="001D5103"/>
    <w:rsid w:val="001D536A"/>
    <w:rsid w:val="001D5720"/>
    <w:rsid w:val="001D5ABC"/>
    <w:rsid w:val="001D5E59"/>
    <w:rsid w:val="001D60F5"/>
    <w:rsid w:val="001D62B8"/>
    <w:rsid w:val="001D6730"/>
    <w:rsid w:val="001D6A15"/>
    <w:rsid w:val="001D6BD8"/>
    <w:rsid w:val="001D71E5"/>
    <w:rsid w:val="001D7480"/>
    <w:rsid w:val="001D7557"/>
    <w:rsid w:val="001D755F"/>
    <w:rsid w:val="001E04BE"/>
    <w:rsid w:val="001E058E"/>
    <w:rsid w:val="001E0FB6"/>
    <w:rsid w:val="001E2212"/>
    <w:rsid w:val="001E242E"/>
    <w:rsid w:val="001E2724"/>
    <w:rsid w:val="001E29F2"/>
    <w:rsid w:val="001E2B0A"/>
    <w:rsid w:val="001E3FAE"/>
    <w:rsid w:val="001E45CD"/>
    <w:rsid w:val="001E46DB"/>
    <w:rsid w:val="001E5112"/>
    <w:rsid w:val="001E555F"/>
    <w:rsid w:val="001E61AC"/>
    <w:rsid w:val="001E67AE"/>
    <w:rsid w:val="001E6C1B"/>
    <w:rsid w:val="001E715D"/>
    <w:rsid w:val="001E7AC7"/>
    <w:rsid w:val="001E7DB7"/>
    <w:rsid w:val="001F015B"/>
    <w:rsid w:val="001F01CD"/>
    <w:rsid w:val="001F0888"/>
    <w:rsid w:val="001F0F97"/>
    <w:rsid w:val="001F13AE"/>
    <w:rsid w:val="001F1C5D"/>
    <w:rsid w:val="001F2EFB"/>
    <w:rsid w:val="001F3232"/>
    <w:rsid w:val="001F32F6"/>
    <w:rsid w:val="001F3674"/>
    <w:rsid w:val="001F478A"/>
    <w:rsid w:val="001F4D86"/>
    <w:rsid w:val="001F545D"/>
    <w:rsid w:val="001F548D"/>
    <w:rsid w:val="001F55B1"/>
    <w:rsid w:val="001F5894"/>
    <w:rsid w:val="001F5DBD"/>
    <w:rsid w:val="001F600D"/>
    <w:rsid w:val="001F612B"/>
    <w:rsid w:val="001F623C"/>
    <w:rsid w:val="001F6740"/>
    <w:rsid w:val="001F6B31"/>
    <w:rsid w:val="001F6FB8"/>
    <w:rsid w:val="001F70B2"/>
    <w:rsid w:val="001F74C6"/>
    <w:rsid w:val="001F77D8"/>
    <w:rsid w:val="001F7A9E"/>
    <w:rsid w:val="001F7C87"/>
    <w:rsid w:val="00200147"/>
    <w:rsid w:val="002003A7"/>
    <w:rsid w:val="00200BAC"/>
    <w:rsid w:val="00200BD3"/>
    <w:rsid w:val="00200CAC"/>
    <w:rsid w:val="00200E93"/>
    <w:rsid w:val="00200EDD"/>
    <w:rsid w:val="002014A1"/>
    <w:rsid w:val="00201994"/>
    <w:rsid w:val="00201D53"/>
    <w:rsid w:val="00203678"/>
    <w:rsid w:val="00203E92"/>
    <w:rsid w:val="00204416"/>
    <w:rsid w:val="002046E5"/>
    <w:rsid w:val="00204C8D"/>
    <w:rsid w:val="00204FB7"/>
    <w:rsid w:val="00205071"/>
    <w:rsid w:val="00205676"/>
    <w:rsid w:val="00205983"/>
    <w:rsid w:val="00206067"/>
    <w:rsid w:val="0020619F"/>
    <w:rsid w:val="00206811"/>
    <w:rsid w:val="00206ADD"/>
    <w:rsid w:val="00206D6E"/>
    <w:rsid w:val="00206F33"/>
    <w:rsid w:val="00206FB4"/>
    <w:rsid w:val="00207258"/>
    <w:rsid w:val="002072EC"/>
    <w:rsid w:val="00207722"/>
    <w:rsid w:val="00207B61"/>
    <w:rsid w:val="00207CFE"/>
    <w:rsid w:val="00207E66"/>
    <w:rsid w:val="002101B8"/>
    <w:rsid w:val="002102F6"/>
    <w:rsid w:val="00210485"/>
    <w:rsid w:val="002105A4"/>
    <w:rsid w:val="002108C5"/>
    <w:rsid w:val="002109CB"/>
    <w:rsid w:val="00210C5C"/>
    <w:rsid w:val="00210D8A"/>
    <w:rsid w:val="00211563"/>
    <w:rsid w:val="00211650"/>
    <w:rsid w:val="002118EB"/>
    <w:rsid w:val="002119B5"/>
    <w:rsid w:val="00211B5B"/>
    <w:rsid w:val="00211BC0"/>
    <w:rsid w:val="00211C13"/>
    <w:rsid w:val="00212B8E"/>
    <w:rsid w:val="00212CC8"/>
    <w:rsid w:val="00212E8D"/>
    <w:rsid w:val="002130FD"/>
    <w:rsid w:val="00213806"/>
    <w:rsid w:val="00213DBB"/>
    <w:rsid w:val="002147EC"/>
    <w:rsid w:val="002149BF"/>
    <w:rsid w:val="0021595D"/>
    <w:rsid w:val="002165E3"/>
    <w:rsid w:val="00216978"/>
    <w:rsid w:val="00216D77"/>
    <w:rsid w:val="00217057"/>
    <w:rsid w:val="002170F5"/>
    <w:rsid w:val="0021711F"/>
    <w:rsid w:val="002205D1"/>
    <w:rsid w:val="00220986"/>
    <w:rsid w:val="00220AE5"/>
    <w:rsid w:val="00220DC7"/>
    <w:rsid w:val="00220F5F"/>
    <w:rsid w:val="00221A94"/>
    <w:rsid w:val="00221DB3"/>
    <w:rsid w:val="002224DD"/>
    <w:rsid w:val="00222B8B"/>
    <w:rsid w:val="00224180"/>
    <w:rsid w:val="0022441A"/>
    <w:rsid w:val="00224545"/>
    <w:rsid w:val="00224802"/>
    <w:rsid w:val="0022512A"/>
    <w:rsid w:val="0022535D"/>
    <w:rsid w:val="002254DC"/>
    <w:rsid w:val="002259AA"/>
    <w:rsid w:val="00225DFE"/>
    <w:rsid w:val="00226032"/>
    <w:rsid w:val="00226E79"/>
    <w:rsid w:val="00227226"/>
    <w:rsid w:val="00227530"/>
    <w:rsid w:val="0022796B"/>
    <w:rsid w:val="00230069"/>
    <w:rsid w:val="002307E4"/>
    <w:rsid w:val="00230CE8"/>
    <w:rsid w:val="00230EAC"/>
    <w:rsid w:val="00231327"/>
    <w:rsid w:val="00231CC9"/>
    <w:rsid w:val="00231DDA"/>
    <w:rsid w:val="00231DE8"/>
    <w:rsid w:val="00232646"/>
    <w:rsid w:val="00232EAA"/>
    <w:rsid w:val="0023319D"/>
    <w:rsid w:val="00233A19"/>
    <w:rsid w:val="00234109"/>
    <w:rsid w:val="002346D9"/>
    <w:rsid w:val="002347DD"/>
    <w:rsid w:val="00234927"/>
    <w:rsid w:val="00234E8F"/>
    <w:rsid w:val="00234E98"/>
    <w:rsid w:val="00235BE9"/>
    <w:rsid w:val="00235D9D"/>
    <w:rsid w:val="00235EC9"/>
    <w:rsid w:val="002364BC"/>
    <w:rsid w:val="0023653C"/>
    <w:rsid w:val="0023677E"/>
    <w:rsid w:val="0023688D"/>
    <w:rsid w:val="00236AA1"/>
    <w:rsid w:val="00237CED"/>
    <w:rsid w:val="002402DB"/>
    <w:rsid w:val="002407BD"/>
    <w:rsid w:val="002407F3"/>
    <w:rsid w:val="00240E49"/>
    <w:rsid w:val="00240F2F"/>
    <w:rsid w:val="002419CF"/>
    <w:rsid w:val="00242A32"/>
    <w:rsid w:val="00242B26"/>
    <w:rsid w:val="002432A2"/>
    <w:rsid w:val="002439C1"/>
    <w:rsid w:val="00243A84"/>
    <w:rsid w:val="00243CD8"/>
    <w:rsid w:val="00244298"/>
    <w:rsid w:val="002445DA"/>
    <w:rsid w:val="00244D30"/>
    <w:rsid w:val="00244ED6"/>
    <w:rsid w:val="0024547A"/>
    <w:rsid w:val="00245921"/>
    <w:rsid w:val="0024599F"/>
    <w:rsid w:val="00245A7C"/>
    <w:rsid w:val="00246184"/>
    <w:rsid w:val="00246AE8"/>
    <w:rsid w:val="0024790D"/>
    <w:rsid w:val="00247B3A"/>
    <w:rsid w:val="00247EA5"/>
    <w:rsid w:val="00247F70"/>
    <w:rsid w:val="002503DC"/>
    <w:rsid w:val="0025056B"/>
    <w:rsid w:val="002505D6"/>
    <w:rsid w:val="00250B5C"/>
    <w:rsid w:val="00250C9C"/>
    <w:rsid w:val="00251189"/>
    <w:rsid w:val="002513ED"/>
    <w:rsid w:val="00252165"/>
    <w:rsid w:val="00252393"/>
    <w:rsid w:val="002525A3"/>
    <w:rsid w:val="002529A7"/>
    <w:rsid w:val="00253813"/>
    <w:rsid w:val="00253CB8"/>
    <w:rsid w:val="00254B46"/>
    <w:rsid w:val="00254CA6"/>
    <w:rsid w:val="00254F54"/>
    <w:rsid w:val="00255150"/>
    <w:rsid w:val="002553B6"/>
    <w:rsid w:val="002553CD"/>
    <w:rsid w:val="0025548C"/>
    <w:rsid w:val="0025551E"/>
    <w:rsid w:val="00255584"/>
    <w:rsid w:val="0025576F"/>
    <w:rsid w:val="00255EA8"/>
    <w:rsid w:val="00256087"/>
    <w:rsid w:val="00256131"/>
    <w:rsid w:val="002566EC"/>
    <w:rsid w:val="002570AB"/>
    <w:rsid w:val="0025749B"/>
    <w:rsid w:val="002574E7"/>
    <w:rsid w:val="0025753A"/>
    <w:rsid w:val="00257D91"/>
    <w:rsid w:val="00260672"/>
    <w:rsid w:val="00260CB1"/>
    <w:rsid w:val="0026126C"/>
    <w:rsid w:val="00261352"/>
    <w:rsid w:val="00261598"/>
    <w:rsid w:val="00261FB5"/>
    <w:rsid w:val="002623D5"/>
    <w:rsid w:val="002628E5"/>
    <w:rsid w:val="002638F3"/>
    <w:rsid w:val="0026410C"/>
    <w:rsid w:val="00264EFB"/>
    <w:rsid w:val="00265911"/>
    <w:rsid w:val="00265924"/>
    <w:rsid w:val="00265AB3"/>
    <w:rsid w:val="0026604B"/>
    <w:rsid w:val="00267B12"/>
    <w:rsid w:val="0027014F"/>
    <w:rsid w:val="00270529"/>
    <w:rsid w:val="002705D5"/>
    <w:rsid w:val="00270DB6"/>
    <w:rsid w:val="00270ED5"/>
    <w:rsid w:val="00271273"/>
    <w:rsid w:val="002728EA"/>
    <w:rsid w:val="00272D97"/>
    <w:rsid w:val="00273526"/>
    <w:rsid w:val="00273BE2"/>
    <w:rsid w:val="0027434E"/>
    <w:rsid w:val="00274638"/>
    <w:rsid w:val="00274716"/>
    <w:rsid w:val="0027477D"/>
    <w:rsid w:val="00274D45"/>
    <w:rsid w:val="00274FAA"/>
    <w:rsid w:val="002754B5"/>
    <w:rsid w:val="002757CF"/>
    <w:rsid w:val="00275A53"/>
    <w:rsid w:val="00276BD3"/>
    <w:rsid w:val="00276DFA"/>
    <w:rsid w:val="002774D1"/>
    <w:rsid w:val="002775B8"/>
    <w:rsid w:val="002778A6"/>
    <w:rsid w:val="00277C21"/>
    <w:rsid w:val="00277ED8"/>
    <w:rsid w:val="00280713"/>
    <w:rsid w:val="00280B3C"/>
    <w:rsid w:val="00280BB1"/>
    <w:rsid w:val="00282138"/>
    <w:rsid w:val="0028234E"/>
    <w:rsid w:val="0028285D"/>
    <w:rsid w:val="00282935"/>
    <w:rsid w:val="00282A1A"/>
    <w:rsid w:val="00282DCF"/>
    <w:rsid w:val="00282E8A"/>
    <w:rsid w:val="00282EF8"/>
    <w:rsid w:val="00283102"/>
    <w:rsid w:val="0028364F"/>
    <w:rsid w:val="00284075"/>
    <w:rsid w:val="0028426F"/>
    <w:rsid w:val="00284B98"/>
    <w:rsid w:val="00284D0A"/>
    <w:rsid w:val="00284D5B"/>
    <w:rsid w:val="00284FAA"/>
    <w:rsid w:val="00285CB5"/>
    <w:rsid w:val="00285E5A"/>
    <w:rsid w:val="0028604B"/>
    <w:rsid w:val="002863E2"/>
    <w:rsid w:val="002867E0"/>
    <w:rsid w:val="00286FA8"/>
    <w:rsid w:val="0028713C"/>
    <w:rsid w:val="0028736E"/>
    <w:rsid w:val="00287AD6"/>
    <w:rsid w:val="00287F17"/>
    <w:rsid w:val="00290396"/>
    <w:rsid w:val="002906E5"/>
    <w:rsid w:val="0029086E"/>
    <w:rsid w:val="00290932"/>
    <w:rsid w:val="00290C1D"/>
    <w:rsid w:val="00290E8E"/>
    <w:rsid w:val="00291618"/>
    <w:rsid w:val="00291E0C"/>
    <w:rsid w:val="00291F56"/>
    <w:rsid w:val="00292313"/>
    <w:rsid w:val="00293D26"/>
    <w:rsid w:val="00293F8A"/>
    <w:rsid w:val="002949B5"/>
    <w:rsid w:val="00294B8B"/>
    <w:rsid w:val="0029533C"/>
    <w:rsid w:val="002957E5"/>
    <w:rsid w:val="002969A7"/>
    <w:rsid w:val="00296FEA"/>
    <w:rsid w:val="00297482"/>
    <w:rsid w:val="0029756A"/>
    <w:rsid w:val="00297FB2"/>
    <w:rsid w:val="002A0191"/>
    <w:rsid w:val="002A03BB"/>
    <w:rsid w:val="002A0C3B"/>
    <w:rsid w:val="002A1CDE"/>
    <w:rsid w:val="002A2068"/>
    <w:rsid w:val="002A2424"/>
    <w:rsid w:val="002A24F8"/>
    <w:rsid w:val="002A2A30"/>
    <w:rsid w:val="002A2CFC"/>
    <w:rsid w:val="002A2F87"/>
    <w:rsid w:val="002A327F"/>
    <w:rsid w:val="002A3602"/>
    <w:rsid w:val="002A3CFC"/>
    <w:rsid w:val="002A3F3E"/>
    <w:rsid w:val="002A43F0"/>
    <w:rsid w:val="002A4755"/>
    <w:rsid w:val="002A47D9"/>
    <w:rsid w:val="002A4A0A"/>
    <w:rsid w:val="002A4DAA"/>
    <w:rsid w:val="002A5187"/>
    <w:rsid w:val="002A5932"/>
    <w:rsid w:val="002A5CE3"/>
    <w:rsid w:val="002A652F"/>
    <w:rsid w:val="002A6740"/>
    <w:rsid w:val="002A7078"/>
    <w:rsid w:val="002A7704"/>
    <w:rsid w:val="002A77D2"/>
    <w:rsid w:val="002B05E7"/>
    <w:rsid w:val="002B06CA"/>
    <w:rsid w:val="002B09E5"/>
    <w:rsid w:val="002B0B3C"/>
    <w:rsid w:val="002B15A5"/>
    <w:rsid w:val="002B184C"/>
    <w:rsid w:val="002B19C5"/>
    <w:rsid w:val="002B19F1"/>
    <w:rsid w:val="002B1C17"/>
    <w:rsid w:val="002B20FA"/>
    <w:rsid w:val="002B24E5"/>
    <w:rsid w:val="002B26D6"/>
    <w:rsid w:val="002B2868"/>
    <w:rsid w:val="002B2CD7"/>
    <w:rsid w:val="002B356D"/>
    <w:rsid w:val="002B415E"/>
    <w:rsid w:val="002B4166"/>
    <w:rsid w:val="002B41E0"/>
    <w:rsid w:val="002B438B"/>
    <w:rsid w:val="002B43CE"/>
    <w:rsid w:val="002B470B"/>
    <w:rsid w:val="002B4944"/>
    <w:rsid w:val="002B5179"/>
    <w:rsid w:val="002B5346"/>
    <w:rsid w:val="002B619B"/>
    <w:rsid w:val="002B630A"/>
    <w:rsid w:val="002B6B49"/>
    <w:rsid w:val="002B6BD4"/>
    <w:rsid w:val="002B7536"/>
    <w:rsid w:val="002B7809"/>
    <w:rsid w:val="002B78EF"/>
    <w:rsid w:val="002B7E7B"/>
    <w:rsid w:val="002C08B6"/>
    <w:rsid w:val="002C0C12"/>
    <w:rsid w:val="002C0D63"/>
    <w:rsid w:val="002C10FF"/>
    <w:rsid w:val="002C1276"/>
    <w:rsid w:val="002C1462"/>
    <w:rsid w:val="002C1D3E"/>
    <w:rsid w:val="002C1DB5"/>
    <w:rsid w:val="002C200F"/>
    <w:rsid w:val="002C21E3"/>
    <w:rsid w:val="002C27F4"/>
    <w:rsid w:val="002C2DFB"/>
    <w:rsid w:val="002C3FB9"/>
    <w:rsid w:val="002C4146"/>
    <w:rsid w:val="002C4559"/>
    <w:rsid w:val="002C4639"/>
    <w:rsid w:val="002C4770"/>
    <w:rsid w:val="002C4863"/>
    <w:rsid w:val="002C4A07"/>
    <w:rsid w:val="002C53FF"/>
    <w:rsid w:val="002C5A02"/>
    <w:rsid w:val="002C6DF1"/>
    <w:rsid w:val="002C7079"/>
    <w:rsid w:val="002C7243"/>
    <w:rsid w:val="002C77F3"/>
    <w:rsid w:val="002C7B28"/>
    <w:rsid w:val="002D0102"/>
    <w:rsid w:val="002D041E"/>
    <w:rsid w:val="002D0ABA"/>
    <w:rsid w:val="002D0B5A"/>
    <w:rsid w:val="002D1138"/>
    <w:rsid w:val="002D126D"/>
    <w:rsid w:val="002D1617"/>
    <w:rsid w:val="002D17D0"/>
    <w:rsid w:val="002D206A"/>
    <w:rsid w:val="002D2EED"/>
    <w:rsid w:val="002D3189"/>
    <w:rsid w:val="002D3398"/>
    <w:rsid w:val="002D33E6"/>
    <w:rsid w:val="002D3C16"/>
    <w:rsid w:val="002D3C47"/>
    <w:rsid w:val="002D41AF"/>
    <w:rsid w:val="002D4300"/>
    <w:rsid w:val="002D446F"/>
    <w:rsid w:val="002D474A"/>
    <w:rsid w:val="002D4CD1"/>
    <w:rsid w:val="002D518B"/>
    <w:rsid w:val="002D5388"/>
    <w:rsid w:val="002D5704"/>
    <w:rsid w:val="002D5BFF"/>
    <w:rsid w:val="002D5F8A"/>
    <w:rsid w:val="002D63B5"/>
    <w:rsid w:val="002D6A90"/>
    <w:rsid w:val="002D6DEF"/>
    <w:rsid w:val="002D7388"/>
    <w:rsid w:val="002D74AB"/>
    <w:rsid w:val="002D781A"/>
    <w:rsid w:val="002D782D"/>
    <w:rsid w:val="002D789A"/>
    <w:rsid w:val="002E0122"/>
    <w:rsid w:val="002E068F"/>
    <w:rsid w:val="002E0C16"/>
    <w:rsid w:val="002E150E"/>
    <w:rsid w:val="002E1665"/>
    <w:rsid w:val="002E185B"/>
    <w:rsid w:val="002E1A0D"/>
    <w:rsid w:val="002E1BD8"/>
    <w:rsid w:val="002E22B1"/>
    <w:rsid w:val="002E26A1"/>
    <w:rsid w:val="002E3319"/>
    <w:rsid w:val="002E3654"/>
    <w:rsid w:val="002E373E"/>
    <w:rsid w:val="002E3EE7"/>
    <w:rsid w:val="002E3FFA"/>
    <w:rsid w:val="002E436E"/>
    <w:rsid w:val="002E441F"/>
    <w:rsid w:val="002E466F"/>
    <w:rsid w:val="002E47D5"/>
    <w:rsid w:val="002E4E73"/>
    <w:rsid w:val="002E4F2D"/>
    <w:rsid w:val="002E5486"/>
    <w:rsid w:val="002E586B"/>
    <w:rsid w:val="002E5A9B"/>
    <w:rsid w:val="002E5E28"/>
    <w:rsid w:val="002E6286"/>
    <w:rsid w:val="002E6331"/>
    <w:rsid w:val="002E701A"/>
    <w:rsid w:val="002E708C"/>
    <w:rsid w:val="002E7300"/>
    <w:rsid w:val="002E75BC"/>
    <w:rsid w:val="002E774A"/>
    <w:rsid w:val="002E7A02"/>
    <w:rsid w:val="002E7ABB"/>
    <w:rsid w:val="002F033C"/>
    <w:rsid w:val="002F0652"/>
    <w:rsid w:val="002F119B"/>
    <w:rsid w:val="002F1684"/>
    <w:rsid w:val="002F1A06"/>
    <w:rsid w:val="002F211E"/>
    <w:rsid w:val="002F25C5"/>
    <w:rsid w:val="002F2A35"/>
    <w:rsid w:val="002F35D0"/>
    <w:rsid w:val="002F395E"/>
    <w:rsid w:val="002F41AD"/>
    <w:rsid w:val="002F4303"/>
    <w:rsid w:val="002F5131"/>
    <w:rsid w:val="002F5BAE"/>
    <w:rsid w:val="002F5D2B"/>
    <w:rsid w:val="002F5F5A"/>
    <w:rsid w:val="002F65AE"/>
    <w:rsid w:val="002F6BCA"/>
    <w:rsid w:val="002F6C0E"/>
    <w:rsid w:val="002F6D74"/>
    <w:rsid w:val="002F72F1"/>
    <w:rsid w:val="002F78B7"/>
    <w:rsid w:val="002F7B34"/>
    <w:rsid w:val="003000EA"/>
    <w:rsid w:val="0030011D"/>
    <w:rsid w:val="003002B5"/>
    <w:rsid w:val="0030251F"/>
    <w:rsid w:val="00303019"/>
    <w:rsid w:val="003033B4"/>
    <w:rsid w:val="003035A3"/>
    <w:rsid w:val="00303654"/>
    <w:rsid w:val="00303AEC"/>
    <w:rsid w:val="00303E6C"/>
    <w:rsid w:val="00304078"/>
    <w:rsid w:val="00304339"/>
    <w:rsid w:val="00304557"/>
    <w:rsid w:val="00304A9E"/>
    <w:rsid w:val="00304F92"/>
    <w:rsid w:val="003057EE"/>
    <w:rsid w:val="00305A39"/>
    <w:rsid w:val="003061F1"/>
    <w:rsid w:val="00306257"/>
    <w:rsid w:val="003062D1"/>
    <w:rsid w:val="00306488"/>
    <w:rsid w:val="003067AD"/>
    <w:rsid w:val="00306E7B"/>
    <w:rsid w:val="00306F90"/>
    <w:rsid w:val="00307498"/>
    <w:rsid w:val="003074CF"/>
    <w:rsid w:val="00307540"/>
    <w:rsid w:val="0031019F"/>
    <w:rsid w:val="0031050C"/>
    <w:rsid w:val="00310A33"/>
    <w:rsid w:val="00310EC6"/>
    <w:rsid w:val="003119B6"/>
    <w:rsid w:val="00311DBE"/>
    <w:rsid w:val="00312152"/>
    <w:rsid w:val="00312527"/>
    <w:rsid w:val="00312552"/>
    <w:rsid w:val="00312DB3"/>
    <w:rsid w:val="003130A8"/>
    <w:rsid w:val="003147D4"/>
    <w:rsid w:val="00314F54"/>
    <w:rsid w:val="00314F5C"/>
    <w:rsid w:val="00315A0B"/>
    <w:rsid w:val="00315E2E"/>
    <w:rsid w:val="00316126"/>
    <w:rsid w:val="0031703F"/>
    <w:rsid w:val="00317433"/>
    <w:rsid w:val="00317442"/>
    <w:rsid w:val="00317BB0"/>
    <w:rsid w:val="003202DD"/>
    <w:rsid w:val="00320813"/>
    <w:rsid w:val="00320841"/>
    <w:rsid w:val="003208FC"/>
    <w:rsid w:val="00320AEC"/>
    <w:rsid w:val="00320B32"/>
    <w:rsid w:val="00320C9D"/>
    <w:rsid w:val="00320DC5"/>
    <w:rsid w:val="003217A1"/>
    <w:rsid w:val="00322759"/>
    <w:rsid w:val="00322979"/>
    <w:rsid w:val="00322A7A"/>
    <w:rsid w:val="00322DC7"/>
    <w:rsid w:val="00322E00"/>
    <w:rsid w:val="00323853"/>
    <w:rsid w:val="00324485"/>
    <w:rsid w:val="00324BDB"/>
    <w:rsid w:val="00324E75"/>
    <w:rsid w:val="00325212"/>
    <w:rsid w:val="00325272"/>
    <w:rsid w:val="0032529D"/>
    <w:rsid w:val="00326277"/>
    <w:rsid w:val="00326307"/>
    <w:rsid w:val="00327861"/>
    <w:rsid w:val="00327EA2"/>
    <w:rsid w:val="00327F66"/>
    <w:rsid w:val="00330B2D"/>
    <w:rsid w:val="00330C53"/>
    <w:rsid w:val="00330DB2"/>
    <w:rsid w:val="00331503"/>
    <w:rsid w:val="00331617"/>
    <w:rsid w:val="00331C93"/>
    <w:rsid w:val="00332004"/>
    <w:rsid w:val="00332211"/>
    <w:rsid w:val="00332606"/>
    <w:rsid w:val="003328DB"/>
    <w:rsid w:val="00332A15"/>
    <w:rsid w:val="00332A6F"/>
    <w:rsid w:val="00332C3B"/>
    <w:rsid w:val="00332CF8"/>
    <w:rsid w:val="0033303B"/>
    <w:rsid w:val="003333AB"/>
    <w:rsid w:val="00333B3D"/>
    <w:rsid w:val="003341CA"/>
    <w:rsid w:val="00334867"/>
    <w:rsid w:val="00334BA8"/>
    <w:rsid w:val="00334CF6"/>
    <w:rsid w:val="00334E25"/>
    <w:rsid w:val="00334E55"/>
    <w:rsid w:val="0033547E"/>
    <w:rsid w:val="0033549B"/>
    <w:rsid w:val="00335BD9"/>
    <w:rsid w:val="003361AC"/>
    <w:rsid w:val="003363DC"/>
    <w:rsid w:val="0033686E"/>
    <w:rsid w:val="003368A2"/>
    <w:rsid w:val="00336907"/>
    <w:rsid w:val="003369A5"/>
    <w:rsid w:val="0033731A"/>
    <w:rsid w:val="00337465"/>
    <w:rsid w:val="00337B2D"/>
    <w:rsid w:val="0034060E"/>
    <w:rsid w:val="0034087E"/>
    <w:rsid w:val="00340B83"/>
    <w:rsid w:val="00340CAC"/>
    <w:rsid w:val="00341885"/>
    <w:rsid w:val="00341940"/>
    <w:rsid w:val="00341DB0"/>
    <w:rsid w:val="00342A98"/>
    <w:rsid w:val="003438D2"/>
    <w:rsid w:val="003438EE"/>
    <w:rsid w:val="0034410F"/>
    <w:rsid w:val="00344732"/>
    <w:rsid w:val="00344944"/>
    <w:rsid w:val="00344D19"/>
    <w:rsid w:val="003458CE"/>
    <w:rsid w:val="00345E84"/>
    <w:rsid w:val="003461DB"/>
    <w:rsid w:val="00346344"/>
    <w:rsid w:val="003467A6"/>
    <w:rsid w:val="00346A12"/>
    <w:rsid w:val="00346C36"/>
    <w:rsid w:val="00347165"/>
    <w:rsid w:val="00347EF2"/>
    <w:rsid w:val="00350CEE"/>
    <w:rsid w:val="003518FC"/>
    <w:rsid w:val="00351A06"/>
    <w:rsid w:val="00351FAE"/>
    <w:rsid w:val="003528A5"/>
    <w:rsid w:val="00352C15"/>
    <w:rsid w:val="00352CFF"/>
    <w:rsid w:val="00352D94"/>
    <w:rsid w:val="00353A4E"/>
    <w:rsid w:val="003540EE"/>
    <w:rsid w:val="003548DA"/>
    <w:rsid w:val="00355364"/>
    <w:rsid w:val="00355919"/>
    <w:rsid w:val="0035641A"/>
    <w:rsid w:val="00356A55"/>
    <w:rsid w:val="00356CBF"/>
    <w:rsid w:val="00356F06"/>
    <w:rsid w:val="00357C2F"/>
    <w:rsid w:val="00360073"/>
    <w:rsid w:val="003602BE"/>
    <w:rsid w:val="0036059D"/>
    <w:rsid w:val="00360854"/>
    <w:rsid w:val="003608DF"/>
    <w:rsid w:val="003611BE"/>
    <w:rsid w:val="003614A3"/>
    <w:rsid w:val="003614AD"/>
    <w:rsid w:val="00361790"/>
    <w:rsid w:val="003618A4"/>
    <w:rsid w:val="00361B29"/>
    <w:rsid w:val="003631A7"/>
    <w:rsid w:val="00363456"/>
    <w:rsid w:val="003635D5"/>
    <w:rsid w:val="00363752"/>
    <w:rsid w:val="0036392F"/>
    <w:rsid w:val="00363A73"/>
    <w:rsid w:val="00363CEA"/>
    <w:rsid w:val="003640E2"/>
    <w:rsid w:val="00364238"/>
    <w:rsid w:val="0036425D"/>
    <w:rsid w:val="0036446E"/>
    <w:rsid w:val="0036452F"/>
    <w:rsid w:val="0036474D"/>
    <w:rsid w:val="00365177"/>
    <w:rsid w:val="0036527A"/>
    <w:rsid w:val="0036540E"/>
    <w:rsid w:val="00365D89"/>
    <w:rsid w:val="0036620E"/>
    <w:rsid w:val="003662A2"/>
    <w:rsid w:val="00366914"/>
    <w:rsid w:val="00366D41"/>
    <w:rsid w:val="00367411"/>
    <w:rsid w:val="0036799B"/>
    <w:rsid w:val="00367D4D"/>
    <w:rsid w:val="00367DF5"/>
    <w:rsid w:val="00367FAB"/>
    <w:rsid w:val="003700C4"/>
    <w:rsid w:val="00370559"/>
    <w:rsid w:val="00370D3A"/>
    <w:rsid w:val="003715AA"/>
    <w:rsid w:val="003717DD"/>
    <w:rsid w:val="00371805"/>
    <w:rsid w:val="00371BF0"/>
    <w:rsid w:val="00371D74"/>
    <w:rsid w:val="00371F85"/>
    <w:rsid w:val="00371FA5"/>
    <w:rsid w:val="00372B55"/>
    <w:rsid w:val="00372E56"/>
    <w:rsid w:val="00372E8D"/>
    <w:rsid w:val="00372ECE"/>
    <w:rsid w:val="003733BC"/>
    <w:rsid w:val="003737BC"/>
    <w:rsid w:val="00373AC8"/>
    <w:rsid w:val="00373C3A"/>
    <w:rsid w:val="0037414D"/>
    <w:rsid w:val="00374750"/>
    <w:rsid w:val="00374879"/>
    <w:rsid w:val="0037512B"/>
    <w:rsid w:val="0037582A"/>
    <w:rsid w:val="00375BCD"/>
    <w:rsid w:val="00375F00"/>
    <w:rsid w:val="0037603B"/>
    <w:rsid w:val="003760DA"/>
    <w:rsid w:val="003762E4"/>
    <w:rsid w:val="00376609"/>
    <w:rsid w:val="00376748"/>
    <w:rsid w:val="00376863"/>
    <w:rsid w:val="00376DFF"/>
    <w:rsid w:val="00376E8C"/>
    <w:rsid w:val="00376FCF"/>
    <w:rsid w:val="003771B1"/>
    <w:rsid w:val="003771BB"/>
    <w:rsid w:val="00377465"/>
    <w:rsid w:val="0037790B"/>
    <w:rsid w:val="00377EB7"/>
    <w:rsid w:val="003802CE"/>
    <w:rsid w:val="00380783"/>
    <w:rsid w:val="00380B8E"/>
    <w:rsid w:val="00380CFE"/>
    <w:rsid w:val="00380D4B"/>
    <w:rsid w:val="00380D8C"/>
    <w:rsid w:val="00380EBE"/>
    <w:rsid w:val="0038117B"/>
    <w:rsid w:val="00381196"/>
    <w:rsid w:val="003811D2"/>
    <w:rsid w:val="003815FD"/>
    <w:rsid w:val="00381BF8"/>
    <w:rsid w:val="0038234C"/>
    <w:rsid w:val="003823FF"/>
    <w:rsid w:val="003825EA"/>
    <w:rsid w:val="0038266A"/>
    <w:rsid w:val="00382E75"/>
    <w:rsid w:val="00383452"/>
    <w:rsid w:val="00383687"/>
    <w:rsid w:val="00383B5A"/>
    <w:rsid w:val="00383CAE"/>
    <w:rsid w:val="0038404D"/>
    <w:rsid w:val="003840F1"/>
    <w:rsid w:val="00384443"/>
    <w:rsid w:val="003844A2"/>
    <w:rsid w:val="00384A75"/>
    <w:rsid w:val="0038516D"/>
    <w:rsid w:val="00385F0D"/>
    <w:rsid w:val="00386574"/>
    <w:rsid w:val="00386616"/>
    <w:rsid w:val="00387357"/>
    <w:rsid w:val="00387456"/>
    <w:rsid w:val="00387668"/>
    <w:rsid w:val="0038770F"/>
    <w:rsid w:val="00387CFB"/>
    <w:rsid w:val="00387E5A"/>
    <w:rsid w:val="00387E62"/>
    <w:rsid w:val="003901E1"/>
    <w:rsid w:val="00390216"/>
    <w:rsid w:val="0039065D"/>
    <w:rsid w:val="0039097F"/>
    <w:rsid w:val="00391267"/>
    <w:rsid w:val="00391607"/>
    <w:rsid w:val="003919AA"/>
    <w:rsid w:val="00391ED3"/>
    <w:rsid w:val="00391F5E"/>
    <w:rsid w:val="003922E7"/>
    <w:rsid w:val="00392583"/>
    <w:rsid w:val="00392F93"/>
    <w:rsid w:val="0039317B"/>
    <w:rsid w:val="00393355"/>
    <w:rsid w:val="00393B22"/>
    <w:rsid w:val="00393CA2"/>
    <w:rsid w:val="00393DE5"/>
    <w:rsid w:val="0039435F"/>
    <w:rsid w:val="0039475C"/>
    <w:rsid w:val="0039578A"/>
    <w:rsid w:val="00395840"/>
    <w:rsid w:val="00396AC3"/>
    <w:rsid w:val="00396EDE"/>
    <w:rsid w:val="00396F6A"/>
    <w:rsid w:val="00397168"/>
    <w:rsid w:val="0039719F"/>
    <w:rsid w:val="003972D7"/>
    <w:rsid w:val="00397580"/>
    <w:rsid w:val="00397C7E"/>
    <w:rsid w:val="00397CAB"/>
    <w:rsid w:val="00397CE0"/>
    <w:rsid w:val="00397D58"/>
    <w:rsid w:val="003A0A05"/>
    <w:rsid w:val="003A1510"/>
    <w:rsid w:val="003A17A7"/>
    <w:rsid w:val="003A1C0A"/>
    <w:rsid w:val="003A2597"/>
    <w:rsid w:val="003A2749"/>
    <w:rsid w:val="003A2E5A"/>
    <w:rsid w:val="003A2E8B"/>
    <w:rsid w:val="003A3066"/>
    <w:rsid w:val="003A369C"/>
    <w:rsid w:val="003A40BC"/>
    <w:rsid w:val="003A448F"/>
    <w:rsid w:val="003A454F"/>
    <w:rsid w:val="003A4701"/>
    <w:rsid w:val="003A4D63"/>
    <w:rsid w:val="003A501E"/>
    <w:rsid w:val="003A553B"/>
    <w:rsid w:val="003A5D64"/>
    <w:rsid w:val="003A66B4"/>
    <w:rsid w:val="003A6D60"/>
    <w:rsid w:val="003A7211"/>
    <w:rsid w:val="003A7366"/>
    <w:rsid w:val="003A74A2"/>
    <w:rsid w:val="003A79F9"/>
    <w:rsid w:val="003A7BD1"/>
    <w:rsid w:val="003B0560"/>
    <w:rsid w:val="003B0D7E"/>
    <w:rsid w:val="003B0F7F"/>
    <w:rsid w:val="003B175F"/>
    <w:rsid w:val="003B1DD5"/>
    <w:rsid w:val="003B2697"/>
    <w:rsid w:val="003B2704"/>
    <w:rsid w:val="003B288F"/>
    <w:rsid w:val="003B2947"/>
    <w:rsid w:val="003B31E8"/>
    <w:rsid w:val="003B3786"/>
    <w:rsid w:val="003B3D6F"/>
    <w:rsid w:val="003B414A"/>
    <w:rsid w:val="003B423E"/>
    <w:rsid w:val="003B425A"/>
    <w:rsid w:val="003B5381"/>
    <w:rsid w:val="003B6405"/>
    <w:rsid w:val="003B6535"/>
    <w:rsid w:val="003B73C1"/>
    <w:rsid w:val="003C0357"/>
    <w:rsid w:val="003C0990"/>
    <w:rsid w:val="003C0A22"/>
    <w:rsid w:val="003C0C6D"/>
    <w:rsid w:val="003C0F9D"/>
    <w:rsid w:val="003C123F"/>
    <w:rsid w:val="003C1535"/>
    <w:rsid w:val="003C193D"/>
    <w:rsid w:val="003C2394"/>
    <w:rsid w:val="003C245D"/>
    <w:rsid w:val="003C2A01"/>
    <w:rsid w:val="003C2EBE"/>
    <w:rsid w:val="003C32E1"/>
    <w:rsid w:val="003C3AA3"/>
    <w:rsid w:val="003C412E"/>
    <w:rsid w:val="003C4590"/>
    <w:rsid w:val="003C4739"/>
    <w:rsid w:val="003C492F"/>
    <w:rsid w:val="003C551B"/>
    <w:rsid w:val="003C567A"/>
    <w:rsid w:val="003C6568"/>
    <w:rsid w:val="003C6EAD"/>
    <w:rsid w:val="003C7354"/>
    <w:rsid w:val="003C7E4C"/>
    <w:rsid w:val="003D17A3"/>
    <w:rsid w:val="003D1AE3"/>
    <w:rsid w:val="003D1C7E"/>
    <w:rsid w:val="003D2368"/>
    <w:rsid w:val="003D241B"/>
    <w:rsid w:val="003D3029"/>
    <w:rsid w:val="003D32A7"/>
    <w:rsid w:val="003D342D"/>
    <w:rsid w:val="003D3AE5"/>
    <w:rsid w:val="003D3BD0"/>
    <w:rsid w:val="003D3DD9"/>
    <w:rsid w:val="003D4285"/>
    <w:rsid w:val="003D4A32"/>
    <w:rsid w:val="003D4FA7"/>
    <w:rsid w:val="003D55B5"/>
    <w:rsid w:val="003D5D0F"/>
    <w:rsid w:val="003D621D"/>
    <w:rsid w:val="003D6DE1"/>
    <w:rsid w:val="003D6E2E"/>
    <w:rsid w:val="003D72F9"/>
    <w:rsid w:val="003D7820"/>
    <w:rsid w:val="003D7F2B"/>
    <w:rsid w:val="003E0001"/>
    <w:rsid w:val="003E02DC"/>
    <w:rsid w:val="003E0315"/>
    <w:rsid w:val="003E0579"/>
    <w:rsid w:val="003E14F0"/>
    <w:rsid w:val="003E1C6E"/>
    <w:rsid w:val="003E3546"/>
    <w:rsid w:val="003E361B"/>
    <w:rsid w:val="003E3BBA"/>
    <w:rsid w:val="003E3C94"/>
    <w:rsid w:val="003E3D8B"/>
    <w:rsid w:val="003E41BB"/>
    <w:rsid w:val="003E43C1"/>
    <w:rsid w:val="003E43ED"/>
    <w:rsid w:val="003E499C"/>
    <w:rsid w:val="003E4DC6"/>
    <w:rsid w:val="003E54C3"/>
    <w:rsid w:val="003E55EF"/>
    <w:rsid w:val="003E5B0A"/>
    <w:rsid w:val="003E5DA4"/>
    <w:rsid w:val="003E62DC"/>
    <w:rsid w:val="003E64DB"/>
    <w:rsid w:val="003E6FCC"/>
    <w:rsid w:val="003E700F"/>
    <w:rsid w:val="003E74BE"/>
    <w:rsid w:val="003E7E96"/>
    <w:rsid w:val="003F0823"/>
    <w:rsid w:val="003F096A"/>
    <w:rsid w:val="003F0A48"/>
    <w:rsid w:val="003F0E30"/>
    <w:rsid w:val="003F13B7"/>
    <w:rsid w:val="003F159C"/>
    <w:rsid w:val="003F16C0"/>
    <w:rsid w:val="003F27D6"/>
    <w:rsid w:val="003F295F"/>
    <w:rsid w:val="003F3293"/>
    <w:rsid w:val="003F330A"/>
    <w:rsid w:val="003F3584"/>
    <w:rsid w:val="003F3719"/>
    <w:rsid w:val="003F3828"/>
    <w:rsid w:val="003F3BAE"/>
    <w:rsid w:val="003F3C05"/>
    <w:rsid w:val="003F40FD"/>
    <w:rsid w:val="003F4A15"/>
    <w:rsid w:val="003F5381"/>
    <w:rsid w:val="003F58D4"/>
    <w:rsid w:val="003F6239"/>
    <w:rsid w:val="003F63CB"/>
    <w:rsid w:val="003F650F"/>
    <w:rsid w:val="003F6554"/>
    <w:rsid w:val="003F6BFD"/>
    <w:rsid w:val="003F71CB"/>
    <w:rsid w:val="003F7A3D"/>
    <w:rsid w:val="003F7EEF"/>
    <w:rsid w:val="004004A6"/>
    <w:rsid w:val="004005B5"/>
    <w:rsid w:val="004006DD"/>
    <w:rsid w:val="00400F92"/>
    <w:rsid w:val="00401000"/>
    <w:rsid w:val="0040119A"/>
    <w:rsid w:val="004012DB"/>
    <w:rsid w:val="00401340"/>
    <w:rsid w:val="004013D9"/>
    <w:rsid w:val="0040180A"/>
    <w:rsid w:val="00401CBB"/>
    <w:rsid w:val="00401E6E"/>
    <w:rsid w:val="00402A66"/>
    <w:rsid w:val="00402B1F"/>
    <w:rsid w:val="00402D37"/>
    <w:rsid w:val="00403118"/>
    <w:rsid w:val="00403A70"/>
    <w:rsid w:val="00403BCC"/>
    <w:rsid w:val="00403BF8"/>
    <w:rsid w:val="00404071"/>
    <w:rsid w:val="00404092"/>
    <w:rsid w:val="00404290"/>
    <w:rsid w:val="00404759"/>
    <w:rsid w:val="004048A7"/>
    <w:rsid w:val="00404A16"/>
    <w:rsid w:val="00404A27"/>
    <w:rsid w:val="00404B8E"/>
    <w:rsid w:val="00404D36"/>
    <w:rsid w:val="004051D4"/>
    <w:rsid w:val="004057BE"/>
    <w:rsid w:val="00405B20"/>
    <w:rsid w:val="00405CF3"/>
    <w:rsid w:val="00405E6B"/>
    <w:rsid w:val="00405E9D"/>
    <w:rsid w:val="00405F5C"/>
    <w:rsid w:val="00406406"/>
    <w:rsid w:val="004068ED"/>
    <w:rsid w:val="00406AB8"/>
    <w:rsid w:val="00406BC7"/>
    <w:rsid w:val="004100DA"/>
    <w:rsid w:val="004101F2"/>
    <w:rsid w:val="004102AC"/>
    <w:rsid w:val="0041034B"/>
    <w:rsid w:val="004107A5"/>
    <w:rsid w:val="00411602"/>
    <w:rsid w:val="00411F06"/>
    <w:rsid w:val="0041202C"/>
    <w:rsid w:val="00412D4F"/>
    <w:rsid w:val="00412F35"/>
    <w:rsid w:val="00413C6E"/>
    <w:rsid w:val="00413C8D"/>
    <w:rsid w:val="004140A8"/>
    <w:rsid w:val="00414513"/>
    <w:rsid w:val="00414D5B"/>
    <w:rsid w:val="00415079"/>
    <w:rsid w:val="00415B7E"/>
    <w:rsid w:val="00415DF0"/>
    <w:rsid w:val="004162E1"/>
    <w:rsid w:val="004162EC"/>
    <w:rsid w:val="0041716D"/>
    <w:rsid w:val="0041726A"/>
    <w:rsid w:val="004172D2"/>
    <w:rsid w:val="004172FB"/>
    <w:rsid w:val="00417402"/>
    <w:rsid w:val="00417F7E"/>
    <w:rsid w:val="00420091"/>
    <w:rsid w:val="004201FF"/>
    <w:rsid w:val="004204B1"/>
    <w:rsid w:val="0042085D"/>
    <w:rsid w:val="00421435"/>
    <w:rsid w:val="00421588"/>
    <w:rsid w:val="00421642"/>
    <w:rsid w:val="004218A1"/>
    <w:rsid w:val="004219A9"/>
    <w:rsid w:val="004219C0"/>
    <w:rsid w:val="00421C0B"/>
    <w:rsid w:val="00421C99"/>
    <w:rsid w:val="00422012"/>
    <w:rsid w:val="00422349"/>
    <w:rsid w:val="00422543"/>
    <w:rsid w:val="00422685"/>
    <w:rsid w:val="00422839"/>
    <w:rsid w:val="00422922"/>
    <w:rsid w:val="00423538"/>
    <w:rsid w:val="004236E0"/>
    <w:rsid w:val="00423801"/>
    <w:rsid w:val="00423F65"/>
    <w:rsid w:val="004247A1"/>
    <w:rsid w:val="0042480B"/>
    <w:rsid w:val="00425498"/>
    <w:rsid w:val="00425880"/>
    <w:rsid w:val="00425C86"/>
    <w:rsid w:val="00425F88"/>
    <w:rsid w:val="00426188"/>
    <w:rsid w:val="004270E7"/>
    <w:rsid w:val="004274B6"/>
    <w:rsid w:val="004275A6"/>
    <w:rsid w:val="00430050"/>
    <w:rsid w:val="0043028C"/>
    <w:rsid w:val="0043030A"/>
    <w:rsid w:val="0043075F"/>
    <w:rsid w:val="004309CF"/>
    <w:rsid w:val="00430B17"/>
    <w:rsid w:val="00430BEF"/>
    <w:rsid w:val="00431189"/>
    <w:rsid w:val="00431618"/>
    <w:rsid w:val="004318C8"/>
    <w:rsid w:val="00432D76"/>
    <w:rsid w:val="00432FE6"/>
    <w:rsid w:val="00433678"/>
    <w:rsid w:val="004336CF"/>
    <w:rsid w:val="0043397A"/>
    <w:rsid w:val="00433997"/>
    <w:rsid w:val="0043412D"/>
    <w:rsid w:val="00434A3B"/>
    <w:rsid w:val="0043506B"/>
    <w:rsid w:val="00435316"/>
    <w:rsid w:val="00435913"/>
    <w:rsid w:val="00435BD5"/>
    <w:rsid w:val="00436EDC"/>
    <w:rsid w:val="00437580"/>
    <w:rsid w:val="00437805"/>
    <w:rsid w:val="00440B31"/>
    <w:rsid w:val="0044144F"/>
    <w:rsid w:val="004423D5"/>
    <w:rsid w:val="00442922"/>
    <w:rsid w:val="00442A3D"/>
    <w:rsid w:val="004433D7"/>
    <w:rsid w:val="0044398F"/>
    <w:rsid w:val="00444A1F"/>
    <w:rsid w:val="00444BC9"/>
    <w:rsid w:val="00445256"/>
    <w:rsid w:val="00445525"/>
    <w:rsid w:val="00445750"/>
    <w:rsid w:val="00445981"/>
    <w:rsid w:val="00445E0B"/>
    <w:rsid w:val="0044627E"/>
    <w:rsid w:val="00446785"/>
    <w:rsid w:val="00446A61"/>
    <w:rsid w:val="00446E26"/>
    <w:rsid w:val="0044706A"/>
    <w:rsid w:val="00447169"/>
    <w:rsid w:val="00447196"/>
    <w:rsid w:val="004478BC"/>
    <w:rsid w:val="00447D34"/>
    <w:rsid w:val="00447FA0"/>
    <w:rsid w:val="00450844"/>
    <w:rsid w:val="00450EF9"/>
    <w:rsid w:val="00450F24"/>
    <w:rsid w:val="0045111A"/>
    <w:rsid w:val="004517F1"/>
    <w:rsid w:val="004518EB"/>
    <w:rsid w:val="00451BF4"/>
    <w:rsid w:val="00451C2E"/>
    <w:rsid w:val="00451EF8"/>
    <w:rsid w:val="00452992"/>
    <w:rsid w:val="00452B20"/>
    <w:rsid w:val="00452F65"/>
    <w:rsid w:val="00453075"/>
    <w:rsid w:val="0045315B"/>
    <w:rsid w:val="0045347D"/>
    <w:rsid w:val="004535BF"/>
    <w:rsid w:val="00453C7A"/>
    <w:rsid w:val="00453E3A"/>
    <w:rsid w:val="0045484D"/>
    <w:rsid w:val="004551BA"/>
    <w:rsid w:val="004556BA"/>
    <w:rsid w:val="00455778"/>
    <w:rsid w:val="00455EE6"/>
    <w:rsid w:val="00455F5F"/>
    <w:rsid w:val="004561DB"/>
    <w:rsid w:val="004568A5"/>
    <w:rsid w:val="00456C64"/>
    <w:rsid w:val="00456C98"/>
    <w:rsid w:val="00456FCA"/>
    <w:rsid w:val="00457CB6"/>
    <w:rsid w:val="00457E92"/>
    <w:rsid w:val="0046096E"/>
    <w:rsid w:val="00460A02"/>
    <w:rsid w:val="0046107A"/>
    <w:rsid w:val="00461295"/>
    <w:rsid w:val="00461C3D"/>
    <w:rsid w:val="004620F9"/>
    <w:rsid w:val="004622CC"/>
    <w:rsid w:val="004622EA"/>
    <w:rsid w:val="0046238C"/>
    <w:rsid w:val="004623C5"/>
    <w:rsid w:val="004627E6"/>
    <w:rsid w:val="00462A69"/>
    <w:rsid w:val="00462E0C"/>
    <w:rsid w:val="0046314F"/>
    <w:rsid w:val="00464114"/>
    <w:rsid w:val="0046432E"/>
    <w:rsid w:val="0046486C"/>
    <w:rsid w:val="00464A3A"/>
    <w:rsid w:val="00465099"/>
    <w:rsid w:val="00465A6C"/>
    <w:rsid w:val="00465C5C"/>
    <w:rsid w:val="00465F95"/>
    <w:rsid w:val="00466243"/>
    <w:rsid w:val="00466528"/>
    <w:rsid w:val="00466703"/>
    <w:rsid w:val="00466EAB"/>
    <w:rsid w:val="00467121"/>
    <w:rsid w:val="004678A4"/>
    <w:rsid w:val="004678B1"/>
    <w:rsid w:val="00470027"/>
    <w:rsid w:val="00470D2D"/>
    <w:rsid w:val="0047151E"/>
    <w:rsid w:val="004720E6"/>
    <w:rsid w:val="00472AD8"/>
    <w:rsid w:val="00472BB1"/>
    <w:rsid w:val="0047331E"/>
    <w:rsid w:val="004735B4"/>
    <w:rsid w:val="004737BC"/>
    <w:rsid w:val="00473861"/>
    <w:rsid w:val="004738D7"/>
    <w:rsid w:val="004742C5"/>
    <w:rsid w:val="00474A00"/>
    <w:rsid w:val="00474AD3"/>
    <w:rsid w:val="0047525C"/>
    <w:rsid w:val="00475463"/>
    <w:rsid w:val="004756D8"/>
    <w:rsid w:val="00475973"/>
    <w:rsid w:val="0047603E"/>
    <w:rsid w:val="0047611A"/>
    <w:rsid w:val="0047636E"/>
    <w:rsid w:val="00476C7D"/>
    <w:rsid w:val="00476EC7"/>
    <w:rsid w:val="00477148"/>
    <w:rsid w:val="0047728D"/>
    <w:rsid w:val="00477C83"/>
    <w:rsid w:val="00480059"/>
    <w:rsid w:val="004808F5"/>
    <w:rsid w:val="00481047"/>
    <w:rsid w:val="00481369"/>
    <w:rsid w:val="00481653"/>
    <w:rsid w:val="00481EF7"/>
    <w:rsid w:val="0048244C"/>
    <w:rsid w:val="004825DC"/>
    <w:rsid w:val="0048282E"/>
    <w:rsid w:val="0048285C"/>
    <w:rsid w:val="00482E78"/>
    <w:rsid w:val="0048308C"/>
    <w:rsid w:val="00483127"/>
    <w:rsid w:val="00483C0A"/>
    <w:rsid w:val="00483F92"/>
    <w:rsid w:val="004841C9"/>
    <w:rsid w:val="00484B9A"/>
    <w:rsid w:val="00484C69"/>
    <w:rsid w:val="004852FD"/>
    <w:rsid w:val="00485384"/>
    <w:rsid w:val="00485793"/>
    <w:rsid w:val="00485AB6"/>
    <w:rsid w:val="00485ABE"/>
    <w:rsid w:val="0048614E"/>
    <w:rsid w:val="00486999"/>
    <w:rsid w:val="00486EB8"/>
    <w:rsid w:val="00486FB6"/>
    <w:rsid w:val="00487382"/>
    <w:rsid w:val="00487610"/>
    <w:rsid w:val="004879B3"/>
    <w:rsid w:val="004879BA"/>
    <w:rsid w:val="00487B7E"/>
    <w:rsid w:val="00487DDB"/>
    <w:rsid w:val="00487E55"/>
    <w:rsid w:val="004902A0"/>
    <w:rsid w:val="004903AE"/>
    <w:rsid w:val="0049040C"/>
    <w:rsid w:val="004909E3"/>
    <w:rsid w:val="00490D22"/>
    <w:rsid w:val="00490DA9"/>
    <w:rsid w:val="004917FC"/>
    <w:rsid w:val="00491B03"/>
    <w:rsid w:val="00491F9B"/>
    <w:rsid w:val="00492100"/>
    <w:rsid w:val="004921B3"/>
    <w:rsid w:val="00493633"/>
    <w:rsid w:val="00493673"/>
    <w:rsid w:val="0049379D"/>
    <w:rsid w:val="0049381E"/>
    <w:rsid w:val="00493C95"/>
    <w:rsid w:val="00494170"/>
    <w:rsid w:val="00494BF5"/>
    <w:rsid w:val="00495057"/>
    <w:rsid w:val="00495131"/>
    <w:rsid w:val="00495898"/>
    <w:rsid w:val="0049607B"/>
    <w:rsid w:val="0049629B"/>
    <w:rsid w:val="00496478"/>
    <w:rsid w:val="00496614"/>
    <w:rsid w:val="0049696A"/>
    <w:rsid w:val="0049698D"/>
    <w:rsid w:val="00496A22"/>
    <w:rsid w:val="00497434"/>
    <w:rsid w:val="004976B0"/>
    <w:rsid w:val="00497AEE"/>
    <w:rsid w:val="00497D7B"/>
    <w:rsid w:val="00497FA9"/>
    <w:rsid w:val="004A019F"/>
    <w:rsid w:val="004A033D"/>
    <w:rsid w:val="004A0B68"/>
    <w:rsid w:val="004A0B7B"/>
    <w:rsid w:val="004A0FFF"/>
    <w:rsid w:val="004A108A"/>
    <w:rsid w:val="004A14FB"/>
    <w:rsid w:val="004A1B83"/>
    <w:rsid w:val="004A1CDA"/>
    <w:rsid w:val="004A2534"/>
    <w:rsid w:val="004A2892"/>
    <w:rsid w:val="004A292D"/>
    <w:rsid w:val="004A33A0"/>
    <w:rsid w:val="004A346D"/>
    <w:rsid w:val="004A3F8B"/>
    <w:rsid w:val="004A412A"/>
    <w:rsid w:val="004A4237"/>
    <w:rsid w:val="004A50ED"/>
    <w:rsid w:val="004A5A94"/>
    <w:rsid w:val="004A5BB2"/>
    <w:rsid w:val="004A6760"/>
    <w:rsid w:val="004A7229"/>
    <w:rsid w:val="004A7C68"/>
    <w:rsid w:val="004B04FC"/>
    <w:rsid w:val="004B09B7"/>
    <w:rsid w:val="004B10DF"/>
    <w:rsid w:val="004B2178"/>
    <w:rsid w:val="004B2A81"/>
    <w:rsid w:val="004B2DDB"/>
    <w:rsid w:val="004B36A3"/>
    <w:rsid w:val="004B38F9"/>
    <w:rsid w:val="004B415C"/>
    <w:rsid w:val="004B4624"/>
    <w:rsid w:val="004B46D5"/>
    <w:rsid w:val="004B50BF"/>
    <w:rsid w:val="004B5270"/>
    <w:rsid w:val="004B5402"/>
    <w:rsid w:val="004B58BA"/>
    <w:rsid w:val="004B5A29"/>
    <w:rsid w:val="004B5B68"/>
    <w:rsid w:val="004B640E"/>
    <w:rsid w:val="004B657D"/>
    <w:rsid w:val="004B664A"/>
    <w:rsid w:val="004B6657"/>
    <w:rsid w:val="004B6D56"/>
    <w:rsid w:val="004B7B57"/>
    <w:rsid w:val="004C0781"/>
    <w:rsid w:val="004C09EE"/>
    <w:rsid w:val="004C1CDE"/>
    <w:rsid w:val="004C25EE"/>
    <w:rsid w:val="004C26F3"/>
    <w:rsid w:val="004C3A7D"/>
    <w:rsid w:val="004C3B6E"/>
    <w:rsid w:val="004C3C74"/>
    <w:rsid w:val="004C3F0D"/>
    <w:rsid w:val="004C4147"/>
    <w:rsid w:val="004C4290"/>
    <w:rsid w:val="004C4A3F"/>
    <w:rsid w:val="004C4BA6"/>
    <w:rsid w:val="004C4BCB"/>
    <w:rsid w:val="004C5617"/>
    <w:rsid w:val="004C56F4"/>
    <w:rsid w:val="004C5E54"/>
    <w:rsid w:val="004C6433"/>
    <w:rsid w:val="004C6522"/>
    <w:rsid w:val="004C662B"/>
    <w:rsid w:val="004C6661"/>
    <w:rsid w:val="004C680F"/>
    <w:rsid w:val="004C6BF9"/>
    <w:rsid w:val="004C6FA4"/>
    <w:rsid w:val="004C739D"/>
    <w:rsid w:val="004C7AF3"/>
    <w:rsid w:val="004D020B"/>
    <w:rsid w:val="004D0868"/>
    <w:rsid w:val="004D0A76"/>
    <w:rsid w:val="004D1A05"/>
    <w:rsid w:val="004D1E0B"/>
    <w:rsid w:val="004D2A78"/>
    <w:rsid w:val="004D2B0E"/>
    <w:rsid w:val="004D37FA"/>
    <w:rsid w:val="004D3ED4"/>
    <w:rsid w:val="004D4F70"/>
    <w:rsid w:val="004D52CE"/>
    <w:rsid w:val="004D55B9"/>
    <w:rsid w:val="004D5EAA"/>
    <w:rsid w:val="004D60A8"/>
    <w:rsid w:val="004D6E0F"/>
    <w:rsid w:val="004D70BE"/>
    <w:rsid w:val="004D7D3D"/>
    <w:rsid w:val="004E0A14"/>
    <w:rsid w:val="004E10E5"/>
    <w:rsid w:val="004E18DB"/>
    <w:rsid w:val="004E1D11"/>
    <w:rsid w:val="004E229B"/>
    <w:rsid w:val="004E2CBD"/>
    <w:rsid w:val="004E2CD1"/>
    <w:rsid w:val="004E3062"/>
    <w:rsid w:val="004E354E"/>
    <w:rsid w:val="004E3964"/>
    <w:rsid w:val="004E3A9C"/>
    <w:rsid w:val="004E42B2"/>
    <w:rsid w:val="004E4B17"/>
    <w:rsid w:val="004E4C82"/>
    <w:rsid w:val="004E5E74"/>
    <w:rsid w:val="004E66A1"/>
    <w:rsid w:val="004E68E8"/>
    <w:rsid w:val="004E6B0A"/>
    <w:rsid w:val="004E6E66"/>
    <w:rsid w:val="004E6FCA"/>
    <w:rsid w:val="004E7272"/>
    <w:rsid w:val="004E756A"/>
    <w:rsid w:val="004E7F38"/>
    <w:rsid w:val="004F0C16"/>
    <w:rsid w:val="004F1724"/>
    <w:rsid w:val="004F2E78"/>
    <w:rsid w:val="004F2ED2"/>
    <w:rsid w:val="004F32F6"/>
    <w:rsid w:val="004F3C5D"/>
    <w:rsid w:val="004F492C"/>
    <w:rsid w:val="004F51A7"/>
    <w:rsid w:val="004F536D"/>
    <w:rsid w:val="004F5380"/>
    <w:rsid w:val="004F546F"/>
    <w:rsid w:val="004F60AA"/>
    <w:rsid w:val="004F61B3"/>
    <w:rsid w:val="004F660D"/>
    <w:rsid w:val="004F6A2C"/>
    <w:rsid w:val="004F6D9B"/>
    <w:rsid w:val="004F71A2"/>
    <w:rsid w:val="004F7281"/>
    <w:rsid w:val="004F7622"/>
    <w:rsid w:val="004F7A56"/>
    <w:rsid w:val="004F7D8F"/>
    <w:rsid w:val="004F7E3C"/>
    <w:rsid w:val="00500A14"/>
    <w:rsid w:val="00500F9F"/>
    <w:rsid w:val="00501373"/>
    <w:rsid w:val="005015AB"/>
    <w:rsid w:val="005015B1"/>
    <w:rsid w:val="00501BAE"/>
    <w:rsid w:val="00502011"/>
    <w:rsid w:val="005026FC"/>
    <w:rsid w:val="005028E6"/>
    <w:rsid w:val="00502943"/>
    <w:rsid w:val="00502B3F"/>
    <w:rsid w:val="00502BA7"/>
    <w:rsid w:val="00502FB5"/>
    <w:rsid w:val="00503041"/>
    <w:rsid w:val="0050355C"/>
    <w:rsid w:val="005039A6"/>
    <w:rsid w:val="00503C6D"/>
    <w:rsid w:val="00503D5A"/>
    <w:rsid w:val="00503EAE"/>
    <w:rsid w:val="00503FC9"/>
    <w:rsid w:val="0050435A"/>
    <w:rsid w:val="00504912"/>
    <w:rsid w:val="00504931"/>
    <w:rsid w:val="0050559C"/>
    <w:rsid w:val="005056B2"/>
    <w:rsid w:val="00505EB2"/>
    <w:rsid w:val="0050609E"/>
    <w:rsid w:val="005063B0"/>
    <w:rsid w:val="00506603"/>
    <w:rsid w:val="00506961"/>
    <w:rsid w:val="00506BEB"/>
    <w:rsid w:val="00506C3C"/>
    <w:rsid w:val="00507000"/>
    <w:rsid w:val="005076C3"/>
    <w:rsid w:val="00507E91"/>
    <w:rsid w:val="00507FE2"/>
    <w:rsid w:val="005104F8"/>
    <w:rsid w:val="00510C06"/>
    <w:rsid w:val="00510F1C"/>
    <w:rsid w:val="00511161"/>
    <w:rsid w:val="00511167"/>
    <w:rsid w:val="0051188B"/>
    <w:rsid w:val="00511A09"/>
    <w:rsid w:val="0051205B"/>
    <w:rsid w:val="00512156"/>
    <w:rsid w:val="0051265A"/>
    <w:rsid w:val="0051277D"/>
    <w:rsid w:val="0051294C"/>
    <w:rsid w:val="00512A6F"/>
    <w:rsid w:val="005130B7"/>
    <w:rsid w:val="0051317B"/>
    <w:rsid w:val="0051359E"/>
    <w:rsid w:val="005136C2"/>
    <w:rsid w:val="00513718"/>
    <w:rsid w:val="00513AC1"/>
    <w:rsid w:val="00513AC6"/>
    <w:rsid w:val="00513D37"/>
    <w:rsid w:val="0051405E"/>
    <w:rsid w:val="005141A1"/>
    <w:rsid w:val="0051445C"/>
    <w:rsid w:val="00514873"/>
    <w:rsid w:val="00514BFB"/>
    <w:rsid w:val="0051504F"/>
    <w:rsid w:val="005158CB"/>
    <w:rsid w:val="00515BCA"/>
    <w:rsid w:val="005161A8"/>
    <w:rsid w:val="0051670F"/>
    <w:rsid w:val="005177C1"/>
    <w:rsid w:val="00517BCB"/>
    <w:rsid w:val="00517D63"/>
    <w:rsid w:val="005215F2"/>
    <w:rsid w:val="0052161C"/>
    <w:rsid w:val="00521A51"/>
    <w:rsid w:val="00521A8B"/>
    <w:rsid w:val="00521F14"/>
    <w:rsid w:val="005234B1"/>
    <w:rsid w:val="0052379A"/>
    <w:rsid w:val="005244E3"/>
    <w:rsid w:val="005245C3"/>
    <w:rsid w:val="005247D0"/>
    <w:rsid w:val="00524E97"/>
    <w:rsid w:val="00525017"/>
    <w:rsid w:val="0052509E"/>
    <w:rsid w:val="00525268"/>
    <w:rsid w:val="0052556E"/>
    <w:rsid w:val="00525A9D"/>
    <w:rsid w:val="00525BF2"/>
    <w:rsid w:val="0052671C"/>
    <w:rsid w:val="005269D3"/>
    <w:rsid w:val="00526A19"/>
    <w:rsid w:val="00526EA6"/>
    <w:rsid w:val="00526F06"/>
    <w:rsid w:val="00531159"/>
    <w:rsid w:val="0053134B"/>
    <w:rsid w:val="005315EC"/>
    <w:rsid w:val="005332CE"/>
    <w:rsid w:val="0053340D"/>
    <w:rsid w:val="005337E7"/>
    <w:rsid w:val="005339BA"/>
    <w:rsid w:val="00534B9F"/>
    <w:rsid w:val="005350FE"/>
    <w:rsid w:val="005352B7"/>
    <w:rsid w:val="0053554A"/>
    <w:rsid w:val="00535648"/>
    <w:rsid w:val="005358FD"/>
    <w:rsid w:val="0053594D"/>
    <w:rsid w:val="00535D53"/>
    <w:rsid w:val="00535EEA"/>
    <w:rsid w:val="005362BD"/>
    <w:rsid w:val="005365AD"/>
    <w:rsid w:val="00536CED"/>
    <w:rsid w:val="00536EFC"/>
    <w:rsid w:val="00537761"/>
    <w:rsid w:val="00537C64"/>
    <w:rsid w:val="00540005"/>
    <w:rsid w:val="005401E0"/>
    <w:rsid w:val="0054064F"/>
    <w:rsid w:val="00540BF0"/>
    <w:rsid w:val="0054136A"/>
    <w:rsid w:val="00541446"/>
    <w:rsid w:val="005416F4"/>
    <w:rsid w:val="00541A93"/>
    <w:rsid w:val="005420A8"/>
    <w:rsid w:val="005431E6"/>
    <w:rsid w:val="0054377D"/>
    <w:rsid w:val="00543A32"/>
    <w:rsid w:val="00543C65"/>
    <w:rsid w:val="00543D2A"/>
    <w:rsid w:val="00543D72"/>
    <w:rsid w:val="00543FEF"/>
    <w:rsid w:val="0054431E"/>
    <w:rsid w:val="00544911"/>
    <w:rsid w:val="00544F2E"/>
    <w:rsid w:val="005452C1"/>
    <w:rsid w:val="0054571F"/>
    <w:rsid w:val="0054572A"/>
    <w:rsid w:val="00545BFC"/>
    <w:rsid w:val="00545C37"/>
    <w:rsid w:val="00545CDE"/>
    <w:rsid w:val="00545E7F"/>
    <w:rsid w:val="00545FDE"/>
    <w:rsid w:val="005467C8"/>
    <w:rsid w:val="005468AF"/>
    <w:rsid w:val="00546E52"/>
    <w:rsid w:val="00547139"/>
    <w:rsid w:val="00547238"/>
    <w:rsid w:val="0054738D"/>
    <w:rsid w:val="00547498"/>
    <w:rsid w:val="00547B5A"/>
    <w:rsid w:val="00547BFD"/>
    <w:rsid w:val="00547C33"/>
    <w:rsid w:val="00547C49"/>
    <w:rsid w:val="0055069A"/>
    <w:rsid w:val="0055071E"/>
    <w:rsid w:val="005508D8"/>
    <w:rsid w:val="00550AEA"/>
    <w:rsid w:val="00550D3E"/>
    <w:rsid w:val="00551624"/>
    <w:rsid w:val="0055164B"/>
    <w:rsid w:val="0055195E"/>
    <w:rsid w:val="00551AA8"/>
    <w:rsid w:val="0055288E"/>
    <w:rsid w:val="00552A26"/>
    <w:rsid w:val="00552CE8"/>
    <w:rsid w:val="00552E4F"/>
    <w:rsid w:val="00553710"/>
    <w:rsid w:val="00553E89"/>
    <w:rsid w:val="00553E9C"/>
    <w:rsid w:val="0055419D"/>
    <w:rsid w:val="005541C4"/>
    <w:rsid w:val="00554365"/>
    <w:rsid w:val="00554840"/>
    <w:rsid w:val="0055575C"/>
    <w:rsid w:val="00555FB9"/>
    <w:rsid w:val="00556007"/>
    <w:rsid w:val="00556A93"/>
    <w:rsid w:val="00556EA1"/>
    <w:rsid w:val="00556F8D"/>
    <w:rsid w:val="005609AA"/>
    <w:rsid w:val="00560AB9"/>
    <w:rsid w:val="00560BE9"/>
    <w:rsid w:val="00560FEF"/>
    <w:rsid w:val="0056103C"/>
    <w:rsid w:val="00561652"/>
    <w:rsid w:val="0056175E"/>
    <w:rsid w:val="00561909"/>
    <w:rsid w:val="00561B14"/>
    <w:rsid w:val="00561EB0"/>
    <w:rsid w:val="005623C2"/>
    <w:rsid w:val="00562730"/>
    <w:rsid w:val="00562AA7"/>
    <w:rsid w:val="00562C1D"/>
    <w:rsid w:val="00562FEA"/>
    <w:rsid w:val="00563272"/>
    <w:rsid w:val="0056358F"/>
    <w:rsid w:val="00563632"/>
    <w:rsid w:val="005638C1"/>
    <w:rsid w:val="00563CB6"/>
    <w:rsid w:val="005646D4"/>
    <w:rsid w:val="0056477E"/>
    <w:rsid w:val="00564C47"/>
    <w:rsid w:val="00565A45"/>
    <w:rsid w:val="00566231"/>
    <w:rsid w:val="0056668C"/>
    <w:rsid w:val="005667B4"/>
    <w:rsid w:val="00566845"/>
    <w:rsid w:val="00566EBE"/>
    <w:rsid w:val="00567099"/>
    <w:rsid w:val="00567BF3"/>
    <w:rsid w:val="00567E15"/>
    <w:rsid w:val="00570205"/>
    <w:rsid w:val="00570626"/>
    <w:rsid w:val="005707F9"/>
    <w:rsid w:val="00570AF0"/>
    <w:rsid w:val="00570B67"/>
    <w:rsid w:val="00570C4D"/>
    <w:rsid w:val="00570DCE"/>
    <w:rsid w:val="00570EF3"/>
    <w:rsid w:val="00571028"/>
    <w:rsid w:val="00571072"/>
    <w:rsid w:val="005715C2"/>
    <w:rsid w:val="00571715"/>
    <w:rsid w:val="00571C79"/>
    <w:rsid w:val="00571D63"/>
    <w:rsid w:val="00571DBC"/>
    <w:rsid w:val="00571EBA"/>
    <w:rsid w:val="0057249C"/>
    <w:rsid w:val="00572563"/>
    <w:rsid w:val="005725C1"/>
    <w:rsid w:val="005727F5"/>
    <w:rsid w:val="00572FAA"/>
    <w:rsid w:val="0057324B"/>
    <w:rsid w:val="00573EA1"/>
    <w:rsid w:val="005742AF"/>
    <w:rsid w:val="00574A4D"/>
    <w:rsid w:val="00574B0F"/>
    <w:rsid w:val="00574C35"/>
    <w:rsid w:val="00575342"/>
    <w:rsid w:val="005756A0"/>
    <w:rsid w:val="00575EA5"/>
    <w:rsid w:val="00575ECD"/>
    <w:rsid w:val="00575F89"/>
    <w:rsid w:val="005762A9"/>
    <w:rsid w:val="00576338"/>
    <w:rsid w:val="0057666C"/>
    <w:rsid w:val="00576C5A"/>
    <w:rsid w:val="005774DB"/>
    <w:rsid w:val="00577816"/>
    <w:rsid w:val="00577B0C"/>
    <w:rsid w:val="005807A3"/>
    <w:rsid w:val="00580887"/>
    <w:rsid w:val="005810E3"/>
    <w:rsid w:val="005815CD"/>
    <w:rsid w:val="00581AD1"/>
    <w:rsid w:val="00581AE3"/>
    <w:rsid w:val="00582135"/>
    <w:rsid w:val="005822FD"/>
    <w:rsid w:val="0058264B"/>
    <w:rsid w:val="00582AEC"/>
    <w:rsid w:val="00583774"/>
    <w:rsid w:val="005849F7"/>
    <w:rsid w:val="00584F80"/>
    <w:rsid w:val="005852B7"/>
    <w:rsid w:val="0058557A"/>
    <w:rsid w:val="0058685E"/>
    <w:rsid w:val="00586A4D"/>
    <w:rsid w:val="005870BE"/>
    <w:rsid w:val="00587190"/>
    <w:rsid w:val="005875E0"/>
    <w:rsid w:val="00587B01"/>
    <w:rsid w:val="00587D04"/>
    <w:rsid w:val="005905C6"/>
    <w:rsid w:val="00590958"/>
    <w:rsid w:val="0059106E"/>
    <w:rsid w:val="00592CAA"/>
    <w:rsid w:val="005930D1"/>
    <w:rsid w:val="00593183"/>
    <w:rsid w:val="00593214"/>
    <w:rsid w:val="00593342"/>
    <w:rsid w:val="00593B5D"/>
    <w:rsid w:val="00593E73"/>
    <w:rsid w:val="00593EE1"/>
    <w:rsid w:val="005945B2"/>
    <w:rsid w:val="005945E4"/>
    <w:rsid w:val="0059494D"/>
    <w:rsid w:val="00594BD5"/>
    <w:rsid w:val="0059547B"/>
    <w:rsid w:val="005954FC"/>
    <w:rsid w:val="00595CED"/>
    <w:rsid w:val="00595CEE"/>
    <w:rsid w:val="00595F0B"/>
    <w:rsid w:val="00595FA2"/>
    <w:rsid w:val="005961C1"/>
    <w:rsid w:val="0059672B"/>
    <w:rsid w:val="00596C8B"/>
    <w:rsid w:val="00596E50"/>
    <w:rsid w:val="00597A4E"/>
    <w:rsid w:val="005A039E"/>
    <w:rsid w:val="005A0486"/>
    <w:rsid w:val="005A07A0"/>
    <w:rsid w:val="005A08C3"/>
    <w:rsid w:val="005A09A4"/>
    <w:rsid w:val="005A0B17"/>
    <w:rsid w:val="005A0DD0"/>
    <w:rsid w:val="005A0FC8"/>
    <w:rsid w:val="005A1118"/>
    <w:rsid w:val="005A111A"/>
    <w:rsid w:val="005A113A"/>
    <w:rsid w:val="005A135E"/>
    <w:rsid w:val="005A18A1"/>
    <w:rsid w:val="005A1C1A"/>
    <w:rsid w:val="005A2557"/>
    <w:rsid w:val="005A25C7"/>
    <w:rsid w:val="005A2AA2"/>
    <w:rsid w:val="005A2B48"/>
    <w:rsid w:val="005A2DF2"/>
    <w:rsid w:val="005A2F45"/>
    <w:rsid w:val="005A2FC6"/>
    <w:rsid w:val="005A3546"/>
    <w:rsid w:val="005A3A0B"/>
    <w:rsid w:val="005A3CA7"/>
    <w:rsid w:val="005A3F3E"/>
    <w:rsid w:val="005A3F86"/>
    <w:rsid w:val="005A463A"/>
    <w:rsid w:val="005A49E5"/>
    <w:rsid w:val="005A50FD"/>
    <w:rsid w:val="005A53D7"/>
    <w:rsid w:val="005A5F9B"/>
    <w:rsid w:val="005A6440"/>
    <w:rsid w:val="005A6A7B"/>
    <w:rsid w:val="005A6B9C"/>
    <w:rsid w:val="005A6CB3"/>
    <w:rsid w:val="005A6F68"/>
    <w:rsid w:val="005A721F"/>
    <w:rsid w:val="005A78B7"/>
    <w:rsid w:val="005A7B98"/>
    <w:rsid w:val="005B13D5"/>
    <w:rsid w:val="005B1712"/>
    <w:rsid w:val="005B1784"/>
    <w:rsid w:val="005B1BF9"/>
    <w:rsid w:val="005B1D64"/>
    <w:rsid w:val="005B202B"/>
    <w:rsid w:val="005B22CC"/>
    <w:rsid w:val="005B2522"/>
    <w:rsid w:val="005B2E8E"/>
    <w:rsid w:val="005B364C"/>
    <w:rsid w:val="005B36CE"/>
    <w:rsid w:val="005B3A4A"/>
    <w:rsid w:val="005B3B77"/>
    <w:rsid w:val="005B3B91"/>
    <w:rsid w:val="005B42E5"/>
    <w:rsid w:val="005B458F"/>
    <w:rsid w:val="005B4684"/>
    <w:rsid w:val="005B4761"/>
    <w:rsid w:val="005B4A43"/>
    <w:rsid w:val="005B4C1D"/>
    <w:rsid w:val="005B4E46"/>
    <w:rsid w:val="005B595A"/>
    <w:rsid w:val="005B5E21"/>
    <w:rsid w:val="005B5EC9"/>
    <w:rsid w:val="005B625B"/>
    <w:rsid w:val="005B7162"/>
    <w:rsid w:val="005B7173"/>
    <w:rsid w:val="005B7B2A"/>
    <w:rsid w:val="005B7B7B"/>
    <w:rsid w:val="005B7E4D"/>
    <w:rsid w:val="005C0190"/>
    <w:rsid w:val="005C04E8"/>
    <w:rsid w:val="005C0EEF"/>
    <w:rsid w:val="005C108E"/>
    <w:rsid w:val="005C14AC"/>
    <w:rsid w:val="005C156F"/>
    <w:rsid w:val="005C185D"/>
    <w:rsid w:val="005C1AE7"/>
    <w:rsid w:val="005C2380"/>
    <w:rsid w:val="005C2FD0"/>
    <w:rsid w:val="005C3C74"/>
    <w:rsid w:val="005C3EDC"/>
    <w:rsid w:val="005C3EFC"/>
    <w:rsid w:val="005C427F"/>
    <w:rsid w:val="005C42E4"/>
    <w:rsid w:val="005C4662"/>
    <w:rsid w:val="005C4D88"/>
    <w:rsid w:val="005C4FF9"/>
    <w:rsid w:val="005C5412"/>
    <w:rsid w:val="005C57AD"/>
    <w:rsid w:val="005C5F55"/>
    <w:rsid w:val="005C639E"/>
    <w:rsid w:val="005C6D33"/>
    <w:rsid w:val="005C6D8D"/>
    <w:rsid w:val="005C7755"/>
    <w:rsid w:val="005D05BB"/>
    <w:rsid w:val="005D0727"/>
    <w:rsid w:val="005D1655"/>
    <w:rsid w:val="005D1AE6"/>
    <w:rsid w:val="005D1ED9"/>
    <w:rsid w:val="005D21D0"/>
    <w:rsid w:val="005D2291"/>
    <w:rsid w:val="005D26FC"/>
    <w:rsid w:val="005D2787"/>
    <w:rsid w:val="005D30C9"/>
    <w:rsid w:val="005D30EE"/>
    <w:rsid w:val="005D31AD"/>
    <w:rsid w:val="005D44DE"/>
    <w:rsid w:val="005D46C3"/>
    <w:rsid w:val="005D4A98"/>
    <w:rsid w:val="005D4C86"/>
    <w:rsid w:val="005D4FCF"/>
    <w:rsid w:val="005D518F"/>
    <w:rsid w:val="005D55DF"/>
    <w:rsid w:val="005D5AA0"/>
    <w:rsid w:val="005D5F01"/>
    <w:rsid w:val="005D69F3"/>
    <w:rsid w:val="005D6AD4"/>
    <w:rsid w:val="005D6BA7"/>
    <w:rsid w:val="005D7A4E"/>
    <w:rsid w:val="005D7BD5"/>
    <w:rsid w:val="005D7D31"/>
    <w:rsid w:val="005D7DD0"/>
    <w:rsid w:val="005D7FCA"/>
    <w:rsid w:val="005E09F0"/>
    <w:rsid w:val="005E1287"/>
    <w:rsid w:val="005E19A1"/>
    <w:rsid w:val="005E1D63"/>
    <w:rsid w:val="005E23FE"/>
    <w:rsid w:val="005E25BA"/>
    <w:rsid w:val="005E2A29"/>
    <w:rsid w:val="005E3418"/>
    <w:rsid w:val="005E348F"/>
    <w:rsid w:val="005E35F6"/>
    <w:rsid w:val="005E37FF"/>
    <w:rsid w:val="005E3AB5"/>
    <w:rsid w:val="005E452B"/>
    <w:rsid w:val="005E4D66"/>
    <w:rsid w:val="005E4F7E"/>
    <w:rsid w:val="005E53BF"/>
    <w:rsid w:val="005E53C6"/>
    <w:rsid w:val="005E6479"/>
    <w:rsid w:val="005E6513"/>
    <w:rsid w:val="005E6639"/>
    <w:rsid w:val="005E6727"/>
    <w:rsid w:val="005E6B0E"/>
    <w:rsid w:val="005E6B2E"/>
    <w:rsid w:val="005E70CC"/>
    <w:rsid w:val="005E7717"/>
    <w:rsid w:val="005F021C"/>
    <w:rsid w:val="005F03DA"/>
    <w:rsid w:val="005F03EB"/>
    <w:rsid w:val="005F04F1"/>
    <w:rsid w:val="005F0944"/>
    <w:rsid w:val="005F0AD8"/>
    <w:rsid w:val="005F1343"/>
    <w:rsid w:val="005F1B71"/>
    <w:rsid w:val="005F1D23"/>
    <w:rsid w:val="005F2B89"/>
    <w:rsid w:val="005F2C90"/>
    <w:rsid w:val="005F2DF0"/>
    <w:rsid w:val="005F342B"/>
    <w:rsid w:val="005F3DC8"/>
    <w:rsid w:val="005F45FF"/>
    <w:rsid w:val="005F4629"/>
    <w:rsid w:val="005F4640"/>
    <w:rsid w:val="005F4E86"/>
    <w:rsid w:val="005F4F56"/>
    <w:rsid w:val="005F509C"/>
    <w:rsid w:val="005F5305"/>
    <w:rsid w:val="005F5376"/>
    <w:rsid w:val="005F5AF0"/>
    <w:rsid w:val="005F60BB"/>
    <w:rsid w:val="005F667F"/>
    <w:rsid w:val="005F6E9D"/>
    <w:rsid w:val="005F6ED3"/>
    <w:rsid w:val="005F784F"/>
    <w:rsid w:val="005F789C"/>
    <w:rsid w:val="005F7BAC"/>
    <w:rsid w:val="00601CA8"/>
    <w:rsid w:val="00601FC7"/>
    <w:rsid w:val="006022AE"/>
    <w:rsid w:val="00602902"/>
    <w:rsid w:val="00602942"/>
    <w:rsid w:val="00602CDC"/>
    <w:rsid w:val="0060353B"/>
    <w:rsid w:val="0060357B"/>
    <w:rsid w:val="00603717"/>
    <w:rsid w:val="00603729"/>
    <w:rsid w:val="006038BB"/>
    <w:rsid w:val="00604629"/>
    <w:rsid w:val="00604EFE"/>
    <w:rsid w:val="00604F62"/>
    <w:rsid w:val="00605BD8"/>
    <w:rsid w:val="00605F4C"/>
    <w:rsid w:val="00605FA7"/>
    <w:rsid w:val="00606833"/>
    <w:rsid w:val="006068C5"/>
    <w:rsid w:val="00606AD9"/>
    <w:rsid w:val="00606AF7"/>
    <w:rsid w:val="00606D95"/>
    <w:rsid w:val="00606EA9"/>
    <w:rsid w:val="00606F1E"/>
    <w:rsid w:val="00606F92"/>
    <w:rsid w:val="00607856"/>
    <w:rsid w:val="00607B12"/>
    <w:rsid w:val="00607B93"/>
    <w:rsid w:val="0061023C"/>
    <w:rsid w:val="00610305"/>
    <w:rsid w:val="0061066B"/>
    <w:rsid w:val="00610C81"/>
    <w:rsid w:val="0061171D"/>
    <w:rsid w:val="00611881"/>
    <w:rsid w:val="00611C80"/>
    <w:rsid w:val="00611E1C"/>
    <w:rsid w:val="00611EB5"/>
    <w:rsid w:val="00611FE4"/>
    <w:rsid w:val="0061291C"/>
    <w:rsid w:val="00612AF9"/>
    <w:rsid w:val="0061345E"/>
    <w:rsid w:val="0061370E"/>
    <w:rsid w:val="0061376D"/>
    <w:rsid w:val="00613A4C"/>
    <w:rsid w:val="00613E5C"/>
    <w:rsid w:val="00614A3D"/>
    <w:rsid w:val="00614C29"/>
    <w:rsid w:val="0061648C"/>
    <w:rsid w:val="0061674E"/>
    <w:rsid w:val="00616CB4"/>
    <w:rsid w:val="00616EBB"/>
    <w:rsid w:val="0061702B"/>
    <w:rsid w:val="00617598"/>
    <w:rsid w:val="00617ACF"/>
    <w:rsid w:val="0062071A"/>
    <w:rsid w:val="00620964"/>
    <w:rsid w:val="006216A9"/>
    <w:rsid w:val="00621B61"/>
    <w:rsid w:val="0062215E"/>
    <w:rsid w:val="0062270C"/>
    <w:rsid w:val="006246E3"/>
    <w:rsid w:val="0062532F"/>
    <w:rsid w:val="00625EC2"/>
    <w:rsid w:val="0062620B"/>
    <w:rsid w:val="006262A0"/>
    <w:rsid w:val="00626E2D"/>
    <w:rsid w:val="00626E53"/>
    <w:rsid w:val="00626F2B"/>
    <w:rsid w:val="00626FEB"/>
    <w:rsid w:val="00627239"/>
    <w:rsid w:val="00627D0B"/>
    <w:rsid w:val="00627F5B"/>
    <w:rsid w:val="00627FBD"/>
    <w:rsid w:val="0063032F"/>
    <w:rsid w:val="00630EB0"/>
    <w:rsid w:val="00631024"/>
    <w:rsid w:val="0063116B"/>
    <w:rsid w:val="006314BB"/>
    <w:rsid w:val="00631531"/>
    <w:rsid w:val="00631B88"/>
    <w:rsid w:val="00631D9F"/>
    <w:rsid w:val="006324D9"/>
    <w:rsid w:val="006329A6"/>
    <w:rsid w:val="00632CB9"/>
    <w:rsid w:val="00633D2F"/>
    <w:rsid w:val="006341C7"/>
    <w:rsid w:val="00634696"/>
    <w:rsid w:val="006347B8"/>
    <w:rsid w:val="00634B50"/>
    <w:rsid w:val="00634B68"/>
    <w:rsid w:val="00634C0D"/>
    <w:rsid w:val="00634F1E"/>
    <w:rsid w:val="00635615"/>
    <w:rsid w:val="00635835"/>
    <w:rsid w:val="00635FB9"/>
    <w:rsid w:val="00635FE1"/>
    <w:rsid w:val="00636047"/>
    <w:rsid w:val="006360C9"/>
    <w:rsid w:val="006367CF"/>
    <w:rsid w:val="006369E2"/>
    <w:rsid w:val="006374A4"/>
    <w:rsid w:val="00637FF5"/>
    <w:rsid w:val="006400CC"/>
    <w:rsid w:val="0064038E"/>
    <w:rsid w:val="0064080A"/>
    <w:rsid w:val="00640CC5"/>
    <w:rsid w:val="00641008"/>
    <w:rsid w:val="006410B4"/>
    <w:rsid w:val="006413F6"/>
    <w:rsid w:val="00641A5B"/>
    <w:rsid w:val="00642557"/>
    <w:rsid w:val="006429B9"/>
    <w:rsid w:val="00642D51"/>
    <w:rsid w:val="006432CB"/>
    <w:rsid w:val="0064330F"/>
    <w:rsid w:val="00643588"/>
    <w:rsid w:val="00643836"/>
    <w:rsid w:val="006439FB"/>
    <w:rsid w:val="00643D07"/>
    <w:rsid w:val="00643E42"/>
    <w:rsid w:val="00643FA3"/>
    <w:rsid w:val="006441FB"/>
    <w:rsid w:val="00644780"/>
    <w:rsid w:val="00644B7C"/>
    <w:rsid w:val="00644F70"/>
    <w:rsid w:val="00645121"/>
    <w:rsid w:val="00645657"/>
    <w:rsid w:val="00646454"/>
    <w:rsid w:val="006466A0"/>
    <w:rsid w:val="0064696E"/>
    <w:rsid w:val="00646A6F"/>
    <w:rsid w:val="00647154"/>
    <w:rsid w:val="006478AF"/>
    <w:rsid w:val="00647AD8"/>
    <w:rsid w:val="00650158"/>
    <w:rsid w:val="006501F5"/>
    <w:rsid w:val="0065026F"/>
    <w:rsid w:val="006503C8"/>
    <w:rsid w:val="006519F0"/>
    <w:rsid w:val="0065249D"/>
    <w:rsid w:val="006524B4"/>
    <w:rsid w:val="006528CA"/>
    <w:rsid w:val="006535A1"/>
    <w:rsid w:val="006538BD"/>
    <w:rsid w:val="00653A6B"/>
    <w:rsid w:val="00653EF1"/>
    <w:rsid w:val="006545BB"/>
    <w:rsid w:val="00654DA3"/>
    <w:rsid w:val="0065544C"/>
    <w:rsid w:val="0065583F"/>
    <w:rsid w:val="0065593D"/>
    <w:rsid w:val="006563B6"/>
    <w:rsid w:val="00656A35"/>
    <w:rsid w:val="00656F31"/>
    <w:rsid w:val="00656F93"/>
    <w:rsid w:val="0065716F"/>
    <w:rsid w:val="0065742F"/>
    <w:rsid w:val="0065759B"/>
    <w:rsid w:val="006578CD"/>
    <w:rsid w:val="00660914"/>
    <w:rsid w:val="00660966"/>
    <w:rsid w:val="006609B6"/>
    <w:rsid w:val="00660D21"/>
    <w:rsid w:val="00660EBD"/>
    <w:rsid w:val="00660F3A"/>
    <w:rsid w:val="006614B2"/>
    <w:rsid w:val="006617F3"/>
    <w:rsid w:val="00662043"/>
    <w:rsid w:val="0066206E"/>
    <w:rsid w:val="0066283D"/>
    <w:rsid w:val="00662DBD"/>
    <w:rsid w:val="006631AB"/>
    <w:rsid w:val="0066366D"/>
    <w:rsid w:val="00663708"/>
    <w:rsid w:val="00663E8A"/>
    <w:rsid w:val="006641BF"/>
    <w:rsid w:val="00664E0B"/>
    <w:rsid w:val="0066527E"/>
    <w:rsid w:val="006653F1"/>
    <w:rsid w:val="00665D90"/>
    <w:rsid w:val="00665DFD"/>
    <w:rsid w:val="006668EF"/>
    <w:rsid w:val="00666BAF"/>
    <w:rsid w:val="00666D86"/>
    <w:rsid w:val="006672EF"/>
    <w:rsid w:val="006679AD"/>
    <w:rsid w:val="00667A8A"/>
    <w:rsid w:val="006702A9"/>
    <w:rsid w:val="00670657"/>
    <w:rsid w:val="006708D0"/>
    <w:rsid w:val="00670D12"/>
    <w:rsid w:val="00671261"/>
    <w:rsid w:val="006717CF"/>
    <w:rsid w:val="0067183E"/>
    <w:rsid w:val="00671D67"/>
    <w:rsid w:val="006729C2"/>
    <w:rsid w:val="00673340"/>
    <w:rsid w:val="00673908"/>
    <w:rsid w:val="00673A6E"/>
    <w:rsid w:val="00673CC3"/>
    <w:rsid w:val="0067402A"/>
    <w:rsid w:val="006741C5"/>
    <w:rsid w:val="006743E8"/>
    <w:rsid w:val="00674ADE"/>
    <w:rsid w:val="00674FF7"/>
    <w:rsid w:val="00675972"/>
    <w:rsid w:val="006762B9"/>
    <w:rsid w:val="006765D1"/>
    <w:rsid w:val="00676813"/>
    <w:rsid w:val="00676EF0"/>
    <w:rsid w:val="00677117"/>
    <w:rsid w:val="006773C3"/>
    <w:rsid w:val="006775FD"/>
    <w:rsid w:val="00677769"/>
    <w:rsid w:val="00677E4A"/>
    <w:rsid w:val="00680070"/>
    <w:rsid w:val="00680759"/>
    <w:rsid w:val="00681005"/>
    <w:rsid w:val="00681236"/>
    <w:rsid w:val="00681574"/>
    <w:rsid w:val="00681E6C"/>
    <w:rsid w:val="00681EE9"/>
    <w:rsid w:val="00682347"/>
    <w:rsid w:val="00682924"/>
    <w:rsid w:val="00682BB4"/>
    <w:rsid w:val="00682CDF"/>
    <w:rsid w:val="006835F4"/>
    <w:rsid w:val="006836A7"/>
    <w:rsid w:val="006837B9"/>
    <w:rsid w:val="0068389C"/>
    <w:rsid w:val="00683E89"/>
    <w:rsid w:val="00683FB8"/>
    <w:rsid w:val="00684488"/>
    <w:rsid w:val="006849D8"/>
    <w:rsid w:val="00684BE4"/>
    <w:rsid w:val="006853D9"/>
    <w:rsid w:val="006855F9"/>
    <w:rsid w:val="00685C2B"/>
    <w:rsid w:val="0068628B"/>
    <w:rsid w:val="006865BB"/>
    <w:rsid w:val="00686926"/>
    <w:rsid w:val="00687193"/>
    <w:rsid w:val="00690048"/>
    <w:rsid w:val="00690316"/>
    <w:rsid w:val="00690617"/>
    <w:rsid w:val="006907C7"/>
    <w:rsid w:val="006909E3"/>
    <w:rsid w:val="00691213"/>
    <w:rsid w:val="00691724"/>
    <w:rsid w:val="006925A3"/>
    <w:rsid w:val="00692786"/>
    <w:rsid w:val="006930C2"/>
    <w:rsid w:val="00693B64"/>
    <w:rsid w:val="00693CAC"/>
    <w:rsid w:val="00693DEE"/>
    <w:rsid w:val="00694A84"/>
    <w:rsid w:val="00695006"/>
    <w:rsid w:val="0069547B"/>
    <w:rsid w:val="00695812"/>
    <w:rsid w:val="00695858"/>
    <w:rsid w:val="00695DCE"/>
    <w:rsid w:val="00695F69"/>
    <w:rsid w:val="006961FD"/>
    <w:rsid w:val="00696245"/>
    <w:rsid w:val="00696700"/>
    <w:rsid w:val="0069681A"/>
    <w:rsid w:val="00696F1D"/>
    <w:rsid w:val="006A0438"/>
    <w:rsid w:val="006A11F3"/>
    <w:rsid w:val="006A13C7"/>
    <w:rsid w:val="006A1ACE"/>
    <w:rsid w:val="006A206C"/>
    <w:rsid w:val="006A24E2"/>
    <w:rsid w:val="006A2528"/>
    <w:rsid w:val="006A253E"/>
    <w:rsid w:val="006A437A"/>
    <w:rsid w:val="006A45F0"/>
    <w:rsid w:val="006A4D7A"/>
    <w:rsid w:val="006A56EA"/>
    <w:rsid w:val="006A57E6"/>
    <w:rsid w:val="006A61F4"/>
    <w:rsid w:val="006A6502"/>
    <w:rsid w:val="006A6D92"/>
    <w:rsid w:val="006A747C"/>
    <w:rsid w:val="006A7C67"/>
    <w:rsid w:val="006B020A"/>
    <w:rsid w:val="006B032A"/>
    <w:rsid w:val="006B03DF"/>
    <w:rsid w:val="006B0694"/>
    <w:rsid w:val="006B0B70"/>
    <w:rsid w:val="006B0C34"/>
    <w:rsid w:val="006B10FD"/>
    <w:rsid w:val="006B1F2E"/>
    <w:rsid w:val="006B24F6"/>
    <w:rsid w:val="006B2531"/>
    <w:rsid w:val="006B25BB"/>
    <w:rsid w:val="006B28C5"/>
    <w:rsid w:val="006B2B30"/>
    <w:rsid w:val="006B2B8D"/>
    <w:rsid w:val="006B3334"/>
    <w:rsid w:val="006B35EC"/>
    <w:rsid w:val="006B3A33"/>
    <w:rsid w:val="006B3B82"/>
    <w:rsid w:val="006B4035"/>
    <w:rsid w:val="006B4D9D"/>
    <w:rsid w:val="006B508E"/>
    <w:rsid w:val="006B5120"/>
    <w:rsid w:val="006B5638"/>
    <w:rsid w:val="006B57C0"/>
    <w:rsid w:val="006B597B"/>
    <w:rsid w:val="006B5B65"/>
    <w:rsid w:val="006B619B"/>
    <w:rsid w:val="006B68AD"/>
    <w:rsid w:val="006B6A8C"/>
    <w:rsid w:val="006B6AA3"/>
    <w:rsid w:val="006B7228"/>
    <w:rsid w:val="006B72E1"/>
    <w:rsid w:val="006B73A4"/>
    <w:rsid w:val="006B759B"/>
    <w:rsid w:val="006B765D"/>
    <w:rsid w:val="006B79B2"/>
    <w:rsid w:val="006B7D5C"/>
    <w:rsid w:val="006C02D4"/>
    <w:rsid w:val="006C03FE"/>
    <w:rsid w:val="006C0B67"/>
    <w:rsid w:val="006C0BD5"/>
    <w:rsid w:val="006C0DBF"/>
    <w:rsid w:val="006C15C0"/>
    <w:rsid w:val="006C1E87"/>
    <w:rsid w:val="006C2086"/>
    <w:rsid w:val="006C24AC"/>
    <w:rsid w:val="006C29B3"/>
    <w:rsid w:val="006C2D95"/>
    <w:rsid w:val="006C3197"/>
    <w:rsid w:val="006C341E"/>
    <w:rsid w:val="006C383A"/>
    <w:rsid w:val="006C3AF5"/>
    <w:rsid w:val="006C3BE9"/>
    <w:rsid w:val="006C3CE0"/>
    <w:rsid w:val="006C43C5"/>
    <w:rsid w:val="006C44C6"/>
    <w:rsid w:val="006C4997"/>
    <w:rsid w:val="006C4A86"/>
    <w:rsid w:val="006C5870"/>
    <w:rsid w:val="006C599F"/>
    <w:rsid w:val="006C5C83"/>
    <w:rsid w:val="006C633A"/>
    <w:rsid w:val="006C649F"/>
    <w:rsid w:val="006C6BCE"/>
    <w:rsid w:val="006C6C23"/>
    <w:rsid w:val="006C74B6"/>
    <w:rsid w:val="006C7BEC"/>
    <w:rsid w:val="006C7E6A"/>
    <w:rsid w:val="006C7F7C"/>
    <w:rsid w:val="006D0171"/>
    <w:rsid w:val="006D05B9"/>
    <w:rsid w:val="006D09F6"/>
    <w:rsid w:val="006D0AAF"/>
    <w:rsid w:val="006D0EF1"/>
    <w:rsid w:val="006D16C8"/>
    <w:rsid w:val="006D1857"/>
    <w:rsid w:val="006D1A4A"/>
    <w:rsid w:val="006D1D60"/>
    <w:rsid w:val="006D2430"/>
    <w:rsid w:val="006D297A"/>
    <w:rsid w:val="006D2A39"/>
    <w:rsid w:val="006D2D5D"/>
    <w:rsid w:val="006D2EB5"/>
    <w:rsid w:val="006D42FC"/>
    <w:rsid w:val="006D4715"/>
    <w:rsid w:val="006D472A"/>
    <w:rsid w:val="006D4BC7"/>
    <w:rsid w:val="006D4D90"/>
    <w:rsid w:val="006D4DB5"/>
    <w:rsid w:val="006D5607"/>
    <w:rsid w:val="006D57DE"/>
    <w:rsid w:val="006D5885"/>
    <w:rsid w:val="006D5F97"/>
    <w:rsid w:val="006D63F5"/>
    <w:rsid w:val="006D6A5C"/>
    <w:rsid w:val="006D6BA4"/>
    <w:rsid w:val="006D6D03"/>
    <w:rsid w:val="006D6F0E"/>
    <w:rsid w:val="006D752F"/>
    <w:rsid w:val="006D7C16"/>
    <w:rsid w:val="006D7C50"/>
    <w:rsid w:val="006D7EF5"/>
    <w:rsid w:val="006D7FF9"/>
    <w:rsid w:val="006E01F9"/>
    <w:rsid w:val="006E07B8"/>
    <w:rsid w:val="006E08B5"/>
    <w:rsid w:val="006E0EBD"/>
    <w:rsid w:val="006E1031"/>
    <w:rsid w:val="006E1477"/>
    <w:rsid w:val="006E14CD"/>
    <w:rsid w:val="006E1F48"/>
    <w:rsid w:val="006E25BE"/>
    <w:rsid w:val="006E2922"/>
    <w:rsid w:val="006E2A4D"/>
    <w:rsid w:val="006E32E3"/>
    <w:rsid w:val="006E3C37"/>
    <w:rsid w:val="006E41D9"/>
    <w:rsid w:val="006E45E0"/>
    <w:rsid w:val="006E4860"/>
    <w:rsid w:val="006E4ADB"/>
    <w:rsid w:val="006E4E2D"/>
    <w:rsid w:val="006E5170"/>
    <w:rsid w:val="006E5547"/>
    <w:rsid w:val="006E6119"/>
    <w:rsid w:val="006E6C13"/>
    <w:rsid w:val="006E6D10"/>
    <w:rsid w:val="006E7777"/>
    <w:rsid w:val="006E7A9B"/>
    <w:rsid w:val="006E7E8D"/>
    <w:rsid w:val="006F005B"/>
    <w:rsid w:val="006F0455"/>
    <w:rsid w:val="006F0BE6"/>
    <w:rsid w:val="006F1A6B"/>
    <w:rsid w:val="006F1C5E"/>
    <w:rsid w:val="006F1F1F"/>
    <w:rsid w:val="006F307A"/>
    <w:rsid w:val="006F33FB"/>
    <w:rsid w:val="006F34D5"/>
    <w:rsid w:val="006F3BA0"/>
    <w:rsid w:val="006F3F93"/>
    <w:rsid w:val="006F4146"/>
    <w:rsid w:val="006F4258"/>
    <w:rsid w:val="006F42C0"/>
    <w:rsid w:val="006F4396"/>
    <w:rsid w:val="006F4595"/>
    <w:rsid w:val="006F5016"/>
    <w:rsid w:val="006F5532"/>
    <w:rsid w:val="006F5A54"/>
    <w:rsid w:val="006F69B1"/>
    <w:rsid w:val="006F6C34"/>
    <w:rsid w:val="006F6D9B"/>
    <w:rsid w:val="006F7A9A"/>
    <w:rsid w:val="006F7E97"/>
    <w:rsid w:val="00701116"/>
    <w:rsid w:val="007016E6"/>
    <w:rsid w:val="0070178E"/>
    <w:rsid w:val="00701D4B"/>
    <w:rsid w:val="007021CF"/>
    <w:rsid w:val="00702644"/>
    <w:rsid w:val="00702A6F"/>
    <w:rsid w:val="00702B86"/>
    <w:rsid w:val="007033FF"/>
    <w:rsid w:val="007039C2"/>
    <w:rsid w:val="00703B1F"/>
    <w:rsid w:val="007043C0"/>
    <w:rsid w:val="00704476"/>
    <w:rsid w:val="0070511B"/>
    <w:rsid w:val="00705487"/>
    <w:rsid w:val="007059F6"/>
    <w:rsid w:val="00705E28"/>
    <w:rsid w:val="0070622D"/>
    <w:rsid w:val="00706345"/>
    <w:rsid w:val="007063A7"/>
    <w:rsid w:val="007066CD"/>
    <w:rsid w:val="007068BB"/>
    <w:rsid w:val="00706AAF"/>
    <w:rsid w:val="007073B2"/>
    <w:rsid w:val="00707CB4"/>
    <w:rsid w:val="0071024C"/>
    <w:rsid w:val="007103D5"/>
    <w:rsid w:val="00710528"/>
    <w:rsid w:val="007108C6"/>
    <w:rsid w:val="007108CA"/>
    <w:rsid w:val="0071094E"/>
    <w:rsid w:val="00710D66"/>
    <w:rsid w:val="00711245"/>
    <w:rsid w:val="00711851"/>
    <w:rsid w:val="007119A2"/>
    <w:rsid w:val="00711F77"/>
    <w:rsid w:val="0071262A"/>
    <w:rsid w:val="007127DB"/>
    <w:rsid w:val="007131CD"/>
    <w:rsid w:val="00713581"/>
    <w:rsid w:val="0071369F"/>
    <w:rsid w:val="007141F3"/>
    <w:rsid w:val="007143D5"/>
    <w:rsid w:val="007143E4"/>
    <w:rsid w:val="00714ED4"/>
    <w:rsid w:val="00715134"/>
    <w:rsid w:val="00715E27"/>
    <w:rsid w:val="007161B2"/>
    <w:rsid w:val="00716A8A"/>
    <w:rsid w:val="00716E1B"/>
    <w:rsid w:val="007171D3"/>
    <w:rsid w:val="0071753E"/>
    <w:rsid w:val="00720865"/>
    <w:rsid w:val="00720C18"/>
    <w:rsid w:val="0072106A"/>
    <w:rsid w:val="00721378"/>
    <w:rsid w:val="007214D4"/>
    <w:rsid w:val="0072160D"/>
    <w:rsid w:val="00721A21"/>
    <w:rsid w:val="00721A43"/>
    <w:rsid w:val="00721C68"/>
    <w:rsid w:val="0072288F"/>
    <w:rsid w:val="00722CF9"/>
    <w:rsid w:val="00723318"/>
    <w:rsid w:val="007234C3"/>
    <w:rsid w:val="00723766"/>
    <w:rsid w:val="00723AAD"/>
    <w:rsid w:val="00723CC6"/>
    <w:rsid w:val="00724C11"/>
    <w:rsid w:val="00724D14"/>
    <w:rsid w:val="0072516E"/>
    <w:rsid w:val="00725244"/>
    <w:rsid w:val="00725273"/>
    <w:rsid w:val="00725276"/>
    <w:rsid w:val="00726467"/>
    <w:rsid w:val="007266EA"/>
    <w:rsid w:val="007268F3"/>
    <w:rsid w:val="00726ABD"/>
    <w:rsid w:val="007272BA"/>
    <w:rsid w:val="00727B9F"/>
    <w:rsid w:val="007303FA"/>
    <w:rsid w:val="007308CC"/>
    <w:rsid w:val="00731573"/>
    <w:rsid w:val="007319B3"/>
    <w:rsid w:val="00731CE5"/>
    <w:rsid w:val="00731F3D"/>
    <w:rsid w:val="00732E9E"/>
    <w:rsid w:val="00733751"/>
    <w:rsid w:val="00734425"/>
    <w:rsid w:val="007345D4"/>
    <w:rsid w:val="007348D7"/>
    <w:rsid w:val="00734BE0"/>
    <w:rsid w:val="00734C0D"/>
    <w:rsid w:val="00734FAB"/>
    <w:rsid w:val="00734FBB"/>
    <w:rsid w:val="007351AB"/>
    <w:rsid w:val="00735758"/>
    <w:rsid w:val="00735A7B"/>
    <w:rsid w:val="00735F85"/>
    <w:rsid w:val="007360AD"/>
    <w:rsid w:val="00736CAA"/>
    <w:rsid w:val="00736D4A"/>
    <w:rsid w:val="00736D63"/>
    <w:rsid w:val="00736F4F"/>
    <w:rsid w:val="00737255"/>
    <w:rsid w:val="007378FB"/>
    <w:rsid w:val="00737A0A"/>
    <w:rsid w:val="00737EBF"/>
    <w:rsid w:val="007400CB"/>
    <w:rsid w:val="00740CA4"/>
    <w:rsid w:val="00740F9A"/>
    <w:rsid w:val="00741767"/>
    <w:rsid w:val="00742556"/>
    <w:rsid w:val="00742CBF"/>
    <w:rsid w:val="00743E53"/>
    <w:rsid w:val="00743ECE"/>
    <w:rsid w:val="00743FF6"/>
    <w:rsid w:val="0074403F"/>
    <w:rsid w:val="00744A08"/>
    <w:rsid w:val="00744EC7"/>
    <w:rsid w:val="00745493"/>
    <w:rsid w:val="007458FE"/>
    <w:rsid w:val="00745E33"/>
    <w:rsid w:val="0074604F"/>
    <w:rsid w:val="007460A2"/>
    <w:rsid w:val="007468E4"/>
    <w:rsid w:val="007470D0"/>
    <w:rsid w:val="00747270"/>
    <w:rsid w:val="007508BB"/>
    <w:rsid w:val="00750BE3"/>
    <w:rsid w:val="00751107"/>
    <w:rsid w:val="00751A24"/>
    <w:rsid w:val="00751BA4"/>
    <w:rsid w:val="00751D1C"/>
    <w:rsid w:val="00751EC2"/>
    <w:rsid w:val="00752261"/>
    <w:rsid w:val="00752C12"/>
    <w:rsid w:val="00752F85"/>
    <w:rsid w:val="007534EA"/>
    <w:rsid w:val="0075364A"/>
    <w:rsid w:val="00754AA1"/>
    <w:rsid w:val="00754D07"/>
    <w:rsid w:val="00754E07"/>
    <w:rsid w:val="00755AA7"/>
    <w:rsid w:val="00756268"/>
    <w:rsid w:val="00756C8D"/>
    <w:rsid w:val="0075706F"/>
    <w:rsid w:val="0075749E"/>
    <w:rsid w:val="00757B40"/>
    <w:rsid w:val="00757CB7"/>
    <w:rsid w:val="007601A0"/>
    <w:rsid w:val="007608ED"/>
    <w:rsid w:val="00760A65"/>
    <w:rsid w:val="00760C10"/>
    <w:rsid w:val="00760CDC"/>
    <w:rsid w:val="00760D88"/>
    <w:rsid w:val="00760E99"/>
    <w:rsid w:val="0076129C"/>
    <w:rsid w:val="007615AF"/>
    <w:rsid w:val="0076193E"/>
    <w:rsid w:val="00761A51"/>
    <w:rsid w:val="00761E2A"/>
    <w:rsid w:val="00762668"/>
    <w:rsid w:val="007627DD"/>
    <w:rsid w:val="0076284E"/>
    <w:rsid w:val="0076307D"/>
    <w:rsid w:val="007631D4"/>
    <w:rsid w:val="007635B0"/>
    <w:rsid w:val="007636AB"/>
    <w:rsid w:val="0076397B"/>
    <w:rsid w:val="00763FC1"/>
    <w:rsid w:val="007643A8"/>
    <w:rsid w:val="007645BA"/>
    <w:rsid w:val="007647BC"/>
    <w:rsid w:val="00764FAC"/>
    <w:rsid w:val="007650B3"/>
    <w:rsid w:val="0076536F"/>
    <w:rsid w:val="00765430"/>
    <w:rsid w:val="00765BBF"/>
    <w:rsid w:val="007662C2"/>
    <w:rsid w:val="007667E8"/>
    <w:rsid w:val="00766813"/>
    <w:rsid w:val="00766B2D"/>
    <w:rsid w:val="007672D6"/>
    <w:rsid w:val="0076777D"/>
    <w:rsid w:val="00767861"/>
    <w:rsid w:val="00767C0A"/>
    <w:rsid w:val="0077055E"/>
    <w:rsid w:val="007706E8"/>
    <w:rsid w:val="007707DC"/>
    <w:rsid w:val="00771576"/>
    <w:rsid w:val="007715BB"/>
    <w:rsid w:val="00771D71"/>
    <w:rsid w:val="0077251D"/>
    <w:rsid w:val="00772596"/>
    <w:rsid w:val="007733CD"/>
    <w:rsid w:val="0077363D"/>
    <w:rsid w:val="0077372E"/>
    <w:rsid w:val="00774022"/>
    <w:rsid w:val="00774166"/>
    <w:rsid w:val="00774B83"/>
    <w:rsid w:val="00774C84"/>
    <w:rsid w:val="00775107"/>
    <w:rsid w:val="00775442"/>
    <w:rsid w:val="0077566A"/>
    <w:rsid w:val="00775850"/>
    <w:rsid w:val="00775C40"/>
    <w:rsid w:val="00775FB6"/>
    <w:rsid w:val="0077628D"/>
    <w:rsid w:val="00776F72"/>
    <w:rsid w:val="007770F0"/>
    <w:rsid w:val="00777716"/>
    <w:rsid w:val="00777F3E"/>
    <w:rsid w:val="00780470"/>
    <w:rsid w:val="00780FDF"/>
    <w:rsid w:val="00781241"/>
    <w:rsid w:val="007812A9"/>
    <w:rsid w:val="007814A6"/>
    <w:rsid w:val="00782039"/>
    <w:rsid w:val="007821D1"/>
    <w:rsid w:val="00782302"/>
    <w:rsid w:val="00782340"/>
    <w:rsid w:val="0078261B"/>
    <w:rsid w:val="00782697"/>
    <w:rsid w:val="0078296B"/>
    <w:rsid w:val="007831B0"/>
    <w:rsid w:val="00783481"/>
    <w:rsid w:val="007836FC"/>
    <w:rsid w:val="00783D38"/>
    <w:rsid w:val="00783D81"/>
    <w:rsid w:val="00783E70"/>
    <w:rsid w:val="00783EC6"/>
    <w:rsid w:val="00783EDE"/>
    <w:rsid w:val="00784183"/>
    <w:rsid w:val="0078422A"/>
    <w:rsid w:val="00784255"/>
    <w:rsid w:val="0078439A"/>
    <w:rsid w:val="007848FA"/>
    <w:rsid w:val="00784AE7"/>
    <w:rsid w:val="00784DDA"/>
    <w:rsid w:val="007851C4"/>
    <w:rsid w:val="00785478"/>
    <w:rsid w:val="0078549F"/>
    <w:rsid w:val="00785604"/>
    <w:rsid w:val="007856BF"/>
    <w:rsid w:val="00785745"/>
    <w:rsid w:val="0078585F"/>
    <w:rsid w:val="00785E28"/>
    <w:rsid w:val="00786E6B"/>
    <w:rsid w:val="00786FFD"/>
    <w:rsid w:val="00787191"/>
    <w:rsid w:val="007875FA"/>
    <w:rsid w:val="007878F9"/>
    <w:rsid w:val="00787A58"/>
    <w:rsid w:val="00787E58"/>
    <w:rsid w:val="00787EF5"/>
    <w:rsid w:val="007903A5"/>
    <w:rsid w:val="00790A2E"/>
    <w:rsid w:val="00790DC4"/>
    <w:rsid w:val="00791989"/>
    <w:rsid w:val="00791BF4"/>
    <w:rsid w:val="00791FA2"/>
    <w:rsid w:val="007921E0"/>
    <w:rsid w:val="00792913"/>
    <w:rsid w:val="0079306B"/>
    <w:rsid w:val="007933CD"/>
    <w:rsid w:val="0079468F"/>
    <w:rsid w:val="007949FE"/>
    <w:rsid w:val="00794BE5"/>
    <w:rsid w:val="00794C37"/>
    <w:rsid w:val="007956AF"/>
    <w:rsid w:val="00795950"/>
    <w:rsid w:val="00795E51"/>
    <w:rsid w:val="007960BD"/>
    <w:rsid w:val="007961D4"/>
    <w:rsid w:val="00796521"/>
    <w:rsid w:val="00797144"/>
    <w:rsid w:val="00797C42"/>
    <w:rsid w:val="007A023D"/>
    <w:rsid w:val="007A09B3"/>
    <w:rsid w:val="007A0ACF"/>
    <w:rsid w:val="007A17CD"/>
    <w:rsid w:val="007A184D"/>
    <w:rsid w:val="007A2916"/>
    <w:rsid w:val="007A2E3B"/>
    <w:rsid w:val="007A3371"/>
    <w:rsid w:val="007A3702"/>
    <w:rsid w:val="007A390D"/>
    <w:rsid w:val="007A3E23"/>
    <w:rsid w:val="007A423E"/>
    <w:rsid w:val="007A42F2"/>
    <w:rsid w:val="007A48C9"/>
    <w:rsid w:val="007A4A56"/>
    <w:rsid w:val="007A5019"/>
    <w:rsid w:val="007A5026"/>
    <w:rsid w:val="007A5A0E"/>
    <w:rsid w:val="007A5E7E"/>
    <w:rsid w:val="007A64B3"/>
    <w:rsid w:val="007A678B"/>
    <w:rsid w:val="007A68C7"/>
    <w:rsid w:val="007A693D"/>
    <w:rsid w:val="007A6A3B"/>
    <w:rsid w:val="007A6C93"/>
    <w:rsid w:val="007A6CC9"/>
    <w:rsid w:val="007A79E5"/>
    <w:rsid w:val="007B0655"/>
    <w:rsid w:val="007B0881"/>
    <w:rsid w:val="007B0F6E"/>
    <w:rsid w:val="007B1433"/>
    <w:rsid w:val="007B14F9"/>
    <w:rsid w:val="007B154F"/>
    <w:rsid w:val="007B18DD"/>
    <w:rsid w:val="007B29AE"/>
    <w:rsid w:val="007B2E10"/>
    <w:rsid w:val="007B2F51"/>
    <w:rsid w:val="007B31CA"/>
    <w:rsid w:val="007B399A"/>
    <w:rsid w:val="007B3BEB"/>
    <w:rsid w:val="007B3FB7"/>
    <w:rsid w:val="007B4C8E"/>
    <w:rsid w:val="007B4D52"/>
    <w:rsid w:val="007B51D4"/>
    <w:rsid w:val="007B536B"/>
    <w:rsid w:val="007B5766"/>
    <w:rsid w:val="007B5A06"/>
    <w:rsid w:val="007B5CBD"/>
    <w:rsid w:val="007B66EB"/>
    <w:rsid w:val="007B7244"/>
    <w:rsid w:val="007B7584"/>
    <w:rsid w:val="007B7AF4"/>
    <w:rsid w:val="007B7B12"/>
    <w:rsid w:val="007C0665"/>
    <w:rsid w:val="007C12CE"/>
    <w:rsid w:val="007C17EC"/>
    <w:rsid w:val="007C1C3C"/>
    <w:rsid w:val="007C25E6"/>
    <w:rsid w:val="007C27BA"/>
    <w:rsid w:val="007C33B9"/>
    <w:rsid w:val="007C3B8B"/>
    <w:rsid w:val="007C3FDC"/>
    <w:rsid w:val="007C4115"/>
    <w:rsid w:val="007C44EF"/>
    <w:rsid w:val="007C47CC"/>
    <w:rsid w:val="007C481E"/>
    <w:rsid w:val="007C4C46"/>
    <w:rsid w:val="007C4C8F"/>
    <w:rsid w:val="007C4DC5"/>
    <w:rsid w:val="007C500E"/>
    <w:rsid w:val="007C53DA"/>
    <w:rsid w:val="007C5411"/>
    <w:rsid w:val="007C56F7"/>
    <w:rsid w:val="007C5B12"/>
    <w:rsid w:val="007C5CB3"/>
    <w:rsid w:val="007C5E1C"/>
    <w:rsid w:val="007C6613"/>
    <w:rsid w:val="007C6CAA"/>
    <w:rsid w:val="007C7218"/>
    <w:rsid w:val="007C74A9"/>
    <w:rsid w:val="007C7E83"/>
    <w:rsid w:val="007D0220"/>
    <w:rsid w:val="007D0447"/>
    <w:rsid w:val="007D0AAD"/>
    <w:rsid w:val="007D0DC6"/>
    <w:rsid w:val="007D0F66"/>
    <w:rsid w:val="007D138D"/>
    <w:rsid w:val="007D18C6"/>
    <w:rsid w:val="007D2839"/>
    <w:rsid w:val="007D2BF7"/>
    <w:rsid w:val="007D3508"/>
    <w:rsid w:val="007D39A4"/>
    <w:rsid w:val="007D3B62"/>
    <w:rsid w:val="007D3C39"/>
    <w:rsid w:val="007D3D33"/>
    <w:rsid w:val="007D40EF"/>
    <w:rsid w:val="007D46D5"/>
    <w:rsid w:val="007D498D"/>
    <w:rsid w:val="007D4A02"/>
    <w:rsid w:val="007D4A92"/>
    <w:rsid w:val="007D4CA1"/>
    <w:rsid w:val="007D4D7E"/>
    <w:rsid w:val="007D52D6"/>
    <w:rsid w:val="007D58FC"/>
    <w:rsid w:val="007D60BA"/>
    <w:rsid w:val="007D685B"/>
    <w:rsid w:val="007D689C"/>
    <w:rsid w:val="007D69A1"/>
    <w:rsid w:val="007D6D96"/>
    <w:rsid w:val="007D7132"/>
    <w:rsid w:val="007D78D6"/>
    <w:rsid w:val="007D7AC6"/>
    <w:rsid w:val="007D7C09"/>
    <w:rsid w:val="007D7DE5"/>
    <w:rsid w:val="007E09AE"/>
    <w:rsid w:val="007E0FED"/>
    <w:rsid w:val="007E1044"/>
    <w:rsid w:val="007E194D"/>
    <w:rsid w:val="007E1A36"/>
    <w:rsid w:val="007E1BE4"/>
    <w:rsid w:val="007E1D7C"/>
    <w:rsid w:val="007E2184"/>
    <w:rsid w:val="007E28B6"/>
    <w:rsid w:val="007E2A8E"/>
    <w:rsid w:val="007E3226"/>
    <w:rsid w:val="007E32E6"/>
    <w:rsid w:val="007E33D7"/>
    <w:rsid w:val="007E350A"/>
    <w:rsid w:val="007E3AAE"/>
    <w:rsid w:val="007E3DD2"/>
    <w:rsid w:val="007E4225"/>
    <w:rsid w:val="007E430C"/>
    <w:rsid w:val="007E4A90"/>
    <w:rsid w:val="007E4E8A"/>
    <w:rsid w:val="007E5072"/>
    <w:rsid w:val="007E5322"/>
    <w:rsid w:val="007E619F"/>
    <w:rsid w:val="007E630E"/>
    <w:rsid w:val="007E6439"/>
    <w:rsid w:val="007E65F9"/>
    <w:rsid w:val="007E6765"/>
    <w:rsid w:val="007E6E55"/>
    <w:rsid w:val="007E73B9"/>
    <w:rsid w:val="007E7551"/>
    <w:rsid w:val="007E7596"/>
    <w:rsid w:val="007E7C39"/>
    <w:rsid w:val="007F0BDD"/>
    <w:rsid w:val="007F0E95"/>
    <w:rsid w:val="007F1060"/>
    <w:rsid w:val="007F183F"/>
    <w:rsid w:val="007F2B9D"/>
    <w:rsid w:val="007F3086"/>
    <w:rsid w:val="007F40A7"/>
    <w:rsid w:val="007F4894"/>
    <w:rsid w:val="007F49C7"/>
    <w:rsid w:val="007F5507"/>
    <w:rsid w:val="007F568E"/>
    <w:rsid w:val="007F5731"/>
    <w:rsid w:val="007F5AE1"/>
    <w:rsid w:val="007F5B65"/>
    <w:rsid w:val="007F6585"/>
    <w:rsid w:val="007F6764"/>
    <w:rsid w:val="007F6795"/>
    <w:rsid w:val="007F6A66"/>
    <w:rsid w:val="007F6E1A"/>
    <w:rsid w:val="007F7034"/>
    <w:rsid w:val="007F7036"/>
    <w:rsid w:val="007F7544"/>
    <w:rsid w:val="008000E8"/>
    <w:rsid w:val="00800561"/>
    <w:rsid w:val="00800E1A"/>
    <w:rsid w:val="00801035"/>
    <w:rsid w:val="00801394"/>
    <w:rsid w:val="00801764"/>
    <w:rsid w:val="00801782"/>
    <w:rsid w:val="00801DCA"/>
    <w:rsid w:val="00802150"/>
    <w:rsid w:val="0080229E"/>
    <w:rsid w:val="00802641"/>
    <w:rsid w:val="00802A6E"/>
    <w:rsid w:val="00802DE2"/>
    <w:rsid w:val="008035C6"/>
    <w:rsid w:val="008035FD"/>
    <w:rsid w:val="00804615"/>
    <w:rsid w:val="008049CB"/>
    <w:rsid w:val="00804A61"/>
    <w:rsid w:val="008056A6"/>
    <w:rsid w:val="00805C47"/>
    <w:rsid w:val="0080600D"/>
    <w:rsid w:val="00806439"/>
    <w:rsid w:val="00806568"/>
    <w:rsid w:val="00807490"/>
    <w:rsid w:val="00807D84"/>
    <w:rsid w:val="00810B23"/>
    <w:rsid w:val="00810CC8"/>
    <w:rsid w:val="00810FD0"/>
    <w:rsid w:val="008111C0"/>
    <w:rsid w:val="008120EB"/>
    <w:rsid w:val="008125E7"/>
    <w:rsid w:val="00813985"/>
    <w:rsid w:val="00813AD6"/>
    <w:rsid w:val="00813B29"/>
    <w:rsid w:val="00813C74"/>
    <w:rsid w:val="00813EA9"/>
    <w:rsid w:val="00813F0A"/>
    <w:rsid w:val="00814015"/>
    <w:rsid w:val="00814A2B"/>
    <w:rsid w:val="00814A9D"/>
    <w:rsid w:val="00814B16"/>
    <w:rsid w:val="008153F9"/>
    <w:rsid w:val="0081551F"/>
    <w:rsid w:val="00815683"/>
    <w:rsid w:val="00815A4E"/>
    <w:rsid w:val="00815BF8"/>
    <w:rsid w:val="00815C00"/>
    <w:rsid w:val="00815CB0"/>
    <w:rsid w:val="00816722"/>
    <w:rsid w:val="00816E96"/>
    <w:rsid w:val="00817501"/>
    <w:rsid w:val="00817D77"/>
    <w:rsid w:val="00817DFF"/>
    <w:rsid w:val="00817E13"/>
    <w:rsid w:val="00820140"/>
    <w:rsid w:val="0082068C"/>
    <w:rsid w:val="0082104A"/>
    <w:rsid w:val="008213C6"/>
    <w:rsid w:val="008213E6"/>
    <w:rsid w:val="0082146F"/>
    <w:rsid w:val="008215E7"/>
    <w:rsid w:val="00821629"/>
    <w:rsid w:val="00821897"/>
    <w:rsid w:val="0082190C"/>
    <w:rsid w:val="00821D27"/>
    <w:rsid w:val="00821E13"/>
    <w:rsid w:val="00821F9B"/>
    <w:rsid w:val="0082204F"/>
    <w:rsid w:val="00822558"/>
    <w:rsid w:val="00823763"/>
    <w:rsid w:val="008237D9"/>
    <w:rsid w:val="00823ED3"/>
    <w:rsid w:val="008241A3"/>
    <w:rsid w:val="00824464"/>
    <w:rsid w:val="008245AD"/>
    <w:rsid w:val="008247EE"/>
    <w:rsid w:val="00824B88"/>
    <w:rsid w:val="00824DF9"/>
    <w:rsid w:val="00825679"/>
    <w:rsid w:val="00825EC8"/>
    <w:rsid w:val="00826BBA"/>
    <w:rsid w:val="00826BBB"/>
    <w:rsid w:val="008272C4"/>
    <w:rsid w:val="008275B7"/>
    <w:rsid w:val="008276A0"/>
    <w:rsid w:val="00827A81"/>
    <w:rsid w:val="00827E51"/>
    <w:rsid w:val="0083028B"/>
    <w:rsid w:val="00830926"/>
    <w:rsid w:val="00830C97"/>
    <w:rsid w:val="00830FA0"/>
    <w:rsid w:val="008313D8"/>
    <w:rsid w:val="00831848"/>
    <w:rsid w:val="00831D74"/>
    <w:rsid w:val="00832070"/>
    <w:rsid w:val="0083245C"/>
    <w:rsid w:val="00832B89"/>
    <w:rsid w:val="00833033"/>
    <w:rsid w:val="008334D6"/>
    <w:rsid w:val="00833879"/>
    <w:rsid w:val="0083407F"/>
    <w:rsid w:val="0083419F"/>
    <w:rsid w:val="008344A7"/>
    <w:rsid w:val="00834920"/>
    <w:rsid w:val="00834EF3"/>
    <w:rsid w:val="0083563D"/>
    <w:rsid w:val="00836027"/>
    <w:rsid w:val="008367DB"/>
    <w:rsid w:val="008368BE"/>
    <w:rsid w:val="00836B24"/>
    <w:rsid w:val="00836FA0"/>
    <w:rsid w:val="00836FF9"/>
    <w:rsid w:val="008372D4"/>
    <w:rsid w:val="008376B2"/>
    <w:rsid w:val="00837AF1"/>
    <w:rsid w:val="00837C36"/>
    <w:rsid w:val="00840F24"/>
    <w:rsid w:val="00841B28"/>
    <w:rsid w:val="00841E49"/>
    <w:rsid w:val="00841F0A"/>
    <w:rsid w:val="00842217"/>
    <w:rsid w:val="008429CF"/>
    <w:rsid w:val="00842E1E"/>
    <w:rsid w:val="00843197"/>
    <w:rsid w:val="00843246"/>
    <w:rsid w:val="00843F09"/>
    <w:rsid w:val="0084449D"/>
    <w:rsid w:val="00844575"/>
    <w:rsid w:val="0084479F"/>
    <w:rsid w:val="00844826"/>
    <w:rsid w:val="0084484D"/>
    <w:rsid w:val="0084558F"/>
    <w:rsid w:val="00845C7C"/>
    <w:rsid w:val="00845D4E"/>
    <w:rsid w:val="00845DC5"/>
    <w:rsid w:val="00846426"/>
    <w:rsid w:val="008465CB"/>
    <w:rsid w:val="00846A58"/>
    <w:rsid w:val="00847085"/>
    <w:rsid w:val="00847C1A"/>
    <w:rsid w:val="00847C67"/>
    <w:rsid w:val="008501A6"/>
    <w:rsid w:val="008505D2"/>
    <w:rsid w:val="00850742"/>
    <w:rsid w:val="0085074A"/>
    <w:rsid w:val="008508FC"/>
    <w:rsid w:val="00850CDE"/>
    <w:rsid w:val="00850E4E"/>
    <w:rsid w:val="00850F89"/>
    <w:rsid w:val="0085104B"/>
    <w:rsid w:val="008511AD"/>
    <w:rsid w:val="008511B1"/>
    <w:rsid w:val="00851261"/>
    <w:rsid w:val="008515F6"/>
    <w:rsid w:val="008519AB"/>
    <w:rsid w:val="008522FB"/>
    <w:rsid w:val="0085268A"/>
    <w:rsid w:val="00852B27"/>
    <w:rsid w:val="008531EE"/>
    <w:rsid w:val="00853860"/>
    <w:rsid w:val="008538D9"/>
    <w:rsid w:val="00853CDF"/>
    <w:rsid w:val="00853F54"/>
    <w:rsid w:val="0085572A"/>
    <w:rsid w:val="008557D5"/>
    <w:rsid w:val="00855876"/>
    <w:rsid w:val="00855B63"/>
    <w:rsid w:val="00855E8E"/>
    <w:rsid w:val="00856A4C"/>
    <w:rsid w:val="00857328"/>
    <w:rsid w:val="008577D2"/>
    <w:rsid w:val="00857AC0"/>
    <w:rsid w:val="0086040B"/>
    <w:rsid w:val="008607D4"/>
    <w:rsid w:val="00861775"/>
    <w:rsid w:val="0086177C"/>
    <w:rsid w:val="0086184D"/>
    <w:rsid w:val="00861EEB"/>
    <w:rsid w:val="008626BD"/>
    <w:rsid w:val="00862E8A"/>
    <w:rsid w:val="0086379D"/>
    <w:rsid w:val="00863A34"/>
    <w:rsid w:val="008640A0"/>
    <w:rsid w:val="00864689"/>
    <w:rsid w:val="00864F96"/>
    <w:rsid w:val="00864FA1"/>
    <w:rsid w:val="00865587"/>
    <w:rsid w:val="00866A2F"/>
    <w:rsid w:val="008671FD"/>
    <w:rsid w:val="00867E8B"/>
    <w:rsid w:val="00870007"/>
    <w:rsid w:val="008700B1"/>
    <w:rsid w:val="008707D1"/>
    <w:rsid w:val="00870D1B"/>
    <w:rsid w:val="008716A7"/>
    <w:rsid w:val="00871983"/>
    <w:rsid w:val="00871C2F"/>
    <w:rsid w:val="00871C6A"/>
    <w:rsid w:val="00871DEB"/>
    <w:rsid w:val="0087205E"/>
    <w:rsid w:val="00872103"/>
    <w:rsid w:val="008721DD"/>
    <w:rsid w:val="0087252A"/>
    <w:rsid w:val="0087290D"/>
    <w:rsid w:val="00872955"/>
    <w:rsid w:val="00872AC9"/>
    <w:rsid w:val="00872BF6"/>
    <w:rsid w:val="00872C78"/>
    <w:rsid w:val="00872E3E"/>
    <w:rsid w:val="0087316B"/>
    <w:rsid w:val="00873C95"/>
    <w:rsid w:val="00873F60"/>
    <w:rsid w:val="00874027"/>
    <w:rsid w:val="00874C17"/>
    <w:rsid w:val="00874D4B"/>
    <w:rsid w:val="00874D7E"/>
    <w:rsid w:val="00875046"/>
    <w:rsid w:val="008750E2"/>
    <w:rsid w:val="00875148"/>
    <w:rsid w:val="008755DD"/>
    <w:rsid w:val="00875AD5"/>
    <w:rsid w:val="00875AE0"/>
    <w:rsid w:val="00875BEF"/>
    <w:rsid w:val="00875C11"/>
    <w:rsid w:val="00876113"/>
    <w:rsid w:val="00876EB3"/>
    <w:rsid w:val="00877789"/>
    <w:rsid w:val="00877914"/>
    <w:rsid w:val="00877F20"/>
    <w:rsid w:val="00880061"/>
    <w:rsid w:val="00880372"/>
    <w:rsid w:val="008808B5"/>
    <w:rsid w:val="00880B51"/>
    <w:rsid w:val="00881725"/>
    <w:rsid w:val="008817DF"/>
    <w:rsid w:val="00881925"/>
    <w:rsid w:val="008826FF"/>
    <w:rsid w:val="008828DC"/>
    <w:rsid w:val="00882D2C"/>
    <w:rsid w:val="00882F81"/>
    <w:rsid w:val="0088486E"/>
    <w:rsid w:val="008852E1"/>
    <w:rsid w:val="00885516"/>
    <w:rsid w:val="008856B8"/>
    <w:rsid w:val="00885B10"/>
    <w:rsid w:val="00885CE3"/>
    <w:rsid w:val="00885DF8"/>
    <w:rsid w:val="008867B5"/>
    <w:rsid w:val="00886AE5"/>
    <w:rsid w:val="00887247"/>
    <w:rsid w:val="00887557"/>
    <w:rsid w:val="008878A5"/>
    <w:rsid w:val="00887C8E"/>
    <w:rsid w:val="00887D6D"/>
    <w:rsid w:val="00887E80"/>
    <w:rsid w:val="00890131"/>
    <w:rsid w:val="00890495"/>
    <w:rsid w:val="008906FB"/>
    <w:rsid w:val="00890F80"/>
    <w:rsid w:val="0089111F"/>
    <w:rsid w:val="0089117A"/>
    <w:rsid w:val="008911DC"/>
    <w:rsid w:val="0089158C"/>
    <w:rsid w:val="00891708"/>
    <w:rsid w:val="00891747"/>
    <w:rsid w:val="00891C4E"/>
    <w:rsid w:val="00891CCA"/>
    <w:rsid w:val="00891F51"/>
    <w:rsid w:val="00891F7D"/>
    <w:rsid w:val="00892877"/>
    <w:rsid w:val="00892969"/>
    <w:rsid w:val="00892CF5"/>
    <w:rsid w:val="00892F7B"/>
    <w:rsid w:val="00893949"/>
    <w:rsid w:val="008939F8"/>
    <w:rsid w:val="00893F25"/>
    <w:rsid w:val="008943B4"/>
    <w:rsid w:val="00894C17"/>
    <w:rsid w:val="00894FC5"/>
    <w:rsid w:val="008950F0"/>
    <w:rsid w:val="00895239"/>
    <w:rsid w:val="00895DCD"/>
    <w:rsid w:val="00895ED1"/>
    <w:rsid w:val="0089642F"/>
    <w:rsid w:val="00896708"/>
    <w:rsid w:val="00896AB4"/>
    <w:rsid w:val="00896EF3"/>
    <w:rsid w:val="008970E4"/>
    <w:rsid w:val="00897ED3"/>
    <w:rsid w:val="008A02FA"/>
    <w:rsid w:val="008A0381"/>
    <w:rsid w:val="008A058F"/>
    <w:rsid w:val="008A07CB"/>
    <w:rsid w:val="008A07EB"/>
    <w:rsid w:val="008A0C19"/>
    <w:rsid w:val="008A1142"/>
    <w:rsid w:val="008A1287"/>
    <w:rsid w:val="008A140C"/>
    <w:rsid w:val="008A1489"/>
    <w:rsid w:val="008A19EA"/>
    <w:rsid w:val="008A1A2F"/>
    <w:rsid w:val="008A1AD3"/>
    <w:rsid w:val="008A1D45"/>
    <w:rsid w:val="008A1F9E"/>
    <w:rsid w:val="008A282D"/>
    <w:rsid w:val="008A3473"/>
    <w:rsid w:val="008A3B46"/>
    <w:rsid w:val="008A409B"/>
    <w:rsid w:val="008A41F9"/>
    <w:rsid w:val="008A4B4A"/>
    <w:rsid w:val="008A4CA6"/>
    <w:rsid w:val="008A5364"/>
    <w:rsid w:val="008A53B7"/>
    <w:rsid w:val="008A5592"/>
    <w:rsid w:val="008A6EE2"/>
    <w:rsid w:val="008A700D"/>
    <w:rsid w:val="008A72D8"/>
    <w:rsid w:val="008A735B"/>
    <w:rsid w:val="008A7CC1"/>
    <w:rsid w:val="008A7E68"/>
    <w:rsid w:val="008B044F"/>
    <w:rsid w:val="008B1712"/>
    <w:rsid w:val="008B1793"/>
    <w:rsid w:val="008B1AB0"/>
    <w:rsid w:val="008B1CFC"/>
    <w:rsid w:val="008B2150"/>
    <w:rsid w:val="008B221B"/>
    <w:rsid w:val="008B24E1"/>
    <w:rsid w:val="008B26B3"/>
    <w:rsid w:val="008B3451"/>
    <w:rsid w:val="008B3758"/>
    <w:rsid w:val="008B3F0D"/>
    <w:rsid w:val="008B40EA"/>
    <w:rsid w:val="008B490B"/>
    <w:rsid w:val="008B5058"/>
    <w:rsid w:val="008B596F"/>
    <w:rsid w:val="008B59DE"/>
    <w:rsid w:val="008B5C2D"/>
    <w:rsid w:val="008B6613"/>
    <w:rsid w:val="008B67B8"/>
    <w:rsid w:val="008B6BA6"/>
    <w:rsid w:val="008C003A"/>
    <w:rsid w:val="008C0250"/>
    <w:rsid w:val="008C0307"/>
    <w:rsid w:val="008C038A"/>
    <w:rsid w:val="008C0646"/>
    <w:rsid w:val="008C07D8"/>
    <w:rsid w:val="008C08B6"/>
    <w:rsid w:val="008C0A7C"/>
    <w:rsid w:val="008C11A8"/>
    <w:rsid w:val="008C137A"/>
    <w:rsid w:val="008C14A5"/>
    <w:rsid w:val="008C1765"/>
    <w:rsid w:val="008C1B15"/>
    <w:rsid w:val="008C1CFF"/>
    <w:rsid w:val="008C1EB1"/>
    <w:rsid w:val="008C31B3"/>
    <w:rsid w:val="008C389E"/>
    <w:rsid w:val="008C3B48"/>
    <w:rsid w:val="008C3C73"/>
    <w:rsid w:val="008C47C2"/>
    <w:rsid w:val="008C4A11"/>
    <w:rsid w:val="008C531A"/>
    <w:rsid w:val="008C555A"/>
    <w:rsid w:val="008C56B0"/>
    <w:rsid w:val="008C5D8B"/>
    <w:rsid w:val="008C5DE0"/>
    <w:rsid w:val="008C66AE"/>
    <w:rsid w:val="008C6C6B"/>
    <w:rsid w:val="008C6FD6"/>
    <w:rsid w:val="008C71F0"/>
    <w:rsid w:val="008C738C"/>
    <w:rsid w:val="008C744C"/>
    <w:rsid w:val="008C74E0"/>
    <w:rsid w:val="008C7BDE"/>
    <w:rsid w:val="008D0DED"/>
    <w:rsid w:val="008D1336"/>
    <w:rsid w:val="008D15F7"/>
    <w:rsid w:val="008D17DE"/>
    <w:rsid w:val="008D1A82"/>
    <w:rsid w:val="008D1C34"/>
    <w:rsid w:val="008D1D17"/>
    <w:rsid w:val="008D2BD3"/>
    <w:rsid w:val="008D2E07"/>
    <w:rsid w:val="008D3ACE"/>
    <w:rsid w:val="008D4983"/>
    <w:rsid w:val="008D520C"/>
    <w:rsid w:val="008D5296"/>
    <w:rsid w:val="008D52A2"/>
    <w:rsid w:val="008D5444"/>
    <w:rsid w:val="008D5503"/>
    <w:rsid w:val="008D5710"/>
    <w:rsid w:val="008D59FF"/>
    <w:rsid w:val="008D5ABE"/>
    <w:rsid w:val="008D5EB0"/>
    <w:rsid w:val="008D5F55"/>
    <w:rsid w:val="008D62C1"/>
    <w:rsid w:val="008D645B"/>
    <w:rsid w:val="008D665C"/>
    <w:rsid w:val="008D668F"/>
    <w:rsid w:val="008D69BA"/>
    <w:rsid w:val="008D7094"/>
    <w:rsid w:val="008D71F8"/>
    <w:rsid w:val="008D78B6"/>
    <w:rsid w:val="008D7967"/>
    <w:rsid w:val="008D7ADB"/>
    <w:rsid w:val="008D7B4C"/>
    <w:rsid w:val="008E0449"/>
    <w:rsid w:val="008E0922"/>
    <w:rsid w:val="008E0CDE"/>
    <w:rsid w:val="008E148D"/>
    <w:rsid w:val="008E1E68"/>
    <w:rsid w:val="008E23B1"/>
    <w:rsid w:val="008E2744"/>
    <w:rsid w:val="008E296F"/>
    <w:rsid w:val="008E2B8D"/>
    <w:rsid w:val="008E3732"/>
    <w:rsid w:val="008E45B3"/>
    <w:rsid w:val="008E4979"/>
    <w:rsid w:val="008E4B62"/>
    <w:rsid w:val="008E55C1"/>
    <w:rsid w:val="008E5656"/>
    <w:rsid w:val="008E5705"/>
    <w:rsid w:val="008E5C10"/>
    <w:rsid w:val="008E60F4"/>
    <w:rsid w:val="008E65D4"/>
    <w:rsid w:val="008E66D1"/>
    <w:rsid w:val="008E68BB"/>
    <w:rsid w:val="008E698E"/>
    <w:rsid w:val="008E6DE2"/>
    <w:rsid w:val="008E700D"/>
    <w:rsid w:val="008E7434"/>
    <w:rsid w:val="008E7F45"/>
    <w:rsid w:val="008F089F"/>
    <w:rsid w:val="008F0C36"/>
    <w:rsid w:val="008F1BA5"/>
    <w:rsid w:val="008F1F8E"/>
    <w:rsid w:val="008F2E16"/>
    <w:rsid w:val="008F3181"/>
    <w:rsid w:val="008F3931"/>
    <w:rsid w:val="008F3C2E"/>
    <w:rsid w:val="008F40CF"/>
    <w:rsid w:val="008F4549"/>
    <w:rsid w:val="008F480A"/>
    <w:rsid w:val="008F588C"/>
    <w:rsid w:val="008F5A84"/>
    <w:rsid w:val="008F5CFC"/>
    <w:rsid w:val="008F642B"/>
    <w:rsid w:val="008F661D"/>
    <w:rsid w:val="008F6723"/>
    <w:rsid w:val="008F6A0D"/>
    <w:rsid w:val="008F6D42"/>
    <w:rsid w:val="008F6DB6"/>
    <w:rsid w:val="008F6F9A"/>
    <w:rsid w:val="008F7D19"/>
    <w:rsid w:val="008F7E86"/>
    <w:rsid w:val="009001FC"/>
    <w:rsid w:val="0090027F"/>
    <w:rsid w:val="009004C2"/>
    <w:rsid w:val="009010EC"/>
    <w:rsid w:val="009011C4"/>
    <w:rsid w:val="00901455"/>
    <w:rsid w:val="00901640"/>
    <w:rsid w:val="00901682"/>
    <w:rsid w:val="00901B6B"/>
    <w:rsid w:val="00901B9F"/>
    <w:rsid w:val="009023F0"/>
    <w:rsid w:val="0090275F"/>
    <w:rsid w:val="00902E37"/>
    <w:rsid w:val="009031B6"/>
    <w:rsid w:val="009036A9"/>
    <w:rsid w:val="0090400E"/>
    <w:rsid w:val="009045A0"/>
    <w:rsid w:val="00904D69"/>
    <w:rsid w:val="00904DEA"/>
    <w:rsid w:val="00904E64"/>
    <w:rsid w:val="00904F1A"/>
    <w:rsid w:val="00905B04"/>
    <w:rsid w:val="00905B5E"/>
    <w:rsid w:val="00905D60"/>
    <w:rsid w:val="00906151"/>
    <w:rsid w:val="009068C7"/>
    <w:rsid w:val="00906CB9"/>
    <w:rsid w:val="00906CDA"/>
    <w:rsid w:val="00906FF8"/>
    <w:rsid w:val="0090764F"/>
    <w:rsid w:val="00907657"/>
    <w:rsid w:val="009105D4"/>
    <w:rsid w:val="00910824"/>
    <w:rsid w:val="00910964"/>
    <w:rsid w:val="00910CEF"/>
    <w:rsid w:val="00911692"/>
    <w:rsid w:val="00911AA5"/>
    <w:rsid w:val="00911EA2"/>
    <w:rsid w:val="0091225C"/>
    <w:rsid w:val="0091251F"/>
    <w:rsid w:val="00912700"/>
    <w:rsid w:val="00912990"/>
    <w:rsid w:val="00912E59"/>
    <w:rsid w:val="00912EE1"/>
    <w:rsid w:val="009132DE"/>
    <w:rsid w:val="009134E1"/>
    <w:rsid w:val="009134FE"/>
    <w:rsid w:val="009137DD"/>
    <w:rsid w:val="00913805"/>
    <w:rsid w:val="00913B0F"/>
    <w:rsid w:val="00913EE8"/>
    <w:rsid w:val="00913F79"/>
    <w:rsid w:val="009149B9"/>
    <w:rsid w:val="00915226"/>
    <w:rsid w:val="0091528D"/>
    <w:rsid w:val="00915A09"/>
    <w:rsid w:val="00915B5F"/>
    <w:rsid w:val="00915DD2"/>
    <w:rsid w:val="0091606E"/>
    <w:rsid w:val="009162E4"/>
    <w:rsid w:val="009166F7"/>
    <w:rsid w:val="00916780"/>
    <w:rsid w:val="009167BE"/>
    <w:rsid w:val="00916AD5"/>
    <w:rsid w:val="00916FDE"/>
    <w:rsid w:val="0091765A"/>
    <w:rsid w:val="00917712"/>
    <w:rsid w:val="00917941"/>
    <w:rsid w:val="00917B1B"/>
    <w:rsid w:val="00917FED"/>
    <w:rsid w:val="00920016"/>
    <w:rsid w:val="00920DFF"/>
    <w:rsid w:val="009211AC"/>
    <w:rsid w:val="00921280"/>
    <w:rsid w:val="00921538"/>
    <w:rsid w:val="009215E6"/>
    <w:rsid w:val="00921903"/>
    <w:rsid w:val="00921E57"/>
    <w:rsid w:val="009220B0"/>
    <w:rsid w:val="0092242E"/>
    <w:rsid w:val="0092274D"/>
    <w:rsid w:val="009228CB"/>
    <w:rsid w:val="00922C59"/>
    <w:rsid w:val="00923345"/>
    <w:rsid w:val="00923ADD"/>
    <w:rsid w:val="00923CE3"/>
    <w:rsid w:val="0092413D"/>
    <w:rsid w:val="00924302"/>
    <w:rsid w:val="0092450D"/>
    <w:rsid w:val="0092481F"/>
    <w:rsid w:val="00924912"/>
    <w:rsid w:val="00925208"/>
    <w:rsid w:val="009264E6"/>
    <w:rsid w:val="00926AF3"/>
    <w:rsid w:val="00926B12"/>
    <w:rsid w:val="00927D8D"/>
    <w:rsid w:val="00927FFB"/>
    <w:rsid w:val="00930865"/>
    <w:rsid w:val="0093086B"/>
    <w:rsid w:val="00930E5D"/>
    <w:rsid w:val="00931021"/>
    <w:rsid w:val="0093130A"/>
    <w:rsid w:val="00931ED0"/>
    <w:rsid w:val="0093203A"/>
    <w:rsid w:val="0093249A"/>
    <w:rsid w:val="00932A73"/>
    <w:rsid w:val="00932AC4"/>
    <w:rsid w:val="00932B72"/>
    <w:rsid w:val="009337B6"/>
    <w:rsid w:val="009338C1"/>
    <w:rsid w:val="00933E1A"/>
    <w:rsid w:val="00933ED5"/>
    <w:rsid w:val="00933EEA"/>
    <w:rsid w:val="00933F30"/>
    <w:rsid w:val="009343C3"/>
    <w:rsid w:val="00934430"/>
    <w:rsid w:val="009344DC"/>
    <w:rsid w:val="00934528"/>
    <w:rsid w:val="009346EB"/>
    <w:rsid w:val="00935051"/>
    <w:rsid w:val="009353B6"/>
    <w:rsid w:val="0093540B"/>
    <w:rsid w:val="00935979"/>
    <w:rsid w:val="00935B55"/>
    <w:rsid w:val="00935CBA"/>
    <w:rsid w:val="009362AB"/>
    <w:rsid w:val="009371DC"/>
    <w:rsid w:val="00937239"/>
    <w:rsid w:val="0093767B"/>
    <w:rsid w:val="00937918"/>
    <w:rsid w:val="00940087"/>
    <w:rsid w:val="009409F8"/>
    <w:rsid w:val="00940B9C"/>
    <w:rsid w:val="00940BE6"/>
    <w:rsid w:val="00940DBF"/>
    <w:rsid w:val="00940FC4"/>
    <w:rsid w:val="009410A3"/>
    <w:rsid w:val="009412BD"/>
    <w:rsid w:val="009412ED"/>
    <w:rsid w:val="009413F5"/>
    <w:rsid w:val="009413F7"/>
    <w:rsid w:val="00941ECE"/>
    <w:rsid w:val="00941FDC"/>
    <w:rsid w:val="00942478"/>
    <w:rsid w:val="0094353F"/>
    <w:rsid w:val="009438B6"/>
    <w:rsid w:val="00943B6A"/>
    <w:rsid w:val="00944B6C"/>
    <w:rsid w:val="00945CCE"/>
    <w:rsid w:val="00946032"/>
    <w:rsid w:val="0094641D"/>
    <w:rsid w:val="00946B89"/>
    <w:rsid w:val="00946C78"/>
    <w:rsid w:val="00946C99"/>
    <w:rsid w:val="00947929"/>
    <w:rsid w:val="00947941"/>
    <w:rsid w:val="00947983"/>
    <w:rsid w:val="009503E4"/>
    <w:rsid w:val="00950652"/>
    <w:rsid w:val="00950BF6"/>
    <w:rsid w:val="00950DA4"/>
    <w:rsid w:val="00950ED1"/>
    <w:rsid w:val="00950FD8"/>
    <w:rsid w:val="00950FE9"/>
    <w:rsid w:val="009513C7"/>
    <w:rsid w:val="00951D4A"/>
    <w:rsid w:val="00951D4E"/>
    <w:rsid w:val="00951E25"/>
    <w:rsid w:val="00951FC9"/>
    <w:rsid w:val="009521F4"/>
    <w:rsid w:val="009522D7"/>
    <w:rsid w:val="0095233C"/>
    <w:rsid w:val="0095242A"/>
    <w:rsid w:val="00952D1F"/>
    <w:rsid w:val="0095303B"/>
    <w:rsid w:val="0095319E"/>
    <w:rsid w:val="00953A72"/>
    <w:rsid w:val="00953CA5"/>
    <w:rsid w:val="0095420B"/>
    <w:rsid w:val="0095451F"/>
    <w:rsid w:val="00954702"/>
    <w:rsid w:val="00954D4B"/>
    <w:rsid w:val="0095509E"/>
    <w:rsid w:val="00955B95"/>
    <w:rsid w:val="00956271"/>
    <w:rsid w:val="00956448"/>
    <w:rsid w:val="00956655"/>
    <w:rsid w:val="009573B0"/>
    <w:rsid w:val="0095741E"/>
    <w:rsid w:val="00957A1D"/>
    <w:rsid w:val="0096020C"/>
    <w:rsid w:val="009603AD"/>
    <w:rsid w:val="00961B1E"/>
    <w:rsid w:val="0096215F"/>
    <w:rsid w:val="009622F2"/>
    <w:rsid w:val="0096255C"/>
    <w:rsid w:val="0096268D"/>
    <w:rsid w:val="0096299F"/>
    <w:rsid w:val="00963056"/>
    <w:rsid w:val="0096316B"/>
    <w:rsid w:val="00963245"/>
    <w:rsid w:val="00963567"/>
    <w:rsid w:val="00963A7E"/>
    <w:rsid w:val="00963C10"/>
    <w:rsid w:val="00963E4A"/>
    <w:rsid w:val="00964242"/>
    <w:rsid w:val="00964789"/>
    <w:rsid w:val="00964D85"/>
    <w:rsid w:val="00965578"/>
    <w:rsid w:val="0096560E"/>
    <w:rsid w:val="00965A4F"/>
    <w:rsid w:val="00965A62"/>
    <w:rsid w:val="00966715"/>
    <w:rsid w:val="009667CB"/>
    <w:rsid w:val="009667DA"/>
    <w:rsid w:val="00966955"/>
    <w:rsid w:val="00966BD5"/>
    <w:rsid w:val="00966BE8"/>
    <w:rsid w:val="00966E50"/>
    <w:rsid w:val="00967271"/>
    <w:rsid w:val="00967309"/>
    <w:rsid w:val="0096793E"/>
    <w:rsid w:val="00967BEE"/>
    <w:rsid w:val="00967D65"/>
    <w:rsid w:val="00967FEC"/>
    <w:rsid w:val="009702A3"/>
    <w:rsid w:val="0097088D"/>
    <w:rsid w:val="00970BA9"/>
    <w:rsid w:val="00971705"/>
    <w:rsid w:val="00971794"/>
    <w:rsid w:val="00971E1D"/>
    <w:rsid w:val="0097305C"/>
    <w:rsid w:val="009732AD"/>
    <w:rsid w:val="009738E4"/>
    <w:rsid w:val="00973C8F"/>
    <w:rsid w:val="00973E47"/>
    <w:rsid w:val="0097546A"/>
    <w:rsid w:val="009754F2"/>
    <w:rsid w:val="00976238"/>
    <w:rsid w:val="00976346"/>
    <w:rsid w:val="009767EA"/>
    <w:rsid w:val="00976BE8"/>
    <w:rsid w:val="00977182"/>
    <w:rsid w:val="00977388"/>
    <w:rsid w:val="009775FD"/>
    <w:rsid w:val="009776D5"/>
    <w:rsid w:val="0097788A"/>
    <w:rsid w:val="00977ADA"/>
    <w:rsid w:val="00977D2C"/>
    <w:rsid w:val="00980118"/>
    <w:rsid w:val="009804A8"/>
    <w:rsid w:val="00980A28"/>
    <w:rsid w:val="00980E70"/>
    <w:rsid w:val="0098164D"/>
    <w:rsid w:val="00981CD9"/>
    <w:rsid w:val="009820DC"/>
    <w:rsid w:val="00982261"/>
    <w:rsid w:val="00982ACE"/>
    <w:rsid w:val="00982EE0"/>
    <w:rsid w:val="0098334A"/>
    <w:rsid w:val="009835FC"/>
    <w:rsid w:val="0098409B"/>
    <w:rsid w:val="00985963"/>
    <w:rsid w:val="00985A2F"/>
    <w:rsid w:val="00985F12"/>
    <w:rsid w:val="00986065"/>
    <w:rsid w:val="009868C4"/>
    <w:rsid w:val="00986ED8"/>
    <w:rsid w:val="00987072"/>
    <w:rsid w:val="009875D4"/>
    <w:rsid w:val="00987A19"/>
    <w:rsid w:val="00990139"/>
    <w:rsid w:val="009907FF"/>
    <w:rsid w:val="00990E34"/>
    <w:rsid w:val="00990E81"/>
    <w:rsid w:val="0099144E"/>
    <w:rsid w:val="009915C4"/>
    <w:rsid w:val="009921AB"/>
    <w:rsid w:val="00992D0B"/>
    <w:rsid w:val="00993360"/>
    <w:rsid w:val="009934D1"/>
    <w:rsid w:val="00993A57"/>
    <w:rsid w:val="00993E5E"/>
    <w:rsid w:val="009941A8"/>
    <w:rsid w:val="00994351"/>
    <w:rsid w:val="00994485"/>
    <w:rsid w:val="00994667"/>
    <w:rsid w:val="00994785"/>
    <w:rsid w:val="00994A31"/>
    <w:rsid w:val="00994A62"/>
    <w:rsid w:val="00995017"/>
    <w:rsid w:val="00995128"/>
    <w:rsid w:val="00995BA0"/>
    <w:rsid w:val="00995C8A"/>
    <w:rsid w:val="00995D62"/>
    <w:rsid w:val="00995E0A"/>
    <w:rsid w:val="00996032"/>
    <w:rsid w:val="009969C4"/>
    <w:rsid w:val="00997142"/>
    <w:rsid w:val="00997D10"/>
    <w:rsid w:val="009A05B5"/>
    <w:rsid w:val="009A0BD2"/>
    <w:rsid w:val="009A0E5A"/>
    <w:rsid w:val="009A0E75"/>
    <w:rsid w:val="009A0F16"/>
    <w:rsid w:val="009A104B"/>
    <w:rsid w:val="009A158C"/>
    <w:rsid w:val="009A171E"/>
    <w:rsid w:val="009A19E0"/>
    <w:rsid w:val="009A2317"/>
    <w:rsid w:val="009A2847"/>
    <w:rsid w:val="009A2D7A"/>
    <w:rsid w:val="009A2DF1"/>
    <w:rsid w:val="009A3002"/>
    <w:rsid w:val="009A308F"/>
    <w:rsid w:val="009A392B"/>
    <w:rsid w:val="009A3F72"/>
    <w:rsid w:val="009A42BD"/>
    <w:rsid w:val="009A451F"/>
    <w:rsid w:val="009A4DE5"/>
    <w:rsid w:val="009A50D0"/>
    <w:rsid w:val="009A51A3"/>
    <w:rsid w:val="009A5587"/>
    <w:rsid w:val="009A5F9E"/>
    <w:rsid w:val="009A6012"/>
    <w:rsid w:val="009A606A"/>
    <w:rsid w:val="009A63F2"/>
    <w:rsid w:val="009A6683"/>
    <w:rsid w:val="009A6D8D"/>
    <w:rsid w:val="009A6E09"/>
    <w:rsid w:val="009A77EC"/>
    <w:rsid w:val="009A7C5C"/>
    <w:rsid w:val="009B1025"/>
    <w:rsid w:val="009B17EF"/>
    <w:rsid w:val="009B196E"/>
    <w:rsid w:val="009B1D05"/>
    <w:rsid w:val="009B1F54"/>
    <w:rsid w:val="009B220F"/>
    <w:rsid w:val="009B2839"/>
    <w:rsid w:val="009B2D23"/>
    <w:rsid w:val="009B334A"/>
    <w:rsid w:val="009B33CC"/>
    <w:rsid w:val="009B33E5"/>
    <w:rsid w:val="009B35EF"/>
    <w:rsid w:val="009B3650"/>
    <w:rsid w:val="009B368D"/>
    <w:rsid w:val="009B3C1B"/>
    <w:rsid w:val="009B3E38"/>
    <w:rsid w:val="009B3FC8"/>
    <w:rsid w:val="009B4595"/>
    <w:rsid w:val="009B4A76"/>
    <w:rsid w:val="009B509D"/>
    <w:rsid w:val="009B5DD6"/>
    <w:rsid w:val="009B65C3"/>
    <w:rsid w:val="009B72D6"/>
    <w:rsid w:val="009C030A"/>
    <w:rsid w:val="009C0430"/>
    <w:rsid w:val="009C0594"/>
    <w:rsid w:val="009C0A1B"/>
    <w:rsid w:val="009C1459"/>
    <w:rsid w:val="009C1706"/>
    <w:rsid w:val="009C191A"/>
    <w:rsid w:val="009C1C64"/>
    <w:rsid w:val="009C23CE"/>
    <w:rsid w:val="009C262D"/>
    <w:rsid w:val="009C270E"/>
    <w:rsid w:val="009C2EDB"/>
    <w:rsid w:val="009C32E0"/>
    <w:rsid w:val="009C37DD"/>
    <w:rsid w:val="009C39F0"/>
    <w:rsid w:val="009C3D1F"/>
    <w:rsid w:val="009C44BB"/>
    <w:rsid w:val="009C50D4"/>
    <w:rsid w:val="009C50F9"/>
    <w:rsid w:val="009C5126"/>
    <w:rsid w:val="009C5672"/>
    <w:rsid w:val="009C659A"/>
    <w:rsid w:val="009C6A45"/>
    <w:rsid w:val="009C79BA"/>
    <w:rsid w:val="009C7CEC"/>
    <w:rsid w:val="009C7D4E"/>
    <w:rsid w:val="009D005B"/>
    <w:rsid w:val="009D00F6"/>
    <w:rsid w:val="009D032C"/>
    <w:rsid w:val="009D1078"/>
    <w:rsid w:val="009D16D9"/>
    <w:rsid w:val="009D1811"/>
    <w:rsid w:val="009D19E9"/>
    <w:rsid w:val="009D1C3C"/>
    <w:rsid w:val="009D1D06"/>
    <w:rsid w:val="009D1E61"/>
    <w:rsid w:val="009D2147"/>
    <w:rsid w:val="009D2542"/>
    <w:rsid w:val="009D2736"/>
    <w:rsid w:val="009D27B1"/>
    <w:rsid w:val="009D2D78"/>
    <w:rsid w:val="009D4310"/>
    <w:rsid w:val="009D4895"/>
    <w:rsid w:val="009D4BEA"/>
    <w:rsid w:val="009D4C95"/>
    <w:rsid w:val="009D4EFD"/>
    <w:rsid w:val="009D531E"/>
    <w:rsid w:val="009D5354"/>
    <w:rsid w:val="009D5568"/>
    <w:rsid w:val="009D657B"/>
    <w:rsid w:val="009D75F9"/>
    <w:rsid w:val="009D7E58"/>
    <w:rsid w:val="009D7EA6"/>
    <w:rsid w:val="009E028B"/>
    <w:rsid w:val="009E0762"/>
    <w:rsid w:val="009E0A96"/>
    <w:rsid w:val="009E0D71"/>
    <w:rsid w:val="009E12BF"/>
    <w:rsid w:val="009E18B0"/>
    <w:rsid w:val="009E19A5"/>
    <w:rsid w:val="009E19AD"/>
    <w:rsid w:val="009E19E9"/>
    <w:rsid w:val="009E1D31"/>
    <w:rsid w:val="009E1EBC"/>
    <w:rsid w:val="009E1F7A"/>
    <w:rsid w:val="009E312F"/>
    <w:rsid w:val="009E3C34"/>
    <w:rsid w:val="009E3FA7"/>
    <w:rsid w:val="009E4256"/>
    <w:rsid w:val="009E4981"/>
    <w:rsid w:val="009E4B39"/>
    <w:rsid w:val="009E4D0A"/>
    <w:rsid w:val="009E52E2"/>
    <w:rsid w:val="009E548A"/>
    <w:rsid w:val="009E5B28"/>
    <w:rsid w:val="009E5D41"/>
    <w:rsid w:val="009E628E"/>
    <w:rsid w:val="009E642F"/>
    <w:rsid w:val="009E6559"/>
    <w:rsid w:val="009E68B1"/>
    <w:rsid w:val="009E7296"/>
    <w:rsid w:val="009E7B01"/>
    <w:rsid w:val="009E7BA1"/>
    <w:rsid w:val="009F0392"/>
    <w:rsid w:val="009F066F"/>
    <w:rsid w:val="009F0886"/>
    <w:rsid w:val="009F0B47"/>
    <w:rsid w:val="009F1025"/>
    <w:rsid w:val="009F269D"/>
    <w:rsid w:val="009F26DA"/>
    <w:rsid w:val="009F2747"/>
    <w:rsid w:val="009F2845"/>
    <w:rsid w:val="009F2AD0"/>
    <w:rsid w:val="009F321D"/>
    <w:rsid w:val="009F347C"/>
    <w:rsid w:val="009F37D7"/>
    <w:rsid w:val="009F3C77"/>
    <w:rsid w:val="009F3CEE"/>
    <w:rsid w:val="009F4112"/>
    <w:rsid w:val="009F4BC3"/>
    <w:rsid w:val="009F50CA"/>
    <w:rsid w:val="009F53B9"/>
    <w:rsid w:val="009F540E"/>
    <w:rsid w:val="009F55E3"/>
    <w:rsid w:val="009F59DE"/>
    <w:rsid w:val="009F5B2C"/>
    <w:rsid w:val="009F5D01"/>
    <w:rsid w:val="009F6022"/>
    <w:rsid w:val="009F61EE"/>
    <w:rsid w:val="009F6261"/>
    <w:rsid w:val="009F6994"/>
    <w:rsid w:val="009F6B82"/>
    <w:rsid w:val="009F6E08"/>
    <w:rsid w:val="009F705A"/>
    <w:rsid w:val="009F71AE"/>
    <w:rsid w:val="009F79ED"/>
    <w:rsid w:val="009F7E6F"/>
    <w:rsid w:val="00A00243"/>
    <w:rsid w:val="00A007DE"/>
    <w:rsid w:val="00A00FE0"/>
    <w:rsid w:val="00A010BE"/>
    <w:rsid w:val="00A018EF"/>
    <w:rsid w:val="00A0222C"/>
    <w:rsid w:val="00A031B6"/>
    <w:rsid w:val="00A03335"/>
    <w:rsid w:val="00A035C3"/>
    <w:rsid w:val="00A03B64"/>
    <w:rsid w:val="00A03BA4"/>
    <w:rsid w:val="00A042F8"/>
    <w:rsid w:val="00A043BB"/>
    <w:rsid w:val="00A04508"/>
    <w:rsid w:val="00A0472E"/>
    <w:rsid w:val="00A0488D"/>
    <w:rsid w:val="00A0495C"/>
    <w:rsid w:val="00A04A40"/>
    <w:rsid w:val="00A04E75"/>
    <w:rsid w:val="00A04F1A"/>
    <w:rsid w:val="00A052D0"/>
    <w:rsid w:val="00A05992"/>
    <w:rsid w:val="00A05E88"/>
    <w:rsid w:val="00A06AA3"/>
    <w:rsid w:val="00A06DA4"/>
    <w:rsid w:val="00A10554"/>
    <w:rsid w:val="00A109D6"/>
    <w:rsid w:val="00A10F09"/>
    <w:rsid w:val="00A113D5"/>
    <w:rsid w:val="00A12CE3"/>
    <w:rsid w:val="00A12E4C"/>
    <w:rsid w:val="00A12E52"/>
    <w:rsid w:val="00A13A94"/>
    <w:rsid w:val="00A13C3F"/>
    <w:rsid w:val="00A13C53"/>
    <w:rsid w:val="00A13C8C"/>
    <w:rsid w:val="00A14106"/>
    <w:rsid w:val="00A1424F"/>
    <w:rsid w:val="00A14309"/>
    <w:rsid w:val="00A14D34"/>
    <w:rsid w:val="00A15474"/>
    <w:rsid w:val="00A15A1D"/>
    <w:rsid w:val="00A15F04"/>
    <w:rsid w:val="00A15FA6"/>
    <w:rsid w:val="00A1625B"/>
    <w:rsid w:val="00A16A0C"/>
    <w:rsid w:val="00A16C5A"/>
    <w:rsid w:val="00A16C7E"/>
    <w:rsid w:val="00A16E37"/>
    <w:rsid w:val="00A16E86"/>
    <w:rsid w:val="00A16F22"/>
    <w:rsid w:val="00A172BB"/>
    <w:rsid w:val="00A1788B"/>
    <w:rsid w:val="00A17C21"/>
    <w:rsid w:val="00A17C77"/>
    <w:rsid w:val="00A17EDD"/>
    <w:rsid w:val="00A20525"/>
    <w:rsid w:val="00A206F2"/>
    <w:rsid w:val="00A2085A"/>
    <w:rsid w:val="00A20C57"/>
    <w:rsid w:val="00A20CE8"/>
    <w:rsid w:val="00A21225"/>
    <w:rsid w:val="00A225C5"/>
    <w:rsid w:val="00A227E1"/>
    <w:rsid w:val="00A22AAF"/>
    <w:rsid w:val="00A2349E"/>
    <w:rsid w:val="00A2352E"/>
    <w:rsid w:val="00A237A8"/>
    <w:rsid w:val="00A23F99"/>
    <w:rsid w:val="00A24128"/>
    <w:rsid w:val="00A244BC"/>
    <w:rsid w:val="00A24546"/>
    <w:rsid w:val="00A2493D"/>
    <w:rsid w:val="00A24E1E"/>
    <w:rsid w:val="00A24F3C"/>
    <w:rsid w:val="00A25AAA"/>
    <w:rsid w:val="00A25D90"/>
    <w:rsid w:val="00A25EC0"/>
    <w:rsid w:val="00A266F7"/>
    <w:rsid w:val="00A267A3"/>
    <w:rsid w:val="00A27263"/>
    <w:rsid w:val="00A27525"/>
    <w:rsid w:val="00A276A0"/>
    <w:rsid w:val="00A277CB"/>
    <w:rsid w:val="00A2794C"/>
    <w:rsid w:val="00A309F3"/>
    <w:rsid w:val="00A310B8"/>
    <w:rsid w:val="00A310E6"/>
    <w:rsid w:val="00A32179"/>
    <w:rsid w:val="00A3238E"/>
    <w:rsid w:val="00A324B8"/>
    <w:rsid w:val="00A32581"/>
    <w:rsid w:val="00A32A68"/>
    <w:rsid w:val="00A32EDA"/>
    <w:rsid w:val="00A335A9"/>
    <w:rsid w:val="00A338E5"/>
    <w:rsid w:val="00A339D9"/>
    <w:rsid w:val="00A33C3C"/>
    <w:rsid w:val="00A33E02"/>
    <w:rsid w:val="00A3427E"/>
    <w:rsid w:val="00A34A94"/>
    <w:rsid w:val="00A34D35"/>
    <w:rsid w:val="00A34F6A"/>
    <w:rsid w:val="00A35A68"/>
    <w:rsid w:val="00A35B30"/>
    <w:rsid w:val="00A3631B"/>
    <w:rsid w:val="00A36D0D"/>
    <w:rsid w:val="00A36D49"/>
    <w:rsid w:val="00A36F90"/>
    <w:rsid w:val="00A37459"/>
    <w:rsid w:val="00A37618"/>
    <w:rsid w:val="00A40976"/>
    <w:rsid w:val="00A40C16"/>
    <w:rsid w:val="00A40D30"/>
    <w:rsid w:val="00A40DD8"/>
    <w:rsid w:val="00A4127B"/>
    <w:rsid w:val="00A41916"/>
    <w:rsid w:val="00A420BD"/>
    <w:rsid w:val="00A421C6"/>
    <w:rsid w:val="00A4239E"/>
    <w:rsid w:val="00A4256C"/>
    <w:rsid w:val="00A4272C"/>
    <w:rsid w:val="00A427F5"/>
    <w:rsid w:val="00A43200"/>
    <w:rsid w:val="00A43621"/>
    <w:rsid w:val="00A439D2"/>
    <w:rsid w:val="00A43F0D"/>
    <w:rsid w:val="00A44366"/>
    <w:rsid w:val="00A44418"/>
    <w:rsid w:val="00A44531"/>
    <w:rsid w:val="00A44546"/>
    <w:rsid w:val="00A44841"/>
    <w:rsid w:val="00A451C6"/>
    <w:rsid w:val="00A455AF"/>
    <w:rsid w:val="00A45687"/>
    <w:rsid w:val="00A45A2E"/>
    <w:rsid w:val="00A45CAA"/>
    <w:rsid w:val="00A45EA3"/>
    <w:rsid w:val="00A46633"/>
    <w:rsid w:val="00A466A3"/>
    <w:rsid w:val="00A46A46"/>
    <w:rsid w:val="00A46C8C"/>
    <w:rsid w:val="00A473D4"/>
    <w:rsid w:val="00A47BF6"/>
    <w:rsid w:val="00A47D45"/>
    <w:rsid w:val="00A500AF"/>
    <w:rsid w:val="00A506ED"/>
    <w:rsid w:val="00A50747"/>
    <w:rsid w:val="00A50D92"/>
    <w:rsid w:val="00A50DC8"/>
    <w:rsid w:val="00A50E39"/>
    <w:rsid w:val="00A51295"/>
    <w:rsid w:val="00A515BF"/>
    <w:rsid w:val="00A51663"/>
    <w:rsid w:val="00A520C2"/>
    <w:rsid w:val="00A52487"/>
    <w:rsid w:val="00A529AF"/>
    <w:rsid w:val="00A52A18"/>
    <w:rsid w:val="00A53738"/>
    <w:rsid w:val="00A5393F"/>
    <w:rsid w:val="00A53C72"/>
    <w:rsid w:val="00A53D86"/>
    <w:rsid w:val="00A5492F"/>
    <w:rsid w:val="00A54A3C"/>
    <w:rsid w:val="00A54E3A"/>
    <w:rsid w:val="00A5545A"/>
    <w:rsid w:val="00A55650"/>
    <w:rsid w:val="00A55794"/>
    <w:rsid w:val="00A55EF3"/>
    <w:rsid w:val="00A56787"/>
    <w:rsid w:val="00A5682F"/>
    <w:rsid w:val="00A57840"/>
    <w:rsid w:val="00A57A40"/>
    <w:rsid w:val="00A57C10"/>
    <w:rsid w:val="00A6067B"/>
    <w:rsid w:val="00A60CCC"/>
    <w:rsid w:val="00A61B7E"/>
    <w:rsid w:val="00A6247C"/>
    <w:rsid w:val="00A62603"/>
    <w:rsid w:val="00A634E6"/>
    <w:rsid w:val="00A63704"/>
    <w:rsid w:val="00A637A7"/>
    <w:rsid w:val="00A63A68"/>
    <w:rsid w:val="00A63F0D"/>
    <w:rsid w:val="00A640D9"/>
    <w:rsid w:val="00A642E3"/>
    <w:rsid w:val="00A64364"/>
    <w:rsid w:val="00A64BFA"/>
    <w:rsid w:val="00A65305"/>
    <w:rsid w:val="00A657D7"/>
    <w:rsid w:val="00A6597C"/>
    <w:rsid w:val="00A666E9"/>
    <w:rsid w:val="00A66FB7"/>
    <w:rsid w:val="00A673BC"/>
    <w:rsid w:val="00A67AE4"/>
    <w:rsid w:val="00A67D9E"/>
    <w:rsid w:val="00A67FDF"/>
    <w:rsid w:val="00A70945"/>
    <w:rsid w:val="00A70B7A"/>
    <w:rsid w:val="00A71173"/>
    <w:rsid w:val="00A7123D"/>
    <w:rsid w:val="00A71B5D"/>
    <w:rsid w:val="00A71D41"/>
    <w:rsid w:val="00A71EEF"/>
    <w:rsid w:val="00A71F4E"/>
    <w:rsid w:val="00A72593"/>
    <w:rsid w:val="00A7270B"/>
    <w:rsid w:val="00A72801"/>
    <w:rsid w:val="00A72A9C"/>
    <w:rsid w:val="00A72C04"/>
    <w:rsid w:val="00A733D7"/>
    <w:rsid w:val="00A73734"/>
    <w:rsid w:val="00A75537"/>
    <w:rsid w:val="00A75B47"/>
    <w:rsid w:val="00A75D7D"/>
    <w:rsid w:val="00A7610B"/>
    <w:rsid w:val="00A7621B"/>
    <w:rsid w:val="00A76769"/>
    <w:rsid w:val="00A768C2"/>
    <w:rsid w:val="00A76A17"/>
    <w:rsid w:val="00A76B44"/>
    <w:rsid w:val="00A7731D"/>
    <w:rsid w:val="00A77890"/>
    <w:rsid w:val="00A77B09"/>
    <w:rsid w:val="00A77EBB"/>
    <w:rsid w:val="00A8022A"/>
    <w:rsid w:val="00A802A3"/>
    <w:rsid w:val="00A8048C"/>
    <w:rsid w:val="00A80B1A"/>
    <w:rsid w:val="00A81089"/>
    <w:rsid w:val="00A8133C"/>
    <w:rsid w:val="00A817D7"/>
    <w:rsid w:val="00A81915"/>
    <w:rsid w:val="00A81E8E"/>
    <w:rsid w:val="00A82A08"/>
    <w:rsid w:val="00A82D7B"/>
    <w:rsid w:val="00A834B5"/>
    <w:rsid w:val="00A83581"/>
    <w:rsid w:val="00A837D7"/>
    <w:rsid w:val="00A84CFC"/>
    <w:rsid w:val="00A850B9"/>
    <w:rsid w:val="00A85101"/>
    <w:rsid w:val="00A8559B"/>
    <w:rsid w:val="00A85D8A"/>
    <w:rsid w:val="00A85FD7"/>
    <w:rsid w:val="00A864ED"/>
    <w:rsid w:val="00A86E45"/>
    <w:rsid w:val="00A87FF1"/>
    <w:rsid w:val="00A904B8"/>
    <w:rsid w:val="00A905E3"/>
    <w:rsid w:val="00A9089E"/>
    <w:rsid w:val="00A90E46"/>
    <w:rsid w:val="00A90FD4"/>
    <w:rsid w:val="00A910F3"/>
    <w:rsid w:val="00A91561"/>
    <w:rsid w:val="00A91662"/>
    <w:rsid w:val="00A91821"/>
    <w:rsid w:val="00A91C5F"/>
    <w:rsid w:val="00A924BB"/>
    <w:rsid w:val="00A92E6E"/>
    <w:rsid w:val="00A93B11"/>
    <w:rsid w:val="00A94736"/>
    <w:rsid w:val="00A95312"/>
    <w:rsid w:val="00A953C2"/>
    <w:rsid w:val="00A9561A"/>
    <w:rsid w:val="00A957E1"/>
    <w:rsid w:val="00A95A27"/>
    <w:rsid w:val="00A95AE4"/>
    <w:rsid w:val="00A9649A"/>
    <w:rsid w:val="00A96520"/>
    <w:rsid w:val="00A9657B"/>
    <w:rsid w:val="00A96CC9"/>
    <w:rsid w:val="00A97136"/>
    <w:rsid w:val="00A971A9"/>
    <w:rsid w:val="00A97329"/>
    <w:rsid w:val="00A976D2"/>
    <w:rsid w:val="00A97A66"/>
    <w:rsid w:val="00A97AD8"/>
    <w:rsid w:val="00AA011D"/>
    <w:rsid w:val="00AA087F"/>
    <w:rsid w:val="00AA0CB2"/>
    <w:rsid w:val="00AA11F4"/>
    <w:rsid w:val="00AA1267"/>
    <w:rsid w:val="00AA16C6"/>
    <w:rsid w:val="00AA1D8B"/>
    <w:rsid w:val="00AA24D8"/>
    <w:rsid w:val="00AA259F"/>
    <w:rsid w:val="00AA2980"/>
    <w:rsid w:val="00AA2CC1"/>
    <w:rsid w:val="00AA30BD"/>
    <w:rsid w:val="00AA33CA"/>
    <w:rsid w:val="00AA34BF"/>
    <w:rsid w:val="00AA3810"/>
    <w:rsid w:val="00AA48C3"/>
    <w:rsid w:val="00AA52FB"/>
    <w:rsid w:val="00AA600E"/>
    <w:rsid w:val="00AA6351"/>
    <w:rsid w:val="00AA67B9"/>
    <w:rsid w:val="00AA6855"/>
    <w:rsid w:val="00AA6B9D"/>
    <w:rsid w:val="00AA6E0E"/>
    <w:rsid w:val="00AA7049"/>
    <w:rsid w:val="00AA719A"/>
    <w:rsid w:val="00AA750B"/>
    <w:rsid w:val="00AA754F"/>
    <w:rsid w:val="00AA7769"/>
    <w:rsid w:val="00AA7CE9"/>
    <w:rsid w:val="00AA7D5E"/>
    <w:rsid w:val="00AA7F86"/>
    <w:rsid w:val="00AB06A7"/>
    <w:rsid w:val="00AB0A4D"/>
    <w:rsid w:val="00AB0AF0"/>
    <w:rsid w:val="00AB1372"/>
    <w:rsid w:val="00AB1398"/>
    <w:rsid w:val="00AB1AED"/>
    <w:rsid w:val="00AB1FAE"/>
    <w:rsid w:val="00AB218E"/>
    <w:rsid w:val="00AB2534"/>
    <w:rsid w:val="00AB26B9"/>
    <w:rsid w:val="00AB2752"/>
    <w:rsid w:val="00AB28E7"/>
    <w:rsid w:val="00AB2B61"/>
    <w:rsid w:val="00AB2CE9"/>
    <w:rsid w:val="00AB3025"/>
    <w:rsid w:val="00AB3875"/>
    <w:rsid w:val="00AB38FF"/>
    <w:rsid w:val="00AB3D14"/>
    <w:rsid w:val="00AB40B4"/>
    <w:rsid w:val="00AB49F0"/>
    <w:rsid w:val="00AB4A79"/>
    <w:rsid w:val="00AB4B58"/>
    <w:rsid w:val="00AB531D"/>
    <w:rsid w:val="00AB5D7D"/>
    <w:rsid w:val="00AB68DF"/>
    <w:rsid w:val="00AB69FE"/>
    <w:rsid w:val="00AB6B07"/>
    <w:rsid w:val="00AB7A4D"/>
    <w:rsid w:val="00AB7D88"/>
    <w:rsid w:val="00AB7FBC"/>
    <w:rsid w:val="00AC09A9"/>
    <w:rsid w:val="00AC0F02"/>
    <w:rsid w:val="00AC199C"/>
    <w:rsid w:val="00AC1C14"/>
    <w:rsid w:val="00AC1F14"/>
    <w:rsid w:val="00AC2A7D"/>
    <w:rsid w:val="00AC2D3F"/>
    <w:rsid w:val="00AC329B"/>
    <w:rsid w:val="00AC368D"/>
    <w:rsid w:val="00AC375B"/>
    <w:rsid w:val="00AC37C6"/>
    <w:rsid w:val="00AC383B"/>
    <w:rsid w:val="00AC3B10"/>
    <w:rsid w:val="00AC3CCD"/>
    <w:rsid w:val="00AC3F77"/>
    <w:rsid w:val="00AC3FAB"/>
    <w:rsid w:val="00AC4135"/>
    <w:rsid w:val="00AC471B"/>
    <w:rsid w:val="00AC4858"/>
    <w:rsid w:val="00AC4A49"/>
    <w:rsid w:val="00AC4B32"/>
    <w:rsid w:val="00AC4CE5"/>
    <w:rsid w:val="00AC4F6A"/>
    <w:rsid w:val="00AC512C"/>
    <w:rsid w:val="00AC55C5"/>
    <w:rsid w:val="00AC6409"/>
    <w:rsid w:val="00AC6642"/>
    <w:rsid w:val="00AC6A67"/>
    <w:rsid w:val="00AC6AF1"/>
    <w:rsid w:val="00AC738B"/>
    <w:rsid w:val="00AC76D8"/>
    <w:rsid w:val="00AC78A0"/>
    <w:rsid w:val="00AC7C0E"/>
    <w:rsid w:val="00AD0090"/>
    <w:rsid w:val="00AD049D"/>
    <w:rsid w:val="00AD0717"/>
    <w:rsid w:val="00AD0A02"/>
    <w:rsid w:val="00AD167C"/>
    <w:rsid w:val="00AD1705"/>
    <w:rsid w:val="00AD17E9"/>
    <w:rsid w:val="00AD1891"/>
    <w:rsid w:val="00AD1D94"/>
    <w:rsid w:val="00AD2A90"/>
    <w:rsid w:val="00AD2ECB"/>
    <w:rsid w:val="00AD2F57"/>
    <w:rsid w:val="00AD2FEB"/>
    <w:rsid w:val="00AD34C3"/>
    <w:rsid w:val="00AD35C3"/>
    <w:rsid w:val="00AD40AA"/>
    <w:rsid w:val="00AD4113"/>
    <w:rsid w:val="00AD412D"/>
    <w:rsid w:val="00AD41B9"/>
    <w:rsid w:val="00AD42D9"/>
    <w:rsid w:val="00AD4751"/>
    <w:rsid w:val="00AD498A"/>
    <w:rsid w:val="00AD4B2F"/>
    <w:rsid w:val="00AD4DEB"/>
    <w:rsid w:val="00AD5017"/>
    <w:rsid w:val="00AD519F"/>
    <w:rsid w:val="00AD6108"/>
    <w:rsid w:val="00AD6246"/>
    <w:rsid w:val="00AD6289"/>
    <w:rsid w:val="00AD62A0"/>
    <w:rsid w:val="00AD771D"/>
    <w:rsid w:val="00AD77E5"/>
    <w:rsid w:val="00AD7CDA"/>
    <w:rsid w:val="00AD7DC2"/>
    <w:rsid w:val="00AE070E"/>
    <w:rsid w:val="00AE0A92"/>
    <w:rsid w:val="00AE0E1C"/>
    <w:rsid w:val="00AE0EF0"/>
    <w:rsid w:val="00AE0F78"/>
    <w:rsid w:val="00AE10A3"/>
    <w:rsid w:val="00AE1135"/>
    <w:rsid w:val="00AE154B"/>
    <w:rsid w:val="00AE1A0B"/>
    <w:rsid w:val="00AE1B64"/>
    <w:rsid w:val="00AE1D49"/>
    <w:rsid w:val="00AE1D84"/>
    <w:rsid w:val="00AE1F41"/>
    <w:rsid w:val="00AE2139"/>
    <w:rsid w:val="00AE2292"/>
    <w:rsid w:val="00AE259B"/>
    <w:rsid w:val="00AE2DD4"/>
    <w:rsid w:val="00AE3794"/>
    <w:rsid w:val="00AE3A33"/>
    <w:rsid w:val="00AE3B42"/>
    <w:rsid w:val="00AE43F2"/>
    <w:rsid w:val="00AE446D"/>
    <w:rsid w:val="00AE4696"/>
    <w:rsid w:val="00AE4753"/>
    <w:rsid w:val="00AE4789"/>
    <w:rsid w:val="00AE49B2"/>
    <w:rsid w:val="00AE4FB5"/>
    <w:rsid w:val="00AE5054"/>
    <w:rsid w:val="00AE5BA2"/>
    <w:rsid w:val="00AE61A3"/>
    <w:rsid w:val="00AE6679"/>
    <w:rsid w:val="00AE6C23"/>
    <w:rsid w:val="00AE7ED7"/>
    <w:rsid w:val="00AF01DF"/>
    <w:rsid w:val="00AF07BB"/>
    <w:rsid w:val="00AF0D11"/>
    <w:rsid w:val="00AF0D43"/>
    <w:rsid w:val="00AF0DAA"/>
    <w:rsid w:val="00AF0DE6"/>
    <w:rsid w:val="00AF13D7"/>
    <w:rsid w:val="00AF17FB"/>
    <w:rsid w:val="00AF183C"/>
    <w:rsid w:val="00AF1B8A"/>
    <w:rsid w:val="00AF21FF"/>
    <w:rsid w:val="00AF2E3B"/>
    <w:rsid w:val="00AF3091"/>
    <w:rsid w:val="00AF321C"/>
    <w:rsid w:val="00AF324C"/>
    <w:rsid w:val="00AF364A"/>
    <w:rsid w:val="00AF39FF"/>
    <w:rsid w:val="00AF3B6D"/>
    <w:rsid w:val="00AF4278"/>
    <w:rsid w:val="00AF4EEE"/>
    <w:rsid w:val="00AF6117"/>
    <w:rsid w:val="00AF62ED"/>
    <w:rsid w:val="00AF65D9"/>
    <w:rsid w:val="00AF6669"/>
    <w:rsid w:val="00AF6D67"/>
    <w:rsid w:val="00AF726E"/>
    <w:rsid w:val="00AF7426"/>
    <w:rsid w:val="00AF7522"/>
    <w:rsid w:val="00AF787C"/>
    <w:rsid w:val="00AF7D54"/>
    <w:rsid w:val="00B007EE"/>
    <w:rsid w:val="00B00A99"/>
    <w:rsid w:val="00B01663"/>
    <w:rsid w:val="00B0264E"/>
    <w:rsid w:val="00B02730"/>
    <w:rsid w:val="00B03449"/>
    <w:rsid w:val="00B03DDD"/>
    <w:rsid w:val="00B04525"/>
    <w:rsid w:val="00B04F79"/>
    <w:rsid w:val="00B05055"/>
    <w:rsid w:val="00B0508F"/>
    <w:rsid w:val="00B05107"/>
    <w:rsid w:val="00B05465"/>
    <w:rsid w:val="00B060AF"/>
    <w:rsid w:val="00B060DC"/>
    <w:rsid w:val="00B06892"/>
    <w:rsid w:val="00B06CA9"/>
    <w:rsid w:val="00B070C7"/>
    <w:rsid w:val="00B073C5"/>
    <w:rsid w:val="00B077D3"/>
    <w:rsid w:val="00B07FFB"/>
    <w:rsid w:val="00B1036E"/>
    <w:rsid w:val="00B10EE2"/>
    <w:rsid w:val="00B114F3"/>
    <w:rsid w:val="00B11A3E"/>
    <w:rsid w:val="00B11A78"/>
    <w:rsid w:val="00B12045"/>
    <w:rsid w:val="00B12824"/>
    <w:rsid w:val="00B12E31"/>
    <w:rsid w:val="00B12FA3"/>
    <w:rsid w:val="00B13265"/>
    <w:rsid w:val="00B13B3D"/>
    <w:rsid w:val="00B13E4F"/>
    <w:rsid w:val="00B14338"/>
    <w:rsid w:val="00B14613"/>
    <w:rsid w:val="00B14641"/>
    <w:rsid w:val="00B14799"/>
    <w:rsid w:val="00B14810"/>
    <w:rsid w:val="00B148E9"/>
    <w:rsid w:val="00B14919"/>
    <w:rsid w:val="00B14A2B"/>
    <w:rsid w:val="00B151B6"/>
    <w:rsid w:val="00B153A1"/>
    <w:rsid w:val="00B15D92"/>
    <w:rsid w:val="00B16C44"/>
    <w:rsid w:val="00B1746D"/>
    <w:rsid w:val="00B1769F"/>
    <w:rsid w:val="00B1783F"/>
    <w:rsid w:val="00B17870"/>
    <w:rsid w:val="00B17A38"/>
    <w:rsid w:val="00B17DEC"/>
    <w:rsid w:val="00B17FA8"/>
    <w:rsid w:val="00B20099"/>
    <w:rsid w:val="00B206AE"/>
    <w:rsid w:val="00B20700"/>
    <w:rsid w:val="00B209B8"/>
    <w:rsid w:val="00B20A88"/>
    <w:rsid w:val="00B21F5B"/>
    <w:rsid w:val="00B227BC"/>
    <w:rsid w:val="00B22983"/>
    <w:rsid w:val="00B22B63"/>
    <w:rsid w:val="00B231C3"/>
    <w:rsid w:val="00B23EC6"/>
    <w:rsid w:val="00B243A6"/>
    <w:rsid w:val="00B24860"/>
    <w:rsid w:val="00B24F3F"/>
    <w:rsid w:val="00B2539A"/>
    <w:rsid w:val="00B253A4"/>
    <w:rsid w:val="00B2541A"/>
    <w:rsid w:val="00B25633"/>
    <w:rsid w:val="00B259C8"/>
    <w:rsid w:val="00B26C85"/>
    <w:rsid w:val="00B26DD7"/>
    <w:rsid w:val="00B272E5"/>
    <w:rsid w:val="00B275B4"/>
    <w:rsid w:val="00B277DA"/>
    <w:rsid w:val="00B307C4"/>
    <w:rsid w:val="00B30981"/>
    <w:rsid w:val="00B30CC8"/>
    <w:rsid w:val="00B30D0C"/>
    <w:rsid w:val="00B31273"/>
    <w:rsid w:val="00B31279"/>
    <w:rsid w:val="00B313B6"/>
    <w:rsid w:val="00B318C6"/>
    <w:rsid w:val="00B31CB2"/>
    <w:rsid w:val="00B32017"/>
    <w:rsid w:val="00B32B0B"/>
    <w:rsid w:val="00B33175"/>
    <w:rsid w:val="00B331D8"/>
    <w:rsid w:val="00B33BBD"/>
    <w:rsid w:val="00B34A03"/>
    <w:rsid w:val="00B34AC0"/>
    <w:rsid w:val="00B34EF0"/>
    <w:rsid w:val="00B34F3B"/>
    <w:rsid w:val="00B34F83"/>
    <w:rsid w:val="00B35879"/>
    <w:rsid w:val="00B35C40"/>
    <w:rsid w:val="00B35DAF"/>
    <w:rsid w:val="00B35ED5"/>
    <w:rsid w:val="00B36455"/>
    <w:rsid w:val="00B37038"/>
    <w:rsid w:val="00B37374"/>
    <w:rsid w:val="00B379E0"/>
    <w:rsid w:val="00B37A05"/>
    <w:rsid w:val="00B37D23"/>
    <w:rsid w:val="00B40272"/>
    <w:rsid w:val="00B40427"/>
    <w:rsid w:val="00B41110"/>
    <w:rsid w:val="00B4182E"/>
    <w:rsid w:val="00B41B9D"/>
    <w:rsid w:val="00B41F46"/>
    <w:rsid w:val="00B41F92"/>
    <w:rsid w:val="00B4218C"/>
    <w:rsid w:val="00B428D3"/>
    <w:rsid w:val="00B42B41"/>
    <w:rsid w:val="00B42B6F"/>
    <w:rsid w:val="00B44177"/>
    <w:rsid w:val="00B44660"/>
    <w:rsid w:val="00B44957"/>
    <w:rsid w:val="00B44A0B"/>
    <w:rsid w:val="00B44CF1"/>
    <w:rsid w:val="00B44D1D"/>
    <w:rsid w:val="00B44DEE"/>
    <w:rsid w:val="00B46084"/>
    <w:rsid w:val="00B466D9"/>
    <w:rsid w:val="00B46CE6"/>
    <w:rsid w:val="00B46D15"/>
    <w:rsid w:val="00B46F62"/>
    <w:rsid w:val="00B47280"/>
    <w:rsid w:val="00B47A1C"/>
    <w:rsid w:val="00B47E35"/>
    <w:rsid w:val="00B505B1"/>
    <w:rsid w:val="00B50CF4"/>
    <w:rsid w:val="00B51485"/>
    <w:rsid w:val="00B51A8B"/>
    <w:rsid w:val="00B52CF5"/>
    <w:rsid w:val="00B53135"/>
    <w:rsid w:val="00B536C8"/>
    <w:rsid w:val="00B54950"/>
    <w:rsid w:val="00B55174"/>
    <w:rsid w:val="00B5518E"/>
    <w:rsid w:val="00B552B5"/>
    <w:rsid w:val="00B55EDE"/>
    <w:rsid w:val="00B5650E"/>
    <w:rsid w:val="00B56DA5"/>
    <w:rsid w:val="00B56FBE"/>
    <w:rsid w:val="00B574D7"/>
    <w:rsid w:val="00B6096C"/>
    <w:rsid w:val="00B6122B"/>
    <w:rsid w:val="00B61360"/>
    <w:rsid w:val="00B616CB"/>
    <w:rsid w:val="00B618D1"/>
    <w:rsid w:val="00B61CE9"/>
    <w:rsid w:val="00B61E95"/>
    <w:rsid w:val="00B62294"/>
    <w:rsid w:val="00B62315"/>
    <w:rsid w:val="00B6234A"/>
    <w:rsid w:val="00B62486"/>
    <w:rsid w:val="00B62B6A"/>
    <w:rsid w:val="00B62F79"/>
    <w:rsid w:val="00B63EDE"/>
    <w:rsid w:val="00B64004"/>
    <w:rsid w:val="00B64618"/>
    <w:rsid w:val="00B647DC"/>
    <w:rsid w:val="00B648CD"/>
    <w:rsid w:val="00B64DD0"/>
    <w:rsid w:val="00B64E84"/>
    <w:rsid w:val="00B65408"/>
    <w:rsid w:val="00B659F0"/>
    <w:rsid w:val="00B65BF5"/>
    <w:rsid w:val="00B65FB5"/>
    <w:rsid w:val="00B66547"/>
    <w:rsid w:val="00B66F27"/>
    <w:rsid w:val="00B66F89"/>
    <w:rsid w:val="00B67434"/>
    <w:rsid w:val="00B6743B"/>
    <w:rsid w:val="00B67460"/>
    <w:rsid w:val="00B676F3"/>
    <w:rsid w:val="00B677B1"/>
    <w:rsid w:val="00B67F02"/>
    <w:rsid w:val="00B70777"/>
    <w:rsid w:val="00B708AA"/>
    <w:rsid w:val="00B7100C"/>
    <w:rsid w:val="00B7164D"/>
    <w:rsid w:val="00B7243C"/>
    <w:rsid w:val="00B724A9"/>
    <w:rsid w:val="00B72537"/>
    <w:rsid w:val="00B72BC6"/>
    <w:rsid w:val="00B72CFB"/>
    <w:rsid w:val="00B73FD4"/>
    <w:rsid w:val="00B74C64"/>
    <w:rsid w:val="00B751BF"/>
    <w:rsid w:val="00B75B6F"/>
    <w:rsid w:val="00B760BC"/>
    <w:rsid w:val="00B76193"/>
    <w:rsid w:val="00B76482"/>
    <w:rsid w:val="00B76798"/>
    <w:rsid w:val="00B76DDB"/>
    <w:rsid w:val="00B76F54"/>
    <w:rsid w:val="00B76FAB"/>
    <w:rsid w:val="00B7753A"/>
    <w:rsid w:val="00B804CF"/>
    <w:rsid w:val="00B8078E"/>
    <w:rsid w:val="00B810FF"/>
    <w:rsid w:val="00B82246"/>
    <w:rsid w:val="00B8241B"/>
    <w:rsid w:val="00B828CE"/>
    <w:rsid w:val="00B830AF"/>
    <w:rsid w:val="00B8392B"/>
    <w:rsid w:val="00B8397A"/>
    <w:rsid w:val="00B83C30"/>
    <w:rsid w:val="00B83F65"/>
    <w:rsid w:val="00B854E8"/>
    <w:rsid w:val="00B85747"/>
    <w:rsid w:val="00B858B3"/>
    <w:rsid w:val="00B858E0"/>
    <w:rsid w:val="00B85DA6"/>
    <w:rsid w:val="00B86252"/>
    <w:rsid w:val="00B86568"/>
    <w:rsid w:val="00B867E9"/>
    <w:rsid w:val="00B874AF"/>
    <w:rsid w:val="00B874B5"/>
    <w:rsid w:val="00B87BBC"/>
    <w:rsid w:val="00B87BCB"/>
    <w:rsid w:val="00B90326"/>
    <w:rsid w:val="00B907FF"/>
    <w:rsid w:val="00B90B4B"/>
    <w:rsid w:val="00B90D7E"/>
    <w:rsid w:val="00B911FA"/>
    <w:rsid w:val="00B9135B"/>
    <w:rsid w:val="00B91496"/>
    <w:rsid w:val="00B9169B"/>
    <w:rsid w:val="00B917D4"/>
    <w:rsid w:val="00B91CF9"/>
    <w:rsid w:val="00B91F6A"/>
    <w:rsid w:val="00B930A2"/>
    <w:rsid w:val="00B93888"/>
    <w:rsid w:val="00B945E6"/>
    <w:rsid w:val="00B94CB2"/>
    <w:rsid w:val="00B9511E"/>
    <w:rsid w:val="00B95E56"/>
    <w:rsid w:val="00B95F18"/>
    <w:rsid w:val="00B95FE1"/>
    <w:rsid w:val="00B96063"/>
    <w:rsid w:val="00B963BE"/>
    <w:rsid w:val="00B965E1"/>
    <w:rsid w:val="00B97390"/>
    <w:rsid w:val="00B97BBF"/>
    <w:rsid w:val="00B97F6D"/>
    <w:rsid w:val="00BA0B0D"/>
    <w:rsid w:val="00BA0BD3"/>
    <w:rsid w:val="00BA0CFF"/>
    <w:rsid w:val="00BA0FB0"/>
    <w:rsid w:val="00BA14DD"/>
    <w:rsid w:val="00BA15AA"/>
    <w:rsid w:val="00BA1A59"/>
    <w:rsid w:val="00BA1E31"/>
    <w:rsid w:val="00BA22B8"/>
    <w:rsid w:val="00BA249B"/>
    <w:rsid w:val="00BA2C7B"/>
    <w:rsid w:val="00BA3038"/>
    <w:rsid w:val="00BA35F4"/>
    <w:rsid w:val="00BA3813"/>
    <w:rsid w:val="00BA39C5"/>
    <w:rsid w:val="00BA3B0D"/>
    <w:rsid w:val="00BA43BF"/>
    <w:rsid w:val="00BA4537"/>
    <w:rsid w:val="00BA4987"/>
    <w:rsid w:val="00BA4AC3"/>
    <w:rsid w:val="00BA4CB7"/>
    <w:rsid w:val="00BA4FF3"/>
    <w:rsid w:val="00BA509D"/>
    <w:rsid w:val="00BA5235"/>
    <w:rsid w:val="00BA53CC"/>
    <w:rsid w:val="00BA54CF"/>
    <w:rsid w:val="00BA5A07"/>
    <w:rsid w:val="00BA5ADC"/>
    <w:rsid w:val="00BA5D4A"/>
    <w:rsid w:val="00BA5F20"/>
    <w:rsid w:val="00BA6536"/>
    <w:rsid w:val="00BA67CF"/>
    <w:rsid w:val="00BA6E27"/>
    <w:rsid w:val="00BA712E"/>
    <w:rsid w:val="00BA776C"/>
    <w:rsid w:val="00BA77C4"/>
    <w:rsid w:val="00BA7CF4"/>
    <w:rsid w:val="00BB020D"/>
    <w:rsid w:val="00BB057A"/>
    <w:rsid w:val="00BB05C2"/>
    <w:rsid w:val="00BB063C"/>
    <w:rsid w:val="00BB0944"/>
    <w:rsid w:val="00BB1B09"/>
    <w:rsid w:val="00BB222B"/>
    <w:rsid w:val="00BB24D0"/>
    <w:rsid w:val="00BB2758"/>
    <w:rsid w:val="00BB286A"/>
    <w:rsid w:val="00BB3014"/>
    <w:rsid w:val="00BB3206"/>
    <w:rsid w:val="00BB349C"/>
    <w:rsid w:val="00BB3784"/>
    <w:rsid w:val="00BB392F"/>
    <w:rsid w:val="00BB3AF2"/>
    <w:rsid w:val="00BB3AF8"/>
    <w:rsid w:val="00BB3FE7"/>
    <w:rsid w:val="00BB42EF"/>
    <w:rsid w:val="00BB4610"/>
    <w:rsid w:val="00BB491F"/>
    <w:rsid w:val="00BB4BC0"/>
    <w:rsid w:val="00BB4EF8"/>
    <w:rsid w:val="00BB501D"/>
    <w:rsid w:val="00BB51C7"/>
    <w:rsid w:val="00BB5205"/>
    <w:rsid w:val="00BB5583"/>
    <w:rsid w:val="00BB577C"/>
    <w:rsid w:val="00BB591A"/>
    <w:rsid w:val="00BB6C6E"/>
    <w:rsid w:val="00BB6FCA"/>
    <w:rsid w:val="00BB78B8"/>
    <w:rsid w:val="00BB7FD2"/>
    <w:rsid w:val="00BC09D7"/>
    <w:rsid w:val="00BC0A4A"/>
    <w:rsid w:val="00BC11C8"/>
    <w:rsid w:val="00BC22EE"/>
    <w:rsid w:val="00BC2A63"/>
    <w:rsid w:val="00BC33D7"/>
    <w:rsid w:val="00BC33E7"/>
    <w:rsid w:val="00BC35F7"/>
    <w:rsid w:val="00BC3BBE"/>
    <w:rsid w:val="00BC3FAC"/>
    <w:rsid w:val="00BC481C"/>
    <w:rsid w:val="00BC5AB4"/>
    <w:rsid w:val="00BC5C47"/>
    <w:rsid w:val="00BC6492"/>
    <w:rsid w:val="00BC64C7"/>
    <w:rsid w:val="00BC6522"/>
    <w:rsid w:val="00BC6B82"/>
    <w:rsid w:val="00BC71AD"/>
    <w:rsid w:val="00BC7951"/>
    <w:rsid w:val="00BC7960"/>
    <w:rsid w:val="00BC7DEA"/>
    <w:rsid w:val="00BD08C6"/>
    <w:rsid w:val="00BD0AD6"/>
    <w:rsid w:val="00BD1330"/>
    <w:rsid w:val="00BD1D14"/>
    <w:rsid w:val="00BD3593"/>
    <w:rsid w:val="00BD3923"/>
    <w:rsid w:val="00BD3F24"/>
    <w:rsid w:val="00BD52FA"/>
    <w:rsid w:val="00BD551F"/>
    <w:rsid w:val="00BD554E"/>
    <w:rsid w:val="00BD6246"/>
    <w:rsid w:val="00BD6699"/>
    <w:rsid w:val="00BD68E7"/>
    <w:rsid w:val="00BD7CFE"/>
    <w:rsid w:val="00BD7DCD"/>
    <w:rsid w:val="00BE0154"/>
    <w:rsid w:val="00BE0256"/>
    <w:rsid w:val="00BE091E"/>
    <w:rsid w:val="00BE1338"/>
    <w:rsid w:val="00BE18F4"/>
    <w:rsid w:val="00BE2362"/>
    <w:rsid w:val="00BE239E"/>
    <w:rsid w:val="00BE2466"/>
    <w:rsid w:val="00BE27C6"/>
    <w:rsid w:val="00BE2E4A"/>
    <w:rsid w:val="00BE2ED0"/>
    <w:rsid w:val="00BE30C3"/>
    <w:rsid w:val="00BE34B1"/>
    <w:rsid w:val="00BE3E79"/>
    <w:rsid w:val="00BE4A03"/>
    <w:rsid w:val="00BE4C65"/>
    <w:rsid w:val="00BE5036"/>
    <w:rsid w:val="00BE5325"/>
    <w:rsid w:val="00BE54C2"/>
    <w:rsid w:val="00BE58A1"/>
    <w:rsid w:val="00BE59B4"/>
    <w:rsid w:val="00BE5A4E"/>
    <w:rsid w:val="00BE5CC9"/>
    <w:rsid w:val="00BE5FDA"/>
    <w:rsid w:val="00BE6256"/>
    <w:rsid w:val="00BE62FB"/>
    <w:rsid w:val="00BE656D"/>
    <w:rsid w:val="00BE6ED5"/>
    <w:rsid w:val="00BE72E3"/>
    <w:rsid w:val="00BE75E4"/>
    <w:rsid w:val="00BE7723"/>
    <w:rsid w:val="00BE7BF9"/>
    <w:rsid w:val="00BE7F4B"/>
    <w:rsid w:val="00BE7F9B"/>
    <w:rsid w:val="00BF0245"/>
    <w:rsid w:val="00BF02B6"/>
    <w:rsid w:val="00BF0C0F"/>
    <w:rsid w:val="00BF1400"/>
    <w:rsid w:val="00BF14D1"/>
    <w:rsid w:val="00BF1E8B"/>
    <w:rsid w:val="00BF25D9"/>
    <w:rsid w:val="00BF268E"/>
    <w:rsid w:val="00BF2A6D"/>
    <w:rsid w:val="00BF2DB0"/>
    <w:rsid w:val="00BF318D"/>
    <w:rsid w:val="00BF32E8"/>
    <w:rsid w:val="00BF3EF0"/>
    <w:rsid w:val="00BF41A5"/>
    <w:rsid w:val="00BF4772"/>
    <w:rsid w:val="00BF4AEB"/>
    <w:rsid w:val="00BF4DE8"/>
    <w:rsid w:val="00BF4F56"/>
    <w:rsid w:val="00BF5114"/>
    <w:rsid w:val="00BF5242"/>
    <w:rsid w:val="00BF5262"/>
    <w:rsid w:val="00BF59DF"/>
    <w:rsid w:val="00BF5ED4"/>
    <w:rsid w:val="00BF6071"/>
    <w:rsid w:val="00BF6097"/>
    <w:rsid w:val="00BF6501"/>
    <w:rsid w:val="00BF683C"/>
    <w:rsid w:val="00BF74B7"/>
    <w:rsid w:val="00BF7B3B"/>
    <w:rsid w:val="00C0010D"/>
    <w:rsid w:val="00C002A9"/>
    <w:rsid w:val="00C00435"/>
    <w:rsid w:val="00C0058C"/>
    <w:rsid w:val="00C0058F"/>
    <w:rsid w:val="00C00771"/>
    <w:rsid w:val="00C0077B"/>
    <w:rsid w:val="00C00B32"/>
    <w:rsid w:val="00C0110D"/>
    <w:rsid w:val="00C0122D"/>
    <w:rsid w:val="00C01875"/>
    <w:rsid w:val="00C018F7"/>
    <w:rsid w:val="00C01DE2"/>
    <w:rsid w:val="00C01EDA"/>
    <w:rsid w:val="00C020DB"/>
    <w:rsid w:val="00C020F4"/>
    <w:rsid w:val="00C023C2"/>
    <w:rsid w:val="00C027B6"/>
    <w:rsid w:val="00C027F5"/>
    <w:rsid w:val="00C02FCF"/>
    <w:rsid w:val="00C03815"/>
    <w:rsid w:val="00C0390D"/>
    <w:rsid w:val="00C03E64"/>
    <w:rsid w:val="00C0465B"/>
    <w:rsid w:val="00C0547C"/>
    <w:rsid w:val="00C054B3"/>
    <w:rsid w:val="00C05704"/>
    <w:rsid w:val="00C05817"/>
    <w:rsid w:val="00C05A99"/>
    <w:rsid w:val="00C05F21"/>
    <w:rsid w:val="00C06072"/>
    <w:rsid w:val="00C0621A"/>
    <w:rsid w:val="00C069F7"/>
    <w:rsid w:val="00C06A5F"/>
    <w:rsid w:val="00C06C05"/>
    <w:rsid w:val="00C06E91"/>
    <w:rsid w:val="00C0706B"/>
    <w:rsid w:val="00C07196"/>
    <w:rsid w:val="00C07602"/>
    <w:rsid w:val="00C10C39"/>
    <w:rsid w:val="00C10F2B"/>
    <w:rsid w:val="00C11098"/>
    <w:rsid w:val="00C116F2"/>
    <w:rsid w:val="00C11A95"/>
    <w:rsid w:val="00C11E3E"/>
    <w:rsid w:val="00C1219B"/>
    <w:rsid w:val="00C1220F"/>
    <w:rsid w:val="00C12539"/>
    <w:rsid w:val="00C12598"/>
    <w:rsid w:val="00C12B49"/>
    <w:rsid w:val="00C130C4"/>
    <w:rsid w:val="00C13283"/>
    <w:rsid w:val="00C1393A"/>
    <w:rsid w:val="00C13BB6"/>
    <w:rsid w:val="00C1415C"/>
    <w:rsid w:val="00C143B5"/>
    <w:rsid w:val="00C144DA"/>
    <w:rsid w:val="00C14793"/>
    <w:rsid w:val="00C1487B"/>
    <w:rsid w:val="00C14A5F"/>
    <w:rsid w:val="00C14C17"/>
    <w:rsid w:val="00C14F16"/>
    <w:rsid w:val="00C1561D"/>
    <w:rsid w:val="00C158C6"/>
    <w:rsid w:val="00C15A8A"/>
    <w:rsid w:val="00C15BD1"/>
    <w:rsid w:val="00C15C76"/>
    <w:rsid w:val="00C16DA7"/>
    <w:rsid w:val="00C16DD0"/>
    <w:rsid w:val="00C1744A"/>
    <w:rsid w:val="00C1747C"/>
    <w:rsid w:val="00C17B54"/>
    <w:rsid w:val="00C20055"/>
    <w:rsid w:val="00C205F9"/>
    <w:rsid w:val="00C2087F"/>
    <w:rsid w:val="00C209D6"/>
    <w:rsid w:val="00C20EF8"/>
    <w:rsid w:val="00C20F82"/>
    <w:rsid w:val="00C20F9E"/>
    <w:rsid w:val="00C21B8F"/>
    <w:rsid w:val="00C21F46"/>
    <w:rsid w:val="00C223AA"/>
    <w:rsid w:val="00C2256D"/>
    <w:rsid w:val="00C22D1A"/>
    <w:rsid w:val="00C23ABA"/>
    <w:rsid w:val="00C23B2D"/>
    <w:rsid w:val="00C23C48"/>
    <w:rsid w:val="00C23DBD"/>
    <w:rsid w:val="00C24329"/>
    <w:rsid w:val="00C2532F"/>
    <w:rsid w:val="00C25378"/>
    <w:rsid w:val="00C25632"/>
    <w:rsid w:val="00C2576A"/>
    <w:rsid w:val="00C25A5A"/>
    <w:rsid w:val="00C2664A"/>
    <w:rsid w:val="00C26CBD"/>
    <w:rsid w:val="00C27024"/>
    <w:rsid w:val="00C27049"/>
    <w:rsid w:val="00C2723A"/>
    <w:rsid w:val="00C27623"/>
    <w:rsid w:val="00C27679"/>
    <w:rsid w:val="00C27AB2"/>
    <w:rsid w:val="00C27B1B"/>
    <w:rsid w:val="00C27C36"/>
    <w:rsid w:val="00C30312"/>
    <w:rsid w:val="00C30F64"/>
    <w:rsid w:val="00C3151D"/>
    <w:rsid w:val="00C32936"/>
    <w:rsid w:val="00C32D96"/>
    <w:rsid w:val="00C335F4"/>
    <w:rsid w:val="00C339AE"/>
    <w:rsid w:val="00C33EB2"/>
    <w:rsid w:val="00C34438"/>
    <w:rsid w:val="00C34551"/>
    <w:rsid w:val="00C348C9"/>
    <w:rsid w:val="00C34AE0"/>
    <w:rsid w:val="00C34EB5"/>
    <w:rsid w:val="00C35082"/>
    <w:rsid w:val="00C35255"/>
    <w:rsid w:val="00C35549"/>
    <w:rsid w:val="00C35641"/>
    <w:rsid w:val="00C359AA"/>
    <w:rsid w:val="00C35C33"/>
    <w:rsid w:val="00C36479"/>
    <w:rsid w:val="00C366D2"/>
    <w:rsid w:val="00C368DB"/>
    <w:rsid w:val="00C37214"/>
    <w:rsid w:val="00C37571"/>
    <w:rsid w:val="00C37CA3"/>
    <w:rsid w:val="00C37ED1"/>
    <w:rsid w:val="00C40060"/>
    <w:rsid w:val="00C4014E"/>
    <w:rsid w:val="00C40168"/>
    <w:rsid w:val="00C40641"/>
    <w:rsid w:val="00C40687"/>
    <w:rsid w:val="00C40FBA"/>
    <w:rsid w:val="00C415C8"/>
    <w:rsid w:val="00C418D6"/>
    <w:rsid w:val="00C41B03"/>
    <w:rsid w:val="00C41BFA"/>
    <w:rsid w:val="00C42073"/>
    <w:rsid w:val="00C4219D"/>
    <w:rsid w:val="00C422AD"/>
    <w:rsid w:val="00C426BF"/>
    <w:rsid w:val="00C42C9B"/>
    <w:rsid w:val="00C42CD6"/>
    <w:rsid w:val="00C42FE3"/>
    <w:rsid w:val="00C43735"/>
    <w:rsid w:val="00C43D88"/>
    <w:rsid w:val="00C43F9B"/>
    <w:rsid w:val="00C43FFC"/>
    <w:rsid w:val="00C43FFE"/>
    <w:rsid w:val="00C44435"/>
    <w:rsid w:val="00C4444B"/>
    <w:rsid w:val="00C449C4"/>
    <w:rsid w:val="00C44CB7"/>
    <w:rsid w:val="00C44D26"/>
    <w:rsid w:val="00C45253"/>
    <w:rsid w:val="00C453D8"/>
    <w:rsid w:val="00C45571"/>
    <w:rsid w:val="00C4563B"/>
    <w:rsid w:val="00C45CCE"/>
    <w:rsid w:val="00C46623"/>
    <w:rsid w:val="00C4664A"/>
    <w:rsid w:val="00C4684B"/>
    <w:rsid w:val="00C46936"/>
    <w:rsid w:val="00C47306"/>
    <w:rsid w:val="00C47545"/>
    <w:rsid w:val="00C47A17"/>
    <w:rsid w:val="00C5008A"/>
    <w:rsid w:val="00C50091"/>
    <w:rsid w:val="00C50BB4"/>
    <w:rsid w:val="00C50E4A"/>
    <w:rsid w:val="00C50E5F"/>
    <w:rsid w:val="00C50EF1"/>
    <w:rsid w:val="00C50FD6"/>
    <w:rsid w:val="00C512FA"/>
    <w:rsid w:val="00C519EF"/>
    <w:rsid w:val="00C51C9C"/>
    <w:rsid w:val="00C51ECB"/>
    <w:rsid w:val="00C52582"/>
    <w:rsid w:val="00C530F8"/>
    <w:rsid w:val="00C53991"/>
    <w:rsid w:val="00C543EE"/>
    <w:rsid w:val="00C544EA"/>
    <w:rsid w:val="00C549DE"/>
    <w:rsid w:val="00C54D21"/>
    <w:rsid w:val="00C54E56"/>
    <w:rsid w:val="00C550F8"/>
    <w:rsid w:val="00C55779"/>
    <w:rsid w:val="00C55CE5"/>
    <w:rsid w:val="00C55DDC"/>
    <w:rsid w:val="00C55ECB"/>
    <w:rsid w:val="00C56055"/>
    <w:rsid w:val="00C5610E"/>
    <w:rsid w:val="00C563E3"/>
    <w:rsid w:val="00C5643B"/>
    <w:rsid w:val="00C56C42"/>
    <w:rsid w:val="00C56FF5"/>
    <w:rsid w:val="00C578A5"/>
    <w:rsid w:val="00C601E9"/>
    <w:rsid w:val="00C60927"/>
    <w:rsid w:val="00C60A46"/>
    <w:rsid w:val="00C61390"/>
    <w:rsid w:val="00C61576"/>
    <w:rsid w:val="00C6175E"/>
    <w:rsid w:val="00C6176A"/>
    <w:rsid w:val="00C61839"/>
    <w:rsid w:val="00C622C2"/>
    <w:rsid w:val="00C625FC"/>
    <w:rsid w:val="00C6267C"/>
    <w:rsid w:val="00C62FC4"/>
    <w:rsid w:val="00C63444"/>
    <w:rsid w:val="00C642D1"/>
    <w:rsid w:val="00C644D1"/>
    <w:rsid w:val="00C6457E"/>
    <w:rsid w:val="00C64D2F"/>
    <w:rsid w:val="00C64EF7"/>
    <w:rsid w:val="00C64F7D"/>
    <w:rsid w:val="00C65338"/>
    <w:rsid w:val="00C65762"/>
    <w:rsid w:val="00C659FB"/>
    <w:rsid w:val="00C6605D"/>
    <w:rsid w:val="00C6635D"/>
    <w:rsid w:val="00C66770"/>
    <w:rsid w:val="00C66B57"/>
    <w:rsid w:val="00C66C76"/>
    <w:rsid w:val="00C66C8B"/>
    <w:rsid w:val="00C66EDE"/>
    <w:rsid w:val="00C6751A"/>
    <w:rsid w:val="00C6793B"/>
    <w:rsid w:val="00C67C3F"/>
    <w:rsid w:val="00C67EA7"/>
    <w:rsid w:val="00C7014B"/>
    <w:rsid w:val="00C70912"/>
    <w:rsid w:val="00C710AB"/>
    <w:rsid w:val="00C71517"/>
    <w:rsid w:val="00C71BDC"/>
    <w:rsid w:val="00C7202E"/>
    <w:rsid w:val="00C72355"/>
    <w:rsid w:val="00C7274C"/>
    <w:rsid w:val="00C72A87"/>
    <w:rsid w:val="00C72DA9"/>
    <w:rsid w:val="00C734AB"/>
    <w:rsid w:val="00C73A5A"/>
    <w:rsid w:val="00C7432D"/>
    <w:rsid w:val="00C743AD"/>
    <w:rsid w:val="00C74519"/>
    <w:rsid w:val="00C7459C"/>
    <w:rsid w:val="00C74AF2"/>
    <w:rsid w:val="00C754AB"/>
    <w:rsid w:val="00C75F4C"/>
    <w:rsid w:val="00C765CA"/>
    <w:rsid w:val="00C773FF"/>
    <w:rsid w:val="00C77948"/>
    <w:rsid w:val="00C77A35"/>
    <w:rsid w:val="00C8004F"/>
    <w:rsid w:val="00C800FE"/>
    <w:rsid w:val="00C802DF"/>
    <w:rsid w:val="00C80499"/>
    <w:rsid w:val="00C80DAB"/>
    <w:rsid w:val="00C80EA2"/>
    <w:rsid w:val="00C81030"/>
    <w:rsid w:val="00C8142D"/>
    <w:rsid w:val="00C82243"/>
    <w:rsid w:val="00C82B62"/>
    <w:rsid w:val="00C82B70"/>
    <w:rsid w:val="00C82BA7"/>
    <w:rsid w:val="00C8307A"/>
    <w:rsid w:val="00C832D6"/>
    <w:rsid w:val="00C836CE"/>
    <w:rsid w:val="00C837FD"/>
    <w:rsid w:val="00C8385F"/>
    <w:rsid w:val="00C83A61"/>
    <w:rsid w:val="00C83BC9"/>
    <w:rsid w:val="00C83F6F"/>
    <w:rsid w:val="00C8413E"/>
    <w:rsid w:val="00C843D5"/>
    <w:rsid w:val="00C853A4"/>
    <w:rsid w:val="00C85846"/>
    <w:rsid w:val="00C85878"/>
    <w:rsid w:val="00C858D8"/>
    <w:rsid w:val="00C85911"/>
    <w:rsid w:val="00C860B9"/>
    <w:rsid w:val="00C86420"/>
    <w:rsid w:val="00C869C6"/>
    <w:rsid w:val="00C86A21"/>
    <w:rsid w:val="00C8781A"/>
    <w:rsid w:val="00C8788E"/>
    <w:rsid w:val="00C87F32"/>
    <w:rsid w:val="00C87F96"/>
    <w:rsid w:val="00C9072A"/>
    <w:rsid w:val="00C90863"/>
    <w:rsid w:val="00C908E1"/>
    <w:rsid w:val="00C90A13"/>
    <w:rsid w:val="00C90BE5"/>
    <w:rsid w:val="00C9143E"/>
    <w:rsid w:val="00C91626"/>
    <w:rsid w:val="00C9177C"/>
    <w:rsid w:val="00C9199C"/>
    <w:rsid w:val="00C91AAF"/>
    <w:rsid w:val="00C91B18"/>
    <w:rsid w:val="00C9233A"/>
    <w:rsid w:val="00C92386"/>
    <w:rsid w:val="00C923C9"/>
    <w:rsid w:val="00C92432"/>
    <w:rsid w:val="00C9305A"/>
    <w:rsid w:val="00C930E1"/>
    <w:rsid w:val="00C93320"/>
    <w:rsid w:val="00C938C2"/>
    <w:rsid w:val="00C939D2"/>
    <w:rsid w:val="00C93AD4"/>
    <w:rsid w:val="00C93F6D"/>
    <w:rsid w:val="00C941B9"/>
    <w:rsid w:val="00C943EA"/>
    <w:rsid w:val="00C94649"/>
    <w:rsid w:val="00C94A83"/>
    <w:rsid w:val="00C94C99"/>
    <w:rsid w:val="00C94E93"/>
    <w:rsid w:val="00C95578"/>
    <w:rsid w:val="00C95732"/>
    <w:rsid w:val="00C95A9B"/>
    <w:rsid w:val="00C9653A"/>
    <w:rsid w:val="00C9702C"/>
    <w:rsid w:val="00C9740E"/>
    <w:rsid w:val="00C9742A"/>
    <w:rsid w:val="00C9798E"/>
    <w:rsid w:val="00C97E41"/>
    <w:rsid w:val="00CA0583"/>
    <w:rsid w:val="00CA06F9"/>
    <w:rsid w:val="00CA08C7"/>
    <w:rsid w:val="00CA0AEC"/>
    <w:rsid w:val="00CA0E85"/>
    <w:rsid w:val="00CA13C1"/>
    <w:rsid w:val="00CA15D3"/>
    <w:rsid w:val="00CA210E"/>
    <w:rsid w:val="00CA22EA"/>
    <w:rsid w:val="00CA2333"/>
    <w:rsid w:val="00CA282C"/>
    <w:rsid w:val="00CA2CBE"/>
    <w:rsid w:val="00CA31FF"/>
    <w:rsid w:val="00CA3407"/>
    <w:rsid w:val="00CA3442"/>
    <w:rsid w:val="00CA35E3"/>
    <w:rsid w:val="00CA44AD"/>
    <w:rsid w:val="00CA4C56"/>
    <w:rsid w:val="00CA4FD3"/>
    <w:rsid w:val="00CA5573"/>
    <w:rsid w:val="00CA5586"/>
    <w:rsid w:val="00CA5914"/>
    <w:rsid w:val="00CA5DC2"/>
    <w:rsid w:val="00CA5EB7"/>
    <w:rsid w:val="00CA6678"/>
    <w:rsid w:val="00CA6D47"/>
    <w:rsid w:val="00CA6DAA"/>
    <w:rsid w:val="00CA7657"/>
    <w:rsid w:val="00CA77DF"/>
    <w:rsid w:val="00CA77F8"/>
    <w:rsid w:val="00CA7BDA"/>
    <w:rsid w:val="00CA7D2B"/>
    <w:rsid w:val="00CB13C2"/>
    <w:rsid w:val="00CB16DC"/>
    <w:rsid w:val="00CB1A1D"/>
    <w:rsid w:val="00CB204D"/>
    <w:rsid w:val="00CB21BE"/>
    <w:rsid w:val="00CB2937"/>
    <w:rsid w:val="00CB2EF4"/>
    <w:rsid w:val="00CB3018"/>
    <w:rsid w:val="00CB3844"/>
    <w:rsid w:val="00CB3A7D"/>
    <w:rsid w:val="00CB3AA0"/>
    <w:rsid w:val="00CB4028"/>
    <w:rsid w:val="00CB4215"/>
    <w:rsid w:val="00CB4796"/>
    <w:rsid w:val="00CB4A32"/>
    <w:rsid w:val="00CB4AE2"/>
    <w:rsid w:val="00CB4F9B"/>
    <w:rsid w:val="00CB50EA"/>
    <w:rsid w:val="00CB54E5"/>
    <w:rsid w:val="00CB55BE"/>
    <w:rsid w:val="00CB56EC"/>
    <w:rsid w:val="00CB5723"/>
    <w:rsid w:val="00CB57CF"/>
    <w:rsid w:val="00CB5F1B"/>
    <w:rsid w:val="00CB6164"/>
    <w:rsid w:val="00CB665C"/>
    <w:rsid w:val="00CB6A8B"/>
    <w:rsid w:val="00CB7027"/>
    <w:rsid w:val="00CB7688"/>
    <w:rsid w:val="00CB7E86"/>
    <w:rsid w:val="00CC0188"/>
    <w:rsid w:val="00CC08C0"/>
    <w:rsid w:val="00CC0A0D"/>
    <w:rsid w:val="00CC0A1C"/>
    <w:rsid w:val="00CC1590"/>
    <w:rsid w:val="00CC1AC5"/>
    <w:rsid w:val="00CC2209"/>
    <w:rsid w:val="00CC3A0B"/>
    <w:rsid w:val="00CC42F1"/>
    <w:rsid w:val="00CC44EE"/>
    <w:rsid w:val="00CC4644"/>
    <w:rsid w:val="00CC4985"/>
    <w:rsid w:val="00CC4AC3"/>
    <w:rsid w:val="00CC51A3"/>
    <w:rsid w:val="00CC5B16"/>
    <w:rsid w:val="00CC644D"/>
    <w:rsid w:val="00CC6A04"/>
    <w:rsid w:val="00CC7162"/>
    <w:rsid w:val="00CC7279"/>
    <w:rsid w:val="00CC74D9"/>
    <w:rsid w:val="00CC775D"/>
    <w:rsid w:val="00CD021A"/>
    <w:rsid w:val="00CD0338"/>
    <w:rsid w:val="00CD0E22"/>
    <w:rsid w:val="00CD126B"/>
    <w:rsid w:val="00CD162A"/>
    <w:rsid w:val="00CD192D"/>
    <w:rsid w:val="00CD1A5F"/>
    <w:rsid w:val="00CD1DD1"/>
    <w:rsid w:val="00CD2411"/>
    <w:rsid w:val="00CD2FE6"/>
    <w:rsid w:val="00CD3226"/>
    <w:rsid w:val="00CD3DA7"/>
    <w:rsid w:val="00CD3F47"/>
    <w:rsid w:val="00CD4086"/>
    <w:rsid w:val="00CD4138"/>
    <w:rsid w:val="00CD46A6"/>
    <w:rsid w:val="00CD47EF"/>
    <w:rsid w:val="00CD4A8A"/>
    <w:rsid w:val="00CD4BFC"/>
    <w:rsid w:val="00CD4E4E"/>
    <w:rsid w:val="00CD54CA"/>
    <w:rsid w:val="00CD57A9"/>
    <w:rsid w:val="00CD5AD8"/>
    <w:rsid w:val="00CD626F"/>
    <w:rsid w:val="00CD651D"/>
    <w:rsid w:val="00CD6871"/>
    <w:rsid w:val="00CD6986"/>
    <w:rsid w:val="00CD6AD9"/>
    <w:rsid w:val="00CD721C"/>
    <w:rsid w:val="00CE08F2"/>
    <w:rsid w:val="00CE0C4A"/>
    <w:rsid w:val="00CE0E35"/>
    <w:rsid w:val="00CE126F"/>
    <w:rsid w:val="00CE1330"/>
    <w:rsid w:val="00CE1447"/>
    <w:rsid w:val="00CE1513"/>
    <w:rsid w:val="00CE151A"/>
    <w:rsid w:val="00CE1B00"/>
    <w:rsid w:val="00CE1B9C"/>
    <w:rsid w:val="00CE1E96"/>
    <w:rsid w:val="00CE2156"/>
    <w:rsid w:val="00CE2DD0"/>
    <w:rsid w:val="00CE2F60"/>
    <w:rsid w:val="00CE3103"/>
    <w:rsid w:val="00CE349D"/>
    <w:rsid w:val="00CE37A7"/>
    <w:rsid w:val="00CE3FCD"/>
    <w:rsid w:val="00CE4580"/>
    <w:rsid w:val="00CE470D"/>
    <w:rsid w:val="00CE478B"/>
    <w:rsid w:val="00CE4DF0"/>
    <w:rsid w:val="00CE4E32"/>
    <w:rsid w:val="00CE4F85"/>
    <w:rsid w:val="00CE54DC"/>
    <w:rsid w:val="00CE572A"/>
    <w:rsid w:val="00CE5C1D"/>
    <w:rsid w:val="00CE5ED2"/>
    <w:rsid w:val="00CE61A4"/>
    <w:rsid w:val="00CE67B5"/>
    <w:rsid w:val="00CE79FD"/>
    <w:rsid w:val="00CE7B29"/>
    <w:rsid w:val="00CE7DBC"/>
    <w:rsid w:val="00CE7E54"/>
    <w:rsid w:val="00CE7E60"/>
    <w:rsid w:val="00CF07B8"/>
    <w:rsid w:val="00CF0D1D"/>
    <w:rsid w:val="00CF1CC5"/>
    <w:rsid w:val="00CF1D1F"/>
    <w:rsid w:val="00CF2497"/>
    <w:rsid w:val="00CF285A"/>
    <w:rsid w:val="00CF29D0"/>
    <w:rsid w:val="00CF2E05"/>
    <w:rsid w:val="00CF320E"/>
    <w:rsid w:val="00CF3942"/>
    <w:rsid w:val="00CF3BBA"/>
    <w:rsid w:val="00CF3D79"/>
    <w:rsid w:val="00CF4C27"/>
    <w:rsid w:val="00CF513B"/>
    <w:rsid w:val="00CF5657"/>
    <w:rsid w:val="00CF574A"/>
    <w:rsid w:val="00CF6351"/>
    <w:rsid w:val="00CF640D"/>
    <w:rsid w:val="00CF71F3"/>
    <w:rsid w:val="00CF7404"/>
    <w:rsid w:val="00CF76AC"/>
    <w:rsid w:val="00CF7ED3"/>
    <w:rsid w:val="00D002C9"/>
    <w:rsid w:val="00D0058C"/>
    <w:rsid w:val="00D00590"/>
    <w:rsid w:val="00D00A7A"/>
    <w:rsid w:val="00D00E34"/>
    <w:rsid w:val="00D00FAE"/>
    <w:rsid w:val="00D00FCF"/>
    <w:rsid w:val="00D01594"/>
    <w:rsid w:val="00D017C0"/>
    <w:rsid w:val="00D01B18"/>
    <w:rsid w:val="00D01B1D"/>
    <w:rsid w:val="00D02233"/>
    <w:rsid w:val="00D02725"/>
    <w:rsid w:val="00D0295C"/>
    <w:rsid w:val="00D029C9"/>
    <w:rsid w:val="00D03329"/>
    <w:rsid w:val="00D03499"/>
    <w:rsid w:val="00D03A68"/>
    <w:rsid w:val="00D03F59"/>
    <w:rsid w:val="00D0448F"/>
    <w:rsid w:val="00D0453B"/>
    <w:rsid w:val="00D04BCA"/>
    <w:rsid w:val="00D04CBA"/>
    <w:rsid w:val="00D04DA1"/>
    <w:rsid w:val="00D05A1E"/>
    <w:rsid w:val="00D05E33"/>
    <w:rsid w:val="00D06151"/>
    <w:rsid w:val="00D065E3"/>
    <w:rsid w:val="00D06842"/>
    <w:rsid w:val="00D06BB2"/>
    <w:rsid w:val="00D074D1"/>
    <w:rsid w:val="00D07BFC"/>
    <w:rsid w:val="00D07D12"/>
    <w:rsid w:val="00D10701"/>
    <w:rsid w:val="00D10896"/>
    <w:rsid w:val="00D10B63"/>
    <w:rsid w:val="00D10D5F"/>
    <w:rsid w:val="00D10EEB"/>
    <w:rsid w:val="00D11150"/>
    <w:rsid w:val="00D1126C"/>
    <w:rsid w:val="00D11527"/>
    <w:rsid w:val="00D11D9E"/>
    <w:rsid w:val="00D12165"/>
    <w:rsid w:val="00D132F2"/>
    <w:rsid w:val="00D138C4"/>
    <w:rsid w:val="00D13F7E"/>
    <w:rsid w:val="00D14885"/>
    <w:rsid w:val="00D151B2"/>
    <w:rsid w:val="00D1523F"/>
    <w:rsid w:val="00D15258"/>
    <w:rsid w:val="00D15585"/>
    <w:rsid w:val="00D15ABB"/>
    <w:rsid w:val="00D15E29"/>
    <w:rsid w:val="00D16372"/>
    <w:rsid w:val="00D1654E"/>
    <w:rsid w:val="00D16652"/>
    <w:rsid w:val="00D16936"/>
    <w:rsid w:val="00D16AC2"/>
    <w:rsid w:val="00D16B4F"/>
    <w:rsid w:val="00D16E14"/>
    <w:rsid w:val="00D178B2"/>
    <w:rsid w:val="00D179B2"/>
    <w:rsid w:val="00D17AF6"/>
    <w:rsid w:val="00D17CA0"/>
    <w:rsid w:val="00D20694"/>
    <w:rsid w:val="00D20995"/>
    <w:rsid w:val="00D20C0D"/>
    <w:rsid w:val="00D212AF"/>
    <w:rsid w:val="00D21409"/>
    <w:rsid w:val="00D21786"/>
    <w:rsid w:val="00D21E8D"/>
    <w:rsid w:val="00D21EDC"/>
    <w:rsid w:val="00D2209F"/>
    <w:rsid w:val="00D225ED"/>
    <w:rsid w:val="00D235AA"/>
    <w:rsid w:val="00D239D2"/>
    <w:rsid w:val="00D23CB2"/>
    <w:rsid w:val="00D25032"/>
    <w:rsid w:val="00D25CEB"/>
    <w:rsid w:val="00D261CC"/>
    <w:rsid w:val="00D26342"/>
    <w:rsid w:val="00D265E6"/>
    <w:rsid w:val="00D2691C"/>
    <w:rsid w:val="00D26A1E"/>
    <w:rsid w:val="00D26A4A"/>
    <w:rsid w:val="00D26EF8"/>
    <w:rsid w:val="00D27031"/>
    <w:rsid w:val="00D27162"/>
    <w:rsid w:val="00D27180"/>
    <w:rsid w:val="00D27B1D"/>
    <w:rsid w:val="00D27F39"/>
    <w:rsid w:val="00D30FDB"/>
    <w:rsid w:val="00D314B7"/>
    <w:rsid w:val="00D3161A"/>
    <w:rsid w:val="00D31A0A"/>
    <w:rsid w:val="00D31A4B"/>
    <w:rsid w:val="00D32237"/>
    <w:rsid w:val="00D3290C"/>
    <w:rsid w:val="00D32E8E"/>
    <w:rsid w:val="00D32EE3"/>
    <w:rsid w:val="00D33409"/>
    <w:rsid w:val="00D33D26"/>
    <w:rsid w:val="00D33D59"/>
    <w:rsid w:val="00D33EC2"/>
    <w:rsid w:val="00D3491A"/>
    <w:rsid w:val="00D34AA6"/>
    <w:rsid w:val="00D34C18"/>
    <w:rsid w:val="00D34C99"/>
    <w:rsid w:val="00D35B91"/>
    <w:rsid w:val="00D35F0A"/>
    <w:rsid w:val="00D36EB7"/>
    <w:rsid w:val="00D36F76"/>
    <w:rsid w:val="00D370AD"/>
    <w:rsid w:val="00D37545"/>
    <w:rsid w:val="00D37667"/>
    <w:rsid w:val="00D37B15"/>
    <w:rsid w:val="00D40439"/>
    <w:rsid w:val="00D4053C"/>
    <w:rsid w:val="00D4080E"/>
    <w:rsid w:val="00D408CC"/>
    <w:rsid w:val="00D417D8"/>
    <w:rsid w:val="00D4180C"/>
    <w:rsid w:val="00D41D0D"/>
    <w:rsid w:val="00D41EFA"/>
    <w:rsid w:val="00D4220A"/>
    <w:rsid w:val="00D4287B"/>
    <w:rsid w:val="00D42F91"/>
    <w:rsid w:val="00D440E5"/>
    <w:rsid w:val="00D44773"/>
    <w:rsid w:val="00D44BE8"/>
    <w:rsid w:val="00D45077"/>
    <w:rsid w:val="00D45734"/>
    <w:rsid w:val="00D45C1F"/>
    <w:rsid w:val="00D46171"/>
    <w:rsid w:val="00D462EE"/>
    <w:rsid w:val="00D46461"/>
    <w:rsid w:val="00D46A02"/>
    <w:rsid w:val="00D46E17"/>
    <w:rsid w:val="00D4729C"/>
    <w:rsid w:val="00D4757B"/>
    <w:rsid w:val="00D47CFE"/>
    <w:rsid w:val="00D47FB8"/>
    <w:rsid w:val="00D501C9"/>
    <w:rsid w:val="00D5040B"/>
    <w:rsid w:val="00D50962"/>
    <w:rsid w:val="00D50C4E"/>
    <w:rsid w:val="00D50F34"/>
    <w:rsid w:val="00D51066"/>
    <w:rsid w:val="00D515A8"/>
    <w:rsid w:val="00D516FB"/>
    <w:rsid w:val="00D51782"/>
    <w:rsid w:val="00D5217D"/>
    <w:rsid w:val="00D52AB0"/>
    <w:rsid w:val="00D536FC"/>
    <w:rsid w:val="00D53801"/>
    <w:rsid w:val="00D538AA"/>
    <w:rsid w:val="00D53C72"/>
    <w:rsid w:val="00D54113"/>
    <w:rsid w:val="00D5494E"/>
    <w:rsid w:val="00D54E42"/>
    <w:rsid w:val="00D550F7"/>
    <w:rsid w:val="00D55147"/>
    <w:rsid w:val="00D55D77"/>
    <w:rsid w:val="00D55FDA"/>
    <w:rsid w:val="00D566A0"/>
    <w:rsid w:val="00D56BAF"/>
    <w:rsid w:val="00D56F08"/>
    <w:rsid w:val="00D571BB"/>
    <w:rsid w:val="00D5734D"/>
    <w:rsid w:val="00D57445"/>
    <w:rsid w:val="00D60079"/>
    <w:rsid w:val="00D607DA"/>
    <w:rsid w:val="00D6098C"/>
    <w:rsid w:val="00D60C7B"/>
    <w:rsid w:val="00D61484"/>
    <w:rsid w:val="00D615DD"/>
    <w:rsid w:val="00D61E3F"/>
    <w:rsid w:val="00D6230F"/>
    <w:rsid w:val="00D623FD"/>
    <w:rsid w:val="00D6245D"/>
    <w:rsid w:val="00D62714"/>
    <w:rsid w:val="00D62732"/>
    <w:rsid w:val="00D62BE6"/>
    <w:rsid w:val="00D62F41"/>
    <w:rsid w:val="00D6314D"/>
    <w:rsid w:val="00D63276"/>
    <w:rsid w:val="00D632D0"/>
    <w:rsid w:val="00D633DC"/>
    <w:rsid w:val="00D641EF"/>
    <w:rsid w:val="00D65560"/>
    <w:rsid w:val="00D65C00"/>
    <w:rsid w:val="00D6631F"/>
    <w:rsid w:val="00D663D4"/>
    <w:rsid w:val="00D66645"/>
    <w:rsid w:val="00D66FF8"/>
    <w:rsid w:val="00D671BC"/>
    <w:rsid w:val="00D67A8E"/>
    <w:rsid w:val="00D70189"/>
    <w:rsid w:val="00D7037C"/>
    <w:rsid w:val="00D70BE1"/>
    <w:rsid w:val="00D71004"/>
    <w:rsid w:val="00D7108D"/>
    <w:rsid w:val="00D717F4"/>
    <w:rsid w:val="00D7199C"/>
    <w:rsid w:val="00D71B5A"/>
    <w:rsid w:val="00D71D19"/>
    <w:rsid w:val="00D71FA2"/>
    <w:rsid w:val="00D722AA"/>
    <w:rsid w:val="00D722DC"/>
    <w:rsid w:val="00D72550"/>
    <w:rsid w:val="00D7272F"/>
    <w:rsid w:val="00D729EC"/>
    <w:rsid w:val="00D7342E"/>
    <w:rsid w:val="00D734B6"/>
    <w:rsid w:val="00D74C81"/>
    <w:rsid w:val="00D75324"/>
    <w:rsid w:val="00D754DC"/>
    <w:rsid w:val="00D75987"/>
    <w:rsid w:val="00D75AD7"/>
    <w:rsid w:val="00D75B18"/>
    <w:rsid w:val="00D75E84"/>
    <w:rsid w:val="00D760AD"/>
    <w:rsid w:val="00D76243"/>
    <w:rsid w:val="00D762E3"/>
    <w:rsid w:val="00D76D7B"/>
    <w:rsid w:val="00D774C5"/>
    <w:rsid w:val="00D80713"/>
    <w:rsid w:val="00D80B95"/>
    <w:rsid w:val="00D81306"/>
    <w:rsid w:val="00D813F5"/>
    <w:rsid w:val="00D82157"/>
    <w:rsid w:val="00D8222D"/>
    <w:rsid w:val="00D82C36"/>
    <w:rsid w:val="00D82DC8"/>
    <w:rsid w:val="00D82E2F"/>
    <w:rsid w:val="00D82F65"/>
    <w:rsid w:val="00D838E0"/>
    <w:rsid w:val="00D83AE1"/>
    <w:rsid w:val="00D83DC7"/>
    <w:rsid w:val="00D83EC3"/>
    <w:rsid w:val="00D8459D"/>
    <w:rsid w:val="00D84621"/>
    <w:rsid w:val="00D86090"/>
    <w:rsid w:val="00D86A6C"/>
    <w:rsid w:val="00D86B6B"/>
    <w:rsid w:val="00D86F53"/>
    <w:rsid w:val="00D8750C"/>
    <w:rsid w:val="00D87927"/>
    <w:rsid w:val="00D90017"/>
    <w:rsid w:val="00D9071B"/>
    <w:rsid w:val="00D91173"/>
    <w:rsid w:val="00D92012"/>
    <w:rsid w:val="00D922BB"/>
    <w:rsid w:val="00D9284E"/>
    <w:rsid w:val="00D930EE"/>
    <w:rsid w:val="00D93348"/>
    <w:rsid w:val="00D937F1"/>
    <w:rsid w:val="00D93AD5"/>
    <w:rsid w:val="00D93BA3"/>
    <w:rsid w:val="00D94326"/>
    <w:rsid w:val="00D9451E"/>
    <w:rsid w:val="00D9515F"/>
    <w:rsid w:val="00D955DE"/>
    <w:rsid w:val="00D9561A"/>
    <w:rsid w:val="00D95A80"/>
    <w:rsid w:val="00D9603E"/>
    <w:rsid w:val="00D9620D"/>
    <w:rsid w:val="00D96258"/>
    <w:rsid w:val="00D96B29"/>
    <w:rsid w:val="00D96D01"/>
    <w:rsid w:val="00D973EF"/>
    <w:rsid w:val="00D97943"/>
    <w:rsid w:val="00D97D3A"/>
    <w:rsid w:val="00DA0511"/>
    <w:rsid w:val="00DA0944"/>
    <w:rsid w:val="00DA0B32"/>
    <w:rsid w:val="00DA0C22"/>
    <w:rsid w:val="00DA0D41"/>
    <w:rsid w:val="00DA109C"/>
    <w:rsid w:val="00DA14CC"/>
    <w:rsid w:val="00DA1D01"/>
    <w:rsid w:val="00DA2657"/>
    <w:rsid w:val="00DA2754"/>
    <w:rsid w:val="00DA29AA"/>
    <w:rsid w:val="00DA29D8"/>
    <w:rsid w:val="00DA2C35"/>
    <w:rsid w:val="00DA2FED"/>
    <w:rsid w:val="00DA3355"/>
    <w:rsid w:val="00DA34B6"/>
    <w:rsid w:val="00DA3B69"/>
    <w:rsid w:val="00DA3D3E"/>
    <w:rsid w:val="00DA3D6F"/>
    <w:rsid w:val="00DA3F00"/>
    <w:rsid w:val="00DA43DC"/>
    <w:rsid w:val="00DA4537"/>
    <w:rsid w:val="00DA469E"/>
    <w:rsid w:val="00DA5811"/>
    <w:rsid w:val="00DA58C8"/>
    <w:rsid w:val="00DA5BD1"/>
    <w:rsid w:val="00DA5F0A"/>
    <w:rsid w:val="00DA632C"/>
    <w:rsid w:val="00DA6D8F"/>
    <w:rsid w:val="00DA7200"/>
    <w:rsid w:val="00DA7330"/>
    <w:rsid w:val="00DA78C3"/>
    <w:rsid w:val="00DA7C30"/>
    <w:rsid w:val="00DA7E5D"/>
    <w:rsid w:val="00DB02CA"/>
    <w:rsid w:val="00DB0DD8"/>
    <w:rsid w:val="00DB0E53"/>
    <w:rsid w:val="00DB102D"/>
    <w:rsid w:val="00DB1EF7"/>
    <w:rsid w:val="00DB2534"/>
    <w:rsid w:val="00DB2B1F"/>
    <w:rsid w:val="00DB2E28"/>
    <w:rsid w:val="00DB2E98"/>
    <w:rsid w:val="00DB3241"/>
    <w:rsid w:val="00DB3FA2"/>
    <w:rsid w:val="00DB493B"/>
    <w:rsid w:val="00DB498E"/>
    <w:rsid w:val="00DB52CD"/>
    <w:rsid w:val="00DB5825"/>
    <w:rsid w:val="00DB58A7"/>
    <w:rsid w:val="00DB5936"/>
    <w:rsid w:val="00DB61D9"/>
    <w:rsid w:val="00DB6E2D"/>
    <w:rsid w:val="00DB6F31"/>
    <w:rsid w:val="00DB7186"/>
    <w:rsid w:val="00DB76FD"/>
    <w:rsid w:val="00DB78D8"/>
    <w:rsid w:val="00DC07ED"/>
    <w:rsid w:val="00DC08C8"/>
    <w:rsid w:val="00DC0932"/>
    <w:rsid w:val="00DC0C77"/>
    <w:rsid w:val="00DC0E04"/>
    <w:rsid w:val="00DC0EEC"/>
    <w:rsid w:val="00DC1195"/>
    <w:rsid w:val="00DC1FE2"/>
    <w:rsid w:val="00DC23E7"/>
    <w:rsid w:val="00DC2410"/>
    <w:rsid w:val="00DC25BE"/>
    <w:rsid w:val="00DC260D"/>
    <w:rsid w:val="00DC2ACC"/>
    <w:rsid w:val="00DC2B94"/>
    <w:rsid w:val="00DC31B5"/>
    <w:rsid w:val="00DC3A95"/>
    <w:rsid w:val="00DC3B66"/>
    <w:rsid w:val="00DC3CBB"/>
    <w:rsid w:val="00DC3F23"/>
    <w:rsid w:val="00DC476C"/>
    <w:rsid w:val="00DC478F"/>
    <w:rsid w:val="00DC499E"/>
    <w:rsid w:val="00DC4D4A"/>
    <w:rsid w:val="00DC4DA0"/>
    <w:rsid w:val="00DC4F69"/>
    <w:rsid w:val="00DC5027"/>
    <w:rsid w:val="00DC53E6"/>
    <w:rsid w:val="00DC5B76"/>
    <w:rsid w:val="00DC6A76"/>
    <w:rsid w:val="00DC6C72"/>
    <w:rsid w:val="00DC6D49"/>
    <w:rsid w:val="00DC6EC6"/>
    <w:rsid w:val="00DC6F9E"/>
    <w:rsid w:val="00DC7021"/>
    <w:rsid w:val="00DC7377"/>
    <w:rsid w:val="00DC78A7"/>
    <w:rsid w:val="00DC7A59"/>
    <w:rsid w:val="00DC7F06"/>
    <w:rsid w:val="00DC7F4D"/>
    <w:rsid w:val="00DD04D8"/>
    <w:rsid w:val="00DD07C9"/>
    <w:rsid w:val="00DD0946"/>
    <w:rsid w:val="00DD121E"/>
    <w:rsid w:val="00DD1288"/>
    <w:rsid w:val="00DD16F6"/>
    <w:rsid w:val="00DD1DC3"/>
    <w:rsid w:val="00DD2203"/>
    <w:rsid w:val="00DD246C"/>
    <w:rsid w:val="00DD275C"/>
    <w:rsid w:val="00DD28A0"/>
    <w:rsid w:val="00DD2ADB"/>
    <w:rsid w:val="00DD2DFA"/>
    <w:rsid w:val="00DD2E35"/>
    <w:rsid w:val="00DD31FB"/>
    <w:rsid w:val="00DD3413"/>
    <w:rsid w:val="00DD3512"/>
    <w:rsid w:val="00DD393F"/>
    <w:rsid w:val="00DD4974"/>
    <w:rsid w:val="00DD4E4B"/>
    <w:rsid w:val="00DD5150"/>
    <w:rsid w:val="00DD54B3"/>
    <w:rsid w:val="00DD56F3"/>
    <w:rsid w:val="00DD664C"/>
    <w:rsid w:val="00DD67A1"/>
    <w:rsid w:val="00DD6A55"/>
    <w:rsid w:val="00DD6C2E"/>
    <w:rsid w:val="00DD6D9A"/>
    <w:rsid w:val="00DD7128"/>
    <w:rsid w:val="00DD723A"/>
    <w:rsid w:val="00DD7670"/>
    <w:rsid w:val="00DD7C9E"/>
    <w:rsid w:val="00DE0479"/>
    <w:rsid w:val="00DE0590"/>
    <w:rsid w:val="00DE077C"/>
    <w:rsid w:val="00DE07E0"/>
    <w:rsid w:val="00DE0992"/>
    <w:rsid w:val="00DE0A6D"/>
    <w:rsid w:val="00DE0F9E"/>
    <w:rsid w:val="00DE1709"/>
    <w:rsid w:val="00DE2140"/>
    <w:rsid w:val="00DE2302"/>
    <w:rsid w:val="00DE2410"/>
    <w:rsid w:val="00DE26C5"/>
    <w:rsid w:val="00DE27B2"/>
    <w:rsid w:val="00DE3172"/>
    <w:rsid w:val="00DE3190"/>
    <w:rsid w:val="00DE31CF"/>
    <w:rsid w:val="00DE397B"/>
    <w:rsid w:val="00DE3E35"/>
    <w:rsid w:val="00DE3FD6"/>
    <w:rsid w:val="00DE4046"/>
    <w:rsid w:val="00DE406F"/>
    <w:rsid w:val="00DE42D5"/>
    <w:rsid w:val="00DE4323"/>
    <w:rsid w:val="00DE4556"/>
    <w:rsid w:val="00DE45E9"/>
    <w:rsid w:val="00DE4CFB"/>
    <w:rsid w:val="00DE5125"/>
    <w:rsid w:val="00DE53E6"/>
    <w:rsid w:val="00DE5A2B"/>
    <w:rsid w:val="00DE5BDA"/>
    <w:rsid w:val="00DE5E3B"/>
    <w:rsid w:val="00DE62B2"/>
    <w:rsid w:val="00DE6B0C"/>
    <w:rsid w:val="00DE6DFE"/>
    <w:rsid w:val="00DE7111"/>
    <w:rsid w:val="00DE7588"/>
    <w:rsid w:val="00DE7A1B"/>
    <w:rsid w:val="00DE7B40"/>
    <w:rsid w:val="00DF116A"/>
    <w:rsid w:val="00DF12B5"/>
    <w:rsid w:val="00DF1518"/>
    <w:rsid w:val="00DF1817"/>
    <w:rsid w:val="00DF1932"/>
    <w:rsid w:val="00DF1AC0"/>
    <w:rsid w:val="00DF1B00"/>
    <w:rsid w:val="00DF1B71"/>
    <w:rsid w:val="00DF1D00"/>
    <w:rsid w:val="00DF1FC6"/>
    <w:rsid w:val="00DF255E"/>
    <w:rsid w:val="00DF276B"/>
    <w:rsid w:val="00DF2B01"/>
    <w:rsid w:val="00DF31C0"/>
    <w:rsid w:val="00DF3530"/>
    <w:rsid w:val="00DF3633"/>
    <w:rsid w:val="00DF4A7D"/>
    <w:rsid w:val="00DF4CB7"/>
    <w:rsid w:val="00DF55E4"/>
    <w:rsid w:val="00DF5FE2"/>
    <w:rsid w:val="00DF61AB"/>
    <w:rsid w:val="00DF61FF"/>
    <w:rsid w:val="00DF6337"/>
    <w:rsid w:val="00DF6705"/>
    <w:rsid w:val="00DF687E"/>
    <w:rsid w:val="00DF6930"/>
    <w:rsid w:val="00DF6C7C"/>
    <w:rsid w:val="00E0093B"/>
    <w:rsid w:val="00E00AB4"/>
    <w:rsid w:val="00E0156D"/>
    <w:rsid w:val="00E01F2E"/>
    <w:rsid w:val="00E0236B"/>
    <w:rsid w:val="00E02878"/>
    <w:rsid w:val="00E02C24"/>
    <w:rsid w:val="00E02F49"/>
    <w:rsid w:val="00E030F1"/>
    <w:rsid w:val="00E0387A"/>
    <w:rsid w:val="00E03B30"/>
    <w:rsid w:val="00E0408E"/>
    <w:rsid w:val="00E045E7"/>
    <w:rsid w:val="00E04AAE"/>
    <w:rsid w:val="00E05444"/>
    <w:rsid w:val="00E057F6"/>
    <w:rsid w:val="00E05A93"/>
    <w:rsid w:val="00E05AD0"/>
    <w:rsid w:val="00E05C78"/>
    <w:rsid w:val="00E05DA7"/>
    <w:rsid w:val="00E06080"/>
    <w:rsid w:val="00E063DD"/>
    <w:rsid w:val="00E07001"/>
    <w:rsid w:val="00E07190"/>
    <w:rsid w:val="00E1028D"/>
    <w:rsid w:val="00E1090F"/>
    <w:rsid w:val="00E10F8B"/>
    <w:rsid w:val="00E1137A"/>
    <w:rsid w:val="00E11758"/>
    <w:rsid w:val="00E118BF"/>
    <w:rsid w:val="00E11989"/>
    <w:rsid w:val="00E11CCB"/>
    <w:rsid w:val="00E11F2B"/>
    <w:rsid w:val="00E121B7"/>
    <w:rsid w:val="00E12662"/>
    <w:rsid w:val="00E1279A"/>
    <w:rsid w:val="00E12933"/>
    <w:rsid w:val="00E13A3E"/>
    <w:rsid w:val="00E13FA7"/>
    <w:rsid w:val="00E13FF2"/>
    <w:rsid w:val="00E14797"/>
    <w:rsid w:val="00E1497E"/>
    <w:rsid w:val="00E14A8A"/>
    <w:rsid w:val="00E14B9B"/>
    <w:rsid w:val="00E14D95"/>
    <w:rsid w:val="00E14DDB"/>
    <w:rsid w:val="00E1519B"/>
    <w:rsid w:val="00E15613"/>
    <w:rsid w:val="00E15753"/>
    <w:rsid w:val="00E16467"/>
    <w:rsid w:val="00E168B4"/>
    <w:rsid w:val="00E17573"/>
    <w:rsid w:val="00E17B49"/>
    <w:rsid w:val="00E202E6"/>
    <w:rsid w:val="00E208D2"/>
    <w:rsid w:val="00E209EB"/>
    <w:rsid w:val="00E20C03"/>
    <w:rsid w:val="00E20E07"/>
    <w:rsid w:val="00E21169"/>
    <w:rsid w:val="00E21352"/>
    <w:rsid w:val="00E21A55"/>
    <w:rsid w:val="00E21E98"/>
    <w:rsid w:val="00E222D9"/>
    <w:rsid w:val="00E22721"/>
    <w:rsid w:val="00E22853"/>
    <w:rsid w:val="00E228D3"/>
    <w:rsid w:val="00E22A69"/>
    <w:rsid w:val="00E22D5C"/>
    <w:rsid w:val="00E23852"/>
    <w:rsid w:val="00E23D26"/>
    <w:rsid w:val="00E24D9C"/>
    <w:rsid w:val="00E24E5A"/>
    <w:rsid w:val="00E2513B"/>
    <w:rsid w:val="00E25296"/>
    <w:rsid w:val="00E25320"/>
    <w:rsid w:val="00E25573"/>
    <w:rsid w:val="00E2564D"/>
    <w:rsid w:val="00E256C5"/>
    <w:rsid w:val="00E25746"/>
    <w:rsid w:val="00E25CF7"/>
    <w:rsid w:val="00E26256"/>
    <w:rsid w:val="00E2642B"/>
    <w:rsid w:val="00E26DE1"/>
    <w:rsid w:val="00E2742E"/>
    <w:rsid w:val="00E27489"/>
    <w:rsid w:val="00E27553"/>
    <w:rsid w:val="00E276CF"/>
    <w:rsid w:val="00E278D9"/>
    <w:rsid w:val="00E27F18"/>
    <w:rsid w:val="00E30154"/>
    <w:rsid w:val="00E30919"/>
    <w:rsid w:val="00E30DB2"/>
    <w:rsid w:val="00E30EB5"/>
    <w:rsid w:val="00E31502"/>
    <w:rsid w:val="00E31EB6"/>
    <w:rsid w:val="00E32201"/>
    <w:rsid w:val="00E32360"/>
    <w:rsid w:val="00E32646"/>
    <w:rsid w:val="00E3273A"/>
    <w:rsid w:val="00E3312A"/>
    <w:rsid w:val="00E33BFF"/>
    <w:rsid w:val="00E3439E"/>
    <w:rsid w:val="00E34CAD"/>
    <w:rsid w:val="00E3505C"/>
    <w:rsid w:val="00E351B0"/>
    <w:rsid w:val="00E351EB"/>
    <w:rsid w:val="00E354C6"/>
    <w:rsid w:val="00E356CA"/>
    <w:rsid w:val="00E35B46"/>
    <w:rsid w:val="00E35CF4"/>
    <w:rsid w:val="00E36276"/>
    <w:rsid w:val="00E362B9"/>
    <w:rsid w:val="00E36614"/>
    <w:rsid w:val="00E36892"/>
    <w:rsid w:val="00E368BD"/>
    <w:rsid w:val="00E36A88"/>
    <w:rsid w:val="00E37F19"/>
    <w:rsid w:val="00E37F22"/>
    <w:rsid w:val="00E37F25"/>
    <w:rsid w:val="00E405D2"/>
    <w:rsid w:val="00E40AAC"/>
    <w:rsid w:val="00E40AEC"/>
    <w:rsid w:val="00E40DDF"/>
    <w:rsid w:val="00E40F7E"/>
    <w:rsid w:val="00E40F85"/>
    <w:rsid w:val="00E418EB"/>
    <w:rsid w:val="00E41E64"/>
    <w:rsid w:val="00E42435"/>
    <w:rsid w:val="00E42871"/>
    <w:rsid w:val="00E434C1"/>
    <w:rsid w:val="00E434E0"/>
    <w:rsid w:val="00E43DA9"/>
    <w:rsid w:val="00E44A0B"/>
    <w:rsid w:val="00E45427"/>
    <w:rsid w:val="00E45633"/>
    <w:rsid w:val="00E45854"/>
    <w:rsid w:val="00E460B2"/>
    <w:rsid w:val="00E47022"/>
    <w:rsid w:val="00E47340"/>
    <w:rsid w:val="00E473A8"/>
    <w:rsid w:val="00E47865"/>
    <w:rsid w:val="00E50335"/>
    <w:rsid w:val="00E50444"/>
    <w:rsid w:val="00E50774"/>
    <w:rsid w:val="00E50810"/>
    <w:rsid w:val="00E50FF7"/>
    <w:rsid w:val="00E5182B"/>
    <w:rsid w:val="00E51B80"/>
    <w:rsid w:val="00E51C61"/>
    <w:rsid w:val="00E5299C"/>
    <w:rsid w:val="00E52C57"/>
    <w:rsid w:val="00E5319B"/>
    <w:rsid w:val="00E53976"/>
    <w:rsid w:val="00E54055"/>
    <w:rsid w:val="00E542E7"/>
    <w:rsid w:val="00E544CD"/>
    <w:rsid w:val="00E551A1"/>
    <w:rsid w:val="00E5541E"/>
    <w:rsid w:val="00E55852"/>
    <w:rsid w:val="00E566E0"/>
    <w:rsid w:val="00E56B1D"/>
    <w:rsid w:val="00E56BA5"/>
    <w:rsid w:val="00E5724D"/>
    <w:rsid w:val="00E57666"/>
    <w:rsid w:val="00E6066D"/>
    <w:rsid w:val="00E60941"/>
    <w:rsid w:val="00E609DE"/>
    <w:rsid w:val="00E60BCD"/>
    <w:rsid w:val="00E61626"/>
    <w:rsid w:val="00E6174F"/>
    <w:rsid w:val="00E61A69"/>
    <w:rsid w:val="00E61CA3"/>
    <w:rsid w:val="00E6257B"/>
    <w:rsid w:val="00E625C1"/>
    <w:rsid w:val="00E629CB"/>
    <w:rsid w:val="00E629DA"/>
    <w:rsid w:val="00E62DB8"/>
    <w:rsid w:val="00E62E46"/>
    <w:rsid w:val="00E62ED7"/>
    <w:rsid w:val="00E632D2"/>
    <w:rsid w:val="00E63505"/>
    <w:rsid w:val="00E636FA"/>
    <w:rsid w:val="00E63857"/>
    <w:rsid w:val="00E638C6"/>
    <w:rsid w:val="00E639E7"/>
    <w:rsid w:val="00E63C8D"/>
    <w:rsid w:val="00E64367"/>
    <w:rsid w:val="00E6449C"/>
    <w:rsid w:val="00E64775"/>
    <w:rsid w:val="00E647C4"/>
    <w:rsid w:val="00E6493B"/>
    <w:rsid w:val="00E64AE6"/>
    <w:rsid w:val="00E65000"/>
    <w:rsid w:val="00E65772"/>
    <w:rsid w:val="00E663B2"/>
    <w:rsid w:val="00E663B9"/>
    <w:rsid w:val="00E667DB"/>
    <w:rsid w:val="00E6685A"/>
    <w:rsid w:val="00E66E29"/>
    <w:rsid w:val="00E67296"/>
    <w:rsid w:val="00E67537"/>
    <w:rsid w:val="00E67B24"/>
    <w:rsid w:val="00E70170"/>
    <w:rsid w:val="00E70472"/>
    <w:rsid w:val="00E70AE0"/>
    <w:rsid w:val="00E70CAA"/>
    <w:rsid w:val="00E71012"/>
    <w:rsid w:val="00E711F4"/>
    <w:rsid w:val="00E71207"/>
    <w:rsid w:val="00E71852"/>
    <w:rsid w:val="00E718E0"/>
    <w:rsid w:val="00E71A6F"/>
    <w:rsid w:val="00E71BCA"/>
    <w:rsid w:val="00E71DFA"/>
    <w:rsid w:val="00E71FE7"/>
    <w:rsid w:val="00E72787"/>
    <w:rsid w:val="00E727AC"/>
    <w:rsid w:val="00E72AB8"/>
    <w:rsid w:val="00E72DE3"/>
    <w:rsid w:val="00E72E2D"/>
    <w:rsid w:val="00E72F2E"/>
    <w:rsid w:val="00E73560"/>
    <w:rsid w:val="00E736F0"/>
    <w:rsid w:val="00E73B94"/>
    <w:rsid w:val="00E74319"/>
    <w:rsid w:val="00E7458B"/>
    <w:rsid w:val="00E748A5"/>
    <w:rsid w:val="00E7495C"/>
    <w:rsid w:val="00E74981"/>
    <w:rsid w:val="00E74CCB"/>
    <w:rsid w:val="00E74EC0"/>
    <w:rsid w:val="00E75146"/>
    <w:rsid w:val="00E752FD"/>
    <w:rsid w:val="00E757ED"/>
    <w:rsid w:val="00E75893"/>
    <w:rsid w:val="00E75EA3"/>
    <w:rsid w:val="00E7621C"/>
    <w:rsid w:val="00E7647E"/>
    <w:rsid w:val="00E768D1"/>
    <w:rsid w:val="00E76C5A"/>
    <w:rsid w:val="00E76F87"/>
    <w:rsid w:val="00E77282"/>
    <w:rsid w:val="00E77931"/>
    <w:rsid w:val="00E77AE9"/>
    <w:rsid w:val="00E77DB7"/>
    <w:rsid w:val="00E77ED0"/>
    <w:rsid w:val="00E77F50"/>
    <w:rsid w:val="00E77FA1"/>
    <w:rsid w:val="00E77FA8"/>
    <w:rsid w:val="00E80988"/>
    <w:rsid w:val="00E80D29"/>
    <w:rsid w:val="00E811D9"/>
    <w:rsid w:val="00E828B0"/>
    <w:rsid w:val="00E828CC"/>
    <w:rsid w:val="00E82C60"/>
    <w:rsid w:val="00E82E1E"/>
    <w:rsid w:val="00E83A8D"/>
    <w:rsid w:val="00E84425"/>
    <w:rsid w:val="00E847AE"/>
    <w:rsid w:val="00E84F2C"/>
    <w:rsid w:val="00E851C3"/>
    <w:rsid w:val="00E8597A"/>
    <w:rsid w:val="00E85BC3"/>
    <w:rsid w:val="00E86613"/>
    <w:rsid w:val="00E867A4"/>
    <w:rsid w:val="00E868D7"/>
    <w:rsid w:val="00E86BA7"/>
    <w:rsid w:val="00E86E2F"/>
    <w:rsid w:val="00E876E8"/>
    <w:rsid w:val="00E8777F"/>
    <w:rsid w:val="00E878F5"/>
    <w:rsid w:val="00E87949"/>
    <w:rsid w:val="00E87AC5"/>
    <w:rsid w:val="00E87D54"/>
    <w:rsid w:val="00E87EBA"/>
    <w:rsid w:val="00E90039"/>
    <w:rsid w:val="00E906F7"/>
    <w:rsid w:val="00E908EE"/>
    <w:rsid w:val="00E90D36"/>
    <w:rsid w:val="00E916D5"/>
    <w:rsid w:val="00E91BAE"/>
    <w:rsid w:val="00E9253E"/>
    <w:rsid w:val="00E92CB1"/>
    <w:rsid w:val="00E93192"/>
    <w:rsid w:val="00E9361E"/>
    <w:rsid w:val="00E93FCA"/>
    <w:rsid w:val="00E94319"/>
    <w:rsid w:val="00E9465C"/>
    <w:rsid w:val="00E94C4E"/>
    <w:rsid w:val="00E94C9C"/>
    <w:rsid w:val="00E94D30"/>
    <w:rsid w:val="00E9522C"/>
    <w:rsid w:val="00E95C2A"/>
    <w:rsid w:val="00E95D38"/>
    <w:rsid w:val="00E95E77"/>
    <w:rsid w:val="00E961C4"/>
    <w:rsid w:val="00E968A3"/>
    <w:rsid w:val="00E96A99"/>
    <w:rsid w:val="00E96B0B"/>
    <w:rsid w:val="00E9731C"/>
    <w:rsid w:val="00E97887"/>
    <w:rsid w:val="00E9793E"/>
    <w:rsid w:val="00E97CA0"/>
    <w:rsid w:val="00E97F2D"/>
    <w:rsid w:val="00EA0795"/>
    <w:rsid w:val="00EA16EC"/>
    <w:rsid w:val="00EA1734"/>
    <w:rsid w:val="00EA1816"/>
    <w:rsid w:val="00EA1D56"/>
    <w:rsid w:val="00EA250E"/>
    <w:rsid w:val="00EA282E"/>
    <w:rsid w:val="00EA2F5A"/>
    <w:rsid w:val="00EA36B6"/>
    <w:rsid w:val="00EA3D6C"/>
    <w:rsid w:val="00EA4123"/>
    <w:rsid w:val="00EA4716"/>
    <w:rsid w:val="00EA5203"/>
    <w:rsid w:val="00EA580C"/>
    <w:rsid w:val="00EA5869"/>
    <w:rsid w:val="00EA5E3F"/>
    <w:rsid w:val="00EA62D2"/>
    <w:rsid w:val="00EA7CD2"/>
    <w:rsid w:val="00EB00C3"/>
    <w:rsid w:val="00EB0288"/>
    <w:rsid w:val="00EB02CC"/>
    <w:rsid w:val="00EB0946"/>
    <w:rsid w:val="00EB0C77"/>
    <w:rsid w:val="00EB15BB"/>
    <w:rsid w:val="00EB1D76"/>
    <w:rsid w:val="00EB229B"/>
    <w:rsid w:val="00EB2323"/>
    <w:rsid w:val="00EB32C9"/>
    <w:rsid w:val="00EB3397"/>
    <w:rsid w:val="00EB35B8"/>
    <w:rsid w:val="00EB43C7"/>
    <w:rsid w:val="00EB462C"/>
    <w:rsid w:val="00EB49CB"/>
    <w:rsid w:val="00EB4A92"/>
    <w:rsid w:val="00EB545E"/>
    <w:rsid w:val="00EB627D"/>
    <w:rsid w:val="00EB6580"/>
    <w:rsid w:val="00EB6D59"/>
    <w:rsid w:val="00EB6DCF"/>
    <w:rsid w:val="00EB715E"/>
    <w:rsid w:val="00EB7329"/>
    <w:rsid w:val="00EB7439"/>
    <w:rsid w:val="00EB7670"/>
    <w:rsid w:val="00EB771B"/>
    <w:rsid w:val="00EB79BD"/>
    <w:rsid w:val="00EB7A23"/>
    <w:rsid w:val="00EB7B4B"/>
    <w:rsid w:val="00EC008D"/>
    <w:rsid w:val="00EC0100"/>
    <w:rsid w:val="00EC0745"/>
    <w:rsid w:val="00EC0C7C"/>
    <w:rsid w:val="00EC12EA"/>
    <w:rsid w:val="00EC1575"/>
    <w:rsid w:val="00EC17A9"/>
    <w:rsid w:val="00EC18FE"/>
    <w:rsid w:val="00EC21B0"/>
    <w:rsid w:val="00EC2212"/>
    <w:rsid w:val="00EC2295"/>
    <w:rsid w:val="00EC2465"/>
    <w:rsid w:val="00EC254D"/>
    <w:rsid w:val="00EC2556"/>
    <w:rsid w:val="00EC2793"/>
    <w:rsid w:val="00EC2A0A"/>
    <w:rsid w:val="00EC2E81"/>
    <w:rsid w:val="00EC30A9"/>
    <w:rsid w:val="00EC3309"/>
    <w:rsid w:val="00EC387C"/>
    <w:rsid w:val="00EC431A"/>
    <w:rsid w:val="00EC4871"/>
    <w:rsid w:val="00EC5967"/>
    <w:rsid w:val="00EC5BFE"/>
    <w:rsid w:val="00EC6CB3"/>
    <w:rsid w:val="00EC6F69"/>
    <w:rsid w:val="00EC7187"/>
    <w:rsid w:val="00EC7277"/>
    <w:rsid w:val="00EC762B"/>
    <w:rsid w:val="00EC7870"/>
    <w:rsid w:val="00EC7DF4"/>
    <w:rsid w:val="00ED0EE4"/>
    <w:rsid w:val="00ED0F24"/>
    <w:rsid w:val="00ED120F"/>
    <w:rsid w:val="00ED169A"/>
    <w:rsid w:val="00ED1C65"/>
    <w:rsid w:val="00ED2785"/>
    <w:rsid w:val="00ED27B2"/>
    <w:rsid w:val="00ED2BC1"/>
    <w:rsid w:val="00ED31CD"/>
    <w:rsid w:val="00ED3A0C"/>
    <w:rsid w:val="00ED4512"/>
    <w:rsid w:val="00ED4768"/>
    <w:rsid w:val="00ED4BBE"/>
    <w:rsid w:val="00ED4BDE"/>
    <w:rsid w:val="00ED5369"/>
    <w:rsid w:val="00ED6690"/>
    <w:rsid w:val="00ED7075"/>
    <w:rsid w:val="00ED70AA"/>
    <w:rsid w:val="00ED73E9"/>
    <w:rsid w:val="00ED7969"/>
    <w:rsid w:val="00ED79BC"/>
    <w:rsid w:val="00ED7EFC"/>
    <w:rsid w:val="00ED7F0D"/>
    <w:rsid w:val="00ED7F9E"/>
    <w:rsid w:val="00EE00FB"/>
    <w:rsid w:val="00EE0303"/>
    <w:rsid w:val="00EE044F"/>
    <w:rsid w:val="00EE05D0"/>
    <w:rsid w:val="00EE0CFF"/>
    <w:rsid w:val="00EE11BE"/>
    <w:rsid w:val="00EE16C8"/>
    <w:rsid w:val="00EE1C0A"/>
    <w:rsid w:val="00EE1D38"/>
    <w:rsid w:val="00EE299D"/>
    <w:rsid w:val="00EE2ACD"/>
    <w:rsid w:val="00EE2C78"/>
    <w:rsid w:val="00EE2D1D"/>
    <w:rsid w:val="00EE2FD7"/>
    <w:rsid w:val="00EE31AC"/>
    <w:rsid w:val="00EE3405"/>
    <w:rsid w:val="00EE3937"/>
    <w:rsid w:val="00EE3BB7"/>
    <w:rsid w:val="00EE3CAA"/>
    <w:rsid w:val="00EE4086"/>
    <w:rsid w:val="00EE4D30"/>
    <w:rsid w:val="00EE4EDB"/>
    <w:rsid w:val="00EE5100"/>
    <w:rsid w:val="00EE5FCF"/>
    <w:rsid w:val="00EE60CC"/>
    <w:rsid w:val="00EE61A0"/>
    <w:rsid w:val="00EE68C4"/>
    <w:rsid w:val="00EE6982"/>
    <w:rsid w:val="00EE6A7D"/>
    <w:rsid w:val="00EE6D8E"/>
    <w:rsid w:val="00EE6E48"/>
    <w:rsid w:val="00EE6F23"/>
    <w:rsid w:val="00EF0AC4"/>
    <w:rsid w:val="00EF1215"/>
    <w:rsid w:val="00EF1591"/>
    <w:rsid w:val="00EF1908"/>
    <w:rsid w:val="00EF1CFD"/>
    <w:rsid w:val="00EF1E80"/>
    <w:rsid w:val="00EF2577"/>
    <w:rsid w:val="00EF31EE"/>
    <w:rsid w:val="00EF3A0E"/>
    <w:rsid w:val="00EF3F37"/>
    <w:rsid w:val="00EF4258"/>
    <w:rsid w:val="00EF4F5A"/>
    <w:rsid w:val="00EF5452"/>
    <w:rsid w:val="00EF577C"/>
    <w:rsid w:val="00EF58F3"/>
    <w:rsid w:val="00EF5D48"/>
    <w:rsid w:val="00EF60D7"/>
    <w:rsid w:val="00EF63B1"/>
    <w:rsid w:val="00EF6A76"/>
    <w:rsid w:val="00EF6AC6"/>
    <w:rsid w:val="00EF6E87"/>
    <w:rsid w:val="00EF744A"/>
    <w:rsid w:val="00EF7A64"/>
    <w:rsid w:val="00EF7EA1"/>
    <w:rsid w:val="00EF7FF2"/>
    <w:rsid w:val="00F00221"/>
    <w:rsid w:val="00F003AD"/>
    <w:rsid w:val="00F00D5B"/>
    <w:rsid w:val="00F013E2"/>
    <w:rsid w:val="00F013EB"/>
    <w:rsid w:val="00F01484"/>
    <w:rsid w:val="00F016DF"/>
    <w:rsid w:val="00F01AD5"/>
    <w:rsid w:val="00F01BA0"/>
    <w:rsid w:val="00F02435"/>
    <w:rsid w:val="00F02A95"/>
    <w:rsid w:val="00F02B07"/>
    <w:rsid w:val="00F02EA1"/>
    <w:rsid w:val="00F034E6"/>
    <w:rsid w:val="00F03508"/>
    <w:rsid w:val="00F03AED"/>
    <w:rsid w:val="00F03B00"/>
    <w:rsid w:val="00F03E7F"/>
    <w:rsid w:val="00F04091"/>
    <w:rsid w:val="00F040C9"/>
    <w:rsid w:val="00F043D6"/>
    <w:rsid w:val="00F04757"/>
    <w:rsid w:val="00F04952"/>
    <w:rsid w:val="00F04F16"/>
    <w:rsid w:val="00F05663"/>
    <w:rsid w:val="00F058E4"/>
    <w:rsid w:val="00F059A4"/>
    <w:rsid w:val="00F064A3"/>
    <w:rsid w:val="00F066BE"/>
    <w:rsid w:val="00F066E3"/>
    <w:rsid w:val="00F067DD"/>
    <w:rsid w:val="00F06C76"/>
    <w:rsid w:val="00F076E7"/>
    <w:rsid w:val="00F07A9C"/>
    <w:rsid w:val="00F07E03"/>
    <w:rsid w:val="00F1054E"/>
    <w:rsid w:val="00F10775"/>
    <w:rsid w:val="00F10BDC"/>
    <w:rsid w:val="00F10FAB"/>
    <w:rsid w:val="00F1166E"/>
    <w:rsid w:val="00F1182F"/>
    <w:rsid w:val="00F11E29"/>
    <w:rsid w:val="00F134B6"/>
    <w:rsid w:val="00F1395C"/>
    <w:rsid w:val="00F13E14"/>
    <w:rsid w:val="00F13E57"/>
    <w:rsid w:val="00F145D1"/>
    <w:rsid w:val="00F148B1"/>
    <w:rsid w:val="00F14AF4"/>
    <w:rsid w:val="00F15C3B"/>
    <w:rsid w:val="00F15EF9"/>
    <w:rsid w:val="00F160C1"/>
    <w:rsid w:val="00F161D3"/>
    <w:rsid w:val="00F1636E"/>
    <w:rsid w:val="00F17B60"/>
    <w:rsid w:val="00F20C43"/>
    <w:rsid w:val="00F20DC3"/>
    <w:rsid w:val="00F211FE"/>
    <w:rsid w:val="00F21DBB"/>
    <w:rsid w:val="00F21F8A"/>
    <w:rsid w:val="00F2243C"/>
    <w:rsid w:val="00F2281C"/>
    <w:rsid w:val="00F22851"/>
    <w:rsid w:val="00F23254"/>
    <w:rsid w:val="00F23596"/>
    <w:rsid w:val="00F23936"/>
    <w:rsid w:val="00F24031"/>
    <w:rsid w:val="00F24C7E"/>
    <w:rsid w:val="00F253C0"/>
    <w:rsid w:val="00F25561"/>
    <w:rsid w:val="00F25876"/>
    <w:rsid w:val="00F25942"/>
    <w:rsid w:val="00F264FF"/>
    <w:rsid w:val="00F2751B"/>
    <w:rsid w:val="00F27AA2"/>
    <w:rsid w:val="00F30219"/>
    <w:rsid w:val="00F30FC5"/>
    <w:rsid w:val="00F3106D"/>
    <w:rsid w:val="00F31370"/>
    <w:rsid w:val="00F31379"/>
    <w:rsid w:val="00F3183B"/>
    <w:rsid w:val="00F318C6"/>
    <w:rsid w:val="00F321A4"/>
    <w:rsid w:val="00F32253"/>
    <w:rsid w:val="00F326EF"/>
    <w:rsid w:val="00F32828"/>
    <w:rsid w:val="00F330D7"/>
    <w:rsid w:val="00F330E6"/>
    <w:rsid w:val="00F332F2"/>
    <w:rsid w:val="00F334E5"/>
    <w:rsid w:val="00F3356A"/>
    <w:rsid w:val="00F3378A"/>
    <w:rsid w:val="00F33C16"/>
    <w:rsid w:val="00F33C37"/>
    <w:rsid w:val="00F33E5A"/>
    <w:rsid w:val="00F34010"/>
    <w:rsid w:val="00F34297"/>
    <w:rsid w:val="00F348D9"/>
    <w:rsid w:val="00F34B93"/>
    <w:rsid w:val="00F34DF4"/>
    <w:rsid w:val="00F360BF"/>
    <w:rsid w:val="00F3630D"/>
    <w:rsid w:val="00F36504"/>
    <w:rsid w:val="00F36FE1"/>
    <w:rsid w:val="00F37972"/>
    <w:rsid w:val="00F37A7D"/>
    <w:rsid w:val="00F37AF0"/>
    <w:rsid w:val="00F37CE8"/>
    <w:rsid w:val="00F405F6"/>
    <w:rsid w:val="00F406CA"/>
    <w:rsid w:val="00F40812"/>
    <w:rsid w:val="00F409FC"/>
    <w:rsid w:val="00F40B0F"/>
    <w:rsid w:val="00F4122D"/>
    <w:rsid w:val="00F41BA0"/>
    <w:rsid w:val="00F41DB4"/>
    <w:rsid w:val="00F42544"/>
    <w:rsid w:val="00F425DC"/>
    <w:rsid w:val="00F42A0B"/>
    <w:rsid w:val="00F42F6F"/>
    <w:rsid w:val="00F42FCA"/>
    <w:rsid w:val="00F438C8"/>
    <w:rsid w:val="00F43D7A"/>
    <w:rsid w:val="00F4420C"/>
    <w:rsid w:val="00F44C37"/>
    <w:rsid w:val="00F44F5D"/>
    <w:rsid w:val="00F458DA"/>
    <w:rsid w:val="00F45C72"/>
    <w:rsid w:val="00F4637C"/>
    <w:rsid w:val="00F46553"/>
    <w:rsid w:val="00F466B0"/>
    <w:rsid w:val="00F466CD"/>
    <w:rsid w:val="00F466F1"/>
    <w:rsid w:val="00F4711D"/>
    <w:rsid w:val="00F47249"/>
    <w:rsid w:val="00F5101A"/>
    <w:rsid w:val="00F51496"/>
    <w:rsid w:val="00F51A15"/>
    <w:rsid w:val="00F51A21"/>
    <w:rsid w:val="00F51AFB"/>
    <w:rsid w:val="00F52063"/>
    <w:rsid w:val="00F521D8"/>
    <w:rsid w:val="00F52A56"/>
    <w:rsid w:val="00F52BA9"/>
    <w:rsid w:val="00F52CCD"/>
    <w:rsid w:val="00F5346D"/>
    <w:rsid w:val="00F537FC"/>
    <w:rsid w:val="00F539F0"/>
    <w:rsid w:val="00F5416F"/>
    <w:rsid w:val="00F54442"/>
    <w:rsid w:val="00F551DA"/>
    <w:rsid w:val="00F55244"/>
    <w:rsid w:val="00F55956"/>
    <w:rsid w:val="00F55C82"/>
    <w:rsid w:val="00F560C3"/>
    <w:rsid w:val="00F5690B"/>
    <w:rsid w:val="00F56C8A"/>
    <w:rsid w:val="00F57566"/>
    <w:rsid w:val="00F576EE"/>
    <w:rsid w:val="00F57750"/>
    <w:rsid w:val="00F579E2"/>
    <w:rsid w:val="00F601DE"/>
    <w:rsid w:val="00F6067B"/>
    <w:rsid w:val="00F60BF7"/>
    <w:rsid w:val="00F60E1F"/>
    <w:rsid w:val="00F619B2"/>
    <w:rsid w:val="00F61B0D"/>
    <w:rsid w:val="00F61D09"/>
    <w:rsid w:val="00F623A2"/>
    <w:rsid w:val="00F62798"/>
    <w:rsid w:val="00F63558"/>
    <w:rsid w:val="00F63DE8"/>
    <w:rsid w:val="00F6462F"/>
    <w:rsid w:val="00F64B94"/>
    <w:rsid w:val="00F64DAB"/>
    <w:rsid w:val="00F64E40"/>
    <w:rsid w:val="00F64E8F"/>
    <w:rsid w:val="00F6567D"/>
    <w:rsid w:val="00F65B4F"/>
    <w:rsid w:val="00F65E96"/>
    <w:rsid w:val="00F6669E"/>
    <w:rsid w:val="00F66D9E"/>
    <w:rsid w:val="00F67123"/>
    <w:rsid w:val="00F67210"/>
    <w:rsid w:val="00F67848"/>
    <w:rsid w:val="00F678E2"/>
    <w:rsid w:val="00F679D9"/>
    <w:rsid w:val="00F67D9A"/>
    <w:rsid w:val="00F706A6"/>
    <w:rsid w:val="00F70BF0"/>
    <w:rsid w:val="00F70E5C"/>
    <w:rsid w:val="00F712B6"/>
    <w:rsid w:val="00F7146F"/>
    <w:rsid w:val="00F71B80"/>
    <w:rsid w:val="00F71E78"/>
    <w:rsid w:val="00F7243B"/>
    <w:rsid w:val="00F725EF"/>
    <w:rsid w:val="00F727A4"/>
    <w:rsid w:val="00F728A1"/>
    <w:rsid w:val="00F72BAF"/>
    <w:rsid w:val="00F72CEB"/>
    <w:rsid w:val="00F72E13"/>
    <w:rsid w:val="00F72F68"/>
    <w:rsid w:val="00F733FF"/>
    <w:rsid w:val="00F73849"/>
    <w:rsid w:val="00F743FD"/>
    <w:rsid w:val="00F7478A"/>
    <w:rsid w:val="00F749BF"/>
    <w:rsid w:val="00F74D4B"/>
    <w:rsid w:val="00F750B2"/>
    <w:rsid w:val="00F7535A"/>
    <w:rsid w:val="00F75C36"/>
    <w:rsid w:val="00F75C87"/>
    <w:rsid w:val="00F7617D"/>
    <w:rsid w:val="00F763FB"/>
    <w:rsid w:val="00F76DF4"/>
    <w:rsid w:val="00F76F91"/>
    <w:rsid w:val="00F770CF"/>
    <w:rsid w:val="00F77C80"/>
    <w:rsid w:val="00F8046A"/>
    <w:rsid w:val="00F80578"/>
    <w:rsid w:val="00F8086C"/>
    <w:rsid w:val="00F80E91"/>
    <w:rsid w:val="00F815DA"/>
    <w:rsid w:val="00F8175A"/>
    <w:rsid w:val="00F81791"/>
    <w:rsid w:val="00F81865"/>
    <w:rsid w:val="00F81B57"/>
    <w:rsid w:val="00F81DD1"/>
    <w:rsid w:val="00F81E6A"/>
    <w:rsid w:val="00F8285A"/>
    <w:rsid w:val="00F82A19"/>
    <w:rsid w:val="00F82C08"/>
    <w:rsid w:val="00F82FF3"/>
    <w:rsid w:val="00F836C1"/>
    <w:rsid w:val="00F83E16"/>
    <w:rsid w:val="00F83E2A"/>
    <w:rsid w:val="00F83E44"/>
    <w:rsid w:val="00F83E59"/>
    <w:rsid w:val="00F83FB2"/>
    <w:rsid w:val="00F84AA8"/>
    <w:rsid w:val="00F8561D"/>
    <w:rsid w:val="00F85890"/>
    <w:rsid w:val="00F859ED"/>
    <w:rsid w:val="00F9008B"/>
    <w:rsid w:val="00F906C8"/>
    <w:rsid w:val="00F90DBB"/>
    <w:rsid w:val="00F90EEA"/>
    <w:rsid w:val="00F91115"/>
    <w:rsid w:val="00F91162"/>
    <w:rsid w:val="00F9143B"/>
    <w:rsid w:val="00F919C7"/>
    <w:rsid w:val="00F91B68"/>
    <w:rsid w:val="00F92AF8"/>
    <w:rsid w:val="00F930B5"/>
    <w:rsid w:val="00F933EE"/>
    <w:rsid w:val="00F9360F"/>
    <w:rsid w:val="00F93665"/>
    <w:rsid w:val="00F93D1A"/>
    <w:rsid w:val="00F93EB3"/>
    <w:rsid w:val="00F9567E"/>
    <w:rsid w:val="00F95954"/>
    <w:rsid w:val="00F96EE3"/>
    <w:rsid w:val="00F96F94"/>
    <w:rsid w:val="00F974E1"/>
    <w:rsid w:val="00F979B5"/>
    <w:rsid w:val="00F97A92"/>
    <w:rsid w:val="00F97AF1"/>
    <w:rsid w:val="00FA04C6"/>
    <w:rsid w:val="00FA0528"/>
    <w:rsid w:val="00FA07CA"/>
    <w:rsid w:val="00FA0996"/>
    <w:rsid w:val="00FA0C1C"/>
    <w:rsid w:val="00FA0DBC"/>
    <w:rsid w:val="00FA17AB"/>
    <w:rsid w:val="00FA1A32"/>
    <w:rsid w:val="00FA1D6A"/>
    <w:rsid w:val="00FA210E"/>
    <w:rsid w:val="00FA225A"/>
    <w:rsid w:val="00FA23EA"/>
    <w:rsid w:val="00FA24CF"/>
    <w:rsid w:val="00FA26FA"/>
    <w:rsid w:val="00FA29BA"/>
    <w:rsid w:val="00FA2A43"/>
    <w:rsid w:val="00FA2B4F"/>
    <w:rsid w:val="00FA2C14"/>
    <w:rsid w:val="00FA3877"/>
    <w:rsid w:val="00FA3970"/>
    <w:rsid w:val="00FA47BE"/>
    <w:rsid w:val="00FA4B16"/>
    <w:rsid w:val="00FA4DB7"/>
    <w:rsid w:val="00FA571E"/>
    <w:rsid w:val="00FA640D"/>
    <w:rsid w:val="00FA65D9"/>
    <w:rsid w:val="00FA6D9F"/>
    <w:rsid w:val="00FA721C"/>
    <w:rsid w:val="00FA769E"/>
    <w:rsid w:val="00FA7CDC"/>
    <w:rsid w:val="00FA7F60"/>
    <w:rsid w:val="00FB0299"/>
    <w:rsid w:val="00FB0BC6"/>
    <w:rsid w:val="00FB14D9"/>
    <w:rsid w:val="00FB16E6"/>
    <w:rsid w:val="00FB1A91"/>
    <w:rsid w:val="00FB2259"/>
    <w:rsid w:val="00FB2321"/>
    <w:rsid w:val="00FB2D70"/>
    <w:rsid w:val="00FB307A"/>
    <w:rsid w:val="00FB356F"/>
    <w:rsid w:val="00FB3650"/>
    <w:rsid w:val="00FB4662"/>
    <w:rsid w:val="00FB4A9D"/>
    <w:rsid w:val="00FB4EB7"/>
    <w:rsid w:val="00FB544C"/>
    <w:rsid w:val="00FB5500"/>
    <w:rsid w:val="00FB579D"/>
    <w:rsid w:val="00FB59AF"/>
    <w:rsid w:val="00FB5E01"/>
    <w:rsid w:val="00FB5EB5"/>
    <w:rsid w:val="00FB5F4F"/>
    <w:rsid w:val="00FB6474"/>
    <w:rsid w:val="00FB6B75"/>
    <w:rsid w:val="00FB7313"/>
    <w:rsid w:val="00FB7644"/>
    <w:rsid w:val="00FB7820"/>
    <w:rsid w:val="00FB788E"/>
    <w:rsid w:val="00FB7909"/>
    <w:rsid w:val="00FB7C61"/>
    <w:rsid w:val="00FB7D67"/>
    <w:rsid w:val="00FC0102"/>
    <w:rsid w:val="00FC0814"/>
    <w:rsid w:val="00FC19A3"/>
    <w:rsid w:val="00FC227F"/>
    <w:rsid w:val="00FC2409"/>
    <w:rsid w:val="00FC251E"/>
    <w:rsid w:val="00FC2630"/>
    <w:rsid w:val="00FC28BE"/>
    <w:rsid w:val="00FC2E36"/>
    <w:rsid w:val="00FC42D1"/>
    <w:rsid w:val="00FC4375"/>
    <w:rsid w:val="00FC4C16"/>
    <w:rsid w:val="00FC56B9"/>
    <w:rsid w:val="00FC5892"/>
    <w:rsid w:val="00FC5D31"/>
    <w:rsid w:val="00FC64CC"/>
    <w:rsid w:val="00FC6AD4"/>
    <w:rsid w:val="00FC6BB8"/>
    <w:rsid w:val="00FC6C9C"/>
    <w:rsid w:val="00FC75C3"/>
    <w:rsid w:val="00FC7D73"/>
    <w:rsid w:val="00FD0309"/>
    <w:rsid w:val="00FD05CD"/>
    <w:rsid w:val="00FD09C0"/>
    <w:rsid w:val="00FD09E2"/>
    <w:rsid w:val="00FD0BD9"/>
    <w:rsid w:val="00FD0C3F"/>
    <w:rsid w:val="00FD0CAE"/>
    <w:rsid w:val="00FD1268"/>
    <w:rsid w:val="00FD12F1"/>
    <w:rsid w:val="00FD181C"/>
    <w:rsid w:val="00FD1A35"/>
    <w:rsid w:val="00FD21B4"/>
    <w:rsid w:val="00FD28D7"/>
    <w:rsid w:val="00FD3595"/>
    <w:rsid w:val="00FD35D2"/>
    <w:rsid w:val="00FD3E67"/>
    <w:rsid w:val="00FD445D"/>
    <w:rsid w:val="00FD477D"/>
    <w:rsid w:val="00FD4781"/>
    <w:rsid w:val="00FD4901"/>
    <w:rsid w:val="00FD4F13"/>
    <w:rsid w:val="00FD4F33"/>
    <w:rsid w:val="00FD53A2"/>
    <w:rsid w:val="00FD5D95"/>
    <w:rsid w:val="00FD61A4"/>
    <w:rsid w:val="00FD654B"/>
    <w:rsid w:val="00FD6640"/>
    <w:rsid w:val="00FD69F2"/>
    <w:rsid w:val="00FD6AA8"/>
    <w:rsid w:val="00FD6FB5"/>
    <w:rsid w:val="00FD72DE"/>
    <w:rsid w:val="00FD7842"/>
    <w:rsid w:val="00FE0041"/>
    <w:rsid w:val="00FE0157"/>
    <w:rsid w:val="00FE0812"/>
    <w:rsid w:val="00FE08F4"/>
    <w:rsid w:val="00FE0E8C"/>
    <w:rsid w:val="00FE0EBA"/>
    <w:rsid w:val="00FE0FDD"/>
    <w:rsid w:val="00FE1008"/>
    <w:rsid w:val="00FE1756"/>
    <w:rsid w:val="00FE1CE9"/>
    <w:rsid w:val="00FE1D6F"/>
    <w:rsid w:val="00FE2252"/>
    <w:rsid w:val="00FE25D7"/>
    <w:rsid w:val="00FE2CE5"/>
    <w:rsid w:val="00FE3104"/>
    <w:rsid w:val="00FE3346"/>
    <w:rsid w:val="00FE33B5"/>
    <w:rsid w:val="00FE3D5C"/>
    <w:rsid w:val="00FE45CF"/>
    <w:rsid w:val="00FE466E"/>
    <w:rsid w:val="00FE484D"/>
    <w:rsid w:val="00FE491F"/>
    <w:rsid w:val="00FE4AEB"/>
    <w:rsid w:val="00FE4BD5"/>
    <w:rsid w:val="00FE4D94"/>
    <w:rsid w:val="00FE52A6"/>
    <w:rsid w:val="00FE5D29"/>
    <w:rsid w:val="00FE5F29"/>
    <w:rsid w:val="00FE65A7"/>
    <w:rsid w:val="00FE68B6"/>
    <w:rsid w:val="00FE71E7"/>
    <w:rsid w:val="00FE7778"/>
    <w:rsid w:val="00FE78A3"/>
    <w:rsid w:val="00FE7F21"/>
    <w:rsid w:val="00FF0336"/>
    <w:rsid w:val="00FF07C4"/>
    <w:rsid w:val="00FF0FA3"/>
    <w:rsid w:val="00FF1033"/>
    <w:rsid w:val="00FF10C4"/>
    <w:rsid w:val="00FF113C"/>
    <w:rsid w:val="00FF1660"/>
    <w:rsid w:val="00FF1CBB"/>
    <w:rsid w:val="00FF1CD9"/>
    <w:rsid w:val="00FF2373"/>
    <w:rsid w:val="00FF2B6B"/>
    <w:rsid w:val="00FF3045"/>
    <w:rsid w:val="00FF30ED"/>
    <w:rsid w:val="00FF3132"/>
    <w:rsid w:val="00FF314A"/>
    <w:rsid w:val="00FF3260"/>
    <w:rsid w:val="00FF3794"/>
    <w:rsid w:val="00FF3836"/>
    <w:rsid w:val="00FF395D"/>
    <w:rsid w:val="00FF4245"/>
    <w:rsid w:val="00FF4421"/>
    <w:rsid w:val="00FF4A55"/>
    <w:rsid w:val="00FF4F78"/>
    <w:rsid w:val="00FF5003"/>
    <w:rsid w:val="00FF5915"/>
    <w:rsid w:val="00FF5D49"/>
    <w:rsid w:val="00FF66C0"/>
    <w:rsid w:val="00FF700C"/>
    <w:rsid w:val="00FF7BE2"/>
    <w:rsid w:val="00FF7E2E"/>
    <w:rsid w:val="00FF7F65"/>
    <w:rsid w:val="5304DEE3"/>
    <w:rsid w:val="6BAF2A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3FA4747-1A76-4D2C-8DC9-9B159E55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9" w:unhideWhenUsed="1" w:qFormat="1"/>
    <w:lsdException w:name="heading 8" w:uiPriority="99" w:unhideWhenUsed="1" w:qFormat="1"/>
    <w:lsdException w:name="heading 9" w:uiPriority="99" w:unhideWhenUsed="1" w:qFormat="1"/>
    <w:lsdException w:name="index 1" w:semiHidden="1" w:uiPriority="99"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qFormat="1"/>
    <w:lsdException w:name="List Bullet" w:semiHidden="1" w:unhideWhenUsed="1" w:qFormat="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uiPriority="99" w:unhideWhenUsed="1"/>
    <w:lsdException w:name="List Number 3" w:semiHidden="1" w:uiPriority="99" w:unhideWhenUsed="1"/>
    <w:lsdException w:name="List Number 4" w:semiHidden="1" w:unhideWhenUsed="1"/>
    <w:lsdException w:name="List Number 5"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209D6"/>
    <w:pPr>
      <w:overflowPunct w:val="0"/>
      <w:autoSpaceDE w:val="0"/>
      <w:autoSpaceDN w:val="0"/>
      <w:adjustRightInd w:val="0"/>
      <w:textAlignment w:val="baseline"/>
    </w:pPr>
    <w:rPr>
      <w:rFonts w:ascii="Segoe UI" w:hAnsi="Segoe UI"/>
      <w:sz w:val="22"/>
      <w:lang w:eastAsia="en-US"/>
    </w:rPr>
  </w:style>
  <w:style w:type="paragraph" w:styleId="Virsraksts1">
    <w:name w:val="heading 1"/>
    <w:basedOn w:val="Parasts"/>
    <w:next w:val="Parasts"/>
    <w:link w:val="Virsraksts1Rakstz"/>
    <w:uiPriority w:val="9"/>
    <w:qFormat/>
    <w:rsid w:val="00DF1932"/>
    <w:pPr>
      <w:keepNext/>
      <w:numPr>
        <w:numId w:val="7"/>
      </w:numPr>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uiPriority w:val="9"/>
    <w:qFormat/>
    <w:rsid w:val="00DF1932"/>
    <w:pPr>
      <w:keepNext/>
      <w:numPr>
        <w:ilvl w:val="1"/>
        <w:numId w:val="7"/>
      </w:numPr>
      <w:spacing w:before="240" w:after="60"/>
      <w:outlineLvl w:val="1"/>
    </w:pPr>
    <w:rPr>
      <w:rFonts w:ascii="Arial" w:hAnsi="Arial" w:cs="Arial"/>
      <w:b/>
      <w:bCs/>
      <w:i/>
      <w:iCs/>
      <w:sz w:val="28"/>
      <w:szCs w:val="28"/>
    </w:rPr>
  </w:style>
  <w:style w:type="paragraph" w:styleId="Virsraksts3">
    <w:name w:val="heading 3"/>
    <w:basedOn w:val="Parasts"/>
    <w:link w:val="Virsraksts3Rakstz"/>
    <w:qFormat/>
    <w:rsid w:val="00DF1932"/>
    <w:pPr>
      <w:keepNext/>
      <w:widowControl w:val="0"/>
      <w:numPr>
        <w:ilvl w:val="2"/>
        <w:numId w:val="7"/>
      </w:numPr>
      <w:spacing w:before="240" w:after="120"/>
      <w:jc w:val="both"/>
      <w:textAlignment w:val="auto"/>
      <w:outlineLvl w:val="2"/>
    </w:pPr>
    <w:rPr>
      <w:rFonts w:ascii="Arial Narrow" w:hAnsi="Arial Narrow"/>
      <w:color w:val="3366FF"/>
      <w:sz w:val="26"/>
    </w:rPr>
  </w:style>
  <w:style w:type="paragraph" w:styleId="Virsraksts4">
    <w:name w:val="heading 4"/>
    <w:basedOn w:val="Parasts"/>
    <w:next w:val="Parasts"/>
    <w:link w:val="Virsraksts4Rakstz"/>
    <w:uiPriority w:val="9"/>
    <w:qFormat/>
    <w:rsid w:val="00DF1932"/>
    <w:pPr>
      <w:keepNext/>
      <w:numPr>
        <w:ilvl w:val="3"/>
        <w:numId w:val="7"/>
      </w:numPr>
      <w:outlineLvl w:val="3"/>
    </w:pPr>
    <w:rPr>
      <w:rFonts w:ascii="Arial" w:hAnsi="Arial" w:cs="Arial"/>
      <w:b/>
      <w:bCs/>
      <w:sz w:val="16"/>
      <w:szCs w:val="16"/>
    </w:rPr>
  </w:style>
  <w:style w:type="paragraph" w:styleId="Virsraksts5">
    <w:name w:val="heading 5"/>
    <w:basedOn w:val="Parasts"/>
    <w:next w:val="Parasts"/>
    <w:link w:val="Virsraksts5Rakstz"/>
    <w:uiPriority w:val="9"/>
    <w:qFormat/>
    <w:rsid w:val="00DF1932"/>
    <w:pPr>
      <w:keepNext/>
      <w:numPr>
        <w:ilvl w:val="4"/>
        <w:numId w:val="7"/>
      </w:numPr>
      <w:jc w:val="center"/>
      <w:outlineLvl w:val="4"/>
    </w:pPr>
    <w:rPr>
      <w:rFonts w:ascii="Arial" w:hAnsi="Arial" w:cs="Arial"/>
      <w:b/>
      <w:bCs/>
      <w:sz w:val="16"/>
      <w:szCs w:val="16"/>
      <w:lang w:val="de-DE"/>
    </w:rPr>
  </w:style>
  <w:style w:type="paragraph" w:styleId="Virsraksts6">
    <w:name w:val="heading 6"/>
    <w:basedOn w:val="Parasts"/>
    <w:next w:val="Parasts"/>
    <w:link w:val="Virsraksts6Rakstz"/>
    <w:uiPriority w:val="9"/>
    <w:qFormat/>
    <w:rsid w:val="00E2564D"/>
    <w:pPr>
      <w:keepNext/>
      <w:numPr>
        <w:ilvl w:val="5"/>
        <w:numId w:val="7"/>
      </w:numPr>
      <w:tabs>
        <w:tab w:val="left" w:pos="1208"/>
      </w:tabs>
      <w:overflowPunct/>
      <w:autoSpaceDE/>
      <w:autoSpaceDN/>
      <w:adjustRightInd/>
      <w:spacing w:before="120" w:after="120"/>
      <w:textAlignment w:val="auto"/>
      <w:outlineLvl w:val="5"/>
    </w:pPr>
    <w:rPr>
      <w:bCs/>
      <w:sz w:val="24"/>
      <w:szCs w:val="22"/>
      <w:lang w:val="pl-PL"/>
    </w:rPr>
  </w:style>
  <w:style w:type="paragraph" w:styleId="Virsraksts7">
    <w:name w:val="heading 7"/>
    <w:basedOn w:val="Parasts"/>
    <w:next w:val="Parasts"/>
    <w:link w:val="Virsraksts7Rakstz"/>
    <w:uiPriority w:val="99"/>
    <w:qFormat/>
    <w:rsid w:val="00E2564D"/>
    <w:pPr>
      <w:keepNext/>
      <w:numPr>
        <w:ilvl w:val="6"/>
        <w:numId w:val="7"/>
      </w:numPr>
      <w:overflowPunct/>
      <w:autoSpaceDE/>
      <w:autoSpaceDN/>
      <w:adjustRightInd/>
      <w:spacing w:before="60"/>
      <w:textAlignment w:val="auto"/>
      <w:outlineLvl w:val="6"/>
    </w:pPr>
    <w:rPr>
      <w:i/>
      <w:lang w:val="pl-PL"/>
    </w:rPr>
  </w:style>
  <w:style w:type="paragraph" w:styleId="Virsraksts8">
    <w:name w:val="heading 8"/>
    <w:basedOn w:val="Parasts"/>
    <w:next w:val="Parasts"/>
    <w:link w:val="Virsraksts8Rakstz"/>
    <w:uiPriority w:val="99"/>
    <w:qFormat/>
    <w:rsid w:val="00E2564D"/>
    <w:pPr>
      <w:keepNext/>
      <w:numPr>
        <w:ilvl w:val="7"/>
        <w:numId w:val="7"/>
      </w:numPr>
      <w:overflowPunct/>
      <w:autoSpaceDE/>
      <w:autoSpaceDN/>
      <w:adjustRightInd/>
      <w:spacing w:before="60"/>
      <w:textAlignment w:val="auto"/>
      <w:outlineLvl w:val="7"/>
    </w:pPr>
    <w:rPr>
      <w:i/>
      <w:iCs/>
      <w:lang w:val="pl-PL"/>
    </w:rPr>
  </w:style>
  <w:style w:type="paragraph" w:styleId="Virsraksts9">
    <w:name w:val="heading 9"/>
    <w:basedOn w:val="Parasts"/>
    <w:next w:val="Parasts"/>
    <w:link w:val="Virsraksts9Rakstz"/>
    <w:uiPriority w:val="99"/>
    <w:qFormat/>
    <w:rsid w:val="00E2564D"/>
    <w:pPr>
      <w:keepNext/>
      <w:numPr>
        <w:ilvl w:val="8"/>
        <w:numId w:val="7"/>
      </w:numPr>
      <w:outlineLvl w:val="8"/>
    </w:pPr>
    <w:rPr>
      <w:b/>
      <w:color w:val="FFFFFF"/>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autoRedefine/>
    <w:uiPriority w:val="99"/>
    <w:semiHidden/>
    <w:rsid w:val="00CA4FD3"/>
    <w:rPr>
      <w:rFonts w:cs="Tahoma"/>
      <w:sz w:val="20"/>
      <w:szCs w:val="16"/>
    </w:rPr>
  </w:style>
  <w:style w:type="character" w:customStyle="1" w:styleId="BalloonTextChar">
    <w:name w:val="Balloon Text Char"/>
    <w:basedOn w:val="Noklusjumarindkopasfonts"/>
    <w:uiPriority w:val="99"/>
    <w:semiHidden/>
    <w:rsid w:val="0053264A"/>
    <w:rPr>
      <w:rFonts w:ascii="Lucida Grande" w:hAnsi="Lucida Grande"/>
      <w:sz w:val="18"/>
      <w:szCs w:val="18"/>
    </w:rPr>
  </w:style>
  <w:style w:type="paragraph" w:customStyle="1" w:styleId="ISBodySubhead">
    <w:name w:val="IS Body Subhead"/>
    <w:basedOn w:val="ISBodyText"/>
    <w:next w:val="ISBodyText"/>
    <w:uiPriority w:val="99"/>
    <w:qFormat/>
    <w:rsid w:val="00911EA2"/>
    <w:pPr>
      <w:keepNext/>
      <w:spacing w:before="240"/>
      <w:outlineLvl w:val="4"/>
    </w:pPr>
    <w:rPr>
      <w:b/>
      <w:bCs w:val="0"/>
      <w:i/>
      <w:iCs/>
      <w:sz w:val="24"/>
      <w:szCs w:val="24"/>
      <w:lang w:eastAsia="lv-LV"/>
    </w:rPr>
  </w:style>
  <w:style w:type="paragraph" w:customStyle="1" w:styleId="ISBodyText">
    <w:name w:val="IS Body Text"/>
    <w:basedOn w:val="Parasts"/>
    <w:link w:val="ISBodyTextChar"/>
    <w:uiPriority w:val="99"/>
    <w:qFormat/>
    <w:rsid w:val="005807A3"/>
    <w:pPr>
      <w:spacing w:before="120" w:after="120"/>
      <w:jc w:val="both"/>
    </w:pPr>
    <w:rPr>
      <w:rFonts w:eastAsia="MS Mincho" w:cs="Segoe UI"/>
      <w:bCs/>
      <w:szCs w:val="22"/>
    </w:rPr>
  </w:style>
  <w:style w:type="paragraph" w:customStyle="1" w:styleId="ISBulletText">
    <w:name w:val="IS Bullet Text"/>
    <w:basedOn w:val="ISBodyText"/>
    <w:link w:val="ISBulletTextChar"/>
    <w:uiPriority w:val="99"/>
    <w:qFormat/>
    <w:rsid w:val="008E1E68"/>
    <w:pPr>
      <w:numPr>
        <w:numId w:val="49"/>
      </w:numPr>
      <w:ind w:right="28"/>
      <w:textAlignment w:val="auto"/>
    </w:pPr>
    <w:rPr>
      <w:bCs w:val="0"/>
      <w:szCs w:val="18"/>
      <w:lang w:eastAsia="lv-LV"/>
    </w:rPr>
  </w:style>
  <w:style w:type="paragraph" w:customStyle="1" w:styleId="ISCoverSubtitle">
    <w:name w:val="IS Cover Subtitle"/>
    <w:basedOn w:val="Virsraksts2"/>
    <w:link w:val="ISCoverSubtitleChar"/>
    <w:rsid w:val="005807A3"/>
    <w:pPr>
      <w:widowControl w:val="0"/>
      <w:numPr>
        <w:ilvl w:val="0"/>
        <w:numId w:val="0"/>
      </w:numPr>
      <w:spacing w:before="0" w:after="120"/>
      <w:ind w:left="142"/>
      <w:jc w:val="center"/>
      <w:outlineLvl w:val="9"/>
    </w:pPr>
    <w:rPr>
      <w:rFonts w:ascii="Calibri" w:hAnsi="Calibri"/>
      <w:b w:val="0"/>
      <w:i w:val="0"/>
      <w:iCs w:val="0"/>
      <w:sz w:val="48"/>
      <w:szCs w:val="48"/>
    </w:rPr>
  </w:style>
  <w:style w:type="paragraph" w:customStyle="1" w:styleId="ISCoverTitle">
    <w:name w:val="IS Cover Title"/>
    <w:basedOn w:val="Parasts"/>
    <w:uiPriority w:val="99"/>
    <w:rsid w:val="00451EF8"/>
    <w:pPr>
      <w:widowControl w:val="0"/>
      <w:spacing w:before="120" w:after="240"/>
      <w:ind w:left="142"/>
      <w:jc w:val="center"/>
    </w:pPr>
    <w:rPr>
      <w:rFonts w:cs="Arial"/>
      <w:b/>
      <w:color w:val="C00000"/>
      <w:sz w:val="48"/>
      <w:szCs w:val="48"/>
    </w:rPr>
  </w:style>
  <w:style w:type="paragraph" w:customStyle="1" w:styleId="ISHeading1">
    <w:name w:val="IS Heading 1"/>
    <w:basedOn w:val="Virsraksts1"/>
    <w:next w:val="ISBodyText"/>
    <w:link w:val="ISHeading1Char"/>
    <w:uiPriority w:val="99"/>
    <w:qFormat/>
    <w:rsid w:val="00383CAE"/>
    <w:pPr>
      <w:pageBreakBefore/>
      <w:numPr>
        <w:numId w:val="42"/>
      </w:numPr>
      <w:overflowPunct/>
      <w:autoSpaceDE/>
      <w:autoSpaceDN/>
      <w:adjustRightInd/>
      <w:spacing w:before="0" w:after="120"/>
      <w:ind w:right="176"/>
      <w:textAlignment w:val="auto"/>
    </w:pPr>
    <w:rPr>
      <w:rFonts w:ascii="Segoe UI" w:hAnsi="Segoe UI"/>
      <w:kern w:val="0"/>
      <w:sz w:val="40"/>
      <w:szCs w:val="40"/>
    </w:rPr>
  </w:style>
  <w:style w:type="paragraph" w:customStyle="1" w:styleId="ISHeading">
    <w:name w:val="IS Heading"/>
    <w:basedOn w:val="ISHeading1"/>
    <w:next w:val="ISBodyText"/>
    <w:uiPriority w:val="99"/>
    <w:rsid w:val="00234109"/>
    <w:pPr>
      <w:numPr>
        <w:numId w:val="0"/>
      </w:numPr>
    </w:pPr>
  </w:style>
  <w:style w:type="paragraph" w:customStyle="1" w:styleId="ISHeading2">
    <w:name w:val="IS Heading 2"/>
    <w:basedOn w:val="Virsraksts2"/>
    <w:next w:val="ISBodyText"/>
    <w:link w:val="ISHeading2Char"/>
    <w:uiPriority w:val="99"/>
    <w:qFormat/>
    <w:rsid w:val="00383CAE"/>
    <w:pPr>
      <w:numPr>
        <w:numId w:val="42"/>
      </w:numPr>
      <w:overflowPunct/>
      <w:autoSpaceDE/>
      <w:autoSpaceDN/>
      <w:adjustRightInd/>
      <w:spacing w:before="480" w:after="160"/>
      <w:textAlignment w:val="auto"/>
    </w:pPr>
    <w:rPr>
      <w:rFonts w:ascii="Segoe UI" w:hAnsi="Segoe UI"/>
      <w:bCs w:val="0"/>
      <w:i w:val="0"/>
      <w:iCs w:val="0"/>
      <w:sz w:val="32"/>
      <w:szCs w:val="32"/>
      <w:lang w:eastAsia="lv-LV"/>
    </w:rPr>
  </w:style>
  <w:style w:type="paragraph" w:customStyle="1" w:styleId="ISHeading3">
    <w:name w:val="IS Heading 3"/>
    <w:basedOn w:val="ISHeading2"/>
    <w:next w:val="ISBodyText"/>
    <w:link w:val="ISHeading3Char"/>
    <w:uiPriority w:val="99"/>
    <w:qFormat/>
    <w:rsid w:val="00123B21"/>
    <w:pPr>
      <w:numPr>
        <w:ilvl w:val="2"/>
      </w:numPr>
      <w:spacing w:after="120"/>
      <w:outlineLvl w:val="2"/>
    </w:pPr>
    <w:rPr>
      <w:sz w:val="24"/>
      <w:szCs w:val="24"/>
    </w:rPr>
  </w:style>
  <w:style w:type="paragraph" w:customStyle="1" w:styleId="ISNumberedList">
    <w:name w:val="IS Numbered List"/>
    <w:basedOn w:val="ISBodyText"/>
    <w:uiPriority w:val="99"/>
    <w:rsid w:val="009D1E61"/>
    <w:pPr>
      <w:numPr>
        <w:numId w:val="31"/>
      </w:numPr>
      <w:ind w:left="709"/>
    </w:pPr>
    <w:rPr>
      <w:lang w:eastAsia="lv-LV"/>
    </w:rPr>
  </w:style>
  <w:style w:type="paragraph" w:customStyle="1" w:styleId="ISTableBullet">
    <w:name w:val="IS Table Bullet"/>
    <w:basedOn w:val="Parasts"/>
    <w:uiPriority w:val="99"/>
    <w:rsid w:val="00105C05"/>
    <w:pPr>
      <w:numPr>
        <w:numId w:val="25"/>
      </w:numPr>
      <w:spacing w:before="80" w:after="80"/>
    </w:pPr>
    <w:rPr>
      <w:rFonts w:eastAsia="MS Mincho" w:cs="Tahoma"/>
      <w:sz w:val="20"/>
      <w:szCs w:val="18"/>
      <w:lang w:eastAsia="lv-LV"/>
    </w:rPr>
  </w:style>
  <w:style w:type="paragraph" w:customStyle="1" w:styleId="ISTableText">
    <w:name w:val="IS Table Text"/>
    <w:basedOn w:val="Uzruna"/>
    <w:rsid w:val="00BE72E3"/>
    <w:pPr>
      <w:spacing w:before="80" w:after="80"/>
      <w:jc w:val="both"/>
    </w:pPr>
    <w:rPr>
      <w:rFonts w:eastAsia="MS Mincho" w:cs="Segoe UI"/>
      <w:bCs/>
      <w:sz w:val="20"/>
      <w:szCs w:val="20"/>
    </w:rPr>
  </w:style>
  <w:style w:type="paragraph" w:styleId="Saturs1">
    <w:name w:val="toc 1"/>
    <w:basedOn w:val="Parasts"/>
    <w:next w:val="Parasts"/>
    <w:uiPriority w:val="39"/>
    <w:rsid w:val="0025551E"/>
    <w:pPr>
      <w:tabs>
        <w:tab w:val="left" w:pos="390"/>
        <w:tab w:val="right" w:pos="9348"/>
      </w:tabs>
      <w:spacing w:before="180" w:after="60"/>
    </w:pPr>
    <w:rPr>
      <w:rFonts w:cs="Segoe UI"/>
      <w:b/>
      <w:caps/>
      <w:noProof/>
      <w:szCs w:val="22"/>
      <w:u w:val="single"/>
    </w:rPr>
  </w:style>
  <w:style w:type="paragraph" w:styleId="Saturs2">
    <w:name w:val="toc 2"/>
    <w:basedOn w:val="Parasts"/>
    <w:next w:val="Parasts"/>
    <w:autoRedefine/>
    <w:uiPriority w:val="39"/>
    <w:rsid w:val="0025551E"/>
    <w:pPr>
      <w:tabs>
        <w:tab w:val="left" w:pos="561"/>
        <w:tab w:val="right" w:pos="9348"/>
      </w:tabs>
    </w:pPr>
    <w:rPr>
      <w:rFonts w:cs="Segoe UI"/>
      <w:b/>
      <w:smallCaps/>
      <w:noProof/>
      <w:szCs w:val="22"/>
    </w:rPr>
  </w:style>
  <w:style w:type="paragraph" w:styleId="Saturs3">
    <w:name w:val="toc 3"/>
    <w:basedOn w:val="Saturs2"/>
    <w:next w:val="Parasts"/>
    <w:uiPriority w:val="39"/>
    <w:rsid w:val="0033731A"/>
    <w:pPr>
      <w:tabs>
        <w:tab w:val="clear" w:pos="561"/>
        <w:tab w:val="left" w:pos="709"/>
      </w:tabs>
      <w:ind w:left="567" w:hanging="567"/>
    </w:pPr>
    <w:rPr>
      <w:b w:val="0"/>
    </w:rPr>
  </w:style>
  <w:style w:type="paragraph" w:styleId="Kjene">
    <w:name w:val="footer"/>
    <w:basedOn w:val="Parasts"/>
    <w:link w:val="KjeneRakstz"/>
    <w:uiPriority w:val="99"/>
    <w:rsid w:val="00DF1932"/>
    <w:pPr>
      <w:tabs>
        <w:tab w:val="center" w:pos="4153"/>
        <w:tab w:val="right" w:pos="8306"/>
      </w:tabs>
    </w:pPr>
  </w:style>
  <w:style w:type="character" w:styleId="Lappusesnumurs">
    <w:name w:val="page number"/>
    <w:basedOn w:val="Noklusjumarindkopasfonts"/>
    <w:rsid w:val="00DF1932"/>
  </w:style>
  <w:style w:type="character" w:styleId="Hipersaite">
    <w:name w:val="Hyperlink"/>
    <w:basedOn w:val="Noklusjumarindkopasfonts"/>
    <w:uiPriority w:val="99"/>
    <w:rsid w:val="00DF1932"/>
    <w:rPr>
      <w:color w:val="0000FF"/>
      <w:u w:val="single"/>
    </w:rPr>
  </w:style>
  <w:style w:type="paragraph" w:customStyle="1" w:styleId="ISTOCHeading">
    <w:name w:val="IS TOC Heading"/>
    <w:basedOn w:val="ISHeading1"/>
    <w:uiPriority w:val="99"/>
    <w:rsid w:val="004F61B3"/>
    <w:pPr>
      <w:tabs>
        <w:tab w:val="clear" w:pos="851"/>
      </w:tabs>
      <w:spacing w:after="200"/>
      <w:ind w:left="0" w:firstLine="0"/>
      <w:outlineLvl w:val="9"/>
    </w:pPr>
  </w:style>
  <w:style w:type="paragraph" w:styleId="Sarakstaaizzme">
    <w:name w:val="List Bullet"/>
    <w:basedOn w:val="Parasts"/>
    <w:link w:val="SarakstaaizzmeRakstz"/>
    <w:autoRedefine/>
    <w:qFormat/>
    <w:rsid w:val="00DF1932"/>
    <w:pPr>
      <w:numPr>
        <w:numId w:val="2"/>
      </w:numPr>
      <w:overflowPunct/>
      <w:autoSpaceDE/>
      <w:autoSpaceDN/>
      <w:adjustRightInd/>
      <w:textAlignment w:val="auto"/>
    </w:pPr>
    <w:rPr>
      <w:sz w:val="24"/>
    </w:rPr>
  </w:style>
  <w:style w:type="paragraph" w:styleId="Saturardtjavirsraksts">
    <w:name w:val="TOC Heading"/>
    <w:basedOn w:val="Virsraksts1"/>
    <w:next w:val="Parasts"/>
    <w:uiPriority w:val="39"/>
    <w:unhideWhenUsed/>
    <w:qFormat/>
    <w:rsid w:val="00CA35E3"/>
    <w:pPr>
      <w:keepLines/>
      <w:numPr>
        <w:numId w:val="0"/>
      </w:numPr>
      <w:overflowPunct/>
      <w:autoSpaceDE/>
      <w:autoSpaceDN/>
      <w:adjustRightInd/>
      <w:spacing w:before="480" w:after="0" w:line="276" w:lineRule="auto"/>
      <w:textAlignment w:val="auto"/>
      <w:outlineLvl w:val="9"/>
    </w:pPr>
    <w:rPr>
      <w:rFonts w:ascii="Cambria" w:hAnsi="Cambria" w:cs="Times New Roman"/>
      <w:color w:val="365F91"/>
      <w:kern w:val="0"/>
      <w:sz w:val="28"/>
      <w:szCs w:val="28"/>
    </w:rPr>
  </w:style>
  <w:style w:type="paragraph" w:styleId="Galvene">
    <w:name w:val="header"/>
    <w:basedOn w:val="Parasts"/>
    <w:uiPriority w:val="99"/>
    <w:rsid w:val="001E5112"/>
    <w:pPr>
      <w:tabs>
        <w:tab w:val="center" w:pos="4153"/>
        <w:tab w:val="right" w:pos="8306"/>
      </w:tabs>
    </w:pPr>
    <w:rPr>
      <w:sz w:val="20"/>
    </w:rPr>
  </w:style>
  <w:style w:type="character" w:customStyle="1" w:styleId="HeaderChar">
    <w:name w:val="Header Char"/>
    <w:basedOn w:val="Noklusjumarindkopasfonts"/>
    <w:uiPriority w:val="99"/>
    <w:rsid w:val="00DF1932"/>
    <w:rPr>
      <w:sz w:val="22"/>
      <w:lang w:val="en-US" w:eastAsia="en-US" w:bidi="ar-SA"/>
    </w:rPr>
  </w:style>
  <w:style w:type="paragraph" w:styleId="Sarakstanumurs">
    <w:name w:val="List Number"/>
    <w:basedOn w:val="Parasts"/>
    <w:uiPriority w:val="99"/>
    <w:rsid w:val="00DF1932"/>
    <w:pPr>
      <w:numPr>
        <w:numId w:val="1"/>
      </w:numPr>
      <w:overflowPunct/>
      <w:autoSpaceDE/>
      <w:autoSpaceDN/>
      <w:adjustRightInd/>
      <w:textAlignment w:val="auto"/>
    </w:pPr>
    <w:rPr>
      <w:sz w:val="24"/>
    </w:rPr>
  </w:style>
  <w:style w:type="paragraph" w:customStyle="1" w:styleId="ISTableNumberedList">
    <w:name w:val="IS Table Numbered List"/>
    <w:basedOn w:val="Parasts"/>
    <w:uiPriority w:val="99"/>
    <w:rsid w:val="00DF1932"/>
    <w:pPr>
      <w:numPr>
        <w:numId w:val="3"/>
      </w:numPr>
    </w:pPr>
    <w:rPr>
      <w:rFonts w:eastAsia="Arial Unicode MS"/>
      <w:bCs/>
      <w:sz w:val="18"/>
    </w:rPr>
  </w:style>
  <w:style w:type="paragraph" w:styleId="Saturs4">
    <w:name w:val="toc 4"/>
    <w:basedOn w:val="Parasts"/>
    <w:next w:val="Parasts"/>
    <w:uiPriority w:val="39"/>
    <w:rsid w:val="0025551E"/>
    <w:pPr>
      <w:tabs>
        <w:tab w:val="left" w:pos="888"/>
        <w:tab w:val="right" w:pos="9338"/>
      </w:tabs>
    </w:pPr>
    <w:rPr>
      <w:rFonts w:cs="Segoe UI"/>
      <w:noProof/>
      <w:sz w:val="20"/>
      <w:szCs w:val="20"/>
    </w:rPr>
  </w:style>
  <w:style w:type="paragraph" w:styleId="Saturs5">
    <w:name w:val="toc 5"/>
    <w:basedOn w:val="Parasts"/>
    <w:next w:val="Parasts"/>
    <w:autoRedefine/>
    <w:uiPriority w:val="39"/>
    <w:rsid w:val="00DF1932"/>
    <w:rPr>
      <w:rFonts w:asciiTheme="minorHAnsi" w:hAnsiTheme="minorHAnsi"/>
      <w:szCs w:val="22"/>
    </w:rPr>
  </w:style>
  <w:style w:type="paragraph" w:styleId="Saturs6">
    <w:name w:val="toc 6"/>
    <w:basedOn w:val="Parasts"/>
    <w:next w:val="Parasts"/>
    <w:autoRedefine/>
    <w:uiPriority w:val="39"/>
    <w:rsid w:val="00DF1932"/>
    <w:rPr>
      <w:rFonts w:asciiTheme="minorHAnsi" w:hAnsiTheme="minorHAnsi"/>
      <w:szCs w:val="22"/>
    </w:rPr>
  </w:style>
  <w:style w:type="paragraph" w:styleId="Saturs7">
    <w:name w:val="toc 7"/>
    <w:basedOn w:val="Parasts"/>
    <w:next w:val="Parasts"/>
    <w:autoRedefine/>
    <w:uiPriority w:val="39"/>
    <w:rsid w:val="00DF1932"/>
    <w:rPr>
      <w:rFonts w:asciiTheme="minorHAnsi" w:hAnsiTheme="minorHAnsi"/>
      <w:szCs w:val="22"/>
    </w:rPr>
  </w:style>
  <w:style w:type="paragraph" w:styleId="Saturs8">
    <w:name w:val="toc 8"/>
    <w:basedOn w:val="Parasts"/>
    <w:next w:val="Parasts"/>
    <w:autoRedefine/>
    <w:uiPriority w:val="39"/>
    <w:rsid w:val="00DF1932"/>
    <w:rPr>
      <w:rFonts w:asciiTheme="minorHAnsi" w:hAnsiTheme="minorHAnsi"/>
      <w:szCs w:val="22"/>
    </w:rPr>
  </w:style>
  <w:style w:type="paragraph" w:styleId="Saturs9">
    <w:name w:val="toc 9"/>
    <w:basedOn w:val="Parasts"/>
    <w:next w:val="Parasts"/>
    <w:autoRedefine/>
    <w:uiPriority w:val="39"/>
    <w:rsid w:val="00DF1932"/>
    <w:rPr>
      <w:rFonts w:asciiTheme="minorHAnsi" w:hAnsiTheme="minorHAnsi"/>
      <w:szCs w:val="22"/>
    </w:rPr>
  </w:style>
  <w:style w:type="paragraph" w:customStyle="1" w:styleId="BodyTextSmall">
    <w:name w:val="Body Text Small"/>
    <w:basedOn w:val="Parasts"/>
    <w:uiPriority w:val="99"/>
    <w:rsid w:val="00DF1932"/>
    <w:pPr>
      <w:overflowPunct/>
      <w:autoSpaceDE/>
      <w:autoSpaceDN/>
      <w:adjustRightInd/>
      <w:spacing w:before="120" w:after="120"/>
      <w:jc w:val="both"/>
      <w:textAlignment w:val="auto"/>
    </w:pPr>
    <w:rPr>
      <w:sz w:val="16"/>
      <w:szCs w:val="16"/>
    </w:rPr>
  </w:style>
  <w:style w:type="paragraph" w:customStyle="1" w:styleId="Bodytext1">
    <w:name w:val="Body text 1"/>
    <w:basedOn w:val="Parasts"/>
    <w:uiPriority w:val="99"/>
    <w:rsid w:val="00DF1932"/>
    <w:pPr>
      <w:overflowPunct/>
      <w:autoSpaceDE/>
      <w:autoSpaceDN/>
      <w:adjustRightInd/>
      <w:spacing w:before="120" w:after="120"/>
      <w:textAlignment w:val="auto"/>
    </w:pPr>
  </w:style>
  <w:style w:type="paragraph" w:customStyle="1" w:styleId="EYBodySubhead">
    <w:name w:val="EY Body Subhead"/>
    <w:basedOn w:val="EYBodyText"/>
    <w:next w:val="EYBodyText"/>
    <w:link w:val="EYBodySubheadChar"/>
    <w:rsid w:val="00013117"/>
    <w:pPr>
      <w:keepNext/>
      <w:spacing w:before="240"/>
    </w:pPr>
    <w:rPr>
      <w:b/>
      <w:bCs w:val="0"/>
      <w:i/>
      <w:iCs/>
    </w:rPr>
  </w:style>
  <w:style w:type="paragraph" w:customStyle="1" w:styleId="EYBodyText">
    <w:name w:val="EY Body Text"/>
    <w:basedOn w:val="Parasts"/>
    <w:link w:val="EYBodyTextChar1"/>
    <w:rsid w:val="00013117"/>
    <w:pPr>
      <w:spacing w:after="120" w:line="280" w:lineRule="atLeast"/>
      <w:jc w:val="both"/>
    </w:pPr>
    <w:rPr>
      <w:rFonts w:eastAsia="MS Mincho" w:cs="Arial"/>
      <w:bCs/>
    </w:rPr>
  </w:style>
  <w:style w:type="paragraph" w:styleId="Vresteksts">
    <w:name w:val="footnote text"/>
    <w:aliases w:val="Char10,Char1,Fußnotentext Char Char Char,Fußnotentext Char Char Char Char Char Char Char Char Char Char,Fußnotentext Char Char Char Char Char Char Char,Fußnotentext Char Char Char Char Char Char Char Char,Fußnote Char Char Char, Char10"/>
    <w:basedOn w:val="Parasts"/>
    <w:link w:val="VrestekstsRakstz"/>
    <w:uiPriority w:val="99"/>
    <w:rsid w:val="00B31279"/>
    <w:pPr>
      <w:spacing w:after="60"/>
    </w:pPr>
    <w:rPr>
      <w:sz w:val="18"/>
    </w:rPr>
  </w:style>
  <w:style w:type="character" w:styleId="Vresatsauce">
    <w:name w:val="footnote reference"/>
    <w:aliases w:val="Footnote symbol,Footnote Reference Number,fr,Footnote,SUPERS,Footnote Reference Superscript,Footnote Refernece,ftref,Odwołanie przypisu,BVI fnr,Footnotes refss,Ref,de nota al pie,-E Fußnotenzeichen,Footnote reference number"/>
    <w:basedOn w:val="Noklusjumarindkopasfonts"/>
    <w:uiPriority w:val="99"/>
    <w:rsid w:val="00DF1932"/>
    <w:rPr>
      <w:vertAlign w:val="superscript"/>
    </w:rPr>
  </w:style>
  <w:style w:type="paragraph" w:styleId="Pamatteksts2">
    <w:name w:val="Body Text 2"/>
    <w:basedOn w:val="Parasts"/>
    <w:link w:val="Pamatteksts2Rakstz"/>
    <w:uiPriority w:val="99"/>
    <w:rsid w:val="00DF1932"/>
    <w:pPr>
      <w:jc w:val="center"/>
    </w:pPr>
    <w:rPr>
      <w:b/>
      <w:bCs/>
      <w:sz w:val="20"/>
    </w:rPr>
  </w:style>
  <w:style w:type="paragraph" w:styleId="Paraststmeklis">
    <w:name w:val="Normal (Web)"/>
    <w:basedOn w:val="Parasts"/>
    <w:uiPriority w:val="99"/>
    <w:rsid w:val="00DF1932"/>
    <w:pPr>
      <w:overflowPunct/>
      <w:autoSpaceDE/>
      <w:autoSpaceDN/>
      <w:adjustRightInd/>
      <w:spacing w:before="120" w:after="240" w:line="360" w:lineRule="atLeast"/>
      <w:textAlignment w:val="auto"/>
    </w:pPr>
    <w:rPr>
      <w:rFonts w:ascii="Arial Unicode MS" w:eastAsia="Arial Unicode MS" w:hAnsi="Arial Unicode MS" w:cs="Arial Unicode MS"/>
      <w:color w:val="000000"/>
      <w:sz w:val="24"/>
    </w:rPr>
  </w:style>
  <w:style w:type="paragraph" w:styleId="Pamatteksts3">
    <w:name w:val="Body Text 3"/>
    <w:basedOn w:val="Parasts"/>
    <w:link w:val="Pamatteksts3Rakstz"/>
    <w:uiPriority w:val="99"/>
    <w:rsid w:val="00DF1932"/>
    <w:pPr>
      <w:overflowPunct/>
      <w:autoSpaceDE/>
      <w:autoSpaceDN/>
      <w:adjustRightInd/>
      <w:jc w:val="center"/>
      <w:textAlignment w:val="auto"/>
    </w:pPr>
    <w:rPr>
      <w:b/>
      <w:bCs/>
      <w:sz w:val="24"/>
    </w:rPr>
  </w:style>
  <w:style w:type="paragraph" w:customStyle="1" w:styleId="BodyText10">
    <w:name w:val="Body Text 1"/>
    <w:basedOn w:val="Parasts"/>
    <w:uiPriority w:val="99"/>
    <w:rsid w:val="00B6096C"/>
    <w:pPr>
      <w:overflowPunct/>
      <w:autoSpaceDE/>
      <w:autoSpaceDN/>
      <w:adjustRightInd/>
      <w:spacing w:before="120"/>
      <w:textAlignment w:val="auto"/>
    </w:pPr>
    <w:rPr>
      <w:sz w:val="24"/>
      <w:lang w:val="en-US"/>
    </w:rPr>
  </w:style>
  <w:style w:type="paragraph" w:styleId="Pamattekstsaratkpi">
    <w:name w:val="Body Text Indent"/>
    <w:basedOn w:val="Parasts"/>
    <w:link w:val="PamattekstsaratkpiRakstz"/>
    <w:uiPriority w:val="99"/>
    <w:rsid w:val="00DF1932"/>
    <w:pPr>
      <w:overflowPunct/>
      <w:autoSpaceDE/>
      <w:autoSpaceDN/>
      <w:adjustRightInd/>
      <w:spacing w:after="120"/>
      <w:ind w:left="360"/>
      <w:textAlignment w:val="auto"/>
    </w:pPr>
    <w:rPr>
      <w:bCs/>
      <w:iCs/>
      <w:spacing w:val="-3"/>
      <w:sz w:val="24"/>
    </w:rPr>
  </w:style>
  <w:style w:type="paragraph" w:customStyle="1" w:styleId="ShadedBullet">
    <w:name w:val="Shaded Bullet"/>
    <w:basedOn w:val="BlockQuotation"/>
    <w:uiPriority w:val="99"/>
    <w:rsid w:val="00DF1932"/>
    <w:pPr>
      <w:tabs>
        <w:tab w:val="left" w:pos="531"/>
        <w:tab w:val="num" w:pos="634"/>
      </w:tabs>
      <w:ind w:left="531" w:hanging="257"/>
    </w:pPr>
  </w:style>
  <w:style w:type="paragraph" w:customStyle="1" w:styleId="BlockQuotation">
    <w:name w:val="Block Quotation"/>
    <w:basedOn w:val="Parasts"/>
    <w:uiPriority w:val="99"/>
    <w:rsid w:val="00B6096C"/>
    <w:pPr>
      <w:pBdr>
        <w:top w:val="single" w:sz="12" w:space="12" w:color="FFFFFF"/>
        <w:left w:val="single" w:sz="6" w:space="12" w:color="FFFFFF"/>
        <w:bottom w:val="single" w:sz="6" w:space="12" w:color="FFFFFF"/>
        <w:right w:val="single" w:sz="6" w:space="12" w:color="FFFFFF"/>
      </w:pBdr>
      <w:shd w:val="pct5" w:color="000000" w:fill="auto"/>
      <w:overflowPunct/>
      <w:autoSpaceDE/>
      <w:autoSpaceDN/>
      <w:adjustRightInd/>
      <w:spacing w:before="120" w:after="60"/>
      <w:ind w:left="274" w:right="245"/>
      <w:textAlignment w:val="auto"/>
    </w:pPr>
    <w:rPr>
      <w:spacing w:val="-5"/>
      <w:sz w:val="24"/>
      <w:lang w:val="en-US"/>
    </w:rPr>
  </w:style>
  <w:style w:type="paragraph" w:customStyle="1" w:styleId="EYBulletText0">
    <w:name w:val="EY Bullet Text"/>
    <w:basedOn w:val="EYBodyText"/>
    <w:link w:val="EYBulletTextCharChar"/>
    <w:rsid w:val="00013117"/>
    <w:pPr>
      <w:spacing w:line="240" w:lineRule="atLeast"/>
      <w:ind w:left="1077" w:right="27" w:hanging="357"/>
    </w:pPr>
    <w:rPr>
      <w:bCs w:val="0"/>
    </w:rPr>
  </w:style>
  <w:style w:type="paragraph" w:customStyle="1" w:styleId="EYHeading">
    <w:name w:val="EY Heading"/>
    <w:basedOn w:val="Parasts"/>
    <w:next w:val="EYBodyText"/>
    <w:uiPriority w:val="99"/>
    <w:rsid w:val="00013117"/>
    <w:pPr>
      <w:pageBreakBefore/>
      <w:overflowPunct/>
      <w:autoSpaceDE/>
      <w:autoSpaceDN/>
      <w:adjustRightInd/>
      <w:spacing w:after="320"/>
      <w:ind w:right="176"/>
      <w:textAlignment w:val="auto"/>
      <w:outlineLvl w:val="0"/>
    </w:pPr>
    <w:rPr>
      <w:rFonts w:ascii="Arial Narrow" w:hAnsi="Arial Narrow" w:cs="Arial"/>
      <w:b/>
      <w:color w:val="5960A8"/>
      <w:sz w:val="40"/>
      <w:szCs w:val="40"/>
    </w:rPr>
  </w:style>
  <w:style w:type="paragraph" w:customStyle="1" w:styleId="Bullet1">
    <w:name w:val="Bullet 1"/>
    <w:basedOn w:val="Parasts"/>
    <w:uiPriority w:val="99"/>
    <w:rsid w:val="00DF1932"/>
    <w:pPr>
      <w:tabs>
        <w:tab w:val="num" w:pos="720"/>
      </w:tabs>
      <w:overflowPunct/>
      <w:autoSpaceDE/>
      <w:autoSpaceDN/>
      <w:adjustRightInd/>
      <w:spacing w:before="120" w:line="240" w:lineRule="atLeast"/>
      <w:ind w:left="720" w:hanging="360"/>
      <w:textAlignment w:val="auto"/>
    </w:pPr>
    <w:rPr>
      <w:sz w:val="24"/>
    </w:rPr>
  </w:style>
  <w:style w:type="character" w:styleId="Komentraatsauce">
    <w:name w:val="annotation reference"/>
    <w:basedOn w:val="Noklusjumarindkopasfonts"/>
    <w:uiPriority w:val="99"/>
    <w:rsid w:val="00DF1932"/>
    <w:rPr>
      <w:sz w:val="16"/>
      <w:szCs w:val="16"/>
    </w:rPr>
  </w:style>
  <w:style w:type="paragraph" w:styleId="Komentrateksts">
    <w:name w:val="annotation text"/>
    <w:basedOn w:val="Parasts"/>
    <w:link w:val="KomentratekstsRakstz"/>
    <w:uiPriority w:val="99"/>
    <w:rsid w:val="009B1D05"/>
    <w:rPr>
      <w:sz w:val="20"/>
    </w:rPr>
  </w:style>
  <w:style w:type="paragraph" w:styleId="Komentratma">
    <w:name w:val="annotation subject"/>
    <w:basedOn w:val="Komentrateksts"/>
    <w:next w:val="Komentrateksts"/>
    <w:link w:val="KomentratmaRakstz"/>
    <w:uiPriority w:val="99"/>
    <w:rsid w:val="00DF1932"/>
    <w:rPr>
      <w:b/>
      <w:bCs/>
    </w:rPr>
  </w:style>
  <w:style w:type="paragraph" w:styleId="Dokumentakarte">
    <w:name w:val="Document Map"/>
    <w:basedOn w:val="Parasts"/>
    <w:link w:val="DokumentakarteRakstz"/>
    <w:uiPriority w:val="99"/>
    <w:semiHidden/>
    <w:rsid w:val="00DF1932"/>
    <w:pPr>
      <w:shd w:val="clear" w:color="auto" w:fill="000080"/>
    </w:pPr>
    <w:rPr>
      <w:rFonts w:ascii="Tahoma" w:hAnsi="Tahoma" w:cs="Tahoma"/>
      <w:sz w:val="20"/>
    </w:rPr>
  </w:style>
  <w:style w:type="character" w:customStyle="1" w:styleId="EYBulletTextCharChar">
    <w:name w:val="EY Bullet Text Char Char"/>
    <w:basedOn w:val="Noklusjumarindkopasfonts"/>
    <w:link w:val="EYBulletText0"/>
    <w:rsid w:val="00013117"/>
    <w:rPr>
      <w:rFonts w:eastAsia="MS Mincho" w:cs="Arial"/>
      <w:sz w:val="22"/>
      <w:lang w:eastAsia="en-US"/>
    </w:rPr>
  </w:style>
  <w:style w:type="paragraph" w:styleId="Parakstszemobjekta">
    <w:name w:val="caption"/>
    <w:basedOn w:val="Parasts"/>
    <w:next w:val="Parasts"/>
    <w:link w:val="ParakstszemobjektaRakstz"/>
    <w:qFormat/>
    <w:rsid w:val="008D1336"/>
    <w:pPr>
      <w:spacing w:before="60" w:after="60"/>
      <w:jc w:val="center"/>
    </w:pPr>
    <w:rPr>
      <w:b/>
      <w:bCs/>
      <w:sz w:val="20"/>
    </w:rPr>
  </w:style>
  <w:style w:type="character" w:customStyle="1" w:styleId="EYBodyTextChar1">
    <w:name w:val="EY Body Text Char1"/>
    <w:basedOn w:val="Noklusjumarindkopasfonts"/>
    <w:link w:val="EYBodyText"/>
    <w:rsid w:val="00013117"/>
    <w:rPr>
      <w:rFonts w:eastAsia="MS Mincho" w:cs="Arial"/>
      <w:bCs/>
      <w:sz w:val="22"/>
      <w:lang w:eastAsia="en-US"/>
    </w:rPr>
  </w:style>
  <w:style w:type="paragraph" w:customStyle="1" w:styleId="Hidden">
    <w:name w:val="Hidden"/>
    <w:basedOn w:val="Parasts"/>
    <w:uiPriority w:val="99"/>
    <w:rsid w:val="00FE52A6"/>
    <w:pPr>
      <w:shd w:val="clear" w:color="auto" w:fill="FFFF99"/>
      <w:overflowPunct/>
      <w:autoSpaceDE/>
      <w:autoSpaceDN/>
      <w:adjustRightInd/>
      <w:spacing w:after="200" w:line="276" w:lineRule="auto"/>
      <w:textAlignment w:val="auto"/>
    </w:pPr>
    <w:rPr>
      <w:rFonts w:eastAsia="Calibri"/>
      <w:vanish/>
      <w:color w:val="0000FF"/>
      <w:szCs w:val="22"/>
    </w:rPr>
  </w:style>
  <w:style w:type="numbering" w:customStyle="1" w:styleId="StyleBulleted">
    <w:name w:val="Style Bulleted"/>
    <w:basedOn w:val="Bezsaraksta"/>
    <w:rsid w:val="00AC78A0"/>
    <w:pPr>
      <w:numPr>
        <w:numId w:val="4"/>
      </w:numPr>
    </w:pPr>
  </w:style>
  <w:style w:type="table" w:styleId="Reatabula8">
    <w:name w:val="Table Grid 8"/>
    <w:basedOn w:val="Parastatabula"/>
    <w:semiHidden/>
    <w:rsid w:val="00E2564D"/>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clear" w:color="auto" w:fill="4367C5"/>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EYFlagSub-ServiceLine">
    <w:name w:val="EY Flag Sub-Service Line"/>
    <w:basedOn w:val="Parasts"/>
    <w:uiPriority w:val="99"/>
    <w:semiHidden/>
    <w:rsid w:val="00E2564D"/>
    <w:pPr>
      <w:keepNext/>
      <w:widowControl w:val="0"/>
      <w:spacing w:before="120" w:after="120"/>
      <w:jc w:val="both"/>
      <w:outlineLvl w:val="0"/>
    </w:pPr>
    <w:rPr>
      <w:rFonts w:cs="Arial"/>
      <w:smallCaps/>
      <w:color w:val="FFFFFF"/>
      <w:sz w:val="26"/>
    </w:rPr>
  </w:style>
  <w:style w:type="paragraph" w:styleId="Uzruna">
    <w:name w:val="Salutation"/>
    <w:basedOn w:val="Parasts"/>
    <w:next w:val="Parasts"/>
    <w:link w:val="UzrunaRakstz"/>
    <w:uiPriority w:val="99"/>
    <w:semiHidden/>
    <w:rsid w:val="00E2564D"/>
    <w:pPr>
      <w:tabs>
        <w:tab w:val="left" w:pos="4680"/>
      </w:tabs>
      <w:spacing w:after="160"/>
    </w:pPr>
  </w:style>
  <w:style w:type="character" w:customStyle="1" w:styleId="PamattekstsaratkpiRakstz">
    <w:name w:val="Pamatteksts ar atkāpi Rakstz."/>
    <w:basedOn w:val="Noklusjumarindkopasfonts"/>
    <w:link w:val="Pamattekstsaratkpi"/>
    <w:uiPriority w:val="99"/>
    <w:rsid w:val="00013117"/>
    <w:rPr>
      <w:bCs/>
      <w:iCs/>
      <w:spacing w:val="-3"/>
      <w:sz w:val="24"/>
      <w:lang w:val="en-US" w:eastAsia="en-US"/>
    </w:rPr>
  </w:style>
  <w:style w:type="paragraph" w:customStyle="1" w:styleId="NumHeading1">
    <w:name w:val="Num Heading 1"/>
    <w:basedOn w:val="Virsraksts1"/>
    <w:next w:val="Parasts"/>
    <w:uiPriority w:val="99"/>
    <w:rsid w:val="00FE52A6"/>
    <w:pPr>
      <w:numPr>
        <w:numId w:val="9"/>
      </w:numPr>
      <w:overflowPunct/>
      <w:autoSpaceDE/>
      <w:autoSpaceDN/>
      <w:adjustRightInd/>
      <w:spacing w:before="0" w:after="200" w:line="276" w:lineRule="auto"/>
      <w:textAlignment w:val="auto"/>
    </w:pPr>
    <w:rPr>
      <w:rFonts w:ascii="Calibri" w:eastAsia="Calibri" w:hAnsi="Calibri" w:cs="Times New Roman"/>
      <w:bCs w:val="0"/>
      <w:color w:val="365F91"/>
      <w:kern w:val="0"/>
      <w:sz w:val="36"/>
      <w:szCs w:val="22"/>
    </w:rPr>
  </w:style>
  <w:style w:type="paragraph" w:customStyle="1" w:styleId="NumHeading2">
    <w:name w:val="Num Heading 2"/>
    <w:basedOn w:val="Virsraksts2"/>
    <w:next w:val="Parasts"/>
    <w:uiPriority w:val="99"/>
    <w:rsid w:val="00FE52A6"/>
    <w:pPr>
      <w:keepLines/>
      <w:tabs>
        <w:tab w:val="clear" w:pos="1080"/>
        <w:tab w:val="left" w:pos="709"/>
        <w:tab w:val="num" w:pos="794"/>
      </w:tabs>
      <w:overflowPunct/>
      <w:autoSpaceDE/>
      <w:autoSpaceDN/>
      <w:adjustRightInd/>
      <w:spacing w:before="200" w:after="0" w:line="276" w:lineRule="auto"/>
      <w:ind w:left="794" w:hanging="794"/>
      <w:textAlignment w:val="auto"/>
    </w:pPr>
    <w:rPr>
      <w:rFonts w:ascii="Calibri" w:hAnsi="Calibri" w:cs="Times New Roman"/>
      <w:i w:val="0"/>
      <w:iCs w:val="0"/>
      <w:color w:val="365F91"/>
      <w:sz w:val="32"/>
      <w:szCs w:val="26"/>
    </w:rPr>
  </w:style>
  <w:style w:type="paragraph" w:customStyle="1" w:styleId="NumHeading3">
    <w:name w:val="Num Heading 3"/>
    <w:basedOn w:val="Virsraksts3"/>
    <w:next w:val="Parasts"/>
    <w:uiPriority w:val="99"/>
    <w:rsid w:val="00FE52A6"/>
    <w:pPr>
      <w:widowControl/>
      <w:tabs>
        <w:tab w:val="clear" w:pos="720"/>
        <w:tab w:val="num" w:pos="794"/>
      </w:tabs>
      <w:overflowPunct/>
      <w:autoSpaceDE/>
      <w:autoSpaceDN/>
      <w:adjustRightInd/>
      <w:spacing w:before="180" w:after="60" w:line="264" w:lineRule="auto"/>
      <w:ind w:left="794" w:hanging="794"/>
      <w:jc w:val="left"/>
    </w:pPr>
    <w:rPr>
      <w:rFonts w:ascii="Calibri" w:eastAsia="Arial" w:hAnsi="Calibri"/>
      <w:b/>
      <w:color w:val="365F91"/>
      <w:sz w:val="28"/>
      <w:szCs w:val="26"/>
      <w:lang w:eastAsia="ja-JP"/>
    </w:rPr>
  </w:style>
  <w:style w:type="paragraph" w:customStyle="1" w:styleId="www">
    <w:name w:val="www"/>
    <w:basedOn w:val="Saturs1"/>
    <w:uiPriority w:val="99"/>
    <w:rsid w:val="00E2564D"/>
    <w:pPr>
      <w:widowControl w:val="0"/>
      <w:tabs>
        <w:tab w:val="left" w:pos="360"/>
        <w:tab w:val="right" w:leader="dot" w:pos="9000"/>
      </w:tabs>
      <w:spacing w:before="0" w:after="0"/>
      <w:ind w:left="360" w:right="1347" w:hanging="360"/>
      <w:jc w:val="both"/>
    </w:pPr>
    <w:rPr>
      <w:b w:val="0"/>
      <w:iCs/>
      <w:color w:val="FFFFFF"/>
      <w:sz w:val="28"/>
      <w:szCs w:val="20"/>
    </w:rPr>
  </w:style>
  <w:style w:type="paragraph" w:styleId="Sarakstaaizzme2">
    <w:name w:val="List Bullet 2"/>
    <w:basedOn w:val="Parasts"/>
    <w:uiPriority w:val="99"/>
    <w:rsid w:val="00E2564D"/>
    <w:pPr>
      <w:tabs>
        <w:tab w:val="num" w:pos="1420"/>
      </w:tabs>
      <w:overflowPunct/>
      <w:autoSpaceDE/>
      <w:autoSpaceDN/>
      <w:adjustRightInd/>
      <w:spacing w:before="120"/>
      <w:ind w:left="1420" w:hanging="360"/>
      <w:jc w:val="both"/>
      <w:textAlignment w:val="auto"/>
    </w:pPr>
    <w:rPr>
      <w:sz w:val="24"/>
      <w:lang w:val="pl-PL"/>
    </w:rPr>
  </w:style>
  <w:style w:type="paragraph" w:styleId="Izmantotsliteratrassarakstavirsraksts">
    <w:name w:val="toa heading"/>
    <w:basedOn w:val="Parasts"/>
    <w:next w:val="Parasts"/>
    <w:uiPriority w:val="99"/>
    <w:semiHidden/>
    <w:rsid w:val="00E2564D"/>
    <w:pPr>
      <w:overflowPunct/>
      <w:autoSpaceDE/>
      <w:autoSpaceDN/>
      <w:adjustRightInd/>
      <w:spacing w:before="120" w:after="1320"/>
      <w:textAlignment w:val="auto"/>
    </w:pPr>
    <w:rPr>
      <w:rFonts w:ascii="EY Gothic Cond Medium" w:hAnsi="EY Gothic Cond Medium" w:cs="Arial"/>
      <w:bCs/>
      <w:sz w:val="60"/>
      <w:lang w:val="pl-PL"/>
    </w:rPr>
  </w:style>
  <w:style w:type="paragraph" w:customStyle="1" w:styleId="Tabletext">
    <w:name w:val="Table text"/>
    <w:basedOn w:val="Parasts"/>
    <w:uiPriority w:val="99"/>
    <w:rsid w:val="00E2564D"/>
    <w:pPr>
      <w:overflowPunct/>
      <w:autoSpaceDE/>
      <w:autoSpaceDN/>
      <w:adjustRightInd/>
      <w:spacing w:before="120" w:after="120"/>
      <w:jc w:val="both"/>
      <w:textAlignment w:val="auto"/>
    </w:pPr>
    <w:rPr>
      <w:rFonts w:ascii="Arial" w:hAnsi="Arial" w:cs="Arial"/>
      <w:sz w:val="16"/>
      <w:szCs w:val="16"/>
    </w:rPr>
  </w:style>
  <w:style w:type="paragraph" w:customStyle="1" w:styleId="Style1">
    <w:name w:val="Style1"/>
    <w:basedOn w:val="Parasts"/>
    <w:uiPriority w:val="99"/>
    <w:semiHidden/>
    <w:rsid w:val="00F20DC3"/>
    <w:pPr>
      <w:tabs>
        <w:tab w:val="num" w:pos="720"/>
      </w:tabs>
      <w:spacing w:after="120" w:line="280" w:lineRule="exact"/>
      <w:ind w:left="720" w:hanging="360"/>
    </w:pPr>
    <w:rPr>
      <w:rFonts w:ascii="Arial Narrow" w:hAnsi="Arial Narrow" w:cs="Arial"/>
      <w:b/>
      <w:bCs/>
      <w:color w:val="4367C5"/>
      <w:sz w:val="28"/>
    </w:rPr>
  </w:style>
  <w:style w:type="table" w:styleId="Reatabula">
    <w:name w:val="Table Grid"/>
    <w:basedOn w:val="Parastatabula"/>
    <w:rsid w:val="00E2564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E2564D"/>
    <w:rPr>
      <w:rFonts w:ascii="Arial" w:hAnsi="Arial" w:cs="Arial"/>
      <w:b/>
      <w:bCs/>
      <w:i/>
      <w:iCs/>
      <w:sz w:val="28"/>
      <w:szCs w:val="28"/>
      <w:lang w:eastAsia="en-US"/>
    </w:rPr>
  </w:style>
  <w:style w:type="character" w:customStyle="1" w:styleId="ParakstszemobjektaRakstz">
    <w:name w:val="Paraksts zem objekta Rakstz."/>
    <w:basedOn w:val="Noklusjumarindkopasfonts"/>
    <w:link w:val="Parakstszemobjekta"/>
    <w:rsid w:val="008D1336"/>
    <w:rPr>
      <w:rFonts w:ascii="Segoe UI" w:hAnsi="Segoe UI"/>
      <w:b/>
      <w:bCs/>
      <w:lang w:eastAsia="en-US"/>
    </w:rPr>
  </w:style>
  <w:style w:type="character" w:customStyle="1" w:styleId="Virsraksts1Rakstz">
    <w:name w:val="Virsraksts 1 Rakstz."/>
    <w:basedOn w:val="Noklusjumarindkopasfonts"/>
    <w:link w:val="Virsraksts1"/>
    <w:uiPriority w:val="9"/>
    <w:rsid w:val="00E2564D"/>
    <w:rPr>
      <w:rFonts w:ascii="Arial" w:hAnsi="Arial" w:cs="Arial"/>
      <w:b/>
      <w:bCs/>
      <w:kern w:val="32"/>
      <w:sz w:val="32"/>
      <w:szCs w:val="32"/>
      <w:lang w:eastAsia="en-US"/>
    </w:rPr>
  </w:style>
  <w:style w:type="character" w:customStyle="1" w:styleId="ISBulletTextChar">
    <w:name w:val="IS Bullet Text Char"/>
    <w:basedOn w:val="Noklusjumarindkopasfonts"/>
    <w:link w:val="ISBulletText"/>
    <w:uiPriority w:val="99"/>
    <w:rsid w:val="008E1E68"/>
    <w:rPr>
      <w:rFonts w:ascii="Segoe UI" w:eastAsia="MS Mincho" w:hAnsi="Segoe UI" w:cs="Segoe UI"/>
      <w:sz w:val="22"/>
      <w:szCs w:val="18"/>
    </w:rPr>
  </w:style>
  <w:style w:type="paragraph" w:customStyle="1" w:styleId="StyleEYBulletTextRight0cmAfter0ptLinespacings">
    <w:name w:val="Style EY Bullet Text + Right:  0 cm After:  0 pt Line spacing:  s..."/>
    <w:basedOn w:val="Parasts"/>
    <w:uiPriority w:val="99"/>
    <w:semiHidden/>
    <w:rsid w:val="00E2564D"/>
    <w:pPr>
      <w:numPr>
        <w:numId w:val="5"/>
      </w:numPr>
    </w:pPr>
    <w:rPr>
      <w:rFonts w:ascii="Arial" w:hAnsi="Arial"/>
      <w:sz w:val="20"/>
    </w:rPr>
  </w:style>
  <w:style w:type="paragraph" w:customStyle="1" w:styleId="StyleHeading1JustifiedLeft0cmFirstline0cm">
    <w:name w:val="Style Heading 1 + Justified Left:  0 cm First line:  0 cm"/>
    <w:basedOn w:val="ISHeading1"/>
    <w:uiPriority w:val="99"/>
    <w:semiHidden/>
    <w:rsid w:val="00E2564D"/>
    <w:pPr>
      <w:tabs>
        <w:tab w:val="num" w:pos="1492"/>
      </w:tabs>
      <w:spacing w:before="120" w:after="480"/>
      <w:jc w:val="both"/>
    </w:pPr>
    <w:rPr>
      <w:rFonts w:cs="Times New Roman"/>
      <w:b w:val="0"/>
      <w:bCs w:val="0"/>
      <w:color w:val="4367C5"/>
      <w:kern w:val="32"/>
      <w:sz w:val="60"/>
      <w:szCs w:val="48"/>
    </w:rPr>
  </w:style>
  <w:style w:type="paragraph" w:styleId="Parastaatkpe">
    <w:name w:val="Normal Indent"/>
    <w:basedOn w:val="Parasts"/>
    <w:uiPriority w:val="99"/>
    <w:rsid w:val="00E2564D"/>
    <w:pPr>
      <w:ind w:left="720"/>
    </w:pPr>
  </w:style>
  <w:style w:type="paragraph" w:customStyle="1" w:styleId="StyleEYHeading1LatinArial10pt">
    <w:name w:val="Style EY Heading 1 + (Latin) Arial 10 pt"/>
    <w:basedOn w:val="ISHeading1"/>
    <w:uiPriority w:val="99"/>
    <w:semiHidden/>
    <w:rsid w:val="00E2564D"/>
    <w:pPr>
      <w:numPr>
        <w:ilvl w:val="1"/>
        <w:numId w:val="6"/>
      </w:numPr>
      <w:spacing w:after="480"/>
    </w:pPr>
    <w:rPr>
      <w:color w:val="4367C5"/>
      <w:sz w:val="20"/>
      <w:szCs w:val="48"/>
    </w:rPr>
  </w:style>
  <w:style w:type="character" w:customStyle="1" w:styleId="ISCoverSubtitleChar">
    <w:name w:val="IS Cover Subtitle Char"/>
    <w:basedOn w:val="Virsraksts2Rakstz"/>
    <w:link w:val="ISCoverSubtitle"/>
    <w:rsid w:val="005807A3"/>
    <w:rPr>
      <w:rFonts w:ascii="Calibri" w:hAnsi="Calibri" w:cs="Arial"/>
      <w:b w:val="0"/>
      <w:bCs/>
      <w:i w:val="0"/>
      <w:iCs w:val="0"/>
      <w:sz w:val="48"/>
      <w:szCs w:val="48"/>
      <w:lang w:eastAsia="en-US"/>
    </w:rPr>
  </w:style>
  <w:style w:type="character" w:customStyle="1" w:styleId="ISHeading1Char">
    <w:name w:val="IS Heading 1 Char"/>
    <w:basedOn w:val="ISCoverSubtitleChar"/>
    <w:link w:val="ISHeading1"/>
    <w:uiPriority w:val="99"/>
    <w:rsid w:val="00383CAE"/>
    <w:rPr>
      <w:rFonts w:ascii="Segoe UI" w:hAnsi="Segoe UI" w:cs="Arial"/>
      <w:b/>
      <w:bCs/>
      <w:i w:val="0"/>
      <w:iCs w:val="0"/>
      <w:sz w:val="40"/>
      <w:szCs w:val="40"/>
      <w:lang w:eastAsia="en-US"/>
    </w:rPr>
  </w:style>
  <w:style w:type="paragraph" w:customStyle="1" w:styleId="Style2">
    <w:name w:val="Style2"/>
    <w:basedOn w:val="ISHeading1"/>
    <w:uiPriority w:val="99"/>
    <w:rsid w:val="00E2564D"/>
    <w:pPr>
      <w:tabs>
        <w:tab w:val="clear" w:pos="851"/>
        <w:tab w:val="num" w:pos="600"/>
        <w:tab w:val="num" w:pos="1440"/>
      </w:tabs>
      <w:spacing w:after="480"/>
      <w:ind w:left="600" w:hanging="600"/>
    </w:pPr>
    <w:rPr>
      <w:color w:val="4367C5"/>
      <w:sz w:val="48"/>
      <w:szCs w:val="48"/>
    </w:rPr>
  </w:style>
  <w:style w:type="character" w:customStyle="1" w:styleId="ISHeading2Char">
    <w:name w:val="IS Heading 2 Char"/>
    <w:basedOn w:val="Virsraksts2Rakstz"/>
    <w:link w:val="ISHeading2"/>
    <w:uiPriority w:val="99"/>
    <w:rsid w:val="00383CAE"/>
    <w:rPr>
      <w:rFonts w:ascii="Segoe UI" w:hAnsi="Segoe UI" w:cs="Arial"/>
      <w:b/>
      <w:bCs/>
      <w:i/>
      <w:iCs/>
      <w:sz w:val="32"/>
      <w:szCs w:val="32"/>
      <w:lang w:eastAsia="en-US"/>
    </w:rPr>
  </w:style>
  <w:style w:type="character" w:customStyle="1" w:styleId="ISHeading3Char">
    <w:name w:val="IS Heading 3 Char"/>
    <w:basedOn w:val="ISHeading2Char"/>
    <w:link w:val="ISHeading3"/>
    <w:uiPriority w:val="99"/>
    <w:rsid w:val="00123B21"/>
    <w:rPr>
      <w:rFonts w:ascii="Segoe UI" w:hAnsi="Segoe UI" w:cs="Arial"/>
      <w:b/>
      <w:bCs/>
      <w:i/>
      <w:iCs/>
      <w:sz w:val="32"/>
      <w:szCs w:val="32"/>
      <w:lang w:eastAsia="en-US"/>
    </w:rPr>
  </w:style>
  <w:style w:type="paragraph" w:customStyle="1" w:styleId="NumHeading4">
    <w:name w:val="Num Heading 4"/>
    <w:basedOn w:val="Virsraksts4"/>
    <w:next w:val="Parasts"/>
    <w:uiPriority w:val="99"/>
    <w:rsid w:val="00FE52A6"/>
    <w:pPr>
      <w:tabs>
        <w:tab w:val="clear" w:pos="864"/>
        <w:tab w:val="num" w:pos="794"/>
      </w:tabs>
      <w:overflowPunct/>
      <w:autoSpaceDE/>
      <w:autoSpaceDN/>
      <w:adjustRightInd/>
      <w:spacing w:after="200" w:line="276" w:lineRule="auto"/>
      <w:ind w:left="794" w:hanging="794"/>
      <w:textAlignment w:val="auto"/>
    </w:pPr>
    <w:rPr>
      <w:rFonts w:ascii="Calibri" w:eastAsia="Calibri" w:hAnsi="Calibri" w:cs="Times New Roman"/>
      <w:bCs w:val="0"/>
      <w:color w:val="365F91"/>
      <w:sz w:val="24"/>
      <w:szCs w:val="22"/>
    </w:rPr>
  </w:style>
  <w:style w:type="numbering" w:customStyle="1" w:styleId="Bullets">
    <w:name w:val="Bullets"/>
    <w:rsid w:val="00FE52A6"/>
    <w:pPr>
      <w:numPr>
        <w:numId w:val="8"/>
      </w:numPr>
    </w:pPr>
  </w:style>
  <w:style w:type="table" w:customStyle="1" w:styleId="TableGridComplex">
    <w:name w:val="Table Grid Complex"/>
    <w:basedOn w:val="Reatabula"/>
    <w:rsid w:val="00BE72E3"/>
    <w:pPr>
      <w:spacing w:before="60" w:after="60"/>
    </w:pPr>
    <w:rPr>
      <w:rFonts w:ascii="Segoe UI" w:eastAsia="Arial Narrow" w:hAnsi="Segoe UI" w:cs="Arial Narrow"/>
      <w:sz w:val="20"/>
    </w:rPr>
    <w:tblPr>
      <w:tblStyleRowBandSize w:val="1"/>
      <w:tblInd w:w="227" w:type="dxa"/>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rFonts w:ascii="Tahoma" w:eastAsia="Lucida Sans Unicode" w:hAnsi="Tahoma" w:cs="Lucida Sans Unicode"/>
        <w:b/>
        <w:bCs/>
        <w:sz w:val="18"/>
      </w:rPr>
      <w:tblPr/>
      <w:tcPr>
        <w:shd w:val="clear" w:color="auto" w:fill="D9D9D9" w:themeFill="background1" w:themeFillShade="D9"/>
      </w:tcPr>
    </w:tblStylePr>
    <w:tblStylePr w:type="lastRow">
      <w:rPr>
        <w:rFonts w:ascii="Tahoma" w:eastAsia="Tahoma" w:hAnsi="Tahoma" w:cs="Tahoma"/>
        <w:sz w:val="18"/>
        <w:szCs w:val="18"/>
      </w:rPr>
      <w:tblPr/>
      <w:tcPr>
        <w:shd w:val="clear" w:color="auto" w:fill="E6E6E6"/>
      </w:tcPr>
    </w:tblStylePr>
    <w:tblStylePr w:type="firstCol">
      <w:rPr>
        <w:rFonts w:ascii="Tahoma" w:eastAsia="Tahoma" w:hAnsi="Tahoma" w:cs="Tahoma"/>
        <w:sz w:val="18"/>
        <w:szCs w:val="18"/>
      </w:rPr>
    </w:tblStylePr>
    <w:tblStylePr w:type="lastCol">
      <w:rPr>
        <w:rFonts w:ascii="Tahoma" w:eastAsia="Tahoma" w:hAnsi="Tahoma" w:cs="Tahoma"/>
        <w:sz w:val="18"/>
        <w:szCs w:val="18"/>
      </w:rPr>
      <w:tblPr/>
      <w:tcPr>
        <w:shd w:val="clear" w:color="auto" w:fill="E6E6E6"/>
      </w:tcPr>
    </w:tblStylePr>
    <w:tblStylePr w:type="band1Horz">
      <w:rPr>
        <w:rFonts w:ascii="Tahoma" w:hAnsi="Tahoma" w:cs="Tahoma"/>
        <w:sz w:val="18"/>
        <w:szCs w:val="18"/>
      </w:rPr>
      <w:tblPr/>
      <w:tcPr>
        <w:tcBorders>
          <w:top w:val="single" w:sz="8" w:space="0" w:color="999999"/>
          <w:bottom w:val="single" w:sz="8" w:space="0" w:color="999999"/>
          <w:insideH w:val="single" w:sz="8" w:space="0" w:color="999999"/>
        </w:tcBorders>
      </w:tcPr>
    </w:tblStylePr>
    <w:tblStylePr w:type="band2Horz">
      <w:rPr>
        <w:rFonts w:ascii="Tahoma" w:eastAsia="Tahoma" w:hAnsi="Tahoma" w:cs="Tahoma"/>
        <w:sz w:val="18"/>
        <w:szCs w:val="18"/>
      </w:rPr>
    </w:tblStylePr>
  </w:style>
  <w:style w:type="paragraph" w:customStyle="1" w:styleId="HeadingAppendixOld">
    <w:name w:val="Heading Appendix Old"/>
    <w:basedOn w:val="Parasts"/>
    <w:next w:val="Parasts"/>
    <w:uiPriority w:val="99"/>
    <w:rsid w:val="00FE52A6"/>
    <w:pPr>
      <w:keepNext/>
      <w:pageBreakBefore/>
      <w:numPr>
        <w:ilvl w:val="7"/>
        <w:numId w:val="9"/>
      </w:numPr>
      <w:overflowPunct/>
      <w:autoSpaceDE/>
      <w:autoSpaceDN/>
      <w:adjustRightInd/>
      <w:spacing w:after="200" w:line="276" w:lineRule="auto"/>
      <w:textAlignment w:val="auto"/>
    </w:pPr>
    <w:rPr>
      <w:rFonts w:ascii="Arial Black" w:eastAsia="Arial Black" w:hAnsi="Arial Black" w:cs="Arial Black"/>
      <w:smallCaps/>
      <w:color w:val="333333"/>
      <w:sz w:val="32"/>
      <w:szCs w:val="32"/>
    </w:rPr>
  </w:style>
  <w:style w:type="paragraph" w:customStyle="1" w:styleId="ISBodyTextIndent">
    <w:name w:val="IS Body Text Indent"/>
    <w:basedOn w:val="Parasts"/>
    <w:uiPriority w:val="99"/>
    <w:rsid w:val="004E18DB"/>
    <w:pPr>
      <w:spacing w:before="60" w:after="60"/>
      <w:ind w:left="1134"/>
      <w:jc w:val="both"/>
    </w:pPr>
    <w:rPr>
      <w:rFonts w:eastAsia="MS Mincho" w:cs="Arial"/>
      <w:bCs/>
    </w:rPr>
  </w:style>
  <w:style w:type="paragraph" w:customStyle="1" w:styleId="StyleEYHeading1Left0cmFirstline0cmLinespacing">
    <w:name w:val="Style EY Heading 1 + Left:  0 cm First line:  0 cm Line spacing: ..."/>
    <w:basedOn w:val="ISHeading1"/>
    <w:uiPriority w:val="99"/>
    <w:semiHidden/>
    <w:rsid w:val="00E2564D"/>
    <w:pPr>
      <w:tabs>
        <w:tab w:val="clear" w:pos="851"/>
        <w:tab w:val="num" w:pos="600"/>
        <w:tab w:val="num" w:pos="1440"/>
      </w:tabs>
      <w:spacing w:after="480"/>
      <w:ind w:left="0" w:firstLine="0"/>
    </w:pPr>
    <w:rPr>
      <w:rFonts w:cs="Times New Roman"/>
      <w:bCs w:val="0"/>
      <w:color w:val="4367C5"/>
      <w:sz w:val="48"/>
      <w:szCs w:val="48"/>
    </w:rPr>
  </w:style>
  <w:style w:type="paragraph" w:customStyle="1" w:styleId="CodeBlock">
    <w:name w:val="Code Block"/>
    <w:basedOn w:val="Parasts"/>
    <w:uiPriority w:val="99"/>
    <w:rsid w:val="00FE52A6"/>
    <w:pPr>
      <w:keepNext/>
      <w:pBdr>
        <w:top w:val="single" w:sz="4" w:space="1" w:color="auto"/>
        <w:left w:val="single" w:sz="4" w:space="4" w:color="auto"/>
        <w:bottom w:val="single" w:sz="4" w:space="1" w:color="auto"/>
        <w:right w:val="single" w:sz="4" w:space="4" w:color="auto"/>
      </w:pBdr>
      <w:overflowPunct/>
      <w:autoSpaceDE/>
      <w:autoSpaceDN/>
      <w:adjustRightInd/>
      <w:spacing w:before="20" w:after="20" w:line="276" w:lineRule="auto"/>
      <w:textAlignment w:val="auto"/>
    </w:pPr>
    <w:rPr>
      <w:rFonts w:ascii="Courier New" w:eastAsia="Courier New" w:hAnsi="Courier New" w:cs="Courier New"/>
      <w:sz w:val="16"/>
      <w:szCs w:val="16"/>
    </w:rPr>
  </w:style>
  <w:style w:type="paragraph" w:styleId="Nosaukums">
    <w:name w:val="Title"/>
    <w:basedOn w:val="Parasts"/>
    <w:link w:val="NosaukumsRakstz"/>
    <w:qFormat/>
    <w:rsid w:val="00E2564D"/>
    <w:pPr>
      <w:overflowPunct/>
      <w:autoSpaceDE/>
      <w:autoSpaceDN/>
      <w:adjustRightInd/>
      <w:spacing w:before="240" w:after="60"/>
      <w:jc w:val="center"/>
      <w:textAlignment w:val="auto"/>
      <w:outlineLvl w:val="0"/>
    </w:pPr>
    <w:rPr>
      <w:rFonts w:ascii="Arial" w:hAnsi="Arial" w:cs="Arial"/>
      <w:b/>
      <w:bCs/>
      <w:kern w:val="28"/>
      <w:sz w:val="32"/>
      <w:szCs w:val="32"/>
    </w:rPr>
  </w:style>
  <w:style w:type="paragraph" w:customStyle="1" w:styleId="Appendix">
    <w:name w:val="Appendix"/>
    <w:basedOn w:val="Parasts"/>
    <w:uiPriority w:val="99"/>
    <w:rsid w:val="00E2564D"/>
    <w:pPr>
      <w:keepNext/>
      <w:tabs>
        <w:tab w:val="left" w:pos="227"/>
        <w:tab w:val="left" w:pos="454"/>
        <w:tab w:val="left" w:pos="680"/>
        <w:tab w:val="left" w:pos="1980"/>
        <w:tab w:val="left" w:pos="2070"/>
        <w:tab w:val="left" w:pos="2610"/>
        <w:tab w:val="left" w:pos="2790"/>
        <w:tab w:val="right" w:pos="9214"/>
      </w:tabs>
      <w:overflowPunct/>
      <w:autoSpaceDE/>
      <w:autoSpaceDN/>
      <w:adjustRightInd/>
      <w:spacing w:before="240" w:after="60"/>
      <w:textAlignment w:val="auto"/>
      <w:outlineLvl w:val="0"/>
    </w:pPr>
    <w:rPr>
      <w:rFonts w:ascii="Arial" w:hAnsi="Arial"/>
      <w:b/>
      <w:bCs/>
      <w:kern w:val="32"/>
      <w:sz w:val="32"/>
      <w:szCs w:val="32"/>
    </w:rPr>
  </w:style>
  <w:style w:type="paragraph" w:customStyle="1" w:styleId="Note">
    <w:name w:val="Note"/>
    <w:basedOn w:val="Parasts"/>
    <w:uiPriority w:val="99"/>
    <w:rsid w:val="00FE52A6"/>
    <w:pPr>
      <w:pBdr>
        <w:left w:val="single" w:sz="18" w:space="6" w:color="808080"/>
      </w:pBdr>
      <w:overflowPunct/>
      <w:autoSpaceDE/>
      <w:autoSpaceDN/>
      <w:adjustRightInd/>
      <w:spacing w:after="120" w:line="276" w:lineRule="auto"/>
      <w:ind w:left="567"/>
      <w:textAlignment w:val="auto"/>
    </w:pPr>
    <w:rPr>
      <w:rFonts w:eastAsia="Calibri"/>
      <w:szCs w:val="22"/>
    </w:rPr>
  </w:style>
  <w:style w:type="paragraph" w:customStyle="1" w:styleId="Headingsmall">
    <w:name w:val="Heading small"/>
    <w:basedOn w:val="Parasts"/>
    <w:uiPriority w:val="99"/>
    <w:qFormat/>
    <w:rsid w:val="00B6096C"/>
    <w:pPr>
      <w:keepNext/>
      <w:tabs>
        <w:tab w:val="left" w:pos="227"/>
        <w:tab w:val="left" w:pos="454"/>
        <w:tab w:val="left" w:pos="680"/>
        <w:tab w:val="left" w:pos="1980"/>
        <w:tab w:val="left" w:pos="2070"/>
        <w:tab w:val="left" w:pos="2610"/>
        <w:tab w:val="left" w:pos="2790"/>
        <w:tab w:val="right" w:pos="9214"/>
      </w:tabs>
      <w:overflowPunct/>
      <w:autoSpaceDE/>
      <w:autoSpaceDN/>
      <w:adjustRightInd/>
      <w:spacing w:before="240" w:after="120"/>
      <w:jc w:val="both"/>
      <w:textAlignment w:val="auto"/>
    </w:pPr>
    <w:rPr>
      <w:b/>
      <w:bCs/>
      <w:i/>
      <w:iCs/>
      <w:spacing w:val="-3"/>
      <w:sz w:val="24"/>
      <w:szCs w:val="18"/>
      <w:lang w:val="en-US"/>
    </w:rPr>
  </w:style>
  <w:style w:type="numbering" w:customStyle="1" w:styleId="NumberedList">
    <w:name w:val="Numbered List"/>
    <w:basedOn w:val="Bezsaraksta"/>
    <w:rsid w:val="00FE52A6"/>
    <w:pPr>
      <w:numPr>
        <w:numId w:val="13"/>
      </w:numPr>
    </w:pPr>
  </w:style>
  <w:style w:type="paragraph" w:customStyle="1" w:styleId="Bullet">
    <w:name w:val="Bullet"/>
    <w:basedOn w:val="Parasts"/>
    <w:uiPriority w:val="99"/>
    <w:rsid w:val="00B6096C"/>
    <w:pPr>
      <w:tabs>
        <w:tab w:val="left" w:pos="227"/>
        <w:tab w:val="left" w:pos="331"/>
        <w:tab w:val="num" w:pos="360"/>
        <w:tab w:val="left" w:pos="454"/>
        <w:tab w:val="left" w:pos="680"/>
        <w:tab w:val="left" w:pos="1980"/>
        <w:tab w:val="left" w:pos="2070"/>
        <w:tab w:val="left" w:pos="2610"/>
        <w:tab w:val="left" w:pos="2790"/>
        <w:tab w:val="right" w:pos="9214"/>
      </w:tabs>
      <w:overflowPunct/>
      <w:autoSpaceDE/>
      <w:autoSpaceDN/>
      <w:adjustRightInd/>
      <w:spacing w:before="120"/>
      <w:ind w:left="331" w:hanging="331"/>
      <w:textAlignment w:val="auto"/>
    </w:pPr>
    <w:rPr>
      <w:color w:val="000000"/>
      <w:sz w:val="24"/>
      <w:szCs w:val="18"/>
      <w:lang w:val="en-US"/>
    </w:rPr>
  </w:style>
  <w:style w:type="paragraph" w:styleId="Alfabtiskaisrdtjs1">
    <w:name w:val="index 1"/>
    <w:basedOn w:val="Parasts"/>
    <w:next w:val="Parasts"/>
    <w:autoRedefine/>
    <w:uiPriority w:val="99"/>
    <w:semiHidden/>
    <w:rsid w:val="007D69A1"/>
    <w:pPr>
      <w:ind w:left="220" w:hanging="220"/>
    </w:pPr>
  </w:style>
  <w:style w:type="paragraph" w:customStyle="1" w:styleId="Komentratma1">
    <w:name w:val="Komentāra tēma1"/>
    <w:basedOn w:val="Komentrateksts"/>
    <w:next w:val="Komentrateksts"/>
    <w:uiPriority w:val="99"/>
    <w:semiHidden/>
    <w:rsid w:val="007D69A1"/>
    <w:rPr>
      <w:b/>
      <w:bCs/>
    </w:rPr>
  </w:style>
  <w:style w:type="paragraph" w:customStyle="1" w:styleId="ISBodyText2">
    <w:name w:val="IS Body Text 2"/>
    <w:basedOn w:val="ISBodyText"/>
    <w:link w:val="ISBodyText2Char"/>
    <w:rsid w:val="00B708AA"/>
    <w:pPr>
      <w:tabs>
        <w:tab w:val="num" w:pos="851"/>
      </w:tabs>
      <w:ind w:left="851" w:hanging="851"/>
    </w:pPr>
  </w:style>
  <w:style w:type="paragraph" w:customStyle="1" w:styleId="ISBodyText1">
    <w:name w:val="IS Body Text 1"/>
    <w:basedOn w:val="ISBodyText"/>
    <w:uiPriority w:val="99"/>
    <w:rsid w:val="0000063C"/>
    <w:pPr>
      <w:tabs>
        <w:tab w:val="num" w:pos="851"/>
      </w:tabs>
      <w:ind w:left="851" w:hanging="851"/>
    </w:pPr>
  </w:style>
  <w:style w:type="numbering" w:styleId="Daasadaa">
    <w:name w:val="Outline List 3"/>
    <w:basedOn w:val="Bezsaraksta"/>
    <w:rsid w:val="002E3EE7"/>
    <w:pPr>
      <w:numPr>
        <w:numId w:val="32"/>
      </w:numPr>
    </w:pPr>
  </w:style>
  <w:style w:type="numbering" w:customStyle="1" w:styleId="EY1">
    <w:name w:val="EY1"/>
    <w:rsid w:val="00B708AA"/>
    <w:pPr>
      <w:numPr>
        <w:numId w:val="16"/>
      </w:numPr>
    </w:pPr>
  </w:style>
  <w:style w:type="paragraph" w:customStyle="1" w:styleId="ISBodyText3">
    <w:name w:val="IS Body Text 3"/>
    <w:basedOn w:val="ISBodyText"/>
    <w:link w:val="ISBodyText3Char"/>
    <w:rsid w:val="00B708AA"/>
    <w:pPr>
      <w:tabs>
        <w:tab w:val="num" w:pos="851"/>
      </w:tabs>
      <w:ind w:left="851" w:hanging="851"/>
    </w:pPr>
  </w:style>
  <w:style w:type="character" w:customStyle="1" w:styleId="ISBodyTextChar">
    <w:name w:val="IS Body Text Char"/>
    <w:basedOn w:val="Noklusjumarindkopasfonts"/>
    <w:link w:val="ISBodyText"/>
    <w:uiPriority w:val="99"/>
    <w:rsid w:val="005807A3"/>
    <w:rPr>
      <w:rFonts w:ascii="Segoe UI" w:eastAsia="MS Mincho" w:hAnsi="Segoe UI" w:cs="Segoe UI"/>
      <w:bCs/>
      <w:sz w:val="22"/>
      <w:szCs w:val="22"/>
      <w:lang w:eastAsia="en-US"/>
    </w:rPr>
  </w:style>
  <w:style w:type="character" w:customStyle="1" w:styleId="ISBodyText3Char">
    <w:name w:val="IS Body Text 3 Char"/>
    <w:basedOn w:val="ISBodyTextChar"/>
    <w:link w:val="ISBodyText3"/>
    <w:rsid w:val="005B42E5"/>
    <w:rPr>
      <w:rFonts w:ascii="Segoe UI" w:eastAsia="MS Mincho" w:hAnsi="Segoe UI" w:cs="Segoe UI"/>
      <w:bCs/>
      <w:sz w:val="22"/>
      <w:szCs w:val="22"/>
      <w:lang w:eastAsia="en-US"/>
    </w:rPr>
  </w:style>
  <w:style w:type="table" w:styleId="Profesionlatabula">
    <w:name w:val="Table Professional"/>
    <w:basedOn w:val="Parastatabula"/>
    <w:rsid w:val="006C649F"/>
    <w:pPr>
      <w:spacing w:after="120"/>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ISBodyText2Char">
    <w:name w:val="IS Body Text 2 Char"/>
    <w:basedOn w:val="ISBodyTextChar"/>
    <w:link w:val="ISBodyText2"/>
    <w:rsid w:val="006C7F7C"/>
    <w:rPr>
      <w:rFonts w:ascii="Segoe UI" w:eastAsia="MS Mincho" w:hAnsi="Segoe UI" w:cs="Segoe UI"/>
      <w:bCs/>
      <w:sz w:val="22"/>
      <w:szCs w:val="22"/>
      <w:lang w:eastAsia="en-US"/>
    </w:rPr>
  </w:style>
  <w:style w:type="paragraph" w:customStyle="1" w:styleId="Bulets">
    <w:name w:val="Bulets"/>
    <w:basedOn w:val="Parasts"/>
    <w:link w:val="BuletsChar"/>
    <w:rsid w:val="00C43FFC"/>
    <w:pPr>
      <w:tabs>
        <w:tab w:val="num" w:pos="907"/>
      </w:tabs>
      <w:overflowPunct/>
      <w:autoSpaceDE/>
      <w:autoSpaceDN/>
      <w:adjustRightInd/>
      <w:spacing w:before="120" w:after="60" w:line="264" w:lineRule="auto"/>
      <w:ind w:left="907" w:hanging="340"/>
      <w:jc w:val="both"/>
      <w:textAlignment w:val="auto"/>
    </w:pPr>
    <w:rPr>
      <w:rFonts w:ascii="Arial" w:hAnsi="Arial" w:cs="Arial"/>
      <w:szCs w:val="22"/>
    </w:rPr>
  </w:style>
  <w:style w:type="character" w:customStyle="1" w:styleId="BuletsChar">
    <w:name w:val="Bulets Char"/>
    <w:basedOn w:val="Noklusjumarindkopasfonts"/>
    <w:link w:val="Bulets"/>
    <w:rsid w:val="00C43FFC"/>
    <w:rPr>
      <w:rFonts w:ascii="Arial" w:hAnsi="Arial" w:cs="Arial"/>
      <w:sz w:val="22"/>
      <w:szCs w:val="22"/>
      <w:lang w:val="lv-LV" w:eastAsia="en-US" w:bidi="ar-SA"/>
    </w:rPr>
  </w:style>
  <w:style w:type="paragraph" w:customStyle="1" w:styleId="NoteTitle">
    <w:name w:val="Note Title"/>
    <w:basedOn w:val="Note"/>
    <w:next w:val="Note"/>
    <w:uiPriority w:val="99"/>
    <w:rsid w:val="00FE52A6"/>
    <w:pPr>
      <w:keepNext/>
    </w:pPr>
    <w:rPr>
      <w:b/>
      <w:bCs/>
    </w:rPr>
  </w:style>
  <w:style w:type="paragraph" w:customStyle="1" w:styleId="TableNormal1">
    <w:name w:val="Table Normal1"/>
    <w:basedOn w:val="Parasts"/>
    <w:uiPriority w:val="99"/>
    <w:rsid w:val="00FE52A6"/>
    <w:pPr>
      <w:overflowPunct/>
      <w:autoSpaceDE/>
      <w:autoSpaceDN/>
      <w:adjustRightInd/>
      <w:spacing w:before="60" w:after="200" w:line="276" w:lineRule="auto"/>
      <w:textAlignment w:val="auto"/>
    </w:pPr>
    <w:rPr>
      <w:rFonts w:ascii="Arial Narrow" w:eastAsia="Arial Narrow" w:hAnsi="Arial Narrow" w:cs="Arial Narrow"/>
      <w:szCs w:val="22"/>
    </w:rPr>
  </w:style>
  <w:style w:type="paragraph" w:customStyle="1" w:styleId="HeadingPart">
    <w:name w:val="Heading Part"/>
    <w:basedOn w:val="Parasts"/>
    <w:next w:val="Parasts"/>
    <w:uiPriority w:val="99"/>
    <w:rsid w:val="00FE52A6"/>
    <w:pPr>
      <w:pageBreakBefore/>
      <w:numPr>
        <w:ilvl w:val="8"/>
        <w:numId w:val="9"/>
      </w:numPr>
      <w:overflowPunct/>
      <w:autoSpaceDE/>
      <w:autoSpaceDN/>
      <w:adjustRightInd/>
      <w:spacing w:before="480" w:after="200" w:line="276" w:lineRule="auto"/>
      <w:textAlignment w:val="auto"/>
      <w:outlineLvl w:val="8"/>
    </w:pPr>
    <w:rPr>
      <w:rFonts w:ascii="Arial Black" w:eastAsia="Arial Black" w:hAnsi="Arial Black" w:cs="Arial Black"/>
      <w:b/>
      <w:smallCaps/>
      <w:color w:val="333333"/>
      <w:sz w:val="32"/>
      <w:szCs w:val="32"/>
    </w:rPr>
  </w:style>
  <w:style w:type="paragraph" w:customStyle="1" w:styleId="NumHeading5">
    <w:name w:val="Num Heading 5"/>
    <w:basedOn w:val="Virsraksts5"/>
    <w:next w:val="Parasts"/>
    <w:uiPriority w:val="99"/>
    <w:rsid w:val="00FE52A6"/>
    <w:pPr>
      <w:keepLines/>
      <w:tabs>
        <w:tab w:val="clear" w:pos="1008"/>
        <w:tab w:val="num" w:pos="794"/>
      </w:tabs>
      <w:overflowPunct/>
      <w:autoSpaceDE/>
      <w:autoSpaceDN/>
      <w:adjustRightInd/>
      <w:spacing w:before="200" w:line="276" w:lineRule="auto"/>
      <w:ind w:left="794" w:hanging="794"/>
      <w:jc w:val="left"/>
      <w:textAlignment w:val="auto"/>
    </w:pPr>
    <w:rPr>
      <w:rFonts w:ascii="Calibri" w:hAnsi="Calibri" w:cs="Times New Roman"/>
      <w:bCs w:val="0"/>
      <w:i/>
      <w:color w:val="5F497A"/>
      <w:sz w:val="26"/>
      <w:szCs w:val="22"/>
      <w:lang w:val="lv-LV"/>
    </w:rPr>
  </w:style>
  <w:style w:type="paragraph" w:customStyle="1" w:styleId="HeadingAppendix">
    <w:name w:val="Heading Appendix"/>
    <w:basedOn w:val="Virsraksts1"/>
    <w:next w:val="Parasts"/>
    <w:uiPriority w:val="99"/>
    <w:rsid w:val="00FE52A6"/>
    <w:pPr>
      <w:overflowPunct/>
      <w:autoSpaceDE/>
      <w:autoSpaceDN/>
      <w:adjustRightInd/>
      <w:spacing w:before="0" w:after="200" w:line="276" w:lineRule="auto"/>
      <w:ind w:left="431" w:hanging="431"/>
      <w:textAlignment w:val="auto"/>
    </w:pPr>
    <w:rPr>
      <w:rFonts w:ascii="Calibri" w:eastAsia="Calibri" w:hAnsi="Calibri" w:cs="Times New Roman"/>
      <w:bCs w:val="0"/>
      <w:color w:val="365F91"/>
      <w:kern w:val="0"/>
      <w:sz w:val="36"/>
      <w:szCs w:val="22"/>
    </w:rPr>
  </w:style>
  <w:style w:type="paragraph" w:customStyle="1" w:styleId="FooterSmall">
    <w:name w:val="Footer Small"/>
    <w:basedOn w:val="Kjene"/>
    <w:uiPriority w:val="99"/>
    <w:rsid w:val="00FE52A6"/>
    <w:pPr>
      <w:overflowPunct/>
      <w:autoSpaceDE/>
      <w:autoSpaceDN/>
      <w:adjustRightInd/>
      <w:spacing w:line="276" w:lineRule="auto"/>
      <w:textAlignment w:val="auto"/>
    </w:pPr>
    <w:rPr>
      <w:rFonts w:ascii="Arial Narrow" w:eastAsia="Arial Narrow" w:hAnsi="Arial Narrow" w:cs="Arial Narrow"/>
      <w:sz w:val="12"/>
      <w:szCs w:val="12"/>
    </w:rPr>
  </w:style>
  <w:style w:type="numbering" w:customStyle="1" w:styleId="Checklist">
    <w:name w:val="Checklist"/>
    <w:basedOn w:val="Bezsaraksta"/>
    <w:rsid w:val="00FE52A6"/>
    <w:pPr>
      <w:numPr>
        <w:numId w:val="11"/>
      </w:numPr>
    </w:pPr>
  </w:style>
  <w:style w:type="numbering" w:customStyle="1" w:styleId="NumberedListTable">
    <w:name w:val="Numbered List Table"/>
    <w:basedOn w:val="Bezsaraksta"/>
    <w:rsid w:val="00FE52A6"/>
    <w:pPr>
      <w:numPr>
        <w:numId w:val="10"/>
      </w:numPr>
    </w:pPr>
  </w:style>
  <w:style w:type="numbering" w:customStyle="1" w:styleId="BulletsTable">
    <w:name w:val="Bullets Table"/>
    <w:basedOn w:val="Bezsaraksta"/>
    <w:rsid w:val="00FE52A6"/>
    <w:pPr>
      <w:numPr>
        <w:numId w:val="12"/>
      </w:numPr>
    </w:pPr>
  </w:style>
  <w:style w:type="paragraph" w:customStyle="1" w:styleId="HorizontalNote">
    <w:name w:val="Horizontal Note"/>
    <w:basedOn w:val="Parasts"/>
    <w:uiPriority w:val="99"/>
    <w:rsid w:val="00FE52A6"/>
    <w:pPr>
      <w:pBdr>
        <w:top w:val="single" w:sz="18" w:space="1" w:color="999999"/>
        <w:bottom w:val="single" w:sz="18" w:space="1" w:color="999999"/>
      </w:pBdr>
      <w:overflowPunct/>
      <w:autoSpaceDE/>
      <w:autoSpaceDN/>
      <w:adjustRightInd/>
      <w:spacing w:after="200" w:line="276" w:lineRule="auto"/>
      <w:textAlignment w:val="auto"/>
    </w:pPr>
    <w:rPr>
      <w:rFonts w:eastAsia="Calibri"/>
      <w:szCs w:val="22"/>
    </w:rPr>
  </w:style>
  <w:style w:type="character" w:customStyle="1" w:styleId="KjeneRakstz">
    <w:name w:val="Kājene Rakstz."/>
    <w:basedOn w:val="Noklusjumarindkopasfonts"/>
    <w:link w:val="Kjene"/>
    <w:uiPriority w:val="99"/>
    <w:rsid w:val="00FE52A6"/>
    <w:rPr>
      <w:sz w:val="22"/>
      <w:lang w:val="en-US" w:eastAsia="en-US"/>
    </w:rPr>
  </w:style>
  <w:style w:type="character" w:customStyle="1" w:styleId="Virsraksts3Rakstz">
    <w:name w:val="Virsraksts 3 Rakstz."/>
    <w:basedOn w:val="Noklusjumarindkopasfonts"/>
    <w:link w:val="Virsraksts3"/>
    <w:rsid w:val="00FE52A6"/>
    <w:rPr>
      <w:rFonts w:ascii="Arial Narrow" w:hAnsi="Arial Narrow"/>
      <w:color w:val="3366FF"/>
      <w:sz w:val="26"/>
      <w:lang w:eastAsia="en-US"/>
    </w:rPr>
  </w:style>
  <w:style w:type="character" w:customStyle="1" w:styleId="Virsraksts4Rakstz">
    <w:name w:val="Virsraksts 4 Rakstz."/>
    <w:basedOn w:val="Noklusjumarindkopasfonts"/>
    <w:link w:val="Virsraksts4"/>
    <w:uiPriority w:val="9"/>
    <w:rsid w:val="00FE52A6"/>
    <w:rPr>
      <w:rFonts w:ascii="Arial" w:hAnsi="Arial" w:cs="Arial"/>
      <w:b/>
      <w:bCs/>
      <w:sz w:val="16"/>
      <w:szCs w:val="16"/>
      <w:lang w:eastAsia="en-US"/>
    </w:rPr>
  </w:style>
  <w:style w:type="character" w:customStyle="1" w:styleId="Virsraksts5Rakstz">
    <w:name w:val="Virsraksts 5 Rakstz."/>
    <w:basedOn w:val="Noklusjumarindkopasfonts"/>
    <w:link w:val="Virsraksts5"/>
    <w:uiPriority w:val="9"/>
    <w:rsid w:val="00FE52A6"/>
    <w:rPr>
      <w:rFonts w:ascii="Arial" w:hAnsi="Arial" w:cs="Arial"/>
      <w:b/>
      <w:bCs/>
      <w:sz w:val="16"/>
      <w:szCs w:val="16"/>
      <w:lang w:val="de-DE" w:eastAsia="en-US"/>
    </w:rPr>
  </w:style>
  <w:style w:type="character" w:customStyle="1" w:styleId="NosaukumsRakstz">
    <w:name w:val="Nosaukums Rakstz."/>
    <w:basedOn w:val="Noklusjumarindkopasfonts"/>
    <w:link w:val="Nosaukums"/>
    <w:rsid w:val="00FE52A6"/>
    <w:rPr>
      <w:rFonts w:ascii="Arial" w:hAnsi="Arial" w:cs="Arial"/>
      <w:b/>
      <w:bCs/>
      <w:kern w:val="28"/>
      <w:sz w:val="32"/>
      <w:szCs w:val="32"/>
      <w:lang w:val="en-US" w:eastAsia="en-US"/>
    </w:rPr>
  </w:style>
  <w:style w:type="paragraph" w:styleId="Saraksts">
    <w:name w:val="List"/>
    <w:basedOn w:val="Parasts"/>
    <w:autoRedefine/>
    <w:uiPriority w:val="99"/>
    <w:qFormat/>
    <w:rsid w:val="00FE52A6"/>
    <w:pPr>
      <w:overflowPunct/>
      <w:autoSpaceDE/>
      <w:autoSpaceDN/>
      <w:adjustRightInd/>
      <w:spacing w:after="200" w:line="276" w:lineRule="auto"/>
      <w:ind w:left="720" w:hanging="360"/>
      <w:contextualSpacing/>
      <w:textAlignment w:val="auto"/>
    </w:pPr>
    <w:rPr>
      <w:rFonts w:eastAsia="Calibri"/>
      <w:szCs w:val="22"/>
    </w:rPr>
  </w:style>
  <w:style w:type="character" w:styleId="Rindiasnumurs">
    <w:name w:val="line number"/>
    <w:basedOn w:val="Noklusjumarindkopasfonts"/>
    <w:uiPriority w:val="99"/>
    <w:qFormat/>
    <w:rsid w:val="00FE52A6"/>
    <w:rPr>
      <w:sz w:val="16"/>
    </w:rPr>
  </w:style>
  <w:style w:type="character" w:customStyle="1" w:styleId="Virsraksts6Rakstz">
    <w:name w:val="Virsraksts 6 Rakstz."/>
    <w:basedOn w:val="Noklusjumarindkopasfonts"/>
    <w:link w:val="Virsraksts6"/>
    <w:uiPriority w:val="9"/>
    <w:rsid w:val="00FE52A6"/>
    <w:rPr>
      <w:rFonts w:ascii="Segoe UI" w:hAnsi="Segoe UI"/>
      <w:bCs/>
      <w:szCs w:val="22"/>
      <w:lang w:val="pl-PL" w:eastAsia="en-US"/>
    </w:rPr>
  </w:style>
  <w:style w:type="character" w:customStyle="1" w:styleId="Virsraksts7Rakstz">
    <w:name w:val="Virsraksts 7 Rakstz."/>
    <w:basedOn w:val="Noklusjumarindkopasfonts"/>
    <w:link w:val="Virsraksts7"/>
    <w:uiPriority w:val="99"/>
    <w:rsid w:val="00FE52A6"/>
    <w:rPr>
      <w:rFonts w:ascii="Segoe UI" w:hAnsi="Segoe UI"/>
      <w:i/>
      <w:sz w:val="22"/>
      <w:lang w:val="pl-PL" w:eastAsia="en-US"/>
    </w:rPr>
  </w:style>
  <w:style w:type="character" w:customStyle="1" w:styleId="Virsraksts8Rakstz">
    <w:name w:val="Virsraksts 8 Rakstz."/>
    <w:basedOn w:val="Noklusjumarindkopasfonts"/>
    <w:link w:val="Virsraksts8"/>
    <w:uiPriority w:val="99"/>
    <w:rsid w:val="00FE52A6"/>
    <w:rPr>
      <w:rFonts w:ascii="Segoe UI" w:hAnsi="Segoe UI"/>
      <w:i/>
      <w:iCs/>
      <w:sz w:val="22"/>
      <w:lang w:val="pl-PL" w:eastAsia="en-US"/>
    </w:rPr>
  </w:style>
  <w:style w:type="character" w:customStyle="1" w:styleId="Virsraksts9Rakstz">
    <w:name w:val="Virsraksts 9 Rakstz."/>
    <w:basedOn w:val="Noklusjumarindkopasfonts"/>
    <w:link w:val="Virsraksts9"/>
    <w:uiPriority w:val="99"/>
    <w:rsid w:val="00FE52A6"/>
    <w:rPr>
      <w:rFonts w:ascii="Segoe UI" w:hAnsi="Segoe UI"/>
      <w:b/>
      <w:color w:val="FFFFFF"/>
      <w:lang w:eastAsia="en-US"/>
    </w:rPr>
  </w:style>
  <w:style w:type="paragraph" w:styleId="Apakvirsraksts">
    <w:name w:val="Subtitle"/>
    <w:basedOn w:val="Parasts"/>
    <w:next w:val="Parasts"/>
    <w:link w:val="ApakvirsrakstsRakstz"/>
    <w:uiPriority w:val="11"/>
    <w:unhideWhenUsed/>
    <w:qFormat/>
    <w:rsid w:val="00FE52A6"/>
    <w:pPr>
      <w:numPr>
        <w:ilvl w:val="1"/>
      </w:numPr>
      <w:overflowPunct/>
      <w:autoSpaceDE/>
      <w:autoSpaceDN/>
      <w:adjustRightInd/>
      <w:spacing w:after="200" w:line="276" w:lineRule="auto"/>
      <w:textAlignment w:val="auto"/>
    </w:pPr>
    <w:rPr>
      <w:rFonts w:ascii="Cambria" w:hAnsi="Cambria"/>
      <w:i/>
      <w:color w:val="4F81BD"/>
      <w:spacing w:val="15"/>
      <w:sz w:val="24"/>
    </w:rPr>
  </w:style>
  <w:style w:type="character" w:customStyle="1" w:styleId="ApakvirsrakstsRakstz">
    <w:name w:val="Apakšvirsraksts Rakstz."/>
    <w:basedOn w:val="Noklusjumarindkopasfonts"/>
    <w:link w:val="Apakvirsraksts"/>
    <w:uiPriority w:val="11"/>
    <w:rsid w:val="00FE52A6"/>
    <w:rPr>
      <w:rFonts w:ascii="Cambria" w:hAnsi="Cambria"/>
      <w:i/>
      <w:color w:val="4F81BD"/>
      <w:spacing w:val="15"/>
      <w:sz w:val="24"/>
      <w:szCs w:val="24"/>
      <w:lang w:eastAsia="en-US"/>
    </w:rPr>
  </w:style>
  <w:style w:type="character" w:styleId="Izteiksmgs">
    <w:name w:val="Strong"/>
    <w:basedOn w:val="Noklusjumarindkopasfonts"/>
    <w:uiPriority w:val="22"/>
    <w:qFormat/>
    <w:rsid w:val="00FE52A6"/>
    <w:rPr>
      <w:b/>
      <w:bCs/>
    </w:rPr>
  </w:style>
  <w:style w:type="character" w:styleId="Izclums">
    <w:name w:val="Emphasis"/>
    <w:basedOn w:val="Noklusjumarindkopasfonts"/>
    <w:unhideWhenUsed/>
    <w:qFormat/>
    <w:rsid w:val="00FE52A6"/>
    <w:rPr>
      <w:i/>
      <w:iCs/>
    </w:rPr>
  </w:style>
  <w:style w:type="paragraph" w:styleId="Bezatstarpm">
    <w:name w:val="No Spacing"/>
    <w:uiPriority w:val="1"/>
    <w:qFormat/>
    <w:rsid w:val="00FE52A6"/>
    <w:rPr>
      <w:rFonts w:ascii="Verdana" w:eastAsia="Calibri" w:hAnsi="Verdana" w:cs="Arial"/>
      <w:iCs/>
      <w:sz w:val="18"/>
      <w:szCs w:val="18"/>
      <w:lang w:val="en-US" w:eastAsia="en-US"/>
    </w:rPr>
  </w:style>
  <w:style w:type="paragraph" w:styleId="Sarakstarindkopa">
    <w:name w:val="List Paragraph"/>
    <w:basedOn w:val="Parasts"/>
    <w:link w:val="SarakstarindkopaRakstz"/>
    <w:uiPriority w:val="34"/>
    <w:qFormat/>
    <w:rsid w:val="00FE52A6"/>
    <w:pPr>
      <w:numPr>
        <w:numId w:val="14"/>
      </w:numPr>
      <w:overflowPunct/>
      <w:autoSpaceDE/>
      <w:autoSpaceDN/>
      <w:adjustRightInd/>
      <w:spacing w:after="80" w:line="276" w:lineRule="auto"/>
      <w:jc w:val="both"/>
      <w:textAlignment w:val="auto"/>
    </w:pPr>
    <w:rPr>
      <w:szCs w:val="22"/>
    </w:rPr>
  </w:style>
  <w:style w:type="paragraph" w:styleId="Citts">
    <w:name w:val="Quote"/>
    <w:basedOn w:val="Parasts"/>
    <w:next w:val="Parasts"/>
    <w:link w:val="CittsRakstz"/>
    <w:uiPriority w:val="29"/>
    <w:unhideWhenUsed/>
    <w:qFormat/>
    <w:rsid w:val="00FE52A6"/>
    <w:pPr>
      <w:overflowPunct/>
      <w:autoSpaceDE/>
      <w:autoSpaceDN/>
      <w:adjustRightInd/>
      <w:spacing w:after="200" w:line="276" w:lineRule="auto"/>
      <w:textAlignment w:val="auto"/>
    </w:pPr>
    <w:rPr>
      <w:rFonts w:eastAsia="Calibri"/>
      <w:i/>
      <w:color w:val="000000"/>
      <w:szCs w:val="22"/>
    </w:rPr>
  </w:style>
  <w:style w:type="character" w:customStyle="1" w:styleId="CittsRakstz">
    <w:name w:val="Citāts Rakstz."/>
    <w:basedOn w:val="Noklusjumarindkopasfonts"/>
    <w:link w:val="Citts"/>
    <w:uiPriority w:val="29"/>
    <w:rsid w:val="00FE52A6"/>
    <w:rPr>
      <w:rFonts w:ascii="Calibri" w:eastAsia="Calibri" w:hAnsi="Calibri"/>
      <w:i/>
      <w:color w:val="000000"/>
      <w:sz w:val="22"/>
      <w:szCs w:val="22"/>
      <w:lang w:eastAsia="en-US"/>
    </w:rPr>
  </w:style>
  <w:style w:type="paragraph" w:styleId="Intensvscitts">
    <w:name w:val="Intense Quote"/>
    <w:basedOn w:val="Parasts"/>
    <w:next w:val="Parasts"/>
    <w:link w:val="IntensvscittsRakstz"/>
    <w:uiPriority w:val="30"/>
    <w:unhideWhenUsed/>
    <w:qFormat/>
    <w:rsid w:val="00FE52A6"/>
    <w:pPr>
      <w:pBdr>
        <w:bottom w:val="single" w:sz="4" w:space="4" w:color="4F81BD"/>
      </w:pBdr>
      <w:overflowPunct/>
      <w:autoSpaceDE/>
      <w:autoSpaceDN/>
      <w:adjustRightInd/>
      <w:spacing w:before="200" w:after="280" w:line="276" w:lineRule="auto"/>
      <w:ind w:left="936" w:right="936"/>
      <w:textAlignment w:val="auto"/>
    </w:pPr>
    <w:rPr>
      <w:rFonts w:eastAsia="Calibri"/>
      <w:b/>
      <w:bCs/>
      <w:i/>
      <w:color w:val="4F81BD"/>
      <w:szCs w:val="22"/>
    </w:rPr>
  </w:style>
  <w:style w:type="character" w:customStyle="1" w:styleId="IntensvscittsRakstz">
    <w:name w:val="Intensīvs citāts Rakstz."/>
    <w:basedOn w:val="Noklusjumarindkopasfonts"/>
    <w:link w:val="Intensvscitts"/>
    <w:uiPriority w:val="30"/>
    <w:rsid w:val="00FE52A6"/>
    <w:rPr>
      <w:rFonts w:ascii="Calibri" w:eastAsia="Calibri" w:hAnsi="Calibri"/>
      <w:b/>
      <w:bCs/>
      <w:i/>
      <w:color w:val="4F81BD"/>
      <w:sz w:val="22"/>
      <w:szCs w:val="22"/>
      <w:lang w:eastAsia="en-US"/>
    </w:rPr>
  </w:style>
  <w:style w:type="character" w:styleId="Izsmalcintsizclums">
    <w:name w:val="Subtle Emphasis"/>
    <w:basedOn w:val="Noklusjumarindkopasfonts"/>
    <w:uiPriority w:val="19"/>
    <w:unhideWhenUsed/>
    <w:qFormat/>
    <w:rsid w:val="00FE52A6"/>
    <w:rPr>
      <w:i/>
      <w:iCs/>
      <w:color w:val="808080"/>
    </w:rPr>
  </w:style>
  <w:style w:type="character" w:styleId="Intensvsizclums">
    <w:name w:val="Intense Emphasis"/>
    <w:basedOn w:val="Noklusjumarindkopasfonts"/>
    <w:uiPriority w:val="21"/>
    <w:unhideWhenUsed/>
    <w:qFormat/>
    <w:rsid w:val="00FE52A6"/>
    <w:rPr>
      <w:b/>
      <w:bCs/>
      <w:i/>
      <w:iCs/>
      <w:color w:val="4F81BD"/>
    </w:rPr>
  </w:style>
  <w:style w:type="character" w:styleId="Izsmalcintaatsauce">
    <w:name w:val="Subtle Reference"/>
    <w:basedOn w:val="Noklusjumarindkopasfonts"/>
    <w:uiPriority w:val="31"/>
    <w:unhideWhenUsed/>
    <w:qFormat/>
    <w:rsid w:val="00FE52A6"/>
    <w:rPr>
      <w:smallCaps/>
      <w:color w:val="C0504D"/>
      <w:u w:val="single"/>
    </w:rPr>
  </w:style>
  <w:style w:type="character" w:styleId="Intensvaatsauce">
    <w:name w:val="Intense Reference"/>
    <w:basedOn w:val="Noklusjumarindkopasfonts"/>
    <w:uiPriority w:val="32"/>
    <w:unhideWhenUsed/>
    <w:qFormat/>
    <w:rsid w:val="00FE52A6"/>
    <w:rPr>
      <w:b/>
      <w:bCs/>
      <w:smallCaps/>
      <w:color w:val="C0504D"/>
      <w:spacing w:val="5"/>
      <w:u w:val="single"/>
    </w:rPr>
  </w:style>
  <w:style w:type="character" w:styleId="Grmatasnosaukums">
    <w:name w:val="Book Title"/>
    <w:basedOn w:val="Noklusjumarindkopasfonts"/>
    <w:uiPriority w:val="33"/>
    <w:unhideWhenUsed/>
    <w:qFormat/>
    <w:rsid w:val="00FE52A6"/>
    <w:rPr>
      <w:b/>
      <w:bCs/>
      <w:smallCaps/>
      <w:spacing w:val="5"/>
    </w:rPr>
  </w:style>
  <w:style w:type="paragraph" w:customStyle="1" w:styleId="TableNormal2">
    <w:name w:val="Table Normal2"/>
    <w:basedOn w:val="Parasts"/>
    <w:uiPriority w:val="99"/>
    <w:rsid w:val="00FE52A6"/>
    <w:pPr>
      <w:overflowPunct/>
      <w:autoSpaceDE/>
      <w:autoSpaceDN/>
      <w:adjustRightInd/>
      <w:spacing w:before="60" w:after="60" w:line="264" w:lineRule="auto"/>
      <w:textAlignment w:val="auto"/>
    </w:pPr>
    <w:rPr>
      <w:rFonts w:ascii="Arial Narrow" w:eastAsia="Arial Narrow" w:hAnsi="Arial Narrow" w:cs="Arial Narrow"/>
      <w:sz w:val="18"/>
      <w:szCs w:val="18"/>
      <w:lang w:val="en-AU" w:eastAsia="ja-JP"/>
    </w:rPr>
  </w:style>
  <w:style w:type="paragraph" w:customStyle="1" w:styleId="TableNormal3">
    <w:name w:val="Table Normal3"/>
    <w:basedOn w:val="Parasts"/>
    <w:uiPriority w:val="99"/>
    <w:rsid w:val="00FE52A6"/>
    <w:pPr>
      <w:overflowPunct/>
      <w:autoSpaceDE/>
      <w:autoSpaceDN/>
      <w:adjustRightInd/>
      <w:spacing w:before="60" w:after="60" w:line="264" w:lineRule="auto"/>
      <w:textAlignment w:val="auto"/>
    </w:pPr>
    <w:rPr>
      <w:rFonts w:ascii="Arial Narrow" w:eastAsia="Arial Narrow" w:hAnsi="Arial Narrow" w:cs="Arial Narrow"/>
      <w:sz w:val="18"/>
      <w:szCs w:val="18"/>
      <w:lang w:val="en-AU" w:eastAsia="ja-JP"/>
    </w:rPr>
  </w:style>
  <w:style w:type="paragraph" w:customStyle="1" w:styleId="TableNormal4">
    <w:name w:val="Table Normal4"/>
    <w:basedOn w:val="Parasts"/>
    <w:uiPriority w:val="99"/>
    <w:rsid w:val="00FE52A6"/>
    <w:pPr>
      <w:overflowPunct/>
      <w:autoSpaceDE/>
      <w:autoSpaceDN/>
      <w:adjustRightInd/>
      <w:spacing w:before="60" w:after="60" w:line="264" w:lineRule="auto"/>
      <w:textAlignment w:val="auto"/>
    </w:pPr>
    <w:rPr>
      <w:rFonts w:ascii="Arial Narrow" w:eastAsia="Arial Narrow" w:hAnsi="Arial Narrow" w:cs="Arial Narrow"/>
      <w:sz w:val="18"/>
      <w:szCs w:val="18"/>
      <w:lang w:val="en-AU" w:eastAsia="ja-JP"/>
    </w:rPr>
  </w:style>
  <w:style w:type="character" w:customStyle="1" w:styleId="Pamatteksts2Rakstz">
    <w:name w:val="Pamatteksts 2 Rakstz."/>
    <w:basedOn w:val="Noklusjumarindkopasfonts"/>
    <w:link w:val="Pamatteksts2"/>
    <w:uiPriority w:val="99"/>
    <w:rsid w:val="00FE52A6"/>
    <w:rPr>
      <w:b/>
      <w:bCs/>
      <w:lang w:eastAsia="en-US"/>
    </w:rPr>
  </w:style>
  <w:style w:type="paragraph" w:styleId="Bibliogrfija">
    <w:name w:val="Bibliography"/>
    <w:basedOn w:val="Parasts"/>
    <w:next w:val="Parasts"/>
    <w:uiPriority w:val="37"/>
    <w:unhideWhenUsed/>
    <w:rsid w:val="00FE52A6"/>
    <w:pPr>
      <w:overflowPunct/>
      <w:autoSpaceDE/>
      <w:autoSpaceDN/>
      <w:adjustRightInd/>
      <w:spacing w:after="200" w:line="276" w:lineRule="auto"/>
      <w:textAlignment w:val="auto"/>
    </w:pPr>
    <w:rPr>
      <w:rFonts w:eastAsia="Calibri"/>
      <w:szCs w:val="22"/>
    </w:rPr>
  </w:style>
  <w:style w:type="paragraph" w:customStyle="1" w:styleId="TableNormal5">
    <w:name w:val="Table Normal5"/>
    <w:basedOn w:val="Parasts"/>
    <w:uiPriority w:val="99"/>
    <w:rsid w:val="00FE52A6"/>
    <w:pPr>
      <w:overflowPunct/>
      <w:autoSpaceDE/>
      <w:autoSpaceDN/>
      <w:adjustRightInd/>
      <w:spacing w:before="60" w:after="60" w:line="264" w:lineRule="auto"/>
      <w:textAlignment w:val="auto"/>
    </w:pPr>
    <w:rPr>
      <w:rFonts w:ascii="Arial Narrow" w:eastAsia="Arial Narrow" w:hAnsi="Arial Narrow" w:cs="Arial Narrow"/>
      <w:sz w:val="18"/>
      <w:szCs w:val="18"/>
      <w:lang w:val="en-AU" w:eastAsia="ja-JP"/>
    </w:rPr>
  </w:style>
  <w:style w:type="character" w:customStyle="1" w:styleId="KomentratekstsRakstz">
    <w:name w:val="Komentāra teksts Rakstz."/>
    <w:basedOn w:val="Noklusjumarindkopasfonts"/>
    <w:link w:val="Komentrateksts"/>
    <w:uiPriority w:val="99"/>
    <w:rsid w:val="009B1D05"/>
    <w:rPr>
      <w:rFonts w:ascii="Calibri" w:hAnsi="Calibri"/>
      <w:lang w:eastAsia="en-US"/>
    </w:rPr>
  </w:style>
  <w:style w:type="character" w:customStyle="1" w:styleId="KomentratmaRakstz">
    <w:name w:val="Komentāra tēma Rakstz."/>
    <w:basedOn w:val="KomentratekstsRakstz"/>
    <w:link w:val="Komentratma"/>
    <w:uiPriority w:val="99"/>
    <w:rsid w:val="00FE52A6"/>
    <w:rPr>
      <w:rFonts w:ascii="Calibri" w:hAnsi="Calibri"/>
      <w:b/>
      <w:bCs/>
      <w:lang w:val="en-US" w:eastAsia="en-US"/>
    </w:rPr>
  </w:style>
  <w:style w:type="paragraph" w:customStyle="1" w:styleId="EYHeading1">
    <w:name w:val="EY Heading 1"/>
    <w:basedOn w:val="Virsraksts1"/>
    <w:next w:val="Parasts"/>
    <w:uiPriority w:val="99"/>
    <w:rsid w:val="00FE52A6"/>
    <w:pPr>
      <w:keepNext w:val="0"/>
      <w:pageBreakBefore/>
      <w:numPr>
        <w:numId w:val="0"/>
      </w:numPr>
      <w:tabs>
        <w:tab w:val="num" w:pos="851"/>
      </w:tabs>
      <w:overflowPunct/>
      <w:autoSpaceDE/>
      <w:autoSpaceDN/>
      <w:adjustRightInd/>
      <w:spacing w:before="0" w:after="320"/>
      <w:ind w:left="851" w:right="176" w:hanging="851"/>
      <w:textAlignment w:val="auto"/>
    </w:pPr>
    <w:rPr>
      <w:rFonts w:ascii="Arial Narrow" w:hAnsi="Arial Narrow"/>
      <w:bCs w:val="0"/>
      <w:color w:val="5960A8"/>
      <w:kern w:val="0"/>
      <w:sz w:val="40"/>
      <w:szCs w:val="40"/>
    </w:rPr>
  </w:style>
  <w:style w:type="paragraph" w:customStyle="1" w:styleId="EYHeading2">
    <w:name w:val="EY Heading 2"/>
    <w:basedOn w:val="Virsraksts2"/>
    <w:next w:val="Parasts"/>
    <w:link w:val="EYHeading2Char"/>
    <w:rsid w:val="00FE52A6"/>
    <w:pPr>
      <w:numPr>
        <w:ilvl w:val="0"/>
        <w:numId w:val="0"/>
      </w:numPr>
      <w:tabs>
        <w:tab w:val="num" w:pos="851"/>
      </w:tabs>
      <w:overflowPunct/>
      <w:autoSpaceDE/>
      <w:autoSpaceDN/>
      <w:adjustRightInd/>
      <w:spacing w:before="360" w:after="160"/>
      <w:ind w:left="851" w:hanging="851"/>
      <w:textAlignment w:val="auto"/>
    </w:pPr>
    <w:rPr>
      <w:rFonts w:ascii="Arial Narrow" w:hAnsi="Arial Narrow"/>
      <w:bCs w:val="0"/>
      <w:i w:val="0"/>
      <w:iCs w:val="0"/>
      <w:color w:val="5960A8"/>
      <w:sz w:val="32"/>
      <w:szCs w:val="32"/>
    </w:rPr>
  </w:style>
  <w:style w:type="paragraph" w:customStyle="1" w:styleId="EYHeading3">
    <w:name w:val="EY Heading 3"/>
    <w:basedOn w:val="EYHeading2"/>
    <w:next w:val="Parasts"/>
    <w:link w:val="EYHeading3CharChar"/>
    <w:rsid w:val="00FE52A6"/>
    <w:pPr>
      <w:spacing w:after="120"/>
      <w:outlineLvl w:val="2"/>
    </w:pPr>
    <w:rPr>
      <w:sz w:val="24"/>
      <w:szCs w:val="24"/>
    </w:rPr>
  </w:style>
  <w:style w:type="paragraph" w:customStyle="1" w:styleId="EYBodyText2">
    <w:name w:val="EY Body Text 2"/>
    <w:basedOn w:val="Parasts"/>
    <w:link w:val="EYBodyText2Char"/>
    <w:rsid w:val="00FE52A6"/>
    <w:pPr>
      <w:tabs>
        <w:tab w:val="num" w:pos="851"/>
      </w:tabs>
      <w:spacing w:after="120" w:line="280" w:lineRule="atLeast"/>
      <w:ind w:left="851" w:hanging="851"/>
      <w:jc w:val="both"/>
    </w:pPr>
    <w:rPr>
      <w:rFonts w:eastAsia="MS Mincho" w:cs="Arial"/>
      <w:bCs/>
    </w:rPr>
  </w:style>
  <w:style w:type="paragraph" w:customStyle="1" w:styleId="EYBodyText1">
    <w:name w:val="EY Body Text 1"/>
    <w:basedOn w:val="Parasts"/>
    <w:uiPriority w:val="99"/>
    <w:rsid w:val="00FE52A6"/>
    <w:pPr>
      <w:tabs>
        <w:tab w:val="left" w:pos="540"/>
        <w:tab w:val="num" w:pos="851"/>
      </w:tabs>
      <w:spacing w:after="120" w:line="280" w:lineRule="atLeast"/>
      <w:ind w:left="851" w:hanging="851"/>
      <w:jc w:val="both"/>
    </w:pPr>
    <w:rPr>
      <w:rFonts w:eastAsia="MS Mincho" w:cs="Arial"/>
      <w:bCs/>
    </w:rPr>
  </w:style>
  <w:style w:type="paragraph" w:customStyle="1" w:styleId="EYBodyText3">
    <w:name w:val="EY Body Text 3"/>
    <w:basedOn w:val="Parasts"/>
    <w:link w:val="EYBodyText3Char"/>
    <w:rsid w:val="00FE52A6"/>
    <w:pPr>
      <w:tabs>
        <w:tab w:val="num" w:pos="851"/>
      </w:tabs>
      <w:spacing w:after="120" w:line="280" w:lineRule="atLeast"/>
      <w:ind w:left="851" w:hanging="851"/>
      <w:jc w:val="both"/>
    </w:pPr>
    <w:rPr>
      <w:rFonts w:eastAsia="MS Mincho" w:cs="Arial"/>
      <w:bCs/>
    </w:rPr>
  </w:style>
  <w:style w:type="character" w:customStyle="1" w:styleId="EYBodyText2Char">
    <w:name w:val="EY Body Text 2 Char"/>
    <w:basedOn w:val="Noklusjumarindkopasfonts"/>
    <w:link w:val="EYBodyText2"/>
    <w:rsid w:val="00FE52A6"/>
    <w:rPr>
      <w:rFonts w:eastAsia="MS Mincho" w:cs="Arial"/>
      <w:bCs/>
      <w:sz w:val="22"/>
      <w:lang w:eastAsia="en-US"/>
    </w:rPr>
  </w:style>
  <w:style w:type="paragraph" w:customStyle="1" w:styleId="TableNormal6">
    <w:name w:val="Table Normal6"/>
    <w:basedOn w:val="Parasts"/>
    <w:uiPriority w:val="99"/>
    <w:rsid w:val="00FE52A6"/>
    <w:pPr>
      <w:overflowPunct/>
      <w:autoSpaceDE/>
      <w:autoSpaceDN/>
      <w:adjustRightInd/>
      <w:spacing w:before="60" w:after="60" w:line="264" w:lineRule="auto"/>
      <w:textAlignment w:val="auto"/>
    </w:pPr>
    <w:rPr>
      <w:rFonts w:ascii="Arial Narrow" w:eastAsia="Arial Narrow" w:hAnsi="Arial Narrow" w:cs="Arial Narrow"/>
      <w:sz w:val="18"/>
      <w:szCs w:val="18"/>
      <w:lang w:val="en-AU" w:eastAsia="ja-JP"/>
    </w:rPr>
  </w:style>
  <w:style w:type="paragraph" w:customStyle="1" w:styleId="Teksts">
    <w:name w:val="Teksts"/>
    <w:basedOn w:val="Parasts"/>
    <w:link w:val="TekstsCharChar"/>
    <w:rsid w:val="00B6096C"/>
    <w:pPr>
      <w:widowControl w:val="0"/>
      <w:overflowPunct/>
      <w:autoSpaceDE/>
      <w:autoSpaceDN/>
      <w:adjustRightInd/>
      <w:spacing w:after="120" w:line="360" w:lineRule="auto"/>
      <w:jc w:val="both"/>
      <w:textAlignment w:val="auto"/>
    </w:pPr>
    <w:rPr>
      <w:rFonts w:ascii="Arial" w:hAnsi="Arial"/>
      <w:sz w:val="20"/>
      <w:szCs w:val="20"/>
    </w:rPr>
  </w:style>
  <w:style w:type="character" w:customStyle="1" w:styleId="TekstsCharChar">
    <w:name w:val="Teksts Char Char"/>
    <w:basedOn w:val="Noklusjumarindkopasfonts"/>
    <w:link w:val="Teksts"/>
    <w:rsid w:val="00FE52A6"/>
    <w:rPr>
      <w:rFonts w:ascii="Arial" w:hAnsi="Arial"/>
      <w:lang w:eastAsia="en-US"/>
    </w:rPr>
  </w:style>
  <w:style w:type="table" w:customStyle="1" w:styleId="TableGridComplex2">
    <w:name w:val="Table Grid Complex 2"/>
    <w:basedOn w:val="TableGridComplex"/>
    <w:uiPriority w:val="99"/>
    <w:qFormat/>
    <w:rsid w:val="00BE72E3"/>
    <w:tblPr/>
    <w:tblStylePr w:type="firstRow">
      <w:rPr>
        <w:rFonts w:ascii="Tahoma" w:eastAsia="Lucida Sans Unicode" w:hAnsi="Tahoma" w:cs="Lucida Sans Unicode"/>
        <w:b/>
        <w:bCs/>
        <w:sz w:val="18"/>
      </w:rPr>
      <w:tblPr/>
      <w:tcPr>
        <w:shd w:val="clear" w:color="auto" w:fill="D9D9D9" w:themeFill="background1" w:themeFillShade="D9"/>
      </w:tcPr>
    </w:tblStylePr>
    <w:tblStylePr w:type="lastRow">
      <w:rPr>
        <w:rFonts w:ascii="Tahoma" w:eastAsia="Tahoma" w:hAnsi="Tahoma" w:cs="Tahoma"/>
        <w:sz w:val="18"/>
        <w:szCs w:val="18"/>
      </w:rPr>
      <w:tblPr/>
      <w:tcPr>
        <w:shd w:val="clear" w:color="auto" w:fill="E6E6E6"/>
      </w:tcPr>
    </w:tblStylePr>
    <w:tblStylePr w:type="firstCol">
      <w:rPr>
        <w:rFonts w:ascii="Tahoma" w:eastAsia="Tahoma" w:hAnsi="Tahoma" w:cs="Tahoma"/>
        <w:sz w:val="18"/>
        <w:szCs w:val="18"/>
      </w:rPr>
      <w:tblPr/>
      <w:tcPr>
        <w:shd w:val="clear" w:color="auto" w:fill="D9D9D9"/>
      </w:tcPr>
    </w:tblStylePr>
    <w:tblStylePr w:type="lastCol">
      <w:rPr>
        <w:rFonts w:ascii="Tahoma" w:eastAsia="Tahoma" w:hAnsi="Tahoma" w:cs="Tahoma"/>
        <w:sz w:val="18"/>
        <w:szCs w:val="18"/>
      </w:rPr>
      <w:tblPr/>
      <w:tcPr>
        <w:shd w:val="clear" w:color="auto" w:fill="E6E6E6"/>
      </w:tcPr>
    </w:tblStylePr>
    <w:tblStylePr w:type="band1Horz">
      <w:rPr>
        <w:rFonts w:ascii="Tahoma" w:hAnsi="Tahoma" w:cs="Tahoma"/>
        <w:sz w:val="18"/>
        <w:szCs w:val="18"/>
      </w:rPr>
      <w:tblPr/>
      <w:tcPr>
        <w:tcBorders>
          <w:top w:val="single" w:sz="8" w:space="0" w:color="999999"/>
          <w:bottom w:val="single" w:sz="8" w:space="0" w:color="999999"/>
          <w:insideH w:val="single" w:sz="8" w:space="0" w:color="999999"/>
        </w:tcBorders>
      </w:tcPr>
    </w:tblStylePr>
    <w:tblStylePr w:type="band2Horz">
      <w:rPr>
        <w:rFonts w:ascii="Tahoma" w:eastAsia="Tahoma" w:hAnsi="Tahoma" w:cs="Tahoma"/>
        <w:sz w:val="18"/>
        <w:szCs w:val="18"/>
      </w:rPr>
    </w:tblStylePr>
  </w:style>
  <w:style w:type="paragraph" w:customStyle="1" w:styleId="EYResumeNameTitle">
    <w:name w:val="EY Resume Name/Title"/>
    <w:basedOn w:val="Parasts"/>
    <w:uiPriority w:val="99"/>
    <w:rsid w:val="00DE7A1B"/>
    <w:pPr>
      <w:numPr>
        <w:numId w:val="15"/>
      </w:numPr>
      <w:spacing w:after="120" w:line="280" w:lineRule="exact"/>
    </w:pPr>
    <w:rPr>
      <w:rFonts w:ascii="Arial Narrow" w:hAnsi="Arial Narrow" w:cs="Arial"/>
      <w:b/>
      <w:bCs/>
      <w:color w:val="4367C5"/>
      <w:sz w:val="28"/>
    </w:rPr>
  </w:style>
  <w:style w:type="character" w:customStyle="1" w:styleId="EYHeading3CharChar">
    <w:name w:val="EY Heading 3 Char Char"/>
    <w:basedOn w:val="Noklusjumarindkopasfonts"/>
    <w:link w:val="EYHeading3"/>
    <w:rsid w:val="00A63F0D"/>
    <w:rPr>
      <w:rFonts w:ascii="Arial Narrow" w:hAnsi="Arial Narrow" w:cs="Arial"/>
      <w:b/>
      <w:color w:val="5960A8"/>
      <w:sz w:val="24"/>
      <w:szCs w:val="24"/>
      <w:lang w:eastAsia="en-US"/>
    </w:rPr>
  </w:style>
  <w:style w:type="character" w:customStyle="1" w:styleId="EYBodyText3Char">
    <w:name w:val="EY Body Text 3 Char"/>
    <w:basedOn w:val="EYBodyTextChar1"/>
    <w:link w:val="EYBodyText3"/>
    <w:rsid w:val="00A63F0D"/>
    <w:rPr>
      <w:rFonts w:eastAsia="MS Mincho" w:cs="Arial"/>
      <w:bCs w:val="0"/>
      <w:sz w:val="22"/>
      <w:lang w:eastAsia="en-US"/>
    </w:rPr>
  </w:style>
  <w:style w:type="character" w:customStyle="1" w:styleId="contenttitle">
    <w:name w:val="contenttitle"/>
    <w:basedOn w:val="Noklusjumarindkopasfonts"/>
    <w:rsid w:val="00572FAA"/>
  </w:style>
  <w:style w:type="character" w:customStyle="1" w:styleId="cataloguedetail-doctitle">
    <w:name w:val="cataloguedetail-doctitle"/>
    <w:basedOn w:val="Noklusjumarindkopasfonts"/>
    <w:rsid w:val="00572FAA"/>
  </w:style>
  <w:style w:type="paragraph" w:styleId="Prskatjums">
    <w:name w:val="Revision"/>
    <w:hidden/>
    <w:uiPriority w:val="99"/>
    <w:semiHidden/>
    <w:rsid w:val="001C1070"/>
    <w:rPr>
      <w:sz w:val="22"/>
      <w:lang w:val="en-US" w:eastAsia="en-US"/>
    </w:rPr>
  </w:style>
  <w:style w:type="character" w:customStyle="1" w:styleId="EYBodyTextChar">
    <w:name w:val="EY Body Text Char"/>
    <w:basedOn w:val="Noklusjumarindkopasfonts"/>
    <w:rsid w:val="00496478"/>
    <w:rPr>
      <w:rFonts w:eastAsia="MS Mincho" w:cs="Arial"/>
      <w:bCs/>
      <w:sz w:val="22"/>
      <w:lang w:val="lv-LV" w:eastAsia="en-US" w:bidi="ar-SA"/>
    </w:rPr>
  </w:style>
  <w:style w:type="character" w:customStyle="1" w:styleId="EYBodySubheadChar">
    <w:name w:val="EY Body Subhead Char"/>
    <w:basedOn w:val="EYBodyTextChar"/>
    <w:link w:val="EYBodySubhead"/>
    <w:rsid w:val="00496478"/>
    <w:rPr>
      <w:rFonts w:eastAsia="MS Mincho" w:cs="Arial"/>
      <w:b/>
      <w:bCs w:val="0"/>
      <w:i/>
      <w:iCs/>
      <w:sz w:val="22"/>
      <w:lang w:val="lv-LV" w:eastAsia="en-US" w:bidi="ar-SA"/>
    </w:rPr>
  </w:style>
  <w:style w:type="paragraph" w:customStyle="1" w:styleId="CharCharChar">
    <w:name w:val="Char Char Char"/>
    <w:basedOn w:val="Parasts"/>
    <w:uiPriority w:val="99"/>
    <w:rsid w:val="00496478"/>
    <w:pPr>
      <w:overflowPunct/>
      <w:autoSpaceDE/>
      <w:autoSpaceDN/>
      <w:adjustRightInd/>
      <w:spacing w:before="120" w:after="160" w:line="240" w:lineRule="exact"/>
      <w:ind w:firstLine="720"/>
      <w:jc w:val="both"/>
      <w:textAlignment w:val="auto"/>
    </w:pPr>
    <w:rPr>
      <w:rFonts w:ascii="Verdana" w:hAnsi="Verdana"/>
      <w:sz w:val="20"/>
    </w:rPr>
  </w:style>
  <w:style w:type="paragraph" w:customStyle="1" w:styleId="txt1">
    <w:name w:val="txt1"/>
    <w:uiPriority w:val="99"/>
    <w:rsid w:val="006C319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EYBodySubheading">
    <w:name w:val="EY Body Subheading"/>
    <w:basedOn w:val="EYBodyText"/>
    <w:uiPriority w:val="99"/>
    <w:rsid w:val="00134AA8"/>
    <w:pPr>
      <w:keepNext/>
      <w:spacing w:before="240" w:line="240" w:lineRule="auto"/>
      <w:jc w:val="left"/>
    </w:pPr>
    <w:rPr>
      <w:b/>
      <w:i/>
      <w:sz w:val="26"/>
      <w:szCs w:val="26"/>
    </w:rPr>
  </w:style>
  <w:style w:type="paragraph" w:customStyle="1" w:styleId="TableContent">
    <w:name w:val="Table Content"/>
    <w:link w:val="TableContentChar"/>
    <w:rsid w:val="00134AA8"/>
    <w:pPr>
      <w:spacing w:before="60" w:after="60"/>
    </w:pPr>
    <w:rPr>
      <w:lang w:val="en-US" w:eastAsia="en-US"/>
    </w:rPr>
  </w:style>
  <w:style w:type="paragraph" w:customStyle="1" w:styleId="CVstyle">
    <w:name w:val="CV style"/>
    <w:basedOn w:val="Parasts"/>
    <w:uiPriority w:val="99"/>
    <w:rsid w:val="00134AA8"/>
    <w:pPr>
      <w:numPr>
        <w:ilvl w:val="3"/>
        <w:numId w:val="17"/>
      </w:numPr>
      <w:tabs>
        <w:tab w:val="clear" w:pos="2758"/>
      </w:tabs>
      <w:spacing w:before="120" w:after="120"/>
      <w:ind w:left="0" w:firstLine="0"/>
    </w:pPr>
    <w:rPr>
      <w:rFonts w:ascii="Arial Narrow" w:hAnsi="Arial Narrow"/>
      <w:b/>
      <w:bCs/>
      <w:color w:val="333399"/>
      <w:sz w:val="24"/>
    </w:rPr>
  </w:style>
  <w:style w:type="paragraph" w:customStyle="1" w:styleId="Tablebullet1">
    <w:name w:val="Table bullet 1"/>
    <w:basedOn w:val="Parasts"/>
    <w:uiPriority w:val="99"/>
    <w:rsid w:val="00134AA8"/>
    <w:pPr>
      <w:numPr>
        <w:ilvl w:val="2"/>
        <w:numId w:val="17"/>
      </w:numPr>
      <w:overflowPunct/>
      <w:autoSpaceDE/>
      <w:autoSpaceDN/>
      <w:adjustRightInd/>
      <w:spacing w:before="60" w:after="60"/>
      <w:textAlignment w:val="auto"/>
    </w:pPr>
    <w:rPr>
      <w:sz w:val="20"/>
    </w:rPr>
  </w:style>
  <w:style w:type="character" w:customStyle="1" w:styleId="TableContentChar">
    <w:name w:val="Table Content Char"/>
    <w:basedOn w:val="Noklusjumarindkopasfonts"/>
    <w:link w:val="TableContent"/>
    <w:rsid w:val="00134AA8"/>
    <w:rPr>
      <w:lang w:val="en-US" w:eastAsia="en-US" w:bidi="ar-SA"/>
    </w:rPr>
  </w:style>
  <w:style w:type="paragraph" w:customStyle="1" w:styleId="EYAppendix">
    <w:name w:val="EY Appendix"/>
    <w:basedOn w:val="EYHeading1"/>
    <w:uiPriority w:val="99"/>
    <w:rsid w:val="00134AA8"/>
    <w:pPr>
      <w:keepNext/>
      <w:pageBreakBefore w:val="0"/>
      <w:widowControl w:val="0"/>
      <w:tabs>
        <w:tab w:val="clear" w:pos="851"/>
      </w:tabs>
      <w:spacing w:before="360" w:after="120"/>
      <w:ind w:left="0" w:right="0" w:firstLine="0"/>
    </w:pPr>
    <w:rPr>
      <w:bCs/>
      <w:color w:val="4367C5"/>
      <w:kern w:val="32"/>
      <w:sz w:val="32"/>
      <w:szCs w:val="32"/>
    </w:rPr>
  </w:style>
  <w:style w:type="paragraph" w:customStyle="1" w:styleId="CVstyle1">
    <w:name w:val="CV style 1"/>
    <w:basedOn w:val="TableContent"/>
    <w:uiPriority w:val="99"/>
    <w:rsid w:val="00134AA8"/>
    <w:rPr>
      <w:rFonts w:ascii="Arial Narrow" w:hAnsi="Arial Narrow"/>
      <w:b/>
      <w:color w:val="4367C5"/>
      <w:sz w:val="32"/>
      <w:lang w:val="en-AU" w:bidi="ar-BH"/>
    </w:rPr>
  </w:style>
  <w:style w:type="character" w:customStyle="1" w:styleId="EYBulletTextChar">
    <w:name w:val="EY Bullet Text Char"/>
    <w:basedOn w:val="Noklusjumarindkopasfonts"/>
    <w:rsid w:val="00F65B4F"/>
    <w:rPr>
      <w:rFonts w:eastAsia="MS Mincho" w:cs="Arial"/>
      <w:bCs/>
      <w:sz w:val="24"/>
      <w:szCs w:val="24"/>
      <w:lang w:eastAsia="en-US"/>
    </w:rPr>
  </w:style>
  <w:style w:type="paragraph" w:customStyle="1" w:styleId="BodyText11">
    <w:name w:val="Body Text1"/>
    <w:basedOn w:val="Parasts"/>
    <w:link w:val="BodytextCharChar"/>
    <w:rsid w:val="00A44531"/>
    <w:pPr>
      <w:overflowPunct/>
      <w:autoSpaceDE/>
      <w:autoSpaceDN/>
      <w:spacing w:line="240" w:lineRule="exact"/>
    </w:pPr>
    <w:rPr>
      <w:rFonts w:ascii="Arial" w:hAnsi="Arial"/>
      <w:color w:val="00011F"/>
      <w:sz w:val="21"/>
    </w:rPr>
  </w:style>
  <w:style w:type="character" w:customStyle="1" w:styleId="BodytextCharChar">
    <w:name w:val="Body text Char Char"/>
    <w:basedOn w:val="Noklusjumarindkopasfonts"/>
    <w:link w:val="BodyText11"/>
    <w:rsid w:val="00A44531"/>
    <w:rPr>
      <w:rFonts w:ascii="Arial" w:hAnsi="Arial"/>
      <w:color w:val="00011F"/>
      <w:sz w:val="21"/>
      <w:szCs w:val="24"/>
      <w:lang w:val="en-US" w:eastAsia="en-US"/>
    </w:rPr>
  </w:style>
  <w:style w:type="paragraph" w:customStyle="1" w:styleId="StyleHeading2Justified">
    <w:name w:val="Style Heading 2 + Justified"/>
    <w:basedOn w:val="Virsraksts2"/>
    <w:uiPriority w:val="99"/>
    <w:rsid w:val="00A44531"/>
    <w:pPr>
      <w:numPr>
        <w:ilvl w:val="0"/>
        <w:numId w:val="0"/>
      </w:numPr>
      <w:overflowPunct/>
      <w:autoSpaceDE/>
      <w:autoSpaceDN/>
      <w:adjustRightInd/>
      <w:spacing w:after="120" w:line="240" w:lineRule="exact"/>
      <w:jc w:val="both"/>
      <w:textAlignment w:val="auto"/>
    </w:pPr>
    <w:rPr>
      <w:rFonts w:cs="Times New Roman"/>
      <w:i w:val="0"/>
      <w:iCs w:val="0"/>
      <w:color w:val="00011F"/>
      <w:sz w:val="21"/>
      <w:szCs w:val="20"/>
    </w:rPr>
  </w:style>
  <w:style w:type="paragraph" w:customStyle="1" w:styleId="ISHeading4">
    <w:name w:val="IS Heading 4"/>
    <w:basedOn w:val="ISHeading3"/>
    <w:uiPriority w:val="99"/>
    <w:qFormat/>
    <w:rsid w:val="0093086B"/>
    <w:pPr>
      <w:numPr>
        <w:ilvl w:val="3"/>
      </w:numPr>
      <w:outlineLvl w:val="3"/>
    </w:pPr>
    <w:rPr>
      <w:i/>
      <w:sz w:val="22"/>
    </w:rPr>
  </w:style>
  <w:style w:type="paragraph" w:customStyle="1" w:styleId="Tablebullet">
    <w:name w:val="Table bullet"/>
    <w:uiPriority w:val="99"/>
    <w:rsid w:val="00913F79"/>
    <w:pPr>
      <w:tabs>
        <w:tab w:val="num" w:pos="216"/>
      </w:tabs>
      <w:spacing w:before="80" w:after="80" w:line="210" w:lineRule="atLeast"/>
      <w:ind w:left="216" w:hanging="216"/>
    </w:pPr>
    <w:rPr>
      <w:rFonts w:ascii="Arial" w:hAnsi="Arial"/>
      <w:color w:val="00457C"/>
      <w:sz w:val="18"/>
      <w:szCs w:val="22"/>
      <w:lang w:val="en-US" w:eastAsia="en-US"/>
    </w:rPr>
  </w:style>
  <w:style w:type="paragraph" w:customStyle="1" w:styleId="Default">
    <w:name w:val="Default"/>
    <w:link w:val="DefaultChar"/>
    <w:rsid w:val="00DE4556"/>
    <w:pPr>
      <w:autoSpaceDE w:val="0"/>
      <w:autoSpaceDN w:val="0"/>
      <w:adjustRightInd w:val="0"/>
    </w:pPr>
    <w:rPr>
      <w:rFonts w:ascii="Arial Narrow" w:hAnsi="Arial Narrow" w:cs="Arial Narrow"/>
      <w:color w:val="000000"/>
    </w:rPr>
  </w:style>
  <w:style w:type="paragraph" w:styleId="Vienkrsteksts">
    <w:name w:val="Plain Text"/>
    <w:basedOn w:val="Parasts"/>
    <w:link w:val="VienkrstekstsRakstz"/>
    <w:uiPriority w:val="99"/>
    <w:unhideWhenUsed/>
    <w:rsid w:val="001844A5"/>
    <w:pPr>
      <w:overflowPunct/>
      <w:autoSpaceDE/>
      <w:autoSpaceDN/>
      <w:adjustRightInd/>
      <w:textAlignment w:val="auto"/>
    </w:pPr>
    <w:rPr>
      <w:rFonts w:eastAsia="Calibri"/>
      <w:szCs w:val="21"/>
    </w:rPr>
  </w:style>
  <w:style w:type="character" w:customStyle="1" w:styleId="VienkrstekstsRakstz">
    <w:name w:val="Vienkāršs teksts Rakstz."/>
    <w:basedOn w:val="Noklusjumarindkopasfonts"/>
    <w:link w:val="Vienkrsteksts"/>
    <w:uiPriority w:val="99"/>
    <w:rsid w:val="001844A5"/>
    <w:rPr>
      <w:rFonts w:ascii="Calibri" w:eastAsia="Calibri" w:hAnsi="Calibri" w:cs="Times New Roman"/>
      <w:sz w:val="22"/>
      <w:szCs w:val="21"/>
      <w:lang w:eastAsia="en-US"/>
    </w:rPr>
  </w:style>
  <w:style w:type="paragraph" w:customStyle="1" w:styleId="ISBodyTextIdent">
    <w:name w:val="IS Body Text Ident"/>
    <w:basedOn w:val="ISBodyText"/>
    <w:uiPriority w:val="99"/>
    <w:rsid w:val="004E18DB"/>
    <w:rPr>
      <w:lang w:eastAsia="lv-LV"/>
    </w:rPr>
  </w:style>
  <w:style w:type="character" w:customStyle="1" w:styleId="VrestekstsRakstz">
    <w:name w:val="Vēres teksts Rakstz."/>
    <w:aliases w:val="Char10 Rakstz.,Char1 Rakstz.,Fußnotentext Char Char Char Rakstz.,Fußnotentext Char Char Char Char Char Char Char Char Char Char Rakstz.,Fußnotentext Char Char Char Char Char Char Char Rakstz.,Fußnote Char Char Char Rakstz."/>
    <w:basedOn w:val="Noklusjumarindkopasfonts"/>
    <w:link w:val="Vresteksts"/>
    <w:uiPriority w:val="99"/>
    <w:rsid w:val="00B31279"/>
    <w:rPr>
      <w:rFonts w:ascii="Calibri" w:hAnsi="Calibri"/>
      <w:sz w:val="18"/>
      <w:lang w:eastAsia="en-US"/>
    </w:rPr>
  </w:style>
  <w:style w:type="paragraph" w:styleId="Sarakstanumurs3">
    <w:name w:val="List Number 3"/>
    <w:basedOn w:val="Sarakstanumurs2"/>
    <w:autoRedefine/>
    <w:uiPriority w:val="99"/>
    <w:rsid w:val="005D2787"/>
    <w:pPr>
      <w:numPr>
        <w:numId w:val="18"/>
      </w:numPr>
      <w:tabs>
        <w:tab w:val="clear" w:pos="926"/>
        <w:tab w:val="num" w:pos="360"/>
      </w:tabs>
      <w:ind w:left="643"/>
    </w:pPr>
  </w:style>
  <w:style w:type="paragraph" w:customStyle="1" w:styleId="Bodytextitalic">
    <w:name w:val="Body text italic"/>
    <w:basedOn w:val="Parasts"/>
    <w:link w:val="BodytextitalicChar"/>
    <w:autoRedefine/>
    <w:rsid w:val="00B6096C"/>
    <w:pPr>
      <w:overflowPunct/>
      <w:autoSpaceDE/>
      <w:autoSpaceDN/>
      <w:adjustRightInd/>
      <w:spacing w:after="80"/>
      <w:jc w:val="both"/>
      <w:textAlignment w:val="auto"/>
    </w:pPr>
    <w:rPr>
      <w:rFonts w:ascii="Times New Roman" w:hAnsi="Times New Roman"/>
      <w:i/>
      <w:sz w:val="24"/>
      <w:lang w:val="ru-RU" w:eastAsia="ru-RU"/>
    </w:rPr>
  </w:style>
  <w:style w:type="character" w:customStyle="1" w:styleId="BodytextitalicChar">
    <w:name w:val="Body text italic Char"/>
    <w:basedOn w:val="Noklusjumarindkopasfonts"/>
    <w:link w:val="Bodytextitalic"/>
    <w:locked/>
    <w:rsid w:val="00B6096C"/>
    <w:rPr>
      <w:i/>
      <w:sz w:val="24"/>
      <w:szCs w:val="24"/>
      <w:lang w:val="ru-RU" w:eastAsia="ru-RU"/>
    </w:rPr>
  </w:style>
  <w:style w:type="paragraph" w:styleId="Sarakstanumurs2">
    <w:name w:val="List Number 2"/>
    <w:basedOn w:val="Parasts"/>
    <w:uiPriority w:val="99"/>
    <w:rsid w:val="005D2787"/>
    <w:pPr>
      <w:tabs>
        <w:tab w:val="num" w:pos="926"/>
      </w:tabs>
      <w:ind w:left="926" w:hanging="360"/>
      <w:contextualSpacing/>
    </w:pPr>
  </w:style>
  <w:style w:type="paragraph" w:styleId="Sarakstaaizzme3">
    <w:name w:val="List Bullet 3"/>
    <w:basedOn w:val="Parasts"/>
    <w:uiPriority w:val="99"/>
    <w:rsid w:val="005D2787"/>
    <w:pPr>
      <w:numPr>
        <w:numId w:val="19"/>
      </w:numPr>
      <w:contextualSpacing/>
    </w:pPr>
  </w:style>
  <w:style w:type="character" w:customStyle="1" w:styleId="EYHeading3Char">
    <w:name w:val="EY Heading 3 Char"/>
    <w:basedOn w:val="Noklusjumarindkopasfonts"/>
    <w:rsid w:val="00875148"/>
    <w:rPr>
      <w:rFonts w:ascii="Arial" w:hAnsi="Arial" w:cs="Arial"/>
      <w:b/>
      <w:bCs/>
      <w:i/>
      <w:iCs/>
      <w:color w:val="5960A8"/>
      <w:sz w:val="24"/>
      <w:szCs w:val="24"/>
      <w:lang w:val="lv-LV" w:eastAsia="en-US" w:bidi="ar-SA"/>
    </w:rPr>
  </w:style>
  <w:style w:type="character" w:customStyle="1" w:styleId="EYBulletTextChar1">
    <w:name w:val="EY Bullet Text Char1"/>
    <w:basedOn w:val="Noklusjumarindkopasfonts"/>
    <w:rsid w:val="00875148"/>
    <w:rPr>
      <w:rFonts w:eastAsia="MS Mincho" w:cs="Arial"/>
      <w:bCs/>
      <w:sz w:val="22"/>
      <w:lang w:val="lv-LV" w:eastAsia="en-US" w:bidi="ar-SA"/>
    </w:rPr>
  </w:style>
  <w:style w:type="character" w:customStyle="1" w:styleId="EYHeading2Char">
    <w:name w:val="EY Heading 2 Char"/>
    <w:basedOn w:val="Virsraksts2Rakstz"/>
    <w:link w:val="EYHeading2"/>
    <w:rsid w:val="00EE2FD7"/>
    <w:rPr>
      <w:rFonts w:ascii="Arial Narrow" w:hAnsi="Arial Narrow" w:cs="Arial"/>
      <w:b w:val="0"/>
      <w:bCs/>
      <w:i/>
      <w:iCs/>
      <w:color w:val="5960A8"/>
      <w:sz w:val="32"/>
      <w:szCs w:val="32"/>
      <w:lang w:eastAsia="en-US"/>
    </w:rPr>
  </w:style>
  <w:style w:type="paragraph" w:customStyle="1" w:styleId="EYBullettext">
    <w:name w:val="E&amp;Y Bullet text"/>
    <w:basedOn w:val="Parasts"/>
    <w:uiPriority w:val="99"/>
    <w:rsid w:val="00EE2FD7"/>
    <w:pPr>
      <w:numPr>
        <w:numId w:val="20"/>
      </w:numPr>
      <w:spacing w:after="120" w:line="240" w:lineRule="atLeast"/>
      <w:ind w:right="357"/>
    </w:pPr>
    <w:rPr>
      <w:rFonts w:ascii="Times New Roman" w:eastAsia="MS Mincho" w:hAnsi="Times New Roman" w:cs="Arial"/>
      <w:bCs/>
    </w:rPr>
  </w:style>
  <w:style w:type="numbering" w:customStyle="1" w:styleId="CurrentList3">
    <w:name w:val="Current List3"/>
    <w:rsid w:val="00B91CF9"/>
    <w:pPr>
      <w:numPr>
        <w:numId w:val="21"/>
      </w:numPr>
    </w:pPr>
  </w:style>
  <w:style w:type="paragraph" w:customStyle="1" w:styleId="CharCharChar1">
    <w:name w:val="Char Char Char1"/>
    <w:basedOn w:val="Parasts"/>
    <w:uiPriority w:val="99"/>
    <w:rsid w:val="002E0C16"/>
    <w:pPr>
      <w:overflowPunct/>
      <w:autoSpaceDE/>
      <w:autoSpaceDN/>
      <w:adjustRightInd/>
      <w:spacing w:before="120" w:after="160" w:line="240" w:lineRule="exact"/>
      <w:ind w:firstLine="720"/>
      <w:jc w:val="both"/>
      <w:textAlignment w:val="auto"/>
    </w:pPr>
    <w:rPr>
      <w:rFonts w:ascii="Verdana" w:hAnsi="Verdana"/>
      <w:sz w:val="20"/>
      <w:lang w:val="en-US"/>
    </w:rPr>
  </w:style>
  <w:style w:type="paragraph" w:customStyle="1" w:styleId="TableBody">
    <w:name w:val="Table Body"/>
    <w:basedOn w:val="Parasts"/>
    <w:uiPriority w:val="99"/>
    <w:rsid w:val="00B6096C"/>
    <w:pPr>
      <w:overflowPunct/>
      <w:autoSpaceDE/>
      <w:autoSpaceDN/>
      <w:adjustRightInd/>
      <w:spacing w:after="60"/>
      <w:textAlignment w:val="auto"/>
    </w:pPr>
    <w:rPr>
      <w:rFonts w:ascii="Times New Roman" w:hAnsi="Times New Roman"/>
      <w:sz w:val="24"/>
    </w:rPr>
  </w:style>
  <w:style w:type="character" w:customStyle="1" w:styleId="DefaultChar">
    <w:name w:val="Default Char"/>
    <w:basedOn w:val="Noklusjumarindkopasfonts"/>
    <w:link w:val="Default"/>
    <w:locked/>
    <w:rsid w:val="00B33BBD"/>
    <w:rPr>
      <w:rFonts w:ascii="Arial Narrow" w:hAnsi="Arial Narrow" w:cs="Arial Narrow"/>
      <w:color w:val="000000"/>
      <w:sz w:val="24"/>
      <w:szCs w:val="24"/>
    </w:rPr>
  </w:style>
  <w:style w:type="paragraph" w:customStyle="1" w:styleId="EYTableText">
    <w:name w:val="EY Table Text"/>
    <w:basedOn w:val="Parasts"/>
    <w:uiPriority w:val="99"/>
    <w:rsid w:val="00DD54B3"/>
    <w:pPr>
      <w:spacing w:before="80" w:after="40" w:line="220" w:lineRule="exact"/>
    </w:pPr>
    <w:rPr>
      <w:rFonts w:ascii="Times New Roman" w:eastAsia="MS Mincho" w:hAnsi="Times New Roman" w:cs="Arial"/>
      <w:bCs/>
      <w:sz w:val="18"/>
      <w:lang w:val="en-US"/>
    </w:rPr>
  </w:style>
  <w:style w:type="paragraph" w:customStyle="1" w:styleId="ISComment">
    <w:name w:val="IS Comment"/>
    <w:basedOn w:val="ISBodyText"/>
    <w:uiPriority w:val="99"/>
    <w:rsid w:val="007F0BDD"/>
    <w:rPr>
      <w:i/>
      <w:lang w:eastAsia="lv-LV"/>
    </w:rPr>
  </w:style>
  <w:style w:type="table" w:styleId="Sarakstatabula1">
    <w:name w:val="Table List 1"/>
    <w:basedOn w:val="Parastatabula"/>
    <w:rsid w:val="001F478A"/>
    <w:pPr>
      <w:overflowPunct w:val="0"/>
      <w:autoSpaceDE w:val="0"/>
      <w:autoSpaceDN w:val="0"/>
      <w:adjustRightInd w:val="0"/>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ienkratabula1">
    <w:name w:val="Table Simple 1"/>
    <w:basedOn w:val="Parastatabula"/>
    <w:rsid w:val="00451EF8"/>
    <w:pPr>
      <w:overflowPunct w:val="0"/>
      <w:autoSpaceDE w:val="0"/>
      <w:autoSpaceDN w:val="0"/>
      <w:adjustRightInd w:val="0"/>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Sarakstatabula3">
    <w:name w:val="Table List 3"/>
    <w:basedOn w:val="Parastatabula"/>
    <w:rsid w:val="00451EF8"/>
    <w:pPr>
      <w:overflowPunct w:val="0"/>
      <w:autoSpaceDE w:val="0"/>
      <w:autoSpaceDN w:val="0"/>
      <w:adjustRightInd w:val="0"/>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Style3">
    <w:name w:val="Style3"/>
    <w:uiPriority w:val="99"/>
    <w:rsid w:val="00451EF8"/>
    <w:pPr>
      <w:numPr>
        <w:numId w:val="22"/>
      </w:numPr>
    </w:pPr>
  </w:style>
  <w:style w:type="numbering" w:customStyle="1" w:styleId="ISBullets">
    <w:name w:val="IS Bullets"/>
    <w:uiPriority w:val="99"/>
    <w:rsid w:val="00451EF8"/>
    <w:pPr>
      <w:numPr>
        <w:numId w:val="23"/>
      </w:numPr>
    </w:pPr>
  </w:style>
  <w:style w:type="numbering" w:customStyle="1" w:styleId="Style4">
    <w:name w:val="Style4"/>
    <w:rsid w:val="002259AA"/>
    <w:pPr>
      <w:numPr>
        <w:numId w:val="24"/>
      </w:numPr>
    </w:pPr>
  </w:style>
  <w:style w:type="character" w:customStyle="1" w:styleId="SarakstaaizzmeRakstz">
    <w:name w:val="Saraksta aizzīme Rakstz."/>
    <w:basedOn w:val="Noklusjumarindkopasfonts"/>
    <w:link w:val="Sarakstaaizzme"/>
    <w:rsid w:val="00B6096C"/>
    <w:rPr>
      <w:rFonts w:ascii="Segoe UI" w:hAnsi="Segoe UI"/>
      <w:lang w:eastAsia="en-US"/>
    </w:rPr>
  </w:style>
  <w:style w:type="numbering" w:customStyle="1" w:styleId="CurrentList1">
    <w:name w:val="Current List1"/>
    <w:rsid w:val="00F52063"/>
    <w:pPr>
      <w:numPr>
        <w:numId w:val="26"/>
      </w:numPr>
    </w:pPr>
  </w:style>
  <w:style w:type="paragraph" w:customStyle="1" w:styleId="naisnod">
    <w:name w:val="naisnod"/>
    <w:basedOn w:val="Parasts"/>
    <w:uiPriority w:val="99"/>
    <w:rsid w:val="004A292D"/>
    <w:pPr>
      <w:overflowPunct/>
      <w:autoSpaceDE/>
      <w:autoSpaceDN/>
      <w:adjustRightInd/>
      <w:spacing w:before="100" w:beforeAutospacing="1" w:after="100" w:afterAutospacing="1"/>
      <w:textAlignment w:val="auto"/>
    </w:pPr>
    <w:rPr>
      <w:rFonts w:ascii="Times New Roman" w:hAnsi="Times New Roman"/>
      <w:sz w:val="24"/>
      <w:lang w:val="en-US"/>
    </w:rPr>
  </w:style>
  <w:style w:type="paragraph" w:customStyle="1" w:styleId="ISBodySubheadNumbered">
    <w:name w:val="IS Body Subhead Numbered"/>
    <w:basedOn w:val="ISBodySubhead"/>
    <w:uiPriority w:val="99"/>
    <w:rsid w:val="00570626"/>
    <w:pPr>
      <w:numPr>
        <w:numId w:val="28"/>
      </w:numPr>
      <w:ind w:left="567" w:hanging="567"/>
    </w:pPr>
  </w:style>
  <w:style w:type="numbering" w:customStyle="1" w:styleId="Style5">
    <w:name w:val="Style5"/>
    <w:uiPriority w:val="99"/>
    <w:rsid w:val="001D2B50"/>
    <w:pPr>
      <w:numPr>
        <w:numId w:val="27"/>
      </w:numPr>
    </w:pPr>
  </w:style>
  <w:style w:type="character" w:styleId="Izmantotahipersaite">
    <w:name w:val="FollowedHyperlink"/>
    <w:basedOn w:val="Noklusjumarindkopasfonts"/>
    <w:uiPriority w:val="99"/>
    <w:rsid w:val="00723766"/>
    <w:rPr>
      <w:color w:val="800080" w:themeColor="followedHyperlink"/>
      <w:u w:val="single"/>
    </w:rPr>
  </w:style>
  <w:style w:type="paragraph" w:customStyle="1" w:styleId="ISBodyTextNumbered">
    <w:name w:val="IS Body Text Numbered"/>
    <w:basedOn w:val="ISBodyText"/>
    <w:uiPriority w:val="99"/>
    <w:qFormat/>
    <w:rsid w:val="007C7218"/>
    <w:pPr>
      <w:numPr>
        <w:numId w:val="29"/>
      </w:numPr>
    </w:pPr>
    <w:rPr>
      <w:lang w:eastAsia="lv-LV"/>
    </w:rPr>
  </w:style>
  <w:style w:type="numbering" w:customStyle="1" w:styleId="IS1">
    <w:name w:val="IS1"/>
    <w:uiPriority w:val="99"/>
    <w:rsid w:val="00244D30"/>
    <w:pPr>
      <w:numPr>
        <w:numId w:val="30"/>
      </w:numPr>
    </w:pPr>
  </w:style>
  <w:style w:type="paragraph" w:customStyle="1" w:styleId="naisf">
    <w:name w:val="naisf"/>
    <w:basedOn w:val="Parasts"/>
    <w:uiPriority w:val="99"/>
    <w:rsid w:val="00D16652"/>
    <w:pPr>
      <w:overflowPunct/>
      <w:autoSpaceDE/>
      <w:autoSpaceDN/>
      <w:adjustRightInd/>
      <w:spacing w:before="100" w:beforeAutospacing="1" w:after="100" w:afterAutospacing="1"/>
      <w:jc w:val="both"/>
      <w:textAlignment w:val="auto"/>
    </w:pPr>
    <w:rPr>
      <w:rFonts w:ascii="Times New Roman" w:hAnsi="Times New Roman"/>
      <w:sz w:val="24"/>
    </w:rPr>
  </w:style>
  <w:style w:type="character" w:customStyle="1" w:styleId="BalontekstsRakstz">
    <w:name w:val="Balonteksts Rakstz."/>
    <w:basedOn w:val="Noklusjumarindkopasfonts"/>
    <w:link w:val="Balonteksts"/>
    <w:uiPriority w:val="99"/>
    <w:semiHidden/>
    <w:rsid w:val="004F32F6"/>
    <w:rPr>
      <w:rFonts w:ascii="Calibri" w:hAnsi="Calibri" w:cs="Tahoma"/>
      <w:szCs w:val="16"/>
      <w:lang w:eastAsia="en-US"/>
    </w:rPr>
  </w:style>
  <w:style w:type="paragraph" w:customStyle="1" w:styleId="Justifiedbold">
    <w:name w:val="Justified bold"/>
    <w:basedOn w:val="Parasts"/>
    <w:link w:val="JustifiedboldChar"/>
    <w:autoRedefine/>
    <w:rsid w:val="00D065E3"/>
    <w:pPr>
      <w:overflowPunct/>
      <w:autoSpaceDE/>
      <w:autoSpaceDN/>
      <w:adjustRightInd/>
      <w:spacing w:before="240"/>
      <w:ind w:left="720"/>
      <w:jc w:val="both"/>
      <w:textAlignment w:val="auto"/>
    </w:pPr>
    <w:rPr>
      <w:rFonts w:ascii="Times New Roman" w:hAnsi="Times New Roman"/>
      <w:b/>
      <w:sz w:val="24"/>
      <w:lang w:eastAsia="lv-LV"/>
    </w:rPr>
  </w:style>
  <w:style w:type="character" w:customStyle="1" w:styleId="JustifiedboldChar">
    <w:name w:val="Justified bold Char"/>
    <w:link w:val="Justifiedbold"/>
    <w:rsid w:val="00D065E3"/>
    <w:rPr>
      <w:b/>
      <w:sz w:val="24"/>
      <w:szCs w:val="24"/>
    </w:rPr>
  </w:style>
  <w:style w:type="paragraph" w:customStyle="1" w:styleId="ListParagraph1">
    <w:name w:val="List Paragraph1"/>
    <w:basedOn w:val="Parasts"/>
    <w:uiPriority w:val="99"/>
    <w:rsid w:val="00A41916"/>
    <w:pPr>
      <w:overflowPunct/>
      <w:autoSpaceDE/>
      <w:autoSpaceDN/>
      <w:adjustRightInd/>
      <w:spacing w:after="200" w:line="276" w:lineRule="auto"/>
      <w:ind w:left="720"/>
      <w:contextualSpacing/>
      <w:textAlignment w:val="auto"/>
    </w:pPr>
    <w:rPr>
      <w:szCs w:val="22"/>
    </w:rPr>
  </w:style>
  <w:style w:type="paragraph" w:customStyle="1" w:styleId="ISBodySubheadKV">
    <w:name w:val="IS Body Subhead KV"/>
    <w:basedOn w:val="Parasts"/>
    <w:uiPriority w:val="99"/>
    <w:rsid w:val="00C47A17"/>
    <w:pPr>
      <w:keepNext/>
      <w:numPr>
        <w:numId w:val="34"/>
      </w:numPr>
      <w:tabs>
        <w:tab w:val="left" w:pos="851"/>
      </w:tabs>
      <w:spacing w:before="360" w:after="120"/>
      <w:jc w:val="both"/>
      <w:outlineLvl w:val="4"/>
    </w:pPr>
    <w:rPr>
      <w:rFonts w:eastAsia="MS Mincho" w:cs="Segoe UI"/>
      <w:b/>
      <w:i/>
      <w:iCs/>
      <w:sz w:val="24"/>
      <w:lang w:eastAsia="lv-LV"/>
    </w:rPr>
  </w:style>
  <w:style w:type="paragraph" w:customStyle="1" w:styleId="ISBodySubheadPV">
    <w:name w:val="IS Body Subhead PV"/>
    <w:basedOn w:val="ISBodySubheadKV"/>
    <w:uiPriority w:val="99"/>
    <w:rsid w:val="002A77D2"/>
    <w:pPr>
      <w:numPr>
        <w:numId w:val="33"/>
      </w:numPr>
      <w:tabs>
        <w:tab w:val="clear" w:pos="851"/>
        <w:tab w:val="left" w:pos="709"/>
      </w:tabs>
      <w:ind w:hanging="720"/>
    </w:pPr>
  </w:style>
  <w:style w:type="paragraph" w:customStyle="1" w:styleId="ISBodySubhead2">
    <w:name w:val="IS Body Subhead 2"/>
    <w:basedOn w:val="ISBodySubhead"/>
    <w:uiPriority w:val="99"/>
    <w:rsid w:val="00911EA2"/>
    <w:pPr>
      <w:spacing w:before="180"/>
      <w:outlineLvl w:val="9"/>
    </w:pPr>
    <w:rPr>
      <w:b w:val="0"/>
      <w:sz w:val="22"/>
      <w:szCs w:val="22"/>
      <w:u w:val="single"/>
    </w:rPr>
  </w:style>
  <w:style w:type="paragraph" w:customStyle="1" w:styleId="ISBodySubheadPB">
    <w:name w:val="IS Body Subhead PB"/>
    <w:basedOn w:val="ISBodySubheadPV"/>
    <w:uiPriority w:val="99"/>
    <w:rsid w:val="00123B21"/>
    <w:pPr>
      <w:numPr>
        <w:numId w:val="35"/>
      </w:numPr>
      <w:ind w:hanging="720"/>
    </w:pPr>
  </w:style>
  <w:style w:type="paragraph" w:customStyle="1" w:styleId="ISBodySubheadPI">
    <w:name w:val="IS Body Subhead PI"/>
    <w:basedOn w:val="ISBodySubheadPV"/>
    <w:uiPriority w:val="99"/>
    <w:rsid w:val="007508BB"/>
    <w:pPr>
      <w:numPr>
        <w:numId w:val="36"/>
      </w:numPr>
      <w:ind w:hanging="720"/>
    </w:pPr>
  </w:style>
  <w:style w:type="paragraph" w:customStyle="1" w:styleId="ISBodySubheadPA">
    <w:name w:val="IS Body Subhead PA"/>
    <w:basedOn w:val="ISBodySubheadPV"/>
    <w:uiPriority w:val="99"/>
    <w:rsid w:val="00CB16DC"/>
    <w:pPr>
      <w:numPr>
        <w:numId w:val="37"/>
      </w:numPr>
      <w:tabs>
        <w:tab w:val="clear" w:pos="709"/>
        <w:tab w:val="left" w:pos="851"/>
      </w:tabs>
      <w:ind w:hanging="786"/>
    </w:pPr>
  </w:style>
  <w:style w:type="paragraph" w:customStyle="1" w:styleId="ISBodySubheadPT">
    <w:name w:val="IS Body Subhead PT"/>
    <w:basedOn w:val="ISBodySubheadPV"/>
    <w:uiPriority w:val="99"/>
    <w:rsid w:val="006D05B9"/>
    <w:pPr>
      <w:numPr>
        <w:numId w:val="38"/>
      </w:numPr>
      <w:ind w:left="720" w:hanging="720"/>
    </w:pPr>
  </w:style>
  <w:style w:type="paragraph" w:customStyle="1" w:styleId="ISBodySubheadKI">
    <w:name w:val="IS Body Subhead KI"/>
    <w:basedOn w:val="Parasts"/>
    <w:uiPriority w:val="99"/>
    <w:rsid w:val="0035641A"/>
    <w:pPr>
      <w:keepNext/>
      <w:tabs>
        <w:tab w:val="left" w:pos="851"/>
      </w:tabs>
      <w:spacing w:before="360" w:after="120"/>
      <w:jc w:val="both"/>
      <w:outlineLvl w:val="4"/>
    </w:pPr>
    <w:rPr>
      <w:rFonts w:eastAsia="MS Mincho" w:cs="Segoe UI"/>
      <w:b/>
      <w:i/>
      <w:iCs/>
      <w:sz w:val="24"/>
      <w:lang w:eastAsia="lv-LV"/>
    </w:rPr>
  </w:style>
  <w:style w:type="paragraph" w:customStyle="1" w:styleId="ISSolution">
    <w:name w:val="IS Solution"/>
    <w:basedOn w:val="Parasts"/>
    <w:next w:val="ISBodyText"/>
    <w:link w:val="ISSolutionChar"/>
    <w:uiPriority w:val="99"/>
    <w:qFormat/>
    <w:rsid w:val="00FA4B16"/>
    <w:pPr>
      <w:keepNext/>
      <w:numPr>
        <w:numId w:val="44"/>
      </w:numPr>
      <w:overflowPunct/>
      <w:autoSpaceDE/>
      <w:autoSpaceDN/>
      <w:adjustRightInd/>
      <w:spacing w:before="240" w:after="120"/>
      <w:jc w:val="both"/>
      <w:textAlignment w:val="auto"/>
    </w:pPr>
    <w:rPr>
      <w:rFonts w:ascii="Calibri" w:hAnsi="Calibri"/>
      <w:b/>
      <w:i/>
      <w:sz w:val="24"/>
      <w:szCs w:val="22"/>
    </w:rPr>
  </w:style>
  <w:style w:type="character" w:customStyle="1" w:styleId="ISSolutionChar">
    <w:name w:val="IS Solution Char"/>
    <w:basedOn w:val="Noklusjumarindkopasfonts"/>
    <w:link w:val="ISSolution"/>
    <w:uiPriority w:val="99"/>
    <w:rsid w:val="00FA4B16"/>
    <w:rPr>
      <w:rFonts w:ascii="Calibri" w:hAnsi="Calibri"/>
      <w:b/>
      <w:i/>
      <w:szCs w:val="22"/>
      <w:lang w:eastAsia="en-US"/>
    </w:rPr>
  </w:style>
  <w:style w:type="paragraph" w:customStyle="1" w:styleId="ISHeading5">
    <w:name w:val="IS Heading 5"/>
    <w:basedOn w:val="ISBodyText"/>
    <w:uiPriority w:val="99"/>
    <w:rsid w:val="005E23FE"/>
  </w:style>
  <w:style w:type="paragraph" w:customStyle="1" w:styleId="CharCharChar0">
    <w:name w:val="Char Char Char0"/>
    <w:basedOn w:val="Parasts"/>
    <w:uiPriority w:val="99"/>
    <w:rsid w:val="00FB7D67"/>
    <w:pPr>
      <w:overflowPunct/>
      <w:autoSpaceDE/>
      <w:autoSpaceDN/>
      <w:adjustRightInd/>
      <w:spacing w:before="120" w:after="160" w:line="240" w:lineRule="exact"/>
      <w:ind w:firstLine="720"/>
      <w:jc w:val="both"/>
      <w:textAlignment w:val="auto"/>
    </w:pPr>
    <w:rPr>
      <w:rFonts w:ascii="Verdana" w:hAnsi="Verdana"/>
      <w:sz w:val="20"/>
      <w:szCs w:val="20"/>
      <w:lang w:val="en-US"/>
    </w:rPr>
  </w:style>
  <w:style w:type="paragraph" w:customStyle="1" w:styleId="Requirement">
    <w:name w:val="Requirement"/>
    <w:basedOn w:val="Parasts"/>
    <w:uiPriority w:val="99"/>
    <w:qFormat/>
    <w:rsid w:val="00FB7D67"/>
    <w:pPr>
      <w:overflowPunct/>
      <w:autoSpaceDE/>
      <w:autoSpaceDN/>
      <w:adjustRightInd/>
      <w:spacing w:before="120" w:line="259" w:lineRule="auto"/>
      <w:textAlignment w:val="auto"/>
    </w:pPr>
    <w:rPr>
      <w:rFonts w:ascii="Calibri" w:eastAsia="Calibri" w:hAnsi="Calibri" w:cs="Calibri"/>
      <w:lang w:val="en-GB" w:eastAsia="ja-JP"/>
    </w:rPr>
  </w:style>
  <w:style w:type="paragraph" w:customStyle="1" w:styleId="Atteli">
    <w:name w:val="Atteli"/>
    <w:basedOn w:val="Saturs1"/>
    <w:uiPriority w:val="99"/>
    <w:rsid w:val="00FB7D67"/>
    <w:pPr>
      <w:tabs>
        <w:tab w:val="clear" w:pos="390"/>
        <w:tab w:val="left" w:pos="284"/>
        <w:tab w:val="num" w:pos="720"/>
      </w:tabs>
      <w:overflowPunct/>
      <w:autoSpaceDE/>
      <w:autoSpaceDN/>
      <w:adjustRightInd/>
      <w:spacing w:before="0" w:after="0"/>
      <w:ind w:left="720" w:hanging="360"/>
      <w:jc w:val="center"/>
      <w:textAlignment w:val="auto"/>
    </w:pPr>
    <w:rPr>
      <w:rFonts w:ascii="Times New Roman" w:hAnsi="Times New Roman" w:cs="Times New Roman"/>
      <w:b w:val="0"/>
      <w:bCs/>
      <w:i/>
      <w:smallCaps/>
      <w:noProof w:val="0"/>
      <w:sz w:val="20"/>
      <w:szCs w:val="20"/>
      <w:u w:val="none"/>
    </w:rPr>
  </w:style>
  <w:style w:type="paragraph" w:styleId="Sarakstanumurs5">
    <w:name w:val="List Number 5"/>
    <w:basedOn w:val="Parasts"/>
    <w:uiPriority w:val="99"/>
    <w:unhideWhenUsed/>
    <w:rsid w:val="00FB7D67"/>
    <w:pPr>
      <w:tabs>
        <w:tab w:val="num" w:pos="1800"/>
      </w:tabs>
      <w:ind w:left="1800" w:hanging="360"/>
      <w:contextualSpacing/>
    </w:pPr>
    <w:rPr>
      <w:rFonts w:ascii="Calibri" w:hAnsi="Calibri"/>
      <w:szCs w:val="20"/>
    </w:rPr>
  </w:style>
  <w:style w:type="character" w:customStyle="1" w:styleId="SarakstarindkopaRakstz">
    <w:name w:val="Saraksta rindkopa Rakstz."/>
    <w:basedOn w:val="Noklusjumarindkopasfonts"/>
    <w:link w:val="Sarakstarindkopa"/>
    <w:uiPriority w:val="34"/>
    <w:locked/>
    <w:rsid w:val="00FB7D67"/>
    <w:rPr>
      <w:rFonts w:ascii="Segoe UI" w:hAnsi="Segoe UI"/>
      <w:sz w:val="22"/>
      <w:szCs w:val="22"/>
      <w:lang w:eastAsia="en-US"/>
    </w:rPr>
  </w:style>
  <w:style w:type="numbering" w:customStyle="1" w:styleId="ISProblema">
    <w:name w:val="IS Problema"/>
    <w:basedOn w:val="Bezsaraksta"/>
    <w:uiPriority w:val="99"/>
    <w:rsid w:val="00FB7D67"/>
  </w:style>
  <w:style w:type="paragraph" w:customStyle="1" w:styleId="ISProblem">
    <w:name w:val="IS Problem"/>
    <w:basedOn w:val="Sarakstarindkopa"/>
    <w:next w:val="ISBodyText"/>
    <w:link w:val="ISProblemChar"/>
    <w:uiPriority w:val="99"/>
    <w:qFormat/>
    <w:rsid w:val="00FB7D67"/>
    <w:pPr>
      <w:keepNext/>
      <w:numPr>
        <w:numId w:val="45"/>
      </w:numPr>
      <w:spacing w:before="120"/>
      <w:ind w:left="714" w:hanging="714"/>
    </w:pPr>
    <w:rPr>
      <w:rFonts w:ascii="Calibri" w:hAnsi="Calibri"/>
      <w:b/>
      <w:i/>
    </w:rPr>
  </w:style>
  <w:style w:type="character" w:customStyle="1" w:styleId="ISProblemChar">
    <w:name w:val="IS Problem Char"/>
    <w:basedOn w:val="SarakstarindkopaRakstz"/>
    <w:link w:val="ISProblem"/>
    <w:uiPriority w:val="99"/>
    <w:rsid w:val="00FB7D67"/>
    <w:rPr>
      <w:rFonts w:ascii="Calibri" w:hAnsi="Calibri"/>
      <w:b/>
      <w:i/>
      <w:sz w:val="22"/>
      <w:szCs w:val="22"/>
      <w:lang w:eastAsia="en-US"/>
    </w:rPr>
  </w:style>
  <w:style w:type="paragraph" w:customStyle="1" w:styleId="EYTableNumberedList">
    <w:name w:val="EY Table Numbered List"/>
    <w:basedOn w:val="Parasts"/>
    <w:uiPriority w:val="99"/>
    <w:rsid w:val="00FB7D67"/>
    <w:pPr>
      <w:tabs>
        <w:tab w:val="num" w:pos="360"/>
      </w:tabs>
      <w:ind w:left="357" w:hanging="357"/>
    </w:pPr>
    <w:rPr>
      <w:rFonts w:ascii="Times New Roman" w:eastAsia="Arial Unicode MS" w:hAnsi="Times New Roman"/>
      <w:bCs/>
      <w:sz w:val="18"/>
      <w:szCs w:val="20"/>
    </w:rPr>
  </w:style>
  <w:style w:type="paragraph" w:customStyle="1" w:styleId="ISBodySubheadKT">
    <w:name w:val="IS Body Subhead KT"/>
    <w:basedOn w:val="Parasts"/>
    <w:rsid w:val="00C4219D"/>
    <w:pPr>
      <w:keepNext/>
      <w:numPr>
        <w:numId w:val="46"/>
      </w:numPr>
      <w:tabs>
        <w:tab w:val="left" w:pos="851"/>
      </w:tabs>
      <w:spacing w:before="240" w:after="120"/>
      <w:ind w:left="0" w:firstLine="0"/>
      <w:jc w:val="both"/>
      <w:outlineLvl w:val="4"/>
    </w:pPr>
    <w:rPr>
      <w:rFonts w:eastAsia="MS Mincho" w:cs="Segoe UI"/>
      <w:b/>
      <w:i/>
      <w:iCs/>
      <w:sz w:val="24"/>
      <w:lang w:eastAsia="lv-LV"/>
    </w:rPr>
  </w:style>
  <w:style w:type="character" w:customStyle="1" w:styleId="displayonly">
    <w:name w:val="display_only"/>
    <w:basedOn w:val="Noklusjumarindkopasfonts"/>
    <w:rsid w:val="00B6234A"/>
  </w:style>
  <w:style w:type="character" w:customStyle="1" w:styleId="FootnoteTextChar1">
    <w:name w:val="Footnote Text Char1"/>
    <w:aliases w:val="Char10 Char1,Char1 Char1,Fußnotentext Char Char Char Char1,Fußnotentext Char Char Char Char Char Char Char Char Char Char Char1,Fußnotentext Char Char Char Char Char Char Char Char2,Fußnote Char Char Char Char1"/>
    <w:basedOn w:val="Noklusjumarindkopasfonts"/>
    <w:uiPriority w:val="99"/>
    <w:semiHidden/>
    <w:rsid w:val="00B6234A"/>
    <w:rPr>
      <w:rFonts w:ascii="Segoe UI" w:hAnsi="Segoe UI"/>
      <w:sz w:val="20"/>
      <w:szCs w:val="20"/>
      <w:lang w:eastAsia="en-US"/>
    </w:rPr>
  </w:style>
  <w:style w:type="character" w:customStyle="1" w:styleId="UzrunaRakstz">
    <w:name w:val="Uzruna Rakstz."/>
    <w:basedOn w:val="Noklusjumarindkopasfonts"/>
    <w:link w:val="Uzruna"/>
    <w:uiPriority w:val="99"/>
    <w:semiHidden/>
    <w:rsid w:val="00B6234A"/>
    <w:rPr>
      <w:rFonts w:ascii="Segoe UI" w:hAnsi="Segoe UI"/>
      <w:sz w:val="22"/>
      <w:lang w:eastAsia="en-US"/>
    </w:rPr>
  </w:style>
  <w:style w:type="character" w:customStyle="1" w:styleId="Pamatteksts3Rakstz">
    <w:name w:val="Pamatteksts 3 Rakstz."/>
    <w:basedOn w:val="Noklusjumarindkopasfonts"/>
    <w:link w:val="Pamatteksts3"/>
    <w:uiPriority w:val="99"/>
    <w:rsid w:val="00B6234A"/>
    <w:rPr>
      <w:rFonts w:ascii="Segoe UI" w:hAnsi="Segoe UI"/>
      <w:b/>
      <w:bCs/>
      <w:lang w:eastAsia="en-US"/>
    </w:rPr>
  </w:style>
  <w:style w:type="character" w:customStyle="1" w:styleId="DokumentakarteRakstz">
    <w:name w:val="Dokumenta karte Rakstz."/>
    <w:basedOn w:val="Noklusjumarindkopasfonts"/>
    <w:link w:val="Dokumentakarte"/>
    <w:uiPriority w:val="99"/>
    <w:semiHidden/>
    <w:rsid w:val="00B6234A"/>
    <w:rPr>
      <w:rFonts w:ascii="Tahoma" w:hAnsi="Tahoma" w:cs="Tahoma"/>
      <w:sz w:val="20"/>
      <w:shd w:val="clear" w:color="auto" w:fill="000080"/>
      <w:lang w:eastAsia="en-US"/>
    </w:rPr>
  </w:style>
  <w:style w:type="paragraph" w:customStyle="1" w:styleId="xl63">
    <w:name w:val="xl63"/>
    <w:basedOn w:val="Parasts"/>
    <w:uiPriority w:val="99"/>
    <w:rsid w:val="00B6234A"/>
    <w:pPr>
      <w:overflowPunct/>
      <w:autoSpaceDE/>
      <w:autoSpaceDN/>
      <w:adjustRightInd/>
      <w:spacing w:before="100" w:beforeAutospacing="1" w:after="100" w:afterAutospacing="1"/>
      <w:textAlignment w:val="auto"/>
    </w:pPr>
    <w:rPr>
      <w:rFonts w:ascii="Times New Roman" w:hAnsi="Times New Roman"/>
      <w:sz w:val="24"/>
      <w:lang w:val="en-US"/>
    </w:rPr>
  </w:style>
  <w:style w:type="paragraph" w:customStyle="1" w:styleId="xl64">
    <w:name w:val="xl64"/>
    <w:basedOn w:val="Parasts"/>
    <w:uiPriority w:val="99"/>
    <w:rsid w:val="00B6234A"/>
    <w:pPr>
      <w:pBdr>
        <w:top w:val="single" w:sz="8" w:space="0" w:color="C9CBD3"/>
        <w:left w:val="single" w:sz="8" w:space="0" w:color="C9CBD3"/>
        <w:bottom w:val="single" w:sz="8" w:space="0" w:color="CCCCCC"/>
      </w:pBdr>
      <w:shd w:val="clear" w:color="auto" w:fill="CFE0F1"/>
      <w:overflowPunct/>
      <w:autoSpaceDE/>
      <w:autoSpaceDN/>
      <w:adjustRightInd/>
      <w:spacing w:before="100" w:beforeAutospacing="1" w:after="100" w:afterAutospacing="1"/>
      <w:jc w:val="center"/>
      <w:textAlignment w:val="auto"/>
    </w:pPr>
    <w:rPr>
      <w:rFonts w:ascii="Tahoma" w:hAnsi="Tahoma" w:cs="Tahoma"/>
      <w:b/>
      <w:bCs/>
      <w:sz w:val="18"/>
      <w:szCs w:val="18"/>
      <w:lang w:val="en-US"/>
    </w:rPr>
  </w:style>
  <w:style w:type="paragraph" w:customStyle="1" w:styleId="xl65">
    <w:name w:val="xl65"/>
    <w:basedOn w:val="Parasts"/>
    <w:uiPriority w:val="99"/>
    <w:rsid w:val="00B6234A"/>
    <w:pPr>
      <w:pBdr>
        <w:top w:val="single" w:sz="8" w:space="0" w:color="C9CBD3"/>
        <w:bottom w:val="single" w:sz="8" w:space="0" w:color="CCCCCC"/>
      </w:pBdr>
      <w:shd w:val="clear" w:color="auto" w:fill="CFE0F1"/>
      <w:overflowPunct/>
      <w:autoSpaceDE/>
      <w:autoSpaceDN/>
      <w:adjustRightInd/>
      <w:spacing w:before="100" w:beforeAutospacing="1" w:after="100" w:afterAutospacing="1"/>
      <w:jc w:val="center"/>
      <w:textAlignment w:val="auto"/>
    </w:pPr>
    <w:rPr>
      <w:rFonts w:ascii="Tahoma" w:hAnsi="Tahoma" w:cs="Tahoma"/>
      <w:b/>
      <w:bCs/>
      <w:sz w:val="18"/>
      <w:szCs w:val="18"/>
      <w:lang w:val="en-US"/>
    </w:rPr>
  </w:style>
  <w:style w:type="paragraph" w:customStyle="1" w:styleId="xl66">
    <w:name w:val="xl66"/>
    <w:basedOn w:val="Parasts"/>
    <w:uiPriority w:val="99"/>
    <w:rsid w:val="00B6234A"/>
    <w:pPr>
      <w:pBdr>
        <w:top w:val="single" w:sz="8" w:space="0" w:color="C9CBD3"/>
        <w:bottom w:val="single" w:sz="8" w:space="0" w:color="CCCCCC"/>
        <w:right w:val="single" w:sz="8" w:space="0" w:color="C9CBD3"/>
      </w:pBdr>
      <w:shd w:val="clear" w:color="auto" w:fill="CFE0F1"/>
      <w:overflowPunct/>
      <w:autoSpaceDE/>
      <w:autoSpaceDN/>
      <w:adjustRightInd/>
      <w:spacing w:before="100" w:beforeAutospacing="1" w:after="100" w:afterAutospacing="1"/>
      <w:jc w:val="center"/>
      <w:textAlignment w:val="auto"/>
    </w:pPr>
    <w:rPr>
      <w:rFonts w:ascii="Tahoma" w:hAnsi="Tahoma" w:cs="Tahoma"/>
      <w:b/>
      <w:bCs/>
      <w:sz w:val="18"/>
      <w:szCs w:val="18"/>
      <w:lang w:val="en-US"/>
    </w:rPr>
  </w:style>
  <w:style w:type="paragraph" w:customStyle="1" w:styleId="xl67">
    <w:name w:val="xl67"/>
    <w:basedOn w:val="Parasts"/>
    <w:uiPriority w:val="99"/>
    <w:rsid w:val="00B6234A"/>
    <w:pPr>
      <w:pBdr>
        <w:top w:val="single" w:sz="8" w:space="0" w:color="FFFFFF"/>
        <w:left w:val="single" w:sz="8" w:space="0" w:color="C9CBD3"/>
        <w:bottom w:val="single" w:sz="8" w:space="0" w:color="CCCCCC"/>
      </w:pBdr>
      <w:shd w:val="clear" w:color="auto" w:fill="F2F2F5"/>
      <w:overflowPunct/>
      <w:autoSpaceDE/>
      <w:autoSpaceDN/>
      <w:adjustRightInd/>
      <w:spacing w:before="100" w:beforeAutospacing="1" w:after="100" w:afterAutospacing="1"/>
      <w:jc w:val="right"/>
      <w:textAlignment w:val="auto"/>
    </w:pPr>
    <w:rPr>
      <w:rFonts w:ascii="Tahoma" w:hAnsi="Tahoma" w:cs="Tahoma"/>
      <w:color w:val="000000"/>
      <w:sz w:val="18"/>
      <w:szCs w:val="18"/>
      <w:lang w:val="en-US"/>
    </w:rPr>
  </w:style>
  <w:style w:type="paragraph" w:customStyle="1" w:styleId="xl68">
    <w:name w:val="xl68"/>
    <w:basedOn w:val="Parasts"/>
    <w:uiPriority w:val="99"/>
    <w:rsid w:val="00B6234A"/>
    <w:pPr>
      <w:pBdr>
        <w:top w:val="single" w:sz="8" w:space="0" w:color="FFFFFF"/>
        <w:bottom w:val="single" w:sz="8" w:space="0" w:color="CCCCCC"/>
      </w:pBdr>
      <w:shd w:val="clear" w:color="auto" w:fill="F2F2F5"/>
      <w:overflowPunct/>
      <w:autoSpaceDE/>
      <w:autoSpaceDN/>
      <w:adjustRightInd/>
      <w:spacing w:before="100" w:beforeAutospacing="1" w:after="100" w:afterAutospacing="1"/>
      <w:textAlignment w:val="auto"/>
    </w:pPr>
    <w:rPr>
      <w:rFonts w:ascii="Tahoma" w:hAnsi="Tahoma" w:cs="Tahoma"/>
      <w:color w:val="000000"/>
      <w:sz w:val="18"/>
      <w:szCs w:val="18"/>
      <w:lang w:val="en-US"/>
    </w:rPr>
  </w:style>
  <w:style w:type="paragraph" w:customStyle="1" w:styleId="xl69">
    <w:name w:val="xl69"/>
    <w:basedOn w:val="Parasts"/>
    <w:uiPriority w:val="99"/>
    <w:rsid w:val="00B6234A"/>
    <w:pPr>
      <w:pBdr>
        <w:top w:val="single" w:sz="8" w:space="0" w:color="FFFFFF"/>
        <w:bottom w:val="single" w:sz="8" w:space="0" w:color="CCCCCC"/>
        <w:right w:val="single" w:sz="8" w:space="0" w:color="C9CBD3"/>
      </w:pBdr>
      <w:shd w:val="clear" w:color="auto" w:fill="F2F2F5"/>
      <w:overflowPunct/>
      <w:autoSpaceDE/>
      <w:autoSpaceDN/>
      <w:adjustRightInd/>
      <w:spacing w:before="100" w:beforeAutospacing="1" w:after="100" w:afterAutospacing="1"/>
      <w:textAlignment w:val="auto"/>
    </w:pPr>
    <w:rPr>
      <w:rFonts w:ascii="Tahoma" w:hAnsi="Tahoma" w:cs="Tahoma"/>
      <w:color w:val="000000"/>
      <w:sz w:val="18"/>
      <w:szCs w:val="18"/>
      <w:lang w:val="en-US"/>
    </w:rPr>
  </w:style>
  <w:style w:type="paragraph" w:customStyle="1" w:styleId="xl70">
    <w:name w:val="xl70"/>
    <w:basedOn w:val="Parasts"/>
    <w:uiPriority w:val="99"/>
    <w:rsid w:val="00B6234A"/>
    <w:pPr>
      <w:pBdr>
        <w:top w:val="single" w:sz="8" w:space="0" w:color="FFFFFF"/>
        <w:left w:val="single" w:sz="8" w:space="0" w:color="C9CBD3"/>
      </w:pBdr>
      <w:shd w:val="clear" w:color="auto" w:fill="F2F2F5"/>
      <w:overflowPunct/>
      <w:autoSpaceDE/>
      <w:autoSpaceDN/>
      <w:adjustRightInd/>
      <w:spacing w:before="100" w:beforeAutospacing="1" w:after="100" w:afterAutospacing="1"/>
      <w:jc w:val="right"/>
      <w:textAlignment w:val="auto"/>
    </w:pPr>
    <w:rPr>
      <w:rFonts w:ascii="Tahoma" w:hAnsi="Tahoma" w:cs="Tahoma"/>
      <w:color w:val="000000"/>
      <w:sz w:val="18"/>
      <w:szCs w:val="18"/>
      <w:lang w:val="en-US"/>
    </w:rPr>
  </w:style>
  <w:style w:type="paragraph" w:customStyle="1" w:styleId="xl71">
    <w:name w:val="xl71"/>
    <w:basedOn w:val="Parasts"/>
    <w:uiPriority w:val="99"/>
    <w:rsid w:val="00B6234A"/>
    <w:pPr>
      <w:pBdr>
        <w:top w:val="single" w:sz="8" w:space="0" w:color="FFFFFF"/>
      </w:pBdr>
      <w:shd w:val="clear" w:color="auto" w:fill="F2F2F5"/>
      <w:overflowPunct/>
      <w:autoSpaceDE/>
      <w:autoSpaceDN/>
      <w:adjustRightInd/>
      <w:spacing w:before="100" w:beforeAutospacing="1" w:after="100" w:afterAutospacing="1"/>
      <w:textAlignment w:val="auto"/>
    </w:pPr>
    <w:rPr>
      <w:rFonts w:ascii="Tahoma" w:hAnsi="Tahoma" w:cs="Tahoma"/>
      <w:color w:val="000000"/>
      <w:sz w:val="18"/>
      <w:szCs w:val="18"/>
      <w:lang w:val="en-US"/>
    </w:rPr>
  </w:style>
  <w:style w:type="paragraph" w:customStyle="1" w:styleId="xl72">
    <w:name w:val="xl72"/>
    <w:basedOn w:val="Parasts"/>
    <w:uiPriority w:val="99"/>
    <w:rsid w:val="00B6234A"/>
    <w:pPr>
      <w:pBdr>
        <w:top w:val="single" w:sz="8" w:space="0" w:color="FFFFFF"/>
        <w:right w:val="single" w:sz="8" w:space="0" w:color="C9CBD3"/>
      </w:pBdr>
      <w:shd w:val="clear" w:color="auto" w:fill="F2F2F5"/>
      <w:overflowPunct/>
      <w:autoSpaceDE/>
      <w:autoSpaceDN/>
      <w:adjustRightInd/>
      <w:spacing w:before="100" w:beforeAutospacing="1" w:after="100" w:afterAutospacing="1"/>
      <w:textAlignment w:val="auto"/>
    </w:pPr>
    <w:rPr>
      <w:rFonts w:ascii="Tahoma" w:hAnsi="Tahoma" w:cs="Tahoma"/>
      <w:color w:val="000000"/>
      <w:sz w:val="18"/>
      <w:szCs w:val="18"/>
      <w:lang w:val="en-US"/>
    </w:rPr>
  </w:style>
  <w:style w:type="table" w:styleId="Krsainsnojumsizclums1">
    <w:name w:val="Colorful Shading Accent 1"/>
    <w:basedOn w:val="Parastatabula"/>
    <w:rsid w:val="00B6234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numbering" w:customStyle="1" w:styleId="ISBullets1">
    <w:name w:val="IS Bullets1"/>
    <w:uiPriority w:val="99"/>
    <w:rsid w:val="00DE0479"/>
    <w:pPr>
      <w:numPr>
        <w:numId w:val="1"/>
      </w:numPr>
    </w:pPr>
  </w:style>
  <w:style w:type="numbering" w:customStyle="1" w:styleId="ISBullets2">
    <w:name w:val="IS Bullets2"/>
    <w:uiPriority w:val="99"/>
    <w:rsid w:val="00210D8A"/>
  </w:style>
  <w:style w:type="numbering" w:customStyle="1" w:styleId="ISBullets3">
    <w:name w:val="IS Bullets3"/>
    <w:uiPriority w:val="99"/>
    <w:rsid w:val="00366914"/>
  </w:style>
  <w:style w:type="paragraph" w:customStyle="1" w:styleId="Princips">
    <w:name w:val="Princips"/>
    <w:basedOn w:val="ISHeading3"/>
    <w:link w:val="PrincipsChar"/>
    <w:qFormat/>
    <w:rsid w:val="009A7C5C"/>
    <w:pPr>
      <w:numPr>
        <w:ilvl w:val="0"/>
        <w:numId w:val="48"/>
      </w:numPr>
    </w:pPr>
    <w:rPr>
      <w:i/>
      <w:sz w:val="28"/>
    </w:rPr>
  </w:style>
  <w:style w:type="character" w:customStyle="1" w:styleId="PrincipsChar">
    <w:name w:val="Princips Char"/>
    <w:basedOn w:val="ISHeading3Char"/>
    <w:link w:val="Princips"/>
    <w:rsid w:val="009A7C5C"/>
    <w:rPr>
      <w:rFonts w:ascii="Segoe UI" w:hAnsi="Segoe UI" w:cs="Arial"/>
      <w:b/>
      <w:bCs/>
      <w:i/>
      <w:iCs/>
      <w:sz w:val="28"/>
      <w:szCs w:val="32"/>
      <w:lang w:eastAsia="en-US"/>
    </w:rPr>
  </w:style>
  <w:style w:type="numbering" w:customStyle="1" w:styleId="ISBullets4">
    <w:name w:val="IS Bullets4"/>
    <w:uiPriority w:val="99"/>
    <w:rsid w:val="0077628D"/>
  </w:style>
  <w:style w:type="paragraph" w:customStyle="1" w:styleId="Normal1">
    <w:name w:val="Normal1"/>
    <w:uiPriority w:val="99"/>
    <w:rsid w:val="006F5A54"/>
    <w:rPr>
      <w:rFonts w:ascii="Calibri" w:eastAsia="Calibri" w:hAnsi="Calibri" w:cs="Calibri"/>
      <w:color w:val="000000"/>
      <w:sz w:val="22"/>
      <w:szCs w:val="22"/>
    </w:rPr>
  </w:style>
  <w:style w:type="numbering" w:customStyle="1" w:styleId="ISBullets5">
    <w:name w:val="IS Bullets5"/>
    <w:uiPriority w:val="99"/>
    <w:rsid w:val="003061F1"/>
  </w:style>
  <w:style w:type="paragraph" w:customStyle="1" w:styleId="isbodytext0">
    <w:name w:val="isbodytext"/>
    <w:basedOn w:val="Parasts"/>
    <w:rsid w:val="00231DDA"/>
    <w:pPr>
      <w:overflowPunct/>
      <w:adjustRightInd/>
      <w:spacing w:before="120" w:after="120"/>
      <w:jc w:val="both"/>
      <w:textAlignment w:val="auto"/>
    </w:pPr>
    <w:rPr>
      <w:rFonts w:eastAsiaTheme="minorHAnsi" w:cs="Segoe UI"/>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691">
      <w:bodyDiv w:val="1"/>
      <w:marLeft w:val="0"/>
      <w:marRight w:val="0"/>
      <w:marTop w:val="0"/>
      <w:marBottom w:val="0"/>
      <w:divBdr>
        <w:top w:val="none" w:sz="0" w:space="0" w:color="auto"/>
        <w:left w:val="none" w:sz="0" w:space="0" w:color="auto"/>
        <w:bottom w:val="none" w:sz="0" w:space="0" w:color="auto"/>
        <w:right w:val="none" w:sz="0" w:space="0" w:color="auto"/>
      </w:divBdr>
    </w:div>
    <w:div w:id="12464714">
      <w:bodyDiv w:val="1"/>
      <w:marLeft w:val="0"/>
      <w:marRight w:val="0"/>
      <w:marTop w:val="0"/>
      <w:marBottom w:val="0"/>
      <w:divBdr>
        <w:top w:val="none" w:sz="0" w:space="0" w:color="auto"/>
        <w:left w:val="none" w:sz="0" w:space="0" w:color="auto"/>
        <w:bottom w:val="none" w:sz="0" w:space="0" w:color="auto"/>
        <w:right w:val="none" w:sz="0" w:space="0" w:color="auto"/>
      </w:divBdr>
      <w:divsChild>
        <w:div w:id="597519419">
          <w:marLeft w:val="562"/>
          <w:marRight w:val="0"/>
          <w:marTop w:val="115"/>
          <w:marBottom w:val="0"/>
          <w:divBdr>
            <w:top w:val="none" w:sz="0" w:space="0" w:color="auto"/>
            <w:left w:val="none" w:sz="0" w:space="0" w:color="auto"/>
            <w:bottom w:val="none" w:sz="0" w:space="0" w:color="auto"/>
            <w:right w:val="none" w:sz="0" w:space="0" w:color="auto"/>
          </w:divBdr>
        </w:div>
        <w:div w:id="1374694015">
          <w:marLeft w:val="562"/>
          <w:marRight w:val="0"/>
          <w:marTop w:val="115"/>
          <w:marBottom w:val="0"/>
          <w:divBdr>
            <w:top w:val="none" w:sz="0" w:space="0" w:color="auto"/>
            <w:left w:val="none" w:sz="0" w:space="0" w:color="auto"/>
            <w:bottom w:val="none" w:sz="0" w:space="0" w:color="auto"/>
            <w:right w:val="none" w:sz="0" w:space="0" w:color="auto"/>
          </w:divBdr>
        </w:div>
        <w:div w:id="1605722946">
          <w:marLeft w:val="562"/>
          <w:marRight w:val="0"/>
          <w:marTop w:val="115"/>
          <w:marBottom w:val="0"/>
          <w:divBdr>
            <w:top w:val="none" w:sz="0" w:space="0" w:color="auto"/>
            <w:left w:val="none" w:sz="0" w:space="0" w:color="auto"/>
            <w:bottom w:val="none" w:sz="0" w:space="0" w:color="auto"/>
            <w:right w:val="none" w:sz="0" w:space="0" w:color="auto"/>
          </w:divBdr>
        </w:div>
        <w:div w:id="1841891989">
          <w:marLeft w:val="562"/>
          <w:marRight w:val="0"/>
          <w:marTop w:val="115"/>
          <w:marBottom w:val="0"/>
          <w:divBdr>
            <w:top w:val="none" w:sz="0" w:space="0" w:color="auto"/>
            <w:left w:val="none" w:sz="0" w:space="0" w:color="auto"/>
            <w:bottom w:val="none" w:sz="0" w:space="0" w:color="auto"/>
            <w:right w:val="none" w:sz="0" w:space="0" w:color="auto"/>
          </w:divBdr>
        </w:div>
      </w:divsChild>
    </w:div>
    <w:div w:id="12583241">
      <w:bodyDiv w:val="1"/>
      <w:marLeft w:val="0"/>
      <w:marRight w:val="0"/>
      <w:marTop w:val="0"/>
      <w:marBottom w:val="0"/>
      <w:divBdr>
        <w:top w:val="none" w:sz="0" w:space="0" w:color="auto"/>
        <w:left w:val="none" w:sz="0" w:space="0" w:color="auto"/>
        <w:bottom w:val="none" w:sz="0" w:space="0" w:color="auto"/>
        <w:right w:val="none" w:sz="0" w:space="0" w:color="auto"/>
      </w:divBdr>
      <w:divsChild>
        <w:div w:id="431897843">
          <w:marLeft w:val="562"/>
          <w:marRight w:val="0"/>
          <w:marTop w:val="115"/>
          <w:marBottom w:val="0"/>
          <w:divBdr>
            <w:top w:val="none" w:sz="0" w:space="0" w:color="auto"/>
            <w:left w:val="none" w:sz="0" w:space="0" w:color="auto"/>
            <w:bottom w:val="none" w:sz="0" w:space="0" w:color="auto"/>
            <w:right w:val="none" w:sz="0" w:space="0" w:color="auto"/>
          </w:divBdr>
        </w:div>
        <w:div w:id="888958744">
          <w:marLeft w:val="720"/>
          <w:marRight w:val="0"/>
          <w:marTop w:val="96"/>
          <w:marBottom w:val="0"/>
          <w:divBdr>
            <w:top w:val="none" w:sz="0" w:space="0" w:color="auto"/>
            <w:left w:val="none" w:sz="0" w:space="0" w:color="auto"/>
            <w:bottom w:val="none" w:sz="0" w:space="0" w:color="auto"/>
            <w:right w:val="none" w:sz="0" w:space="0" w:color="auto"/>
          </w:divBdr>
        </w:div>
        <w:div w:id="1001008482">
          <w:marLeft w:val="562"/>
          <w:marRight w:val="0"/>
          <w:marTop w:val="115"/>
          <w:marBottom w:val="0"/>
          <w:divBdr>
            <w:top w:val="none" w:sz="0" w:space="0" w:color="auto"/>
            <w:left w:val="none" w:sz="0" w:space="0" w:color="auto"/>
            <w:bottom w:val="none" w:sz="0" w:space="0" w:color="auto"/>
            <w:right w:val="none" w:sz="0" w:space="0" w:color="auto"/>
          </w:divBdr>
        </w:div>
        <w:div w:id="1102190819">
          <w:marLeft w:val="720"/>
          <w:marRight w:val="0"/>
          <w:marTop w:val="96"/>
          <w:marBottom w:val="0"/>
          <w:divBdr>
            <w:top w:val="none" w:sz="0" w:space="0" w:color="auto"/>
            <w:left w:val="none" w:sz="0" w:space="0" w:color="auto"/>
            <w:bottom w:val="none" w:sz="0" w:space="0" w:color="auto"/>
            <w:right w:val="none" w:sz="0" w:space="0" w:color="auto"/>
          </w:divBdr>
        </w:div>
        <w:div w:id="1520582490">
          <w:marLeft w:val="720"/>
          <w:marRight w:val="0"/>
          <w:marTop w:val="96"/>
          <w:marBottom w:val="0"/>
          <w:divBdr>
            <w:top w:val="none" w:sz="0" w:space="0" w:color="auto"/>
            <w:left w:val="none" w:sz="0" w:space="0" w:color="auto"/>
            <w:bottom w:val="none" w:sz="0" w:space="0" w:color="auto"/>
            <w:right w:val="none" w:sz="0" w:space="0" w:color="auto"/>
          </w:divBdr>
        </w:div>
        <w:div w:id="1577397474">
          <w:marLeft w:val="720"/>
          <w:marRight w:val="0"/>
          <w:marTop w:val="96"/>
          <w:marBottom w:val="0"/>
          <w:divBdr>
            <w:top w:val="none" w:sz="0" w:space="0" w:color="auto"/>
            <w:left w:val="none" w:sz="0" w:space="0" w:color="auto"/>
            <w:bottom w:val="none" w:sz="0" w:space="0" w:color="auto"/>
            <w:right w:val="none" w:sz="0" w:space="0" w:color="auto"/>
          </w:divBdr>
        </w:div>
        <w:div w:id="1579438397">
          <w:marLeft w:val="720"/>
          <w:marRight w:val="0"/>
          <w:marTop w:val="96"/>
          <w:marBottom w:val="0"/>
          <w:divBdr>
            <w:top w:val="none" w:sz="0" w:space="0" w:color="auto"/>
            <w:left w:val="none" w:sz="0" w:space="0" w:color="auto"/>
            <w:bottom w:val="none" w:sz="0" w:space="0" w:color="auto"/>
            <w:right w:val="none" w:sz="0" w:space="0" w:color="auto"/>
          </w:divBdr>
        </w:div>
      </w:divsChild>
    </w:div>
    <w:div w:id="12652445">
      <w:bodyDiv w:val="1"/>
      <w:marLeft w:val="0"/>
      <w:marRight w:val="0"/>
      <w:marTop w:val="0"/>
      <w:marBottom w:val="0"/>
      <w:divBdr>
        <w:top w:val="none" w:sz="0" w:space="0" w:color="auto"/>
        <w:left w:val="none" w:sz="0" w:space="0" w:color="auto"/>
        <w:bottom w:val="none" w:sz="0" w:space="0" w:color="auto"/>
        <w:right w:val="none" w:sz="0" w:space="0" w:color="auto"/>
      </w:divBdr>
    </w:div>
    <w:div w:id="26030435">
      <w:bodyDiv w:val="1"/>
      <w:marLeft w:val="0"/>
      <w:marRight w:val="0"/>
      <w:marTop w:val="0"/>
      <w:marBottom w:val="0"/>
      <w:divBdr>
        <w:top w:val="none" w:sz="0" w:space="0" w:color="auto"/>
        <w:left w:val="none" w:sz="0" w:space="0" w:color="auto"/>
        <w:bottom w:val="none" w:sz="0" w:space="0" w:color="auto"/>
        <w:right w:val="none" w:sz="0" w:space="0" w:color="auto"/>
      </w:divBdr>
      <w:divsChild>
        <w:div w:id="155876144">
          <w:marLeft w:val="562"/>
          <w:marRight w:val="0"/>
          <w:marTop w:val="96"/>
          <w:marBottom w:val="0"/>
          <w:divBdr>
            <w:top w:val="none" w:sz="0" w:space="0" w:color="auto"/>
            <w:left w:val="none" w:sz="0" w:space="0" w:color="auto"/>
            <w:bottom w:val="none" w:sz="0" w:space="0" w:color="auto"/>
            <w:right w:val="none" w:sz="0" w:space="0" w:color="auto"/>
          </w:divBdr>
        </w:div>
        <w:div w:id="374547020">
          <w:marLeft w:val="562"/>
          <w:marRight w:val="0"/>
          <w:marTop w:val="96"/>
          <w:marBottom w:val="0"/>
          <w:divBdr>
            <w:top w:val="none" w:sz="0" w:space="0" w:color="auto"/>
            <w:left w:val="none" w:sz="0" w:space="0" w:color="auto"/>
            <w:bottom w:val="none" w:sz="0" w:space="0" w:color="auto"/>
            <w:right w:val="none" w:sz="0" w:space="0" w:color="auto"/>
          </w:divBdr>
        </w:div>
        <w:div w:id="750658683">
          <w:marLeft w:val="562"/>
          <w:marRight w:val="0"/>
          <w:marTop w:val="96"/>
          <w:marBottom w:val="0"/>
          <w:divBdr>
            <w:top w:val="none" w:sz="0" w:space="0" w:color="auto"/>
            <w:left w:val="none" w:sz="0" w:space="0" w:color="auto"/>
            <w:bottom w:val="none" w:sz="0" w:space="0" w:color="auto"/>
            <w:right w:val="none" w:sz="0" w:space="0" w:color="auto"/>
          </w:divBdr>
        </w:div>
        <w:div w:id="754783443">
          <w:marLeft w:val="720"/>
          <w:marRight w:val="0"/>
          <w:marTop w:val="82"/>
          <w:marBottom w:val="0"/>
          <w:divBdr>
            <w:top w:val="none" w:sz="0" w:space="0" w:color="auto"/>
            <w:left w:val="none" w:sz="0" w:space="0" w:color="auto"/>
            <w:bottom w:val="none" w:sz="0" w:space="0" w:color="auto"/>
            <w:right w:val="none" w:sz="0" w:space="0" w:color="auto"/>
          </w:divBdr>
        </w:div>
        <w:div w:id="805388990">
          <w:marLeft w:val="562"/>
          <w:marRight w:val="0"/>
          <w:marTop w:val="96"/>
          <w:marBottom w:val="0"/>
          <w:divBdr>
            <w:top w:val="none" w:sz="0" w:space="0" w:color="auto"/>
            <w:left w:val="none" w:sz="0" w:space="0" w:color="auto"/>
            <w:bottom w:val="none" w:sz="0" w:space="0" w:color="auto"/>
            <w:right w:val="none" w:sz="0" w:space="0" w:color="auto"/>
          </w:divBdr>
        </w:div>
        <w:div w:id="835337874">
          <w:marLeft w:val="562"/>
          <w:marRight w:val="0"/>
          <w:marTop w:val="96"/>
          <w:marBottom w:val="0"/>
          <w:divBdr>
            <w:top w:val="none" w:sz="0" w:space="0" w:color="auto"/>
            <w:left w:val="none" w:sz="0" w:space="0" w:color="auto"/>
            <w:bottom w:val="none" w:sz="0" w:space="0" w:color="auto"/>
            <w:right w:val="none" w:sz="0" w:space="0" w:color="auto"/>
          </w:divBdr>
        </w:div>
        <w:div w:id="1330598580">
          <w:marLeft w:val="720"/>
          <w:marRight w:val="0"/>
          <w:marTop w:val="82"/>
          <w:marBottom w:val="0"/>
          <w:divBdr>
            <w:top w:val="none" w:sz="0" w:space="0" w:color="auto"/>
            <w:left w:val="none" w:sz="0" w:space="0" w:color="auto"/>
            <w:bottom w:val="none" w:sz="0" w:space="0" w:color="auto"/>
            <w:right w:val="none" w:sz="0" w:space="0" w:color="auto"/>
          </w:divBdr>
        </w:div>
        <w:div w:id="1731541990">
          <w:marLeft w:val="562"/>
          <w:marRight w:val="0"/>
          <w:marTop w:val="96"/>
          <w:marBottom w:val="0"/>
          <w:divBdr>
            <w:top w:val="none" w:sz="0" w:space="0" w:color="auto"/>
            <w:left w:val="none" w:sz="0" w:space="0" w:color="auto"/>
            <w:bottom w:val="none" w:sz="0" w:space="0" w:color="auto"/>
            <w:right w:val="none" w:sz="0" w:space="0" w:color="auto"/>
          </w:divBdr>
        </w:div>
        <w:div w:id="1893467787">
          <w:marLeft w:val="720"/>
          <w:marRight w:val="0"/>
          <w:marTop w:val="82"/>
          <w:marBottom w:val="0"/>
          <w:divBdr>
            <w:top w:val="none" w:sz="0" w:space="0" w:color="auto"/>
            <w:left w:val="none" w:sz="0" w:space="0" w:color="auto"/>
            <w:bottom w:val="none" w:sz="0" w:space="0" w:color="auto"/>
            <w:right w:val="none" w:sz="0" w:space="0" w:color="auto"/>
          </w:divBdr>
        </w:div>
      </w:divsChild>
    </w:div>
    <w:div w:id="31613910">
      <w:bodyDiv w:val="1"/>
      <w:marLeft w:val="0"/>
      <w:marRight w:val="0"/>
      <w:marTop w:val="0"/>
      <w:marBottom w:val="0"/>
      <w:divBdr>
        <w:top w:val="none" w:sz="0" w:space="0" w:color="auto"/>
        <w:left w:val="none" w:sz="0" w:space="0" w:color="auto"/>
        <w:bottom w:val="none" w:sz="0" w:space="0" w:color="auto"/>
        <w:right w:val="none" w:sz="0" w:space="0" w:color="auto"/>
      </w:divBdr>
    </w:div>
    <w:div w:id="54666487">
      <w:bodyDiv w:val="1"/>
      <w:marLeft w:val="0"/>
      <w:marRight w:val="0"/>
      <w:marTop w:val="0"/>
      <w:marBottom w:val="0"/>
      <w:divBdr>
        <w:top w:val="none" w:sz="0" w:space="0" w:color="auto"/>
        <w:left w:val="none" w:sz="0" w:space="0" w:color="auto"/>
        <w:bottom w:val="none" w:sz="0" w:space="0" w:color="auto"/>
        <w:right w:val="none" w:sz="0" w:space="0" w:color="auto"/>
      </w:divBdr>
      <w:divsChild>
        <w:div w:id="422073784">
          <w:marLeft w:val="446"/>
          <w:marRight w:val="0"/>
          <w:marTop w:val="0"/>
          <w:marBottom w:val="0"/>
          <w:divBdr>
            <w:top w:val="none" w:sz="0" w:space="0" w:color="auto"/>
            <w:left w:val="none" w:sz="0" w:space="0" w:color="auto"/>
            <w:bottom w:val="none" w:sz="0" w:space="0" w:color="auto"/>
            <w:right w:val="none" w:sz="0" w:space="0" w:color="auto"/>
          </w:divBdr>
        </w:div>
        <w:div w:id="1164127060">
          <w:marLeft w:val="446"/>
          <w:marRight w:val="0"/>
          <w:marTop w:val="0"/>
          <w:marBottom w:val="0"/>
          <w:divBdr>
            <w:top w:val="none" w:sz="0" w:space="0" w:color="auto"/>
            <w:left w:val="none" w:sz="0" w:space="0" w:color="auto"/>
            <w:bottom w:val="none" w:sz="0" w:space="0" w:color="auto"/>
            <w:right w:val="none" w:sz="0" w:space="0" w:color="auto"/>
          </w:divBdr>
        </w:div>
        <w:div w:id="1736127368">
          <w:marLeft w:val="446"/>
          <w:marRight w:val="0"/>
          <w:marTop w:val="0"/>
          <w:marBottom w:val="0"/>
          <w:divBdr>
            <w:top w:val="none" w:sz="0" w:space="0" w:color="auto"/>
            <w:left w:val="none" w:sz="0" w:space="0" w:color="auto"/>
            <w:bottom w:val="none" w:sz="0" w:space="0" w:color="auto"/>
            <w:right w:val="none" w:sz="0" w:space="0" w:color="auto"/>
          </w:divBdr>
        </w:div>
      </w:divsChild>
    </w:div>
    <w:div w:id="96607507">
      <w:bodyDiv w:val="1"/>
      <w:marLeft w:val="0"/>
      <w:marRight w:val="0"/>
      <w:marTop w:val="0"/>
      <w:marBottom w:val="0"/>
      <w:divBdr>
        <w:top w:val="none" w:sz="0" w:space="0" w:color="auto"/>
        <w:left w:val="none" w:sz="0" w:space="0" w:color="auto"/>
        <w:bottom w:val="none" w:sz="0" w:space="0" w:color="auto"/>
        <w:right w:val="none" w:sz="0" w:space="0" w:color="auto"/>
      </w:divBdr>
    </w:div>
    <w:div w:id="98307021">
      <w:bodyDiv w:val="1"/>
      <w:marLeft w:val="0"/>
      <w:marRight w:val="0"/>
      <w:marTop w:val="0"/>
      <w:marBottom w:val="0"/>
      <w:divBdr>
        <w:top w:val="none" w:sz="0" w:space="0" w:color="auto"/>
        <w:left w:val="none" w:sz="0" w:space="0" w:color="auto"/>
        <w:bottom w:val="none" w:sz="0" w:space="0" w:color="auto"/>
        <w:right w:val="none" w:sz="0" w:space="0" w:color="auto"/>
      </w:divBdr>
    </w:div>
    <w:div w:id="105278663">
      <w:bodyDiv w:val="1"/>
      <w:marLeft w:val="0"/>
      <w:marRight w:val="0"/>
      <w:marTop w:val="0"/>
      <w:marBottom w:val="0"/>
      <w:divBdr>
        <w:top w:val="none" w:sz="0" w:space="0" w:color="auto"/>
        <w:left w:val="none" w:sz="0" w:space="0" w:color="auto"/>
        <w:bottom w:val="none" w:sz="0" w:space="0" w:color="auto"/>
        <w:right w:val="none" w:sz="0" w:space="0" w:color="auto"/>
      </w:divBdr>
    </w:div>
    <w:div w:id="112410723">
      <w:bodyDiv w:val="1"/>
      <w:marLeft w:val="0"/>
      <w:marRight w:val="0"/>
      <w:marTop w:val="0"/>
      <w:marBottom w:val="0"/>
      <w:divBdr>
        <w:top w:val="none" w:sz="0" w:space="0" w:color="auto"/>
        <w:left w:val="none" w:sz="0" w:space="0" w:color="auto"/>
        <w:bottom w:val="none" w:sz="0" w:space="0" w:color="auto"/>
        <w:right w:val="none" w:sz="0" w:space="0" w:color="auto"/>
      </w:divBdr>
    </w:div>
    <w:div w:id="125974875">
      <w:bodyDiv w:val="1"/>
      <w:marLeft w:val="0"/>
      <w:marRight w:val="0"/>
      <w:marTop w:val="0"/>
      <w:marBottom w:val="0"/>
      <w:divBdr>
        <w:top w:val="none" w:sz="0" w:space="0" w:color="auto"/>
        <w:left w:val="none" w:sz="0" w:space="0" w:color="auto"/>
        <w:bottom w:val="none" w:sz="0" w:space="0" w:color="auto"/>
        <w:right w:val="none" w:sz="0" w:space="0" w:color="auto"/>
      </w:divBdr>
    </w:div>
    <w:div w:id="154225992">
      <w:bodyDiv w:val="1"/>
      <w:marLeft w:val="0"/>
      <w:marRight w:val="0"/>
      <w:marTop w:val="0"/>
      <w:marBottom w:val="0"/>
      <w:divBdr>
        <w:top w:val="none" w:sz="0" w:space="0" w:color="auto"/>
        <w:left w:val="none" w:sz="0" w:space="0" w:color="auto"/>
        <w:bottom w:val="none" w:sz="0" w:space="0" w:color="auto"/>
        <w:right w:val="none" w:sz="0" w:space="0" w:color="auto"/>
      </w:divBdr>
    </w:div>
    <w:div w:id="159396669">
      <w:bodyDiv w:val="1"/>
      <w:marLeft w:val="0"/>
      <w:marRight w:val="0"/>
      <w:marTop w:val="0"/>
      <w:marBottom w:val="0"/>
      <w:divBdr>
        <w:top w:val="none" w:sz="0" w:space="0" w:color="auto"/>
        <w:left w:val="none" w:sz="0" w:space="0" w:color="auto"/>
        <w:bottom w:val="none" w:sz="0" w:space="0" w:color="auto"/>
        <w:right w:val="none" w:sz="0" w:space="0" w:color="auto"/>
      </w:divBdr>
    </w:div>
    <w:div w:id="169418824">
      <w:bodyDiv w:val="1"/>
      <w:marLeft w:val="0"/>
      <w:marRight w:val="0"/>
      <w:marTop w:val="0"/>
      <w:marBottom w:val="0"/>
      <w:divBdr>
        <w:top w:val="none" w:sz="0" w:space="0" w:color="auto"/>
        <w:left w:val="none" w:sz="0" w:space="0" w:color="auto"/>
        <w:bottom w:val="none" w:sz="0" w:space="0" w:color="auto"/>
        <w:right w:val="none" w:sz="0" w:space="0" w:color="auto"/>
      </w:divBdr>
    </w:div>
    <w:div w:id="174226219">
      <w:bodyDiv w:val="1"/>
      <w:marLeft w:val="0"/>
      <w:marRight w:val="0"/>
      <w:marTop w:val="0"/>
      <w:marBottom w:val="0"/>
      <w:divBdr>
        <w:top w:val="none" w:sz="0" w:space="0" w:color="auto"/>
        <w:left w:val="none" w:sz="0" w:space="0" w:color="auto"/>
        <w:bottom w:val="none" w:sz="0" w:space="0" w:color="auto"/>
        <w:right w:val="none" w:sz="0" w:space="0" w:color="auto"/>
      </w:divBdr>
    </w:div>
    <w:div w:id="194655326">
      <w:bodyDiv w:val="1"/>
      <w:marLeft w:val="0"/>
      <w:marRight w:val="0"/>
      <w:marTop w:val="0"/>
      <w:marBottom w:val="0"/>
      <w:divBdr>
        <w:top w:val="none" w:sz="0" w:space="0" w:color="auto"/>
        <w:left w:val="none" w:sz="0" w:space="0" w:color="auto"/>
        <w:bottom w:val="none" w:sz="0" w:space="0" w:color="auto"/>
        <w:right w:val="none" w:sz="0" w:space="0" w:color="auto"/>
      </w:divBdr>
    </w:div>
    <w:div w:id="202182062">
      <w:bodyDiv w:val="1"/>
      <w:marLeft w:val="0"/>
      <w:marRight w:val="0"/>
      <w:marTop w:val="0"/>
      <w:marBottom w:val="0"/>
      <w:divBdr>
        <w:top w:val="none" w:sz="0" w:space="0" w:color="auto"/>
        <w:left w:val="none" w:sz="0" w:space="0" w:color="auto"/>
        <w:bottom w:val="none" w:sz="0" w:space="0" w:color="auto"/>
        <w:right w:val="none" w:sz="0" w:space="0" w:color="auto"/>
      </w:divBdr>
    </w:div>
    <w:div w:id="209534568">
      <w:bodyDiv w:val="1"/>
      <w:marLeft w:val="0"/>
      <w:marRight w:val="0"/>
      <w:marTop w:val="0"/>
      <w:marBottom w:val="0"/>
      <w:divBdr>
        <w:top w:val="none" w:sz="0" w:space="0" w:color="auto"/>
        <w:left w:val="none" w:sz="0" w:space="0" w:color="auto"/>
        <w:bottom w:val="none" w:sz="0" w:space="0" w:color="auto"/>
        <w:right w:val="none" w:sz="0" w:space="0" w:color="auto"/>
      </w:divBdr>
    </w:div>
    <w:div w:id="211045246">
      <w:bodyDiv w:val="1"/>
      <w:marLeft w:val="0"/>
      <w:marRight w:val="0"/>
      <w:marTop w:val="0"/>
      <w:marBottom w:val="0"/>
      <w:divBdr>
        <w:top w:val="none" w:sz="0" w:space="0" w:color="auto"/>
        <w:left w:val="none" w:sz="0" w:space="0" w:color="auto"/>
        <w:bottom w:val="none" w:sz="0" w:space="0" w:color="auto"/>
        <w:right w:val="none" w:sz="0" w:space="0" w:color="auto"/>
      </w:divBdr>
    </w:div>
    <w:div w:id="216820569">
      <w:bodyDiv w:val="1"/>
      <w:marLeft w:val="0"/>
      <w:marRight w:val="0"/>
      <w:marTop w:val="0"/>
      <w:marBottom w:val="0"/>
      <w:divBdr>
        <w:top w:val="none" w:sz="0" w:space="0" w:color="auto"/>
        <w:left w:val="none" w:sz="0" w:space="0" w:color="auto"/>
        <w:bottom w:val="none" w:sz="0" w:space="0" w:color="auto"/>
        <w:right w:val="none" w:sz="0" w:space="0" w:color="auto"/>
      </w:divBdr>
      <w:divsChild>
        <w:div w:id="162550950">
          <w:marLeft w:val="360"/>
          <w:marRight w:val="0"/>
          <w:marTop w:val="200"/>
          <w:marBottom w:val="0"/>
          <w:divBdr>
            <w:top w:val="none" w:sz="0" w:space="0" w:color="auto"/>
            <w:left w:val="none" w:sz="0" w:space="0" w:color="auto"/>
            <w:bottom w:val="none" w:sz="0" w:space="0" w:color="auto"/>
            <w:right w:val="none" w:sz="0" w:space="0" w:color="auto"/>
          </w:divBdr>
        </w:div>
        <w:div w:id="260339001">
          <w:marLeft w:val="360"/>
          <w:marRight w:val="0"/>
          <w:marTop w:val="200"/>
          <w:marBottom w:val="0"/>
          <w:divBdr>
            <w:top w:val="none" w:sz="0" w:space="0" w:color="auto"/>
            <w:left w:val="none" w:sz="0" w:space="0" w:color="auto"/>
            <w:bottom w:val="none" w:sz="0" w:space="0" w:color="auto"/>
            <w:right w:val="none" w:sz="0" w:space="0" w:color="auto"/>
          </w:divBdr>
        </w:div>
        <w:div w:id="1302883962">
          <w:marLeft w:val="360"/>
          <w:marRight w:val="0"/>
          <w:marTop w:val="200"/>
          <w:marBottom w:val="0"/>
          <w:divBdr>
            <w:top w:val="none" w:sz="0" w:space="0" w:color="auto"/>
            <w:left w:val="none" w:sz="0" w:space="0" w:color="auto"/>
            <w:bottom w:val="none" w:sz="0" w:space="0" w:color="auto"/>
            <w:right w:val="none" w:sz="0" w:space="0" w:color="auto"/>
          </w:divBdr>
        </w:div>
        <w:div w:id="1513186766">
          <w:marLeft w:val="360"/>
          <w:marRight w:val="0"/>
          <w:marTop w:val="200"/>
          <w:marBottom w:val="0"/>
          <w:divBdr>
            <w:top w:val="none" w:sz="0" w:space="0" w:color="auto"/>
            <w:left w:val="none" w:sz="0" w:space="0" w:color="auto"/>
            <w:bottom w:val="none" w:sz="0" w:space="0" w:color="auto"/>
            <w:right w:val="none" w:sz="0" w:space="0" w:color="auto"/>
          </w:divBdr>
        </w:div>
      </w:divsChild>
    </w:div>
    <w:div w:id="219900295">
      <w:bodyDiv w:val="1"/>
      <w:marLeft w:val="0"/>
      <w:marRight w:val="0"/>
      <w:marTop w:val="0"/>
      <w:marBottom w:val="0"/>
      <w:divBdr>
        <w:top w:val="none" w:sz="0" w:space="0" w:color="auto"/>
        <w:left w:val="none" w:sz="0" w:space="0" w:color="auto"/>
        <w:bottom w:val="none" w:sz="0" w:space="0" w:color="auto"/>
        <w:right w:val="none" w:sz="0" w:space="0" w:color="auto"/>
      </w:divBdr>
      <w:divsChild>
        <w:div w:id="945888978">
          <w:marLeft w:val="562"/>
          <w:marRight w:val="0"/>
          <w:marTop w:val="115"/>
          <w:marBottom w:val="0"/>
          <w:divBdr>
            <w:top w:val="none" w:sz="0" w:space="0" w:color="auto"/>
            <w:left w:val="none" w:sz="0" w:space="0" w:color="auto"/>
            <w:bottom w:val="none" w:sz="0" w:space="0" w:color="auto"/>
            <w:right w:val="none" w:sz="0" w:space="0" w:color="auto"/>
          </w:divBdr>
        </w:div>
        <w:div w:id="1034044168">
          <w:marLeft w:val="720"/>
          <w:marRight w:val="0"/>
          <w:marTop w:val="96"/>
          <w:marBottom w:val="0"/>
          <w:divBdr>
            <w:top w:val="none" w:sz="0" w:space="0" w:color="auto"/>
            <w:left w:val="none" w:sz="0" w:space="0" w:color="auto"/>
            <w:bottom w:val="none" w:sz="0" w:space="0" w:color="auto"/>
            <w:right w:val="none" w:sz="0" w:space="0" w:color="auto"/>
          </w:divBdr>
        </w:div>
        <w:div w:id="1339383819">
          <w:marLeft w:val="720"/>
          <w:marRight w:val="0"/>
          <w:marTop w:val="96"/>
          <w:marBottom w:val="0"/>
          <w:divBdr>
            <w:top w:val="none" w:sz="0" w:space="0" w:color="auto"/>
            <w:left w:val="none" w:sz="0" w:space="0" w:color="auto"/>
            <w:bottom w:val="none" w:sz="0" w:space="0" w:color="auto"/>
            <w:right w:val="none" w:sz="0" w:space="0" w:color="auto"/>
          </w:divBdr>
        </w:div>
        <w:div w:id="1475298663">
          <w:marLeft w:val="720"/>
          <w:marRight w:val="0"/>
          <w:marTop w:val="96"/>
          <w:marBottom w:val="0"/>
          <w:divBdr>
            <w:top w:val="none" w:sz="0" w:space="0" w:color="auto"/>
            <w:left w:val="none" w:sz="0" w:space="0" w:color="auto"/>
            <w:bottom w:val="none" w:sz="0" w:space="0" w:color="auto"/>
            <w:right w:val="none" w:sz="0" w:space="0" w:color="auto"/>
          </w:divBdr>
        </w:div>
        <w:div w:id="1823882880">
          <w:marLeft w:val="720"/>
          <w:marRight w:val="0"/>
          <w:marTop w:val="96"/>
          <w:marBottom w:val="0"/>
          <w:divBdr>
            <w:top w:val="none" w:sz="0" w:space="0" w:color="auto"/>
            <w:left w:val="none" w:sz="0" w:space="0" w:color="auto"/>
            <w:bottom w:val="none" w:sz="0" w:space="0" w:color="auto"/>
            <w:right w:val="none" w:sz="0" w:space="0" w:color="auto"/>
          </w:divBdr>
        </w:div>
      </w:divsChild>
    </w:div>
    <w:div w:id="230582220">
      <w:bodyDiv w:val="1"/>
      <w:marLeft w:val="0"/>
      <w:marRight w:val="0"/>
      <w:marTop w:val="0"/>
      <w:marBottom w:val="0"/>
      <w:divBdr>
        <w:top w:val="none" w:sz="0" w:space="0" w:color="auto"/>
        <w:left w:val="none" w:sz="0" w:space="0" w:color="auto"/>
        <w:bottom w:val="none" w:sz="0" w:space="0" w:color="auto"/>
        <w:right w:val="none" w:sz="0" w:space="0" w:color="auto"/>
      </w:divBdr>
      <w:divsChild>
        <w:div w:id="980156743">
          <w:marLeft w:val="720"/>
          <w:marRight w:val="0"/>
          <w:marTop w:val="96"/>
          <w:marBottom w:val="0"/>
          <w:divBdr>
            <w:top w:val="none" w:sz="0" w:space="0" w:color="auto"/>
            <w:left w:val="none" w:sz="0" w:space="0" w:color="auto"/>
            <w:bottom w:val="none" w:sz="0" w:space="0" w:color="auto"/>
            <w:right w:val="none" w:sz="0" w:space="0" w:color="auto"/>
          </w:divBdr>
        </w:div>
        <w:div w:id="1910113817">
          <w:marLeft w:val="720"/>
          <w:marRight w:val="0"/>
          <w:marTop w:val="96"/>
          <w:marBottom w:val="0"/>
          <w:divBdr>
            <w:top w:val="none" w:sz="0" w:space="0" w:color="auto"/>
            <w:left w:val="none" w:sz="0" w:space="0" w:color="auto"/>
            <w:bottom w:val="none" w:sz="0" w:space="0" w:color="auto"/>
            <w:right w:val="none" w:sz="0" w:space="0" w:color="auto"/>
          </w:divBdr>
        </w:div>
        <w:div w:id="2136478871">
          <w:marLeft w:val="562"/>
          <w:marRight w:val="0"/>
          <w:marTop w:val="115"/>
          <w:marBottom w:val="0"/>
          <w:divBdr>
            <w:top w:val="none" w:sz="0" w:space="0" w:color="auto"/>
            <w:left w:val="none" w:sz="0" w:space="0" w:color="auto"/>
            <w:bottom w:val="none" w:sz="0" w:space="0" w:color="auto"/>
            <w:right w:val="none" w:sz="0" w:space="0" w:color="auto"/>
          </w:divBdr>
        </w:div>
      </w:divsChild>
    </w:div>
    <w:div w:id="238373353">
      <w:bodyDiv w:val="1"/>
      <w:marLeft w:val="0"/>
      <w:marRight w:val="0"/>
      <w:marTop w:val="0"/>
      <w:marBottom w:val="0"/>
      <w:divBdr>
        <w:top w:val="none" w:sz="0" w:space="0" w:color="auto"/>
        <w:left w:val="none" w:sz="0" w:space="0" w:color="auto"/>
        <w:bottom w:val="none" w:sz="0" w:space="0" w:color="auto"/>
        <w:right w:val="none" w:sz="0" w:space="0" w:color="auto"/>
      </w:divBdr>
    </w:div>
    <w:div w:id="267735117">
      <w:bodyDiv w:val="1"/>
      <w:marLeft w:val="0"/>
      <w:marRight w:val="0"/>
      <w:marTop w:val="0"/>
      <w:marBottom w:val="0"/>
      <w:divBdr>
        <w:top w:val="none" w:sz="0" w:space="0" w:color="auto"/>
        <w:left w:val="none" w:sz="0" w:space="0" w:color="auto"/>
        <w:bottom w:val="none" w:sz="0" w:space="0" w:color="auto"/>
        <w:right w:val="none" w:sz="0" w:space="0" w:color="auto"/>
      </w:divBdr>
    </w:div>
    <w:div w:id="276832110">
      <w:bodyDiv w:val="1"/>
      <w:marLeft w:val="0"/>
      <w:marRight w:val="0"/>
      <w:marTop w:val="0"/>
      <w:marBottom w:val="0"/>
      <w:divBdr>
        <w:top w:val="none" w:sz="0" w:space="0" w:color="auto"/>
        <w:left w:val="none" w:sz="0" w:space="0" w:color="auto"/>
        <w:bottom w:val="none" w:sz="0" w:space="0" w:color="auto"/>
        <w:right w:val="none" w:sz="0" w:space="0" w:color="auto"/>
      </w:divBdr>
    </w:div>
    <w:div w:id="278267974">
      <w:bodyDiv w:val="1"/>
      <w:marLeft w:val="0"/>
      <w:marRight w:val="0"/>
      <w:marTop w:val="0"/>
      <w:marBottom w:val="0"/>
      <w:divBdr>
        <w:top w:val="none" w:sz="0" w:space="0" w:color="auto"/>
        <w:left w:val="none" w:sz="0" w:space="0" w:color="auto"/>
        <w:bottom w:val="none" w:sz="0" w:space="0" w:color="auto"/>
        <w:right w:val="none" w:sz="0" w:space="0" w:color="auto"/>
      </w:divBdr>
      <w:divsChild>
        <w:div w:id="729380569">
          <w:marLeft w:val="720"/>
          <w:marRight w:val="0"/>
          <w:marTop w:val="96"/>
          <w:marBottom w:val="0"/>
          <w:divBdr>
            <w:top w:val="none" w:sz="0" w:space="0" w:color="auto"/>
            <w:left w:val="none" w:sz="0" w:space="0" w:color="auto"/>
            <w:bottom w:val="none" w:sz="0" w:space="0" w:color="auto"/>
            <w:right w:val="none" w:sz="0" w:space="0" w:color="auto"/>
          </w:divBdr>
        </w:div>
        <w:div w:id="1092241693">
          <w:marLeft w:val="562"/>
          <w:marRight w:val="0"/>
          <w:marTop w:val="115"/>
          <w:marBottom w:val="0"/>
          <w:divBdr>
            <w:top w:val="none" w:sz="0" w:space="0" w:color="auto"/>
            <w:left w:val="none" w:sz="0" w:space="0" w:color="auto"/>
            <w:bottom w:val="none" w:sz="0" w:space="0" w:color="auto"/>
            <w:right w:val="none" w:sz="0" w:space="0" w:color="auto"/>
          </w:divBdr>
        </w:div>
        <w:div w:id="2024090697">
          <w:marLeft w:val="720"/>
          <w:marRight w:val="0"/>
          <w:marTop w:val="96"/>
          <w:marBottom w:val="0"/>
          <w:divBdr>
            <w:top w:val="none" w:sz="0" w:space="0" w:color="auto"/>
            <w:left w:val="none" w:sz="0" w:space="0" w:color="auto"/>
            <w:bottom w:val="none" w:sz="0" w:space="0" w:color="auto"/>
            <w:right w:val="none" w:sz="0" w:space="0" w:color="auto"/>
          </w:divBdr>
        </w:div>
        <w:div w:id="2138378501">
          <w:marLeft w:val="562"/>
          <w:marRight w:val="0"/>
          <w:marTop w:val="115"/>
          <w:marBottom w:val="0"/>
          <w:divBdr>
            <w:top w:val="none" w:sz="0" w:space="0" w:color="auto"/>
            <w:left w:val="none" w:sz="0" w:space="0" w:color="auto"/>
            <w:bottom w:val="none" w:sz="0" w:space="0" w:color="auto"/>
            <w:right w:val="none" w:sz="0" w:space="0" w:color="auto"/>
          </w:divBdr>
        </w:div>
      </w:divsChild>
    </w:div>
    <w:div w:id="283928200">
      <w:bodyDiv w:val="1"/>
      <w:marLeft w:val="0"/>
      <w:marRight w:val="0"/>
      <w:marTop w:val="0"/>
      <w:marBottom w:val="0"/>
      <w:divBdr>
        <w:top w:val="none" w:sz="0" w:space="0" w:color="auto"/>
        <w:left w:val="none" w:sz="0" w:space="0" w:color="auto"/>
        <w:bottom w:val="none" w:sz="0" w:space="0" w:color="auto"/>
        <w:right w:val="none" w:sz="0" w:space="0" w:color="auto"/>
      </w:divBdr>
    </w:div>
    <w:div w:id="297420112">
      <w:bodyDiv w:val="1"/>
      <w:marLeft w:val="0"/>
      <w:marRight w:val="0"/>
      <w:marTop w:val="0"/>
      <w:marBottom w:val="0"/>
      <w:divBdr>
        <w:top w:val="none" w:sz="0" w:space="0" w:color="auto"/>
        <w:left w:val="none" w:sz="0" w:space="0" w:color="auto"/>
        <w:bottom w:val="none" w:sz="0" w:space="0" w:color="auto"/>
        <w:right w:val="none" w:sz="0" w:space="0" w:color="auto"/>
      </w:divBdr>
    </w:div>
    <w:div w:id="302270282">
      <w:bodyDiv w:val="1"/>
      <w:marLeft w:val="0"/>
      <w:marRight w:val="0"/>
      <w:marTop w:val="0"/>
      <w:marBottom w:val="0"/>
      <w:divBdr>
        <w:top w:val="none" w:sz="0" w:space="0" w:color="auto"/>
        <w:left w:val="none" w:sz="0" w:space="0" w:color="auto"/>
        <w:bottom w:val="none" w:sz="0" w:space="0" w:color="auto"/>
        <w:right w:val="none" w:sz="0" w:space="0" w:color="auto"/>
      </w:divBdr>
    </w:div>
    <w:div w:id="303585202">
      <w:bodyDiv w:val="1"/>
      <w:marLeft w:val="0"/>
      <w:marRight w:val="0"/>
      <w:marTop w:val="0"/>
      <w:marBottom w:val="0"/>
      <w:divBdr>
        <w:top w:val="none" w:sz="0" w:space="0" w:color="auto"/>
        <w:left w:val="none" w:sz="0" w:space="0" w:color="auto"/>
        <w:bottom w:val="none" w:sz="0" w:space="0" w:color="auto"/>
        <w:right w:val="none" w:sz="0" w:space="0" w:color="auto"/>
      </w:divBdr>
      <w:divsChild>
        <w:div w:id="611209480">
          <w:marLeft w:val="720"/>
          <w:marRight w:val="0"/>
          <w:marTop w:val="96"/>
          <w:marBottom w:val="0"/>
          <w:divBdr>
            <w:top w:val="none" w:sz="0" w:space="0" w:color="auto"/>
            <w:left w:val="none" w:sz="0" w:space="0" w:color="auto"/>
            <w:bottom w:val="none" w:sz="0" w:space="0" w:color="auto"/>
            <w:right w:val="none" w:sz="0" w:space="0" w:color="auto"/>
          </w:divBdr>
        </w:div>
        <w:div w:id="1663125231">
          <w:marLeft w:val="720"/>
          <w:marRight w:val="0"/>
          <w:marTop w:val="96"/>
          <w:marBottom w:val="0"/>
          <w:divBdr>
            <w:top w:val="none" w:sz="0" w:space="0" w:color="auto"/>
            <w:left w:val="none" w:sz="0" w:space="0" w:color="auto"/>
            <w:bottom w:val="none" w:sz="0" w:space="0" w:color="auto"/>
            <w:right w:val="none" w:sz="0" w:space="0" w:color="auto"/>
          </w:divBdr>
        </w:div>
        <w:div w:id="443575077">
          <w:marLeft w:val="720"/>
          <w:marRight w:val="0"/>
          <w:marTop w:val="96"/>
          <w:marBottom w:val="0"/>
          <w:divBdr>
            <w:top w:val="none" w:sz="0" w:space="0" w:color="auto"/>
            <w:left w:val="none" w:sz="0" w:space="0" w:color="auto"/>
            <w:bottom w:val="none" w:sz="0" w:space="0" w:color="auto"/>
            <w:right w:val="none" w:sz="0" w:space="0" w:color="auto"/>
          </w:divBdr>
        </w:div>
        <w:div w:id="1633369143">
          <w:marLeft w:val="720"/>
          <w:marRight w:val="0"/>
          <w:marTop w:val="96"/>
          <w:marBottom w:val="0"/>
          <w:divBdr>
            <w:top w:val="none" w:sz="0" w:space="0" w:color="auto"/>
            <w:left w:val="none" w:sz="0" w:space="0" w:color="auto"/>
            <w:bottom w:val="none" w:sz="0" w:space="0" w:color="auto"/>
            <w:right w:val="none" w:sz="0" w:space="0" w:color="auto"/>
          </w:divBdr>
        </w:div>
      </w:divsChild>
    </w:div>
    <w:div w:id="307322508">
      <w:bodyDiv w:val="1"/>
      <w:marLeft w:val="0"/>
      <w:marRight w:val="0"/>
      <w:marTop w:val="0"/>
      <w:marBottom w:val="0"/>
      <w:divBdr>
        <w:top w:val="none" w:sz="0" w:space="0" w:color="auto"/>
        <w:left w:val="none" w:sz="0" w:space="0" w:color="auto"/>
        <w:bottom w:val="none" w:sz="0" w:space="0" w:color="auto"/>
        <w:right w:val="none" w:sz="0" w:space="0" w:color="auto"/>
      </w:divBdr>
    </w:div>
    <w:div w:id="313489277">
      <w:bodyDiv w:val="1"/>
      <w:marLeft w:val="0"/>
      <w:marRight w:val="0"/>
      <w:marTop w:val="0"/>
      <w:marBottom w:val="0"/>
      <w:divBdr>
        <w:top w:val="none" w:sz="0" w:space="0" w:color="auto"/>
        <w:left w:val="none" w:sz="0" w:space="0" w:color="auto"/>
        <w:bottom w:val="none" w:sz="0" w:space="0" w:color="auto"/>
        <w:right w:val="none" w:sz="0" w:space="0" w:color="auto"/>
      </w:divBdr>
      <w:divsChild>
        <w:div w:id="23869930">
          <w:marLeft w:val="0"/>
          <w:marRight w:val="0"/>
          <w:marTop w:val="0"/>
          <w:marBottom w:val="0"/>
          <w:divBdr>
            <w:top w:val="none" w:sz="0" w:space="0" w:color="auto"/>
            <w:left w:val="none" w:sz="0" w:space="0" w:color="auto"/>
            <w:bottom w:val="none" w:sz="0" w:space="0" w:color="auto"/>
            <w:right w:val="none" w:sz="0" w:space="0" w:color="auto"/>
          </w:divBdr>
        </w:div>
        <w:div w:id="92095553">
          <w:marLeft w:val="0"/>
          <w:marRight w:val="0"/>
          <w:marTop w:val="0"/>
          <w:marBottom w:val="0"/>
          <w:divBdr>
            <w:top w:val="none" w:sz="0" w:space="0" w:color="auto"/>
            <w:left w:val="none" w:sz="0" w:space="0" w:color="auto"/>
            <w:bottom w:val="none" w:sz="0" w:space="0" w:color="auto"/>
            <w:right w:val="none" w:sz="0" w:space="0" w:color="auto"/>
          </w:divBdr>
        </w:div>
        <w:div w:id="147745124">
          <w:marLeft w:val="0"/>
          <w:marRight w:val="0"/>
          <w:marTop w:val="0"/>
          <w:marBottom w:val="0"/>
          <w:divBdr>
            <w:top w:val="none" w:sz="0" w:space="0" w:color="auto"/>
            <w:left w:val="none" w:sz="0" w:space="0" w:color="auto"/>
            <w:bottom w:val="none" w:sz="0" w:space="0" w:color="auto"/>
            <w:right w:val="none" w:sz="0" w:space="0" w:color="auto"/>
          </w:divBdr>
        </w:div>
        <w:div w:id="300885476">
          <w:marLeft w:val="0"/>
          <w:marRight w:val="0"/>
          <w:marTop w:val="0"/>
          <w:marBottom w:val="0"/>
          <w:divBdr>
            <w:top w:val="none" w:sz="0" w:space="0" w:color="auto"/>
            <w:left w:val="none" w:sz="0" w:space="0" w:color="auto"/>
            <w:bottom w:val="none" w:sz="0" w:space="0" w:color="auto"/>
            <w:right w:val="none" w:sz="0" w:space="0" w:color="auto"/>
          </w:divBdr>
        </w:div>
        <w:div w:id="373894299">
          <w:marLeft w:val="0"/>
          <w:marRight w:val="0"/>
          <w:marTop w:val="0"/>
          <w:marBottom w:val="0"/>
          <w:divBdr>
            <w:top w:val="none" w:sz="0" w:space="0" w:color="auto"/>
            <w:left w:val="none" w:sz="0" w:space="0" w:color="auto"/>
            <w:bottom w:val="none" w:sz="0" w:space="0" w:color="auto"/>
            <w:right w:val="none" w:sz="0" w:space="0" w:color="auto"/>
          </w:divBdr>
        </w:div>
        <w:div w:id="385418871">
          <w:marLeft w:val="0"/>
          <w:marRight w:val="0"/>
          <w:marTop w:val="0"/>
          <w:marBottom w:val="0"/>
          <w:divBdr>
            <w:top w:val="none" w:sz="0" w:space="0" w:color="auto"/>
            <w:left w:val="none" w:sz="0" w:space="0" w:color="auto"/>
            <w:bottom w:val="none" w:sz="0" w:space="0" w:color="auto"/>
            <w:right w:val="none" w:sz="0" w:space="0" w:color="auto"/>
          </w:divBdr>
        </w:div>
        <w:div w:id="392967435">
          <w:marLeft w:val="0"/>
          <w:marRight w:val="0"/>
          <w:marTop w:val="0"/>
          <w:marBottom w:val="0"/>
          <w:divBdr>
            <w:top w:val="none" w:sz="0" w:space="0" w:color="auto"/>
            <w:left w:val="none" w:sz="0" w:space="0" w:color="auto"/>
            <w:bottom w:val="none" w:sz="0" w:space="0" w:color="auto"/>
            <w:right w:val="none" w:sz="0" w:space="0" w:color="auto"/>
          </w:divBdr>
        </w:div>
        <w:div w:id="398672689">
          <w:marLeft w:val="0"/>
          <w:marRight w:val="0"/>
          <w:marTop w:val="0"/>
          <w:marBottom w:val="0"/>
          <w:divBdr>
            <w:top w:val="none" w:sz="0" w:space="0" w:color="auto"/>
            <w:left w:val="none" w:sz="0" w:space="0" w:color="auto"/>
            <w:bottom w:val="none" w:sz="0" w:space="0" w:color="auto"/>
            <w:right w:val="none" w:sz="0" w:space="0" w:color="auto"/>
          </w:divBdr>
        </w:div>
        <w:div w:id="406542035">
          <w:marLeft w:val="0"/>
          <w:marRight w:val="0"/>
          <w:marTop w:val="0"/>
          <w:marBottom w:val="0"/>
          <w:divBdr>
            <w:top w:val="none" w:sz="0" w:space="0" w:color="auto"/>
            <w:left w:val="none" w:sz="0" w:space="0" w:color="auto"/>
            <w:bottom w:val="none" w:sz="0" w:space="0" w:color="auto"/>
            <w:right w:val="none" w:sz="0" w:space="0" w:color="auto"/>
          </w:divBdr>
        </w:div>
        <w:div w:id="422149334">
          <w:marLeft w:val="0"/>
          <w:marRight w:val="0"/>
          <w:marTop w:val="0"/>
          <w:marBottom w:val="0"/>
          <w:divBdr>
            <w:top w:val="none" w:sz="0" w:space="0" w:color="auto"/>
            <w:left w:val="none" w:sz="0" w:space="0" w:color="auto"/>
            <w:bottom w:val="none" w:sz="0" w:space="0" w:color="auto"/>
            <w:right w:val="none" w:sz="0" w:space="0" w:color="auto"/>
          </w:divBdr>
        </w:div>
        <w:div w:id="455300824">
          <w:marLeft w:val="0"/>
          <w:marRight w:val="0"/>
          <w:marTop w:val="0"/>
          <w:marBottom w:val="0"/>
          <w:divBdr>
            <w:top w:val="none" w:sz="0" w:space="0" w:color="auto"/>
            <w:left w:val="none" w:sz="0" w:space="0" w:color="auto"/>
            <w:bottom w:val="none" w:sz="0" w:space="0" w:color="auto"/>
            <w:right w:val="none" w:sz="0" w:space="0" w:color="auto"/>
          </w:divBdr>
        </w:div>
        <w:div w:id="469128610">
          <w:marLeft w:val="0"/>
          <w:marRight w:val="0"/>
          <w:marTop w:val="0"/>
          <w:marBottom w:val="0"/>
          <w:divBdr>
            <w:top w:val="none" w:sz="0" w:space="0" w:color="auto"/>
            <w:left w:val="none" w:sz="0" w:space="0" w:color="auto"/>
            <w:bottom w:val="none" w:sz="0" w:space="0" w:color="auto"/>
            <w:right w:val="none" w:sz="0" w:space="0" w:color="auto"/>
          </w:divBdr>
        </w:div>
        <w:div w:id="514929867">
          <w:marLeft w:val="0"/>
          <w:marRight w:val="0"/>
          <w:marTop w:val="0"/>
          <w:marBottom w:val="0"/>
          <w:divBdr>
            <w:top w:val="none" w:sz="0" w:space="0" w:color="auto"/>
            <w:left w:val="none" w:sz="0" w:space="0" w:color="auto"/>
            <w:bottom w:val="none" w:sz="0" w:space="0" w:color="auto"/>
            <w:right w:val="none" w:sz="0" w:space="0" w:color="auto"/>
          </w:divBdr>
        </w:div>
        <w:div w:id="523401325">
          <w:marLeft w:val="0"/>
          <w:marRight w:val="0"/>
          <w:marTop w:val="0"/>
          <w:marBottom w:val="0"/>
          <w:divBdr>
            <w:top w:val="none" w:sz="0" w:space="0" w:color="auto"/>
            <w:left w:val="none" w:sz="0" w:space="0" w:color="auto"/>
            <w:bottom w:val="none" w:sz="0" w:space="0" w:color="auto"/>
            <w:right w:val="none" w:sz="0" w:space="0" w:color="auto"/>
          </w:divBdr>
        </w:div>
        <w:div w:id="716318323">
          <w:marLeft w:val="0"/>
          <w:marRight w:val="0"/>
          <w:marTop w:val="0"/>
          <w:marBottom w:val="0"/>
          <w:divBdr>
            <w:top w:val="none" w:sz="0" w:space="0" w:color="auto"/>
            <w:left w:val="none" w:sz="0" w:space="0" w:color="auto"/>
            <w:bottom w:val="none" w:sz="0" w:space="0" w:color="auto"/>
            <w:right w:val="none" w:sz="0" w:space="0" w:color="auto"/>
          </w:divBdr>
        </w:div>
        <w:div w:id="768819910">
          <w:marLeft w:val="0"/>
          <w:marRight w:val="0"/>
          <w:marTop w:val="0"/>
          <w:marBottom w:val="0"/>
          <w:divBdr>
            <w:top w:val="none" w:sz="0" w:space="0" w:color="auto"/>
            <w:left w:val="none" w:sz="0" w:space="0" w:color="auto"/>
            <w:bottom w:val="none" w:sz="0" w:space="0" w:color="auto"/>
            <w:right w:val="none" w:sz="0" w:space="0" w:color="auto"/>
          </w:divBdr>
        </w:div>
        <w:div w:id="911233874">
          <w:marLeft w:val="0"/>
          <w:marRight w:val="0"/>
          <w:marTop w:val="0"/>
          <w:marBottom w:val="0"/>
          <w:divBdr>
            <w:top w:val="none" w:sz="0" w:space="0" w:color="auto"/>
            <w:left w:val="none" w:sz="0" w:space="0" w:color="auto"/>
            <w:bottom w:val="none" w:sz="0" w:space="0" w:color="auto"/>
            <w:right w:val="none" w:sz="0" w:space="0" w:color="auto"/>
          </w:divBdr>
        </w:div>
        <w:div w:id="919605377">
          <w:marLeft w:val="0"/>
          <w:marRight w:val="0"/>
          <w:marTop w:val="0"/>
          <w:marBottom w:val="0"/>
          <w:divBdr>
            <w:top w:val="none" w:sz="0" w:space="0" w:color="auto"/>
            <w:left w:val="none" w:sz="0" w:space="0" w:color="auto"/>
            <w:bottom w:val="none" w:sz="0" w:space="0" w:color="auto"/>
            <w:right w:val="none" w:sz="0" w:space="0" w:color="auto"/>
          </w:divBdr>
        </w:div>
        <w:div w:id="935791605">
          <w:marLeft w:val="0"/>
          <w:marRight w:val="0"/>
          <w:marTop w:val="0"/>
          <w:marBottom w:val="0"/>
          <w:divBdr>
            <w:top w:val="none" w:sz="0" w:space="0" w:color="auto"/>
            <w:left w:val="none" w:sz="0" w:space="0" w:color="auto"/>
            <w:bottom w:val="none" w:sz="0" w:space="0" w:color="auto"/>
            <w:right w:val="none" w:sz="0" w:space="0" w:color="auto"/>
          </w:divBdr>
        </w:div>
        <w:div w:id="977302350">
          <w:marLeft w:val="0"/>
          <w:marRight w:val="0"/>
          <w:marTop w:val="0"/>
          <w:marBottom w:val="0"/>
          <w:divBdr>
            <w:top w:val="none" w:sz="0" w:space="0" w:color="auto"/>
            <w:left w:val="none" w:sz="0" w:space="0" w:color="auto"/>
            <w:bottom w:val="none" w:sz="0" w:space="0" w:color="auto"/>
            <w:right w:val="none" w:sz="0" w:space="0" w:color="auto"/>
          </w:divBdr>
        </w:div>
        <w:div w:id="1015501058">
          <w:marLeft w:val="0"/>
          <w:marRight w:val="0"/>
          <w:marTop w:val="0"/>
          <w:marBottom w:val="0"/>
          <w:divBdr>
            <w:top w:val="none" w:sz="0" w:space="0" w:color="auto"/>
            <w:left w:val="none" w:sz="0" w:space="0" w:color="auto"/>
            <w:bottom w:val="none" w:sz="0" w:space="0" w:color="auto"/>
            <w:right w:val="none" w:sz="0" w:space="0" w:color="auto"/>
          </w:divBdr>
        </w:div>
        <w:div w:id="1088767254">
          <w:marLeft w:val="0"/>
          <w:marRight w:val="0"/>
          <w:marTop w:val="0"/>
          <w:marBottom w:val="0"/>
          <w:divBdr>
            <w:top w:val="none" w:sz="0" w:space="0" w:color="auto"/>
            <w:left w:val="none" w:sz="0" w:space="0" w:color="auto"/>
            <w:bottom w:val="none" w:sz="0" w:space="0" w:color="auto"/>
            <w:right w:val="none" w:sz="0" w:space="0" w:color="auto"/>
          </w:divBdr>
        </w:div>
        <w:div w:id="1096291008">
          <w:marLeft w:val="0"/>
          <w:marRight w:val="0"/>
          <w:marTop w:val="0"/>
          <w:marBottom w:val="0"/>
          <w:divBdr>
            <w:top w:val="none" w:sz="0" w:space="0" w:color="auto"/>
            <w:left w:val="none" w:sz="0" w:space="0" w:color="auto"/>
            <w:bottom w:val="none" w:sz="0" w:space="0" w:color="auto"/>
            <w:right w:val="none" w:sz="0" w:space="0" w:color="auto"/>
          </w:divBdr>
        </w:div>
        <w:div w:id="1228996952">
          <w:marLeft w:val="0"/>
          <w:marRight w:val="0"/>
          <w:marTop w:val="0"/>
          <w:marBottom w:val="0"/>
          <w:divBdr>
            <w:top w:val="none" w:sz="0" w:space="0" w:color="auto"/>
            <w:left w:val="none" w:sz="0" w:space="0" w:color="auto"/>
            <w:bottom w:val="none" w:sz="0" w:space="0" w:color="auto"/>
            <w:right w:val="none" w:sz="0" w:space="0" w:color="auto"/>
          </w:divBdr>
        </w:div>
        <w:div w:id="1288243757">
          <w:marLeft w:val="0"/>
          <w:marRight w:val="0"/>
          <w:marTop w:val="0"/>
          <w:marBottom w:val="0"/>
          <w:divBdr>
            <w:top w:val="none" w:sz="0" w:space="0" w:color="auto"/>
            <w:left w:val="none" w:sz="0" w:space="0" w:color="auto"/>
            <w:bottom w:val="none" w:sz="0" w:space="0" w:color="auto"/>
            <w:right w:val="none" w:sz="0" w:space="0" w:color="auto"/>
          </w:divBdr>
        </w:div>
        <w:div w:id="1628584094">
          <w:marLeft w:val="0"/>
          <w:marRight w:val="0"/>
          <w:marTop w:val="0"/>
          <w:marBottom w:val="0"/>
          <w:divBdr>
            <w:top w:val="none" w:sz="0" w:space="0" w:color="auto"/>
            <w:left w:val="none" w:sz="0" w:space="0" w:color="auto"/>
            <w:bottom w:val="none" w:sz="0" w:space="0" w:color="auto"/>
            <w:right w:val="none" w:sz="0" w:space="0" w:color="auto"/>
          </w:divBdr>
        </w:div>
        <w:div w:id="1702709312">
          <w:marLeft w:val="0"/>
          <w:marRight w:val="0"/>
          <w:marTop w:val="0"/>
          <w:marBottom w:val="0"/>
          <w:divBdr>
            <w:top w:val="none" w:sz="0" w:space="0" w:color="auto"/>
            <w:left w:val="none" w:sz="0" w:space="0" w:color="auto"/>
            <w:bottom w:val="none" w:sz="0" w:space="0" w:color="auto"/>
            <w:right w:val="none" w:sz="0" w:space="0" w:color="auto"/>
          </w:divBdr>
        </w:div>
        <w:div w:id="1734503720">
          <w:marLeft w:val="0"/>
          <w:marRight w:val="0"/>
          <w:marTop w:val="0"/>
          <w:marBottom w:val="0"/>
          <w:divBdr>
            <w:top w:val="none" w:sz="0" w:space="0" w:color="auto"/>
            <w:left w:val="none" w:sz="0" w:space="0" w:color="auto"/>
            <w:bottom w:val="none" w:sz="0" w:space="0" w:color="auto"/>
            <w:right w:val="none" w:sz="0" w:space="0" w:color="auto"/>
          </w:divBdr>
        </w:div>
        <w:div w:id="1828011640">
          <w:marLeft w:val="0"/>
          <w:marRight w:val="0"/>
          <w:marTop w:val="0"/>
          <w:marBottom w:val="0"/>
          <w:divBdr>
            <w:top w:val="none" w:sz="0" w:space="0" w:color="auto"/>
            <w:left w:val="none" w:sz="0" w:space="0" w:color="auto"/>
            <w:bottom w:val="none" w:sz="0" w:space="0" w:color="auto"/>
            <w:right w:val="none" w:sz="0" w:space="0" w:color="auto"/>
          </w:divBdr>
        </w:div>
        <w:div w:id="1892182631">
          <w:marLeft w:val="0"/>
          <w:marRight w:val="0"/>
          <w:marTop w:val="0"/>
          <w:marBottom w:val="0"/>
          <w:divBdr>
            <w:top w:val="none" w:sz="0" w:space="0" w:color="auto"/>
            <w:left w:val="none" w:sz="0" w:space="0" w:color="auto"/>
            <w:bottom w:val="none" w:sz="0" w:space="0" w:color="auto"/>
            <w:right w:val="none" w:sz="0" w:space="0" w:color="auto"/>
          </w:divBdr>
        </w:div>
        <w:div w:id="1948460192">
          <w:marLeft w:val="0"/>
          <w:marRight w:val="0"/>
          <w:marTop w:val="0"/>
          <w:marBottom w:val="0"/>
          <w:divBdr>
            <w:top w:val="none" w:sz="0" w:space="0" w:color="auto"/>
            <w:left w:val="none" w:sz="0" w:space="0" w:color="auto"/>
            <w:bottom w:val="none" w:sz="0" w:space="0" w:color="auto"/>
            <w:right w:val="none" w:sz="0" w:space="0" w:color="auto"/>
          </w:divBdr>
        </w:div>
        <w:div w:id="1997106040">
          <w:marLeft w:val="0"/>
          <w:marRight w:val="0"/>
          <w:marTop w:val="0"/>
          <w:marBottom w:val="0"/>
          <w:divBdr>
            <w:top w:val="none" w:sz="0" w:space="0" w:color="auto"/>
            <w:left w:val="none" w:sz="0" w:space="0" w:color="auto"/>
            <w:bottom w:val="none" w:sz="0" w:space="0" w:color="auto"/>
            <w:right w:val="none" w:sz="0" w:space="0" w:color="auto"/>
          </w:divBdr>
        </w:div>
      </w:divsChild>
    </w:div>
    <w:div w:id="314652960">
      <w:bodyDiv w:val="1"/>
      <w:marLeft w:val="0"/>
      <w:marRight w:val="0"/>
      <w:marTop w:val="0"/>
      <w:marBottom w:val="0"/>
      <w:divBdr>
        <w:top w:val="none" w:sz="0" w:space="0" w:color="auto"/>
        <w:left w:val="none" w:sz="0" w:space="0" w:color="auto"/>
        <w:bottom w:val="none" w:sz="0" w:space="0" w:color="auto"/>
        <w:right w:val="none" w:sz="0" w:space="0" w:color="auto"/>
      </w:divBdr>
    </w:div>
    <w:div w:id="330105835">
      <w:bodyDiv w:val="1"/>
      <w:marLeft w:val="0"/>
      <w:marRight w:val="0"/>
      <w:marTop w:val="0"/>
      <w:marBottom w:val="0"/>
      <w:divBdr>
        <w:top w:val="none" w:sz="0" w:space="0" w:color="auto"/>
        <w:left w:val="none" w:sz="0" w:space="0" w:color="auto"/>
        <w:bottom w:val="none" w:sz="0" w:space="0" w:color="auto"/>
        <w:right w:val="none" w:sz="0" w:space="0" w:color="auto"/>
      </w:divBdr>
    </w:div>
    <w:div w:id="345594074">
      <w:bodyDiv w:val="1"/>
      <w:marLeft w:val="0"/>
      <w:marRight w:val="0"/>
      <w:marTop w:val="0"/>
      <w:marBottom w:val="0"/>
      <w:divBdr>
        <w:top w:val="none" w:sz="0" w:space="0" w:color="auto"/>
        <w:left w:val="none" w:sz="0" w:space="0" w:color="auto"/>
        <w:bottom w:val="none" w:sz="0" w:space="0" w:color="auto"/>
        <w:right w:val="none" w:sz="0" w:space="0" w:color="auto"/>
      </w:divBdr>
      <w:divsChild>
        <w:div w:id="6179665">
          <w:marLeft w:val="562"/>
          <w:marRight w:val="0"/>
          <w:marTop w:val="106"/>
          <w:marBottom w:val="0"/>
          <w:divBdr>
            <w:top w:val="none" w:sz="0" w:space="0" w:color="auto"/>
            <w:left w:val="none" w:sz="0" w:space="0" w:color="auto"/>
            <w:bottom w:val="none" w:sz="0" w:space="0" w:color="auto"/>
            <w:right w:val="none" w:sz="0" w:space="0" w:color="auto"/>
          </w:divBdr>
        </w:div>
        <w:div w:id="576595456">
          <w:marLeft w:val="562"/>
          <w:marRight w:val="0"/>
          <w:marTop w:val="106"/>
          <w:marBottom w:val="0"/>
          <w:divBdr>
            <w:top w:val="none" w:sz="0" w:space="0" w:color="auto"/>
            <w:left w:val="none" w:sz="0" w:space="0" w:color="auto"/>
            <w:bottom w:val="none" w:sz="0" w:space="0" w:color="auto"/>
            <w:right w:val="none" w:sz="0" w:space="0" w:color="auto"/>
          </w:divBdr>
        </w:div>
        <w:div w:id="865826164">
          <w:marLeft w:val="562"/>
          <w:marRight w:val="0"/>
          <w:marTop w:val="106"/>
          <w:marBottom w:val="0"/>
          <w:divBdr>
            <w:top w:val="none" w:sz="0" w:space="0" w:color="auto"/>
            <w:left w:val="none" w:sz="0" w:space="0" w:color="auto"/>
            <w:bottom w:val="none" w:sz="0" w:space="0" w:color="auto"/>
            <w:right w:val="none" w:sz="0" w:space="0" w:color="auto"/>
          </w:divBdr>
        </w:div>
        <w:div w:id="1014065579">
          <w:marLeft w:val="562"/>
          <w:marRight w:val="0"/>
          <w:marTop w:val="106"/>
          <w:marBottom w:val="0"/>
          <w:divBdr>
            <w:top w:val="none" w:sz="0" w:space="0" w:color="auto"/>
            <w:left w:val="none" w:sz="0" w:space="0" w:color="auto"/>
            <w:bottom w:val="none" w:sz="0" w:space="0" w:color="auto"/>
            <w:right w:val="none" w:sz="0" w:space="0" w:color="auto"/>
          </w:divBdr>
        </w:div>
        <w:div w:id="1345671577">
          <w:marLeft w:val="720"/>
          <w:marRight w:val="0"/>
          <w:marTop w:val="91"/>
          <w:marBottom w:val="0"/>
          <w:divBdr>
            <w:top w:val="none" w:sz="0" w:space="0" w:color="auto"/>
            <w:left w:val="none" w:sz="0" w:space="0" w:color="auto"/>
            <w:bottom w:val="none" w:sz="0" w:space="0" w:color="auto"/>
            <w:right w:val="none" w:sz="0" w:space="0" w:color="auto"/>
          </w:divBdr>
        </w:div>
        <w:div w:id="1435128913">
          <w:marLeft w:val="720"/>
          <w:marRight w:val="0"/>
          <w:marTop w:val="91"/>
          <w:marBottom w:val="0"/>
          <w:divBdr>
            <w:top w:val="none" w:sz="0" w:space="0" w:color="auto"/>
            <w:left w:val="none" w:sz="0" w:space="0" w:color="auto"/>
            <w:bottom w:val="none" w:sz="0" w:space="0" w:color="auto"/>
            <w:right w:val="none" w:sz="0" w:space="0" w:color="auto"/>
          </w:divBdr>
        </w:div>
        <w:div w:id="1494761750">
          <w:marLeft w:val="720"/>
          <w:marRight w:val="0"/>
          <w:marTop w:val="91"/>
          <w:marBottom w:val="0"/>
          <w:divBdr>
            <w:top w:val="none" w:sz="0" w:space="0" w:color="auto"/>
            <w:left w:val="none" w:sz="0" w:space="0" w:color="auto"/>
            <w:bottom w:val="none" w:sz="0" w:space="0" w:color="auto"/>
            <w:right w:val="none" w:sz="0" w:space="0" w:color="auto"/>
          </w:divBdr>
        </w:div>
        <w:div w:id="1525828342">
          <w:marLeft w:val="562"/>
          <w:marRight w:val="0"/>
          <w:marTop w:val="106"/>
          <w:marBottom w:val="0"/>
          <w:divBdr>
            <w:top w:val="none" w:sz="0" w:space="0" w:color="auto"/>
            <w:left w:val="none" w:sz="0" w:space="0" w:color="auto"/>
            <w:bottom w:val="none" w:sz="0" w:space="0" w:color="auto"/>
            <w:right w:val="none" w:sz="0" w:space="0" w:color="auto"/>
          </w:divBdr>
        </w:div>
        <w:div w:id="1798066869">
          <w:marLeft w:val="562"/>
          <w:marRight w:val="0"/>
          <w:marTop w:val="106"/>
          <w:marBottom w:val="0"/>
          <w:divBdr>
            <w:top w:val="none" w:sz="0" w:space="0" w:color="auto"/>
            <w:left w:val="none" w:sz="0" w:space="0" w:color="auto"/>
            <w:bottom w:val="none" w:sz="0" w:space="0" w:color="auto"/>
            <w:right w:val="none" w:sz="0" w:space="0" w:color="auto"/>
          </w:divBdr>
        </w:div>
      </w:divsChild>
    </w:div>
    <w:div w:id="351692666">
      <w:bodyDiv w:val="1"/>
      <w:marLeft w:val="0"/>
      <w:marRight w:val="0"/>
      <w:marTop w:val="0"/>
      <w:marBottom w:val="0"/>
      <w:divBdr>
        <w:top w:val="none" w:sz="0" w:space="0" w:color="auto"/>
        <w:left w:val="none" w:sz="0" w:space="0" w:color="auto"/>
        <w:bottom w:val="none" w:sz="0" w:space="0" w:color="auto"/>
        <w:right w:val="none" w:sz="0" w:space="0" w:color="auto"/>
      </w:divBdr>
    </w:div>
    <w:div w:id="352338981">
      <w:bodyDiv w:val="1"/>
      <w:marLeft w:val="0"/>
      <w:marRight w:val="0"/>
      <w:marTop w:val="0"/>
      <w:marBottom w:val="0"/>
      <w:divBdr>
        <w:top w:val="none" w:sz="0" w:space="0" w:color="auto"/>
        <w:left w:val="none" w:sz="0" w:space="0" w:color="auto"/>
        <w:bottom w:val="none" w:sz="0" w:space="0" w:color="auto"/>
        <w:right w:val="none" w:sz="0" w:space="0" w:color="auto"/>
      </w:divBdr>
      <w:divsChild>
        <w:div w:id="58133139">
          <w:marLeft w:val="562"/>
          <w:marRight w:val="0"/>
          <w:marTop w:val="115"/>
          <w:marBottom w:val="0"/>
          <w:divBdr>
            <w:top w:val="none" w:sz="0" w:space="0" w:color="auto"/>
            <w:left w:val="none" w:sz="0" w:space="0" w:color="auto"/>
            <w:bottom w:val="none" w:sz="0" w:space="0" w:color="auto"/>
            <w:right w:val="none" w:sz="0" w:space="0" w:color="auto"/>
          </w:divBdr>
        </w:div>
        <w:div w:id="116720210">
          <w:marLeft w:val="720"/>
          <w:marRight w:val="0"/>
          <w:marTop w:val="96"/>
          <w:marBottom w:val="0"/>
          <w:divBdr>
            <w:top w:val="none" w:sz="0" w:space="0" w:color="auto"/>
            <w:left w:val="none" w:sz="0" w:space="0" w:color="auto"/>
            <w:bottom w:val="none" w:sz="0" w:space="0" w:color="auto"/>
            <w:right w:val="none" w:sz="0" w:space="0" w:color="auto"/>
          </w:divBdr>
        </w:div>
        <w:div w:id="926620755">
          <w:marLeft w:val="562"/>
          <w:marRight w:val="0"/>
          <w:marTop w:val="115"/>
          <w:marBottom w:val="0"/>
          <w:divBdr>
            <w:top w:val="none" w:sz="0" w:space="0" w:color="auto"/>
            <w:left w:val="none" w:sz="0" w:space="0" w:color="auto"/>
            <w:bottom w:val="none" w:sz="0" w:space="0" w:color="auto"/>
            <w:right w:val="none" w:sz="0" w:space="0" w:color="auto"/>
          </w:divBdr>
        </w:div>
        <w:div w:id="2127113056">
          <w:marLeft w:val="720"/>
          <w:marRight w:val="0"/>
          <w:marTop w:val="96"/>
          <w:marBottom w:val="0"/>
          <w:divBdr>
            <w:top w:val="none" w:sz="0" w:space="0" w:color="auto"/>
            <w:left w:val="none" w:sz="0" w:space="0" w:color="auto"/>
            <w:bottom w:val="none" w:sz="0" w:space="0" w:color="auto"/>
            <w:right w:val="none" w:sz="0" w:space="0" w:color="auto"/>
          </w:divBdr>
        </w:div>
      </w:divsChild>
    </w:div>
    <w:div w:id="352614441">
      <w:bodyDiv w:val="1"/>
      <w:marLeft w:val="0"/>
      <w:marRight w:val="0"/>
      <w:marTop w:val="0"/>
      <w:marBottom w:val="0"/>
      <w:divBdr>
        <w:top w:val="none" w:sz="0" w:space="0" w:color="auto"/>
        <w:left w:val="none" w:sz="0" w:space="0" w:color="auto"/>
        <w:bottom w:val="none" w:sz="0" w:space="0" w:color="auto"/>
        <w:right w:val="none" w:sz="0" w:space="0" w:color="auto"/>
      </w:divBdr>
    </w:div>
    <w:div w:id="354812007">
      <w:bodyDiv w:val="1"/>
      <w:marLeft w:val="0"/>
      <w:marRight w:val="0"/>
      <w:marTop w:val="0"/>
      <w:marBottom w:val="0"/>
      <w:divBdr>
        <w:top w:val="none" w:sz="0" w:space="0" w:color="auto"/>
        <w:left w:val="none" w:sz="0" w:space="0" w:color="auto"/>
        <w:bottom w:val="none" w:sz="0" w:space="0" w:color="auto"/>
        <w:right w:val="none" w:sz="0" w:space="0" w:color="auto"/>
      </w:divBdr>
      <w:divsChild>
        <w:div w:id="282737127">
          <w:marLeft w:val="562"/>
          <w:marRight w:val="0"/>
          <w:marTop w:val="106"/>
          <w:marBottom w:val="0"/>
          <w:divBdr>
            <w:top w:val="none" w:sz="0" w:space="0" w:color="auto"/>
            <w:left w:val="none" w:sz="0" w:space="0" w:color="auto"/>
            <w:bottom w:val="none" w:sz="0" w:space="0" w:color="auto"/>
            <w:right w:val="none" w:sz="0" w:space="0" w:color="auto"/>
          </w:divBdr>
        </w:div>
        <w:div w:id="328025453">
          <w:marLeft w:val="720"/>
          <w:marRight w:val="0"/>
          <w:marTop w:val="91"/>
          <w:marBottom w:val="0"/>
          <w:divBdr>
            <w:top w:val="none" w:sz="0" w:space="0" w:color="auto"/>
            <w:left w:val="none" w:sz="0" w:space="0" w:color="auto"/>
            <w:bottom w:val="none" w:sz="0" w:space="0" w:color="auto"/>
            <w:right w:val="none" w:sz="0" w:space="0" w:color="auto"/>
          </w:divBdr>
        </w:div>
        <w:div w:id="1047217808">
          <w:marLeft w:val="720"/>
          <w:marRight w:val="0"/>
          <w:marTop w:val="91"/>
          <w:marBottom w:val="0"/>
          <w:divBdr>
            <w:top w:val="none" w:sz="0" w:space="0" w:color="auto"/>
            <w:left w:val="none" w:sz="0" w:space="0" w:color="auto"/>
            <w:bottom w:val="none" w:sz="0" w:space="0" w:color="auto"/>
            <w:right w:val="none" w:sz="0" w:space="0" w:color="auto"/>
          </w:divBdr>
        </w:div>
        <w:div w:id="1340690969">
          <w:marLeft w:val="562"/>
          <w:marRight w:val="0"/>
          <w:marTop w:val="106"/>
          <w:marBottom w:val="0"/>
          <w:divBdr>
            <w:top w:val="none" w:sz="0" w:space="0" w:color="auto"/>
            <w:left w:val="none" w:sz="0" w:space="0" w:color="auto"/>
            <w:bottom w:val="none" w:sz="0" w:space="0" w:color="auto"/>
            <w:right w:val="none" w:sz="0" w:space="0" w:color="auto"/>
          </w:divBdr>
        </w:div>
        <w:div w:id="1393651641">
          <w:marLeft w:val="562"/>
          <w:marRight w:val="0"/>
          <w:marTop w:val="106"/>
          <w:marBottom w:val="0"/>
          <w:divBdr>
            <w:top w:val="none" w:sz="0" w:space="0" w:color="auto"/>
            <w:left w:val="none" w:sz="0" w:space="0" w:color="auto"/>
            <w:bottom w:val="none" w:sz="0" w:space="0" w:color="auto"/>
            <w:right w:val="none" w:sz="0" w:space="0" w:color="auto"/>
          </w:divBdr>
        </w:div>
        <w:div w:id="1537936166">
          <w:marLeft w:val="562"/>
          <w:marRight w:val="0"/>
          <w:marTop w:val="106"/>
          <w:marBottom w:val="0"/>
          <w:divBdr>
            <w:top w:val="none" w:sz="0" w:space="0" w:color="auto"/>
            <w:left w:val="none" w:sz="0" w:space="0" w:color="auto"/>
            <w:bottom w:val="none" w:sz="0" w:space="0" w:color="auto"/>
            <w:right w:val="none" w:sz="0" w:space="0" w:color="auto"/>
          </w:divBdr>
        </w:div>
        <w:div w:id="1764641787">
          <w:marLeft w:val="720"/>
          <w:marRight w:val="0"/>
          <w:marTop w:val="91"/>
          <w:marBottom w:val="0"/>
          <w:divBdr>
            <w:top w:val="none" w:sz="0" w:space="0" w:color="auto"/>
            <w:left w:val="none" w:sz="0" w:space="0" w:color="auto"/>
            <w:bottom w:val="none" w:sz="0" w:space="0" w:color="auto"/>
            <w:right w:val="none" w:sz="0" w:space="0" w:color="auto"/>
          </w:divBdr>
        </w:div>
        <w:div w:id="1973705544">
          <w:marLeft w:val="562"/>
          <w:marRight w:val="0"/>
          <w:marTop w:val="106"/>
          <w:marBottom w:val="0"/>
          <w:divBdr>
            <w:top w:val="none" w:sz="0" w:space="0" w:color="auto"/>
            <w:left w:val="none" w:sz="0" w:space="0" w:color="auto"/>
            <w:bottom w:val="none" w:sz="0" w:space="0" w:color="auto"/>
            <w:right w:val="none" w:sz="0" w:space="0" w:color="auto"/>
          </w:divBdr>
        </w:div>
      </w:divsChild>
    </w:div>
    <w:div w:id="358624855">
      <w:bodyDiv w:val="1"/>
      <w:marLeft w:val="0"/>
      <w:marRight w:val="0"/>
      <w:marTop w:val="0"/>
      <w:marBottom w:val="0"/>
      <w:divBdr>
        <w:top w:val="none" w:sz="0" w:space="0" w:color="auto"/>
        <w:left w:val="none" w:sz="0" w:space="0" w:color="auto"/>
        <w:bottom w:val="none" w:sz="0" w:space="0" w:color="auto"/>
        <w:right w:val="none" w:sz="0" w:space="0" w:color="auto"/>
      </w:divBdr>
      <w:divsChild>
        <w:div w:id="447895822">
          <w:marLeft w:val="720"/>
          <w:marRight w:val="0"/>
          <w:marTop w:val="91"/>
          <w:marBottom w:val="0"/>
          <w:divBdr>
            <w:top w:val="none" w:sz="0" w:space="0" w:color="auto"/>
            <w:left w:val="none" w:sz="0" w:space="0" w:color="auto"/>
            <w:bottom w:val="none" w:sz="0" w:space="0" w:color="auto"/>
            <w:right w:val="none" w:sz="0" w:space="0" w:color="auto"/>
          </w:divBdr>
        </w:div>
        <w:div w:id="524948262">
          <w:marLeft w:val="720"/>
          <w:marRight w:val="0"/>
          <w:marTop w:val="91"/>
          <w:marBottom w:val="0"/>
          <w:divBdr>
            <w:top w:val="none" w:sz="0" w:space="0" w:color="auto"/>
            <w:left w:val="none" w:sz="0" w:space="0" w:color="auto"/>
            <w:bottom w:val="none" w:sz="0" w:space="0" w:color="auto"/>
            <w:right w:val="none" w:sz="0" w:space="0" w:color="auto"/>
          </w:divBdr>
        </w:div>
        <w:div w:id="637806243">
          <w:marLeft w:val="562"/>
          <w:marRight w:val="0"/>
          <w:marTop w:val="106"/>
          <w:marBottom w:val="0"/>
          <w:divBdr>
            <w:top w:val="none" w:sz="0" w:space="0" w:color="auto"/>
            <w:left w:val="none" w:sz="0" w:space="0" w:color="auto"/>
            <w:bottom w:val="none" w:sz="0" w:space="0" w:color="auto"/>
            <w:right w:val="none" w:sz="0" w:space="0" w:color="auto"/>
          </w:divBdr>
        </w:div>
        <w:div w:id="658462419">
          <w:marLeft w:val="720"/>
          <w:marRight w:val="0"/>
          <w:marTop w:val="91"/>
          <w:marBottom w:val="0"/>
          <w:divBdr>
            <w:top w:val="none" w:sz="0" w:space="0" w:color="auto"/>
            <w:left w:val="none" w:sz="0" w:space="0" w:color="auto"/>
            <w:bottom w:val="none" w:sz="0" w:space="0" w:color="auto"/>
            <w:right w:val="none" w:sz="0" w:space="0" w:color="auto"/>
          </w:divBdr>
        </w:div>
        <w:div w:id="689649743">
          <w:marLeft w:val="720"/>
          <w:marRight w:val="0"/>
          <w:marTop w:val="91"/>
          <w:marBottom w:val="0"/>
          <w:divBdr>
            <w:top w:val="none" w:sz="0" w:space="0" w:color="auto"/>
            <w:left w:val="none" w:sz="0" w:space="0" w:color="auto"/>
            <w:bottom w:val="none" w:sz="0" w:space="0" w:color="auto"/>
            <w:right w:val="none" w:sz="0" w:space="0" w:color="auto"/>
          </w:divBdr>
        </w:div>
        <w:div w:id="701514070">
          <w:marLeft w:val="720"/>
          <w:marRight w:val="0"/>
          <w:marTop w:val="91"/>
          <w:marBottom w:val="0"/>
          <w:divBdr>
            <w:top w:val="none" w:sz="0" w:space="0" w:color="auto"/>
            <w:left w:val="none" w:sz="0" w:space="0" w:color="auto"/>
            <w:bottom w:val="none" w:sz="0" w:space="0" w:color="auto"/>
            <w:right w:val="none" w:sz="0" w:space="0" w:color="auto"/>
          </w:divBdr>
        </w:div>
        <w:div w:id="919484330">
          <w:marLeft w:val="720"/>
          <w:marRight w:val="0"/>
          <w:marTop w:val="91"/>
          <w:marBottom w:val="0"/>
          <w:divBdr>
            <w:top w:val="none" w:sz="0" w:space="0" w:color="auto"/>
            <w:left w:val="none" w:sz="0" w:space="0" w:color="auto"/>
            <w:bottom w:val="none" w:sz="0" w:space="0" w:color="auto"/>
            <w:right w:val="none" w:sz="0" w:space="0" w:color="auto"/>
          </w:divBdr>
        </w:div>
        <w:div w:id="1380587009">
          <w:marLeft w:val="720"/>
          <w:marRight w:val="0"/>
          <w:marTop w:val="91"/>
          <w:marBottom w:val="0"/>
          <w:divBdr>
            <w:top w:val="none" w:sz="0" w:space="0" w:color="auto"/>
            <w:left w:val="none" w:sz="0" w:space="0" w:color="auto"/>
            <w:bottom w:val="none" w:sz="0" w:space="0" w:color="auto"/>
            <w:right w:val="none" w:sz="0" w:space="0" w:color="auto"/>
          </w:divBdr>
        </w:div>
        <w:div w:id="1479883431">
          <w:marLeft w:val="720"/>
          <w:marRight w:val="0"/>
          <w:marTop w:val="91"/>
          <w:marBottom w:val="0"/>
          <w:divBdr>
            <w:top w:val="none" w:sz="0" w:space="0" w:color="auto"/>
            <w:left w:val="none" w:sz="0" w:space="0" w:color="auto"/>
            <w:bottom w:val="none" w:sz="0" w:space="0" w:color="auto"/>
            <w:right w:val="none" w:sz="0" w:space="0" w:color="auto"/>
          </w:divBdr>
        </w:div>
        <w:div w:id="1576671154">
          <w:marLeft w:val="720"/>
          <w:marRight w:val="0"/>
          <w:marTop w:val="91"/>
          <w:marBottom w:val="0"/>
          <w:divBdr>
            <w:top w:val="none" w:sz="0" w:space="0" w:color="auto"/>
            <w:left w:val="none" w:sz="0" w:space="0" w:color="auto"/>
            <w:bottom w:val="none" w:sz="0" w:space="0" w:color="auto"/>
            <w:right w:val="none" w:sz="0" w:space="0" w:color="auto"/>
          </w:divBdr>
        </w:div>
        <w:div w:id="1859465890">
          <w:marLeft w:val="562"/>
          <w:marRight w:val="0"/>
          <w:marTop w:val="106"/>
          <w:marBottom w:val="0"/>
          <w:divBdr>
            <w:top w:val="none" w:sz="0" w:space="0" w:color="auto"/>
            <w:left w:val="none" w:sz="0" w:space="0" w:color="auto"/>
            <w:bottom w:val="none" w:sz="0" w:space="0" w:color="auto"/>
            <w:right w:val="none" w:sz="0" w:space="0" w:color="auto"/>
          </w:divBdr>
        </w:div>
        <w:div w:id="2115593224">
          <w:marLeft w:val="720"/>
          <w:marRight w:val="0"/>
          <w:marTop w:val="91"/>
          <w:marBottom w:val="0"/>
          <w:divBdr>
            <w:top w:val="none" w:sz="0" w:space="0" w:color="auto"/>
            <w:left w:val="none" w:sz="0" w:space="0" w:color="auto"/>
            <w:bottom w:val="none" w:sz="0" w:space="0" w:color="auto"/>
            <w:right w:val="none" w:sz="0" w:space="0" w:color="auto"/>
          </w:divBdr>
        </w:div>
        <w:div w:id="2140688781">
          <w:marLeft w:val="562"/>
          <w:marRight w:val="0"/>
          <w:marTop w:val="106"/>
          <w:marBottom w:val="0"/>
          <w:divBdr>
            <w:top w:val="none" w:sz="0" w:space="0" w:color="auto"/>
            <w:left w:val="none" w:sz="0" w:space="0" w:color="auto"/>
            <w:bottom w:val="none" w:sz="0" w:space="0" w:color="auto"/>
            <w:right w:val="none" w:sz="0" w:space="0" w:color="auto"/>
          </w:divBdr>
        </w:div>
      </w:divsChild>
    </w:div>
    <w:div w:id="362484273">
      <w:bodyDiv w:val="1"/>
      <w:marLeft w:val="0"/>
      <w:marRight w:val="0"/>
      <w:marTop w:val="0"/>
      <w:marBottom w:val="0"/>
      <w:divBdr>
        <w:top w:val="none" w:sz="0" w:space="0" w:color="auto"/>
        <w:left w:val="none" w:sz="0" w:space="0" w:color="auto"/>
        <w:bottom w:val="none" w:sz="0" w:space="0" w:color="auto"/>
        <w:right w:val="none" w:sz="0" w:space="0" w:color="auto"/>
      </w:divBdr>
    </w:div>
    <w:div w:id="364991670">
      <w:bodyDiv w:val="1"/>
      <w:marLeft w:val="0"/>
      <w:marRight w:val="0"/>
      <w:marTop w:val="0"/>
      <w:marBottom w:val="0"/>
      <w:divBdr>
        <w:top w:val="none" w:sz="0" w:space="0" w:color="auto"/>
        <w:left w:val="none" w:sz="0" w:space="0" w:color="auto"/>
        <w:bottom w:val="none" w:sz="0" w:space="0" w:color="auto"/>
        <w:right w:val="none" w:sz="0" w:space="0" w:color="auto"/>
      </w:divBdr>
    </w:div>
    <w:div w:id="365060037">
      <w:bodyDiv w:val="1"/>
      <w:marLeft w:val="0"/>
      <w:marRight w:val="0"/>
      <w:marTop w:val="0"/>
      <w:marBottom w:val="0"/>
      <w:divBdr>
        <w:top w:val="none" w:sz="0" w:space="0" w:color="auto"/>
        <w:left w:val="none" w:sz="0" w:space="0" w:color="auto"/>
        <w:bottom w:val="none" w:sz="0" w:space="0" w:color="auto"/>
        <w:right w:val="none" w:sz="0" w:space="0" w:color="auto"/>
      </w:divBdr>
    </w:div>
    <w:div w:id="365302565">
      <w:bodyDiv w:val="1"/>
      <w:marLeft w:val="0"/>
      <w:marRight w:val="0"/>
      <w:marTop w:val="0"/>
      <w:marBottom w:val="0"/>
      <w:divBdr>
        <w:top w:val="none" w:sz="0" w:space="0" w:color="auto"/>
        <w:left w:val="none" w:sz="0" w:space="0" w:color="auto"/>
        <w:bottom w:val="none" w:sz="0" w:space="0" w:color="auto"/>
        <w:right w:val="none" w:sz="0" w:space="0" w:color="auto"/>
      </w:divBdr>
    </w:div>
    <w:div w:id="379206425">
      <w:bodyDiv w:val="1"/>
      <w:marLeft w:val="0"/>
      <w:marRight w:val="0"/>
      <w:marTop w:val="0"/>
      <w:marBottom w:val="0"/>
      <w:divBdr>
        <w:top w:val="none" w:sz="0" w:space="0" w:color="auto"/>
        <w:left w:val="none" w:sz="0" w:space="0" w:color="auto"/>
        <w:bottom w:val="none" w:sz="0" w:space="0" w:color="auto"/>
        <w:right w:val="none" w:sz="0" w:space="0" w:color="auto"/>
      </w:divBdr>
    </w:div>
    <w:div w:id="381366058">
      <w:bodyDiv w:val="1"/>
      <w:marLeft w:val="0"/>
      <w:marRight w:val="0"/>
      <w:marTop w:val="0"/>
      <w:marBottom w:val="0"/>
      <w:divBdr>
        <w:top w:val="none" w:sz="0" w:space="0" w:color="auto"/>
        <w:left w:val="none" w:sz="0" w:space="0" w:color="auto"/>
        <w:bottom w:val="none" w:sz="0" w:space="0" w:color="auto"/>
        <w:right w:val="none" w:sz="0" w:space="0" w:color="auto"/>
      </w:divBdr>
      <w:divsChild>
        <w:div w:id="112871523">
          <w:marLeft w:val="562"/>
          <w:marRight w:val="0"/>
          <w:marTop w:val="106"/>
          <w:marBottom w:val="0"/>
          <w:divBdr>
            <w:top w:val="none" w:sz="0" w:space="0" w:color="auto"/>
            <w:left w:val="none" w:sz="0" w:space="0" w:color="auto"/>
            <w:bottom w:val="none" w:sz="0" w:space="0" w:color="auto"/>
            <w:right w:val="none" w:sz="0" w:space="0" w:color="auto"/>
          </w:divBdr>
        </w:div>
        <w:div w:id="310603304">
          <w:marLeft w:val="562"/>
          <w:marRight w:val="0"/>
          <w:marTop w:val="106"/>
          <w:marBottom w:val="0"/>
          <w:divBdr>
            <w:top w:val="none" w:sz="0" w:space="0" w:color="auto"/>
            <w:left w:val="none" w:sz="0" w:space="0" w:color="auto"/>
            <w:bottom w:val="none" w:sz="0" w:space="0" w:color="auto"/>
            <w:right w:val="none" w:sz="0" w:space="0" w:color="auto"/>
          </w:divBdr>
        </w:div>
        <w:div w:id="462160850">
          <w:marLeft w:val="720"/>
          <w:marRight w:val="0"/>
          <w:marTop w:val="91"/>
          <w:marBottom w:val="0"/>
          <w:divBdr>
            <w:top w:val="none" w:sz="0" w:space="0" w:color="auto"/>
            <w:left w:val="none" w:sz="0" w:space="0" w:color="auto"/>
            <w:bottom w:val="none" w:sz="0" w:space="0" w:color="auto"/>
            <w:right w:val="none" w:sz="0" w:space="0" w:color="auto"/>
          </w:divBdr>
        </w:div>
        <w:div w:id="548805949">
          <w:marLeft w:val="720"/>
          <w:marRight w:val="0"/>
          <w:marTop w:val="91"/>
          <w:marBottom w:val="0"/>
          <w:divBdr>
            <w:top w:val="none" w:sz="0" w:space="0" w:color="auto"/>
            <w:left w:val="none" w:sz="0" w:space="0" w:color="auto"/>
            <w:bottom w:val="none" w:sz="0" w:space="0" w:color="auto"/>
            <w:right w:val="none" w:sz="0" w:space="0" w:color="auto"/>
          </w:divBdr>
        </w:div>
        <w:div w:id="613248072">
          <w:marLeft w:val="562"/>
          <w:marRight w:val="0"/>
          <w:marTop w:val="106"/>
          <w:marBottom w:val="0"/>
          <w:divBdr>
            <w:top w:val="none" w:sz="0" w:space="0" w:color="auto"/>
            <w:left w:val="none" w:sz="0" w:space="0" w:color="auto"/>
            <w:bottom w:val="none" w:sz="0" w:space="0" w:color="auto"/>
            <w:right w:val="none" w:sz="0" w:space="0" w:color="auto"/>
          </w:divBdr>
        </w:div>
        <w:div w:id="681905175">
          <w:marLeft w:val="720"/>
          <w:marRight w:val="0"/>
          <w:marTop w:val="91"/>
          <w:marBottom w:val="0"/>
          <w:divBdr>
            <w:top w:val="none" w:sz="0" w:space="0" w:color="auto"/>
            <w:left w:val="none" w:sz="0" w:space="0" w:color="auto"/>
            <w:bottom w:val="none" w:sz="0" w:space="0" w:color="auto"/>
            <w:right w:val="none" w:sz="0" w:space="0" w:color="auto"/>
          </w:divBdr>
        </w:div>
        <w:div w:id="699084578">
          <w:marLeft w:val="562"/>
          <w:marRight w:val="0"/>
          <w:marTop w:val="106"/>
          <w:marBottom w:val="0"/>
          <w:divBdr>
            <w:top w:val="none" w:sz="0" w:space="0" w:color="auto"/>
            <w:left w:val="none" w:sz="0" w:space="0" w:color="auto"/>
            <w:bottom w:val="none" w:sz="0" w:space="0" w:color="auto"/>
            <w:right w:val="none" w:sz="0" w:space="0" w:color="auto"/>
          </w:divBdr>
        </w:div>
        <w:div w:id="707218255">
          <w:marLeft w:val="720"/>
          <w:marRight w:val="0"/>
          <w:marTop w:val="91"/>
          <w:marBottom w:val="0"/>
          <w:divBdr>
            <w:top w:val="none" w:sz="0" w:space="0" w:color="auto"/>
            <w:left w:val="none" w:sz="0" w:space="0" w:color="auto"/>
            <w:bottom w:val="none" w:sz="0" w:space="0" w:color="auto"/>
            <w:right w:val="none" w:sz="0" w:space="0" w:color="auto"/>
          </w:divBdr>
        </w:div>
        <w:div w:id="1066609055">
          <w:marLeft w:val="720"/>
          <w:marRight w:val="0"/>
          <w:marTop w:val="91"/>
          <w:marBottom w:val="0"/>
          <w:divBdr>
            <w:top w:val="none" w:sz="0" w:space="0" w:color="auto"/>
            <w:left w:val="none" w:sz="0" w:space="0" w:color="auto"/>
            <w:bottom w:val="none" w:sz="0" w:space="0" w:color="auto"/>
            <w:right w:val="none" w:sz="0" w:space="0" w:color="auto"/>
          </w:divBdr>
        </w:div>
        <w:div w:id="1138839367">
          <w:marLeft w:val="720"/>
          <w:marRight w:val="0"/>
          <w:marTop w:val="91"/>
          <w:marBottom w:val="0"/>
          <w:divBdr>
            <w:top w:val="none" w:sz="0" w:space="0" w:color="auto"/>
            <w:left w:val="none" w:sz="0" w:space="0" w:color="auto"/>
            <w:bottom w:val="none" w:sz="0" w:space="0" w:color="auto"/>
            <w:right w:val="none" w:sz="0" w:space="0" w:color="auto"/>
          </w:divBdr>
        </w:div>
        <w:div w:id="1456365813">
          <w:marLeft w:val="562"/>
          <w:marRight w:val="0"/>
          <w:marTop w:val="106"/>
          <w:marBottom w:val="0"/>
          <w:divBdr>
            <w:top w:val="none" w:sz="0" w:space="0" w:color="auto"/>
            <w:left w:val="none" w:sz="0" w:space="0" w:color="auto"/>
            <w:bottom w:val="none" w:sz="0" w:space="0" w:color="auto"/>
            <w:right w:val="none" w:sz="0" w:space="0" w:color="auto"/>
          </w:divBdr>
        </w:div>
        <w:div w:id="1532106416">
          <w:marLeft w:val="562"/>
          <w:marRight w:val="0"/>
          <w:marTop w:val="106"/>
          <w:marBottom w:val="0"/>
          <w:divBdr>
            <w:top w:val="none" w:sz="0" w:space="0" w:color="auto"/>
            <w:left w:val="none" w:sz="0" w:space="0" w:color="auto"/>
            <w:bottom w:val="none" w:sz="0" w:space="0" w:color="auto"/>
            <w:right w:val="none" w:sz="0" w:space="0" w:color="auto"/>
          </w:divBdr>
        </w:div>
        <w:div w:id="2129271770">
          <w:marLeft w:val="720"/>
          <w:marRight w:val="0"/>
          <w:marTop w:val="91"/>
          <w:marBottom w:val="0"/>
          <w:divBdr>
            <w:top w:val="none" w:sz="0" w:space="0" w:color="auto"/>
            <w:left w:val="none" w:sz="0" w:space="0" w:color="auto"/>
            <w:bottom w:val="none" w:sz="0" w:space="0" w:color="auto"/>
            <w:right w:val="none" w:sz="0" w:space="0" w:color="auto"/>
          </w:divBdr>
        </w:div>
        <w:div w:id="2136175286">
          <w:marLeft w:val="720"/>
          <w:marRight w:val="0"/>
          <w:marTop w:val="91"/>
          <w:marBottom w:val="0"/>
          <w:divBdr>
            <w:top w:val="none" w:sz="0" w:space="0" w:color="auto"/>
            <w:left w:val="none" w:sz="0" w:space="0" w:color="auto"/>
            <w:bottom w:val="none" w:sz="0" w:space="0" w:color="auto"/>
            <w:right w:val="none" w:sz="0" w:space="0" w:color="auto"/>
          </w:divBdr>
        </w:div>
      </w:divsChild>
    </w:div>
    <w:div w:id="381708589">
      <w:bodyDiv w:val="1"/>
      <w:marLeft w:val="0"/>
      <w:marRight w:val="0"/>
      <w:marTop w:val="0"/>
      <w:marBottom w:val="0"/>
      <w:divBdr>
        <w:top w:val="none" w:sz="0" w:space="0" w:color="auto"/>
        <w:left w:val="none" w:sz="0" w:space="0" w:color="auto"/>
        <w:bottom w:val="none" w:sz="0" w:space="0" w:color="auto"/>
        <w:right w:val="none" w:sz="0" w:space="0" w:color="auto"/>
      </w:divBdr>
      <w:divsChild>
        <w:div w:id="469789907">
          <w:marLeft w:val="562"/>
          <w:marRight w:val="0"/>
          <w:marTop w:val="115"/>
          <w:marBottom w:val="0"/>
          <w:divBdr>
            <w:top w:val="none" w:sz="0" w:space="0" w:color="auto"/>
            <w:left w:val="none" w:sz="0" w:space="0" w:color="auto"/>
            <w:bottom w:val="none" w:sz="0" w:space="0" w:color="auto"/>
            <w:right w:val="none" w:sz="0" w:space="0" w:color="auto"/>
          </w:divBdr>
        </w:div>
        <w:div w:id="1404259394">
          <w:marLeft w:val="562"/>
          <w:marRight w:val="0"/>
          <w:marTop w:val="115"/>
          <w:marBottom w:val="0"/>
          <w:divBdr>
            <w:top w:val="none" w:sz="0" w:space="0" w:color="auto"/>
            <w:left w:val="none" w:sz="0" w:space="0" w:color="auto"/>
            <w:bottom w:val="none" w:sz="0" w:space="0" w:color="auto"/>
            <w:right w:val="none" w:sz="0" w:space="0" w:color="auto"/>
          </w:divBdr>
        </w:div>
        <w:div w:id="1518302885">
          <w:marLeft w:val="562"/>
          <w:marRight w:val="0"/>
          <w:marTop w:val="115"/>
          <w:marBottom w:val="0"/>
          <w:divBdr>
            <w:top w:val="none" w:sz="0" w:space="0" w:color="auto"/>
            <w:left w:val="none" w:sz="0" w:space="0" w:color="auto"/>
            <w:bottom w:val="none" w:sz="0" w:space="0" w:color="auto"/>
            <w:right w:val="none" w:sz="0" w:space="0" w:color="auto"/>
          </w:divBdr>
        </w:div>
      </w:divsChild>
    </w:div>
    <w:div w:id="387850118">
      <w:bodyDiv w:val="1"/>
      <w:marLeft w:val="0"/>
      <w:marRight w:val="0"/>
      <w:marTop w:val="0"/>
      <w:marBottom w:val="0"/>
      <w:divBdr>
        <w:top w:val="none" w:sz="0" w:space="0" w:color="auto"/>
        <w:left w:val="none" w:sz="0" w:space="0" w:color="auto"/>
        <w:bottom w:val="none" w:sz="0" w:space="0" w:color="auto"/>
        <w:right w:val="none" w:sz="0" w:space="0" w:color="auto"/>
      </w:divBdr>
    </w:div>
    <w:div w:id="388576099">
      <w:bodyDiv w:val="1"/>
      <w:marLeft w:val="0"/>
      <w:marRight w:val="0"/>
      <w:marTop w:val="0"/>
      <w:marBottom w:val="0"/>
      <w:divBdr>
        <w:top w:val="none" w:sz="0" w:space="0" w:color="auto"/>
        <w:left w:val="none" w:sz="0" w:space="0" w:color="auto"/>
        <w:bottom w:val="none" w:sz="0" w:space="0" w:color="auto"/>
        <w:right w:val="none" w:sz="0" w:space="0" w:color="auto"/>
      </w:divBdr>
    </w:div>
    <w:div w:id="407504622">
      <w:bodyDiv w:val="1"/>
      <w:marLeft w:val="0"/>
      <w:marRight w:val="0"/>
      <w:marTop w:val="0"/>
      <w:marBottom w:val="0"/>
      <w:divBdr>
        <w:top w:val="none" w:sz="0" w:space="0" w:color="auto"/>
        <w:left w:val="none" w:sz="0" w:space="0" w:color="auto"/>
        <w:bottom w:val="none" w:sz="0" w:space="0" w:color="auto"/>
        <w:right w:val="none" w:sz="0" w:space="0" w:color="auto"/>
      </w:divBdr>
      <w:divsChild>
        <w:div w:id="1482767271">
          <w:marLeft w:val="562"/>
          <w:marRight w:val="0"/>
          <w:marTop w:val="115"/>
          <w:marBottom w:val="0"/>
          <w:divBdr>
            <w:top w:val="none" w:sz="0" w:space="0" w:color="auto"/>
            <w:left w:val="none" w:sz="0" w:space="0" w:color="auto"/>
            <w:bottom w:val="none" w:sz="0" w:space="0" w:color="auto"/>
            <w:right w:val="none" w:sz="0" w:space="0" w:color="auto"/>
          </w:divBdr>
        </w:div>
        <w:div w:id="1724135524">
          <w:marLeft w:val="562"/>
          <w:marRight w:val="0"/>
          <w:marTop w:val="115"/>
          <w:marBottom w:val="0"/>
          <w:divBdr>
            <w:top w:val="none" w:sz="0" w:space="0" w:color="auto"/>
            <w:left w:val="none" w:sz="0" w:space="0" w:color="auto"/>
            <w:bottom w:val="none" w:sz="0" w:space="0" w:color="auto"/>
            <w:right w:val="none" w:sz="0" w:space="0" w:color="auto"/>
          </w:divBdr>
        </w:div>
      </w:divsChild>
    </w:div>
    <w:div w:id="420375563">
      <w:bodyDiv w:val="1"/>
      <w:marLeft w:val="0"/>
      <w:marRight w:val="0"/>
      <w:marTop w:val="0"/>
      <w:marBottom w:val="0"/>
      <w:divBdr>
        <w:top w:val="none" w:sz="0" w:space="0" w:color="auto"/>
        <w:left w:val="none" w:sz="0" w:space="0" w:color="auto"/>
        <w:bottom w:val="none" w:sz="0" w:space="0" w:color="auto"/>
        <w:right w:val="none" w:sz="0" w:space="0" w:color="auto"/>
      </w:divBdr>
    </w:div>
    <w:div w:id="444886195">
      <w:bodyDiv w:val="1"/>
      <w:marLeft w:val="0"/>
      <w:marRight w:val="0"/>
      <w:marTop w:val="0"/>
      <w:marBottom w:val="0"/>
      <w:divBdr>
        <w:top w:val="none" w:sz="0" w:space="0" w:color="auto"/>
        <w:left w:val="none" w:sz="0" w:space="0" w:color="auto"/>
        <w:bottom w:val="none" w:sz="0" w:space="0" w:color="auto"/>
        <w:right w:val="none" w:sz="0" w:space="0" w:color="auto"/>
      </w:divBdr>
      <w:divsChild>
        <w:div w:id="1956404949">
          <w:marLeft w:val="547"/>
          <w:marRight w:val="0"/>
          <w:marTop w:val="106"/>
          <w:marBottom w:val="0"/>
          <w:divBdr>
            <w:top w:val="none" w:sz="0" w:space="0" w:color="auto"/>
            <w:left w:val="none" w:sz="0" w:space="0" w:color="auto"/>
            <w:bottom w:val="none" w:sz="0" w:space="0" w:color="auto"/>
            <w:right w:val="none" w:sz="0" w:space="0" w:color="auto"/>
          </w:divBdr>
        </w:div>
        <w:div w:id="547759854">
          <w:marLeft w:val="1166"/>
          <w:marRight w:val="0"/>
          <w:marTop w:val="106"/>
          <w:marBottom w:val="0"/>
          <w:divBdr>
            <w:top w:val="none" w:sz="0" w:space="0" w:color="auto"/>
            <w:left w:val="none" w:sz="0" w:space="0" w:color="auto"/>
            <w:bottom w:val="none" w:sz="0" w:space="0" w:color="auto"/>
            <w:right w:val="none" w:sz="0" w:space="0" w:color="auto"/>
          </w:divBdr>
        </w:div>
        <w:div w:id="978000280">
          <w:marLeft w:val="1166"/>
          <w:marRight w:val="0"/>
          <w:marTop w:val="106"/>
          <w:marBottom w:val="0"/>
          <w:divBdr>
            <w:top w:val="none" w:sz="0" w:space="0" w:color="auto"/>
            <w:left w:val="none" w:sz="0" w:space="0" w:color="auto"/>
            <w:bottom w:val="none" w:sz="0" w:space="0" w:color="auto"/>
            <w:right w:val="none" w:sz="0" w:space="0" w:color="auto"/>
          </w:divBdr>
        </w:div>
        <w:div w:id="8337722">
          <w:marLeft w:val="1166"/>
          <w:marRight w:val="0"/>
          <w:marTop w:val="106"/>
          <w:marBottom w:val="0"/>
          <w:divBdr>
            <w:top w:val="none" w:sz="0" w:space="0" w:color="auto"/>
            <w:left w:val="none" w:sz="0" w:space="0" w:color="auto"/>
            <w:bottom w:val="none" w:sz="0" w:space="0" w:color="auto"/>
            <w:right w:val="none" w:sz="0" w:space="0" w:color="auto"/>
          </w:divBdr>
        </w:div>
        <w:div w:id="1885406708">
          <w:marLeft w:val="547"/>
          <w:marRight w:val="0"/>
          <w:marTop w:val="106"/>
          <w:marBottom w:val="0"/>
          <w:divBdr>
            <w:top w:val="none" w:sz="0" w:space="0" w:color="auto"/>
            <w:left w:val="none" w:sz="0" w:space="0" w:color="auto"/>
            <w:bottom w:val="none" w:sz="0" w:space="0" w:color="auto"/>
            <w:right w:val="none" w:sz="0" w:space="0" w:color="auto"/>
          </w:divBdr>
        </w:div>
        <w:div w:id="967590001">
          <w:marLeft w:val="1166"/>
          <w:marRight w:val="0"/>
          <w:marTop w:val="106"/>
          <w:marBottom w:val="0"/>
          <w:divBdr>
            <w:top w:val="none" w:sz="0" w:space="0" w:color="auto"/>
            <w:left w:val="none" w:sz="0" w:space="0" w:color="auto"/>
            <w:bottom w:val="none" w:sz="0" w:space="0" w:color="auto"/>
            <w:right w:val="none" w:sz="0" w:space="0" w:color="auto"/>
          </w:divBdr>
        </w:div>
        <w:div w:id="1783062739">
          <w:marLeft w:val="1166"/>
          <w:marRight w:val="0"/>
          <w:marTop w:val="106"/>
          <w:marBottom w:val="0"/>
          <w:divBdr>
            <w:top w:val="none" w:sz="0" w:space="0" w:color="auto"/>
            <w:left w:val="none" w:sz="0" w:space="0" w:color="auto"/>
            <w:bottom w:val="none" w:sz="0" w:space="0" w:color="auto"/>
            <w:right w:val="none" w:sz="0" w:space="0" w:color="auto"/>
          </w:divBdr>
        </w:div>
        <w:div w:id="2098745381">
          <w:marLeft w:val="1166"/>
          <w:marRight w:val="0"/>
          <w:marTop w:val="106"/>
          <w:marBottom w:val="0"/>
          <w:divBdr>
            <w:top w:val="none" w:sz="0" w:space="0" w:color="auto"/>
            <w:left w:val="none" w:sz="0" w:space="0" w:color="auto"/>
            <w:bottom w:val="none" w:sz="0" w:space="0" w:color="auto"/>
            <w:right w:val="none" w:sz="0" w:space="0" w:color="auto"/>
          </w:divBdr>
        </w:div>
        <w:div w:id="19163139">
          <w:marLeft w:val="1166"/>
          <w:marRight w:val="0"/>
          <w:marTop w:val="106"/>
          <w:marBottom w:val="0"/>
          <w:divBdr>
            <w:top w:val="none" w:sz="0" w:space="0" w:color="auto"/>
            <w:left w:val="none" w:sz="0" w:space="0" w:color="auto"/>
            <w:bottom w:val="none" w:sz="0" w:space="0" w:color="auto"/>
            <w:right w:val="none" w:sz="0" w:space="0" w:color="auto"/>
          </w:divBdr>
        </w:div>
        <w:div w:id="1432234994">
          <w:marLeft w:val="1166"/>
          <w:marRight w:val="0"/>
          <w:marTop w:val="106"/>
          <w:marBottom w:val="0"/>
          <w:divBdr>
            <w:top w:val="none" w:sz="0" w:space="0" w:color="auto"/>
            <w:left w:val="none" w:sz="0" w:space="0" w:color="auto"/>
            <w:bottom w:val="none" w:sz="0" w:space="0" w:color="auto"/>
            <w:right w:val="none" w:sz="0" w:space="0" w:color="auto"/>
          </w:divBdr>
        </w:div>
        <w:div w:id="868446263">
          <w:marLeft w:val="1166"/>
          <w:marRight w:val="0"/>
          <w:marTop w:val="106"/>
          <w:marBottom w:val="0"/>
          <w:divBdr>
            <w:top w:val="none" w:sz="0" w:space="0" w:color="auto"/>
            <w:left w:val="none" w:sz="0" w:space="0" w:color="auto"/>
            <w:bottom w:val="none" w:sz="0" w:space="0" w:color="auto"/>
            <w:right w:val="none" w:sz="0" w:space="0" w:color="auto"/>
          </w:divBdr>
        </w:div>
      </w:divsChild>
    </w:div>
    <w:div w:id="456535531">
      <w:bodyDiv w:val="1"/>
      <w:marLeft w:val="0"/>
      <w:marRight w:val="0"/>
      <w:marTop w:val="0"/>
      <w:marBottom w:val="0"/>
      <w:divBdr>
        <w:top w:val="none" w:sz="0" w:space="0" w:color="auto"/>
        <w:left w:val="none" w:sz="0" w:space="0" w:color="auto"/>
        <w:bottom w:val="none" w:sz="0" w:space="0" w:color="auto"/>
        <w:right w:val="none" w:sz="0" w:space="0" w:color="auto"/>
      </w:divBdr>
    </w:div>
    <w:div w:id="459227235">
      <w:bodyDiv w:val="1"/>
      <w:marLeft w:val="0"/>
      <w:marRight w:val="0"/>
      <w:marTop w:val="0"/>
      <w:marBottom w:val="0"/>
      <w:divBdr>
        <w:top w:val="none" w:sz="0" w:space="0" w:color="auto"/>
        <w:left w:val="none" w:sz="0" w:space="0" w:color="auto"/>
        <w:bottom w:val="none" w:sz="0" w:space="0" w:color="auto"/>
        <w:right w:val="none" w:sz="0" w:space="0" w:color="auto"/>
      </w:divBdr>
    </w:div>
    <w:div w:id="460194220">
      <w:bodyDiv w:val="1"/>
      <w:marLeft w:val="0"/>
      <w:marRight w:val="0"/>
      <w:marTop w:val="0"/>
      <w:marBottom w:val="0"/>
      <w:divBdr>
        <w:top w:val="none" w:sz="0" w:space="0" w:color="auto"/>
        <w:left w:val="none" w:sz="0" w:space="0" w:color="auto"/>
        <w:bottom w:val="none" w:sz="0" w:space="0" w:color="auto"/>
        <w:right w:val="none" w:sz="0" w:space="0" w:color="auto"/>
      </w:divBdr>
      <w:divsChild>
        <w:div w:id="177306714">
          <w:marLeft w:val="720"/>
          <w:marRight w:val="0"/>
          <w:marTop w:val="96"/>
          <w:marBottom w:val="0"/>
          <w:divBdr>
            <w:top w:val="none" w:sz="0" w:space="0" w:color="auto"/>
            <w:left w:val="none" w:sz="0" w:space="0" w:color="auto"/>
            <w:bottom w:val="none" w:sz="0" w:space="0" w:color="auto"/>
            <w:right w:val="none" w:sz="0" w:space="0" w:color="auto"/>
          </w:divBdr>
        </w:div>
        <w:div w:id="358510717">
          <w:marLeft w:val="720"/>
          <w:marRight w:val="0"/>
          <w:marTop w:val="96"/>
          <w:marBottom w:val="0"/>
          <w:divBdr>
            <w:top w:val="none" w:sz="0" w:space="0" w:color="auto"/>
            <w:left w:val="none" w:sz="0" w:space="0" w:color="auto"/>
            <w:bottom w:val="none" w:sz="0" w:space="0" w:color="auto"/>
            <w:right w:val="none" w:sz="0" w:space="0" w:color="auto"/>
          </w:divBdr>
        </w:div>
        <w:div w:id="727727616">
          <w:marLeft w:val="720"/>
          <w:marRight w:val="0"/>
          <w:marTop w:val="96"/>
          <w:marBottom w:val="0"/>
          <w:divBdr>
            <w:top w:val="none" w:sz="0" w:space="0" w:color="auto"/>
            <w:left w:val="none" w:sz="0" w:space="0" w:color="auto"/>
            <w:bottom w:val="none" w:sz="0" w:space="0" w:color="auto"/>
            <w:right w:val="none" w:sz="0" w:space="0" w:color="auto"/>
          </w:divBdr>
        </w:div>
        <w:div w:id="1131941326">
          <w:marLeft w:val="562"/>
          <w:marRight w:val="0"/>
          <w:marTop w:val="115"/>
          <w:marBottom w:val="0"/>
          <w:divBdr>
            <w:top w:val="none" w:sz="0" w:space="0" w:color="auto"/>
            <w:left w:val="none" w:sz="0" w:space="0" w:color="auto"/>
            <w:bottom w:val="none" w:sz="0" w:space="0" w:color="auto"/>
            <w:right w:val="none" w:sz="0" w:space="0" w:color="auto"/>
          </w:divBdr>
        </w:div>
        <w:div w:id="1306474992">
          <w:marLeft w:val="720"/>
          <w:marRight w:val="0"/>
          <w:marTop w:val="96"/>
          <w:marBottom w:val="0"/>
          <w:divBdr>
            <w:top w:val="none" w:sz="0" w:space="0" w:color="auto"/>
            <w:left w:val="none" w:sz="0" w:space="0" w:color="auto"/>
            <w:bottom w:val="none" w:sz="0" w:space="0" w:color="auto"/>
            <w:right w:val="none" w:sz="0" w:space="0" w:color="auto"/>
          </w:divBdr>
        </w:div>
        <w:div w:id="1640763724">
          <w:marLeft w:val="720"/>
          <w:marRight w:val="0"/>
          <w:marTop w:val="96"/>
          <w:marBottom w:val="0"/>
          <w:divBdr>
            <w:top w:val="none" w:sz="0" w:space="0" w:color="auto"/>
            <w:left w:val="none" w:sz="0" w:space="0" w:color="auto"/>
            <w:bottom w:val="none" w:sz="0" w:space="0" w:color="auto"/>
            <w:right w:val="none" w:sz="0" w:space="0" w:color="auto"/>
          </w:divBdr>
        </w:div>
        <w:div w:id="1662804562">
          <w:marLeft w:val="562"/>
          <w:marRight w:val="0"/>
          <w:marTop w:val="115"/>
          <w:marBottom w:val="0"/>
          <w:divBdr>
            <w:top w:val="none" w:sz="0" w:space="0" w:color="auto"/>
            <w:left w:val="none" w:sz="0" w:space="0" w:color="auto"/>
            <w:bottom w:val="none" w:sz="0" w:space="0" w:color="auto"/>
            <w:right w:val="none" w:sz="0" w:space="0" w:color="auto"/>
          </w:divBdr>
        </w:div>
        <w:div w:id="1855605182">
          <w:marLeft w:val="720"/>
          <w:marRight w:val="0"/>
          <w:marTop w:val="96"/>
          <w:marBottom w:val="0"/>
          <w:divBdr>
            <w:top w:val="none" w:sz="0" w:space="0" w:color="auto"/>
            <w:left w:val="none" w:sz="0" w:space="0" w:color="auto"/>
            <w:bottom w:val="none" w:sz="0" w:space="0" w:color="auto"/>
            <w:right w:val="none" w:sz="0" w:space="0" w:color="auto"/>
          </w:divBdr>
        </w:div>
        <w:div w:id="1878472609">
          <w:marLeft w:val="720"/>
          <w:marRight w:val="0"/>
          <w:marTop w:val="96"/>
          <w:marBottom w:val="0"/>
          <w:divBdr>
            <w:top w:val="none" w:sz="0" w:space="0" w:color="auto"/>
            <w:left w:val="none" w:sz="0" w:space="0" w:color="auto"/>
            <w:bottom w:val="none" w:sz="0" w:space="0" w:color="auto"/>
            <w:right w:val="none" w:sz="0" w:space="0" w:color="auto"/>
          </w:divBdr>
        </w:div>
      </w:divsChild>
    </w:div>
    <w:div w:id="484708590">
      <w:bodyDiv w:val="1"/>
      <w:marLeft w:val="0"/>
      <w:marRight w:val="0"/>
      <w:marTop w:val="0"/>
      <w:marBottom w:val="0"/>
      <w:divBdr>
        <w:top w:val="none" w:sz="0" w:space="0" w:color="auto"/>
        <w:left w:val="none" w:sz="0" w:space="0" w:color="auto"/>
        <w:bottom w:val="none" w:sz="0" w:space="0" w:color="auto"/>
        <w:right w:val="none" w:sz="0" w:space="0" w:color="auto"/>
      </w:divBdr>
      <w:divsChild>
        <w:div w:id="2112973592">
          <w:marLeft w:val="360"/>
          <w:marRight w:val="0"/>
          <w:marTop w:val="200"/>
          <w:marBottom w:val="0"/>
          <w:divBdr>
            <w:top w:val="none" w:sz="0" w:space="0" w:color="auto"/>
            <w:left w:val="none" w:sz="0" w:space="0" w:color="auto"/>
            <w:bottom w:val="none" w:sz="0" w:space="0" w:color="auto"/>
            <w:right w:val="none" w:sz="0" w:space="0" w:color="auto"/>
          </w:divBdr>
        </w:div>
        <w:div w:id="873811209">
          <w:marLeft w:val="360"/>
          <w:marRight w:val="0"/>
          <w:marTop w:val="200"/>
          <w:marBottom w:val="0"/>
          <w:divBdr>
            <w:top w:val="none" w:sz="0" w:space="0" w:color="auto"/>
            <w:left w:val="none" w:sz="0" w:space="0" w:color="auto"/>
            <w:bottom w:val="none" w:sz="0" w:space="0" w:color="auto"/>
            <w:right w:val="none" w:sz="0" w:space="0" w:color="auto"/>
          </w:divBdr>
        </w:div>
        <w:div w:id="1641152568">
          <w:marLeft w:val="360"/>
          <w:marRight w:val="0"/>
          <w:marTop w:val="200"/>
          <w:marBottom w:val="0"/>
          <w:divBdr>
            <w:top w:val="none" w:sz="0" w:space="0" w:color="auto"/>
            <w:left w:val="none" w:sz="0" w:space="0" w:color="auto"/>
            <w:bottom w:val="none" w:sz="0" w:space="0" w:color="auto"/>
            <w:right w:val="none" w:sz="0" w:space="0" w:color="auto"/>
          </w:divBdr>
        </w:div>
        <w:div w:id="1845394905">
          <w:marLeft w:val="360"/>
          <w:marRight w:val="0"/>
          <w:marTop w:val="200"/>
          <w:marBottom w:val="0"/>
          <w:divBdr>
            <w:top w:val="none" w:sz="0" w:space="0" w:color="auto"/>
            <w:left w:val="none" w:sz="0" w:space="0" w:color="auto"/>
            <w:bottom w:val="none" w:sz="0" w:space="0" w:color="auto"/>
            <w:right w:val="none" w:sz="0" w:space="0" w:color="auto"/>
          </w:divBdr>
        </w:div>
        <w:div w:id="584998415">
          <w:marLeft w:val="360"/>
          <w:marRight w:val="0"/>
          <w:marTop w:val="200"/>
          <w:marBottom w:val="0"/>
          <w:divBdr>
            <w:top w:val="none" w:sz="0" w:space="0" w:color="auto"/>
            <w:left w:val="none" w:sz="0" w:space="0" w:color="auto"/>
            <w:bottom w:val="none" w:sz="0" w:space="0" w:color="auto"/>
            <w:right w:val="none" w:sz="0" w:space="0" w:color="auto"/>
          </w:divBdr>
        </w:div>
        <w:div w:id="1594432314">
          <w:marLeft w:val="360"/>
          <w:marRight w:val="0"/>
          <w:marTop w:val="200"/>
          <w:marBottom w:val="0"/>
          <w:divBdr>
            <w:top w:val="none" w:sz="0" w:space="0" w:color="auto"/>
            <w:left w:val="none" w:sz="0" w:space="0" w:color="auto"/>
            <w:bottom w:val="none" w:sz="0" w:space="0" w:color="auto"/>
            <w:right w:val="none" w:sz="0" w:space="0" w:color="auto"/>
          </w:divBdr>
        </w:div>
        <w:div w:id="1672633688">
          <w:marLeft w:val="360"/>
          <w:marRight w:val="0"/>
          <w:marTop w:val="200"/>
          <w:marBottom w:val="0"/>
          <w:divBdr>
            <w:top w:val="none" w:sz="0" w:space="0" w:color="auto"/>
            <w:left w:val="none" w:sz="0" w:space="0" w:color="auto"/>
            <w:bottom w:val="none" w:sz="0" w:space="0" w:color="auto"/>
            <w:right w:val="none" w:sz="0" w:space="0" w:color="auto"/>
          </w:divBdr>
        </w:div>
      </w:divsChild>
    </w:div>
    <w:div w:id="490096626">
      <w:bodyDiv w:val="1"/>
      <w:marLeft w:val="0"/>
      <w:marRight w:val="0"/>
      <w:marTop w:val="0"/>
      <w:marBottom w:val="0"/>
      <w:divBdr>
        <w:top w:val="none" w:sz="0" w:space="0" w:color="auto"/>
        <w:left w:val="none" w:sz="0" w:space="0" w:color="auto"/>
        <w:bottom w:val="none" w:sz="0" w:space="0" w:color="auto"/>
        <w:right w:val="none" w:sz="0" w:space="0" w:color="auto"/>
      </w:divBdr>
    </w:div>
    <w:div w:id="490291857">
      <w:bodyDiv w:val="1"/>
      <w:marLeft w:val="0"/>
      <w:marRight w:val="0"/>
      <w:marTop w:val="0"/>
      <w:marBottom w:val="0"/>
      <w:divBdr>
        <w:top w:val="none" w:sz="0" w:space="0" w:color="auto"/>
        <w:left w:val="none" w:sz="0" w:space="0" w:color="auto"/>
        <w:bottom w:val="none" w:sz="0" w:space="0" w:color="auto"/>
        <w:right w:val="none" w:sz="0" w:space="0" w:color="auto"/>
      </w:divBdr>
      <w:divsChild>
        <w:div w:id="49615954">
          <w:marLeft w:val="562"/>
          <w:marRight w:val="0"/>
          <w:marTop w:val="115"/>
          <w:marBottom w:val="0"/>
          <w:divBdr>
            <w:top w:val="none" w:sz="0" w:space="0" w:color="auto"/>
            <w:left w:val="none" w:sz="0" w:space="0" w:color="auto"/>
            <w:bottom w:val="none" w:sz="0" w:space="0" w:color="auto"/>
            <w:right w:val="none" w:sz="0" w:space="0" w:color="auto"/>
          </w:divBdr>
        </w:div>
        <w:div w:id="64188361">
          <w:marLeft w:val="562"/>
          <w:marRight w:val="0"/>
          <w:marTop w:val="115"/>
          <w:marBottom w:val="0"/>
          <w:divBdr>
            <w:top w:val="none" w:sz="0" w:space="0" w:color="auto"/>
            <w:left w:val="none" w:sz="0" w:space="0" w:color="auto"/>
            <w:bottom w:val="none" w:sz="0" w:space="0" w:color="auto"/>
            <w:right w:val="none" w:sz="0" w:space="0" w:color="auto"/>
          </w:divBdr>
        </w:div>
        <w:div w:id="1252196642">
          <w:marLeft w:val="720"/>
          <w:marRight w:val="0"/>
          <w:marTop w:val="96"/>
          <w:marBottom w:val="0"/>
          <w:divBdr>
            <w:top w:val="none" w:sz="0" w:space="0" w:color="auto"/>
            <w:left w:val="none" w:sz="0" w:space="0" w:color="auto"/>
            <w:bottom w:val="none" w:sz="0" w:space="0" w:color="auto"/>
            <w:right w:val="none" w:sz="0" w:space="0" w:color="auto"/>
          </w:divBdr>
        </w:div>
        <w:div w:id="1548250694">
          <w:marLeft w:val="562"/>
          <w:marRight w:val="0"/>
          <w:marTop w:val="115"/>
          <w:marBottom w:val="0"/>
          <w:divBdr>
            <w:top w:val="none" w:sz="0" w:space="0" w:color="auto"/>
            <w:left w:val="none" w:sz="0" w:space="0" w:color="auto"/>
            <w:bottom w:val="none" w:sz="0" w:space="0" w:color="auto"/>
            <w:right w:val="none" w:sz="0" w:space="0" w:color="auto"/>
          </w:divBdr>
        </w:div>
        <w:div w:id="1800144128">
          <w:marLeft w:val="720"/>
          <w:marRight w:val="0"/>
          <w:marTop w:val="96"/>
          <w:marBottom w:val="0"/>
          <w:divBdr>
            <w:top w:val="none" w:sz="0" w:space="0" w:color="auto"/>
            <w:left w:val="none" w:sz="0" w:space="0" w:color="auto"/>
            <w:bottom w:val="none" w:sz="0" w:space="0" w:color="auto"/>
            <w:right w:val="none" w:sz="0" w:space="0" w:color="auto"/>
          </w:divBdr>
        </w:div>
        <w:div w:id="2016568871">
          <w:marLeft w:val="720"/>
          <w:marRight w:val="0"/>
          <w:marTop w:val="96"/>
          <w:marBottom w:val="0"/>
          <w:divBdr>
            <w:top w:val="none" w:sz="0" w:space="0" w:color="auto"/>
            <w:left w:val="none" w:sz="0" w:space="0" w:color="auto"/>
            <w:bottom w:val="none" w:sz="0" w:space="0" w:color="auto"/>
            <w:right w:val="none" w:sz="0" w:space="0" w:color="auto"/>
          </w:divBdr>
        </w:div>
      </w:divsChild>
    </w:div>
    <w:div w:id="491869953">
      <w:bodyDiv w:val="1"/>
      <w:marLeft w:val="0"/>
      <w:marRight w:val="0"/>
      <w:marTop w:val="0"/>
      <w:marBottom w:val="0"/>
      <w:divBdr>
        <w:top w:val="none" w:sz="0" w:space="0" w:color="auto"/>
        <w:left w:val="none" w:sz="0" w:space="0" w:color="auto"/>
        <w:bottom w:val="none" w:sz="0" w:space="0" w:color="auto"/>
        <w:right w:val="none" w:sz="0" w:space="0" w:color="auto"/>
      </w:divBdr>
      <w:divsChild>
        <w:div w:id="127557263">
          <w:marLeft w:val="562"/>
          <w:marRight w:val="0"/>
          <w:marTop w:val="115"/>
          <w:marBottom w:val="0"/>
          <w:divBdr>
            <w:top w:val="none" w:sz="0" w:space="0" w:color="auto"/>
            <w:left w:val="none" w:sz="0" w:space="0" w:color="auto"/>
            <w:bottom w:val="none" w:sz="0" w:space="0" w:color="auto"/>
            <w:right w:val="none" w:sz="0" w:space="0" w:color="auto"/>
          </w:divBdr>
        </w:div>
        <w:div w:id="228268466">
          <w:marLeft w:val="720"/>
          <w:marRight w:val="0"/>
          <w:marTop w:val="96"/>
          <w:marBottom w:val="0"/>
          <w:divBdr>
            <w:top w:val="none" w:sz="0" w:space="0" w:color="auto"/>
            <w:left w:val="none" w:sz="0" w:space="0" w:color="auto"/>
            <w:bottom w:val="none" w:sz="0" w:space="0" w:color="auto"/>
            <w:right w:val="none" w:sz="0" w:space="0" w:color="auto"/>
          </w:divBdr>
        </w:div>
        <w:div w:id="517081578">
          <w:marLeft w:val="720"/>
          <w:marRight w:val="0"/>
          <w:marTop w:val="96"/>
          <w:marBottom w:val="0"/>
          <w:divBdr>
            <w:top w:val="none" w:sz="0" w:space="0" w:color="auto"/>
            <w:left w:val="none" w:sz="0" w:space="0" w:color="auto"/>
            <w:bottom w:val="none" w:sz="0" w:space="0" w:color="auto"/>
            <w:right w:val="none" w:sz="0" w:space="0" w:color="auto"/>
          </w:divBdr>
        </w:div>
        <w:div w:id="872235282">
          <w:marLeft w:val="720"/>
          <w:marRight w:val="0"/>
          <w:marTop w:val="96"/>
          <w:marBottom w:val="0"/>
          <w:divBdr>
            <w:top w:val="none" w:sz="0" w:space="0" w:color="auto"/>
            <w:left w:val="none" w:sz="0" w:space="0" w:color="auto"/>
            <w:bottom w:val="none" w:sz="0" w:space="0" w:color="auto"/>
            <w:right w:val="none" w:sz="0" w:space="0" w:color="auto"/>
          </w:divBdr>
        </w:div>
        <w:div w:id="1024747687">
          <w:marLeft w:val="562"/>
          <w:marRight w:val="0"/>
          <w:marTop w:val="115"/>
          <w:marBottom w:val="0"/>
          <w:divBdr>
            <w:top w:val="none" w:sz="0" w:space="0" w:color="auto"/>
            <w:left w:val="none" w:sz="0" w:space="0" w:color="auto"/>
            <w:bottom w:val="none" w:sz="0" w:space="0" w:color="auto"/>
            <w:right w:val="none" w:sz="0" w:space="0" w:color="auto"/>
          </w:divBdr>
        </w:div>
        <w:div w:id="1084257952">
          <w:marLeft w:val="720"/>
          <w:marRight w:val="0"/>
          <w:marTop w:val="96"/>
          <w:marBottom w:val="0"/>
          <w:divBdr>
            <w:top w:val="none" w:sz="0" w:space="0" w:color="auto"/>
            <w:left w:val="none" w:sz="0" w:space="0" w:color="auto"/>
            <w:bottom w:val="none" w:sz="0" w:space="0" w:color="auto"/>
            <w:right w:val="none" w:sz="0" w:space="0" w:color="auto"/>
          </w:divBdr>
        </w:div>
        <w:div w:id="1084567287">
          <w:marLeft w:val="562"/>
          <w:marRight w:val="0"/>
          <w:marTop w:val="115"/>
          <w:marBottom w:val="0"/>
          <w:divBdr>
            <w:top w:val="none" w:sz="0" w:space="0" w:color="auto"/>
            <w:left w:val="none" w:sz="0" w:space="0" w:color="auto"/>
            <w:bottom w:val="none" w:sz="0" w:space="0" w:color="auto"/>
            <w:right w:val="none" w:sz="0" w:space="0" w:color="auto"/>
          </w:divBdr>
        </w:div>
        <w:div w:id="1197505018">
          <w:marLeft w:val="720"/>
          <w:marRight w:val="0"/>
          <w:marTop w:val="96"/>
          <w:marBottom w:val="0"/>
          <w:divBdr>
            <w:top w:val="none" w:sz="0" w:space="0" w:color="auto"/>
            <w:left w:val="none" w:sz="0" w:space="0" w:color="auto"/>
            <w:bottom w:val="none" w:sz="0" w:space="0" w:color="auto"/>
            <w:right w:val="none" w:sz="0" w:space="0" w:color="auto"/>
          </w:divBdr>
        </w:div>
        <w:div w:id="1487165351">
          <w:marLeft w:val="720"/>
          <w:marRight w:val="0"/>
          <w:marTop w:val="96"/>
          <w:marBottom w:val="0"/>
          <w:divBdr>
            <w:top w:val="none" w:sz="0" w:space="0" w:color="auto"/>
            <w:left w:val="none" w:sz="0" w:space="0" w:color="auto"/>
            <w:bottom w:val="none" w:sz="0" w:space="0" w:color="auto"/>
            <w:right w:val="none" w:sz="0" w:space="0" w:color="auto"/>
          </w:divBdr>
        </w:div>
        <w:div w:id="1847747940">
          <w:marLeft w:val="720"/>
          <w:marRight w:val="0"/>
          <w:marTop w:val="96"/>
          <w:marBottom w:val="0"/>
          <w:divBdr>
            <w:top w:val="none" w:sz="0" w:space="0" w:color="auto"/>
            <w:left w:val="none" w:sz="0" w:space="0" w:color="auto"/>
            <w:bottom w:val="none" w:sz="0" w:space="0" w:color="auto"/>
            <w:right w:val="none" w:sz="0" w:space="0" w:color="auto"/>
          </w:divBdr>
        </w:div>
        <w:div w:id="2036495003">
          <w:marLeft w:val="562"/>
          <w:marRight w:val="0"/>
          <w:marTop w:val="115"/>
          <w:marBottom w:val="0"/>
          <w:divBdr>
            <w:top w:val="none" w:sz="0" w:space="0" w:color="auto"/>
            <w:left w:val="none" w:sz="0" w:space="0" w:color="auto"/>
            <w:bottom w:val="none" w:sz="0" w:space="0" w:color="auto"/>
            <w:right w:val="none" w:sz="0" w:space="0" w:color="auto"/>
          </w:divBdr>
        </w:div>
      </w:divsChild>
    </w:div>
    <w:div w:id="498738150">
      <w:bodyDiv w:val="1"/>
      <w:marLeft w:val="0"/>
      <w:marRight w:val="0"/>
      <w:marTop w:val="0"/>
      <w:marBottom w:val="0"/>
      <w:divBdr>
        <w:top w:val="none" w:sz="0" w:space="0" w:color="auto"/>
        <w:left w:val="none" w:sz="0" w:space="0" w:color="auto"/>
        <w:bottom w:val="none" w:sz="0" w:space="0" w:color="auto"/>
        <w:right w:val="none" w:sz="0" w:space="0" w:color="auto"/>
      </w:divBdr>
    </w:div>
    <w:div w:id="503134986">
      <w:bodyDiv w:val="1"/>
      <w:marLeft w:val="0"/>
      <w:marRight w:val="0"/>
      <w:marTop w:val="0"/>
      <w:marBottom w:val="0"/>
      <w:divBdr>
        <w:top w:val="none" w:sz="0" w:space="0" w:color="auto"/>
        <w:left w:val="none" w:sz="0" w:space="0" w:color="auto"/>
        <w:bottom w:val="none" w:sz="0" w:space="0" w:color="auto"/>
        <w:right w:val="none" w:sz="0" w:space="0" w:color="auto"/>
      </w:divBdr>
      <w:divsChild>
        <w:div w:id="1073819534">
          <w:marLeft w:val="562"/>
          <w:marRight w:val="0"/>
          <w:marTop w:val="96"/>
          <w:marBottom w:val="0"/>
          <w:divBdr>
            <w:top w:val="none" w:sz="0" w:space="0" w:color="auto"/>
            <w:left w:val="none" w:sz="0" w:space="0" w:color="auto"/>
            <w:bottom w:val="none" w:sz="0" w:space="0" w:color="auto"/>
            <w:right w:val="none" w:sz="0" w:space="0" w:color="auto"/>
          </w:divBdr>
        </w:div>
        <w:div w:id="1164471324">
          <w:marLeft w:val="720"/>
          <w:marRight w:val="0"/>
          <w:marTop w:val="86"/>
          <w:marBottom w:val="0"/>
          <w:divBdr>
            <w:top w:val="none" w:sz="0" w:space="0" w:color="auto"/>
            <w:left w:val="none" w:sz="0" w:space="0" w:color="auto"/>
            <w:bottom w:val="none" w:sz="0" w:space="0" w:color="auto"/>
            <w:right w:val="none" w:sz="0" w:space="0" w:color="auto"/>
          </w:divBdr>
        </w:div>
        <w:div w:id="1244755827">
          <w:marLeft w:val="562"/>
          <w:marRight w:val="0"/>
          <w:marTop w:val="96"/>
          <w:marBottom w:val="0"/>
          <w:divBdr>
            <w:top w:val="none" w:sz="0" w:space="0" w:color="auto"/>
            <w:left w:val="none" w:sz="0" w:space="0" w:color="auto"/>
            <w:bottom w:val="none" w:sz="0" w:space="0" w:color="auto"/>
            <w:right w:val="none" w:sz="0" w:space="0" w:color="auto"/>
          </w:divBdr>
        </w:div>
        <w:div w:id="1331911681">
          <w:marLeft w:val="562"/>
          <w:marRight w:val="0"/>
          <w:marTop w:val="96"/>
          <w:marBottom w:val="0"/>
          <w:divBdr>
            <w:top w:val="none" w:sz="0" w:space="0" w:color="auto"/>
            <w:left w:val="none" w:sz="0" w:space="0" w:color="auto"/>
            <w:bottom w:val="none" w:sz="0" w:space="0" w:color="auto"/>
            <w:right w:val="none" w:sz="0" w:space="0" w:color="auto"/>
          </w:divBdr>
        </w:div>
        <w:div w:id="1476990931">
          <w:marLeft w:val="562"/>
          <w:marRight w:val="0"/>
          <w:marTop w:val="96"/>
          <w:marBottom w:val="0"/>
          <w:divBdr>
            <w:top w:val="none" w:sz="0" w:space="0" w:color="auto"/>
            <w:left w:val="none" w:sz="0" w:space="0" w:color="auto"/>
            <w:bottom w:val="none" w:sz="0" w:space="0" w:color="auto"/>
            <w:right w:val="none" w:sz="0" w:space="0" w:color="auto"/>
          </w:divBdr>
        </w:div>
        <w:div w:id="1649822784">
          <w:marLeft w:val="562"/>
          <w:marRight w:val="0"/>
          <w:marTop w:val="96"/>
          <w:marBottom w:val="0"/>
          <w:divBdr>
            <w:top w:val="none" w:sz="0" w:space="0" w:color="auto"/>
            <w:left w:val="none" w:sz="0" w:space="0" w:color="auto"/>
            <w:bottom w:val="none" w:sz="0" w:space="0" w:color="auto"/>
            <w:right w:val="none" w:sz="0" w:space="0" w:color="auto"/>
          </w:divBdr>
        </w:div>
        <w:div w:id="2049184840">
          <w:marLeft w:val="720"/>
          <w:marRight w:val="0"/>
          <w:marTop w:val="86"/>
          <w:marBottom w:val="0"/>
          <w:divBdr>
            <w:top w:val="none" w:sz="0" w:space="0" w:color="auto"/>
            <w:left w:val="none" w:sz="0" w:space="0" w:color="auto"/>
            <w:bottom w:val="none" w:sz="0" w:space="0" w:color="auto"/>
            <w:right w:val="none" w:sz="0" w:space="0" w:color="auto"/>
          </w:divBdr>
        </w:div>
      </w:divsChild>
    </w:div>
    <w:div w:id="503787763">
      <w:bodyDiv w:val="1"/>
      <w:marLeft w:val="0"/>
      <w:marRight w:val="0"/>
      <w:marTop w:val="0"/>
      <w:marBottom w:val="0"/>
      <w:divBdr>
        <w:top w:val="none" w:sz="0" w:space="0" w:color="auto"/>
        <w:left w:val="none" w:sz="0" w:space="0" w:color="auto"/>
        <w:bottom w:val="none" w:sz="0" w:space="0" w:color="auto"/>
        <w:right w:val="none" w:sz="0" w:space="0" w:color="auto"/>
      </w:divBdr>
      <w:divsChild>
        <w:div w:id="657225512">
          <w:marLeft w:val="562"/>
          <w:marRight w:val="0"/>
          <w:marTop w:val="115"/>
          <w:marBottom w:val="0"/>
          <w:divBdr>
            <w:top w:val="none" w:sz="0" w:space="0" w:color="auto"/>
            <w:left w:val="none" w:sz="0" w:space="0" w:color="auto"/>
            <w:bottom w:val="none" w:sz="0" w:space="0" w:color="auto"/>
            <w:right w:val="none" w:sz="0" w:space="0" w:color="auto"/>
          </w:divBdr>
        </w:div>
        <w:div w:id="1040325224">
          <w:marLeft w:val="720"/>
          <w:marRight w:val="0"/>
          <w:marTop w:val="96"/>
          <w:marBottom w:val="0"/>
          <w:divBdr>
            <w:top w:val="none" w:sz="0" w:space="0" w:color="auto"/>
            <w:left w:val="none" w:sz="0" w:space="0" w:color="auto"/>
            <w:bottom w:val="none" w:sz="0" w:space="0" w:color="auto"/>
            <w:right w:val="none" w:sz="0" w:space="0" w:color="auto"/>
          </w:divBdr>
        </w:div>
        <w:div w:id="1079207468">
          <w:marLeft w:val="720"/>
          <w:marRight w:val="0"/>
          <w:marTop w:val="96"/>
          <w:marBottom w:val="0"/>
          <w:divBdr>
            <w:top w:val="none" w:sz="0" w:space="0" w:color="auto"/>
            <w:left w:val="none" w:sz="0" w:space="0" w:color="auto"/>
            <w:bottom w:val="none" w:sz="0" w:space="0" w:color="auto"/>
            <w:right w:val="none" w:sz="0" w:space="0" w:color="auto"/>
          </w:divBdr>
        </w:div>
        <w:div w:id="1150320208">
          <w:marLeft w:val="562"/>
          <w:marRight w:val="0"/>
          <w:marTop w:val="115"/>
          <w:marBottom w:val="0"/>
          <w:divBdr>
            <w:top w:val="none" w:sz="0" w:space="0" w:color="auto"/>
            <w:left w:val="none" w:sz="0" w:space="0" w:color="auto"/>
            <w:bottom w:val="none" w:sz="0" w:space="0" w:color="auto"/>
            <w:right w:val="none" w:sz="0" w:space="0" w:color="auto"/>
          </w:divBdr>
        </w:div>
        <w:div w:id="1591620495">
          <w:marLeft w:val="720"/>
          <w:marRight w:val="0"/>
          <w:marTop w:val="96"/>
          <w:marBottom w:val="0"/>
          <w:divBdr>
            <w:top w:val="none" w:sz="0" w:space="0" w:color="auto"/>
            <w:left w:val="none" w:sz="0" w:space="0" w:color="auto"/>
            <w:bottom w:val="none" w:sz="0" w:space="0" w:color="auto"/>
            <w:right w:val="none" w:sz="0" w:space="0" w:color="auto"/>
          </w:divBdr>
        </w:div>
        <w:div w:id="1729645287">
          <w:marLeft w:val="720"/>
          <w:marRight w:val="0"/>
          <w:marTop w:val="96"/>
          <w:marBottom w:val="0"/>
          <w:divBdr>
            <w:top w:val="none" w:sz="0" w:space="0" w:color="auto"/>
            <w:left w:val="none" w:sz="0" w:space="0" w:color="auto"/>
            <w:bottom w:val="none" w:sz="0" w:space="0" w:color="auto"/>
            <w:right w:val="none" w:sz="0" w:space="0" w:color="auto"/>
          </w:divBdr>
        </w:div>
        <w:div w:id="1916698575">
          <w:marLeft w:val="720"/>
          <w:marRight w:val="0"/>
          <w:marTop w:val="96"/>
          <w:marBottom w:val="0"/>
          <w:divBdr>
            <w:top w:val="none" w:sz="0" w:space="0" w:color="auto"/>
            <w:left w:val="none" w:sz="0" w:space="0" w:color="auto"/>
            <w:bottom w:val="none" w:sz="0" w:space="0" w:color="auto"/>
            <w:right w:val="none" w:sz="0" w:space="0" w:color="auto"/>
          </w:divBdr>
        </w:div>
      </w:divsChild>
    </w:div>
    <w:div w:id="513150050">
      <w:bodyDiv w:val="1"/>
      <w:marLeft w:val="0"/>
      <w:marRight w:val="0"/>
      <w:marTop w:val="0"/>
      <w:marBottom w:val="0"/>
      <w:divBdr>
        <w:top w:val="none" w:sz="0" w:space="0" w:color="auto"/>
        <w:left w:val="none" w:sz="0" w:space="0" w:color="auto"/>
        <w:bottom w:val="none" w:sz="0" w:space="0" w:color="auto"/>
        <w:right w:val="none" w:sz="0" w:space="0" w:color="auto"/>
      </w:divBdr>
      <w:divsChild>
        <w:div w:id="154883077">
          <w:marLeft w:val="360"/>
          <w:marRight w:val="0"/>
          <w:marTop w:val="312"/>
          <w:marBottom w:val="0"/>
          <w:divBdr>
            <w:top w:val="none" w:sz="0" w:space="0" w:color="auto"/>
            <w:left w:val="none" w:sz="0" w:space="0" w:color="auto"/>
            <w:bottom w:val="none" w:sz="0" w:space="0" w:color="auto"/>
            <w:right w:val="none" w:sz="0" w:space="0" w:color="auto"/>
          </w:divBdr>
        </w:div>
        <w:div w:id="207493736">
          <w:marLeft w:val="360"/>
          <w:marRight w:val="0"/>
          <w:marTop w:val="312"/>
          <w:marBottom w:val="0"/>
          <w:divBdr>
            <w:top w:val="none" w:sz="0" w:space="0" w:color="auto"/>
            <w:left w:val="none" w:sz="0" w:space="0" w:color="auto"/>
            <w:bottom w:val="none" w:sz="0" w:space="0" w:color="auto"/>
            <w:right w:val="none" w:sz="0" w:space="0" w:color="auto"/>
          </w:divBdr>
        </w:div>
        <w:div w:id="784615767">
          <w:marLeft w:val="360"/>
          <w:marRight w:val="0"/>
          <w:marTop w:val="312"/>
          <w:marBottom w:val="0"/>
          <w:divBdr>
            <w:top w:val="none" w:sz="0" w:space="0" w:color="auto"/>
            <w:left w:val="none" w:sz="0" w:space="0" w:color="auto"/>
            <w:bottom w:val="none" w:sz="0" w:space="0" w:color="auto"/>
            <w:right w:val="none" w:sz="0" w:space="0" w:color="auto"/>
          </w:divBdr>
        </w:div>
        <w:div w:id="1915385299">
          <w:marLeft w:val="360"/>
          <w:marRight w:val="0"/>
          <w:marTop w:val="312"/>
          <w:marBottom w:val="0"/>
          <w:divBdr>
            <w:top w:val="none" w:sz="0" w:space="0" w:color="auto"/>
            <w:left w:val="none" w:sz="0" w:space="0" w:color="auto"/>
            <w:bottom w:val="none" w:sz="0" w:space="0" w:color="auto"/>
            <w:right w:val="none" w:sz="0" w:space="0" w:color="auto"/>
          </w:divBdr>
        </w:div>
      </w:divsChild>
    </w:div>
    <w:div w:id="540367651">
      <w:bodyDiv w:val="1"/>
      <w:marLeft w:val="0"/>
      <w:marRight w:val="0"/>
      <w:marTop w:val="0"/>
      <w:marBottom w:val="0"/>
      <w:divBdr>
        <w:top w:val="none" w:sz="0" w:space="0" w:color="auto"/>
        <w:left w:val="none" w:sz="0" w:space="0" w:color="auto"/>
        <w:bottom w:val="none" w:sz="0" w:space="0" w:color="auto"/>
        <w:right w:val="none" w:sz="0" w:space="0" w:color="auto"/>
      </w:divBdr>
    </w:div>
    <w:div w:id="546720628">
      <w:bodyDiv w:val="1"/>
      <w:marLeft w:val="0"/>
      <w:marRight w:val="0"/>
      <w:marTop w:val="0"/>
      <w:marBottom w:val="0"/>
      <w:divBdr>
        <w:top w:val="none" w:sz="0" w:space="0" w:color="auto"/>
        <w:left w:val="none" w:sz="0" w:space="0" w:color="auto"/>
        <w:bottom w:val="none" w:sz="0" w:space="0" w:color="auto"/>
        <w:right w:val="none" w:sz="0" w:space="0" w:color="auto"/>
      </w:divBdr>
    </w:div>
    <w:div w:id="547886565">
      <w:bodyDiv w:val="1"/>
      <w:marLeft w:val="0"/>
      <w:marRight w:val="0"/>
      <w:marTop w:val="0"/>
      <w:marBottom w:val="0"/>
      <w:divBdr>
        <w:top w:val="none" w:sz="0" w:space="0" w:color="auto"/>
        <w:left w:val="none" w:sz="0" w:space="0" w:color="auto"/>
        <w:bottom w:val="none" w:sz="0" w:space="0" w:color="auto"/>
        <w:right w:val="none" w:sz="0" w:space="0" w:color="auto"/>
      </w:divBdr>
      <w:divsChild>
        <w:div w:id="955020263">
          <w:marLeft w:val="0"/>
          <w:marRight w:val="0"/>
          <w:marTop w:val="0"/>
          <w:marBottom w:val="0"/>
          <w:divBdr>
            <w:top w:val="none" w:sz="0" w:space="0" w:color="auto"/>
            <w:left w:val="none" w:sz="0" w:space="0" w:color="auto"/>
            <w:bottom w:val="none" w:sz="0" w:space="0" w:color="auto"/>
            <w:right w:val="none" w:sz="0" w:space="0" w:color="auto"/>
          </w:divBdr>
          <w:divsChild>
            <w:div w:id="272827817">
              <w:marLeft w:val="0"/>
              <w:marRight w:val="0"/>
              <w:marTop w:val="0"/>
              <w:marBottom w:val="0"/>
              <w:divBdr>
                <w:top w:val="none" w:sz="0" w:space="0" w:color="auto"/>
                <w:left w:val="none" w:sz="0" w:space="0" w:color="auto"/>
                <w:bottom w:val="none" w:sz="0" w:space="0" w:color="auto"/>
                <w:right w:val="none" w:sz="0" w:space="0" w:color="auto"/>
              </w:divBdr>
            </w:div>
            <w:div w:id="774251474">
              <w:marLeft w:val="0"/>
              <w:marRight w:val="0"/>
              <w:marTop w:val="0"/>
              <w:marBottom w:val="0"/>
              <w:divBdr>
                <w:top w:val="none" w:sz="0" w:space="0" w:color="auto"/>
                <w:left w:val="none" w:sz="0" w:space="0" w:color="auto"/>
                <w:bottom w:val="none" w:sz="0" w:space="0" w:color="auto"/>
                <w:right w:val="none" w:sz="0" w:space="0" w:color="auto"/>
              </w:divBdr>
            </w:div>
            <w:div w:id="851184340">
              <w:marLeft w:val="0"/>
              <w:marRight w:val="0"/>
              <w:marTop w:val="0"/>
              <w:marBottom w:val="0"/>
              <w:divBdr>
                <w:top w:val="none" w:sz="0" w:space="0" w:color="auto"/>
                <w:left w:val="none" w:sz="0" w:space="0" w:color="auto"/>
                <w:bottom w:val="none" w:sz="0" w:space="0" w:color="auto"/>
                <w:right w:val="none" w:sz="0" w:space="0" w:color="auto"/>
              </w:divBdr>
            </w:div>
            <w:div w:id="926037935">
              <w:marLeft w:val="0"/>
              <w:marRight w:val="0"/>
              <w:marTop w:val="0"/>
              <w:marBottom w:val="0"/>
              <w:divBdr>
                <w:top w:val="none" w:sz="0" w:space="0" w:color="auto"/>
                <w:left w:val="none" w:sz="0" w:space="0" w:color="auto"/>
                <w:bottom w:val="none" w:sz="0" w:space="0" w:color="auto"/>
                <w:right w:val="none" w:sz="0" w:space="0" w:color="auto"/>
              </w:divBdr>
            </w:div>
            <w:div w:id="1574075257">
              <w:marLeft w:val="0"/>
              <w:marRight w:val="0"/>
              <w:marTop w:val="0"/>
              <w:marBottom w:val="0"/>
              <w:divBdr>
                <w:top w:val="none" w:sz="0" w:space="0" w:color="auto"/>
                <w:left w:val="none" w:sz="0" w:space="0" w:color="auto"/>
                <w:bottom w:val="none" w:sz="0" w:space="0" w:color="auto"/>
                <w:right w:val="none" w:sz="0" w:space="0" w:color="auto"/>
              </w:divBdr>
            </w:div>
            <w:div w:id="2008512680">
              <w:marLeft w:val="0"/>
              <w:marRight w:val="0"/>
              <w:marTop w:val="0"/>
              <w:marBottom w:val="0"/>
              <w:divBdr>
                <w:top w:val="none" w:sz="0" w:space="0" w:color="auto"/>
                <w:left w:val="none" w:sz="0" w:space="0" w:color="auto"/>
                <w:bottom w:val="none" w:sz="0" w:space="0" w:color="auto"/>
                <w:right w:val="none" w:sz="0" w:space="0" w:color="auto"/>
              </w:divBdr>
            </w:div>
            <w:div w:id="20561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37150">
      <w:bodyDiv w:val="1"/>
      <w:marLeft w:val="0"/>
      <w:marRight w:val="0"/>
      <w:marTop w:val="0"/>
      <w:marBottom w:val="0"/>
      <w:divBdr>
        <w:top w:val="none" w:sz="0" w:space="0" w:color="auto"/>
        <w:left w:val="none" w:sz="0" w:space="0" w:color="auto"/>
        <w:bottom w:val="none" w:sz="0" w:space="0" w:color="auto"/>
        <w:right w:val="none" w:sz="0" w:space="0" w:color="auto"/>
      </w:divBdr>
      <w:divsChild>
        <w:div w:id="1383166322">
          <w:marLeft w:val="562"/>
          <w:marRight w:val="0"/>
          <w:marTop w:val="115"/>
          <w:marBottom w:val="0"/>
          <w:divBdr>
            <w:top w:val="none" w:sz="0" w:space="0" w:color="auto"/>
            <w:left w:val="none" w:sz="0" w:space="0" w:color="auto"/>
            <w:bottom w:val="none" w:sz="0" w:space="0" w:color="auto"/>
            <w:right w:val="none" w:sz="0" w:space="0" w:color="auto"/>
          </w:divBdr>
        </w:div>
        <w:div w:id="1057361539">
          <w:marLeft w:val="562"/>
          <w:marRight w:val="0"/>
          <w:marTop w:val="115"/>
          <w:marBottom w:val="0"/>
          <w:divBdr>
            <w:top w:val="none" w:sz="0" w:space="0" w:color="auto"/>
            <w:left w:val="none" w:sz="0" w:space="0" w:color="auto"/>
            <w:bottom w:val="none" w:sz="0" w:space="0" w:color="auto"/>
            <w:right w:val="none" w:sz="0" w:space="0" w:color="auto"/>
          </w:divBdr>
        </w:div>
        <w:div w:id="776215894">
          <w:marLeft w:val="562"/>
          <w:marRight w:val="0"/>
          <w:marTop w:val="115"/>
          <w:marBottom w:val="0"/>
          <w:divBdr>
            <w:top w:val="none" w:sz="0" w:space="0" w:color="auto"/>
            <w:left w:val="none" w:sz="0" w:space="0" w:color="auto"/>
            <w:bottom w:val="none" w:sz="0" w:space="0" w:color="auto"/>
            <w:right w:val="none" w:sz="0" w:space="0" w:color="auto"/>
          </w:divBdr>
        </w:div>
        <w:div w:id="1029572283">
          <w:marLeft w:val="562"/>
          <w:marRight w:val="0"/>
          <w:marTop w:val="115"/>
          <w:marBottom w:val="0"/>
          <w:divBdr>
            <w:top w:val="none" w:sz="0" w:space="0" w:color="auto"/>
            <w:left w:val="none" w:sz="0" w:space="0" w:color="auto"/>
            <w:bottom w:val="none" w:sz="0" w:space="0" w:color="auto"/>
            <w:right w:val="none" w:sz="0" w:space="0" w:color="auto"/>
          </w:divBdr>
        </w:div>
        <w:div w:id="1581060471">
          <w:marLeft w:val="562"/>
          <w:marRight w:val="0"/>
          <w:marTop w:val="115"/>
          <w:marBottom w:val="0"/>
          <w:divBdr>
            <w:top w:val="none" w:sz="0" w:space="0" w:color="auto"/>
            <w:left w:val="none" w:sz="0" w:space="0" w:color="auto"/>
            <w:bottom w:val="none" w:sz="0" w:space="0" w:color="auto"/>
            <w:right w:val="none" w:sz="0" w:space="0" w:color="auto"/>
          </w:divBdr>
        </w:div>
      </w:divsChild>
    </w:div>
    <w:div w:id="567113344">
      <w:bodyDiv w:val="1"/>
      <w:marLeft w:val="0"/>
      <w:marRight w:val="0"/>
      <w:marTop w:val="0"/>
      <w:marBottom w:val="0"/>
      <w:divBdr>
        <w:top w:val="none" w:sz="0" w:space="0" w:color="auto"/>
        <w:left w:val="none" w:sz="0" w:space="0" w:color="auto"/>
        <w:bottom w:val="none" w:sz="0" w:space="0" w:color="auto"/>
        <w:right w:val="none" w:sz="0" w:space="0" w:color="auto"/>
      </w:divBdr>
      <w:divsChild>
        <w:div w:id="144931173">
          <w:marLeft w:val="720"/>
          <w:marRight w:val="0"/>
          <w:marTop w:val="91"/>
          <w:marBottom w:val="0"/>
          <w:divBdr>
            <w:top w:val="none" w:sz="0" w:space="0" w:color="auto"/>
            <w:left w:val="none" w:sz="0" w:space="0" w:color="auto"/>
            <w:bottom w:val="none" w:sz="0" w:space="0" w:color="auto"/>
            <w:right w:val="none" w:sz="0" w:space="0" w:color="auto"/>
          </w:divBdr>
        </w:div>
        <w:div w:id="169561706">
          <w:marLeft w:val="720"/>
          <w:marRight w:val="0"/>
          <w:marTop w:val="91"/>
          <w:marBottom w:val="0"/>
          <w:divBdr>
            <w:top w:val="none" w:sz="0" w:space="0" w:color="auto"/>
            <w:left w:val="none" w:sz="0" w:space="0" w:color="auto"/>
            <w:bottom w:val="none" w:sz="0" w:space="0" w:color="auto"/>
            <w:right w:val="none" w:sz="0" w:space="0" w:color="auto"/>
          </w:divBdr>
        </w:div>
        <w:div w:id="202255133">
          <w:marLeft w:val="720"/>
          <w:marRight w:val="0"/>
          <w:marTop w:val="91"/>
          <w:marBottom w:val="0"/>
          <w:divBdr>
            <w:top w:val="none" w:sz="0" w:space="0" w:color="auto"/>
            <w:left w:val="none" w:sz="0" w:space="0" w:color="auto"/>
            <w:bottom w:val="none" w:sz="0" w:space="0" w:color="auto"/>
            <w:right w:val="none" w:sz="0" w:space="0" w:color="auto"/>
          </w:divBdr>
        </w:div>
        <w:div w:id="339083620">
          <w:marLeft w:val="720"/>
          <w:marRight w:val="0"/>
          <w:marTop w:val="91"/>
          <w:marBottom w:val="0"/>
          <w:divBdr>
            <w:top w:val="none" w:sz="0" w:space="0" w:color="auto"/>
            <w:left w:val="none" w:sz="0" w:space="0" w:color="auto"/>
            <w:bottom w:val="none" w:sz="0" w:space="0" w:color="auto"/>
            <w:right w:val="none" w:sz="0" w:space="0" w:color="auto"/>
          </w:divBdr>
        </w:div>
        <w:div w:id="396823125">
          <w:marLeft w:val="562"/>
          <w:marRight w:val="0"/>
          <w:marTop w:val="106"/>
          <w:marBottom w:val="0"/>
          <w:divBdr>
            <w:top w:val="none" w:sz="0" w:space="0" w:color="auto"/>
            <w:left w:val="none" w:sz="0" w:space="0" w:color="auto"/>
            <w:bottom w:val="none" w:sz="0" w:space="0" w:color="auto"/>
            <w:right w:val="none" w:sz="0" w:space="0" w:color="auto"/>
          </w:divBdr>
        </w:div>
        <w:div w:id="416247657">
          <w:marLeft w:val="720"/>
          <w:marRight w:val="0"/>
          <w:marTop w:val="91"/>
          <w:marBottom w:val="0"/>
          <w:divBdr>
            <w:top w:val="none" w:sz="0" w:space="0" w:color="auto"/>
            <w:left w:val="none" w:sz="0" w:space="0" w:color="auto"/>
            <w:bottom w:val="none" w:sz="0" w:space="0" w:color="auto"/>
            <w:right w:val="none" w:sz="0" w:space="0" w:color="auto"/>
          </w:divBdr>
        </w:div>
        <w:div w:id="589507075">
          <w:marLeft w:val="562"/>
          <w:marRight w:val="0"/>
          <w:marTop w:val="106"/>
          <w:marBottom w:val="0"/>
          <w:divBdr>
            <w:top w:val="none" w:sz="0" w:space="0" w:color="auto"/>
            <w:left w:val="none" w:sz="0" w:space="0" w:color="auto"/>
            <w:bottom w:val="none" w:sz="0" w:space="0" w:color="auto"/>
            <w:right w:val="none" w:sz="0" w:space="0" w:color="auto"/>
          </w:divBdr>
        </w:div>
        <w:div w:id="681663138">
          <w:marLeft w:val="720"/>
          <w:marRight w:val="0"/>
          <w:marTop w:val="91"/>
          <w:marBottom w:val="0"/>
          <w:divBdr>
            <w:top w:val="none" w:sz="0" w:space="0" w:color="auto"/>
            <w:left w:val="none" w:sz="0" w:space="0" w:color="auto"/>
            <w:bottom w:val="none" w:sz="0" w:space="0" w:color="auto"/>
            <w:right w:val="none" w:sz="0" w:space="0" w:color="auto"/>
          </w:divBdr>
        </w:div>
        <w:div w:id="1009605815">
          <w:marLeft w:val="562"/>
          <w:marRight w:val="0"/>
          <w:marTop w:val="106"/>
          <w:marBottom w:val="0"/>
          <w:divBdr>
            <w:top w:val="none" w:sz="0" w:space="0" w:color="auto"/>
            <w:left w:val="none" w:sz="0" w:space="0" w:color="auto"/>
            <w:bottom w:val="none" w:sz="0" w:space="0" w:color="auto"/>
            <w:right w:val="none" w:sz="0" w:space="0" w:color="auto"/>
          </w:divBdr>
        </w:div>
        <w:div w:id="1212495292">
          <w:marLeft w:val="562"/>
          <w:marRight w:val="0"/>
          <w:marTop w:val="106"/>
          <w:marBottom w:val="0"/>
          <w:divBdr>
            <w:top w:val="none" w:sz="0" w:space="0" w:color="auto"/>
            <w:left w:val="none" w:sz="0" w:space="0" w:color="auto"/>
            <w:bottom w:val="none" w:sz="0" w:space="0" w:color="auto"/>
            <w:right w:val="none" w:sz="0" w:space="0" w:color="auto"/>
          </w:divBdr>
        </w:div>
        <w:div w:id="1318417750">
          <w:marLeft w:val="562"/>
          <w:marRight w:val="0"/>
          <w:marTop w:val="106"/>
          <w:marBottom w:val="0"/>
          <w:divBdr>
            <w:top w:val="none" w:sz="0" w:space="0" w:color="auto"/>
            <w:left w:val="none" w:sz="0" w:space="0" w:color="auto"/>
            <w:bottom w:val="none" w:sz="0" w:space="0" w:color="auto"/>
            <w:right w:val="none" w:sz="0" w:space="0" w:color="auto"/>
          </w:divBdr>
        </w:div>
        <w:div w:id="1701469846">
          <w:marLeft w:val="562"/>
          <w:marRight w:val="0"/>
          <w:marTop w:val="106"/>
          <w:marBottom w:val="0"/>
          <w:divBdr>
            <w:top w:val="none" w:sz="0" w:space="0" w:color="auto"/>
            <w:left w:val="none" w:sz="0" w:space="0" w:color="auto"/>
            <w:bottom w:val="none" w:sz="0" w:space="0" w:color="auto"/>
            <w:right w:val="none" w:sz="0" w:space="0" w:color="auto"/>
          </w:divBdr>
        </w:div>
        <w:div w:id="1747144891">
          <w:marLeft w:val="720"/>
          <w:marRight w:val="0"/>
          <w:marTop w:val="91"/>
          <w:marBottom w:val="0"/>
          <w:divBdr>
            <w:top w:val="none" w:sz="0" w:space="0" w:color="auto"/>
            <w:left w:val="none" w:sz="0" w:space="0" w:color="auto"/>
            <w:bottom w:val="none" w:sz="0" w:space="0" w:color="auto"/>
            <w:right w:val="none" w:sz="0" w:space="0" w:color="auto"/>
          </w:divBdr>
        </w:div>
        <w:div w:id="1882010244">
          <w:marLeft w:val="720"/>
          <w:marRight w:val="0"/>
          <w:marTop w:val="91"/>
          <w:marBottom w:val="0"/>
          <w:divBdr>
            <w:top w:val="none" w:sz="0" w:space="0" w:color="auto"/>
            <w:left w:val="none" w:sz="0" w:space="0" w:color="auto"/>
            <w:bottom w:val="none" w:sz="0" w:space="0" w:color="auto"/>
            <w:right w:val="none" w:sz="0" w:space="0" w:color="auto"/>
          </w:divBdr>
        </w:div>
      </w:divsChild>
    </w:div>
    <w:div w:id="570307309">
      <w:bodyDiv w:val="1"/>
      <w:marLeft w:val="0"/>
      <w:marRight w:val="0"/>
      <w:marTop w:val="0"/>
      <w:marBottom w:val="0"/>
      <w:divBdr>
        <w:top w:val="none" w:sz="0" w:space="0" w:color="auto"/>
        <w:left w:val="none" w:sz="0" w:space="0" w:color="auto"/>
        <w:bottom w:val="none" w:sz="0" w:space="0" w:color="auto"/>
        <w:right w:val="none" w:sz="0" w:space="0" w:color="auto"/>
      </w:divBdr>
    </w:div>
    <w:div w:id="570585526">
      <w:bodyDiv w:val="1"/>
      <w:marLeft w:val="0"/>
      <w:marRight w:val="0"/>
      <w:marTop w:val="0"/>
      <w:marBottom w:val="0"/>
      <w:divBdr>
        <w:top w:val="none" w:sz="0" w:space="0" w:color="auto"/>
        <w:left w:val="none" w:sz="0" w:space="0" w:color="auto"/>
        <w:bottom w:val="none" w:sz="0" w:space="0" w:color="auto"/>
        <w:right w:val="none" w:sz="0" w:space="0" w:color="auto"/>
      </w:divBdr>
      <w:divsChild>
        <w:div w:id="208415297">
          <w:marLeft w:val="720"/>
          <w:marRight w:val="0"/>
          <w:marTop w:val="96"/>
          <w:marBottom w:val="0"/>
          <w:divBdr>
            <w:top w:val="none" w:sz="0" w:space="0" w:color="auto"/>
            <w:left w:val="none" w:sz="0" w:space="0" w:color="auto"/>
            <w:bottom w:val="none" w:sz="0" w:space="0" w:color="auto"/>
            <w:right w:val="none" w:sz="0" w:space="0" w:color="auto"/>
          </w:divBdr>
        </w:div>
        <w:div w:id="318072638">
          <w:marLeft w:val="720"/>
          <w:marRight w:val="0"/>
          <w:marTop w:val="96"/>
          <w:marBottom w:val="0"/>
          <w:divBdr>
            <w:top w:val="none" w:sz="0" w:space="0" w:color="auto"/>
            <w:left w:val="none" w:sz="0" w:space="0" w:color="auto"/>
            <w:bottom w:val="none" w:sz="0" w:space="0" w:color="auto"/>
            <w:right w:val="none" w:sz="0" w:space="0" w:color="auto"/>
          </w:divBdr>
        </w:div>
        <w:div w:id="594436256">
          <w:marLeft w:val="720"/>
          <w:marRight w:val="0"/>
          <w:marTop w:val="96"/>
          <w:marBottom w:val="0"/>
          <w:divBdr>
            <w:top w:val="none" w:sz="0" w:space="0" w:color="auto"/>
            <w:left w:val="none" w:sz="0" w:space="0" w:color="auto"/>
            <w:bottom w:val="none" w:sz="0" w:space="0" w:color="auto"/>
            <w:right w:val="none" w:sz="0" w:space="0" w:color="auto"/>
          </w:divBdr>
        </w:div>
        <w:div w:id="1106921054">
          <w:marLeft w:val="720"/>
          <w:marRight w:val="0"/>
          <w:marTop w:val="96"/>
          <w:marBottom w:val="0"/>
          <w:divBdr>
            <w:top w:val="none" w:sz="0" w:space="0" w:color="auto"/>
            <w:left w:val="none" w:sz="0" w:space="0" w:color="auto"/>
            <w:bottom w:val="none" w:sz="0" w:space="0" w:color="auto"/>
            <w:right w:val="none" w:sz="0" w:space="0" w:color="auto"/>
          </w:divBdr>
        </w:div>
        <w:div w:id="1391421121">
          <w:marLeft w:val="720"/>
          <w:marRight w:val="0"/>
          <w:marTop w:val="96"/>
          <w:marBottom w:val="0"/>
          <w:divBdr>
            <w:top w:val="none" w:sz="0" w:space="0" w:color="auto"/>
            <w:left w:val="none" w:sz="0" w:space="0" w:color="auto"/>
            <w:bottom w:val="none" w:sz="0" w:space="0" w:color="auto"/>
            <w:right w:val="none" w:sz="0" w:space="0" w:color="auto"/>
          </w:divBdr>
        </w:div>
        <w:div w:id="1446852735">
          <w:marLeft w:val="720"/>
          <w:marRight w:val="0"/>
          <w:marTop w:val="96"/>
          <w:marBottom w:val="0"/>
          <w:divBdr>
            <w:top w:val="none" w:sz="0" w:space="0" w:color="auto"/>
            <w:left w:val="none" w:sz="0" w:space="0" w:color="auto"/>
            <w:bottom w:val="none" w:sz="0" w:space="0" w:color="auto"/>
            <w:right w:val="none" w:sz="0" w:space="0" w:color="auto"/>
          </w:divBdr>
        </w:div>
        <w:div w:id="1542209551">
          <w:marLeft w:val="562"/>
          <w:marRight w:val="0"/>
          <w:marTop w:val="115"/>
          <w:marBottom w:val="0"/>
          <w:divBdr>
            <w:top w:val="none" w:sz="0" w:space="0" w:color="auto"/>
            <w:left w:val="none" w:sz="0" w:space="0" w:color="auto"/>
            <w:bottom w:val="none" w:sz="0" w:space="0" w:color="auto"/>
            <w:right w:val="none" w:sz="0" w:space="0" w:color="auto"/>
          </w:divBdr>
        </w:div>
        <w:div w:id="1697387909">
          <w:marLeft w:val="562"/>
          <w:marRight w:val="0"/>
          <w:marTop w:val="115"/>
          <w:marBottom w:val="0"/>
          <w:divBdr>
            <w:top w:val="none" w:sz="0" w:space="0" w:color="auto"/>
            <w:left w:val="none" w:sz="0" w:space="0" w:color="auto"/>
            <w:bottom w:val="none" w:sz="0" w:space="0" w:color="auto"/>
            <w:right w:val="none" w:sz="0" w:space="0" w:color="auto"/>
          </w:divBdr>
        </w:div>
        <w:div w:id="2129543044">
          <w:marLeft w:val="720"/>
          <w:marRight w:val="0"/>
          <w:marTop w:val="96"/>
          <w:marBottom w:val="0"/>
          <w:divBdr>
            <w:top w:val="none" w:sz="0" w:space="0" w:color="auto"/>
            <w:left w:val="none" w:sz="0" w:space="0" w:color="auto"/>
            <w:bottom w:val="none" w:sz="0" w:space="0" w:color="auto"/>
            <w:right w:val="none" w:sz="0" w:space="0" w:color="auto"/>
          </w:divBdr>
        </w:div>
      </w:divsChild>
    </w:div>
    <w:div w:id="571432108">
      <w:bodyDiv w:val="1"/>
      <w:marLeft w:val="0"/>
      <w:marRight w:val="0"/>
      <w:marTop w:val="0"/>
      <w:marBottom w:val="0"/>
      <w:divBdr>
        <w:top w:val="none" w:sz="0" w:space="0" w:color="auto"/>
        <w:left w:val="none" w:sz="0" w:space="0" w:color="auto"/>
        <w:bottom w:val="none" w:sz="0" w:space="0" w:color="auto"/>
        <w:right w:val="none" w:sz="0" w:space="0" w:color="auto"/>
      </w:divBdr>
    </w:div>
    <w:div w:id="577710472">
      <w:bodyDiv w:val="1"/>
      <w:marLeft w:val="0"/>
      <w:marRight w:val="0"/>
      <w:marTop w:val="0"/>
      <w:marBottom w:val="0"/>
      <w:divBdr>
        <w:top w:val="none" w:sz="0" w:space="0" w:color="auto"/>
        <w:left w:val="none" w:sz="0" w:space="0" w:color="auto"/>
        <w:bottom w:val="none" w:sz="0" w:space="0" w:color="auto"/>
        <w:right w:val="none" w:sz="0" w:space="0" w:color="auto"/>
      </w:divBdr>
    </w:div>
    <w:div w:id="579019962">
      <w:bodyDiv w:val="1"/>
      <w:marLeft w:val="0"/>
      <w:marRight w:val="0"/>
      <w:marTop w:val="0"/>
      <w:marBottom w:val="0"/>
      <w:divBdr>
        <w:top w:val="none" w:sz="0" w:space="0" w:color="auto"/>
        <w:left w:val="none" w:sz="0" w:space="0" w:color="auto"/>
        <w:bottom w:val="none" w:sz="0" w:space="0" w:color="auto"/>
        <w:right w:val="none" w:sz="0" w:space="0" w:color="auto"/>
      </w:divBdr>
      <w:divsChild>
        <w:div w:id="146212904">
          <w:marLeft w:val="562"/>
          <w:marRight w:val="0"/>
          <w:marTop w:val="115"/>
          <w:marBottom w:val="0"/>
          <w:divBdr>
            <w:top w:val="none" w:sz="0" w:space="0" w:color="auto"/>
            <w:left w:val="none" w:sz="0" w:space="0" w:color="auto"/>
            <w:bottom w:val="none" w:sz="0" w:space="0" w:color="auto"/>
            <w:right w:val="none" w:sz="0" w:space="0" w:color="auto"/>
          </w:divBdr>
        </w:div>
        <w:div w:id="738021603">
          <w:marLeft w:val="720"/>
          <w:marRight w:val="0"/>
          <w:marTop w:val="96"/>
          <w:marBottom w:val="0"/>
          <w:divBdr>
            <w:top w:val="none" w:sz="0" w:space="0" w:color="auto"/>
            <w:left w:val="none" w:sz="0" w:space="0" w:color="auto"/>
            <w:bottom w:val="none" w:sz="0" w:space="0" w:color="auto"/>
            <w:right w:val="none" w:sz="0" w:space="0" w:color="auto"/>
          </w:divBdr>
        </w:div>
        <w:div w:id="1714303200">
          <w:marLeft w:val="562"/>
          <w:marRight w:val="0"/>
          <w:marTop w:val="115"/>
          <w:marBottom w:val="0"/>
          <w:divBdr>
            <w:top w:val="none" w:sz="0" w:space="0" w:color="auto"/>
            <w:left w:val="none" w:sz="0" w:space="0" w:color="auto"/>
            <w:bottom w:val="none" w:sz="0" w:space="0" w:color="auto"/>
            <w:right w:val="none" w:sz="0" w:space="0" w:color="auto"/>
          </w:divBdr>
        </w:div>
        <w:div w:id="1744252822">
          <w:marLeft w:val="562"/>
          <w:marRight w:val="0"/>
          <w:marTop w:val="115"/>
          <w:marBottom w:val="0"/>
          <w:divBdr>
            <w:top w:val="none" w:sz="0" w:space="0" w:color="auto"/>
            <w:left w:val="none" w:sz="0" w:space="0" w:color="auto"/>
            <w:bottom w:val="none" w:sz="0" w:space="0" w:color="auto"/>
            <w:right w:val="none" w:sz="0" w:space="0" w:color="auto"/>
          </w:divBdr>
        </w:div>
        <w:div w:id="1908833510">
          <w:marLeft w:val="562"/>
          <w:marRight w:val="0"/>
          <w:marTop w:val="115"/>
          <w:marBottom w:val="0"/>
          <w:divBdr>
            <w:top w:val="none" w:sz="0" w:space="0" w:color="auto"/>
            <w:left w:val="none" w:sz="0" w:space="0" w:color="auto"/>
            <w:bottom w:val="none" w:sz="0" w:space="0" w:color="auto"/>
            <w:right w:val="none" w:sz="0" w:space="0" w:color="auto"/>
          </w:divBdr>
        </w:div>
        <w:div w:id="2053186756">
          <w:marLeft w:val="720"/>
          <w:marRight w:val="0"/>
          <w:marTop w:val="96"/>
          <w:marBottom w:val="0"/>
          <w:divBdr>
            <w:top w:val="none" w:sz="0" w:space="0" w:color="auto"/>
            <w:left w:val="none" w:sz="0" w:space="0" w:color="auto"/>
            <w:bottom w:val="none" w:sz="0" w:space="0" w:color="auto"/>
            <w:right w:val="none" w:sz="0" w:space="0" w:color="auto"/>
          </w:divBdr>
        </w:div>
        <w:div w:id="2138331364">
          <w:marLeft w:val="562"/>
          <w:marRight w:val="0"/>
          <w:marTop w:val="115"/>
          <w:marBottom w:val="0"/>
          <w:divBdr>
            <w:top w:val="none" w:sz="0" w:space="0" w:color="auto"/>
            <w:left w:val="none" w:sz="0" w:space="0" w:color="auto"/>
            <w:bottom w:val="none" w:sz="0" w:space="0" w:color="auto"/>
            <w:right w:val="none" w:sz="0" w:space="0" w:color="auto"/>
          </w:divBdr>
        </w:div>
      </w:divsChild>
    </w:div>
    <w:div w:id="582760721">
      <w:bodyDiv w:val="1"/>
      <w:marLeft w:val="0"/>
      <w:marRight w:val="0"/>
      <w:marTop w:val="0"/>
      <w:marBottom w:val="0"/>
      <w:divBdr>
        <w:top w:val="none" w:sz="0" w:space="0" w:color="auto"/>
        <w:left w:val="none" w:sz="0" w:space="0" w:color="auto"/>
        <w:bottom w:val="none" w:sz="0" w:space="0" w:color="auto"/>
        <w:right w:val="none" w:sz="0" w:space="0" w:color="auto"/>
      </w:divBdr>
    </w:div>
    <w:div w:id="583496918">
      <w:bodyDiv w:val="1"/>
      <w:marLeft w:val="0"/>
      <w:marRight w:val="0"/>
      <w:marTop w:val="0"/>
      <w:marBottom w:val="0"/>
      <w:divBdr>
        <w:top w:val="none" w:sz="0" w:space="0" w:color="auto"/>
        <w:left w:val="none" w:sz="0" w:space="0" w:color="auto"/>
        <w:bottom w:val="none" w:sz="0" w:space="0" w:color="auto"/>
        <w:right w:val="none" w:sz="0" w:space="0" w:color="auto"/>
      </w:divBdr>
      <w:divsChild>
        <w:div w:id="876350966">
          <w:marLeft w:val="562"/>
          <w:marRight w:val="0"/>
          <w:marTop w:val="115"/>
          <w:marBottom w:val="0"/>
          <w:divBdr>
            <w:top w:val="none" w:sz="0" w:space="0" w:color="auto"/>
            <w:left w:val="none" w:sz="0" w:space="0" w:color="auto"/>
            <w:bottom w:val="none" w:sz="0" w:space="0" w:color="auto"/>
            <w:right w:val="none" w:sz="0" w:space="0" w:color="auto"/>
          </w:divBdr>
        </w:div>
        <w:div w:id="1326011923">
          <w:marLeft w:val="562"/>
          <w:marRight w:val="0"/>
          <w:marTop w:val="115"/>
          <w:marBottom w:val="0"/>
          <w:divBdr>
            <w:top w:val="none" w:sz="0" w:space="0" w:color="auto"/>
            <w:left w:val="none" w:sz="0" w:space="0" w:color="auto"/>
            <w:bottom w:val="none" w:sz="0" w:space="0" w:color="auto"/>
            <w:right w:val="none" w:sz="0" w:space="0" w:color="auto"/>
          </w:divBdr>
        </w:div>
      </w:divsChild>
    </w:div>
    <w:div w:id="584654550">
      <w:bodyDiv w:val="1"/>
      <w:marLeft w:val="0"/>
      <w:marRight w:val="0"/>
      <w:marTop w:val="0"/>
      <w:marBottom w:val="0"/>
      <w:divBdr>
        <w:top w:val="none" w:sz="0" w:space="0" w:color="auto"/>
        <w:left w:val="none" w:sz="0" w:space="0" w:color="auto"/>
        <w:bottom w:val="none" w:sz="0" w:space="0" w:color="auto"/>
        <w:right w:val="none" w:sz="0" w:space="0" w:color="auto"/>
      </w:divBdr>
    </w:div>
    <w:div w:id="600139289">
      <w:bodyDiv w:val="1"/>
      <w:marLeft w:val="0"/>
      <w:marRight w:val="0"/>
      <w:marTop w:val="0"/>
      <w:marBottom w:val="0"/>
      <w:divBdr>
        <w:top w:val="none" w:sz="0" w:space="0" w:color="auto"/>
        <w:left w:val="none" w:sz="0" w:space="0" w:color="auto"/>
        <w:bottom w:val="none" w:sz="0" w:space="0" w:color="auto"/>
        <w:right w:val="none" w:sz="0" w:space="0" w:color="auto"/>
      </w:divBdr>
    </w:div>
    <w:div w:id="612324448">
      <w:bodyDiv w:val="1"/>
      <w:marLeft w:val="0"/>
      <w:marRight w:val="0"/>
      <w:marTop w:val="0"/>
      <w:marBottom w:val="0"/>
      <w:divBdr>
        <w:top w:val="none" w:sz="0" w:space="0" w:color="auto"/>
        <w:left w:val="none" w:sz="0" w:space="0" w:color="auto"/>
        <w:bottom w:val="none" w:sz="0" w:space="0" w:color="auto"/>
        <w:right w:val="none" w:sz="0" w:space="0" w:color="auto"/>
      </w:divBdr>
    </w:div>
    <w:div w:id="620308449">
      <w:bodyDiv w:val="1"/>
      <w:marLeft w:val="0"/>
      <w:marRight w:val="0"/>
      <w:marTop w:val="0"/>
      <w:marBottom w:val="0"/>
      <w:divBdr>
        <w:top w:val="none" w:sz="0" w:space="0" w:color="auto"/>
        <w:left w:val="none" w:sz="0" w:space="0" w:color="auto"/>
        <w:bottom w:val="none" w:sz="0" w:space="0" w:color="auto"/>
        <w:right w:val="none" w:sz="0" w:space="0" w:color="auto"/>
      </w:divBdr>
    </w:div>
    <w:div w:id="624777311">
      <w:bodyDiv w:val="1"/>
      <w:marLeft w:val="0"/>
      <w:marRight w:val="0"/>
      <w:marTop w:val="0"/>
      <w:marBottom w:val="0"/>
      <w:divBdr>
        <w:top w:val="none" w:sz="0" w:space="0" w:color="auto"/>
        <w:left w:val="none" w:sz="0" w:space="0" w:color="auto"/>
        <w:bottom w:val="none" w:sz="0" w:space="0" w:color="auto"/>
        <w:right w:val="none" w:sz="0" w:space="0" w:color="auto"/>
      </w:divBdr>
    </w:div>
    <w:div w:id="640616370">
      <w:bodyDiv w:val="1"/>
      <w:marLeft w:val="0"/>
      <w:marRight w:val="0"/>
      <w:marTop w:val="0"/>
      <w:marBottom w:val="0"/>
      <w:divBdr>
        <w:top w:val="none" w:sz="0" w:space="0" w:color="auto"/>
        <w:left w:val="none" w:sz="0" w:space="0" w:color="auto"/>
        <w:bottom w:val="none" w:sz="0" w:space="0" w:color="auto"/>
        <w:right w:val="none" w:sz="0" w:space="0" w:color="auto"/>
      </w:divBdr>
    </w:div>
    <w:div w:id="642464616">
      <w:bodyDiv w:val="1"/>
      <w:marLeft w:val="0"/>
      <w:marRight w:val="0"/>
      <w:marTop w:val="0"/>
      <w:marBottom w:val="0"/>
      <w:divBdr>
        <w:top w:val="none" w:sz="0" w:space="0" w:color="auto"/>
        <w:left w:val="none" w:sz="0" w:space="0" w:color="auto"/>
        <w:bottom w:val="none" w:sz="0" w:space="0" w:color="auto"/>
        <w:right w:val="none" w:sz="0" w:space="0" w:color="auto"/>
      </w:divBdr>
      <w:divsChild>
        <w:div w:id="1076440812">
          <w:marLeft w:val="562"/>
          <w:marRight w:val="0"/>
          <w:marTop w:val="106"/>
          <w:marBottom w:val="0"/>
          <w:divBdr>
            <w:top w:val="none" w:sz="0" w:space="0" w:color="auto"/>
            <w:left w:val="none" w:sz="0" w:space="0" w:color="auto"/>
            <w:bottom w:val="none" w:sz="0" w:space="0" w:color="auto"/>
            <w:right w:val="none" w:sz="0" w:space="0" w:color="auto"/>
          </w:divBdr>
        </w:div>
      </w:divsChild>
    </w:div>
    <w:div w:id="643119178">
      <w:bodyDiv w:val="1"/>
      <w:marLeft w:val="0"/>
      <w:marRight w:val="0"/>
      <w:marTop w:val="0"/>
      <w:marBottom w:val="0"/>
      <w:divBdr>
        <w:top w:val="none" w:sz="0" w:space="0" w:color="auto"/>
        <w:left w:val="none" w:sz="0" w:space="0" w:color="auto"/>
        <w:bottom w:val="none" w:sz="0" w:space="0" w:color="auto"/>
        <w:right w:val="none" w:sz="0" w:space="0" w:color="auto"/>
      </w:divBdr>
    </w:div>
    <w:div w:id="654645630">
      <w:bodyDiv w:val="1"/>
      <w:marLeft w:val="0"/>
      <w:marRight w:val="0"/>
      <w:marTop w:val="0"/>
      <w:marBottom w:val="0"/>
      <w:divBdr>
        <w:top w:val="none" w:sz="0" w:space="0" w:color="auto"/>
        <w:left w:val="none" w:sz="0" w:space="0" w:color="auto"/>
        <w:bottom w:val="none" w:sz="0" w:space="0" w:color="auto"/>
        <w:right w:val="none" w:sz="0" w:space="0" w:color="auto"/>
      </w:divBdr>
    </w:div>
    <w:div w:id="657001074">
      <w:bodyDiv w:val="1"/>
      <w:marLeft w:val="0"/>
      <w:marRight w:val="0"/>
      <w:marTop w:val="0"/>
      <w:marBottom w:val="0"/>
      <w:divBdr>
        <w:top w:val="none" w:sz="0" w:space="0" w:color="auto"/>
        <w:left w:val="none" w:sz="0" w:space="0" w:color="auto"/>
        <w:bottom w:val="none" w:sz="0" w:space="0" w:color="auto"/>
        <w:right w:val="none" w:sz="0" w:space="0" w:color="auto"/>
      </w:divBdr>
      <w:divsChild>
        <w:div w:id="151260557">
          <w:marLeft w:val="360"/>
          <w:marRight w:val="0"/>
          <w:marTop w:val="200"/>
          <w:marBottom w:val="0"/>
          <w:divBdr>
            <w:top w:val="none" w:sz="0" w:space="0" w:color="auto"/>
            <w:left w:val="none" w:sz="0" w:space="0" w:color="auto"/>
            <w:bottom w:val="none" w:sz="0" w:space="0" w:color="auto"/>
            <w:right w:val="none" w:sz="0" w:space="0" w:color="auto"/>
          </w:divBdr>
        </w:div>
        <w:div w:id="1293975429">
          <w:marLeft w:val="360"/>
          <w:marRight w:val="0"/>
          <w:marTop w:val="200"/>
          <w:marBottom w:val="0"/>
          <w:divBdr>
            <w:top w:val="none" w:sz="0" w:space="0" w:color="auto"/>
            <w:left w:val="none" w:sz="0" w:space="0" w:color="auto"/>
            <w:bottom w:val="none" w:sz="0" w:space="0" w:color="auto"/>
            <w:right w:val="none" w:sz="0" w:space="0" w:color="auto"/>
          </w:divBdr>
        </w:div>
        <w:div w:id="1341352318">
          <w:marLeft w:val="360"/>
          <w:marRight w:val="0"/>
          <w:marTop w:val="200"/>
          <w:marBottom w:val="0"/>
          <w:divBdr>
            <w:top w:val="none" w:sz="0" w:space="0" w:color="auto"/>
            <w:left w:val="none" w:sz="0" w:space="0" w:color="auto"/>
            <w:bottom w:val="none" w:sz="0" w:space="0" w:color="auto"/>
            <w:right w:val="none" w:sz="0" w:space="0" w:color="auto"/>
          </w:divBdr>
        </w:div>
        <w:div w:id="1654329032">
          <w:marLeft w:val="360"/>
          <w:marRight w:val="0"/>
          <w:marTop w:val="200"/>
          <w:marBottom w:val="0"/>
          <w:divBdr>
            <w:top w:val="none" w:sz="0" w:space="0" w:color="auto"/>
            <w:left w:val="none" w:sz="0" w:space="0" w:color="auto"/>
            <w:bottom w:val="none" w:sz="0" w:space="0" w:color="auto"/>
            <w:right w:val="none" w:sz="0" w:space="0" w:color="auto"/>
          </w:divBdr>
        </w:div>
        <w:div w:id="1933199891">
          <w:marLeft w:val="360"/>
          <w:marRight w:val="0"/>
          <w:marTop w:val="200"/>
          <w:marBottom w:val="0"/>
          <w:divBdr>
            <w:top w:val="none" w:sz="0" w:space="0" w:color="auto"/>
            <w:left w:val="none" w:sz="0" w:space="0" w:color="auto"/>
            <w:bottom w:val="none" w:sz="0" w:space="0" w:color="auto"/>
            <w:right w:val="none" w:sz="0" w:space="0" w:color="auto"/>
          </w:divBdr>
        </w:div>
      </w:divsChild>
    </w:div>
    <w:div w:id="661665172">
      <w:bodyDiv w:val="1"/>
      <w:marLeft w:val="0"/>
      <w:marRight w:val="0"/>
      <w:marTop w:val="0"/>
      <w:marBottom w:val="0"/>
      <w:divBdr>
        <w:top w:val="none" w:sz="0" w:space="0" w:color="auto"/>
        <w:left w:val="none" w:sz="0" w:space="0" w:color="auto"/>
        <w:bottom w:val="none" w:sz="0" w:space="0" w:color="auto"/>
        <w:right w:val="none" w:sz="0" w:space="0" w:color="auto"/>
      </w:divBdr>
    </w:div>
    <w:div w:id="682172067">
      <w:bodyDiv w:val="1"/>
      <w:marLeft w:val="0"/>
      <w:marRight w:val="0"/>
      <w:marTop w:val="0"/>
      <w:marBottom w:val="0"/>
      <w:divBdr>
        <w:top w:val="none" w:sz="0" w:space="0" w:color="auto"/>
        <w:left w:val="none" w:sz="0" w:space="0" w:color="auto"/>
        <w:bottom w:val="none" w:sz="0" w:space="0" w:color="auto"/>
        <w:right w:val="none" w:sz="0" w:space="0" w:color="auto"/>
      </w:divBdr>
      <w:divsChild>
        <w:div w:id="1565487233">
          <w:marLeft w:val="0"/>
          <w:marRight w:val="0"/>
          <w:marTop w:val="0"/>
          <w:marBottom w:val="0"/>
          <w:divBdr>
            <w:top w:val="none" w:sz="0" w:space="0" w:color="auto"/>
            <w:left w:val="none" w:sz="0" w:space="0" w:color="auto"/>
            <w:bottom w:val="none" w:sz="0" w:space="0" w:color="auto"/>
            <w:right w:val="none" w:sz="0" w:space="0" w:color="auto"/>
          </w:divBdr>
          <w:divsChild>
            <w:div w:id="311643042">
              <w:marLeft w:val="0"/>
              <w:marRight w:val="0"/>
              <w:marTop w:val="0"/>
              <w:marBottom w:val="0"/>
              <w:divBdr>
                <w:top w:val="none" w:sz="0" w:space="0" w:color="auto"/>
                <w:left w:val="none" w:sz="0" w:space="0" w:color="auto"/>
                <w:bottom w:val="none" w:sz="0" w:space="0" w:color="auto"/>
                <w:right w:val="none" w:sz="0" w:space="0" w:color="auto"/>
              </w:divBdr>
            </w:div>
            <w:div w:id="355543317">
              <w:marLeft w:val="0"/>
              <w:marRight w:val="0"/>
              <w:marTop w:val="0"/>
              <w:marBottom w:val="0"/>
              <w:divBdr>
                <w:top w:val="none" w:sz="0" w:space="0" w:color="auto"/>
                <w:left w:val="none" w:sz="0" w:space="0" w:color="auto"/>
                <w:bottom w:val="none" w:sz="0" w:space="0" w:color="auto"/>
                <w:right w:val="none" w:sz="0" w:space="0" w:color="auto"/>
              </w:divBdr>
            </w:div>
            <w:div w:id="747076389">
              <w:marLeft w:val="0"/>
              <w:marRight w:val="0"/>
              <w:marTop w:val="0"/>
              <w:marBottom w:val="0"/>
              <w:divBdr>
                <w:top w:val="none" w:sz="0" w:space="0" w:color="auto"/>
                <w:left w:val="none" w:sz="0" w:space="0" w:color="auto"/>
                <w:bottom w:val="none" w:sz="0" w:space="0" w:color="auto"/>
                <w:right w:val="none" w:sz="0" w:space="0" w:color="auto"/>
              </w:divBdr>
            </w:div>
            <w:div w:id="93725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91661">
      <w:bodyDiv w:val="1"/>
      <w:marLeft w:val="0"/>
      <w:marRight w:val="0"/>
      <w:marTop w:val="0"/>
      <w:marBottom w:val="0"/>
      <w:divBdr>
        <w:top w:val="none" w:sz="0" w:space="0" w:color="auto"/>
        <w:left w:val="none" w:sz="0" w:space="0" w:color="auto"/>
        <w:bottom w:val="none" w:sz="0" w:space="0" w:color="auto"/>
        <w:right w:val="none" w:sz="0" w:space="0" w:color="auto"/>
      </w:divBdr>
    </w:div>
    <w:div w:id="696931911">
      <w:bodyDiv w:val="1"/>
      <w:marLeft w:val="0"/>
      <w:marRight w:val="0"/>
      <w:marTop w:val="0"/>
      <w:marBottom w:val="0"/>
      <w:divBdr>
        <w:top w:val="none" w:sz="0" w:space="0" w:color="auto"/>
        <w:left w:val="none" w:sz="0" w:space="0" w:color="auto"/>
        <w:bottom w:val="none" w:sz="0" w:space="0" w:color="auto"/>
        <w:right w:val="none" w:sz="0" w:space="0" w:color="auto"/>
      </w:divBdr>
      <w:divsChild>
        <w:div w:id="1762021839">
          <w:marLeft w:val="562"/>
          <w:marRight w:val="0"/>
          <w:marTop w:val="115"/>
          <w:marBottom w:val="0"/>
          <w:divBdr>
            <w:top w:val="none" w:sz="0" w:space="0" w:color="auto"/>
            <w:left w:val="none" w:sz="0" w:space="0" w:color="auto"/>
            <w:bottom w:val="none" w:sz="0" w:space="0" w:color="auto"/>
            <w:right w:val="none" w:sz="0" w:space="0" w:color="auto"/>
          </w:divBdr>
        </w:div>
        <w:div w:id="915554392">
          <w:marLeft w:val="562"/>
          <w:marRight w:val="0"/>
          <w:marTop w:val="115"/>
          <w:marBottom w:val="0"/>
          <w:divBdr>
            <w:top w:val="none" w:sz="0" w:space="0" w:color="auto"/>
            <w:left w:val="none" w:sz="0" w:space="0" w:color="auto"/>
            <w:bottom w:val="none" w:sz="0" w:space="0" w:color="auto"/>
            <w:right w:val="none" w:sz="0" w:space="0" w:color="auto"/>
          </w:divBdr>
        </w:div>
        <w:div w:id="432213674">
          <w:marLeft w:val="562"/>
          <w:marRight w:val="0"/>
          <w:marTop w:val="115"/>
          <w:marBottom w:val="0"/>
          <w:divBdr>
            <w:top w:val="none" w:sz="0" w:space="0" w:color="auto"/>
            <w:left w:val="none" w:sz="0" w:space="0" w:color="auto"/>
            <w:bottom w:val="none" w:sz="0" w:space="0" w:color="auto"/>
            <w:right w:val="none" w:sz="0" w:space="0" w:color="auto"/>
          </w:divBdr>
        </w:div>
      </w:divsChild>
    </w:div>
    <w:div w:id="715859884">
      <w:bodyDiv w:val="1"/>
      <w:marLeft w:val="0"/>
      <w:marRight w:val="0"/>
      <w:marTop w:val="0"/>
      <w:marBottom w:val="0"/>
      <w:divBdr>
        <w:top w:val="none" w:sz="0" w:space="0" w:color="auto"/>
        <w:left w:val="none" w:sz="0" w:space="0" w:color="auto"/>
        <w:bottom w:val="none" w:sz="0" w:space="0" w:color="auto"/>
        <w:right w:val="none" w:sz="0" w:space="0" w:color="auto"/>
      </w:divBdr>
    </w:div>
    <w:div w:id="718209552">
      <w:bodyDiv w:val="1"/>
      <w:marLeft w:val="0"/>
      <w:marRight w:val="0"/>
      <w:marTop w:val="0"/>
      <w:marBottom w:val="0"/>
      <w:divBdr>
        <w:top w:val="none" w:sz="0" w:space="0" w:color="auto"/>
        <w:left w:val="none" w:sz="0" w:space="0" w:color="auto"/>
        <w:bottom w:val="none" w:sz="0" w:space="0" w:color="auto"/>
        <w:right w:val="none" w:sz="0" w:space="0" w:color="auto"/>
      </w:divBdr>
    </w:div>
    <w:div w:id="730228881">
      <w:bodyDiv w:val="1"/>
      <w:marLeft w:val="0"/>
      <w:marRight w:val="0"/>
      <w:marTop w:val="0"/>
      <w:marBottom w:val="0"/>
      <w:divBdr>
        <w:top w:val="none" w:sz="0" w:space="0" w:color="auto"/>
        <w:left w:val="none" w:sz="0" w:space="0" w:color="auto"/>
        <w:bottom w:val="none" w:sz="0" w:space="0" w:color="auto"/>
        <w:right w:val="none" w:sz="0" w:space="0" w:color="auto"/>
      </w:divBdr>
      <w:divsChild>
        <w:div w:id="1680430281">
          <w:marLeft w:val="547"/>
          <w:marRight w:val="0"/>
          <w:marTop w:val="106"/>
          <w:marBottom w:val="0"/>
          <w:divBdr>
            <w:top w:val="none" w:sz="0" w:space="0" w:color="auto"/>
            <w:left w:val="none" w:sz="0" w:space="0" w:color="auto"/>
            <w:bottom w:val="none" w:sz="0" w:space="0" w:color="auto"/>
            <w:right w:val="none" w:sz="0" w:space="0" w:color="auto"/>
          </w:divBdr>
        </w:div>
        <w:div w:id="51127507">
          <w:marLeft w:val="547"/>
          <w:marRight w:val="0"/>
          <w:marTop w:val="106"/>
          <w:marBottom w:val="0"/>
          <w:divBdr>
            <w:top w:val="none" w:sz="0" w:space="0" w:color="auto"/>
            <w:left w:val="none" w:sz="0" w:space="0" w:color="auto"/>
            <w:bottom w:val="none" w:sz="0" w:space="0" w:color="auto"/>
            <w:right w:val="none" w:sz="0" w:space="0" w:color="auto"/>
          </w:divBdr>
        </w:div>
        <w:div w:id="2121563635">
          <w:marLeft w:val="1166"/>
          <w:marRight w:val="0"/>
          <w:marTop w:val="106"/>
          <w:marBottom w:val="0"/>
          <w:divBdr>
            <w:top w:val="none" w:sz="0" w:space="0" w:color="auto"/>
            <w:left w:val="none" w:sz="0" w:space="0" w:color="auto"/>
            <w:bottom w:val="none" w:sz="0" w:space="0" w:color="auto"/>
            <w:right w:val="none" w:sz="0" w:space="0" w:color="auto"/>
          </w:divBdr>
        </w:div>
        <w:div w:id="1892231283">
          <w:marLeft w:val="1166"/>
          <w:marRight w:val="0"/>
          <w:marTop w:val="106"/>
          <w:marBottom w:val="0"/>
          <w:divBdr>
            <w:top w:val="none" w:sz="0" w:space="0" w:color="auto"/>
            <w:left w:val="none" w:sz="0" w:space="0" w:color="auto"/>
            <w:bottom w:val="none" w:sz="0" w:space="0" w:color="auto"/>
            <w:right w:val="none" w:sz="0" w:space="0" w:color="auto"/>
          </w:divBdr>
        </w:div>
        <w:div w:id="1443301035">
          <w:marLeft w:val="1166"/>
          <w:marRight w:val="0"/>
          <w:marTop w:val="106"/>
          <w:marBottom w:val="0"/>
          <w:divBdr>
            <w:top w:val="none" w:sz="0" w:space="0" w:color="auto"/>
            <w:left w:val="none" w:sz="0" w:space="0" w:color="auto"/>
            <w:bottom w:val="none" w:sz="0" w:space="0" w:color="auto"/>
            <w:right w:val="none" w:sz="0" w:space="0" w:color="auto"/>
          </w:divBdr>
        </w:div>
        <w:div w:id="1681811992">
          <w:marLeft w:val="1166"/>
          <w:marRight w:val="0"/>
          <w:marTop w:val="106"/>
          <w:marBottom w:val="0"/>
          <w:divBdr>
            <w:top w:val="none" w:sz="0" w:space="0" w:color="auto"/>
            <w:left w:val="none" w:sz="0" w:space="0" w:color="auto"/>
            <w:bottom w:val="none" w:sz="0" w:space="0" w:color="auto"/>
            <w:right w:val="none" w:sz="0" w:space="0" w:color="auto"/>
          </w:divBdr>
        </w:div>
        <w:div w:id="1816987111">
          <w:marLeft w:val="1166"/>
          <w:marRight w:val="0"/>
          <w:marTop w:val="106"/>
          <w:marBottom w:val="0"/>
          <w:divBdr>
            <w:top w:val="none" w:sz="0" w:space="0" w:color="auto"/>
            <w:left w:val="none" w:sz="0" w:space="0" w:color="auto"/>
            <w:bottom w:val="none" w:sz="0" w:space="0" w:color="auto"/>
            <w:right w:val="none" w:sz="0" w:space="0" w:color="auto"/>
          </w:divBdr>
        </w:div>
        <w:div w:id="1555241570">
          <w:marLeft w:val="1166"/>
          <w:marRight w:val="0"/>
          <w:marTop w:val="106"/>
          <w:marBottom w:val="0"/>
          <w:divBdr>
            <w:top w:val="none" w:sz="0" w:space="0" w:color="auto"/>
            <w:left w:val="none" w:sz="0" w:space="0" w:color="auto"/>
            <w:bottom w:val="none" w:sz="0" w:space="0" w:color="auto"/>
            <w:right w:val="none" w:sz="0" w:space="0" w:color="auto"/>
          </w:divBdr>
        </w:div>
      </w:divsChild>
    </w:div>
    <w:div w:id="744495655">
      <w:bodyDiv w:val="1"/>
      <w:marLeft w:val="0"/>
      <w:marRight w:val="0"/>
      <w:marTop w:val="0"/>
      <w:marBottom w:val="0"/>
      <w:divBdr>
        <w:top w:val="none" w:sz="0" w:space="0" w:color="auto"/>
        <w:left w:val="none" w:sz="0" w:space="0" w:color="auto"/>
        <w:bottom w:val="none" w:sz="0" w:space="0" w:color="auto"/>
        <w:right w:val="none" w:sz="0" w:space="0" w:color="auto"/>
      </w:divBdr>
      <w:divsChild>
        <w:div w:id="1224413338">
          <w:marLeft w:val="720"/>
          <w:marRight w:val="0"/>
          <w:marTop w:val="96"/>
          <w:marBottom w:val="0"/>
          <w:divBdr>
            <w:top w:val="none" w:sz="0" w:space="0" w:color="auto"/>
            <w:left w:val="none" w:sz="0" w:space="0" w:color="auto"/>
            <w:bottom w:val="none" w:sz="0" w:space="0" w:color="auto"/>
            <w:right w:val="none" w:sz="0" w:space="0" w:color="auto"/>
          </w:divBdr>
        </w:div>
        <w:div w:id="2044934493">
          <w:marLeft w:val="720"/>
          <w:marRight w:val="0"/>
          <w:marTop w:val="96"/>
          <w:marBottom w:val="0"/>
          <w:divBdr>
            <w:top w:val="none" w:sz="0" w:space="0" w:color="auto"/>
            <w:left w:val="none" w:sz="0" w:space="0" w:color="auto"/>
            <w:bottom w:val="none" w:sz="0" w:space="0" w:color="auto"/>
            <w:right w:val="none" w:sz="0" w:space="0" w:color="auto"/>
          </w:divBdr>
        </w:div>
        <w:div w:id="1403723299">
          <w:marLeft w:val="720"/>
          <w:marRight w:val="0"/>
          <w:marTop w:val="96"/>
          <w:marBottom w:val="0"/>
          <w:divBdr>
            <w:top w:val="none" w:sz="0" w:space="0" w:color="auto"/>
            <w:left w:val="none" w:sz="0" w:space="0" w:color="auto"/>
            <w:bottom w:val="none" w:sz="0" w:space="0" w:color="auto"/>
            <w:right w:val="none" w:sz="0" w:space="0" w:color="auto"/>
          </w:divBdr>
        </w:div>
        <w:div w:id="929001391">
          <w:marLeft w:val="720"/>
          <w:marRight w:val="0"/>
          <w:marTop w:val="96"/>
          <w:marBottom w:val="0"/>
          <w:divBdr>
            <w:top w:val="none" w:sz="0" w:space="0" w:color="auto"/>
            <w:left w:val="none" w:sz="0" w:space="0" w:color="auto"/>
            <w:bottom w:val="none" w:sz="0" w:space="0" w:color="auto"/>
            <w:right w:val="none" w:sz="0" w:space="0" w:color="auto"/>
          </w:divBdr>
        </w:div>
        <w:div w:id="1383990217">
          <w:marLeft w:val="720"/>
          <w:marRight w:val="0"/>
          <w:marTop w:val="96"/>
          <w:marBottom w:val="0"/>
          <w:divBdr>
            <w:top w:val="none" w:sz="0" w:space="0" w:color="auto"/>
            <w:left w:val="none" w:sz="0" w:space="0" w:color="auto"/>
            <w:bottom w:val="none" w:sz="0" w:space="0" w:color="auto"/>
            <w:right w:val="none" w:sz="0" w:space="0" w:color="auto"/>
          </w:divBdr>
        </w:div>
        <w:div w:id="1472139913">
          <w:marLeft w:val="720"/>
          <w:marRight w:val="0"/>
          <w:marTop w:val="96"/>
          <w:marBottom w:val="0"/>
          <w:divBdr>
            <w:top w:val="none" w:sz="0" w:space="0" w:color="auto"/>
            <w:left w:val="none" w:sz="0" w:space="0" w:color="auto"/>
            <w:bottom w:val="none" w:sz="0" w:space="0" w:color="auto"/>
            <w:right w:val="none" w:sz="0" w:space="0" w:color="auto"/>
          </w:divBdr>
        </w:div>
      </w:divsChild>
    </w:div>
    <w:div w:id="752119811">
      <w:bodyDiv w:val="1"/>
      <w:marLeft w:val="0"/>
      <w:marRight w:val="0"/>
      <w:marTop w:val="0"/>
      <w:marBottom w:val="0"/>
      <w:divBdr>
        <w:top w:val="none" w:sz="0" w:space="0" w:color="auto"/>
        <w:left w:val="none" w:sz="0" w:space="0" w:color="auto"/>
        <w:bottom w:val="none" w:sz="0" w:space="0" w:color="auto"/>
        <w:right w:val="none" w:sz="0" w:space="0" w:color="auto"/>
      </w:divBdr>
      <w:divsChild>
        <w:div w:id="1177767440">
          <w:marLeft w:val="720"/>
          <w:marRight w:val="0"/>
          <w:marTop w:val="96"/>
          <w:marBottom w:val="0"/>
          <w:divBdr>
            <w:top w:val="none" w:sz="0" w:space="0" w:color="auto"/>
            <w:left w:val="none" w:sz="0" w:space="0" w:color="auto"/>
            <w:bottom w:val="none" w:sz="0" w:space="0" w:color="auto"/>
            <w:right w:val="none" w:sz="0" w:space="0" w:color="auto"/>
          </w:divBdr>
        </w:div>
        <w:div w:id="727918987">
          <w:marLeft w:val="1152"/>
          <w:marRight w:val="0"/>
          <w:marTop w:val="86"/>
          <w:marBottom w:val="0"/>
          <w:divBdr>
            <w:top w:val="none" w:sz="0" w:space="0" w:color="auto"/>
            <w:left w:val="none" w:sz="0" w:space="0" w:color="auto"/>
            <w:bottom w:val="none" w:sz="0" w:space="0" w:color="auto"/>
            <w:right w:val="none" w:sz="0" w:space="0" w:color="auto"/>
          </w:divBdr>
        </w:div>
        <w:div w:id="300769004">
          <w:marLeft w:val="720"/>
          <w:marRight w:val="0"/>
          <w:marTop w:val="96"/>
          <w:marBottom w:val="0"/>
          <w:divBdr>
            <w:top w:val="none" w:sz="0" w:space="0" w:color="auto"/>
            <w:left w:val="none" w:sz="0" w:space="0" w:color="auto"/>
            <w:bottom w:val="none" w:sz="0" w:space="0" w:color="auto"/>
            <w:right w:val="none" w:sz="0" w:space="0" w:color="auto"/>
          </w:divBdr>
        </w:div>
        <w:div w:id="1569028112">
          <w:marLeft w:val="1152"/>
          <w:marRight w:val="0"/>
          <w:marTop w:val="86"/>
          <w:marBottom w:val="0"/>
          <w:divBdr>
            <w:top w:val="none" w:sz="0" w:space="0" w:color="auto"/>
            <w:left w:val="none" w:sz="0" w:space="0" w:color="auto"/>
            <w:bottom w:val="none" w:sz="0" w:space="0" w:color="auto"/>
            <w:right w:val="none" w:sz="0" w:space="0" w:color="auto"/>
          </w:divBdr>
        </w:div>
        <w:div w:id="1938250821">
          <w:marLeft w:val="1152"/>
          <w:marRight w:val="0"/>
          <w:marTop w:val="86"/>
          <w:marBottom w:val="0"/>
          <w:divBdr>
            <w:top w:val="none" w:sz="0" w:space="0" w:color="auto"/>
            <w:left w:val="none" w:sz="0" w:space="0" w:color="auto"/>
            <w:bottom w:val="none" w:sz="0" w:space="0" w:color="auto"/>
            <w:right w:val="none" w:sz="0" w:space="0" w:color="auto"/>
          </w:divBdr>
        </w:div>
        <w:div w:id="976181032">
          <w:marLeft w:val="1152"/>
          <w:marRight w:val="0"/>
          <w:marTop w:val="86"/>
          <w:marBottom w:val="0"/>
          <w:divBdr>
            <w:top w:val="none" w:sz="0" w:space="0" w:color="auto"/>
            <w:left w:val="none" w:sz="0" w:space="0" w:color="auto"/>
            <w:bottom w:val="none" w:sz="0" w:space="0" w:color="auto"/>
            <w:right w:val="none" w:sz="0" w:space="0" w:color="auto"/>
          </w:divBdr>
        </w:div>
        <w:div w:id="753430880">
          <w:marLeft w:val="720"/>
          <w:marRight w:val="0"/>
          <w:marTop w:val="96"/>
          <w:marBottom w:val="0"/>
          <w:divBdr>
            <w:top w:val="none" w:sz="0" w:space="0" w:color="auto"/>
            <w:left w:val="none" w:sz="0" w:space="0" w:color="auto"/>
            <w:bottom w:val="none" w:sz="0" w:space="0" w:color="auto"/>
            <w:right w:val="none" w:sz="0" w:space="0" w:color="auto"/>
          </w:divBdr>
        </w:div>
        <w:div w:id="14230676">
          <w:marLeft w:val="1152"/>
          <w:marRight w:val="0"/>
          <w:marTop w:val="86"/>
          <w:marBottom w:val="0"/>
          <w:divBdr>
            <w:top w:val="none" w:sz="0" w:space="0" w:color="auto"/>
            <w:left w:val="none" w:sz="0" w:space="0" w:color="auto"/>
            <w:bottom w:val="none" w:sz="0" w:space="0" w:color="auto"/>
            <w:right w:val="none" w:sz="0" w:space="0" w:color="auto"/>
          </w:divBdr>
        </w:div>
        <w:div w:id="744650879">
          <w:marLeft w:val="1152"/>
          <w:marRight w:val="0"/>
          <w:marTop w:val="86"/>
          <w:marBottom w:val="0"/>
          <w:divBdr>
            <w:top w:val="none" w:sz="0" w:space="0" w:color="auto"/>
            <w:left w:val="none" w:sz="0" w:space="0" w:color="auto"/>
            <w:bottom w:val="none" w:sz="0" w:space="0" w:color="auto"/>
            <w:right w:val="none" w:sz="0" w:space="0" w:color="auto"/>
          </w:divBdr>
        </w:div>
        <w:div w:id="291908565">
          <w:marLeft w:val="1152"/>
          <w:marRight w:val="0"/>
          <w:marTop w:val="86"/>
          <w:marBottom w:val="0"/>
          <w:divBdr>
            <w:top w:val="none" w:sz="0" w:space="0" w:color="auto"/>
            <w:left w:val="none" w:sz="0" w:space="0" w:color="auto"/>
            <w:bottom w:val="none" w:sz="0" w:space="0" w:color="auto"/>
            <w:right w:val="none" w:sz="0" w:space="0" w:color="auto"/>
          </w:divBdr>
        </w:div>
      </w:divsChild>
    </w:div>
    <w:div w:id="756174346">
      <w:bodyDiv w:val="1"/>
      <w:marLeft w:val="0"/>
      <w:marRight w:val="0"/>
      <w:marTop w:val="0"/>
      <w:marBottom w:val="0"/>
      <w:divBdr>
        <w:top w:val="none" w:sz="0" w:space="0" w:color="auto"/>
        <w:left w:val="none" w:sz="0" w:space="0" w:color="auto"/>
        <w:bottom w:val="none" w:sz="0" w:space="0" w:color="auto"/>
        <w:right w:val="none" w:sz="0" w:space="0" w:color="auto"/>
      </w:divBdr>
      <w:divsChild>
        <w:div w:id="469130611">
          <w:marLeft w:val="0"/>
          <w:marRight w:val="0"/>
          <w:marTop w:val="0"/>
          <w:marBottom w:val="0"/>
          <w:divBdr>
            <w:top w:val="none" w:sz="0" w:space="0" w:color="auto"/>
            <w:left w:val="none" w:sz="0" w:space="0" w:color="auto"/>
            <w:bottom w:val="none" w:sz="0" w:space="0" w:color="auto"/>
            <w:right w:val="none" w:sz="0" w:space="0" w:color="auto"/>
          </w:divBdr>
          <w:divsChild>
            <w:div w:id="857281600">
              <w:marLeft w:val="0"/>
              <w:marRight w:val="0"/>
              <w:marTop w:val="0"/>
              <w:marBottom w:val="0"/>
              <w:divBdr>
                <w:top w:val="none" w:sz="0" w:space="0" w:color="auto"/>
                <w:left w:val="none" w:sz="0" w:space="0" w:color="auto"/>
                <w:bottom w:val="none" w:sz="0" w:space="0" w:color="auto"/>
                <w:right w:val="none" w:sz="0" w:space="0" w:color="auto"/>
              </w:divBdr>
            </w:div>
            <w:div w:id="975643054">
              <w:marLeft w:val="0"/>
              <w:marRight w:val="0"/>
              <w:marTop w:val="0"/>
              <w:marBottom w:val="0"/>
              <w:divBdr>
                <w:top w:val="none" w:sz="0" w:space="0" w:color="auto"/>
                <w:left w:val="none" w:sz="0" w:space="0" w:color="auto"/>
                <w:bottom w:val="none" w:sz="0" w:space="0" w:color="auto"/>
                <w:right w:val="none" w:sz="0" w:space="0" w:color="auto"/>
              </w:divBdr>
            </w:div>
            <w:div w:id="1498493557">
              <w:marLeft w:val="0"/>
              <w:marRight w:val="0"/>
              <w:marTop w:val="0"/>
              <w:marBottom w:val="0"/>
              <w:divBdr>
                <w:top w:val="none" w:sz="0" w:space="0" w:color="auto"/>
                <w:left w:val="none" w:sz="0" w:space="0" w:color="auto"/>
                <w:bottom w:val="none" w:sz="0" w:space="0" w:color="auto"/>
                <w:right w:val="none" w:sz="0" w:space="0" w:color="auto"/>
              </w:divBdr>
            </w:div>
            <w:div w:id="1747460270">
              <w:marLeft w:val="0"/>
              <w:marRight w:val="0"/>
              <w:marTop w:val="0"/>
              <w:marBottom w:val="0"/>
              <w:divBdr>
                <w:top w:val="none" w:sz="0" w:space="0" w:color="auto"/>
                <w:left w:val="none" w:sz="0" w:space="0" w:color="auto"/>
                <w:bottom w:val="none" w:sz="0" w:space="0" w:color="auto"/>
                <w:right w:val="none" w:sz="0" w:space="0" w:color="auto"/>
              </w:divBdr>
            </w:div>
            <w:div w:id="19907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20266">
      <w:bodyDiv w:val="1"/>
      <w:marLeft w:val="0"/>
      <w:marRight w:val="0"/>
      <w:marTop w:val="0"/>
      <w:marBottom w:val="0"/>
      <w:divBdr>
        <w:top w:val="none" w:sz="0" w:space="0" w:color="auto"/>
        <w:left w:val="none" w:sz="0" w:space="0" w:color="auto"/>
        <w:bottom w:val="none" w:sz="0" w:space="0" w:color="auto"/>
        <w:right w:val="none" w:sz="0" w:space="0" w:color="auto"/>
      </w:divBdr>
      <w:divsChild>
        <w:div w:id="1374617901">
          <w:marLeft w:val="720"/>
          <w:marRight w:val="0"/>
          <w:marTop w:val="96"/>
          <w:marBottom w:val="0"/>
          <w:divBdr>
            <w:top w:val="none" w:sz="0" w:space="0" w:color="auto"/>
            <w:left w:val="none" w:sz="0" w:space="0" w:color="auto"/>
            <w:bottom w:val="none" w:sz="0" w:space="0" w:color="auto"/>
            <w:right w:val="none" w:sz="0" w:space="0" w:color="auto"/>
          </w:divBdr>
        </w:div>
        <w:div w:id="819734058">
          <w:marLeft w:val="720"/>
          <w:marRight w:val="0"/>
          <w:marTop w:val="96"/>
          <w:marBottom w:val="0"/>
          <w:divBdr>
            <w:top w:val="none" w:sz="0" w:space="0" w:color="auto"/>
            <w:left w:val="none" w:sz="0" w:space="0" w:color="auto"/>
            <w:bottom w:val="none" w:sz="0" w:space="0" w:color="auto"/>
            <w:right w:val="none" w:sz="0" w:space="0" w:color="auto"/>
          </w:divBdr>
        </w:div>
        <w:div w:id="757678727">
          <w:marLeft w:val="720"/>
          <w:marRight w:val="0"/>
          <w:marTop w:val="96"/>
          <w:marBottom w:val="0"/>
          <w:divBdr>
            <w:top w:val="none" w:sz="0" w:space="0" w:color="auto"/>
            <w:left w:val="none" w:sz="0" w:space="0" w:color="auto"/>
            <w:bottom w:val="none" w:sz="0" w:space="0" w:color="auto"/>
            <w:right w:val="none" w:sz="0" w:space="0" w:color="auto"/>
          </w:divBdr>
        </w:div>
        <w:div w:id="52848992">
          <w:marLeft w:val="720"/>
          <w:marRight w:val="0"/>
          <w:marTop w:val="96"/>
          <w:marBottom w:val="0"/>
          <w:divBdr>
            <w:top w:val="none" w:sz="0" w:space="0" w:color="auto"/>
            <w:left w:val="none" w:sz="0" w:space="0" w:color="auto"/>
            <w:bottom w:val="none" w:sz="0" w:space="0" w:color="auto"/>
            <w:right w:val="none" w:sz="0" w:space="0" w:color="auto"/>
          </w:divBdr>
        </w:div>
      </w:divsChild>
    </w:div>
    <w:div w:id="762992550">
      <w:bodyDiv w:val="1"/>
      <w:marLeft w:val="0"/>
      <w:marRight w:val="0"/>
      <w:marTop w:val="0"/>
      <w:marBottom w:val="0"/>
      <w:divBdr>
        <w:top w:val="none" w:sz="0" w:space="0" w:color="auto"/>
        <w:left w:val="none" w:sz="0" w:space="0" w:color="auto"/>
        <w:bottom w:val="none" w:sz="0" w:space="0" w:color="auto"/>
        <w:right w:val="none" w:sz="0" w:space="0" w:color="auto"/>
      </w:divBdr>
    </w:div>
    <w:div w:id="765030486">
      <w:bodyDiv w:val="1"/>
      <w:marLeft w:val="0"/>
      <w:marRight w:val="0"/>
      <w:marTop w:val="0"/>
      <w:marBottom w:val="0"/>
      <w:divBdr>
        <w:top w:val="none" w:sz="0" w:space="0" w:color="auto"/>
        <w:left w:val="none" w:sz="0" w:space="0" w:color="auto"/>
        <w:bottom w:val="none" w:sz="0" w:space="0" w:color="auto"/>
        <w:right w:val="none" w:sz="0" w:space="0" w:color="auto"/>
      </w:divBdr>
      <w:divsChild>
        <w:div w:id="647054171">
          <w:marLeft w:val="562"/>
          <w:marRight w:val="0"/>
          <w:marTop w:val="115"/>
          <w:marBottom w:val="0"/>
          <w:divBdr>
            <w:top w:val="none" w:sz="0" w:space="0" w:color="auto"/>
            <w:left w:val="none" w:sz="0" w:space="0" w:color="auto"/>
            <w:bottom w:val="none" w:sz="0" w:space="0" w:color="auto"/>
            <w:right w:val="none" w:sz="0" w:space="0" w:color="auto"/>
          </w:divBdr>
        </w:div>
        <w:div w:id="1838299165">
          <w:marLeft w:val="562"/>
          <w:marRight w:val="0"/>
          <w:marTop w:val="115"/>
          <w:marBottom w:val="0"/>
          <w:divBdr>
            <w:top w:val="none" w:sz="0" w:space="0" w:color="auto"/>
            <w:left w:val="none" w:sz="0" w:space="0" w:color="auto"/>
            <w:bottom w:val="none" w:sz="0" w:space="0" w:color="auto"/>
            <w:right w:val="none" w:sz="0" w:space="0" w:color="auto"/>
          </w:divBdr>
        </w:div>
        <w:div w:id="842015734">
          <w:marLeft w:val="562"/>
          <w:marRight w:val="0"/>
          <w:marTop w:val="115"/>
          <w:marBottom w:val="0"/>
          <w:divBdr>
            <w:top w:val="none" w:sz="0" w:space="0" w:color="auto"/>
            <w:left w:val="none" w:sz="0" w:space="0" w:color="auto"/>
            <w:bottom w:val="none" w:sz="0" w:space="0" w:color="auto"/>
            <w:right w:val="none" w:sz="0" w:space="0" w:color="auto"/>
          </w:divBdr>
        </w:div>
      </w:divsChild>
    </w:div>
    <w:div w:id="765737863">
      <w:bodyDiv w:val="1"/>
      <w:marLeft w:val="0"/>
      <w:marRight w:val="0"/>
      <w:marTop w:val="0"/>
      <w:marBottom w:val="0"/>
      <w:divBdr>
        <w:top w:val="none" w:sz="0" w:space="0" w:color="auto"/>
        <w:left w:val="none" w:sz="0" w:space="0" w:color="auto"/>
        <w:bottom w:val="none" w:sz="0" w:space="0" w:color="auto"/>
        <w:right w:val="none" w:sz="0" w:space="0" w:color="auto"/>
      </w:divBdr>
    </w:div>
    <w:div w:id="770976935">
      <w:bodyDiv w:val="1"/>
      <w:marLeft w:val="0"/>
      <w:marRight w:val="0"/>
      <w:marTop w:val="0"/>
      <w:marBottom w:val="0"/>
      <w:divBdr>
        <w:top w:val="none" w:sz="0" w:space="0" w:color="auto"/>
        <w:left w:val="none" w:sz="0" w:space="0" w:color="auto"/>
        <w:bottom w:val="none" w:sz="0" w:space="0" w:color="auto"/>
        <w:right w:val="none" w:sz="0" w:space="0" w:color="auto"/>
      </w:divBdr>
      <w:divsChild>
        <w:div w:id="58215744">
          <w:marLeft w:val="720"/>
          <w:marRight w:val="0"/>
          <w:marTop w:val="91"/>
          <w:marBottom w:val="0"/>
          <w:divBdr>
            <w:top w:val="none" w:sz="0" w:space="0" w:color="auto"/>
            <w:left w:val="none" w:sz="0" w:space="0" w:color="auto"/>
            <w:bottom w:val="none" w:sz="0" w:space="0" w:color="auto"/>
            <w:right w:val="none" w:sz="0" w:space="0" w:color="auto"/>
          </w:divBdr>
        </w:div>
        <w:div w:id="435105118">
          <w:marLeft w:val="562"/>
          <w:marRight w:val="0"/>
          <w:marTop w:val="106"/>
          <w:marBottom w:val="0"/>
          <w:divBdr>
            <w:top w:val="none" w:sz="0" w:space="0" w:color="auto"/>
            <w:left w:val="none" w:sz="0" w:space="0" w:color="auto"/>
            <w:bottom w:val="none" w:sz="0" w:space="0" w:color="auto"/>
            <w:right w:val="none" w:sz="0" w:space="0" w:color="auto"/>
          </w:divBdr>
        </w:div>
        <w:div w:id="1415081880">
          <w:marLeft w:val="720"/>
          <w:marRight w:val="0"/>
          <w:marTop w:val="91"/>
          <w:marBottom w:val="0"/>
          <w:divBdr>
            <w:top w:val="none" w:sz="0" w:space="0" w:color="auto"/>
            <w:left w:val="none" w:sz="0" w:space="0" w:color="auto"/>
            <w:bottom w:val="none" w:sz="0" w:space="0" w:color="auto"/>
            <w:right w:val="none" w:sz="0" w:space="0" w:color="auto"/>
          </w:divBdr>
        </w:div>
        <w:div w:id="1572427096">
          <w:marLeft w:val="562"/>
          <w:marRight w:val="0"/>
          <w:marTop w:val="106"/>
          <w:marBottom w:val="0"/>
          <w:divBdr>
            <w:top w:val="none" w:sz="0" w:space="0" w:color="auto"/>
            <w:left w:val="none" w:sz="0" w:space="0" w:color="auto"/>
            <w:bottom w:val="none" w:sz="0" w:space="0" w:color="auto"/>
            <w:right w:val="none" w:sz="0" w:space="0" w:color="auto"/>
          </w:divBdr>
        </w:div>
        <w:div w:id="1686709108">
          <w:marLeft w:val="720"/>
          <w:marRight w:val="0"/>
          <w:marTop w:val="91"/>
          <w:marBottom w:val="0"/>
          <w:divBdr>
            <w:top w:val="none" w:sz="0" w:space="0" w:color="auto"/>
            <w:left w:val="none" w:sz="0" w:space="0" w:color="auto"/>
            <w:bottom w:val="none" w:sz="0" w:space="0" w:color="auto"/>
            <w:right w:val="none" w:sz="0" w:space="0" w:color="auto"/>
          </w:divBdr>
        </w:div>
        <w:div w:id="1929463071">
          <w:marLeft w:val="720"/>
          <w:marRight w:val="0"/>
          <w:marTop w:val="91"/>
          <w:marBottom w:val="0"/>
          <w:divBdr>
            <w:top w:val="none" w:sz="0" w:space="0" w:color="auto"/>
            <w:left w:val="none" w:sz="0" w:space="0" w:color="auto"/>
            <w:bottom w:val="none" w:sz="0" w:space="0" w:color="auto"/>
            <w:right w:val="none" w:sz="0" w:space="0" w:color="auto"/>
          </w:divBdr>
        </w:div>
        <w:div w:id="2099980849">
          <w:marLeft w:val="720"/>
          <w:marRight w:val="0"/>
          <w:marTop w:val="91"/>
          <w:marBottom w:val="0"/>
          <w:divBdr>
            <w:top w:val="none" w:sz="0" w:space="0" w:color="auto"/>
            <w:left w:val="none" w:sz="0" w:space="0" w:color="auto"/>
            <w:bottom w:val="none" w:sz="0" w:space="0" w:color="auto"/>
            <w:right w:val="none" w:sz="0" w:space="0" w:color="auto"/>
          </w:divBdr>
        </w:div>
      </w:divsChild>
    </w:div>
    <w:div w:id="776947021">
      <w:bodyDiv w:val="1"/>
      <w:marLeft w:val="0"/>
      <w:marRight w:val="0"/>
      <w:marTop w:val="0"/>
      <w:marBottom w:val="0"/>
      <w:divBdr>
        <w:top w:val="none" w:sz="0" w:space="0" w:color="auto"/>
        <w:left w:val="none" w:sz="0" w:space="0" w:color="auto"/>
        <w:bottom w:val="none" w:sz="0" w:space="0" w:color="auto"/>
        <w:right w:val="none" w:sz="0" w:space="0" w:color="auto"/>
      </w:divBdr>
      <w:divsChild>
        <w:div w:id="1397708630">
          <w:marLeft w:val="0"/>
          <w:marRight w:val="0"/>
          <w:marTop w:val="0"/>
          <w:marBottom w:val="0"/>
          <w:divBdr>
            <w:top w:val="none" w:sz="0" w:space="0" w:color="auto"/>
            <w:left w:val="none" w:sz="0" w:space="0" w:color="auto"/>
            <w:bottom w:val="none" w:sz="0" w:space="0" w:color="auto"/>
            <w:right w:val="none" w:sz="0" w:space="0" w:color="auto"/>
          </w:divBdr>
          <w:divsChild>
            <w:div w:id="213199292">
              <w:marLeft w:val="0"/>
              <w:marRight w:val="0"/>
              <w:marTop w:val="0"/>
              <w:marBottom w:val="0"/>
              <w:divBdr>
                <w:top w:val="none" w:sz="0" w:space="0" w:color="auto"/>
                <w:left w:val="none" w:sz="0" w:space="0" w:color="auto"/>
                <w:bottom w:val="none" w:sz="0" w:space="0" w:color="auto"/>
                <w:right w:val="none" w:sz="0" w:space="0" w:color="auto"/>
              </w:divBdr>
            </w:div>
            <w:div w:id="239876621">
              <w:marLeft w:val="0"/>
              <w:marRight w:val="0"/>
              <w:marTop w:val="0"/>
              <w:marBottom w:val="0"/>
              <w:divBdr>
                <w:top w:val="none" w:sz="0" w:space="0" w:color="auto"/>
                <w:left w:val="none" w:sz="0" w:space="0" w:color="auto"/>
                <w:bottom w:val="none" w:sz="0" w:space="0" w:color="auto"/>
                <w:right w:val="none" w:sz="0" w:space="0" w:color="auto"/>
              </w:divBdr>
            </w:div>
            <w:div w:id="293145808">
              <w:marLeft w:val="0"/>
              <w:marRight w:val="0"/>
              <w:marTop w:val="0"/>
              <w:marBottom w:val="0"/>
              <w:divBdr>
                <w:top w:val="none" w:sz="0" w:space="0" w:color="auto"/>
                <w:left w:val="none" w:sz="0" w:space="0" w:color="auto"/>
                <w:bottom w:val="none" w:sz="0" w:space="0" w:color="auto"/>
                <w:right w:val="none" w:sz="0" w:space="0" w:color="auto"/>
              </w:divBdr>
            </w:div>
            <w:div w:id="728112128">
              <w:marLeft w:val="0"/>
              <w:marRight w:val="0"/>
              <w:marTop w:val="0"/>
              <w:marBottom w:val="0"/>
              <w:divBdr>
                <w:top w:val="none" w:sz="0" w:space="0" w:color="auto"/>
                <w:left w:val="none" w:sz="0" w:space="0" w:color="auto"/>
                <w:bottom w:val="none" w:sz="0" w:space="0" w:color="auto"/>
                <w:right w:val="none" w:sz="0" w:space="0" w:color="auto"/>
              </w:divBdr>
            </w:div>
            <w:div w:id="832723120">
              <w:marLeft w:val="0"/>
              <w:marRight w:val="0"/>
              <w:marTop w:val="0"/>
              <w:marBottom w:val="0"/>
              <w:divBdr>
                <w:top w:val="none" w:sz="0" w:space="0" w:color="auto"/>
                <w:left w:val="none" w:sz="0" w:space="0" w:color="auto"/>
                <w:bottom w:val="none" w:sz="0" w:space="0" w:color="auto"/>
                <w:right w:val="none" w:sz="0" w:space="0" w:color="auto"/>
              </w:divBdr>
            </w:div>
            <w:div w:id="885144123">
              <w:marLeft w:val="0"/>
              <w:marRight w:val="0"/>
              <w:marTop w:val="0"/>
              <w:marBottom w:val="0"/>
              <w:divBdr>
                <w:top w:val="none" w:sz="0" w:space="0" w:color="auto"/>
                <w:left w:val="none" w:sz="0" w:space="0" w:color="auto"/>
                <w:bottom w:val="none" w:sz="0" w:space="0" w:color="auto"/>
                <w:right w:val="none" w:sz="0" w:space="0" w:color="auto"/>
              </w:divBdr>
            </w:div>
            <w:div w:id="1060598667">
              <w:marLeft w:val="0"/>
              <w:marRight w:val="0"/>
              <w:marTop w:val="0"/>
              <w:marBottom w:val="0"/>
              <w:divBdr>
                <w:top w:val="none" w:sz="0" w:space="0" w:color="auto"/>
                <w:left w:val="none" w:sz="0" w:space="0" w:color="auto"/>
                <w:bottom w:val="none" w:sz="0" w:space="0" w:color="auto"/>
                <w:right w:val="none" w:sz="0" w:space="0" w:color="auto"/>
              </w:divBdr>
            </w:div>
            <w:div w:id="1131942049">
              <w:marLeft w:val="0"/>
              <w:marRight w:val="0"/>
              <w:marTop w:val="0"/>
              <w:marBottom w:val="0"/>
              <w:divBdr>
                <w:top w:val="none" w:sz="0" w:space="0" w:color="auto"/>
                <w:left w:val="none" w:sz="0" w:space="0" w:color="auto"/>
                <w:bottom w:val="none" w:sz="0" w:space="0" w:color="auto"/>
                <w:right w:val="none" w:sz="0" w:space="0" w:color="auto"/>
              </w:divBdr>
            </w:div>
            <w:div w:id="1279948658">
              <w:marLeft w:val="0"/>
              <w:marRight w:val="0"/>
              <w:marTop w:val="0"/>
              <w:marBottom w:val="0"/>
              <w:divBdr>
                <w:top w:val="none" w:sz="0" w:space="0" w:color="auto"/>
                <w:left w:val="none" w:sz="0" w:space="0" w:color="auto"/>
                <w:bottom w:val="none" w:sz="0" w:space="0" w:color="auto"/>
                <w:right w:val="none" w:sz="0" w:space="0" w:color="auto"/>
              </w:divBdr>
            </w:div>
            <w:div w:id="1954511245">
              <w:marLeft w:val="0"/>
              <w:marRight w:val="0"/>
              <w:marTop w:val="0"/>
              <w:marBottom w:val="0"/>
              <w:divBdr>
                <w:top w:val="none" w:sz="0" w:space="0" w:color="auto"/>
                <w:left w:val="none" w:sz="0" w:space="0" w:color="auto"/>
                <w:bottom w:val="none" w:sz="0" w:space="0" w:color="auto"/>
                <w:right w:val="none" w:sz="0" w:space="0" w:color="auto"/>
              </w:divBdr>
            </w:div>
            <w:div w:id="2052487415">
              <w:marLeft w:val="0"/>
              <w:marRight w:val="0"/>
              <w:marTop w:val="0"/>
              <w:marBottom w:val="0"/>
              <w:divBdr>
                <w:top w:val="none" w:sz="0" w:space="0" w:color="auto"/>
                <w:left w:val="none" w:sz="0" w:space="0" w:color="auto"/>
                <w:bottom w:val="none" w:sz="0" w:space="0" w:color="auto"/>
                <w:right w:val="none" w:sz="0" w:space="0" w:color="auto"/>
              </w:divBdr>
            </w:div>
            <w:div w:id="20701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12077">
      <w:bodyDiv w:val="1"/>
      <w:marLeft w:val="0"/>
      <w:marRight w:val="0"/>
      <w:marTop w:val="0"/>
      <w:marBottom w:val="0"/>
      <w:divBdr>
        <w:top w:val="none" w:sz="0" w:space="0" w:color="auto"/>
        <w:left w:val="none" w:sz="0" w:space="0" w:color="auto"/>
        <w:bottom w:val="none" w:sz="0" w:space="0" w:color="auto"/>
        <w:right w:val="none" w:sz="0" w:space="0" w:color="auto"/>
      </w:divBdr>
      <w:divsChild>
        <w:div w:id="1837067896">
          <w:marLeft w:val="720"/>
          <w:marRight w:val="0"/>
          <w:marTop w:val="96"/>
          <w:marBottom w:val="0"/>
          <w:divBdr>
            <w:top w:val="none" w:sz="0" w:space="0" w:color="auto"/>
            <w:left w:val="none" w:sz="0" w:space="0" w:color="auto"/>
            <w:bottom w:val="none" w:sz="0" w:space="0" w:color="auto"/>
            <w:right w:val="none" w:sz="0" w:space="0" w:color="auto"/>
          </w:divBdr>
        </w:div>
        <w:div w:id="236937981">
          <w:marLeft w:val="1152"/>
          <w:marRight w:val="0"/>
          <w:marTop w:val="86"/>
          <w:marBottom w:val="0"/>
          <w:divBdr>
            <w:top w:val="none" w:sz="0" w:space="0" w:color="auto"/>
            <w:left w:val="none" w:sz="0" w:space="0" w:color="auto"/>
            <w:bottom w:val="none" w:sz="0" w:space="0" w:color="auto"/>
            <w:right w:val="none" w:sz="0" w:space="0" w:color="auto"/>
          </w:divBdr>
        </w:div>
        <w:div w:id="1288198590">
          <w:marLeft w:val="720"/>
          <w:marRight w:val="0"/>
          <w:marTop w:val="96"/>
          <w:marBottom w:val="0"/>
          <w:divBdr>
            <w:top w:val="none" w:sz="0" w:space="0" w:color="auto"/>
            <w:left w:val="none" w:sz="0" w:space="0" w:color="auto"/>
            <w:bottom w:val="none" w:sz="0" w:space="0" w:color="auto"/>
            <w:right w:val="none" w:sz="0" w:space="0" w:color="auto"/>
          </w:divBdr>
        </w:div>
        <w:div w:id="388580130">
          <w:marLeft w:val="1152"/>
          <w:marRight w:val="0"/>
          <w:marTop w:val="86"/>
          <w:marBottom w:val="0"/>
          <w:divBdr>
            <w:top w:val="none" w:sz="0" w:space="0" w:color="auto"/>
            <w:left w:val="none" w:sz="0" w:space="0" w:color="auto"/>
            <w:bottom w:val="none" w:sz="0" w:space="0" w:color="auto"/>
            <w:right w:val="none" w:sz="0" w:space="0" w:color="auto"/>
          </w:divBdr>
        </w:div>
        <w:div w:id="1929536542">
          <w:marLeft w:val="1152"/>
          <w:marRight w:val="0"/>
          <w:marTop w:val="86"/>
          <w:marBottom w:val="0"/>
          <w:divBdr>
            <w:top w:val="none" w:sz="0" w:space="0" w:color="auto"/>
            <w:left w:val="none" w:sz="0" w:space="0" w:color="auto"/>
            <w:bottom w:val="none" w:sz="0" w:space="0" w:color="auto"/>
            <w:right w:val="none" w:sz="0" w:space="0" w:color="auto"/>
          </w:divBdr>
        </w:div>
        <w:div w:id="623578867">
          <w:marLeft w:val="1152"/>
          <w:marRight w:val="0"/>
          <w:marTop w:val="86"/>
          <w:marBottom w:val="0"/>
          <w:divBdr>
            <w:top w:val="none" w:sz="0" w:space="0" w:color="auto"/>
            <w:left w:val="none" w:sz="0" w:space="0" w:color="auto"/>
            <w:bottom w:val="none" w:sz="0" w:space="0" w:color="auto"/>
            <w:right w:val="none" w:sz="0" w:space="0" w:color="auto"/>
          </w:divBdr>
        </w:div>
        <w:div w:id="1000087857">
          <w:marLeft w:val="720"/>
          <w:marRight w:val="0"/>
          <w:marTop w:val="96"/>
          <w:marBottom w:val="0"/>
          <w:divBdr>
            <w:top w:val="none" w:sz="0" w:space="0" w:color="auto"/>
            <w:left w:val="none" w:sz="0" w:space="0" w:color="auto"/>
            <w:bottom w:val="none" w:sz="0" w:space="0" w:color="auto"/>
            <w:right w:val="none" w:sz="0" w:space="0" w:color="auto"/>
          </w:divBdr>
        </w:div>
        <w:div w:id="209656931">
          <w:marLeft w:val="1152"/>
          <w:marRight w:val="0"/>
          <w:marTop w:val="86"/>
          <w:marBottom w:val="0"/>
          <w:divBdr>
            <w:top w:val="none" w:sz="0" w:space="0" w:color="auto"/>
            <w:left w:val="none" w:sz="0" w:space="0" w:color="auto"/>
            <w:bottom w:val="none" w:sz="0" w:space="0" w:color="auto"/>
            <w:right w:val="none" w:sz="0" w:space="0" w:color="auto"/>
          </w:divBdr>
        </w:div>
        <w:div w:id="2134714278">
          <w:marLeft w:val="1152"/>
          <w:marRight w:val="0"/>
          <w:marTop w:val="86"/>
          <w:marBottom w:val="0"/>
          <w:divBdr>
            <w:top w:val="none" w:sz="0" w:space="0" w:color="auto"/>
            <w:left w:val="none" w:sz="0" w:space="0" w:color="auto"/>
            <w:bottom w:val="none" w:sz="0" w:space="0" w:color="auto"/>
            <w:right w:val="none" w:sz="0" w:space="0" w:color="auto"/>
          </w:divBdr>
        </w:div>
        <w:div w:id="1945917644">
          <w:marLeft w:val="1152"/>
          <w:marRight w:val="0"/>
          <w:marTop w:val="86"/>
          <w:marBottom w:val="0"/>
          <w:divBdr>
            <w:top w:val="none" w:sz="0" w:space="0" w:color="auto"/>
            <w:left w:val="none" w:sz="0" w:space="0" w:color="auto"/>
            <w:bottom w:val="none" w:sz="0" w:space="0" w:color="auto"/>
            <w:right w:val="none" w:sz="0" w:space="0" w:color="auto"/>
          </w:divBdr>
        </w:div>
      </w:divsChild>
    </w:div>
    <w:div w:id="794830636">
      <w:bodyDiv w:val="1"/>
      <w:marLeft w:val="0"/>
      <w:marRight w:val="0"/>
      <w:marTop w:val="0"/>
      <w:marBottom w:val="0"/>
      <w:divBdr>
        <w:top w:val="none" w:sz="0" w:space="0" w:color="auto"/>
        <w:left w:val="none" w:sz="0" w:space="0" w:color="auto"/>
        <w:bottom w:val="none" w:sz="0" w:space="0" w:color="auto"/>
        <w:right w:val="none" w:sz="0" w:space="0" w:color="auto"/>
      </w:divBdr>
      <w:divsChild>
        <w:div w:id="2107067892">
          <w:marLeft w:val="720"/>
          <w:marRight w:val="0"/>
          <w:marTop w:val="96"/>
          <w:marBottom w:val="0"/>
          <w:divBdr>
            <w:top w:val="none" w:sz="0" w:space="0" w:color="auto"/>
            <w:left w:val="none" w:sz="0" w:space="0" w:color="auto"/>
            <w:bottom w:val="none" w:sz="0" w:space="0" w:color="auto"/>
            <w:right w:val="none" w:sz="0" w:space="0" w:color="auto"/>
          </w:divBdr>
        </w:div>
        <w:div w:id="607615422">
          <w:marLeft w:val="720"/>
          <w:marRight w:val="0"/>
          <w:marTop w:val="96"/>
          <w:marBottom w:val="0"/>
          <w:divBdr>
            <w:top w:val="none" w:sz="0" w:space="0" w:color="auto"/>
            <w:left w:val="none" w:sz="0" w:space="0" w:color="auto"/>
            <w:bottom w:val="none" w:sz="0" w:space="0" w:color="auto"/>
            <w:right w:val="none" w:sz="0" w:space="0" w:color="auto"/>
          </w:divBdr>
        </w:div>
        <w:div w:id="1006904511">
          <w:marLeft w:val="720"/>
          <w:marRight w:val="0"/>
          <w:marTop w:val="96"/>
          <w:marBottom w:val="0"/>
          <w:divBdr>
            <w:top w:val="none" w:sz="0" w:space="0" w:color="auto"/>
            <w:left w:val="none" w:sz="0" w:space="0" w:color="auto"/>
            <w:bottom w:val="none" w:sz="0" w:space="0" w:color="auto"/>
            <w:right w:val="none" w:sz="0" w:space="0" w:color="auto"/>
          </w:divBdr>
        </w:div>
        <w:div w:id="1532959170">
          <w:marLeft w:val="720"/>
          <w:marRight w:val="0"/>
          <w:marTop w:val="96"/>
          <w:marBottom w:val="0"/>
          <w:divBdr>
            <w:top w:val="none" w:sz="0" w:space="0" w:color="auto"/>
            <w:left w:val="none" w:sz="0" w:space="0" w:color="auto"/>
            <w:bottom w:val="none" w:sz="0" w:space="0" w:color="auto"/>
            <w:right w:val="none" w:sz="0" w:space="0" w:color="auto"/>
          </w:divBdr>
        </w:div>
      </w:divsChild>
    </w:div>
    <w:div w:id="797920608">
      <w:bodyDiv w:val="1"/>
      <w:marLeft w:val="0"/>
      <w:marRight w:val="0"/>
      <w:marTop w:val="0"/>
      <w:marBottom w:val="0"/>
      <w:divBdr>
        <w:top w:val="none" w:sz="0" w:space="0" w:color="auto"/>
        <w:left w:val="none" w:sz="0" w:space="0" w:color="auto"/>
        <w:bottom w:val="none" w:sz="0" w:space="0" w:color="auto"/>
        <w:right w:val="none" w:sz="0" w:space="0" w:color="auto"/>
      </w:divBdr>
      <w:divsChild>
        <w:div w:id="1230381293">
          <w:marLeft w:val="562"/>
          <w:marRight w:val="0"/>
          <w:marTop w:val="115"/>
          <w:marBottom w:val="0"/>
          <w:divBdr>
            <w:top w:val="none" w:sz="0" w:space="0" w:color="auto"/>
            <w:left w:val="none" w:sz="0" w:space="0" w:color="auto"/>
            <w:bottom w:val="none" w:sz="0" w:space="0" w:color="auto"/>
            <w:right w:val="none" w:sz="0" w:space="0" w:color="auto"/>
          </w:divBdr>
        </w:div>
        <w:div w:id="1328098715">
          <w:marLeft w:val="562"/>
          <w:marRight w:val="0"/>
          <w:marTop w:val="115"/>
          <w:marBottom w:val="0"/>
          <w:divBdr>
            <w:top w:val="none" w:sz="0" w:space="0" w:color="auto"/>
            <w:left w:val="none" w:sz="0" w:space="0" w:color="auto"/>
            <w:bottom w:val="none" w:sz="0" w:space="0" w:color="auto"/>
            <w:right w:val="none" w:sz="0" w:space="0" w:color="auto"/>
          </w:divBdr>
        </w:div>
        <w:div w:id="2141147317">
          <w:marLeft w:val="562"/>
          <w:marRight w:val="0"/>
          <w:marTop w:val="115"/>
          <w:marBottom w:val="0"/>
          <w:divBdr>
            <w:top w:val="none" w:sz="0" w:space="0" w:color="auto"/>
            <w:left w:val="none" w:sz="0" w:space="0" w:color="auto"/>
            <w:bottom w:val="none" w:sz="0" w:space="0" w:color="auto"/>
            <w:right w:val="none" w:sz="0" w:space="0" w:color="auto"/>
          </w:divBdr>
        </w:div>
      </w:divsChild>
    </w:div>
    <w:div w:id="806161666">
      <w:bodyDiv w:val="1"/>
      <w:marLeft w:val="0"/>
      <w:marRight w:val="0"/>
      <w:marTop w:val="0"/>
      <w:marBottom w:val="0"/>
      <w:divBdr>
        <w:top w:val="none" w:sz="0" w:space="0" w:color="auto"/>
        <w:left w:val="none" w:sz="0" w:space="0" w:color="auto"/>
        <w:bottom w:val="none" w:sz="0" w:space="0" w:color="auto"/>
        <w:right w:val="none" w:sz="0" w:space="0" w:color="auto"/>
      </w:divBdr>
      <w:divsChild>
        <w:div w:id="302005613">
          <w:marLeft w:val="720"/>
          <w:marRight w:val="0"/>
          <w:marTop w:val="82"/>
          <w:marBottom w:val="0"/>
          <w:divBdr>
            <w:top w:val="none" w:sz="0" w:space="0" w:color="auto"/>
            <w:left w:val="none" w:sz="0" w:space="0" w:color="auto"/>
            <w:bottom w:val="none" w:sz="0" w:space="0" w:color="auto"/>
            <w:right w:val="none" w:sz="0" w:space="0" w:color="auto"/>
          </w:divBdr>
        </w:div>
        <w:div w:id="307133760">
          <w:marLeft w:val="720"/>
          <w:marRight w:val="0"/>
          <w:marTop w:val="82"/>
          <w:marBottom w:val="0"/>
          <w:divBdr>
            <w:top w:val="none" w:sz="0" w:space="0" w:color="auto"/>
            <w:left w:val="none" w:sz="0" w:space="0" w:color="auto"/>
            <w:bottom w:val="none" w:sz="0" w:space="0" w:color="auto"/>
            <w:right w:val="none" w:sz="0" w:space="0" w:color="auto"/>
          </w:divBdr>
        </w:div>
        <w:div w:id="1286890724">
          <w:marLeft w:val="720"/>
          <w:marRight w:val="0"/>
          <w:marTop w:val="82"/>
          <w:marBottom w:val="0"/>
          <w:divBdr>
            <w:top w:val="none" w:sz="0" w:space="0" w:color="auto"/>
            <w:left w:val="none" w:sz="0" w:space="0" w:color="auto"/>
            <w:bottom w:val="none" w:sz="0" w:space="0" w:color="auto"/>
            <w:right w:val="none" w:sz="0" w:space="0" w:color="auto"/>
          </w:divBdr>
        </w:div>
        <w:div w:id="1635596962">
          <w:marLeft w:val="720"/>
          <w:marRight w:val="0"/>
          <w:marTop w:val="82"/>
          <w:marBottom w:val="0"/>
          <w:divBdr>
            <w:top w:val="none" w:sz="0" w:space="0" w:color="auto"/>
            <w:left w:val="none" w:sz="0" w:space="0" w:color="auto"/>
            <w:bottom w:val="none" w:sz="0" w:space="0" w:color="auto"/>
            <w:right w:val="none" w:sz="0" w:space="0" w:color="auto"/>
          </w:divBdr>
        </w:div>
        <w:div w:id="1903711585">
          <w:marLeft w:val="562"/>
          <w:marRight w:val="0"/>
          <w:marTop w:val="96"/>
          <w:marBottom w:val="0"/>
          <w:divBdr>
            <w:top w:val="none" w:sz="0" w:space="0" w:color="auto"/>
            <w:left w:val="none" w:sz="0" w:space="0" w:color="auto"/>
            <w:bottom w:val="none" w:sz="0" w:space="0" w:color="auto"/>
            <w:right w:val="none" w:sz="0" w:space="0" w:color="auto"/>
          </w:divBdr>
        </w:div>
        <w:div w:id="2012565896">
          <w:marLeft w:val="562"/>
          <w:marRight w:val="0"/>
          <w:marTop w:val="96"/>
          <w:marBottom w:val="0"/>
          <w:divBdr>
            <w:top w:val="none" w:sz="0" w:space="0" w:color="auto"/>
            <w:left w:val="none" w:sz="0" w:space="0" w:color="auto"/>
            <w:bottom w:val="none" w:sz="0" w:space="0" w:color="auto"/>
            <w:right w:val="none" w:sz="0" w:space="0" w:color="auto"/>
          </w:divBdr>
        </w:div>
        <w:div w:id="2092308013">
          <w:marLeft w:val="720"/>
          <w:marRight w:val="0"/>
          <w:marTop w:val="82"/>
          <w:marBottom w:val="0"/>
          <w:divBdr>
            <w:top w:val="none" w:sz="0" w:space="0" w:color="auto"/>
            <w:left w:val="none" w:sz="0" w:space="0" w:color="auto"/>
            <w:bottom w:val="none" w:sz="0" w:space="0" w:color="auto"/>
            <w:right w:val="none" w:sz="0" w:space="0" w:color="auto"/>
          </w:divBdr>
        </w:div>
      </w:divsChild>
    </w:div>
    <w:div w:id="810253123">
      <w:bodyDiv w:val="1"/>
      <w:marLeft w:val="0"/>
      <w:marRight w:val="0"/>
      <w:marTop w:val="0"/>
      <w:marBottom w:val="0"/>
      <w:divBdr>
        <w:top w:val="none" w:sz="0" w:space="0" w:color="auto"/>
        <w:left w:val="none" w:sz="0" w:space="0" w:color="auto"/>
        <w:bottom w:val="none" w:sz="0" w:space="0" w:color="auto"/>
        <w:right w:val="none" w:sz="0" w:space="0" w:color="auto"/>
      </w:divBdr>
      <w:divsChild>
        <w:div w:id="224075001">
          <w:marLeft w:val="720"/>
          <w:marRight w:val="0"/>
          <w:marTop w:val="91"/>
          <w:marBottom w:val="0"/>
          <w:divBdr>
            <w:top w:val="none" w:sz="0" w:space="0" w:color="auto"/>
            <w:left w:val="none" w:sz="0" w:space="0" w:color="auto"/>
            <w:bottom w:val="none" w:sz="0" w:space="0" w:color="auto"/>
            <w:right w:val="none" w:sz="0" w:space="0" w:color="auto"/>
          </w:divBdr>
        </w:div>
        <w:div w:id="401101320">
          <w:marLeft w:val="720"/>
          <w:marRight w:val="0"/>
          <w:marTop w:val="91"/>
          <w:marBottom w:val="0"/>
          <w:divBdr>
            <w:top w:val="none" w:sz="0" w:space="0" w:color="auto"/>
            <w:left w:val="none" w:sz="0" w:space="0" w:color="auto"/>
            <w:bottom w:val="none" w:sz="0" w:space="0" w:color="auto"/>
            <w:right w:val="none" w:sz="0" w:space="0" w:color="auto"/>
          </w:divBdr>
        </w:div>
        <w:div w:id="850492969">
          <w:marLeft w:val="720"/>
          <w:marRight w:val="0"/>
          <w:marTop w:val="91"/>
          <w:marBottom w:val="0"/>
          <w:divBdr>
            <w:top w:val="none" w:sz="0" w:space="0" w:color="auto"/>
            <w:left w:val="none" w:sz="0" w:space="0" w:color="auto"/>
            <w:bottom w:val="none" w:sz="0" w:space="0" w:color="auto"/>
            <w:right w:val="none" w:sz="0" w:space="0" w:color="auto"/>
          </w:divBdr>
        </w:div>
        <w:div w:id="2113351110">
          <w:marLeft w:val="720"/>
          <w:marRight w:val="0"/>
          <w:marTop w:val="91"/>
          <w:marBottom w:val="0"/>
          <w:divBdr>
            <w:top w:val="none" w:sz="0" w:space="0" w:color="auto"/>
            <w:left w:val="none" w:sz="0" w:space="0" w:color="auto"/>
            <w:bottom w:val="none" w:sz="0" w:space="0" w:color="auto"/>
            <w:right w:val="none" w:sz="0" w:space="0" w:color="auto"/>
          </w:divBdr>
        </w:div>
        <w:div w:id="1894199427">
          <w:marLeft w:val="720"/>
          <w:marRight w:val="0"/>
          <w:marTop w:val="91"/>
          <w:marBottom w:val="0"/>
          <w:divBdr>
            <w:top w:val="none" w:sz="0" w:space="0" w:color="auto"/>
            <w:left w:val="none" w:sz="0" w:space="0" w:color="auto"/>
            <w:bottom w:val="none" w:sz="0" w:space="0" w:color="auto"/>
            <w:right w:val="none" w:sz="0" w:space="0" w:color="auto"/>
          </w:divBdr>
        </w:div>
        <w:div w:id="84032349">
          <w:marLeft w:val="720"/>
          <w:marRight w:val="0"/>
          <w:marTop w:val="91"/>
          <w:marBottom w:val="0"/>
          <w:divBdr>
            <w:top w:val="none" w:sz="0" w:space="0" w:color="auto"/>
            <w:left w:val="none" w:sz="0" w:space="0" w:color="auto"/>
            <w:bottom w:val="none" w:sz="0" w:space="0" w:color="auto"/>
            <w:right w:val="none" w:sz="0" w:space="0" w:color="auto"/>
          </w:divBdr>
        </w:div>
        <w:div w:id="1785033592">
          <w:marLeft w:val="720"/>
          <w:marRight w:val="0"/>
          <w:marTop w:val="91"/>
          <w:marBottom w:val="0"/>
          <w:divBdr>
            <w:top w:val="none" w:sz="0" w:space="0" w:color="auto"/>
            <w:left w:val="none" w:sz="0" w:space="0" w:color="auto"/>
            <w:bottom w:val="none" w:sz="0" w:space="0" w:color="auto"/>
            <w:right w:val="none" w:sz="0" w:space="0" w:color="auto"/>
          </w:divBdr>
        </w:div>
        <w:div w:id="324939680">
          <w:marLeft w:val="720"/>
          <w:marRight w:val="0"/>
          <w:marTop w:val="91"/>
          <w:marBottom w:val="0"/>
          <w:divBdr>
            <w:top w:val="none" w:sz="0" w:space="0" w:color="auto"/>
            <w:left w:val="none" w:sz="0" w:space="0" w:color="auto"/>
            <w:bottom w:val="none" w:sz="0" w:space="0" w:color="auto"/>
            <w:right w:val="none" w:sz="0" w:space="0" w:color="auto"/>
          </w:divBdr>
        </w:div>
      </w:divsChild>
    </w:div>
    <w:div w:id="842090622">
      <w:bodyDiv w:val="1"/>
      <w:marLeft w:val="0"/>
      <w:marRight w:val="0"/>
      <w:marTop w:val="0"/>
      <w:marBottom w:val="0"/>
      <w:divBdr>
        <w:top w:val="none" w:sz="0" w:space="0" w:color="auto"/>
        <w:left w:val="none" w:sz="0" w:space="0" w:color="auto"/>
        <w:bottom w:val="none" w:sz="0" w:space="0" w:color="auto"/>
        <w:right w:val="none" w:sz="0" w:space="0" w:color="auto"/>
      </w:divBdr>
      <w:divsChild>
        <w:div w:id="865213893">
          <w:marLeft w:val="446"/>
          <w:marRight w:val="0"/>
          <w:marTop w:val="0"/>
          <w:marBottom w:val="0"/>
          <w:divBdr>
            <w:top w:val="none" w:sz="0" w:space="0" w:color="auto"/>
            <w:left w:val="none" w:sz="0" w:space="0" w:color="auto"/>
            <w:bottom w:val="none" w:sz="0" w:space="0" w:color="auto"/>
            <w:right w:val="none" w:sz="0" w:space="0" w:color="auto"/>
          </w:divBdr>
        </w:div>
        <w:div w:id="1354648546">
          <w:marLeft w:val="446"/>
          <w:marRight w:val="0"/>
          <w:marTop w:val="0"/>
          <w:marBottom w:val="0"/>
          <w:divBdr>
            <w:top w:val="none" w:sz="0" w:space="0" w:color="auto"/>
            <w:left w:val="none" w:sz="0" w:space="0" w:color="auto"/>
            <w:bottom w:val="none" w:sz="0" w:space="0" w:color="auto"/>
            <w:right w:val="none" w:sz="0" w:space="0" w:color="auto"/>
          </w:divBdr>
        </w:div>
        <w:div w:id="1549494228">
          <w:marLeft w:val="446"/>
          <w:marRight w:val="0"/>
          <w:marTop w:val="0"/>
          <w:marBottom w:val="0"/>
          <w:divBdr>
            <w:top w:val="none" w:sz="0" w:space="0" w:color="auto"/>
            <w:left w:val="none" w:sz="0" w:space="0" w:color="auto"/>
            <w:bottom w:val="none" w:sz="0" w:space="0" w:color="auto"/>
            <w:right w:val="none" w:sz="0" w:space="0" w:color="auto"/>
          </w:divBdr>
        </w:div>
      </w:divsChild>
    </w:div>
    <w:div w:id="845827914">
      <w:bodyDiv w:val="1"/>
      <w:marLeft w:val="0"/>
      <w:marRight w:val="0"/>
      <w:marTop w:val="0"/>
      <w:marBottom w:val="0"/>
      <w:divBdr>
        <w:top w:val="none" w:sz="0" w:space="0" w:color="auto"/>
        <w:left w:val="none" w:sz="0" w:space="0" w:color="auto"/>
        <w:bottom w:val="none" w:sz="0" w:space="0" w:color="auto"/>
        <w:right w:val="none" w:sz="0" w:space="0" w:color="auto"/>
      </w:divBdr>
    </w:div>
    <w:div w:id="848448926">
      <w:bodyDiv w:val="1"/>
      <w:marLeft w:val="0"/>
      <w:marRight w:val="0"/>
      <w:marTop w:val="0"/>
      <w:marBottom w:val="0"/>
      <w:divBdr>
        <w:top w:val="none" w:sz="0" w:space="0" w:color="auto"/>
        <w:left w:val="none" w:sz="0" w:space="0" w:color="auto"/>
        <w:bottom w:val="none" w:sz="0" w:space="0" w:color="auto"/>
        <w:right w:val="none" w:sz="0" w:space="0" w:color="auto"/>
      </w:divBdr>
      <w:divsChild>
        <w:div w:id="27992766">
          <w:marLeft w:val="446"/>
          <w:marRight w:val="0"/>
          <w:marTop w:val="0"/>
          <w:marBottom w:val="0"/>
          <w:divBdr>
            <w:top w:val="none" w:sz="0" w:space="0" w:color="auto"/>
            <w:left w:val="none" w:sz="0" w:space="0" w:color="auto"/>
            <w:bottom w:val="none" w:sz="0" w:space="0" w:color="auto"/>
            <w:right w:val="none" w:sz="0" w:space="0" w:color="auto"/>
          </w:divBdr>
        </w:div>
        <w:div w:id="890577100">
          <w:marLeft w:val="446"/>
          <w:marRight w:val="0"/>
          <w:marTop w:val="0"/>
          <w:marBottom w:val="0"/>
          <w:divBdr>
            <w:top w:val="none" w:sz="0" w:space="0" w:color="auto"/>
            <w:left w:val="none" w:sz="0" w:space="0" w:color="auto"/>
            <w:bottom w:val="none" w:sz="0" w:space="0" w:color="auto"/>
            <w:right w:val="none" w:sz="0" w:space="0" w:color="auto"/>
          </w:divBdr>
        </w:div>
        <w:div w:id="931353960">
          <w:marLeft w:val="446"/>
          <w:marRight w:val="0"/>
          <w:marTop w:val="0"/>
          <w:marBottom w:val="0"/>
          <w:divBdr>
            <w:top w:val="none" w:sz="0" w:space="0" w:color="auto"/>
            <w:left w:val="none" w:sz="0" w:space="0" w:color="auto"/>
            <w:bottom w:val="none" w:sz="0" w:space="0" w:color="auto"/>
            <w:right w:val="none" w:sz="0" w:space="0" w:color="auto"/>
          </w:divBdr>
        </w:div>
        <w:div w:id="1204175757">
          <w:marLeft w:val="446"/>
          <w:marRight w:val="0"/>
          <w:marTop w:val="0"/>
          <w:marBottom w:val="0"/>
          <w:divBdr>
            <w:top w:val="none" w:sz="0" w:space="0" w:color="auto"/>
            <w:left w:val="none" w:sz="0" w:space="0" w:color="auto"/>
            <w:bottom w:val="none" w:sz="0" w:space="0" w:color="auto"/>
            <w:right w:val="none" w:sz="0" w:space="0" w:color="auto"/>
          </w:divBdr>
        </w:div>
        <w:div w:id="2048605022">
          <w:marLeft w:val="446"/>
          <w:marRight w:val="0"/>
          <w:marTop w:val="0"/>
          <w:marBottom w:val="0"/>
          <w:divBdr>
            <w:top w:val="none" w:sz="0" w:space="0" w:color="auto"/>
            <w:left w:val="none" w:sz="0" w:space="0" w:color="auto"/>
            <w:bottom w:val="none" w:sz="0" w:space="0" w:color="auto"/>
            <w:right w:val="none" w:sz="0" w:space="0" w:color="auto"/>
          </w:divBdr>
        </w:div>
      </w:divsChild>
    </w:div>
    <w:div w:id="863329538">
      <w:bodyDiv w:val="1"/>
      <w:marLeft w:val="0"/>
      <w:marRight w:val="0"/>
      <w:marTop w:val="0"/>
      <w:marBottom w:val="0"/>
      <w:divBdr>
        <w:top w:val="none" w:sz="0" w:space="0" w:color="auto"/>
        <w:left w:val="none" w:sz="0" w:space="0" w:color="auto"/>
        <w:bottom w:val="none" w:sz="0" w:space="0" w:color="auto"/>
        <w:right w:val="none" w:sz="0" w:space="0" w:color="auto"/>
      </w:divBdr>
      <w:divsChild>
        <w:div w:id="1337465854">
          <w:marLeft w:val="547"/>
          <w:marRight w:val="0"/>
          <w:marTop w:val="96"/>
          <w:marBottom w:val="0"/>
          <w:divBdr>
            <w:top w:val="none" w:sz="0" w:space="0" w:color="auto"/>
            <w:left w:val="none" w:sz="0" w:space="0" w:color="auto"/>
            <w:bottom w:val="none" w:sz="0" w:space="0" w:color="auto"/>
            <w:right w:val="none" w:sz="0" w:space="0" w:color="auto"/>
          </w:divBdr>
        </w:div>
        <w:div w:id="1567257601">
          <w:marLeft w:val="1166"/>
          <w:marRight w:val="0"/>
          <w:marTop w:val="96"/>
          <w:marBottom w:val="0"/>
          <w:divBdr>
            <w:top w:val="none" w:sz="0" w:space="0" w:color="auto"/>
            <w:left w:val="none" w:sz="0" w:space="0" w:color="auto"/>
            <w:bottom w:val="none" w:sz="0" w:space="0" w:color="auto"/>
            <w:right w:val="none" w:sz="0" w:space="0" w:color="auto"/>
          </w:divBdr>
        </w:div>
        <w:div w:id="1748307503">
          <w:marLeft w:val="1166"/>
          <w:marRight w:val="0"/>
          <w:marTop w:val="96"/>
          <w:marBottom w:val="0"/>
          <w:divBdr>
            <w:top w:val="none" w:sz="0" w:space="0" w:color="auto"/>
            <w:left w:val="none" w:sz="0" w:space="0" w:color="auto"/>
            <w:bottom w:val="none" w:sz="0" w:space="0" w:color="auto"/>
            <w:right w:val="none" w:sz="0" w:space="0" w:color="auto"/>
          </w:divBdr>
        </w:div>
        <w:div w:id="1559826461">
          <w:marLeft w:val="1166"/>
          <w:marRight w:val="0"/>
          <w:marTop w:val="96"/>
          <w:marBottom w:val="0"/>
          <w:divBdr>
            <w:top w:val="none" w:sz="0" w:space="0" w:color="auto"/>
            <w:left w:val="none" w:sz="0" w:space="0" w:color="auto"/>
            <w:bottom w:val="none" w:sz="0" w:space="0" w:color="auto"/>
            <w:right w:val="none" w:sz="0" w:space="0" w:color="auto"/>
          </w:divBdr>
        </w:div>
      </w:divsChild>
    </w:div>
    <w:div w:id="868570841">
      <w:bodyDiv w:val="1"/>
      <w:marLeft w:val="0"/>
      <w:marRight w:val="0"/>
      <w:marTop w:val="0"/>
      <w:marBottom w:val="0"/>
      <w:divBdr>
        <w:top w:val="none" w:sz="0" w:space="0" w:color="auto"/>
        <w:left w:val="none" w:sz="0" w:space="0" w:color="auto"/>
        <w:bottom w:val="none" w:sz="0" w:space="0" w:color="auto"/>
        <w:right w:val="none" w:sz="0" w:space="0" w:color="auto"/>
      </w:divBdr>
      <w:divsChild>
        <w:div w:id="379862531">
          <w:marLeft w:val="562"/>
          <w:marRight w:val="0"/>
          <w:marTop w:val="106"/>
          <w:marBottom w:val="0"/>
          <w:divBdr>
            <w:top w:val="none" w:sz="0" w:space="0" w:color="auto"/>
            <w:left w:val="none" w:sz="0" w:space="0" w:color="auto"/>
            <w:bottom w:val="none" w:sz="0" w:space="0" w:color="auto"/>
            <w:right w:val="none" w:sz="0" w:space="0" w:color="auto"/>
          </w:divBdr>
        </w:div>
        <w:div w:id="407729532">
          <w:marLeft w:val="562"/>
          <w:marRight w:val="0"/>
          <w:marTop w:val="106"/>
          <w:marBottom w:val="0"/>
          <w:divBdr>
            <w:top w:val="none" w:sz="0" w:space="0" w:color="auto"/>
            <w:left w:val="none" w:sz="0" w:space="0" w:color="auto"/>
            <w:bottom w:val="none" w:sz="0" w:space="0" w:color="auto"/>
            <w:right w:val="none" w:sz="0" w:space="0" w:color="auto"/>
          </w:divBdr>
        </w:div>
        <w:div w:id="1505392711">
          <w:marLeft w:val="562"/>
          <w:marRight w:val="0"/>
          <w:marTop w:val="106"/>
          <w:marBottom w:val="0"/>
          <w:divBdr>
            <w:top w:val="none" w:sz="0" w:space="0" w:color="auto"/>
            <w:left w:val="none" w:sz="0" w:space="0" w:color="auto"/>
            <w:bottom w:val="none" w:sz="0" w:space="0" w:color="auto"/>
            <w:right w:val="none" w:sz="0" w:space="0" w:color="auto"/>
          </w:divBdr>
        </w:div>
        <w:div w:id="1514373100">
          <w:marLeft w:val="562"/>
          <w:marRight w:val="0"/>
          <w:marTop w:val="106"/>
          <w:marBottom w:val="0"/>
          <w:divBdr>
            <w:top w:val="none" w:sz="0" w:space="0" w:color="auto"/>
            <w:left w:val="none" w:sz="0" w:space="0" w:color="auto"/>
            <w:bottom w:val="none" w:sz="0" w:space="0" w:color="auto"/>
            <w:right w:val="none" w:sz="0" w:space="0" w:color="auto"/>
          </w:divBdr>
        </w:div>
        <w:div w:id="1683236504">
          <w:marLeft w:val="562"/>
          <w:marRight w:val="0"/>
          <w:marTop w:val="106"/>
          <w:marBottom w:val="0"/>
          <w:divBdr>
            <w:top w:val="none" w:sz="0" w:space="0" w:color="auto"/>
            <w:left w:val="none" w:sz="0" w:space="0" w:color="auto"/>
            <w:bottom w:val="none" w:sz="0" w:space="0" w:color="auto"/>
            <w:right w:val="none" w:sz="0" w:space="0" w:color="auto"/>
          </w:divBdr>
        </w:div>
        <w:div w:id="1908304201">
          <w:marLeft w:val="562"/>
          <w:marRight w:val="0"/>
          <w:marTop w:val="106"/>
          <w:marBottom w:val="0"/>
          <w:divBdr>
            <w:top w:val="none" w:sz="0" w:space="0" w:color="auto"/>
            <w:left w:val="none" w:sz="0" w:space="0" w:color="auto"/>
            <w:bottom w:val="none" w:sz="0" w:space="0" w:color="auto"/>
            <w:right w:val="none" w:sz="0" w:space="0" w:color="auto"/>
          </w:divBdr>
        </w:div>
        <w:div w:id="2128036989">
          <w:marLeft w:val="562"/>
          <w:marRight w:val="0"/>
          <w:marTop w:val="106"/>
          <w:marBottom w:val="0"/>
          <w:divBdr>
            <w:top w:val="none" w:sz="0" w:space="0" w:color="auto"/>
            <w:left w:val="none" w:sz="0" w:space="0" w:color="auto"/>
            <w:bottom w:val="none" w:sz="0" w:space="0" w:color="auto"/>
            <w:right w:val="none" w:sz="0" w:space="0" w:color="auto"/>
          </w:divBdr>
        </w:div>
      </w:divsChild>
    </w:div>
    <w:div w:id="868878365">
      <w:bodyDiv w:val="1"/>
      <w:marLeft w:val="0"/>
      <w:marRight w:val="0"/>
      <w:marTop w:val="0"/>
      <w:marBottom w:val="0"/>
      <w:divBdr>
        <w:top w:val="none" w:sz="0" w:space="0" w:color="auto"/>
        <w:left w:val="none" w:sz="0" w:space="0" w:color="auto"/>
        <w:bottom w:val="none" w:sz="0" w:space="0" w:color="auto"/>
        <w:right w:val="none" w:sz="0" w:space="0" w:color="auto"/>
      </w:divBdr>
      <w:divsChild>
        <w:div w:id="69888669">
          <w:marLeft w:val="446"/>
          <w:marRight w:val="0"/>
          <w:marTop w:val="0"/>
          <w:marBottom w:val="0"/>
          <w:divBdr>
            <w:top w:val="none" w:sz="0" w:space="0" w:color="auto"/>
            <w:left w:val="none" w:sz="0" w:space="0" w:color="auto"/>
            <w:bottom w:val="none" w:sz="0" w:space="0" w:color="auto"/>
            <w:right w:val="none" w:sz="0" w:space="0" w:color="auto"/>
          </w:divBdr>
        </w:div>
        <w:div w:id="973291316">
          <w:marLeft w:val="446"/>
          <w:marRight w:val="0"/>
          <w:marTop w:val="0"/>
          <w:marBottom w:val="0"/>
          <w:divBdr>
            <w:top w:val="none" w:sz="0" w:space="0" w:color="auto"/>
            <w:left w:val="none" w:sz="0" w:space="0" w:color="auto"/>
            <w:bottom w:val="none" w:sz="0" w:space="0" w:color="auto"/>
            <w:right w:val="none" w:sz="0" w:space="0" w:color="auto"/>
          </w:divBdr>
        </w:div>
        <w:div w:id="1885940674">
          <w:marLeft w:val="446"/>
          <w:marRight w:val="0"/>
          <w:marTop w:val="0"/>
          <w:marBottom w:val="0"/>
          <w:divBdr>
            <w:top w:val="none" w:sz="0" w:space="0" w:color="auto"/>
            <w:left w:val="none" w:sz="0" w:space="0" w:color="auto"/>
            <w:bottom w:val="none" w:sz="0" w:space="0" w:color="auto"/>
            <w:right w:val="none" w:sz="0" w:space="0" w:color="auto"/>
          </w:divBdr>
        </w:div>
      </w:divsChild>
    </w:div>
    <w:div w:id="890191200">
      <w:bodyDiv w:val="1"/>
      <w:marLeft w:val="0"/>
      <w:marRight w:val="0"/>
      <w:marTop w:val="0"/>
      <w:marBottom w:val="0"/>
      <w:divBdr>
        <w:top w:val="none" w:sz="0" w:space="0" w:color="auto"/>
        <w:left w:val="none" w:sz="0" w:space="0" w:color="auto"/>
        <w:bottom w:val="none" w:sz="0" w:space="0" w:color="auto"/>
        <w:right w:val="none" w:sz="0" w:space="0" w:color="auto"/>
      </w:divBdr>
      <w:divsChild>
        <w:div w:id="99615356">
          <w:marLeft w:val="562"/>
          <w:marRight w:val="0"/>
          <w:marTop w:val="106"/>
          <w:marBottom w:val="0"/>
          <w:divBdr>
            <w:top w:val="none" w:sz="0" w:space="0" w:color="auto"/>
            <w:left w:val="none" w:sz="0" w:space="0" w:color="auto"/>
            <w:bottom w:val="none" w:sz="0" w:space="0" w:color="auto"/>
            <w:right w:val="none" w:sz="0" w:space="0" w:color="auto"/>
          </w:divBdr>
        </w:div>
        <w:div w:id="163668747">
          <w:marLeft w:val="562"/>
          <w:marRight w:val="0"/>
          <w:marTop w:val="106"/>
          <w:marBottom w:val="0"/>
          <w:divBdr>
            <w:top w:val="none" w:sz="0" w:space="0" w:color="auto"/>
            <w:left w:val="none" w:sz="0" w:space="0" w:color="auto"/>
            <w:bottom w:val="none" w:sz="0" w:space="0" w:color="auto"/>
            <w:right w:val="none" w:sz="0" w:space="0" w:color="auto"/>
          </w:divBdr>
        </w:div>
        <w:div w:id="169029880">
          <w:marLeft w:val="562"/>
          <w:marRight w:val="0"/>
          <w:marTop w:val="106"/>
          <w:marBottom w:val="0"/>
          <w:divBdr>
            <w:top w:val="none" w:sz="0" w:space="0" w:color="auto"/>
            <w:left w:val="none" w:sz="0" w:space="0" w:color="auto"/>
            <w:bottom w:val="none" w:sz="0" w:space="0" w:color="auto"/>
            <w:right w:val="none" w:sz="0" w:space="0" w:color="auto"/>
          </w:divBdr>
        </w:div>
        <w:div w:id="549458374">
          <w:marLeft w:val="562"/>
          <w:marRight w:val="0"/>
          <w:marTop w:val="106"/>
          <w:marBottom w:val="0"/>
          <w:divBdr>
            <w:top w:val="none" w:sz="0" w:space="0" w:color="auto"/>
            <w:left w:val="none" w:sz="0" w:space="0" w:color="auto"/>
            <w:bottom w:val="none" w:sz="0" w:space="0" w:color="auto"/>
            <w:right w:val="none" w:sz="0" w:space="0" w:color="auto"/>
          </w:divBdr>
        </w:div>
        <w:div w:id="1684624701">
          <w:marLeft w:val="562"/>
          <w:marRight w:val="0"/>
          <w:marTop w:val="106"/>
          <w:marBottom w:val="0"/>
          <w:divBdr>
            <w:top w:val="none" w:sz="0" w:space="0" w:color="auto"/>
            <w:left w:val="none" w:sz="0" w:space="0" w:color="auto"/>
            <w:bottom w:val="none" w:sz="0" w:space="0" w:color="auto"/>
            <w:right w:val="none" w:sz="0" w:space="0" w:color="auto"/>
          </w:divBdr>
        </w:div>
      </w:divsChild>
    </w:div>
    <w:div w:id="891966771">
      <w:bodyDiv w:val="1"/>
      <w:marLeft w:val="0"/>
      <w:marRight w:val="0"/>
      <w:marTop w:val="0"/>
      <w:marBottom w:val="0"/>
      <w:divBdr>
        <w:top w:val="none" w:sz="0" w:space="0" w:color="auto"/>
        <w:left w:val="none" w:sz="0" w:space="0" w:color="auto"/>
        <w:bottom w:val="none" w:sz="0" w:space="0" w:color="auto"/>
        <w:right w:val="none" w:sz="0" w:space="0" w:color="auto"/>
      </w:divBdr>
      <w:divsChild>
        <w:div w:id="125005463">
          <w:marLeft w:val="446"/>
          <w:marRight w:val="0"/>
          <w:marTop w:val="0"/>
          <w:marBottom w:val="0"/>
          <w:divBdr>
            <w:top w:val="none" w:sz="0" w:space="0" w:color="auto"/>
            <w:left w:val="none" w:sz="0" w:space="0" w:color="auto"/>
            <w:bottom w:val="none" w:sz="0" w:space="0" w:color="auto"/>
            <w:right w:val="none" w:sz="0" w:space="0" w:color="auto"/>
          </w:divBdr>
        </w:div>
        <w:div w:id="340133223">
          <w:marLeft w:val="446"/>
          <w:marRight w:val="0"/>
          <w:marTop w:val="0"/>
          <w:marBottom w:val="0"/>
          <w:divBdr>
            <w:top w:val="none" w:sz="0" w:space="0" w:color="auto"/>
            <w:left w:val="none" w:sz="0" w:space="0" w:color="auto"/>
            <w:bottom w:val="none" w:sz="0" w:space="0" w:color="auto"/>
            <w:right w:val="none" w:sz="0" w:space="0" w:color="auto"/>
          </w:divBdr>
        </w:div>
        <w:div w:id="936525319">
          <w:marLeft w:val="446"/>
          <w:marRight w:val="0"/>
          <w:marTop w:val="0"/>
          <w:marBottom w:val="0"/>
          <w:divBdr>
            <w:top w:val="none" w:sz="0" w:space="0" w:color="auto"/>
            <w:left w:val="none" w:sz="0" w:space="0" w:color="auto"/>
            <w:bottom w:val="none" w:sz="0" w:space="0" w:color="auto"/>
            <w:right w:val="none" w:sz="0" w:space="0" w:color="auto"/>
          </w:divBdr>
        </w:div>
      </w:divsChild>
    </w:div>
    <w:div w:id="894782448">
      <w:bodyDiv w:val="1"/>
      <w:marLeft w:val="0"/>
      <w:marRight w:val="0"/>
      <w:marTop w:val="0"/>
      <w:marBottom w:val="0"/>
      <w:divBdr>
        <w:top w:val="none" w:sz="0" w:space="0" w:color="auto"/>
        <w:left w:val="none" w:sz="0" w:space="0" w:color="auto"/>
        <w:bottom w:val="none" w:sz="0" w:space="0" w:color="auto"/>
        <w:right w:val="none" w:sz="0" w:space="0" w:color="auto"/>
      </w:divBdr>
      <w:divsChild>
        <w:div w:id="1336609097">
          <w:marLeft w:val="0"/>
          <w:marRight w:val="0"/>
          <w:marTop w:val="0"/>
          <w:marBottom w:val="0"/>
          <w:divBdr>
            <w:top w:val="none" w:sz="0" w:space="0" w:color="auto"/>
            <w:left w:val="none" w:sz="0" w:space="0" w:color="auto"/>
            <w:bottom w:val="none" w:sz="0" w:space="0" w:color="auto"/>
            <w:right w:val="none" w:sz="0" w:space="0" w:color="auto"/>
          </w:divBdr>
          <w:divsChild>
            <w:div w:id="299069060">
              <w:marLeft w:val="0"/>
              <w:marRight w:val="0"/>
              <w:marTop w:val="0"/>
              <w:marBottom w:val="0"/>
              <w:divBdr>
                <w:top w:val="none" w:sz="0" w:space="0" w:color="auto"/>
                <w:left w:val="none" w:sz="0" w:space="0" w:color="auto"/>
                <w:bottom w:val="none" w:sz="0" w:space="0" w:color="auto"/>
                <w:right w:val="none" w:sz="0" w:space="0" w:color="auto"/>
              </w:divBdr>
            </w:div>
            <w:div w:id="685981312">
              <w:marLeft w:val="0"/>
              <w:marRight w:val="0"/>
              <w:marTop w:val="0"/>
              <w:marBottom w:val="0"/>
              <w:divBdr>
                <w:top w:val="none" w:sz="0" w:space="0" w:color="auto"/>
                <w:left w:val="none" w:sz="0" w:space="0" w:color="auto"/>
                <w:bottom w:val="none" w:sz="0" w:space="0" w:color="auto"/>
                <w:right w:val="none" w:sz="0" w:space="0" w:color="auto"/>
              </w:divBdr>
            </w:div>
            <w:div w:id="787817883">
              <w:marLeft w:val="0"/>
              <w:marRight w:val="0"/>
              <w:marTop w:val="0"/>
              <w:marBottom w:val="0"/>
              <w:divBdr>
                <w:top w:val="none" w:sz="0" w:space="0" w:color="auto"/>
                <w:left w:val="none" w:sz="0" w:space="0" w:color="auto"/>
                <w:bottom w:val="none" w:sz="0" w:space="0" w:color="auto"/>
                <w:right w:val="none" w:sz="0" w:space="0" w:color="auto"/>
              </w:divBdr>
            </w:div>
            <w:div w:id="791438404">
              <w:marLeft w:val="0"/>
              <w:marRight w:val="0"/>
              <w:marTop w:val="0"/>
              <w:marBottom w:val="0"/>
              <w:divBdr>
                <w:top w:val="none" w:sz="0" w:space="0" w:color="auto"/>
                <w:left w:val="none" w:sz="0" w:space="0" w:color="auto"/>
                <w:bottom w:val="none" w:sz="0" w:space="0" w:color="auto"/>
                <w:right w:val="none" w:sz="0" w:space="0" w:color="auto"/>
              </w:divBdr>
            </w:div>
            <w:div w:id="992758711">
              <w:marLeft w:val="0"/>
              <w:marRight w:val="0"/>
              <w:marTop w:val="0"/>
              <w:marBottom w:val="0"/>
              <w:divBdr>
                <w:top w:val="none" w:sz="0" w:space="0" w:color="auto"/>
                <w:left w:val="none" w:sz="0" w:space="0" w:color="auto"/>
                <w:bottom w:val="none" w:sz="0" w:space="0" w:color="auto"/>
                <w:right w:val="none" w:sz="0" w:space="0" w:color="auto"/>
              </w:divBdr>
            </w:div>
            <w:div w:id="1464422924">
              <w:marLeft w:val="0"/>
              <w:marRight w:val="0"/>
              <w:marTop w:val="0"/>
              <w:marBottom w:val="0"/>
              <w:divBdr>
                <w:top w:val="none" w:sz="0" w:space="0" w:color="auto"/>
                <w:left w:val="none" w:sz="0" w:space="0" w:color="auto"/>
                <w:bottom w:val="none" w:sz="0" w:space="0" w:color="auto"/>
                <w:right w:val="none" w:sz="0" w:space="0" w:color="auto"/>
              </w:divBdr>
            </w:div>
            <w:div w:id="1678195901">
              <w:marLeft w:val="0"/>
              <w:marRight w:val="0"/>
              <w:marTop w:val="0"/>
              <w:marBottom w:val="0"/>
              <w:divBdr>
                <w:top w:val="none" w:sz="0" w:space="0" w:color="auto"/>
                <w:left w:val="none" w:sz="0" w:space="0" w:color="auto"/>
                <w:bottom w:val="none" w:sz="0" w:space="0" w:color="auto"/>
                <w:right w:val="none" w:sz="0" w:space="0" w:color="auto"/>
              </w:divBdr>
            </w:div>
            <w:div w:id="18788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38427">
      <w:bodyDiv w:val="1"/>
      <w:marLeft w:val="0"/>
      <w:marRight w:val="0"/>
      <w:marTop w:val="0"/>
      <w:marBottom w:val="0"/>
      <w:divBdr>
        <w:top w:val="none" w:sz="0" w:space="0" w:color="auto"/>
        <w:left w:val="none" w:sz="0" w:space="0" w:color="auto"/>
        <w:bottom w:val="none" w:sz="0" w:space="0" w:color="auto"/>
        <w:right w:val="none" w:sz="0" w:space="0" w:color="auto"/>
      </w:divBdr>
      <w:divsChild>
        <w:div w:id="24642884">
          <w:marLeft w:val="562"/>
          <w:marRight w:val="0"/>
          <w:marTop w:val="115"/>
          <w:marBottom w:val="0"/>
          <w:divBdr>
            <w:top w:val="none" w:sz="0" w:space="0" w:color="auto"/>
            <w:left w:val="none" w:sz="0" w:space="0" w:color="auto"/>
            <w:bottom w:val="none" w:sz="0" w:space="0" w:color="auto"/>
            <w:right w:val="none" w:sz="0" w:space="0" w:color="auto"/>
          </w:divBdr>
        </w:div>
        <w:div w:id="859779347">
          <w:marLeft w:val="720"/>
          <w:marRight w:val="0"/>
          <w:marTop w:val="96"/>
          <w:marBottom w:val="0"/>
          <w:divBdr>
            <w:top w:val="none" w:sz="0" w:space="0" w:color="auto"/>
            <w:left w:val="none" w:sz="0" w:space="0" w:color="auto"/>
            <w:bottom w:val="none" w:sz="0" w:space="0" w:color="auto"/>
            <w:right w:val="none" w:sz="0" w:space="0" w:color="auto"/>
          </w:divBdr>
        </w:div>
        <w:div w:id="1198004468">
          <w:marLeft w:val="562"/>
          <w:marRight w:val="0"/>
          <w:marTop w:val="115"/>
          <w:marBottom w:val="0"/>
          <w:divBdr>
            <w:top w:val="none" w:sz="0" w:space="0" w:color="auto"/>
            <w:left w:val="none" w:sz="0" w:space="0" w:color="auto"/>
            <w:bottom w:val="none" w:sz="0" w:space="0" w:color="auto"/>
            <w:right w:val="none" w:sz="0" w:space="0" w:color="auto"/>
          </w:divBdr>
        </w:div>
        <w:div w:id="1262682323">
          <w:marLeft w:val="562"/>
          <w:marRight w:val="0"/>
          <w:marTop w:val="115"/>
          <w:marBottom w:val="0"/>
          <w:divBdr>
            <w:top w:val="none" w:sz="0" w:space="0" w:color="auto"/>
            <w:left w:val="none" w:sz="0" w:space="0" w:color="auto"/>
            <w:bottom w:val="none" w:sz="0" w:space="0" w:color="auto"/>
            <w:right w:val="none" w:sz="0" w:space="0" w:color="auto"/>
          </w:divBdr>
        </w:div>
        <w:div w:id="1814057587">
          <w:marLeft w:val="720"/>
          <w:marRight w:val="0"/>
          <w:marTop w:val="96"/>
          <w:marBottom w:val="0"/>
          <w:divBdr>
            <w:top w:val="none" w:sz="0" w:space="0" w:color="auto"/>
            <w:left w:val="none" w:sz="0" w:space="0" w:color="auto"/>
            <w:bottom w:val="none" w:sz="0" w:space="0" w:color="auto"/>
            <w:right w:val="none" w:sz="0" w:space="0" w:color="auto"/>
          </w:divBdr>
        </w:div>
      </w:divsChild>
    </w:div>
    <w:div w:id="917176941">
      <w:bodyDiv w:val="1"/>
      <w:marLeft w:val="0"/>
      <w:marRight w:val="0"/>
      <w:marTop w:val="0"/>
      <w:marBottom w:val="0"/>
      <w:divBdr>
        <w:top w:val="none" w:sz="0" w:space="0" w:color="auto"/>
        <w:left w:val="none" w:sz="0" w:space="0" w:color="auto"/>
        <w:bottom w:val="none" w:sz="0" w:space="0" w:color="auto"/>
        <w:right w:val="none" w:sz="0" w:space="0" w:color="auto"/>
      </w:divBdr>
    </w:div>
    <w:div w:id="922565939">
      <w:bodyDiv w:val="1"/>
      <w:marLeft w:val="0"/>
      <w:marRight w:val="0"/>
      <w:marTop w:val="0"/>
      <w:marBottom w:val="0"/>
      <w:divBdr>
        <w:top w:val="none" w:sz="0" w:space="0" w:color="auto"/>
        <w:left w:val="none" w:sz="0" w:space="0" w:color="auto"/>
        <w:bottom w:val="none" w:sz="0" w:space="0" w:color="auto"/>
        <w:right w:val="none" w:sz="0" w:space="0" w:color="auto"/>
      </w:divBdr>
      <w:divsChild>
        <w:div w:id="150371166">
          <w:marLeft w:val="562"/>
          <w:marRight w:val="0"/>
          <w:marTop w:val="115"/>
          <w:marBottom w:val="0"/>
          <w:divBdr>
            <w:top w:val="none" w:sz="0" w:space="0" w:color="auto"/>
            <w:left w:val="none" w:sz="0" w:space="0" w:color="auto"/>
            <w:bottom w:val="none" w:sz="0" w:space="0" w:color="auto"/>
            <w:right w:val="none" w:sz="0" w:space="0" w:color="auto"/>
          </w:divBdr>
        </w:div>
        <w:div w:id="1769085264">
          <w:marLeft w:val="562"/>
          <w:marRight w:val="0"/>
          <w:marTop w:val="115"/>
          <w:marBottom w:val="0"/>
          <w:divBdr>
            <w:top w:val="none" w:sz="0" w:space="0" w:color="auto"/>
            <w:left w:val="none" w:sz="0" w:space="0" w:color="auto"/>
            <w:bottom w:val="none" w:sz="0" w:space="0" w:color="auto"/>
            <w:right w:val="none" w:sz="0" w:space="0" w:color="auto"/>
          </w:divBdr>
        </w:div>
        <w:div w:id="1923172348">
          <w:marLeft w:val="562"/>
          <w:marRight w:val="0"/>
          <w:marTop w:val="115"/>
          <w:marBottom w:val="0"/>
          <w:divBdr>
            <w:top w:val="none" w:sz="0" w:space="0" w:color="auto"/>
            <w:left w:val="none" w:sz="0" w:space="0" w:color="auto"/>
            <w:bottom w:val="none" w:sz="0" w:space="0" w:color="auto"/>
            <w:right w:val="none" w:sz="0" w:space="0" w:color="auto"/>
          </w:divBdr>
        </w:div>
      </w:divsChild>
    </w:div>
    <w:div w:id="924529274">
      <w:bodyDiv w:val="1"/>
      <w:marLeft w:val="0"/>
      <w:marRight w:val="0"/>
      <w:marTop w:val="0"/>
      <w:marBottom w:val="0"/>
      <w:divBdr>
        <w:top w:val="none" w:sz="0" w:space="0" w:color="auto"/>
        <w:left w:val="none" w:sz="0" w:space="0" w:color="auto"/>
        <w:bottom w:val="none" w:sz="0" w:space="0" w:color="auto"/>
        <w:right w:val="none" w:sz="0" w:space="0" w:color="auto"/>
      </w:divBdr>
    </w:div>
    <w:div w:id="925067372">
      <w:bodyDiv w:val="1"/>
      <w:marLeft w:val="0"/>
      <w:marRight w:val="0"/>
      <w:marTop w:val="0"/>
      <w:marBottom w:val="0"/>
      <w:divBdr>
        <w:top w:val="none" w:sz="0" w:space="0" w:color="auto"/>
        <w:left w:val="none" w:sz="0" w:space="0" w:color="auto"/>
        <w:bottom w:val="none" w:sz="0" w:space="0" w:color="auto"/>
        <w:right w:val="none" w:sz="0" w:space="0" w:color="auto"/>
      </w:divBdr>
      <w:divsChild>
        <w:div w:id="548079531">
          <w:marLeft w:val="562"/>
          <w:marRight w:val="0"/>
          <w:marTop w:val="115"/>
          <w:marBottom w:val="0"/>
          <w:divBdr>
            <w:top w:val="none" w:sz="0" w:space="0" w:color="auto"/>
            <w:left w:val="none" w:sz="0" w:space="0" w:color="auto"/>
            <w:bottom w:val="none" w:sz="0" w:space="0" w:color="auto"/>
            <w:right w:val="none" w:sz="0" w:space="0" w:color="auto"/>
          </w:divBdr>
        </w:div>
        <w:div w:id="670331948">
          <w:marLeft w:val="562"/>
          <w:marRight w:val="0"/>
          <w:marTop w:val="115"/>
          <w:marBottom w:val="0"/>
          <w:divBdr>
            <w:top w:val="none" w:sz="0" w:space="0" w:color="auto"/>
            <w:left w:val="none" w:sz="0" w:space="0" w:color="auto"/>
            <w:bottom w:val="none" w:sz="0" w:space="0" w:color="auto"/>
            <w:right w:val="none" w:sz="0" w:space="0" w:color="auto"/>
          </w:divBdr>
        </w:div>
        <w:div w:id="1118184801">
          <w:marLeft w:val="562"/>
          <w:marRight w:val="0"/>
          <w:marTop w:val="115"/>
          <w:marBottom w:val="0"/>
          <w:divBdr>
            <w:top w:val="none" w:sz="0" w:space="0" w:color="auto"/>
            <w:left w:val="none" w:sz="0" w:space="0" w:color="auto"/>
            <w:bottom w:val="none" w:sz="0" w:space="0" w:color="auto"/>
            <w:right w:val="none" w:sz="0" w:space="0" w:color="auto"/>
          </w:divBdr>
        </w:div>
        <w:div w:id="2091340947">
          <w:marLeft w:val="562"/>
          <w:marRight w:val="0"/>
          <w:marTop w:val="115"/>
          <w:marBottom w:val="0"/>
          <w:divBdr>
            <w:top w:val="none" w:sz="0" w:space="0" w:color="auto"/>
            <w:left w:val="none" w:sz="0" w:space="0" w:color="auto"/>
            <w:bottom w:val="none" w:sz="0" w:space="0" w:color="auto"/>
            <w:right w:val="none" w:sz="0" w:space="0" w:color="auto"/>
          </w:divBdr>
        </w:div>
      </w:divsChild>
    </w:div>
    <w:div w:id="946621962">
      <w:bodyDiv w:val="1"/>
      <w:marLeft w:val="0"/>
      <w:marRight w:val="0"/>
      <w:marTop w:val="0"/>
      <w:marBottom w:val="0"/>
      <w:divBdr>
        <w:top w:val="none" w:sz="0" w:space="0" w:color="auto"/>
        <w:left w:val="none" w:sz="0" w:space="0" w:color="auto"/>
        <w:bottom w:val="none" w:sz="0" w:space="0" w:color="auto"/>
        <w:right w:val="none" w:sz="0" w:space="0" w:color="auto"/>
      </w:divBdr>
    </w:div>
    <w:div w:id="966087656">
      <w:bodyDiv w:val="1"/>
      <w:marLeft w:val="0"/>
      <w:marRight w:val="0"/>
      <w:marTop w:val="0"/>
      <w:marBottom w:val="0"/>
      <w:divBdr>
        <w:top w:val="none" w:sz="0" w:space="0" w:color="auto"/>
        <w:left w:val="none" w:sz="0" w:space="0" w:color="auto"/>
        <w:bottom w:val="none" w:sz="0" w:space="0" w:color="auto"/>
        <w:right w:val="none" w:sz="0" w:space="0" w:color="auto"/>
      </w:divBdr>
      <w:divsChild>
        <w:div w:id="1063331253">
          <w:marLeft w:val="720"/>
          <w:marRight w:val="0"/>
          <w:marTop w:val="96"/>
          <w:marBottom w:val="0"/>
          <w:divBdr>
            <w:top w:val="none" w:sz="0" w:space="0" w:color="auto"/>
            <w:left w:val="none" w:sz="0" w:space="0" w:color="auto"/>
            <w:bottom w:val="none" w:sz="0" w:space="0" w:color="auto"/>
            <w:right w:val="none" w:sz="0" w:space="0" w:color="auto"/>
          </w:divBdr>
        </w:div>
        <w:div w:id="1224103619">
          <w:marLeft w:val="562"/>
          <w:marRight w:val="0"/>
          <w:marTop w:val="115"/>
          <w:marBottom w:val="0"/>
          <w:divBdr>
            <w:top w:val="none" w:sz="0" w:space="0" w:color="auto"/>
            <w:left w:val="none" w:sz="0" w:space="0" w:color="auto"/>
            <w:bottom w:val="none" w:sz="0" w:space="0" w:color="auto"/>
            <w:right w:val="none" w:sz="0" w:space="0" w:color="auto"/>
          </w:divBdr>
        </w:div>
        <w:div w:id="1255476873">
          <w:marLeft w:val="720"/>
          <w:marRight w:val="0"/>
          <w:marTop w:val="96"/>
          <w:marBottom w:val="0"/>
          <w:divBdr>
            <w:top w:val="none" w:sz="0" w:space="0" w:color="auto"/>
            <w:left w:val="none" w:sz="0" w:space="0" w:color="auto"/>
            <w:bottom w:val="none" w:sz="0" w:space="0" w:color="auto"/>
            <w:right w:val="none" w:sz="0" w:space="0" w:color="auto"/>
          </w:divBdr>
        </w:div>
      </w:divsChild>
    </w:div>
    <w:div w:id="971979230">
      <w:bodyDiv w:val="1"/>
      <w:marLeft w:val="0"/>
      <w:marRight w:val="0"/>
      <w:marTop w:val="0"/>
      <w:marBottom w:val="0"/>
      <w:divBdr>
        <w:top w:val="none" w:sz="0" w:space="0" w:color="auto"/>
        <w:left w:val="none" w:sz="0" w:space="0" w:color="auto"/>
        <w:bottom w:val="none" w:sz="0" w:space="0" w:color="auto"/>
        <w:right w:val="none" w:sz="0" w:space="0" w:color="auto"/>
      </w:divBdr>
      <w:divsChild>
        <w:div w:id="22942430">
          <w:marLeft w:val="720"/>
          <w:marRight w:val="0"/>
          <w:marTop w:val="96"/>
          <w:marBottom w:val="0"/>
          <w:divBdr>
            <w:top w:val="none" w:sz="0" w:space="0" w:color="auto"/>
            <w:left w:val="none" w:sz="0" w:space="0" w:color="auto"/>
            <w:bottom w:val="none" w:sz="0" w:space="0" w:color="auto"/>
            <w:right w:val="none" w:sz="0" w:space="0" w:color="auto"/>
          </w:divBdr>
        </w:div>
        <w:div w:id="75565690">
          <w:marLeft w:val="562"/>
          <w:marRight w:val="0"/>
          <w:marTop w:val="115"/>
          <w:marBottom w:val="0"/>
          <w:divBdr>
            <w:top w:val="none" w:sz="0" w:space="0" w:color="auto"/>
            <w:left w:val="none" w:sz="0" w:space="0" w:color="auto"/>
            <w:bottom w:val="none" w:sz="0" w:space="0" w:color="auto"/>
            <w:right w:val="none" w:sz="0" w:space="0" w:color="auto"/>
          </w:divBdr>
        </w:div>
        <w:div w:id="118379380">
          <w:marLeft w:val="562"/>
          <w:marRight w:val="0"/>
          <w:marTop w:val="115"/>
          <w:marBottom w:val="0"/>
          <w:divBdr>
            <w:top w:val="none" w:sz="0" w:space="0" w:color="auto"/>
            <w:left w:val="none" w:sz="0" w:space="0" w:color="auto"/>
            <w:bottom w:val="none" w:sz="0" w:space="0" w:color="auto"/>
            <w:right w:val="none" w:sz="0" w:space="0" w:color="auto"/>
          </w:divBdr>
        </w:div>
        <w:div w:id="219366204">
          <w:marLeft w:val="562"/>
          <w:marRight w:val="0"/>
          <w:marTop w:val="115"/>
          <w:marBottom w:val="0"/>
          <w:divBdr>
            <w:top w:val="none" w:sz="0" w:space="0" w:color="auto"/>
            <w:left w:val="none" w:sz="0" w:space="0" w:color="auto"/>
            <w:bottom w:val="none" w:sz="0" w:space="0" w:color="auto"/>
            <w:right w:val="none" w:sz="0" w:space="0" w:color="auto"/>
          </w:divBdr>
        </w:div>
        <w:div w:id="219485006">
          <w:marLeft w:val="720"/>
          <w:marRight w:val="0"/>
          <w:marTop w:val="96"/>
          <w:marBottom w:val="0"/>
          <w:divBdr>
            <w:top w:val="none" w:sz="0" w:space="0" w:color="auto"/>
            <w:left w:val="none" w:sz="0" w:space="0" w:color="auto"/>
            <w:bottom w:val="none" w:sz="0" w:space="0" w:color="auto"/>
            <w:right w:val="none" w:sz="0" w:space="0" w:color="auto"/>
          </w:divBdr>
        </w:div>
        <w:div w:id="253980754">
          <w:marLeft w:val="562"/>
          <w:marRight w:val="0"/>
          <w:marTop w:val="115"/>
          <w:marBottom w:val="0"/>
          <w:divBdr>
            <w:top w:val="none" w:sz="0" w:space="0" w:color="auto"/>
            <w:left w:val="none" w:sz="0" w:space="0" w:color="auto"/>
            <w:bottom w:val="none" w:sz="0" w:space="0" w:color="auto"/>
            <w:right w:val="none" w:sz="0" w:space="0" w:color="auto"/>
          </w:divBdr>
        </w:div>
        <w:div w:id="271669282">
          <w:marLeft w:val="562"/>
          <w:marRight w:val="0"/>
          <w:marTop w:val="154"/>
          <w:marBottom w:val="0"/>
          <w:divBdr>
            <w:top w:val="none" w:sz="0" w:space="0" w:color="auto"/>
            <w:left w:val="none" w:sz="0" w:space="0" w:color="auto"/>
            <w:bottom w:val="none" w:sz="0" w:space="0" w:color="auto"/>
            <w:right w:val="none" w:sz="0" w:space="0" w:color="auto"/>
          </w:divBdr>
        </w:div>
        <w:div w:id="335882750">
          <w:marLeft w:val="562"/>
          <w:marRight w:val="0"/>
          <w:marTop w:val="115"/>
          <w:marBottom w:val="0"/>
          <w:divBdr>
            <w:top w:val="none" w:sz="0" w:space="0" w:color="auto"/>
            <w:left w:val="none" w:sz="0" w:space="0" w:color="auto"/>
            <w:bottom w:val="none" w:sz="0" w:space="0" w:color="auto"/>
            <w:right w:val="none" w:sz="0" w:space="0" w:color="auto"/>
          </w:divBdr>
        </w:div>
        <w:div w:id="344596564">
          <w:marLeft w:val="720"/>
          <w:marRight w:val="0"/>
          <w:marTop w:val="96"/>
          <w:marBottom w:val="0"/>
          <w:divBdr>
            <w:top w:val="none" w:sz="0" w:space="0" w:color="auto"/>
            <w:left w:val="none" w:sz="0" w:space="0" w:color="auto"/>
            <w:bottom w:val="none" w:sz="0" w:space="0" w:color="auto"/>
            <w:right w:val="none" w:sz="0" w:space="0" w:color="auto"/>
          </w:divBdr>
        </w:div>
        <w:div w:id="358312773">
          <w:marLeft w:val="720"/>
          <w:marRight w:val="0"/>
          <w:marTop w:val="96"/>
          <w:marBottom w:val="0"/>
          <w:divBdr>
            <w:top w:val="none" w:sz="0" w:space="0" w:color="auto"/>
            <w:left w:val="none" w:sz="0" w:space="0" w:color="auto"/>
            <w:bottom w:val="none" w:sz="0" w:space="0" w:color="auto"/>
            <w:right w:val="none" w:sz="0" w:space="0" w:color="auto"/>
          </w:divBdr>
        </w:div>
        <w:div w:id="374888747">
          <w:marLeft w:val="720"/>
          <w:marRight w:val="0"/>
          <w:marTop w:val="96"/>
          <w:marBottom w:val="0"/>
          <w:divBdr>
            <w:top w:val="none" w:sz="0" w:space="0" w:color="auto"/>
            <w:left w:val="none" w:sz="0" w:space="0" w:color="auto"/>
            <w:bottom w:val="none" w:sz="0" w:space="0" w:color="auto"/>
            <w:right w:val="none" w:sz="0" w:space="0" w:color="auto"/>
          </w:divBdr>
        </w:div>
        <w:div w:id="569660890">
          <w:marLeft w:val="562"/>
          <w:marRight w:val="0"/>
          <w:marTop w:val="115"/>
          <w:marBottom w:val="0"/>
          <w:divBdr>
            <w:top w:val="none" w:sz="0" w:space="0" w:color="auto"/>
            <w:left w:val="none" w:sz="0" w:space="0" w:color="auto"/>
            <w:bottom w:val="none" w:sz="0" w:space="0" w:color="auto"/>
            <w:right w:val="none" w:sz="0" w:space="0" w:color="auto"/>
          </w:divBdr>
        </w:div>
        <w:div w:id="591209703">
          <w:marLeft w:val="720"/>
          <w:marRight w:val="0"/>
          <w:marTop w:val="96"/>
          <w:marBottom w:val="0"/>
          <w:divBdr>
            <w:top w:val="none" w:sz="0" w:space="0" w:color="auto"/>
            <w:left w:val="none" w:sz="0" w:space="0" w:color="auto"/>
            <w:bottom w:val="none" w:sz="0" w:space="0" w:color="auto"/>
            <w:right w:val="none" w:sz="0" w:space="0" w:color="auto"/>
          </w:divBdr>
        </w:div>
        <w:div w:id="652415267">
          <w:marLeft w:val="562"/>
          <w:marRight w:val="0"/>
          <w:marTop w:val="115"/>
          <w:marBottom w:val="0"/>
          <w:divBdr>
            <w:top w:val="none" w:sz="0" w:space="0" w:color="auto"/>
            <w:left w:val="none" w:sz="0" w:space="0" w:color="auto"/>
            <w:bottom w:val="none" w:sz="0" w:space="0" w:color="auto"/>
            <w:right w:val="none" w:sz="0" w:space="0" w:color="auto"/>
          </w:divBdr>
        </w:div>
        <w:div w:id="735587021">
          <w:marLeft w:val="562"/>
          <w:marRight w:val="0"/>
          <w:marTop w:val="115"/>
          <w:marBottom w:val="0"/>
          <w:divBdr>
            <w:top w:val="none" w:sz="0" w:space="0" w:color="auto"/>
            <w:left w:val="none" w:sz="0" w:space="0" w:color="auto"/>
            <w:bottom w:val="none" w:sz="0" w:space="0" w:color="auto"/>
            <w:right w:val="none" w:sz="0" w:space="0" w:color="auto"/>
          </w:divBdr>
        </w:div>
        <w:div w:id="769817413">
          <w:marLeft w:val="562"/>
          <w:marRight w:val="0"/>
          <w:marTop w:val="115"/>
          <w:marBottom w:val="0"/>
          <w:divBdr>
            <w:top w:val="none" w:sz="0" w:space="0" w:color="auto"/>
            <w:left w:val="none" w:sz="0" w:space="0" w:color="auto"/>
            <w:bottom w:val="none" w:sz="0" w:space="0" w:color="auto"/>
            <w:right w:val="none" w:sz="0" w:space="0" w:color="auto"/>
          </w:divBdr>
        </w:div>
        <w:div w:id="782961150">
          <w:marLeft w:val="562"/>
          <w:marRight w:val="0"/>
          <w:marTop w:val="115"/>
          <w:marBottom w:val="0"/>
          <w:divBdr>
            <w:top w:val="none" w:sz="0" w:space="0" w:color="auto"/>
            <w:left w:val="none" w:sz="0" w:space="0" w:color="auto"/>
            <w:bottom w:val="none" w:sz="0" w:space="0" w:color="auto"/>
            <w:right w:val="none" w:sz="0" w:space="0" w:color="auto"/>
          </w:divBdr>
        </w:div>
        <w:div w:id="790591992">
          <w:marLeft w:val="562"/>
          <w:marRight w:val="0"/>
          <w:marTop w:val="115"/>
          <w:marBottom w:val="0"/>
          <w:divBdr>
            <w:top w:val="none" w:sz="0" w:space="0" w:color="auto"/>
            <w:left w:val="none" w:sz="0" w:space="0" w:color="auto"/>
            <w:bottom w:val="none" w:sz="0" w:space="0" w:color="auto"/>
            <w:right w:val="none" w:sz="0" w:space="0" w:color="auto"/>
          </w:divBdr>
        </w:div>
        <w:div w:id="817116872">
          <w:marLeft w:val="562"/>
          <w:marRight w:val="0"/>
          <w:marTop w:val="115"/>
          <w:marBottom w:val="0"/>
          <w:divBdr>
            <w:top w:val="none" w:sz="0" w:space="0" w:color="auto"/>
            <w:left w:val="none" w:sz="0" w:space="0" w:color="auto"/>
            <w:bottom w:val="none" w:sz="0" w:space="0" w:color="auto"/>
            <w:right w:val="none" w:sz="0" w:space="0" w:color="auto"/>
          </w:divBdr>
        </w:div>
        <w:div w:id="873924253">
          <w:marLeft w:val="562"/>
          <w:marRight w:val="0"/>
          <w:marTop w:val="115"/>
          <w:marBottom w:val="0"/>
          <w:divBdr>
            <w:top w:val="none" w:sz="0" w:space="0" w:color="auto"/>
            <w:left w:val="none" w:sz="0" w:space="0" w:color="auto"/>
            <w:bottom w:val="none" w:sz="0" w:space="0" w:color="auto"/>
            <w:right w:val="none" w:sz="0" w:space="0" w:color="auto"/>
          </w:divBdr>
        </w:div>
        <w:div w:id="894975892">
          <w:marLeft w:val="562"/>
          <w:marRight w:val="0"/>
          <w:marTop w:val="115"/>
          <w:marBottom w:val="0"/>
          <w:divBdr>
            <w:top w:val="none" w:sz="0" w:space="0" w:color="auto"/>
            <w:left w:val="none" w:sz="0" w:space="0" w:color="auto"/>
            <w:bottom w:val="none" w:sz="0" w:space="0" w:color="auto"/>
            <w:right w:val="none" w:sz="0" w:space="0" w:color="auto"/>
          </w:divBdr>
        </w:div>
        <w:div w:id="918095387">
          <w:marLeft w:val="720"/>
          <w:marRight w:val="0"/>
          <w:marTop w:val="96"/>
          <w:marBottom w:val="0"/>
          <w:divBdr>
            <w:top w:val="none" w:sz="0" w:space="0" w:color="auto"/>
            <w:left w:val="none" w:sz="0" w:space="0" w:color="auto"/>
            <w:bottom w:val="none" w:sz="0" w:space="0" w:color="auto"/>
            <w:right w:val="none" w:sz="0" w:space="0" w:color="auto"/>
          </w:divBdr>
        </w:div>
        <w:div w:id="934285028">
          <w:marLeft w:val="720"/>
          <w:marRight w:val="0"/>
          <w:marTop w:val="96"/>
          <w:marBottom w:val="0"/>
          <w:divBdr>
            <w:top w:val="none" w:sz="0" w:space="0" w:color="auto"/>
            <w:left w:val="none" w:sz="0" w:space="0" w:color="auto"/>
            <w:bottom w:val="none" w:sz="0" w:space="0" w:color="auto"/>
            <w:right w:val="none" w:sz="0" w:space="0" w:color="auto"/>
          </w:divBdr>
        </w:div>
        <w:div w:id="941180009">
          <w:marLeft w:val="720"/>
          <w:marRight w:val="0"/>
          <w:marTop w:val="96"/>
          <w:marBottom w:val="0"/>
          <w:divBdr>
            <w:top w:val="none" w:sz="0" w:space="0" w:color="auto"/>
            <w:left w:val="none" w:sz="0" w:space="0" w:color="auto"/>
            <w:bottom w:val="none" w:sz="0" w:space="0" w:color="auto"/>
            <w:right w:val="none" w:sz="0" w:space="0" w:color="auto"/>
          </w:divBdr>
        </w:div>
        <w:div w:id="1011758115">
          <w:marLeft w:val="562"/>
          <w:marRight w:val="0"/>
          <w:marTop w:val="115"/>
          <w:marBottom w:val="0"/>
          <w:divBdr>
            <w:top w:val="none" w:sz="0" w:space="0" w:color="auto"/>
            <w:left w:val="none" w:sz="0" w:space="0" w:color="auto"/>
            <w:bottom w:val="none" w:sz="0" w:space="0" w:color="auto"/>
            <w:right w:val="none" w:sz="0" w:space="0" w:color="auto"/>
          </w:divBdr>
        </w:div>
        <w:div w:id="1115060891">
          <w:marLeft w:val="562"/>
          <w:marRight w:val="0"/>
          <w:marTop w:val="115"/>
          <w:marBottom w:val="0"/>
          <w:divBdr>
            <w:top w:val="none" w:sz="0" w:space="0" w:color="auto"/>
            <w:left w:val="none" w:sz="0" w:space="0" w:color="auto"/>
            <w:bottom w:val="none" w:sz="0" w:space="0" w:color="auto"/>
            <w:right w:val="none" w:sz="0" w:space="0" w:color="auto"/>
          </w:divBdr>
        </w:div>
        <w:div w:id="1226187459">
          <w:marLeft w:val="562"/>
          <w:marRight w:val="0"/>
          <w:marTop w:val="115"/>
          <w:marBottom w:val="0"/>
          <w:divBdr>
            <w:top w:val="none" w:sz="0" w:space="0" w:color="auto"/>
            <w:left w:val="none" w:sz="0" w:space="0" w:color="auto"/>
            <w:bottom w:val="none" w:sz="0" w:space="0" w:color="auto"/>
            <w:right w:val="none" w:sz="0" w:space="0" w:color="auto"/>
          </w:divBdr>
        </w:div>
        <w:div w:id="1339194093">
          <w:marLeft w:val="720"/>
          <w:marRight w:val="0"/>
          <w:marTop w:val="96"/>
          <w:marBottom w:val="0"/>
          <w:divBdr>
            <w:top w:val="none" w:sz="0" w:space="0" w:color="auto"/>
            <w:left w:val="none" w:sz="0" w:space="0" w:color="auto"/>
            <w:bottom w:val="none" w:sz="0" w:space="0" w:color="auto"/>
            <w:right w:val="none" w:sz="0" w:space="0" w:color="auto"/>
          </w:divBdr>
        </w:div>
        <w:div w:id="1398019416">
          <w:marLeft w:val="720"/>
          <w:marRight w:val="0"/>
          <w:marTop w:val="96"/>
          <w:marBottom w:val="0"/>
          <w:divBdr>
            <w:top w:val="none" w:sz="0" w:space="0" w:color="auto"/>
            <w:left w:val="none" w:sz="0" w:space="0" w:color="auto"/>
            <w:bottom w:val="none" w:sz="0" w:space="0" w:color="auto"/>
            <w:right w:val="none" w:sz="0" w:space="0" w:color="auto"/>
          </w:divBdr>
        </w:div>
        <w:div w:id="1463110609">
          <w:marLeft w:val="562"/>
          <w:marRight w:val="0"/>
          <w:marTop w:val="115"/>
          <w:marBottom w:val="0"/>
          <w:divBdr>
            <w:top w:val="none" w:sz="0" w:space="0" w:color="auto"/>
            <w:left w:val="none" w:sz="0" w:space="0" w:color="auto"/>
            <w:bottom w:val="none" w:sz="0" w:space="0" w:color="auto"/>
            <w:right w:val="none" w:sz="0" w:space="0" w:color="auto"/>
          </w:divBdr>
        </w:div>
        <w:div w:id="1470367405">
          <w:marLeft w:val="562"/>
          <w:marRight w:val="0"/>
          <w:marTop w:val="115"/>
          <w:marBottom w:val="0"/>
          <w:divBdr>
            <w:top w:val="none" w:sz="0" w:space="0" w:color="auto"/>
            <w:left w:val="none" w:sz="0" w:space="0" w:color="auto"/>
            <w:bottom w:val="none" w:sz="0" w:space="0" w:color="auto"/>
            <w:right w:val="none" w:sz="0" w:space="0" w:color="auto"/>
          </w:divBdr>
        </w:div>
        <w:div w:id="1476558461">
          <w:marLeft w:val="562"/>
          <w:marRight w:val="0"/>
          <w:marTop w:val="115"/>
          <w:marBottom w:val="0"/>
          <w:divBdr>
            <w:top w:val="none" w:sz="0" w:space="0" w:color="auto"/>
            <w:left w:val="none" w:sz="0" w:space="0" w:color="auto"/>
            <w:bottom w:val="none" w:sz="0" w:space="0" w:color="auto"/>
            <w:right w:val="none" w:sz="0" w:space="0" w:color="auto"/>
          </w:divBdr>
        </w:div>
        <w:div w:id="1480465724">
          <w:marLeft w:val="562"/>
          <w:marRight w:val="0"/>
          <w:marTop w:val="154"/>
          <w:marBottom w:val="0"/>
          <w:divBdr>
            <w:top w:val="none" w:sz="0" w:space="0" w:color="auto"/>
            <w:left w:val="none" w:sz="0" w:space="0" w:color="auto"/>
            <w:bottom w:val="none" w:sz="0" w:space="0" w:color="auto"/>
            <w:right w:val="none" w:sz="0" w:space="0" w:color="auto"/>
          </w:divBdr>
        </w:div>
        <w:div w:id="1534224910">
          <w:marLeft w:val="720"/>
          <w:marRight w:val="0"/>
          <w:marTop w:val="96"/>
          <w:marBottom w:val="0"/>
          <w:divBdr>
            <w:top w:val="none" w:sz="0" w:space="0" w:color="auto"/>
            <w:left w:val="none" w:sz="0" w:space="0" w:color="auto"/>
            <w:bottom w:val="none" w:sz="0" w:space="0" w:color="auto"/>
            <w:right w:val="none" w:sz="0" w:space="0" w:color="auto"/>
          </w:divBdr>
        </w:div>
        <w:div w:id="1577208461">
          <w:marLeft w:val="720"/>
          <w:marRight w:val="0"/>
          <w:marTop w:val="96"/>
          <w:marBottom w:val="0"/>
          <w:divBdr>
            <w:top w:val="none" w:sz="0" w:space="0" w:color="auto"/>
            <w:left w:val="none" w:sz="0" w:space="0" w:color="auto"/>
            <w:bottom w:val="none" w:sz="0" w:space="0" w:color="auto"/>
            <w:right w:val="none" w:sz="0" w:space="0" w:color="auto"/>
          </w:divBdr>
        </w:div>
        <w:div w:id="1580871527">
          <w:marLeft w:val="562"/>
          <w:marRight w:val="0"/>
          <w:marTop w:val="115"/>
          <w:marBottom w:val="0"/>
          <w:divBdr>
            <w:top w:val="none" w:sz="0" w:space="0" w:color="auto"/>
            <w:left w:val="none" w:sz="0" w:space="0" w:color="auto"/>
            <w:bottom w:val="none" w:sz="0" w:space="0" w:color="auto"/>
            <w:right w:val="none" w:sz="0" w:space="0" w:color="auto"/>
          </w:divBdr>
        </w:div>
        <w:div w:id="1600285766">
          <w:marLeft w:val="720"/>
          <w:marRight w:val="0"/>
          <w:marTop w:val="96"/>
          <w:marBottom w:val="0"/>
          <w:divBdr>
            <w:top w:val="none" w:sz="0" w:space="0" w:color="auto"/>
            <w:left w:val="none" w:sz="0" w:space="0" w:color="auto"/>
            <w:bottom w:val="none" w:sz="0" w:space="0" w:color="auto"/>
            <w:right w:val="none" w:sz="0" w:space="0" w:color="auto"/>
          </w:divBdr>
        </w:div>
        <w:div w:id="1638563033">
          <w:marLeft w:val="562"/>
          <w:marRight w:val="0"/>
          <w:marTop w:val="115"/>
          <w:marBottom w:val="0"/>
          <w:divBdr>
            <w:top w:val="none" w:sz="0" w:space="0" w:color="auto"/>
            <w:left w:val="none" w:sz="0" w:space="0" w:color="auto"/>
            <w:bottom w:val="none" w:sz="0" w:space="0" w:color="auto"/>
            <w:right w:val="none" w:sz="0" w:space="0" w:color="auto"/>
          </w:divBdr>
        </w:div>
        <w:div w:id="1697661145">
          <w:marLeft w:val="720"/>
          <w:marRight w:val="0"/>
          <w:marTop w:val="96"/>
          <w:marBottom w:val="0"/>
          <w:divBdr>
            <w:top w:val="none" w:sz="0" w:space="0" w:color="auto"/>
            <w:left w:val="none" w:sz="0" w:space="0" w:color="auto"/>
            <w:bottom w:val="none" w:sz="0" w:space="0" w:color="auto"/>
            <w:right w:val="none" w:sz="0" w:space="0" w:color="auto"/>
          </w:divBdr>
        </w:div>
        <w:div w:id="1716851174">
          <w:marLeft w:val="562"/>
          <w:marRight w:val="0"/>
          <w:marTop w:val="154"/>
          <w:marBottom w:val="0"/>
          <w:divBdr>
            <w:top w:val="none" w:sz="0" w:space="0" w:color="auto"/>
            <w:left w:val="none" w:sz="0" w:space="0" w:color="auto"/>
            <w:bottom w:val="none" w:sz="0" w:space="0" w:color="auto"/>
            <w:right w:val="none" w:sz="0" w:space="0" w:color="auto"/>
          </w:divBdr>
        </w:div>
        <w:div w:id="1858158524">
          <w:marLeft w:val="562"/>
          <w:marRight w:val="0"/>
          <w:marTop w:val="115"/>
          <w:marBottom w:val="0"/>
          <w:divBdr>
            <w:top w:val="none" w:sz="0" w:space="0" w:color="auto"/>
            <w:left w:val="none" w:sz="0" w:space="0" w:color="auto"/>
            <w:bottom w:val="none" w:sz="0" w:space="0" w:color="auto"/>
            <w:right w:val="none" w:sz="0" w:space="0" w:color="auto"/>
          </w:divBdr>
        </w:div>
        <w:div w:id="2095321505">
          <w:marLeft w:val="562"/>
          <w:marRight w:val="0"/>
          <w:marTop w:val="154"/>
          <w:marBottom w:val="0"/>
          <w:divBdr>
            <w:top w:val="none" w:sz="0" w:space="0" w:color="auto"/>
            <w:left w:val="none" w:sz="0" w:space="0" w:color="auto"/>
            <w:bottom w:val="none" w:sz="0" w:space="0" w:color="auto"/>
            <w:right w:val="none" w:sz="0" w:space="0" w:color="auto"/>
          </w:divBdr>
        </w:div>
      </w:divsChild>
    </w:div>
    <w:div w:id="989286602">
      <w:bodyDiv w:val="1"/>
      <w:marLeft w:val="0"/>
      <w:marRight w:val="0"/>
      <w:marTop w:val="0"/>
      <w:marBottom w:val="0"/>
      <w:divBdr>
        <w:top w:val="none" w:sz="0" w:space="0" w:color="auto"/>
        <w:left w:val="none" w:sz="0" w:space="0" w:color="auto"/>
        <w:bottom w:val="none" w:sz="0" w:space="0" w:color="auto"/>
        <w:right w:val="none" w:sz="0" w:space="0" w:color="auto"/>
      </w:divBdr>
    </w:div>
    <w:div w:id="990594485">
      <w:bodyDiv w:val="1"/>
      <w:marLeft w:val="0"/>
      <w:marRight w:val="0"/>
      <w:marTop w:val="0"/>
      <w:marBottom w:val="0"/>
      <w:divBdr>
        <w:top w:val="none" w:sz="0" w:space="0" w:color="auto"/>
        <w:left w:val="none" w:sz="0" w:space="0" w:color="auto"/>
        <w:bottom w:val="none" w:sz="0" w:space="0" w:color="auto"/>
        <w:right w:val="none" w:sz="0" w:space="0" w:color="auto"/>
      </w:divBdr>
      <w:divsChild>
        <w:div w:id="256793733">
          <w:marLeft w:val="720"/>
          <w:marRight w:val="0"/>
          <w:marTop w:val="91"/>
          <w:marBottom w:val="0"/>
          <w:divBdr>
            <w:top w:val="none" w:sz="0" w:space="0" w:color="auto"/>
            <w:left w:val="none" w:sz="0" w:space="0" w:color="auto"/>
            <w:bottom w:val="none" w:sz="0" w:space="0" w:color="auto"/>
            <w:right w:val="none" w:sz="0" w:space="0" w:color="auto"/>
          </w:divBdr>
        </w:div>
        <w:div w:id="432215496">
          <w:marLeft w:val="562"/>
          <w:marRight w:val="0"/>
          <w:marTop w:val="106"/>
          <w:marBottom w:val="0"/>
          <w:divBdr>
            <w:top w:val="none" w:sz="0" w:space="0" w:color="auto"/>
            <w:left w:val="none" w:sz="0" w:space="0" w:color="auto"/>
            <w:bottom w:val="none" w:sz="0" w:space="0" w:color="auto"/>
            <w:right w:val="none" w:sz="0" w:space="0" w:color="auto"/>
          </w:divBdr>
        </w:div>
        <w:div w:id="1115638534">
          <w:marLeft w:val="562"/>
          <w:marRight w:val="0"/>
          <w:marTop w:val="106"/>
          <w:marBottom w:val="0"/>
          <w:divBdr>
            <w:top w:val="none" w:sz="0" w:space="0" w:color="auto"/>
            <w:left w:val="none" w:sz="0" w:space="0" w:color="auto"/>
            <w:bottom w:val="none" w:sz="0" w:space="0" w:color="auto"/>
            <w:right w:val="none" w:sz="0" w:space="0" w:color="auto"/>
          </w:divBdr>
        </w:div>
        <w:div w:id="1226187568">
          <w:marLeft w:val="720"/>
          <w:marRight w:val="0"/>
          <w:marTop w:val="91"/>
          <w:marBottom w:val="0"/>
          <w:divBdr>
            <w:top w:val="none" w:sz="0" w:space="0" w:color="auto"/>
            <w:left w:val="none" w:sz="0" w:space="0" w:color="auto"/>
            <w:bottom w:val="none" w:sz="0" w:space="0" w:color="auto"/>
            <w:right w:val="none" w:sz="0" w:space="0" w:color="auto"/>
          </w:divBdr>
        </w:div>
        <w:div w:id="1620717607">
          <w:marLeft w:val="562"/>
          <w:marRight w:val="0"/>
          <w:marTop w:val="106"/>
          <w:marBottom w:val="0"/>
          <w:divBdr>
            <w:top w:val="none" w:sz="0" w:space="0" w:color="auto"/>
            <w:left w:val="none" w:sz="0" w:space="0" w:color="auto"/>
            <w:bottom w:val="none" w:sz="0" w:space="0" w:color="auto"/>
            <w:right w:val="none" w:sz="0" w:space="0" w:color="auto"/>
          </w:divBdr>
        </w:div>
      </w:divsChild>
    </w:div>
    <w:div w:id="991561196">
      <w:bodyDiv w:val="1"/>
      <w:marLeft w:val="0"/>
      <w:marRight w:val="0"/>
      <w:marTop w:val="0"/>
      <w:marBottom w:val="0"/>
      <w:divBdr>
        <w:top w:val="none" w:sz="0" w:space="0" w:color="auto"/>
        <w:left w:val="none" w:sz="0" w:space="0" w:color="auto"/>
        <w:bottom w:val="none" w:sz="0" w:space="0" w:color="auto"/>
        <w:right w:val="none" w:sz="0" w:space="0" w:color="auto"/>
      </w:divBdr>
      <w:divsChild>
        <w:div w:id="231739064">
          <w:marLeft w:val="720"/>
          <w:marRight w:val="0"/>
          <w:marTop w:val="91"/>
          <w:marBottom w:val="0"/>
          <w:divBdr>
            <w:top w:val="none" w:sz="0" w:space="0" w:color="auto"/>
            <w:left w:val="none" w:sz="0" w:space="0" w:color="auto"/>
            <w:bottom w:val="none" w:sz="0" w:space="0" w:color="auto"/>
            <w:right w:val="none" w:sz="0" w:space="0" w:color="auto"/>
          </w:divBdr>
        </w:div>
        <w:div w:id="487984994">
          <w:marLeft w:val="562"/>
          <w:marRight w:val="0"/>
          <w:marTop w:val="106"/>
          <w:marBottom w:val="0"/>
          <w:divBdr>
            <w:top w:val="none" w:sz="0" w:space="0" w:color="auto"/>
            <w:left w:val="none" w:sz="0" w:space="0" w:color="auto"/>
            <w:bottom w:val="none" w:sz="0" w:space="0" w:color="auto"/>
            <w:right w:val="none" w:sz="0" w:space="0" w:color="auto"/>
          </w:divBdr>
        </w:div>
        <w:div w:id="505680779">
          <w:marLeft w:val="720"/>
          <w:marRight w:val="0"/>
          <w:marTop w:val="91"/>
          <w:marBottom w:val="0"/>
          <w:divBdr>
            <w:top w:val="none" w:sz="0" w:space="0" w:color="auto"/>
            <w:left w:val="none" w:sz="0" w:space="0" w:color="auto"/>
            <w:bottom w:val="none" w:sz="0" w:space="0" w:color="auto"/>
            <w:right w:val="none" w:sz="0" w:space="0" w:color="auto"/>
          </w:divBdr>
        </w:div>
        <w:div w:id="1087920987">
          <w:marLeft w:val="720"/>
          <w:marRight w:val="0"/>
          <w:marTop w:val="91"/>
          <w:marBottom w:val="0"/>
          <w:divBdr>
            <w:top w:val="none" w:sz="0" w:space="0" w:color="auto"/>
            <w:left w:val="none" w:sz="0" w:space="0" w:color="auto"/>
            <w:bottom w:val="none" w:sz="0" w:space="0" w:color="auto"/>
            <w:right w:val="none" w:sz="0" w:space="0" w:color="auto"/>
          </w:divBdr>
        </w:div>
        <w:div w:id="1228225749">
          <w:marLeft w:val="562"/>
          <w:marRight w:val="0"/>
          <w:marTop w:val="106"/>
          <w:marBottom w:val="0"/>
          <w:divBdr>
            <w:top w:val="none" w:sz="0" w:space="0" w:color="auto"/>
            <w:left w:val="none" w:sz="0" w:space="0" w:color="auto"/>
            <w:bottom w:val="none" w:sz="0" w:space="0" w:color="auto"/>
            <w:right w:val="none" w:sz="0" w:space="0" w:color="auto"/>
          </w:divBdr>
        </w:div>
        <w:div w:id="1295671711">
          <w:marLeft w:val="1152"/>
          <w:marRight w:val="0"/>
          <w:marTop w:val="82"/>
          <w:marBottom w:val="0"/>
          <w:divBdr>
            <w:top w:val="none" w:sz="0" w:space="0" w:color="auto"/>
            <w:left w:val="none" w:sz="0" w:space="0" w:color="auto"/>
            <w:bottom w:val="none" w:sz="0" w:space="0" w:color="auto"/>
            <w:right w:val="none" w:sz="0" w:space="0" w:color="auto"/>
          </w:divBdr>
        </w:div>
        <w:div w:id="1357736553">
          <w:marLeft w:val="720"/>
          <w:marRight w:val="0"/>
          <w:marTop w:val="91"/>
          <w:marBottom w:val="0"/>
          <w:divBdr>
            <w:top w:val="none" w:sz="0" w:space="0" w:color="auto"/>
            <w:left w:val="none" w:sz="0" w:space="0" w:color="auto"/>
            <w:bottom w:val="none" w:sz="0" w:space="0" w:color="auto"/>
            <w:right w:val="none" w:sz="0" w:space="0" w:color="auto"/>
          </w:divBdr>
        </w:div>
        <w:div w:id="1429809028">
          <w:marLeft w:val="1152"/>
          <w:marRight w:val="0"/>
          <w:marTop w:val="82"/>
          <w:marBottom w:val="0"/>
          <w:divBdr>
            <w:top w:val="none" w:sz="0" w:space="0" w:color="auto"/>
            <w:left w:val="none" w:sz="0" w:space="0" w:color="auto"/>
            <w:bottom w:val="none" w:sz="0" w:space="0" w:color="auto"/>
            <w:right w:val="none" w:sz="0" w:space="0" w:color="auto"/>
          </w:divBdr>
        </w:div>
        <w:div w:id="1758937952">
          <w:marLeft w:val="720"/>
          <w:marRight w:val="0"/>
          <w:marTop w:val="91"/>
          <w:marBottom w:val="0"/>
          <w:divBdr>
            <w:top w:val="none" w:sz="0" w:space="0" w:color="auto"/>
            <w:left w:val="none" w:sz="0" w:space="0" w:color="auto"/>
            <w:bottom w:val="none" w:sz="0" w:space="0" w:color="auto"/>
            <w:right w:val="none" w:sz="0" w:space="0" w:color="auto"/>
          </w:divBdr>
        </w:div>
        <w:div w:id="1778794374">
          <w:marLeft w:val="1152"/>
          <w:marRight w:val="0"/>
          <w:marTop w:val="82"/>
          <w:marBottom w:val="0"/>
          <w:divBdr>
            <w:top w:val="none" w:sz="0" w:space="0" w:color="auto"/>
            <w:left w:val="none" w:sz="0" w:space="0" w:color="auto"/>
            <w:bottom w:val="none" w:sz="0" w:space="0" w:color="auto"/>
            <w:right w:val="none" w:sz="0" w:space="0" w:color="auto"/>
          </w:divBdr>
        </w:div>
        <w:div w:id="1893810444">
          <w:marLeft w:val="1152"/>
          <w:marRight w:val="0"/>
          <w:marTop w:val="82"/>
          <w:marBottom w:val="0"/>
          <w:divBdr>
            <w:top w:val="none" w:sz="0" w:space="0" w:color="auto"/>
            <w:left w:val="none" w:sz="0" w:space="0" w:color="auto"/>
            <w:bottom w:val="none" w:sz="0" w:space="0" w:color="auto"/>
            <w:right w:val="none" w:sz="0" w:space="0" w:color="auto"/>
          </w:divBdr>
        </w:div>
        <w:div w:id="2015303684">
          <w:marLeft w:val="720"/>
          <w:marRight w:val="0"/>
          <w:marTop w:val="91"/>
          <w:marBottom w:val="0"/>
          <w:divBdr>
            <w:top w:val="none" w:sz="0" w:space="0" w:color="auto"/>
            <w:left w:val="none" w:sz="0" w:space="0" w:color="auto"/>
            <w:bottom w:val="none" w:sz="0" w:space="0" w:color="auto"/>
            <w:right w:val="none" w:sz="0" w:space="0" w:color="auto"/>
          </w:divBdr>
        </w:div>
        <w:div w:id="2018191723">
          <w:marLeft w:val="562"/>
          <w:marRight w:val="0"/>
          <w:marTop w:val="106"/>
          <w:marBottom w:val="0"/>
          <w:divBdr>
            <w:top w:val="none" w:sz="0" w:space="0" w:color="auto"/>
            <w:left w:val="none" w:sz="0" w:space="0" w:color="auto"/>
            <w:bottom w:val="none" w:sz="0" w:space="0" w:color="auto"/>
            <w:right w:val="none" w:sz="0" w:space="0" w:color="auto"/>
          </w:divBdr>
        </w:div>
      </w:divsChild>
    </w:div>
    <w:div w:id="997617384">
      <w:bodyDiv w:val="1"/>
      <w:marLeft w:val="0"/>
      <w:marRight w:val="0"/>
      <w:marTop w:val="0"/>
      <w:marBottom w:val="0"/>
      <w:divBdr>
        <w:top w:val="none" w:sz="0" w:space="0" w:color="auto"/>
        <w:left w:val="none" w:sz="0" w:space="0" w:color="auto"/>
        <w:bottom w:val="none" w:sz="0" w:space="0" w:color="auto"/>
        <w:right w:val="none" w:sz="0" w:space="0" w:color="auto"/>
      </w:divBdr>
    </w:div>
    <w:div w:id="1019164155">
      <w:bodyDiv w:val="1"/>
      <w:marLeft w:val="0"/>
      <w:marRight w:val="0"/>
      <w:marTop w:val="0"/>
      <w:marBottom w:val="0"/>
      <w:divBdr>
        <w:top w:val="none" w:sz="0" w:space="0" w:color="auto"/>
        <w:left w:val="none" w:sz="0" w:space="0" w:color="auto"/>
        <w:bottom w:val="none" w:sz="0" w:space="0" w:color="auto"/>
        <w:right w:val="none" w:sz="0" w:space="0" w:color="auto"/>
      </w:divBdr>
      <w:divsChild>
        <w:div w:id="166216724">
          <w:marLeft w:val="562"/>
          <w:marRight w:val="0"/>
          <w:marTop w:val="115"/>
          <w:marBottom w:val="0"/>
          <w:divBdr>
            <w:top w:val="none" w:sz="0" w:space="0" w:color="auto"/>
            <w:left w:val="none" w:sz="0" w:space="0" w:color="auto"/>
            <w:bottom w:val="none" w:sz="0" w:space="0" w:color="auto"/>
            <w:right w:val="none" w:sz="0" w:space="0" w:color="auto"/>
          </w:divBdr>
        </w:div>
        <w:div w:id="955674940">
          <w:marLeft w:val="562"/>
          <w:marRight w:val="0"/>
          <w:marTop w:val="115"/>
          <w:marBottom w:val="0"/>
          <w:divBdr>
            <w:top w:val="none" w:sz="0" w:space="0" w:color="auto"/>
            <w:left w:val="none" w:sz="0" w:space="0" w:color="auto"/>
            <w:bottom w:val="none" w:sz="0" w:space="0" w:color="auto"/>
            <w:right w:val="none" w:sz="0" w:space="0" w:color="auto"/>
          </w:divBdr>
        </w:div>
        <w:div w:id="1413622427">
          <w:marLeft w:val="562"/>
          <w:marRight w:val="0"/>
          <w:marTop w:val="115"/>
          <w:marBottom w:val="0"/>
          <w:divBdr>
            <w:top w:val="none" w:sz="0" w:space="0" w:color="auto"/>
            <w:left w:val="none" w:sz="0" w:space="0" w:color="auto"/>
            <w:bottom w:val="none" w:sz="0" w:space="0" w:color="auto"/>
            <w:right w:val="none" w:sz="0" w:space="0" w:color="auto"/>
          </w:divBdr>
        </w:div>
        <w:div w:id="1770815250">
          <w:marLeft w:val="720"/>
          <w:marRight w:val="0"/>
          <w:marTop w:val="96"/>
          <w:marBottom w:val="0"/>
          <w:divBdr>
            <w:top w:val="none" w:sz="0" w:space="0" w:color="auto"/>
            <w:left w:val="none" w:sz="0" w:space="0" w:color="auto"/>
            <w:bottom w:val="none" w:sz="0" w:space="0" w:color="auto"/>
            <w:right w:val="none" w:sz="0" w:space="0" w:color="auto"/>
          </w:divBdr>
        </w:div>
      </w:divsChild>
    </w:div>
    <w:div w:id="1019741592">
      <w:bodyDiv w:val="1"/>
      <w:marLeft w:val="0"/>
      <w:marRight w:val="0"/>
      <w:marTop w:val="0"/>
      <w:marBottom w:val="0"/>
      <w:divBdr>
        <w:top w:val="none" w:sz="0" w:space="0" w:color="auto"/>
        <w:left w:val="none" w:sz="0" w:space="0" w:color="auto"/>
        <w:bottom w:val="none" w:sz="0" w:space="0" w:color="auto"/>
        <w:right w:val="none" w:sz="0" w:space="0" w:color="auto"/>
      </w:divBdr>
      <w:divsChild>
        <w:div w:id="270165555">
          <w:marLeft w:val="720"/>
          <w:marRight w:val="0"/>
          <w:marTop w:val="91"/>
          <w:marBottom w:val="0"/>
          <w:divBdr>
            <w:top w:val="none" w:sz="0" w:space="0" w:color="auto"/>
            <w:left w:val="none" w:sz="0" w:space="0" w:color="auto"/>
            <w:bottom w:val="none" w:sz="0" w:space="0" w:color="auto"/>
            <w:right w:val="none" w:sz="0" w:space="0" w:color="auto"/>
          </w:divBdr>
        </w:div>
        <w:div w:id="365564193">
          <w:marLeft w:val="720"/>
          <w:marRight w:val="0"/>
          <w:marTop w:val="91"/>
          <w:marBottom w:val="0"/>
          <w:divBdr>
            <w:top w:val="none" w:sz="0" w:space="0" w:color="auto"/>
            <w:left w:val="none" w:sz="0" w:space="0" w:color="auto"/>
            <w:bottom w:val="none" w:sz="0" w:space="0" w:color="auto"/>
            <w:right w:val="none" w:sz="0" w:space="0" w:color="auto"/>
          </w:divBdr>
        </w:div>
        <w:div w:id="663508041">
          <w:marLeft w:val="562"/>
          <w:marRight w:val="0"/>
          <w:marTop w:val="106"/>
          <w:marBottom w:val="0"/>
          <w:divBdr>
            <w:top w:val="none" w:sz="0" w:space="0" w:color="auto"/>
            <w:left w:val="none" w:sz="0" w:space="0" w:color="auto"/>
            <w:bottom w:val="none" w:sz="0" w:space="0" w:color="auto"/>
            <w:right w:val="none" w:sz="0" w:space="0" w:color="auto"/>
          </w:divBdr>
        </w:div>
        <w:div w:id="896933099">
          <w:marLeft w:val="720"/>
          <w:marRight w:val="0"/>
          <w:marTop w:val="91"/>
          <w:marBottom w:val="0"/>
          <w:divBdr>
            <w:top w:val="none" w:sz="0" w:space="0" w:color="auto"/>
            <w:left w:val="none" w:sz="0" w:space="0" w:color="auto"/>
            <w:bottom w:val="none" w:sz="0" w:space="0" w:color="auto"/>
            <w:right w:val="none" w:sz="0" w:space="0" w:color="auto"/>
          </w:divBdr>
        </w:div>
        <w:div w:id="973563266">
          <w:marLeft w:val="720"/>
          <w:marRight w:val="0"/>
          <w:marTop w:val="91"/>
          <w:marBottom w:val="0"/>
          <w:divBdr>
            <w:top w:val="none" w:sz="0" w:space="0" w:color="auto"/>
            <w:left w:val="none" w:sz="0" w:space="0" w:color="auto"/>
            <w:bottom w:val="none" w:sz="0" w:space="0" w:color="auto"/>
            <w:right w:val="none" w:sz="0" w:space="0" w:color="auto"/>
          </w:divBdr>
        </w:div>
        <w:div w:id="1050034271">
          <w:marLeft w:val="562"/>
          <w:marRight w:val="0"/>
          <w:marTop w:val="106"/>
          <w:marBottom w:val="0"/>
          <w:divBdr>
            <w:top w:val="none" w:sz="0" w:space="0" w:color="auto"/>
            <w:left w:val="none" w:sz="0" w:space="0" w:color="auto"/>
            <w:bottom w:val="none" w:sz="0" w:space="0" w:color="auto"/>
            <w:right w:val="none" w:sz="0" w:space="0" w:color="auto"/>
          </w:divBdr>
        </w:div>
        <w:div w:id="1321426197">
          <w:marLeft w:val="562"/>
          <w:marRight w:val="0"/>
          <w:marTop w:val="106"/>
          <w:marBottom w:val="0"/>
          <w:divBdr>
            <w:top w:val="none" w:sz="0" w:space="0" w:color="auto"/>
            <w:left w:val="none" w:sz="0" w:space="0" w:color="auto"/>
            <w:bottom w:val="none" w:sz="0" w:space="0" w:color="auto"/>
            <w:right w:val="none" w:sz="0" w:space="0" w:color="auto"/>
          </w:divBdr>
        </w:div>
        <w:div w:id="1360426480">
          <w:marLeft w:val="562"/>
          <w:marRight w:val="0"/>
          <w:marTop w:val="106"/>
          <w:marBottom w:val="0"/>
          <w:divBdr>
            <w:top w:val="none" w:sz="0" w:space="0" w:color="auto"/>
            <w:left w:val="none" w:sz="0" w:space="0" w:color="auto"/>
            <w:bottom w:val="none" w:sz="0" w:space="0" w:color="auto"/>
            <w:right w:val="none" w:sz="0" w:space="0" w:color="auto"/>
          </w:divBdr>
        </w:div>
        <w:div w:id="1489050697">
          <w:marLeft w:val="720"/>
          <w:marRight w:val="0"/>
          <w:marTop w:val="91"/>
          <w:marBottom w:val="0"/>
          <w:divBdr>
            <w:top w:val="none" w:sz="0" w:space="0" w:color="auto"/>
            <w:left w:val="none" w:sz="0" w:space="0" w:color="auto"/>
            <w:bottom w:val="none" w:sz="0" w:space="0" w:color="auto"/>
            <w:right w:val="none" w:sz="0" w:space="0" w:color="auto"/>
          </w:divBdr>
        </w:div>
        <w:div w:id="1581057017">
          <w:marLeft w:val="562"/>
          <w:marRight w:val="0"/>
          <w:marTop w:val="106"/>
          <w:marBottom w:val="0"/>
          <w:divBdr>
            <w:top w:val="none" w:sz="0" w:space="0" w:color="auto"/>
            <w:left w:val="none" w:sz="0" w:space="0" w:color="auto"/>
            <w:bottom w:val="none" w:sz="0" w:space="0" w:color="auto"/>
            <w:right w:val="none" w:sz="0" w:space="0" w:color="auto"/>
          </w:divBdr>
        </w:div>
        <w:div w:id="1786003728">
          <w:marLeft w:val="720"/>
          <w:marRight w:val="0"/>
          <w:marTop w:val="91"/>
          <w:marBottom w:val="0"/>
          <w:divBdr>
            <w:top w:val="none" w:sz="0" w:space="0" w:color="auto"/>
            <w:left w:val="none" w:sz="0" w:space="0" w:color="auto"/>
            <w:bottom w:val="none" w:sz="0" w:space="0" w:color="auto"/>
            <w:right w:val="none" w:sz="0" w:space="0" w:color="auto"/>
          </w:divBdr>
        </w:div>
        <w:div w:id="1792239082">
          <w:marLeft w:val="720"/>
          <w:marRight w:val="0"/>
          <w:marTop w:val="91"/>
          <w:marBottom w:val="0"/>
          <w:divBdr>
            <w:top w:val="none" w:sz="0" w:space="0" w:color="auto"/>
            <w:left w:val="none" w:sz="0" w:space="0" w:color="auto"/>
            <w:bottom w:val="none" w:sz="0" w:space="0" w:color="auto"/>
            <w:right w:val="none" w:sz="0" w:space="0" w:color="auto"/>
          </w:divBdr>
        </w:div>
        <w:div w:id="2045446193">
          <w:marLeft w:val="562"/>
          <w:marRight w:val="0"/>
          <w:marTop w:val="106"/>
          <w:marBottom w:val="0"/>
          <w:divBdr>
            <w:top w:val="none" w:sz="0" w:space="0" w:color="auto"/>
            <w:left w:val="none" w:sz="0" w:space="0" w:color="auto"/>
            <w:bottom w:val="none" w:sz="0" w:space="0" w:color="auto"/>
            <w:right w:val="none" w:sz="0" w:space="0" w:color="auto"/>
          </w:divBdr>
        </w:div>
        <w:div w:id="2080252199">
          <w:marLeft w:val="720"/>
          <w:marRight w:val="0"/>
          <w:marTop w:val="91"/>
          <w:marBottom w:val="0"/>
          <w:divBdr>
            <w:top w:val="none" w:sz="0" w:space="0" w:color="auto"/>
            <w:left w:val="none" w:sz="0" w:space="0" w:color="auto"/>
            <w:bottom w:val="none" w:sz="0" w:space="0" w:color="auto"/>
            <w:right w:val="none" w:sz="0" w:space="0" w:color="auto"/>
          </w:divBdr>
        </w:div>
      </w:divsChild>
    </w:div>
    <w:div w:id="1022588731">
      <w:bodyDiv w:val="1"/>
      <w:marLeft w:val="0"/>
      <w:marRight w:val="0"/>
      <w:marTop w:val="0"/>
      <w:marBottom w:val="0"/>
      <w:divBdr>
        <w:top w:val="none" w:sz="0" w:space="0" w:color="auto"/>
        <w:left w:val="none" w:sz="0" w:space="0" w:color="auto"/>
        <w:bottom w:val="none" w:sz="0" w:space="0" w:color="auto"/>
        <w:right w:val="none" w:sz="0" w:space="0" w:color="auto"/>
      </w:divBdr>
    </w:div>
    <w:div w:id="1024747617">
      <w:bodyDiv w:val="1"/>
      <w:marLeft w:val="0"/>
      <w:marRight w:val="0"/>
      <w:marTop w:val="0"/>
      <w:marBottom w:val="0"/>
      <w:divBdr>
        <w:top w:val="none" w:sz="0" w:space="0" w:color="auto"/>
        <w:left w:val="none" w:sz="0" w:space="0" w:color="auto"/>
        <w:bottom w:val="none" w:sz="0" w:space="0" w:color="auto"/>
        <w:right w:val="none" w:sz="0" w:space="0" w:color="auto"/>
      </w:divBdr>
    </w:div>
    <w:div w:id="1041588980">
      <w:bodyDiv w:val="1"/>
      <w:marLeft w:val="0"/>
      <w:marRight w:val="0"/>
      <w:marTop w:val="0"/>
      <w:marBottom w:val="0"/>
      <w:divBdr>
        <w:top w:val="none" w:sz="0" w:space="0" w:color="auto"/>
        <w:left w:val="none" w:sz="0" w:space="0" w:color="auto"/>
        <w:bottom w:val="none" w:sz="0" w:space="0" w:color="auto"/>
        <w:right w:val="none" w:sz="0" w:space="0" w:color="auto"/>
      </w:divBdr>
      <w:divsChild>
        <w:div w:id="177550865">
          <w:marLeft w:val="562"/>
          <w:marRight w:val="0"/>
          <w:marTop w:val="106"/>
          <w:marBottom w:val="0"/>
          <w:divBdr>
            <w:top w:val="none" w:sz="0" w:space="0" w:color="auto"/>
            <w:left w:val="none" w:sz="0" w:space="0" w:color="auto"/>
            <w:bottom w:val="none" w:sz="0" w:space="0" w:color="auto"/>
            <w:right w:val="none" w:sz="0" w:space="0" w:color="auto"/>
          </w:divBdr>
        </w:div>
        <w:div w:id="254290604">
          <w:marLeft w:val="562"/>
          <w:marRight w:val="0"/>
          <w:marTop w:val="106"/>
          <w:marBottom w:val="0"/>
          <w:divBdr>
            <w:top w:val="none" w:sz="0" w:space="0" w:color="auto"/>
            <w:left w:val="none" w:sz="0" w:space="0" w:color="auto"/>
            <w:bottom w:val="none" w:sz="0" w:space="0" w:color="auto"/>
            <w:right w:val="none" w:sz="0" w:space="0" w:color="auto"/>
          </w:divBdr>
        </w:div>
        <w:div w:id="389614499">
          <w:marLeft w:val="720"/>
          <w:marRight w:val="0"/>
          <w:marTop w:val="91"/>
          <w:marBottom w:val="0"/>
          <w:divBdr>
            <w:top w:val="none" w:sz="0" w:space="0" w:color="auto"/>
            <w:left w:val="none" w:sz="0" w:space="0" w:color="auto"/>
            <w:bottom w:val="none" w:sz="0" w:space="0" w:color="auto"/>
            <w:right w:val="none" w:sz="0" w:space="0" w:color="auto"/>
          </w:divBdr>
        </w:div>
        <w:div w:id="1310816996">
          <w:marLeft w:val="720"/>
          <w:marRight w:val="0"/>
          <w:marTop w:val="91"/>
          <w:marBottom w:val="0"/>
          <w:divBdr>
            <w:top w:val="none" w:sz="0" w:space="0" w:color="auto"/>
            <w:left w:val="none" w:sz="0" w:space="0" w:color="auto"/>
            <w:bottom w:val="none" w:sz="0" w:space="0" w:color="auto"/>
            <w:right w:val="none" w:sz="0" w:space="0" w:color="auto"/>
          </w:divBdr>
        </w:div>
        <w:div w:id="1504514041">
          <w:marLeft w:val="720"/>
          <w:marRight w:val="0"/>
          <w:marTop w:val="91"/>
          <w:marBottom w:val="0"/>
          <w:divBdr>
            <w:top w:val="none" w:sz="0" w:space="0" w:color="auto"/>
            <w:left w:val="none" w:sz="0" w:space="0" w:color="auto"/>
            <w:bottom w:val="none" w:sz="0" w:space="0" w:color="auto"/>
            <w:right w:val="none" w:sz="0" w:space="0" w:color="auto"/>
          </w:divBdr>
        </w:div>
        <w:div w:id="1591432037">
          <w:marLeft w:val="720"/>
          <w:marRight w:val="0"/>
          <w:marTop w:val="91"/>
          <w:marBottom w:val="0"/>
          <w:divBdr>
            <w:top w:val="none" w:sz="0" w:space="0" w:color="auto"/>
            <w:left w:val="none" w:sz="0" w:space="0" w:color="auto"/>
            <w:bottom w:val="none" w:sz="0" w:space="0" w:color="auto"/>
            <w:right w:val="none" w:sz="0" w:space="0" w:color="auto"/>
          </w:divBdr>
        </w:div>
        <w:div w:id="1746023751">
          <w:marLeft w:val="562"/>
          <w:marRight w:val="0"/>
          <w:marTop w:val="106"/>
          <w:marBottom w:val="0"/>
          <w:divBdr>
            <w:top w:val="none" w:sz="0" w:space="0" w:color="auto"/>
            <w:left w:val="none" w:sz="0" w:space="0" w:color="auto"/>
            <w:bottom w:val="none" w:sz="0" w:space="0" w:color="auto"/>
            <w:right w:val="none" w:sz="0" w:space="0" w:color="auto"/>
          </w:divBdr>
        </w:div>
        <w:div w:id="2079548238">
          <w:marLeft w:val="720"/>
          <w:marRight w:val="0"/>
          <w:marTop w:val="91"/>
          <w:marBottom w:val="0"/>
          <w:divBdr>
            <w:top w:val="none" w:sz="0" w:space="0" w:color="auto"/>
            <w:left w:val="none" w:sz="0" w:space="0" w:color="auto"/>
            <w:bottom w:val="none" w:sz="0" w:space="0" w:color="auto"/>
            <w:right w:val="none" w:sz="0" w:space="0" w:color="auto"/>
          </w:divBdr>
        </w:div>
      </w:divsChild>
    </w:div>
    <w:div w:id="1041592224">
      <w:bodyDiv w:val="1"/>
      <w:marLeft w:val="0"/>
      <w:marRight w:val="0"/>
      <w:marTop w:val="0"/>
      <w:marBottom w:val="0"/>
      <w:divBdr>
        <w:top w:val="none" w:sz="0" w:space="0" w:color="auto"/>
        <w:left w:val="none" w:sz="0" w:space="0" w:color="auto"/>
        <w:bottom w:val="none" w:sz="0" w:space="0" w:color="auto"/>
        <w:right w:val="none" w:sz="0" w:space="0" w:color="auto"/>
      </w:divBdr>
    </w:div>
    <w:div w:id="1048608594">
      <w:bodyDiv w:val="1"/>
      <w:marLeft w:val="0"/>
      <w:marRight w:val="0"/>
      <w:marTop w:val="0"/>
      <w:marBottom w:val="0"/>
      <w:divBdr>
        <w:top w:val="none" w:sz="0" w:space="0" w:color="auto"/>
        <w:left w:val="none" w:sz="0" w:space="0" w:color="auto"/>
        <w:bottom w:val="none" w:sz="0" w:space="0" w:color="auto"/>
        <w:right w:val="none" w:sz="0" w:space="0" w:color="auto"/>
      </w:divBdr>
    </w:div>
    <w:div w:id="1053770966">
      <w:bodyDiv w:val="1"/>
      <w:marLeft w:val="0"/>
      <w:marRight w:val="0"/>
      <w:marTop w:val="0"/>
      <w:marBottom w:val="0"/>
      <w:divBdr>
        <w:top w:val="none" w:sz="0" w:space="0" w:color="auto"/>
        <w:left w:val="none" w:sz="0" w:space="0" w:color="auto"/>
        <w:bottom w:val="none" w:sz="0" w:space="0" w:color="auto"/>
        <w:right w:val="none" w:sz="0" w:space="0" w:color="auto"/>
      </w:divBdr>
    </w:div>
    <w:div w:id="1056709547">
      <w:bodyDiv w:val="1"/>
      <w:marLeft w:val="0"/>
      <w:marRight w:val="0"/>
      <w:marTop w:val="0"/>
      <w:marBottom w:val="0"/>
      <w:divBdr>
        <w:top w:val="none" w:sz="0" w:space="0" w:color="auto"/>
        <w:left w:val="none" w:sz="0" w:space="0" w:color="auto"/>
        <w:bottom w:val="none" w:sz="0" w:space="0" w:color="auto"/>
        <w:right w:val="none" w:sz="0" w:space="0" w:color="auto"/>
      </w:divBdr>
    </w:div>
    <w:div w:id="1061290656">
      <w:bodyDiv w:val="1"/>
      <w:marLeft w:val="0"/>
      <w:marRight w:val="0"/>
      <w:marTop w:val="0"/>
      <w:marBottom w:val="0"/>
      <w:divBdr>
        <w:top w:val="none" w:sz="0" w:space="0" w:color="auto"/>
        <w:left w:val="none" w:sz="0" w:space="0" w:color="auto"/>
        <w:bottom w:val="none" w:sz="0" w:space="0" w:color="auto"/>
        <w:right w:val="none" w:sz="0" w:space="0" w:color="auto"/>
      </w:divBdr>
    </w:div>
    <w:div w:id="1066759586">
      <w:bodyDiv w:val="1"/>
      <w:marLeft w:val="0"/>
      <w:marRight w:val="0"/>
      <w:marTop w:val="0"/>
      <w:marBottom w:val="0"/>
      <w:divBdr>
        <w:top w:val="none" w:sz="0" w:space="0" w:color="auto"/>
        <w:left w:val="none" w:sz="0" w:space="0" w:color="auto"/>
        <w:bottom w:val="none" w:sz="0" w:space="0" w:color="auto"/>
        <w:right w:val="none" w:sz="0" w:space="0" w:color="auto"/>
      </w:divBdr>
      <w:divsChild>
        <w:div w:id="479537130">
          <w:marLeft w:val="360"/>
          <w:marRight w:val="0"/>
          <w:marTop w:val="200"/>
          <w:marBottom w:val="0"/>
          <w:divBdr>
            <w:top w:val="none" w:sz="0" w:space="0" w:color="auto"/>
            <w:left w:val="none" w:sz="0" w:space="0" w:color="auto"/>
            <w:bottom w:val="none" w:sz="0" w:space="0" w:color="auto"/>
            <w:right w:val="none" w:sz="0" w:space="0" w:color="auto"/>
          </w:divBdr>
        </w:div>
        <w:div w:id="1729911847">
          <w:marLeft w:val="360"/>
          <w:marRight w:val="0"/>
          <w:marTop w:val="200"/>
          <w:marBottom w:val="0"/>
          <w:divBdr>
            <w:top w:val="none" w:sz="0" w:space="0" w:color="auto"/>
            <w:left w:val="none" w:sz="0" w:space="0" w:color="auto"/>
            <w:bottom w:val="none" w:sz="0" w:space="0" w:color="auto"/>
            <w:right w:val="none" w:sz="0" w:space="0" w:color="auto"/>
          </w:divBdr>
        </w:div>
        <w:div w:id="1832404772">
          <w:marLeft w:val="360"/>
          <w:marRight w:val="0"/>
          <w:marTop w:val="200"/>
          <w:marBottom w:val="0"/>
          <w:divBdr>
            <w:top w:val="none" w:sz="0" w:space="0" w:color="auto"/>
            <w:left w:val="none" w:sz="0" w:space="0" w:color="auto"/>
            <w:bottom w:val="none" w:sz="0" w:space="0" w:color="auto"/>
            <w:right w:val="none" w:sz="0" w:space="0" w:color="auto"/>
          </w:divBdr>
        </w:div>
      </w:divsChild>
    </w:div>
    <w:div w:id="1075281306">
      <w:bodyDiv w:val="1"/>
      <w:marLeft w:val="0"/>
      <w:marRight w:val="0"/>
      <w:marTop w:val="0"/>
      <w:marBottom w:val="0"/>
      <w:divBdr>
        <w:top w:val="none" w:sz="0" w:space="0" w:color="auto"/>
        <w:left w:val="none" w:sz="0" w:space="0" w:color="auto"/>
        <w:bottom w:val="none" w:sz="0" w:space="0" w:color="auto"/>
        <w:right w:val="none" w:sz="0" w:space="0" w:color="auto"/>
      </w:divBdr>
      <w:divsChild>
        <w:div w:id="433862749">
          <w:marLeft w:val="562"/>
          <w:marRight w:val="0"/>
          <w:marTop w:val="115"/>
          <w:marBottom w:val="0"/>
          <w:divBdr>
            <w:top w:val="none" w:sz="0" w:space="0" w:color="auto"/>
            <w:left w:val="none" w:sz="0" w:space="0" w:color="auto"/>
            <w:bottom w:val="none" w:sz="0" w:space="0" w:color="auto"/>
            <w:right w:val="none" w:sz="0" w:space="0" w:color="auto"/>
          </w:divBdr>
        </w:div>
        <w:div w:id="1310403235">
          <w:marLeft w:val="562"/>
          <w:marRight w:val="0"/>
          <w:marTop w:val="115"/>
          <w:marBottom w:val="0"/>
          <w:divBdr>
            <w:top w:val="none" w:sz="0" w:space="0" w:color="auto"/>
            <w:left w:val="none" w:sz="0" w:space="0" w:color="auto"/>
            <w:bottom w:val="none" w:sz="0" w:space="0" w:color="auto"/>
            <w:right w:val="none" w:sz="0" w:space="0" w:color="auto"/>
          </w:divBdr>
        </w:div>
      </w:divsChild>
    </w:div>
    <w:div w:id="1079864077">
      <w:bodyDiv w:val="1"/>
      <w:marLeft w:val="0"/>
      <w:marRight w:val="0"/>
      <w:marTop w:val="0"/>
      <w:marBottom w:val="0"/>
      <w:divBdr>
        <w:top w:val="none" w:sz="0" w:space="0" w:color="auto"/>
        <w:left w:val="none" w:sz="0" w:space="0" w:color="auto"/>
        <w:bottom w:val="none" w:sz="0" w:space="0" w:color="auto"/>
        <w:right w:val="none" w:sz="0" w:space="0" w:color="auto"/>
      </w:divBdr>
      <w:divsChild>
        <w:div w:id="471484185">
          <w:marLeft w:val="720"/>
          <w:marRight w:val="0"/>
          <w:marTop w:val="96"/>
          <w:marBottom w:val="0"/>
          <w:divBdr>
            <w:top w:val="none" w:sz="0" w:space="0" w:color="auto"/>
            <w:left w:val="none" w:sz="0" w:space="0" w:color="auto"/>
            <w:bottom w:val="none" w:sz="0" w:space="0" w:color="auto"/>
            <w:right w:val="none" w:sz="0" w:space="0" w:color="auto"/>
          </w:divBdr>
        </w:div>
        <w:div w:id="550389415">
          <w:marLeft w:val="720"/>
          <w:marRight w:val="0"/>
          <w:marTop w:val="96"/>
          <w:marBottom w:val="0"/>
          <w:divBdr>
            <w:top w:val="none" w:sz="0" w:space="0" w:color="auto"/>
            <w:left w:val="none" w:sz="0" w:space="0" w:color="auto"/>
            <w:bottom w:val="none" w:sz="0" w:space="0" w:color="auto"/>
            <w:right w:val="none" w:sz="0" w:space="0" w:color="auto"/>
          </w:divBdr>
        </w:div>
        <w:div w:id="561254196">
          <w:marLeft w:val="720"/>
          <w:marRight w:val="0"/>
          <w:marTop w:val="96"/>
          <w:marBottom w:val="0"/>
          <w:divBdr>
            <w:top w:val="none" w:sz="0" w:space="0" w:color="auto"/>
            <w:left w:val="none" w:sz="0" w:space="0" w:color="auto"/>
            <w:bottom w:val="none" w:sz="0" w:space="0" w:color="auto"/>
            <w:right w:val="none" w:sz="0" w:space="0" w:color="auto"/>
          </w:divBdr>
        </w:div>
        <w:div w:id="1540818357">
          <w:marLeft w:val="720"/>
          <w:marRight w:val="0"/>
          <w:marTop w:val="96"/>
          <w:marBottom w:val="0"/>
          <w:divBdr>
            <w:top w:val="none" w:sz="0" w:space="0" w:color="auto"/>
            <w:left w:val="none" w:sz="0" w:space="0" w:color="auto"/>
            <w:bottom w:val="none" w:sz="0" w:space="0" w:color="auto"/>
            <w:right w:val="none" w:sz="0" w:space="0" w:color="auto"/>
          </w:divBdr>
        </w:div>
        <w:div w:id="1669091131">
          <w:marLeft w:val="720"/>
          <w:marRight w:val="0"/>
          <w:marTop w:val="96"/>
          <w:marBottom w:val="0"/>
          <w:divBdr>
            <w:top w:val="none" w:sz="0" w:space="0" w:color="auto"/>
            <w:left w:val="none" w:sz="0" w:space="0" w:color="auto"/>
            <w:bottom w:val="none" w:sz="0" w:space="0" w:color="auto"/>
            <w:right w:val="none" w:sz="0" w:space="0" w:color="auto"/>
          </w:divBdr>
        </w:div>
        <w:div w:id="1905141907">
          <w:marLeft w:val="720"/>
          <w:marRight w:val="0"/>
          <w:marTop w:val="96"/>
          <w:marBottom w:val="0"/>
          <w:divBdr>
            <w:top w:val="none" w:sz="0" w:space="0" w:color="auto"/>
            <w:left w:val="none" w:sz="0" w:space="0" w:color="auto"/>
            <w:bottom w:val="none" w:sz="0" w:space="0" w:color="auto"/>
            <w:right w:val="none" w:sz="0" w:space="0" w:color="auto"/>
          </w:divBdr>
        </w:div>
      </w:divsChild>
    </w:div>
    <w:div w:id="1087770914">
      <w:bodyDiv w:val="1"/>
      <w:marLeft w:val="0"/>
      <w:marRight w:val="0"/>
      <w:marTop w:val="0"/>
      <w:marBottom w:val="0"/>
      <w:divBdr>
        <w:top w:val="none" w:sz="0" w:space="0" w:color="auto"/>
        <w:left w:val="none" w:sz="0" w:space="0" w:color="auto"/>
        <w:bottom w:val="none" w:sz="0" w:space="0" w:color="auto"/>
        <w:right w:val="none" w:sz="0" w:space="0" w:color="auto"/>
      </w:divBdr>
    </w:div>
    <w:div w:id="1088229643">
      <w:bodyDiv w:val="1"/>
      <w:marLeft w:val="0"/>
      <w:marRight w:val="0"/>
      <w:marTop w:val="0"/>
      <w:marBottom w:val="0"/>
      <w:divBdr>
        <w:top w:val="none" w:sz="0" w:space="0" w:color="auto"/>
        <w:left w:val="none" w:sz="0" w:space="0" w:color="auto"/>
        <w:bottom w:val="none" w:sz="0" w:space="0" w:color="auto"/>
        <w:right w:val="none" w:sz="0" w:space="0" w:color="auto"/>
      </w:divBdr>
      <w:divsChild>
        <w:div w:id="1189637967">
          <w:marLeft w:val="720"/>
          <w:marRight w:val="0"/>
          <w:marTop w:val="96"/>
          <w:marBottom w:val="0"/>
          <w:divBdr>
            <w:top w:val="none" w:sz="0" w:space="0" w:color="auto"/>
            <w:left w:val="none" w:sz="0" w:space="0" w:color="auto"/>
            <w:bottom w:val="none" w:sz="0" w:space="0" w:color="auto"/>
            <w:right w:val="none" w:sz="0" w:space="0" w:color="auto"/>
          </w:divBdr>
        </w:div>
        <w:div w:id="1684165473">
          <w:marLeft w:val="720"/>
          <w:marRight w:val="0"/>
          <w:marTop w:val="96"/>
          <w:marBottom w:val="0"/>
          <w:divBdr>
            <w:top w:val="none" w:sz="0" w:space="0" w:color="auto"/>
            <w:left w:val="none" w:sz="0" w:space="0" w:color="auto"/>
            <w:bottom w:val="none" w:sz="0" w:space="0" w:color="auto"/>
            <w:right w:val="none" w:sz="0" w:space="0" w:color="auto"/>
          </w:divBdr>
        </w:div>
        <w:div w:id="1529827461">
          <w:marLeft w:val="720"/>
          <w:marRight w:val="0"/>
          <w:marTop w:val="96"/>
          <w:marBottom w:val="0"/>
          <w:divBdr>
            <w:top w:val="none" w:sz="0" w:space="0" w:color="auto"/>
            <w:left w:val="none" w:sz="0" w:space="0" w:color="auto"/>
            <w:bottom w:val="none" w:sz="0" w:space="0" w:color="auto"/>
            <w:right w:val="none" w:sz="0" w:space="0" w:color="auto"/>
          </w:divBdr>
        </w:div>
        <w:div w:id="310645539">
          <w:marLeft w:val="720"/>
          <w:marRight w:val="0"/>
          <w:marTop w:val="96"/>
          <w:marBottom w:val="0"/>
          <w:divBdr>
            <w:top w:val="none" w:sz="0" w:space="0" w:color="auto"/>
            <w:left w:val="none" w:sz="0" w:space="0" w:color="auto"/>
            <w:bottom w:val="none" w:sz="0" w:space="0" w:color="auto"/>
            <w:right w:val="none" w:sz="0" w:space="0" w:color="auto"/>
          </w:divBdr>
        </w:div>
      </w:divsChild>
    </w:div>
    <w:div w:id="1096943023">
      <w:bodyDiv w:val="1"/>
      <w:marLeft w:val="0"/>
      <w:marRight w:val="0"/>
      <w:marTop w:val="0"/>
      <w:marBottom w:val="0"/>
      <w:divBdr>
        <w:top w:val="none" w:sz="0" w:space="0" w:color="auto"/>
        <w:left w:val="none" w:sz="0" w:space="0" w:color="auto"/>
        <w:bottom w:val="none" w:sz="0" w:space="0" w:color="auto"/>
        <w:right w:val="none" w:sz="0" w:space="0" w:color="auto"/>
      </w:divBdr>
      <w:divsChild>
        <w:div w:id="94248144">
          <w:marLeft w:val="562"/>
          <w:marRight w:val="0"/>
          <w:marTop w:val="115"/>
          <w:marBottom w:val="0"/>
          <w:divBdr>
            <w:top w:val="none" w:sz="0" w:space="0" w:color="auto"/>
            <w:left w:val="none" w:sz="0" w:space="0" w:color="auto"/>
            <w:bottom w:val="none" w:sz="0" w:space="0" w:color="auto"/>
            <w:right w:val="none" w:sz="0" w:space="0" w:color="auto"/>
          </w:divBdr>
        </w:div>
        <w:div w:id="120270759">
          <w:marLeft w:val="720"/>
          <w:marRight w:val="0"/>
          <w:marTop w:val="96"/>
          <w:marBottom w:val="0"/>
          <w:divBdr>
            <w:top w:val="none" w:sz="0" w:space="0" w:color="auto"/>
            <w:left w:val="none" w:sz="0" w:space="0" w:color="auto"/>
            <w:bottom w:val="none" w:sz="0" w:space="0" w:color="auto"/>
            <w:right w:val="none" w:sz="0" w:space="0" w:color="auto"/>
          </w:divBdr>
        </w:div>
        <w:div w:id="126709042">
          <w:marLeft w:val="720"/>
          <w:marRight w:val="0"/>
          <w:marTop w:val="96"/>
          <w:marBottom w:val="0"/>
          <w:divBdr>
            <w:top w:val="none" w:sz="0" w:space="0" w:color="auto"/>
            <w:left w:val="none" w:sz="0" w:space="0" w:color="auto"/>
            <w:bottom w:val="none" w:sz="0" w:space="0" w:color="auto"/>
            <w:right w:val="none" w:sz="0" w:space="0" w:color="auto"/>
          </w:divBdr>
        </w:div>
      </w:divsChild>
    </w:div>
    <w:div w:id="1097410213">
      <w:bodyDiv w:val="1"/>
      <w:marLeft w:val="0"/>
      <w:marRight w:val="0"/>
      <w:marTop w:val="0"/>
      <w:marBottom w:val="0"/>
      <w:divBdr>
        <w:top w:val="none" w:sz="0" w:space="0" w:color="auto"/>
        <w:left w:val="none" w:sz="0" w:space="0" w:color="auto"/>
        <w:bottom w:val="none" w:sz="0" w:space="0" w:color="auto"/>
        <w:right w:val="none" w:sz="0" w:space="0" w:color="auto"/>
      </w:divBdr>
    </w:div>
    <w:div w:id="1097599932">
      <w:bodyDiv w:val="1"/>
      <w:marLeft w:val="0"/>
      <w:marRight w:val="0"/>
      <w:marTop w:val="0"/>
      <w:marBottom w:val="0"/>
      <w:divBdr>
        <w:top w:val="none" w:sz="0" w:space="0" w:color="auto"/>
        <w:left w:val="none" w:sz="0" w:space="0" w:color="auto"/>
        <w:bottom w:val="none" w:sz="0" w:space="0" w:color="auto"/>
        <w:right w:val="none" w:sz="0" w:space="0" w:color="auto"/>
      </w:divBdr>
      <w:divsChild>
        <w:div w:id="1527525044">
          <w:marLeft w:val="562"/>
          <w:marRight w:val="0"/>
          <w:marTop w:val="115"/>
          <w:marBottom w:val="0"/>
          <w:divBdr>
            <w:top w:val="none" w:sz="0" w:space="0" w:color="auto"/>
            <w:left w:val="none" w:sz="0" w:space="0" w:color="auto"/>
            <w:bottom w:val="none" w:sz="0" w:space="0" w:color="auto"/>
            <w:right w:val="none" w:sz="0" w:space="0" w:color="auto"/>
          </w:divBdr>
        </w:div>
      </w:divsChild>
    </w:div>
    <w:div w:id="1104038451">
      <w:bodyDiv w:val="1"/>
      <w:marLeft w:val="0"/>
      <w:marRight w:val="0"/>
      <w:marTop w:val="0"/>
      <w:marBottom w:val="0"/>
      <w:divBdr>
        <w:top w:val="none" w:sz="0" w:space="0" w:color="auto"/>
        <w:left w:val="none" w:sz="0" w:space="0" w:color="auto"/>
        <w:bottom w:val="none" w:sz="0" w:space="0" w:color="auto"/>
        <w:right w:val="none" w:sz="0" w:space="0" w:color="auto"/>
      </w:divBdr>
    </w:div>
    <w:div w:id="1108115249">
      <w:bodyDiv w:val="1"/>
      <w:marLeft w:val="0"/>
      <w:marRight w:val="0"/>
      <w:marTop w:val="0"/>
      <w:marBottom w:val="0"/>
      <w:divBdr>
        <w:top w:val="none" w:sz="0" w:space="0" w:color="auto"/>
        <w:left w:val="none" w:sz="0" w:space="0" w:color="auto"/>
        <w:bottom w:val="none" w:sz="0" w:space="0" w:color="auto"/>
        <w:right w:val="none" w:sz="0" w:space="0" w:color="auto"/>
      </w:divBdr>
      <w:divsChild>
        <w:div w:id="597443714">
          <w:marLeft w:val="562"/>
          <w:marRight w:val="0"/>
          <w:marTop w:val="106"/>
          <w:marBottom w:val="0"/>
          <w:divBdr>
            <w:top w:val="none" w:sz="0" w:space="0" w:color="auto"/>
            <w:left w:val="none" w:sz="0" w:space="0" w:color="auto"/>
            <w:bottom w:val="none" w:sz="0" w:space="0" w:color="auto"/>
            <w:right w:val="none" w:sz="0" w:space="0" w:color="auto"/>
          </w:divBdr>
        </w:div>
        <w:div w:id="1305550437">
          <w:marLeft w:val="562"/>
          <w:marRight w:val="0"/>
          <w:marTop w:val="106"/>
          <w:marBottom w:val="0"/>
          <w:divBdr>
            <w:top w:val="none" w:sz="0" w:space="0" w:color="auto"/>
            <w:left w:val="none" w:sz="0" w:space="0" w:color="auto"/>
            <w:bottom w:val="none" w:sz="0" w:space="0" w:color="auto"/>
            <w:right w:val="none" w:sz="0" w:space="0" w:color="auto"/>
          </w:divBdr>
        </w:div>
        <w:div w:id="1356226487">
          <w:marLeft w:val="562"/>
          <w:marRight w:val="0"/>
          <w:marTop w:val="106"/>
          <w:marBottom w:val="0"/>
          <w:divBdr>
            <w:top w:val="none" w:sz="0" w:space="0" w:color="auto"/>
            <w:left w:val="none" w:sz="0" w:space="0" w:color="auto"/>
            <w:bottom w:val="none" w:sz="0" w:space="0" w:color="auto"/>
            <w:right w:val="none" w:sz="0" w:space="0" w:color="auto"/>
          </w:divBdr>
        </w:div>
      </w:divsChild>
    </w:div>
    <w:div w:id="1111709627">
      <w:bodyDiv w:val="1"/>
      <w:marLeft w:val="0"/>
      <w:marRight w:val="0"/>
      <w:marTop w:val="0"/>
      <w:marBottom w:val="0"/>
      <w:divBdr>
        <w:top w:val="none" w:sz="0" w:space="0" w:color="auto"/>
        <w:left w:val="none" w:sz="0" w:space="0" w:color="auto"/>
        <w:bottom w:val="none" w:sz="0" w:space="0" w:color="auto"/>
        <w:right w:val="none" w:sz="0" w:space="0" w:color="auto"/>
      </w:divBdr>
      <w:divsChild>
        <w:div w:id="183059990">
          <w:marLeft w:val="720"/>
          <w:marRight w:val="0"/>
          <w:marTop w:val="96"/>
          <w:marBottom w:val="0"/>
          <w:divBdr>
            <w:top w:val="none" w:sz="0" w:space="0" w:color="auto"/>
            <w:left w:val="none" w:sz="0" w:space="0" w:color="auto"/>
            <w:bottom w:val="none" w:sz="0" w:space="0" w:color="auto"/>
            <w:right w:val="none" w:sz="0" w:space="0" w:color="auto"/>
          </w:divBdr>
        </w:div>
        <w:div w:id="127481533">
          <w:marLeft w:val="720"/>
          <w:marRight w:val="0"/>
          <w:marTop w:val="96"/>
          <w:marBottom w:val="0"/>
          <w:divBdr>
            <w:top w:val="none" w:sz="0" w:space="0" w:color="auto"/>
            <w:left w:val="none" w:sz="0" w:space="0" w:color="auto"/>
            <w:bottom w:val="none" w:sz="0" w:space="0" w:color="auto"/>
            <w:right w:val="none" w:sz="0" w:space="0" w:color="auto"/>
          </w:divBdr>
        </w:div>
        <w:div w:id="1662467893">
          <w:marLeft w:val="720"/>
          <w:marRight w:val="0"/>
          <w:marTop w:val="96"/>
          <w:marBottom w:val="0"/>
          <w:divBdr>
            <w:top w:val="none" w:sz="0" w:space="0" w:color="auto"/>
            <w:left w:val="none" w:sz="0" w:space="0" w:color="auto"/>
            <w:bottom w:val="none" w:sz="0" w:space="0" w:color="auto"/>
            <w:right w:val="none" w:sz="0" w:space="0" w:color="auto"/>
          </w:divBdr>
        </w:div>
        <w:div w:id="1855220924">
          <w:marLeft w:val="720"/>
          <w:marRight w:val="0"/>
          <w:marTop w:val="96"/>
          <w:marBottom w:val="0"/>
          <w:divBdr>
            <w:top w:val="none" w:sz="0" w:space="0" w:color="auto"/>
            <w:left w:val="none" w:sz="0" w:space="0" w:color="auto"/>
            <w:bottom w:val="none" w:sz="0" w:space="0" w:color="auto"/>
            <w:right w:val="none" w:sz="0" w:space="0" w:color="auto"/>
          </w:divBdr>
        </w:div>
        <w:div w:id="895160549">
          <w:marLeft w:val="720"/>
          <w:marRight w:val="0"/>
          <w:marTop w:val="96"/>
          <w:marBottom w:val="0"/>
          <w:divBdr>
            <w:top w:val="none" w:sz="0" w:space="0" w:color="auto"/>
            <w:left w:val="none" w:sz="0" w:space="0" w:color="auto"/>
            <w:bottom w:val="none" w:sz="0" w:space="0" w:color="auto"/>
            <w:right w:val="none" w:sz="0" w:space="0" w:color="auto"/>
          </w:divBdr>
        </w:div>
        <w:div w:id="1844473373">
          <w:marLeft w:val="720"/>
          <w:marRight w:val="0"/>
          <w:marTop w:val="96"/>
          <w:marBottom w:val="0"/>
          <w:divBdr>
            <w:top w:val="none" w:sz="0" w:space="0" w:color="auto"/>
            <w:left w:val="none" w:sz="0" w:space="0" w:color="auto"/>
            <w:bottom w:val="none" w:sz="0" w:space="0" w:color="auto"/>
            <w:right w:val="none" w:sz="0" w:space="0" w:color="auto"/>
          </w:divBdr>
        </w:div>
        <w:div w:id="574513798">
          <w:marLeft w:val="720"/>
          <w:marRight w:val="0"/>
          <w:marTop w:val="96"/>
          <w:marBottom w:val="0"/>
          <w:divBdr>
            <w:top w:val="none" w:sz="0" w:space="0" w:color="auto"/>
            <w:left w:val="none" w:sz="0" w:space="0" w:color="auto"/>
            <w:bottom w:val="none" w:sz="0" w:space="0" w:color="auto"/>
            <w:right w:val="none" w:sz="0" w:space="0" w:color="auto"/>
          </w:divBdr>
        </w:div>
      </w:divsChild>
    </w:div>
    <w:div w:id="1123695420">
      <w:bodyDiv w:val="1"/>
      <w:marLeft w:val="0"/>
      <w:marRight w:val="0"/>
      <w:marTop w:val="0"/>
      <w:marBottom w:val="0"/>
      <w:divBdr>
        <w:top w:val="none" w:sz="0" w:space="0" w:color="auto"/>
        <w:left w:val="none" w:sz="0" w:space="0" w:color="auto"/>
        <w:bottom w:val="none" w:sz="0" w:space="0" w:color="auto"/>
        <w:right w:val="none" w:sz="0" w:space="0" w:color="auto"/>
      </w:divBdr>
      <w:divsChild>
        <w:div w:id="87696018">
          <w:marLeft w:val="720"/>
          <w:marRight w:val="0"/>
          <w:marTop w:val="72"/>
          <w:marBottom w:val="0"/>
          <w:divBdr>
            <w:top w:val="none" w:sz="0" w:space="0" w:color="auto"/>
            <w:left w:val="none" w:sz="0" w:space="0" w:color="auto"/>
            <w:bottom w:val="none" w:sz="0" w:space="0" w:color="auto"/>
            <w:right w:val="none" w:sz="0" w:space="0" w:color="auto"/>
          </w:divBdr>
        </w:div>
        <w:div w:id="1129934340">
          <w:marLeft w:val="720"/>
          <w:marRight w:val="0"/>
          <w:marTop w:val="72"/>
          <w:marBottom w:val="0"/>
          <w:divBdr>
            <w:top w:val="none" w:sz="0" w:space="0" w:color="auto"/>
            <w:left w:val="none" w:sz="0" w:space="0" w:color="auto"/>
            <w:bottom w:val="none" w:sz="0" w:space="0" w:color="auto"/>
            <w:right w:val="none" w:sz="0" w:space="0" w:color="auto"/>
          </w:divBdr>
        </w:div>
        <w:div w:id="1436754204">
          <w:marLeft w:val="720"/>
          <w:marRight w:val="0"/>
          <w:marTop w:val="72"/>
          <w:marBottom w:val="0"/>
          <w:divBdr>
            <w:top w:val="none" w:sz="0" w:space="0" w:color="auto"/>
            <w:left w:val="none" w:sz="0" w:space="0" w:color="auto"/>
            <w:bottom w:val="none" w:sz="0" w:space="0" w:color="auto"/>
            <w:right w:val="none" w:sz="0" w:space="0" w:color="auto"/>
          </w:divBdr>
        </w:div>
      </w:divsChild>
    </w:div>
    <w:div w:id="1126043750">
      <w:bodyDiv w:val="1"/>
      <w:marLeft w:val="0"/>
      <w:marRight w:val="0"/>
      <w:marTop w:val="0"/>
      <w:marBottom w:val="0"/>
      <w:divBdr>
        <w:top w:val="none" w:sz="0" w:space="0" w:color="auto"/>
        <w:left w:val="none" w:sz="0" w:space="0" w:color="auto"/>
        <w:bottom w:val="none" w:sz="0" w:space="0" w:color="auto"/>
        <w:right w:val="none" w:sz="0" w:space="0" w:color="auto"/>
      </w:divBdr>
    </w:div>
    <w:div w:id="1129322796">
      <w:bodyDiv w:val="1"/>
      <w:marLeft w:val="0"/>
      <w:marRight w:val="0"/>
      <w:marTop w:val="0"/>
      <w:marBottom w:val="0"/>
      <w:divBdr>
        <w:top w:val="none" w:sz="0" w:space="0" w:color="auto"/>
        <w:left w:val="none" w:sz="0" w:space="0" w:color="auto"/>
        <w:bottom w:val="none" w:sz="0" w:space="0" w:color="auto"/>
        <w:right w:val="none" w:sz="0" w:space="0" w:color="auto"/>
      </w:divBdr>
    </w:div>
    <w:div w:id="1131558149">
      <w:bodyDiv w:val="1"/>
      <w:marLeft w:val="0"/>
      <w:marRight w:val="0"/>
      <w:marTop w:val="0"/>
      <w:marBottom w:val="0"/>
      <w:divBdr>
        <w:top w:val="none" w:sz="0" w:space="0" w:color="auto"/>
        <w:left w:val="none" w:sz="0" w:space="0" w:color="auto"/>
        <w:bottom w:val="none" w:sz="0" w:space="0" w:color="auto"/>
        <w:right w:val="none" w:sz="0" w:space="0" w:color="auto"/>
      </w:divBdr>
    </w:div>
    <w:div w:id="1142431966">
      <w:bodyDiv w:val="1"/>
      <w:marLeft w:val="0"/>
      <w:marRight w:val="0"/>
      <w:marTop w:val="0"/>
      <w:marBottom w:val="0"/>
      <w:divBdr>
        <w:top w:val="none" w:sz="0" w:space="0" w:color="auto"/>
        <w:left w:val="none" w:sz="0" w:space="0" w:color="auto"/>
        <w:bottom w:val="none" w:sz="0" w:space="0" w:color="auto"/>
        <w:right w:val="none" w:sz="0" w:space="0" w:color="auto"/>
      </w:divBdr>
    </w:div>
    <w:div w:id="1151099108">
      <w:bodyDiv w:val="1"/>
      <w:marLeft w:val="0"/>
      <w:marRight w:val="0"/>
      <w:marTop w:val="0"/>
      <w:marBottom w:val="0"/>
      <w:divBdr>
        <w:top w:val="none" w:sz="0" w:space="0" w:color="auto"/>
        <w:left w:val="none" w:sz="0" w:space="0" w:color="auto"/>
        <w:bottom w:val="none" w:sz="0" w:space="0" w:color="auto"/>
        <w:right w:val="none" w:sz="0" w:space="0" w:color="auto"/>
      </w:divBdr>
    </w:div>
    <w:div w:id="1152408558">
      <w:bodyDiv w:val="1"/>
      <w:marLeft w:val="0"/>
      <w:marRight w:val="0"/>
      <w:marTop w:val="0"/>
      <w:marBottom w:val="0"/>
      <w:divBdr>
        <w:top w:val="none" w:sz="0" w:space="0" w:color="auto"/>
        <w:left w:val="none" w:sz="0" w:space="0" w:color="auto"/>
        <w:bottom w:val="none" w:sz="0" w:space="0" w:color="auto"/>
        <w:right w:val="none" w:sz="0" w:space="0" w:color="auto"/>
      </w:divBdr>
    </w:div>
    <w:div w:id="1152452406">
      <w:bodyDiv w:val="1"/>
      <w:marLeft w:val="0"/>
      <w:marRight w:val="0"/>
      <w:marTop w:val="0"/>
      <w:marBottom w:val="0"/>
      <w:divBdr>
        <w:top w:val="none" w:sz="0" w:space="0" w:color="auto"/>
        <w:left w:val="none" w:sz="0" w:space="0" w:color="auto"/>
        <w:bottom w:val="none" w:sz="0" w:space="0" w:color="auto"/>
        <w:right w:val="none" w:sz="0" w:space="0" w:color="auto"/>
      </w:divBdr>
      <w:divsChild>
        <w:div w:id="532034511">
          <w:marLeft w:val="562"/>
          <w:marRight w:val="0"/>
          <w:marTop w:val="115"/>
          <w:marBottom w:val="0"/>
          <w:divBdr>
            <w:top w:val="none" w:sz="0" w:space="0" w:color="auto"/>
            <w:left w:val="none" w:sz="0" w:space="0" w:color="auto"/>
            <w:bottom w:val="none" w:sz="0" w:space="0" w:color="auto"/>
            <w:right w:val="none" w:sz="0" w:space="0" w:color="auto"/>
          </w:divBdr>
        </w:div>
        <w:div w:id="821237047">
          <w:marLeft w:val="562"/>
          <w:marRight w:val="0"/>
          <w:marTop w:val="115"/>
          <w:marBottom w:val="0"/>
          <w:divBdr>
            <w:top w:val="none" w:sz="0" w:space="0" w:color="auto"/>
            <w:left w:val="none" w:sz="0" w:space="0" w:color="auto"/>
            <w:bottom w:val="none" w:sz="0" w:space="0" w:color="auto"/>
            <w:right w:val="none" w:sz="0" w:space="0" w:color="auto"/>
          </w:divBdr>
        </w:div>
        <w:div w:id="851845621">
          <w:marLeft w:val="562"/>
          <w:marRight w:val="0"/>
          <w:marTop w:val="115"/>
          <w:marBottom w:val="0"/>
          <w:divBdr>
            <w:top w:val="none" w:sz="0" w:space="0" w:color="auto"/>
            <w:left w:val="none" w:sz="0" w:space="0" w:color="auto"/>
            <w:bottom w:val="none" w:sz="0" w:space="0" w:color="auto"/>
            <w:right w:val="none" w:sz="0" w:space="0" w:color="auto"/>
          </w:divBdr>
        </w:div>
        <w:div w:id="1799182878">
          <w:marLeft w:val="562"/>
          <w:marRight w:val="0"/>
          <w:marTop w:val="115"/>
          <w:marBottom w:val="0"/>
          <w:divBdr>
            <w:top w:val="none" w:sz="0" w:space="0" w:color="auto"/>
            <w:left w:val="none" w:sz="0" w:space="0" w:color="auto"/>
            <w:bottom w:val="none" w:sz="0" w:space="0" w:color="auto"/>
            <w:right w:val="none" w:sz="0" w:space="0" w:color="auto"/>
          </w:divBdr>
        </w:div>
      </w:divsChild>
    </w:div>
    <w:div w:id="1161500981">
      <w:bodyDiv w:val="1"/>
      <w:marLeft w:val="0"/>
      <w:marRight w:val="0"/>
      <w:marTop w:val="0"/>
      <w:marBottom w:val="0"/>
      <w:divBdr>
        <w:top w:val="none" w:sz="0" w:space="0" w:color="auto"/>
        <w:left w:val="none" w:sz="0" w:space="0" w:color="auto"/>
        <w:bottom w:val="none" w:sz="0" w:space="0" w:color="auto"/>
        <w:right w:val="none" w:sz="0" w:space="0" w:color="auto"/>
      </w:divBdr>
      <w:divsChild>
        <w:div w:id="61224242">
          <w:marLeft w:val="720"/>
          <w:marRight w:val="0"/>
          <w:marTop w:val="91"/>
          <w:marBottom w:val="0"/>
          <w:divBdr>
            <w:top w:val="none" w:sz="0" w:space="0" w:color="auto"/>
            <w:left w:val="none" w:sz="0" w:space="0" w:color="auto"/>
            <w:bottom w:val="none" w:sz="0" w:space="0" w:color="auto"/>
            <w:right w:val="none" w:sz="0" w:space="0" w:color="auto"/>
          </w:divBdr>
        </w:div>
        <w:div w:id="126434793">
          <w:marLeft w:val="720"/>
          <w:marRight w:val="0"/>
          <w:marTop w:val="91"/>
          <w:marBottom w:val="0"/>
          <w:divBdr>
            <w:top w:val="none" w:sz="0" w:space="0" w:color="auto"/>
            <w:left w:val="none" w:sz="0" w:space="0" w:color="auto"/>
            <w:bottom w:val="none" w:sz="0" w:space="0" w:color="auto"/>
            <w:right w:val="none" w:sz="0" w:space="0" w:color="auto"/>
          </w:divBdr>
        </w:div>
        <w:div w:id="131365793">
          <w:marLeft w:val="720"/>
          <w:marRight w:val="0"/>
          <w:marTop w:val="91"/>
          <w:marBottom w:val="0"/>
          <w:divBdr>
            <w:top w:val="none" w:sz="0" w:space="0" w:color="auto"/>
            <w:left w:val="none" w:sz="0" w:space="0" w:color="auto"/>
            <w:bottom w:val="none" w:sz="0" w:space="0" w:color="auto"/>
            <w:right w:val="none" w:sz="0" w:space="0" w:color="auto"/>
          </w:divBdr>
        </w:div>
        <w:div w:id="478884499">
          <w:marLeft w:val="720"/>
          <w:marRight w:val="0"/>
          <w:marTop w:val="91"/>
          <w:marBottom w:val="0"/>
          <w:divBdr>
            <w:top w:val="none" w:sz="0" w:space="0" w:color="auto"/>
            <w:left w:val="none" w:sz="0" w:space="0" w:color="auto"/>
            <w:bottom w:val="none" w:sz="0" w:space="0" w:color="auto"/>
            <w:right w:val="none" w:sz="0" w:space="0" w:color="auto"/>
          </w:divBdr>
        </w:div>
        <w:div w:id="505362516">
          <w:marLeft w:val="720"/>
          <w:marRight w:val="0"/>
          <w:marTop w:val="91"/>
          <w:marBottom w:val="0"/>
          <w:divBdr>
            <w:top w:val="none" w:sz="0" w:space="0" w:color="auto"/>
            <w:left w:val="none" w:sz="0" w:space="0" w:color="auto"/>
            <w:bottom w:val="none" w:sz="0" w:space="0" w:color="auto"/>
            <w:right w:val="none" w:sz="0" w:space="0" w:color="auto"/>
          </w:divBdr>
        </w:div>
        <w:div w:id="964044485">
          <w:marLeft w:val="720"/>
          <w:marRight w:val="0"/>
          <w:marTop w:val="91"/>
          <w:marBottom w:val="0"/>
          <w:divBdr>
            <w:top w:val="none" w:sz="0" w:space="0" w:color="auto"/>
            <w:left w:val="none" w:sz="0" w:space="0" w:color="auto"/>
            <w:bottom w:val="none" w:sz="0" w:space="0" w:color="auto"/>
            <w:right w:val="none" w:sz="0" w:space="0" w:color="auto"/>
          </w:divBdr>
        </w:div>
        <w:div w:id="1123500045">
          <w:marLeft w:val="720"/>
          <w:marRight w:val="0"/>
          <w:marTop w:val="91"/>
          <w:marBottom w:val="0"/>
          <w:divBdr>
            <w:top w:val="none" w:sz="0" w:space="0" w:color="auto"/>
            <w:left w:val="none" w:sz="0" w:space="0" w:color="auto"/>
            <w:bottom w:val="none" w:sz="0" w:space="0" w:color="auto"/>
            <w:right w:val="none" w:sz="0" w:space="0" w:color="auto"/>
          </w:divBdr>
        </w:div>
        <w:div w:id="1558934931">
          <w:marLeft w:val="562"/>
          <w:marRight w:val="0"/>
          <w:marTop w:val="106"/>
          <w:marBottom w:val="0"/>
          <w:divBdr>
            <w:top w:val="none" w:sz="0" w:space="0" w:color="auto"/>
            <w:left w:val="none" w:sz="0" w:space="0" w:color="auto"/>
            <w:bottom w:val="none" w:sz="0" w:space="0" w:color="auto"/>
            <w:right w:val="none" w:sz="0" w:space="0" w:color="auto"/>
          </w:divBdr>
        </w:div>
        <w:div w:id="1670984645">
          <w:marLeft w:val="720"/>
          <w:marRight w:val="0"/>
          <w:marTop w:val="91"/>
          <w:marBottom w:val="0"/>
          <w:divBdr>
            <w:top w:val="none" w:sz="0" w:space="0" w:color="auto"/>
            <w:left w:val="none" w:sz="0" w:space="0" w:color="auto"/>
            <w:bottom w:val="none" w:sz="0" w:space="0" w:color="auto"/>
            <w:right w:val="none" w:sz="0" w:space="0" w:color="auto"/>
          </w:divBdr>
        </w:div>
        <w:div w:id="2030643839">
          <w:marLeft w:val="720"/>
          <w:marRight w:val="0"/>
          <w:marTop w:val="91"/>
          <w:marBottom w:val="0"/>
          <w:divBdr>
            <w:top w:val="none" w:sz="0" w:space="0" w:color="auto"/>
            <w:left w:val="none" w:sz="0" w:space="0" w:color="auto"/>
            <w:bottom w:val="none" w:sz="0" w:space="0" w:color="auto"/>
            <w:right w:val="none" w:sz="0" w:space="0" w:color="auto"/>
          </w:divBdr>
        </w:div>
      </w:divsChild>
    </w:div>
    <w:div w:id="1185245754">
      <w:bodyDiv w:val="1"/>
      <w:marLeft w:val="0"/>
      <w:marRight w:val="0"/>
      <w:marTop w:val="0"/>
      <w:marBottom w:val="0"/>
      <w:divBdr>
        <w:top w:val="none" w:sz="0" w:space="0" w:color="auto"/>
        <w:left w:val="none" w:sz="0" w:space="0" w:color="auto"/>
        <w:bottom w:val="none" w:sz="0" w:space="0" w:color="auto"/>
        <w:right w:val="none" w:sz="0" w:space="0" w:color="auto"/>
      </w:divBdr>
    </w:div>
    <w:div w:id="1193419215">
      <w:bodyDiv w:val="1"/>
      <w:marLeft w:val="0"/>
      <w:marRight w:val="0"/>
      <w:marTop w:val="0"/>
      <w:marBottom w:val="0"/>
      <w:divBdr>
        <w:top w:val="none" w:sz="0" w:space="0" w:color="auto"/>
        <w:left w:val="none" w:sz="0" w:space="0" w:color="auto"/>
        <w:bottom w:val="none" w:sz="0" w:space="0" w:color="auto"/>
        <w:right w:val="none" w:sz="0" w:space="0" w:color="auto"/>
      </w:divBdr>
      <w:divsChild>
        <w:div w:id="997657042">
          <w:marLeft w:val="720"/>
          <w:marRight w:val="0"/>
          <w:marTop w:val="91"/>
          <w:marBottom w:val="0"/>
          <w:divBdr>
            <w:top w:val="none" w:sz="0" w:space="0" w:color="auto"/>
            <w:left w:val="none" w:sz="0" w:space="0" w:color="auto"/>
            <w:bottom w:val="none" w:sz="0" w:space="0" w:color="auto"/>
            <w:right w:val="none" w:sz="0" w:space="0" w:color="auto"/>
          </w:divBdr>
        </w:div>
      </w:divsChild>
    </w:div>
    <w:div w:id="1193954237">
      <w:bodyDiv w:val="1"/>
      <w:marLeft w:val="0"/>
      <w:marRight w:val="0"/>
      <w:marTop w:val="0"/>
      <w:marBottom w:val="0"/>
      <w:divBdr>
        <w:top w:val="none" w:sz="0" w:space="0" w:color="auto"/>
        <w:left w:val="none" w:sz="0" w:space="0" w:color="auto"/>
        <w:bottom w:val="none" w:sz="0" w:space="0" w:color="auto"/>
        <w:right w:val="none" w:sz="0" w:space="0" w:color="auto"/>
      </w:divBdr>
      <w:divsChild>
        <w:div w:id="175391120">
          <w:marLeft w:val="720"/>
          <w:marRight w:val="0"/>
          <w:marTop w:val="96"/>
          <w:marBottom w:val="0"/>
          <w:divBdr>
            <w:top w:val="none" w:sz="0" w:space="0" w:color="auto"/>
            <w:left w:val="none" w:sz="0" w:space="0" w:color="auto"/>
            <w:bottom w:val="none" w:sz="0" w:space="0" w:color="auto"/>
            <w:right w:val="none" w:sz="0" w:space="0" w:color="auto"/>
          </w:divBdr>
        </w:div>
        <w:div w:id="256795566">
          <w:marLeft w:val="562"/>
          <w:marRight w:val="0"/>
          <w:marTop w:val="115"/>
          <w:marBottom w:val="0"/>
          <w:divBdr>
            <w:top w:val="none" w:sz="0" w:space="0" w:color="auto"/>
            <w:left w:val="none" w:sz="0" w:space="0" w:color="auto"/>
            <w:bottom w:val="none" w:sz="0" w:space="0" w:color="auto"/>
            <w:right w:val="none" w:sz="0" w:space="0" w:color="auto"/>
          </w:divBdr>
        </w:div>
        <w:div w:id="399980787">
          <w:marLeft w:val="562"/>
          <w:marRight w:val="0"/>
          <w:marTop w:val="115"/>
          <w:marBottom w:val="0"/>
          <w:divBdr>
            <w:top w:val="none" w:sz="0" w:space="0" w:color="auto"/>
            <w:left w:val="none" w:sz="0" w:space="0" w:color="auto"/>
            <w:bottom w:val="none" w:sz="0" w:space="0" w:color="auto"/>
            <w:right w:val="none" w:sz="0" w:space="0" w:color="auto"/>
          </w:divBdr>
        </w:div>
        <w:div w:id="659650602">
          <w:marLeft w:val="720"/>
          <w:marRight w:val="0"/>
          <w:marTop w:val="96"/>
          <w:marBottom w:val="0"/>
          <w:divBdr>
            <w:top w:val="none" w:sz="0" w:space="0" w:color="auto"/>
            <w:left w:val="none" w:sz="0" w:space="0" w:color="auto"/>
            <w:bottom w:val="none" w:sz="0" w:space="0" w:color="auto"/>
            <w:right w:val="none" w:sz="0" w:space="0" w:color="auto"/>
          </w:divBdr>
        </w:div>
        <w:div w:id="1417509496">
          <w:marLeft w:val="562"/>
          <w:marRight w:val="0"/>
          <w:marTop w:val="115"/>
          <w:marBottom w:val="0"/>
          <w:divBdr>
            <w:top w:val="none" w:sz="0" w:space="0" w:color="auto"/>
            <w:left w:val="none" w:sz="0" w:space="0" w:color="auto"/>
            <w:bottom w:val="none" w:sz="0" w:space="0" w:color="auto"/>
            <w:right w:val="none" w:sz="0" w:space="0" w:color="auto"/>
          </w:divBdr>
        </w:div>
        <w:div w:id="1786383207">
          <w:marLeft w:val="720"/>
          <w:marRight w:val="0"/>
          <w:marTop w:val="96"/>
          <w:marBottom w:val="0"/>
          <w:divBdr>
            <w:top w:val="none" w:sz="0" w:space="0" w:color="auto"/>
            <w:left w:val="none" w:sz="0" w:space="0" w:color="auto"/>
            <w:bottom w:val="none" w:sz="0" w:space="0" w:color="auto"/>
            <w:right w:val="none" w:sz="0" w:space="0" w:color="auto"/>
          </w:divBdr>
        </w:div>
      </w:divsChild>
    </w:div>
    <w:div w:id="1200705545">
      <w:bodyDiv w:val="1"/>
      <w:marLeft w:val="0"/>
      <w:marRight w:val="0"/>
      <w:marTop w:val="0"/>
      <w:marBottom w:val="0"/>
      <w:divBdr>
        <w:top w:val="none" w:sz="0" w:space="0" w:color="auto"/>
        <w:left w:val="none" w:sz="0" w:space="0" w:color="auto"/>
        <w:bottom w:val="none" w:sz="0" w:space="0" w:color="auto"/>
        <w:right w:val="none" w:sz="0" w:space="0" w:color="auto"/>
      </w:divBdr>
    </w:div>
    <w:div w:id="1205100016">
      <w:bodyDiv w:val="1"/>
      <w:marLeft w:val="0"/>
      <w:marRight w:val="0"/>
      <w:marTop w:val="0"/>
      <w:marBottom w:val="0"/>
      <w:divBdr>
        <w:top w:val="none" w:sz="0" w:space="0" w:color="auto"/>
        <w:left w:val="none" w:sz="0" w:space="0" w:color="auto"/>
        <w:bottom w:val="none" w:sz="0" w:space="0" w:color="auto"/>
        <w:right w:val="none" w:sz="0" w:space="0" w:color="auto"/>
      </w:divBdr>
    </w:div>
    <w:div w:id="1221013908">
      <w:bodyDiv w:val="1"/>
      <w:marLeft w:val="0"/>
      <w:marRight w:val="0"/>
      <w:marTop w:val="0"/>
      <w:marBottom w:val="0"/>
      <w:divBdr>
        <w:top w:val="none" w:sz="0" w:space="0" w:color="auto"/>
        <w:left w:val="none" w:sz="0" w:space="0" w:color="auto"/>
        <w:bottom w:val="none" w:sz="0" w:space="0" w:color="auto"/>
        <w:right w:val="none" w:sz="0" w:space="0" w:color="auto"/>
      </w:divBdr>
    </w:div>
    <w:div w:id="1229682916">
      <w:bodyDiv w:val="1"/>
      <w:marLeft w:val="0"/>
      <w:marRight w:val="0"/>
      <w:marTop w:val="0"/>
      <w:marBottom w:val="0"/>
      <w:divBdr>
        <w:top w:val="none" w:sz="0" w:space="0" w:color="auto"/>
        <w:left w:val="none" w:sz="0" w:space="0" w:color="auto"/>
        <w:bottom w:val="none" w:sz="0" w:space="0" w:color="auto"/>
        <w:right w:val="none" w:sz="0" w:space="0" w:color="auto"/>
      </w:divBdr>
      <w:divsChild>
        <w:div w:id="894318012">
          <w:marLeft w:val="720"/>
          <w:marRight w:val="0"/>
          <w:marTop w:val="82"/>
          <w:marBottom w:val="0"/>
          <w:divBdr>
            <w:top w:val="none" w:sz="0" w:space="0" w:color="auto"/>
            <w:left w:val="none" w:sz="0" w:space="0" w:color="auto"/>
            <w:bottom w:val="none" w:sz="0" w:space="0" w:color="auto"/>
            <w:right w:val="none" w:sz="0" w:space="0" w:color="auto"/>
          </w:divBdr>
        </w:div>
        <w:div w:id="1855653373">
          <w:marLeft w:val="720"/>
          <w:marRight w:val="0"/>
          <w:marTop w:val="82"/>
          <w:marBottom w:val="0"/>
          <w:divBdr>
            <w:top w:val="none" w:sz="0" w:space="0" w:color="auto"/>
            <w:left w:val="none" w:sz="0" w:space="0" w:color="auto"/>
            <w:bottom w:val="none" w:sz="0" w:space="0" w:color="auto"/>
            <w:right w:val="none" w:sz="0" w:space="0" w:color="auto"/>
          </w:divBdr>
        </w:div>
      </w:divsChild>
    </w:div>
    <w:div w:id="1232810925">
      <w:bodyDiv w:val="1"/>
      <w:marLeft w:val="0"/>
      <w:marRight w:val="0"/>
      <w:marTop w:val="0"/>
      <w:marBottom w:val="0"/>
      <w:divBdr>
        <w:top w:val="none" w:sz="0" w:space="0" w:color="auto"/>
        <w:left w:val="none" w:sz="0" w:space="0" w:color="auto"/>
        <w:bottom w:val="none" w:sz="0" w:space="0" w:color="auto"/>
        <w:right w:val="none" w:sz="0" w:space="0" w:color="auto"/>
      </w:divBdr>
      <w:divsChild>
        <w:div w:id="291442444">
          <w:marLeft w:val="0"/>
          <w:marRight w:val="0"/>
          <w:marTop w:val="0"/>
          <w:marBottom w:val="0"/>
          <w:divBdr>
            <w:top w:val="single" w:sz="48" w:space="0" w:color="FFFFFF"/>
            <w:left w:val="single" w:sz="48" w:space="0" w:color="FFFFFF"/>
            <w:bottom w:val="single" w:sz="48" w:space="0" w:color="FFFFFF"/>
            <w:right w:val="single" w:sz="48" w:space="0" w:color="FFFFFF"/>
          </w:divBdr>
        </w:div>
      </w:divsChild>
    </w:div>
    <w:div w:id="1243635654">
      <w:bodyDiv w:val="1"/>
      <w:marLeft w:val="0"/>
      <w:marRight w:val="0"/>
      <w:marTop w:val="0"/>
      <w:marBottom w:val="0"/>
      <w:divBdr>
        <w:top w:val="none" w:sz="0" w:space="0" w:color="auto"/>
        <w:left w:val="none" w:sz="0" w:space="0" w:color="auto"/>
        <w:bottom w:val="none" w:sz="0" w:space="0" w:color="auto"/>
        <w:right w:val="none" w:sz="0" w:space="0" w:color="auto"/>
      </w:divBdr>
    </w:div>
    <w:div w:id="1248999341">
      <w:bodyDiv w:val="1"/>
      <w:marLeft w:val="0"/>
      <w:marRight w:val="0"/>
      <w:marTop w:val="0"/>
      <w:marBottom w:val="0"/>
      <w:divBdr>
        <w:top w:val="none" w:sz="0" w:space="0" w:color="auto"/>
        <w:left w:val="none" w:sz="0" w:space="0" w:color="auto"/>
        <w:bottom w:val="none" w:sz="0" w:space="0" w:color="auto"/>
        <w:right w:val="none" w:sz="0" w:space="0" w:color="auto"/>
      </w:divBdr>
      <w:divsChild>
        <w:div w:id="870731456">
          <w:marLeft w:val="562"/>
          <w:marRight w:val="0"/>
          <w:marTop w:val="115"/>
          <w:marBottom w:val="0"/>
          <w:divBdr>
            <w:top w:val="none" w:sz="0" w:space="0" w:color="auto"/>
            <w:left w:val="none" w:sz="0" w:space="0" w:color="auto"/>
            <w:bottom w:val="none" w:sz="0" w:space="0" w:color="auto"/>
            <w:right w:val="none" w:sz="0" w:space="0" w:color="auto"/>
          </w:divBdr>
        </w:div>
        <w:div w:id="1220019974">
          <w:marLeft w:val="562"/>
          <w:marRight w:val="0"/>
          <w:marTop w:val="115"/>
          <w:marBottom w:val="0"/>
          <w:divBdr>
            <w:top w:val="none" w:sz="0" w:space="0" w:color="auto"/>
            <w:left w:val="none" w:sz="0" w:space="0" w:color="auto"/>
            <w:bottom w:val="none" w:sz="0" w:space="0" w:color="auto"/>
            <w:right w:val="none" w:sz="0" w:space="0" w:color="auto"/>
          </w:divBdr>
        </w:div>
        <w:div w:id="1868255783">
          <w:marLeft w:val="562"/>
          <w:marRight w:val="0"/>
          <w:marTop w:val="115"/>
          <w:marBottom w:val="0"/>
          <w:divBdr>
            <w:top w:val="none" w:sz="0" w:space="0" w:color="auto"/>
            <w:left w:val="none" w:sz="0" w:space="0" w:color="auto"/>
            <w:bottom w:val="none" w:sz="0" w:space="0" w:color="auto"/>
            <w:right w:val="none" w:sz="0" w:space="0" w:color="auto"/>
          </w:divBdr>
        </w:div>
      </w:divsChild>
    </w:div>
    <w:div w:id="1251692566">
      <w:bodyDiv w:val="1"/>
      <w:marLeft w:val="0"/>
      <w:marRight w:val="0"/>
      <w:marTop w:val="0"/>
      <w:marBottom w:val="0"/>
      <w:divBdr>
        <w:top w:val="none" w:sz="0" w:space="0" w:color="auto"/>
        <w:left w:val="none" w:sz="0" w:space="0" w:color="auto"/>
        <w:bottom w:val="none" w:sz="0" w:space="0" w:color="auto"/>
        <w:right w:val="none" w:sz="0" w:space="0" w:color="auto"/>
      </w:divBdr>
      <w:divsChild>
        <w:div w:id="69083761">
          <w:marLeft w:val="720"/>
          <w:marRight w:val="0"/>
          <w:marTop w:val="82"/>
          <w:marBottom w:val="0"/>
          <w:divBdr>
            <w:top w:val="none" w:sz="0" w:space="0" w:color="auto"/>
            <w:left w:val="none" w:sz="0" w:space="0" w:color="auto"/>
            <w:bottom w:val="none" w:sz="0" w:space="0" w:color="auto"/>
            <w:right w:val="none" w:sz="0" w:space="0" w:color="auto"/>
          </w:divBdr>
        </w:div>
        <w:div w:id="495807333">
          <w:marLeft w:val="720"/>
          <w:marRight w:val="0"/>
          <w:marTop w:val="82"/>
          <w:marBottom w:val="0"/>
          <w:divBdr>
            <w:top w:val="none" w:sz="0" w:space="0" w:color="auto"/>
            <w:left w:val="none" w:sz="0" w:space="0" w:color="auto"/>
            <w:bottom w:val="none" w:sz="0" w:space="0" w:color="auto"/>
            <w:right w:val="none" w:sz="0" w:space="0" w:color="auto"/>
          </w:divBdr>
        </w:div>
        <w:div w:id="605115355">
          <w:marLeft w:val="720"/>
          <w:marRight w:val="0"/>
          <w:marTop w:val="82"/>
          <w:marBottom w:val="0"/>
          <w:divBdr>
            <w:top w:val="none" w:sz="0" w:space="0" w:color="auto"/>
            <w:left w:val="none" w:sz="0" w:space="0" w:color="auto"/>
            <w:bottom w:val="none" w:sz="0" w:space="0" w:color="auto"/>
            <w:right w:val="none" w:sz="0" w:space="0" w:color="auto"/>
          </w:divBdr>
        </w:div>
        <w:div w:id="985402137">
          <w:marLeft w:val="562"/>
          <w:marRight w:val="0"/>
          <w:marTop w:val="96"/>
          <w:marBottom w:val="0"/>
          <w:divBdr>
            <w:top w:val="none" w:sz="0" w:space="0" w:color="auto"/>
            <w:left w:val="none" w:sz="0" w:space="0" w:color="auto"/>
            <w:bottom w:val="none" w:sz="0" w:space="0" w:color="auto"/>
            <w:right w:val="none" w:sz="0" w:space="0" w:color="auto"/>
          </w:divBdr>
        </w:div>
        <w:div w:id="1060984980">
          <w:marLeft w:val="562"/>
          <w:marRight w:val="0"/>
          <w:marTop w:val="96"/>
          <w:marBottom w:val="0"/>
          <w:divBdr>
            <w:top w:val="none" w:sz="0" w:space="0" w:color="auto"/>
            <w:left w:val="none" w:sz="0" w:space="0" w:color="auto"/>
            <w:bottom w:val="none" w:sz="0" w:space="0" w:color="auto"/>
            <w:right w:val="none" w:sz="0" w:space="0" w:color="auto"/>
          </w:divBdr>
        </w:div>
      </w:divsChild>
    </w:div>
    <w:div w:id="1260679564">
      <w:bodyDiv w:val="1"/>
      <w:marLeft w:val="0"/>
      <w:marRight w:val="0"/>
      <w:marTop w:val="0"/>
      <w:marBottom w:val="0"/>
      <w:divBdr>
        <w:top w:val="none" w:sz="0" w:space="0" w:color="auto"/>
        <w:left w:val="none" w:sz="0" w:space="0" w:color="auto"/>
        <w:bottom w:val="none" w:sz="0" w:space="0" w:color="auto"/>
        <w:right w:val="none" w:sz="0" w:space="0" w:color="auto"/>
      </w:divBdr>
      <w:divsChild>
        <w:div w:id="1012494248">
          <w:marLeft w:val="562"/>
          <w:marRight w:val="0"/>
          <w:marTop w:val="115"/>
          <w:marBottom w:val="0"/>
          <w:divBdr>
            <w:top w:val="none" w:sz="0" w:space="0" w:color="auto"/>
            <w:left w:val="none" w:sz="0" w:space="0" w:color="auto"/>
            <w:bottom w:val="none" w:sz="0" w:space="0" w:color="auto"/>
            <w:right w:val="none" w:sz="0" w:space="0" w:color="auto"/>
          </w:divBdr>
        </w:div>
        <w:div w:id="549920142">
          <w:marLeft w:val="1152"/>
          <w:marRight w:val="0"/>
          <w:marTop w:val="86"/>
          <w:marBottom w:val="0"/>
          <w:divBdr>
            <w:top w:val="none" w:sz="0" w:space="0" w:color="auto"/>
            <w:left w:val="none" w:sz="0" w:space="0" w:color="auto"/>
            <w:bottom w:val="none" w:sz="0" w:space="0" w:color="auto"/>
            <w:right w:val="none" w:sz="0" w:space="0" w:color="auto"/>
          </w:divBdr>
        </w:div>
        <w:div w:id="1005984156">
          <w:marLeft w:val="1152"/>
          <w:marRight w:val="0"/>
          <w:marTop w:val="86"/>
          <w:marBottom w:val="0"/>
          <w:divBdr>
            <w:top w:val="none" w:sz="0" w:space="0" w:color="auto"/>
            <w:left w:val="none" w:sz="0" w:space="0" w:color="auto"/>
            <w:bottom w:val="none" w:sz="0" w:space="0" w:color="auto"/>
            <w:right w:val="none" w:sz="0" w:space="0" w:color="auto"/>
          </w:divBdr>
        </w:div>
        <w:div w:id="594631174">
          <w:marLeft w:val="1152"/>
          <w:marRight w:val="0"/>
          <w:marTop w:val="86"/>
          <w:marBottom w:val="0"/>
          <w:divBdr>
            <w:top w:val="none" w:sz="0" w:space="0" w:color="auto"/>
            <w:left w:val="none" w:sz="0" w:space="0" w:color="auto"/>
            <w:bottom w:val="none" w:sz="0" w:space="0" w:color="auto"/>
            <w:right w:val="none" w:sz="0" w:space="0" w:color="auto"/>
          </w:divBdr>
        </w:div>
        <w:div w:id="1586180861">
          <w:marLeft w:val="1152"/>
          <w:marRight w:val="0"/>
          <w:marTop w:val="86"/>
          <w:marBottom w:val="0"/>
          <w:divBdr>
            <w:top w:val="none" w:sz="0" w:space="0" w:color="auto"/>
            <w:left w:val="none" w:sz="0" w:space="0" w:color="auto"/>
            <w:bottom w:val="none" w:sz="0" w:space="0" w:color="auto"/>
            <w:right w:val="none" w:sz="0" w:space="0" w:color="auto"/>
          </w:divBdr>
        </w:div>
        <w:div w:id="1934850645">
          <w:marLeft w:val="1152"/>
          <w:marRight w:val="0"/>
          <w:marTop w:val="86"/>
          <w:marBottom w:val="0"/>
          <w:divBdr>
            <w:top w:val="none" w:sz="0" w:space="0" w:color="auto"/>
            <w:left w:val="none" w:sz="0" w:space="0" w:color="auto"/>
            <w:bottom w:val="none" w:sz="0" w:space="0" w:color="auto"/>
            <w:right w:val="none" w:sz="0" w:space="0" w:color="auto"/>
          </w:divBdr>
        </w:div>
        <w:div w:id="245305512">
          <w:marLeft w:val="562"/>
          <w:marRight w:val="0"/>
          <w:marTop w:val="115"/>
          <w:marBottom w:val="0"/>
          <w:divBdr>
            <w:top w:val="none" w:sz="0" w:space="0" w:color="auto"/>
            <w:left w:val="none" w:sz="0" w:space="0" w:color="auto"/>
            <w:bottom w:val="none" w:sz="0" w:space="0" w:color="auto"/>
            <w:right w:val="none" w:sz="0" w:space="0" w:color="auto"/>
          </w:divBdr>
        </w:div>
        <w:div w:id="1259027589">
          <w:marLeft w:val="720"/>
          <w:marRight w:val="0"/>
          <w:marTop w:val="96"/>
          <w:marBottom w:val="0"/>
          <w:divBdr>
            <w:top w:val="none" w:sz="0" w:space="0" w:color="auto"/>
            <w:left w:val="none" w:sz="0" w:space="0" w:color="auto"/>
            <w:bottom w:val="none" w:sz="0" w:space="0" w:color="auto"/>
            <w:right w:val="none" w:sz="0" w:space="0" w:color="auto"/>
          </w:divBdr>
        </w:div>
      </w:divsChild>
    </w:div>
    <w:div w:id="1263414746">
      <w:bodyDiv w:val="1"/>
      <w:marLeft w:val="0"/>
      <w:marRight w:val="0"/>
      <w:marTop w:val="0"/>
      <w:marBottom w:val="0"/>
      <w:divBdr>
        <w:top w:val="none" w:sz="0" w:space="0" w:color="auto"/>
        <w:left w:val="none" w:sz="0" w:space="0" w:color="auto"/>
        <w:bottom w:val="none" w:sz="0" w:space="0" w:color="auto"/>
        <w:right w:val="none" w:sz="0" w:space="0" w:color="auto"/>
      </w:divBdr>
    </w:div>
    <w:div w:id="1264537465">
      <w:bodyDiv w:val="1"/>
      <w:marLeft w:val="0"/>
      <w:marRight w:val="0"/>
      <w:marTop w:val="0"/>
      <w:marBottom w:val="0"/>
      <w:divBdr>
        <w:top w:val="none" w:sz="0" w:space="0" w:color="auto"/>
        <w:left w:val="none" w:sz="0" w:space="0" w:color="auto"/>
        <w:bottom w:val="none" w:sz="0" w:space="0" w:color="auto"/>
        <w:right w:val="none" w:sz="0" w:space="0" w:color="auto"/>
      </w:divBdr>
      <w:divsChild>
        <w:div w:id="55666012">
          <w:marLeft w:val="562"/>
          <w:marRight w:val="0"/>
          <w:marTop w:val="115"/>
          <w:marBottom w:val="0"/>
          <w:divBdr>
            <w:top w:val="none" w:sz="0" w:space="0" w:color="auto"/>
            <w:left w:val="none" w:sz="0" w:space="0" w:color="auto"/>
            <w:bottom w:val="none" w:sz="0" w:space="0" w:color="auto"/>
            <w:right w:val="none" w:sz="0" w:space="0" w:color="auto"/>
          </w:divBdr>
        </w:div>
        <w:div w:id="941765886">
          <w:marLeft w:val="720"/>
          <w:marRight w:val="0"/>
          <w:marTop w:val="96"/>
          <w:marBottom w:val="0"/>
          <w:divBdr>
            <w:top w:val="none" w:sz="0" w:space="0" w:color="auto"/>
            <w:left w:val="none" w:sz="0" w:space="0" w:color="auto"/>
            <w:bottom w:val="none" w:sz="0" w:space="0" w:color="auto"/>
            <w:right w:val="none" w:sz="0" w:space="0" w:color="auto"/>
          </w:divBdr>
        </w:div>
        <w:div w:id="1126433485">
          <w:marLeft w:val="720"/>
          <w:marRight w:val="0"/>
          <w:marTop w:val="96"/>
          <w:marBottom w:val="0"/>
          <w:divBdr>
            <w:top w:val="none" w:sz="0" w:space="0" w:color="auto"/>
            <w:left w:val="none" w:sz="0" w:space="0" w:color="auto"/>
            <w:bottom w:val="none" w:sz="0" w:space="0" w:color="auto"/>
            <w:right w:val="none" w:sz="0" w:space="0" w:color="auto"/>
          </w:divBdr>
        </w:div>
        <w:div w:id="1189104131">
          <w:marLeft w:val="720"/>
          <w:marRight w:val="0"/>
          <w:marTop w:val="96"/>
          <w:marBottom w:val="0"/>
          <w:divBdr>
            <w:top w:val="none" w:sz="0" w:space="0" w:color="auto"/>
            <w:left w:val="none" w:sz="0" w:space="0" w:color="auto"/>
            <w:bottom w:val="none" w:sz="0" w:space="0" w:color="auto"/>
            <w:right w:val="none" w:sz="0" w:space="0" w:color="auto"/>
          </w:divBdr>
        </w:div>
        <w:div w:id="1409497009">
          <w:marLeft w:val="562"/>
          <w:marRight w:val="0"/>
          <w:marTop w:val="115"/>
          <w:marBottom w:val="0"/>
          <w:divBdr>
            <w:top w:val="none" w:sz="0" w:space="0" w:color="auto"/>
            <w:left w:val="none" w:sz="0" w:space="0" w:color="auto"/>
            <w:bottom w:val="none" w:sz="0" w:space="0" w:color="auto"/>
            <w:right w:val="none" w:sz="0" w:space="0" w:color="auto"/>
          </w:divBdr>
        </w:div>
        <w:div w:id="1420178466">
          <w:marLeft w:val="720"/>
          <w:marRight w:val="0"/>
          <w:marTop w:val="96"/>
          <w:marBottom w:val="0"/>
          <w:divBdr>
            <w:top w:val="none" w:sz="0" w:space="0" w:color="auto"/>
            <w:left w:val="none" w:sz="0" w:space="0" w:color="auto"/>
            <w:bottom w:val="none" w:sz="0" w:space="0" w:color="auto"/>
            <w:right w:val="none" w:sz="0" w:space="0" w:color="auto"/>
          </w:divBdr>
        </w:div>
        <w:div w:id="1585608484">
          <w:marLeft w:val="720"/>
          <w:marRight w:val="0"/>
          <w:marTop w:val="96"/>
          <w:marBottom w:val="0"/>
          <w:divBdr>
            <w:top w:val="none" w:sz="0" w:space="0" w:color="auto"/>
            <w:left w:val="none" w:sz="0" w:space="0" w:color="auto"/>
            <w:bottom w:val="none" w:sz="0" w:space="0" w:color="auto"/>
            <w:right w:val="none" w:sz="0" w:space="0" w:color="auto"/>
          </w:divBdr>
        </w:div>
        <w:div w:id="2061130598">
          <w:marLeft w:val="720"/>
          <w:marRight w:val="0"/>
          <w:marTop w:val="96"/>
          <w:marBottom w:val="0"/>
          <w:divBdr>
            <w:top w:val="none" w:sz="0" w:space="0" w:color="auto"/>
            <w:left w:val="none" w:sz="0" w:space="0" w:color="auto"/>
            <w:bottom w:val="none" w:sz="0" w:space="0" w:color="auto"/>
            <w:right w:val="none" w:sz="0" w:space="0" w:color="auto"/>
          </w:divBdr>
        </w:div>
        <w:div w:id="2097438605">
          <w:marLeft w:val="720"/>
          <w:marRight w:val="0"/>
          <w:marTop w:val="96"/>
          <w:marBottom w:val="0"/>
          <w:divBdr>
            <w:top w:val="none" w:sz="0" w:space="0" w:color="auto"/>
            <w:left w:val="none" w:sz="0" w:space="0" w:color="auto"/>
            <w:bottom w:val="none" w:sz="0" w:space="0" w:color="auto"/>
            <w:right w:val="none" w:sz="0" w:space="0" w:color="auto"/>
          </w:divBdr>
        </w:div>
        <w:div w:id="2120297398">
          <w:marLeft w:val="562"/>
          <w:marRight w:val="0"/>
          <w:marTop w:val="115"/>
          <w:marBottom w:val="0"/>
          <w:divBdr>
            <w:top w:val="none" w:sz="0" w:space="0" w:color="auto"/>
            <w:left w:val="none" w:sz="0" w:space="0" w:color="auto"/>
            <w:bottom w:val="none" w:sz="0" w:space="0" w:color="auto"/>
            <w:right w:val="none" w:sz="0" w:space="0" w:color="auto"/>
          </w:divBdr>
        </w:div>
      </w:divsChild>
    </w:div>
    <w:div w:id="1266308815">
      <w:bodyDiv w:val="1"/>
      <w:marLeft w:val="0"/>
      <w:marRight w:val="0"/>
      <w:marTop w:val="0"/>
      <w:marBottom w:val="0"/>
      <w:divBdr>
        <w:top w:val="none" w:sz="0" w:space="0" w:color="auto"/>
        <w:left w:val="none" w:sz="0" w:space="0" w:color="auto"/>
        <w:bottom w:val="none" w:sz="0" w:space="0" w:color="auto"/>
        <w:right w:val="none" w:sz="0" w:space="0" w:color="auto"/>
      </w:divBdr>
      <w:divsChild>
        <w:div w:id="34349868">
          <w:marLeft w:val="720"/>
          <w:marRight w:val="0"/>
          <w:marTop w:val="91"/>
          <w:marBottom w:val="0"/>
          <w:divBdr>
            <w:top w:val="none" w:sz="0" w:space="0" w:color="auto"/>
            <w:left w:val="none" w:sz="0" w:space="0" w:color="auto"/>
            <w:bottom w:val="none" w:sz="0" w:space="0" w:color="auto"/>
            <w:right w:val="none" w:sz="0" w:space="0" w:color="auto"/>
          </w:divBdr>
        </w:div>
        <w:div w:id="270431105">
          <w:marLeft w:val="720"/>
          <w:marRight w:val="0"/>
          <w:marTop w:val="91"/>
          <w:marBottom w:val="0"/>
          <w:divBdr>
            <w:top w:val="none" w:sz="0" w:space="0" w:color="auto"/>
            <w:left w:val="none" w:sz="0" w:space="0" w:color="auto"/>
            <w:bottom w:val="none" w:sz="0" w:space="0" w:color="auto"/>
            <w:right w:val="none" w:sz="0" w:space="0" w:color="auto"/>
          </w:divBdr>
        </w:div>
        <w:div w:id="320425811">
          <w:marLeft w:val="720"/>
          <w:marRight w:val="0"/>
          <w:marTop w:val="91"/>
          <w:marBottom w:val="0"/>
          <w:divBdr>
            <w:top w:val="none" w:sz="0" w:space="0" w:color="auto"/>
            <w:left w:val="none" w:sz="0" w:space="0" w:color="auto"/>
            <w:bottom w:val="none" w:sz="0" w:space="0" w:color="auto"/>
            <w:right w:val="none" w:sz="0" w:space="0" w:color="auto"/>
          </w:divBdr>
        </w:div>
        <w:div w:id="455875365">
          <w:marLeft w:val="562"/>
          <w:marRight w:val="0"/>
          <w:marTop w:val="106"/>
          <w:marBottom w:val="0"/>
          <w:divBdr>
            <w:top w:val="none" w:sz="0" w:space="0" w:color="auto"/>
            <w:left w:val="none" w:sz="0" w:space="0" w:color="auto"/>
            <w:bottom w:val="none" w:sz="0" w:space="0" w:color="auto"/>
            <w:right w:val="none" w:sz="0" w:space="0" w:color="auto"/>
          </w:divBdr>
        </w:div>
        <w:div w:id="587814153">
          <w:marLeft w:val="720"/>
          <w:marRight w:val="0"/>
          <w:marTop w:val="91"/>
          <w:marBottom w:val="0"/>
          <w:divBdr>
            <w:top w:val="none" w:sz="0" w:space="0" w:color="auto"/>
            <w:left w:val="none" w:sz="0" w:space="0" w:color="auto"/>
            <w:bottom w:val="none" w:sz="0" w:space="0" w:color="auto"/>
            <w:right w:val="none" w:sz="0" w:space="0" w:color="auto"/>
          </w:divBdr>
        </w:div>
        <w:div w:id="1014504041">
          <w:marLeft w:val="720"/>
          <w:marRight w:val="0"/>
          <w:marTop w:val="91"/>
          <w:marBottom w:val="0"/>
          <w:divBdr>
            <w:top w:val="none" w:sz="0" w:space="0" w:color="auto"/>
            <w:left w:val="none" w:sz="0" w:space="0" w:color="auto"/>
            <w:bottom w:val="none" w:sz="0" w:space="0" w:color="auto"/>
            <w:right w:val="none" w:sz="0" w:space="0" w:color="auto"/>
          </w:divBdr>
        </w:div>
        <w:div w:id="1152871927">
          <w:marLeft w:val="562"/>
          <w:marRight w:val="0"/>
          <w:marTop w:val="106"/>
          <w:marBottom w:val="0"/>
          <w:divBdr>
            <w:top w:val="none" w:sz="0" w:space="0" w:color="auto"/>
            <w:left w:val="none" w:sz="0" w:space="0" w:color="auto"/>
            <w:bottom w:val="none" w:sz="0" w:space="0" w:color="auto"/>
            <w:right w:val="none" w:sz="0" w:space="0" w:color="auto"/>
          </w:divBdr>
        </w:div>
        <w:div w:id="1237862914">
          <w:marLeft w:val="720"/>
          <w:marRight w:val="0"/>
          <w:marTop w:val="91"/>
          <w:marBottom w:val="0"/>
          <w:divBdr>
            <w:top w:val="none" w:sz="0" w:space="0" w:color="auto"/>
            <w:left w:val="none" w:sz="0" w:space="0" w:color="auto"/>
            <w:bottom w:val="none" w:sz="0" w:space="0" w:color="auto"/>
            <w:right w:val="none" w:sz="0" w:space="0" w:color="auto"/>
          </w:divBdr>
        </w:div>
        <w:div w:id="1685592969">
          <w:marLeft w:val="562"/>
          <w:marRight w:val="0"/>
          <w:marTop w:val="106"/>
          <w:marBottom w:val="0"/>
          <w:divBdr>
            <w:top w:val="none" w:sz="0" w:space="0" w:color="auto"/>
            <w:left w:val="none" w:sz="0" w:space="0" w:color="auto"/>
            <w:bottom w:val="none" w:sz="0" w:space="0" w:color="auto"/>
            <w:right w:val="none" w:sz="0" w:space="0" w:color="auto"/>
          </w:divBdr>
        </w:div>
        <w:div w:id="2032485786">
          <w:marLeft w:val="562"/>
          <w:marRight w:val="0"/>
          <w:marTop w:val="106"/>
          <w:marBottom w:val="0"/>
          <w:divBdr>
            <w:top w:val="none" w:sz="0" w:space="0" w:color="auto"/>
            <w:left w:val="none" w:sz="0" w:space="0" w:color="auto"/>
            <w:bottom w:val="none" w:sz="0" w:space="0" w:color="auto"/>
            <w:right w:val="none" w:sz="0" w:space="0" w:color="auto"/>
          </w:divBdr>
        </w:div>
      </w:divsChild>
    </w:div>
    <w:div w:id="1283073923">
      <w:bodyDiv w:val="1"/>
      <w:marLeft w:val="0"/>
      <w:marRight w:val="0"/>
      <w:marTop w:val="0"/>
      <w:marBottom w:val="0"/>
      <w:divBdr>
        <w:top w:val="none" w:sz="0" w:space="0" w:color="auto"/>
        <w:left w:val="none" w:sz="0" w:space="0" w:color="auto"/>
        <w:bottom w:val="none" w:sz="0" w:space="0" w:color="auto"/>
        <w:right w:val="none" w:sz="0" w:space="0" w:color="auto"/>
      </w:divBdr>
    </w:div>
    <w:div w:id="1283271036">
      <w:bodyDiv w:val="1"/>
      <w:marLeft w:val="0"/>
      <w:marRight w:val="0"/>
      <w:marTop w:val="0"/>
      <w:marBottom w:val="0"/>
      <w:divBdr>
        <w:top w:val="none" w:sz="0" w:space="0" w:color="auto"/>
        <w:left w:val="none" w:sz="0" w:space="0" w:color="auto"/>
        <w:bottom w:val="none" w:sz="0" w:space="0" w:color="auto"/>
        <w:right w:val="none" w:sz="0" w:space="0" w:color="auto"/>
      </w:divBdr>
      <w:divsChild>
        <w:div w:id="2007783999">
          <w:marLeft w:val="562"/>
          <w:marRight w:val="0"/>
          <w:marTop w:val="115"/>
          <w:marBottom w:val="0"/>
          <w:divBdr>
            <w:top w:val="none" w:sz="0" w:space="0" w:color="auto"/>
            <w:left w:val="none" w:sz="0" w:space="0" w:color="auto"/>
            <w:bottom w:val="none" w:sz="0" w:space="0" w:color="auto"/>
            <w:right w:val="none" w:sz="0" w:space="0" w:color="auto"/>
          </w:divBdr>
        </w:div>
      </w:divsChild>
    </w:div>
    <w:div w:id="1285504019">
      <w:bodyDiv w:val="1"/>
      <w:marLeft w:val="0"/>
      <w:marRight w:val="0"/>
      <w:marTop w:val="0"/>
      <w:marBottom w:val="0"/>
      <w:divBdr>
        <w:top w:val="none" w:sz="0" w:space="0" w:color="auto"/>
        <w:left w:val="none" w:sz="0" w:space="0" w:color="auto"/>
        <w:bottom w:val="none" w:sz="0" w:space="0" w:color="auto"/>
        <w:right w:val="none" w:sz="0" w:space="0" w:color="auto"/>
      </w:divBdr>
      <w:divsChild>
        <w:div w:id="477499552">
          <w:marLeft w:val="562"/>
          <w:marRight w:val="0"/>
          <w:marTop w:val="106"/>
          <w:marBottom w:val="0"/>
          <w:divBdr>
            <w:top w:val="none" w:sz="0" w:space="0" w:color="auto"/>
            <w:left w:val="none" w:sz="0" w:space="0" w:color="auto"/>
            <w:bottom w:val="none" w:sz="0" w:space="0" w:color="auto"/>
            <w:right w:val="none" w:sz="0" w:space="0" w:color="auto"/>
          </w:divBdr>
        </w:div>
        <w:div w:id="989940029">
          <w:marLeft w:val="562"/>
          <w:marRight w:val="0"/>
          <w:marTop w:val="106"/>
          <w:marBottom w:val="0"/>
          <w:divBdr>
            <w:top w:val="none" w:sz="0" w:space="0" w:color="auto"/>
            <w:left w:val="none" w:sz="0" w:space="0" w:color="auto"/>
            <w:bottom w:val="none" w:sz="0" w:space="0" w:color="auto"/>
            <w:right w:val="none" w:sz="0" w:space="0" w:color="auto"/>
          </w:divBdr>
        </w:div>
      </w:divsChild>
    </w:div>
    <w:div w:id="1285651143">
      <w:bodyDiv w:val="1"/>
      <w:marLeft w:val="0"/>
      <w:marRight w:val="0"/>
      <w:marTop w:val="0"/>
      <w:marBottom w:val="0"/>
      <w:divBdr>
        <w:top w:val="none" w:sz="0" w:space="0" w:color="auto"/>
        <w:left w:val="none" w:sz="0" w:space="0" w:color="auto"/>
        <w:bottom w:val="none" w:sz="0" w:space="0" w:color="auto"/>
        <w:right w:val="none" w:sz="0" w:space="0" w:color="auto"/>
      </w:divBdr>
      <w:divsChild>
        <w:div w:id="81951505">
          <w:marLeft w:val="562"/>
          <w:marRight w:val="0"/>
          <w:marTop w:val="115"/>
          <w:marBottom w:val="0"/>
          <w:divBdr>
            <w:top w:val="none" w:sz="0" w:space="0" w:color="auto"/>
            <w:left w:val="none" w:sz="0" w:space="0" w:color="auto"/>
            <w:bottom w:val="none" w:sz="0" w:space="0" w:color="auto"/>
            <w:right w:val="none" w:sz="0" w:space="0" w:color="auto"/>
          </w:divBdr>
        </w:div>
        <w:div w:id="659581842">
          <w:marLeft w:val="720"/>
          <w:marRight w:val="0"/>
          <w:marTop w:val="96"/>
          <w:marBottom w:val="0"/>
          <w:divBdr>
            <w:top w:val="none" w:sz="0" w:space="0" w:color="auto"/>
            <w:left w:val="none" w:sz="0" w:space="0" w:color="auto"/>
            <w:bottom w:val="none" w:sz="0" w:space="0" w:color="auto"/>
            <w:right w:val="none" w:sz="0" w:space="0" w:color="auto"/>
          </w:divBdr>
        </w:div>
        <w:div w:id="858591689">
          <w:marLeft w:val="720"/>
          <w:marRight w:val="0"/>
          <w:marTop w:val="96"/>
          <w:marBottom w:val="0"/>
          <w:divBdr>
            <w:top w:val="none" w:sz="0" w:space="0" w:color="auto"/>
            <w:left w:val="none" w:sz="0" w:space="0" w:color="auto"/>
            <w:bottom w:val="none" w:sz="0" w:space="0" w:color="auto"/>
            <w:right w:val="none" w:sz="0" w:space="0" w:color="auto"/>
          </w:divBdr>
        </w:div>
        <w:div w:id="886719257">
          <w:marLeft w:val="562"/>
          <w:marRight w:val="0"/>
          <w:marTop w:val="115"/>
          <w:marBottom w:val="0"/>
          <w:divBdr>
            <w:top w:val="none" w:sz="0" w:space="0" w:color="auto"/>
            <w:left w:val="none" w:sz="0" w:space="0" w:color="auto"/>
            <w:bottom w:val="none" w:sz="0" w:space="0" w:color="auto"/>
            <w:right w:val="none" w:sz="0" w:space="0" w:color="auto"/>
          </w:divBdr>
        </w:div>
        <w:div w:id="1819298635">
          <w:marLeft w:val="720"/>
          <w:marRight w:val="0"/>
          <w:marTop w:val="96"/>
          <w:marBottom w:val="0"/>
          <w:divBdr>
            <w:top w:val="none" w:sz="0" w:space="0" w:color="auto"/>
            <w:left w:val="none" w:sz="0" w:space="0" w:color="auto"/>
            <w:bottom w:val="none" w:sz="0" w:space="0" w:color="auto"/>
            <w:right w:val="none" w:sz="0" w:space="0" w:color="auto"/>
          </w:divBdr>
        </w:div>
        <w:div w:id="1829053629">
          <w:marLeft w:val="562"/>
          <w:marRight w:val="0"/>
          <w:marTop w:val="115"/>
          <w:marBottom w:val="0"/>
          <w:divBdr>
            <w:top w:val="none" w:sz="0" w:space="0" w:color="auto"/>
            <w:left w:val="none" w:sz="0" w:space="0" w:color="auto"/>
            <w:bottom w:val="none" w:sz="0" w:space="0" w:color="auto"/>
            <w:right w:val="none" w:sz="0" w:space="0" w:color="auto"/>
          </w:divBdr>
        </w:div>
      </w:divsChild>
    </w:div>
    <w:div w:id="1292980003">
      <w:bodyDiv w:val="1"/>
      <w:marLeft w:val="0"/>
      <w:marRight w:val="0"/>
      <w:marTop w:val="0"/>
      <w:marBottom w:val="0"/>
      <w:divBdr>
        <w:top w:val="none" w:sz="0" w:space="0" w:color="auto"/>
        <w:left w:val="none" w:sz="0" w:space="0" w:color="auto"/>
        <w:bottom w:val="none" w:sz="0" w:space="0" w:color="auto"/>
        <w:right w:val="none" w:sz="0" w:space="0" w:color="auto"/>
      </w:divBdr>
      <w:divsChild>
        <w:div w:id="2022925120">
          <w:marLeft w:val="547"/>
          <w:marRight w:val="0"/>
          <w:marTop w:val="96"/>
          <w:marBottom w:val="0"/>
          <w:divBdr>
            <w:top w:val="none" w:sz="0" w:space="0" w:color="auto"/>
            <w:left w:val="none" w:sz="0" w:space="0" w:color="auto"/>
            <w:bottom w:val="none" w:sz="0" w:space="0" w:color="auto"/>
            <w:right w:val="none" w:sz="0" w:space="0" w:color="auto"/>
          </w:divBdr>
        </w:div>
        <w:div w:id="1240561838">
          <w:marLeft w:val="1166"/>
          <w:marRight w:val="0"/>
          <w:marTop w:val="96"/>
          <w:marBottom w:val="0"/>
          <w:divBdr>
            <w:top w:val="none" w:sz="0" w:space="0" w:color="auto"/>
            <w:left w:val="none" w:sz="0" w:space="0" w:color="auto"/>
            <w:bottom w:val="none" w:sz="0" w:space="0" w:color="auto"/>
            <w:right w:val="none" w:sz="0" w:space="0" w:color="auto"/>
          </w:divBdr>
        </w:div>
        <w:div w:id="1758549191">
          <w:marLeft w:val="1166"/>
          <w:marRight w:val="0"/>
          <w:marTop w:val="96"/>
          <w:marBottom w:val="0"/>
          <w:divBdr>
            <w:top w:val="none" w:sz="0" w:space="0" w:color="auto"/>
            <w:left w:val="none" w:sz="0" w:space="0" w:color="auto"/>
            <w:bottom w:val="none" w:sz="0" w:space="0" w:color="auto"/>
            <w:right w:val="none" w:sz="0" w:space="0" w:color="auto"/>
          </w:divBdr>
        </w:div>
        <w:div w:id="1317223223">
          <w:marLeft w:val="1166"/>
          <w:marRight w:val="0"/>
          <w:marTop w:val="96"/>
          <w:marBottom w:val="0"/>
          <w:divBdr>
            <w:top w:val="none" w:sz="0" w:space="0" w:color="auto"/>
            <w:left w:val="none" w:sz="0" w:space="0" w:color="auto"/>
            <w:bottom w:val="none" w:sz="0" w:space="0" w:color="auto"/>
            <w:right w:val="none" w:sz="0" w:space="0" w:color="auto"/>
          </w:divBdr>
        </w:div>
      </w:divsChild>
    </w:div>
    <w:div w:id="1303002157">
      <w:bodyDiv w:val="1"/>
      <w:marLeft w:val="0"/>
      <w:marRight w:val="0"/>
      <w:marTop w:val="0"/>
      <w:marBottom w:val="0"/>
      <w:divBdr>
        <w:top w:val="none" w:sz="0" w:space="0" w:color="auto"/>
        <w:left w:val="none" w:sz="0" w:space="0" w:color="auto"/>
        <w:bottom w:val="none" w:sz="0" w:space="0" w:color="auto"/>
        <w:right w:val="none" w:sz="0" w:space="0" w:color="auto"/>
      </w:divBdr>
    </w:div>
    <w:div w:id="1308970498">
      <w:bodyDiv w:val="1"/>
      <w:marLeft w:val="0"/>
      <w:marRight w:val="0"/>
      <w:marTop w:val="0"/>
      <w:marBottom w:val="0"/>
      <w:divBdr>
        <w:top w:val="none" w:sz="0" w:space="0" w:color="auto"/>
        <w:left w:val="none" w:sz="0" w:space="0" w:color="auto"/>
        <w:bottom w:val="none" w:sz="0" w:space="0" w:color="auto"/>
        <w:right w:val="none" w:sz="0" w:space="0" w:color="auto"/>
      </w:divBdr>
      <w:divsChild>
        <w:div w:id="4869594">
          <w:marLeft w:val="720"/>
          <w:marRight w:val="0"/>
          <w:marTop w:val="91"/>
          <w:marBottom w:val="0"/>
          <w:divBdr>
            <w:top w:val="none" w:sz="0" w:space="0" w:color="auto"/>
            <w:left w:val="none" w:sz="0" w:space="0" w:color="auto"/>
            <w:bottom w:val="none" w:sz="0" w:space="0" w:color="auto"/>
            <w:right w:val="none" w:sz="0" w:space="0" w:color="auto"/>
          </w:divBdr>
        </w:div>
        <w:div w:id="65416795">
          <w:marLeft w:val="720"/>
          <w:marRight w:val="0"/>
          <w:marTop w:val="91"/>
          <w:marBottom w:val="0"/>
          <w:divBdr>
            <w:top w:val="none" w:sz="0" w:space="0" w:color="auto"/>
            <w:left w:val="none" w:sz="0" w:space="0" w:color="auto"/>
            <w:bottom w:val="none" w:sz="0" w:space="0" w:color="auto"/>
            <w:right w:val="none" w:sz="0" w:space="0" w:color="auto"/>
          </w:divBdr>
        </w:div>
        <w:div w:id="237329696">
          <w:marLeft w:val="562"/>
          <w:marRight w:val="0"/>
          <w:marTop w:val="106"/>
          <w:marBottom w:val="0"/>
          <w:divBdr>
            <w:top w:val="none" w:sz="0" w:space="0" w:color="auto"/>
            <w:left w:val="none" w:sz="0" w:space="0" w:color="auto"/>
            <w:bottom w:val="none" w:sz="0" w:space="0" w:color="auto"/>
            <w:right w:val="none" w:sz="0" w:space="0" w:color="auto"/>
          </w:divBdr>
        </w:div>
        <w:div w:id="350763024">
          <w:marLeft w:val="720"/>
          <w:marRight w:val="0"/>
          <w:marTop w:val="91"/>
          <w:marBottom w:val="0"/>
          <w:divBdr>
            <w:top w:val="none" w:sz="0" w:space="0" w:color="auto"/>
            <w:left w:val="none" w:sz="0" w:space="0" w:color="auto"/>
            <w:bottom w:val="none" w:sz="0" w:space="0" w:color="auto"/>
            <w:right w:val="none" w:sz="0" w:space="0" w:color="auto"/>
          </w:divBdr>
        </w:div>
        <w:div w:id="391737395">
          <w:marLeft w:val="720"/>
          <w:marRight w:val="0"/>
          <w:marTop w:val="91"/>
          <w:marBottom w:val="0"/>
          <w:divBdr>
            <w:top w:val="none" w:sz="0" w:space="0" w:color="auto"/>
            <w:left w:val="none" w:sz="0" w:space="0" w:color="auto"/>
            <w:bottom w:val="none" w:sz="0" w:space="0" w:color="auto"/>
            <w:right w:val="none" w:sz="0" w:space="0" w:color="auto"/>
          </w:divBdr>
        </w:div>
        <w:div w:id="1306351825">
          <w:marLeft w:val="720"/>
          <w:marRight w:val="0"/>
          <w:marTop w:val="91"/>
          <w:marBottom w:val="0"/>
          <w:divBdr>
            <w:top w:val="none" w:sz="0" w:space="0" w:color="auto"/>
            <w:left w:val="none" w:sz="0" w:space="0" w:color="auto"/>
            <w:bottom w:val="none" w:sz="0" w:space="0" w:color="auto"/>
            <w:right w:val="none" w:sz="0" w:space="0" w:color="auto"/>
          </w:divBdr>
        </w:div>
        <w:div w:id="1352758672">
          <w:marLeft w:val="720"/>
          <w:marRight w:val="0"/>
          <w:marTop w:val="91"/>
          <w:marBottom w:val="0"/>
          <w:divBdr>
            <w:top w:val="none" w:sz="0" w:space="0" w:color="auto"/>
            <w:left w:val="none" w:sz="0" w:space="0" w:color="auto"/>
            <w:bottom w:val="none" w:sz="0" w:space="0" w:color="auto"/>
            <w:right w:val="none" w:sz="0" w:space="0" w:color="auto"/>
          </w:divBdr>
        </w:div>
        <w:div w:id="1769307930">
          <w:marLeft w:val="720"/>
          <w:marRight w:val="0"/>
          <w:marTop w:val="91"/>
          <w:marBottom w:val="0"/>
          <w:divBdr>
            <w:top w:val="none" w:sz="0" w:space="0" w:color="auto"/>
            <w:left w:val="none" w:sz="0" w:space="0" w:color="auto"/>
            <w:bottom w:val="none" w:sz="0" w:space="0" w:color="auto"/>
            <w:right w:val="none" w:sz="0" w:space="0" w:color="auto"/>
          </w:divBdr>
        </w:div>
        <w:div w:id="2027369915">
          <w:marLeft w:val="720"/>
          <w:marRight w:val="0"/>
          <w:marTop w:val="91"/>
          <w:marBottom w:val="0"/>
          <w:divBdr>
            <w:top w:val="none" w:sz="0" w:space="0" w:color="auto"/>
            <w:left w:val="none" w:sz="0" w:space="0" w:color="auto"/>
            <w:bottom w:val="none" w:sz="0" w:space="0" w:color="auto"/>
            <w:right w:val="none" w:sz="0" w:space="0" w:color="auto"/>
          </w:divBdr>
        </w:div>
      </w:divsChild>
    </w:div>
    <w:div w:id="1309673712">
      <w:bodyDiv w:val="1"/>
      <w:marLeft w:val="0"/>
      <w:marRight w:val="0"/>
      <w:marTop w:val="0"/>
      <w:marBottom w:val="0"/>
      <w:divBdr>
        <w:top w:val="none" w:sz="0" w:space="0" w:color="auto"/>
        <w:left w:val="none" w:sz="0" w:space="0" w:color="auto"/>
        <w:bottom w:val="none" w:sz="0" w:space="0" w:color="auto"/>
        <w:right w:val="none" w:sz="0" w:space="0" w:color="auto"/>
      </w:divBdr>
      <w:divsChild>
        <w:div w:id="990136623">
          <w:marLeft w:val="547"/>
          <w:marRight w:val="0"/>
          <w:marTop w:val="106"/>
          <w:marBottom w:val="0"/>
          <w:divBdr>
            <w:top w:val="none" w:sz="0" w:space="0" w:color="auto"/>
            <w:left w:val="none" w:sz="0" w:space="0" w:color="auto"/>
            <w:bottom w:val="none" w:sz="0" w:space="0" w:color="auto"/>
            <w:right w:val="none" w:sz="0" w:space="0" w:color="auto"/>
          </w:divBdr>
        </w:div>
        <w:div w:id="608198613">
          <w:marLeft w:val="1166"/>
          <w:marRight w:val="0"/>
          <w:marTop w:val="106"/>
          <w:marBottom w:val="0"/>
          <w:divBdr>
            <w:top w:val="none" w:sz="0" w:space="0" w:color="auto"/>
            <w:left w:val="none" w:sz="0" w:space="0" w:color="auto"/>
            <w:bottom w:val="none" w:sz="0" w:space="0" w:color="auto"/>
            <w:right w:val="none" w:sz="0" w:space="0" w:color="auto"/>
          </w:divBdr>
        </w:div>
        <w:div w:id="1230379885">
          <w:marLeft w:val="1166"/>
          <w:marRight w:val="0"/>
          <w:marTop w:val="106"/>
          <w:marBottom w:val="0"/>
          <w:divBdr>
            <w:top w:val="none" w:sz="0" w:space="0" w:color="auto"/>
            <w:left w:val="none" w:sz="0" w:space="0" w:color="auto"/>
            <w:bottom w:val="none" w:sz="0" w:space="0" w:color="auto"/>
            <w:right w:val="none" w:sz="0" w:space="0" w:color="auto"/>
          </w:divBdr>
        </w:div>
        <w:div w:id="1368990144">
          <w:marLeft w:val="547"/>
          <w:marRight w:val="0"/>
          <w:marTop w:val="106"/>
          <w:marBottom w:val="0"/>
          <w:divBdr>
            <w:top w:val="none" w:sz="0" w:space="0" w:color="auto"/>
            <w:left w:val="none" w:sz="0" w:space="0" w:color="auto"/>
            <w:bottom w:val="none" w:sz="0" w:space="0" w:color="auto"/>
            <w:right w:val="none" w:sz="0" w:space="0" w:color="auto"/>
          </w:divBdr>
        </w:div>
        <w:div w:id="1779524211">
          <w:marLeft w:val="1166"/>
          <w:marRight w:val="0"/>
          <w:marTop w:val="106"/>
          <w:marBottom w:val="0"/>
          <w:divBdr>
            <w:top w:val="none" w:sz="0" w:space="0" w:color="auto"/>
            <w:left w:val="none" w:sz="0" w:space="0" w:color="auto"/>
            <w:bottom w:val="none" w:sz="0" w:space="0" w:color="auto"/>
            <w:right w:val="none" w:sz="0" w:space="0" w:color="auto"/>
          </w:divBdr>
        </w:div>
        <w:div w:id="897396569">
          <w:marLeft w:val="1166"/>
          <w:marRight w:val="0"/>
          <w:marTop w:val="106"/>
          <w:marBottom w:val="0"/>
          <w:divBdr>
            <w:top w:val="none" w:sz="0" w:space="0" w:color="auto"/>
            <w:left w:val="none" w:sz="0" w:space="0" w:color="auto"/>
            <w:bottom w:val="none" w:sz="0" w:space="0" w:color="auto"/>
            <w:right w:val="none" w:sz="0" w:space="0" w:color="auto"/>
          </w:divBdr>
        </w:div>
        <w:div w:id="320235853">
          <w:marLeft w:val="1166"/>
          <w:marRight w:val="0"/>
          <w:marTop w:val="106"/>
          <w:marBottom w:val="0"/>
          <w:divBdr>
            <w:top w:val="none" w:sz="0" w:space="0" w:color="auto"/>
            <w:left w:val="none" w:sz="0" w:space="0" w:color="auto"/>
            <w:bottom w:val="none" w:sz="0" w:space="0" w:color="auto"/>
            <w:right w:val="none" w:sz="0" w:space="0" w:color="auto"/>
          </w:divBdr>
        </w:div>
        <w:div w:id="129564880">
          <w:marLeft w:val="547"/>
          <w:marRight w:val="0"/>
          <w:marTop w:val="106"/>
          <w:marBottom w:val="0"/>
          <w:divBdr>
            <w:top w:val="none" w:sz="0" w:space="0" w:color="auto"/>
            <w:left w:val="none" w:sz="0" w:space="0" w:color="auto"/>
            <w:bottom w:val="none" w:sz="0" w:space="0" w:color="auto"/>
            <w:right w:val="none" w:sz="0" w:space="0" w:color="auto"/>
          </w:divBdr>
        </w:div>
        <w:div w:id="147094547">
          <w:marLeft w:val="1166"/>
          <w:marRight w:val="0"/>
          <w:marTop w:val="106"/>
          <w:marBottom w:val="0"/>
          <w:divBdr>
            <w:top w:val="none" w:sz="0" w:space="0" w:color="auto"/>
            <w:left w:val="none" w:sz="0" w:space="0" w:color="auto"/>
            <w:bottom w:val="none" w:sz="0" w:space="0" w:color="auto"/>
            <w:right w:val="none" w:sz="0" w:space="0" w:color="auto"/>
          </w:divBdr>
        </w:div>
        <w:div w:id="352415473">
          <w:marLeft w:val="1166"/>
          <w:marRight w:val="0"/>
          <w:marTop w:val="106"/>
          <w:marBottom w:val="0"/>
          <w:divBdr>
            <w:top w:val="none" w:sz="0" w:space="0" w:color="auto"/>
            <w:left w:val="none" w:sz="0" w:space="0" w:color="auto"/>
            <w:bottom w:val="none" w:sz="0" w:space="0" w:color="auto"/>
            <w:right w:val="none" w:sz="0" w:space="0" w:color="auto"/>
          </w:divBdr>
        </w:div>
      </w:divsChild>
    </w:div>
    <w:div w:id="1309699674">
      <w:bodyDiv w:val="1"/>
      <w:marLeft w:val="0"/>
      <w:marRight w:val="0"/>
      <w:marTop w:val="0"/>
      <w:marBottom w:val="0"/>
      <w:divBdr>
        <w:top w:val="none" w:sz="0" w:space="0" w:color="auto"/>
        <w:left w:val="none" w:sz="0" w:space="0" w:color="auto"/>
        <w:bottom w:val="none" w:sz="0" w:space="0" w:color="auto"/>
        <w:right w:val="none" w:sz="0" w:space="0" w:color="auto"/>
      </w:divBdr>
    </w:div>
    <w:div w:id="1318068352">
      <w:bodyDiv w:val="1"/>
      <w:marLeft w:val="0"/>
      <w:marRight w:val="0"/>
      <w:marTop w:val="0"/>
      <w:marBottom w:val="0"/>
      <w:divBdr>
        <w:top w:val="none" w:sz="0" w:space="0" w:color="auto"/>
        <w:left w:val="none" w:sz="0" w:space="0" w:color="auto"/>
        <w:bottom w:val="none" w:sz="0" w:space="0" w:color="auto"/>
        <w:right w:val="none" w:sz="0" w:space="0" w:color="auto"/>
      </w:divBdr>
    </w:div>
    <w:div w:id="1334257509">
      <w:bodyDiv w:val="1"/>
      <w:marLeft w:val="0"/>
      <w:marRight w:val="0"/>
      <w:marTop w:val="0"/>
      <w:marBottom w:val="0"/>
      <w:divBdr>
        <w:top w:val="none" w:sz="0" w:space="0" w:color="auto"/>
        <w:left w:val="none" w:sz="0" w:space="0" w:color="auto"/>
        <w:bottom w:val="none" w:sz="0" w:space="0" w:color="auto"/>
        <w:right w:val="none" w:sz="0" w:space="0" w:color="auto"/>
      </w:divBdr>
    </w:div>
    <w:div w:id="1381781933">
      <w:bodyDiv w:val="1"/>
      <w:marLeft w:val="0"/>
      <w:marRight w:val="0"/>
      <w:marTop w:val="0"/>
      <w:marBottom w:val="0"/>
      <w:divBdr>
        <w:top w:val="none" w:sz="0" w:space="0" w:color="auto"/>
        <w:left w:val="none" w:sz="0" w:space="0" w:color="auto"/>
        <w:bottom w:val="none" w:sz="0" w:space="0" w:color="auto"/>
        <w:right w:val="none" w:sz="0" w:space="0" w:color="auto"/>
      </w:divBdr>
    </w:div>
    <w:div w:id="1408503806">
      <w:bodyDiv w:val="1"/>
      <w:marLeft w:val="0"/>
      <w:marRight w:val="0"/>
      <w:marTop w:val="0"/>
      <w:marBottom w:val="0"/>
      <w:divBdr>
        <w:top w:val="none" w:sz="0" w:space="0" w:color="auto"/>
        <w:left w:val="none" w:sz="0" w:space="0" w:color="auto"/>
        <w:bottom w:val="none" w:sz="0" w:space="0" w:color="auto"/>
        <w:right w:val="none" w:sz="0" w:space="0" w:color="auto"/>
      </w:divBdr>
      <w:divsChild>
        <w:div w:id="20978679">
          <w:marLeft w:val="720"/>
          <w:marRight w:val="0"/>
          <w:marTop w:val="91"/>
          <w:marBottom w:val="0"/>
          <w:divBdr>
            <w:top w:val="none" w:sz="0" w:space="0" w:color="auto"/>
            <w:left w:val="none" w:sz="0" w:space="0" w:color="auto"/>
            <w:bottom w:val="none" w:sz="0" w:space="0" w:color="auto"/>
            <w:right w:val="none" w:sz="0" w:space="0" w:color="auto"/>
          </w:divBdr>
        </w:div>
        <w:div w:id="160196153">
          <w:marLeft w:val="720"/>
          <w:marRight w:val="0"/>
          <w:marTop w:val="91"/>
          <w:marBottom w:val="0"/>
          <w:divBdr>
            <w:top w:val="none" w:sz="0" w:space="0" w:color="auto"/>
            <w:left w:val="none" w:sz="0" w:space="0" w:color="auto"/>
            <w:bottom w:val="none" w:sz="0" w:space="0" w:color="auto"/>
            <w:right w:val="none" w:sz="0" w:space="0" w:color="auto"/>
          </w:divBdr>
        </w:div>
        <w:div w:id="243806719">
          <w:marLeft w:val="562"/>
          <w:marRight w:val="0"/>
          <w:marTop w:val="106"/>
          <w:marBottom w:val="0"/>
          <w:divBdr>
            <w:top w:val="none" w:sz="0" w:space="0" w:color="auto"/>
            <w:left w:val="none" w:sz="0" w:space="0" w:color="auto"/>
            <w:bottom w:val="none" w:sz="0" w:space="0" w:color="auto"/>
            <w:right w:val="none" w:sz="0" w:space="0" w:color="auto"/>
          </w:divBdr>
        </w:div>
        <w:div w:id="269052390">
          <w:marLeft w:val="720"/>
          <w:marRight w:val="0"/>
          <w:marTop w:val="91"/>
          <w:marBottom w:val="0"/>
          <w:divBdr>
            <w:top w:val="none" w:sz="0" w:space="0" w:color="auto"/>
            <w:left w:val="none" w:sz="0" w:space="0" w:color="auto"/>
            <w:bottom w:val="none" w:sz="0" w:space="0" w:color="auto"/>
            <w:right w:val="none" w:sz="0" w:space="0" w:color="auto"/>
          </w:divBdr>
        </w:div>
        <w:div w:id="452291901">
          <w:marLeft w:val="720"/>
          <w:marRight w:val="0"/>
          <w:marTop w:val="91"/>
          <w:marBottom w:val="0"/>
          <w:divBdr>
            <w:top w:val="none" w:sz="0" w:space="0" w:color="auto"/>
            <w:left w:val="none" w:sz="0" w:space="0" w:color="auto"/>
            <w:bottom w:val="none" w:sz="0" w:space="0" w:color="auto"/>
            <w:right w:val="none" w:sz="0" w:space="0" w:color="auto"/>
          </w:divBdr>
        </w:div>
        <w:div w:id="568005891">
          <w:marLeft w:val="720"/>
          <w:marRight w:val="0"/>
          <w:marTop w:val="91"/>
          <w:marBottom w:val="0"/>
          <w:divBdr>
            <w:top w:val="none" w:sz="0" w:space="0" w:color="auto"/>
            <w:left w:val="none" w:sz="0" w:space="0" w:color="auto"/>
            <w:bottom w:val="none" w:sz="0" w:space="0" w:color="auto"/>
            <w:right w:val="none" w:sz="0" w:space="0" w:color="auto"/>
          </w:divBdr>
        </w:div>
        <w:div w:id="648439770">
          <w:marLeft w:val="562"/>
          <w:marRight w:val="0"/>
          <w:marTop w:val="106"/>
          <w:marBottom w:val="0"/>
          <w:divBdr>
            <w:top w:val="none" w:sz="0" w:space="0" w:color="auto"/>
            <w:left w:val="none" w:sz="0" w:space="0" w:color="auto"/>
            <w:bottom w:val="none" w:sz="0" w:space="0" w:color="auto"/>
            <w:right w:val="none" w:sz="0" w:space="0" w:color="auto"/>
          </w:divBdr>
        </w:div>
        <w:div w:id="825904685">
          <w:marLeft w:val="720"/>
          <w:marRight w:val="0"/>
          <w:marTop w:val="91"/>
          <w:marBottom w:val="0"/>
          <w:divBdr>
            <w:top w:val="none" w:sz="0" w:space="0" w:color="auto"/>
            <w:left w:val="none" w:sz="0" w:space="0" w:color="auto"/>
            <w:bottom w:val="none" w:sz="0" w:space="0" w:color="auto"/>
            <w:right w:val="none" w:sz="0" w:space="0" w:color="auto"/>
          </w:divBdr>
        </w:div>
        <w:div w:id="997533676">
          <w:marLeft w:val="562"/>
          <w:marRight w:val="0"/>
          <w:marTop w:val="106"/>
          <w:marBottom w:val="0"/>
          <w:divBdr>
            <w:top w:val="none" w:sz="0" w:space="0" w:color="auto"/>
            <w:left w:val="none" w:sz="0" w:space="0" w:color="auto"/>
            <w:bottom w:val="none" w:sz="0" w:space="0" w:color="auto"/>
            <w:right w:val="none" w:sz="0" w:space="0" w:color="auto"/>
          </w:divBdr>
        </w:div>
        <w:div w:id="1102190281">
          <w:marLeft w:val="720"/>
          <w:marRight w:val="0"/>
          <w:marTop w:val="91"/>
          <w:marBottom w:val="0"/>
          <w:divBdr>
            <w:top w:val="none" w:sz="0" w:space="0" w:color="auto"/>
            <w:left w:val="none" w:sz="0" w:space="0" w:color="auto"/>
            <w:bottom w:val="none" w:sz="0" w:space="0" w:color="auto"/>
            <w:right w:val="none" w:sz="0" w:space="0" w:color="auto"/>
          </w:divBdr>
        </w:div>
        <w:div w:id="1858108346">
          <w:marLeft w:val="720"/>
          <w:marRight w:val="0"/>
          <w:marTop w:val="91"/>
          <w:marBottom w:val="0"/>
          <w:divBdr>
            <w:top w:val="none" w:sz="0" w:space="0" w:color="auto"/>
            <w:left w:val="none" w:sz="0" w:space="0" w:color="auto"/>
            <w:bottom w:val="none" w:sz="0" w:space="0" w:color="auto"/>
            <w:right w:val="none" w:sz="0" w:space="0" w:color="auto"/>
          </w:divBdr>
        </w:div>
      </w:divsChild>
    </w:div>
    <w:div w:id="1409040343">
      <w:bodyDiv w:val="1"/>
      <w:marLeft w:val="0"/>
      <w:marRight w:val="0"/>
      <w:marTop w:val="0"/>
      <w:marBottom w:val="0"/>
      <w:divBdr>
        <w:top w:val="none" w:sz="0" w:space="0" w:color="auto"/>
        <w:left w:val="none" w:sz="0" w:space="0" w:color="auto"/>
        <w:bottom w:val="none" w:sz="0" w:space="0" w:color="auto"/>
        <w:right w:val="none" w:sz="0" w:space="0" w:color="auto"/>
      </w:divBdr>
    </w:div>
    <w:div w:id="1420373410">
      <w:bodyDiv w:val="1"/>
      <w:marLeft w:val="0"/>
      <w:marRight w:val="0"/>
      <w:marTop w:val="0"/>
      <w:marBottom w:val="0"/>
      <w:divBdr>
        <w:top w:val="none" w:sz="0" w:space="0" w:color="auto"/>
        <w:left w:val="none" w:sz="0" w:space="0" w:color="auto"/>
        <w:bottom w:val="none" w:sz="0" w:space="0" w:color="auto"/>
        <w:right w:val="none" w:sz="0" w:space="0" w:color="auto"/>
      </w:divBdr>
      <w:divsChild>
        <w:div w:id="543324023">
          <w:marLeft w:val="720"/>
          <w:marRight w:val="0"/>
          <w:marTop w:val="91"/>
          <w:marBottom w:val="0"/>
          <w:divBdr>
            <w:top w:val="none" w:sz="0" w:space="0" w:color="auto"/>
            <w:left w:val="none" w:sz="0" w:space="0" w:color="auto"/>
            <w:bottom w:val="none" w:sz="0" w:space="0" w:color="auto"/>
            <w:right w:val="none" w:sz="0" w:space="0" w:color="auto"/>
          </w:divBdr>
        </w:div>
        <w:div w:id="830216043">
          <w:marLeft w:val="720"/>
          <w:marRight w:val="0"/>
          <w:marTop w:val="91"/>
          <w:marBottom w:val="0"/>
          <w:divBdr>
            <w:top w:val="none" w:sz="0" w:space="0" w:color="auto"/>
            <w:left w:val="none" w:sz="0" w:space="0" w:color="auto"/>
            <w:bottom w:val="none" w:sz="0" w:space="0" w:color="auto"/>
            <w:right w:val="none" w:sz="0" w:space="0" w:color="auto"/>
          </w:divBdr>
        </w:div>
        <w:div w:id="470711201">
          <w:marLeft w:val="720"/>
          <w:marRight w:val="0"/>
          <w:marTop w:val="91"/>
          <w:marBottom w:val="0"/>
          <w:divBdr>
            <w:top w:val="none" w:sz="0" w:space="0" w:color="auto"/>
            <w:left w:val="none" w:sz="0" w:space="0" w:color="auto"/>
            <w:bottom w:val="none" w:sz="0" w:space="0" w:color="auto"/>
            <w:right w:val="none" w:sz="0" w:space="0" w:color="auto"/>
          </w:divBdr>
        </w:div>
        <w:div w:id="1769885732">
          <w:marLeft w:val="720"/>
          <w:marRight w:val="0"/>
          <w:marTop w:val="91"/>
          <w:marBottom w:val="0"/>
          <w:divBdr>
            <w:top w:val="none" w:sz="0" w:space="0" w:color="auto"/>
            <w:left w:val="none" w:sz="0" w:space="0" w:color="auto"/>
            <w:bottom w:val="none" w:sz="0" w:space="0" w:color="auto"/>
            <w:right w:val="none" w:sz="0" w:space="0" w:color="auto"/>
          </w:divBdr>
        </w:div>
        <w:div w:id="1866598550">
          <w:marLeft w:val="720"/>
          <w:marRight w:val="0"/>
          <w:marTop w:val="91"/>
          <w:marBottom w:val="0"/>
          <w:divBdr>
            <w:top w:val="none" w:sz="0" w:space="0" w:color="auto"/>
            <w:left w:val="none" w:sz="0" w:space="0" w:color="auto"/>
            <w:bottom w:val="none" w:sz="0" w:space="0" w:color="auto"/>
            <w:right w:val="none" w:sz="0" w:space="0" w:color="auto"/>
          </w:divBdr>
        </w:div>
        <w:div w:id="489520824">
          <w:marLeft w:val="720"/>
          <w:marRight w:val="0"/>
          <w:marTop w:val="91"/>
          <w:marBottom w:val="0"/>
          <w:divBdr>
            <w:top w:val="none" w:sz="0" w:space="0" w:color="auto"/>
            <w:left w:val="none" w:sz="0" w:space="0" w:color="auto"/>
            <w:bottom w:val="none" w:sz="0" w:space="0" w:color="auto"/>
            <w:right w:val="none" w:sz="0" w:space="0" w:color="auto"/>
          </w:divBdr>
        </w:div>
        <w:div w:id="541282763">
          <w:marLeft w:val="1152"/>
          <w:marRight w:val="0"/>
          <w:marTop w:val="82"/>
          <w:marBottom w:val="0"/>
          <w:divBdr>
            <w:top w:val="none" w:sz="0" w:space="0" w:color="auto"/>
            <w:left w:val="none" w:sz="0" w:space="0" w:color="auto"/>
            <w:bottom w:val="none" w:sz="0" w:space="0" w:color="auto"/>
            <w:right w:val="none" w:sz="0" w:space="0" w:color="auto"/>
          </w:divBdr>
        </w:div>
        <w:div w:id="1958293823">
          <w:marLeft w:val="1152"/>
          <w:marRight w:val="0"/>
          <w:marTop w:val="82"/>
          <w:marBottom w:val="0"/>
          <w:divBdr>
            <w:top w:val="none" w:sz="0" w:space="0" w:color="auto"/>
            <w:left w:val="none" w:sz="0" w:space="0" w:color="auto"/>
            <w:bottom w:val="none" w:sz="0" w:space="0" w:color="auto"/>
            <w:right w:val="none" w:sz="0" w:space="0" w:color="auto"/>
          </w:divBdr>
        </w:div>
        <w:div w:id="1748961046">
          <w:marLeft w:val="1152"/>
          <w:marRight w:val="0"/>
          <w:marTop w:val="82"/>
          <w:marBottom w:val="0"/>
          <w:divBdr>
            <w:top w:val="none" w:sz="0" w:space="0" w:color="auto"/>
            <w:left w:val="none" w:sz="0" w:space="0" w:color="auto"/>
            <w:bottom w:val="none" w:sz="0" w:space="0" w:color="auto"/>
            <w:right w:val="none" w:sz="0" w:space="0" w:color="auto"/>
          </w:divBdr>
        </w:div>
        <w:div w:id="1991980275">
          <w:marLeft w:val="720"/>
          <w:marRight w:val="0"/>
          <w:marTop w:val="91"/>
          <w:marBottom w:val="0"/>
          <w:divBdr>
            <w:top w:val="none" w:sz="0" w:space="0" w:color="auto"/>
            <w:left w:val="none" w:sz="0" w:space="0" w:color="auto"/>
            <w:bottom w:val="none" w:sz="0" w:space="0" w:color="auto"/>
            <w:right w:val="none" w:sz="0" w:space="0" w:color="auto"/>
          </w:divBdr>
        </w:div>
      </w:divsChild>
    </w:div>
    <w:div w:id="1421097184">
      <w:bodyDiv w:val="1"/>
      <w:marLeft w:val="0"/>
      <w:marRight w:val="0"/>
      <w:marTop w:val="0"/>
      <w:marBottom w:val="0"/>
      <w:divBdr>
        <w:top w:val="none" w:sz="0" w:space="0" w:color="auto"/>
        <w:left w:val="none" w:sz="0" w:space="0" w:color="auto"/>
        <w:bottom w:val="none" w:sz="0" w:space="0" w:color="auto"/>
        <w:right w:val="none" w:sz="0" w:space="0" w:color="auto"/>
      </w:divBdr>
    </w:div>
    <w:div w:id="1424954247">
      <w:bodyDiv w:val="1"/>
      <w:marLeft w:val="0"/>
      <w:marRight w:val="0"/>
      <w:marTop w:val="0"/>
      <w:marBottom w:val="0"/>
      <w:divBdr>
        <w:top w:val="none" w:sz="0" w:space="0" w:color="auto"/>
        <w:left w:val="none" w:sz="0" w:space="0" w:color="auto"/>
        <w:bottom w:val="none" w:sz="0" w:space="0" w:color="auto"/>
        <w:right w:val="none" w:sz="0" w:space="0" w:color="auto"/>
      </w:divBdr>
    </w:div>
    <w:div w:id="1430732551">
      <w:bodyDiv w:val="1"/>
      <w:marLeft w:val="0"/>
      <w:marRight w:val="0"/>
      <w:marTop w:val="0"/>
      <w:marBottom w:val="0"/>
      <w:divBdr>
        <w:top w:val="none" w:sz="0" w:space="0" w:color="auto"/>
        <w:left w:val="none" w:sz="0" w:space="0" w:color="auto"/>
        <w:bottom w:val="none" w:sz="0" w:space="0" w:color="auto"/>
        <w:right w:val="none" w:sz="0" w:space="0" w:color="auto"/>
      </w:divBdr>
      <w:divsChild>
        <w:div w:id="30691359">
          <w:marLeft w:val="562"/>
          <w:marRight w:val="0"/>
          <w:marTop w:val="115"/>
          <w:marBottom w:val="0"/>
          <w:divBdr>
            <w:top w:val="none" w:sz="0" w:space="0" w:color="auto"/>
            <w:left w:val="none" w:sz="0" w:space="0" w:color="auto"/>
            <w:bottom w:val="none" w:sz="0" w:space="0" w:color="auto"/>
            <w:right w:val="none" w:sz="0" w:space="0" w:color="auto"/>
          </w:divBdr>
        </w:div>
        <w:div w:id="449399158">
          <w:marLeft w:val="720"/>
          <w:marRight w:val="0"/>
          <w:marTop w:val="96"/>
          <w:marBottom w:val="0"/>
          <w:divBdr>
            <w:top w:val="none" w:sz="0" w:space="0" w:color="auto"/>
            <w:left w:val="none" w:sz="0" w:space="0" w:color="auto"/>
            <w:bottom w:val="none" w:sz="0" w:space="0" w:color="auto"/>
            <w:right w:val="none" w:sz="0" w:space="0" w:color="auto"/>
          </w:divBdr>
        </w:div>
        <w:div w:id="1104112976">
          <w:marLeft w:val="720"/>
          <w:marRight w:val="0"/>
          <w:marTop w:val="96"/>
          <w:marBottom w:val="0"/>
          <w:divBdr>
            <w:top w:val="none" w:sz="0" w:space="0" w:color="auto"/>
            <w:left w:val="none" w:sz="0" w:space="0" w:color="auto"/>
            <w:bottom w:val="none" w:sz="0" w:space="0" w:color="auto"/>
            <w:right w:val="none" w:sz="0" w:space="0" w:color="auto"/>
          </w:divBdr>
        </w:div>
        <w:div w:id="2091270911">
          <w:marLeft w:val="562"/>
          <w:marRight w:val="0"/>
          <w:marTop w:val="115"/>
          <w:marBottom w:val="0"/>
          <w:divBdr>
            <w:top w:val="none" w:sz="0" w:space="0" w:color="auto"/>
            <w:left w:val="none" w:sz="0" w:space="0" w:color="auto"/>
            <w:bottom w:val="none" w:sz="0" w:space="0" w:color="auto"/>
            <w:right w:val="none" w:sz="0" w:space="0" w:color="auto"/>
          </w:divBdr>
        </w:div>
      </w:divsChild>
    </w:div>
    <w:div w:id="1430808649">
      <w:bodyDiv w:val="1"/>
      <w:marLeft w:val="0"/>
      <w:marRight w:val="0"/>
      <w:marTop w:val="0"/>
      <w:marBottom w:val="0"/>
      <w:divBdr>
        <w:top w:val="none" w:sz="0" w:space="0" w:color="auto"/>
        <w:left w:val="none" w:sz="0" w:space="0" w:color="auto"/>
        <w:bottom w:val="none" w:sz="0" w:space="0" w:color="auto"/>
        <w:right w:val="none" w:sz="0" w:space="0" w:color="auto"/>
      </w:divBdr>
      <w:divsChild>
        <w:div w:id="302318704">
          <w:marLeft w:val="720"/>
          <w:marRight w:val="0"/>
          <w:marTop w:val="67"/>
          <w:marBottom w:val="0"/>
          <w:divBdr>
            <w:top w:val="none" w:sz="0" w:space="0" w:color="auto"/>
            <w:left w:val="none" w:sz="0" w:space="0" w:color="auto"/>
            <w:bottom w:val="none" w:sz="0" w:space="0" w:color="auto"/>
            <w:right w:val="none" w:sz="0" w:space="0" w:color="auto"/>
          </w:divBdr>
        </w:div>
        <w:div w:id="1629506526">
          <w:marLeft w:val="720"/>
          <w:marRight w:val="0"/>
          <w:marTop w:val="67"/>
          <w:marBottom w:val="0"/>
          <w:divBdr>
            <w:top w:val="none" w:sz="0" w:space="0" w:color="auto"/>
            <w:left w:val="none" w:sz="0" w:space="0" w:color="auto"/>
            <w:bottom w:val="none" w:sz="0" w:space="0" w:color="auto"/>
            <w:right w:val="none" w:sz="0" w:space="0" w:color="auto"/>
          </w:divBdr>
        </w:div>
        <w:div w:id="2068801954">
          <w:marLeft w:val="1152"/>
          <w:marRight w:val="0"/>
          <w:marTop w:val="62"/>
          <w:marBottom w:val="0"/>
          <w:divBdr>
            <w:top w:val="none" w:sz="0" w:space="0" w:color="auto"/>
            <w:left w:val="none" w:sz="0" w:space="0" w:color="auto"/>
            <w:bottom w:val="none" w:sz="0" w:space="0" w:color="auto"/>
            <w:right w:val="none" w:sz="0" w:space="0" w:color="auto"/>
          </w:divBdr>
        </w:div>
        <w:div w:id="1772316727">
          <w:marLeft w:val="1152"/>
          <w:marRight w:val="0"/>
          <w:marTop w:val="62"/>
          <w:marBottom w:val="0"/>
          <w:divBdr>
            <w:top w:val="none" w:sz="0" w:space="0" w:color="auto"/>
            <w:left w:val="none" w:sz="0" w:space="0" w:color="auto"/>
            <w:bottom w:val="none" w:sz="0" w:space="0" w:color="auto"/>
            <w:right w:val="none" w:sz="0" w:space="0" w:color="auto"/>
          </w:divBdr>
        </w:div>
        <w:div w:id="646016417">
          <w:marLeft w:val="1152"/>
          <w:marRight w:val="0"/>
          <w:marTop w:val="62"/>
          <w:marBottom w:val="0"/>
          <w:divBdr>
            <w:top w:val="none" w:sz="0" w:space="0" w:color="auto"/>
            <w:left w:val="none" w:sz="0" w:space="0" w:color="auto"/>
            <w:bottom w:val="none" w:sz="0" w:space="0" w:color="auto"/>
            <w:right w:val="none" w:sz="0" w:space="0" w:color="auto"/>
          </w:divBdr>
        </w:div>
        <w:div w:id="2090879131">
          <w:marLeft w:val="1152"/>
          <w:marRight w:val="0"/>
          <w:marTop w:val="62"/>
          <w:marBottom w:val="0"/>
          <w:divBdr>
            <w:top w:val="none" w:sz="0" w:space="0" w:color="auto"/>
            <w:left w:val="none" w:sz="0" w:space="0" w:color="auto"/>
            <w:bottom w:val="none" w:sz="0" w:space="0" w:color="auto"/>
            <w:right w:val="none" w:sz="0" w:space="0" w:color="auto"/>
          </w:divBdr>
        </w:div>
        <w:div w:id="1120799729">
          <w:marLeft w:val="1152"/>
          <w:marRight w:val="0"/>
          <w:marTop w:val="62"/>
          <w:marBottom w:val="0"/>
          <w:divBdr>
            <w:top w:val="none" w:sz="0" w:space="0" w:color="auto"/>
            <w:left w:val="none" w:sz="0" w:space="0" w:color="auto"/>
            <w:bottom w:val="none" w:sz="0" w:space="0" w:color="auto"/>
            <w:right w:val="none" w:sz="0" w:space="0" w:color="auto"/>
          </w:divBdr>
        </w:div>
        <w:div w:id="1452744040">
          <w:marLeft w:val="720"/>
          <w:marRight w:val="0"/>
          <w:marTop w:val="67"/>
          <w:marBottom w:val="0"/>
          <w:divBdr>
            <w:top w:val="none" w:sz="0" w:space="0" w:color="auto"/>
            <w:left w:val="none" w:sz="0" w:space="0" w:color="auto"/>
            <w:bottom w:val="none" w:sz="0" w:space="0" w:color="auto"/>
            <w:right w:val="none" w:sz="0" w:space="0" w:color="auto"/>
          </w:divBdr>
        </w:div>
        <w:div w:id="1298490934">
          <w:marLeft w:val="720"/>
          <w:marRight w:val="0"/>
          <w:marTop w:val="67"/>
          <w:marBottom w:val="0"/>
          <w:divBdr>
            <w:top w:val="none" w:sz="0" w:space="0" w:color="auto"/>
            <w:left w:val="none" w:sz="0" w:space="0" w:color="auto"/>
            <w:bottom w:val="none" w:sz="0" w:space="0" w:color="auto"/>
            <w:right w:val="none" w:sz="0" w:space="0" w:color="auto"/>
          </w:divBdr>
        </w:div>
        <w:div w:id="1380745164">
          <w:marLeft w:val="1152"/>
          <w:marRight w:val="0"/>
          <w:marTop w:val="62"/>
          <w:marBottom w:val="0"/>
          <w:divBdr>
            <w:top w:val="none" w:sz="0" w:space="0" w:color="auto"/>
            <w:left w:val="none" w:sz="0" w:space="0" w:color="auto"/>
            <w:bottom w:val="none" w:sz="0" w:space="0" w:color="auto"/>
            <w:right w:val="none" w:sz="0" w:space="0" w:color="auto"/>
          </w:divBdr>
        </w:div>
        <w:div w:id="1827744946">
          <w:marLeft w:val="1152"/>
          <w:marRight w:val="0"/>
          <w:marTop w:val="62"/>
          <w:marBottom w:val="0"/>
          <w:divBdr>
            <w:top w:val="none" w:sz="0" w:space="0" w:color="auto"/>
            <w:left w:val="none" w:sz="0" w:space="0" w:color="auto"/>
            <w:bottom w:val="none" w:sz="0" w:space="0" w:color="auto"/>
            <w:right w:val="none" w:sz="0" w:space="0" w:color="auto"/>
          </w:divBdr>
        </w:div>
        <w:div w:id="53816770">
          <w:marLeft w:val="1152"/>
          <w:marRight w:val="0"/>
          <w:marTop w:val="62"/>
          <w:marBottom w:val="0"/>
          <w:divBdr>
            <w:top w:val="none" w:sz="0" w:space="0" w:color="auto"/>
            <w:left w:val="none" w:sz="0" w:space="0" w:color="auto"/>
            <w:bottom w:val="none" w:sz="0" w:space="0" w:color="auto"/>
            <w:right w:val="none" w:sz="0" w:space="0" w:color="auto"/>
          </w:divBdr>
        </w:div>
        <w:div w:id="1639845973">
          <w:marLeft w:val="1152"/>
          <w:marRight w:val="0"/>
          <w:marTop w:val="62"/>
          <w:marBottom w:val="0"/>
          <w:divBdr>
            <w:top w:val="none" w:sz="0" w:space="0" w:color="auto"/>
            <w:left w:val="none" w:sz="0" w:space="0" w:color="auto"/>
            <w:bottom w:val="none" w:sz="0" w:space="0" w:color="auto"/>
            <w:right w:val="none" w:sz="0" w:space="0" w:color="auto"/>
          </w:divBdr>
        </w:div>
        <w:div w:id="1609658499">
          <w:marLeft w:val="720"/>
          <w:marRight w:val="0"/>
          <w:marTop w:val="67"/>
          <w:marBottom w:val="0"/>
          <w:divBdr>
            <w:top w:val="none" w:sz="0" w:space="0" w:color="auto"/>
            <w:left w:val="none" w:sz="0" w:space="0" w:color="auto"/>
            <w:bottom w:val="none" w:sz="0" w:space="0" w:color="auto"/>
            <w:right w:val="none" w:sz="0" w:space="0" w:color="auto"/>
          </w:divBdr>
        </w:div>
        <w:div w:id="1361007809">
          <w:marLeft w:val="720"/>
          <w:marRight w:val="0"/>
          <w:marTop w:val="67"/>
          <w:marBottom w:val="0"/>
          <w:divBdr>
            <w:top w:val="none" w:sz="0" w:space="0" w:color="auto"/>
            <w:left w:val="none" w:sz="0" w:space="0" w:color="auto"/>
            <w:bottom w:val="none" w:sz="0" w:space="0" w:color="auto"/>
            <w:right w:val="none" w:sz="0" w:space="0" w:color="auto"/>
          </w:divBdr>
        </w:div>
        <w:div w:id="1368876608">
          <w:marLeft w:val="720"/>
          <w:marRight w:val="0"/>
          <w:marTop w:val="67"/>
          <w:marBottom w:val="0"/>
          <w:divBdr>
            <w:top w:val="none" w:sz="0" w:space="0" w:color="auto"/>
            <w:left w:val="none" w:sz="0" w:space="0" w:color="auto"/>
            <w:bottom w:val="none" w:sz="0" w:space="0" w:color="auto"/>
            <w:right w:val="none" w:sz="0" w:space="0" w:color="auto"/>
          </w:divBdr>
        </w:div>
      </w:divsChild>
    </w:div>
    <w:div w:id="1436250177">
      <w:bodyDiv w:val="1"/>
      <w:marLeft w:val="0"/>
      <w:marRight w:val="0"/>
      <w:marTop w:val="0"/>
      <w:marBottom w:val="0"/>
      <w:divBdr>
        <w:top w:val="none" w:sz="0" w:space="0" w:color="auto"/>
        <w:left w:val="none" w:sz="0" w:space="0" w:color="auto"/>
        <w:bottom w:val="none" w:sz="0" w:space="0" w:color="auto"/>
        <w:right w:val="none" w:sz="0" w:space="0" w:color="auto"/>
      </w:divBdr>
    </w:div>
    <w:div w:id="1437291611">
      <w:bodyDiv w:val="1"/>
      <w:marLeft w:val="0"/>
      <w:marRight w:val="0"/>
      <w:marTop w:val="0"/>
      <w:marBottom w:val="0"/>
      <w:divBdr>
        <w:top w:val="none" w:sz="0" w:space="0" w:color="auto"/>
        <w:left w:val="none" w:sz="0" w:space="0" w:color="auto"/>
        <w:bottom w:val="none" w:sz="0" w:space="0" w:color="auto"/>
        <w:right w:val="none" w:sz="0" w:space="0" w:color="auto"/>
      </w:divBdr>
      <w:divsChild>
        <w:div w:id="313265033">
          <w:marLeft w:val="562"/>
          <w:marRight w:val="0"/>
          <w:marTop w:val="96"/>
          <w:marBottom w:val="0"/>
          <w:divBdr>
            <w:top w:val="none" w:sz="0" w:space="0" w:color="auto"/>
            <w:left w:val="none" w:sz="0" w:space="0" w:color="auto"/>
            <w:bottom w:val="none" w:sz="0" w:space="0" w:color="auto"/>
            <w:right w:val="none" w:sz="0" w:space="0" w:color="auto"/>
          </w:divBdr>
        </w:div>
        <w:div w:id="756366462">
          <w:marLeft w:val="720"/>
          <w:marRight w:val="0"/>
          <w:marTop w:val="82"/>
          <w:marBottom w:val="0"/>
          <w:divBdr>
            <w:top w:val="none" w:sz="0" w:space="0" w:color="auto"/>
            <w:left w:val="none" w:sz="0" w:space="0" w:color="auto"/>
            <w:bottom w:val="none" w:sz="0" w:space="0" w:color="auto"/>
            <w:right w:val="none" w:sz="0" w:space="0" w:color="auto"/>
          </w:divBdr>
        </w:div>
        <w:div w:id="983463377">
          <w:marLeft w:val="562"/>
          <w:marRight w:val="0"/>
          <w:marTop w:val="96"/>
          <w:marBottom w:val="0"/>
          <w:divBdr>
            <w:top w:val="none" w:sz="0" w:space="0" w:color="auto"/>
            <w:left w:val="none" w:sz="0" w:space="0" w:color="auto"/>
            <w:bottom w:val="none" w:sz="0" w:space="0" w:color="auto"/>
            <w:right w:val="none" w:sz="0" w:space="0" w:color="auto"/>
          </w:divBdr>
        </w:div>
        <w:div w:id="996154843">
          <w:marLeft w:val="562"/>
          <w:marRight w:val="0"/>
          <w:marTop w:val="96"/>
          <w:marBottom w:val="0"/>
          <w:divBdr>
            <w:top w:val="none" w:sz="0" w:space="0" w:color="auto"/>
            <w:left w:val="none" w:sz="0" w:space="0" w:color="auto"/>
            <w:bottom w:val="none" w:sz="0" w:space="0" w:color="auto"/>
            <w:right w:val="none" w:sz="0" w:space="0" w:color="auto"/>
          </w:divBdr>
        </w:div>
        <w:div w:id="1218468395">
          <w:marLeft w:val="720"/>
          <w:marRight w:val="0"/>
          <w:marTop w:val="82"/>
          <w:marBottom w:val="0"/>
          <w:divBdr>
            <w:top w:val="none" w:sz="0" w:space="0" w:color="auto"/>
            <w:left w:val="none" w:sz="0" w:space="0" w:color="auto"/>
            <w:bottom w:val="none" w:sz="0" w:space="0" w:color="auto"/>
            <w:right w:val="none" w:sz="0" w:space="0" w:color="auto"/>
          </w:divBdr>
        </w:div>
        <w:div w:id="1221403536">
          <w:marLeft w:val="562"/>
          <w:marRight w:val="0"/>
          <w:marTop w:val="96"/>
          <w:marBottom w:val="0"/>
          <w:divBdr>
            <w:top w:val="none" w:sz="0" w:space="0" w:color="auto"/>
            <w:left w:val="none" w:sz="0" w:space="0" w:color="auto"/>
            <w:bottom w:val="none" w:sz="0" w:space="0" w:color="auto"/>
            <w:right w:val="none" w:sz="0" w:space="0" w:color="auto"/>
          </w:divBdr>
        </w:div>
        <w:div w:id="1234268503">
          <w:marLeft w:val="562"/>
          <w:marRight w:val="0"/>
          <w:marTop w:val="96"/>
          <w:marBottom w:val="0"/>
          <w:divBdr>
            <w:top w:val="none" w:sz="0" w:space="0" w:color="auto"/>
            <w:left w:val="none" w:sz="0" w:space="0" w:color="auto"/>
            <w:bottom w:val="none" w:sz="0" w:space="0" w:color="auto"/>
            <w:right w:val="none" w:sz="0" w:space="0" w:color="auto"/>
          </w:divBdr>
        </w:div>
        <w:div w:id="1307662341">
          <w:marLeft w:val="562"/>
          <w:marRight w:val="0"/>
          <w:marTop w:val="96"/>
          <w:marBottom w:val="0"/>
          <w:divBdr>
            <w:top w:val="none" w:sz="0" w:space="0" w:color="auto"/>
            <w:left w:val="none" w:sz="0" w:space="0" w:color="auto"/>
            <w:bottom w:val="none" w:sz="0" w:space="0" w:color="auto"/>
            <w:right w:val="none" w:sz="0" w:space="0" w:color="auto"/>
          </w:divBdr>
        </w:div>
        <w:div w:id="1860584656">
          <w:marLeft w:val="720"/>
          <w:marRight w:val="0"/>
          <w:marTop w:val="82"/>
          <w:marBottom w:val="0"/>
          <w:divBdr>
            <w:top w:val="none" w:sz="0" w:space="0" w:color="auto"/>
            <w:left w:val="none" w:sz="0" w:space="0" w:color="auto"/>
            <w:bottom w:val="none" w:sz="0" w:space="0" w:color="auto"/>
            <w:right w:val="none" w:sz="0" w:space="0" w:color="auto"/>
          </w:divBdr>
        </w:div>
      </w:divsChild>
    </w:div>
    <w:div w:id="1441341154">
      <w:bodyDiv w:val="1"/>
      <w:marLeft w:val="0"/>
      <w:marRight w:val="0"/>
      <w:marTop w:val="0"/>
      <w:marBottom w:val="0"/>
      <w:divBdr>
        <w:top w:val="none" w:sz="0" w:space="0" w:color="auto"/>
        <w:left w:val="none" w:sz="0" w:space="0" w:color="auto"/>
        <w:bottom w:val="none" w:sz="0" w:space="0" w:color="auto"/>
        <w:right w:val="none" w:sz="0" w:space="0" w:color="auto"/>
      </w:divBdr>
      <w:divsChild>
        <w:div w:id="426392016">
          <w:marLeft w:val="562"/>
          <w:marRight w:val="0"/>
          <w:marTop w:val="96"/>
          <w:marBottom w:val="0"/>
          <w:divBdr>
            <w:top w:val="none" w:sz="0" w:space="0" w:color="auto"/>
            <w:left w:val="none" w:sz="0" w:space="0" w:color="auto"/>
            <w:bottom w:val="none" w:sz="0" w:space="0" w:color="auto"/>
            <w:right w:val="none" w:sz="0" w:space="0" w:color="auto"/>
          </w:divBdr>
        </w:div>
        <w:div w:id="529103487">
          <w:marLeft w:val="720"/>
          <w:marRight w:val="0"/>
          <w:marTop w:val="82"/>
          <w:marBottom w:val="0"/>
          <w:divBdr>
            <w:top w:val="none" w:sz="0" w:space="0" w:color="auto"/>
            <w:left w:val="none" w:sz="0" w:space="0" w:color="auto"/>
            <w:bottom w:val="none" w:sz="0" w:space="0" w:color="auto"/>
            <w:right w:val="none" w:sz="0" w:space="0" w:color="auto"/>
          </w:divBdr>
        </w:div>
        <w:div w:id="856232363">
          <w:marLeft w:val="720"/>
          <w:marRight w:val="0"/>
          <w:marTop w:val="82"/>
          <w:marBottom w:val="0"/>
          <w:divBdr>
            <w:top w:val="none" w:sz="0" w:space="0" w:color="auto"/>
            <w:left w:val="none" w:sz="0" w:space="0" w:color="auto"/>
            <w:bottom w:val="none" w:sz="0" w:space="0" w:color="auto"/>
            <w:right w:val="none" w:sz="0" w:space="0" w:color="auto"/>
          </w:divBdr>
        </w:div>
        <w:div w:id="846094362">
          <w:marLeft w:val="720"/>
          <w:marRight w:val="0"/>
          <w:marTop w:val="82"/>
          <w:marBottom w:val="0"/>
          <w:divBdr>
            <w:top w:val="none" w:sz="0" w:space="0" w:color="auto"/>
            <w:left w:val="none" w:sz="0" w:space="0" w:color="auto"/>
            <w:bottom w:val="none" w:sz="0" w:space="0" w:color="auto"/>
            <w:right w:val="none" w:sz="0" w:space="0" w:color="auto"/>
          </w:divBdr>
        </w:div>
        <w:div w:id="1889956674">
          <w:marLeft w:val="562"/>
          <w:marRight w:val="0"/>
          <w:marTop w:val="96"/>
          <w:marBottom w:val="0"/>
          <w:divBdr>
            <w:top w:val="none" w:sz="0" w:space="0" w:color="auto"/>
            <w:left w:val="none" w:sz="0" w:space="0" w:color="auto"/>
            <w:bottom w:val="none" w:sz="0" w:space="0" w:color="auto"/>
            <w:right w:val="none" w:sz="0" w:space="0" w:color="auto"/>
          </w:divBdr>
        </w:div>
        <w:div w:id="1513103052">
          <w:marLeft w:val="720"/>
          <w:marRight w:val="0"/>
          <w:marTop w:val="82"/>
          <w:marBottom w:val="0"/>
          <w:divBdr>
            <w:top w:val="none" w:sz="0" w:space="0" w:color="auto"/>
            <w:left w:val="none" w:sz="0" w:space="0" w:color="auto"/>
            <w:bottom w:val="none" w:sz="0" w:space="0" w:color="auto"/>
            <w:right w:val="none" w:sz="0" w:space="0" w:color="auto"/>
          </w:divBdr>
        </w:div>
        <w:div w:id="1356544778">
          <w:marLeft w:val="720"/>
          <w:marRight w:val="0"/>
          <w:marTop w:val="82"/>
          <w:marBottom w:val="0"/>
          <w:divBdr>
            <w:top w:val="none" w:sz="0" w:space="0" w:color="auto"/>
            <w:left w:val="none" w:sz="0" w:space="0" w:color="auto"/>
            <w:bottom w:val="none" w:sz="0" w:space="0" w:color="auto"/>
            <w:right w:val="none" w:sz="0" w:space="0" w:color="auto"/>
          </w:divBdr>
        </w:div>
        <w:div w:id="1633098717">
          <w:marLeft w:val="562"/>
          <w:marRight w:val="0"/>
          <w:marTop w:val="96"/>
          <w:marBottom w:val="0"/>
          <w:divBdr>
            <w:top w:val="none" w:sz="0" w:space="0" w:color="auto"/>
            <w:left w:val="none" w:sz="0" w:space="0" w:color="auto"/>
            <w:bottom w:val="none" w:sz="0" w:space="0" w:color="auto"/>
            <w:right w:val="none" w:sz="0" w:space="0" w:color="auto"/>
          </w:divBdr>
        </w:div>
        <w:div w:id="2070952853">
          <w:marLeft w:val="720"/>
          <w:marRight w:val="0"/>
          <w:marTop w:val="82"/>
          <w:marBottom w:val="0"/>
          <w:divBdr>
            <w:top w:val="none" w:sz="0" w:space="0" w:color="auto"/>
            <w:left w:val="none" w:sz="0" w:space="0" w:color="auto"/>
            <w:bottom w:val="none" w:sz="0" w:space="0" w:color="auto"/>
            <w:right w:val="none" w:sz="0" w:space="0" w:color="auto"/>
          </w:divBdr>
        </w:div>
        <w:div w:id="418909694">
          <w:marLeft w:val="720"/>
          <w:marRight w:val="0"/>
          <w:marTop w:val="82"/>
          <w:marBottom w:val="0"/>
          <w:divBdr>
            <w:top w:val="none" w:sz="0" w:space="0" w:color="auto"/>
            <w:left w:val="none" w:sz="0" w:space="0" w:color="auto"/>
            <w:bottom w:val="none" w:sz="0" w:space="0" w:color="auto"/>
            <w:right w:val="none" w:sz="0" w:space="0" w:color="auto"/>
          </w:divBdr>
        </w:div>
        <w:div w:id="1248729305">
          <w:marLeft w:val="720"/>
          <w:marRight w:val="0"/>
          <w:marTop w:val="82"/>
          <w:marBottom w:val="0"/>
          <w:divBdr>
            <w:top w:val="none" w:sz="0" w:space="0" w:color="auto"/>
            <w:left w:val="none" w:sz="0" w:space="0" w:color="auto"/>
            <w:bottom w:val="none" w:sz="0" w:space="0" w:color="auto"/>
            <w:right w:val="none" w:sz="0" w:space="0" w:color="auto"/>
          </w:divBdr>
        </w:div>
      </w:divsChild>
    </w:div>
    <w:div w:id="1442913477">
      <w:bodyDiv w:val="1"/>
      <w:marLeft w:val="0"/>
      <w:marRight w:val="0"/>
      <w:marTop w:val="0"/>
      <w:marBottom w:val="0"/>
      <w:divBdr>
        <w:top w:val="none" w:sz="0" w:space="0" w:color="auto"/>
        <w:left w:val="none" w:sz="0" w:space="0" w:color="auto"/>
        <w:bottom w:val="none" w:sz="0" w:space="0" w:color="auto"/>
        <w:right w:val="none" w:sz="0" w:space="0" w:color="auto"/>
      </w:divBdr>
      <w:divsChild>
        <w:div w:id="288512438">
          <w:marLeft w:val="1166"/>
          <w:marRight w:val="0"/>
          <w:marTop w:val="96"/>
          <w:marBottom w:val="0"/>
          <w:divBdr>
            <w:top w:val="none" w:sz="0" w:space="0" w:color="auto"/>
            <w:left w:val="none" w:sz="0" w:space="0" w:color="auto"/>
            <w:bottom w:val="none" w:sz="0" w:space="0" w:color="auto"/>
            <w:right w:val="none" w:sz="0" w:space="0" w:color="auto"/>
          </w:divBdr>
        </w:div>
        <w:div w:id="625502049">
          <w:marLeft w:val="1800"/>
          <w:marRight w:val="0"/>
          <w:marTop w:val="96"/>
          <w:marBottom w:val="0"/>
          <w:divBdr>
            <w:top w:val="none" w:sz="0" w:space="0" w:color="auto"/>
            <w:left w:val="none" w:sz="0" w:space="0" w:color="auto"/>
            <w:bottom w:val="none" w:sz="0" w:space="0" w:color="auto"/>
            <w:right w:val="none" w:sz="0" w:space="0" w:color="auto"/>
          </w:divBdr>
        </w:div>
        <w:div w:id="897278828">
          <w:marLeft w:val="547"/>
          <w:marRight w:val="0"/>
          <w:marTop w:val="115"/>
          <w:marBottom w:val="0"/>
          <w:divBdr>
            <w:top w:val="none" w:sz="0" w:space="0" w:color="auto"/>
            <w:left w:val="none" w:sz="0" w:space="0" w:color="auto"/>
            <w:bottom w:val="none" w:sz="0" w:space="0" w:color="auto"/>
            <w:right w:val="none" w:sz="0" w:space="0" w:color="auto"/>
          </w:divBdr>
        </w:div>
        <w:div w:id="926227072">
          <w:marLeft w:val="1166"/>
          <w:marRight w:val="0"/>
          <w:marTop w:val="96"/>
          <w:marBottom w:val="0"/>
          <w:divBdr>
            <w:top w:val="none" w:sz="0" w:space="0" w:color="auto"/>
            <w:left w:val="none" w:sz="0" w:space="0" w:color="auto"/>
            <w:bottom w:val="none" w:sz="0" w:space="0" w:color="auto"/>
            <w:right w:val="none" w:sz="0" w:space="0" w:color="auto"/>
          </w:divBdr>
        </w:div>
        <w:div w:id="941451884">
          <w:marLeft w:val="1166"/>
          <w:marRight w:val="0"/>
          <w:marTop w:val="96"/>
          <w:marBottom w:val="0"/>
          <w:divBdr>
            <w:top w:val="none" w:sz="0" w:space="0" w:color="auto"/>
            <w:left w:val="none" w:sz="0" w:space="0" w:color="auto"/>
            <w:bottom w:val="none" w:sz="0" w:space="0" w:color="auto"/>
            <w:right w:val="none" w:sz="0" w:space="0" w:color="auto"/>
          </w:divBdr>
        </w:div>
        <w:div w:id="1814057257">
          <w:marLeft w:val="1800"/>
          <w:marRight w:val="0"/>
          <w:marTop w:val="96"/>
          <w:marBottom w:val="0"/>
          <w:divBdr>
            <w:top w:val="none" w:sz="0" w:space="0" w:color="auto"/>
            <w:left w:val="none" w:sz="0" w:space="0" w:color="auto"/>
            <w:bottom w:val="none" w:sz="0" w:space="0" w:color="auto"/>
            <w:right w:val="none" w:sz="0" w:space="0" w:color="auto"/>
          </w:divBdr>
        </w:div>
        <w:div w:id="1977485987">
          <w:marLeft w:val="1800"/>
          <w:marRight w:val="0"/>
          <w:marTop w:val="96"/>
          <w:marBottom w:val="0"/>
          <w:divBdr>
            <w:top w:val="none" w:sz="0" w:space="0" w:color="auto"/>
            <w:left w:val="none" w:sz="0" w:space="0" w:color="auto"/>
            <w:bottom w:val="none" w:sz="0" w:space="0" w:color="auto"/>
            <w:right w:val="none" w:sz="0" w:space="0" w:color="auto"/>
          </w:divBdr>
        </w:div>
      </w:divsChild>
    </w:div>
    <w:div w:id="1448425677">
      <w:bodyDiv w:val="1"/>
      <w:marLeft w:val="0"/>
      <w:marRight w:val="0"/>
      <w:marTop w:val="0"/>
      <w:marBottom w:val="0"/>
      <w:divBdr>
        <w:top w:val="none" w:sz="0" w:space="0" w:color="auto"/>
        <w:left w:val="none" w:sz="0" w:space="0" w:color="auto"/>
        <w:bottom w:val="none" w:sz="0" w:space="0" w:color="auto"/>
        <w:right w:val="none" w:sz="0" w:space="0" w:color="auto"/>
      </w:divBdr>
      <w:divsChild>
        <w:div w:id="1379477711">
          <w:marLeft w:val="562"/>
          <w:marRight w:val="0"/>
          <w:marTop w:val="115"/>
          <w:marBottom w:val="0"/>
          <w:divBdr>
            <w:top w:val="none" w:sz="0" w:space="0" w:color="auto"/>
            <w:left w:val="none" w:sz="0" w:space="0" w:color="auto"/>
            <w:bottom w:val="none" w:sz="0" w:space="0" w:color="auto"/>
            <w:right w:val="none" w:sz="0" w:space="0" w:color="auto"/>
          </w:divBdr>
        </w:div>
        <w:div w:id="1831284625">
          <w:marLeft w:val="562"/>
          <w:marRight w:val="0"/>
          <w:marTop w:val="115"/>
          <w:marBottom w:val="0"/>
          <w:divBdr>
            <w:top w:val="none" w:sz="0" w:space="0" w:color="auto"/>
            <w:left w:val="none" w:sz="0" w:space="0" w:color="auto"/>
            <w:bottom w:val="none" w:sz="0" w:space="0" w:color="auto"/>
            <w:right w:val="none" w:sz="0" w:space="0" w:color="auto"/>
          </w:divBdr>
        </w:div>
      </w:divsChild>
    </w:div>
    <w:div w:id="1465386396">
      <w:bodyDiv w:val="1"/>
      <w:marLeft w:val="0"/>
      <w:marRight w:val="0"/>
      <w:marTop w:val="0"/>
      <w:marBottom w:val="0"/>
      <w:divBdr>
        <w:top w:val="none" w:sz="0" w:space="0" w:color="auto"/>
        <w:left w:val="none" w:sz="0" w:space="0" w:color="auto"/>
        <w:bottom w:val="none" w:sz="0" w:space="0" w:color="auto"/>
        <w:right w:val="none" w:sz="0" w:space="0" w:color="auto"/>
      </w:divBdr>
    </w:div>
    <w:div w:id="1474761495">
      <w:bodyDiv w:val="1"/>
      <w:marLeft w:val="0"/>
      <w:marRight w:val="0"/>
      <w:marTop w:val="0"/>
      <w:marBottom w:val="0"/>
      <w:divBdr>
        <w:top w:val="none" w:sz="0" w:space="0" w:color="auto"/>
        <w:left w:val="none" w:sz="0" w:space="0" w:color="auto"/>
        <w:bottom w:val="none" w:sz="0" w:space="0" w:color="auto"/>
        <w:right w:val="none" w:sz="0" w:space="0" w:color="auto"/>
      </w:divBdr>
    </w:div>
    <w:div w:id="1481078344">
      <w:bodyDiv w:val="1"/>
      <w:marLeft w:val="0"/>
      <w:marRight w:val="0"/>
      <w:marTop w:val="0"/>
      <w:marBottom w:val="0"/>
      <w:divBdr>
        <w:top w:val="none" w:sz="0" w:space="0" w:color="auto"/>
        <w:left w:val="none" w:sz="0" w:space="0" w:color="auto"/>
        <w:bottom w:val="none" w:sz="0" w:space="0" w:color="auto"/>
        <w:right w:val="none" w:sz="0" w:space="0" w:color="auto"/>
      </w:divBdr>
      <w:divsChild>
        <w:div w:id="288710094">
          <w:marLeft w:val="720"/>
          <w:marRight w:val="0"/>
          <w:marTop w:val="96"/>
          <w:marBottom w:val="0"/>
          <w:divBdr>
            <w:top w:val="none" w:sz="0" w:space="0" w:color="auto"/>
            <w:left w:val="none" w:sz="0" w:space="0" w:color="auto"/>
            <w:bottom w:val="none" w:sz="0" w:space="0" w:color="auto"/>
            <w:right w:val="none" w:sz="0" w:space="0" w:color="auto"/>
          </w:divBdr>
        </w:div>
        <w:div w:id="374159094">
          <w:marLeft w:val="562"/>
          <w:marRight w:val="0"/>
          <w:marTop w:val="115"/>
          <w:marBottom w:val="0"/>
          <w:divBdr>
            <w:top w:val="none" w:sz="0" w:space="0" w:color="auto"/>
            <w:left w:val="none" w:sz="0" w:space="0" w:color="auto"/>
            <w:bottom w:val="none" w:sz="0" w:space="0" w:color="auto"/>
            <w:right w:val="none" w:sz="0" w:space="0" w:color="auto"/>
          </w:divBdr>
        </w:div>
        <w:div w:id="586767182">
          <w:marLeft w:val="562"/>
          <w:marRight w:val="0"/>
          <w:marTop w:val="115"/>
          <w:marBottom w:val="0"/>
          <w:divBdr>
            <w:top w:val="none" w:sz="0" w:space="0" w:color="auto"/>
            <w:left w:val="none" w:sz="0" w:space="0" w:color="auto"/>
            <w:bottom w:val="none" w:sz="0" w:space="0" w:color="auto"/>
            <w:right w:val="none" w:sz="0" w:space="0" w:color="auto"/>
          </w:divBdr>
        </w:div>
        <w:div w:id="1511531612">
          <w:marLeft w:val="720"/>
          <w:marRight w:val="0"/>
          <w:marTop w:val="96"/>
          <w:marBottom w:val="0"/>
          <w:divBdr>
            <w:top w:val="none" w:sz="0" w:space="0" w:color="auto"/>
            <w:left w:val="none" w:sz="0" w:space="0" w:color="auto"/>
            <w:bottom w:val="none" w:sz="0" w:space="0" w:color="auto"/>
            <w:right w:val="none" w:sz="0" w:space="0" w:color="auto"/>
          </w:divBdr>
        </w:div>
        <w:div w:id="1585527623">
          <w:marLeft w:val="720"/>
          <w:marRight w:val="0"/>
          <w:marTop w:val="96"/>
          <w:marBottom w:val="0"/>
          <w:divBdr>
            <w:top w:val="none" w:sz="0" w:space="0" w:color="auto"/>
            <w:left w:val="none" w:sz="0" w:space="0" w:color="auto"/>
            <w:bottom w:val="none" w:sz="0" w:space="0" w:color="auto"/>
            <w:right w:val="none" w:sz="0" w:space="0" w:color="auto"/>
          </w:divBdr>
        </w:div>
        <w:div w:id="1809783327">
          <w:marLeft w:val="720"/>
          <w:marRight w:val="0"/>
          <w:marTop w:val="96"/>
          <w:marBottom w:val="0"/>
          <w:divBdr>
            <w:top w:val="none" w:sz="0" w:space="0" w:color="auto"/>
            <w:left w:val="none" w:sz="0" w:space="0" w:color="auto"/>
            <w:bottom w:val="none" w:sz="0" w:space="0" w:color="auto"/>
            <w:right w:val="none" w:sz="0" w:space="0" w:color="auto"/>
          </w:divBdr>
        </w:div>
        <w:div w:id="1940336811">
          <w:marLeft w:val="562"/>
          <w:marRight w:val="0"/>
          <w:marTop w:val="115"/>
          <w:marBottom w:val="0"/>
          <w:divBdr>
            <w:top w:val="none" w:sz="0" w:space="0" w:color="auto"/>
            <w:left w:val="none" w:sz="0" w:space="0" w:color="auto"/>
            <w:bottom w:val="none" w:sz="0" w:space="0" w:color="auto"/>
            <w:right w:val="none" w:sz="0" w:space="0" w:color="auto"/>
          </w:divBdr>
        </w:div>
        <w:div w:id="1968536819">
          <w:marLeft w:val="720"/>
          <w:marRight w:val="0"/>
          <w:marTop w:val="96"/>
          <w:marBottom w:val="0"/>
          <w:divBdr>
            <w:top w:val="none" w:sz="0" w:space="0" w:color="auto"/>
            <w:left w:val="none" w:sz="0" w:space="0" w:color="auto"/>
            <w:bottom w:val="none" w:sz="0" w:space="0" w:color="auto"/>
            <w:right w:val="none" w:sz="0" w:space="0" w:color="auto"/>
          </w:divBdr>
        </w:div>
      </w:divsChild>
    </w:div>
    <w:div w:id="1484270595">
      <w:bodyDiv w:val="1"/>
      <w:marLeft w:val="0"/>
      <w:marRight w:val="0"/>
      <w:marTop w:val="0"/>
      <w:marBottom w:val="0"/>
      <w:divBdr>
        <w:top w:val="none" w:sz="0" w:space="0" w:color="auto"/>
        <w:left w:val="none" w:sz="0" w:space="0" w:color="auto"/>
        <w:bottom w:val="none" w:sz="0" w:space="0" w:color="auto"/>
        <w:right w:val="none" w:sz="0" w:space="0" w:color="auto"/>
      </w:divBdr>
      <w:divsChild>
        <w:div w:id="76830488">
          <w:marLeft w:val="562"/>
          <w:marRight w:val="0"/>
          <w:marTop w:val="106"/>
          <w:marBottom w:val="0"/>
          <w:divBdr>
            <w:top w:val="none" w:sz="0" w:space="0" w:color="auto"/>
            <w:left w:val="none" w:sz="0" w:space="0" w:color="auto"/>
            <w:bottom w:val="none" w:sz="0" w:space="0" w:color="auto"/>
            <w:right w:val="none" w:sz="0" w:space="0" w:color="auto"/>
          </w:divBdr>
        </w:div>
        <w:div w:id="691497897">
          <w:marLeft w:val="562"/>
          <w:marRight w:val="0"/>
          <w:marTop w:val="106"/>
          <w:marBottom w:val="0"/>
          <w:divBdr>
            <w:top w:val="none" w:sz="0" w:space="0" w:color="auto"/>
            <w:left w:val="none" w:sz="0" w:space="0" w:color="auto"/>
            <w:bottom w:val="none" w:sz="0" w:space="0" w:color="auto"/>
            <w:right w:val="none" w:sz="0" w:space="0" w:color="auto"/>
          </w:divBdr>
        </w:div>
        <w:div w:id="1276477394">
          <w:marLeft w:val="562"/>
          <w:marRight w:val="0"/>
          <w:marTop w:val="106"/>
          <w:marBottom w:val="0"/>
          <w:divBdr>
            <w:top w:val="none" w:sz="0" w:space="0" w:color="auto"/>
            <w:left w:val="none" w:sz="0" w:space="0" w:color="auto"/>
            <w:bottom w:val="none" w:sz="0" w:space="0" w:color="auto"/>
            <w:right w:val="none" w:sz="0" w:space="0" w:color="auto"/>
          </w:divBdr>
        </w:div>
        <w:div w:id="1324353662">
          <w:marLeft w:val="562"/>
          <w:marRight w:val="0"/>
          <w:marTop w:val="106"/>
          <w:marBottom w:val="0"/>
          <w:divBdr>
            <w:top w:val="none" w:sz="0" w:space="0" w:color="auto"/>
            <w:left w:val="none" w:sz="0" w:space="0" w:color="auto"/>
            <w:bottom w:val="none" w:sz="0" w:space="0" w:color="auto"/>
            <w:right w:val="none" w:sz="0" w:space="0" w:color="auto"/>
          </w:divBdr>
        </w:div>
        <w:div w:id="1455637751">
          <w:marLeft w:val="562"/>
          <w:marRight w:val="0"/>
          <w:marTop w:val="106"/>
          <w:marBottom w:val="0"/>
          <w:divBdr>
            <w:top w:val="none" w:sz="0" w:space="0" w:color="auto"/>
            <w:left w:val="none" w:sz="0" w:space="0" w:color="auto"/>
            <w:bottom w:val="none" w:sz="0" w:space="0" w:color="auto"/>
            <w:right w:val="none" w:sz="0" w:space="0" w:color="auto"/>
          </w:divBdr>
        </w:div>
        <w:div w:id="2035643187">
          <w:marLeft w:val="562"/>
          <w:marRight w:val="0"/>
          <w:marTop w:val="106"/>
          <w:marBottom w:val="0"/>
          <w:divBdr>
            <w:top w:val="none" w:sz="0" w:space="0" w:color="auto"/>
            <w:left w:val="none" w:sz="0" w:space="0" w:color="auto"/>
            <w:bottom w:val="none" w:sz="0" w:space="0" w:color="auto"/>
            <w:right w:val="none" w:sz="0" w:space="0" w:color="auto"/>
          </w:divBdr>
        </w:div>
      </w:divsChild>
    </w:div>
    <w:div w:id="1484395690">
      <w:bodyDiv w:val="1"/>
      <w:marLeft w:val="0"/>
      <w:marRight w:val="0"/>
      <w:marTop w:val="0"/>
      <w:marBottom w:val="0"/>
      <w:divBdr>
        <w:top w:val="none" w:sz="0" w:space="0" w:color="auto"/>
        <w:left w:val="none" w:sz="0" w:space="0" w:color="auto"/>
        <w:bottom w:val="none" w:sz="0" w:space="0" w:color="auto"/>
        <w:right w:val="none" w:sz="0" w:space="0" w:color="auto"/>
      </w:divBdr>
    </w:div>
    <w:div w:id="1485782899">
      <w:bodyDiv w:val="1"/>
      <w:marLeft w:val="0"/>
      <w:marRight w:val="0"/>
      <w:marTop w:val="0"/>
      <w:marBottom w:val="0"/>
      <w:divBdr>
        <w:top w:val="none" w:sz="0" w:space="0" w:color="auto"/>
        <w:left w:val="none" w:sz="0" w:space="0" w:color="auto"/>
        <w:bottom w:val="none" w:sz="0" w:space="0" w:color="auto"/>
        <w:right w:val="none" w:sz="0" w:space="0" w:color="auto"/>
      </w:divBdr>
      <w:divsChild>
        <w:div w:id="97869616">
          <w:marLeft w:val="562"/>
          <w:marRight w:val="0"/>
          <w:marTop w:val="115"/>
          <w:marBottom w:val="0"/>
          <w:divBdr>
            <w:top w:val="none" w:sz="0" w:space="0" w:color="auto"/>
            <w:left w:val="none" w:sz="0" w:space="0" w:color="auto"/>
            <w:bottom w:val="none" w:sz="0" w:space="0" w:color="auto"/>
            <w:right w:val="none" w:sz="0" w:space="0" w:color="auto"/>
          </w:divBdr>
        </w:div>
        <w:div w:id="1917667713">
          <w:marLeft w:val="562"/>
          <w:marRight w:val="0"/>
          <w:marTop w:val="115"/>
          <w:marBottom w:val="0"/>
          <w:divBdr>
            <w:top w:val="none" w:sz="0" w:space="0" w:color="auto"/>
            <w:left w:val="none" w:sz="0" w:space="0" w:color="auto"/>
            <w:bottom w:val="none" w:sz="0" w:space="0" w:color="auto"/>
            <w:right w:val="none" w:sz="0" w:space="0" w:color="auto"/>
          </w:divBdr>
        </w:div>
      </w:divsChild>
    </w:div>
    <w:div w:id="1490487074">
      <w:bodyDiv w:val="1"/>
      <w:marLeft w:val="0"/>
      <w:marRight w:val="0"/>
      <w:marTop w:val="0"/>
      <w:marBottom w:val="0"/>
      <w:divBdr>
        <w:top w:val="none" w:sz="0" w:space="0" w:color="auto"/>
        <w:left w:val="none" w:sz="0" w:space="0" w:color="auto"/>
        <w:bottom w:val="none" w:sz="0" w:space="0" w:color="auto"/>
        <w:right w:val="none" w:sz="0" w:space="0" w:color="auto"/>
      </w:divBdr>
      <w:divsChild>
        <w:div w:id="643779147">
          <w:marLeft w:val="720"/>
          <w:marRight w:val="0"/>
          <w:marTop w:val="96"/>
          <w:marBottom w:val="0"/>
          <w:divBdr>
            <w:top w:val="none" w:sz="0" w:space="0" w:color="auto"/>
            <w:left w:val="none" w:sz="0" w:space="0" w:color="auto"/>
            <w:bottom w:val="none" w:sz="0" w:space="0" w:color="auto"/>
            <w:right w:val="none" w:sz="0" w:space="0" w:color="auto"/>
          </w:divBdr>
        </w:div>
        <w:div w:id="855194030">
          <w:marLeft w:val="720"/>
          <w:marRight w:val="0"/>
          <w:marTop w:val="96"/>
          <w:marBottom w:val="0"/>
          <w:divBdr>
            <w:top w:val="none" w:sz="0" w:space="0" w:color="auto"/>
            <w:left w:val="none" w:sz="0" w:space="0" w:color="auto"/>
            <w:bottom w:val="none" w:sz="0" w:space="0" w:color="auto"/>
            <w:right w:val="none" w:sz="0" w:space="0" w:color="auto"/>
          </w:divBdr>
        </w:div>
        <w:div w:id="884022860">
          <w:marLeft w:val="562"/>
          <w:marRight w:val="0"/>
          <w:marTop w:val="115"/>
          <w:marBottom w:val="0"/>
          <w:divBdr>
            <w:top w:val="none" w:sz="0" w:space="0" w:color="auto"/>
            <w:left w:val="none" w:sz="0" w:space="0" w:color="auto"/>
            <w:bottom w:val="none" w:sz="0" w:space="0" w:color="auto"/>
            <w:right w:val="none" w:sz="0" w:space="0" w:color="auto"/>
          </w:divBdr>
        </w:div>
        <w:div w:id="1790930186">
          <w:marLeft w:val="720"/>
          <w:marRight w:val="0"/>
          <w:marTop w:val="96"/>
          <w:marBottom w:val="0"/>
          <w:divBdr>
            <w:top w:val="none" w:sz="0" w:space="0" w:color="auto"/>
            <w:left w:val="none" w:sz="0" w:space="0" w:color="auto"/>
            <w:bottom w:val="none" w:sz="0" w:space="0" w:color="auto"/>
            <w:right w:val="none" w:sz="0" w:space="0" w:color="auto"/>
          </w:divBdr>
        </w:div>
        <w:div w:id="2135251693">
          <w:marLeft w:val="562"/>
          <w:marRight w:val="0"/>
          <w:marTop w:val="115"/>
          <w:marBottom w:val="0"/>
          <w:divBdr>
            <w:top w:val="none" w:sz="0" w:space="0" w:color="auto"/>
            <w:left w:val="none" w:sz="0" w:space="0" w:color="auto"/>
            <w:bottom w:val="none" w:sz="0" w:space="0" w:color="auto"/>
            <w:right w:val="none" w:sz="0" w:space="0" w:color="auto"/>
          </w:divBdr>
        </w:div>
      </w:divsChild>
    </w:div>
    <w:div w:id="1497841922">
      <w:bodyDiv w:val="1"/>
      <w:marLeft w:val="0"/>
      <w:marRight w:val="0"/>
      <w:marTop w:val="0"/>
      <w:marBottom w:val="0"/>
      <w:divBdr>
        <w:top w:val="none" w:sz="0" w:space="0" w:color="auto"/>
        <w:left w:val="none" w:sz="0" w:space="0" w:color="auto"/>
        <w:bottom w:val="none" w:sz="0" w:space="0" w:color="auto"/>
        <w:right w:val="none" w:sz="0" w:space="0" w:color="auto"/>
      </w:divBdr>
    </w:div>
    <w:div w:id="1505124091">
      <w:bodyDiv w:val="1"/>
      <w:marLeft w:val="0"/>
      <w:marRight w:val="0"/>
      <w:marTop w:val="0"/>
      <w:marBottom w:val="0"/>
      <w:divBdr>
        <w:top w:val="none" w:sz="0" w:space="0" w:color="auto"/>
        <w:left w:val="none" w:sz="0" w:space="0" w:color="auto"/>
        <w:bottom w:val="none" w:sz="0" w:space="0" w:color="auto"/>
        <w:right w:val="none" w:sz="0" w:space="0" w:color="auto"/>
      </w:divBdr>
      <w:divsChild>
        <w:div w:id="1092748297">
          <w:marLeft w:val="547"/>
          <w:marRight w:val="0"/>
          <w:marTop w:val="96"/>
          <w:marBottom w:val="0"/>
          <w:divBdr>
            <w:top w:val="none" w:sz="0" w:space="0" w:color="auto"/>
            <w:left w:val="none" w:sz="0" w:space="0" w:color="auto"/>
            <w:bottom w:val="none" w:sz="0" w:space="0" w:color="auto"/>
            <w:right w:val="none" w:sz="0" w:space="0" w:color="auto"/>
          </w:divBdr>
        </w:div>
      </w:divsChild>
    </w:div>
    <w:div w:id="1506088150">
      <w:bodyDiv w:val="1"/>
      <w:marLeft w:val="0"/>
      <w:marRight w:val="0"/>
      <w:marTop w:val="0"/>
      <w:marBottom w:val="0"/>
      <w:divBdr>
        <w:top w:val="none" w:sz="0" w:space="0" w:color="auto"/>
        <w:left w:val="none" w:sz="0" w:space="0" w:color="auto"/>
        <w:bottom w:val="none" w:sz="0" w:space="0" w:color="auto"/>
        <w:right w:val="none" w:sz="0" w:space="0" w:color="auto"/>
      </w:divBdr>
      <w:divsChild>
        <w:div w:id="156961958">
          <w:marLeft w:val="360"/>
          <w:marRight w:val="0"/>
          <w:marTop w:val="200"/>
          <w:marBottom w:val="0"/>
          <w:divBdr>
            <w:top w:val="none" w:sz="0" w:space="0" w:color="auto"/>
            <w:left w:val="none" w:sz="0" w:space="0" w:color="auto"/>
            <w:bottom w:val="none" w:sz="0" w:space="0" w:color="auto"/>
            <w:right w:val="none" w:sz="0" w:space="0" w:color="auto"/>
          </w:divBdr>
        </w:div>
        <w:div w:id="1025784905">
          <w:marLeft w:val="360"/>
          <w:marRight w:val="0"/>
          <w:marTop w:val="200"/>
          <w:marBottom w:val="0"/>
          <w:divBdr>
            <w:top w:val="none" w:sz="0" w:space="0" w:color="auto"/>
            <w:left w:val="none" w:sz="0" w:space="0" w:color="auto"/>
            <w:bottom w:val="none" w:sz="0" w:space="0" w:color="auto"/>
            <w:right w:val="none" w:sz="0" w:space="0" w:color="auto"/>
          </w:divBdr>
        </w:div>
        <w:div w:id="1200050494">
          <w:marLeft w:val="360"/>
          <w:marRight w:val="0"/>
          <w:marTop w:val="200"/>
          <w:marBottom w:val="0"/>
          <w:divBdr>
            <w:top w:val="none" w:sz="0" w:space="0" w:color="auto"/>
            <w:left w:val="none" w:sz="0" w:space="0" w:color="auto"/>
            <w:bottom w:val="none" w:sz="0" w:space="0" w:color="auto"/>
            <w:right w:val="none" w:sz="0" w:space="0" w:color="auto"/>
          </w:divBdr>
        </w:div>
        <w:div w:id="1214925696">
          <w:marLeft w:val="360"/>
          <w:marRight w:val="0"/>
          <w:marTop w:val="200"/>
          <w:marBottom w:val="0"/>
          <w:divBdr>
            <w:top w:val="none" w:sz="0" w:space="0" w:color="auto"/>
            <w:left w:val="none" w:sz="0" w:space="0" w:color="auto"/>
            <w:bottom w:val="none" w:sz="0" w:space="0" w:color="auto"/>
            <w:right w:val="none" w:sz="0" w:space="0" w:color="auto"/>
          </w:divBdr>
        </w:div>
        <w:div w:id="1219628408">
          <w:marLeft w:val="1080"/>
          <w:marRight w:val="0"/>
          <w:marTop w:val="100"/>
          <w:marBottom w:val="0"/>
          <w:divBdr>
            <w:top w:val="none" w:sz="0" w:space="0" w:color="auto"/>
            <w:left w:val="none" w:sz="0" w:space="0" w:color="auto"/>
            <w:bottom w:val="none" w:sz="0" w:space="0" w:color="auto"/>
            <w:right w:val="none" w:sz="0" w:space="0" w:color="auto"/>
          </w:divBdr>
        </w:div>
        <w:div w:id="1955599594">
          <w:marLeft w:val="360"/>
          <w:marRight w:val="0"/>
          <w:marTop w:val="200"/>
          <w:marBottom w:val="0"/>
          <w:divBdr>
            <w:top w:val="none" w:sz="0" w:space="0" w:color="auto"/>
            <w:left w:val="none" w:sz="0" w:space="0" w:color="auto"/>
            <w:bottom w:val="none" w:sz="0" w:space="0" w:color="auto"/>
            <w:right w:val="none" w:sz="0" w:space="0" w:color="auto"/>
          </w:divBdr>
        </w:div>
        <w:div w:id="1982031700">
          <w:marLeft w:val="360"/>
          <w:marRight w:val="0"/>
          <w:marTop w:val="200"/>
          <w:marBottom w:val="0"/>
          <w:divBdr>
            <w:top w:val="none" w:sz="0" w:space="0" w:color="auto"/>
            <w:left w:val="none" w:sz="0" w:space="0" w:color="auto"/>
            <w:bottom w:val="none" w:sz="0" w:space="0" w:color="auto"/>
            <w:right w:val="none" w:sz="0" w:space="0" w:color="auto"/>
          </w:divBdr>
        </w:div>
      </w:divsChild>
    </w:div>
    <w:div w:id="1510019386">
      <w:bodyDiv w:val="1"/>
      <w:marLeft w:val="0"/>
      <w:marRight w:val="0"/>
      <w:marTop w:val="0"/>
      <w:marBottom w:val="0"/>
      <w:divBdr>
        <w:top w:val="none" w:sz="0" w:space="0" w:color="auto"/>
        <w:left w:val="none" w:sz="0" w:space="0" w:color="auto"/>
        <w:bottom w:val="none" w:sz="0" w:space="0" w:color="auto"/>
        <w:right w:val="none" w:sz="0" w:space="0" w:color="auto"/>
      </w:divBdr>
    </w:div>
    <w:div w:id="1518156896">
      <w:bodyDiv w:val="1"/>
      <w:marLeft w:val="0"/>
      <w:marRight w:val="0"/>
      <w:marTop w:val="0"/>
      <w:marBottom w:val="0"/>
      <w:divBdr>
        <w:top w:val="none" w:sz="0" w:space="0" w:color="auto"/>
        <w:left w:val="none" w:sz="0" w:space="0" w:color="auto"/>
        <w:bottom w:val="none" w:sz="0" w:space="0" w:color="auto"/>
        <w:right w:val="none" w:sz="0" w:space="0" w:color="auto"/>
      </w:divBdr>
    </w:div>
    <w:div w:id="1530415366">
      <w:bodyDiv w:val="1"/>
      <w:marLeft w:val="0"/>
      <w:marRight w:val="0"/>
      <w:marTop w:val="0"/>
      <w:marBottom w:val="0"/>
      <w:divBdr>
        <w:top w:val="none" w:sz="0" w:space="0" w:color="auto"/>
        <w:left w:val="none" w:sz="0" w:space="0" w:color="auto"/>
        <w:bottom w:val="none" w:sz="0" w:space="0" w:color="auto"/>
        <w:right w:val="none" w:sz="0" w:space="0" w:color="auto"/>
      </w:divBdr>
      <w:divsChild>
        <w:div w:id="126973876">
          <w:marLeft w:val="720"/>
          <w:marRight w:val="0"/>
          <w:marTop w:val="96"/>
          <w:marBottom w:val="0"/>
          <w:divBdr>
            <w:top w:val="none" w:sz="0" w:space="0" w:color="auto"/>
            <w:left w:val="none" w:sz="0" w:space="0" w:color="auto"/>
            <w:bottom w:val="none" w:sz="0" w:space="0" w:color="auto"/>
            <w:right w:val="none" w:sz="0" w:space="0" w:color="auto"/>
          </w:divBdr>
        </w:div>
        <w:div w:id="167335888">
          <w:marLeft w:val="720"/>
          <w:marRight w:val="0"/>
          <w:marTop w:val="96"/>
          <w:marBottom w:val="0"/>
          <w:divBdr>
            <w:top w:val="none" w:sz="0" w:space="0" w:color="auto"/>
            <w:left w:val="none" w:sz="0" w:space="0" w:color="auto"/>
            <w:bottom w:val="none" w:sz="0" w:space="0" w:color="auto"/>
            <w:right w:val="none" w:sz="0" w:space="0" w:color="auto"/>
          </w:divBdr>
        </w:div>
        <w:div w:id="178590729">
          <w:marLeft w:val="720"/>
          <w:marRight w:val="0"/>
          <w:marTop w:val="96"/>
          <w:marBottom w:val="0"/>
          <w:divBdr>
            <w:top w:val="none" w:sz="0" w:space="0" w:color="auto"/>
            <w:left w:val="none" w:sz="0" w:space="0" w:color="auto"/>
            <w:bottom w:val="none" w:sz="0" w:space="0" w:color="auto"/>
            <w:right w:val="none" w:sz="0" w:space="0" w:color="auto"/>
          </w:divBdr>
        </w:div>
        <w:div w:id="326446143">
          <w:marLeft w:val="720"/>
          <w:marRight w:val="0"/>
          <w:marTop w:val="96"/>
          <w:marBottom w:val="0"/>
          <w:divBdr>
            <w:top w:val="none" w:sz="0" w:space="0" w:color="auto"/>
            <w:left w:val="none" w:sz="0" w:space="0" w:color="auto"/>
            <w:bottom w:val="none" w:sz="0" w:space="0" w:color="auto"/>
            <w:right w:val="none" w:sz="0" w:space="0" w:color="auto"/>
          </w:divBdr>
        </w:div>
        <w:div w:id="1616791960">
          <w:marLeft w:val="720"/>
          <w:marRight w:val="0"/>
          <w:marTop w:val="96"/>
          <w:marBottom w:val="0"/>
          <w:divBdr>
            <w:top w:val="none" w:sz="0" w:space="0" w:color="auto"/>
            <w:left w:val="none" w:sz="0" w:space="0" w:color="auto"/>
            <w:bottom w:val="none" w:sz="0" w:space="0" w:color="auto"/>
            <w:right w:val="none" w:sz="0" w:space="0" w:color="auto"/>
          </w:divBdr>
        </w:div>
      </w:divsChild>
    </w:div>
    <w:div w:id="1534071141">
      <w:bodyDiv w:val="1"/>
      <w:marLeft w:val="0"/>
      <w:marRight w:val="0"/>
      <w:marTop w:val="0"/>
      <w:marBottom w:val="0"/>
      <w:divBdr>
        <w:top w:val="none" w:sz="0" w:space="0" w:color="auto"/>
        <w:left w:val="none" w:sz="0" w:space="0" w:color="auto"/>
        <w:bottom w:val="none" w:sz="0" w:space="0" w:color="auto"/>
        <w:right w:val="none" w:sz="0" w:space="0" w:color="auto"/>
      </w:divBdr>
    </w:div>
    <w:div w:id="1534490838">
      <w:bodyDiv w:val="1"/>
      <w:marLeft w:val="0"/>
      <w:marRight w:val="0"/>
      <w:marTop w:val="0"/>
      <w:marBottom w:val="0"/>
      <w:divBdr>
        <w:top w:val="none" w:sz="0" w:space="0" w:color="auto"/>
        <w:left w:val="none" w:sz="0" w:space="0" w:color="auto"/>
        <w:bottom w:val="none" w:sz="0" w:space="0" w:color="auto"/>
        <w:right w:val="none" w:sz="0" w:space="0" w:color="auto"/>
      </w:divBdr>
    </w:div>
    <w:div w:id="1540623631">
      <w:bodyDiv w:val="1"/>
      <w:marLeft w:val="0"/>
      <w:marRight w:val="0"/>
      <w:marTop w:val="0"/>
      <w:marBottom w:val="0"/>
      <w:divBdr>
        <w:top w:val="none" w:sz="0" w:space="0" w:color="auto"/>
        <w:left w:val="none" w:sz="0" w:space="0" w:color="auto"/>
        <w:bottom w:val="none" w:sz="0" w:space="0" w:color="auto"/>
        <w:right w:val="none" w:sz="0" w:space="0" w:color="auto"/>
      </w:divBdr>
    </w:div>
    <w:div w:id="1548683745">
      <w:bodyDiv w:val="1"/>
      <w:marLeft w:val="0"/>
      <w:marRight w:val="0"/>
      <w:marTop w:val="0"/>
      <w:marBottom w:val="0"/>
      <w:divBdr>
        <w:top w:val="none" w:sz="0" w:space="0" w:color="auto"/>
        <w:left w:val="none" w:sz="0" w:space="0" w:color="auto"/>
        <w:bottom w:val="none" w:sz="0" w:space="0" w:color="auto"/>
        <w:right w:val="none" w:sz="0" w:space="0" w:color="auto"/>
      </w:divBdr>
      <w:divsChild>
        <w:div w:id="307129273">
          <w:marLeft w:val="720"/>
          <w:marRight w:val="0"/>
          <w:marTop w:val="96"/>
          <w:marBottom w:val="0"/>
          <w:divBdr>
            <w:top w:val="none" w:sz="0" w:space="0" w:color="auto"/>
            <w:left w:val="none" w:sz="0" w:space="0" w:color="auto"/>
            <w:bottom w:val="none" w:sz="0" w:space="0" w:color="auto"/>
            <w:right w:val="none" w:sz="0" w:space="0" w:color="auto"/>
          </w:divBdr>
        </w:div>
        <w:div w:id="551310656">
          <w:marLeft w:val="720"/>
          <w:marRight w:val="0"/>
          <w:marTop w:val="96"/>
          <w:marBottom w:val="0"/>
          <w:divBdr>
            <w:top w:val="none" w:sz="0" w:space="0" w:color="auto"/>
            <w:left w:val="none" w:sz="0" w:space="0" w:color="auto"/>
            <w:bottom w:val="none" w:sz="0" w:space="0" w:color="auto"/>
            <w:right w:val="none" w:sz="0" w:space="0" w:color="auto"/>
          </w:divBdr>
        </w:div>
        <w:div w:id="1176268947">
          <w:marLeft w:val="720"/>
          <w:marRight w:val="0"/>
          <w:marTop w:val="96"/>
          <w:marBottom w:val="0"/>
          <w:divBdr>
            <w:top w:val="none" w:sz="0" w:space="0" w:color="auto"/>
            <w:left w:val="none" w:sz="0" w:space="0" w:color="auto"/>
            <w:bottom w:val="none" w:sz="0" w:space="0" w:color="auto"/>
            <w:right w:val="none" w:sz="0" w:space="0" w:color="auto"/>
          </w:divBdr>
        </w:div>
        <w:div w:id="1963806682">
          <w:marLeft w:val="720"/>
          <w:marRight w:val="0"/>
          <w:marTop w:val="96"/>
          <w:marBottom w:val="0"/>
          <w:divBdr>
            <w:top w:val="none" w:sz="0" w:space="0" w:color="auto"/>
            <w:left w:val="none" w:sz="0" w:space="0" w:color="auto"/>
            <w:bottom w:val="none" w:sz="0" w:space="0" w:color="auto"/>
            <w:right w:val="none" w:sz="0" w:space="0" w:color="auto"/>
          </w:divBdr>
        </w:div>
      </w:divsChild>
    </w:div>
    <w:div w:id="1555697794">
      <w:bodyDiv w:val="1"/>
      <w:marLeft w:val="0"/>
      <w:marRight w:val="0"/>
      <w:marTop w:val="0"/>
      <w:marBottom w:val="0"/>
      <w:divBdr>
        <w:top w:val="none" w:sz="0" w:space="0" w:color="auto"/>
        <w:left w:val="none" w:sz="0" w:space="0" w:color="auto"/>
        <w:bottom w:val="none" w:sz="0" w:space="0" w:color="auto"/>
        <w:right w:val="none" w:sz="0" w:space="0" w:color="auto"/>
      </w:divBdr>
      <w:divsChild>
        <w:div w:id="86468673">
          <w:marLeft w:val="720"/>
          <w:marRight w:val="0"/>
          <w:marTop w:val="96"/>
          <w:marBottom w:val="0"/>
          <w:divBdr>
            <w:top w:val="none" w:sz="0" w:space="0" w:color="auto"/>
            <w:left w:val="none" w:sz="0" w:space="0" w:color="auto"/>
            <w:bottom w:val="none" w:sz="0" w:space="0" w:color="auto"/>
            <w:right w:val="none" w:sz="0" w:space="0" w:color="auto"/>
          </w:divBdr>
        </w:div>
        <w:div w:id="90471265">
          <w:marLeft w:val="720"/>
          <w:marRight w:val="0"/>
          <w:marTop w:val="96"/>
          <w:marBottom w:val="0"/>
          <w:divBdr>
            <w:top w:val="none" w:sz="0" w:space="0" w:color="auto"/>
            <w:left w:val="none" w:sz="0" w:space="0" w:color="auto"/>
            <w:bottom w:val="none" w:sz="0" w:space="0" w:color="auto"/>
            <w:right w:val="none" w:sz="0" w:space="0" w:color="auto"/>
          </w:divBdr>
        </w:div>
        <w:div w:id="517695050">
          <w:marLeft w:val="720"/>
          <w:marRight w:val="0"/>
          <w:marTop w:val="96"/>
          <w:marBottom w:val="0"/>
          <w:divBdr>
            <w:top w:val="none" w:sz="0" w:space="0" w:color="auto"/>
            <w:left w:val="none" w:sz="0" w:space="0" w:color="auto"/>
            <w:bottom w:val="none" w:sz="0" w:space="0" w:color="auto"/>
            <w:right w:val="none" w:sz="0" w:space="0" w:color="auto"/>
          </w:divBdr>
        </w:div>
        <w:div w:id="913273953">
          <w:marLeft w:val="562"/>
          <w:marRight w:val="0"/>
          <w:marTop w:val="115"/>
          <w:marBottom w:val="0"/>
          <w:divBdr>
            <w:top w:val="none" w:sz="0" w:space="0" w:color="auto"/>
            <w:left w:val="none" w:sz="0" w:space="0" w:color="auto"/>
            <w:bottom w:val="none" w:sz="0" w:space="0" w:color="auto"/>
            <w:right w:val="none" w:sz="0" w:space="0" w:color="auto"/>
          </w:divBdr>
        </w:div>
        <w:div w:id="925727419">
          <w:marLeft w:val="720"/>
          <w:marRight w:val="0"/>
          <w:marTop w:val="96"/>
          <w:marBottom w:val="0"/>
          <w:divBdr>
            <w:top w:val="none" w:sz="0" w:space="0" w:color="auto"/>
            <w:left w:val="none" w:sz="0" w:space="0" w:color="auto"/>
            <w:bottom w:val="none" w:sz="0" w:space="0" w:color="auto"/>
            <w:right w:val="none" w:sz="0" w:space="0" w:color="auto"/>
          </w:divBdr>
        </w:div>
        <w:div w:id="1029911529">
          <w:marLeft w:val="720"/>
          <w:marRight w:val="0"/>
          <w:marTop w:val="96"/>
          <w:marBottom w:val="0"/>
          <w:divBdr>
            <w:top w:val="none" w:sz="0" w:space="0" w:color="auto"/>
            <w:left w:val="none" w:sz="0" w:space="0" w:color="auto"/>
            <w:bottom w:val="none" w:sz="0" w:space="0" w:color="auto"/>
            <w:right w:val="none" w:sz="0" w:space="0" w:color="auto"/>
          </w:divBdr>
        </w:div>
        <w:div w:id="1438985865">
          <w:marLeft w:val="720"/>
          <w:marRight w:val="0"/>
          <w:marTop w:val="96"/>
          <w:marBottom w:val="0"/>
          <w:divBdr>
            <w:top w:val="none" w:sz="0" w:space="0" w:color="auto"/>
            <w:left w:val="none" w:sz="0" w:space="0" w:color="auto"/>
            <w:bottom w:val="none" w:sz="0" w:space="0" w:color="auto"/>
            <w:right w:val="none" w:sz="0" w:space="0" w:color="auto"/>
          </w:divBdr>
        </w:div>
        <w:div w:id="1785270080">
          <w:marLeft w:val="720"/>
          <w:marRight w:val="0"/>
          <w:marTop w:val="96"/>
          <w:marBottom w:val="0"/>
          <w:divBdr>
            <w:top w:val="none" w:sz="0" w:space="0" w:color="auto"/>
            <w:left w:val="none" w:sz="0" w:space="0" w:color="auto"/>
            <w:bottom w:val="none" w:sz="0" w:space="0" w:color="auto"/>
            <w:right w:val="none" w:sz="0" w:space="0" w:color="auto"/>
          </w:divBdr>
        </w:div>
      </w:divsChild>
    </w:div>
    <w:div w:id="1561362037">
      <w:bodyDiv w:val="1"/>
      <w:marLeft w:val="0"/>
      <w:marRight w:val="0"/>
      <w:marTop w:val="0"/>
      <w:marBottom w:val="0"/>
      <w:divBdr>
        <w:top w:val="none" w:sz="0" w:space="0" w:color="auto"/>
        <w:left w:val="none" w:sz="0" w:space="0" w:color="auto"/>
        <w:bottom w:val="none" w:sz="0" w:space="0" w:color="auto"/>
        <w:right w:val="none" w:sz="0" w:space="0" w:color="auto"/>
      </w:divBdr>
      <w:divsChild>
        <w:div w:id="904680940">
          <w:marLeft w:val="562"/>
          <w:marRight w:val="0"/>
          <w:marTop w:val="115"/>
          <w:marBottom w:val="0"/>
          <w:divBdr>
            <w:top w:val="none" w:sz="0" w:space="0" w:color="auto"/>
            <w:left w:val="none" w:sz="0" w:space="0" w:color="auto"/>
            <w:bottom w:val="none" w:sz="0" w:space="0" w:color="auto"/>
            <w:right w:val="none" w:sz="0" w:space="0" w:color="auto"/>
          </w:divBdr>
        </w:div>
        <w:div w:id="1318219103">
          <w:marLeft w:val="562"/>
          <w:marRight w:val="0"/>
          <w:marTop w:val="115"/>
          <w:marBottom w:val="0"/>
          <w:divBdr>
            <w:top w:val="none" w:sz="0" w:space="0" w:color="auto"/>
            <w:left w:val="none" w:sz="0" w:space="0" w:color="auto"/>
            <w:bottom w:val="none" w:sz="0" w:space="0" w:color="auto"/>
            <w:right w:val="none" w:sz="0" w:space="0" w:color="auto"/>
          </w:divBdr>
        </w:div>
        <w:div w:id="1792048282">
          <w:marLeft w:val="562"/>
          <w:marRight w:val="0"/>
          <w:marTop w:val="115"/>
          <w:marBottom w:val="0"/>
          <w:divBdr>
            <w:top w:val="none" w:sz="0" w:space="0" w:color="auto"/>
            <w:left w:val="none" w:sz="0" w:space="0" w:color="auto"/>
            <w:bottom w:val="none" w:sz="0" w:space="0" w:color="auto"/>
            <w:right w:val="none" w:sz="0" w:space="0" w:color="auto"/>
          </w:divBdr>
        </w:div>
      </w:divsChild>
    </w:div>
    <w:div w:id="1566375979">
      <w:bodyDiv w:val="1"/>
      <w:marLeft w:val="0"/>
      <w:marRight w:val="0"/>
      <w:marTop w:val="0"/>
      <w:marBottom w:val="0"/>
      <w:divBdr>
        <w:top w:val="none" w:sz="0" w:space="0" w:color="auto"/>
        <w:left w:val="none" w:sz="0" w:space="0" w:color="auto"/>
        <w:bottom w:val="none" w:sz="0" w:space="0" w:color="auto"/>
        <w:right w:val="none" w:sz="0" w:space="0" w:color="auto"/>
      </w:divBdr>
    </w:div>
    <w:div w:id="1575815592">
      <w:bodyDiv w:val="1"/>
      <w:marLeft w:val="0"/>
      <w:marRight w:val="0"/>
      <w:marTop w:val="0"/>
      <w:marBottom w:val="0"/>
      <w:divBdr>
        <w:top w:val="none" w:sz="0" w:space="0" w:color="auto"/>
        <w:left w:val="none" w:sz="0" w:space="0" w:color="auto"/>
        <w:bottom w:val="none" w:sz="0" w:space="0" w:color="auto"/>
        <w:right w:val="none" w:sz="0" w:space="0" w:color="auto"/>
      </w:divBdr>
    </w:div>
    <w:div w:id="1581913564">
      <w:bodyDiv w:val="1"/>
      <w:marLeft w:val="0"/>
      <w:marRight w:val="0"/>
      <w:marTop w:val="0"/>
      <w:marBottom w:val="0"/>
      <w:divBdr>
        <w:top w:val="none" w:sz="0" w:space="0" w:color="auto"/>
        <w:left w:val="none" w:sz="0" w:space="0" w:color="auto"/>
        <w:bottom w:val="none" w:sz="0" w:space="0" w:color="auto"/>
        <w:right w:val="none" w:sz="0" w:space="0" w:color="auto"/>
      </w:divBdr>
    </w:div>
    <w:div w:id="1584338887">
      <w:bodyDiv w:val="1"/>
      <w:marLeft w:val="0"/>
      <w:marRight w:val="0"/>
      <w:marTop w:val="0"/>
      <w:marBottom w:val="0"/>
      <w:divBdr>
        <w:top w:val="none" w:sz="0" w:space="0" w:color="auto"/>
        <w:left w:val="none" w:sz="0" w:space="0" w:color="auto"/>
        <w:bottom w:val="none" w:sz="0" w:space="0" w:color="auto"/>
        <w:right w:val="none" w:sz="0" w:space="0" w:color="auto"/>
      </w:divBdr>
    </w:div>
    <w:div w:id="1595359669">
      <w:bodyDiv w:val="1"/>
      <w:marLeft w:val="0"/>
      <w:marRight w:val="0"/>
      <w:marTop w:val="0"/>
      <w:marBottom w:val="0"/>
      <w:divBdr>
        <w:top w:val="none" w:sz="0" w:space="0" w:color="auto"/>
        <w:left w:val="none" w:sz="0" w:space="0" w:color="auto"/>
        <w:bottom w:val="none" w:sz="0" w:space="0" w:color="auto"/>
        <w:right w:val="none" w:sz="0" w:space="0" w:color="auto"/>
      </w:divBdr>
    </w:div>
    <w:div w:id="1595551030">
      <w:bodyDiv w:val="1"/>
      <w:marLeft w:val="0"/>
      <w:marRight w:val="0"/>
      <w:marTop w:val="0"/>
      <w:marBottom w:val="0"/>
      <w:divBdr>
        <w:top w:val="none" w:sz="0" w:space="0" w:color="auto"/>
        <w:left w:val="none" w:sz="0" w:space="0" w:color="auto"/>
        <w:bottom w:val="none" w:sz="0" w:space="0" w:color="auto"/>
        <w:right w:val="none" w:sz="0" w:space="0" w:color="auto"/>
      </w:divBdr>
      <w:divsChild>
        <w:div w:id="318576113">
          <w:marLeft w:val="720"/>
          <w:marRight w:val="0"/>
          <w:marTop w:val="96"/>
          <w:marBottom w:val="0"/>
          <w:divBdr>
            <w:top w:val="none" w:sz="0" w:space="0" w:color="auto"/>
            <w:left w:val="none" w:sz="0" w:space="0" w:color="auto"/>
            <w:bottom w:val="none" w:sz="0" w:space="0" w:color="auto"/>
            <w:right w:val="none" w:sz="0" w:space="0" w:color="auto"/>
          </w:divBdr>
        </w:div>
        <w:div w:id="337200839">
          <w:marLeft w:val="720"/>
          <w:marRight w:val="0"/>
          <w:marTop w:val="96"/>
          <w:marBottom w:val="0"/>
          <w:divBdr>
            <w:top w:val="none" w:sz="0" w:space="0" w:color="auto"/>
            <w:left w:val="none" w:sz="0" w:space="0" w:color="auto"/>
            <w:bottom w:val="none" w:sz="0" w:space="0" w:color="auto"/>
            <w:right w:val="none" w:sz="0" w:space="0" w:color="auto"/>
          </w:divBdr>
        </w:div>
        <w:div w:id="858662927">
          <w:marLeft w:val="562"/>
          <w:marRight w:val="0"/>
          <w:marTop w:val="115"/>
          <w:marBottom w:val="0"/>
          <w:divBdr>
            <w:top w:val="none" w:sz="0" w:space="0" w:color="auto"/>
            <w:left w:val="none" w:sz="0" w:space="0" w:color="auto"/>
            <w:bottom w:val="none" w:sz="0" w:space="0" w:color="auto"/>
            <w:right w:val="none" w:sz="0" w:space="0" w:color="auto"/>
          </w:divBdr>
        </w:div>
        <w:div w:id="1005745738">
          <w:marLeft w:val="562"/>
          <w:marRight w:val="0"/>
          <w:marTop w:val="115"/>
          <w:marBottom w:val="0"/>
          <w:divBdr>
            <w:top w:val="none" w:sz="0" w:space="0" w:color="auto"/>
            <w:left w:val="none" w:sz="0" w:space="0" w:color="auto"/>
            <w:bottom w:val="none" w:sz="0" w:space="0" w:color="auto"/>
            <w:right w:val="none" w:sz="0" w:space="0" w:color="auto"/>
          </w:divBdr>
        </w:div>
        <w:div w:id="1772041790">
          <w:marLeft w:val="720"/>
          <w:marRight w:val="0"/>
          <w:marTop w:val="96"/>
          <w:marBottom w:val="0"/>
          <w:divBdr>
            <w:top w:val="none" w:sz="0" w:space="0" w:color="auto"/>
            <w:left w:val="none" w:sz="0" w:space="0" w:color="auto"/>
            <w:bottom w:val="none" w:sz="0" w:space="0" w:color="auto"/>
            <w:right w:val="none" w:sz="0" w:space="0" w:color="auto"/>
          </w:divBdr>
        </w:div>
        <w:div w:id="1781024367">
          <w:marLeft w:val="720"/>
          <w:marRight w:val="0"/>
          <w:marTop w:val="96"/>
          <w:marBottom w:val="0"/>
          <w:divBdr>
            <w:top w:val="none" w:sz="0" w:space="0" w:color="auto"/>
            <w:left w:val="none" w:sz="0" w:space="0" w:color="auto"/>
            <w:bottom w:val="none" w:sz="0" w:space="0" w:color="auto"/>
            <w:right w:val="none" w:sz="0" w:space="0" w:color="auto"/>
          </w:divBdr>
        </w:div>
        <w:div w:id="1924340238">
          <w:marLeft w:val="720"/>
          <w:marRight w:val="0"/>
          <w:marTop w:val="96"/>
          <w:marBottom w:val="0"/>
          <w:divBdr>
            <w:top w:val="none" w:sz="0" w:space="0" w:color="auto"/>
            <w:left w:val="none" w:sz="0" w:space="0" w:color="auto"/>
            <w:bottom w:val="none" w:sz="0" w:space="0" w:color="auto"/>
            <w:right w:val="none" w:sz="0" w:space="0" w:color="auto"/>
          </w:divBdr>
        </w:div>
      </w:divsChild>
    </w:div>
    <w:div w:id="1618637872">
      <w:bodyDiv w:val="1"/>
      <w:marLeft w:val="0"/>
      <w:marRight w:val="0"/>
      <w:marTop w:val="0"/>
      <w:marBottom w:val="0"/>
      <w:divBdr>
        <w:top w:val="none" w:sz="0" w:space="0" w:color="auto"/>
        <w:left w:val="none" w:sz="0" w:space="0" w:color="auto"/>
        <w:bottom w:val="none" w:sz="0" w:space="0" w:color="auto"/>
        <w:right w:val="none" w:sz="0" w:space="0" w:color="auto"/>
      </w:divBdr>
    </w:div>
    <w:div w:id="1619219736">
      <w:bodyDiv w:val="1"/>
      <w:marLeft w:val="0"/>
      <w:marRight w:val="0"/>
      <w:marTop w:val="0"/>
      <w:marBottom w:val="0"/>
      <w:divBdr>
        <w:top w:val="none" w:sz="0" w:space="0" w:color="auto"/>
        <w:left w:val="none" w:sz="0" w:space="0" w:color="auto"/>
        <w:bottom w:val="none" w:sz="0" w:space="0" w:color="auto"/>
        <w:right w:val="none" w:sz="0" w:space="0" w:color="auto"/>
      </w:divBdr>
    </w:div>
    <w:div w:id="1622223918">
      <w:bodyDiv w:val="1"/>
      <w:marLeft w:val="0"/>
      <w:marRight w:val="0"/>
      <w:marTop w:val="0"/>
      <w:marBottom w:val="0"/>
      <w:divBdr>
        <w:top w:val="none" w:sz="0" w:space="0" w:color="auto"/>
        <w:left w:val="none" w:sz="0" w:space="0" w:color="auto"/>
        <w:bottom w:val="none" w:sz="0" w:space="0" w:color="auto"/>
        <w:right w:val="none" w:sz="0" w:space="0" w:color="auto"/>
      </w:divBdr>
      <w:divsChild>
        <w:div w:id="634991393">
          <w:marLeft w:val="562"/>
          <w:marRight w:val="0"/>
          <w:marTop w:val="115"/>
          <w:marBottom w:val="0"/>
          <w:divBdr>
            <w:top w:val="none" w:sz="0" w:space="0" w:color="auto"/>
            <w:left w:val="none" w:sz="0" w:space="0" w:color="auto"/>
            <w:bottom w:val="none" w:sz="0" w:space="0" w:color="auto"/>
            <w:right w:val="none" w:sz="0" w:space="0" w:color="auto"/>
          </w:divBdr>
        </w:div>
        <w:div w:id="751201378">
          <w:marLeft w:val="562"/>
          <w:marRight w:val="0"/>
          <w:marTop w:val="115"/>
          <w:marBottom w:val="0"/>
          <w:divBdr>
            <w:top w:val="none" w:sz="0" w:space="0" w:color="auto"/>
            <w:left w:val="none" w:sz="0" w:space="0" w:color="auto"/>
            <w:bottom w:val="none" w:sz="0" w:space="0" w:color="auto"/>
            <w:right w:val="none" w:sz="0" w:space="0" w:color="auto"/>
          </w:divBdr>
        </w:div>
        <w:div w:id="1275795703">
          <w:marLeft w:val="720"/>
          <w:marRight w:val="0"/>
          <w:marTop w:val="96"/>
          <w:marBottom w:val="0"/>
          <w:divBdr>
            <w:top w:val="none" w:sz="0" w:space="0" w:color="auto"/>
            <w:left w:val="none" w:sz="0" w:space="0" w:color="auto"/>
            <w:bottom w:val="none" w:sz="0" w:space="0" w:color="auto"/>
            <w:right w:val="none" w:sz="0" w:space="0" w:color="auto"/>
          </w:divBdr>
        </w:div>
        <w:div w:id="1948538792">
          <w:marLeft w:val="562"/>
          <w:marRight w:val="0"/>
          <w:marTop w:val="115"/>
          <w:marBottom w:val="0"/>
          <w:divBdr>
            <w:top w:val="none" w:sz="0" w:space="0" w:color="auto"/>
            <w:left w:val="none" w:sz="0" w:space="0" w:color="auto"/>
            <w:bottom w:val="none" w:sz="0" w:space="0" w:color="auto"/>
            <w:right w:val="none" w:sz="0" w:space="0" w:color="auto"/>
          </w:divBdr>
        </w:div>
      </w:divsChild>
    </w:div>
    <w:div w:id="1624268973">
      <w:bodyDiv w:val="1"/>
      <w:marLeft w:val="0"/>
      <w:marRight w:val="0"/>
      <w:marTop w:val="0"/>
      <w:marBottom w:val="0"/>
      <w:divBdr>
        <w:top w:val="none" w:sz="0" w:space="0" w:color="auto"/>
        <w:left w:val="none" w:sz="0" w:space="0" w:color="auto"/>
        <w:bottom w:val="none" w:sz="0" w:space="0" w:color="auto"/>
        <w:right w:val="none" w:sz="0" w:space="0" w:color="auto"/>
      </w:divBdr>
      <w:divsChild>
        <w:div w:id="1775249186">
          <w:marLeft w:val="547"/>
          <w:marRight w:val="0"/>
          <w:marTop w:val="115"/>
          <w:marBottom w:val="0"/>
          <w:divBdr>
            <w:top w:val="none" w:sz="0" w:space="0" w:color="auto"/>
            <w:left w:val="none" w:sz="0" w:space="0" w:color="auto"/>
            <w:bottom w:val="none" w:sz="0" w:space="0" w:color="auto"/>
            <w:right w:val="none" w:sz="0" w:space="0" w:color="auto"/>
          </w:divBdr>
        </w:div>
      </w:divsChild>
    </w:div>
    <w:div w:id="1632125986">
      <w:bodyDiv w:val="1"/>
      <w:marLeft w:val="0"/>
      <w:marRight w:val="0"/>
      <w:marTop w:val="0"/>
      <w:marBottom w:val="0"/>
      <w:divBdr>
        <w:top w:val="none" w:sz="0" w:space="0" w:color="auto"/>
        <w:left w:val="none" w:sz="0" w:space="0" w:color="auto"/>
        <w:bottom w:val="none" w:sz="0" w:space="0" w:color="auto"/>
        <w:right w:val="none" w:sz="0" w:space="0" w:color="auto"/>
      </w:divBdr>
    </w:div>
    <w:div w:id="1643846055">
      <w:bodyDiv w:val="1"/>
      <w:marLeft w:val="0"/>
      <w:marRight w:val="0"/>
      <w:marTop w:val="0"/>
      <w:marBottom w:val="0"/>
      <w:divBdr>
        <w:top w:val="none" w:sz="0" w:space="0" w:color="auto"/>
        <w:left w:val="none" w:sz="0" w:space="0" w:color="auto"/>
        <w:bottom w:val="none" w:sz="0" w:space="0" w:color="auto"/>
        <w:right w:val="none" w:sz="0" w:space="0" w:color="auto"/>
      </w:divBdr>
      <w:divsChild>
        <w:div w:id="1594050887">
          <w:marLeft w:val="720"/>
          <w:marRight w:val="0"/>
          <w:marTop w:val="96"/>
          <w:marBottom w:val="0"/>
          <w:divBdr>
            <w:top w:val="none" w:sz="0" w:space="0" w:color="auto"/>
            <w:left w:val="none" w:sz="0" w:space="0" w:color="auto"/>
            <w:bottom w:val="none" w:sz="0" w:space="0" w:color="auto"/>
            <w:right w:val="none" w:sz="0" w:space="0" w:color="auto"/>
          </w:divBdr>
        </w:div>
        <w:div w:id="309094042">
          <w:marLeft w:val="720"/>
          <w:marRight w:val="0"/>
          <w:marTop w:val="96"/>
          <w:marBottom w:val="0"/>
          <w:divBdr>
            <w:top w:val="none" w:sz="0" w:space="0" w:color="auto"/>
            <w:left w:val="none" w:sz="0" w:space="0" w:color="auto"/>
            <w:bottom w:val="none" w:sz="0" w:space="0" w:color="auto"/>
            <w:right w:val="none" w:sz="0" w:space="0" w:color="auto"/>
          </w:divBdr>
        </w:div>
        <w:div w:id="1320697936">
          <w:marLeft w:val="720"/>
          <w:marRight w:val="0"/>
          <w:marTop w:val="96"/>
          <w:marBottom w:val="0"/>
          <w:divBdr>
            <w:top w:val="none" w:sz="0" w:space="0" w:color="auto"/>
            <w:left w:val="none" w:sz="0" w:space="0" w:color="auto"/>
            <w:bottom w:val="none" w:sz="0" w:space="0" w:color="auto"/>
            <w:right w:val="none" w:sz="0" w:space="0" w:color="auto"/>
          </w:divBdr>
        </w:div>
      </w:divsChild>
    </w:div>
    <w:div w:id="1646734033">
      <w:bodyDiv w:val="1"/>
      <w:marLeft w:val="0"/>
      <w:marRight w:val="0"/>
      <w:marTop w:val="0"/>
      <w:marBottom w:val="0"/>
      <w:divBdr>
        <w:top w:val="none" w:sz="0" w:space="0" w:color="auto"/>
        <w:left w:val="none" w:sz="0" w:space="0" w:color="auto"/>
        <w:bottom w:val="none" w:sz="0" w:space="0" w:color="auto"/>
        <w:right w:val="none" w:sz="0" w:space="0" w:color="auto"/>
      </w:divBdr>
    </w:div>
    <w:div w:id="1653175168">
      <w:bodyDiv w:val="1"/>
      <w:marLeft w:val="0"/>
      <w:marRight w:val="0"/>
      <w:marTop w:val="0"/>
      <w:marBottom w:val="0"/>
      <w:divBdr>
        <w:top w:val="none" w:sz="0" w:space="0" w:color="auto"/>
        <w:left w:val="none" w:sz="0" w:space="0" w:color="auto"/>
        <w:bottom w:val="none" w:sz="0" w:space="0" w:color="auto"/>
        <w:right w:val="none" w:sz="0" w:space="0" w:color="auto"/>
      </w:divBdr>
      <w:divsChild>
        <w:div w:id="266232084">
          <w:marLeft w:val="720"/>
          <w:marRight w:val="0"/>
          <w:marTop w:val="96"/>
          <w:marBottom w:val="0"/>
          <w:divBdr>
            <w:top w:val="none" w:sz="0" w:space="0" w:color="auto"/>
            <w:left w:val="none" w:sz="0" w:space="0" w:color="auto"/>
            <w:bottom w:val="none" w:sz="0" w:space="0" w:color="auto"/>
            <w:right w:val="none" w:sz="0" w:space="0" w:color="auto"/>
          </w:divBdr>
        </w:div>
        <w:div w:id="327098730">
          <w:marLeft w:val="720"/>
          <w:marRight w:val="0"/>
          <w:marTop w:val="96"/>
          <w:marBottom w:val="0"/>
          <w:divBdr>
            <w:top w:val="none" w:sz="0" w:space="0" w:color="auto"/>
            <w:left w:val="none" w:sz="0" w:space="0" w:color="auto"/>
            <w:bottom w:val="none" w:sz="0" w:space="0" w:color="auto"/>
            <w:right w:val="none" w:sz="0" w:space="0" w:color="auto"/>
          </w:divBdr>
        </w:div>
        <w:div w:id="725883403">
          <w:marLeft w:val="720"/>
          <w:marRight w:val="0"/>
          <w:marTop w:val="96"/>
          <w:marBottom w:val="0"/>
          <w:divBdr>
            <w:top w:val="none" w:sz="0" w:space="0" w:color="auto"/>
            <w:left w:val="none" w:sz="0" w:space="0" w:color="auto"/>
            <w:bottom w:val="none" w:sz="0" w:space="0" w:color="auto"/>
            <w:right w:val="none" w:sz="0" w:space="0" w:color="auto"/>
          </w:divBdr>
        </w:div>
        <w:div w:id="1077361948">
          <w:marLeft w:val="720"/>
          <w:marRight w:val="0"/>
          <w:marTop w:val="96"/>
          <w:marBottom w:val="0"/>
          <w:divBdr>
            <w:top w:val="none" w:sz="0" w:space="0" w:color="auto"/>
            <w:left w:val="none" w:sz="0" w:space="0" w:color="auto"/>
            <w:bottom w:val="none" w:sz="0" w:space="0" w:color="auto"/>
            <w:right w:val="none" w:sz="0" w:space="0" w:color="auto"/>
          </w:divBdr>
        </w:div>
        <w:div w:id="1089278470">
          <w:marLeft w:val="720"/>
          <w:marRight w:val="0"/>
          <w:marTop w:val="96"/>
          <w:marBottom w:val="0"/>
          <w:divBdr>
            <w:top w:val="none" w:sz="0" w:space="0" w:color="auto"/>
            <w:left w:val="none" w:sz="0" w:space="0" w:color="auto"/>
            <w:bottom w:val="none" w:sz="0" w:space="0" w:color="auto"/>
            <w:right w:val="none" w:sz="0" w:space="0" w:color="auto"/>
          </w:divBdr>
        </w:div>
        <w:div w:id="1120152728">
          <w:marLeft w:val="562"/>
          <w:marRight w:val="0"/>
          <w:marTop w:val="115"/>
          <w:marBottom w:val="0"/>
          <w:divBdr>
            <w:top w:val="none" w:sz="0" w:space="0" w:color="auto"/>
            <w:left w:val="none" w:sz="0" w:space="0" w:color="auto"/>
            <w:bottom w:val="none" w:sz="0" w:space="0" w:color="auto"/>
            <w:right w:val="none" w:sz="0" w:space="0" w:color="auto"/>
          </w:divBdr>
        </w:div>
        <w:div w:id="1477335089">
          <w:marLeft w:val="720"/>
          <w:marRight w:val="0"/>
          <w:marTop w:val="96"/>
          <w:marBottom w:val="0"/>
          <w:divBdr>
            <w:top w:val="none" w:sz="0" w:space="0" w:color="auto"/>
            <w:left w:val="none" w:sz="0" w:space="0" w:color="auto"/>
            <w:bottom w:val="none" w:sz="0" w:space="0" w:color="auto"/>
            <w:right w:val="none" w:sz="0" w:space="0" w:color="auto"/>
          </w:divBdr>
        </w:div>
        <w:div w:id="1589845307">
          <w:marLeft w:val="562"/>
          <w:marRight w:val="0"/>
          <w:marTop w:val="115"/>
          <w:marBottom w:val="0"/>
          <w:divBdr>
            <w:top w:val="none" w:sz="0" w:space="0" w:color="auto"/>
            <w:left w:val="none" w:sz="0" w:space="0" w:color="auto"/>
            <w:bottom w:val="none" w:sz="0" w:space="0" w:color="auto"/>
            <w:right w:val="none" w:sz="0" w:space="0" w:color="auto"/>
          </w:divBdr>
        </w:div>
        <w:div w:id="1731996870">
          <w:marLeft w:val="720"/>
          <w:marRight w:val="0"/>
          <w:marTop w:val="96"/>
          <w:marBottom w:val="0"/>
          <w:divBdr>
            <w:top w:val="none" w:sz="0" w:space="0" w:color="auto"/>
            <w:left w:val="none" w:sz="0" w:space="0" w:color="auto"/>
            <w:bottom w:val="none" w:sz="0" w:space="0" w:color="auto"/>
            <w:right w:val="none" w:sz="0" w:space="0" w:color="auto"/>
          </w:divBdr>
        </w:div>
        <w:div w:id="2135637019">
          <w:marLeft w:val="720"/>
          <w:marRight w:val="0"/>
          <w:marTop w:val="96"/>
          <w:marBottom w:val="0"/>
          <w:divBdr>
            <w:top w:val="none" w:sz="0" w:space="0" w:color="auto"/>
            <w:left w:val="none" w:sz="0" w:space="0" w:color="auto"/>
            <w:bottom w:val="none" w:sz="0" w:space="0" w:color="auto"/>
            <w:right w:val="none" w:sz="0" w:space="0" w:color="auto"/>
          </w:divBdr>
        </w:div>
      </w:divsChild>
    </w:div>
    <w:div w:id="1685590344">
      <w:bodyDiv w:val="1"/>
      <w:marLeft w:val="0"/>
      <w:marRight w:val="0"/>
      <w:marTop w:val="0"/>
      <w:marBottom w:val="0"/>
      <w:divBdr>
        <w:top w:val="none" w:sz="0" w:space="0" w:color="auto"/>
        <w:left w:val="none" w:sz="0" w:space="0" w:color="auto"/>
        <w:bottom w:val="none" w:sz="0" w:space="0" w:color="auto"/>
        <w:right w:val="none" w:sz="0" w:space="0" w:color="auto"/>
      </w:divBdr>
    </w:div>
    <w:div w:id="1703480588">
      <w:bodyDiv w:val="1"/>
      <w:marLeft w:val="0"/>
      <w:marRight w:val="0"/>
      <w:marTop w:val="0"/>
      <w:marBottom w:val="0"/>
      <w:divBdr>
        <w:top w:val="none" w:sz="0" w:space="0" w:color="auto"/>
        <w:left w:val="none" w:sz="0" w:space="0" w:color="auto"/>
        <w:bottom w:val="none" w:sz="0" w:space="0" w:color="auto"/>
        <w:right w:val="none" w:sz="0" w:space="0" w:color="auto"/>
      </w:divBdr>
      <w:divsChild>
        <w:div w:id="115607780">
          <w:marLeft w:val="720"/>
          <w:marRight w:val="0"/>
          <w:marTop w:val="91"/>
          <w:marBottom w:val="0"/>
          <w:divBdr>
            <w:top w:val="none" w:sz="0" w:space="0" w:color="auto"/>
            <w:left w:val="none" w:sz="0" w:space="0" w:color="auto"/>
            <w:bottom w:val="none" w:sz="0" w:space="0" w:color="auto"/>
            <w:right w:val="none" w:sz="0" w:space="0" w:color="auto"/>
          </w:divBdr>
        </w:div>
        <w:div w:id="355927583">
          <w:marLeft w:val="720"/>
          <w:marRight w:val="0"/>
          <w:marTop w:val="91"/>
          <w:marBottom w:val="0"/>
          <w:divBdr>
            <w:top w:val="none" w:sz="0" w:space="0" w:color="auto"/>
            <w:left w:val="none" w:sz="0" w:space="0" w:color="auto"/>
            <w:bottom w:val="none" w:sz="0" w:space="0" w:color="auto"/>
            <w:right w:val="none" w:sz="0" w:space="0" w:color="auto"/>
          </w:divBdr>
        </w:div>
        <w:div w:id="556664563">
          <w:marLeft w:val="720"/>
          <w:marRight w:val="0"/>
          <w:marTop w:val="91"/>
          <w:marBottom w:val="0"/>
          <w:divBdr>
            <w:top w:val="none" w:sz="0" w:space="0" w:color="auto"/>
            <w:left w:val="none" w:sz="0" w:space="0" w:color="auto"/>
            <w:bottom w:val="none" w:sz="0" w:space="0" w:color="auto"/>
            <w:right w:val="none" w:sz="0" w:space="0" w:color="auto"/>
          </w:divBdr>
        </w:div>
        <w:div w:id="786387005">
          <w:marLeft w:val="562"/>
          <w:marRight w:val="0"/>
          <w:marTop w:val="106"/>
          <w:marBottom w:val="0"/>
          <w:divBdr>
            <w:top w:val="none" w:sz="0" w:space="0" w:color="auto"/>
            <w:left w:val="none" w:sz="0" w:space="0" w:color="auto"/>
            <w:bottom w:val="none" w:sz="0" w:space="0" w:color="auto"/>
            <w:right w:val="none" w:sz="0" w:space="0" w:color="auto"/>
          </w:divBdr>
        </w:div>
        <w:div w:id="1123184551">
          <w:marLeft w:val="720"/>
          <w:marRight w:val="0"/>
          <w:marTop w:val="91"/>
          <w:marBottom w:val="0"/>
          <w:divBdr>
            <w:top w:val="none" w:sz="0" w:space="0" w:color="auto"/>
            <w:left w:val="none" w:sz="0" w:space="0" w:color="auto"/>
            <w:bottom w:val="none" w:sz="0" w:space="0" w:color="auto"/>
            <w:right w:val="none" w:sz="0" w:space="0" w:color="auto"/>
          </w:divBdr>
        </w:div>
        <w:div w:id="1169828249">
          <w:marLeft w:val="562"/>
          <w:marRight w:val="0"/>
          <w:marTop w:val="106"/>
          <w:marBottom w:val="0"/>
          <w:divBdr>
            <w:top w:val="none" w:sz="0" w:space="0" w:color="auto"/>
            <w:left w:val="none" w:sz="0" w:space="0" w:color="auto"/>
            <w:bottom w:val="none" w:sz="0" w:space="0" w:color="auto"/>
            <w:right w:val="none" w:sz="0" w:space="0" w:color="auto"/>
          </w:divBdr>
        </w:div>
        <w:div w:id="1177227346">
          <w:marLeft w:val="720"/>
          <w:marRight w:val="0"/>
          <w:marTop w:val="91"/>
          <w:marBottom w:val="0"/>
          <w:divBdr>
            <w:top w:val="none" w:sz="0" w:space="0" w:color="auto"/>
            <w:left w:val="none" w:sz="0" w:space="0" w:color="auto"/>
            <w:bottom w:val="none" w:sz="0" w:space="0" w:color="auto"/>
            <w:right w:val="none" w:sz="0" w:space="0" w:color="auto"/>
          </w:divBdr>
        </w:div>
        <w:div w:id="1690140551">
          <w:marLeft w:val="562"/>
          <w:marRight w:val="0"/>
          <w:marTop w:val="106"/>
          <w:marBottom w:val="0"/>
          <w:divBdr>
            <w:top w:val="none" w:sz="0" w:space="0" w:color="auto"/>
            <w:left w:val="none" w:sz="0" w:space="0" w:color="auto"/>
            <w:bottom w:val="none" w:sz="0" w:space="0" w:color="auto"/>
            <w:right w:val="none" w:sz="0" w:space="0" w:color="auto"/>
          </w:divBdr>
        </w:div>
        <w:div w:id="2033529046">
          <w:marLeft w:val="720"/>
          <w:marRight w:val="0"/>
          <w:marTop w:val="91"/>
          <w:marBottom w:val="0"/>
          <w:divBdr>
            <w:top w:val="none" w:sz="0" w:space="0" w:color="auto"/>
            <w:left w:val="none" w:sz="0" w:space="0" w:color="auto"/>
            <w:bottom w:val="none" w:sz="0" w:space="0" w:color="auto"/>
            <w:right w:val="none" w:sz="0" w:space="0" w:color="auto"/>
          </w:divBdr>
        </w:div>
        <w:div w:id="2088845379">
          <w:marLeft w:val="720"/>
          <w:marRight w:val="0"/>
          <w:marTop w:val="91"/>
          <w:marBottom w:val="0"/>
          <w:divBdr>
            <w:top w:val="none" w:sz="0" w:space="0" w:color="auto"/>
            <w:left w:val="none" w:sz="0" w:space="0" w:color="auto"/>
            <w:bottom w:val="none" w:sz="0" w:space="0" w:color="auto"/>
            <w:right w:val="none" w:sz="0" w:space="0" w:color="auto"/>
          </w:divBdr>
        </w:div>
        <w:div w:id="2103337882">
          <w:marLeft w:val="562"/>
          <w:marRight w:val="0"/>
          <w:marTop w:val="106"/>
          <w:marBottom w:val="0"/>
          <w:divBdr>
            <w:top w:val="none" w:sz="0" w:space="0" w:color="auto"/>
            <w:left w:val="none" w:sz="0" w:space="0" w:color="auto"/>
            <w:bottom w:val="none" w:sz="0" w:space="0" w:color="auto"/>
            <w:right w:val="none" w:sz="0" w:space="0" w:color="auto"/>
          </w:divBdr>
        </w:div>
      </w:divsChild>
    </w:div>
    <w:div w:id="1717006792">
      <w:bodyDiv w:val="1"/>
      <w:marLeft w:val="0"/>
      <w:marRight w:val="0"/>
      <w:marTop w:val="0"/>
      <w:marBottom w:val="0"/>
      <w:divBdr>
        <w:top w:val="none" w:sz="0" w:space="0" w:color="auto"/>
        <w:left w:val="none" w:sz="0" w:space="0" w:color="auto"/>
        <w:bottom w:val="none" w:sz="0" w:space="0" w:color="auto"/>
        <w:right w:val="none" w:sz="0" w:space="0" w:color="auto"/>
      </w:divBdr>
    </w:div>
    <w:div w:id="1723482535">
      <w:bodyDiv w:val="1"/>
      <w:marLeft w:val="0"/>
      <w:marRight w:val="0"/>
      <w:marTop w:val="0"/>
      <w:marBottom w:val="0"/>
      <w:divBdr>
        <w:top w:val="none" w:sz="0" w:space="0" w:color="auto"/>
        <w:left w:val="none" w:sz="0" w:space="0" w:color="auto"/>
        <w:bottom w:val="none" w:sz="0" w:space="0" w:color="auto"/>
        <w:right w:val="none" w:sz="0" w:space="0" w:color="auto"/>
      </w:divBdr>
    </w:div>
    <w:div w:id="1726446432">
      <w:bodyDiv w:val="1"/>
      <w:marLeft w:val="0"/>
      <w:marRight w:val="0"/>
      <w:marTop w:val="0"/>
      <w:marBottom w:val="0"/>
      <w:divBdr>
        <w:top w:val="none" w:sz="0" w:space="0" w:color="auto"/>
        <w:left w:val="none" w:sz="0" w:space="0" w:color="auto"/>
        <w:bottom w:val="none" w:sz="0" w:space="0" w:color="auto"/>
        <w:right w:val="none" w:sz="0" w:space="0" w:color="auto"/>
      </w:divBdr>
    </w:div>
    <w:div w:id="1731539095">
      <w:bodyDiv w:val="1"/>
      <w:marLeft w:val="0"/>
      <w:marRight w:val="0"/>
      <w:marTop w:val="0"/>
      <w:marBottom w:val="0"/>
      <w:divBdr>
        <w:top w:val="none" w:sz="0" w:space="0" w:color="auto"/>
        <w:left w:val="none" w:sz="0" w:space="0" w:color="auto"/>
        <w:bottom w:val="none" w:sz="0" w:space="0" w:color="auto"/>
        <w:right w:val="none" w:sz="0" w:space="0" w:color="auto"/>
      </w:divBdr>
    </w:div>
    <w:div w:id="1735003563">
      <w:bodyDiv w:val="1"/>
      <w:marLeft w:val="0"/>
      <w:marRight w:val="0"/>
      <w:marTop w:val="0"/>
      <w:marBottom w:val="0"/>
      <w:divBdr>
        <w:top w:val="none" w:sz="0" w:space="0" w:color="auto"/>
        <w:left w:val="none" w:sz="0" w:space="0" w:color="auto"/>
        <w:bottom w:val="none" w:sz="0" w:space="0" w:color="auto"/>
        <w:right w:val="none" w:sz="0" w:space="0" w:color="auto"/>
      </w:divBdr>
      <w:divsChild>
        <w:div w:id="277834015">
          <w:marLeft w:val="360"/>
          <w:marRight w:val="0"/>
          <w:marTop w:val="200"/>
          <w:marBottom w:val="0"/>
          <w:divBdr>
            <w:top w:val="none" w:sz="0" w:space="0" w:color="auto"/>
            <w:left w:val="none" w:sz="0" w:space="0" w:color="auto"/>
            <w:bottom w:val="none" w:sz="0" w:space="0" w:color="auto"/>
            <w:right w:val="none" w:sz="0" w:space="0" w:color="auto"/>
          </w:divBdr>
        </w:div>
        <w:div w:id="840706217">
          <w:marLeft w:val="360"/>
          <w:marRight w:val="0"/>
          <w:marTop w:val="200"/>
          <w:marBottom w:val="0"/>
          <w:divBdr>
            <w:top w:val="none" w:sz="0" w:space="0" w:color="auto"/>
            <w:left w:val="none" w:sz="0" w:space="0" w:color="auto"/>
            <w:bottom w:val="none" w:sz="0" w:space="0" w:color="auto"/>
            <w:right w:val="none" w:sz="0" w:space="0" w:color="auto"/>
          </w:divBdr>
        </w:div>
        <w:div w:id="929629957">
          <w:marLeft w:val="360"/>
          <w:marRight w:val="0"/>
          <w:marTop w:val="200"/>
          <w:marBottom w:val="0"/>
          <w:divBdr>
            <w:top w:val="none" w:sz="0" w:space="0" w:color="auto"/>
            <w:left w:val="none" w:sz="0" w:space="0" w:color="auto"/>
            <w:bottom w:val="none" w:sz="0" w:space="0" w:color="auto"/>
            <w:right w:val="none" w:sz="0" w:space="0" w:color="auto"/>
          </w:divBdr>
        </w:div>
        <w:div w:id="1026247900">
          <w:marLeft w:val="360"/>
          <w:marRight w:val="0"/>
          <w:marTop w:val="200"/>
          <w:marBottom w:val="0"/>
          <w:divBdr>
            <w:top w:val="none" w:sz="0" w:space="0" w:color="auto"/>
            <w:left w:val="none" w:sz="0" w:space="0" w:color="auto"/>
            <w:bottom w:val="none" w:sz="0" w:space="0" w:color="auto"/>
            <w:right w:val="none" w:sz="0" w:space="0" w:color="auto"/>
          </w:divBdr>
        </w:div>
        <w:div w:id="1403334493">
          <w:marLeft w:val="360"/>
          <w:marRight w:val="0"/>
          <w:marTop w:val="200"/>
          <w:marBottom w:val="0"/>
          <w:divBdr>
            <w:top w:val="none" w:sz="0" w:space="0" w:color="auto"/>
            <w:left w:val="none" w:sz="0" w:space="0" w:color="auto"/>
            <w:bottom w:val="none" w:sz="0" w:space="0" w:color="auto"/>
            <w:right w:val="none" w:sz="0" w:space="0" w:color="auto"/>
          </w:divBdr>
        </w:div>
        <w:div w:id="1834249150">
          <w:marLeft w:val="360"/>
          <w:marRight w:val="0"/>
          <w:marTop w:val="200"/>
          <w:marBottom w:val="0"/>
          <w:divBdr>
            <w:top w:val="none" w:sz="0" w:space="0" w:color="auto"/>
            <w:left w:val="none" w:sz="0" w:space="0" w:color="auto"/>
            <w:bottom w:val="none" w:sz="0" w:space="0" w:color="auto"/>
            <w:right w:val="none" w:sz="0" w:space="0" w:color="auto"/>
          </w:divBdr>
        </w:div>
      </w:divsChild>
    </w:div>
    <w:div w:id="1736511000">
      <w:bodyDiv w:val="1"/>
      <w:marLeft w:val="0"/>
      <w:marRight w:val="0"/>
      <w:marTop w:val="0"/>
      <w:marBottom w:val="0"/>
      <w:divBdr>
        <w:top w:val="none" w:sz="0" w:space="0" w:color="auto"/>
        <w:left w:val="none" w:sz="0" w:space="0" w:color="auto"/>
        <w:bottom w:val="none" w:sz="0" w:space="0" w:color="auto"/>
        <w:right w:val="none" w:sz="0" w:space="0" w:color="auto"/>
      </w:divBdr>
    </w:div>
    <w:div w:id="1743333830">
      <w:bodyDiv w:val="1"/>
      <w:marLeft w:val="0"/>
      <w:marRight w:val="0"/>
      <w:marTop w:val="0"/>
      <w:marBottom w:val="0"/>
      <w:divBdr>
        <w:top w:val="none" w:sz="0" w:space="0" w:color="auto"/>
        <w:left w:val="none" w:sz="0" w:space="0" w:color="auto"/>
        <w:bottom w:val="none" w:sz="0" w:space="0" w:color="auto"/>
        <w:right w:val="none" w:sz="0" w:space="0" w:color="auto"/>
      </w:divBdr>
    </w:div>
    <w:div w:id="1744065912">
      <w:bodyDiv w:val="1"/>
      <w:marLeft w:val="0"/>
      <w:marRight w:val="0"/>
      <w:marTop w:val="0"/>
      <w:marBottom w:val="0"/>
      <w:divBdr>
        <w:top w:val="none" w:sz="0" w:space="0" w:color="auto"/>
        <w:left w:val="none" w:sz="0" w:space="0" w:color="auto"/>
        <w:bottom w:val="none" w:sz="0" w:space="0" w:color="auto"/>
        <w:right w:val="none" w:sz="0" w:space="0" w:color="auto"/>
      </w:divBdr>
      <w:divsChild>
        <w:div w:id="43796484">
          <w:marLeft w:val="720"/>
          <w:marRight w:val="0"/>
          <w:marTop w:val="96"/>
          <w:marBottom w:val="0"/>
          <w:divBdr>
            <w:top w:val="none" w:sz="0" w:space="0" w:color="auto"/>
            <w:left w:val="none" w:sz="0" w:space="0" w:color="auto"/>
            <w:bottom w:val="none" w:sz="0" w:space="0" w:color="auto"/>
            <w:right w:val="none" w:sz="0" w:space="0" w:color="auto"/>
          </w:divBdr>
        </w:div>
        <w:div w:id="262685750">
          <w:marLeft w:val="562"/>
          <w:marRight w:val="0"/>
          <w:marTop w:val="115"/>
          <w:marBottom w:val="0"/>
          <w:divBdr>
            <w:top w:val="none" w:sz="0" w:space="0" w:color="auto"/>
            <w:left w:val="none" w:sz="0" w:space="0" w:color="auto"/>
            <w:bottom w:val="none" w:sz="0" w:space="0" w:color="auto"/>
            <w:right w:val="none" w:sz="0" w:space="0" w:color="auto"/>
          </w:divBdr>
        </w:div>
        <w:div w:id="383528652">
          <w:marLeft w:val="562"/>
          <w:marRight w:val="0"/>
          <w:marTop w:val="115"/>
          <w:marBottom w:val="0"/>
          <w:divBdr>
            <w:top w:val="none" w:sz="0" w:space="0" w:color="auto"/>
            <w:left w:val="none" w:sz="0" w:space="0" w:color="auto"/>
            <w:bottom w:val="none" w:sz="0" w:space="0" w:color="auto"/>
            <w:right w:val="none" w:sz="0" w:space="0" w:color="auto"/>
          </w:divBdr>
        </w:div>
        <w:div w:id="558325971">
          <w:marLeft w:val="720"/>
          <w:marRight w:val="0"/>
          <w:marTop w:val="96"/>
          <w:marBottom w:val="0"/>
          <w:divBdr>
            <w:top w:val="none" w:sz="0" w:space="0" w:color="auto"/>
            <w:left w:val="none" w:sz="0" w:space="0" w:color="auto"/>
            <w:bottom w:val="none" w:sz="0" w:space="0" w:color="auto"/>
            <w:right w:val="none" w:sz="0" w:space="0" w:color="auto"/>
          </w:divBdr>
        </w:div>
        <w:div w:id="594939116">
          <w:marLeft w:val="720"/>
          <w:marRight w:val="0"/>
          <w:marTop w:val="96"/>
          <w:marBottom w:val="0"/>
          <w:divBdr>
            <w:top w:val="none" w:sz="0" w:space="0" w:color="auto"/>
            <w:left w:val="none" w:sz="0" w:space="0" w:color="auto"/>
            <w:bottom w:val="none" w:sz="0" w:space="0" w:color="auto"/>
            <w:right w:val="none" w:sz="0" w:space="0" w:color="auto"/>
          </w:divBdr>
        </w:div>
      </w:divsChild>
    </w:div>
    <w:div w:id="1744450248">
      <w:bodyDiv w:val="1"/>
      <w:marLeft w:val="0"/>
      <w:marRight w:val="0"/>
      <w:marTop w:val="0"/>
      <w:marBottom w:val="0"/>
      <w:divBdr>
        <w:top w:val="none" w:sz="0" w:space="0" w:color="auto"/>
        <w:left w:val="none" w:sz="0" w:space="0" w:color="auto"/>
        <w:bottom w:val="none" w:sz="0" w:space="0" w:color="auto"/>
        <w:right w:val="none" w:sz="0" w:space="0" w:color="auto"/>
      </w:divBdr>
      <w:divsChild>
        <w:div w:id="38096037">
          <w:marLeft w:val="720"/>
          <w:marRight w:val="0"/>
          <w:marTop w:val="96"/>
          <w:marBottom w:val="0"/>
          <w:divBdr>
            <w:top w:val="none" w:sz="0" w:space="0" w:color="auto"/>
            <w:left w:val="none" w:sz="0" w:space="0" w:color="auto"/>
            <w:bottom w:val="none" w:sz="0" w:space="0" w:color="auto"/>
            <w:right w:val="none" w:sz="0" w:space="0" w:color="auto"/>
          </w:divBdr>
        </w:div>
        <w:div w:id="1652520684">
          <w:marLeft w:val="288"/>
          <w:marRight w:val="0"/>
          <w:marTop w:val="115"/>
          <w:marBottom w:val="0"/>
          <w:divBdr>
            <w:top w:val="none" w:sz="0" w:space="0" w:color="auto"/>
            <w:left w:val="none" w:sz="0" w:space="0" w:color="auto"/>
            <w:bottom w:val="none" w:sz="0" w:space="0" w:color="auto"/>
            <w:right w:val="none" w:sz="0" w:space="0" w:color="auto"/>
          </w:divBdr>
        </w:div>
        <w:div w:id="1853762518">
          <w:marLeft w:val="720"/>
          <w:marRight w:val="0"/>
          <w:marTop w:val="96"/>
          <w:marBottom w:val="0"/>
          <w:divBdr>
            <w:top w:val="none" w:sz="0" w:space="0" w:color="auto"/>
            <w:left w:val="none" w:sz="0" w:space="0" w:color="auto"/>
            <w:bottom w:val="none" w:sz="0" w:space="0" w:color="auto"/>
            <w:right w:val="none" w:sz="0" w:space="0" w:color="auto"/>
          </w:divBdr>
        </w:div>
      </w:divsChild>
    </w:div>
    <w:div w:id="1752196970">
      <w:bodyDiv w:val="1"/>
      <w:marLeft w:val="0"/>
      <w:marRight w:val="0"/>
      <w:marTop w:val="0"/>
      <w:marBottom w:val="0"/>
      <w:divBdr>
        <w:top w:val="none" w:sz="0" w:space="0" w:color="auto"/>
        <w:left w:val="none" w:sz="0" w:space="0" w:color="auto"/>
        <w:bottom w:val="none" w:sz="0" w:space="0" w:color="auto"/>
        <w:right w:val="none" w:sz="0" w:space="0" w:color="auto"/>
      </w:divBdr>
    </w:div>
    <w:div w:id="1754668251">
      <w:bodyDiv w:val="1"/>
      <w:marLeft w:val="0"/>
      <w:marRight w:val="0"/>
      <w:marTop w:val="0"/>
      <w:marBottom w:val="0"/>
      <w:divBdr>
        <w:top w:val="none" w:sz="0" w:space="0" w:color="auto"/>
        <w:left w:val="none" w:sz="0" w:space="0" w:color="auto"/>
        <w:bottom w:val="none" w:sz="0" w:space="0" w:color="auto"/>
        <w:right w:val="none" w:sz="0" w:space="0" w:color="auto"/>
      </w:divBdr>
    </w:div>
    <w:div w:id="1756317487">
      <w:bodyDiv w:val="1"/>
      <w:marLeft w:val="0"/>
      <w:marRight w:val="0"/>
      <w:marTop w:val="0"/>
      <w:marBottom w:val="0"/>
      <w:divBdr>
        <w:top w:val="none" w:sz="0" w:space="0" w:color="auto"/>
        <w:left w:val="none" w:sz="0" w:space="0" w:color="auto"/>
        <w:bottom w:val="none" w:sz="0" w:space="0" w:color="auto"/>
        <w:right w:val="none" w:sz="0" w:space="0" w:color="auto"/>
      </w:divBdr>
    </w:div>
    <w:div w:id="1757555665">
      <w:bodyDiv w:val="1"/>
      <w:marLeft w:val="0"/>
      <w:marRight w:val="0"/>
      <w:marTop w:val="0"/>
      <w:marBottom w:val="0"/>
      <w:divBdr>
        <w:top w:val="none" w:sz="0" w:space="0" w:color="auto"/>
        <w:left w:val="none" w:sz="0" w:space="0" w:color="auto"/>
        <w:bottom w:val="none" w:sz="0" w:space="0" w:color="auto"/>
        <w:right w:val="none" w:sz="0" w:space="0" w:color="auto"/>
      </w:divBdr>
    </w:div>
    <w:div w:id="1760641234">
      <w:bodyDiv w:val="1"/>
      <w:marLeft w:val="0"/>
      <w:marRight w:val="0"/>
      <w:marTop w:val="0"/>
      <w:marBottom w:val="0"/>
      <w:divBdr>
        <w:top w:val="none" w:sz="0" w:space="0" w:color="auto"/>
        <w:left w:val="none" w:sz="0" w:space="0" w:color="auto"/>
        <w:bottom w:val="none" w:sz="0" w:space="0" w:color="auto"/>
        <w:right w:val="none" w:sz="0" w:space="0" w:color="auto"/>
      </w:divBdr>
      <w:divsChild>
        <w:div w:id="474643264">
          <w:marLeft w:val="720"/>
          <w:marRight w:val="0"/>
          <w:marTop w:val="96"/>
          <w:marBottom w:val="0"/>
          <w:divBdr>
            <w:top w:val="none" w:sz="0" w:space="0" w:color="auto"/>
            <w:left w:val="none" w:sz="0" w:space="0" w:color="auto"/>
            <w:bottom w:val="none" w:sz="0" w:space="0" w:color="auto"/>
            <w:right w:val="none" w:sz="0" w:space="0" w:color="auto"/>
          </w:divBdr>
        </w:div>
        <w:div w:id="850804839">
          <w:marLeft w:val="720"/>
          <w:marRight w:val="0"/>
          <w:marTop w:val="96"/>
          <w:marBottom w:val="0"/>
          <w:divBdr>
            <w:top w:val="none" w:sz="0" w:space="0" w:color="auto"/>
            <w:left w:val="none" w:sz="0" w:space="0" w:color="auto"/>
            <w:bottom w:val="none" w:sz="0" w:space="0" w:color="auto"/>
            <w:right w:val="none" w:sz="0" w:space="0" w:color="auto"/>
          </w:divBdr>
        </w:div>
        <w:div w:id="1273584672">
          <w:marLeft w:val="562"/>
          <w:marRight w:val="0"/>
          <w:marTop w:val="115"/>
          <w:marBottom w:val="0"/>
          <w:divBdr>
            <w:top w:val="none" w:sz="0" w:space="0" w:color="auto"/>
            <w:left w:val="none" w:sz="0" w:space="0" w:color="auto"/>
            <w:bottom w:val="none" w:sz="0" w:space="0" w:color="auto"/>
            <w:right w:val="none" w:sz="0" w:space="0" w:color="auto"/>
          </w:divBdr>
        </w:div>
        <w:div w:id="1282954476">
          <w:marLeft w:val="720"/>
          <w:marRight w:val="0"/>
          <w:marTop w:val="96"/>
          <w:marBottom w:val="0"/>
          <w:divBdr>
            <w:top w:val="none" w:sz="0" w:space="0" w:color="auto"/>
            <w:left w:val="none" w:sz="0" w:space="0" w:color="auto"/>
            <w:bottom w:val="none" w:sz="0" w:space="0" w:color="auto"/>
            <w:right w:val="none" w:sz="0" w:space="0" w:color="auto"/>
          </w:divBdr>
        </w:div>
        <w:div w:id="1803109906">
          <w:marLeft w:val="720"/>
          <w:marRight w:val="0"/>
          <w:marTop w:val="96"/>
          <w:marBottom w:val="0"/>
          <w:divBdr>
            <w:top w:val="none" w:sz="0" w:space="0" w:color="auto"/>
            <w:left w:val="none" w:sz="0" w:space="0" w:color="auto"/>
            <w:bottom w:val="none" w:sz="0" w:space="0" w:color="auto"/>
            <w:right w:val="none" w:sz="0" w:space="0" w:color="auto"/>
          </w:divBdr>
        </w:div>
      </w:divsChild>
    </w:div>
    <w:div w:id="1764568769">
      <w:bodyDiv w:val="1"/>
      <w:marLeft w:val="0"/>
      <w:marRight w:val="0"/>
      <w:marTop w:val="0"/>
      <w:marBottom w:val="0"/>
      <w:divBdr>
        <w:top w:val="none" w:sz="0" w:space="0" w:color="auto"/>
        <w:left w:val="none" w:sz="0" w:space="0" w:color="auto"/>
        <w:bottom w:val="none" w:sz="0" w:space="0" w:color="auto"/>
        <w:right w:val="none" w:sz="0" w:space="0" w:color="auto"/>
      </w:divBdr>
      <w:divsChild>
        <w:div w:id="680661611">
          <w:marLeft w:val="562"/>
          <w:marRight w:val="0"/>
          <w:marTop w:val="115"/>
          <w:marBottom w:val="0"/>
          <w:divBdr>
            <w:top w:val="none" w:sz="0" w:space="0" w:color="auto"/>
            <w:left w:val="none" w:sz="0" w:space="0" w:color="auto"/>
            <w:bottom w:val="none" w:sz="0" w:space="0" w:color="auto"/>
            <w:right w:val="none" w:sz="0" w:space="0" w:color="auto"/>
          </w:divBdr>
        </w:div>
        <w:div w:id="1554272790">
          <w:marLeft w:val="562"/>
          <w:marRight w:val="0"/>
          <w:marTop w:val="115"/>
          <w:marBottom w:val="0"/>
          <w:divBdr>
            <w:top w:val="none" w:sz="0" w:space="0" w:color="auto"/>
            <w:left w:val="none" w:sz="0" w:space="0" w:color="auto"/>
            <w:bottom w:val="none" w:sz="0" w:space="0" w:color="auto"/>
            <w:right w:val="none" w:sz="0" w:space="0" w:color="auto"/>
          </w:divBdr>
        </w:div>
        <w:div w:id="1863863404">
          <w:marLeft w:val="562"/>
          <w:marRight w:val="0"/>
          <w:marTop w:val="115"/>
          <w:marBottom w:val="0"/>
          <w:divBdr>
            <w:top w:val="none" w:sz="0" w:space="0" w:color="auto"/>
            <w:left w:val="none" w:sz="0" w:space="0" w:color="auto"/>
            <w:bottom w:val="none" w:sz="0" w:space="0" w:color="auto"/>
            <w:right w:val="none" w:sz="0" w:space="0" w:color="auto"/>
          </w:divBdr>
        </w:div>
        <w:div w:id="2070348090">
          <w:marLeft w:val="562"/>
          <w:marRight w:val="0"/>
          <w:marTop w:val="115"/>
          <w:marBottom w:val="0"/>
          <w:divBdr>
            <w:top w:val="none" w:sz="0" w:space="0" w:color="auto"/>
            <w:left w:val="none" w:sz="0" w:space="0" w:color="auto"/>
            <w:bottom w:val="none" w:sz="0" w:space="0" w:color="auto"/>
            <w:right w:val="none" w:sz="0" w:space="0" w:color="auto"/>
          </w:divBdr>
        </w:div>
      </w:divsChild>
    </w:div>
    <w:div w:id="1767723965">
      <w:bodyDiv w:val="1"/>
      <w:marLeft w:val="0"/>
      <w:marRight w:val="0"/>
      <w:marTop w:val="0"/>
      <w:marBottom w:val="0"/>
      <w:divBdr>
        <w:top w:val="none" w:sz="0" w:space="0" w:color="auto"/>
        <w:left w:val="none" w:sz="0" w:space="0" w:color="auto"/>
        <w:bottom w:val="none" w:sz="0" w:space="0" w:color="auto"/>
        <w:right w:val="none" w:sz="0" w:space="0" w:color="auto"/>
      </w:divBdr>
      <w:divsChild>
        <w:div w:id="1481113966">
          <w:marLeft w:val="0"/>
          <w:marRight w:val="0"/>
          <w:marTop w:val="0"/>
          <w:marBottom w:val="0"/>
          <w:divBdr>
            <w:top w:val="single" w:sz="48" w:space="0" w:color="FFFFFF"/>
            <w:left w:val="single" w:sz="48" w:space="0" w:color="FFFFFF"/>
            <w:bottom w:val="single" w:sz="48" w:space="0" w:color="FFFFFF"/>
            <w:right w:val="single" w:sz="48" w:space="0" w:color="FFFFFF"/>
          </w:divBdr>
        </w:div>
      </w:divsChild>
    </w:div>
    <w:div w:id="1773822061">
      <w:bodyDiv w:val="1"/>
      <w:marLeft w:val="0"/>
      <w:marRight w:val="0"/>
      <w:marTop w:val="0"/>
      <w:marBottom w:val="0"/>
      <w:divBdr>
        <w:top w:val="none" w:sz="0" w:space="0" w:color="auto"/>
        <w:left w:val="none" w:sz="0" w:space="0" w:color="auto"/>
        <w:bottom w:val="none" w:sz="0" w:space="0" w:color="auto"/>
        <w:right w:val="none" w:sz="0" w:space="0" w:color="auto"/>
      </w:divBdr>
      <w:divsChild>
        <w:div w:id="467403996">
          <w:marLeft w:val="0"/>
          <w:marRight w:val="0"/>
          <w:marTop w:val="0"/>
          <w:marBottom w:val="0"/>
          <w:divBdr>
            <w:top w:val="none" w:sz="0" w:space="0" w:color="auto"/>
            <w:left w:val="none" w:sz="0" w:space="0" w:color="auto"/>
            <w:bottom w:val="none" w:sz="0" w:space="0" w:color="auto"/>
            <w:right w:val="none" w:sz="0" w:space="0" w:color="auto"/>
          </w:divBdr>
        </w:div>
      </w:divsChild>
    </w:div>
    <w:div w:id="1776093673">
      <w:bodyDiv w:val="1"/>
      <w:marLeft w:val="0"/>
      <w:marRight w:val="0"/>
      <w:marTop w:val="0"/>
      <w:marBottom w:val="0"/>
      <w:divBdr>
        <w:top w:val="none" w:sz="0" w:space="0" w:color="auto"/>
        <w:left w:val="none" w:sz="0" w:space="0" w:color="auto"/>
        <w:bottom w:val="none" w:sz="0" w:space="0" w:color="auto"/>
        <w:right w:val="none" w:sz="0" w:space="0" w:color="auto"/>
      </w:divBdr>
    </w:div>
    <w:div w:id="1820152389">
      <w:bodyDiv w:val="1"/>
      <w:marLeft w:val="0"/>
      <w:marRight w:val="0"/>
      <w:marTop w:val="0"/>
      <w:marBottom w:val="0"/>
      <w:divBdr>
        <w:top w:val="none" w:sz="0" w:space="0" w:color="auto"/>
        <w:left w:val="none" w:sz="0" w:space="0" w:color="auto"/>
        <w:bottom w:val="none" w:sz="0" w:space="0" w:color="auto"/>
        <w:right w:val="none" w:sz="0" w:space="0" w:color="auto"/>
      </w:divBdr>
    </w:div>
    <w:div w:id="1828669859">
      <w:bodyDiv w:val="1"/>
      <w:marLeft w:val="0"/>
      <w:marRight w:val="0"/>
      <w:marTop w:val="0"/>
      <w:marBottom w:val="0"/>
      <w:divBdr>
        <w:top w:val="none" w:sz="0" w:space="0" w:color="auto"/>
        <w:left w:val="none" w:sz="0" w:space="0" w:color="auto"/>
        <w:bottom w:val="none" w:sz="0" w:space="0" w:color="auto"/>
        <w:right w:val="none" w:sz="0" w:space="0" w:color="auto"/>
      </w:divBdr>
    </w:div>
    <w:div w:id="1846940856">
      <w:bodyDiv w:val="1"/>
      <w:marLeft w:val="0"/>
      <w:marRight w:val="0"/>
      <w:marTop w:val="0"/>
      <w:marBottom w:val="0"/>
      <w:divBdr>
        <w:top w:val="none" w:sz="0" w:space="0" w:color="auto"/>
        <w:left w:val="none" w:sz="0" w:space="0" w:color="auto"/>
        <w:bottom w:val="none" w:sz="0" w:space="0" w:color="auto"/>
        <w:right w:val="none" w:sz="0" w:space="0" w:color="auto"/>
      </w:divBdr>
      <w:divsChild>
        <w:div w:id="935479394">
          <w:marLeft w:val="0"/>
          <w:marRight w:val="0"/>
          <w:marTop w:val="0"/>
          <w:marBottom w:val="0"/>
          <w:divBdr>
            <w:top w:val="none" w:sz="0" w:space="0" w:color="auto"/>
            <w:left w:val="none" w:sz="0" w:space="0" w:color="auto"/>
            <w:bottom w:val="none" w:sz="0" w:space="0" w:color="auto"/>
            <w:right w:val="none" w:sz="0" w:space="0" w:color="auto"/>
          </w:divBdr>
          <w:divsChild>
            <w:div w:id="174612847">
              <w:marLeft w:val="0"/>
              <w:marRight w:val="0"/>
              <w:marTop w:val="0"/>
              <w:marBottom w:val="0"/>
              <w:divBdr>
                <w:top w:val="none" w:sz="0" w:space="0" w:color="auto"/>
                <w:left w:val="none" w:sz="0" w:space="0" w:color="auto"/>
                <w:bottom w:val="none" w:sz="0" w:space="0" w:color="auto"/>
                <w:right w:val="none" w:sz="0" w:space="0" w:color="auto"/>
              </w:divBdr>
            </w:div>
            <w:div w:id="344869970">
              <w:marLeft w:val="0"/>
              <w:marRight w:val="0"/>
              <w:marTop w:val="0"/>
              <w:marBottom w:val="0"/>
              <w:divBdr>
                <w:top w:val="none" w:sz="0" w:space="0" w:color="auto"/>
                <w:left w:val="none" w:sz="0" w:space="0" w:color="auto"/>
                <w:bottom w:val="none" w:sz="0" w:space="0" w:color="auto"/>
                <w:right w:val="none" w:sz="0" w:space="0" w:color="auto"/>
              </w:divBdr>
            </w:div>
            <w:div w:id="415129199">
              <w:marLeft w:val="0"/>
              <w:marRight w:val="0"/>
              <w:marTop w:val="0"/>
              <w:marBottom w:val="0"/>
              <w:divBdr>
                <w:top w:val="none" w:sz="0" w:space="0" w:color="auto"/>
                <w:left w:val="none" w:sz="0" w:space="0" w:color="auto"/>
                <w:bottom w:val="none" w:sz="0" w:space="0" w:color="auto"/>
                <w:right w:val="none" w:sz="0" w:space="0" w:color="auto"/>
              </w:divBdr>
            </w:div>
            <w:div w:id="662700378">
              <w:marLeft w:val="0"/>
              <w:marRight w:val="0"/>
              <w:marTop w:val="0"/>
              <w:marBottom w:val="0"/>
              <w:divBdr>
                <w:top w:val="none" w:sz="0" w:space="0" w:color="auto"/>
                <w:left w:val="none" w:sz="0" w:space="0" w:color="auto"/>
                <w:bottom w:val="none" w:sz="0" w:space="0" w:color="auto"/>
                <w:right w:val="none" w:sz="0" w:space="0" w:color="auto"/>
              </w:divBdr>
            </w:div>
            <w:div w:id="942229466">
              <w:marLeft w:val="0"/>
              <w:marRight w:val="0"/>
              <w:marTop w:val="0"/>
              <w:marBottom w:val="0"/>
              <w:divBdr>
                <w:top w:val="none" w:sz="0" w:space="0" w:color="auto"/>
                <w:left w:val="none" w:sz="0" w:space="0" w:color="auto"/>
                <w:bottom w:val="none" w:sz="0" w:space="0" w:color="auto"/>
                <w:right w:val="none" w:sz="0" w:space="0" w:color="auto"/>
              </w:divBdr>
            </w:div>
            <w:div w:id="995643215">
              <w:marLeft w:val="0"/>
              <w:marRight w:val="0"/>
              <w:marTop w:val="0"/>
              <w:marBottom w:val="0"/>
              <w:divBdr>
                <w:top w:val="none" w:sz="0" w:space="0" w:color="auto"/>
                <w:left w:val="none" w:sz="0" w:space="0" w:color="auto"/>
                <w:bottom w:val="none" w:sz="0" w:space="0" w:color="auto"/>
                <w:right w:val="none" w:sz="0" w:space="0" w:color="auto"/>
              </w:divBdr>
            </w:div>
            <w:div w:id="1131166470">
              <w:marLeft w:val="0"/>
              <w:marRight w:val="0"/>
              <w:marTop w:val="0"/>
              <w:marBottom w:val="0"/>
              <w:divBdr>
                <w:top w:val="none" w:sz="0" w:space="0" w:color="auto"/>
                <w:left w:val="none" w:sz="0" w:space="0" w:color="auto"/>
                <w:bottom w:val="none" w:sz="0" w:space="0" w:color="auto"/>
                <w:right w:val="none" w:sz="0" w:space="0" w:color="auto"/>
              </w:divBdr>
            </w:div>
            <w:div w:id="1469276779">
              <w:marLeft w:val="0"/>
              <w:marRight w:val="0"/>
              <w:marTop w:val="0"/>
              <w:marBottom w:val="0"/>
              <w:divBdr>
                <w:top w:val="none" w:sz="0" w:space="0" w:color="auto"/>
                <w:left w:val="none" w:sz="0" w:space="0" w:color="auto"/>
                <w:bottom w:val="none" w:sz="0" w:space="0" w:color="auto"/>
                <w:right w:val="none" w:sz="0" w:space="0" w:color="auto"/>
              </w:divBdr>
            </w:div>
            <w:div w:id="1745369951">
              <w:marLeft w:val="0"/>
              <w:marRight w:val="0"/>
              <w:marTop w:val="0"/>
              <w:marBottom w:val="0"/>
              <w:divBdr>
                <w:top w:val="none" w:sz="0" w:space="0" w:color="auto"/>
                <w:left w:val="none" w:sz="0" w:space="0" w:color="auto"/>
                <w:bottom w:val="none" w:sz="0" w:space="0" w:color="auto"/>
                <w:right w:val="none" w:sz="0" w:space="0" w:color="auto"/>
              </w:divBdr>
            </w:div>
            <w:div w:id="2048795822">
              <w:marLeft w:val="0"/>
              <w:marRight w:val="0"/>
              <w:marTop w:val="0"/>
              <w:marBottom w:val="0"/>
              <w:divBdr>
                <w:top w:val="none" w:sz="0" w:space="0" w:color="auto"/>
                <w:left w:val="none" w:sz="0" w:space="0" w:color="auto"/>
                <w:bottom w:val="none" w:sz="0" w:space="0" w:color="auto"/>
                <w:right w:val="none" w:sz="0" w:space="0" w:color="auto"/>
              </w:divBdr>
            </w:div>
            <w:div w:id="20630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4097">
      <w:bodyDiv w:val="1"/>
      <w:marLeft w:val="0"/>
      <w:marRight w:val="0"/>
      <w:marTop w:val="0"/>
      <w:marBottom w:val="0"/>
      <w:divBdr>
        <w:top w:val="none" w:sz="0" w:space="0" w:color="auto"/>
        <w:left w:val="none" w:sz="0" w:space="0" w:color="auto"/>
        <w:bottom w:val="none" w:sz="0" w:space="0" w:color="auto"/>
        <w:right w:val="none" w:sz="0" w:space="0" w:color="auto"/>
      </w:divBdr>
    </w:div>
    <w:div w:id="1857184870">
      <w:bodyDiv w:val="1"/>
      <w:marLeft w:val="0"/>
      <w:marRight w:val="0"/>
      <w:marTop w:val="0"/>
      <w:marBottom w:val="0"/>
      <w:divBdr>
        <w:top w:val="none" w:sz="0" w:space="0" w:color="auto"/>
        <w:left w:val="none" w:sz="0" w:space="0" w:color="auto"/>
        <w:bottom w:val="none" w:sz="0" w:space="0" w:color="auto"/>
        <w:right w:val="none" w:sz="0" w:space="0" w:color="auto"/>
      </w:divBdr>
      <w:divsChild>
        <w:div w:id="28578150">
          <w:marLeft w:val="720"/>
          <w:marRight w:val="0"/>
          <w:marTop w:val="96"/>
          <w:marBottom w:val="0"/>
          <w:divBdr>
            <w:top w:val="none" w:sz="0" w:space="0" w:color="auto"/>
            <w:left w:val="none" w:sz="0" w:space="0" w:color="auto"/>
            <w:bottom w:val="none" w:sz="0" w:space="0" w:color="auto"/>
            <w:right w:val="none" w:sz="0" w:space="0" w:color="auto"/>
          </w:divBdr>
        </w:div>
        <w:div w:id="146822134">
          <w:marLeft w:val="720"/>
          <w:marRight w:val="0"/>
          <w:marTop w:val="96"/>
          <w:marBottom w:val="0"/>
          <w:divBdr>
            <w:top w:val="none" w:sz="0" w:space="0" w:color="auto"/>
            <w:left w:val="none" w:sz="0" w:space="0" w:color="auto"/>
            <w:bottom w:val="none" w:sz="0" w:space="0" w:color="auto"/>
            <w:right w:val="none" w:sz="0" w:space="0" w:color="auto"/>
          </w:divBdr>
        </w:div>
        <w:div w:id="1608275964">
          <w:marLeft w:val="720"/>
          <w:marRight w:val="0"/>
          <w:marTop w:val="96"/>
          <w:marBottom w:val="0"/>
          <w:divBdr>
            <w:top w:val="none" w:sz="0" w:space="0" w:color="auto"/>
            <w:left w:val="none" w:sz="0" w:space="0" w:color="auto"/>
            <w:bottom w:val="none" w:sz="0" w:space="0" w:color="auto"/>
            <w:right w:val="none" w:sz="0" w:space="0" w:color="auto"/>
          </w:divBdr>
        </w:div>
      </w:divsChild>
    </w:div>
    <w:div w:id="1859272098">
      <w:bodyDiv w:val="1"/>
      <w:marLeft w:val="0"/>
      <w:marRight w:val="0"/>
      <w:marTop w:val="0"/>
      <w:marBottom w:val="0"/>
      <w:divBdr>
        <w:top w:val="none" w:sz="0" w:space="0" w:color="auto"/>
        <w:left w:val="none" w:sz="0" w:space="0" w:color="auto"/>
        <w:bottom w:val="none" w:sz="0" w:space="0" w:color="auto"/>
        <w:right w:val="none" w:sz="0" w:space="0" w:color="auto"/>
      </w:divBdr>
    </w:div>
    <w:div w:id="1862624564">
      <w:bodyDiv w:val="1"/>
      <w:marLeft w:val="0"/>
      <w:marRight w:val="0"/>
      <w:marTop w:val="0"/>
      <w:marBottom w:val="0"/>
      <w:divBdr>
        <w:top w:val="none" w:sz="0" w:space="0" w:color="auto"/>
        <w:left w:val="none" w:sz="0" w:space="0" w:color="auto"/>
        <w:bottom w:val="none" w:sz="0" w:space="0" w:color="auto"/>
        <w:right w:val="none" w:sz="0" w:space="0" w:color="auto"/>
      </w:divBdr>
      <w:divsChild>
        <w:div w:id="119960217">
          <w:marLeft w:val="720"/>
          <w:marRight w:val="0"/>
          <w:marTop w:val="96"/>
          <w:marBottom w:val="0"/>
          <w:divBdr>
            <w:top w:val="none" w:sz="0" w:space="0" w:color="auto"/>
            <w:left w:val="none" w:sz="0" w:space="0" w:color="auto"/>
            <w:bottom w:val="none" w:sz="0" w:space="0" w:color="auto"/>
            <w:right w:val="none" w:sz="0" w:space="0" w:color="auto"/>
          </w:divBdr>
        </w:div>
        <w:div w:id="482935537">
          <w:marLeft w:val="720"/>
          <w:marRight w:val="0"/>
          <w:marTop w:val="96"/>
          <w:marBottom w:val="0"/>
          <w:divBdr>
            <w:top w:val="none" w:sz="0" w:space="0" w:color="auto"/>
            <w:left w:val="none" w:sz="0" w:space="0" w:color="auto"/>
            <w:bottom w:val="none" w:sz="0" w:space="0" w:color="auto"/>
            <w:right w:val="none" w:sz="0" w:space="0" w:color="auto"/>
          </w:divBdr>
        </w:div>
        <w:div w:id="844899569">
          <w:marLeft w:val="562"/>
          <w:marRight w:val="0"/>
          <w:marTop w:val="115"/>
          <w:marBottom w:val="0"/>
          <w:divBdr>
            <w:top w:val="none" w:sz="0" w:space="0" w:color="auto"/>
            <w:left w:val="none" w:sz="0" w:space="0" w:color="auto"/>
            <w:bottom w:val="none" w:sz="0" w:space="0" w:color="auto"/>
            <w:right w:val="none" w:sz="0" w:space="0" w:color="auto"/>
          </w:divBdr>
        </w:div>
      </w:divsChild>
    </w:div>
    <w:div w:id="1866285532">
      <w:bodyDiv w:val="1"/>
      <w:marLeft w:val="0"/>
      <w:marRight w:val="0"/>
      <w:marTop w:val="0"/>
      <w:marBottom w:val="0"/>
      <w:divBdr>
        <w:top w:val="none" w:sz="0" w:space="0" w:color="auto"/>
        <w:left w:val="none" w:sz="0" w:space="0" w:color="auto"/>
        <w:bottom w:val="none" w:sz="0" w:space="0" w:color="auto"/>
        <w:right w:val="none" w:sz="0" w:space="0" w:color="auto"/>
      </w:divBdr>
      <w:divsChild>
        <w:div w:id="45689877">
          <w:marLeft w:val="562"/>
          <w:marRight w:val="0"/>
          <w:marTop w:val="115"/>
          <w:marBottom w:val="0"/>
          <w:divBdr>
            <w:top w:val="none" w:sz="0" w:space="0" w:color="auto"/>
            <w:left w:val="none" w:sz="0" w:space="0" w:color="auto"/>
            <w:bottom w:val="none" w:sz="0" w:space="0" w:color="auto"/>
            <w:right w:val="none" w:sz="0" w:space="0" w:color="auto"/>
          </w:divBdr>
        </w:div>
        <w:div w:id="467279987">
          <w:marLeft w:val="562"/>
          <w:marRight w:val="0"/>
          <w:marTop w:val="115"/>
          <w:marBottom w:val="0"/>
          <w:divBdr>
            <w:top w:val="none" w:sz="0" w:space="0" w:color="auto"/>
            <w:left w:val="none" w:sz="0" w:space="0" w:color="auto"/>
            <w:bottom w:val="none" w:sz="0" w:space="0" w:color="auto"/>
            <w:right w:val="none" w:sz="0" w:space="0" w:color="auto"/>
          </w:divBdr>
        </w:div>
        <w:div w:id="930744198">
          <w:marLeft w:val="562"/>
          <w:marRight w:val="0"/>
          <w:marTop w:val="115"/>
          <w:marBottom w:val="0"/>
          <w:divBdr>
            <w:top w:val="none" w:sz="0" w:space="0" w:color="auto"/>
            <w:left w:val="none" w:sz="0" w:space="0" w:color="auto"/>
            <w:bottom w:val="none" w:sz="0" w:space="0" w:color="auto"/>
            <w:right w:val="none" w:sz="0" w:space="0" w:color="auto"/>
          </w:divBdr>
        </w:div>
        <w:div w:id="1663316858">
          <w:marLeft w:val="562"/>
          <w:marRight w:val="0"/>
          <w:marTop w:val="115"/>
          <w:marBottom w:val="0"/>
          <w:divBdr>
            <w:top w:val="none" w:sz="0" w:space="0" w:color="auto"/>
            <w:left w:val="none" w:sz="0" w:space="0" w:color="auto"/>
            <w:bottom w:val="none" w:sz="0" w:space="0" w:color="auto"/>
            <w:right w:val="none" w:sz="0" w:space="0" w:color="auto"/>
          </w:divBdr>
        </w:div>
      </w:divsChild>
    </w:div>
    <w:div w:id="1872110730">
      <w:bodyDiv w:val="1"/>
      <w:marLeft w:val="0"/>
      <w:marRight w:val="0"/>
      <w:marTop w:val="0"/>
      <w:marBottom w:val="0"/>
      <w:divBdr>
        <w:top w:val="none" w:sz="0" w:space="0" w:color="auto"/>
        <w:left w:val="none" w:sz="0" w:space="0" w:color="auto"/>
        <w:bottom w:val="none" w:sz="0" w:space="0" w:color="auto"/>
        <w:right w:val="none" w:sz="0" w:space="0" w:color="auto"/>
      </w:divBdr>
    </w:div>
    <w:div w:id="1886215917">
      <w:bodyDiv w:val="1"/>
      <w:marLeft w:val="0"/>
      <w:marRight w:val="0"/>
      <w:marTop w:val="0"/>
      <w:marBottom w:val="0"/>
      <w:divBdr>
        <w:top w:val="none" w:sz="0" w:space="0" w:color="auto"/>
        <w:left w:val="none" w:sz="0" w:space="0" w:color="auto"/>
        <w:bottom w:val="none" w:sz="0" w:space="0" w:color="auto"/>
        <w:right w:val="none" w:sz="0" w:space="0" w:color="auto"/>
      </w:divBdr>
    </w:div>
    <w:div w:id="1887062178">
      <w:bodyDiv w:val="1"/>
      <w:marLeft w:val="0"/>
      <w:marRight w:val="0"/>
      <w:marTop w:val="0"/>
      <w:marBottom w:val="0"/>
      <w:divBdr>
        <w:top w:val="none" w:sz="0" w:space="0" w:color="auto"/>
        <w:left w:val="none" w:sz="0" w:space="0" w:color="auto"/>
        <w:bottom w:val="none" w:sz="0" w:space="0" w:color="auto"/>
        <w:right w:val="none" w:sz="0" w:space="0" w:color="auto"/>
      </w:divBdr>
    </w:div>
    <w:div w:id="1888490182">
      <w:bodyDiv w:val="1"/>
      <w:marLeft w:val="0"/>
      <w:marRight w:val="0"/>
      <w:marTop w:val="0"/>
      <w:marBottom w:val="0"/>
      <w:divBdr>
        <w:top w:val="none" w:sz="0" w:space="0" w:color="auto"/>
        <w:left w:val="none" w:sz="0" w:space="0" w:color="auto"/>
        <w:bottom w:val="none" w:sz="0" w:space="0" w:color="auto"/>
        <w:right w:val="none" w:sz="0" w:space="0" w:color="auto"/>
      </w:divBdr>
      <w:divsChild>
        <w:div w:id="26956125">
          <w:marLeft w:val="720"/>
          <w:marRight w:val="0"/>
          <w:marTop w:val="96"/>
          <w:marBottom w:val="0"/>
          <w:divBdr>
            <w:top w:val="none" w:sz="0" w:space="0" w:color="auto"/>
            <w:left w:val="none" w:sz="0" w:space="0" w:color="auto"/>
            <w:bottom w:val="none" w:sz="0" w:space="0" w:color="auto"/>
            <w:right w:val="none" w:sz="0" w:space="0" w:color="auto"/>
          </w:divBdr>
        </w:div>
        <w:div w:id="911618532">
          <w:marLeft w:val="562"/>
          <w:marRight w:val="0"/>
          <w:marTop w:val="115"/>
          <w:marBottom w:val="0"/>
          <w:divBdr>
            <w:top w:val="none" w:sz="0" w:space="0" w:color="auto"/>
            <w:left w:val="none" w:sz="0" w:space="0" w:color="auto"/>
            <w:bottom w:val="none" w:sz="0" w:space="0" w:color="auto"/>
            <w:right w:val="none" w:sz="0" w:space="0" w:color="auto"/>
          </w:divBdr>
        </w:div>
      </w:divsChild>
    </w:div>
    <w:div w:id="1916164727">
      <w:bodyDiv w:val="1"/>
      <w:marLeft w:val="0"/>
      <w:marRight w:val="0"/>
      <w:marTop w:val="0"/>
      <w:marBottom w:val="0"/>
      <w:divBdr>
        <w:top w:val="none" w:sz="0" w:space="0" w:color="auto"/>
        <w:left w:val="none" w:sz="0" w:space="0" w:color="auto"/>
        <w:bottom w:val="none" w:sz="0" w:space="0" w:color="auto"/>
        <w:right w:val="none" w:sz="0" w:space="0" w:color="auto"/>
      </w:divBdr>
    </w:div>
    <w:div w:id="1926262142">
      <w:bodyDiv w:val="1"/>
      <w:marLeft w:val="0"/>
      <w:marRight w:val="0"/>
      <w:marTop w:val="0"/>
      <w:marBottom w:val="0"/>
      <w:divBdr>
        <w:top w:val="none" w:sz="0" w:space="0" w:color="auto"/>
        <w:left w:val="none" w:sz="0" w:space="0" w:color="auto"/>
        <w:bottom w:val="none" w:sz="0" w:space="0" w:color="auto"/>
        <w:right w:val="none" w:sz="0" w:space="0" w:color="auto"/>
      </w:divBdr>
      <w:divsChild>
        <w:div w:id="469322554">
          <w:marLeft w:val="562"/>
          <w:marRight w:val="0"/>
          <w:marTop w:val="106"/>
          <w:marBottom w:val="0"/>
          <w:divBdr>
            <w:top w:val="none" w:sz="0" w:space="0" w:color="auto"/>
            <w:left w:val="none" w:sz="0" w:space="0" w:color="auto"/>
            <w:bottom w:val="none" w:sz="0" w:space="0" w:color="auto"/>
            <w:right w:val="none" w:sz="0" w:space="0" w:color="auto"/>
          </w:divBdr>
        </w:div>
        <w:div w:id="523321567">
          <w:marLeft w:val="562"/>
          <w:marRight w:val="0"/>
          <w:marTop w:val="106"/>
          <w:marBottom w:val="0"/>
          <w:divBdr>
            <w:top w:val="none" w:sz="0" w:space="0" w:color="auto"/>
            <w:left w:val="none" w:sz="0" w:space="0" w:color="auto"/>
            <w:bottom w:val="none" w:sz="0" w:space="0" w:color="auto"/>
            <w:right w:val="none" w:sz="0" w:space="0" w:color="auto"/>
          </w:divBdr>
        </w:div>
        <w:div w:id="981692270">
          <w:marLeft w:val="562"/>
          <w:marRight w:val="0"/>
          <w:marTop w:val="106"/>
          <w:marBottom w:val="0"/>
          <w:divBdr>
            <w:top w:val="none" w:sz="0" w:space="0" w:color="auto"/>
            <w:left w:val="none" w:sz="0" w:space="0" w:color="auto"/>
            <w:bottom w:val="none" w:sz="0" w:space="0" w:color="auto"/>
            <w:right w:val="none" w:sz="0" w:space="0" w:color="auto"/>
          </w:divBdr>
        </w:div>
        <w:div w:id="1157111098">
          <w:marLeft w:val="562"/>
          <w:marRight w:val="0"/>
          <w:marTop w:val="106"/>
          <w:marBottom w:val="0"/>
          <w:divBdr>
            <w:top w:val="none" w:sz="0" w:space="0" w:color="auto"/>
            <w:left w:val="none" w:sz="0" w:space="0" w:color="auto"/>
            <w:bottom w:val="none" w:sz="0" w:space="0" w:color="auto"/>
            <w:right w:val="none" w:sz="0" w:space="0" w:color="auto"/>
          </w:divBdr>
        </w:div>
        <w:div w:id="1661039562">
          <w:marLeft w:val="720"/>
          <w:marRight w:val="0"/>
          <w:marTop w:val="91"/>
          <w:marBottom w:val="0"/>
          <w:divBdr>
            <w:top w:val="none" w:sz="0" w:space="0" w:color="auto"/>
            <w:left w:val="none" w:sz="0" w:space="0" w:color="auto"/>
            <w:bottom w:val="none" w:sz="0" w:space="0" w:color="auto"/>
            <w:right w:val="none" w:sz="0" w:space="0" w:color="auto"/>
          </w:divBdr>
        </w:div>
        <w:div w:id="1761411923">
          <w:marLeft w:val="720"/>
          <w:marRight w:val="0"/>
          <w:marTop w:val="91"/>
          <w:marBottom w:val="0"/>
          <w:divBdr>
            <w:top w:val="none" w:sz="0" w:space="0" w:color="auto"/>
            <w:left w:val="none" w:sz="0" w:space="0" w:color="auto"/>
            <w:bottom w:val="none" w:sz="0" w:space="0" w:color="auto"/>
            <w:right w:val="none" w:sz="0" w:space="0" w:color="auto"/>
          </w:divBdr>
        </w:div>
        <w:div w:id="1873223269">
          <w:marLeft w:val="562"/>
          <w:marRight w:val="0"/>
          <w:marTop w:val="106"/>
          <w:marBottom w:val="0"/>
          <w:divBdr>
            <w:top w:val="none" w:sz="0" w:space="0" w:color="auto"/>
            <w:left w:val="none" w:sz="0" w:space="0" w:color="auto"/>
            <w:bottom w:val="none" w:sz="0" w:space="0" w:color="auto"/>
            <w:right w:val="none" w:sz="0" w:space="0" w:color="auto"/>
          </w:divBdr>
        </w:div>
      </w:divsChild>
    </w:div>
    <w:div w:id="1931700265">
      <w:bodyDiv w:val="1"/>
      <w:marLeft w:val="0"/>
      <w:marRight w:val="0"/>
      <w:marTop w:val="0"/>
      <w:marBottom w:val="0"/>
      <w:divBdr>
        <w:top w:val="none" w:sz="0" w:space="0" w:color="auto"/>
        <w:left w:val="none" w:sz="0" w:space="0" w:color="auto"/>
        <w:bottom w:val="none" w:sz="0" w:space="0" w:color="auto"/>
        <w:right w:val="none" w:sz="0" w:space="0" w:color="auto"/>
      </w:divBdr>
      <w:divsChild>
        <w:div w:id="58868884">
          <w:marLeft w:val="562"/>
          <w:marRight w:val="0"/>
          <w:marTop w:val="106"/>
          <w:marBottom w:val="0"/>
          <w:divBdr>
            <w:top w:val="none" w:sz="0" w:space="0" w:color="auto"/>
            <w:left w:val="none" w:sz="0" w:space="0" w:color="auto"/>
            <w:bottom w:val="none" w:sz="0" w:space="0" w:color="auto"/>
            <w:right w:val="none" w:sz="0" w:space="0" w:color="auto"/>
          </w:divBdr>
        </w:div>
        <w:div w:id="67313900">
          <w:marLeft w:val="562"/>
          <w:marRight w:val="0"/>
          <w:marTop w:val="106"/>
          <w:marBottom w:val="0"/>
          <w:divBdr>
            <w:top w:val="none" w:sz="0" w:space="0" w:color="auto"/>
            <w:left w:val="none" w:sz="0" w:space="0" w:color="auto"/>
            <w:bottom w:val="none" w:sz="0" w:space="0" w:color="auto"/>
            <w:right w:val="none" w:sz="0" w:space="0" w:color="auto"/>
          </w:divBdr>
        </w:div>
        <w:div w:id="79257288">
          <w:marLeft w:val="562"/>
          <w:marRight w:val="0"/>
          <w:marTop w:val="106"/>
          <w:marBottom w:val="0"/>
          <w:divBdr>
            <w:top w:val="none" w:sz="0" w:space="0" w:color="auto"/>
            <w:left w:val="none" w:sz="0" w:space="0" w:color="auto"/>
            <w:bottom w:val="none" w:sz="0" w:space="0" w:color="auto"/>
            <w:right w:val="none" w:sz="0" w:space="0" w:color="auto"/>
          </w:divBdr>
        </w:div>
        <w:div w:id="1427573654">
          <w:marLeft w:val="562"/>
          <w:marRight w:val="0"/>
          <w:marTop w:val="106"/>
          <w:marBottom w:val="0"/>
          <w:divBdr>
            <w:top w:val="none" w:sz="0" w:space="0" w:color="auto"/>
            <w:left w:val="none" w:sz="0" w:space="0" w:color="auto"/>
            <w:bottom w:val="none" w:sz="0" w:space="0" w:color="auto"/>
            <w:right w:val="none" w:sz="0" w:space="0" w:color="auto"/>
          </w:divBdr>
        </w:div>
        <w:div w:id="1562906440">
          <w:marLeft w:val="562"/>
          <w:marRight w:val="0"/>
          <w:marTop w:val="106"/>
          <w:marBottom w:val="0"/>
          <w:divBdr>
            <w:top w:val="none" w:sz="0" w:space="0" w:color="auto"/>
            <w:left w:val="none" w:sz="0" w:space="0" w:color="auto"/>
            <w:bottom w:val="none" w:sz="0" w:space="0" w:color="auto"/>
            <w:right w:val="none" w:sz="0" w:space="0" w:color="auto"/>
          </w:divBdr>
        </w:div>
      </w:divsChild>
    </w:div>
    <w:div w:id="1934969854">
      <w:bodyDiv w:val="1"/>
      <w:marLeft w:val="0"/>
      <w:marRight w:val="0"/>
      <w:marTop w:val="0"/>
      <w:marBottom w:val="0"/>
      <w:divBdr>
        <w:top w:val="none" w:sz="0" w:space="0" w:color="auto"/>
        <w:left w:val="none" w:sz="0" w:space="0" w:color="auto"/>
        <w:bottom w:val="none" w:sz="0" w:space="0" w:color="auto"/>
        <w:right w:val="none" w:sz="0" w:space="0" w:color="auto"/>
      </w:divBdr>
    </w:div>
    <w:div w:id="1935046014">
      <w:bodyDiv w:val="1"/>
      <w:marLeft w:val="0"/>
      <w:marRight w:val="0"/>
      <w:marTop w:val="0"/>
      <w:marBottom w:val="0"/>
      <w:divBdr>
        <w:top w:val="none" w:sz="0" w:space="0" w:color="auto"/>
        <w:left w:val="none" w:sz="0" w:space="0" w:color="auto"/>
        <w:bottom w:val="none" w:sz="0" w:space="0" w:color="auto"/>
        <w:right w:val="none" w:sz="0" w:space="0" w:color="auto"/>
      </w:divBdr>
    </w:div>
    <w:div w:id="1948078286">
      <w:bodyDiv w:val="1"/>
      <w:marLeft w:val="0"/>
      <w:marRight w:val="0"/>
      <w:marTop w:val="0"/>
      <w:marBottom w:val="0"/>
      <w:divBdr>
        <w:top w:val="none" w:sz="0" w:space="0" w:color="auto"/>
        <w:left w:val="none" w:sz="0" w:space="0" w:color="auto"/>
        <w:bottom w:val="none" w:sz="0" w:space="0" w:color="auto"/>
        <w:right w:val="none" w:sz="0" w:space="0" w:color="auto"/>
      </w:divBdr>
      <w:divsChild>
        <w:div w:id="2145929108">
          <w:marLeft w:val="562"/>
          <w:marRight w:val="0"/>
          <w:marTop w:val="115"/>
          <w:marBottom w:val="0"/>
          <w:divBdr>
            <w:top w:val="none" w:sz="0" w:space="0" w:color="auto"/>
            <w:left w:val="none" w:sz="0" w:space="0" w:color="auto"/>
            <w:bottom w:val="none" w:sz="0" w:space="0" w:color="auto"/>
            <w:right w:val="none" w:sz="0" w:space="0" w:color="auto"/>
          </w:divBdr>
        </w:div>
        <w:div w:id="683482159">
          <w:marLeft w:val="720"/>
          <w:marRight w:val="0"/>
          <w:marTop w:val="96"/>
          <w:marBottom w:val="0"/>
          <w:divBdr>
            <w:top w:val="none" w:sz="0" w:space="0" w:color="auto"/>
            <w:left w:val="none" w:sz="0" w:space="0" w:color="auto"/>
            <w:bottom w:val="none" w:sz="0" w:space="0" w:color="auto"/>
            <w:right w:val="none" w:sz="0" w:space="0" w:color="auto"/>
          </w:divBdr>
        </w:div>
        <w:div w:id="1965769377">
          <w:marLeft w:val="1152"/>
          <w:marRight w:val="0"/>
          <w:marTop w:val="86"/>
          <w:marBottom w:val="0"/>
          <w:divBdr>
            <w:top w:val="none" w:sz="0" w:space="0" w:color="auto"/>
            <w:left w:val="none" w:sz="0" w:space="0" w:color="auto"/>
            <w:bottom w:val="none" w:sz="0" w:space="0" w:color="auto"/>
            <w:right w:val="none" w:sz="0" w:space="0" w:color="auto"/>
          </w:divBdr>
        </w:div>
        <w:div w:id="808323953">
          <w:marLeft w:val="720"/>
          <w:marRight w:val="0"/>
          <w:marTop w:val="96"/>
          <w:marBottom w:val="0"/>
          <w:divBdr>
            <w:top w:val="none" w:sz="0" w:space="0" w:color="auto"/>
            <w:left w:val="none" w:sz="0" w:space="0" w:color="auto"/>
            <w:bottom w:val="none" w:sz="0" w:space="0" w:color="auto"/>
            <w:right w:val="none" w:sz="0" w:space="0" w:color="auto"/>
          </w:divBdr>
        </w:div>
        <w:div w:id="558051144">
          <w:marLeft w:val="720"/>
          <w:marRight w:val="0"/>
          <w:marTop w:val="96"/>
          <w:marBottom w:val="0"/>
          <w:divBdr>
            <w:top w:val="none" w:sz="0" w:space="0" w:color="auto"/>
            <w:left w:val="none" w:sz="0" w:space="0" w:color="auto"/>
            <w:bottom w:val="none" w:sz="0" w:space="0" w:color="auto"/>
            <w:right w:val="none" w:sz="0" w:space="0" w:color="auto"/>
          </w:divBdr>
        </w:div>
        <w:div w:id="584147045">
          <w:marLeft w:val="720"/>
          <w:marRight w:val="0"/>
          <w:marTop w:val="96"/>
          <w:marBottom w:val="0"/>
          <w:divBdr>
            <w:top w:val="none" w:sz="0" w:space="0" w:color="auto"/>
            <w:left w:val="none" w:sz="0" w:space="0" w:color="auto"/>
            <w:bottom w:val="none" w:sz="0" w:space="0" w:color="auto"/>
            <w:right w:val="none" w:sz="0" w:space="0" w:color="auto"/>
          </w:divBdr>
        </w:div>
        <w:div w:id="437795112">
          <w:marLeft w:val="720"/>
          <w:marRight w:val="0"/>
          <w:marTop w:val="96"/>
          <w:marBottom w:val="0"/>
          <w:divBdr>
            <w:top w:val="none" w:sz="0" w:space="0" w:color="auto"/>
            <w:left w:val="none" w:sz="0" w:space="0" w:color="auto"/>
            <w:bottom w:val="none" w:sz="0" w:space="0" w:color="auto"/>
            <w:right w:val="none" w:sz="0" w:space="0" w:color="auto"/>
          </w:divBdr>
        </w:div>
        <w:div w:id="487478349">
          <w:marLeft w:val="562"/>
          <w:marRight w:val="0"/>
          <w:marTop w:val="115"/>
          <w:marBottom w:val="0"/>
          <w:divBdr>
            <w:top w:val="none" w:sz="0" w:space="0" w:color="auto"/>
            <w:left w:val="none" w:sz="0" w:space="0" w:color="auto"/>
            <w:bottom w:val="none" w:sz="0" w:space="0" w:color="auto"/>
            <w:right w:val="none" w:sz="0" w:space="0" w:color="auto"/>
          </w:divBdr>
        </w:div>
        <w:div w:id="824471016">
          <w:marLeft w:val="720"/>
          <w:marRight w:val="0"/>
          <w:marTop w:val="96"/>
          <w:marBottom w:val="0"/>
          <w:divBdr>
            <w:top w:val="none" w:sz="0" w:space="0" w:color="auto"/>
            <w:left w:val="none" w:sz="0" w:space="0" w:color="auto"/>
            <w:bottom w:val="none" w:sz="0" w:space="0" w:color="auto"/>
            <w:right w:val="none" w:sz="0" w:space="0" w:color="auto"/>
          </w:divBdr>
        </w:div>
        <w:div w:id="322513995">
          <w:marLeft w:val="720"/>
          <w:marRight w:val="0"/>
          <w:marTop w:val="96"/>
          <w:marBottom w:val="0"/>
          <w:divBdr>
            <w:top w:val="none" w:sz="0" w:space="0" w:color="auto"/>
            <w:left w:val="none" w:sz="0" w:space="0" w:color="auto"/>
            <w:bottom w:val="none" w:sz="0" w:space="0" w:color="auto"/>
            <w:right w:val="none" w:sz="0" w:space="0" w:color="auto"/>
          </w:divBdr>
        </w:div>
        <w:div w:id="1983537041">
          <w:marLeft w:val="720"/>
          <w:marRight w:val="0"/>
          <w:marTop w:val="96"/>
          <w:marBottom w:val="0"/>
          <w:divBdr>
            <w:top w:val="none" w:sz="0" w:space="0" w:color="auto"/>
            <w:left w:val="none" w:sz="0" w:space="0" w:color="auto"/>
            <w:bottom w:val="none" w:sz="0" w:space="0" w:color="auto"/>
            <w:right w:val="none" w:sz="0" w:space="0" w:color="auto"/>
          </w:divBdr>
        </w:div>
        <w:div w:id="1569337711">
          <w:marLeft w:val="562"/>
          <w:marRight w:val="0"/>
          <w:marTop w:val="115"/>
          <w:marBottom w:val="0"/>
          <w:divBdr>
            <w:top w:val="none" w:sz="0" w:space="0" w:color="auto"/>
            <w:left w:val="none" w:sz="0" w:space="0" w:color="auto"/>
            <w:bottom w:val="none" w:sz="0" w:space="0" w:color="auto"/>
            <w:right w:val="none" w:sz="0" w:space="0" w:color="auto"/>
          </w:divBdr>
        </w:div>
      </w:divsChild>
    </w:div>
    <w:div w:id="1948922983">
      <w:bodyDiv w:val="1"/>
      <w:marLeft w:val="0"/>
      <w:marRight w:val="0"/>
      <w:marTop w:val="0"/>
      <w:marBottom w:val="0"/>
      <w:divBdr>
        <w:top w:val="none" w:sz="0" w:space="0" w:color="auto"/>
        <w:left w:val="none" w:sz="0" w:space="0" w:color="auto"/>
        <w:bottom w:val="none" w:sz="0" w:space="0" w:color="auto"/>
        <w:right w:val="none" w:sz="0" w:space="0" w:color="auto"/>
      </w:divBdr>
    </w:div>
    <w:div w:id="1957515164">
      <w:bodyDiv w:val="1"/>
      <w:marLeft w:val="0"/>
      <w:marRight w:val="0"/>
      <w:marTop w:val="0"/>
      <w:marBottom w:val="0"/>
      <w:divBdr>
        <w:top w:val="none" w:sz="0" w:space="0" w:color="auto"/>
        <w:left w:val="none" w:sz="0" w:space="0" w:color="auto"/>
        <w:bottom w:val="none" w:sz="0" w:space="0" w:color="auto"/>
        <w:right w:val="none" w:sz="0" w:space="0" w:color="auto"/>
      </w:divBdr>
      <w:divsChild>
        <w:div w:id="345786960">
          <w:marLeft w:val="979"/>
          <w:marRight w:val="0"/>
          <w:marTop w:val="86"/>
          <w:marBottom w:val="0"/>
          <w:divBdr>
            <w:top w:val="none" w:sz="0" w:space="0" w:color="auto"/>
            <w:left w:val="none" w:sz="0" w:space="0" w:color="auto"/>
            <w:bottom w:val="none" w:sz="0" w:space="0" w:color="auto"/>
            <w:right w:val="none" w:sz="0" w:space="0" w:color="auto"/>
          </w:divBdr>
        </w:div>
        <w:div w:id="454445945">
          <w:marLeft w:val="360"/>
          <w:marRight w:val="0"/>
          <w:marTop w:val="240"/>
          <w:marBottom w:val="0"/>
          <w:divBdr>
            <w:top w:val="none" w:sz="0" w:space="0" w:color="auto"/>
            <w:left w:val="none" w:sz="0" w:space="0" w:color="auto"/>
            <w:bottom w:val="none" w:sz="0" w:space="0" w:color="auto"/>
            <w:right w:val="none" w:sz="0" w:space="0" w:color="auto"/>
          </w:divBdr>
        </w:div>
        <w:div w:id="519661585">
          <w:marLeft w:val="360"/>
          <w:marRight w:val="0"/>
          <w:marTop w:val="240"/>
          <w:marBottom w:val="0"/>
          <w:divBdr>
            <w:top w:val="none" w:sz="0" w:space="0" w:color="auto"/>
            <w:left w:val="none" w:sz="0" w:space="0" w:color="auto"/>
            <w:bottom w:val="none" w:sz="0" w:space="0" w:color="auto"/>
            <w:right w:val="none" w:sz="0" w:space="0" w:color="auto"/>
          </w:divBdr>
        </w:div>
        <w:div w:id="533343655">
          <w:marLeft w:val="979"/>
          <w:marRight w:val="0"/>
          <w:marTop w:val="86"/>
          <w:marBottom w:val="0"/>
          <w:divBdr>
            <w:top w:val="none" w:sz="0" w:space="0" w:color="auto"/>
            <w:left w:val="none" w:sz="0" w:space="0" w:color="auto"/>
            <w:bottom w:val="none" w:sz="0" w:space="0" w:color="auto"/>
            <w:right w:val="none" w:sz="0" w:space="0" w:color="auto"/>
          </w:divBdr>
        </w:div>
        <w:div w:id="602613837">
          <w:marLeft w:val="979"/>
          <w:marRight w:val="0"/>
          <w:marTop w:val="86"/>
          <w:marBottom w:val="0"/>
          <w:divBdr>
            <w:top w:val="none" w:sz="0" w:space="0" w:color="auto"/>
            <w:left w:val="none" w:sz="0" w:space="0" w:color="auto"/>
            <w:bottom w:val="none" w:sz="0" w:space="0" w:color="auto"/>
            <w:right w:val="none" w:sz="0" w:space="0" w:color="auto"/>
          </w:divBdr>
        </w:div>
        <w:div w:id="647444841">
          <w:marLeft w:val="360"/>
          <w:marRight w:val="0"/>
          <w:marTop w:val="240"/>
          <w:marBottom w:val="0"/>
          <w:divBdr>
            <w:top w:val="none" w:sz="0" w:space="0" w:color="auto"/>
            <w:left w:val="none" w:sz="0" w:space="0" w:color="auto"/>
            <w:bottom w:val="none" w:sz="0" w:space="0" w:color="auto"/>
            <w:right w:val="none" w:sz="0" w:space="0" w:color="auto"/>
          </w:divBdr>
        </w:div>
        <w:div w:id="1231773359">
          <w:marLeft w:val="979"/>
          <w:marRight w:val="0"/>
          <w:marTop w:val="86"/>
          <w:marBottom w:val="0"/>
          <w:divBdr>
            <w:top w:val="none" w:sz="0" w:space="0" w:color="auto"/>
            <w:left w:val="none" w:sz="0" w:space="0" w:color="auto"/>
            <w:bottom w:val="none" w:sz="0" w:space="0" w:color="auto"/>
            <w:right w:val="none" w:sz="0" w:space="0" w:color="auto"/>
          </w:divBdr>
        </w:div>
        <w:div w:id="1692683793">
          <w:marLeft w:val="979"/>
          <w:marRight w:val="0"/>
          <w:marTop w:val="86"/>
          <w:marBottom w:val="0"/>
          <w:divBdr>
            <w:top w:val="none" w:sz="0" w:space="0" w:color="auto"/>
            <w:left w:val="none" w:sz="0" w:space="0" w:color="auto"/>
            <w:bottom w:val="none" w:sz="0" w:space="0" w:color="auto"/>
            <w:right w:val="none" w:sz="0" w:space="0" w:color="auto"/>
          </w:divBdr>
        </w:div>
        <w:div w:id="1849099438">
          <w:marLeft w:val="360"/>
          <w:marRight w:val="0"/>
          <w:marTop w:val="240"/>
          <w:marBottom w:val="0"/>
          <w:divBdr>
            <w:top w:val="none" w:sz="0" w:space="0" w:color="auto"/>
            <w:left w:val="none" w:sz="0" w:space="0" w:color="auto"/>
            <w:bottom w:val="none" w:sz="0" w:space="0" w:color="auto"/>
            <w:right w:val="none" w:sz="0" w:space="0" w:color="auto"/>
          </w:divBdr>
        </w:div>
        <w:div w:id="1917665347">
          <w:marLeft w:val="979"/>
          <w:marRight w:val="0"/>
          <w:marTop w:val="86"/>
          <w:marBottom w:val="0"/>
          <w:divBdr>
            <w:top w:val="none" w:sz="0" w:space="0" w:color="auto"/>
            <w:left w:val="none" w:sz="0" w:space="0" w:color="auto"/>
            <w:bottom w:val="none" w:sz="0" w:space="0" w:color="auto"/>
            <w:right w:val="none" w:sz="0" w:space="0" w:color="auto"/>
          </w:divBdr>
        </w:div>
        <w:div w:id="2102602299">
          <w:marLeft w:val="979"/>
          <w:marRight w:val="0"/>
          <w:marTop w:val="86"/>
          <w:marBottom w:val="0"/>
          <w:divBdr>
            <w:top w:val="none" w:sz="0" w:space="0" w:color="auto"/>
            <w:left w:val="none" w:sz="0" w:space="0" w:color="auto"/>
            <w:bottom w:val="none" w:sz="0" w:space="0" w:color="auto"/>
            <w:right w:val="none" w:sz="0" w:space="0" w:color="auto"/>
          </w:divBdr>
        </w:div>
      </w:divsChild>
    </w:div>
    <w:div w:id="1966888378">
      <w:bodyDiv w:val="1"/>
      <w:marLeft w:val="0"/>
      <w:marRight w:val="0"/>
      <w:marTop w:val="0"/>
      <w:marBottom w:val="0"/>
      <w:divBdr>
        <w:top w:val="none" w:sz="0" w:space="0" w:color="auto"/>
        <w:left w:val="none" w:sz="0" w:space="0" w:color="auto"/>
        <w:bottom w:val="none" w:sz="0" w:space="0" w:color="auto"/>
        <w:right w:val="none" w:sz="0" w:space="0" w:color="auto"/>
      </w:divBdr>
      <w:divsChild>
        <w:div w:id="1412311579">
          <w:marLeft w:val="547"/>
          <w:marRight w:val="0"/>
          <w:marTop w:val="0"/>
          <w:marBottom w:val="0"/>
          <w:divBdr>
            <w:top w:val="none" w:sz="0" w:space="0" w:color="auto"/>
            <w:left w:val="none" w:sz="0" w:space="0" w:color="auto"/>
            <w:bottom w:val="none" w:sz="0" w:space="0" w:color="auto"/>
            <w:right w:val="none" w:sz="0" w:space="0" w:color="auto"/>
          </w:divBdr>
        </w:div>
      </w:divsChild>
    </w:div>
    <w:div w:id="1969243019">
      <w:bodyDiv w:val="1"/>
      <w:marLeft w:val="0"/>
      <w:marRight w:val="0"/>
      <w:marTop w:val="0"/>
      <w:marBottom w:val="0"/>
      <w:divBdr>
        <w:top w:val="none" w:sz="0" w:space="0" w:color="auto"/>
        <w:left w:val="none" w:sz="0" w:space="0" w:color="auto"/>
        <w:bottom w:val="none" w:sz="0" w:space="0" w:color="auto"/>
        <w:right w:val="none" w:sz="0" w:space="0" w:color="auto"/>
      </w:divBdr>
      <w:divsChild>
        <w:div w:id="1640725762">
          <w:marLeft w:val="720"/>
          <w:marRight w:val="0"/>
          <w:marTop w:val="91"/>
          <w:marBottom w:val="0"/>
          <w:divBdr>
            <w:top w:val="none" w:sz="0" w:space="0" w:color="auto"/>
            <w:left w:val="none" w:sz="0" w:space="0" w:color="auto"/>
            <w:bottom w:val="none" w:sz="0" w:space="0" w:color="auto"/>
            <w:right w:val="none" w:sz="0" w:space="0" w:color="auto"/>
          </w:divBdr>
        </w:div>
      </w:divsChild>
    </w:div>
    <w:div w:id="1979796272">
      <w:bodyDiv w:val="1"/>
      <w:marLeft w:val="0"/>
      <w:marRight w:val="0"/>
      <w:marTop w:val="0"/>
      <w:marBottom w:val="0"/>
      <w:divBdr>
        <w:top w:val="none" w:sz="0" w:space="0" w:color="auto"/>
        <w:left w:val="none" w:sz="0" w:space="0" w:color="auto"/>
        <w:bottom w:val="none" w:sz="0" w:space="0" w:color="auto"/>
        <w:right w:val="none" w:sz="0" w:space="0" w:color="auto"/>
      </w:divBdr>
      <w:divsChild>
        <w:div w:id="962078924">
          <w:marLeft w:val="0"/>
          <w:marRight w:val="0"/>
          <w:marTop w:val="0"/>
          <w:marBottom w:val="0"/>
          <w:divBdr>
            <w:top w:val="single" w:sz="48" w:space="0" w:color="FFFFFF"/>
            <w:left w:val="single" w:sz="48" w:space="0" w:color="FFFFFF"/>
            <w:bottom w:val="single" w:sz="48" w:space="0" w:color="FFFFFF"/>
            <w:right w:val="single" w:sz="48" w:space="0" w:color="FFFFFF"/>
          </w:divBdr>
        </w:div>
      </w:divsChild>
    </w:div>
    <w:div w:id="1985043335">
      <w:bodyDiv w:val="1"/>
      <w:marLeft w:val="0"/>
      <w:marRight w:val="0"/>
      <w:marTop w:val="0"/>
      <w:marBottom w:val="0"/>
      <w:divBdr>
        <w:top w:val="none" w:sz="0" w:space="0" w:color="auto"/>
        <w:left w:val="none" w:sz="0" w:space="0" w:color="auto"/>
        <w:bottom w:val="none" w:sz="0" w:space="0" w:color="auto"/>
        <w:right w:val="none" w:sz="0" w:space="0" w:color="auto"/>
      </w:divBdr>
    </w:div>
    <w:div w:id="1987738805">
      <w:bodyDiv w:val="1"/>
      <w:marLeft w:val="0"/>
      <w:marRight w:val="0"/>
      <w:marTop w:val="0"/>
      <w:marBottom w:val="0"/>
      <w:divBdr>
        <w:top w:val="none" w:sz="0" w:space="0" w:color="auto"/>
        <w:left w:val="none" w:sz="0" w:space="0" w:color="auto"/>
        <w:bottom w:val="none" w:sz="0" w:space="0" w:color="auto"/>
        <w:right w:val="none" w:sz="0" w:space="0" w:color="auto"/>
      </w:divBdr>
      <w:divsChild>
        <w:div w:id="881088994">
          <w:marLeft w:val="562"/>
          <w:marRight w:val="0"/>
          <w:marTop w:val="96"/>
          <w:marBottom w:val="0"/>
          <w:divBdr>
            <w:top w:val="none" w:sz="0" w:space="0" w:color="auto"/>
            <w:left w:val="none" w:sz="0" w:space="0" w:color="auto"/>
            <w:bottom w:val="none" w:sz="0" w:space="0" w:color="auto"/>
            <w:right w:val="none" w:sz="0" w:space="0" w:color="auto"/>
          </w:divBdr>
        </w:div>
        <w:div w:id="980959556">
          <w:marLeft w:val="720"/>
          <w:marRight w:val="0"/>
          <w:marTop w:val="86"/>
          <w:marBottom w:val="0"/>
          <w:divBdr>
            <w:top w:val="none" w:sz="0" w:space="0" w:color="auto"/>
            <w:left w:val="none" w:sz="0" w:space="0" w:color="auto"/>
            <w:bottom w:val="none" w:sz="0" w:space="0" w:color="auto"/>
            <w:right w:val="none" w:sz="0" w:space="0" w:color="auto"/>
          </w:divBdr>
        </w:div>
        <w:div w:id="1216040259">
          <w:marLeft w:val="720"/>
          <w:marRight w:val="0"/>
          <w:marTop w:val="86"/>
          <w:marBottom w:val="0"/>
          <w:divBdr>
            <w:top w:val="none" w:sz="0" w:space="0" w:color="auto"/>
            <w:left w:val="none" w:sz="0" w:space="0" w:color="auto"/>
            <w:bottom w:val="none" w:sz="0" w:space="0" w:color="auto"/>
            <w:right w:val="none" w:sz="0" w:space="0" w:color="auto"/>
          </w:divBdr>
        </w:div>
        <w:div w:id="1447895506">
          <w:marLeft w:val="562"/>
          <w:marRight w:val="0"/>
          <w:marTop w:val="96"/>
          <w:marBottom w:val="0"/>
          <w:divBdr>
            <w:top w:val="none" w:sz="0" w:space="0" w:color="auto"/>
            <w:left w:val="none" w:sz="0" w:space="0" w:color="auto"/>
            <w:bottom w:val="none" w:sz="0" w:space="0" w:color="auto"/>
            <w:right w:val="none" w:sz="0" w:space="0" w:color="auto"/>
          </w:divBdr>
        </w:div>
        <w:div w:id="2011369561">
          <w:marLeft w:val="720"/>
          <w:marRight w:val="0"/>
          <w:marTop w:val="86"/>
          <w:marBottom w:val="0"/>
          <w:divBdr>
            <w:top w:val="none" w:sz="0" w:space="0" w:color="auto"/>
            <w:left w:val="none" w:sz="0" w:space="0" w:color="auto"/>
            <w:bottom w:val="none" w:sz="0" w:space="0" w:color="auto"/>
            <w:right w:val="none" w:sz="0" w:space="0" w:color="auto"/>
          </w:divBdr>
        </w:div>
      </w:divsChild>
    </w:div>
    <w:div w:id="1998611752">
      <w:bodyDiv w:val="1"/>
      <w:marLeft w:val="0"/>
      <w:marRight w:val="0"/>
      <w:marTop w:val="0"/>
      <w:marBottom w:val="0"/>
      <w:divBdr>
        <w:top w:val="none" w:sz="0" w:space="0" w:color="auto"/>
        <w:left w:val="none" w:sz="0" w:space="0" w:color="auto"/>
        <w:bottom w:val="none" w:sz="0" w:space="0" w:color="auto"/>
        <w:right w:val="none" w:sz="0" w:space="0" w:color="auto"/>
      </w:divBdr>
    </w:div>
    <w:div w:id="1999921640">
      <w:bodyDiv w:val="1"/>
      <w:marLeft w:val="0"/>
      <w:marRight w:val="0"/>
      <w:marTop w:val="0"/>
      <w:marBottom w:val="0"/>
      <w:divBdr>
        <w:top w:val="none" w:sz="0" w:space="0" w:color="auto"/>
        <w:left w:val="none" w:sz="0" w:space="0" w:color="auto"/>
        <w:bottom w:val="none" w:sz="0" w:space="0" w:color="auto"/>
        <w:right w:val="none" w:sz="0" w:space="0" w:color="auto"/>
      </w:divBdr>
    </w:div>
    <w:div w:id="2004043712">
      <w:bodyDiv w:val="1"/>
      <w:marLeft w:val="0"/>
      <w:marRight w:val="0"/>
      <w:marTop w:val="0"/>
      <w:marBottom w:val="0"/>
      <w:divBdr>
        <w:top w:val="none" w:sz="0" w:space="0" w:color="auto"/>
        <w:left w:val="none" w:sz="0" w:space="0" w:color="auto"/>
        <w:bottom w:val="none" w:sz="0" w:space="0" w:color="auto"/>
        <w:right w:val="none" w:sz="0" w:space="0" w:color="auto"/>
      </w:divBdr>
      <w:divsChild>
        <w:div w:id="390033163">
          <w:marLeft w:val="288"/>
          <w:marRight w:val="0"/>
          <w:marTop w:val="91"/>
          <w:marBottom w:val="0"/>
          <w:divBdr>
            <w:top w:val="none" w:sz="0" w:space="0" w:color="auto"/>
            <w:left w:val="none" w:sz="0" w:space="0" w:color="auto"/>
            <w:bottom w:val="none" w:sz="0" w:space="0" w:color="auto"/>
            <w:right w:val="none" w:sz="0" w:space="0" w:color="auto"/>
          </w:divBdr>
        </w:div>
        <w:div w:id="477113038">
          <w:marLeft w:val="720"/>
          <w:marRight w:val="0"/>
          <w:marTop w:val="77"/>
          <w:marBottom w:val="0"/>
          <w:divBdr>
            <w:top w:val="none" w:sz="0" w:space="0" w:color="auto"/>
            <w:left w:val="none" w:sz="0" w:space="0" w:color="auto"/>
            <w:bottom w:val="none" w:sz="0" w:space="0" w:color="auto"/>
            <w:right w:val="none" w:sz="0" w:space="0" w:color="auto"/>
          </w:divBdr>
        </w:div>
        <w:div w:id="546137665">
          <w:marLeft w:val="288"/>
          <w:marRight w:val="0"/>
          <w:marTop w:val="91"/>
          <w:marBottom w:val="0"/>
          <w:divBdr>
            <w:top w:val="none" w:sz="0" w:space="0" w:color="auto"/>
            <w:left w:val="none" w:sz="0" w:space="0" w:color="auto"/>
            <w:bottom w:val="none" w:sz="0" w:space="0" w:color="auto"/>
            <w:right w:val="none" w:sz="0" w:space="0" w:color="auto"/>
          </w:divBdr>
        </w:div>
        <w:div w:id="640158352">
          <w:marLeft w:val="288"/>
          <w:marRight w:val="0"/>
          <w:marTop w:val="91"/>
          <w:marBottom w:val="0"/>
          <w:divBdr>
            <w:top w:val="none" w:sz="0" w:space="0" w:color="auto"/>
            <w:left w:val="none" w:sz="0" w:space="0" w:color="auto"/>
            <w:bottom w:val="none" w:sz="0" w:space="0" w:color="auto"/>
            <w:right w:val="none" w:sz="0" w:space="0" w:color="auto"/>
          </w:divBdr>
        </w:div>
        <w:div w:id="1066681911">
          <w:marLeft w:val="288"/>
          <w:marRight w:val="0"/>
          <w:marTop w:val="91"/>
          <w:marBottom w:val="0"/>
          <w:divBdr>
            <w:top w:val="none" w:sz="0" w:space="0" w:color="auto"/>
            <w:left w:val="none" w:sz="0" w:space="0" w:color="auto"/>
            <w:bottom w:val="none" w:sz="0" w:space="0" w:color="auto"/>
            <w:right w:val="none" w:sz="0" w:space="0" w:color="auto"/>
          </w:divBdr>
        </w:div>
        <w:div w:id="1356661450">
          <w:marLeft w:val="720"/>
          <w:marRight w:val="0"/>
          <w:marTop w:val="77"/>
          <w:marBottom w:val="0"/>
          <w:divBdr>
            <w:top w:val="none" w:sz="0" w:space="0" w:color="auto"/>
            <w:left w:val="none" w:sz="0" w:space="0" w:color="auto"/>
            <w:bottom w:val="none" w:sz="0" w:space="0" w:color="auto"/>
            <w:right w:val="none" w:sz="0" w:space="0" w:color="auto"/>
          </w:divBdr>
        </w:div>
        <w:div w:id="1912497846">
          <w:marLeft w:val="288"/>
          <w:marRight w:val="0"/>
          <w:marTop w:val="91"/>
          <w:marBottom w:val="0"/>
          <w:divBdr>
            <w:top w:val="none" w:sz="0" w:space="0" w:color="auto"/>
            <w:left w:val="none" w:sz="0" w:space="0" w:color="auto"/>
            <w:bottom w:val="none" w:sz="0" w:space="0" w:color="auto"/>
            <w:right w:val="none" w:sz="0" w:space="0" w:color="auto"/>
          </w:divBdr>
        </w:div>
        <w:div w:id="1941448456">
          <w:marLeft w:val="720"/>
          <w:marRight w:val="0"/>
          <w:marTop w:val="77"/>
          <w:marBottom w:val="0"/>
          <w:divBdr>
            <w:top w:val="none" w:sz="0" w:space="0" w:color="auto"/>
            <w:left w:val="none" w:sz="0" w:space="0" w:color="auto"/>
            <w:bottom w:val="none" w:sz="0" w:space="0" w:color="auto"/>
            <w:right w:val="none" w:sz="0" w:space="0" w:color="auto"/>
          </w:divBdr>
        </w:div>
      </w:divsChild>
    </w:div>
    <w:div w:id="2005090586">
      <w:bodyDiv w:val="1"/>
      <w:marLeft w:val="0"/>
      <w:marRight w:val="0"/>
      <w:marTop w:val="0"/>
      <w:marBottom w:val="0"/>
      <w:divBdr>
        <w:top w:val="none" w:sz="0" w:space="0" w:color="auto"/>
        <w:left w:val="none" w:sz="0" w:space="0" w:color="auto"/>
        <w:bottom w:val="none" w:sz="0" w:space="0" w:color="auto"/>
        <w:right w:val="none" w:sz="0" w:space="0" w:color="auto"/>
      </w:divBdr>
    </w:div>
    <w:div w:id="2028364998">
      <w:bodyDiv w:val="1"/>
      <w:marLeft w:val="0"/>
      <w:marRight w:val="0"/>
      <w:marTop w:val="0"/>
      <w:marBottom w:val="0"/>
      <w:divBdr>
        <w:top w:val="none" w:sz="0" w:space="0" w:color="auto"/>
        <w:left w:val="none" w:sz="0" w:space="0" w:color="auto"/>
        <w:bottom w:val="none" w:sz="0" w:space="0" w:color="auto"/>
        <w:right w:val="none" w:sz="0" w:space="0" w:color="auto"/>
      </w:divBdr>
    </w:div>
    <w:div w:id="2031950807">
      <w:bodyDiv w:val="1"/>
      <w:marLeft w:val="0"/>
      <w:marRight w:val="0"/>
      <w:marTop w:val="0"/>
      <w:marBottom w:val="0"/>
      <w:divBdr>
        <w:top w:val="none" w:sz="0" w:space="0" w:color="auto"/>
        <w:left w:val="none" w:sz="0" w:space="0" w:color="auto"/>
        <w:bottom w:val="none" w:sz="0" w:space="0" w:color="auto"/>
        <w:right w:val="none" w:sz="0" w:space="0" w:color="auto"/>
      </w:divBdr>
    </w:div>
    <w:div w:id="2040467773">
      <w:bodyDiv w:val="1"/>
      <w:marLeft w:val="0"/>
      <w:marRight w:val="0"/>
      <w:marTop w:val="0"/>
      <w:marBottom w:val="0"/>
      <w:divBdr>
        <w:top w:val="none" w:sz="0" w:space="0" w:color="auto"/>
        <w:left w:val="none" w:sz="0" w:space="0" w:color="auto"/>
        <w:bottom w:val="none" w:sz="0" w:space="0" w:color="auto"/>
        <w:right w:val="none" w:sz="0" w:space="0" w:color="auto"/>
      </w:divBdr>
    </w:div>
    <w:div w:id="2060086186">
      <w:bodyDiv w:val="1"/>
      <w:marLeft w:val="0"/>
      <w:marRight w:val="0"/>
      <w:marTop w:val="0"/>
      <w:marBottom w:val="0"/>
      <w:divBdr>
        <w:top w:val="none" w:sz="0" w:space="0" w:color="auto"/>
        <w:left w:val="none" w:sz="0" w:space="0" w:color="auto"/>
        <w:bottom w:val="none" w:sz="0" w:space="0" w:color="auto"/>
        <w:right w:val="none" w:sz="0" w:space="0" w:color="auto"/>
      </w:divBdr>
      <w:divsChild>
        <w:div w:id="63990991">
          <w:marLeft w:val="562"/>
          <w:marRight w:val="0"/>
          <w:marTop w:val="115"/>
          <w:marBottom w:val="0"/>
          <w:divBdr>
            <w:top w:val="none" w:sz="0" w:space="0" w:color="auto"/>
            <w:left w:val="none" w:sz="0" w:space="0" w:color="auto"/>
            <w:bottom w:val="none" w:sz="0" w:space="0" w:color="auto"/>
            <w:right w:val="none" w:sz="0" w:space="0" w:color="auto"/>
          </w:divBdr>
        </w:div>
        <w:div w:id="186066778">
          <w:marLeft w:val="720"/>
          <w:marRight w:val="0"/>
          <w:marTop w:val="96"/>
          <w:marBottom w:val="0"/>
          <w:divBdr>
            <w:top w:val="none" w:sz="0" w:space="0" w:color="auto"/>
            <w:left w:val="none" w:sz="0" w:space="0" w:color="auto"/>
            <w:bottom w:val="none" w:sz="0" w:space="0" w:color="auto"/>
            <w:right w:val="none" w:sz="0" w:space="0" w:color="auto"/>
          </w:divBdr>
        </w:div>
        <w:div w:id="220868652">
          <w:marLeft w:val="720"/>
          <w:marRight w:val="0"/>
          <w:marTop w:val="96"/>
          <w:marBottom w:val="0"/>
          <w:divBdr>
            <w:top w:val="none" w:sz="0" w:space="0" w:color="auto"/>
            <w:left w:val="none" w:sz="0" w:space="0" w:color="auto"/>
            <w:bottom w:val="none" w:sz="0" w:space="0" w:color="auto"/>
            <w:right w:val="none" w:sz="0" w:space="0" w:color="auto"/>
          </w:divBdr>
        </w:div>
        <w:div w:id="318508221">
          <w:marLeft w:val="720"/>
          <w:marRight w:val="0"/>
          <w:marTop w:val="96"/>
          <w:marBottom w:val="0"/>
          <w:divBdr>
            <w:top w:val="none" w:sz="0" w:space="0" w:color="auto"/>
            <w:left w:val="none" w:sz="0" w:space="0" w:color="auto"/>
            <w:bottom w:val="none" w:sz="0" w:space="0" w:color="auto"/>
            <w:right w:val="none" w:sz="0" w:space="0" w:color="auto"/>
          </w:divBdr>
        </w:div>
        <w:div w:id="333071853">
          <w:marLeft w:val="1152"/>
          <w:marRight w:val="0"/>
          <w:marTop w:val="86"/>
          <w:marBottom w:val="0"/>
          <w:divBdr>
            <w:top w:val="none" w:sz="0" w:space="0" w:color="auto"/>
            <w:left w:val="none" w:sz="0" w:space="0" w:color="auto"/>
            <w:bottom w:val="none" w:sz="0" w:space="0" w:color="auto"/>
            <w:right w:val="none" w:sz="0" w:space="0" w:color="auto"/>
          </w:divBdr>
        </w:div>
        <w:div w:id="782919226">
          <w:marLeft w:val="720"/>
          <w:marRight w:val="0"/>
          <w:marTop w:val="96"/>
          <w:marBottom w:val="0"/>
          <w:divBdr>
            <w:top w:val="none" w:sz="0" w:space="0" w:color="auto"/>
            <w:left w:val="none" w:sz="0" w:space="0" w:color="auto"/>
            <w:bottom w:val="none" w:sz="0" w:space="0" w:color="auto"/>
            <w:right w:val="none" w:sz="0" w:space="0" w:color="auto"/>
          </w:divBdr>
        </w:div>
        <w:div w:id="1255941874">
          <w:marLeft w:val="720"/>
          <w:marRight w:val="0"/>
          <w:marTop w:val="96"/>
          <w:marBottom w:val="0"/>
          <w:divBdr>
            <w:top w:val="none" w:sz="0" w:space="0" w:color="auto"/>
            <w:left w:val="none" w:sz="0" w:space="0" w:color="auto"/>
            <w:bottom w:val="none" w:sz="0" w:space="0" w:color="auto"/>
            <w:right w:val="none" w:sz="0" w:space="0" w:color="auto"/>
          </w:divBdr>
        </w:div>
        <w:div w:id="1283153775">
          <w:marLeft w:val="562"/>
          <w:marRight w:val="0"/>
          <w:marTop w:val="115"/>
          <w:marBottom w:val="0"/>
          <w:divBdr>
            <w:top w:val="none" w:sz="0" w:space="0" w:color="auto"/>
            <w:left w:val="none" w:sz="0" w:space="0" w:color="auto"/>
            <w:bottom w:val="none" w:sz="0" w:space="0" w:color="auto"/>
            <w:right w:val="none" w:sz="0" w:space="0" w:color="auto"/>
          </w:divBdr>
        </w:div>
        <w:div w:id="1389304760">
          <w:marLeft w:val="720"/>
          <w:marRight w:val="0"/>
          <w:marTop w:val="96"/>
          <w:marBottom w:val="0"/>
          <w:divBdr>
            <w:top w:val="none" w:sz="0" w:space="0" w:color="auto"/>
            <w:left w:val="none" w:sz="0" w:space="0" w:color="auto"/>
            <w:bottom w:val="none" w:sz="0" w:space="0" w:color="auto"/>
            <w:right w:val="none" w:sz="0" w:space="0" w:color="auto"/>
          </w:divBdr>
        </w:div>
        <w:div w:id="1593781874">
          <w:marLeft w:val="720"/>
          <w:marRight w:val="0"/>
          <w:marTop w:val="96"/>
          <w:marBottom w:val="0"/>
          <w:divBdr>
            <w:top w:val="none" w:sz="0" w:space="0" w:color="auto"/>
            <w:left w:val="none" w:sz="0" w:space="0" w:color="auto"/>
            <w:bottom w:val="none" w:sz="0" w:space="0" w:color="auto"/>
            <w:right w:val="none" w:sz="0" w:space="0" w:color="auto"/>
          </w:divBdr>
        </w:div>
        <w:div w:id="1818374076">
          <w:marLeft w:val="562"/>
          <w:marRight w:val="0"/>
          <w:marTop w:val="115"/>
          <w:marBottom w:val="0"/>
          <w:divBdr>
            <w:top w:val="none" w:sz="0" w:space="0" w:color="auto"/>
            <w:left w:val="none" w:sz="0" w:space="0" w:color="auto"/>
            <w:bottom w:val="none" w:sz="0" w:space="0" w:color="auto"/>
            <w:right w:val="none" w:sz="0" w:space="0" w:color="auto"/>
          </w:divBdr>
        </w:div>
        <w:div w:id="2010713579">
          <w:marLeft w:val="720"/>
          <w:marRight w:val="0"/>
          <w:marTop w:val="96"/>
          <w:marBottom w:val="0"/>
          <w:divBdr>
            <w:top w:val="none" w:sz="0" w:space="0" w:color="auto"/>
            <w:left w:val="none" w:sz="0" w:space="0" w:color="auto"/>
            <w:bottom w:val="none" w:sz="0" w:space="0" w:color="auto"/>
            <w:right w:val="none" w:sz="0" w:space="0" w:color="auto"/>
          </w:divBdr>
        </w:div>
      </w:divsChild>
    </w:div>
    <w:div w:id="2068189101">
      <w:bodyDiv w:val="1"/>
      <w:marLeft w:val="0"/>
      <w:marRight w:val="0"/>
      <w:marTop w:val="0"/>
      <w:marBottom w:val="0"/>
      <w:divBdr>
        <w:top w:val="none" w:sz="0" w:space="0" w:color="auto"/>
        <w:left w:val="none" w:sz="0" w:space="0" w:color="auto"/>
        <w:bottom w:val="none" w:sz="0" w:space="0" w:color="auto"/>
        <w:right w:val="none" w:sz="0" w:space="0" w:color="auto"/>
      </w:divBdr>
    </w:div>
    <w:div w:id="2076269703">
      <w:bodyDiv w:val="1"/>
      <w:marLeft w:val="0"/>
      <w:marRight w:val="0"/>
      <w:marTop w:val="0"/>
      <w:marBottom w:val="0"/>
      <w:divBdr>
        <w:top w:val="none" w:sz="0" w:space="0" w:color="auto"/>
        <w:left w:val="none" w:sz="0" w:space="0" w:color="auto"/>
        <w:bottom w:val="none" w:sz="0" w:space="0" w:color="auto"/>
        <w:right w:val="none" w:sz="0" w:space="0" w:color="auto"/>
      </w:divBdr>
    </w:div>
    <w:div w:id="2076707861">
      <w:bodyDiv w:val="1"/>
      <w:marLeft w:val="0"/>
      <w:marRight w:val="0"/>
      <w:marTop w:val="0"/>
      <w:marBottom w:val="0"/>
      <w:divBdr>
        <w:top w:val="none" w:sz="0" w:space="0" w:color="auto"/>
        <w:left w:val="none" w:sz="0" w:space="0" w:color="auto"/>
        <w:bottom w:val="none" w:sz="0" w:space="0" w:color="auto"/>
        <w:right w:val="none" w:sz="0" w:space="0" w:color="auto"/>
      </w:divBdr>
    </w:div>
    <w:div w:id="2084139573">
      <w:bodyDiv w:val="1"/>
      <w:marLeft w:val="0"/>
      <w:marRight w:val="0"/>
      <w:marTop w:val="0"/>
      <w:marBottom w:val="0"/>
      <w:divBdr>
        <w:top w:val="none" w:sz="0" w:space="0" w:color="auto"/>
        <w:left w:val="none" w:sz="0" w:space="0" w:color="auto"/>
        <w:bottom w:val="none" w:sz="0" w:space="0" w:color="auto"/>
        <w:right w:val="none" w:sz="0" w:space="0" w:color="auto"/>
      </w:divBdr>
      <w:divsChild>
        <w:div w:id="88163619">
          <w:marLeft w:val="720"/>
          <w:marRight w:val="0"/>
          <w:marTop w:val="82"/>
          <w:marBottom w:val="0"/>
          <w:divBdr>
            <w:top w:val="none" w:sz="0" w:space="0" w:color="auto"/>
            <w:left w:val="none" w:sz="0" w:space="0" w:color="auto"/>
            <w:bottom w:val="none" w:sz="0" w:space="0" w:color="auto"/>
            <w:right w:val="none" w:sz="0" w:space="0" w:color="auto"/>
          </w:divBdr>
        </w:div>
        <w:div w:id="675154289">
          <w:marLeft w:val="720"/>
          <w:marRight w:val="0"/>
          <w:marTop w:val="82"/>
          <w:marBottom w:val="0"/>
          <w:divBdr>
            <w:top w:val="none" w:sz="0" w:space="0" w:color="auto"/>
            <w:left w:val="none" w:sz="0" w:space="0" w:color="auto"/>
            <w:bottom w:val="none" w:sz="0" w:space="0" w:color="auto"/>
            <w:right w:val="none" w:sz="0" w:space="0" w:color="auto"/>
          </w:divBdr>
        </w:div>
        <w:div w:id="854921071">
          <w:marLeft w:val="562"/>
          <w:marRight w:val="0"/>
          <w:marTop w:val="96"/>
          <w:marBottom w:val="0"/>
          <w:divBdr>
            <w:top w:val="none" w:sz="0" w:space="0" w:color="auto"/>
            <w:left w:val="none" w:sz="0" w:space="0" w:color="auto"/>
            <w:bottom w:val="none" w:sz="0" w:space="0" w:color="auto"/>
            <w:right w:val="none" w:sz="0" w:space="0" w:color="auto"/>
          </w:divBdr>
        </w:div>
        <w:div w:id="906107059">
          <w:marLeft w:val="720"/>
          <w:marRight w:val="0"/>
          <w:marTop w:val="82"/>
          <w:marBottom w:val="0"/>
          <w:divBdr>
            <w:top w:val="none" w:sz="0" w:space="0" w:color="auto"/>
            <w:left w:val="none" w:sz="0" w:space="0" w:color="auto"/>
            <w:bottom w:val="none" w:sz="0" w:space="0" w:color="auto"/>
            <w:right w:val="none" w:sz="0" w:space="0" w:color="auto"/>
          </w:divBdr>
        </w:div>
        <w:div w:id="1184592977">
          <w:marLeft w:val="720"/>
          <w:marRight w:val="0"/>
          <w:marTop w:val="82"/>
          <w:marBottom w:val="0"/>
          <w:divBdr>
            <w:top w:val="none" w:sz="0" w:space="0" w:color="auto"/>
            <w:left w:val="none" w:sz="0" w:space="0" w:color="auto"/>
            <w:bottom w:val="none" w:sz="0" w:space="0" w:color="auto"/>
            <w:right w:val="none" w:sz="0" w:space="0" w:color="auto"/>
          </w:divBdr>
        </w:div>
        <w:div w:id="1420755127">
          <w:marLeft w:val="720"/>
          <w:marRight w:val="0"/>
          <w:marTop w:val="82"/>
          <w:marBottom w:val="0"/>
          <w:divBdr>
            <w:top w:val="none" w:sz="0" w:space="0" w:color="auto"/>
            <w:left w:val="none" w:sz="0" w:space="0" w:color="auto"/>
            <w:bottom w:val="none" w:sz="0" w:space="0" w:color="auto"/>
            <w:right w:val="none" w:sz="0" w:space="0" w:color="auto"/>
          </w:divBdr>
        </w:div>
        <w:div w:id="1748383594">
          <w:marLeft w:val="720"/>
          <w:marRight w:val="0"/>
          <w:marTop w:val="82"/>
          <w:marBottom w:val="0"/>
          <w:divBdr>
            <w:top w:val="none" w:sz="0" w:space="0" w:color="auto"/>
            <w:left w:val="none" w:sz="0" w:space="0" w:color="auto"/>
            <w:bottom w:val="none" w:sz="0" w:space="0" w:color="auto"/>
            <w:right w:val="none" w:sz="0" w:space="0" w:color="auto"/>
          </w:divBdr>
        </w:div>
      </w:divsChild>
    </w:div>
    <w:div w:id="2087921473">
      <w:bodyDiv w:val="1"/>
      <w:marLeft w:val="0"/>
      <w:marRight w:val="0"/>
      <w:marTop w:val="0"/>
      <w:marBottom w:val="0"/>
      <w:divBdr>
        <w:top w:val="none" w:sz="0" w:space="0" w:color="auto"/>
        <w:left w:val="none" w:sz="0" w:space="0" w:color="auto"/>
        <w:bottom w:val="none" w:sz="0" w:space="0" w:color="auto"/>
        <w:right w:val="none" w:sz="0" w:space="0" w:color="auto"/>
      </w:divBdr>
    </w:div>
    <w:div w:id="2093236643">
      <w:bodyDiv w:val="1"/>
      <w:marLeft w:val="0"/>
      <w:marRight w:val="0"/>
      <w:marTop w:val="0"/>
      <w:marBottom w:val="0"/>
      <w:divBdr>
        <w:top w:val="none" w:sz="0" w:space="0" w:color="auto"/>
        <w:left w:val="none" w:sz="0" w:space="0" w:color="auto"/>
        <w:bottom w:val="none" w:sz="0" w:space="0" w:color="auto"/>
        <w:right w:val="none" w:sz="0" w:space="0" w:color="auto"/>
      </w:divBdr>
      <w:divsChild>
        <w:div w:id="18286788">
          <w:marLeft w:val="1152"/>
          <w:marRight w:val="0"/>
          <w:marTop w:val="82"/>
          <w:marBottom w:val="0"/>
          <w:divBdr>
            <w:top w:val="none" w:sz="0" w:space="0" w:color="auto"/>
            <w:left w:val="none" w:sz="0" w:space="0" w:color="auto"/>
            <w:bottom w:val="none" w:sz="0" w:space="0" w:color="auto"/>
            <w:right w:val="none" w:sz="0" w:space="0" w:color="auto"/>
          </w:divBdr>
        </w:div>
        <w:div w:id="375544756">
          <w:marLeft w:val="720"/>
          <w:marRight w:val="0"/>
          <w:marTop w:val="91"/>
          <w:marBottom w:val="0"/>
          <w:divBdr>
            <w:top w:val="none" w:sz="0" w:space="0" w:color="auto"/>
            <w:left w:val="none" w:sz="0" w:space="0" w:color="auto"/>
            <w:bottom w:val="none" w:sz="0" w:space="0" w:color="auto"/>
            <w:right w:val="none" w:sz="0" w:space="0" w:color="auto"/>
          </w:divBdr>
        </w:div>
        <w:div w:id="451246769">
          <w:marLeft w:val="720"/>
          <w:marRight w:val="0"/>
          <w:marTop w:val="91"/>
          <w:marBottom w:val="0"/>
          <w:divBdr>
            <w:top w:val="none" w:sz="0" w:space="0" w:color="auto"/>
            <w:left w:val="none" w:sz="0" w:space="0" w:color="auto"/>
            <w:bottom w:val="none" w:sz="0" w:space="0" w:color="auto"/>
            <w:right w:val="none" w:sz="0" w:space="0" w:color="auto"/>
          </w:divBdr>
        </w:div>
        <w:div w:id="562981905">
          <w:marLeft w:val="720"/>
          <w:marRight w:val="0"/>
          <w:marTop w:val="91"/>
          <w:marBottom w:val="0"/>
          <w:divBdr>
            <w:top w:val="none" w:sz="0" w:space="0" w:color="auto"/>
            <w:left w:val="none" w:sz="0" w:space="0" w:color="auto"/>
            <w:bottom w:val="none" w:sz="0" w:space="0" w:color="auto"/>
            <w:right w:val="none" w:sz="0" w:space="0" w:color="auto"/>
          </w:divBdr>
        </w:div>
        <w:div w:id="931668198">
          <w:marLeft w:val="1152"/>
          <w:marRight w:val="0"/>
          <w:marTop w:val="82"/>
          <w:marBottom w:val="0"/>
          <w:divBdr>
            <w:top w:val="none" w:sz="0" w:space="0" w:color="auto"/>
            <w:left w:val="none" w:sz="0" w:space="0" w:color="auto"/>
            <w:bottom w:val="none" w:sz="0" w:space="0" w:color="auto"/>
            <w:right w:val="none" w:sz="0" w:space="0" w:color="auto"/>
          </w:divBdr>
        </w:div>
        <w:div w:id="938486823">
          <w:marLeft w:val="1152"/>
          <w:marRight w:val="0"/>
          <w:marTop w:val="82"/>
          <w:marBottom w:val="0"/>
          <w:divBdr>
            <w:top w:val="none" w:sz="0" w:space="0" w:color="auto"/>
            <w:left w:val="none" w:sz="0" w:space="0" w:color="auto"/>
            <w:bottom w:val="none" w:sz="0" w:space="0" w:color="auto"/>
            <w:right w:val="none" w:sz="0" w:space="0" w:color="auto"/>
          </w:divBdr>
        </w:div>
        <w:div w:id="1163737853">
          <w:marLeft w:val="1152"/>
          <w:marRight w:val="0"/>
          <w:marTop w:val="82"/>
          <w:marBottom w:val="0"/>
          <w:divBdr>
            <w:top w:val="none" w:sz="0" w:space="0" w:color="auto"/>
            <w:left w:val="none" w:sz="0" w:space="0" w:color="auto"/>
            <w:bottom w:val="none" w:sz="0" w:space="0" w:color="auto"/>
            <w:right w:val="none" w:sz="0" w:space="0" w:color="auto"/>
          </w:divBdr>
        </w:div>
        <w:div w:id="1259870268">
          <w:marLeft w:val="720"/>
          <w:marRight w:val="0"/>
          <w:marTop w:val="91"/>
          <w:marBottom w:val="0"/>
          <w:divBdr>
            <w:top w:val="none" w:sz="0" w:space="0" w:color="auto"/>
            <w:left w:val="none" w:sz="0" w:space="0" w:color="auto"/>
            <w:bottom w:val="none" w:sz="0" w:space="0" w:color="auto"/>
            <w:right w:val="none" w:sz="0" w:space="0" w:color="auto"/>
          </w:divBdr>
        </w:div>
        <w:div w:id="1297177230">
          <w:marLeft w:val="562"/>
          <w:marRight w:val="0"/>
          <w:marTop w:val="106"/>
          <w:marBottom w:val="0"/>
          <w:divBdr>
            <w:top w:val="none" w:sz="0" w:space="0" w:color="auto"/>
            <w:left w:val="none" w:sz="0" w:space="0" w:color="auto"/>
            <w:bottom w:val="none" w:sz="0" w:space="0" w:color="auto"/>
            <w:right w:val="none" w:sz="0" w:space="0" w:color="auto"/>
          </w:divBdr>
        </w:div>
        <w:div w:id="1358699530">
          <w:marLeft w:val="1152"/>
          <w:marRight w:val="0"/>
          <w:marTop w:val="82"/>
          <w:marBottom w:val="0"/>
          <w:divBdr>
            <w:top w:val="none" w:sz="0" w:space="0" w:color="auto"/>
            <w:left w:val="none" w:sz="0" w:space="0" w:color="auto"/>
            <w:bottom w:val="none" w:sz="0" w:space="0" w:color="auto"/>
            <w:right w:val="none" w:sz="0" w:space="0" w:color="auto"/>
          </w:divBdr>
        </w:div>
        <w:div w:id="1509061468">
          <w:marLeft w:val="720"/>
          <w:marRight w:val="0"/>
          <w:marTop w:val="91"/>
          <w:marBottom w:val="0"/>
          <w:divBdr>
            <w:top w:val="none" w:sz="0" w:space="0" w:color="auto"/>
            <w:left w:val="none" w:sz="0" w:space="0" w:color="auto"/>
            <w:bottom w:val="none" w:sz="0" w:space="0" w:color="auto"/>
            <w:right w:val="none" w:sz="0" w:space="0" w:color="auto"/>
          </w:divBdr>
        </w:div>
        <w:div w:id="1517310619">
          <w:marLeft w:val="562"/>
          <w:marRight w:val="0"/>
          <w:marTop w:val="106"/>
          <w:marBottom w:val="0"/>
          <w:divBdr>
            <w:top w:val="none" w:sz="0" w:space="0" w:color="auto"/>
            <w:left w:val="none" w:sz="0" w:space="0" w:color="auto"/>
            <w:bottom w:val="none" w:sz="0" w:space="0" w:color="auto"/>
            <w:right w:val="none" w:sz="0" w:space="0" w:color="auto"/>
          </w:divBdr>
        </w:div>
        <w:div w:id="1771924101">
          <w:marLeft w:val="720"/>
          <w:marRight w:val="0"/>
          <w:marTop w:val="91"/>
          <w:marBottom w:val="0"/>
          <w:divBdr>
            <w:top w:val="none" w:sz="0" w:space="0" w:color="auto"/>
            <w:left w:val="none" w:sz="0" w:space="0" w:color="auto"/>
            <w:bottom w:val="none" w:sz="0" w:space="0" w:color="auto"/>
            <w:right w:val="none" w:sz="0" w:space="0" w:color="auto"/>
          </w:divBdr>
        </w:div>
        <w:div w:id="1938521567">
          <w:marLeft w:val="1152"/>
          <w:marRight w:val="0"/>
          <w:marTop w:val="82"/>
          <w:marBottom w:val="0"/>
          <w:divBdr>
            <w:top w:val="none" w:sz="0" w:space="0" w:color="auto"/>
            <w:left w:val="none" w:sz="0" w:space="0" w:color="auto"/>
            <w:bottom w:val="none" w:sz="0" w:space="0" w:color="auto"/>
            <w:right w:val="none" w:sz="0" w:space="0" w:color="auto"/>
          </w:divBdr>
        </w:div>
      </w:divsChild>
    </w:div>
    <w:div w:id="2097244587">
      <w:bodyDiv w:val="1"/>
      <w:marLeft w:val="0"/>
      <w:marRight w:val="0"/>
      <w:marTop w:val="0"/>
      <w:marBottom w:val="0"/>
      <w:divBdr>
        <w:top w:val="none" w:sz="0" w:space="0" w:color="auto"/>
        <w:left w:val="none" w:sz="0" w:space="0" w:color="auto"/>
        <w:bottom w:val="none" w:sz="0" w:space="0" w:color="auto"/>
        <w:right w:val="none" w:sz="0" w:space="0" w:color="auto"/>
      </w:divBdr>
      <w:divsChild>
        <w:div w:id="2145266562">
          <w:marLeft w:val="720"/>
          <w:marRight w:val="0"/>
          <w:marTop w:val="96"/>
          <w:marBottom w:val="0"/>
          <w:divBdr>
            <w:top w:val="none" w:sz="0" w:space="0" w:color="auto"/>
            <w:left w:val="none" w:sz="0" w:space="0" w:color="auto"/>
            <w:bottom w:val="none" w:sz="0" w:space="0" w:color="auto"/>
            <w:right w:val="none" w:sz="0" w:space="0" w:color="auto"/>
          </w:divBdr>
        </w:div>
        <w:div w:id="2018341274">
          <w:marLeft w:val="720"/>
          <w:marRight w:val="0"/>
          <w:marTop w:val="96"/>
          <w:marBottom w:val="0"/>
          <w:divBdr>
            <w:top w:val="none" w:sz="0" w:space="0" w:color="auto"/>
            <w:left w:val="none" w:sz="0" w:space="0" w:color="auto"/>
            <w:bottom w:val="none" w:sz="0" w:space="0" w:color="auto"/>
            <w:right w:val="none" w:sz="0" w:space="0" w:color="auto"/>
          </w:divBdr>
        </w:div>
        <w:div w:id="994378988">
          <w:marLeft w:val="720"/>
          <w:marRight w:val="0"/>
          <w:marTop w:val="96"/>
          <w:marBottom w:val="0"/>
          <w:divBdr>
            <w:top w:val="none" w:sz="0" w:space="0" w:color="auto"/>
            <w:left w:val="none" w:sz="0" w:space="0" w:color="auto"/>
            <w:bottom w:val="none" w:sz="0" w:space="0" w:color="auto"/>
            <w:right w:val="none" w:sz="0" w:space="0" w:color="auto"/>
          </w:divBdr>
        </w:div>
        <w:div w:id="1707245477">
          <w:marLeft w:val="720"/>
          <w:marRight w:val="0"/>
          <w:marTop w:val="96"/>
          <w:marBottom w:val="0"/>
          <w:divBdr>
            <w:top w:val="none" w:sz="0" w:space="0" w:color="auto"/>
            <w:left w:val="none" w:sz="0" w:space="0" w:color="auto"/>
            <w:bottom w:val="none" w:sz="0" w:space="0" w:color="auto"/>
            <w:right w:val="none" w:sz="0" w:space="0" w:color="auto"/>
          </w:divBdr>
        </w:div>
      </w:divsChild>
    </w:div>
    <w:div w:id="2103525624">
      <w:bodyDiv w:val="1"/>
      <w:marLeft w:val="0"/>
      <w:marRight w:val="0"/>
      <w:marTop w:val="0"/>
      <w:marBottom w:val="0"/>
      <w:divBdr>
        <w:top w:val="none" w:sz="0" w:space="0" w:color="auto"/>
        <w:left w:val="none" w:sz="0" w:space="0" w:color="auto"/>
        <w:bottom w:val="none" w:sz="0" w:space="0" w:color="auto"/>
        <w:right w:val="none" w:sz="0" w:space="0" w:color="auto"/>
      </w:divBdr>
    </w:div>
    <w:div w:id="2108111753">
      <w:bodyDiv w:val="1"/>
      <w:marLeft w:val="0"/>
      <w:marRight w:val="0"/>
      <w:marTop w:val="0"/>
      <w:marBottom w:val="0"/>
      <w:divBdr>
        <w:top w:val="none" w:sz="0" w:space="0" w:color="auto"/>
        <w:left w:val="none" w:sz="0" w:space="0" w:color="auto"/>
        <w:bottom w:val="none" w:sz="0" w:space="0" w:color="auto"/>
        <w:right w:val="none" w:sz="0" w:space="0" w:color="auto"/>
      </w:divBdr>
    </w:div>
    <w:div w:id="2118670715">
      <w:bodyDiv w:val="1"/>
      <w:marLeft w:val="0"/>
      <w:marRight w:val="0"/>
      <w:marTop w:val="0"/>
      <w:marBottom w:val="0"/>
      <w:divBdr>
        <w:top w:val="none" w:sz="0" w:space="0" w:color="auto"/>
        <w:left w:val="none" w:sz="0" w:space="0" w:color="auto"/>
        <w:bottom w:val="none" w:sz="0" w:space="0" w:color="auto"/>
        <w:right w:val="none" w:sz="0" w:space="0" w:color="auto"/>
      </w:divBdr>
      <w:divsChild>
        <w:div w:id="632254325">
          <w:marLeft w:val="562"/>
          <w:marRight w:val="0"/>
          <w:marTop w:val="106"/>
          <w:marBottom w:val="0"/>
          <w:divBdr>
            <w:top w:val="none" w:sz="0" w:space="0" w:color="auto"/>
            <w:left w:val="none" w:sz="0" w:space="0" w:color="auto"/>
            <w:bottom w:val="none" w:sz="0" w:space="0" w:color="auto"/>
            <w:right w:val="none" w:sz="0" w:space="0" w:color="auto"/>
          </w:divBdr>
        </w:div>
      </w:divsChild>
    </w:div>
    <w:div w:id="2147235840">
      <w:bodyDiv w:val="1"/>
      <w:marLeft w:val="0"/>
      <w:marRight w:val="0"/>
      <w:marTop w:val="0"/>
      <w:marBottom w:val="0"/>
      <w:divBdr>
        <w:top w:val="none" w:sz="0" w:space="0" w:color="auto"/>
        <w:left w:val="none" w:sz="0" w:space="0" w:color="auto"/>
        <w:bottom w:val="none" w:sz="0" w:space="0" w:color="auto"/>
        <w:right w:val="none" w:sz="0" w:space="0" w:color="auto"/>
      </w:divBdr>
      <w:divsChild>
        <w:div w:id="2030837900">
          <w:marLeft w:val="0"/>
          <w:marRight w:val="0"/>
          <w:marTop w:val="0"/>
          <w:marBottom w:val="0"/>
          <w:divBdr>
            <w:top w:val="single" w:sz="48" w:space="0" w:color="FFFFFF"/>
            <w:left w:val="single" w:sz="48" w:space="0" w:color="FFFFFF"/>
            <w:bottom w:val="single" w:sz="48" w:space="0" w:color="FFFFFF"/>
            <w:right w:val="single" w:sz="48"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21.png"/><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package" Target="embeddings/Microsoft_Visio_Drawing2.vsdx"/><Relationship Id="rId38" Type="http://schemas.openxmlformats.org/officeDocument/2006/relationships/image" Target="media/image20.pn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package" Target="embeddings/Microsoft_Visio_Drawing1.vsdx"/><Relationship Id="rId41"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5.emf"/><Relationship Id="rId37" Type="http://schemas.openxmlformats.org/officeDocument/2006/relationships/image" Target="media/image19.png"/><Relationship Id="rId40"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2.emf"/><Relationship Id="rId36" Type="http://schemas.openxmlformats.org/officeDocument/2006/relationships/image" Target="media/image18.png"/><Relationship Id="rId10" Type="http://schemas.openxmlformats.org/officeDocument/2006/relationships/hyperlink" Target="http://www.varam.gov.lv/lat/fondi/ESper07_13/15120/" TargetMode="External"/><Relationship Id="rId19" Type="http://schemas.openxmlformats.org/officeDocument/2006/relationships/image" Target="media/image4.pn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hyperlink" Target="http://www.latvija.lv" TargetMode="External"/><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isa/documents/isa_annex_ii_eif_en.pdf" TargetMode="External"/><Relationship Id="rId1" Type="http://schemas.openxmlformats.org/officeDocument/2006/relationships/hyperlink" Target="https://joinup.ec.europa.eu/catalogue/reposi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C3EAE-4A01-4090-9F77-4C3E471E6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115342</Words>
  <Characters>65745</Characters>
  <Application>Microsoft Office Word</Application>
  <DocSecurity>0</DocSecurity>
  <Lines>547</Lines>
  <Paragraphs>361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Publiskās pārvaldes informācijas sistēmu konceptuālā arhitektūra</vt:lpstr>
      <vt:lpstr>Publiskās pārvaldes informācijas sistēmu konceptuālā arhitektūra</vt:lpstr>
    </vt:vector>
  </TitlesOfParts>
  <Manager>Versija 2.3</Manager>
  <Company>Vides aizsardzības un reģionālās attīstības ministrija</Company>
  <LinksUpToDate>false</LinksUpToDate>
  <CharactersWithSpaces>180726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Publiskās pārvaldes informācijas sistēmu konceptuālā arhitektūra</dc:title>
  <dc:subject>Publiskās pārvaldes informācijas sistēmu konceptuālā arhitektūra</dc:subject>
  <dc:creator>Lauris;Diāna</dc:creator>
  <cp:keywords>informatīvais ziņojums</cp:keywords>
  <dc:description>A.Daugulis, 67026535
arnis.daugulis@varam.gov.lv
U.Bisenieks, 66016533
ugis.bisenieks@varam.gov.lv
L.Linabergs, 66016572
lauris.linabergs@varam.gov.lv
D.Andžāne, 66016544
diana.andzane@varam.gov.lv
E.Harčuks, 66016575
Eduards.harcuks@varam.gov.lv</dc:description>
  <cp:lastModifiedBy>Lauris Linabergs</cp:lastModifiedBy>
  <cp:revision>2</cp:revision>
  <cp:lastPrinted>2014-12-18T06:52:00Z</cp:lastPrinted>
  <dcterms:created xsi:type="dcterms:W3CDTF">2015-03-26T11:24:00Z</dcterms:created>
  <dcterms:modified xsi:type="dcterms:W3CDTF">2015-03-26T11:24:00Z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-173487794</vt:i4>
  </property>
  <property fmtid="{D5CDD505-2E9C-101B-9397-08002B2CF9AE}" pid="3" name="_EmailEntryID">
    <vt:lpwstr>00000000F26BB7E378585646B86E70A1E8EE9480C4672400</vt:lpwstr>
  </property>
  <property fmtid="{D5CDD505-2E9C-101B-9397-08002B2CF9AE}" pid="4" name="_EmailStoreID">
    <vt:lpwstr>0000000038A1BB1005E5101AA1BB08002B2A56C200006D737073742E646C6C00000000004E495441F9BFB80100AA0037D96E0000000043003A005C0044006100740061005C00500061007300740073005C0049005300430032003000310030002E007000730074000000</vt:lpwstr>
  </property>
  <property fmtid="{D5CDD505-2E9C-101B-9397-08002B2CF9AE}" pid="5" name="_NewReviewCycle">
    <vt:lpwstr/>
  </property>
</Properties>
</file>