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5B348E" w:rsidP="00B1443A" w14:paraId="58F9D41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03497C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29.05.2025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1-2/61</w:t>
      </w:r>
    </w:p>
    <w:p w:rsidR="00361146" w:rsidP="00B1443A" w14:paraId="353DCD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EF052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04A936F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10ED" w:rsidP="00A710ED" w14:paraId="313E4E73" w14:textId="42652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/>
          <w:b/>
          <w:sz w:val="24"/>
          <w:szCs w:val="24"/>
          <w:lang w:val="lv-LV"/>
        </w:rPr>
        <w:t>Viedās administrācijas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 xml:space="preserve"> un reģionālās attīstības ministrijas Ētikas komisij</w:t>
      </w:r>
      <w:r w:rsidRPr="007126F0">
        <w:rPr>
          <w:rFonts w:ascii="Times New Roman" w:hAnsi="Times New Roman"/>
          <w:b/>
          <w:sz w:val="24"/>
          <w:szCs w:val="24"/>
          <w:lang w:val="lv-LV"/>
        </w:rPr>
        <w:t>as izveidi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 xml:space="preserve"> un nolikum</w:t>
      </w:r>
      <w:r w:rsidRPr="007126F0">
        <w:rPr>
          <w:rFonts w:ascii="Times New Roman" w:hAnsi="Times New Roman"/>
          <w:b/>
          <w:sz w:val="24"/>
          <w:szCs w:val="24"/>
          <w:lang w:val="lv-LV"/>
        </w:rPr>
        <w:t>a apstiprināšanu</w:t>
      </w:r>
    </w:p>
    <w:p w:rsidR="00A710ED" w:rsidP="00A710ED" w14:paraId="3E5470A3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A710ED" w:rsidRPr="0076263C" w:rsidP="00A710ED" w14:paraId="4871F568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A710ED" w:rsidRPr="00FB08F7" w:rsidP="00A710ED" w14:paraId="56E0689A" w14:textId="2DBDB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Pr="00FB08F7" w:rsidR="00FB08F7">
        <w:rPr>
          <w:rFonts w:ascii="Times New Roman" w:hAnsi="Times New Roman"/>
          <w:sz w:val="24"/>
          <w:szCs w:val="24"/>
          <w:lang w:val="lv-LV"/>
        </w:rPr>
        <w:t xml:space="preserve">Valsts pārvaldes iekārtas likuma </w:t>
      </w:r>
      <w:r w:rsidR="00F63A12">
        <w:rPr>
          <w:rFonts w:ascii="Times New Roman" w:hAnsi="Times New Roman"/>
          <w:sz w:val="24"/>
          <w:szCs w:val="24"/>
          <w:lang w:val="lv-LV"/>
        </w:rPr>
        <w:t>73</w:t>
      </w:r>
      <w:r w:rsidRPr="00FB08F7" w:rsidR="00FB08F7">
        <w:rPr>
          <w:rFonts w:ascii="Times New Roman" w:hAnsi="Times New Roman"/>
          <w:sz w:val="24"/>
          <w:szCs w:val="24"/>
          <w:lang w:val="lv-LV"/>
        </w:rPr>
        <w:t>.panta pirmo daļu</w:t>
      </w:r>
      <w:r w:rsidRPr="00FB08F7">
        <w:rPr>
          <w:rFonts w:ascii="Times New Roman" w:hAnsi="Times New Roman"/>
          <w:sz w:val="24"/>
          <w:szCs w:val="24"/>
          <w:lang w:val="lv-LV"/>
        </w:rPr>
        <w:t>:</w:t>
      </w:r>
    </w:p>
    <w:p w:rsidR="00A710ED" w:rsidRPr="00FB08F7" w:rsidP="00A710ED" w14:paraId="7A19C345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49651A6A" w14:textId="3B30B93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1.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Apstiprin</w:t>
      </w:r>
      <w:r w:rsidRPr="007126F0">
        <w:rPr>
          <w:rFonts w:ascii="Times New Roman" w:hAnsi="Times New Roman"/>
          <w:sz w:val="24"/>
          <w:szCs w:val="24"/>
          <w:lang w:val="lv-LV"/>
        </w:rPr>
        <w:t>āt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E3137">
        <w:rPr>
          <w:rFonts w:ascii="Times New Roman" w:hAnsi="Times New Roman"/>
          <w:sz w:val="24"/>
          <w:szCs w:val="24"/>
          <w:lang w:val="lv-LV"/>
        </w:rPr>
        <w:t>Viedās administrācijas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un reģionālās attīstības ministrijas Ētikas komisiju šādā sastāvā:</w:t>
      </w:r>
    </w:p>
    <w:p w:rsidR="00A710ED" w:rsidRPr="007126F0" w:rsidP="00A710ED" w14:paraId="46B3212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126F0" w:rsidP="00A710ED" w14:paraId="610BF4C3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1.1. </w:t>
      </w:r>
      <w:r w:rsidRPr="0076263C">
        <w:rPr>
          <w:rFonts w:ascii="Times New Roman" w:hAnsi="Times New Roman"/>
          <w:sz w:val="24"/>
          <w:szCs w:val="24"/>
          <w:lang w:val="lv-LV"/>
        </w:rPr>
        <w:t>Komisijas priekšsēdētājs:</w:t>
      </w:r>
    </w:p>
    <w:p w:rsidR="00A710ED" w:rsidRPr="0076263C" w:rsidP="00A710ED" w14:paraId="22B9D900" w14:textId="1D324C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 Elita Turka</w:t>
      </w:r>
      <w:r w:rsidRPr="007126F0">
        <w:rPr>
          <w:rFonts w:ascii="Times New Roman" w:hAnsi="Times New Roman"/>
          <w:sz w:val="24"/>
          <w:szCs w:val="24"/>
          <w:lang w:val="lv-LV"/>
        </w:rPr>
        <w:t>, valsts sekretāra vietniece</w:t>
      </w:r>
      <w:r w:rsidR="00F63A12">
        <w:rPr>
          <w:rFonts w:ascii="Times New Roman" w:hAnsi="Times New Roman"/>
          <w:sz w:val="24"/>
          <w:szCs w:val="24"/>
          <w:lang w:val="lv-LV"/>
        </w:rPr>
        <w:t xml:space="preserve"> administratīvajos jautājumos</w:t>
      </w:r>
      <w:r w:rsidRPr="007126F0">
        <w:rPr>
          <w:rFonts w:ascii="Times New Roman" w:hAnsi="Times New Roman"/>
          <w:sz w:val="24"/>
          <w:szCs w:val="24"/>
          <w:lang w:val="lv-LV"/>
        </w:rPr>
        <w:t>;</w:t>
      </w:r>
    </w:p>
    <w:p w:rsidR="00A710ED" w:rsidP="00A710ED" w14:paraId="4EC687A7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126F0" w:rsidP="00A710ED" w14:paraId="314EE36A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1.2. </w:t>
      </w:r>
      <w:r w:rsidRPr="0076263C">
        <w:rPr>
          <w:rFonts w:ascii="Times New Roman" w:hAnsi="Times New Roman"/>
          <w:sz w:val="24"/>
          <w:szCs w:val="24"/>
          <w:lang w:val="lv-LV"/>
        </w:rPr>
        <w:t>Komisijas priekšsēdētāja vietnieks:</w:t>
      </w:r>
    </w:p>
    <w:p w:rsidR="00A710ED" w:rsidRPr="0076263C" w:rsidP="00A710ED" w14:paraId="3A7739D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 Madars Laurs</w:t>
      </w:r>
      <w:r w:rsidRPr="007126F0">
        <w:rPr>
          <w:rFonts w:ascii="Times New Roman" w:hAnsi="Times New Roman"/>
          <w:sz w:val="24"/>
          <w:szCs w:val="24"/>
          <w:lang w:val="lv-LV"/>
        </w:rPr>
        <w:t>, Juridiskā departamenta direktors;</w:t>
      </w:r>
    </w:p>
    <w:p w:rsidR="00A710ED" w:rsidP="00A710ED" w14:paraId="0AF3C3C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126F0" w:rsidP="00A710ED" w14:paraId="44A98F3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1.3. </w:t>
      </w:r>
      <w:r w:rsidRPr="0076263C">
        <w:rPr>
          <w:rFonts w:ascii="Times New Roman" w:hAnsi="Times New Roman"/>
          <w:sz w:val="24"/>
          <w:szCs w:val="24"/>
          <w:lang w:val="lv-LV"/>
        </w:rPr>
        <w:t>Komisijas locekļi: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</w:p>
    <w:p w:rsidR="00A710ED" w:rsidRPr="0076263C" w:rsidP="00A710ED" w14:paraId="37E905F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1.3.1. 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Māris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Klismets</w:t>
      </w:r>
      <w:r w:rsidRPr="007126F0">
        <w:rPr>
          <w:rFonts w:ascii="Times New Roman" w:hAnsi="Times New Roman"/>
          <w:sz w:val="24"/>
          <w:szCs w:val="24"/>
          <w:lang w:val="lv-LV"/>
        </w:rPr>
        <w:t>, Koordinācijas departamenta direktors;</w:t>
      </w:r>
    </w:p>
    <w:p w:rsidR="00A710ED" w:rsidRPr="0076263C" w:rsidP="00A710ED" w14:paraId="01973A77" w14:textId="3C5567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1.3.2. 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Valdis Puriņš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Koordinācijas departamenta </w:t>
      </w:r>
      <w:r>
        <w:rPr>
          <w:rFonts w:ascii="Times New Roman" w:hAnsi="Times New Roman"/>
          <w:sz w:val="24"/>
          <w:szCs w:val="24"/>
          <w:lang w:val="lv-LV"/>
        </w:rPr>
        <w:t>direktora vietnieks;</w:t>
      </w:r>
    </w:p>
    <w:p w:rsidR="00A710ED" w:rsidRPr="0076263C" w:rsidP="00A710ED" w14:paraId="21AA9743" w14:textId="6C1E51B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1.3.3. 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Jolanta Rauga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76263C">
        <w:rPr>
          <w:rFonts w:ascii="Times New Roman" w:hAnsi="Times New Roman"/>
          <w:sz w:val="24"/>
          <w:szCs w:val="24"/>
          <w:lang w:val="lv-LV"/>
        </w:rPr>
        <w:t>Personāl</w:t>
      </w:r>
      <w:r>
        <w:rPr>
          <w:rFonts w:ascii="Times New Roman" w:hAnsi="Times New Roman"/>
          <w:sz w:val="24"/>
          <w:szCs w:val="24"/>
          <w:lang w:val="lv-LV"/>
        </w:rPr>
        <w:t>vadības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nodaļas vadītāja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A710ED" w:rsidRPr="0076263C" w:rsidP="00A710ED" w14:paraId="2879A96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5E63AA84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Apstiprin</w:t>
      </w:r>
      <w:r w:rsidRPr="007126F0">
        <w:rPr>
          <w:rFonts w:ascii="Times New Roman" w:hAnsi="Times New Roman"/>
          <w:sz w:val="24"/>
          <w:szCs w:val="24"/>
          <w:lang w:val="lv-LV"/>
        </w:rPr>
        <w:t>āt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Ētikas komisijas nolikumu</w:t>
      </w:r>
      <w:r>
        <w:rPr>
          <w:rFonts w:ascii="Times New Roman" w:hAnsi="Times New Roman"/>
          <w:sz w:val="24"/>
          <w:szCs w:val="24"/>
          <w:lang w:val="lv-LV"/>
        </w:rPr>
        <w:t xml:space="preserve"> (pielikumā)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</w:p>
    <w:p w:rsidR="00A710ED" w:rsidRPr="0076263C" w:rsidP="00A710ED" w14:paraId="30917BF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584D3AAC" w14:textId="7C104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>Atzīt par spēku zaudējušu Vides aizsardzības un reģionālās attīstības ministrijas 20</w:t>
      </w:r>
      <w:r>
        <w:rPr>
          <w:rFonts w:ascii="Times New Roman" w:hAnsi="Times New Roman"/>
          <w:sz w:val="24"/>
          <w:szCs w:val="24"/>
          <w:lang w:val="lv-LV"/>
        </w:rPr>
        <w:t>20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gada </w:t>
      </w:r>
      <w:r>
        <w:rPr>
          <w:rFonts w:ascii="Times New Roman" w:hAnsi="Times New Roman"/>
          <w:sz w:val="24"/>
          <w:szCs w:val="24"/>
          <w:lang w:val="lv-LV"/>
        </w:rPr>
        <w:t>9.janvāra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rīkojumu Nr.</w:t>
      </w:r>
      <w:r w:rsidRPr="007126F0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1-2/2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Par Vides aizsardzības un reģionālās attīstības ministrijas Ētikas komisijas izveidi un </w:t>
      </w:r>
      <w:r>
        <w:rPr>
          <w:rFonts w:ascii="Times New Roman" w:hAnsi="Times New Roman"/>
          <w:sz w:val="24"/>
          <w:szCs w:val="24"/>
          <w:lang w:val="lv-LV"/>
        </w:rPr>
        <w:t>nolikuma apstiprināšanu</w:t>
      </w:r>
      <w:r w:rsidRPr="0076263C">
        <w:rPr>
          <w:rFonts w:ascii="Times New Roman" w:hAnsi="Times New Roman"/>
          <w:sz w:val="24"/>
          <w:szCs w:val="24"/>
          <w:lang w:val="lv-LV"/>
        </w:rPr>
        <w:t>”.</w:t>
      </w:r>
    </w:p>
    <w:p w:rsidR="00A710ED" w:rsidRPr="0076263C" w:rsidP="00A710ED" w14:paraId="25D0BC11" w14:textId="7777777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53CB9B03" w14:textId="7777777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45069CD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Valsts sekretār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>E.Balševics</w:t>
      </w:r>
    </w:p>
    <w:p w:rsidR="00A710ED" w:rsidRPr="00A74D73" w:rsidP="00A710ED" w14:paraId="29BB499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102A76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710ED" w:rsidRPr="00B1122A" w:rsidP="00A710ED" w14:paraId="2DDDF9A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B1122A">
        <w:rPr>
          <w:rFonts w:ascii="Times New Roman" w:hAnsi="Times New Roman"/>
          <w:sz w:val="20"/>
          <w:szCs w:val="20"/>
          <w:lang w:val="lv-LV"/>
        </w:rPr>
        <w:t xml:space="preserve">Puriņš </w:t>
      </w:r>
      <w:r w:rsidRPr="00634FFB">
        <w:rPr>
          <w:rFonts w:ascii="Times New Roman" w:hAnsi="Times New Roman"/>
          <w:sz w:val="20"/>
          <w:szCs w:val="20"/>
          <w:lang w:val="lv-LV"/>
        </w:rPr>
        <w:t>67026434</w:t>
      </w:r>
    </w:p>
    <w:p w:rsidR="00A710ED" w:rsidRPr="007126F0" w:rsidP="00A710ED" w14:paraId="37C0766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7126F0">
          <w:rPr>
            <w:rStyle w:val="Hyperlink"/>
            <w:rFonts w:ascii="Times New Roman" w:hAnsi="Times New Roman"/>
            <w:sz w:val="20"/>
            <w:szCs w:val="20"/>
            <w:lang w:val="lv-LV"/>
          </w:rPr>
          <w:t>Valdis.Purins@varam.gov.lv</w:t>
        </w:r>
      </w:hyperlink>
    </w:p>
    <w:p w:rsidR="00A710ED" w:rsidRPr="00A74D73" w:rsidP="00A710ED" w14:paraId="6D8C3B3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710ED" w:rsidP="00A710ED" w14:paraId="37C8A458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A710ED" w:rsidRPr="00B1122A" w:rsidP="00A710ED" w14:paraId="27558515" w14:textId="2E23A02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B1122A">
        <w:rPr>
          <w:rFonts w:ascii="Times New Roman" w:hAnsi="Times New Roman"/>
          <w:sz w:val="20"/>
          <w:szCs w:val="20"/>
          <w:lang w:val="lv-LV"/>
        </w:rPr>
        <w:t>Izsūtīt: lietā, valsts sekretāra vietniekiem, visiem departamentiem</w:t>
      </w:r>
      <w:r w:rsidR="00BC09F9">
        <w:rPr>
          <w:rFonts w:ascii="Times New Roman" w:hAnsi="Times New Roman"/>
          <w:sz w:val="20"/>
          <w:szCs w:val="20"/>
          <w:lang w:val="lv-LV"/>
        </w:rPr>
        <w:t xml:space="preserve"> un pastāvīgajām nodaļām</w:t>
      </w:r>
    </w:p>
    <w:p w:rsidR="00A710ED" w:rsidRPr="0076263C" w:rsidP="00A710ED" w14:paraId="16DF4A8D" w14:textId="7777777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0F3BC77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:rsidR="00A710ED" w:rsidRPr="0076263C" w:rsidP="00A710ED" w14:paraId="0360A5BC" w14:textId="7777777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DC2CDED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:rsidR="00C81E4A" w:rsidP="00A710ED" w14:paraId="3724BE57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2562D285" w14:textId="5234301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Pielikums </w:t>
      </w:r>
    </w:p>
    <w:p w:rsidR="00A710ED" w:rsidRPr="0076263C" w:rsidP="00A710ED" w14:paraId="5B32EE7D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4BF417C3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6E40725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 xml:space="preserve">Ētikas komisijas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76263C">
          <w:rPr>
            <w:rFonts w:ascii="Times New Roman" w:hAnsi="Times New Roman"/>
            <w:b/>
            <w:sz w:val="24"/>
            <w:szCs w:val="24"/>
            <w:lang w:val="lv-LV"/>
          </w:rPr>
          <w:t>nolikums</w:t>
        </w:r>
      </w:smartTag>
    </w:p>
    <w:p w:rsidR="00A710ED" w:rsidRPr="0076263C" w:rsidP="00A710ED" w14:paraId="396EB5DE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:rsidR="00A710ED" w:rsidRPr="0076263C" w:rsidP="00A710ED" w14:paraId="6743C5B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I. Vispārīgais jautājums</w:t>
      </w:r>
    </w:p>
    <w:p w:rsidR="00A710ED" w:rsidRPr="0076263C" w:rsidP="00A710ED" w14:paraId="2E04BC92" w14:textId="77777777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:rsidR="00A710ED" w:rsidRPr="0076263C" w:rsidP="00A710ED" w14:paraId="06C304A2" w14:textId="3AD20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1. Ētikas komisija (turpmāk – Komisija) ir </w:t>
      </w:r>
      <w:r>
        <w:rPr>
          <w:rFonts w:ascii="Times New Roman" w:hAnsi="Times New Roman"/>
          <w:sz w:val="24"/>
          <w:szCs w:val="24"/>
          <w:lang w:val="lv-LV"/>
        </w:rPr>
        <w:t>Viedās administrācijas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un reģionālās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>attīstības ministrijas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(turpmāk - ministrija) koleģiāla lēmējinstitūcija, kuras uzdevums ir objektīvi un vispusīgi izvērtēt ministrijas Ētikas kodeksā </w:t>
      </w:r>
      <w:r>
        <w:rPr>
          <w:rFonts w:ascii="Times New Roman" w:hAnsi="Times New Roman"/>
          <w:sz w:val="24"/>
          <w:szCs w:val="24"/>
          <w:lang w:val="lv-LV"/>
        </w:rPr>
        <w:t xml:space="preserve">ietverto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normu ievērošanu. </w:t>
      </w:r>
    </w:p>
    <w:p w:rsidR="00A710ED" w:rsidRPr="0076263C" w:rsidP="00A710ED" w14:paraId="02957B4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3BA7A7D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II. Komisijas uzdevumi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un tiesības</w:t>
      </w:r>
    </w:p>
    <w:p w:rsidR="00A710ED" w:rsidRPr="0076263C" w:rsidP="00A710ED" w14:paraId="29DDBFE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3B184D5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 Komisijai ir šādi uzdevumi:</w:t>
      </w:r>
    </w:p>
    <w:p w:rsidR="00A710ED" w:rsidRPr="0076263C" w:rsidP="00A710ED" w14:paraId="2E5B306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2.1. izskatīt ministrijas </w:t>
      </w:r>
      <w:r>
        <w:rPr>
          <w:rFonts w:ascii="Times New Roman" w:hAnsi="Times New Roman"/>
          <w:sz w:val="24"/>
          <w:szCs w:val="24"/>
          <w:lang w:val="lv-LV"/>
        </w:rPr>
        <w:t>ierēdņu un darbinieku (turpmāk – nodarbinātie)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, kā arī privātpersonu sūdzības un </w:t>
      </w:r>
      <w:smartTag w:uri="schemas-tilde-lv/tildestengine" w:element="veidnes">
        <w:smartTagPr>
          <w:attr w:name="baseform" w:val="iesniegum|s"/>
          <w:attr w:name="id" w:val="-1"/>
          <w:attr w:name="text" w:val="iesniegumu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iesniegumus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par ministrijas </w:t>
      </w:r>
      <w:r>
        <w:rPr>
          <w:rFonts w:ascii="Times New Roman" w:hAnsi="Times New Roman"/>
          <w:sz w:val="24"/>
          <w:szCs w:val="24"/>
          <w:lang w:val="lv-LV"/>
        </w:rPr>
        <w:t xml:space="preserve">nodarbināto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pieļautajiem ētikas </w:t>
      </w:r>
      <w:r>
        <w:rPr>
          <w:rFonts w:ascii="Times New Roman" w:hAnsi="Times New Roman"/>
          <w:sz w:val="24"/>
          <w:szCs w:val="24"/>
          <w:lang w:val="lv-LV"/>
        </w:rPr>
        <w:t xml:space="preserve">un uzvedības </w:t>
      </w:r>
      <w:r w:rsidRPr="0076263C">
        <w:rPr>
          <w:rFonts w:ascii="Times New Roman" w:hAnsi="Times New Roman"/>
          <w:sz w:val="24"/>
          <w:szCs w:val="24"/>
          <w:lang w:val="lv-LV"/>
        </w:rPr>
        <w:t>normu pārkāpumiem;</w:t>
      </w:r>
    </w:p>
    <w:p w:rsidR="00A710ED" w:rsidRPr="0076263C" w:rsidP="00A710ED" w14:paraId="7B5CFC0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2.2. izvērtēt ministrijas </w:t>
      </w:r>
      <w:r>
        <w:rPr>
          <w:rFonts w:ascii="Times New Roman" w:hAnsi="Times New Roman"/>
          <w:sz w:val="24"/>
          <w:szCs w:val="24"/>
          <w:lang w:val="lv-LV"/>
        </w:rPr>
        <w:t xml:space="preserve">nodarbināto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ētikas </w:t>
      </w:r>
      <w:r>
        <w:rPr>
          <w:rFonts w:ascii="Times New Roman" w:hAnsi="Times New Roman"/>
          <w:sz w:val="24"/>
          <w:szCs w:val="24"/>
          <w:lang w:val="lv-LV"/>
        </w:rPr>
        <w:t xml:space="preserve">un uzvedības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normu pārkāpumus un sniegt valsts sekretāram </w:t>
      </w:r>
      <w:smartTag w:uri="schemas-tilde-lv/tildestengine" w:element="veidnes">
        <w:smartTagPr>
          <w:attr w:name="baseform" w:val="rekomendācij|a"/>
          <w:attr w:name="id" w:val="-1"/>
          <w:attr w:name="text" w:val="rekomendācija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rekomendācijas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darbinieku uzvedības uzlabošanai;</w:t>
      </w:r>
    </w:p>
    <w:p w:rsidR="00A710ED" w:rsidRPr="0076263C" w:rsidP="00A710ED" w14:paraId="393D176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2.3. analizēt citu valsts un pašvaldību iestāžu, kā arī ārvalstu iestāžu pieredzi ētikas normu pārkāpumu izskatīšanā un novēršanā;</w:t>
      </w:r>
    </w:p>
    <w:p w:rsidR="00A710ED" w:rsidRPr="0076263C" w:rsidP="00A710ED" w14:paraId="77B8485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2.4. konsultēt ministrijas amatpersonas par ētikas jautājumiem un sniegt ieteikumus, kā nepieļaut neētisku rīcību.</w:t>
      </w:r>
    </w:p>
    <w:p w:rsidR="00A710ED" w:rsidRPr="0076263C" w:rsidP="00A710ED" w14:paraId="73BC6E6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3.Komisijai ir šādas tiesības:</w:t>
      </w:r>
    </w:p>
    <w:p w:rsidR="00A710ED" w:rsidRPr="0076263C" w:rsidP="00A710ED" w14:paraId="1EE51B4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3.1. savas kompetences ietvaros pieprasīt no ministrijas</w:t>
      </w:r>
      <w:r>
        <w:rPr>
          <w:rFonts w:ascii="Times New Roman" w:hAnsi="Times New Roman"/>
          <w:sz w:val="24"/>
          <w:szCs w:val="24"/>
          <w:lang w:val="lv-LV"/>
        </w:rPr>
        <w:t xml:space="preserve"> nodarbinātajiem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informāciju, kas nepieciešama Komisijas uzdevumu izpildes nodrošināšanai;</w:t>
      </w:r>
    </w:p>
    <w:p w:rsidR="00A710ED" w:rsidRPr="0076263C" w:rsidP="00A710ED" w14:paraId="56531D0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3.2.uzaicināt uz Komisijas sēdēm ētikas normu pārkāpumu lietā iesaistītās personas </w:t>
      </w:r>
      <w:smartTag w:uri="schemas-tilde-lv/tildestengine" w:element="veidnes">
        <w:smartTagPr>
          <w:attr w:name="baseform" w:val="paskaidrojum|s"/>
          <w:attr w:name="id" w:val="-1"/>
          <w:attr w:name="text" w:val="paskaidrojumu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paskaidrojumu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sniegšanai;</w:t>
      </w:r>
    </w:p>
    <w:p w:rsidR="00A710ED" w:rsidRPr="0076263C" w:rsidP="00A710ED" w14:paraId="4D8D408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3.3.ja nepieciešams, pieaicināt lietpratējus un lūgt viņiem sniegt atzinumus.</w:t>
      </w:r>
    </w:p>
    <w:p w:rsidR="00A710ED" w:rsidRPr="0076263C" w:rsidP="00A710ED" w14:paraId="3EF2451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6F51D527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76263C">
        <w:rPr>
          <w:rFonts w:ascii="Times New Roman" w:hAnsi="Times New Roman"/>
          <w:b/>
          <w:sz w:val="24"/>
          <w:szCs w:val="24"/>
          <w:lang w:val="lv-LV"/>
        </w:rPr>
        <w:t>I</w:t>
      </w:r>
      <w:r>
        <w:rPr>
          <w:rFonts w:ascii="Times New Roman" w:hAnsi="Times New Roman"/>
          <w:b/>
          <w:sz w:val="24"/>
          <w:szCs w:val="24"/>
          <w:lang w:val="lv-LV"/>
        </w:rPr>
        <w:t>II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. Komisijas darba organizācija</w:t>
      </w:r>
    </w:p>
    <w:p w:rsidR="00A710ED" w:rsidRPr="0076263C" w:rsidP="00A710ED" w14:paraId="316B29C9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772EDE2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4. Komisija darbojas pastāvīgi.</w:t>
      </w:r>
    </w:p>
    <w:p w:rsidR="00A710ED" w:rsidRPr="0076263C" w:rsidP="00A710ED" w14:paraId="5C0D921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5. Komisijas sēdes vada priekšsēdētājs, viņa prombūtnē – </w:t>
      </w:r>
      <w:r>
        <w:rPr>
          <w:rFonts w:ascii="Times New Roman" w:hAnsi="Times New Roman"/>
          <w:sz w:val="24"/>
          <w:szCs w:val="24"/>
          <w:lang w:val="lv-LV"/>
        </w:rPr>
        <w:t xml:space="preserve">Komisijas priekšsēdētāja vietnieks vai </w:t>
      </w:r>
      <w:r w:rsidRPr="0076263C">
        <w:rPr>
          <w:rFonts w:ascii="Times New Roman" w:hAnsi="Times New Roman"/>
          <w:sz w:val="24"/>
          <w:szCs w:val="24"/>
          <w:lang w:val="lv-LV"/>
        </w:rPr>
        <w:t>viens no locekļiem. Priekšsēdētājs nepieciešamības gadījumā sasauc sēdes un nosaka darba kārtību.</w:t>
      </w:r>
    </w:p>
    <w:p w:rsidR="00A710ED" w:rsidRPr="0076263C" w:rsidP="00A710ED" w14:paraId="0FA9D25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6. Komisija ir tiesīga pieņemt </w:t>
      </w:r>
      <w:smartTag w:uri="schemas-tilde-lv/tildestengine" w:element="veidnes">
        <w:smartTagPr>
          <w:attr w:name="baseform" w:val="lēmum|s"/>
          <w:attr w:name="id" w:val="-1"/>
          <w:attr w:name="text" w:val="lēmumu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lēmumus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>, ja sēdē piedalās ne mazāk kā trīs tās locekļi. Komisija pieņem lēmumus atklāti balsojot.</w:t>
      </w:r>
    </w:p>
    <w:p w:rsidR="00A710ED" w:rsidRPr="0076263C" w:rsidP="00A710ED" w14:paraId="00F6717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7. </w:t>
      </w:r>
      <w:smartTag w:uri="schemas-tilde-lv/tildestengine" w:element="veidnes">
        <w:smartTagPr>
          <w:attr w:name="baseform" w:val="lēmum|s"/>
          <w:attr w:name="id" w:val="-1"/>
          <w:attr w:name="text" w:val="Lēmum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atzīstams par pieņemtu, ja par to ir nobalsojusi vairāk kā puse no klātesošajiem locekļiem. Vienāda balsu skaita gadījumā izšķirošā ir sēdes vadītāja balss.</w:t>
      </w:r>
    </w:p>
    <w:p w:rsidR="00A710ED" w:rsidRPr="0076263C" w:rsidP="00A710ED" w14:paraId="096B2491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8.Komisijas </w:t>
      </w:r>
      <w:smartTag w:uri="schemas-tilde-lv/tildestengine" w:element="veidnes">
        <w:smartTagPr>
          <w:attr w:name="baseform" w:val="lēmum|s"/>
          <w:attr w:name="id" w:val="-1"/>
          <w:attr w:name="text" w:val="lēmumiem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lēmumiem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ir rekomendējošs raksturs.  </w:t>
      </w:r>
    </w:p>
    <w:p w:rsidR="00A710ED" w:rsidRPr="0076263C" w:rsidP="00A710ED" w14:paraId="6E6695B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 xml:space="preserve">9.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Protokolus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paraksta visi Komisijas locekļi, kas piedalījās sēdē. </w:t>
      </w:r>
    </w:p>
    <w:p w:rsidR="00A710ED" w:rsidRPr="0076263C" w:rsidP="00A710ED" w14:paraId="708A2D9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>Komisija ir neatkarīga savā darbā un neviens nav tiesīgs iejaukties vai ietekmēt Komisijas darbu.</w:t>
      </w:r>
    </w:p>
    <w:p w:rsidR="00A710ED" w:rsidP="00A710ED" w14:paraId="0003BA3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11.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Ja kāds no Komisijas locekļiem pārtrauc </w:t>
      </w:r>
      <w:r>
        <w:rPr>
          <w:rFonts w:ascii="Times New Roman" w:hAnsi="Times New Roman"/>
          <w:sz w:val="24"/>
          <w:szCs w:val="24"/>
          <w:lang w:val="lv-LV"/>
        </w:rPr>
        <w:t xml:space="preserve">civildienesta vai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darba attiecības ar ministriju vai citu iemeslu dēļ </w:t>
      </w:r>
      <w:r>
        <w:rPr>
          <w:rFonts w:ascii="Times New Roman" w:hAnsi="Times New Roman"/>
          <w:sz w:val="24"/>
          <w:szCs w:val="24"/>
          <w:lang w:val="lv-LV"/>
        </w:rPr>
        <w:t xml:space="preserve">ilgstoši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nespēj turpināt darbu Komisijā, tad viņa vietā par Komisijas locekli nosaka citu ministrijas </w:t>
      </w:r>
      <w:r>
        <w:rPr>
          <w:rFonts w:ascii="Times New Roman" w:hAnsi="Times New Roman"/>
          <w:sz w:val="24"/>
          <w:szCs w:val="24"/>
          <w:lang w:val="lv-LV"/>
        </w:rPr>
        <w:t>nodarbināto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</w:p>
    <w:p w:rsidR="00A710ED" w:rsidP="00A710ED" w14:paraId="2A0BD16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A710ED" w:rsidRPr="0076263C" w:rsidP="00A710ED" w14:paraId="226C6AA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</w:t>
      </w:r>
      <w:r w:rsidRPr="0076263C">
        <w:rPr>
          <w:rFonts w:ascii="Times New Roman" w:hAnsi="Times New Roman"/>
          <w:b/>
          <w:sz w:val="24"/>
          <w:szCs w:val="24"/>
          <w:lang w:val="lv-LV"/>
        </w:rPr>
        <w:t>V. Ētikas pārkāpumu izskatīšana</w:t>
      </w:r>
    </w:p>
    <w:p w:rsidR="00A710ED" w:rsidRPr="0076263C" w:rsidP="00A710ED" w14:paraId="344560D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64A15FE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. Mēneša laikā no sūdzības saņemšanas dienas Komisija objektīvi, izvērtējot visus apstākļus un personas rīcības motīvus, konstatē konkrētās rīcības ietekmi uz ministrijas darbu un </w:t>
      </w:r>
      <w:r>
        <w:rPr>
          <w:rFonts w:ascii="Times New Roman" w:hAnsi="Times New Roman"/>
          <w:sz w:val="24"/>
          <w:szCs w:val="24"/>
          <w:lang w:val="lv-LV"/>
        </w:rPr>
        <w:t>nodarbinātā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rīcības atbilstību Ētikas kodeksa normām un iesniedz lēmumu valsts sekretāram.</w:t>
      </w:r>
    </w:p>
    <w:p w:rsidR="00A710ED" w:rsidRPr="0076263C" w:rsidP="00A710ED" w14:paraId="1DE8F4C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76263C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Ētikas pamatprincipu neievērošanu Komisija var uzskatīt par </w:t>
      </w:r>
      <w:r>
        <w:rPr>
          <w:rFonts w:ascii="Times New Roman" w:hAnsi="Times New Roman"/>
          <w:sz w:val="24"/>
          <w:szCs w:val="24"/>
          <w:lang w:val="lv-LV"/>
        </w:rPr>
        <w:t>nodarbinātā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necienīgu </w:t>
      </w:r>
      <w:r>
        <w:rPr>
          <w:rFonts w:ascii="Times New Roman" w:hAnsi="Times New Roman"/>
          <w:sz w:val="24"/>
          <w:szCs w:val="24"/>
          <w:lang w:val="lv-LV"/>
        </w:rPr>
        <w:t xml:space="preserve">vai </w:t>
      </w:r>
      <w:r>
        <w:rPr>
          <w:rFonts w:ascii="Times New Roman" w:hAnsi="Times New Roman"/>
          <w:sz w:val="24"/>
          <w:szCs w:val="24"/>
          <w:lang w:val="lv-LV"/>
        </w:rPr>
        <w:t xml:space="preserve">nepiedienīgu 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uzvedību, un tā savā </w:t>
      </w:r>
      <w:smartTag w:uri="schemas-tilde-lv/tildestengine" w:element="veidnes">
        <w:smartTagPr>
          <w:attr w:name="baseform" w:val="lēmum|s"/>
          <w:attr w:name="id" w:val="-1"/>
          <w:attr w:name="text" w:val="lēmumā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lēmumā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var ieteikt ierosināt disciplinārlietu par attiecīgā </w:t>
      </w:r>
      <w:r>
        <w:rPr>
          <w:rFonts w:ascii="Times New Roman" w:hAnsi="Times New Roman"/>
          <w:sz w:val="24"/>
          <w:szCs w:val="24"/>
          <w:lang w:val="lv-LV"/>
        </w:rPr>
        <w:t>nodarbinātā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 rīcību.</w:t>
      </w:r>
    </w:p>
    <w:p w:rsidR="00A710ED" w:rsidRPr="0076263C" w:rsidP="00A710ED" w14:paraId="0D04306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6263C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. Komisijas </w:t>
      </w:r>
      <w:smartTag w:uri="schemas-tilde-lv/tildestengine" w:element="veidnes">
        <w:smartTagPr>
          <w:attr w:name="baseform" w:val="lēmum|s"/>
          <w:attr w:name="id" w:val="-1"/>
          <w:attr w:name="text" w:val="Lēmums"/>
        </w:smartTagPr>
        <w:r w:rsidRPr="0076263C">
          <w:rPr>
            <w:rFonts w:ascii="Times New Roman" w:hAnsi="Times New Roman"/>
            <w:sz w:val="24"/>
            <w:szCs w:val="24"/>
            <w:lang w:val="lv-LV"/>
          </w:rPr>
          <w:t>lēmums</w:t>
        </w:r>
      </w:smartTag>
      <w:r w:rsidRPr="0076263C">
        <w:rPr>
          <w:rFonts w:ascii="Times New Roman" w:hAnsi="Times New Roman"/>
          <w:sz w:val="24"/>
          <w:szCs w:val="24"/>
          <w:lang w:val="lv-LV"/>
        </w:rPr>
        <w:t xml:space="preserve"> tiek publicēts ministrijas</w:t>
      </w:r>
      <w:r>
        <w:rPr>
          <w:rFonts w:ascii="Times New Roman" w:hAnsi="Times New Roman"/>
          <w:sz w:val="24"/>
          <w:szCs w:val="24"/>
          <w:lang w:val="lv-LV"/>
        </w:rPr>
        <w:t xml:space="preserve"> tīmekļvietnē</w:t>
      </w:r>
      <w:r w:rsidRPr="0076263C">
        <w:rPr>
          <w:rFonts w:ascii="Times New Roman" w:hAnsi="Times New Roman"/>
          <w:sz w:val="24"/>
          <w:szCs w:val="24"/>
          <w:lang w:val="lv-LV"/>
        </w:rPr>
        <w:t xml:space="preserve">, neiekļaujot datus, kas ļauj identificēt fiziskās personas. </w:t>
      </w:r>
    </w:p>
    <w:p w:rsidR="00A710ED" w:rsidRPr="0076263C" w:rsidP="00A710ED" w14:paraId="74C156F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383194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61140B4B" w14:textId="77777777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59021F9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Valsts sekretār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 w:rsidRPr="007126F0"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 xml:space="preserve">E. </w:t>
      </w:r>
      <w:r>
        <w:rPr>
          <w:rFonts w:ascii="Times New Roman" w:hAnsi="Times New Roman"/>
          <w:sz w:val="24"/>
          <w:szCs w:val="24"/>
          <w:lang w:val="lv-LV"/>
        </w:rPr>
        <w:t>Balševics</w:t>
      </w:r>
    </w:p>
    <w:p w:rsidR="00A710ED" w:rsidP="00A710ED" w14:paraId="41832B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601EAA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376A3C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497608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5031C07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FB2640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9B3907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8B9389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4BC9DC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2FE63A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4415DD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AB939E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1EEFFD8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7DD37D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CB44E9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C37805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6844990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AB047B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47BBEF9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0FE3C2A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FAF8D7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CD2A6F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385BDC9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372A9A1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866739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0D6E59A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5D71383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5B87C30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0251738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BBDC0A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3993AD9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176F43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7B848A1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26B2B4E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30D3CBD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483F54C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40A49BE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05FCE00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P="00A710ED" w14:paraId="512C405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A710ED" w:rsidRPr="0076263C" w:rsidP="00A710ED" w14:paraId="29AD3FD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7126F0">
        <w:rPr>
          <w:rFonts w:ascii="Times New Roman" w:hAnsi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p w:rsidR="00A710ED" w:rsidRPr="0076263C" w:rsidP="00A710ED" w14:paraId="76770D1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361146" w:rsidP="00B1443A" w14:paraId="1F019BF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1BC858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6FF8DCB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P="00B1443A" w14:paraId="3937BEE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8595C"/>
    <w:rsid w:val="000D374C"/>
    <w:rsid w:val="00124173"/>
    <w:rsid w:val="00141B17"/>
    <w:rsid w:val="00180D70"/>
    <w:rsid w:val="002047AD"/>
    <w:rsid w:val="00222A7A"/>
    <w:rsid w:val="00275B9E"/>
    <w:rsid w:val="002B3077"/>
    <w:rsid w:val="002E1474"/>
    <w:rsid w:val="002E3137"/>
    <w:rsid w:val="00331AF5"/>
    <w:rsid w:val="00335032"/>
    <w:rsid w:val="00361146"/>
    <w:rsid w:val="003D4356"/>
    <w:rsid w:val="00402D61"/>
    <w:rsid w:val="00493308"/>
    <w:rsid w:val="004D1C7B"/>
    <w:rsid w:val="005115E5"/>
    <w:rsid w:val="00535564"/>
    <w:rsid w:val="005B348E"/>
    <w:rsid w:val="00634FFB"/>
    <w:rsid w:val="00663C3A"/>
    <w:rsid w:val="006C1639"/>
    <w:rsid w:val="006E0C7D"/>
    <w:rsid w:val="007126F0"/>
    <w:rsid w:val="00747CCB"/>
    <w:rsid w:val="0076263C"/>
    <w:rsid w:val="007704BD"/>
    <w:rsid w:val="007B3BA5"/>
    <w:rsid w:val="007B48EC"/>
    <w:rsid w:val="007C0578"/>
    <w:rsid w:val="007E4D1F"/>
    <w:rsid w:val="00815277"/>
    <w:rsid w:val="00876C21"/>
    <w:rsid w:val="008D791B"/>
    <w:rsid w:val="00945A11"/>
    <w:rsid w:val="00954D5A"/>
    <w:rsid w:val="009F7CA8"/>
    <w:rsid w:val="00A23CFB"/>
    <w:rsid w:val="00A710ED"/>
    <w:rsid w:val="00A74D73"/>
    <w:rsid w:val="00A9474D"/>
    <w:rsid w:val="00B1122A"/>
    <w:rsid w:val="00B1443A"/>
    <w:rsid w:val="00B82CCF"/>
    <w:rsid w:val="00BC09F9"/>
    <w:rsid w:val="00C003DC"/>
    <w:rsid w:val="00C05BCB"/>
    <w:rsid w:val="00C47F57"/>
    <w:rsid w:val="00C51487"/>
    <w:rsid w:val="00C81E4A"/>
    <w:rsid w:val="00C93F7F"/>
    <w:rsid w:val="00D21FA6"/>
    <w:rsid w:val="00D24E9B"/>
    <w:rsid w:val="00D55B4B"/>
    <w:rsid w:val="00D9184E"/>
    <w:rsid w:val="00DE57E4"/>
    <w:rsid w:val="00E365CE"/>
    <w:rsid w:val="00EC3134"/>
    <w:rsid w:val="00ED4AB8"/>
    <w:rsid w:val="00F07AE9"/>
    <w:rsid w:val="00F134FA"/>
    <w:rsid w:val="00F204DD"/>
    <w:rsid w:val="00F22C8D"/>
    <w:rsid w:val="00F30778"/>
    <w:rsid w:val="00F60586"/>
    <w:rsid w:val="00F63A12"/>
    <w:rsid w:val="00F6556C"/>
    <w:rsid w:val="00F8400B"/>
    <w:rsid w:val="00F960EB"/>
    <w:rsid w:val="00FB08F7"/>
    <w:rsid w:val="00FB7796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aldis.Purins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Valdis Puriņš</cp:lastModifiedBy>
  <cp:revision>4</cp:revision>
  <dcterms:created xsi:type="dcterms:W3CDTF">2025-05-22T13:38:00Z</dcterms:created>
  <dcterms:modified xsi:type="dcterms:W3CDTF">2025-05-27T10:55:00Z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