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E9FE" w14:textId="77777777" w:rsidR="00854611" w:rsidRPr="00CA37FA" w:rsidRDefault="00557504" w:rsidP="00A9597A">
      <w:pPr>
        <w:spacing w:after="0" w:line="240" w:lineRule="auto"/>
        <w:jc w:val="center"/>
        <w:rPr>
          <w:rFonts w:ascii="Times New Roman" w:hAnsi="Times New Roman" w:cs="Times New Roman"/>
          <w:b/>
          <w:sz w:val="24"/>
          <w:szCs w:val="24"/>
        </w:rPr>
      </w:pPr>
      <w:bookmarkStart w:id="0" w:name="_Hlk12539145"/>
      <w:r w:rsidRPr="00CA37FA">
        <w:rPr>
          <w:rFonts w:ascii="Times New Roman" w:hAnsi="Times New Roman" w:cs="Times New Roman"/>
          <w:b/>
          <w:sz w:val="24"/>
          <w:szCs w:val="24"/>
        </w:rPr>
        <w:t>Informatīvais ziņojums</w:t>
      </w:r>
    </w:p>
    <w:p w14:paraId="64C81467" w14:textId="0C5715E6" w:rsidR="00557504" w:rsidRPr="00CA37FA" w:rsidRDefault="00557504" w:rsidP="00A9597A">
      <w:pPr>
        <w:spacing w:after="0" w:line="240" w:lineRule="auto"/>
        <w:jc w:val="center"/>
        <w:rPr>
          <w:rFonts w:ascii="Times New Roman" w:hAnsi="Times New Roman" w:cs="Times New Roman"/>
          <w:b/>
          <w:sz w:val="24"/>
          <w:szCs w:val="24"/>
        </w:rPr>
      </w:pPr>
      <w:r w:rsidRPr="00CA37FA">
        <w:rPr>
          <w:rFonts w:ascii="Times New Roman" w:hAnsi="Times New Roman" w:cs="Times New Roman"/>
          <w:b/>
          <w:sz w:val="24"/>
          <w:szCs w:val="24"/>
        </w:rPr>
        <w:t>„</w:t>
      </w:r>
      <w:r w:rsidR="003B5400" w:rsidRPr="00CA37FA">
        <w:rPr>
          <w:rFonts w:ascii="Times New Roman" w:hAnsi="Times New Roman" w:cs="Times New Roman"/>
          <w:b/>
          <w:sz w:val="24"/>
          <w:szCs w:val="24"/>
        </w:rPr>
        <w:t>Pārskats par ziņojumu par</w:t>
      </w:r>
      <w:r w:rsidRPr="00CA37FA">
        <w:rPr>
          <w:rFonts w:ascii="Times New Roman" w:hAnsi="Times New Roman" w:cs="Times New Roman"/>
          <w:b/>
          <w:sz w:val="24"/>
          <w:szCs w:val="24"/>
        </w:rPr>
        <w:t xml:space="preserve"> </w:t>
      </w:r>
      <w:r w:rsidR="00843E32" w:rsidRPr="00CA37FA">
        <w:rPr>
          <w:rFonts w:ascii="Times New Roman" w:hAnsi="Times New Roman" w:cs="Times New Roman"/>
          <w:b/>
          <w:sz w:val="24"/>
          <w:szCs w:val="24"/>
        </w:rPr>
        <w:t xml:space="preserve">Eiropas Parlamenta un Padomes 2009. gada 30. novembra direktīvas 2009/147/EK par savvaļas putnu aizsardzību </w:t>
      </w:r>
      <w:r w:rsidRPr="00CA37FA">
        <w:rPr>
          <w:rFonts w:ascii="Times New Roman" w:hAnsi="Times New Roman" w:cs="Times New Roman"/>
          <w:b/>
          <w:sz w:val="24"/>
          <w:szCs w:val="24"/>
        </w:rPr>
        <w:t>ieviešanu 20</w:t>
      </w:r>
      <w:r w:rsidR="006A5CA8" w:rsidRPr="00CA37FA">
        <w:rPr>
          <w:rFonts w:ascii="Times New Roman" w:hAnsi="Times New Roman" w:cs="Times New Roman"/>
          <w:b/>
          <w:sz w:val="24"/>
          <w:szCs w:val="24"/>
        </w:rPr>
        <w:t>1</w:t>
      </w:r>
      <w:r w:rsidR="0051232A" w:rsidRPr="00CA37FA">
        <w:rPr>
          <w:rFonts w:ascii="Times New Roman" w:hAnsi="Times New Roman" w:cs="Times New Roman"/>
          <w:b/>
          <w:sz w:val="24"/>
          <w:szCs w:val="24"/>
        </w:rPr>
        <w:t>9</w:t>
      </w:r>
      <w:r w:rsidR="006A5CA8" w:rsidRPr="00CA37FA">
        <w:rPr>
          <w:rFonts w:ascii="Times New Roman" w:hAnsi="Times New Roman" w:cs="Times New Roman"/>
          <w:b/>
          <w:sz w:val="24"/>
          <w:szCs w:val="24"/>
        </w:rPr>
        <w:t>.-20</w:t>
      </w:r>
      <w:r w:rsidR="0051232A" w:rsidRPr="00CA37FA">
        <w:rPr>
          <w:rFonts w:ascii="Times New Roman" w:hAnsi="Times New Roman" w:cs="Times New Roman"/>
          <w:b/>
          <w:sz w:val="24"/>
          <w:szCs w:val="24"/>
        </w:rPr>
        <w:t>24</w:t>
      </w:r>
      <w:r w:rsidRPr="00CA37FA">
        <w:rPr>
          <w:rFonts w:ascii="Times New Roman" w:hAnsi="Times New Roman" w:cs="Times New Roman"/>
          <w:b/>
          <w:sz w:val="24"/>
          <w:szCs w:val="24"/>
        </w:rPr>
        <w:t>. gadā”</w:t>
      </w:r>
    </w:p>
    <w:p w14:paraId="095FC176" w14:textId="77777777" w:rsidR="00C947AC" w:rsidRPr="00CA37FA" w:rsidRDefault="00C947AC" w:rsidP="00A9597A">
      <w:pPr>
        <w:spacing w:after="0" w:line="240" w:lineRule="auto"/>
        <w:jc w:val="both"/>
        <w:rPr>
          <w:rFonts w:ascii="Times New Roman" w:hAnsi="Times New Roman" w:cs="Times New Roman"/>
          <w:b/>
          <w:sz w:val="24"/>
          <w:szCs w:val="24"/>
        </w:rPr>
      </w:pPr>
    </w:p>
    <w:bookmarkEnd w:id="0"/>
    <w:p w14:paraId="56E47FD6" w14:textId="77777777" w:rsidR="00BA19BF" w:rsidRDefault="006A5CA8" w:rsidP="00626A3E">
      <w:pPr>
        <w:ind w:firstLine="709"/>
        <w:jc w:val="both"/>
      </w:pPr>
      <w:r w:rsidRPr="00CA37FA">
        <w:rPr>
          <w:rFonts w:ascii="Times New Roman" w:hAnsi="Times New Roman" w:cs="Times New Roman"/>
          <w:sz w:val="24"/>
          <w:szCs w:val="24"/>
        </w:rPr>
        <w:t>Saskaņā ar Sugu un biotopu aizsardzības likuma 5. panta 10.</w:t>
      </w:r>
      <w:r w:rsidRPr="00CA37FA">
        <w:rPr>
          <w:rFonts w:ascii="Times New Roman" w:hAnsi="Times New Roman" w:cs="Times New Roman"/>
          <w:sz w:val="24"/>
          <w:szCs w:val="24"/>
          <w:vertAlign w:val="superscript"/>
        </w:rPr>
        <w:t>1</w:t>
      </w:r>
      <w:r w:rsidRPr="00CA37FA">
        <w:rPr>
          <w:rFonts w:ascii="Times New Roman" w:hAnsi="Times New Roman" w:cs="Times New Roman"/>
          <w:sz w:val="24"/>
          <w:szCs w:val="24"/>
        </w:rPr>
        <w:t xml:space="preserve"> </w:t>
      </w:r>
      <w:r w:rsidR="006F60AE" w:rsidRPr="00CA37FA">
        <w:rPr>
          <w:rFonts w:ascii="Times New Roman" w:hAnsi="Times New Roman" w:cs="Times New Roman"/>
          <w:sz w:val="24"/>
          <w:szCs w:val="24"/>
        </w:rPr>
        <w:t>punktu</w:t>
      </w:r>
      <w:r w:rsidR="00676768">
        <w:rPr>
          <w:rFonts w:ascii="Times New Roman" w:hAnsi="Times New Roman" w:cs="Times New Roman"/>
          <w:sz w:val="24"/>
          <w:szCs w:val="24"/>
        </w:rPr>
        <w:t>,</w:t>
      </w:r>
      <w:r w:rsidR="006F60AE" w:rsidRPr="00CA37FA">
        <w:rPr>
          <w:rFonts w:ascii="Times New Roman" w:hAnsi="Times New Roman" w:cs="Times New Roman"/>
          <w:sz w:val="24"/>
          <w:szCs w:val="24"/>
        </w:rPr>
        <w:t xml:space="preserve"> </w:t>
      </w:r>
      <w:r w:rsidR="0051232A" w:rsidRPr="00CA37FA">
        <w:rPr>
          <w:rFonts w:ascii="Times New Roman" w:hAnsi="Times New Roman" w:cs="Times New Roman"/>
          <w:sz w:val="24"/>
          <w:szCs w:val="24"/>
        </w:rPr>
        <w:t>Viedās administrācijas</w:t>
      </w:r>
      <w:r w:rsidR="00557504" w:rsidRPr="00CA37FA">
        <w:rPr>
          <w:rFonts w:ascii="Times New Roman" w:hAnsi="Times New Roman" w:cs="Times New Roman"/>
          <w:sz w:val="24"/>
          <w:szCs w:val="24"/>
        </w:rPr>
        <w:t xml:space="preserve"> un reģionālās attīstības ministrija sniedz </w:t>
      </w:r>
      <w:r w:rsidR="0005034B" w:rsidRPr="00CA37FA">
        <w:rPr>
          <w:rFonts w:ascii="Times New Roman" w:hAnsi="Times New Roman" w:cs="Times New Roman"/>
          <w:sz w:val="24"/>
          <w:szCs w:val="24"/>
        </w:rPr>
        <w:t xml:space="preserve">pārskatu par </w:t>
      </w:r>
      <w:r w:rsidR="00843E32" w:rsidRPr="00CA37FA">
        <w:rPr>
          <w:rFonts w:ascii="Times New Roman" w:hAnsi="Times New Roman" w:cs="Times New Roman"/>
          <w:sz w:val="24"/>
          <w:szCs w:val="24"/>
        </w:rPr>
        <w:t xml:space="preserve">Eiropas Parlamenta un Padomes 2009. gada 30. novembra direktīvas 2009/147/EK par savvaļas putnu aizsardzību </w:t>
      </w:r>
      <w:r w:rsidR="00874736" w:rsidRPr="00CA37FA">
        <w:rPr>
          <w:rFonts w:ascii="Times New Roman" w:hAnsi="Times New Roman" w:cs="Times New Roman"/>
          <w:sz w:val="24"/>
          <w:szCs w:val="24"/>
        </w:rPr>
        <w:t xml:space="preserve">(turpmāk </w:t>
      </w:r>
      <w:r w:rsidR="00154045" w:rsidRPr="00CA37FA">
        <w:rPr>
          <w:rFonts w:ascii="Times New Roman" w:hAnsi="Times New Roman" w:cs="Times New Roman"/>
          <w:sz w:val="24"/>
          <w:szCs w:val="24"/>
        </w:rPr>
        <w:t xml:space="preserve">– </w:t>
      </w:r>
      <w:r w:rsidR="00843E32" w:rsidRPr="00CA37FA">
        <w:rPr>
          <w:rFonts w:ascii="Times New Roman" w:hAnsi="Times New Roman" w:cs="Times New Roman"/>
          <w:sz w:val="24"/>
          <w:szCs w:val="24"/>
        </w:rPr>
        <w:t>Putnu</w:t>
      </w:r>
      <w:r w:rsidR="00874736" w:rsidRPr="00CA37FA">
        <w:rPr>
          <w:rFonts w:ascii="Times New Roman" w:hAnsi="Times New Roman" w:cs="Times New Roman"/>
          <w:sz w:val="24"/>
          <w:szCs w:val="24"/>
        </w:rPr>
        <w:t xml:space="preserve"> direktīva)</w:t>
      </w:r>
      <w:r w:rsidR="00557504" w:rsidRPr="00CA37FA">
        <w:rPr>
          <w:rFonts w:ascii="Times New Roman" w:hAnsi="Times New Roman" w:cs="Times New Roman"/>
          <w:sz w:val="24"/>
          <w:szCs w:val="24"/>
        </w:rPr>
        <w:t xml:space="preserve"> ieviešanu </w:t>
      </w:r>
      <w:r w:rsidRPr="00CA37FA">
        <w:rPr>
          <w:rFonts w:ascii="Times New Roman" w:hAnsi="Times New Roman" w:cs="Times New Roman"/>
          <w:sz w:val="24"/>
          <w:szCs w:val="24"/>
        </w:rPr>
        <w:t>201</w:t>
      </w:r>
      <w:r w:rsidR="00C1050E" w:rsidRPr="00CA37FA">
        <w:rPr>
          <w:rFonts w:ascii="Times New Roman" w:hAnsi="Times New Roman" w:cs="Times New Roman"/>
          <w:sz w:val="24"/>
          <w:szCs w:val="24"/>
        </w:rPr>
        <w:t>9</w:t>
      </w:r>
      <w:r w:rsidR="00154045" w:rsidRPr="00CA37FA">
        <w:rPr>
          <w:rFonts w:ascii="Times New Roman" w:hAnsi="Times New Roman" w:cs="Times New Roman"/>
          <w:sz w:val="24"/>
          <w:szCs w:val="24"/>
        </w:rPr>
        <w:t>.–</w:t>
      </w:r>
      <w:r w:rsidRPr="00CA37FA">
        <w:rPr>
          <w:rFonts w:ascii="Times New Roman" w:hAnsi="Times New Roman" w:cs="Times New Roman"/>
          <w:sz w:val="24"/>
          <w:szCs w:val="24"/>
        </w:rPr>
        <w:t>20</w:t>
      </w:r>
      <w:r w:rsidR="00C1050E" w:rsidRPr="00CA37FA">
        <w:rPr>
          <w:rFonts w:ascii="Times New Roman" w:hAnsi="Times New Roman" w:cs="Times New Roman"/>
          <w:sz w:val="24"/>
          <w:szCs w:val="24"/>
        </w:rPr>
        <w:t>24</w:t>
      </w:r>
      <w:r w:rsidRPr="00CA37FA">
        <w:rPr>
          <w:rFonts w:ascii="Times New Roman" w:hAnsi="Times New Roman" w:cs="Times New Roman"/>
          <w:sz w:val="24"/>
          <w:szCs w:val="24"/>
        </w:rPr>
        <w:t>.</w:t>
      </w:r>
      <w:r w:rsidR="00557504" w:rsidRPr="00CA37FA">
        <w:rPr>
          <w:rFonts w:ascii="Times New Roman" w:hAnsi="Times New Roman" w:cs="Times New Roman"/>
          <w:sz w:val="24"/>
          <w:szCs w:val="24"/>
        </w:rPr>
        <w:t xml:space="preserve"> gadā.</w:t>
      </w:r>
      <w:r w:rsidR="00BA19BF" w:rsidRPr="00BA19BF">
        <w:t xml:space="preserve"> </w:t>
      </w:r>
    </w:p>
    <w:p w14:paraId="238AC611" w14:textId="77777777" w:rsidR="00620C29" w:rsidRDefault="00BA19BF" w:rsidP="00626A3E">
      <w:pPr>
        <w:ind w:firstLine="709"/>
        <w:jc w:val="both"/>
        <w:rPr>
          <w:rFonts w:ascii="Times New Roman" w:hAnsi="Times New Roman" w:cs="Times New Roman"/>
          <w:sz w:val="24"/>
          <w:szCs w:val="24"/>
        </w:rPr>
      </w:pPr>
      <w:r>
        <w:rPr>
          <w:rFonts w:ascii="Times New Roman" w:hAnsi="Times New Roman" w:cs="Times New Roman"/>
          <w:sz w:val="24"/>
          <w:szCs w:val="24"/>
        </w:rPr>
        <w:t>I</w:t>
      </w:r>
      <w:r w:rsidRPr="00BA19BF">
        <w:rPr>
          <w:rFonts w:ascii="Times New Roman" w:hAnsi="Times New Roman" w:cs="Times New Roman"/>
          <w:sz w:val="24"/>
          <w:szCs w:val="24"/>
        </w:rPr>
        <w:t xml:space="preserve">nformatīvais ziņojums „Pārskats par ziņojumu par Eiropas Parlamenta un Padomes 2009. gada 30. novembra direktīvas 2009/147/EK par savvaļas putnu aizsardzību ieviešanu 2019.-2024. gadā” (turpmāk – ziņojums) ir Putnu direktīvas ieviešanas ziņojuma kopsavilkums, kas sniedz apkopojošu informāciju par Latvijā sastopamo putnu populācijām un to īstermiņa un ilgtermiņa tendencēm. </w:t>
      </w:r>
      <w:r w:rsidR="001D5D01" w:rsidRPr="001D5D01">
        <w:rPr>
          <w:rFonts w:ascii="Times New Roman" w:hAnsi="Times New Roman" w:cs="Times New Roman"/>
          <w:sz w:val="24"/>
          <w:szCs w:val="24"/>
        </w:rPr>
        <w:t>Līdz ar to ziņojums ir uzskatāms par pārskatu Sugu un biotopu aizsardzības likuma 5. panta 10.</w:t>
      </w:r>
      <w:r w:rsidR="001D5D01" w:rsidRPr="00507301">
        <w:rPr>
          <w:rFonts w:ascii="Times New Roman" w:hAnsi="Times New Roman" w:cs="Times New Roman"/>
          <w:sz w:val="24"/>
          <w:szCs w:val="24"/>
          <w:vertAlign w:val="superscript"/>
        </w:rPr>
        <w:t xml:space="preserve">1 </w:t>
      </w:r>
      <w:r w:rsidR="001D5D01" w:rsidRPr="001D5D01">
        <w:rPr>
          <w:rFonts w:ascii="Times New Roman" w:hAnsi="Times New Roman" w:cs="Times New Roman"/>
          <w:sz w:val="24"/>
          <w:szCs w:val="24"/>
        </w:rPr>
        <w:t>punkta izpratnē.</w:t>
      </w:r>
      <w:r w:rsidR="001D5D01">
        <w:rPr>
          <w:rFonts w:ascii="Times New Roman" w:hAnsi="Times New Roman" w:cs="Times New Roman"/>
          <w:sz w:val="24"/>
          <w:szCs w:val="24"/>
        </w:rPr>
        <w:t xml:space="preserve"> </w:t>
      </w:r>
    </w:p>
    <w:p w14:paraId="6057FCEE" w14:textId="16FF2505" w:rsidR="003C0595" w:rsidRDefault="003C0595" w:rsidP="00626A3E">
      <w:pPr>
        <w:ind w:firstLine="709"/>
        <w:jc w:val="both"/>
        <w:rPr>
          <w:rFonts w:ascii="Times New Roman" w:hAnsi="Times New Roman" w:cs="Times New Roman"/>
          <w:sz w:val="24"/>
          <w:szCs w:val="24"/>
        </w:rPr>
      </w:pPr>
      <w:r w:rsidRPr="00CA37FA">
        <w:rPr>
          <w:rFonts w:ascii="Times New Roman" w:hAnsi="Times New Roman" w:cs="Times New Roman"/>
          <w:sz w:val="24"/>
          <w:szCs w:val="24"/>
        </w:rPr>
        <w:t>Ziņojumu sagatavoja Dabas aizsardzības pārvalde</w:t>
      </w:r>
      <w:r>
        <w:rPr>
          <w:rFonts w:ascii="Times New Roman" w:hAnsi="Times New Roman" w:cs="Times New Roman"/>
          <w:sz w:val="24"/>
          <w:szCs w:val="24"/>
        </w:rPr>
        <w:t>.</w:t>
      </w:r>
    </w:p>
    <w:p w14:paraId="71BD9620" w14:textId="09DD29DB" w:rsidR="000E5A46" w:rsidRDefault="000E5A46" w:rsidP="00626A3E">
      <w:pPr>
        <w:ind w:firstLine="709"/>
        <w:jc w:val="both"/>
        <w:rPr>
          <w:rFonts w:ascii="Times New Roman" w:hAnsi="Times New Roman" w:cs="Times New Roman"/>
          <w:sz w:val="24"/>
          <w:szCs w:val="24"/>
        </w:rPr>
      </w:pPr>
      <w:r>
        <w:rPr>
          <w:rFonts w:ascii="Times New Roman" w:hAnsi="Times New Roman" w:cs="Times New Roman"/>
          <w:sz w:val="24"/>
          <w:szCs w:val="24"/>
        </w:rPr>
        <w:t>Atbilstoši Putnu direktīvai</w:t>
      </w:r>
      <w:r w:rsidR="007D46F7">
        <w:rPr>
          <w:rFonts w:ascii="Times New Roman" w:hAnsi="Times New Roman" w:cs="Times New Roman"/>
          <w:sz w:val="24"/>
          <w:szCs w:val="24"/>
        </w:rPr>
        <w:t>,</w:t>
      </w:r>
      <w:r>
        <w:rPr>
          <w:rFonts w:ascii="Times New Roman" w:hAnsi="Times New Roman" w:cs="Times New Roman"/>
          <w:sz w:val="24"/>
          <w:szCs w:val="24"/>
        </w:rPr>
        <w:t xml:space="preserve"> informācija par Putnu direktīvas ieviešanu jāsniedz vienu reizi sešos gados. </w:t>
      </w:r>
      <w:r w:rsidR="00620C29" w:rsidRPr="00620C29">
        <w:rPr>
          <w:rFonts w:ascii="Times New Roman" w:hAnsi="Times New Roman" w:cs="Times New Roman"/>
          <w:sz w:val="24"/>
          <w:szCs w:val="24"/>
        </w:rPr>
        <w:t xml:space="preserve">Pilnais Putnu direktīvas ieviešanas ziņojums pēc iesniegšanas Aģentūrā būs pieejams tās mājaslapā.  </w:t>
      </w:r>
    </w:p>
    <w:p w14:paraId="3E2468A1" w14:textId="4A1B924E" w:rsidR="009E3439" w:rsidRPr="00CA37FA" w:rsidRDefault="009E3439" w:rsidP="00626A3E">
      <w:pPr>
        <w:ind w:firstLine="709"/>
        <w:jc w:val="both"/>
        <w:rPr>
          <w:rFonts w:ascii="Times New Roman" w:hAnsi="Times New Roman" w:cs="Times New Roman"/>
          <w:sz w:val="24"/>
          <w:szCs w:val="24"/>
        </w:rPr>
      </w:pPr>
      <w:r w:rsidRPr="00CA37FA">
        <w:rPr>
          <w:rFonts w:ascii="Times New Roman" w:hAnsi="Times New Roman" w:cs="Times New Roman"/>
          <w:sz w:val="24"/>
          <w:szCs w:val="24"/>
        </w:rPr>
        <w:t>Lai palīdzētu</w:t>
      </w:r>
      <w:r w:rsidR="00023688">
        <w:rPr>
          <w:rFonts w:ascii="Times New Roman" w:hAnsi="Times New Roman" w:cs="Times New Roman"/>
          <w:sz w:val="24"/>
          <w:szCs w:val="24"/>
        </w:rPr>
        <w:t xml:space="preserve"> E</w:t>
      </w:r>
      <w:r w:rsidR="00E66677">
        <w:rPr>
          <w:rFonts w:ascii="Times New Roman" w:hAnsi="Times New Roman" w:cs="Times New Roman"/>
          <w:sz w:val="24"/>
          <w:szCs w:val="24"/>
        </w:rPr>
        <w:t xml:space="preserve">iropas </w:t>
      </w:r>
      <w:r w:rsidR="00023688">
        <w:rPr>
          <w:rFonts w:ascii="Times New Roman" w:hAnsi="Times New Roman" w:cs="Times New Roman"/>
          <w:sz w:val="24"/>
          <w:szCs w:val="24"/>
        </w:rPr>
        <w:t>S</w:t>
      </w:r>
      <w:r w:rsidR="00E66677">
        <w:rPr>
          <w:rFonts w:ascii="Times New Roman" w:hAnsi="Times New Roman" w:cs="Times New Roman"/>
          <w:sz w:val="24"/>
          <w:szCs w:val="24"/>
        </w:rPr>
        <w:t xml:space="preserve">avienības (turpmāk </w:t>
      </w:r>
      <w:r w:rsidR="00560939">
        <w:rPr>
          <w:rFonts w:ascii="Times New Roman" w:hAnsi="Times New Roman" w:cs="Times New Roman"/>
          <w:sz w:val="24"/>
          <w:szCs w:val="24"/>
        </w:rPr>
        <w:t>–</w:t>
      </w:r>
      <w:r w:rsidR="00E66677">
        <w:rPr>
          <w:rFonts w:ascii="Times New Roman" w:hAnsi="Times New Roman" w:cs="Times New Roman"/>
          <w:sz w:val="24"/>
          <w:szCs w:val="24"/>
        </w:rPr>
        <w:t xml:space="preserve"> ES</w:t>
      </w:r>
      <w:r w:rsidR="00560939">
        <w:rPr>
          <w:rFonts w:ascii="Times New Roman" w:hAnsi="Times New Roman" w:cs="Times New Roman"/>
          <w:sz w:val="24"/>
          <w:szCs w:val="24"/>
        </w:rPr>
        <w:t>)</w:t>
      </w:r>
      <w:r w:rsidR="00023688">
        <w:rPr>
          <w:rFonts w:ascii="Times New Roman" w:hAnsi="Times New Roman" w:cs="Times New Roman"/>
          <w:sz w:val="24"/>
          <w:szCs w:val="24"/>
        </w:rPr>
        <w:t xml:space="preserve"> </w:t>
      </w:r>
      <w:r w:rsidRPr="00CA37FA">
        <w:rPr>
          <w:rFonts w:ascii="Times New Roman" w:hAnsi="Times New Roman" w:cs="Times New Roman"/>
          <w:sz w:val="24"/>
          <w:szCs w:val="24"/>
        </w:rPr>
        <w:t xml:space="preserve"> </w:t>
      </w:r>
      <w:r w:rsidR="00023688">
        <w:rPr>
          <w:rFonts w:ascii="Times New Roman" w:hAnsi="Times New Roman" w:cs="Times New Roman"/>
          <w:sz w:val="24"/>
          <w:szCs w:val="24"/>
        </w:rPr>
        <w:t>dalīb</w:t>
      </w:r>
      <w:r w:rsidR="009C78ED" w:rsidRPr="00CA37FA">
        <w:rPr>
          <w:rFonts w:ascii="Times New Roman" w:hAnsi="Times New Roman" w:cs="Times New Roman"/>
          <w:sz w:val="24"/>
          <w:szCs w:val="24"/>
        </w:rPr>
        <w:t xml:space="preserve">valstīm </w:t>
      </w:r>
      <w:r w:rsidRPr="00CA37FA">
        <w:rPr>
          <w:rFonts w:ascii="Times New Roman" w:hAnsi="Times New Roman" w:cs="Times New Roman"/>
          <w:sz w:val="24"/>
          <w:szCs w:val="24"/>
        </w:rPr>
        <w:t>ziņojuma</w:t>
      </w:r>
      <w:r w:rsidR="000E5A46">
        <w:rPr>
          <w:rFonts w:ascii="Times New Roman" w:hAnsi="Times New Roman" w:cs="Times New Roman"/>
          <w:sz w:val="24"/>
          <w:szCs w:val="24"/>
        </w:rPr>
        <w:t xml:space="preserve"> par Putnu direktīvas ieviešanu </w:t>
      </w:r>
      <w:r w:rsidRPr="00CA37FA">
        <w:rPr>
          <w:rFonts w:ascii="Times New Roman" w:hAnsi="Times New Roman" w:cs="Times New Roman"/>
          <w:sz w:val="24"/>
          <w:szCs w:val="24"/>
        </w:rPr>
        <w:t xml:space="preserve">sagatavošanā un atvieglotu dažādu </w:t>
      </w:r>
      <w:r w:rsidR="00E66677">
        <w:rPr>
          <w:rFonts w:ascii="Times New Roman" w:hAnsi="Times New Roman" w:cs="Times New Roman"/>
          <w:sz w:val="24"/>
          <w:szCs w:val="24"/>
        </w:rPr>
        <w:t xml:space="preserve">ES </w:t>
      </w:r>
      <w:r w:rsidRPr="00CA37FA">
        <w:rPr>
          <w:rFonts w:ascii="Times New Roman" w:hAnsi="Times New Roman" w:cs="Times New Roman"/>
          <w:sz w:val="24"/>
          <w:szCs w:val="24"/>
        </w:rPr>
        <w:t xml:space="preserve">dalībvalstu ziņojumu salīdzināšanu savā starpā, kā arī palīdzētu izstrādāt kopējo ES ziņojumu par </w:t>
      </w:r>
      <w:r w:rsidR="00F1406E" w:rsidRPr="00CA37FA">
        <w:rPr>
          <w:rFonts w:ascii="Times New Roman" w:hAnsi="Times New Roman" w:cs="Times New Roman"/>
          <w:sz w:val="24"/>
          <w:szCs w:val="24"/>
        </w:rPr>
        <w:t>Putnu</w:t>
      </w:r>
      <w:r w:rsidRPr="00CA37FA">
        <w:rPr>
          <w:rFonts w:ascii="Times New Roman" w:hAnsi="Times New Roman" w:cs="Times New Roman"/>
          <w:sz w:val="24"/>
          <w:szCs w:val="24"/>
        </w:rPr>
        <w:t xml:space="preserve"> direktīvas  ieviešanu, ziņojums tiek gatavots pēc </w:t>
      </w:r>
      <w:r w:rsidR="00874736" w:rsidRPr="00CA37FA">
        <w:rPr>
          <w:rFonts w:ascii="Times New Roman" w:hAnsi="Times New Roman" w:cs="Times New Roman"/>
          <w:sz w:val="24"/>
          <w:szCs w:val="24"/>
        </w:rPr>
        <w:t>Eiropas Komisijas (turpmāk –</w:t>
      </w:r>
      <w:r w:rsidR="006C0CF4" w:rsidRPr="00CA37FA">
        <w:rPr>
          <w:rFonts w:ascii="Times New Roman" w:hAnsi="Times New Roman" w:cs="Times New Roman"/>
          <w:sz w:val="24"/>
          <w:szCs w:val="24"/>
        </w:rPr>
        <w:t xml:space="preserve"> </w:t>
      </w:r>
      <w:r w:rsidRPr="00CA37FA">
        <w:rPr>
          <w:rFonts w:ascii="Times New Roman" w:hAnsi="Times New Roman" w:cs="Times New Roman"/>
          <w:sz w:val="24"/>
          <w:szCs w:val="24"/>
        </w:rPr>
        <w:t>EK</w:t>
      </w:r>
      <w:r w:rsidR="00874736" w:rsidRPr="00CA37FA">
        <w:rPr>
          <w:rFonts w:ascii="Times New Roman" w:hAnsi="Times New Roman" w:cs="Times New Roman"/>
          <w:sz w:val="24"/>
          <w:szCs w:val="24"/>
        </w:rPr>
        <w:t>)</w:t>
      </w:r>
      <w:r w:rsidRPr="00CA37FA">
        <w:rPr>
          <w:rFonts w:ascii="Times New Roman" w:hAnsi="Times New Roman" w:cs="Times New Roman"/>
          <w:sz w:val="24"/>
          <w:szCs w:val="24"/>
        </w:rPr>
        <w:t xml:space="preserve"> izstrādātas  un apstiprinātas metodikas un iesniegts elektroniski, izmantojot Eiropas Vides aģentūras</w:t>
      </w:r>
      <w:r w:rsidR="00E35280">
        <w:rPr>
          <w:rFonts w:ascii="Times New Roman" w:hAnsi="Times New Roman" w:cs="Times New Roman"/>
          <w:sz w:val="24"/>
          <w:szCs w:val="24"/>
        </w:rPr>
        <w:t xml:space="preserve"> (turpmāk – Aģentūra)</w:t>
      </w:r>
      <w:r w:rsidRPr="00CA37FA">
        <w:rPr>
          <w:rFonts w:ascii="Times New Roman" w:hAnsi="Times New Roman" w:cs="Times New Roman"/>
          <w:sz w:val="24"/>
          <w:szCs w:val="24"/>
        </w:rPr>
        <w:t xml:space="preserve"> uzturēto </w:t>
      </w:r>
      <w:r w:rsidR="003342E3">
        <w:rPr>
          <w:rFonts w:ascii="Times New Roman" w:hAnsi="Times New Roman" w:cs="Times New Roman"/>
          <w:sz w:val="24"/>
          <w:szCs w:val="24"/>
        </w:rPr>
        <w:t>“</w:t>
      </w:r>
      <w:proofErr w:type="spellStart"/>
      <w:r w:rsidRPr="00CA37FA">
        <w:rPr>
          <w:rFonts w:ascii="Times New Roman" w:hAnsi="Times New Roman" w:cs="Times New Roman"/>
          <w:sz w:val="24"/>
          <w:szCs w:val="24"/>
        </w:rPr>
        <w:t>ReportNet</w:t>
      </w:r>
      <w:proofErr w:type="spellEnd"/>
      <w:r w:rsidRPr="00CA37FA">
        <w:rPr>
          <w:rFonts w:ascii="Times New Roman" w:hAnsi="Times New Roman" w:cs="Times New Roman"/>
          <w:sz w:val="24"/>
          <w:szCs w:val="24"/>
        </w:rPr>
        <w:t xml:space="preserve"> </w:t>
      </w:r>
      <w:r w:rsidR="00823C01" w:rsidRPr="00CA37FA">
        <w:rPr>
          <w:rFonts w:ascii="Times New Roman" w:hAnsi="Times New Roman" w:cs="Times New Roman"/>
          <w:sz w:val="24"/>
          <w:szCs w:val="24"/>
        </w:rPr>
        <w:t>3.0</w:t>
      </w:r>
      <w:r w:rsidR="003342E3">
        <w:rPr>
          <w:rFonts w:ascii="Times New Roman" w:hAnsi="Times New Roman" w:cs="Times New Roman"/>
          <w:sz w:val="24"/>
          <w:szCs w:val="24"/>
        </w:rPr>
        <w:t>”</w:t>
      </w:r>
      <w:r w:rsidR="00823C01" w:rsidRPr="00CA37FA">
        <w:rPr>
          <w:rFonts w:ascii="Times New Roman" w:hAnsi="Times New Roman" w:cs="Times New Roman"/>
          <w:sz w:val="24"/>
          <w:szCs w:val="24"/>
        </w:rPr>
        <w:t xml:space="preserve"> </w:t>
      </w:r>
      <w:r w:rsidRPr="00CA37FA">
        <w:rPr>
          <w:rFonts w:ascii="Times New Roman" w:hAnsi="Times New Roman" w:cs="Times New Roman"/>
          <w:sz w:val="24"/>
          <w:szCs w:val="24"/>
        </w:rPr>
        <w:t xml:space="preserve">vietni. </w:t>
      </w:r>
      <w:r w:rsidR="000E5A46">
        <w:rPr>
          <w:rFonts w:ascii="Times New Roman" w:hAnsi="Times New Roman" w:cs="Times New Roman"/>
          <w:sz w:val="24"/>
          <w:szCs w:val="24"/>
        </w:rPr>
        <w:t>Z</w:t>
      </w:r>
      <w:r w:rsidR="003536EA" w:rsidRPr="00CA37FA">
        <w:rPr>
          <w:rFonts w:ascii="Times New Roman" w:hAnsi="Times New Roman" w:cs="Times New Roman"/>
          <w:sz w:val="24"/>
          <w:szCs w:val="24"/>
        </w:rPr>
        <w:t xml:space="preserve">iņojumu sagatavošanas formāts, ziņojuma aizpildīšanas vadlīnijas, kā arī cita noderīga informācija ziņojuma sagatavošanai ir pieejama </w:t>
      </w:r>
      <w:r w:rsidR="00E35280">
        <w:rPr>
          <w:rFonts w:ascii="Times New Roman" w:hAnsi="Times New Roman" w:cs="Times New Roman"/>
          <w:sz w:val="24"/>
          <w:szCs w:val="24"/>
        </w:rPr>
        <w:t>Aģentūras</w:t>
      </w:r>
      <w:r w:rsidR="003536EA" w:rsidRPr="00CA37FA">
        <w:rPr>
          <w:rFonts w:ascii="Times New Roman" w:hAnsi="Times New Roman" w:cs="Times New Roman"/>
          <w:sz w:val="24"/>
          <w:szCs w:val="24"/>
        </w:rPr>
        <w:t xml:space="preserve"> atsauču portālā: </w:t>
      </w:r>
      <w:hyperlink r:id="rId8" w:history="1">
        <w:r w:rsidR="00843E32" w:rsidRPr="00CA37FA">
          <w:rPr>
            <w:rStyle w:val="Hyperlink"/>
            <w:rFonts w:ascii="Times New Roman" w:hAnsi="Times New Roman" w:cs="Times New Roman"/>
            <w:sz w:val="24"/>
            <w:szCs w:val="24"/>
          </w:rPr>
          <w:t>http://cdr.eionet.europa.eu/help/birds_art12</w:t>
        </w:r>
      </w:hyperlink>
      <w:r w:rsidR="00843E32" w:rsidRPr="00CA37FA">
        <w:rPr>
          <w:rFonts w:ascii="Times New Roman" w:hAnsi="Times New Roman" w:cs="Times New Roman"/>
          <w:sz w:val="24"/>
          <w:szCs w:val="24"/>
        </w:rPr>
        <w:t xml:space="preserve">  </w:t>
      </w:r>
    </w:p>
    <w:p w14:paraId="15CEC2A1" w14:textId="03D7F2A8" w:rsidR="0034788F" w:rsidRPr="00CA37FA" w:rsidRDefault="0034788F" w:rsidP="00626A3E">
      <w:pPr>
        <w:ind w:firstLine="709"/>
        <w:jc w:val="both"/>
        <w:rPr>
          <w:rFonts w:ascii="Times New Roman" w:hAnsi="Times New Roman" w:cs="Times New Roman"/>
          <w:sz w:val="24"/>
          <w:szCs w:val="24"/>
        </w:rPr>
      </w:pPr>
      <w:r w:rsidRPr="00CA37FA">
        <w:rPr>
          <w:rFonts w:ascii="Times New Roman" w:hAnsi="Times New Roman" w:cs="Times New Roman"/>
          <w:sz w:val="24"/>
          <w:szCs w:val="24"/>
        </w:rPr>
        <w:t>Ziņojums sastāv no sekojošām daļām:</w:t>
      </w:r>
    </w:p>
    <w:p w14:paraId="380D61AC" w14:textId="5C5C1F02" w:rsidR="00155E65" w:rsidRPr="00CA37FA" w:rsidRDefault="00EE3BA8" w:rsidP="00626A3E">
      <w:pPr>
        <w:numPr>
          <w:ilvl w:val="0"/>
          <w:numId w:val="6"/>
        </w:numPr>
        <w:jc w:val="both"/>
        <w:rPr>
          <w:rFonts w:ascii="Times New Roman" w:hAnsi="Times New Roman" w:cs="Times New Roman"/>
          <w:sz w:val="24"/>
          <w:szCs w:val="24"/>
        </w:rPr>
      </w:pPr>
      <w:r w:rsidRPr="00CA37FA">
        <w:rPr>
          <w:rFonts w:ascii="Times New Roman" w:hAnsi="Times New Roman" w:cs="Times New Roman"/>
          <w:sz w:val="24"/>
          <w:szCs w:val="24"/>
        </w:rPr>
        <w:t>Vispārējais ziņojums</w:t>
      </w:r>
      <w:r w:rsidR="009C78ED" w:rsidRPr="00CA37FA">
        <w:rPr>
          <w:rFonts w:ascii="Times New Roman" w:hAnsi="Times New Roman" w:cs="Times New Roman"/>
          <w:sz w:val="24"/>
          <w:szCs w:val="24"/>
        </w:rPr>
        <w:t xml:space="preserve"> par </w:t>
      </w:r>
      <w:r w:rsidR="00843E32" w:rsidRPr="00CA37FA">
        <w:rPr>
          <w:rFonts w:ascii="Times New Roman" w:hAnsi="Times New Roman" w:cs="Times New Roman"/>
          <w:sz w:val="24"/>
          <w:szCs w:val="24"/>
        </w:rPr>
        <w:t>Putnu</w:t>
      </w:r>
      <w:r w:rsidR="009C78ED" w:rsidRPr="00CA37FA">
        <w:rPr>
          <w:rFonts w:ascii="Times New Roman" w:hAnsi="Times New Roman" w:cs="Times New Roman"/>
          <w:sz w:val="24"/>
          <w:szCs w:val="24"/>
        </w:rPr>
        <w:t xml:space="preserve"> direktīvā minēto valstu pienākumu ieviešanu pārskata periodā </w:t>
      </w:r>
      <w:r w:rsidR="00843E32" w:rsidRPr="00CA37FA">
        <w:rPr>
          <w:rFonts w:ascii="Times New Roman" w:hAnsi="Times New Roman" w:cs="Times New Roman"/>
          <w:sz w:val="24"/>
          <w:szCs w:val="24"/>
        </w:rPr>
        <w:t xml:space="preserve"> - likumdošanas izmaiņas, pārskats par putnu sugu pētījumiem, monitoringu, kā arī cita būtiska informācija, lai izvērtētu Putnu direktīvā noteikto pienākumu ieviešanu. </w:t>
      </w:r>
    </w:p>
    <w:p w14:paraId="7468CC63" w14:textId="21C6A5CB" w:rsidR="00155E65" w:rsidRPr="00CA37FA" w:rsidRDefault="00A40998" w:rsidP="00626A3E">
      <w:pPr>
        <w:numPr>
          <w:ilvl w:val="0"/>
          <w:numId w:val="6"/>
        </w:numPr>
        <w:jc w:val="both"/>
        <w:rPr>
          <w:rFonts w:ascii="Times New Roman" w:hAnsi="Times New Roman" w:cs="Times New Roman"/>
          <w:sz w:val="24"/>
          <w:szCs w:val="24"/>
        </w:rPr>
      </w:pPr>
      <w:r w:rsidRPr="00CA37FA">
        <w:rPr>
          <w:rFonts w:ascii="Times New Roman" w:hAnsi="Times New Roman" w:cs="Times New Roman"/>
          <w:sz w:val="24"/>
          <w:szCs w:val="24"/>
        </w:rPr>
        <w:t>I</w:t>
      </w:r>
      <w:r w:rsidR="006415E1" w:rsidRPr="00CA37FA">
        <w:rPr>
          <w:rFonts w:ascii="Times New Roman" w:hAnsi="Times New Roman" w:cs="Times New Roman"/>
          <w:sz w:val="24"/>
          <w:szCs w:val="24"/>
        </w:rPr>
        <w:t>zvērtējuma a</w:t>
      </w:r>
      <w:r w:rsidR="00EE3BA8" w:rsidRPr="00CA37FA">
        <w:rPr>
          <w:rFonts w:ascii="Times New Roman" w:hAnsi="Times New Roman" w:cs="Times New Roman"/>
          <w:sz w:val="24"/>
          <w:szCs w:val="24"/>
        </w:rPr>
        <w:t xml:space="preserve">nketa par katru </w:t>
      </w:r>
      <w:r w:rsidR="00874736" w:rsidRPr="00CA37FA">
        <w:rPr>
          <w:rFonts w:ascii="Times New Roman" w:hAnsi="Times New Roman" w:cs="Times New Roman"/>
          <w:sz w:val="24"/>
          <w:szCs w:val="24"/>
        </w:rPr>
        <w:t xml:space="preserve">Latvijā sastopamo </w:t>
      </w:r>
      <w:r w:rsidR="00843E32" w:rsidRPr="00CA37FA">
        <w:rPr>
          <w:rFonts w:ascii="Times New Roman" w:hAnsi="Times New Roman" w:cs="Times New Roman"/>
          <w:sz w:val="24"/>
          <w:szCs w:val="24"/>
        </w:rPr>
        <w:t>putnu sugu, novērtējot sugas populācijas lielumu, īste</w:t>
      </w:r>
      <w:r w:rsidR="00B647A3" w:rsidRPr="00CA37FA">
        <w:rPr>
          <w:rFonts w:ascii="Times New Roman" w:hAnsi="Times New Roman" w:cs="Times New Roman"/>
          <w:sz w:val="24"/>
          <w:szCs w:val="24"/>
        </w:rPr>
        <w:t>r</w:t>
      </w:r>
      <w:r w:rsidR="00843E32" w:rsidRPr="00CA37FA">
        <w:rPr>
          <w:rFonts w:ascii="Times New Roman" w:hAnsi="Times New Roman" w:cs="Times New Roman"/>
          <w:sz w:val="24"/>
          <w:szCs w:val="24"/>
        </w:rPr>
        <w:t xml:space="preserve">miņa un ilgtermiņa izmaiņu tendences, kā arī izvērtējumu par putnu sugu aizsardzībai izveidoto </w:t>
      </w:r>
      <w:r w:rsidR="0052326B">
        <w:rPr>
          <w:rFonts w:ascii="Times New Roman" w:hAnsi="Times New Roman" w:cs="Times New Roman"/>
          <w:sz w:val="24"/>
          <w:szCs w:val="24"/>
        </w:rPr>
        <w:t xml:space="preserve">ES nozīmes aizsargājamo teritoriju (turpmāk - </w:t>
      </w:r>
      <w:proofErr w:type="spellStart"/>
      <w:r w:rsidR="00843E32" w:rsidRPr="00CA37FA">
        <w:rPr>
          <w:rFonts w:ascii="Times New Roman" w:hAnsi="Times New Roman" w:cs="Times New Roman"/>
          <w:sz w:val="24"/>
          <w:szCs w:val="24"/>
        </w:rPr>
        <w:t>Natura</w:t>
      </w:r>
      <w:proofErr w:type="spellEnd"/>
      <w:r w:rsidR="00843E32" w:rsidRPr="00CA37FA">
        <w:rPr>
          <w:rFonts w:ascii="Times New Roman" w:hAnsi="Times New Roman" w:cs="Times New Roman"/>
          <w:sz w:val="24"/>
          <w:szCs w:val="24"/>
        </w:rPr>
        <w:t xml:space="preserve"> 2000 teritoriju</w:t>
      </w:r>
      <w:r w:rsidR="0052326B">
        <w:rPr>
          <w:rFonts w:ascii="Times New Roman" w:hAnsi="Times New Roman" w:cs="Times New Roman"/>
          <w:sz w:val="24"/>
          <w:szCs w:val="24"/>
        </w:rPr>
        <w:t>)</w:t>
      </w:r>
      <w:r w:rsidR="00843E32" w:rsidRPr="00CA37FA">
        <w:rPr>
          <w:rFonts w:ascii="Times New Roman" w:hAnsi="Times New Roman" w:cs="Times New Roman"/>
          <w:sz w:val="24"/>
          <w:szCs w:val="24"/>
        </w:rPr>
        <w:t xml:space="preserve"> stāvokli un veiktajiem aizsardzības pasākumiem. </w:t>
      </w:r>
    </w:p>
    <w:p w14:paraId="37706AC6" w14:textId="0894463B" w:rsidR="000E5A46" w:rsidRPr="00EE30FA" w:rsidRDefault="000E5A46" w:rsidP="00507301">
      <w:pPr>
        <w:ind w:firstLine="709"/>
        <w:jc w:val="both"/>
      </w:pPr>
      <w:r w:rsidRPr="00CF5585">
        <w:rPr>
          <w:rFonts w:ascii="Times New Roman" w:hAnsi="Times New Roman" w:cs="Times New Roman"/>
          <w:sz w:val="24"/>
          <w:szCs w:val="24"/>
        </w:rPr>
        <w:lastRenderedPageBreak/>
        <w:t xml:space="preserve">Iepriekšējais ziņojums par Putnu direktīvas ieviešanu 2013.-2018. gadā sagatavots 2019. gadā. Ar ziņojumu var iepazīties </w:t>
      </w:r>
      <w:r w:rsidR="00E35280">
        <w:rPr>
          <w:rFonts w:ascii="Times New Roman" w:hAnsi="Times New Roman" w:cs="Times New Roman"/>
          <w:sz w:val="24"/>
          <w:szCs w:val="24"/>
        </w:rPr>
        <w:t>A</w:t>
      </w:r>
      <w:r w:rsidRPr="00CF5585">
        <w:rPr>
          <w:rFonts w:ascii="Times New Roman" w:hAnsi="Times New Roman" w:cs="Times New Roman"/>
          <w:sz w:val="24"/>
          <w:szCs w:val="24"/>
        </w:rPr>
        <w:t xml:space="preserve">ģentūras mājaslapā </w:t>
      </w:r>
      <w:hyperlink r:id="rId9" w:history="1">
        <w:r w:rsidRPr="00CF5585">
          <w:rPr>
            <w:rStyle w:val="Hyperlink"/>
            <w:rFonts w:ascii="Times New Roman" w:hAnsi="Times New Roman" w:cs="Times New Roman"/>
            <w:sz w:val="24"/>
            <w:szCs w:val="24"/>
          </w:rPr>
          <w:t>https://cdr.eionet.europa.eu/lv/eu/art12/envxh2nkq</w:t>
        </w:r>
      </w:hyperlink>
      <w:r w:rsidRPr="00CF5585">
        <w:rPr>
          <w:rFonts w:ascii="Times New Roman" w:hAnsi="Times New Roman" w:cs="Times New Roman"/>
          <w:sz w:val="24"/>
          <w:szCs w:val="24"/>
        </w:rPr>
        <w:t xml:space="preserve">  </w:t>
      </w:r>
    </w:p>
    <w:p w14:paraId="1CE222F1" w14:textId="0F600FDD" w:rsidR="00391888" w:rsidRPr="00CA37FA" w:rsidRDefault="00391888" w:rsidP="00626A3E">
      <w:pPr>
        <w:ind w:firstLine="709"/>
        <w:jc w:val="both"/>
        <w:rPr>
          <w:rFonts w:ascii="Times New Roman" w:eastAsiaTheme="minorEastAsia" w:hAnsi="Times New Roman" w:cs="Times New Roman"/>
          <w:sz w:val="24"/>
          <w:szCs w:val="24"/>
        </w:rPr>
      </w:pPr>
      <w:r w:rsidRPr="00CA37FA">
        <w:rPr>
          <w:rFonts w:ascii="Times New Roman" w:eastAsiaTheme="minorEastAsia" w:hAnsi="Times New Roman" w:cs="Times New Roman"/>
          <w:sz w:val="24"/>
          <w:szCs w:val="24"/>
        </w:rPr>
        <w:t xml:space="preserve">Atbilstoši </w:t>
      </w:r>
      <w:r w:rsidR="00FB13F6" w:rsidRPr="00CA37FA">
        <w:rPr>
          <w:rFonts w:ascii="Times New Roman" w:eastAsiaTheme="minorEastAsia" w:hAnsi="Times New Roman" w:cs="Times New Roman"/>
          <w:sz w:val="24"/>
          <w:szCs w:val="24"/>
        </w:rPr>
        <w:t>Putnu</w:t>
      </w:r>
      <w:r w:rsidRPr="00CA37FA">
        <w:rPr>
          <w:rFonts w:ascii="Times New Roman" w:eastAsiaTheme="minorEastAsia" w:hAnsi="Times New Roman" w:cs="Times New Roman"/>
          <w:sz w:val="24"/>
          <w:szCs w:val="24"/>
        </w:rPr>
        <w:t xml:space="preserve"> direktīvas 1</w:t>
      </w:r>
      <w:r w:rsidR="00FB13F6" w:rsidRPr="00CA37FA">
        <w:rPr>
          <w:rFonts w:ascii="Times New Roman" w:eastAsiaTheme="minorEastAsia" w:hAnsi="Times New Roman" w:cs="Times New Roman"/>
          <w:sz w:val="24"/>
          <w:szCs w:val="24"/>
        </w:rPr>
        <w:t>2</w:t>
      </w:r>
      <w:r w:rsidRPr="00CA37FA">
        <w:rPr>
          <w:rFonts w:ascii="Times New Roman" w:eastAsiaTheme="minorEastAsia" w:hAnsi="Times New Roman" w:cs="Times New Roman"/>
          <w:sz w:val="24"/>
          <w:szCs w:val="24"/>
        </w:rPr>
        <w:t xml:space="preserve">. </w:t>
      </w:r>
      <w:r w:rsidR="00154045" w:rsidRPr="00CA37FA">
        <w:rPr>
          <w:rFonts w:ascii="Times New Roman" w:eastAsiaTheme="minorEastAsia" w:hAnsi="Times New Roman" w:cs="Times New Roman"/>
          <w:sz w:val="24"/>
          <w:szCs w:val="24"/>
        </w:rPr>
        <w:t>panta 2. punktam</w:t>
      </w:r>
      <w:r w:rsidRPr="00CA37FA">
        <w:rPr>
          <w:rFonts w:ascii="Times New Roman" w:eastAsiaTheme="minorEastAsia" w:hAnsi="Times New Roman" w:cs="Times New Roman"/>
          <w:sz w:val="24"/>
          <w:szCs w:val="24"/>
        </w:rPr>
        <w:t>, pamatojoties uz visu ES dalībvalstu iesniegtaj</w:t>
      </w:r>
      <w:r w:rsidR="006914B0" w:rsidRPr="00CA37FA">
        <w:rPr>
          <w:rFonts w:ascii="Times New Roman" w:eastAsiaTheme="minorEastAsia" w:hAnsi="Times New Roman" w:cs="Times New Roman"/>
          <w:sz w:val="24"/>
          <w:szCs w:val="24"/>
        </w:rPr>
        <w:t>iem</w:t>
      </w:r>
      <w:r w:rsidRPr="00CA37FA">
        <w:rPr>
          <w:rFonts w:ascii="Times New Roman" w:eastAsiaTheme="minorEastAsia" w:hAnsi="Times New Roman" w:cs="Times New Roman"/>
          <w:sz w:val="24"/>
          <w:szCs w:val="24"/>
        </w:rPr>
        <w:t xml:space="preserve"> </w:t>
      </w:r>
      <w:r w:rsidR="006914B0" w:rsidRPr="00CA37FA">
        <w:rPr>
          <w:rFonts w:ascii="Times New Roman" w:eastAsiaTheme="minorEastAsia" w:hAnsi="Times New Roman" w:cs="Times New Roman"/>
          <w:sz w:val="24"/>
          <w:szCs w:val="24"/>
        </w:rPr>
        <w:t>ziņojumiem</w:t>
      </w:r>
      <w:r w:rsidRPr="00CA37FA">
        <w:rPr>
          <w:rFonts w:ascii="Times New Roman" w:eastAsiaTheme="minorEastAsia" w:hAnsi="Times New Roman" w:cs="Times New Roman"/>
          <w:sz w:val="24"/>
          <w:szCs w:val="24"/>
        </w:rPr>
        <w:t xml:space="preserve">, līdz </w:t>
      </w:r>
      <w:r w:rsidR="00AB0DD7" w:rsidRPr="00CA37FA">
        <w:rPr>
          <w:rFonts w:ascii="Times New Roman" w:eastAsiaTheme="minorEastAsia" w:hAnsi="Times New Roman" w:cs="Times New Roman"/>
          <w:sz w:val="24"/>
          <w:szCs w:val="24"/>
        </w:rPr>
        <w:t>2026</w:t>
      </w:r>
      <w:r w:rsidRPr="00CA37FA">
        <w:rPr>
          <w:rFonts w:ascii="Times New Roman" w:eastAsiaTheme="minorEastAsia" w:hAnsi="Times New Roman" w:cs="Times New Roman"/>
          <w:sz w:val="24"/>
          <w:szCs w:val="24"/>
        </w:rPr>
        <w:t xml:space="preserve">. gada beigām EK izstrādās konsolidēto ES </w:t>
      </w:r>
      <w:r w:rsidR="006914B0" w:rsidRPr="00CA37FA">
        <w:rPr>
          <w:rFonts w:ascii="Times New Roman" w:eastAsiaTheme="minorEastAsia" w:hAnsi="Times New Roman" w:cs="Times New Roman"/>
          <w:sz w:val="24"/>
          <w:szCs w:val="24"/>
        </w:rPr>
        <w:t>ziņojumu</w:t>
      </w:r>
      <w:r w:rsidRPr="00CA37FA">
        <w:rPr>
          <w:rFonts w:ascii="Times New Roman" w:eastAsiaTheme="minorEastAsia" w:hAnsi="Times New Roman" w:cs="Times New Roman"/>
          <w:sz w:val="24"/>
          <w:szCs w:val="24"/>
        </w:rPr>
        <w:t xml:space="preserve"> par </w:t>
      </w:r>
      <w:r w:rsidR="00FB13F6" w:rsidRPr="00CA37FA">
        <w:rPr>
          <w:rFonts w:ascii="Times New Roman" w:eastAsiaTheme="minorEastAsia" w:hAnsi="Times New Roman" w:cs="Times New Roman"/>
          <w:sz w:val="24"/>
          <w:szCs w:val="24"/>
        </w:rPr>
        <w:t>Putnu</w:t>
      </w:r>
      <w:r w:rsidRPr="00CA37FA">
        <w:rPr>
          <w:rFonts w:ascii="Times New Roman" w:eastAsiaTheme="minorEastAsia" w:hAnsi="Times New Roman" w:cs="Times New Roman"/>
          <w:sz w:val="24"/>
          <w:szCs w:val="24"/>
        </w:rPr>
        <w:t xml:space="preserve"> direktīvas ieviešanu visās ES dalībvalstīs. </w:t>
      </w:r>
    </w:p>
    <w:p w14:paraId="101B8D26" w14:textId="77777777" w:rsidR="003214AB" w:rsidRPr="00CA37FA" w:rsidRDefault="003214AB" w:rsidP="00626A3E">
      <w:pPr>
        <w:ind w:left="360"/>
        <w:jc w:val="both"/>
        <w:rPr>
          <w:rFonts w:ascii="Times New Roman" w:hAnsi="Times New Roman" w:cs="Times New Roman"/>
          <w:b/>
          <w:sz w:val="24"/>
          <w:szCs w:val="24"/>
        </w:rPr>
      </w:pPr>
    </w:p>
    <w:p w14:paraId="450E328E" w14:textId="4CB643EF" w:rsidR="00EE7F27" w:rsidRPr="00CA37FA" w:rsidRDefault="00EE7F27" w:rsidP="00626A3E">
      <w:pPr>
        <w:ind w:left="360"/>
        <w:jc w:val="both"/>
        <w:rPr>
          <w:rFonts w:ascii="Times New Roman" w:hAnsi="Times New Roman" w:cs="Times New Roman"/>
          <w:sz w:val="24"/>
          <w:szCs w:val="24"/>
        </w:rPr>
      </w:pPr>
      <w:r w:rsidRPr="00CA37FA">
        <w:rPr>
          <w:rFonts w:ascii="Times New Roman" w:hAnsi="Times New Roman" w:cs="Times New Roman"/>
          <w:b/>
          <w:sz w:val="24"/>
          <w:szCs w:val="24"/>
        </w:rPr>
        <w:t>Ziņojuma tvērums</w:t>
      </w:r>
    </w:p>
    <w:p w14:paraId="0758F335" w14:textId="2EE7A460" w:rsidR="00EE7F27" w:rsidRPr="00CA37FA" w:rsidRDefault="00EE7F27" w:rsidP="00BA2503">
      <w:pPr>
        <w:ind w:left="360" w:firstLine="633"/>
        <w:jc w:val="both"/>
        <w:rPr>
          <w:rFonts w:ascii="Times New Roman" w:hAnsi="Times New Roman" w:cs="Times New Roman"/>
          <w:sz w:val="24"/>
          <w:szCs w:val="24"/>
        </w:rPr>
      </w:pPr>
      <w:r w:rsidRPr="00CA37FA">
        <w:rPr>
          <w:rFonts w:ascii="Times New Roman" w:hAnsi="Times New Roman" w:cs="Times New Roman"/>
          <w:sz w:val="24"/>
          <w:szCs w:val="24"/>
        </w:rPr>
        <w:t xml:space="preserve">Tā kā Putnu direktīva attiecas uz visām ES dalībvalstīs sastopamām savvaļas putnu sugām, ne tikai īpaši aizsargājām sugām, tad </w:t>
      </w:r>
      <w:r w:rsidR="00AE76E9" w:rsidRPr="00CA37FA">
        <w:rPr>
          <w:rFonts w:ascii="Times New Roman" w:hAnsi="Times New Roman" w:cs="Times New Roman"/>
          <w:sz w:val="24"/>
          <w:szCs w:val="24"/>
        </w:rPr>
        <w:t xml:space="preserve">arī </w:t>
      </w:r>
      <w:r w:rsidRPr="00CA37FA">
        <w:rPr>
          <w:rFonts w:ascii="Times New Roman" w:hAnsi="Times New Roman" w:cs="Times New Roman"/>
          <w:sz w:val="24"/>
          <w:szCs w:val="24"/>
        </w:rPr>
        <w:t xml:space="preserve">ziņojums tiek gatavots par visām dalībvalsts teritorijā regulāri sastopamām savvaļas putnu sugām. </w:t>
      </w:r>
      <w:r w:rsidR="009144D2" w:rsidRPr="00CA37FA">
        <w:rPr>
          <w:rFonts w:ascii="Times New Roman" w:hAnsi="Times New Roman" w:cs="Times New Roman"/>
          <w:sz w:val="24"/>
          <w:szCs w:val="24"/>
        </w:rPr>
        <w:t xml:space="preserve">Ņemot vērā putnu sugu sastopamību, ziņojumā tiek atsevišķi vērtētas Latvijas teritorijā ligzdojošās, </w:t>
      </w:r>
      <w:r w:rsidR="009144D2" w:rsidRPr="00E9736B">
        <w:rPr>
          <w:rFonts w:ascii="Times New Roman" w:hAnsi="Times New Roman" w:cs="Times New Roman"/>
          <w:sz w:val="24"/>
          <w:szCs w:val="24"/>
        </w:rPr>
        <w:t>migrējošās (</w:t>
      </w:r>
      <w:proofErr w:type="spellStart"/>
      <w:r w:rsidR="009144D2" w:rsidRPr="00E9736B">
        <w:rPr>
          <w:rFonts w:ascii="Times New Roman" w:hAnsi="Times New Roman" w:cs="Times New Roman"/>
          <w:sz w:val="24"/>
          <w:szCs w:val="24"/>
        </w:rPr>
        <w:t>caurceļojošās</w:t>
      </w:r>
      <w:proofErr w:type="spellEnd"/>
      <w:r w:rsidR="009144D2" w:rsidRPr="00E9736B">
        <w:rPr>
          <w:rFonts w:ascii="Times New Roman" w:hAnsi="Times New Roman" w:cs="Times New Roman"/>
          <w:sz w:val="24"/>
          <w:szCs w:val="24"/>
        </w:rPr>
        <w:t xml:space="preserve">) un ziemojošās putnu sugas. Kopumā vērtējums ir sagatavots par </w:t>
      </w:r>
      <w:r w:rsidR="00C94A7F" w:rsidRPr="00E9736B">
        <w:rPr>
          <w:rFonts w:ascii="Times New Roman" w:hAnsi="Times New Roman" w:cs="Times New Roman"/>
          <w:sz w:val="24"/>
          <w:szCs w:val="24"/>
        </w:rPr>
        <w:t xml:space="preserve">238 </w:t>
      </w:r>
      <w:r w:rsidR="009144D2" w:rsidRPr="00E9736B">
        <w:rPr>
          <w:rFonts w:ascii="Times New Roman" w:hAnsi="Times New Roman" w:cs="Times New Roman"/>
          <w:sz w:val="24"/>
          <w:szCs w:val="24"/>
        </w:rPr>
        <w:t>putnu sugām, ņemot vērā, ka viena suga var atbilst vairākām kategorijām</w:t>
      </w:r>
      <w:r w:rsidR="00FA0003" w:rsidRPr="00E9736B">
        <w:rPr>
          <w:rFonts w:ascii="Times New Roman" w:hAnsi="Times New Roman" w:cs="Times New Roman"/>
          <w:sz w:val="24"/>
          <w:szCs w:val="24"/>
        </w:rPr>
        <w:t xml:space="preserve"> (kopumā 281 ziņošanas vienība)</w:t>
      </w:r>
      <w:r w:rsidR="009144D2" w:rsidRPr="00E9736B">
        <w:rPr>
          <w:rFonts w:ascii="Times New Roman" w:hAnsi="Times New Roman" w:cs="Times New Roman"/>
          <w:sz w:val="24"/>
          <w:szCs w:val="24"/>
        </w:rPr>
        <w:t>.</w:t>
      </w:r>
      <w:r w:rsidR="009144D2" w:rsidRPr="00CA37FA">
        <w:rPr>
          <w:rFonts w:ascii="Times New Roman" w:hAnsi="Times New Roman" w:cs="Times New Roman"/>
          <w:sz w:val="24"/>
          <w:szCs w:val="24"/>
        </w:rPr>
        <w:t xml:space="preserve"> </w:t>
      </w:r>
    </w:p>
    <w:p w14:paraId="538B69AE" w14:textId="5516E918" w:rsidR="009144D2" w:rsidRPr="00CA37FA" w:rsidRDefault="00173FEA" w:rsidP="00626A3E">
      <w:pPr>
        <w:ind w:left="360"/>
        <w:jc w:val="both"/>
        <w:rPr>
          <w:rFonts w:ascii="Times New Roman" w:hAnsi="Times New Roman" w:cs="Times New Roman"/>
          <w:sz w:val="24"/>
          <w:szCs w:val="24"/>
        </w:rPr>
      </w:pPr>
      <w:r w:rsidRPr="00CA37FA">
        <w:rPr>
          <w:rFonts w:ascii="Times New Roman" w:hAnsi="Times New Roman" w:cs="Times New Roman"/>
          <w:noProof/>
          <w:sz w:val="24"/>
          <w:szCs w:val="24"/>
        </w:rPr>
        <w:drawing>
          <wp:inline distT="0" distB="0" distL="0" distR="0" wp14:anchorId="6AF90F2A" wp14:editId="6FC7A91A">
            <wp:extent cx="4572000" cy="2736850"/>
            <wp:effectExtent l="0" t="0" r="0" b="6350"/>
            <wp:docPr id="1272492738" name="Chart 1">
              <a:extLst xmlns:a="http://schemas.openxmlformats.org/drawingml/2006/main">
                <a:ext uri="{FF2B5EF4-FFF2-40B4-BE49-F238E27FC236}">
                  <a16:creationId xmlns:a16="http://schemas.microsoft.com/office/drawing/2014/main" id="{70068C1C-D600-BDCA-5DDA-F9EC0BA855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27BC3C" w14:textId="40877FAC" w:rsidR="009144D2" w:rsidRPr="00CA37FA" w:rsidRDefault="009144D2" w:rsidP="00626A3E">
      <w:pPr>
        <w:ind w:left="360"/>
        <w:jc w:val="both"/>
        <w:rPr>
          <w:rFonts w:ascii="Times New Roman" w:hAnsi="Times New Roman" w:cs="Times New Roman"/>
          <w:i/>
          <w:sz w:val="24"/>
          <w:szCs w:val="24"/>
        </w:rPr>
      </w:pPr>
      <w:r w:rsidRPr="00CA37FA">
        <w:rPr>
          <w:rFonts w:ascii="Times New Roman" w:hAnsi="Times New Roman" w:cs="Times New Roman"/>
          <w:i/>
          <w:sz w:val="24"/>
          <w:szCs w:val="24"/>
        </w:rPr>
        <w:t>1.attēls. Ziņojumā iekļauto putnu sugu iedalījums</w:t>
      </w:r>
      <w:r w:rsidR="00401E68" w:rsidRPr="00CA37FA">
        <w:rPr>
          <w:rFonts w:ascii="Times New Roman" w:hAnsi="Times New Roman" w:cs="Times New Roman"/>
          <w:i/>
          <w:sz w:val="24"/>
          <w:szCs w:val="24"/>
        </w:rPr>
        <w:t xml:space="preserve"> (skaits)</w:t>
      </w:r>
      <w:r w:rsidRPr="00CA37FA">
        <w:rPr>
          <w:rFonts w:ascii="Times New Roman" w:hAnsi="Times New Roman" w:cs="Times New Roman"/>
          <w:i/>
          <w:sz w:val="24"/>
          <w:szCs w:val="24"/>
        </w:rPr>
        <w:t xml:space="preserve">. </w:t>
      </w:r>
    </w:p>
    <w:p w14:paraId="78FA2EF7" w14:textId="4E7AA2DC" w:rsidR="009144D2" w:rsidRPr="00CA37FA" w:rsidRDefault="009144D2" w:rsidP="00BA2503">
      <w:pPr>
        <w:ind w:left="360" w:firstLine="633"/>
        <w:jc w:val="both"/>
        <w:rPr>
          <w:rFonts w:ascii="Times New Roman" w:hAnsi="Times New Roman" w:cs="Times New Roman"/>
          <w:sz w:val="24"/>
          <w:szCs w:val="24"/>
        </w:rPr>
      </w:pPr>
      <w:r w:rsidRPr="00CA37FA">
        <w:rPr>
          <w:rFonts w:ascii="Times New Roman" w:hAnsi="Times New Roman" w:cs="Times New Roman"/>
          <w:sz w:val="24"/>
          <w:szCs w:val="24"/>
        </w:rPr>
        <w:t xml:space="preserve">Ziņojumā atsevišķi tiek nodalītas tās putnu sugas, kuru aizsardzībai jāveido </w:t>
      </w:r>
      <w:proofErr w:type="spellStart"/>
      <w:r w:rsidR="00CA37FA" w:rsidRPr="00CA37FA">
        <w:rPr>
          <w:rFonts w:ascii="Times New Roman" w:hAnsi="Times New Roman" w:cs="Times New Roman"/>
          <w:sz w:val="24"/>
          <w:szCs w:val="24"/>
        </w:rPr>
        <w:t>Nat</w:t>
      </w:r>
      <w:r w:rsidR="00E9736B">
        <w:rPr>
          <w:rFonts w:ascii="Times New Roman" w:hAnsi="Times New Roman" w:cs="Times New Roman"/>
          <w:sz w:val="24"/>
          <w:szCs w:val="24"/>
        </w:rPr>
        <w:t>u</w:t>
      </w:r>
      <w:r w:rsidR="00CA37FA" w:rsidRPr="00CA37FA">
        <w:rPr>
          <w:rFonts w:ascii="Times New Roman" w:hAnsi="Times New Roman" w:cs="Times New Roman"/>
          <w:sz w:val="24"/>
          <w:szCs w:val="24"/>
        </w:rPr>
        <w:t>r</w:t>
      </w:r>
      <w:r w:rsidR="00E9736B">
        <w:rPr>
          <w:rFonts w:ascii="Times New Roman" w:hAnsi="Times New Roman" w:cs="Times New Roman"/>
          <w:sz w:val="24"/>
          <w:szCs w:val="24"/>
        </w:rPr>
        <w:t>a</w:t>
      </w:r>
      <w:proofErr w:type="spellEnd"/>
      <w:r w:rsidRPr="00CA37FA">
        <w:rPr>
          <w:rFonts w:ascii="Times New Roman" w:hAnsi="Times New Roman" w:cs="Times New Roman"/>
          <w:sz w:val="24"/>
          <w:szCs w:val="24"/>
        </w:rPr>
        <w:t xml:space="preserve"> 2000.</w:t>
      </w:r>
      <w:r w:rsidR="00F21464">
        <w:rPr>
          <w:rFonts w:ascii="Times New Roman" w:hAnsi="Times New Roman" w:cs="Times New Roman"/>
          <w:sz w:val="24"/>
          <w:szCs w:val="24"/>
        </w:rPr>
        <w:t xml:space="preserve"> teritorijas</w:t>
      </w:r>
      <w:r w:rsidRPr="00CA37FA">
        <w:rPr>
          <w:rFonts w:ascii="Times New Roman" w:hAnsi="Times New Roman" w:cs="Times New Roman"/>
          <w:sz w:val="24"/>
          <w:szCs w:val="24"/>
        </w:rPr>
        <w:t xml:space="preserve"> Tās ir īpaši aizsargājamās putnu sugas, kas iekļautas Putnu direktīvas I pielikumā. </w:t>
      </w:r>
      <w:proofErr w:type="spellStart"/>
      <w:r w:rsidRPr="00CA37FA">
        <w:rPr>
          <w:rFonts w:ascii="Times New Roman" w:hAnsi="Times New Roman" w:cs="Times New Roman"/>
          <w:sz w:val="24"/>
          <w:szCs w:val="24"/>
        </w:rPr>
        <w:t>Natura</w:t>
      </w:r>
      <w:proofErr w:type="spellEnd"/>
      <w:r w:rsidRPr="00CA37FA">
        <w:rPr>
          <w:rFonts w:ascii="Times New Roman" w:hAnsi="Times New Roman" w:cs="Times New Roman"/>
          <w:sz w:val="24"/>
          <w:szCs w:val="24"/>
        </w:rPr>
        <w:t xml:space="preserve"> 2000 teritorijas veidojamas arī nozīmīgās migrējošo putnu pulcēšanās vietās, arī tad, ja putnu suga nav iekļauta Putnu direktīvas I pielikumā. </w:t>
      </w:r>
      <w:proofErr w:type="spellStart"/>
      <w:r w:rsidR="00E33F2A" w:rsidRPr="00CA37FA">
        <w:rPr>
          <w:rFonts w:ascii="Times New Roman" w:hAnsi="Times New Roman" w:cs="Times New Roman"/>
          <w:sz w:val="24"/>
          <w:szCs w:val="24"/>
        </w:rPr>
        <w:t>Natura</w:t>
      </w:r>
      <w:proofErr w:type="spellEnd"/>
      <w:r w:rsidR="00E33F2A" w:rsidRPr="00CA37FA">
        <w:rPr>
          <w:rFonts w:ascii="Times New Roman" w:hAnsi="Times New Roman" w:cs="Times New Roman"/>
          <w:sz w:val="24"/>
          <w:szCs w:val="24"/>
        </w:rPr>
        <w:t xml:space="preserve"> 2000 teritorijas nav jāveido 161 putnu sugai. </w:t>
      </w:r>
      <w:r w:rsidR="006C12E0" w:rsidRPr="00CA37FA">
        <w:rPr>
          <w:rFonts w:ascii="Times New Roman" w:hAnsi="Times New Roman" w:cs="Times New Roman"/>
          <w:sz w:val="24"/>
          <w:szCs w:val="24"/>
        </w:rPr>
        <w:t xml:space="preserve">2. attēlā norādīts </w:t>
      </w:r>
      <w:r w:rsidR="00B15320" w:rsidRPr="00CA37FA">
        <w:rPr>
          <w:rFonts w:ascii="Times New Roman" w:hAnsi="Times New Roman" w:cs="Times New Roman"/>
          <w:sz w:val="24"/>
          <w:szCs w:val="24"/>
        </w:rPr>
        <w:lastRenderedPageBreak/>
        <w:t xml:space="preserve">putnu sugu skaits, kuru aizsardzībai jāveido </w:t>
      </w:r>
      <w:proofErr w:type="spellStart"/>
      <w:r w:rsidR="00B15320" w:rsidRPr="00CA37FA">
        <w:rPr>
          <w:rFonts w:ascii="Times New Roman" w:hAnsi="Times New Roman" w:cs="Times New Roman"/>
          <w:sz w:val="24"/>
          <w:szCs w:val="24"/>
        </w:rPr>
        <w:t>Natura</w:t>
      </w:r>
      <w:proofErr w:type="spellEnd"/>
      <w:r w:rsidR="00B15320" w:rsidRPr="00CA37FA">
        <w:rPr>
          <w:rFonts w:ascii="Times New Roman" w:hAnsi="Times New Roman" w:cs="Times New Roman"/>
          <w:sz w:val="24"/>
          <w:szCs w:val="24"/>
        </w:rPr>
        <w:t xml:space="preserve"> 2000 teritorijas, ņemot vērā, ka vienai un tai pašai sugai </w:t>
      </w:r>
      <w:proofErr w:type="spellStart"/>
      <w:r w:rsidR="00314CE8" w:rsidRPr="00CA37FA">
        <w:rPr>
          <w:rFonts w:ascii="Times New Roman" w:hAnsi="Times New Roman" w:cs="Times New Roman"/>
          <w:sz w:val="24"/>
          <w:szCs w:val="24"/>
        </w:rPr>
        <w:t>Natura</w:t>
      </w:r>
      <w:proofErr w:type="spellEnd"/>
      <w:r w:rsidR="00314CE8" w:rsidRPr="00CA37FA">
        <w:rPr>
          <w:rFonts w:ascii="Times New Roman" w:hAnsi="Times New Roman" w:cs="Times New Roman"/>
          <w:sz w:val="24"/>
          <w:szCs w:val="24"/>
        </w:rPr>
        <w:t xml:space="preserve"> 2000 teritorija varētu būt veidojama gan ligzdojošās, gan ziemojošas populācijas aizsardzībai. </w:t>
      </w:r>
    </w:p>
    <w:p w14:paraId="6BA7B231" w14:textId="1F607AA0" w:rsidR="009144D2" w:rsidRPr="00CA37FA" w:rsidRDefault="00FE3F7F" w:rsidP="00626A3E">
      <w:pPr>
        <w:ind w:left="360"/>
        <w:jc w:val="both"/>
        <w:rPr>
          <w:rFonts w:ascii="Times New Roman" w:hAnsi="Times New Roman" w:cs="Times New Roman"/>
          <w:sz w:val="24"/>
          <w:szCs w:val="24"/>
        </w:rPr>
      </w:pPr>
      <w:r w:rsidRPr="00CA37FA">
        <w:rPr>
          <w:rFonts w:ascii="Times New Roman" w:hAnsi="Times New Roman" w:cs="Times New Roman"/>
          <w:noProof/>
          <w:sz w:val="24"/>
          <w:szCs w:val="24"/>
        </w:rPr>
        <w:drawing>
          <wp:inline distT="0" distB="0" distL="0" distR="0" wp14:anchorId="46490E8F" wp14:editId="7D101471">
            <wp:extent cx="4572000" cy="2736850"/>
            <wp:effectExtent l="0" t="0" r="0" b="6350"/>
            <wp:docPr id="1481982181" name="Chart 1">
              <a:extLst xmlns:a="http://schemas.openxmlformats.org/drawingml/2006/main">
                <a:ext uri="{FF2B5EF4-FFF2-40B4-BE49-F238E27FC236}">
                  <a16:creationId xmlns:a16="http://schemas.microsoft.com/office/drawing/2014/main" id="{67180716-5C49-1D47-0B17-EDD6CDD7E3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316DBC" w14:textId="04166180" w:rsidR="009144D2" w:rsidRPr="00CA37FA" w:rsidRDefault="00E758E9" w:rsidP="00626A3E">
      <w:pPr>
        <w:ind w:left="360"/>
        <w:jc w:val="both"/>
        <w:rPr>
          <w:rFonts w:ascii="Times New Roman" w:hAnsi="Times New Roman" w:cs="Times New Roman"/>
          <w:i/>
          <w:sz w:val="24"/>
          <w:szCs w:val="24"/>
        </w:rPr>
      </w:pPr>
      <w:r w:rsidRPr="00CA37FA">
        <w:rPr>
          <w:rFonts w:ascii="Times New Roman" w:hAnsi="Times New Roman" w:cs="Times New Roman"/>
          <w:i/>
          <w:sz w:val="24"/>
          <w:szCs w:val="24"/>
        </w:rPr>
        <w:t>2. attēls. Putnu sug</w:t>
      </w:r>
      <w:r w:rsidR="00591DFB">
        <w:rPr>
          <w:rFonts w:ascii="Times New Roman" w:hAnsi="Times New Roman" w:cs="Times New Roman"/>
          <w:i/>
          <w:sz w:val="24"/>
          <w:szCs w:val="24"/>
        </w:rPr>
        <w:t>u skaits</w:t>
      </w:r>
      <w:r w:rsidRPr="00CA37FA">
        <w:rPr>
          <w:rFonts w:ascii="Times New Roman" w:hAnsi="Times New Roman" w:cs="Times New Roman"/>
          <w:i/>
          <w:sz w:val="24"/>
          <w:szCs w:val="24"/>
        </w:rPr>
        <w:t xml:space="preserve">, kuru aizsardzībai jāveido </w:t>
      </w:r>
      <w:proofErr w:type="spellStart"/>
      <w:r w:rsidRPr="00CA37FA">
        <w:rPr>
          <w:rFonts w:ascii="Times New Roman" w:hAnsi="Times New Roman" w:cs="Times New Roman"/>
          <w:i/>
          <w:sz w:val="24"/>
          <w:szCs w:val="24"/>
        </w:rPr>
        <w:t>Natura</w:t>
      </w:r>
      <w:proofErr w:type="spellEnd"/>
      <w:r w:rsidRPr="00CA37FA">
        <w:rPr>
          <w:rFonts w:ascii="Times New Roman" w:hAnsi="Times New Roman" w:cs="Times New Roman"/>
          <w:i/>
          <w:sz w:val="24"/>
          <w:szCs w:val="24"/>
        </w:rPr>
        <w:t xml:space="preserve"> 2000 teritorijas.</w:t>
      </w:r>
      <w:r w:rsidR="00E12E81" w:rsidRPr="00CA37FA">
        <w:rPr>
          <w:rFonts w:ascii="Times New Roman" w:hAnsi="Times New Roman" w:cs="Times New Roman"/>
          <w:i/>
          <w:sz w:val="24"/>
          <w:szCs w:val="24"/>
        </w:rPr>
        <w:t xml:space="preserve"> </w:t>
      </w:r>
    </w:p>
    <w:p w14:paraId="11BB2637" w14:textId="21590DBD" w:rsidR="009144D2" w:rsidRPr="00CA37FA" w:rsidRDefault="00E758E9" w:rsidP="00626A3E">
      <w:pPr>
        <w:ind w:left="360"/>
        <w:jc w:val="both"/>
        <w:rPr>
          <w:rFonts w:ascii="Times New Roman" w:hAnsi="Times New Roman" w:cs="Times New Roman"/>
          <w:sz w:val="24"/>
          <w:szCs w:val="24"/>
        </w:rPr>
      </w:pPr>
      <w:r w:rsidRPr="00CA37FA">
        <w:rPr>
          <w:rFonts w:ascii="Times New Roman" w:hAnsi="Times New Roman" w:cs="Times New Roman"/>
          <w:sz w:val="24"/>
          <w:szCs w:val="24"/>
        </w:rPr>
        <w:t>Par katru sugu tiek ziņoti šādi parametri, ciktāl attiecināms uz konkrēto sugu:</w:t>
      </w:r>
    </w:p>
    <w:p w14:paraId="56636B33" w14:textId="139EEB18" w:rsidR="00E758E9" w:rsidRPr="00CA37FA" w:rsidRDefault="00E758E9" w:rsidP="00626A3E">
      <w:pPr>
        <w:pStyle w:val="ListParagraph"/>
        <w:numPr>
          <w:ilvl w:val="0"/>
          <w:numId w:val="14"/>
        </w:numPr>
        <w:jc w:val="both"/>
      </w:pPr>
      <w:r w:rsidRPr="00CA37FA">
        <w:t>Sugas nosaukums;</w:t>
      </w:r>
    </w:p>
    <w:p w14:paraId="52ADAE91" w14:textId="456B262A" w:rsidR="00E758E9" w:rsidRPr="00CA37FA" w:rsidRDefault="00E758E9" w:rsidP="00626A3E">
      <w:pPr>
        <w:pStyle w:val="ListParagraph"/>
        <w:numPr>
          <w:ilvl w:val="0"/>
          <w:numId w:val="14"/>
        </w:numPr>
        <w:jc w:val="both"/>
      </w:pPr>
      <w:r w:rsidRPr="00CA37FA">
        <w:t>Populācijas lielums;</w:t>
      </w:r>
    </w:p>
    <w:p w14:paraId="3AA3E9BB" w14:textId="18324A6F" w:rsidR="00E758E9" w:rsidRPr="00CA37FA" w:rsidRDefault="00E758E9" w:rsidP="00626A3E">
      <w:pPr>
        <w:pStyle w:val="ListParagraph"/>
        <w:numPr>
          <w:ilvl w:val="0"/>
          <w:numId w:val="14"/>
        </w:numPr>
        <w:jc w:val="both"/>
      </w:pPr>
      <w:r w:rsidRPr="00CA37FA">
        <w:t>Populācijas lieluma īstermiņa un ilgtermiņa tendences;</w:t>
      </w:r>
    </w:p>
    <w:p w14:paraId="5C5E5372" w14:textId="5851FDEF" w:rsidR="00E758E9" w:rsidRPr="00CA37FA" w:rsidRDefault="00E758E9" w:rsidP="00626A3E">
      <w:pPr>
        <w:pStyle w:val="ListParagraph"/>
        <w:numPr>
          <w:ilvl w:val="0"/>
          <w:numId w:val="14"/>
        </w:numPr>
        <w:jc w:val="both"/>
      </w:pPr>
      <w:r w:rsidRPr="00CA37FA">
        <w:t>Ligzdošanas (izplatības lielums, karte);</w:t>
      </w:r>
    </w:p>
    <w:p w14:paraId="5C87A259" w14:textId="3F908FEC" w:rsidR="00E758E9" w:rsidRPr="00CA37FA" w:rsidRDefault="00E758E9" w:rsidP="00626A3E">
      <w:pPr>
        <w:pStyle w:val="ListParagraph"/>
        <w:numPr>
          <w:ilvl w:val="0"/>
          <w:numId w:val="14"/>
        </w:numPr>
        <w:jc w:val="both"/>
      </w:pPr>
      <w:r w:rsidRPr="00CA37FA">
        <w:t>Ligzdošanas izplatības tendences;</w:t>
      </w:r>
    </w:p>
    <w:p w14:paraId="27EE361D" w14:textId="6E88F1A9" w:rsidR="00E758E9" w:rsidRPr="00CA37FA" w:rsidRDefault="00E758E9" w:rsidP="00626A3E">
      <w:pPr>
        <w:pStyle w:val="ListParagraph"/>
        <w:numPr>
          <w:ilvl w:val="0"/>
          <w:numId w:val="14"/>
        </w:numPr>
        <w:jc w:val="both"/>
      </w:pPr>
      <w:r w:rsidRPr="00CA37FA">
        <w:t xml:space="preserve">Progress aizsargājamo teritoriju veidošanā un apsaimniekošanā putnu sugu aizsardzībai, aizsargājamo teritoriju </w:t>
      </w:r>
      <w:r w:rsidR="008231B2" w:rsidRPr="00CA37FA">
        <w:t>dabas aizsardzības</w:t>
      </w:r>
      <w:r w:rsidRPr="00CA37FA">
        <w:t xml:space="preserve"> plānu izstrāde;</w:t>
      </w:r>
    </w:p>
    <w:p w14:paraId="366EFC0D" w14:textId="3A0764F8" w:rsidR="00E758E9" w:rsidRPr="00CA37FA" w:rsidRDefault="00E758E9" w:rsidP="00626A3E">
      <w:pPr>
        <w:pStyle w:val="ListParagraph"/>
        <w:numPr>
          <w:ilvl w:val="0"/>
          <w:numId w:val="14"/>
        </w:numPr>
        <w:jc w:val="both"/>
      </w:pPr>
      <w:r w:rsidRPr="00CA37FA">
        <w:t>Galvenie apdraudošie faktori;</w:t>
      </w:r>
    </w:p>
    <w:p w14:paraId="48B94AF8" w14:textId="632D867A" w:rsidR="00E758E9" w:rsidRPr="00CA37FA" w:rsidRDefault="00E758E9" w:rsidP="00626A3E">
      <w:pPr>
        <w:pStyle w:val="ListParagraph"/>
        <w:numPr>
          <w:ilvl w:val="0"/>
          <w:numId w:val="14"/>
        </w:numPr>
        <w:jc w:val="both"/>
      </w:pPr>
      <w:r w:rsidRPr="00CA37FA">
        <w:t>Veiktie aizsardzības pasākumi;</w:t>
      </w:r>
    </w:p>
    <w:p w14:paraId="648CDCBF" w14:textId="675C3F1A" w:rsidR="00E758E9" w:rsidRPr="00CA37FA" w:rsidRDefault="00E758E9" w:rsidP="00626A3E">
      <w:pPr>
        <w:pStyle w:val="ListParagraph"/>
        <w:numPr>
          <w:ilvl w:val="0"/>
          <w:numId w:val="14"/>
        </w:numPr>
        <w:jc w:val="both"/>
      </w:pPr>
      <w:proofErr w:type="spellStart"/>
      <w:r w:rsidRPr="00CA37FA">
        <w:t>Natura</w:t>
      </w:r>
      <w:proofErr w:type="spellEnd"/>
      <w:r w:rsidRPr="00CA37FA">
        <w:t xml:space="preserve"> 2000</w:t>
      </w:r>
      <w:r w:rsidR="00DE757F">
        <w:t xml:space="preserve"> teritoriju</w:t>
      </w:r>
      <w:r w:rsidRPr="00CA37FA">
        <w:t xml:space="preserve"> pārklājums;</w:t>
      </w:r>
    </w:p>
    <w:p w14:paraId="7FA6D29C" w14:textId="576CA3EE" w:rsidR="00E758E9" w:rsidRPr="00CA37FA" w:rsidRDefault="00E758E9" w:rsidP="00626A3E">
      <w:pPr>
        <w:pStyle w:val="ListParagraph"/>
        <w:numPr>
          <w:ilvl w:val="0"/>
          <w:numId w:val="14"/>
        </w:numPr>
        <w:jc w:val="both"/>
      </w:pPr>
      <w:r w:rsidRPr="00CA37FA">
        <w:t xml:space="preserve">Informācija par sugas izmantošanu. </w:t>
      </w:r>
    </w:p>
    <w:p w14:paraId="1B3FF4F0" w14:textId="77777777" w:rsidR="00E758E9" w:rsidRPr="00CA37FA" w:rsidRDefault="00E758E9" w:rsidP="00626A3E">
      <w:pPr>
        <w:ind w:left="360"/>
        <w:jc w:val="both"/>
        <w:rPr>
          <w:rFonts w:ascii="Times New Roman" w:hAnsi="Times New Roman" w:cs="Times New Roman"/>
          <w:sz w:val="24"/>
          <w:szCs w:val="24"/>
        </w:rPr>
      </w:pPr>
    </w:p>
    <w:p w14:paraId="682F6A29" w14:textId="29364640" w:rsidR="00EE7F27" w:rsidRPr="00CA37FA" w:rsidRDefault="00E139B9" w:rsidP="00BA2503">
      <w:pPr>
        <w:ind w:left="360" w:firstLine="633"/>
        <w:jc w:val="both"/>
        <w:rPr>
          <w:rFonts w:ascii="Times New Roman" w:hAnsi="Times New Roman" w:cs="Times New Roman"/>
          <w:sz w:val="24"/>
          <w:szCs w:val="24"/>
        </w:rPr>
      </w:pPr>
      <w:r w:rsidRPr="00CA37FA">
        <w:rPr>
          <w:rFonts w:ascii="Times New Roman" w:hAnsi="Times New Roman" w:cs="Times New Roman"/>
          <w:sz w:val="24"/>
          <w:szCs w:val="24"/>
        </w:rPr>
        <w:t>Populācijas lieluma aplēses jābalsta uz iespējami precīzākām uzskaitēm vai monitoringa datiem. Tā kā uzskaites periods valstī var atšķirties no ziņojuma pārskata perioda, tad uzskaitēs un monitoringā iegūtie dati ir jāpārrēķina uz atbilstošo pārskata periodu (201</w:t>
      </w:r>
      <w:r w:rsidR="00C12C03" w:rsidRPr="00CA37FA">
        <w:rPr>
          <w:rFonts w:ascii="Times New Roman" w:hAnsi="Times New Roman" w:cs="Times New Roman"/>
          <w:sz w:val="24"/>
          <w:szCs w:val="24"/>
        </w:rPr>
        <w:t>9</w:t>
      </w:r>
      <w:r w:rsidRPr="00CA37FA">
        <w:rPr>
          <w:rFonts w:ascii="Times New Roman" w:hAnsi="Times New Roman" w:cs="Times New Roman"/>
          <w:sz w:val="24"/>
          <w:szCs w:val="24"/>
        </w:rPr>
        <w:t>.-20</w:t>
      </w:r>
      <w:r w:rsidR="00C12C03" w:rsidRPr="00CA37FA">
        <w:rPr>
          <w:rFonts w:ascii="Times New Roman" w:hAnsi="Times New Roman" w:cs="Times New Roman"/>
          <w:sz w:val="24"/>
          <w:szCs w:val="24"/>
        </w:rPr>
        <w:t>24</w:t>
      </w:r>
      <w:r w:rsidRPr="00CA37FA">
        <w:rPr>
          <w:rFonts w:ascii="Times New Roman" w:hAnsi="Times New Roman" w:cs="Times New Roman"/>
          <w:sz w:val="24"/>
          <w:szCs w:val="24"/>
        </w:rPr>
        <w:t xml:space="preserve">. gads). </w:t>
      </w:r>
      <w:r w:rsidR="003D4532" w:rsidRPr="00CA37FA">
        <w:rPr>
          <w:rFonts w:ascii="Times New Roman" w:hAnsi="Times New Roman" w:cs="Times New Roman"/>
          <w:sz w:val="24"/>
          <w:szCs w:val="24"/>
        </w:rPr>
        <w:t>Ziņojumā l</w:t>
      </w:r>
      <w:r w:rsidRPr="00CA37FA">
        <w:rPr>
          <w:rFonts w:ascii="Times New Roman" w:hAnsi="Times New Roman" w:cs="Times New Roman"/>
          <w:sz w:val="24"/>
          <w:szCs w:val="24"/>
        </w:rPr>
        <w:t>igzdojošo putnu populācijas lieluma mērvienība ir pāris, migrējošo putnu populācijas uzskaites mērvienība ir īpatņi. Izņēmums ir tās putnu sugas, kur uzskaites precīzāk var veikt, balstoties uz putnu sugas ekoloģiskajām īpatnībām (piem</w:t>
      </w:r>
      <w:r w:rsidR="00F655B6" w:rsidRPr="00CA37FA">
        <w:rPr>
          <w:rFonts w:ascii="Times New Roman" w:hAnsi="Times New Roman" w:cs="Times New Roman"/>
          <w:sz w:val="24"/>
          <w:szCs w:val="24"/>
        </w:rPr>
        <w:t xml:space="preserve">., </w:t>
      </w:r>
      <w:r w:rsidRPr="00CA37FA">
        <w:rPr>
          <w:rFonts w:ascii="Times New Roman" w:hAnsi="Times New Roman" w:cs="Times New Roman"/>
          <w:sz w:val="24"/>
          <w:szCs w:val="24"/>
        </w:rPr>
        <w:t xml:space="preserve"> dziedošo tēviņu skaits, u.tml.). </w:t>
      </w:r>
      <w:r w:rsidR="00874986" w:rsidRPr="00CA37FA">
        <w:rPr>
          <w:rFonts w:ascii="Times New Roman" w:hAnsi="Times New Roman" w:cs="Times New Roman"/>
          <w:sz w:val="24"/>
          <w:szCs w:val="24"/>
        </w:rPr>
        <w:t xml:space="preserve">Populācijas lielums ziņojumā tiek norādīts vai nu kā aplēses par iespējamo minimālo un maksimālo lielumu, vai kā precīzs skaits, ja tas ir iespējams. </w:t>
      </w:r>
    </w:p>
    <w:p w14:paraId="17A9C6AD" w14:textId="3031B7B5" w:rsidR="008440A7" w:rsidRPr="00CA37FA" w:rsidRDefault="005E06D9" w:rsidP="00BA2503">
      <w:pPr>
        <w:ind w:left="360" w:firstLine="633"/>
        <w:jc w:val="both"/>
        <w:rPr>
          <w:rFonts w:ascii="Times New Roman" w:hAnsi="Times New Roman" w:cs="Times New Roman"/>
          <w:sz w:val="24"/>
          <w:szCs w:val="24"/>
        </w:rPr>
      </w:pPr>
      <w:r w:rsidRPr="00CA37FA">
        <w:rPr>
          <w:rFonts w:ascii="Times New Roman" w:hAnsi="Times New Roman" w:cs="Times New Roman"/>
          <w:sz w:val="24"/>
          <w:szCs w:val="24"/>
        </w:rPr>
        <w:lastRenderedPageBreak/>
        <w:t xml:space="preserve">Populācijas lielumam tiek vērtētas īstermiņa un ilgtermiņa tendences. </w:t>
      </w:r>
      <w:r w:rsidR="008440A7" w:rsidRPr="00CA37FA">
        <w:rPr>
          <w:rFonts w:ascii="Times New Roman" w:hAnsi="Times New Roman" w:cs="Times New Roman"/>
          <w:sz w:val="24"/>
          <w:szCs w:val="24"/>
        </w:rPr>
        <w:t>Populācijas lieluma ī</w:t>
      </w:r>
      <w:r w:rsidR="009078DE" w:rsidRPr="00CA37FA">
        <w:rPr>
          <w:rFonts w:ascii="Times New Roman" w:hAnsi="Times New Roman" w:cs="Times New Roman"/>
          <w:sz w:val="24"/>
          <w:szCs w:val="24"/>
        </w:rPr>
        <w:t>stermiņa tendences tiek noteiktas 12 gadu periodam, kas atbilst diviem ziņošanas pārskata periodiem. Tas nozīmē, ka ziņojumā iekļautās īstermiņa tendences attiecas uz  20</w:t>
      </w:r>
      <w:r w:rsidR="008301F6" w:rsidRPr="00CA37FA">
        <w:rPr>
          <w:rFonts w:ascii="Times New Roman" w:hAnsi="Times New Roman" w:cs="Times New Roman"/>
          <w:sz w:val="24"/>
          <w:szCs w:val="24"/>
        </w:rPr>
        <w:t>1</w:t>
      </w:r>
      <w:r w:rsidR="00401E68" w:rsidRPr="00CA37FA">
        <w:rPr>
          <w:rFonts w:ascii="Times New Roman" w:hAnsi="Times New Roman" w:cs="Times New Roman"/>
          <w:sz w:val="24"/>
          <w:szCs w:val="24"/>
        </w:rPr>
        <w:t>3</w:t>
      </w:r>
      <w:r w:rsidR="009078DE" w:rsidRPr="00CA37FA">
        <w:rPr>
          <w:rFonts w:ascii="Times New Roman" w:hAnsi="Times New Roman" w:cs="Times New Roman"/>
          <w:sz w:val="24"/>
          <w:szCs w:val="24"/>
        </w:rPr>
        <w:t>.-20</w:t>
      </w:r>
      <w:r w:rsidR="008301F6" w:rsidRPr="00CA37FA">
        <w:rPr>
          <w:rFonts w:ascii="Times New Roman" w:hAnsi="Times New Roman" w:cs="Times New Roman"/>
          <w:sz w:val="24"/>
          <w:szCs w:val="24"/>
        </w:rPr>
        <w:t>24</w:t>
      </w:r>
      <w:r w:rsidR="009078DE" w:rsidRPr="00CA37FA">
        <w:rPr>
          <w:rFonts w:ascii="Times New Roman" w:hAnsi="Times New Roman" w:cs="Times New Roman"/>
          <w:sz w:val="24"/>
          <w:szCs w:val="24"/>
        </w:rPr>
        <w:t xml:space="preserve">. gadu. </w:t>
      </w:r>
      <w:r w:rsidRPr="00CA37FA">
        <w:rPr>
          <w:rFonts w:ascii="Times New Roman" w:hAnsi="Times New Roman" w:cs="Times New Roman"/>
          <w:sz w:val="24"/>
          <w:szCs w:val="24"/>
        </w:rPr>
        <w:t xml:space="preserve">Savukārt populācijas ilgtermiņa tendences jāvērtē, par sākuma gadu izvēloties gadu, kad veiktas agrākās putnu uzskaites. </w:t>
      </w:r>
      <w:r w:rsidR="009B4809" w:rsidRPr="00CA37FA">
        <w:rPr>
          <w:rFonts w:ascii="Times New Roman" w:hAnsi="Times New Roman" w:cs="Times New Roman"/>
          <w:sz w:val="24"/>
          <w:szCs w:val="24"/>
        </w:rPr>
        <w:t xml:space="preserve">Ziņojumā, atkarībā no sugas izpētes sākuma,  ilgtermiņa tendences sākuma gads atšķirīgām sugām ir atšķirīgs (1980., 1991., 2000. vai vēlāki gadi). </w:t>
      </w:r>
    </w:p>
    <w:p w14:paraId="0C85BB3E" w14:textId="6737A9D2" w:rsidR="009078DE" w:rsidRPr="00CA37FA" w:rsidRDefault="008440A7" w:rsidP="00BA2503">
      <w:pPr>
        <w:ind w:left="360" w:firstLine="633"/>
        <w:jc w:val="both"/>
        <w:rPr>
          <w:rFonts w:ascii="Times New Roman" w:hAnsi="Times New Roman" w:cs="Times New Roman"/>
          <w:sz w:val="24"/>
          <w:szCs w:val="24"/>
        </w:rPr>
      </w:pPr>
      <w:r w:rsidRPr="00CA37FA">
        <w:rPr>
          <w:rFonts w:ascii="Times New Roman" w:hAnsi="Times New Roman" w:cs="Times New Roman"/>
          <w:sz w:val="24"/>
          <w:szCs w:val="24"/>
        </w:rPr>
        <w:t>Populācijas</w:t>
      </w:r>
      <w:r w:rsidR="00124A96" w:rsidRPr="00CA37FA">
        <w:rPr>
          <w:rFonts w:ascii="Times New Roman" w:hAnsi="Times New Roman" w:cs="Times New Roman"/>
          <w:sz w:val="24"/>
          <w:szCs w:val="24"/>
        </w:rPr>
        <w:t xml:space="preserve"> </w:t>
      </w:r>
      <w:r w:rsidRPr="00CA37FA">
        <w:rPr>
          <w:rFonts w:ascii="Times New Roman" w:hAnsi="Times New Roman" w:cs="Times New Roman"/>
          <w:sz w:val="24"/>
          <w:szCs w:val="24"/>
        </w:rPr>
        <w:t>lielumam</w:t>
      </w:r>
      <w:r w:rsidR="00124A96" w:rsidRPr="00CA37FA">
        <w:rPr>
          <w:rFonts w:ascii="Times New Roman" w:hAnsi="Times New Roman" w:cs="Times New Roman"/>
          <w:sz w:val="24"/>
          <w:szCs w:val="24"/>
        </w:rPr>
        <w:t xml:space="preserve"> iespējami šādi </w:t>
      </w:r>
      <w:r w:rsidRPr="00CA37FA">
        <w:rPr>
          <w:rFonts w:ascii="Times New Roman" w:hAnsi="Times New Roman" w:cs="Times New Roman"/>
          <w:sz w:val="24"/>
          <w:szCs w:val="24"/>
        </w:rPr>
        <w:t>tendences vērtējumi</w:t>
      </w:r>
      <w:r w:rsidR="00124A96" w:rsidRPr="00CA37FA">
        <w:rPr>
          <w:rFonts w:ascii="Times New Roman" w:hAnsi="Times New Roman" w:cs="Times New Roman"/>
          <w:sz w:val="24"/>
          <w:szCs w:val="24"/>
        </w:rPr>
        <w:t>:</w:t>
      </w:r>
    </w:p>
    <w:p w14:paraId="2B66B299" w14:textId="4D76B0A0" w:rsidR="00124A96" w:rsidRPr="00CA37FA" w:rsidRDefault="00124A96" w:rsidP="00626A3E">
      <w:pPr>
        <w:pStyle w:val="ListParagraph"/>
        <w:numPr>
          <w:ilvl w:val="0"/>
          <w:numId w:val="15"/>
        </w:numPr>
        <w:jc w:val="both"/>
      </w:pPr>
      <w:r w:rsidRPr="00CA37FA">
        <w:t>Stabil</w:t>
      </w:r>
      <w:r w:rsidR="008440A7" w:rsidRPr="00CA37FA">
        <w:t>s</w:t>
      </w:r>
      <w:r w:rsidRPr="00CA37FA">
        <w:t xml:space="preserve"> – populācijas lieluma svārstības pārskata periodā ir  statistiski nebūtiskas</w:t>
      </w:r>
      <w:r w:rsidR="008440A7" w:rsidRPr="00CA37FA">
        <w:t>;</w:t>
      </w:r>
      <w:r w:rsidRPr="00CA37FA">
        <w:t xml:space="preserve"> </w:t>
      </w:r>
    </w:p>
    <w:p w14:paraId="53D9490E" w14:textId="6129C298" w:rsidR="00124A96" w:rsidRPr="00CA37FA" w:rsidRDefault="00124A96" w:rsidP="00626A3E">
      <w:pPr>
        <w:pStyle w:val="ListParagraph"/>
        <w:numPr>
          <w:ilvl w:val="0"/>
          <w:numId w:val="15"/>
        </w:numPr>
        <w:jc w:val="both"/>
      </w:pPr>
      <w:r w:rsidRPr="00CA37FA">
        <w:t>Pieaugoš</w:t>
      </w:r>
      <w:r w:rsidR="008440A7" w:rsidRPr="00CA37FA">
        <w:t>s</w:t>
      </w:r>
      <w:r w:rsidRPr="00CA37FA">
        <w:t xml:space="preserve"> -  populācijas lielums pārskata periodā ir pieaudzis p</w:t>
      </w:r>
      <w:r w:rsidR="008440A7" w:rsidRPr="00CA37FA">
        <w:t>ar vismaz 10%</w:t>
      </w:r>
      <w:r w:rsidR="00F655B6" w:rsidRPr="00CA37FA">
        <w:t xml:space="preserve"> </w:t>
      </w:r>
      <w:r w:rsidR="009B4809" w:rsidRPr="00CA37FA">
        <w:t>(īstermiņa tendences vērtējumam) vai 20% (ilgtermiņa tendences vērtējumam);</w:t>
      </w:r>
    </w:p>
    <w:p w14:paraId="339F557B" w14:textId="353303E9" w:rsidR="008440A7" w:rsidRPr="00CA37FA" w:rsidRDefault="008440A7" w:rsidP="00626A3E">
      <w:pPr>
        <w:pStyle w:val="ListParagraph"/>
        <w:numPr>
          <w:ilvl w:val="0"/>
          <w:numId w:val="15"/>
        </w:numPr>
        <w:jc w:val="both"/>
      </w:pPr>
      <w:r w:rsidRPr="00CA37FA">
        <w:t>Samazinās - populācijas lielums pārskata periodā ir samazinājies par vismaz 10%</w:t>
      </w:r>
      <w:r w:rsidR="005E06D9" w:rsidRPr="00CA37FA">
        <w:t xml:space="preserve"> (īstermiņa tendences vērtējumam) vai 20% (ilgtermiņa tendences vērtējumam)</w:t>
      </w:r>
      <w:r w:rsidRPr="00CA37FA">
        <w:t>;</w:t>
      </w:r>
    </w:p>
    <w:p w14:paraId="7CFFD80E" w14:textId="1DA9B018" w:rsidR="008440A7" w:rsidRPr="00CA37FA" w:rsidRDefault="008440A7" w:rsidP="00626A3E">
      <w:pPr>
        <w:pStyle w:val="ListParagraph"/>
        <w:numPr>
          <w:ilvl w:val="0"/>
          <w:numId w:val="15"/>
        </w:numPr>
        <w:jc w:val="both"/>
      </w:pPr>
      <w:r w:rsidRPr="00CA37FA">
        <w:t>Svārstīgs – sugām, kurām ekoloģiski ir raksturīgas lielas populāciju svārstības pa gadiem, kas var būt saistītas ar pārtikas pieejamību, ziemošanas apstākļiem, u.tml. Šāds tendences vērtējums attiecas uz sugām, kur populācijas lielums pa gadiem var svārstīties par 50%;</w:t>
      </w:r>
    </w:p>
    <w:p w14:paraId="66F5972C" w14:textId="7CFE15F8" w:rsidR="008440A7" w:rsidRPr="00CA37FA" w:rsidRDefault="008440A7" w:rsidP="00626A3E">
      <w:pPr>
        <w:pStyle w:val="ListParagraph"/>
        <w:numPr>
          <w:ilvl w:val="0"/>
          <w:numId w:val="15"/>
        </w:numPr>
        <w:jc w:val="both"/>
      </w:pPr>
      <w:r w:rsidRPr="00CA37FA">
        <w:t>Neskaidrs – monitoringa un uzskaites dati nav pietiekami, lai novērtētu tendenci;</w:t>
      </w:r>
    </w:p>
    <w:p w14:paraId="5CC8E9FB" w14:textId="76D5A69B" w:rsidR="008440A7" w:rsidRPr="00CA37FA" w:rsidRDefault="008440A7" w:rsidP="00626A3E">
      <w:pPr>
        <w:pStyle w:val="ListParagraph"/>
        <w:numPr>
          <w:ilvl w:val="0"/>
          <w:numId w:val="15"/>
        </w:numPr>
        <w:jc w:val="both"/>
      </w:pPr>
      <w:r w:rsidRPr="00CA37FA">
        <w:t>Nav datu – monitoringa vai uzskaites datu nav</w:t>
      </w:r>
      <w:r w:rsidR="002B06F5" w:rsidRPr="00CA37FA">
        <w:t xml:space="preserve">, līdz ar to nav iespējams novērtēt </w:t>
      </w:r>
      <w:r w:rsidR="004D1B8C" w:rsidRPr="00CA37FA">
        <w:t>populācijas lieluma īstermiņa vai ilgtermiņa tendences</w:t>
      </w:r>
      <w:r w:rsidRPr="00CA37FA">
        <w:t xml:space="preserve">. </w:t>
      </w:r>
    </w:p>
    <w:p w14:paraId="163DF60C" w14:textId="56BFAC2E" w:rsidR="008440A7" w:rsidRPr="00CA37FA" w:rsidRDefault="008440A7" w:rsidP="00626A3E">
      <w:pPr>
        <w:jc w:val="both"/>
        <w:rPr>
          <w:rFonts w:ascii="Times New Roman" w:hAnsi="Times New Roman" w:cs="Times New Roman"/>
          <w:sz w:val="24"/>
          <w:szCs w:val="24"/>
        </w:rPr>
      </w:pPr>
    </w:p>
    <w:p w14:paraId="123D4F02" w14:textId="2B3DB974" w:rsidR="00590DC4" w:rsidRPr="00CA37FA" w:rsidRDefault="00F655B6" w:rsidP="00BA2503">
      <w:pPr>
        <w:ind w:firstLine="709"/>
        <w:jc w:val="both"/>
        <w:rPr>
          <w:rFonts w:ascii="Times New Roman" w:hAnsi="Times New Roman" w:cs="Times New Roman"/>
          <w:sz w:val="24"/>
          <w:szCs w:val="24"/>
        </w:rPr>
      </w:pPr>
      <w:r w:rsidRPr="00CA37FA">
        <w:rPr>
          <w:rFonts w:ascii="Times New Roman" w:hAnsi="Times New Roman" w:cs="Times New Roman"/>
          <w:sz w:val="24"/>
          <w:szCs w:val="24"/>
        </w:rPr>
        <w:t>Katrai ligzdojošai sugai tiek novērtēts arī ligzdošanas areāls valstī, tai skaitā tā stabilitāte, pēc tādiem pašiem parametriem kā populācijas tendence</w:t>
      </w:r>
      <w:r w:rsidR="00073E6C" w:rsidRPr="00CA37FA">
        <w:rPr>
          <w:rFonts w:ascii="Times New Roman" w:hAnsi="Times New Roman" w:cs="Times New Roman"/>
          <w:sz w:val="24"/>
          <w:szCs w:val="24"/>
        </w:rPr>
        <w:t>s</w:t>
      </w:r>
      <w:r w:rsidRPr="00CA37FA">
        <w:rPr>
          <w:rFonts w:ascii="Times New Roman" w:hAnsi="Times New Roman" w:cs="Times New Roman"/>
          <w:sz w:val="24"/>
          <w:szCs w:val="24"/>
        </w:rPr>
        <w:t xml:space="preserve">. </w:t>
      </w:r>
    </w:p>
    <w:p w14:paraId="35276C11" w14:textId="77777777" w:rsidR="008231B2" w:rsidRPr="00CA37FA" w:rsidRDefault="008231B2" w:rsidP="00626A3E">
      <w:pPr>
        <w:jc w:val="both"/>
        <w:rPr>
          <w:rFonts w:ascii="Times New Roman" w:eastAsiaTheme="minorEastAsia" w:hAnsi="Times New Roman" w:cs="Times New Roman"/>
          <w:sz w:val="24"/>
          <w:szCs w:val="24"/>
        </w:rPr>
      </w:pPr>
    </w:p>
    <w:p w14:paraId="5AC00028" w14:textId="0AC15004" w:rsidR="008231B2" w:rsidRPr="00CA37FA" w:rsidRDefault="008231B2" w:rsidP="00626A3E">
      <w:pPr>
        <w:jc w:val="both"/>
        <w:rPr>
          <w:rFonts w:ascii="Times New Roman" w:eastAsiaTheme="minorEastAsia" w:hAnsi="Times New Roman" w:cs="Times New Roman"/>
          <w:b/>
          <w:sz w:val="24"/>
          <w:szCs w:val="24"/>
        </w:rPr>
      </w:pPr>
      <w:r w:rsidRPr="00CA37FA">
        <w:rPr>
          <w:rFonts w:ascii="Times New Roman" w:eastAsiaTheme="minorEastAsia" w:hAnsi="Times New Roman" w:cs="Times New Roman"/>
          <w:b/>
          <w:sz w:val="24"/>
          <w:szCs w:val="24"/>
        </w:rPr>
        <w:t>Kopsavilkums par sugu populāciju tendencēm</w:t>
      </w:r>
    </w:p>
    <w:p w14:paraId="6C9D13B1" w14:textId="0F2F873D" w:rsidR="00A9022E" w:rsidRPr="00CA37FA" w:rsidRDefault="00A9022E" w:rsidP="00BA2503">
      <w:pPr>
        <w:ind w:firstLine="709"/>
        <w:jc w:val="both"/>
        <w:rPr>
          <w:rFonts w:ascii="Times New Roman" w:eastAsiaTheme="minorEastAsia" w:hAnsi="Times New Roman" w:cs="Times New Roman"/>
          <w:sz w:val="24"/>
          <w:szCs w:val="24"/>
        </w:rPr>
      </w:pPr>
      <w:r w:rsidRPr="00CA37FA">
        <w:rPr>
          <w:rFonts w:ascii="Times New Roman" w:eastAsiaTheme="minorEastAsia" w:hAnsi="Times New Roman" w:cs="Times New Roman"/>
          <w:sz w:val="24"/>
          <w:szCs w:val="24"/>
        </w:rPr>
        <w:t xml:space="preserve">Ziņojumā iekļauts </w:t>
      </w:r>
      <w:r w:rsidR="002F2EA8">
        <w:rPr>
          <w:rFonts w:ascii="Times New Roman" w:eastAsiaTheme="minorEastAsia" w:hAnsi="Times New Roman" w:cs="Times New Roman"/>
          <w:sz w:val="24"/>
          <w:szCs w:val="24"/>
        </w:rPr>
        <w:t xml:space="preserve">populācijas tendenču </w:t>
      </w:r>
      <w:r w:rsidRPr="00CA37FA">
        <w:rPr>
          <w:rFonts w:ascii="Times New Roman" w:eastAsiaTheme="minorEastAsia" w:hAnsi="Times New Roman" w:cs="Times New Roman"/>
          <w:sz w:val="24"/>
          <w:szCs w:val="24"/>
        </w:rPr>
        <w:t xml:space="preserve">vērtējums par 218 putnu sugām. </w:t>
      </w:r>
      <w:r w:rsidR="002F2EA8">
        <w:rPr>
          <w:rFonts w:ascii="Times New Roman" w:eastAsiaTheme="minorEastAsia" w:hAnsi="Times New Roman" w:cs="Times New Roman"/>
          <w:sz w:val="24"/>
          <w:szCs w:val="24"/>
        </w:rPr>
        <w:t xml:space="preserve">Populācijas tendences datu trūkuma dēļ nav iespējams aplēst </w:t>
      </w:r>
      <w:proofErr w:type="spellStart"/>
      <w:r w:rsidR="002F2EA8">
        <w:rPr>
          <w:rFonts w:ascii="Times New Roman" w:eastAsiaTheme="minorEastAsia" w:hAnsi="Times New Roman" w:cs="Times New Roman"/>
          <w:sz w:val="24"/>
          <w:szCs w:val="24"/>
        </w:rPr>
        <w:t>caurceļojošām</w:t>
      </w:r>
      <w:proofErr w:type="spellEnd"/>
      <w:r w:rsidR="002F2EA8">
        <w:rPr>
          <w:rFonts w:ascii="Times New Roman" w:eastAsiaTheme="minorEastAsia" w:hAnsi="Times New Roman" w:cs="Times New Roman"/>
          <w:sz w:val="24"/>
          <w:szCs w:val="24"/>
        </w:rPr>
        <w:t xml:space="preserve"> (migrējošām) putnu sugām. Šīm sugām ir vērtēts tikai populācijas lielums.  </w:t>
      </w:r>
      <w:r w:rsidRPr="00CA37FA">
        <w:rPr>
          <w:rFonts w:ascii="Times New Roman" w:eastAsiaTheme="minorEastAsia" w:hAnsi="Times New Roman" w:cs="Times New Roman"/>
          <w:sz w:val="24"/>
          <w:szCs w:val="24"/>
        </w:rPr>
        <w:t xml:space="preserve">Populācijas tendenču vērtējums attēlots </w:t>
      </w:r>
      <w:r w:rsidR="00E51CD1" w:rsidRPr="00CA37FA">
        <w:rPr>
          <w:rFonts w:ascii="Times New Roman" w:eastAsiaTheme="minorEastAsia" w:hAnsi="Times New Roman" w:cs="Times New Roman"/>
          <w:sz w:val="24"/>
          <w:szCs w:val="24"/>
        </w:rPr>
        <w:t xml:space="preserve">no </w:t>
      </w:r>
      <w:r w:rsidR="00907512" w:rsidRPr="00CA37FA">
        <w:rPr>
          <w:rFonts w:ascii="Times New Roman" w:eastAsiaTheme="minorEastAsia" w:hAnsi="Times New Roman" w:cs="Times New Roman"/>
          <w:sz w:val="24"/>
          <w:szCs w:val="24"/>
        </w:rPr>
        <w:t>3</w:t>
      </w:r>
      <w:r w:rsidRPr="00CA37FA">
        <w:rPr>
          <w:rFonts w:ascii="Times New Roman" w:eastAsiaTheme="minorEastAsia" w:hAnsi="Times New Roman" w:cs="Times New Roman"/>
          <w:sz w:val="24"/>
          <w:szCs w:val="24"/>
        </w:rPr>
        <w:t>.</w:t>
      </w:r>
      <w:r w:rsidR="00E51CD1" w:rsidRPr="00CA37FA">
        <w:rPr>
          <w:rFonts w:ascii="Times New Roman" w:eastAsiaTheme="minorEastAsia" w:hAnsi="Times New Roman" w:cs="Times New Roman"/>
          <w:sz w:val="24"/>
          <w:szCs w:val="24"/>
        </w:rPr>
        <w:t xml:space="preserve"> </w:t>
      </w:r>
      <w:r w:rsidRPr="00CA37FA">
        <w:rPr>
          <w:rFonts w:ascii="Times New Roman" w:eastAsiaTheme="minorEastAsia" w:hAnsi="Times New Roman" w:cs="Times New Roman"/>
          <w:sz w:val="24"/>
          <w:szCs w:val="24"/>
        </w:rPr>
        <w:t xml:space="preserve">līdz </w:t>
      </w:r>
      <w:r w:rsidR="00907512" w:rsidRPr="00CA37FA">
        <w:rPr>
          <w:rFonts w:ascii="Times New Roman" w:eastAsiaTheme="minorEastAsia" w:hAnsi="Times New Roman" w:cs="Times New Roman"/>
          <w:sz w:val="24"/>
          <w:szCs w:val="24"/>
        </w:rPr>
        <w:t>5</w:t>
      </w:r>
      <w:r w:rsidRPr="00CA37FA">
        <w:rPr>
          <w:rFonts w:ascii="Times New Roman" w:eastAsiaTheme="minorEastAsia" w:hAnsi="Times New Roman" w:cs="Times New Roman"/>
          <w:sz w:val="24"/>
          <w:szCs w:val="24"/>
        </w:rPr>
        <w:t xml:space="preserve">. </w:t>
      </w:r>
      <w:r w:rsidR="00E51CD1" w:rsidRPr="00CA37FA">
        <w:rPr>
          <w:rFonts w:ascii="Times New Roman" w:eastAsiaTheme="minorEastAsia" w:hAnsi="Times New Roman" w:cs="Times New Roman"/>
          <w:sz w:val="24"/>
          <w:szCs w:val="24"/>
        </w:rPr>
        <w:t>attēlam</w:t>
      </w:r>
      <w:r w:rsidRPr="00CA37FA">
        <w:rPr>
          <w:rFonts w:ascii="Times New Roman" w:eastAsiaTheme="minorEastAsia" w:hAnsi="Times New Roman" w:cs="Times New Roman"/>
          <w:sz w:val="24"/>
          <w:szCs w:val="24"/>
        </w:rPr>
        <w:t xml:space="preserve">. </w:t>
      </w:r>
    </w:p>
    <w:p w14:paraId="215192C8" w14:textId="76AFB684" w:rsidR="00B040AE" w:rsidRPr="00CA37FA" w:rsidRDefault="004F0359" w:rsidP="00626A3E">
      <w:pPr>
        <w:jc w:val="both"/>
        <w:rPr>
          <w:rFonts w:ascii="Times New Roman" w:eastAsiaTheme="minorEastAsia" w:hAnsi="Times New Roman" w:cs="Times New Roman"/>
          <w:i/>
          <w:sz w:val="24"/>
          <w:szCs w:val="24"/>
          <w:highlight w:val="yellow"/>
        </w:rPr>
      </w:pPr>
      <w:r w:rsidRPr="00CA37FA">
        <w:rPr>
          <w:rFonts w:ascii="Times New Roman" w:hAnsi="Times New Roman" w:cs="Times New Roman"/>
          <w:noProof/>
          <w:sz w:val="24"/>
          <w:szCs w:val="24"/>
        </w:rPr>
        <w:lastRenderedPageBreak/>
        <w:drawing>
          <wp:inline distT="0" distB="0" distL="0" distR="0" wp14:anchorId="4DF9E03C" wp14:editId="061C486C">
            <wp:extent cx="4572000" cy="2894014"/>
            <wp:effectExtent l="0" t="0" r="0" b="1905"/>
            <wp:docPr id="207204581" name="Chart 1">
              <a:extLst xmlns:a="http://schemas.openxmlformats.org/drawingml/2006/main">
                <a:ext uri="{FF2B5EF4-FFF2-40B4-BE49-F238E27FC236}">
                  <a16:creationId xmlns:a16="http://schemas.microsoft.com/office/drawing/2014/main" id="{74CA93B3-1B1B-93A1-5BB6-0DFE52FD5E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8C764F" w14:textId="5B419283" w:rsidR="00A9022E" w:rsidRPr="00CA37FA" w:rsidRDefault="00907512" w:rsidP="00626A3E">
      <w:pPr>
        <w:jc w:val="both"/>
        <w:rPr>
          <w:rFonts w:ascii="Times New Roman" w:eastAsiaTheme="minorEastAsia" w:hAnsi="Times New Roman" w:cs="Times New Roman"/>
          <w:i/>
          <w:sz w:val="24"/>
          <w:szCs w:val="24"/>
        </w:rPr>
      </w:pPr>
      <w:r w:rsidRPr="00CA37FA">
        <w:rPr>
          <w:rFonts w:ascii="Times New Roman" w:eastAsiaTheme="minorEastAsia" w:hAnsi="Times New Roman" w:cs="Times New Roman"/>
          <w:i/>
          <w:sz w:val="24"/>
          <w:szCs w:val="24"/>
        </w:rPr>
        <w:t>3</w:t>
      </w:r>
      <w:r w:rsidR="008231B2" w:rsidRPr="00CA37FA">
        <w:rPr>
          <w:rFonts w:ascii="Times New Roman" w:eastAsiaTheme="minorEastAsia" w:hAnsi="Times New Roman" w:cs="Times New Roman"/>
          <w:i/>
          <w:sz w:val="24"/>
          <w:szCs w:val="24"/>
        </w:rPr>
        <w:t>.attēls. Tendences kopumā par ziņojumā iekļautajām putnu sugām, sugu skaits.</w:t>
      </w:r>
      <w:r w:rsidR="00CF4BB1" w:rsidRPr="00CA37FA">
        <w:rPr>
          <w:rFonts w:ascii="Times New Roman" w:eastAsiaTheme="minorEastAsia" w:hAnsi="Times New Roman" w:cs="Times New Roman"/>
          <w:i/>
          <w:sz w:val="24"/>
          <w:szCs w:val="24"/>
        </w:rPr>
        <w:t xml:space="preserve"> </w:t>
      </w:r>
    </w:p>
    <w:p w14:paraId="3EB23519" w14:textId="5FC34720" w:rsidR="008231B2" w:rsidRPr="00CA37FA" w:rsidRDefault="008231B2" w:rsidP="00626A3E">
      <w:pPr>
        <w:jc w:val="both"/>
        <w:rPr>
          <w:rFonts w:ascii="Times New Roman" w:eastAsiaTheme="minorEastAsia" w:hAnsi="Times New Roman" w:cs="Times New Roman"/>
          <w:sz w:val="24"/>
          <w:szCs w:val="24"/>
        </w:rPr>
      </w:pPr>
      <w:r w:rsidRPr="00CA37FA">
        <w:rPr>
          <w:rFonts w:ascii="Times New Roman" w:eastAsiaTheme="minorEastAsia" w:hAnsi="Times New Roman" w:cs="Times New Roman"/>
          <w:sz w:val="24"/>
          <w:szCs w:val="24"/>
        </w:rPr>
        <w:t xml:space="preserve"> </w:t>
      </w:r>
    </w:p>
    <w:p w14:paraId="23E64184" w14:textId="07088E14" w:rsidR="008231B2" w:rsidRPr="00CA37FA" w:rsidRDefault="00942BF5" w:rsidP="00626A3E">
      <w:pPr>
        <w:jc w:val="both"/>
        <w:rPr>
          <w:rFonts w:ascii="Times New Roman" w:eastAsiaTheme="minorEastAsia" w:hAnsi="Times New Roman" w:cs="Times New Roman"/>
          <w:sz w:val="24"/>
          <w:szCs w:val="24"/>
        </w:rPr>
      </w:pPr>
      <w:r w:rsidRPr="00CA37FA">
        <w:rPr>
          <w:rFonts w:ascii="Times New Roman" w:hAnsi="Times New Roman" w:cs="Times New Roman"/>
          <w:noProof/>
          <w:sz w:val="24"/>
          <w:szCs w:val="24"/>
        </w:rPr>
        <w:drawing>
          <wp:inline distT="0" distB="0" distL="0" distR="0" wp14:anchorId="6E3F5494" wp14:editId="0E9C9E44">
            <wp:extent cx="4572000" cy="2749550"/>
            <wp:effectExtent l="0" t="0" r="0" b="12700"/>
            <wp:docPr id="1700403964" name="Chart 1">
              <a:extLst xmlns:a="http://schemas.openxmlformats.org/drawingml/2006/main">
                <a:ext uri="{FF2B5EF4-FFF2-40B4-BE49-F238E27FC236}">
                  <a16:creationId xmlns:a16="http://schemas.microsoft.com/office/drawing/2014/main" id="{D70B1A35-5670-D680-023B-931213BF7C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0EE17A" w14:textId="61642EE2" w:rsidR="00AE475E" w:rsidRPr="00CA37FA" w:rsidRDefault="00942BF5" w:rsidP="00626A3E">
      <w:pPr>
        <w:jc w:val="both"/>
        <w:rPr>
          <w:rFonts w:ascii="Times New Roman" w:eastAsiaTheme="minorEastAsia" w:hAnsi="Times New Roman" w:cs="Times New Roman"/>
          <w:i/>
          <w:sz w:val="24"/>
          <w:szCs w:val="24"/>
        </w:rPr>
      </w:pPr>
      <w:r w:rsidRPr="00CA37FA">
        <w:rPr>
          <w:rFonts w:ascii="Times New Roman" w:eastAsiaTheme="minorEastAsia" w:hAnsi="Times New Roman" w:cs="Times New Roman"/>
          <w:i/>
          <w:sz w:val="24"/>
          <w:szCs w:val="24"/>
        </w:rPr>
        <w:t>4</w:t>
      </w:r>
      <w:r w:rsidR="002E1045" w:rsidRPr="00CA37FA">
        <w:rPr>
          <w:rFonts w:ascii="Times New Roman" w:eastAsiaTheme="minorEastAsia" w:hAnsi="Times New Roman" w:cs="Times New Roman"/>
          <w:i/>
          <w:sz w:val="24"/>
          <w:szCs w:val="24"/>
        </w:rPr>
        <w:t>.attēls. Īstermiņa tendenču procentuālais sadalījums</w:t>
      </w:r>
      <w:r w:rsidR="00A9022E" w:rsidRPr="00CA37FA">
        <w:rPr>
          <w:rFonts w:ascii="Times New Roman" w:eastAsiaTheme="minorEastAsia" w:hAnsi="Times New Roman" w:cs="Times New Roman"/>
          <w:i/>
          <w:sz w:val="24"/>
          <w:szCs w:val="24"/>
        </w:rPr>
        <w:t xml:space="preserve"> visām putnu sugām</w:t>
      </w:r>
      <w:r w:rsidR="002E1045" w:rsidRPr="00CA37FA">
        <w:rPr>
          <w:rFonts w:ascii="Times New Roman" w:eastAsiaTheme="minorEastAsia" w:hAnsi="Times New Roman" w:cs="Times New Roman"/>
          <w:i/>
          <w:sz w:val="24"/>
          <w:szCs w:val="24"/>
        </w:rPr>
        <w:t xml:space="preserve">. </w:t>
      </w:r>
    </w:p>
    <w:p w14:paraId="26BA9A6E" w14:textId="77777777" w:rsidR="00A9022E" w:rsidRPr="00CA37FA" w:rsidRDefault="00A9022E" w:rsidP="00626A3E">
      <w:pPr>
        <w:jc w:val="both"/>
        <w:rPr>
          <w:rFonts w:ascii="Times New Roman" w:eastAsiaTheme="minorEastAsia" w:hAnsi="Times New Roman" w:cs="Times New Roman"/>
          <w:sz w:val="24"/>
          <w:szCs w:val="24"/>
        </w:rPr>
      </w:pPr>
    </w:p>
    <w:p w14:paraId="4E1ADD85" w14:textId="21BFA63B" w:rsidR="00AE475E" w:rsidRPr="00CA37FA" w:rsidRDefault="00206489" w:rsidP="00626A3E">
      <w:pPr>
        <w:jc w:val="both"/>
        <w:rPr>
          <w:rFonts w:ascii="Times New Roman" w:eastAsiaTheme="minorEastAsia" w:hAnsi="Times New Roman" w:cs="Times New Roman"/>
          <w:sz w:val="24"/>
          <w:szCs w:val="24"/>
        </w:rPr>
      </w:pPr>
      <w:r w:rsidRPr="00CA37FA">
        <w:rPr>
          <w:rFonts w:ascii="Times New Roman" w:hAnsi="Times New Roman" w:cs="Times New Roman"/>
          <w:noProof/>
          <w:sz w:val="24"/>
          <w:szCs w:val="24"/>
        </w:rPr>
        <w:lastRenderedPageBreak/>
        <w:drawing>
          <wp:inline distT="0" distB="0" distL="0" distR="0" wp14:anchorId="5058E798" wp14:editId="7DB99AF7">
            <wp:extent cx="4572000" cy="2749550"/>
            <wp:effectExtent l="0" t="0" r="0" b="12700"/>
            <wp:docPr id="473418931" name="Chart 1">
              <a:extLst xmlns:a="http://schemas.openxmlformats.org/drawingml/2006/main">
                <a:ext uri="{FF2B5EF4-FFF2-40B4-BE49-F238E27FC236}">
                  <a16:creationId xmlns:a16="http://schemas.microsoft.com/office/drawing/2014/main" id="{3E740081-5E26-3380-3B6A-B315EA25E6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118708" w14:textId="703F886B" w:rsidR="00AE475E" w:rsidRPr="00CA37FA" w:rsidRDefault="00206489" w:rsidP="00626A3E">
      <w:pPr>
        <w:jc w:val="both"/>
        <w:rPr>
          <w:rFonts w:ascii="Times New Roman" w:eastAsiaTheme="minorEastAsia" w:hAnsi="Times New Roman" w:cs="Times New Roman"/>
          <w:i/>
          <w:sz w:val="24"/>
          <w:szCs w:val="24"/>
        </w:rPr>
      </w:pPr>
      <w:r w:rsidRPr="00CA37FA">
        <w:rPr>
          <w:rFonts w:ascii="Times New Roman" w:eastAsiaTheme="minorEastAsia" w:hAnsi="Times New Roman" w:cs="Times New Roman"/>
          <w:i/>
          <w:sz w:val="24"/>
          <w:szCs w:val="24"/>
        </w:rPr>
        <w:t>5</w:t>
      </w:r>
      <w:r w:rsidR="00A9022E" w:rsidRPr="00CA37FA">
        <w:rPr>
          <w:rFonts w:ascii="Times New Roman" w:eastAsiaTheme="minorEastAsia" w:hAnsi="Times New Roman" w:cs="Times New Roman"/>
          <w:i/>
          <w:sz w:val="24"/>
          <w:szCs w:val="24"/>
        </w:rPr>
        <w:t xml:space="preserve">.attēls. Ilgtermiņa tendenču procentuālais sadalījums visām putnu sugām. </w:t>
      </w:r>
    </w:p>
    <w:p w14:paraId="409E4CBA" w14:textId="77777777" w:rsidR="00206489" w:rsidRPr="00CA37FA" w:rsidRDefault="00206489" w:rsidP="00BA2503">
      <w:pPr>
        <w:ind w:firstLine="709"/>
        <w:jc w:val="both"/>
        <w:rPr>
          <w:rFonts w:ascii="Times New Roman" w:eastAsiaTheme="minorEastAsia" w:hAnsi="Times New Roman" w:cs="Times New Roman"/>
          <w:sz w:val="24"/>
          <w:szCs w:val="24"/>
        </w:rPr>
      </w:pPr>
    </w:p>
    <w:p w14:paraId="3E07BD9D" w14:textId="48582D0C" w:rsidR="00AB1985" w:rsidRPr="00CA37FA" w:rsidRDefault="00AB1985" w:rsidP="00BA2503">
      <w:pPr>
        <w:ind w:firstLine="709"/>
        <w:jc w:val="both"/>
        <w:rPr>
          <w:rFonts w:ascii="Times New Roman" w:eastAsiaTheme="minorEastAsia" w:hAnsi="Times New Roman" w:cs="Times New Roman"/>
          <w:sz w:val="24"/>
          <w:szCs w:val="24"/>
        </w:rPr>
      </w:pPr>
      <w:r w:rsidRPr="00CA37FA">
        <w:rPr>
          <w:rFonts w:ascii="Times New Roman" w:eastAsiaTheme="minorEastAsia" w:hAnsi="Times New Roman" w:cs="Times New Roman"/>
          <w:sz w:val="24"/>
          <w:szCs w:val="24"/>
        </w:rPr>
        <w:t xml:space="preserve">Vērtējot atsevišķi Latvijā ligzdojošās putnu sugas, </w:t>
      </w:r>
      <w:r w:rsidR="0064641A" w:rsidRPr="00CA37FA">
        <w:rPr>
          <w:rFonts w:ascii="Times New Roman" w:eastAsiaTheme="minorEastAsia" w:hAnsi="Times New Roman" w:cs="Times New Roman"/>
          <w:sz w:val="24"/>
          <w:szCs w:val="24"/>
        </w:rPr>
        <w:t xml:space="preserve">to populāciju īstermiņa un ilgtermiņa tendences attēlotas </w:t>
      </w:r>
      <w:r w:rsidR="00206489" w:rsidRPr="00CA37FA">
        <w:rPr>
          <w:rFonts w:ascii="Times New Roman" w:eastAsiaTheme="minorEastAsia" w:hAnsi="Times New Roman" w:cs="Times New Roman"/>
          <w:sz w:val="24"/>
          <w:szCs w:val="24"/>
        </w:rPr>
        <w:t>6</w:t>
      </w:r>
      <w:r w:rsidR="009A3A1F" w:rsidRPr="00CA37FA">
        <w:rPr>
          <w:rFonts w:ascii="Times New Roman" w:eastAsiaTheme="minorEastAsia" w:hAnsi="Times New Roman" w:cs="Times New Roman"/>
          <w:sz w:val="24"/>
          <w:szCs w:val="24"/>
        </w:rPr>
        <w:t>.-</w:t>
      </w:r>
      <w:r w:rsidR="00206489" w:rsidRPr="00CA37FA">
        <w:rPr>
          <w:rFonts w:ascii="Times New Roman" w:eastAsiaTheme="minorEastAsia" w:hAnsi="Times New Roman" w:cs="Times New Roman"/>
          <w:sz w:val="24"/>
          <w:szCs w:val="24"/>
        </w:rPr>
        <w:t>8</w:t>
      </w:r>
      <w:r w:rsidR="009A3A1F" w:rsidRPr="00CA37FA">
        <w:rPr>
          <w:rFonts w:ascii="Times New Roman" w:eastAsiaTheme="minorEastAsia" w:hAnsi="Times New Roman" w:cs="Times New Roman"/>
          <w:sz w:val="24"/>
          <w:szCs w:val="24"/>
        </w:rPr>
        <w:t>.</w:t>
      </w:r>
      <w:r w:rsidR="0064641A" w:rsidRPr="00CA37FA">
        <w:rPr>
          <w:rFonts w:ascii="Times New Roman" w:eastAsiaTheme="minorEastAsia" w:hAnsi="Times New Roman" w:cs="Times New Roman"/>
          <w:sz w:val="24"/>
          <w:szCs w:val="24"/>
        </w:rPr>
        <w:t xml:space="preserve"> attēl</w:t>
      </w:r>
      <w:r w:rsidR="0010653C" w:rsidRPr="00CA37FA">
        <w:rPr>
          <w:rFonts w:ascii="Times New Roman" w:eastAsiaTheme="minorEastAsia" w:hAnsi="Times New Roman" w:cs="Times New Roman"/>
          <w:sz w:val="24"/>
          <w:szCs w:val="24"/>
        </w:rPr>
        <w:t xml:space="preserve">ā. </w:t>
      </w:r>
    </w:p>
    <w:p w14:paraId="30A391DB" w14:textId="77777777" w:rsidR="0010653C" w:rsidRPr="00CA37FA" w:rsidRDefault="0010653C" w:rsidP="0010653C">
      <w:pPr>
        <w:jc w:val="both"/>
        <w:rPr>
          <w:rFonts w:ascii="Times New Roman" w:eastAsiaTheme="minorEastAsia" w:hAnsi="Times New Roman" w:cs="Times New Roman"/>
          <w:i/>
          <w:sz w:val="24"/>
          <w:szCs w:val="24"/>
          <w:highlight w:val="yellow"/>
        </w:rPr>
      </w:pPr>
    </w:p>
    <w:p w14:paraId="620DE40E" w14:textId="6B53B7F4" w:rsidR="0010653C" w:rsidRPr="00CA37FA" w:rsidRDefault="007C73DB" w:rsidP="0010653C">
      <w:pPr>
        <w:jc w:val="both"/>
        <w:rPr>
          <w:rFonts w:ascii="Times New Roman" w:eastAsiaTheme="minorEastAsia" w:hAnsi="Times New Roman" w:cs="Times New Roman"/>
          <w:iCs/>
          <w:sz w:val="24"/>
          <w:szCs w:val="24"/>
          <w:highlight w:val="yellow"/>
        </w:rPr>
      </w:pPr>
      <w:r w:rsidRPr="00CA37FA">
        <w:rPr>
          <w:rFonts w:ascii="Times New Roman" w:hAnsi="Times New Roman" w:cs="Times New Roman"/>
          <w:noProof/>
          <w:sz w:val="24"/>
          <w:szCs w:val="24"/>
        </w:rPr>
        <w:drawing>
          <wp:inline distT="0" distB="0" distL="0" distR="0" wp14:anchorId="05C50627" wp14:editId="7289B90B">
            <wp:extent cx="4562475" cy="2730500"/>
            <wp:effectExtent l="0" t="0" r="9525" b="12700"/>
            <wp:docPr id="1135513350" name="Chart 1">
              <a:extLst xmlns:a="http://schemas.openxmlformats.org/drawingml/2006/main">
                <a:ext uri="{FF2B5EF4-FFF2-40B4-BE49-F238E27FC236}">
                  <a16:creationId xmlns:a16="http://schemas.microsoft.com/office/drawing/2014/main" id="{9E413039-D318-B843-6244-4B6E8F13C9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F9AA6D" w14:textId="77777777" w:rsidR="0010653C" w:rsidRPr="00CA37FA" w:rsidRDefault="0010653C" w:rsidP="0010653C">
      <w:pPr>
        <w:jc w:val="both"/>
        <w:rPr>
          <w:rFonts w:ascii="Times New Roman" w:eastAsiaTheme="minorEastAsia" w:hAnsi="Times New Roman" w:cs="Times New Roman"/>
          <w:i/>
          <w:sz w:val="24"/>
          <w:szCs w:val="24"/>
          <w:highlight w:val="yellow"/>
        </w:rPr>
      </w:pPr>
    </w:p>
    <w:p w14:paraId="71A29B9E" w14:textId="3D52BAD6" w:rsidR="0010653C" w:rsidRPr="00CA37FA" w:rsidRDefault="006D4DDD" w:rsidP="0010653C">
      <w:pPr>
        <w:jc w:val="both"/>
        <w:rPr>
          <w:rFonts w:ascii="Times New Roman" w:eastAsiaTheme="minorEastAsia" w:hAnsi="Times New Roman" w:cs="Times New Roman"/>
          <w:i/>
          <w:sz w:val="24"/>
          <w:szCs w:val="24"/>
        </w:rPr>
      </w:pPr>
      <w:r w:rsidRPr="00CA37FA">
        <w:rPr>
          <w:rFonts w:ascii="Times New Roman" w:eastAsiaTheme="minorEastAsia" w:hAnsi="Times New Roman" w:cs="Times New Roman"/>
          <w:i/>
          <w:sz w:val="24"/>
          <w:szCs w:val="24"/>
        </w:rPr>
        <w:t>6</w:t>
      </w:r>
      <w:r w:rsidR="0010653C" w:rsidRPr="00CA37FA">
        <w:rPr>
          <w:rFonts w:ascii="Times New Roman" w:eastAsiaTheme="minorEastAsia" w:hAnsi="Times New Roman" w:cs="Times New Roman"/>
          <w:i/>
          <w:sz w:val="24"/>
          <w:szCs w:val="24"/>
        </w:rPr>
        <w:t>.attēls. Latvijā ligzdojoš</w:t>
      </w:r>
      <w:r w:rsidRPr="00CA37FA">
        <w:rPr>
          <w:rFonts w:ascii="Times New Roman" w:eastAsiaTheme="minorEastAsia" w:hAnsi="Times New Roman" w:cs="Times New Roman"/>
          <w:i/>
          <w:sz w:val="24"/>
          <w:szCs w:val="24"/>
        </w:rPr>
        <w:t>o</w:t>
      </w:r>
      <w:r w:rsidR="00DA528A" w:rsidRPr="00CA37FA">
        <w:rPr>
          <w:rFonts w:ascii="Times New Roman" w:eastAsiaTheme="minorEastAsia" w:hAnsi="Times New Roman" w:cs="Times New Roman"/>
          <w:i/>
          <w:sz w:val="24"/>
          <w:szCs w:val="24"/>
        </w:rPr>
        <w:t xml:space="preserve"> </w:t>
      </w:r>
      <w:r w:rsidR="0010653C" w:rsidRPr="00CA37FA">
        <w:rPr>
          <w:rFonts w:ascii="Times New Roman" w:eastAsiaTheme="minorEastAsia" w:hAnsi="Times New Roman" w:cs="Times New Roman"/>
          <w:i/>
          <w:sz w:val="24"/>
          <w:szCs w:val="24"/>
        </w:rPr>
        <w:t>putnu sug</w:t>
      </w:r>
      <w:r w:rsidRPr="00CA37FA">
        <w:rPr>
          <w:rFonts w:ascii="Times New Roman" w:eastAsiaTheme="minorEastAsia" w:hAnsi="Times New Roman" w:cs="Times New Roman"/>
          <w:i/>
          <w:sz w:val="24"/>
          <w:szCs w:val="24"/>
        </w:rPr>
        <w:t>u tendences kopumā</w:t>
      </w:r>
      <w:r w:rsidR="0010653C" w:rsidRPr="00CA37FA">
        <w:rPr>
          <w:rFonts w:ascii="Times New Roman" w:eastAsiaTheme="minorEastAsia" w:hAnsi="Times New Roman" w:cs="Times New Roman"/>
          <w:i/>
          <w:sz w:val="24"/>
          <w:szCs w:val="24"/>
        </w:rPr>
        <w:t xml:space="preserve">, sugu skaits. </w:t>
      </w:r>
    </w:p>
    <w:p w14:paraId="0638DF15" w14:textId="28D6B6E7" w:rsidR="0010653C" w:rsidRPr="00CA37FA" w:rsidRDefault="0010653C" w:rsidP="0010653C">
      <w:pPr>
        <w:jc w:val="both"/>
        <w:rPr>
          <w:rFonts w:ascii="Times New Roman" w:eastAsiaTheme="minorEastAsia" w:hAnsi="Times New Roman" w:cs="Times New Roman"/>
          <w:sz w:val="24"/>
          <w:szCs w:val="24"/>
        </w:rPr>
      </w:pPr>
      <w:r w:rsidRPr="00CA37FA">
        <w:rPr>
          <w:rFonts w:ascii="Times New Roman" w:eastAsiaTheme="minorEastAsia" w:hAnsi="Times New Roman" w:cs="Times New Roman"/>
          <w:sz w:val="24"/>
          <w:szCs w:val="24"/>
        </w:rPr>
        <w:lastRenderedPageBreak/>
        <w:t xml:space="preserve"> </w:t>
      </w:r>
      <w:r w:rsidR="00C176F7" w:rsidRPr="00CA37FA">
        <w:rPr>
          <w:rFonts w:ascii="Times New Roman" w:hAnsi="Times New Roman" w:cs="Times New Roman"/>
          <w:noProof/>
          <w:sz w:val="24"/>
          <w:szCs w:val="24"/>
        </w:rPr>
        <w:drawing>
          <wp:inline distT="0" distB="0" distL="0" distR="0" wp14:anchorId="50337AC8" wp14:editId="61FA33B4">
            <wp:extent cx="4565650" cy="2730500"/>
            <wp:effectExtent l="0" t="0" r="6350" b="12700"/>
            <wp:docPr id="1714061444" name="Chart 1">
              <a:extLst xmlns:a="http://schemas.openxmlformats.org/drawingml/2006/main">
                <a:ext uri="{FF2B5EF4-FFF2-40B4-BE49-F238E27FC236}">
                  <a16:creationId xmlns:a16="http://schemas.microsoft.com/office/drawing/2014/main" id="{29E4AF39-AF48-E7A7-80AB-57B0D3A404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D2E4A5" w14:textId="77777777" w:rsidR="0010653C" w:rsidRPr="00CA37FA" w:rsidRDefault="0010653C" w:rsidP="0010653C">
      <w:pPr>
        <w:jc w:val="both"/>
        <w:rPr>
          <w:rFonts w:ascii="Times New Roman" w:eastAsiaTheme="minorEastAsia" w:hAnsi="Times New Roman" w:cs="Times New Roman"/>
          <w:sz w:val="24"/>
          <w:szCs w:val="24"/>
        </w:rPr>
      </w:pPr>
    </w:p>
    <w:p w14:paraId="0B9A7ABE" w14:textId="5B2E21B8" w:rsidR="0010653C" w:rsidRPr="00CA37FA" w:rsidRDefault="00371FC4" w:rsidP="0010653C">
      <w:pPr>
        <w:jc w:val="both"/>
        <w:rPr>
          <w:rFonts w:ascii="Times New Roman" w:eastAsiaTheme="minorEastAsia" w:hAnsi="Times New Roman" w:cs="Times New Roman"/>
          <w:i/>
          <w:sz w:val="24"/>
          <w:szCs w:val="24"/>
        </w:rPr>
      </w:pPr>
      <w:r w:rsidRPr="00CA37FA">
        <w:rPr>
          <w:rFonts w:ascii="Times New Roman" w:eastAsiaTheme="minorEastAsia" w:hAnsi="Times New Roman" w:cs="Times New Roman"/>
          <w:i/>
          <w:sz w:val="24"/>
          <w:szCs w:val="24"/>
        </w:rPr>
        <w:t>7</w:t>
      </w:r>
      <w:r w:rsidR="0010653C" w:rsidRPr="00CA37FA">
        <w:rPr>
          <w:rFonts w:ascii="Times New Roman" w:eastAsiaTheme="minorEastAsia" w:hAnsi="Times New Roman" w:cs="Times New Roman"/>
          <w:i/>
          <w:sz w:val="24"/>
          <w:szCs w:val="24"/>
        </w:rPr>
        <w:t xml:space="preserve">.attēls. Īstermiņa tendenču procentuālais sadalījums </w:t>
      </w:r>
      <w:r w:rsidR="00EF6F75" w:rsidRPr="00CA37FA">
        <w:rPr>
          <w:rFonts w:ascii="Times New Roman" w:eastAsiaTheme="minorEastAsia" w:hAnsi="Times New Roman" w:cs="Times New Roman"/>
          <w:i/>
          <w:sz w:val="24"/>
          <w:szCs w:val="24"/>
        </w:rPr>
        <w:t>ligzdojošām</w:t>
      </w:r>
      <w:r w:rsidR="0010653C" w:rsidRPr="00CA37FA">
        <w:rPr>
          <w:rFonts w:ascii="Times New Roman" w:eastAsiaTheme="minorEastAsia" w:hAnsi="Times New Roman" w:cs="Times New Roman"/>
          <w:i/>
          <w:sz w:val="24"/>
          <w:szCs w:val="24"/>
        </w:rPr>
        <w:t xml:space="preserve"> putnu sugām. </w:t>
      </w:r>
    </w:p>
    <w:p w14:paraId="4063749C" w14:textId="6A658FC6" w:rsidR="0010653C" w:rsidRPr="00CA37FA" w:rsidRDefault="00EF6F75" w:rsidP="0010653C">
      <w:pPr>
        <w:jc w:val="both"/>
        <w:rPr>
          <w:rFonts w:ascii="Times New Roman" w:eastAsiaTheme="minorEastAsia" w:hAnsi="Times New Roman" w:cs="Times New Roman"/>
          <w:sz w:val="24"/>
          <w:szCs w:val="24"/>
        </w:rPr>
      </w:pPr>
      <w:r w:rsidRPr="00CA37FA">
        <w:rPr>
          <w:rFonts w:ascii="Times New Roman" w:hAnsi="Times New Roman" w:cs="Times New Roman"/>
          <w:noProof/>
          <w:sz w:val="24"/>
          <w:szCs w:val="24"/>
        </w:rPr>
        <w:drawing>
          <wp:inline distT="0" distB="0" distL="0" distR="0" wp14:anchorId="55499DC8" wp14:editId="0436EF5B">
            <wp:extent cx="4565650" cy="2736850"/>
            <wp:effectExtent l="0" t="0" r="6350" b="6350"/>
            <wp:docPr id="1690051520" name="Chart 1">
              <a:extLst xmlns:a="http://schemas.openxmlformats.org/drawingml/2006/main">
                <a:ext uri="{FF2B5EF4-FFF2-40B4-BE49-F238E27FC236}">
                  <a16:creationId xmlns:a16="http://schemas.microsoft.com/office/drawing/2014/main" id="{CB6312D3-D25E-B21E-4819-78E0070AF5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7D573E" w14:textId="77777777" w:rsidR="0010653C" w:rsidRPr="00CA37FA" w:rsidRDefault="0010653C" w:rsidP="0010653C">
      <w:pPr>
        <w:jc w:val="both"/>
        <w:rPr>
          <w:rFonts w:ascii="Times New Roman" w:eastAsiaTheme="minorEastAsia" w:hAnsi="Times New Roman" w:cs="Times New Roman"/>
          <w:sz w:val="24"/>
          <w:szCs w:val="24"/>
        </w:rPr>
      </w:pPr>
    </w:p>
    <w:p w14:paraId="6B5AAB5E" w14:textId="407B4D54" w:rsidR="0010653C" w:rsidRPr="00CA37FA" w:rsidRDefault="00371FC4" w:rsidP="0010653C">
      <w:pPr>
        <w:ind w:firstLine="709"/>
        <w:jc w:val="both"/>
        <w:rPr>
          <w:rFonts w:ascii="Times New Roman" w:eastAsiaTheme="minorEastAsia" w:hAnsi="Times New Roman" w:cs="Times New Roman"/>
          <w:sz w:val="24"/>
          <w:szCs w:val="24"/>
        </w:rPr>
      </w:pPr>
      <w:r w:rsidRPr="00CA37FA">
        <w:rPr>
          <w:rFonts w:ascii="Times New Roman" w:eastAsiaTheme="minorEastAsia" w:hAnsi="Times New Roman" w:cs="Times New Roman"/>
          <w:i/>
          <w:sz w:val="24"/>
          <w:szCs w:val="24"/>
        </w:rPr>
        <w:t>8</w:t>
      </w:r>
      <w:r w:rsidR="0010653C" w:rsidRPr="00CA37FA">
        <w:rPr>
          <w:rFonts w:ascii="Times New Roman" w:eastAsiaTheme="minorEastAsia" w:hAnsi="Times New Roman" w:cs="Times New Roman"/>
          <w:i/>
          <w:sz w:val="24"/>
          <w:szCs w:val="24"/>
        </w:rPr>
        <w:t xml:space="preserve">.attēls. Ilgtermiņa tendenču procentuālais sadalījums </w:t>
      </w:r>
      <w:r w:rsidR="000D7F1A" w:rsidRPr="00CA37FA">
        <w:rPr>
          <w:rFonts w:ascii="Times New Roman" w:eastAsiaTheme="minorEastAsia" w:hAnsi="Times New Roman" w:cs="Times New Roman"/>
          <w:i/>
          <w:sz w:val="24"/>
          <w:szCs w:val="24"/>
        </w:rPr>
        <w:t>ligzdojošām</w:t>
      </w:r>
      <w:r w:rsidR="0010653C" w:rsidRPr="00CA37FA">
        <w:rPr>
          <w:rFonts w:ascii="Times New Roman" w:eastAsiaTheme="minorEastAsia" w:hAnsi="Times New Roman" w:cs="Times New Roman"/>
          <w:i/>
          <w:sz w:val="24"/>
          <w:szCs w:val="24"/>
        </w:rPr>
        <w:t xml:space="preserve"> putnu sugām</w:t>
      </w:r>
    </w:p>
    <w:p w14:paraId="715DF8C7" w14:textId="38015738" w:rsidR="00A9022E" w:rsidRPr="00CA37FA" w:rsidRDefault="00A9022E" w:rsidP="00BA2503">
      <w:pPr>
        <w:ind w:firstLine="709"/>
        <w:jc w:val="both"/>
        <w:rPr>
          <w:rFonts w:ascii="Times New Roman" w:eastAsiaTheme="minorEastAsia" w:hAnsi="Times New Roman" w:cs="Times New Roman"/>
          <w:sz w:val="24"/>
          <w:szCs w:val="24"/>
        </w:rPr>
      </w:pPr>
      <w:r w:rsidRPr="00CA37FA">
        <w:rPr>
          <w:rFonts w:ascii="Times New Roman" w:eastAsiaTheme="minorEastAsia" w:hAnsi="Times New Roman" w:cs="Times New Roman"/>
          <w:sz w:val="24"/>
          <w:szCs w:val="24"/>
        </w:rPr>
        <w:t xml:space="preserve">Atsevišķi novērtētas populācijas un to īstermiņa un ilgtermiņa tendences </w:t>
      </w:r>
      <w:r w:rsidR="005D5525" w:rsidRPr="00CA37FA">
        <w:rPr>
          <w:rFonts w:ascii="Times New Roman" w:eastAsiaTheme="minorEastAsia" w:hAnsi="Times New Roman" w:cs="Times New Roman"/>
          <w:sz w:val="24"/>
          <w:szCs w:val="24"/>
        </w:rPr>
        <w:t xml:space="preserve">ligzdojošām </w:t>
      </w:r>
      <w:r w:rsidRPr="00CA37FA">
        <w:rPr>
          <w:rFonts w:ascii="Times New Roman" w:eastAsiaTheme="minorEastAsia" w:hAnsi="Times New Roman" w:cs="Times New Roman"/>
          <w:sz w:val="24"/>
          <w:szCs w:val="24"/>
        </w:rPr>
        <w:t xml:space="preserve">putnu sugām, kuru aizsardzībai jāveido </w:t>
      </w:r>
      <w:proofErr w:type="spellStart"/>
      <w:r w:rsidRPr="00CA37FA">
        <w:rPr>
          <w:rFonts w:ascii="Times New Roman" w:eastAsiaTheme="minorEastAsia" w:hAnsi="Times New Roman" w:cs="Times New Roman"/>
          <w:sz w:val="24"/>
          <w:szCs w:val="24"/>
        </w:rPr>
        <w:t>Natura</w:t>
      </w:r>
      <w:proofErr w:type="spellEnd"/>
      <w:r w:rsidRPr="00CA37FA">
        <w:rPr>
          <w:rFonts w:ascii="Times New Roman" w:eastAsiaTheme="minorEastAsia" w:hAnsi="Times New Roman" w:cs="Times New Roman"/>
          <w:sz w:val="24"/>
          <w:szCs w:val="24"/>
        </w:rPr>
        <w:t xml:space="preserve"> 2000 teritorijas. Šo putnu sugu izvērtējums iekļauts </w:t>
      </w:r>
      <w:r w:rsidR="00E36F79" w:rsidRPr="00CA37FA">
        <w:rPr>
          <w:rFonts w:ascii="Times New Roman" w:eastAsiaTheme="minorEastAsia" w:hAnsi="Times New Roman" w:cs="Times New Roman"/>
          <w:sz w:val="24"/>
          <w:szCs w:val="24"/>
        </w:rPr>
        <w:t>9</w:t>
      </w:r>
      <w:r w:rsidR="00515417" w:rsidRPr="00CA37FA">
        <w:rPr>
          <w:rFonts w:ascii="Times New Roman" w:eastAsiaTheme="minorEastAsia" w:hAnsi="Times New Roman" w:cs="Times New Roman"/>
          <w:sz w:val="24"/>
          <w:szCs w:val="24"/>
        </w:rPr>
        <w:t>.-</w:t>
      </w:r>
      <w:r w:rsidR="00E36F79" w:rsidRPr="00CA37FA">
        <w:rPr>
          <w:rFonts w:ascii="Times New Roman" w:eastAsiaTheme="minorEastAsia" w:hAnsi="Times New Roman" w:cs="Times New Roman"/>
          <w:sz w:val="24"/>
          <w:szCs w:val="24"/>
        </w:rPr>
        <w:t>11</w:t>
      </w:r>
      <w:r w:rsidR="00DB0B31" w:rsidRPr="00CA37FA">
        <w:rPr>
          <w:rFonts w:ascii="Times New Roman" w:eastAsiaTheme="minorEastAsia" w:hAnsi="Times New Roman" w:cs="Times New Roman"/>
          <w:sz w:val="24"/>
          <w:szCs w:val="24"/>
        </w:rPr>
        <w:t xml:space="preserve">. </w:t>
      </w:r>
      <w:r w:rsidRPr="00CA37FA">
        <w:rPr>
          <w:rFonts w:ascii="Times New Roman" w:eastAsiaTheme="minorEastAsia" w:hAnsi="Times New Roman" w:cs="Times New Roman"/>
          <w:sz w:val="24"/>
          <w:szCs w:val="24"/>
        </w:rPr>
        <w:t xml:space="preserve">attēlā. </w:t>
      </w:r>
    </w:p>
    <w:p w14:paraId="3C9D9FC8" w14:textId="76252E6F" w:rsidR="00A9022E" w:rsidRPr="00CA37FA" w:rsidRDefault="00A34592" w:rsidP="00626A3E">
      <w:pPr>
        <w:jc w:val="both"/>
        <w:rPr>
          <w:rFonts w:ascii="Times New Roman" w:eastAsiaTheme="minorEastAsia" w:hAnsi="Times New Roman" w:cs="Times New Roman"/>
          <w:sz w:val="24"/>
          <w:szCs w:val="24"/>
        </w:rPr>
      </w:pPr>
      <w:r w:rsidRPr="00CA37FA">
        <w:rPr>
          <w:rFonts w:ascii="Times New Roman" w:hAnsi="Times New Roman" w:cs="Times New Roman"/>
          <w:noProof/>
          <w:sz w:val="24"/>
          <w:szCs w:val="24"/>
        </w:rPr>
        <w:lastRenderedPageBreak/>
        <w:drawing>
          <wp:inline distT="0" distB="0" distL="0" distR="0" wp14:anchorId="0B734353" wp14:editId="5FEA8950">
            <wp:extent cx="4572000" cy="2755900"/>
            <wp:effectExtent l="0" t="0" r="0" b="6350"/>
            <wp:docPr id="1699750343" name="Chart 1">
              <a:extLst xmlns:a="http://schemas.openxmlformats.org/drawingml/2006/main">
                <a:ext uri="{FF2B5EF4-FFF2-40B4-BE49-F238E27FC236}">
                  <a16:creationId xmlns:a16="http://schemas.microsoft.com/office/drawing/2014/main" id="{1D4ECF9C-2887-9787-E72C-F85A9CEF4E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BAA48B5" w14:textId="47A7F9A6" w:rsidR="00C27E67" w:rsidRPr="00CA37FA" w:rsidRDefault="00E36F79" w:rsidP="00626A3E">
      <w:pPr>
        <w:jc w:val="both"/>
        <w:rPr>
          <w:rFonts w:ascii="Times New Roman" w:eastAsiaTheme="minorEastAsia" w:hAnsi="Times New Roman" w:cs="Times New Roman"/>
          <w:i/>
          <w:sz w:val="24"/>
          <w:szCs w:val="24"/>
        </w:rPr>
      </w:pPr>
      <w:r w:rsidRPr="00CA37FA">
        <w:rPr>
          <w:rFonts w:ascii="Times New Roman" w:eastAsiaTheme="minorEastAsia" w:hAnsi="Times New Roman" w:cs="Times New Roman"/>
          <w:i/>
          <w:sz w:val="24"/>
          <w:szCs w:val="24"/>
        </w:rPr>
        <w:t>9</w:t>
      </w:r>
      <w:r w:rsidR="00D220E8" w:rsidRPr="00CA37FA">
        <w:rPr>
          <w:rFonts w:ascii="Times New Roman" w:eastAsiaTheme="minorEastAsia" w:hAnsi="Times New Roman" w:cs="Times New Roman"/>
          <w:i/>
          <w:sz w:val="24"/>
          <w:szCs w:val="24"/>
        </w:rPr>
        <w:t>.</w:t>
      </w:r>
      <w:r w:rsidR="00C27E67" w:rsidRPr="00CA37FA">
        <w:rPr>
          <w:rFonts w:ascii="Times New Roman" w:eastAsiaTheme="minorEastAsia" w:hAnsi="Times New Roman" w:cs="Times New Roman"/>
          <w:i/>
          <w:sz w:val="24"/>
          <w:szCs w:val="24"/>
        </w:rPr>
        <w:t xml:space="preserve">attēls. Tendences </w:t>
      </w:r>
      <w:r w:rsidR="003206DC" w:rsidRPr="00CA37FA">
        <w:rPr>
          <w:rFonts w:ascii="Times New Roman" w:eastAsiaTheme="minorEastAsia" w:hAnsi="Times New Roman" w:cs="Times New Roman"/>
          <w:i/>
          <w:sz w:val="24"/>
          <w:szCs w:val="24"/>
        </w:rPr>
        <w:t xml:space="preserve">ligzdojošo putnu sugām, kuru aizsardzībai jāveido </w:t>
      </w:r>
      <w:proofErr w:type="spellStart"/>
      <w:r w:rsidR="003206DC" w:rsidRPr="00CA37FA">
        <w:rPr>
          <w:rFonts w:ascii="Times New Roman" w:eastAsiaTheme="minorEastAsia" w:hAnsi="Times New Roman" w:cs="Times New Roman"/>
          <w:i/>
          <w:sz w:val="24"/>
          <w:szCs w:val="24"/>
        </w:rPr>
        <w:t>Natura</w:t>
      </w:r>
      <w:proofErr w:type="spellEnd"/>
      <w:r w:rsidR="003206DC" w:rsidRPr="00CA37FA">
        <w:rPr>
          <w:rFonts w:ascii="Times New Roman" w:eastAsiaTheme="minorEastAsia" w:hAnsi="Times New Roman" w:cs="Times New Roman"/>
          <w:i/>
          <w:sz w:val="24"/>
          <w:szCs w:val="24"/>
        </w:rPr>
        <w:t xml:space="preserve"> 2000 teritorijas</w:t>
      </w:r>
      <w:r w:rsidR="00C27E67" w:rsidRPr="00CA37FA">
        <w:rPr>
          <w:rFonts w:ascii="Times New Roman" w:eastAsiaTheme="minorEastAsia" w:hAnsi="Times New Roman" w:cs="Times New Roman"/>
          <w:i/>
          <w:sz w:val="24"/>
          <w:szCs w:val="24"/>
        </w:rPr>
        <w:t>, sugu skaits.</w:t>
      </w:r>
      <w:r w:rsidR="00EA201D" w:rsidRPr="00CA37FA">
        <w:rPr>
          <w:rFonts w:ascii="Times New Roman" w:eastAsiaTheme="minorEastAsia" w:hAnsi="Times New Roman" w:cs="Times New Roman"/>
          <w:i/>
          <w:sz w:val="24"/>
          <w:szCs w:val="24"/>
        </w:rPr>
        <w:t xml:space="preserve"> </w:t>
      </w:r>
    </w:p>
    <w:p w14:paraId="2FE5BF7D" w14:textId="22C76A56" w:rsidR="00C27E67" w:rsidRPr="00CA37FA" w:rsidRDefault="00D220E8" w:rsidP="00626A3E">
      <w:pPr>
        <w:jc w:val="both"/>
        <w:rPr>
          <w:rFonts w:ascii="Times New Roman" w:eastAsiaTheme="minorEastAsia" w:hAnsi="Times New Roman" w:cs="Times New Roman"/>
          <w:sz w:val="24"/>
          <w:szCs w:val="24"/>
        </w:rPr>
      </w:pPr>
      <w:r w:rsidRPr="00CA37FA">
        <w:rPr>
          <w:rFonts w:ascii="Times New Roman" w:hAnsi="Times New Roman" w:cs="Times New Roman"/>
          <w:noProof/>
          <w:sz w:val="24"/>
          <w:szCs w:val="24"/>
        </w:rPr>
        <w:drawing>
          <wp:inline distT="0" distB="0" distL="0" distR="0" wp14:anchorId="574736EA" wp14:editId="53377D04">
            <wp:extent cx="4572000" cy="2755900"/>
            <wp:effectExtent l="0" t="0" r="0" b="6350"/>
            <wp:docPr id="1304258852" name="Chart 1">
              <a:extLst xmlns:a="http://schemas.openxmlformats.org/drawingml/2006/main">
                <a:ext uri="{FF2B5EF4-FFF2-40B4-BE49-F238E27FC236}">
                  <a16:creationId xmlns:a16="http://schemas.microsoft.com/office/drawing/2014/main" id="{3DE95E4B-CE9F-AEC1-E01D-714F169B74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DBD9BD2" w14:textId="3693F7F0" w:rsidR="00C27E67" w:rsidRPr="00CA37FA" w:rsidRDefault="00E36F79" w:rsidP="00626A3E">
      <w:pPr>
        <w:jc w:val="both"/>
        <w:rPr>
          <w:rFonts w:ascii="Times New Roman" w:eastAsiaTheme="minorEastAsia" w:hAnsi="Times New Roman" w:cs="Times New Roman"/>
          <w:i/>
          <w:sz w:val="24"/>
          <w:szCs w:val="24"/>
        </w:rPr>
      </w:pPr>
      <w:r w:rsidRPr="00CA37FA">
        <w:rPr>
          <w:rFonts w:ascii="Times New Roman" w:eastAsiaTheme="minorEastAsia" w:hAnsi="Times New Roman" w:cs="Times New Roman"/>
          <w:i/>
          <w:sz w:val="24"/>
          <w:szCs w:val="24"/>
        </w:rPr>
        <w:t>10</w:t>
      </w:r>
      <w:r w:rsidR="00C27E67" w:rsidRPr="00CA37FA">
        <w:rPr>
          <w:rFonts w:ascii="Times New Roman" w:eastAsiaTheme="minorEastAsia" w:hAnsi="Times New Roman" w:cs="Times New Roman"/>
          <w:i/>
          <w:sz w:val="24"/>
          <w:szCs w:val="24"/>
        </w:rPr>
        <w:t xml:space="preserve">.attēls. </w:t>
      </w:r>
      <w:r w:rsidR="00D220E8" w:rsidRPr="00CA37FA">
        <w:rPr>
          <w:rFonts w:ascii="Times New Roman" w:eastAsiaTheme="minorEastAsia" w:hAnsi="Times New Roman" w:cs="Times New Roman"/>
          <w:i/>
          <w:sz w:val="24"/>
          <w:szCs w:val="24"/>
        </w:rPr>
        <w:t xml:space="preserve">Ligzdojošo putnu sugām, kuru aizsardzībai jāveido </w:t>
      </w:r>
      <w:proofErr w:type="spellStart"/>
      <w:r w:rsidR="00D220E8" w:rsidRPr="00CA37FA">
        <w:rPr>
          <w:rFonts w:ascii="Times New Roman" w:eastAsiaTheme="minorEastAsia" w:hAnsi="Times New Roman" w:cs="Times New Roman"/>
          <w:i/>
          <w:sz w:val="24"/>
          <w:szCs w:val="24"/>
        </w:rPr>
        <w:t>Natura</w:t>
      </w:r>
      <w:proofErr w:type="spellEnd"/>
      <w:r w:rsidR="00D220E8" w:rsidRPr="00CA37FA">
        <w:rPr>
          <w:rFonts w:ascii="Times New Roman" w:eastAsiaTheme="minorEastAsia" w:hAnsi="Times New Roman" w:cs="Times New Roman"/>
          <w:i/>
          <w:sz w:val="24"/>
          <w:szCs w:val="24"/>
        </w:rPr>
        <w:t xml:space="preserve"> 2000 teritorijas </w:t>
      </w:r>
      <w:r w:rsidR="00C27E67" w:rsidRPr="00CA37FA">
        <w:rPr>
          <w:rFonts w:ascii="Times New Roman" w:eastAsiaTheme="minorEastAsia" w:hAnsi="Times New Roman" w:cs="Times New Roman"/>
          <w:i/>
          <w:sz w:val="24"/>
          <w:szCs w:val="24"/>
        </w:rPr>
        <w:t xml:space="preserve">īstermiņa tendenču procentuālais sadalījums. </w:t>
      </w:r>
    </w:p>
    <w:p w14:paraId="2B5515FC" w14:textId="3423FFA7" w:rsidR="00403D28" w:rsidRPr="00CA37FA" w:rsidRDefault="002065B9" w:rsidP="00626A3E">
      <w:pPr>
        <w:jc w:val="both"/>
        <w:rPr>
          <w:rFonts w:ascii="Times New Roman" w:eastAsiaTheme="minorEastAsia" w:hAnsi="Times New Roman" w:cs="Times New Roman"/>
          <w:sz w:val="24"/>
          <w:szCs w:val="24"/>
        </w:rPr>
      </w:pPr>
      <w:r w:rsidRPr="00CA37FA">
        <w:rPr>
          <w:rFonts w:ascii="Times New Roman" w:hAnsi="Times New Roman" w:cs="Times New Roman"/>
          <w:noProof/>
          <w:sz w:val="24"/>
          <w:szCs w:val="24"/>
        </w:rPr>
        <w:lastRenderedPageBreak/>
        <w:drawing>
          <wp:inline distT="0" distB="0" distL="0" distR="0" wp14:anchorId="64137831" wp14:editId="03002BB8">
            <wp:extent cx="4562475" cy="2752725"/>
            <wp:effectExtent l="0" t="0" r="9525" b="9525"/>
            <wp:docPr id="1614466559" name="Chart 1">
              <a:extLst xmlns:a="http://schemas.openxmlformats.org/drawingml/2006/main">
                <a:ext uri="{FF2B5EF4-FFF2-40B4-BE49-F238E27FC236}">
                  <a16:creationId xmlns:a16="http://schemas.microsoft.com/office/drawing/2014/main" id="{13B35D7A-6EB6-F236-06AA-FF1A3F5460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ED0C804" w14:textId="326D1444" w:rsidR="00403D28" w:rsidRPr="00CA37FA" w:rsidRDefault="00E36F79" w:rsidP="00626A3E">
      <w:pPr>
        <w:jc w:val="both"/>
        <w:rPr>
          <w:rFonts w:ascii="Times New Roman" w:eastAsiaTheme="minorEastAsia" w:hAnsi="Times New Roman" w:cs="Times New Roman"/>
          <w:sz w:val="24"/>
          <w:szCs w:val="24"/>
        </w:rPr>
      </w:pPr>
      <w:r w:rsidRPr="00CA37FA">
        <w:rPr>
          <w:rFonts w:ascii="Times New Roman" w:eastAsiaTheme="minorEastAsia" w:hAnsi="Times New Roman" w:cs="Times New Roman"/>
          <w:i/>
          <w:sz w:val="24"/>
          <w:szCs w:val="24"/>
        </w:rPr>
        <w:t>11.</w:t>
      </w:r>
      <w:r w:rsidR="00403D28" w:rsidRPr="00CA37FA">
        <w:rPr>
          <w:rFonts w:ascii="Times New Roman" w:eastAsiaTheme="minorEastAsia" w:hAnsi="Times New Roman" w:cs="Times New Roman"/>
          <w:i/>
          <w:sz w:val="24"/>
          <w:szCs w:val="24"/>
        </w:rPr>
        <w:t xml:space="preserve">attēls. </w:t>
      </w:r>
      <w:r w:rsidR="00D220E8" w:rsidRPr="00CA37FA">
        <w:rPr>
          <w:rFonts w:ascii="Times New Roman" w:eastAsiaTheme="minorEastAsia" w:hAnsi="Times New Roman" w:cs="Times New Roman"/>
          <w:i/>
          <w:sz w:val="24"/>
          <w:szCs w:val="24"/>
        </w:rPr>
        <w:t xml:space="preserve">Ligzdojošo putnu sugām, kuru aizsardzībai jāveido </w:t>
      </w:r>
      <w:proofErr w:type="spellStart"/>
      <w:r w:rsidR="00D220E8" w:rsidRPr="00CA37FA">
        <w:rPr>
          <w:rFonts w:ascii="Times New Roman" w:eastAsiaTheme="minorEastAsia" w:hAnsi="Times New Roman" w:cs="Times New Roman"/>
          <w:i/>
          <w:sz w:val="24"/>
          <w:szCs w:val="24"/>
        </w:rPr>
        <w:t>Natura</w:t>
      </w:r>
      <w:proofErr w:type="spellEnd"/>
      <w:r w:rsidR="00D220E8" w:rsidRPr="00CA37FA">
        <w:rPr>
          <w:rFonts w:ascii="Times New Roman" w:eastAsiaTheme="minorEastAsia" w:hAnsi="Times New Roman" w:cs="Times New Roman"/>
          <w:i/>
          <w:sz w:val="24"/>
          <w:szCs w:val="24"/>
        </w:rPr>
        <w:t xml:space="preserve"> 2000 teritorijas ilgtermiņa tendenču procentuālais sadalījums.</w:t>
      </w:r>
      <w:r w:rsidR="002065B9" w:rsidRPr="00CA37FA">
        <w:rPr>
          <w:rFonts w:ascii="Times New Roman" w:eastAsiaTheme="minorEastAsia" w:hAnsi="Times New Roman" w:cs="Times New Roman"/>
          <w:i/>
          <w:sz w:val="24"/>
          <w:szCs w:val="24"/>
        </w:rPr>
        <w:t xml:space="preserve"> </w:t>
      </w:r>
    </w:p>
    <w:p w14:paraId="0F7B4A51" w14:textId="01B7B897" w:rsidR="002E730C" w:rsidRPr="00CA37FA" w:rsidRDefault="002E730C" w:rsidP="002E730C">
      <w:pPr>
        <w:ind w:firstLine="709"/>
        <w:jc w:val="both"/>
        <w:rPr>
          <w:rFonts w:ascii="Times New Roman" w:eastAsiaTheme="minorEastAsia" w:hAnsi="Times New Roman" w:cs="Times New Roman"/>
          <w:sz w:val="24"/>
          <w:szCs w:val="24"/>
        </w:rPr>
      </w:pPr>
      <w:r w:rsidRPr="00CA37FA">
        <w:rPr>
          <w:rFonts w:ascii="Times New Roman" w:eastAsiaTheme="minorEastAsia" w:hAnsi="Times New Roman" w:cs="Times New Roman"/>
          <w:sz w:val="24"/>
          <w:szCs w:val="24"/>
        </w:rPr>
        <w:t xml:space="preserve">Izvērsts vērtējums par katru ziņojumā iekļauto putnu sugu iekļauts šī </w:t>
      </w:r>
      <w:r w:rsidR="004A7C09">
        <w:rPr>
          <w:rFonts w:ascii="Times New Roman" w:eastAsiaTheme="minorEastAsia" w:hAnsi="Times New Roman" w:cs="Times New Roman"/>
          <w:sz w:val="24"/>
          <w:szCs w:val="24"/>
        </w:rPr>
        <w:t>ziņojuma</w:t>
      </w:r>
      <w:r w:rsidR="00560939">
        <w:rPr>
          <w:rFonts w:ascii="Times New Roman" w:eastAsiaTheme="minorEastAsia" w:hAnsi="Times New Roman" w:cs="Times New Roman"/>
          <w:sz w:val="24"/>
          <w:szCs w:val="24"/>
        </w:rPr>
        <w:t xml:space="preserve"> </w:t>
      </w:r>
      <w:r w:rsidRPr="00CA37FA">
        <w:rPr>
          <w:rFonts w:ascii="Times New Roman" w:eastAsiaTheme="minorEastAsia" w:hAnsi="Times New Roman" w:cs="Times New Roman"/>
          <w:sz w:val="24"/>
          <w:szCs w:val="24"/>
        </w:rPr>
        <w:t xml:space="preserve">1. pielikumā. </w:t>
      </w:r>
    </w:p>
    <w:p w14:paraId="48EE7650" w14:textId="77777777" w:rsidR="00E016FE" w:rsidRDefault="00E016FE" w:rsidP="00626A3E">
      <w:pPr>
        <w:jc w:val="both"/>
        <w:rPr>
          <w:rFonts w:ascii="Times New Roman" w:eastAsiaTheme="minorEastAsia" w:hAnsi="Times New Roman" w:cs="Times New Roman"/>
          <w:sz w:val="24"/>
          <w:szCs w:val="24"/>
        </w:rPr>
      </w:pPr>
    </w:p>
    <w:p w14:paraId="360A5554" w14:textId="20C88DA3" w:rsidR="00E016FE" w:rsidRPr="00CF5585" w:rsidRDefault="00E016FE" w:rsidP="00626A3E">
      <w:pPr>
        <w:jc w:val="both"/>
        <w:rPr>
          <w:rFonts w:ascii="Times New Roman" w:eastAsiaTheme="minorEastAsia" w:hAnsi="Times New Roman" w:cs="Times New Roman"/>
          <w:b/>
          <w:bCs/>
          <w:sz w:val="24"/>
          <w:szCs w:val="24"/>
        </w:rPr>
      </w:pPr>
      <w:r w:rsidRPr="00CF5585">
        <w:rPr>
          <w:rFonts w:ascii="Times New Roman" w:eastAsiaTheme="minorEastAsia" w:hAnsi="Times New Roman" w:cs="Times New Roman"/>
          <w:b/>
          <w:bCs/>
          <w:sz w:val="24"/>
          <w:szCs w:val="24"/>
        </w:rPr>
        <w:t>Populāciju tendenču salīdzinājums</w:t>
      </w:r>
      <w:r w:rsidR="00A23C95" w:rsidRPr="00CF5585">
        <w:rPr>
          <w:rFonts w:ascii="Times New Roman" w:eastAsiaTheme="minorEastAsia" w:hAnsi="Times New Roman" w:cs="Times New Roman"/>
          <w:b/>
          <w:bCs/>
          <w:sz w:val="24"/>
          <w:szCs w:val="24"/>
        </w:rPr>
        <w:tab/>
      </w:r>
    </w:p>
    <w:p w14:paraId="521D2EC7" w14:textId="72485F14" w:rsidR="00E016FE" w:rsidRDefault="00E016FE" w:rsidP="00E016FE">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Tā kā kopš 2013. gada ziņojuma gatavošanas metodika ir nemainīga, iespējams salīdzināt putnu populāciju tendences, lai novērtētu putnu sugu aizsardzības stāvokli. </w:t>
      </w:r>
    </w:p>
    <w:p w14:paraId="024DDABD" w14:textId="297D972C" w:rsidR="006D14AD" w:rsidRPr="00452B8E" w:rsidRDefault="00A23C95" w:rsidP="00CF5585">
      <w:pPr>
        <w:ind w:firstLine="720"/>
        <w:jc w:val="both"/>
        <w:rPr>
          <w:rFonts w:ascii="Times New Roman" w:eastAsiaTheme="minorEastAsia" w:hAnsi="Times New Roman" w:cs="Times New Roman"/>
          <w:sz w:val="24"/>
          <w:szCs w:val="24"/>
        </w:rPr>
      </w:pPr>
      <w:r w:rsidRPr="00560939">
        <w:rPr>
          <w:rFonts w:ascii="Times New Roman" w:eastAsiaTheme="minorEastAsia" w:hAnsi="Times New Roman" w:cs="Times New Roman"/>
          <w:sz w:val="24"/>
          <w:szCs w:val="24"/>
        </w:rPr>
        <w:t xml:space="preserve">Iepriekšējais ziņojums par putnu sugu populācijām un to tendencēm tika sniegts 2019. gadā par 2013.-2018. gadu. </w:t>
      </w:r>
      <w:r w:rsidR="00894F3F" w:rsidRPr="00560939">
        <w:rPr>
          <w:rFonts w:ascii="Times New Roman" w:eastAsiaTheme="minorEastAsia" w:hAnsi="Times New Roman" w:cs="Times New Roman"/>
          <w:sz w:val="24"/>
          <w:szCs w:val="24"/>
        </w:rPr>
        <w:t>Tā kā ilgtermiņa tendences tiek rēķinātas</w:t>
      </w:r>
      <w:r w:rsidR="00D36DE9" w:rsidRPr="00560939">
        <w:rPr>
          <w:rFonts w:ascii="Times New Roman" w:eastAsiaTheme="minorEastAsia" w:hAnsi="Times New Roman" w:cs="Times New Roman"/>
          <w:sz w:val="24"/>
          <w:szCs w:val="24"/>
        </w:rPr>
        <w:t>, sākot no agrākā konkrētās sugas uzskaites sākuma</w:t>
      </w:r>
      <w:r w:rsidR="00D36DE9" w:rsidRPr="00452B8E">
        <w:rPr>
          <w:rFonts w:ascii="Times New Roman" w:eastAsiaTheme="minorEastAsia" w:hAnsi="Times New Roman" w:cs="Times New Roman"/>
          <w:sz w:val="24"/>
          <w:szCs w:val="24"/>
        </w:rPr>
        <w:t xml:space="preserve"> datuma</w:t>
      </w:r>
      <w:r w:rsidR="00605807" w:rsidRPr="00452B8E">
        <w:rPr>
          <w:rFonts w:ascii="Times New Roman" w:eastAsiaTheme="minorEastAsia" w:hAnsi="Times New Roman" w:cs="Times New Roman"/>
          <w:sz w:val="24"/>
          <w:szCs w:val="24"/>
        </w:rPr>
        <w:t xml:space="preserve"> </w:t>
      </w:r>
      <w:r w:rsidR="00605807" w:rsidRPr="00452B8E">
        <w:rPr>
          <w:rFonts w:ascii="Times New Roman" w:hAnsi="Times New Roman" w:cs="Times New Roman"/>
          <w:sz w:val="24"/>
          <w:szCs w:val="24"/>
        </w:rPr>
        <w:t>(1980., 1991., 2000. vai vēlāki gadi)</w:t>
      </w:r>
      <w:r w:rsidR="00D36DE9" w:rsidRPr="00452B8E">
        <w:rPr>
          <w:rFonts w:ascii="Times New Roman" w:eastAsiaTheme="minorEastAsia" w:hAnsi="Times New Roman" w:cs="Times New Roman"/>
          <w:sz w:val="24"/>
          <w:szCs w:val="24"/>
        </w:rPr>
        <w:t>, tad ilgtermiņa tendences ir mazāk piemērotas</w:t>
      </w:r>
      <w:r w:rsidR="004D1EDC" w:rsidRPr="00452B8E">
        <w:rPr>
          <w:rFonts w:ascii="Times New Roman" w:eastAsiaTheme="minorEastAsia" w:hAnsi="Times New Roman" w:cs="Times New Roman"/>
          <w:sz w:val="24"/>
          <w:szCs w:val="24"/>
        </w:rPr>
        <w:t xml:space="preserve">, lai novērtētu </w:t>
      </w:r>
      <w:r w:rsidR="00101FD9" w:rsidRPr="00452B8E">
        <w:rPr>
          <w:rFonts w:ascii="Times New Roman" w:eastAsiaTheme="minorEastAsia" w:hAnsi="Times New Roman" w:cs="Times New Roman"/>
          <w:sz w:val="24"/>
          <w:szCs w:val="24"/>
        </w:rPr>
        <w:t>nesenāku politisko un saimniecisko lēmumu ietekmi uz putnu sugām. Šim nolūkam vairāk piemērot</w:t>
      </w:r>
      <w:r w:rsidR="004A230B" w:rsidRPr="00452B8E">
        <w:rPr>
          <w:rFonts w:ascii="Times New Roman" w:eastAsiaTheme="minorEastAsia" w:hAnsi="Times New Roman" w:cs="Times New Roman"/>
          <w:sz w:val="24"/>
          <w:szCs w:val="24"/>
        </w:rPr>
        <w:t xml:space="preserve">a īstermiņa tendenču analīze. </w:t>
      </w:r>
    </w:p>
    <w:p w14:paraId="601DDEF6" w14:textId="53CE43F9" w:rsidR="0067063F" w:rsidRPr="00452B8E" w:rsidRDefault="001D454F" w:rsidP="00E63697">
      <w:pPr>
        <w:ind w:firstLine="720"/>
        <w:jc w:val="both"/>
        <w:rPr>
          <w:rFonts w:ascii="Times New Roman" w:hAnsi="Times New Roman" w:cs="Times New Roman"/>
          <w:sz w:val="24"/>
          <w:szCs w:val="24"/>
        </w:rPr>
      </w:pPr>
      <w:bookmarkStart w:id="1" w:name="_Hlk211945487"/>
      <w:r w:rsidRPr="00E35280">
        <w:rPr>
          <w:rFonts w:ascii="Times New Roman" w:eastAsiaTheme="minorEastAsia" w:hAnsi="Times New Roman" w:cs="Times New Roman"/>
          <w:sz w:val="24"/>
          <w:szCs w:val="24"/>
        </w:rPr>
        <w:t>2019. gada ziņojumā īstermiņa tendences tika vērtētas</w:t>
      </w:r>
      <w:r w:rsidRPr="00452B8E">
        <w:rPr>
          <w:rFonts w:ascii="Times New Roman" w:eastAsiaTheme="minorEastAsia" w:hAnsi="Times New Roman" w:cs="Times New Roman"/>
          <w:sz w:val="24"/>
          <w:szCs w:val="24"/>
        </w:rPr>
        <w:t xml:space="preserve"> par </w:t>
      </w:r>
      <w:r w:rsidR="00784CF4" w:rsidRPr="00452B8E">
        <w:rPr>
          <w:rFonts w:ascii="Times New Roman" w:hAnsi="Times New Roman" w:cs="Times New Roman"/>
          <w:sz w:val="24"/>
          <w:szCs w:val="24"/>
        </w:rPr>
        <w:t>2005.-2017. gadu</w:t>
      </w:r>
      <w:r w:rsidR="00B662FC" w:rsidRPr="00452B8E">
        <w:rPr>
          <w:rFonts w:ascii="Times New Roman" w:hAnsi="Times New Roman" w:cs="Times New Roman"/>
          <w:sz w:val="24"/>
          <w:szCs w:val="24"/>
        </w:rPr>
        <w:t xml:space="preserve"> (tagad 2013.-2024. gads)</w:t>
      </w:r>
      <w:r w:rsidR="00784CF4" w:rsidRPr="00452B8E">
        <w:rPr>
          <w:rFonts w:ascii="Times New Roman" w:hAnsi="Times New Roman" w:cs="Times New Roman"/>
          <w:sz w:val="24"/>
          <w:szCs w:val="24"/>
        </w:rPr>
        <w:t>.</w:t>
      </w:r>
      <w:r w:rsidR="00746F81" w:rsidRPr="00452B8E">
        <w:rPr>
          <w:rFonts w:ascii="Times New Roman" w:hAnsi="Times New Roman" w:cs="Times New Roman"/>
          <w:sz w:val="24"/>
          <w:szCs w:val="24"/>
        </w:rPr>
        <w:t xml:space="preserve"> </w:t>
      </w:r>
      <w:r w:rsidR="00760B55" w:rsidRPr="00452B8E">
        <w:rPr>
          <w:rFonts w:ascii="Times New Roman" w:hAnsi="Times New Roman" w:cs="Times New Roman"/>
          <w:sz w:val="24"/>
          <w:szCs w:val="24"/>
        </w:rPr>
        <w:t xml:space="preserve">Tā kā īstermiņa tendenču periodi daļēji pārklājas, </w:t>
      </w:r>
      <w:r w:rsidR="00746F81" w:rsidRPr="00452B8E">
        <w:rPr>
          <w:rFonts w:ascii="Times New Roman" w:hAnsi="Times New Roman" w:cs="Times New Roman"/>
          <w:sz w:val="24"/>
          <w:szCs w:val="24"/>
        </w:rPr>
        <w:t xml:space="preserve"> abu ziņojumu </w:t>
      </w:r>
      <w:r w:rsidR="00760B55" w:rsidRPr="00452B8E">
        <w:rPr>
          <w:rFonts w:ascii="Times New Roman" w:hAnsi="Times New Roman" w:cs="Times New Roman"/>
          <w:sz w:val="24"/>
          <w:szCs w:val="24"/>
        </w:rPr>
        <w:t>vērtējumi</w:t>
      </w:r>
      <w:r w:rsidR="00746F81" w:rsidRPr="00452B8E">
        <w:rPr>
          <w:rFonts w:ascii="Times New Roman" w:hAnsi="Times New Roman" w:cs="Times New Roman"/>
          <w:sz w:val="24"/>
          <w:szCs w:val="24"/>
        </w:rPr>
        <w:t xml:space="preserve"> </w:t>
      </w:r>
      <w:r w:rsidR="00D55264" w:rsidRPr="00452B8E">
        <w:rPr>
          <w:rFonts w:ascii="Times New Roman" w:hAnsi="Times New Roman" w:cs="Times New Roman"/>
          <w:sz w:val="24"/>
          <w:szCs w:val="24"/>
        </w:rPr>
        <w:t xml:space="preserve">tiešā veidā </w:t>
      </w:r>
      <w:r w:rsidR="00746F81" w:rsidRPr="00452B8E">
        <w:rPr>
          <w:rFonts w:ascii="Times New Roman" w:hAnsi="Times New Roman" w:cs="Times New Roman"/>
          <w:sz w:val="24"/>
          <w:szCs w:val="24"/>
        </w:rPr>
        <w:t>nav salīdzinām</w:t>
      </w:r>
      <w:r w:rsidR="00760B55" w:rsidRPr="00452B8E">
        <w:rPr>
          <w:rFonts w:ascii="Times New Roman" w:hAnsi="Times New Roman" w:cs="Times New Roman"/>
          <w:sz w:val="24"/>
          <w:szCs w:val="24"/>
        </w:rPr>
        <w:t xml:space="preserve">i. </w:t>
      </w:r>
      <w:r w:rsidR="00D55264" w:rsidRPr="00452B8E">
        <w:rPr>
          <w:rFonts w:ascii="Times New Roman" w:hAnsi="Times New Roman" w:cs="Times New Roman"/>
          <w:sz w:val="24"/>
          <w:szCs w:val="24"/>
        </w:rPr>
        <w:t xml:space="preserve">Tomēr iespējams novērtēt, kuru putnu sugu </w:t>
      </w:r>
      <w:r w:rsidR="002A1C8E">
        <w:rPr>
          <w:rFonts w:ascii="Times New Roman" w:hAnsi="Times New Roman" w:cs="Times New Roman"/>
          <w:sz w:val="24"/>
          <w:szCs w:val="24"/>
        </w:rPr>
        <w:t xml:space="preserve">īstermiņa </w:t>
      </w:r>
      <w:r w:rsidR="00894F3F" w:rsidRPr="00452B8E">
        <w:rPr>
          <w:rFonts w:ascii="Times New Roman" w:hAnsi="Times New Roman" w:cs="Times New Roman"/>
          <w:sz w:val="24"/>
          <w:szCs w:val="24"/>
        </w:rPr>
        <w:t xml:space="preserve">tendenču vērtējumi ir </w:t>
      </w:r>
      <w:r w:rsidR="004A230B" w:rsidRPr="00452B8E">
        <w:rPr>
          <w:rFonts w:ascii="Times New Roman" w:hAnsi="Times New Roman" w:cs="Times New Roman"/>
          <w:sz w:val="24"/>
          <w:szCs w:val="24"/>
        </w:rPr>
        <w:t>vienādi</w:t>
      </w:r>
      <w:r w:rsidR="002D1D43">
        <w:rPr>
          <w:rFonts w:ascii="Times New Roman" w:hAnsi="Times New Roman" w:cs="Times New Roman"/>
          <w:sz w:val="24"/>
          <w:szCs w:val="24"/>
        </w:rPr>
        <w:t xml:space="preserve"> ziņojumos par Putnu direktīvas ieviešanu 2013.-2018. un 2019.-2024. gadā</w:t>
      </w:r>
      <w:r w:rsidR="004A230B" w:rsidRPr="00452B8E">
        <w:rPr>
          <w:rFonts w:ascii="Times New Roman" w:hAnsi="Times New Roman" w:cs="Times New Roman"/>
          <w:sz w:val="24"/>
          <w:szCs w:val="24"/>
        </w:rPr>
        <w:t xml:space="preserve">, kas varētu liecināt par </w:t>
      </w:r>
      <w:r w:rsidR="00B75BC7" w:rsidRPr="00452B8E">
        <w:rPr>
          <w:rFonts w:ascii="Times New Roman" w:hAnsi="Times New Roman" w:cs="Times New Roman"/>
          <w:sz w:val="24"/>
          <w:szCs w:val="24"/>
        </w:rPr>
        <w:t xml:space="preserve">populāciju stāvokli. </w:t>
      </w:r>
    </w:p>
    <w:p w14:paraId="3CE82087" w14:textId="3855D0D7" w:rsidR="00B75BC7" w:rsidRPr="00452B8E" w:rsidRDefault="00B75BC7" w:rsidP="00E63697">
      <w:pPr>
        <w:ind w:firstLine="720"/>
        <w:jc w:val="both"/>
        <w:rPr>
          <w:rFonts w:ascii="Times New Roman" w:hAnsi="Times New Roman" w:cs="Times New Roman"/>
          <w:sz w:val="24"/>
          <w:szCs w:val="24"/>
        </w:rPr>
      </w:pPr>
      <w:r w:rsidRPr="00507301">
        <w:rPr>
          <w:rFonts w:ascii="Times New Roman" w:hAnsi="Times New Roman" w:cs="Times New Roman"/>
          <w:sz w:val="24"/>
          <w:szCs w:val="24"/>
        </w:rPr>
        <w:t xml:space="preserve">Abos ziņojumos </w:t>
      </w:r>
      <w:r w:rsidR="00EC4A37" w:rsidRPr="00507301">
        <w:rPr>
          <w:rFonts w:ascii="Times New Roman" w:hAnsi="Times New Roman" w:cs="Times New Roman"/>
          <w:sz w:val="24"/>
          <w:szCs w:val="24"/>
        </w:rPr>
        <w:t>21</w:t>
      </w:r>
      <w:r w:rsidR="00EC4A37" w:rsidRPr="00452B8E">
        <w:rPr>
          <w:rFonts w:ascii="Times New Roman" w:hAnsi="Times New Roman" w:cs="Times New Roman"/>
          <w:sz w:val="24"/>
          <w:szCs w:val="24"/>
        </w:rPr>
        <w:t xml:space="preserve"> putnu sugai populācijas vērtējums ir “stabila”</w:t>
      </w:r>
      <w:r w:rsidR="001474D7" w:rsidRPr="00452B8E">
        <w:rPr>
          <w:rFonts w:ascii="Times New Roman" w:hAnsi="Times New Roman" w:cs="Times New Roman"/>
          <w:sz w:val="24"/>
          <w:szCs w:val="24"/>
        </w:rPr>
        <w:t xml:space="preserve">, tai skaitā 10 sugām, kuru aizsardzībai </w:t>
      </w:r>
      <w:r w:rsidR="007472CE" w:rsidRPr="00452B8E">
        <w:rPr>
          <w:rFonts w:ascii="Times New Roman" w:hAnsi="Times New Roman" w:cs="Times New Roman"/>
          <w:sz w:val="24"/>
          <w:szCs w:val="24"/>
        </w:rPr>
        <w:t xml:space="preserve">jāveido </w:t>
      </w:r>
      <w:proofErr w:type="spellStart"/>
      <w:r w:rsidR="007472CE" w:rsidRPr="00452B8E">
        <w:rPr>
          <w:rFonts w:ascii="Times New Roman" w:hAnsi="Times New Roman" w:cs="Times New Roman"/>
          <w:sz w:val="24"/>
          <w:szCs w:val="24"/>
        </w:rPr>
        <w:t>Natura</w:t>
      </w:r>
      <w:proofErr w:type="spellEnd"/>
      <w:r w:rsidR="007472CE" w:rsidRPr="00452B8E">
        <w:rPr>
          <w:rFonts w:ascii="Times New Roman" w:hAnsi="Times New Roman" w:cs="Times New Roman"/>
          <w:sz w:val="24"/>
          <w:szCs w:val="24"/>
        </w:rPr>
        <w:t xml:space="preserve"> 2000 teritorijas. Tomēr jāatzīmē, ka 6 no </w:t>
      </w:r>
      <w:r w:rsidR="00151DE7" w:rsidRPr="00452B8E">
        <w:rPr>
          <w:rFonts w:ascii="Times New Roman" w:hAnsi="Times New Roman" w:cs="Times New Roman"/>
          <w:sz w:val="24"/>
          <w:szCs w:val="24"/>
        </w:rPr>
        <w:t xml:space="preserve">šīm </w:t>
      </w:r>
      <w:r w:rsidR="007472CE" w:rsidRPr="00452B8E">
        <w:rPr>
          <w:rFonts w:ascii="Times New Roman" w:hAnsi="Times New Roman" w:cs="Times New Roman"/>
          <w:sz w:val="24"/>
          <w:szCs w:val="24"/>
        </w:rPr>
        <w:t xml:space="preserve">10 sugām </w:t>
      </w:r>
      <w:r w:rsidR="00E042C9" w:rsidRPr="00452B8E">
        <w:rPr>
          <w:rFonts w:ascii="Times New Roman" w:hAnsi="Times New Roman" w:cs="Times New Roman"/>
          <w:sz w:val="24"/>
          <w:szCs w:val="24"/>
        </w:rPr>
        <w:t xml:space="preserve">populācijas </w:t>
      </w:r>
      <w:r w:rsidR="00507301">
        <w:rPr>
          <w:rFonts w:ascii="Times New Roman" w:hAnsi="Times New Roman" w:cs="Times New Roman"/>
          <w:sz w:val="24"/>
          <w:szCs w:val="24"/>
        </w:rPr>
        <w:t xml:space="preserve">skaita </w:t>
      </w:r>
      <w:r w:rsidR="00E042C9" w:rsidRPr="00452B8E">
        <w:rPr>
          <w:rFonts w:ascii="Times New Roman" w:hAnsi="Times New Roman" w:cs="Times New Roman"/>
          <w:sz w:val="24"/>
          <w:szCs w:val="24"/>
        </w:rPr>
        <w:t xml:space="preserve">vērtējums ir 0. </w:t>
      </w:r>
      <w:r w:rsidR="004D7FA5" w:rsidRPr="00452B8E">
        <w:rPr>
          <w:rFonts w:ascii="Times New Roman" w:hAnsi="Times New Roman" w:cs="Times New Roman"/>
          <w:sz w:val="24"/>
          <w:szCs w:val="24"/>
        </w:rPr>
        <w:t>T</w:t>
      </w:r>
      <w:r w:rsidR="00E042C9" w:rsidRPr="00452B8E">
        <w:rPr>
          <w:rFonts w:ascii="Times New Roman" w:hAnsi="Times New Roman" w:cs="Times New Roman"/>
          <w:sz w:val="24"/>
          <w:szCs w:val="24"/>
        </w:rPr>
        <w:t xml:space="preserve">as nozīmē, ka Latvija ietilpst sugas izplatības areālā, bet Latvijā nav sastopama. </w:t>
      </w:r>
    </w:p>
    <w:bookmarkEnd w:id="1"/>
    <w:p w14:paraId="7C7A00EA" w14:textId="2DB86DD1" w:rsidR="0086344B" w:rsidRPr="00452B8E" w:rsidRDefault="00655AB9" w:rsidP="00E63697">
      <w:pPr>
        <w:ind w:firstLine="720"/>
        <w:jc w:val="both"/>
        <w:rPr>
          <w:rFonts w:ascii="Times New Roman" w:hAnsi="Times New Roman" w:cs="Times New Roman"/>
          <w:sz w:val="24"/>
          <w:szCs w:val="24"/>
        </w:rPr>
      </w:pPr>
      <w:r w:rsidRPr="00452B8E">
        <w:rPr>
          <w:rFonts w:ascii="Times New Roman" w:hAnsi="Times New Roman" w:cs="Times New Roman"/>
          <w:sz w:val="24"/>
          <w:szCs w:val="24"/>
        </w:rPr>
        <w:lastRenderedPageBreak/>
        <w:t>Pieaugošs populācijas vērtējums abos ziņojumos arī 21 sugai</w:t>
      </w:r>
      <w:r w:rsidR="001727CF" w:rsidRPr="00452B8E">
        <w:rPr>
          <w:rFonts w:ascii="Times New Roman" w:hAnsi="Times New Roman" w:cs="Times New Roman"/>
          <w:sz w:val="24"/>
          <w:szCs w:val="24"/>
        </w:rPr>
        <w:t xml:space="preserve">, tai skaitā 6 sugām, kuru aizsardzībai veidojamas </w:t>
      </w:r>
      <w:proofErr w:type="spellStart"/>
      <w:r w:rsidR="001727CF" w:rsidRPr="00452B8E">
        <w:rPr>
          <w:rFonts w:ascii="Times New Roman" w:hAnsi="Times New Roman" w:cs="Times New Roman"/>
          <w:sz w:val="24"/>
          <w:szCs w:val="24"/>
        </w:rPr>
        <w:t>Natura</w:t>
      </w:r>
      <w:proofErr w:type="spellEnd"/>
      <w:r w:rsidR="001727CF" w:rsidRPr="00452B8E">
        <w:rPr>
          <w:rFonts w:ascii="Times New Roman" w:hAnsi="Times New Roman" w:cs="Times New Roman"/>
          <w:sz w:val="24"/>
          <w:szCs w:val="24"/>
        </w:rPr>
        <w:t xml:space="preserve"> 2000 teritorijas </w:t>
      </w:r>
      <w:r w:rsidR="00442BE8" w:rsidRPr="00452B8E">
        <w:rPr>
          <w:rFonts w:ascii="Times New Roman" w:hAnsi="Times New Roman" w:cs="Times New Roman"/>
          <w:sz w:val="24"/>
          <w:szCs w:val="24"/>
        </w:rPr>
        <w:t>(</w:t>
      </w:r>
      <w:r w:rsidR="007D3DBC" w:rsidRPr="00452B8E">
        <w:rPr>
          <w:rFonts w:ascii="Times New Roman" w:hAnsi="Times New Roman" w:cs="Times New Roman"/>
          <w:sz w:val="24"/>
          <w:szCs w:val="24"/>
        </w:rPr>
        <w:t>z</w:t>
      </w:r>
      <w:r w:rsidR="00442BE8" w:rsidRPr="00452B8E">
        <w:rPr>
          <w:rFonts w:ascii="Times New Roman" w:hAnsi="Times New Roman" w:cs="Times New Roman"/>
          <w:sz w:val="24"/>
          <w:szCs w:val="24"/>
        </w:rPr>
        <w:t xml:space="preserve">iemeļu gulbis, melnā klija, sarkanā klija, klinšu ērglis, </w:t>
      </w:r>
      <w:proofErr w:type="spellStart"/>
      <w:r w:rsidR="00442BE8" w:rsidRPr="00452B8E">
        <w:rPr>
          <w:rFonts w:ascii="Times New Roman" w:hAnsi="Times New Roman" w:cs="Times New Roman"/>
          <w:sz w:val="24"/>
          <w:szCs w:val="24"/>
        </w:rPr>
        <w:t>baltvaigu</w:t>
      </w:r>
      <w:proofErr w:type="spellEnd"/>
      <w:r w:rsidR="00442BE8" w:rsidRPr="00452B8E">
        <w:rPr>
          <w:rFonts w:ascii="Times New Roman" w:hAnsi="Times New Roman" w:cs="Times New Roman"/>
          <w:sz w:val="24"/>
          <w:szCs w:val="24"/>
        </w:rPr>
        <w:t xml:space="preserve"> zīriņš un baltais gārnis). </w:t>
      </w:r>
    </w:p>
    <w:p w14:paraId="64605777" w14:textId="236DBA3D" w:rsidR="00897054" w:rsidRPr="00452B8E" w:rsidRDefault="006B38EE" w:rsidP="00E63697">
      <w:pPr>
        <w:ind w:firstLine="709"/>
        <w:jc w:val="both"/>
        <w:rPr>
          <w:rFonts w:ascii="Times New Roman" w:hAnsi="Times New Roman" w:cs="Times New Roman"/>
          <w:sz w:val="24"/>
          <w:szCs w:val="24"/>
        </w:rPr>
      </w:pPr>
      <w:r w:rsidRPr="00452B8E">
        <w:rPr>
          <w:rFonts w:ascii="Times New Roman" w:hAnsi="Times New Roman" w:cs="Times New Roman"/>
          <w:sz w:val="24"/>
          <w:szCs w:val="24"/>
        </w:rPr>
        <w:t>Ilgstošs populācijas samazinājums vērojams 17 sugām, tai skaitā</w:t>
      </w:r>
      <w:r w:rsidR="007D3DBC" w:rsidRPr="00452B8E">
        <w:rPr>
          <w:rFonts w:ascii="Times New Roman" w:hAnsi="Times New Roman" w:cs="Times New Roman"/>
          <w:sz w:val="24"/>
          <w:szCs w:val="24"/>
        </w:rPr>
        <w:t xml:space="preserve"> 8 sugām, kuru aizsardzībai veidojamas </w:t>
      </w:r>
      <w:proofErr w:type="spellStart"/>
      <w:r w:rsidR="007D3DBC" w:rsidRPr="00452B8E">
        <w:rPr>
          <w:rFonts w:ascii="Times New Roman" w:hAnsi="Times New Roman" w:cs="Times New Roman"/>
          <w:sz w:val="24"/>
          <w:szCs w:val="24"/>
        </w:rPr>
        <w:t>Natura</w:t>
      </w:r>
      <w:proofErr w:type="spellEnd"/>
      <w:r w:rsidR="007D3DBC" w:rsidRPr="00452B8E">
        <w:rPr>
          <w:rFonts w:ascii="Times New Roman" w:hAnsi="Times New Roman" w:cs="Times New Roman"/>
          <w:sz w:val="24"/>
          <w:szCs w:val="24"/>
        </w:rPr>
        <w:t xml:space="preserve"> 2000 teritorijas (mazais dumpis, </w:t>
      </w:r>
      <w:proofErr w:type="spellStart"/>
      <w:r w:rsidR="007D3DBC" w:rsidRPr="00452B8E">
        <w:rPr>
          <w:rFonts w:ascii="Times New Roman" w:hAnsi="Times New Roman" w:cs="Times New Roman"/>
          <w:sz w:val="24"/>
          <w:szCs w:val="24"/>
        </w:rPr>
        <w:t>čūskērglis</w:t>
      </w:r>
      <w:proofErr w:type="spellEnd"/>
      <w:r w:rsidR="007D3DBC" w:rsidRPr="00452B8E">
        <w:rPr>
          <w:rFonts w:ascii="Times New Roman" w:hAnsi="Times New Roman" w:cs="Times New Roman"/>
          <w:sz w:val="24"/>
          <w:szCs w:val="24"/>
        </w:rPr>
        <w:t xml:space="preserve">, grieze, zaļā vārna, stepes </w:t>
      </w:r>
      <w:proofErr w:type="spellStart"/>
      <w:r w:rsidR="007D3DBC" w:rsidRPr="00452B8E">
        <w:rPr>
          <w:rFonts w:ascii="Times New Roman" w:hAnsi="Times New Roman" w:cs="Times New Roman"/>
          <w:sz w:val="24"/>
          <w:szCs w:val="24"/>
        </w:rPr>
        <w:t>čipste</w:t>
      </w:r>
      <w:proofErr w:type="spellEnd"/>
      <w:r w:rsidR="007D3DBC" w:rsidRPr="00452B8E">
        <w:rPr>
          <w:rFonts w:ascii="Times New Roman" w:hAnsi="Times New Roman" w:cs="Times New Roman"/>
          <w:sz w:val="24"/>
          <w:szCs w:val="24"/>
        </w:rPr>
        <w:t xml:space="preserve">, brūnā čakste, dārza stērste un mežirbe). </w:t>
      </w:r>
    </w:p>
    <w:p w14:paraId="060610A4" w14:textId="67295193" w:rsidR="0067063F" w:rsidRPr="00452B8E" w:rsidRDefault="00A7780A" w:rsidP="00BA2503">
      <w:pPr>
        <w:ind w:firstLine="709"/>
        <w:jc w:val="both"/>
        <w:rPr>
          <w:rFonts w:ascii="Times New Roman" w:eastAsiaTheme="minorEastAsia" w:hAnsi="Times New Roman" w:cs="Times New Roman"/>
          <w:b/>
          <w:sz w:val="24"/>
          <w:szCs w:val="24"/>
        </w:rPr>
      </w:pPr>
      <w:r w:rsidRPr="00452B8E">
        <w:rPr>
          <w:rFonts w:ascii="Times New Roman" w:eastAsiaTheme="minorEastAsia" w:hAnsi="Times New Roman" w:cs="Times New Roman"/>
          <w:b/>
          <w:sz w:val="24"/>
          <w:szCs w:val="24"/>
        </w:rPr>
        <w:t>Ziņojuma gatavošanā izmantotie dati</w:t>
      </w:r>
    </w:p>
    <w:p w14:paraId="372B4F5E" w14:textId="40109CF3" w:rsidR="00A7780A" w:rsidRPr="00452B8E" w:rsidRDefault="00A7780A" w:rsidP="00BA2503">
      <w:pPr>
        <w:ind w:firstLine="709"/>
        <w:jc w:val="both"/>
        <w:rPr>
          <w:rFonts w:ascii="Times New Roman" w:eastAsiaTheme="minorEastAsia" w:hAnsi="Times New Roman" w:cs="Times New Roman"/>
          <w:sz w:val="24"/>
          <w:szCs w:val="24"/>
        </w:rPr>
      </w:pPr>
      <w:r w:rsidRPr="00452B8E">
        <w:rPr>
          <w:rFonts w:ascii="Times New Roman" w:eastAsiaTheme="minorEastAsia" w:hAnsi="Times New Roman" w:cs="Times New Roman"/>
          <w:sz w:val="24"/>
          <w:szCs w:val="24"/>
        </w:rPr>
        <w:t xml:space="preserve">Pilns </w:t>
      </w:r>
      <w:r w:rsidR="0082302B">
        <w:rPr>
          <w:rFonts w:ascii="Times New Roman" w:eastAsiaTheme="minorEastAsia" w:hAnsi="Times New Roman" w:cs="Times New Roman"/>
          <w:sz w:val="24"/>
          <w:szCs w:val="24"/>
        </w:rPr>
        <w:t xml:space="preserve">ziņojumā </w:t>
      </w:r>
      <w:r w:rsidRPr="00452B8E">
        <w:rPr>
          <w:rFonts w:ascii="Times New Roman" w:eastAsiaTheme="minorEastAsia" w:hAnsi="Times New Roman" w:cs="Times New Roman"/>
          <w:sz w:val="24"/>
          <w:szCs w:val="24"/>
        </w:rPr>
        <w:t xml:space="preserve">izmantoto datu un atsauču saraksts pieejams </w:t>
      </w:r>
      <w:r w:rsidR="00E016FE">
        <w:rPr>
          <w:rFonts w:ascii="Times New Roman" w:eastAsiaTheme="minorEastAsia" w:hAnsi="Times New Roman" w:cs="Times New Roman"/>
          <w:sz w:val="24"/>
          <w:szCs w:val="24"/>
        </w:rPr>
        <w:t xml:space="preserve">informatīvā </w:t>
      </w:r>
      <w:r w:rsidRPr="00452B8E">
        <w:rPr>
          <w:rFonts w:ascii="Times New Roman" w:eastAsiaTheme="minorEastAsia" w:hAnsi="Times New Roman" w:cs="Times New Roman"/>
          <w:sz w:val="24"/>
          <w:szCs w:val="24"/>
        </w:rPr>
        <w:t xml:space="preserve"> </w:t>
      </w:r>
      <w:r w:rsidR="0082302B">
        <w:rPr>
          <w:rFonts w:ascii="Times New Roman" w:eastAsiaTheme="minorEastAsia" w:hAnsi="Times New Roman" w:cs="Times New Roman"/>
          <w:sz w:val="24"/>
          <w:szCs w:val="24"/>
        </w:rPr>
        <w:t xml:space="preserve">ziņojuma </w:t>
      </w:r>
      <w:r w:rsidRPr="00452B8E">
        <w:rPr>
          <w:rFonts w:ascii="Times New Roman" w:eastAsiaTheme="minorEastAsia" w:hAnsi="Times New Roman" w:cs="Times New Roman"/>
          <w:sz w:val="24"/>
          <w:szCs w:val="24"/>
        </w:rPr>
        <w:t xml:space="preserve">2. pielikumā. </w:t>
      </w:r>
    </w:p>
    <w:p w14:paraId="3A014910" w14:textId="5861DBA9" w:rsidR="00E55B48" w:rsidRPr="00CA37FA" w:rsidRDefault="00A7780A" w:rsidP="00BA2503">
      <w:pPr>
        <w:ind w:firstLine="709"/>
        <w:jc w:val="both"/>
        <w:rPr>
          <w:rFonts w:ascii="Times New Roman" w:eastAsiaTheme="minorEastAsia" w:hAnsi="Times New Roman" w:cs="Times New Roman"/>
          <w:sz w:val="24"/>
          <w:szCs w:val="24"/>
        </w:rPr>
      </w:pPr>
      <w:r w:rsidRPr="00452B8E">
        <w:rPr>
          <w:rFonts w:ascii="Times New Roman" w:eastAsiaTheme="minorEastAsia" w:hAnsi="Times New Roman" w:cs="Times New Roman"/>
          <w:sz w:val="24"/>
          <w:szCs w:val="24"/>
        </w:rPr>
        <w:t>Kopš 2013. gada DAP ir nodrošinājis ligzdojošo putnu datu ievākšanu, kā arī dažādu putnu sugu monitoringu.</w:t>
      </w:r>
      <w:r w:rsidR="00EA55EF" w:rsidRPr="00452B8E">
        <w:rPr>
          <w:rFonts w:ascii="Times New Roman" w:eastAsiaTheme="minorEastAsia" w:hAnsi="Times New Roman" w:cs="Times New Roman"/>
          <w:sz w:val="24"/>
          <w:szCs w:val="24"/>
        </w:rPr>
        <w:t xml:space="preserve"> Tomēr monitoringam pieejamais finansējums</w:t>
      </w:r>
      <w:r w:rsidR="00527CA9" w:rsidRPr="00452B8E">
        <w:rPr>
          <w:rFonts w:ascii="Times New Roman" w:eastAsiaTheme="minorEastAsia" w:hAnsi="Times New Roman" w:cs="Times New Roman"/>
          <w:sz w:val="24"/>
          <w:szCs w:val="24"/>
        </w:rPr>
        <w:t xml:space="preserve"> nav pietiekošs pilnīgai datu ievākšanai.</w:t>
      </w:r>
      <w:r w:rsidRPr="00452B8E">
        <w:rPr>
          <w:rFonts w:ascii="Times New Roman" w:eastAsiaTheme="minorEastAsia" w:hAnsi="Times New Roman" w:cs="Times New Roman"/>
          <w:sz w:val="24"/>
          <w:szCs w:val="24"/>
        </w:rPr>
        <w:t xml:space="preserve"> Tas attēlots </w:t>
      </w:r>
      <w:r w:rsidR="002065B9" w:rsidRPr="00452B8E">
        <w:rPr>
          <w:rFonts w:ascii="Times New Roman" w:eastAsiaTheme="minorEastAsia" w:hAnsi="Times New Roman" w:cs="Times New Roman"/>
          <w:sz w:val="24"/>
          <w:szCs w:val="24"/>
        </w:rPr>
        <w:t>1</w:t>
      </w:r>
      <w:r w:rsidR="00527CA9" w:rsidRPr="00452B8E">
        <w:rPr>
          <w:rFonts w:ascii="Times New Roman" w:eastAsiaTheme="minorEastAsia" w:hAnsi="Times New Roman" w:cs="Times New Roman"/>
          <w:sz w:val="24"/>
          <w:szCs w:val="24"/>
        </w:rPr>
        <w:t>2</w:t>
      </w:r>
      <w:r w:rsidRPr="00452B8E">
        <w:rPr>
          <w:rFonts w:ascii="Times New Roman" w:eastAsiaTheme="minorEastAsia" w:hAnsi="Times New Roman" w:cs="Times New Roman"/>
          <w:sz w:val="24"/>
          <w:szCs w:val="24"/>
        </w:rPr>
        <w:t xml:space="preserve">. attēlā, kur redzams, ka </w:t>
      </w:r>
      <w:r w:rsidR="00C25615" w:rsidRPr="00452B8E">
        <w:rPr>
          <w:rFonts w:ascii="Times New Roman" w:eastAsiaTheme="minorEastAsia" w:hAnsi="Times New Roman" w:cs="Times New Roman"/>
          <w:sz w:val="24"/>
          <w:szCs w:val="24"/>
        </w:rPr>
        <w:t xml:space="preserve">76% vērtējumu </w:t>
      </w:r>
      <w:r w:rsidR="008801B4" w:rsidRPr="00452B8E">
        <w:rPr>
          <w:rFonts w:ascii="Times New Roman" w:eastAsiaTheme="minorEastAsia" w:hAnsi="Times New Roman" w:cs="Times New Roman"/>
          <w:sz w:val="24"/>
          <w:szCs w:val="24"/>
        </w:rPr>
        <w:t xml:space="preserve">balstīti </w:t>
      </w:r>
      <w:r w:rsidRPr="00452B8E">
        <w:rPr>
          <w:rFonts w:ascii="Times New Roman" w:eastAsiaTheme="minorEastAsia" w:hAnsi="Times New Roman" w:cs="Times New Roman"/>
          <w:sz w:val="24"/>
          <w:szCs w:val="24"/>
        </w:rPr>
        <w:t>uz pilnīgie</w:t>
      </w:r>
      <w:r w:rsidRPr="00CA37FA">
        <w:rPr>
          <w:rFonts w:ascii="Times New Roman" w:eastAsiaTheme="minorEastAsia" w:hAnsi="Times New Roman" w:cs="Times New Roman"/>
          <w:sz w:val="24"/>
          <w:szCs w:val="24"/>
        </w:rPr>
        <w:t>m datiem vai datu ekstrapolāciju pēc noteikta algoritma no nepiln</w:t>
      </w:r>
      <w:r w:rsidR="0014474F" w:rsidRPr="00CA37FA">
        <w:rPr>
          <w:rFonts w:ascii="Times New Roman" w:eastAsiaTheme="minorEastAsia" w:hAnsi="Times New Roman" w:cs="Times New Roman"/>
          <w:sz w:val="24"/>
          <w:szCs w:val="24"/>
        </w:rPr>
        <w:t>īgām uzskaitē</w:t>
      </w:r>
      <w:r w:rsidR="008801B4" w:rsidRPr="00CA37FA">
        <w:rPr>
          <w:rFonts w:ascii="Times New Roman" w:eastAsiaTheme="minorEastAsia" w:hAnsi="Times New Roman" w:cs="Times New Roman"/>
          <w:sz w:val="24"/>
          <w:szCs w:val="24"/>
        </w:rPr>
        <w:t>m</w:t>
      </w:r>
      <w:r w:rsidR="00DD1C2D" w:rsidRPr="00CA37FA">
        <w:rPr>
          <w:rFonts w:ascii="Times New Roman" w:eastAsiaTheme="minorEastAsia" w:hAnsi="Times New Roman" w:cs="Times New Roman"/>
          <w:sz w:val="24"/>
          <w:szCs w:val="24"/>
        </w:rPr>
        <w:t xml:space="preserve"> (iepriekšējā ziņojumā šādā veidā tika noteikti 80% vērtējumu)</w:t>
      </w:r>
      <w:r w:rsidR="008801B4" w:rsidRPr="00CA37FA">
        <w:rPr>
          <w:rFonts w:ascii="Times New Roman" w:eastAsiaTheme="minorEastAsia" w:hAnsi="Times New Roman" w:cs="Times New Roman"/>
          <w:sz w:val="24"/>
          <w:szCs w:val="24"/>
        </w:rPr>
        <w:t xml:space="preserve">. </w:t>
      </w:r>
    </w:p>
    <w:p w14:paraId="515BE1AF" w14:textId="7D6AAF11" w:rsidR="00A7780A" w:rsidRPr="00CA37FA" w:rsidRDefault="00DD1C2D" w:rsidP="00BA2503">
      <w:pPr>
        <w:ind w:firstLine="709"/>
        <w:jc w:val="both"/>
        <w:rPr>
          <w:rFonts w:ascii="Times New Roman" w:eastAsiaTheme="minorEastAsia" w:hAnsi="Times New Roman" w:cs="Times New Roman"/>
          <w:sz w:val="24"/>
          <w:szCs w:val="24"/>
        </w:rPr>
      </w:pPr>
      <w:r w:rsidRPr="00CA37FA">
        <w:rPr>
          <w:rFonts w:ascii="Times New Roman" w:eastAsiaTheme="minorEastAsia" w:hAnsi="Times New Roman" w:cs="Times New Roman"/>
          <w:sz w:val="24"/>
          <w:szCs w:val="24"/>
        </w:rPr>
        <w:t>Salīdzinoši samazinājies vērtējumu skaits, kas ba</w:t>
      </w:r>
      <w:r w:rsidR="00A7780A" w:rsidRPr="00CA37FA">
        <w:rPr>
          <w:rFonts w:ascii="Times New Roman" w:eastAsiaTheme="minorEastAsia" w:hAnsi="Times New Roman" w:cs="Times New Roman"/>
          <w:sz w:val="24"/>
          <w:szCs w:val="24"/>
        </w:rPr>
        <w:t>lstīt</w:t>
      </w:r>
      <w:r w:rsidRPr="00CA37FA">
        <w:rPr>
          <w:rFonts w:ascii="Times New Roman" w:eastAsiaTheme="minorEastAsia" w:hAnsi="Times New Roman" w:cs="Times New Roman"/>
          <w:sz w:val="24"/>
          <w:szCs w:val="24"/>
        </w:rPr>
        <w:t>s</w:t>
      </w:r>
      <w:r w:rsidR="00A7780A" w:rsidRPr="00CA37FA">
        <w:rPr>
          <w:rFonts w:ascii="Times New Roman" w:eastAsiaTheme="minorEastAsia" w:hAnsi="Times New Roman" w:cs="Times New Roman"/>
          <w:sz w:val="24"/>
          <w:szCs w:val="24"/>
        </w:rPr>
        <w:t xml:space="preserve"> uz ekspertu aplēsēm pēc ierobežotiem datiem</w:t>
      </w:r>
      <w:r w:rsidRPr="00CA37FA">
        <w:rPr>
          <w:rFonts w:ascii="Times New Roman" w:eastAsiaTheme="minorEastAsia" w:hAnsi="Times New Roman" w:cs="Times New Roman"/>
          <w:sz w:val="24"/>
          <w:szCs w:val="24"/>
        </w:rPr>
        <w:t xml:space="preserve"> (14%, iepriekšējā ziņojumā 17%)</w:t>
      </w:r>
      <w:r w:rsidR="00A7780A" w:rsidRPr="00CA37FA">
        <w:rPr>
          <w:rFonts w:ascii="Times New Roman" w:eastAsiaTheme="minorEastAsia" w:hAnsi="Times New Roman" w:cs="Times New Roman"/>
          <w:sz w:val="24"/>
          <w:szCs w:val="24"/>
        </w:rPr>
        <w:t xml:space="preserve">. </w:t>
      </w:r>
      <w:r w:rsidRPr="00CA37FA">
        <w:rPr>
          <w:rFonts w:ascii="Times New Roman" w:eastAsiaTheme="minorEastAsia" w:hAnsi="Times New Roman" w:cs="Times New Roman"/>
          <w:sz w:val="24"/>
          <w:szCs w:val="24"/>
        </w:rPr>
        <w:t>Toties būtiski palielināj</w:t>
      </w:r>
      <w:r w:rsidR="00235A4A" w:rsidRPr="00CA37FA">
        <w:rPr>
          <w:rFonts w:ascii="Times New Roman" w:eastAsiaTheme="minorEastAsia" w:hAnsi="Times New Roman" w:cs="Times New Roman"/>
          <w:sz w:val="24"/>
          <w:szCs w:val="24"/>
        </w:rPr>
        <w:t xml:space="preserve">ies nepietiekamo datu </w:t>
      </w:r>
      <w:r w:rsidR="00AF152C" w:rsidRPr="00CA37FA">
        <w:rPr>
          <w:rFonts w:ascii="Times New Roman" w:eastAsiaTheme="minorEastAsia" w:hAnsi="Times New Roman" w:cs="Times New Roman"/>
          <w:sz w:val="24"/>
          <w:szCs w:val="24"/>
        </w:rPr>
        <w:t xml:space="preserve">īpatsvars (10%, iepriekš 0%). </w:t>
      </w:r>
    </w:p>
    <w:p w14:paraId="2BFAF5EA" w14:textId="6562F8AF" w:rsidR="00A7780A" w:rsidRPr="00CA37FA" w:rsidRDefault="00A7780A" w:rsidP="00626A3E">
      <w:pPr>
        <w:jc w:val="both"/>
        <w:rPr>
          <w:rFonts w:ascii="Times New Roman" w:eastAsiaTheme="minorEastAsia" w:hAnsi="Times New Roman" w:cs="Times New Roman"/>
          <w:sz w:val="24"/>
          <w:szCs w:val="24"/>
        </w:rPr>
      </w:pPr>
    </w:p>
    <w:p w14:paraId="20EB4364" w14:textId="24ADF45A" w:rsidR="00A7780A" w:rsidRPr="00CA37FA" w:rsidRDefault="00C25615" w:rsidP="00626A3E">
      <w:pPr>
        <w:jc w:val="both"/>
        <w:rPr>
          <w:rFonts w:ascii="Times New Roman" w:eastAsiaTheme="minorEastAsia" w:hAnsi="Times New Roman" w:cs="Times New Roman"/>
          <w:sz w:val="24"/>
          <w:szCs w:val="24"/>
          <w:highlight w:val="yellow"/>
        </w:rPr>
      </w:pPr>
      <w:r w:rsidRPr="00CA37FA">
        <w:rPr>
          <w:rFonts w:ascii="Times New Roman" w:hAnsi="Times New Roman" w:cs="Times New Roman"/>
          <w:noProof/>
          <w:sz w:val="24"/>
          <w:szCs w:val="24"/>
        </w:rPr>
        <w:drawing>
          <wp:inline distT="0" distB="0" distL="0" distR="0" wp14:anchorId="4083F584" wp14:editId="216E941C">
            <wp:extent cx="4572000" cy="2743200"/>
            <wp:effectExtent l="0" t="0" r="0" b="0"/>
            <wp:docPr id="360556210" name="Chart 1">
              <a:extLst xmlns:a="http://schemas.openxmlformats.org/drawingml/2006/main">
                <a:ext uri="{FF2B5EF4-FFF2-40B4-BE49-F238E27FC236}">
                  <a16:creationId xmlns:a16="http://schemas.microsoft.com/office/drawing/2014/main" id="{ECBBA1F5-B9BC-5F4B-AEAA-4F3F052F35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2E0CE9B" w14:textId="41813B04" w:rsidR="00A7780A" w:rsidRPr="00CA37FA" w:rsidRDefault="00C25615" w:rsidP="00626A3E">
      <w:pPr>
        <w:jc w:val="both"/>
        <w:rPr>
          <w:rFonts w:ascii="Times New Roman" w:eastAsiaTheme="minorEastAsia" w:hAnsi="Times New Roman" w:cs="Times New Roman"/>
          <w:i/>
          <w:sz w:val="24"/>
          <w:szCs w:val="24"/>
        </w:rPr>
      </w:pPr>
      <w:r w:rsidRPr="00CA37FA">
        <w:rPr>
          <w:rFonts w:ascii="Times New Roman" w:eastAsiaTheme="minorEastAsia" w:hAnsi="Times New Roman" w:cs="Times New Roman"/>
          <w:i/>
          <w:sz w:val="24"/>
          <w:szCs w:val="24"/>
        </w:rPr>
        <w:t>12</w:t>
      </w:r>
      <w:r w:rsidR="00A7780A" w:rsidRPr="00CA37FA">
        <w:rPr>
          <w:rFonts w:ascii="Times New Roman" w:eastAsiaTheme="minorEastAsia" w:hAnsi="Times New Roman" w:cs="Times New Roman"/>
          <w:i/>
          <w:sz w:val="24"/>
          <w:szCs w:val="24"/>
        </w:rPr>
        <w:t xml:space="preserve">.attēls. Ziņojuma sagatavošanā izmantotie dati. </w:t>
      </w:r>
    </w:p>
    <w:p w14:paraId="180A9954" w14:textId="69A8E68F" w:rsidR="00A7780A" w:rsidRPr="00CA37FA" w:rsidRDefault="00A7780A" w:rsidP="00626A3E">
      <w:pPr>
        <w:jc w:val="both"/>
        <w:rPr>
          <w:rFonts w:ascii="Times New Roman" w:eastAsiaTheme="minorEastAsia" w:hAnsi="Times New Roman" w:cs="Times New Roman"/>
          <w:sz w:val="24"/>
          <w:szCs w:val="24"/>
        </w:rPr>
      </w:pPr>
    </w:p>
    <w:p w14:paraId="0FA1DAE3" w14:textId="77777777" w:rsidR="00A7780A" w:rsidRDefault="00A7780A" w:rsidP="00626A3E">
      <w:pPr>
        <w:jc w:val="both"/>
        <w:rPr>
          <w:rFonts w:ascii="Times New Roman" w:eastAsiaTheme="minorEastAsia" w:hAnsi="Times New Roman" w:cs="Times New Roman"/>
          <w:sz w:val="24"/>
          <w:szCs w:val="24"/>
        </w:rPr>
      </w:pPr>
    </w:p>
    <w:p w14:paraId="12F34C8D" w14:textId="77777777" w:rsidR="00CF5585" w:rsidRPr="00CA37FA" w:rsidRDefault="00CF5585" w:rsidP="00626A3E">
      <w:pPr>
        <w:jc w:val="both"/>
        <w:rPr>
          <w:rFonts w:ascii="Times New Roman" w:eastAsiaTheme="minorEastAsia" w:hAnsi="Times New Roman" w:cs="Times New Roman"/>
          <w:sz w:val="24"/>
          <w:szCs w:val="24"/>
        </w:rPr>
      </w:pPr>
    </w:p>
    <w:p w14:paraId="3F997CB7" w14:textId="143341BE" w:rsidR="00A81D27" w:rsidRPr="00CF5585" w:rsidRDefault="00923E6A" w:rsidP="00626A3E">
      <w:pPr>
        <w:ind w:left="360"/>
        <w:jc w:val="both"/>
        <w:rPr>
          <w:rFonts w:ascii="Times New Roman" w:eastAsiaTheme="minorEastAsia" w:hAnsi="Times New Roman" w:cs="Times New Roman"/>
          <w:b/>
          <w:sz w:val="24"/>
          <w:szCs w:val="24"/>
        </w:rPr>
      </w:pPr>
      <w:r w:rsidRPr="00CF5585">
        <w:rPr>
          <w:rFonts w:ascii="Times New Roman" w:eastAsiaTheme="minorEastAsia" w:hAnsi="Times New Roman" w:cs="Times New Roman"/>
          <w:b/>
          <w:sz w:val="24"/>
          <w:szCs w:val="24"/>
        </w:rPr>
        <w:lastRenderedPageBreak/>
        <w:t>Turpmākā rīcība</w:t>
      </w:r>
    </w:p>
    <w:p w14:paraId="2E27BD75" w14:textId="60D6925A" w:rsidR="00B77BE6" w:rsidRPr="00CF5585" w:rsidRDefault="000C4D4D" w:rsidP="00626A3E">
      <w:pPr>
        <w:ind w:firstLine="709"/>
        <w:jc w:val="both"/>
        <w:rPr>
          <w:rFonts w:ascii="Times New Roman" w:eastAsiaTheme="minorEastAsia" w:hAnsi="Times New Roman" w:cs="Times New Roman"/>
          <w:sz w:val="24"/>
          <w:szCs w:val="24"/>
        </w:rPr>
      </w:pPr>
      <w:r w:rsidRPr="00CF5585">
        <w:rPr>
          <w:rFonts w:ascii="Times New Roman" w:eastAsiaTheme="minorEastAsia" w:hAnsi="Times New Roman" w:cs="Times New Roman"/>
          <w:sz w:val="24"/>
          <w:szCs w:val="24"/>
        </w:rPr>
        <w:t xml:space="preserve">Ziņojums </w:t>
      </w:r>
      <w:r w:rsidR="00183215" w:rsidRPr="00CF5585">
        <w:rPr>
          <w:rFonts w:ascii="Times New Roman" w:hAnsi="Times New Roman" w:cs="Times New Roman"/>
          <w:sz w:val="24"/>
          <w:szCs w:val="24"/>
        </w:rPr>
        <w:t xml:space="preserve">tiks iesniegts </w:t>
      </w:r>
      <w:r w:rsidRPr="00CF5585">
        <w:rPr>
          <w:rFonts w:ascii="Times New Roman" w:hAnsi="Times New Roman" w:cs="Times New Roman"/>
          <w:sz w:val="24"/>
          <w:szCs w:val="24"/>
        </w:rPr>
        <w:t xml:space="preserve">elektroniski, izmantojot Eiropas Vides aģentūras uzturēto </w:t>
      </w:r>
      <w:r w:rsidR="00B65BF3" w:rsidRPr="00CF5585">
        <w:rPr>
          <w:rFonts w:ascii="Times New Roman" w:hAnsi="Times New Roman" w:cs="Times New Roman"/>
          <w:sz w:val="24"/>
          <w:szCs w:val="24"/>
        </w:rPr>
        <w:t>“</w:t>
      </w:r>
      <w:proofErr w:type="spellStart"/>
      <w:r w:rsidRPr="00CF5585">
        <w:rPr>
          <w:rFonts w:ascii="Times New Roman" w:hAnsi="Times New Roman" w:cs="Times New Roman"/>
          <w:sz w:val="24"/>
          <w:szCs w:val="24"/>
        </w:rPr>
        <w:t>ReportNet</w:t>
      </w:r>
      <w:proofErr w:type="spellEnd"/>
      <w:r w:rsidRPr="00CF5585">
        <w:rPr>
          <w:rFonts w:ascii="Times New Roman" w:hAnsi="Times New Roman" w:cs="Times New Roman"/>
          <w:sz w:val="24"/>
          <w:szCs w:val="24"/>
        </w:rPr>
        <w:t xml:space="preserve"> </w:t>
      </w:r>
      <w:r w:rsidR="00495673" w:rsidRPr="00CF5585">
        <w:rPr>
          <w:rFonts w:ascii="Times New Roman" w:hAnsi="Times New Roman" w:cs="Times New Roman"/>
          <w:sz w:val="24"/>
          <w:szCs w:val="24"/>
        </w:rPr>
        <w:t>3.0</w:t>
      </w:r>
      <w:r w:rsidR="00B65BF3" w:rsidRPr="00CF5585">
        <w:rPr>
          <w:rFonts w:ascii="Times New Roman" w:hAnsi="Times New Roman" w:cs="Times New Roman"/>
          <w:sz w:val="24"/>
          <w:szCs w:val="24"/>
        </w:rPr>
        <w:t>”</w:t>
      </w:r>
      <w:r w:rsidR="00495673" w:rsidRPr="00CF5585">
        <w:rPr>
          <w:rFonts w:ascii="Times New Roman" w:hAnsi="Times New Roman" w:cs="Times New Roman"/>
          <w:sz w:val="24"/>
          <w:szCs w:val="24"/>
        </w:rPr>
        <w:t xml:space="preserve"> </w:t>
      </w:r>
      <w:r w:rsidRPr="00CF5585">
        <w:rPr>
          <w:rFonts w:ascii="Times New Roman" w:hAnsi="Times New Roman" w:cs="Times New Roman"/>
          <w:sz w:val="24"/>
          <w:szCs w:val="24"/>
        </w:rPr>
        <w:t xml:space="preserve">vietni. </w:t>
      </w:r>
    </w:p>
    <w:p w14:paraId="7A5F6B4F" w14:textId="77777777" w:rsidR="006670CA" w:rsidRPr="00CA37FA" w:rsidRDefault="000C4D4D" w:rsidP="006670CA">
      <w:pPr>
        <w:ind w:firstLine="709"/>
        <w:jc w:val="both"/>
        <w:rPr>
          <w:rFonts w:ascii="Times New Roman" w:eastAsiaTheme="minorEastAsia" w:hAnsi="Times New Roman" w:cs="Times New Roman"/>
          <w:sz w:val="24"/>
          <w:szCs w:val="24"/>
        </w:rPr>
      </w:pPr>
      <w:r w:rsidRPr="00CF5585">
        <w:rPr>
          <w:rFonts w:ascii="Times New Roman" w:eastAsiaTheme="minorEastAsia" w:hAnsi="Times New Roman" w:cs="Times New Roman"/>
          <w:sz w:val="24"/>
          <w:szCs w:val="24"/>
        </w:rPr>
        <w:t xml:space="preserve">Informācija par </w:t>
      </w:r>
      <w:r w:rsidR="00B647A3" w:rsidRPr="00CF5585">
        <w:rPr>
          <w:rFonts w:ascii="Times New Roman" w:eastAsiaTheme="minorEastAsia" w:hAnsi="Times New Roman" w:cs="Times New Roman"/>
          <w:sz w:val="24"/>
          <w:szCs w:val="24"/>
        </w:rPr>
        <w:t>putnu sugu populācijas</w:t>
      </w:r>
      <w:r w:rsidR="00B647A3" w:rsidRPr="00CA37FA">
        <w:rPr>
          <w:rFonts w:ascii="Times New Roman" w:eastAsiaTheme="minorEastAsia" w:hAnsi="Times New Roman" w:cs="Times New Roman"/>
          <w:sz w:val="24"/>
          <w:szCs w:val="24"/>
        </w:rPr>
        <w:t xml:space="preserve"> lielumu, kā arī īstermiņa un ilgtermiņa tendencēm</w:t>
      </w:r>
      <w:r w:rsidRPr="00CA37FA">
        <w:rPr>
          <w:rFonts w:ascii="Times New Roman" w:eastAsiaTheme="minorEastAsia" w:hAnsi="Times New Roman" w:cs="Times New Roman"/>
          <w:sz w:val="24"/>
          <w:szCs w:val="24"/>
        </w:rPr>
        <w:t xml:space="preserve"> tiks ņemta vērā, </w:t>
      </w:r>
      <w:r w:rsidR="00990A93" w:rsidRPr="00CA37FA">
        <w:rPr>
          <w:rFonts w:ascii="Times New Roman" w:eastAsiaTheme="minorEastAsia" w:hAnsi="Times New Roman" w:cs="Times New Roman"/>
          <w:sz w:val="24"/>
          <w:szCs w:val="24"/>
        </w:rPr>
        <w:t xml:space="preserve">izstrādājot gan politikas plānošanas dokumentus dabas aizsardzības jomā, gan plānojot ES fondu finansējuma piesaisti pēc 2027. gadā. </w:t>
      </w:r>
      <w:r w:rsidR="006670CA" w:rsidRPr="00CA37FA">
        <w:rPr>
          <w:rFonts w:ascii="Times New Roman" w:eastAsiaTheme="minorEastAsia" w:hAnsi="Times New Roman" w:cs="Times New Roman"/>
          <w:sz w:val="24"/>
          <w:szCs w:val="24"/>
        </w:rPr>
        <w:t xml:space="preserve">Tāpat pārskatā ietvertā informācija par putnu sugu populāciju lielumu un īstermiņa un ilgtermiņa tendencēm tiks izmantota, pilnveidojot dabas aizsardzības normatīvos aktus. </w:t>
      </w:r>
    </w:p>
    <w:p w14:paraId="5B269570" w14:textId="6058BD97" w:rsidR="00990A93" w:rsidRPr="00CA37FA" w:rsidRDefault="00990A93" w:rsidP="006670CA">
      <w:pPr>
        <w:ind w:firstLine="709"/>
        <w:jc w:val="both"/>
        <w:rPr>
          <w:rFonts w:ascii="Times New Roman" w:eastAsiaTheme="minorEastAsia" w:hAnsi="Times New Roman" w:cs="Times New Roman"/>
          <w:sz w:val="24"/>
          <w:szCs w:val="24"/>
        </w:rPr>
      </w:pPr>
      <w:r w:rsidRPr="00CA37FA">
        <w:rPr>
          <w:rFonts w:ascii="Times New Roman" w:eastAsiaTheme="minorEastAsia" w:hAnsi="Times New Roman" w:cs="Times New Roman"/>
          <w:sz w:val="24"/>
          <w:szCs w:val="24"/>
        </w:rPr>
        <w:t>2024. gadā stājās spēkā ES Dabas atjaunošanas regula</w:t>
      </w:r>
      <w:r w:rsidR="003F1839">
        <w:rPr>
          <w:rStyle w:val="FootnoteReference"/>
          <w:rFonts w:ascii="Times New Roman" w:eastAsiaTheme="minorEastAsia" w:hAnsi="Times New Roman" w:cs="Times New Roman"/>
          <w:sz w:val="24"/>
          <w:szCs w:val="24"/>
        </w:rPr>
        <w:footnoteReference w:id="1"/>
      </w:r>
      <w:r w:rsidRPr="00CA37FA">
        <w:rPr>
          <w:rFonts w:ascii="Times New Roman" w:eastAsiaTheme="minorEastAsia" w:hAnsi="Times New Roman" w:cs="Times New Roman"/>
          <w:sz w:val="24"/>
          <w:szCs w:val="24"/>
        </w:rPr>
        <w:t xml:space="preserve">, kura </w:t>
      </w:r>
      <w:r w:rsidR="00E03250">
        <w:rPr>
          <w:rFonts w:ascii="Times New Roman" w:eastAsiaTheme="minorEastAsia" w:hAnsi="Times New Roman" w:cs="Times New Roman"/>
          <w:sz w:val="24"/>
          <w:szCs w:val="24"/>
        </w:rPr>
        <w:t>noteic</w:t>
      </w:r>
      <w:r w:rsidRPr="00CA37FA">
        <w:rPr>
          <w:rFonts w:ascii="Times New Roman" w:eastAsiaTheme="minorEastAsia" w:hAnsi="Times New Roman" w:cs="Times New Roman"/>
          <w:sz w:val="24"/>
          <w:szCs w:val="24"/>
        </w:rPr>
        <w:t xml:space="preserve">, ka līdz 2030. gadam jāatjauno vismaz 20 % zemes teritoriju un vismaz 20 % jūras teritoriju un līdz 2050. gadam – visas ekosistēmas, kurām vajadzīga atjaunošana. Atbilstoši Dabas atjaunošanas regulai, ES dalībvalstīm līdz 2026. gada 1. septembrim jāsagatavo un jāiesniedz </w:t>
      </w:r>
      <w:r w:rsidR="00B42367">
        <w:rPr>
          <w:rFonts w:ascii="Times New Roman" w:eastAsiaTheme="minorEastAsia" w:hAnsi="Times New Roman" w:cs="Times New Roman"/>
          <w:sz w:val="24"/>
          <w:szCs w:val="24"/>
        </w:rPr>
        <w:t>EK</w:t>
      </w:r>
      <w:r w:rsidRPr="00CA37FA">
        <w:rPr>
          <w:rFonts w:ascii="Times New Roman" w:eastAsiaTheme="minorEastAsia" w:hAnsi="Times New Roman" w:cs="Times New Roman"/>
          <w:sz w:val="24"/>
          <w:szCs w:val="24"/>
        </w:rPr>
        <w:t xml:space="preserve"> nacionālais dabas atjaunošanas plāns. Dabas atjaunošanas regulā īpaši uzsvērta ES dabas direktīvu pielikumos ietverto biotopu un sugu dzīvotņu atjaunošanas nepieciešamība, nosakot konkrētus sasniedzamos rādītājus līdz 2030. un nākamajiem gadiem. </w:t>
      </w:r>
      <w:r w:rsidR="005611ED" w:rsidRPr="00CA37FA">
        <w:rPr>
          <w:rFonts w:ascii="Times New Roman" w:eastAsiaTheme="minorEastAsia" w:hAnsi="Times New Roman" w:cs="Times New Roman"/>
          <w:sz w:val="24"/>
          <w:szCs w:val="24"/>
        </w:rPr>
        <w:t xml:space="preserve">Tā kā ES Dabas atjaunošanas regula attiecas arī uz putnu sugu dzīvotnēm, tad </w:t>
      </w:r>
      <w:r w:rsidR="002329B3">
        <w:rPr>
          <w:rFonts w:ascii="Times New Roman" w:eastAsiaTheme="minorEastAsia" w:hAnsi="Times New Roman" w:cs="Times New Roman"/>
          <w:sz w:val="24"/>
          <w:szCs w:val="24"/>
        </w:rPr>
        <w:t>ziņojumā</w:t>
      </w:r>
      <w:r w:rsidR="00216776">
        <w:rPr>
          <w:rFonts w:ascii="Times New Roman" w:eastAsiaTheme="minorEastAsia" w:hAnsi="Times New Roman" w:cs="Times New Roman"/>
          <w:sz w:val="24"/>
          <w:szCs w:val="24"/>
        </w:rPr>
        <w:t xml:space="preserve"> </w:t>
      </w:r>
      <w:r w:rsidR="005611ED" w:rsidRPr="00CA37FA">
        <w:rPr>
          <w:rFonts w:ascii="Times New Roman" w:eastAsiaTheme="minorEastAsia" w:hAnsi="Times New Roman" w:cs="Times New Roman"/>
          <w:sz w:val="24"/>
          <w:szCs w:val="24"/>
        </w:rPr>
        <w:t>ietvertā</w:t>
      </w:r>
      <w:r w:rsidRPr="00CA37FA">
        <w:rPr>
          <w:rFonts w:ascii="Times New Roman" w:eastAsiaTheme="minorEastAsia" w:hAnsi="Times New Roman" w:cs="Times New Roman"/>
          <w:sz w:val="24"/>
          <w:szCs w:val="24"/>
        </w:rPr>
        <w:t xml:space="preserve"> informācija</w:t>
      </w:r>
      <w:r w:rsidR="005611ED" w:rsidRPr="00CA37FA">
        <w:rPr>
          <w:rFonts w:ascii="Times New Roman" w:eastAsiaTheme="minorEastAsia" w:hAnsi="Times New Roman" w:cs="Times New Roman"/>
          <w:sz w:val="24"/>
          <w:szCs w:val="24"/>
        </w:rPr>
        <w:t xml:space="preserve"> par putnu sugu populācijām un to īstermiņa un ilgtermiņa tendencēm</w:t>
      </w:r>
      <w:r w:rsidRPr="00CA37FA">
        <w:rPr>
          <w:rFonts w:ascii="Times New Roman" w:eastAsiaTheme="minorEastAsia" w:hAnsi="Times New Roman" w:cs="Times New Roman"/>
          <w:sz w:val="24"/>
          <w:szCs w:val="24"/>
        </w:rPr>
        <w:t xml:space="preserve"> tiks izmantota nacionālā dabas atjaunošanas plāna izstrādei. </w:t>
      </w:r>
    </w:p>
    <w:sectPr w:rsidR="00990A93" w:rsidRPr="00CA37FA">
      <w:footerReference w:type="default" r:id="rId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97328" w14:textId="77777777" w:rsidR="00D023C3" w:rsidRDefault="00D023C3" w:rsidP="00F3310B">
      <w:pPr>
        <w:spacing w:after="0" w:line="240" w:lineRule="auto"/>
      </w:pPr>
      <w:r>
        <w:separator/>
      </w:r>
    </w:p>
  </w:endnote>
  <w:endnote w:type="continuationSeparator" w:id="0">
    <w:p w14:paraId="71CC74E0" w14:textId="77777777" w:rsidR="00D023C3" w:rsidRDefault="00D023C3" w:rsidP="00F33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F1AC" w14:textId="77777777" w:rsidR="00B44917" w:rsidRDefault="00B44917">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E51CD1">
      <w:rPr>
        <w:caps/>
        <w:noProof/>
        <w:color w:val="4F81BD" w:themeColor="accent1"/>
      </w:rPr>
      <w:t>8</w:t>
    </w:r>
    <w:r>
      <w:rPr>
        <w:caps/>
        <w:noProof/>
        <w:color w:val="4F81BD" w:themeColor="accent1"/>
      </w:rPr>
      <w:fldChar w:fldCharType="end"/>
    </w:r>
  </w:p>
  <w:p w14:paraId="0D6873A1" w14:textId="77777777" w:rsidR="00B80092" w:rsidRDefault="00B80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E877" w14:textId="77777777" w:rsidR="00D023C3" w:rsidRDefault="00D023C3" w:rsidP="00F3310B">
      <w:pPr>
        <w:spacing w:after="0" w:line="240" w:lineRule="auto"/>
      </w:pPr>
      <w:r>
        <w:separator/>
      </w:r>
    </w:p>
  </w:footnote>
  <w:footnote w:type="continuationSeparator" w:id="0">
    <w:p w14:paraId="501D5B25" w14:textId="77777777" w:rsidR="00D023C3" w:rsidRDefault="00D023C3" w:rsidP="00F3310B">
      <w:pPr>
        <w:spacing w:after="0" w:line="240" w:lineRule="auto"/>
      </w:pPr>
      <w:r>
        <w:continuationSeparator/>
      </w:r>
    </w:p>
  </w:footnote>
  <w:footnote w:id="1">
    <w:p w14:paraId="7A61EC0F" w14:textId="2779472E" w:rsidR="003F1839" w:rsidRDefault="003F1839">
      <w:pPr>
        <w:pStyle w:val="FootnoteText"/>
      </w:pPr>
      <w:r>
        <w:rPr>
          <w:rStyle w:val="FootnoteReference"/>
        </w:rPr>
        <w:footnoteRef/>
      </w:r>
      <w:r>
        <w:t xml:space="preserve"> </w:t>
      </w:r>
      <w:r w:rsidR="00E66BD5" w:rsidRPr="00D37F6D">
        <w:rPr>
          <w:rFonts w:ascii="Times New Roman" w:hAnsi="Times New Roman" w:cs="Times New Roman"/>
        </w:rPr>
        <w:t xml:space="preserve">Eiropas Parlamenta un </w:t>
      </w:r>
      <w:r w:rsidR="0073741B" w:rsidRPr="00D37F6D">
        <w:rPr>
          <w:rFonts w:ascii="Times New Roman" w:hAnsi="Times New Roman" w:cs="Times New Roman"/>
        </w:rPr>
        <w:t xml:space="preserve">Padomes </w:t>
      </w:r>
      <w:r w:rsidR="0066130B" w:rsidRPr="00D37F6D">
        <w:rPr>
          <w:rFonts w:ascii="Times New Roman" w:hAnsi="Times New Roman" w:cs="Times New Roman"/>
        </w:rPr>
        <w:t>202</w:t>
      </w:r>
      <w:r w:rsidR="00B12AD9" w:rsidRPr="00D37F6D">
        <w:rPr>
          <w:rFonts w:ascii="Times New Roman" w:hAnsi="Times New Roman" w:cs="Times New Roman"/>
        </w:rPr>
        <w:t>4</w:t>
      </w:r>
      <w:r w:rsidR="0066130B" w:rsidRPr="00D37F6D">
        <w:rPr>
          <w:rFonts w:ascii="Times New Roman" w:hAnsi="Times New Roman" w:cs="Times New Roman"/>
        </w:rPr>
        <w:t>. gada</w:t>
      </w:r>
      <w:r w:rsidR="00B12AD9" w:rsidRPr="00D37F6D">
        <w:rPr>
          <w:rFonts w:ascii="Times New Roman" w:hAnsi="Times New Roman" w:cs="Times New Roman"/>
        </w:rPr>
        <w:t xml:space="preserve"> 24. jūnija</w:t>
      </w:r>
      <w:r w:rsidR="0066130B" w:rsidRPr="00D37F6D">
        <w:rPr>
          <w:rFonts w:ascii="Times New Roman" w:hAnsi="Times New Roman" w:cs="Times New Roman"/>
        </w:rPr>
        <w:t xml:space="preserve"> </w:t>
      </w:r>
      <w:r w:rsidR="0073741B" w:rsidRPr="00D37F6D">
        <w:rPr>
          <w:rFonts w:ascii="Times New Roman" w:hAnsi="Times New Roman" w:cs="Times New Roman"/>
        </w:rPr>
        <w:t>regula</w:t>
      </w:r>
      <w:r w:rsidR="00B12AD9" w:rsidRPr="00D37F6D">
        <w:rPr>
          <w:rFonts w:ascii="Times New Roman" w:hAnsi="Times New Roman" w:cs="Times New Roman"/>
        </w:rPr>
        <w:t xml:space="preserve"> </w:t>
      </w:r>
      <w:r w:rsidR="00D37F6D" w:rsidRPr="00D37F6D">
        <w:rPr>
          <w:rFonts w:ascii="Times New Roman" w:hAnsi="Times New Roman" w:cs="Times New Roman"/>
        </w:rPr>
        <w:t>(</w:t>
      </w:r>
      <w:r w:rsidR="00B12AD9" w:rsidRPr="00D37F6D">
        <w:rPr>
          <w:rFonts w:ascii="Times New Roman" w:hAnsi="Times New Roman" w:cs="Times New Roman"/>
        </w:rPr>
        <w:t>ES</w:t>
      </w:r>
      <w:r w:rsidR="00D37F6D" w:rsidRPr="00D37F6D">
        <w:rPr>
          <w:rFonts w:ascii="Times New Roman" w:hAnsi="Times New Roman" w:cs="Times New Roman"/>
        </w:rPr>
        <w:t>) 2024/1991</w:t>
      </w:r>
      <w:r w:rsidR="00C27098" w:rsidRPr="00D37F6D">
        <w:rPr>
          <w:rFonts w:ascii="Times New Roman" w:hAnsi="Times New Roman" w:cs="Times New Roman"/>
        </w:rPr>
        <w:t xml:space="preserve"> par dabas atjaunošanu</w:t>
      </w:r>
      <w:r w:rsidR="00261EBE" w:rsidRPr="00D37F6D">
        <w:rPr>
          <w:rFonts w:ascii="Times New Roman" w:hAnsi="Times New Roman" w:cs="Times New Roman"/>
        </w:rPr>
        <w:t xml:space="preserve"> un ar ko groza regulu </w:t>
      </w:r>
      <w:r w:rsidR="00902074" w:rsidRPr="00D37F6D">
        <w:rPr>
          <w:rFonts w:ascii="Times New Roman" w:hAnsi="Times New Roman" w:cs="Times New Roman"/>
        </w:rPr>
        <w:t>(ES)</w:t>
      </w:r>
      <w:r w:rsidR="00E25DDF" w:rsidRPr="00D37F6D">
        <w:rPr>
          <w:rFonts w:ascii="Times New Roman" w:hAnsi="Times New Roman" w:cs="Times New Roman"/>
        </w:rPr>
        <w:t>2022/</w:t>
      </w:r>
      <w:r w:rsidR="008716A4" w:rsidRPr="00D37F6D">
        <w:rPr>
          <w:rFonts w:ascii="Times New Roman" w:hAnsi="Times New Roman" w:cs="Times New Roman"/>
        </w:rPr>
        <w:t>869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81A"/>
    <w:multiLevelType w:val="hybridMultilevel"/>
    <w:tmpl w:val="874A92D4"/>
    <w:lvl w:ilvl="0" w:tplc="45C298F6">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B31999"/>
    <w:multiLevelType w:val="hybridMultilevel"/>
    <w:tmpl w:val="1FC89948"/>
    <w:lvl w:ilvl="0" w:tplc="92A2B63E">
      <w:start w:val="1"/>
      <w:numFmt w:val="bullet"/>
      <w:lvlText w:val="•"/>
      <w:lvlJc w:val="left"/>
      <w:pPr>
        <w:tabs>
          <w:tab w:val="num" w:pos="720"/>
        </w:tabs>
        <w:ind w:left="720" w:hanging="360"/>
      </w:pPr>
      <w:rPr>
        <w:rFonts w:ascii="Times New Roman" w:hAnsi="Times New Roman" w:hint="default"/>
      </w:rPr>
    </w:lvl>
    <w:lvl w:ilvl="1" w:tplc="DE68F678" w:tentative="1">
      <w:start w:val="1"/>
      <w:numFmt w:val="bullet"/>
      <w:lvlText w:val="•"/>
      <w:lvlJc w:val="left"/>
      <w:pPr>
        <w:tabs>
          <w:tab w:val="num" w:pos="1440"/>
        </w:tabs>
        <w:ind w:left="1440" w:hanging="360"/>
      </w:pPr>
      <w:rPr>
        <w:rFonts w:ascii="Times New Roman" w:hAnsi="Times New Roman" w:hint="default"/>
      </w:rPr>
    </w:lvl>
    <w:lvl w:ilvl="2" w:tplc="EE02624E" w:tentative="1">
      <w:start w:val="1"/>
      <w:numFmt w:val="bullet"/>
      <w:lvlText w:val="•"/>
      <w:lvlJc w:val="left"/>
      <w:pPr>
        <w:tabs>
          <w:tab w:val="num" w:pos="2160"/>
        </w:tabs>
        <w:ind w:left="2160" w:hanging="360"/>
      </w:pPr>
      <w:rPr>
        <w:rFonts w:ascii="Times New Roman" w:hAnsi="Times New Roman" w:hint="default"/>
      </w:rPr>
    </w:lvl>
    <w:lvl w:ilvl="3" w:tplc="E23CC0FE" w:tentative="1">
      <w:start w:val="1"/>
      <w:numFmt w:val="bullet"/>
      <w:lvlText w:val="•"/>
      <w:lvlJc w:val="left"/>
      <w:pPr>
        <w:tabs>
          <w:tab w:val="num" w:pos="2880"/>
        </w:tabs>
        <w:ind w:left="2880" w:hanging="360"/>
      </w:pPr>
      <w:rPr>
        <w:rFonts w:ascii="Times New Roman" w:hAnsi="Times New Roman" w:hint="default"/>
      </w:rPr>
    </w:lvl>
    <w:lvl w:ilvl="4" w:tplc="675EFF94" w:tentative="1">
      <w:start w:val="1"/>
      <w:numFmt w:val="bullet"/>
      <w:lvlText w:val="•"/>
      <w:lvlJc w:val="left"/>
      <w:pPr>
        <w:tabs>
          <w:tab w:val="num" w:pos="3600"/>
        </w:tabs>
        <w:ind w:left="3600" w:hanging="360"/>
      </w:pPr>
      <w:rPr>
        <w:rFonts w:ascii="Times New Roman" w:hAnsi="Times New Roman" w:hint="default"/>
      </w:rPr>
    </w:lvl>
    <w:lvl w:ilvl="5" w:tplc="8D6A9A38" w:tentative="1">
      <w:start w:val="1"/>
      <w:numFmt w:val="bullet"/>
      <w:lvlText w:val="•"/>
      <w:lvlJc w:val="left"/>
      <w:pPr>
        <w:tabs>
          <w:tab w:val="num" w:pos="4320"/>
        </w:tabs>
        <w:ind w:left="4320" w:hanging="360"/>
      </w:pPr>
      <w:rPr>
        <w:rFonts w:ascii="Times New Roman" w:hAnsi="Times New Roman" w:hint="default"/>
      </w:rPr>
    </w:lvl>
    <w:lvl w:ilvl="6" w:tplc="BD6A2A00" w:tentative="1">
      <w:start w:val="1"/>
      <w:numFmt w:val="bullet"/>
      <w:lvlText w:val="•"/>
      <w:lvlJc w:val="left"/>
      <w:pPr>
        <w:tabs>
          <w:tab w:val="num" w:pos="5040"/>
        </w:tabs>
        <w:ind w:left="5040" w:hanging="360"/>
      </w:pPr>
      <w:rPr>
        <w:rFonts w:ascii="Times New Roman" w:hAnsi="Times New Roman" w:hint="default"/>
      </w:rPr>
    </w:lvl>
    <w:lvl w:ilvl="7" w:tplc="A63241AC" w:tentative="1">
      <w:start w:val="1"/>
      <w:numFmt w:val="bullet"/>
      <w:lvlText w:val="•"/>
      <w:lvlJc w:val="left"/>
      <w:pPr>
        <w:tabs>
          <w:tab w:val="num" w:pos="5760"/>
        </w:tabs>
        <w:ind w:left="5760" w:hanging="360"/>
      </w:pPr>
      <w:rPr>
        <w:rFonts w:ascii="Times New Roman" w:hAnsi="Times New Roman" w:hint="default"/>
      </w:rPr>
    </w:lvl>
    <w:lvl w:ilvl="8" w:tplc="BB44C34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91B4C7D"/>
    <w:multiLevelType w:val="hybridMultilevel"/>
    <w:tmpl w:val="5E90421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9A74634"/>
    <w:multiLevelType w:val="hybridMultilevel"/>
    <w:tmpl w:val="CF50A8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DE784C"/>
    <w:multiLevelType w:val="hybridMultilevel"/>
    <w:tmpl w:val="A9604E5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EC51471"/>
    <w:multiLevelType w:val="hybridMultilevel"/>
    <w:tmpl w:val="C7328376"/>
    <w:lvl w:ilvl="0" w:tplc="C7AA6B7E">
      <w:start w:val="1"/>
      <w:numFmt w:val="bullet"/>
      <w:lvlText w:val="•"/>
      <w:lvlJc w:val="left"/>
      <w:pPr>
        <w:tabs>
          <w:tab w:val="num" w:pos="720"/>
        </w:tabs>
        <w:ind w:left="720" w:hanging="360"/>
      </w:pPr>
      <w:rPr>
        <w:rFonts w:ascii="Times New Roman" w:hAnsi="Times New Roman" w:hint="default"/>
      </w:rPr>
    </w:lvl>
    <w:lvl w:ilvl="1" w:tplc="4FE69ED8" w:tentative="1">
      <w:start w:val="1"/>
      <w:numFmt w:val="bullet"/>
      <w:lvlText w:val="•"/>
      <w:lvlJc w:val="left"/>
      <w:pPr>
        <w:tabs>
          <w:tab w:val="num" w:pos="1440"/>
        </w:tabs>
        <w:ind w:left="1440" w:hanging="360"/>
      </w:pPr>
      <w:rPr>
        <w:rFonts w:ascii="Times New Roman" w:hAnsi="Times New Roman" w:hint="default"/>
      </w:rPr>
    </w:lvl>
    <w:lvl w:ilvl="2" w:tplc="6D6E832A" w:tentative="1">
      <w:start w:val="1"/>
      <w:numFmt w:val="bullet"/>
      <w:lvlText w:val="•"/>
      <w:lvlJc w:val="left"/>
      <w:pPr>
        <w:tabs>
          <w:tab w:val="num" w:pos="2160"/>
        </w:tabs>
        <w:ind w:left="2160" w:hanging="360"/>
      </w:pPr>
      <w:rPr>
        <w:rFonts w:ascii="Times New Roman" w:hAnsi="Times New Roman" w:hint="default"/>
      </w:rPr>
    </w:lvl>
    <w:lvl w:ilvl="3" w:tplc="4012600A" w:tentative="1">
      <w:start w:val="1"/>
      <w:numFmt w:val="bullet"/>
      <w:lvlText w:val="•"/>
      <w:lvlJc w:val="left"/>
      <w:pPr>
        <w:tabs>
          <w:tab w:val="num" w:pos="2880"/>
        </w:tabs>
        <w:ind w:left="2880" w:hanging="360"/>
      </w:pPr>
      <w:rPr>
        <w:rFonts w:ascii="Times New Roman" w:hAnsi="Times New Roman" w:hint="default"/>
      </w:rPr>
    </w:lvl>
    <w:lvl w:ilvl="4" w:tplc="C63EEA6C" w:tentative="1">
      <w:start w:val="1"/>
      <w:numFmt w:val="bullet"/>
      <w:lvlText w:val="•"/>
      <w:lvlJc w:val="left"/>
      <w:pPr>
        <w:tabs>
          <w:tab w:val="num" w:pos="3600"/>
        </w:tabs>
        <w:ind w:left="3600" w:hanging="360"/>
      </w:pPr>
      <w:rPr>
        <w:rFonts w:ascii="Times New Roman" w:hAnsi="Times New Roman" w:hint="default"/>
      </w:rPr>
    </w:lvl>
    <w:lvl w:ilvl="5" w:tplc="D0AA8C50" w:tentative="1">
      <w:start w:val="1"/>
      <w:numFmt w:val="bullet"/>
      <w:lvlText w:val="•"/>
      <w:lvlJc w:val="left"/>
      <w:pPr>
        <w:tabs>
          <w:tab w:val="num" w:pos="4320"/>
        </w:tabs>
        <w:ind w:left="4320" w:hanging="360"/>
      </w:pPr>
      <w:rPr>
        <w:rFonts w:ascii="Times New Roman" w:hAnsi="Times New Roman" w:hint="default"/>
      </w:rPr>
    </w:lvl>
    <w:lvl w:ilvl="6" w:tplc="5DC0FEC0" w:tentative="1">
      <w:start w:val="1"/>
      <w:numFmt w:val="bullet"/>
      <w:lvlText w:val="•"/>
      <w:lvlJc w:val="left"/>
      <w:pPr>
        <w:tabs>
          <w:tab w:val="num" w:pos="5040"/>
        </w:tabs>
        <w:ind w:left="5040" w:hanging="360"/>
      </w:pPr>
      <w:rPr>
        <w:rFonts w:ascii="Times New Roman" w:hAnsi="Times New Roman" w:hint="default"/>
      </w:rPr>
    </w:lvl>
    <w:lvl w:ilvl="7" w:tplc="C04E2650" w:tentative="1">
      <w:start w:val="1"/>
      <w:numFmt w:val="bullet"/>
      <w:lvlText w:val="•"/>
      <w:lvlJc w:val="left"/>
      <w:pPr>
        <w:tabs>
          <w:tab w:val="num" w:pos="5760"/>
        </w:tabs>
        <w:ind w:left="5760" w:hanging="360"/>
      </w:pPr>
      <w:rPr>
        <w:rFonts w:ascii="Times New Roman" w:hAnsi="Times New Roman" w:hint="default"/>
      </w:rPr>
    </w:lvl>
    <w:lvl w:ilvl="8" w:tplc="331C0DC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ED921CE"/>
    <w:multiLevelType w:val="hybridMultilevel"/>
    <w:tmpl w:val="07B85CBE"/>
    <w:lvl w:ilvl="0" w:tplc="42366F10">
      <w:start w:val="1"/>
      <w:numFmt w:val="bullet"/>
      <w:lvlText w:val="•"/>
      <w:lvlJc w:val="left"/>
      <w:pPr>
        <w:tabs>
          <w:tab w:val="num" w:pos="720"/>
        </w:tabs>
        <w:ind w:left="720" w:hanging="360"/>
      </w:pPr>
      <w:rPr>
        <w:rFonts w:ascii="Times New Roman" w:hAnsi="Times New Roman" w:hint="default"/>
      </w:rPr>
    </w:lvl>
    <w:lvl w:ilvl="1" w:tplc="114CFE78" w:tentative="1">
      <w:start w:val="1"/>
      <w:numFmt w:val="bullet"/>
      <w:lvlText w:val="•"/>
      <w:lvlJc w:val="left"/>
      <w:pPr>
        <w:tabs>
          <w:tab w:val="num" w:pos="1440"/>
        </w:tabs>
        <w:ind w:left="1440" w:hanging="360"/>
      </w:pPr>
      <w:rPr>
        <w:rFonts w:ascii="Times New Roman" w:hAnsi="Times New Roman" w:hint="default"/>
      </w:rPr>
    </w:lvl>
    <w:lvl w:ilvl="2" w:tplc="07C6A234" w:tentative="1">
      <w:start w:val="1"/>
      <w:numFmt w:val="bullet"/>
      <w:lvlText w:val="•"/>
      <w:lvlJc w:val="left"/>
      <w:pPr>
        <w:tabs>
          <w:tab w:val="num" w:pos="2160"/>
        </w:tabs>
        <w:ind w:left="2160" w:hanging="360"/>
      </w:pPr>
      <w:rPr>
        <w:rFonts w:ascii="Times New Roman" w:hAnsi="Times New Roman" w:hint="default"/>
      </w:rPr>
    </w:lvl>
    <w:lvl w:ilvl="3" w:tplc="26A4ADB0" w:tentative="1">
      <w:start w:val="1"/>
      <w:numFmt w:val="bullet"/>
      <w:lvlText w:val="•"/>
      <w:lvlJc w:val="left"/>
      <w:pPr>
        <w:tabs>
          <w:tab w:val="num" w:pos="2880"/>
        </w:tabs>
        <w:ind w:left="2880" w:hanging="360"/>
      </w:pPr>
      <w:rPr>
        <w:rFonts w:ascii="Times New Roman" w:hAnsi="Times New Roman" w:hint="default"/>
      </w:rPr>
    </w:lvl>
    <w:lvl w:ilvl="4" w:tplc="DCBEFC40" w:tentative="1">
      <w:start w:val="1"/>
      <w:numFmt w:val="bullet"/>
      <w:lvlText w:val="•"/>
      <w:lvlJc w:val="left"/>
      <w:pPr>
        <w:tabs>
          <w:tab w:val="num" w:pos="3600"/>
        </w:tabs>
        <w:ind w:left="3600" w:hanging="360"/>
      </w:pPr>
      <w:rPr>
        <w:rFonts w:ascii="Times New Roman" w:hAnsi="Times New Roman" w:hint="default"/>
      </w:rPr>
    </w:lvl>
    <w:lvl w:ilvl="5" w:tplc="E9506250" w:tentative="1">
      <w:start w:val="1"/>
      <w:numFmt w:val="bullet"/>
      <w:lvlText w:val="•"/>
      <w:lvlJc w:val="left"/>
      <w:pPr>
        <w:tabs>
          <w:tab w:val="num" w:pos="4320"/>
        </w:tabs>
        <w:ind w:left="4320" w:hanging="360"/>
      </w:pPr>
      <w:rPr>
        <w:rFonts w:ascii="Times New Roman" w:hAnsi="Times New Roman" w:hint="default"/>
      </w:rPr>
    </w:lvl>
    <w:lvl w:ilvl="6" w:tplc="20C23208" w:tentative="1">
      <w:start w:val="1"/>
      <w:numFmt w:val="bullet"/>
      <w:lvlText w:val="•"/>
      <w:lvlJc w:val="left"/>
      <w:pPr>
        <w:tabs>
          <w:tab w:val="num" w:pos="5040"/>
        </w:tabs>
        <w:ind w:left="5040" w:hanging="360"/>
      </w:pPr>
      <w:rPr>
        <w:rFonts w:ascii="Times New Roman" w:hAnsi="Times New Roman" w:hint="default"/>
      </w:rPr>
    </w:lvl>
    <w:lvl w:ilvl="7" w:tplc="AAD4280E" w:tentative="1">
      <w:start w:val="1"/>
      <w:numFmt w:val="bullet"/>
      <w:lvlText w:val="•"/>
      <w:lvlJc w:val="left"/>
      <w:pPr>
        <w:tabs>
          <w:tab w:val="num" w:pos="5760"/>
        </w:tabs>
        <w:ind w:left="5760" w:hanging="360"/>
      </w:pPr>
      <w:rPr>
        <w:rFonts w:ascii="Times New Roman" w:hAnsi="Times New Roman" w:hint="default"/>
      </w:rPr>
    </w:lvl>
    <w:lvl w:ilvl="8" w:tplc="1C0A094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4632B40"/>
    <w:multiLevelType w:val="hybridMultilevel"/>
    <w:tmpl w:val="003C3AC0"/>
    <w:lvl w:ilvl="0" w:tplc="6670704C">
      <w:start w:val="1"/>
      <w:numFmt w:val="bullet"/>
      <w:lvlText w:val="•"/>
      <w:lvlJc w:val="left"/>
      <w:pPr>
        <w:tabs>
          <w:tab w:val="num" w:pos="720"/>
        </w:tabs>
        <w:ind w:left="720" w:hanging="360"/>
      </w:pPr>
      <w:rPr>
        <w:rFonts w:ascii="Times New Roman" w:hAnsi="Times New Roman" w:hint="default"/>
      </w:rPr>
    </w:lvl>
    <w:lvl w:ilvl="1" w:tplc="8C6CA00E" w:tentative="1">
      <w:start w:val="1"/>
      <w:numFmt w:val="bullet"/>
      <w:lvlText w:val="•"/>
      <w:lvlJc w:val="left"/>
      <w:pPr>
        <w:tabs>
          <w:tab w:val="num" w:pos="1440"/>
        </w:tabs>
        <w:ind w:left="1440" w:hanging="360"/>
      </w:pPr>
      <w:rPr>
        <w:rFonts w:ascii="Times New Roman" w:hAnsi="Times New Roman" w:hint="default"/>
      </w:rPr>
    </w:lvl>
    <w:lvl w:ilvl="2" w:tplc="DF0A05CA" w:tentative="1">
      <w:start w:val="1"/>
      <w:numFmt w:val="bullet"/>
      <w:lvlText w:val="•"/>
      <w:lvlJc w:val="left"/>
      <w:pPr>
        <w:tabs>
          <w:tab w:val="num" w:pos="2160"/>
        </w:tabs>
        <w:ind w:left="2160" w:hanging="360"/>
      </w:pPr>
      <w:rPr>
        <w:rFonts w:ascii="Times New Roman" w:hAnsi="Times New Roman" w:hint="default"/>
      </w:rPr>
    </w:lvl>
    <w:lvl w:ilvl="3" w:tplc="8A323E78" w:tentative="1">
      <w:start w:val="1"/>
      <w:numFmt w:val="bullet"/>
      <w:lvlText w:val="•"/>
      <w:lvlJc w:val="left"/>
      <w:pPr>
        <w:tabs>
          <w:tab w:val="num" w:pos="2880"/>
        </w:tabs>
        <w:ind w:left="2880" w:hanging="360"/>
      </w:pPr>
      <w:rPr>
        <w:rFonts w:ascii="Times New Roman" w:hAnsi="Times New Roman" w:hint="default"/>
      </w:rPr>
    </w:lvl>
    <w:lvl w:ilvl="4" w:tplc="0E843E2E" w:tentative="1">
      <w:start w:val="1"/>
      <w:numFmt w:val="bullet"/>
      <w:lvlText w:val="•"/>
      <w:lvlJc w:val="left"/>
      <w:pPr>
        <w:tabs>
          <w:tab w:val="num" w:pos="3600"/>
        </w:tabs>
        <w:ind w:left="3600" w:hanging="360"/>
      </w:pPr>
      <w:rPr>
        <w:rFonts w:ascii="Times New Roman" w:hAnsi="Times New Roman" w:hint="default"/>
      </w:rPr>
    </w:lvl>
    <w:lvl w:ilvl="5" w:tplc="CB54DF34" w:tentative="1">
      <w:start w:val="1"/>
      <w:numFmt w:val="bullet"/>
      <w:lvlText w:val="•"/>
      <w:lvlJc w:val="left"/>
      <w:pPr>
        <w:tabs>
          <w:tab w:val="num" w:pos="4320"/>
        </w:tabs>
        <w:ind w:left="4320" w:hanging="360"/>
      </w:pPr>
      <w:rPr>
        <w:rFonts w:ascii="Times New Roman" w:hAnsi="Times New Roman" w:hint="default"/>
      </w:rPr>
    </w:lvl>
    <w:lvl w:ilvl="6" w:tplc="765E930A" w:tentative="1">
      <w:start w:val="1"/>
      <w:numFmt w:val="bullet"/>
      <w:lvlText w:val="•"/>
      <w:lvlJc w:val="left"/>
      <w:pPr>
        <w:tabs>
          <w:tab w:val="num" w:pos="5040"/>
        </w:tabs>
        <w:ind w:left="5040" w:hanging="360"/>
      </w:pPr>
      <w:rPr>
        <w:rFonts w:ascii="Times New Roman" w:hAnsi="Times New Roman" w:hint="default"/>
      </w:rPr>
    </w:lvl>
    <w:lvl w:ilvl="7" w:tplc="6DFCB9C2" w:tentative="1">
      <w:start w:val="1"/>
      <w:numFmt w:val="bullet"/>
      <w:lvlText w:val="•"/>
      <w:lvlJc w:val="left"/>
      <w:pPr>
        <w:tabs>
          <w:tab w:val="num" w:pos="5760"/>
        </w:tabs>
        <w:ind w:left="5760" w:hanging="360"/>
      </w:pPr>
      <w:rPr>
        <w:rFonts w:ascii="Times New Roman" w:hAnsi="Times New Roman" w:hint="default"/>
      </w:rPr>
    </w:lvl>
    <w:lvl w:ilvl="8" w:tplc="F12855B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4E052DA"/>
    <w:multiLevelType w:val="hybridMultilevel"/>
    <w:tmpl w:val="98BCF2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B87019"/>
    <w:multiLevelType w:val="hybridMultilevel"/>
    <w:tmpl w:val="D3D07E56"/>
    <w:lvl w:ilvl="0" w:tplc="C1EE567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806634"/>
    <w:multiLevelType w:val="hybridMultilevel"/>
    <w:tmpl w:val="0B342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EEB746A"/>
    <w:multiLevelType w:val="hybridMultilevel"/>
    <w:tmpl w:val="99389E2E"/>
    <w:lvl w:ilvl="0" w:tplc="BE5E9CB2">
      <w:start w:val="1"/>
      <w:numFmt w:val="bullet"/>
      <w:lvlText w:val="•"/>
      <w:lvlJc w:val="left"/>
      <w:pPr>
        <w:tabs>
          <w:tab w:val="num" w:pos="720"/>
        </w:tabs>
        <w:ind w:left="720" w:hanging="360"/>
      </w:pPr>
      <w:rPr>
        <w:rFonts w:ascii="Times New Roman" w:hAnsi="Times New Roman" w:hint="default"/>
      </w:rPr>
    </w:lvl>
    <w:lvl w:ilvl="1" w:tplc="FDB00D98" w:tentative="1">
      <w:start w:val="1"/>
      <w:numFmt w:val="bullet"/>
      <w:lvlText w:val="•"/>
      <w:lvlJc w:val="left"/>
      <w:pPr>
        <w:tabs>
          <w:tab w:val="num" w:pos="1440"/>
        </w:tabs>
        <w:ind w:left="1440" w:hanging="360"/>
      </w:pPr>
      <w:rPr>
        <w:rFonts w:ascii="Times New Roman" w:hAnsi="Times New Roman" w:hint="default"/>
      </w:rPr>
    </w:lvl>
    <w:lvl w:ilvl="2" w:tplc="BDF2A5D0" w:tentative="1">
      <w:start w:val="1"/>
      <w:numFmt w:val="bullet"/>
      <w:lvlText w:val="•"/>
      <w:lvlJc w:val="left"/>
      <w:pPr>
        <w:tabs>
          <w:tab w:val="num" w:pos="2160"/>
        </w:tabs>
        <w:ind w:left="2160" w:hanging="360"/>
      </w:pPr>
      <w:rPr>
        <w:rFonts w:ascii="Times New Roman" w:hAnsi="Times New Roman" w:hint="default"/>
      </w:rPr>
    </w:lvl>
    <w:lvl w:ilvl="3" w:tplc="A6FA32BC" w:tentative="1">
      <w:start w:val="1"/>
      <w:numFmt w:val="bullet"/>
      <w:lvlText w:val="•"/>
      <w:lvlJc w:val="left"/>
      <w:pPr>
        <w:tabs>
          <w:tab w:val="num" w:pos="2880"/>
        </w:tabs>
        <w:ind w:left="2880" w:hanging="360"/>
      </w:pPr>
      <w:rPr>
        <w:rFonts w:ascii="Times New Roman" w:hAnsi="Times New Roman" w:hint="default"/>
      </w:rPr>
    </w:lvl>
    <w:lvl w:ilvl="4" w:tplc="E5D49C8A" w:tentative="1">
      <w:start w:val="1"/>
      <w:numFmt w:val="bullet"/>
      <w:lvlText w:val="•"/>
      <w:lvlJc w:val="left"/>
      <w:pPr>
        <w:tabs>
          <w:tab w:val="num" w:pos="3600"/>
        </w:tabs>
        <w:ind w:left="3600" w:hanging="360"/>
      </w:pPr>
      <w:rPr>
        <w:rFonts w:ascii="Times New Roman" w:hAnsi="Times New Roman" w:hint="default"/>
      </w:rPr>
    </w:lvl>
    <w:lvl w:ilvl="5" w:tplc="E5CC7EC6" w:tentative="1">
      <w:start w:val="1"/>
      <w:numFmt w:val="bullet"/>
      <w:lvlText w:val="•"/>
      <w:lvlJc w:val="left"/>
      <w:pPr>
        <w:tabs>
          <w:tab w:val="num" w:pos="4320"/>
        </w:tabs>
        <w:ind w:left="4320" w:hanging="360"/>
      </w:pPr>
      <w:rPr>
        <w:rFonts w:ascii="Times New Roman" w:hAnsi="Times New Roman" w:hint="default"/>
      </w:rPr>
    </w:lvl>
    <w:lvl w:ilvl="6" w:tplc="CEF66F78" w:tentative="1">
      <w:start w:val="1"/>
      <w:numFmt w:val="bullet"/>
      <w:lvlText w:val="•"/>
      <w:lvlJc w:val="left"/>
      <w:pPr>
        <w:tabs>
          <w:tab w:val="num" w:pos="5040"/>
        </w:tabs>
        <w:ind w:left="5040" w:hanging="360"/>
      </w:pPr>
      <w:rPr>
        <w:rFonts w:ascii="Times New Roman" w:hAnsi="Times New Roman" w:hint="default"/>
      </w:rPr>
    </w:lvl>
    <w:lvl w:ilvl="7" w:tplc="A846EE9A" w:tentative="1">
      <w:start w:val="1"/>
      <w:numFmt w:val="bullet"/>
      <w:lvlText w:val="•"/>
      <w:lvlJc w:val="left"/>
      <w:pPr>
        <w:tabs>
          <w:tab w:val="num" w:pos="5760"/>
        </w:tabs>
        <w:ind w:left="5760" w:hanging="360"/>
      </w:pPr>
      <w:rPr>
        <w:rFonts w:ascii="Times New Roman" w:hAnsi="Times New Roman" w:hint="default"/>
      </w:rPr>
    </w:lvl>
    <w:lvl w:ilvl="8" w:tplc="35848CD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5C94A0C"/>
    <w:multiLevelType w:val="hybridMultilevel"/>
    <w:tmpl w:val="02E67C84"/>
    <w:lvl w:ilvl="0" w:tplc="3B22FEC0">
      <w:start w:val="1"/>
      <w:numFmt w:val="bullet"/>
      <w:lvlText w:val="•"/>
      <w:lvlJc w:val="left"/>
      <w:pPr>
        <w:tabs>
          <w:tab w:val="num" w:pos="720"/>
        </w:tabs>
        <w:ind w:left="720" w:hanging="360"/>
      </w:pPr>
      <w:rPr>
        <w:rFonts w:ascii="Times New Roman" w:hAnsi="Times New Roman" w:hint="default"/>
      </w:rPr>
    </w:lvl>
    <w:lvl w:ilvl="1" w:tplc="D0A005D2" w:tentative="1">
      <w:start w:val="1"/>
      <w:numFmt w:val="bullet"/>
      <w:lvlText w:val="•"/>
      <w:lvlJc w:val="left"/>
      <w:pPr>
        <w:tabs>
          <w:tab w:val="num" w:pos="1440"/>
        </w:tabs>
        <w:ind w:left="1440" w:hanging="360"/>
      </w:pPr>
      <w:rPr>
        <w:rFonts w:ascii="Times New Roman" w:hAnsi="Times New Roman" w:hint="default"/>
      </w:rPr>
    </w:lvl>
    <w:lvl w:ilvl="2" w:tplc="CACEFD30" w:tentative="1">
      <w:start w:val="1"/>
      <w:numFmt w:val="bullet"/>
      <w:lvlText w:val="•"/>
      <w:lvlJc w:val="left"/>
      <w:pPr>
        <w:tabs>
          <w:tab w:val="num" w:pos="2160"/>
        </w:tabs>
        <w:ind w:left="2160" w:hanging="360"/>
      </w:pPr>
      <w:rPr>
        <w:rFonts w:ascii="Times New Roman" w:hAnsi="Times New Roman" w:hint="default"/>
      </w:rPr>
    </w:lvl>
    <w:lvl w:ilvl="3" w:tplc="AB72AFE0" w:tentative="1">
      <w:start w:val="1"/>
      <w:numFmt w:val="bullet"/>
      <w:lvlText w:val="•"/>
      <w:lvlJc w:val="left"/>
      <w:pPr>
        <w:tabs>
          <w:tab w:val="num" w:pos="2880"/>
        </w:tabs>
        <w:ind w:left="2880" w:hanging="360"/>
      </w:pPr>
      <w:rPr>
        <w:rFonts w:ascii="Times New Roman" w:hAnsi="Times New Roman" w:hint="default"/>
      </w:rPr>
    </w:lvl>
    <w:lvl w:ilvl="4" w:tplc="C3AC3BEA" w:tentative="1">
      <w:start w:val="1"/>
      <w:numFmt w:val="bullet"/>
      <w:lvlText w:val="•"/>
      <w:lvlJc w:val="left"/>
      <w:pPr>
        <w:tabs>
          <w:tab w:val="num" w:pos="3600"/>
        </w:tabs>
        <w:ind w:left="3600" w:hanging="360"/>
      </w:pPr>
      <w:rPr>
        <w:rFonts w:ascii="Times New Roman" w:hAnsi="Times New Roman" w:hint="default"/>
      </w:rPr>
    </w:lvl>
    <w:lvl w:ilvl="5" w:tplc="F8626B70" w:tentative="1">
      <w:start w:val="1"/>
      <w:numFmt w:val="bullet"/>
      <w:lvlText w:val="•"/>
      <w:lvlJc w:val="left"/>
      <w:pPr>
        <w:tabs>
          <w:tab w:val="num" w:pos="4320"/>
        </w:tabs>
        <w:ind w:left="4320" w:hanging="360"/>
      </w:pPr>
      <w:rPr>
        <w:rFonts w:ascii="Times New Roman" w:hAnsi="Times New Roman" w:hint="default"/>
      </w:rPr>
    </w:lvl>
    <w:lvl w:ilvl="6" w:tplc="49442E2C" w:tentative="1">
      <w:start w:val="1"/>
      <w:numFmt w:val="bullet"/>
      <w:lvlText w:val="•"/>
      <w:lvlJc w:val="left"/>
      <w:pPr>
        <w:tabs>
          <w:tab w:val="num" w:pos="5040"/>
        </w:tabs>
        <w:ind w:left="5040" w:hanging="360"/>
      </w:pPr>
      <w:rPr>
        <w:rFonts w:ascii="Times New Roman" w:hAnsi="Times New Roman" w:hint="default"/>
      </w:rPr>
    </w:lvl>
    <w:lvl w:ilvl="7" w:tplc="D8A4B52C" w:tentative="1">
      <w:start w:val="1"/>
      <w:numFmt w:val="bullet"/>
      <w:lvlText w:val="•"/>
      <w:lvlJc w:val="left"/>
      <w:pPr>
        <w:tabs>
          <w:tab w:val="num" w:pos="5760"/>
        </w:tabs>
        <w:ind w:left="5760" w:hanging="360"/>
      </w:pPr>
      <w:rPr>
        <w:rFonts w:ascii="Times New Roman" w:hAnsi="Times New Roman" w:hint="default"/>
      </w:rPr>
    </w:lvl>
    <w:lvl w:ilvl="8" w:tplc="CDCA760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7E25149"/>
    <w:multiLevelType w:val="hybridMultilevel"/>
    <w:tmpl w:val="326CCE0E"/>
    <w:lvl w:ilvl="0" w:tplc="F154ADC0">
      <w:start w:val="1"/>
      <w:numFmt w:val="bullet"/>
      <w:lvlText w:val="-"/>
      <w:lvlJc w:val="left"/>
      <w:pPr>
        <w:ind w:left="1080" w:hanging="360"/>
      </w:pPr>
      <w:rPr>
        <w:rFonts w:ascii="Times New Roman" w:eastAsia="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8532A33"/>
    <w:multiLevelType w:val="hybridMultilevel"/>
    <w:tmpl w:val="07386E6C"/>
    <w:lvl w:ilvl="0" w:tplc="8E48DFD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DDD0DB2"/>
    <w:multiLevelType w:val="hybridMultilevel"/>
    <w:tmpl w:val="8C7E4C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84103452">
    <w:abstractNumId w:val="6"/>
  </w:num>
  <w:num w:numId="2" w16cid:durableId="1071201194">
    <w:abstractNumId w:val="1"/>
  </w:num>
  <w:num w:numId="3" w16cid:durableId="1202329575">
    <w:abstractNumId w:val="5"/>
  </w:num>
  <w:num w:numId="4" w16cid:durableId="635185365">
    <w:abstractNumId w:val="12"/>
  </w:num>
  <w:num w:numId="5" w16cid:durableId="1536309694">
    <w:abstractNumId w:val="7"/>
  </w:num>
  <w:num w:numId="6" w16cid:durableId="56437705">
    <w:abstractNumId w:val="11"/>
  </w:num>
  <w:num w:numId="7" w16cid:durableId="327101835">
    <w:abstractNumId w:val="14"/>
  </w:num>
  <w:num w:numId="8" w16cid:durableId="1795099631">
    <w:abstractNumId w:val="9"/>
  </w:num>
  <w:num w:numId="9" w16cid:durableId="86079580">
    <w:abstractNumId w:val="13"/>
  </w:num>
  <w:num w:numId="10" w16cid:durableId="1862161757">
    <w:abstractNumId w:val="8"/>
  </w:num>
  <w:num w:numId="11" w16cid:durableId="1726558945">
    <w:abstractNumId w:val="0"/>
  </w:num>
  <w:num w:numId="12" w16cid:durableId="1627200303">
    <w:abstractNumId w:val="15"/>
  </w:num>
  <w:num w:numId="13" w16cid:durableId="1257597366">
    <w:abstractNumId w:val="3"/>
  </w:num>
  <w:num w:numId="14" w16cid:durableId="99034875">
    <w:abstractNumId w:val="2"/>
  </w:num>
  <w:num w:numId="15" w16cid:durableId="520584168">
    <w:abstractNumId w:val="4"/>
  </w:num>
  <w:num w:numId="16" w16cid:durableId="1272786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F39"/>
    <w:rsid w:val="00001B70"/>
    <w:rsid w:val="00002DCF"/>
    <w:rsid w:val="000039AE"/>
    <w:rsid w:val="00013B49"/>
    <w:rsid w:val="0001634E"/>
    <w:rsid w:val="00017C31"/>
    <w:rsid w:val="00020DF2"/>
    <w:rsid w:val="00023688"/>
    <w:rsid w:val="00045C7A"/>
    <w:rsid w:val="00047883"/>
    <w:rsid w:val="0005034B"/>
    <w:rsid w:val="00057746"/>
    <w:rsid w:val="0006794F"/>
    <w:rsid w:val="00070447"/>
    <w:rsid w:val="00073E6C"/>
    <w:rsid w:val="00080268"/>
    <w:rsid w:val="00082687"/>
    <w:rsid w:val="00084853"/>
    <w:rsid w:val="00086EFC"/>
    <w:rsid w:val="00087004"/>
    <w:rsid w:val="00097457"/>
    <w:rsid w:val="000A4B63"/>
    <w:rsid w:val="000A6544"/>
    <w:rsid w:val="000A67D7"/>
    <w:rsid w:val="000B5A5A"/>
    <w:rsid w:val="000C4D4D"/>
    <w:rsid w:val="000C6AE0"/>
    <w:rsid w:val="000D2298"/>
    <w:rsid w:val="000D7F1A"/>
    <w:rsid w:val="000E5A46"/>
    <w:rsid w:val="000F557C"/>
    <w:rsid w:val="000F584E"/>
    <w:rsid w:val="00101FD9"/>
    <w:rsid w:val="0010653C"/>
    <w:rsid w:val="00124A96"/>
    <w:rsid w:val="00143C32"/>
    <w:rsid w:val="001443F1"/>
    <w:rsid w:val="0014474F"/>
    <w:rsid w:val="00146966"/>
    <w:rsid w:val="001474D7"/>
    <w:rsid w:val="00151DE7"/>
    <w:rsid w:val="00154045"/>
    <w:rsid w:val="001546CE"/>
    <w:rsid w:val="00155E65"/>
    <w:rsid w:val="00157DE8"/>
    <w:rsid w:val="00160862"/>
    <w:rsid w:val="001727CF"/>
    <w:rsid w:val="00172F5A"/>
    <w:rsid w:val="00173FEA"/>
    <w:rsid w:val="0017454A"/>
    <w:rsid w:val="00183215"/>
    <w:rsid w:val="00186066"/>
    <w:rsid w:val="001A705C"/>
    <w:rsid w:val="001A7479"/>
    <w:rsid w:val="001D1548"/>
    <w:rsid w:val="001D454F"/>
    <w:rsid w:val="001D5B31"/>
    <w:rsid w:val="001D5D01"/>
    <w:rsid w:val="001D5EEA"/>
    <w:rsid w:val="001D7836"/>
    <w:rsid w:val="001E710A"/>
    <w:rsid w:val="001F3D88"/>
    <w:rsid w:val="001F5307"/>
    <w:rsid w:val="002048AF"/>
    <w:rsid w:val="00206489"/>
    <w:rsid w:val="002065B9"/>
    <w:rsid w:val="00215ADA"/>
    <w:rsid w:val="00216776"/>
    <w:rsid w:val="00221453"/>
    <w:rsid w:val="00226CFE"/>
    <w:rsid w:val="002329B3"/>
    <w:rsid w:val="00235A4A"/>
    <w:rsid w:val="00241551"/>
    <w:rsid w:val="00252187"/>
    <w:rsid w:val="0026075E"/>
    <w:rsid w:val="00261EBE"/>
    <w:rsid w:val="00270ADB"/>
    <w:rsid w:val="00270C80"/>
    <w:rsid w:val="002862F5"/>
    <w:rsid w:val="002876EF"/>
    <w:rsid w:val="00293F4B"/>
    <w:rsid w:val="0029400B"/>
    <w:rsid w:val="00294FE1"/>
    <w:rsid w:val="00296B91"/>
    <w:rsid w:val="00297428"/>
    <w:rsid w:val="002A1C8E"/>
    <w:rsid w:val="002A59B6"/>
    <w:rsid w:val="002A68E2"/>
    <w:rsid w:val="002B06F5"/>
    <w:rsid w:val="002B4937"/>
    <w:rsid w:val="002C1476"/>
    <w:rsid w:val="002C2ECE"/>
    <w:rsid w:val="002C4714"/>
    <w:rsid w:val="002C6517"/>
    <w:rsid w:val="002D1803"/>
    <w:rsid w:val="002D1D43"/>
    <w:rsid w:val="002E1045"/>
    <w:rsid w:val="002E730C"/>
    <w:rsid w:val="002F2EA8"/>
    <w:rsid w:val="002F587E"/>
    <w:rsid w:val="002F6E7A"/>
    <w:rsid w:val="00303179"/>
    <w:rsid w:val="00303931"/>
    <w:rsid w:val="00314CE8"/>
    <w:rsid w:val="00314E3B"/>
    <w:rsid w:val="003206DC"/>
    <w:rsid w:val="003214AB"/>
    <w:rsid w:val="00321DCB"/>
    <w:rsid w:val="003342E3"/>
    <w:rsid w:val="00344E9A"/>
    <w:rsid w:val="003467F7"/>
    <w:rsid w:val="0034788F"/>
    <w:rsid w:val="003536EA"/>
    <w:rsid w:val="003551D0"/>
    <w:rsid w:val="00371DB1"/>
    <w:rsid w:val="00371EB9"/>
    <w:rsid w:val="00371FC4"/>
    <w:rsid w:val="003720E1"/>
    <w:rsid w:val="00391888"/>
    <w:rsid w:val="00396CEA"/>
    <w:rsid w:val="003A7AA9"/>
    <w:rsid w:val="003B5400"/>
    <w:rsid w:val="003C0595"/>
    <w:rsid w:val="003C720F"/>
    <w:rsid w:val="003D0EB2"/>
    <w:rsid w:val="003D4532"/>
    <w:rsid w:val="003E0B1B"/>
    <w:rsid w:val="003F1839"/>
    <w:rsid w:val="00401E68"/>
    <w:rsid w:val="00403D28"/>
    <w:rsid w:val="0040751B"/>
    <w:rsid w:val="004077D7"/>
    <w:rsid w:val="00431C2E"/>
    <w:rsid w:val="00440840"/>
    <w:rsid w:val="00442BE8"/>
    <w:rsid w:val="00445894"/>
    <w:rsid w:val="00452237"/>
    <w:rsid w:val="00452B8E"/>
    <w:rsid w:val="004536B1"/>
    <w:rsid w:val="00471CF0"/>
    <w:rsid w:val="0047468C"/>
    <w:rsid w:val="00495673"/>
    <w:rsid w:val="004A230B"/>
    <w:rsid w:val="004A7C09"/>
    <w:rsid w:val="004C1757"/>
    <w:rsid w:val="004C6D79"/>
    <w:rsid w:val="004D1B8C"/>
    <w:rsid w:val="004D1EDC"/>
    <w:rsid w:val="004D2CCD"/>
    <w:rsid w:val="004D5622"/>
    <w:rsid w:val="004D7FA5"/>
    <w:rsid w:val="004F0359"/>
    <w:rsid w:val="00507301"/>
    <w:rsid w:val="00510C76"/>
    <w:rsid w:val="00510DB3"/>
    <w:rsid w:val="005110F3"/>
    <w:rsid w:val="00511B41"/>
    <w:rsid w:val="0051232A"/>
    <w:rsid w:val="005146B3"/>
    <w:rsid w:val="00514D19"/>
    <w:rsid w:val="00515417"/>
    <w:rsid w:val="0052326B"/>
    <w:rsid w:val="00523E62"/>
    <w:rsid w:val="00527CA9"/>
    <w:rsid w:val="00530034"/>
    <w:rsid w:val="00530F39"/>
    <w:rsid w:val="00532AB0"/>
    <w:rsid w:val="00534D5F"/>
    <w:rsid w:val="00534DE7"/>
    <w:rsid w:val="00557504"/>
    <w:rsid w:val="00560939"/>
    <w:rsid w:val="005611ED"/>
    <w:rsid w:val="005613CC"/>
    <w:rsid w:val="005628B9"/>
    <w:rsid w:val="005728B8"/>
    <w:rsid w:val="0058227E"/>
    <w:rsid w:val="00590DC4"/>
    <w:rsid w:val="00591DFB"/>
    <w:rsid w:val="005A353D"/>
    <w:rsid w:val="005B15B2"/>
    <w:rsid w:val="005C1775"/>
    <w:rsid w:val="005C3D5A"/>
    <w:rsid w:val="005C4C87"/>
    <w:rsid w:val="005C658E"/>
    <w:rsid w:val="005D5376"/>
    <w:rsid w:val="005D5525"/>
    <w:rsid w:val="005E06D9"/>
    <w:rsid w:val="005E23D2"/>
    <w:rsid w:val="006010C7"/>
    <w:rsid w:val="00601122"/>
    <w:rsid w:val="00605807"/>
    <w:rsid w:val="00607483"/>
    <w:rsid w:val="006208EF"/>
    <w:rsid w:val="00620C29"/>
    <w:rsid w:val="00626A3E"/>
    <w:rsid w:val="006353E8"/>
    <w:rsid w:val="006415E1"/>
    <w:rsid w:val="0064641A"/>
    <w:rsid w:val="00653DA3"/>
    <w:rsid w:val="006556F4"/>
    <w:rsid w:val="00655AB9"/>
    <w:rsid w:val="0066130B"/>
    <w:rsid w:val="00661641"/>
    <w:rsid w:val="006641D4"/>
    <w:rsid w:val="0066699F"/>
    <w:rsid w:val="006670CA"/>
    <w:rsid w:val="006678D3"/>
    <w:rsid w:val="0067063F"/>
    <w:rsid w:val="00676768"/>
    <w:rsid w:val="006914B0"/>
    <w:rsid w:val="006A5CA8"/>
    <w:rsid w:val="006B38EE"/>
    <w:rsid w:val="006C0CF4"/>
    <w:rsid w:val="006C12E0"/>
    <w:rsid w:val="006C1A4B"/>
    <w:rsid w:val="006C511F"/>
    <w:rsid w:val="006C670E"/>
    <w:rsid w:val="006D14AD"/>
    <w:rsid w:val="006D4835"/>
    <w:rsid w:val="006D4DDD"/>
    <w:rsid w:val="006D5CCC"/>
    <w:rsid w:val="006E0D37"/>
    <w:rsid w:val="006F60AE"/>
    <w:rsid w:val="006F7CDC"/>
    <w:rsid w:val="0071134B"/>
    <w:rsid w:val="0071641F"/>
    <w:rsid w:val="00727DD3"/>
    <w:rsid w:val="00730862"/>
    <w:rsid w:val="00732B45"/>
    <w:rsid w:val="0073741B"/>
    <w:rsid w:val="007432E5"/>
    <w:rsid w:val="00746F81"/>
    <w:rsid w:val="007472CE"/>
    <w:rsid w:val="0074735B"/>
    <w:rsid w:val="007518F3"/>
    <w:rsid w:val="007562D2"/>
    <w:rsid w:val="00760B55"/>
    <w:rsid w:val="00774927"/>
    <w:rsid w:val="00774CFE"/>
    <w:rsid w:val="007800A9"/>
    <w:rsid w:val="00780F88"/>
    <w:rsid w:val="00784CF4"/>
    <w:rsid w:val="007A0CEF"/>
    <w:rsid w:val="007B1ADD"/>
    <w:rsid w:val="007C3C08"/>
    <w:rsid w:val="007C4307"/>
    <w:rsid w:val="007C73DB"/>
    <w:rsid w:val="007D3DBC"/>
    <w:rsid w:val="007D46F7"/>
    <w:rsid w:val="007F0E79"/>
    <w:rsid w:val="007F1C45"/>
    <w:rsid w:val="007F3D61"/>
    <w:rsid w:val="007F5093"/>
    <w:rsid w:val="00807F4E"/>
    <w:rsid w:val="008134E9"/>
    <w:rsid w:val="00814A39"/>
    <w:rsid w:val="0082302B"/>
    <w:rsid w:val="008231B2"/>
    <w:rsid w:val="00823C01"/>
    <w:rsid w:val="008275BE"/>
    <w:rsid w:val="008301F6"/>
    <w:rsid w:val="00843E32"/>
    <w:rsid w:val="008440A7"/>
    <w:rsid w:val="00851FD2"/>
    <w:rsid w:val="008534AE"/>
    <w:rsid w:val="00854611"/>
    <w:rsid w:val="0086294E"/>
    <w:rsid w:val="0086344B"/>
    <w:rsid w:val="008716A4"/>
    <w:rsid w:val="00874736"/>
    <w:rsid w:val="00874986"/>
    <w:rsid w:val="008801B4"/>
    <w:rsid w:val="008914FB"/>
    <w:rsid w:val="00894F3F"/>
    <w:rsid w:val="00895460"/>
    <w:rsid w:val="00897054"/>
    <w:rsid w:val="008A3EF9"/>
    <w:rsid w:val="008C6F77"/>
    <w:rsid w:val="008D6BB0"/>
    <w:rsid w:val="008E4979"/>
    <w:rsid w:val="008F23B2"/>
    <w:rsid w:val="008F2E88"/>
    <w:rsid w:val="008F5A68"/>
    <w:rsid w:val="00902074"/>
    <w:rsid w:val="00907512"/>
    <w:rsid w:val="009078DE"/>
    <w:rsid w:val="00913C60"/>
    <w:rsid w:val="009144D2"/>
    <w:rsid w:val="00923DAB"/>
    <w:rsid w:val="00923E6A"/>
    <w:rsid w:val="00930A95"/>
    <w:rsid w:val="00931776"/>
    <w:rsid w:val="00932F91"/>
    <w:rsid w:val="00935C91"/>
    <w:rsid w:val="0094085B"/>
    <w:rsid w:val="00942BF5"/>
    <w:rsid w:val="00944890"/>
    <w:rsid w:val="009456B3"/>
    <w:rsid w:val="00957948"/>
    <w:rsid w:val="009623E6"/>
    <w:rsid w:val="009642AE"/>
    <w:rsid w:val="0096627D"/>
    <w:rsid w:val="00980A2E"/>
    <w:rsid w:val="00983114"/>
    <w:rsid w:val="009849A9"/>
    <w:rsid w:val="00986F77"/>
    <w:rsid w:val="00987ED0"/>
    <w:rsid w:val="009901BA"/>
    <w:rsid w:val="00990A93"/>
    <w:rsid w:val="00996BD0"/>
    <w:rsid w:val="009A3A1F"/>
    <w:rsid w:val="009B025E"/>
    <w:rsid w:val="009B4809"/>
    <w:rsid w:val="009B566B"/>
    <w:rsid w:val="009B7E25"/>
    <w:rsid w:val="009C07AB"/>
    <w:rsid w:val="009C1870"/>
    <w:rsid w:val="009C78ED"/>
    <w:rsid w:val="009D1E81"/>
    <w:rsid w:val="009D1E83"/>
    <w:rsid w:val="009E3439"/>
    <w:rsid w:val="00A00C58"/>
    <w:rsid w:val="00A02F10"/>
    <w:rsid w:val="00A03DE5"/>
    <w:rsid w:val="00A079FF"/>
    <w:rsid w:val="00A23C95"/>
    <w:rsid w:val="00A27C28"/>
    <w:rsid w:val="00A31DCC"/>
    <w:rsid w:val="00A34592"/>
    <w:rsid w:val="00A359D8"/>
    <w:rsid w:val="00A3769B"/>
    <w:rsid w:val="00A40761"/>
    <w:rsid w:val="00A40998"/>
    <w:rsid w:val="00A448D8"/>
    <w:rsid w:val="00A474A5"/>
    <w:rsid w:val="00A47AAA"/>
    <w:rsid w:val="00A53C28"/>
    <w:rsid w:val="00A553B5"/>
    <w:rsid w:val="00A63C76"/>
    <w:rsid w:val="00A747DA"/>
    <w:rsid w:val="00A7780A"/>
    <w:rsid w:val="00A81D27"/>
    <w:rsid w:val="00A8355C"/>
    <w:rsid w:val="00A85E3F"/>
    <w:rsid w:val="00A9022E"/>
    <w:rsid w:val="00A92A83"/>
    <w:rsid w:val="00A9597A"/>
    <w:rsid w:val="00AB0DD7"/>
    <w:rsid w:val="00AB1985"/>
    <w:rsid w:val="00AC46FD"/>
    <w:rsid w:val="00AD4963"/>
    <w:rsid w:val="00AE475E"/>
    <w:rsid w:val="00AE5FED"/>
    <w:rsid w:val="00AE76E9"/>
    <w:rsid w:val="00AF152C"/>
    <w:rsid w:val="00B040AE"/>
    <w:rsid w:val="00B04EA0"/>
    <w:rsid w:val="00B12AD9"/>
    <w:rsid w:val="00B15320"/>
    <w:rsid w:val="00B15F50"/>
    <w:rsid w:val="00B167B9"/>
    <w:rsid w:val="00B17631"/>
    <w:rsid w:val="00B42367"/>
    <w:rsid w:val="00B44917"/>
    <w:rsid w:val="00B45923"/>
    <w:rsid w:val="00B51DC0"/>
    <w:rsid w:val="00B52B87"/>
    <w:rsid w:val="00B53D36"/>
    <w:rsid w:val="00B53DEA"/>
    <w:rsid w:val="00B647A3"/>
    <w:rsid w:val="00B65BF3"/>
    <w:rsid w:val="00B662FC"/>
    <w:rsid w:val="00B71B49"/>
    <w:rsid w:val="00B75BC7"/>
    <w:rsid w:val="00B778BE"/>
    <w:rsid w:val="00B77BE6"/>
    <w:rsid w:val="00B80092"/>
    <w:rsid w:val="00B87E79"/>
    <w:rsid w:val="00BA19BF"/>
    <w:rsid w:val="00BA2480"/>
    <w:rsid w:val="00BA2503"/>
    <w:rsid w:val="00BA469E"/>
    <w:rsid w:val="00BA6509"/>
    <w:rsid w:val="00BB0D06"/>
    <w:rsid w:val="00BB57F1"/>
    <w:rsid w:val="00BB675E"/>
    <w:rsid w:val="00BB6CA6"/>
    <w:rsid w:val="00BB7881"/>
    <w:rsid w:val="00BC07CC"/>
    <w:rsid w:val="00BC16A0"/>
    <w:rsid w:val="00BE52AA"/>
    <w:rsid w:val="00C00A71"/>
    <w:rsid w:val="00C00E6A"/>
    <w:rsid w:val="00C0182E"/>
    <w:rsid w:val="00C05738"/>
    <w:rsid w:val="00C1050E"/>
    <w:rsid w:val="00C126F4"/>
    <w:rsid w:val="00C12C03"/>
    <w:rsid w:val="00C16E27"/>
    <w:rsid w:val="00C16F6F"/>
    <w:rsid w:val="00C176F7"/>
    <w:rsid w:val="00C20F17"/>
    <w:rsid w:val="00C24E47"/>
    <w:rsid w:val="00C25293"/>
    <w:rsid w:val="00C25615"/>
    <w:rsid w:val="00C25DCD"/>
    <w:rsid w:val="00C2609C"/>
    <w:rsid w:val="00C27098"/>
    <w:rsid w:val="00C27E67"/>
    <w:rsid w:val="00C32F62"/>
    <w:rsid w:val="00C32FB6"/>
    <w:rsid w:val="00C35C0E"/>
    <w:rsid w:val="00C60C12"/>
    <w:rsid w:val="00C640E6"/>
    <w:rsid w:val="00C72F1D"/>
    <w:rsid w:val="00C749D1"/>
    <w:rsid w:val="00C827E6"/>
    <w:rsid w:val="00C8783E"/>
    <w:rsid w:val="00C947AC"/>
    <w:rsid w:val="00C94A7F"/>
    <w:rsid w:val="00CA3734"/>
    <w:rsid w:val="00CA37FA"/>
    <w:rsid w:val="00CA7B41"/>
    <w:rsid w:val="00CC020E"/>
    <w:rsid w:val="00CD738E"/>
    <w:rsid w:val="00CE1AA8"/>
    <w:rsid w:val="00CE6858"/>
    <w:rsid w:val="00CF4BB1"/>
    <w:rsid w:val="00CF5585"/>
    <w:rsid w:val="00CF6909"/>
    <w:rsid w:val="00D023C3"/>
    <w:rsid w:val="00D02D59"/>
    <w:rsid w:val="00D0353C"/>
    <w:rsid w:val="00D077BA"/>
    <w:rsid w:val="00D1098D"/>
    <w:rsid w:val="00D10B7D"/>
    <w:rsid w:val="00D12FA8"/>
    <w:rsid w:val="00D16687"/>
    <w:rsid w:val="00D220E8"/>
    <w:rsid w:val="00D30FFF"/>
    <w:rsid w:val="00D36DE9"/>
    <w:rsid w:val="00D37F6D"/>
    <w:rsid w:val="00D46C20"/>
    <w:rsid w:val="00D55264"/>
    <w:rsid w:val="00D74DCB"/>
    <w:rsid w:val="00D764F9"/>
    <w:rsid w:val="00D83B6F"/>
    <w:rsid w:val="00D976DF"/>
    <w:rsid w:val="00DA528A"/>
    <w:rsid w:val="00DA58AC"/>
    <w:rsid w:val="00DA6018"/>
    <w:rsid w:val="00DA7555"/>
    <w:rsid w:val="00DB0B31"/>
    <w:rsid w:val="00DB337D"/>
    <w:rsid w:val="00DB3969"/>
    <w:rsid w:val="00DB5A4E"/>
    <w:rsid w:val="00DC5273"/>
    <w:rsid w:val="00DC5429"/>
    <w:rsid w:val="00DD1C2D"/>
    <w:rsid w:val="00DE0667"/>
    <w:rsid w:val="00DE5890"/>
    <w:rsid w:val="00DE757F"/>
    <w:rsid w:val="00DF3474"/>
    <w:rsid w:val="00E016FE"/>
    <w:rsid w:val="00E03250"/>
    <w:rsid w:val="00E042C9"/>
    <w:rsid w:val="00E12E81"/>
    <w:rsid w:val="00E139B9"/>
    <w:rsid w:val="00E2171A"/>
    <w:rsid w:val="00E22BFE"/>
    <w:rsid w:val="00E23DB1"/>
    <w:rsid w:val="00E241D6"/>
    <w:rsid w:val="00E25DDF"/>
    <w:rsid w:val="00E3096A"/>
    <w:rsid w:val="00E32741"/>
    <w:rsid w:val="00E33F2A"/>
    <w:rsid w:val="00E35280"/>
    <w:rsid w:val="00E36F79"/>
    <w:rsid w:val="00E43045"/>
    <w:rsid w:val="00E507D5"/>
    <w:rsid w:val="00E51CD1"/>
    <w:rsid w:val="00E55B48"/>
    <w:rsid w:val="00E62E91"/>
    <w:rsid w:val="00E63697"/>
    <w:rsid w:val="00E6519A"/>
    <w:rsid w:val="00E66677"/>
    <w:rsid w:val="00E66BD5"/>
    <w:rsid w:val="00E71CC2"/>
    <w:rsid w:val="00E758E9"/>
    <w:rsid w:val="00E8485F"/>
    <w:rsid w:val="00E92C0A"/>
    <w:rsid w:val="00E9736B"/>
    <w:rsid w:val="00EA201D"/>
    <w:rsid w:val="00EA55EF"/>
    <w:rsid w:val="00EA7084"/>
    <w:rsid w:val="00EC4A37"/>
    <w:rsid w:val="00EC6035"/>
    <w:rsid w:val="00ED7E07"/>
    <w:rsid w:val="00EE00D0"/>
    <w:rsid w:val="00EE30FA"/>
    <w:rsid w:val="00EE3BA8"/>
    <w:rsid w:val="00EE7F27"/>
    <w:rsid w:val="00EE7FD9"/>
    <w:rsid w:val="00EF4996"/>
    <w:rsid w:val="00EF6F75"/>
    <w:rsid w:val="00F000F3"/>
    <w:rsid w:val="00F008A0"/>
    <w:rsid w:val="00F04D79"/>
    <w:rsid w:val="00F0784D"/>
    <w:rsid w:val="00F12676"/>
    <w:rsid w:val="00F1406E"/>
    <w:rsid w:val="00F15A0E"/>
    <w:rsid w:val="00F21464"/>
    <w:rsid w:val="00F27295"/>
    <w:rsid w:val="00F3310B"/>
    <w:rsid w:val="00F351D6"/>
    <w:rsid w:val="00F413E7"/>
    <w:rsid w:val="00F4635C"/>
    <w:rsid w:val="00F550BB"/>
    <w:rsid w:val="00F57FB7"/>
    <w:rsid w:val="00F61B97"/>
    <w:rsid w:val="00F62DF2"/>
    <w:rsid w:val="00F655B6"/>
    <w:rsid w:val="00F675F6"/>
    <w:rsid w:val="00F72251"/>
    <w:rsid w:val="00F8420D"/>
    <w:rsid w:val="00F84619"/>
    <w:rsid w:val="00F9005A"/>
    <w:rsid w:val="00F92F2C"/>
    <w:rsid w:val="00FA0003"/>
    <w:rsid w:val="00FB13F6"/>
    <w:rsid w:val="00FB29E0"/>
    <w:rsid w:val="00FB3030"/>
    <w:rsid w:val="00FE26E3"/>
    <w:rsid w:val="00FE3F7F"/>
    <w:rsid w:val="00FF46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9033A"/>
  <w15:docId w15:val="{94B53B08-89A2-455F-9022-962A0C22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30F39"/>
    <w:pPr>
      <w:spacing w:after="0" w:line="240" w:lineRule="auto"/>
      <w:ind w:left="720"/>
      <w:contextualSpacing/>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371EB9"/>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913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DCB"/>
    <w:rPr>
      <w:rFonts w:ascii="Tahoma" w:hAnsi="Tahoma" w:cs="Tahoma"/>
      <w:sz w:val="16"/>
      <w:szCs w:val="16"/>
    </w:rPr>
  </w:style>
  <w:style w:type="character" w:styleId="Hyperlink">
    <w:name w:val="Hyperlink"/>
    <w:basedOn w:val="DefaultParagraphFont"/>
    <w:uiPriority w:val="99"/>
    <w:unhideWhenUsed/>
    <w:rsid w:val="0034788F"/>
    <w:rPr>
      <w:color w:val="0000FF" w:themeColor="hyperlink"/>
      <w:u w:val="single"/>
    </w:rPr>
  </w:style>
  <w:style w:type="paragraph" w:styleId="Header">
    <w:name w:val="header"/>
    <w:basedOn w:val="Normal"/>
    <w:link w:val="HeaderChar"/>
    <w:uiPriority w:val="99"/>
    <w:unhideWhenUsed/>
    <w:rsid w:val="00F331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310B"/>
  </w:style>
  <w:style w:type="paragraph" w:styleId="Footer">
    <w:name w:val="footer"/>
    <w:basedOn w:val="Normal"/>
    <w:link w:val="FooterChar"/>
    <w:uiPriority w:val="99"/>
    <w:unhideWhenUsed/>
    <w:rsid w:val="00F331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F3310B"/>
  </w:style>
  <w:style w:type="paragraph" w:styleId="FootnoteText">
    <w:name w:val="footnote text"/>
    <w:basedOn w:val="Normal"/>
    <w:link w:val="FootnoteTextChar"/>
    <w:uiPriority w:val="99"/>
    <w:semiHidden/>
    <w:unhideWhenUsed/>
    <w:rsid w:val="00172F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2F5A"/>
    <w:rPr>
      <w:sz w:val="20"/>
      <w:szCs w:val="20"/>
    </w:rPr>
  </w:style>
  <w:style w:type="character" w:styleId="FootnoteReference">
    <w:name w:val="footnote reference"/>
    <w:basedOn w:val="DefaultParagraphFont"/>
    <w:uiPriority w:val="99"/>
    <w:semiHidden/>
    <w:unhideWhenUsed/>
    <w:rsid w:val="00172F5A"/>
    <w:rPr>
      <w:vertAlign w:val="superscript"/>
    </w:rPr>
  </w:style>
  <w:style w:type="character" w:customStyle="1" w:styleId="ListParagraphChar">
    <w:name w:val="List Paragraph Char"/>
    <w:link w:val="ListParagraph"/>
    <w:uiPriority w:val="34"/>
    <w:locked/>
    <w:rsid w:val="00B15F50"/>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5628B9"/>
    <w:rPr>
      <w:sz w:val="16"/>
      <w:szCs w:val="16"/>
    </w:rPr>
  </w:style>
  <w:style w:type="paragraph" w:styleId="CommentText">
    <w:name w:val="annotation text"/>
    <w:basedOn w:val="Normal"/>
    <w:link w:val="CommentTextChar"/>
    <w:uiPriority w:val="99"/>
    <w:unhideWhenUsed/>
    <w:rsid w:val="005628B9"/>
    <w:pPr>
      <w:spacing w:line="240" w:lineRule="auto"/>
    </w:pPr>
    <w:rPr>
      <w:sz w:val="20"/>
      <w:szCs w:val="20"/>
    </w:rPr>
  </w:style>
  <w:style w:type="character" w:customStyle="1" w:styleId="CommentTextChar">
    <w:name w:val="Comment Text Char"/>
    <w:basedOn w:val="DefaultParagraphFont"/>
    <w:link w:val="CommentText"/>
    <w:uiPriority w:val="99"/>
    <w:rsid w:val="005628B9"/>
    <w:rPr>
      <w:sz w:val="20"/>
      <w:szCs w:val="20"/>
    </w:rPr>
  </w:style>
  <w:style w:type="paragraph" w:styleId="CommentSubject">
    <w:name w:val="annotation subject"/>
    <w:basedOn w:val="CommentText"/>
    <w:next w:val="CommentText"/>
    <w:link w:val="CommentSubjectChar"/>
    <w:uiPriority w:val="99"/>
    <w:semiHidden/>
    <w:unhideWhenUsed/>
    <w:rsid w:val="005628B9"/>
    <w:rPr>
      <w:b/>
      <w:bCs/>
    </w:rPr>
  </w:style>
  <w:style w:type="character" w:customStyle="1" w:styleId="CommentSubjectChar">
    <w:name w:val="Comment Subject Char"/>
    <w:basedOn w:val="CommentTextChar"/>
    <w:link w:val="CommentSubject"/>
    <w:uiPriority w:val="99"/>
    <w:semiHidden/>
    <w:rsid w:val="005628B9"/>
    <w:rPr>
      <w:b/>
      <w:bCs/>
      <w:sz w:val="20"/>
      <w:szCs w:val="20"/>
    </w:rPr>
  </w:style>
  <w:style w:type="character" w:customStyle="1" w:styleId="UnresolvedMention1">
    <w:name w:val="Unresolved Mention1"/>
    <w:basedOn w:val="DefaultParagraphFont"/>
    <w:uiPriority w:val="99"/>
    <w:semiHidden/>
    <w:unhideWhenUsed/>
    <w:rsid w:val="00944890"/>
    <w:rPr>
      <w:color w:val="605E5C"/>
      <w:shd w:val="clear" w:color="auto" w:fill="E1DFDD"/>
    </w:rPr>
  </w:style>
  <w:style w:type="paragraph" w:customStyle="1" w:styleId="Normal1">
    <w:name w:val="Normal1"/>
    <w:basedOn w:val="Normal"/>
    <w:rsid w:val="00930A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3536EA"/>
    <w:rPr>
      <w:color w:val="800080" w:themeColor="followedHyperlink"/>
      <w:u w:val="single"/>
    </w:rPr>
  </w:style>
  <w:style w:type="paragraph" w:styleId="Revision">
    <w:name w:val="Revision"/>
    <w:hidden/>
    <w:uiPriority w:val="99"/>
    <w:semiHidden/>
    <w:rsid w:val="00676768"/>
    <w:pPr>
      <w:spacing w:after="0" w:line="240" w:lineRule="auto"/>
    </w:pPr>
  </w:style>
  <w:style w:type="character" w:styleId="UnresolvedMention">
    <w:name w:val="Unresolved Mention"/>
    <w:basedOn w:val="DefaultParagraphFont"/>
    <w:uiPriority w:val="99"/>
    <w:semiHidden/>
    <w:unhideWhenUsed/>
    <w:rsid w:val="00560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09771">
      <w:bodyDiv w:val="1"/>
      <w:marLeft w:val="0"/>
      <w:marRight w:val="0"/>
      <w:marTop w:val="0"/>
      <w:marBottom w:val="0"/>
      <w:divBdr>
        <w:top w:val="none" w:sz="0" w:space="0" w:color="auto"/>
        <w:left w:val="none" w:sz="0" w:space="0" w:color="auto"/>
        <w:bottom w:val="none" w:sz="0" w:space="0" w:color="auto"/>
        <w:right w:val="none" w:sz="0" w:space="0" w:color="auto"/>
      </w:divBdr>
      <w:divsChild>
        <w:div w:id="579019605">
          <w:marLeft w:val="547"/>
          <w:marRight w:val="0"/>
          <w:marTop w:val="120"/>
          <w:marBottom w:val="0"/>
          <w:divBdr>
            <w:top w:val="none" w:sz="0" w:space="0" w:color="auto"/>
            <w:left w:val="none" w:sz="0" w:space="0" w:color="auto"/>
            <w:bottom w:val="none" w:sz="0" w:space="0" w:color="auto"/>
            <w:right w:val="none" w:sz="0" w:space="0" w:color="auto"/>
          </w:divBdr>
        </w:div>
        <w:div w:id="1135949975">
          <w:marLeft w:val="547"/>
          <w:marRight w:val="0"/>
          <w:marTop w:val="120"/>
          <w:marBottom w:val="0"/>
          <w:divBdr>
            <w:top w:val="none" w:sz="0" w:space="0" w:color="auto"/>
            <w:left w:val="none" w:sz="0" w:space="0" w:color="auto"/>
            <w:bottom w:val="none" w:sz="0" w:space="0" w:color="auto"/>
            <w:right w:val="none" w:sz="0" w:space="0" w:color="auto"/>
          </w:divBdr>
        </w:div>
        <w:div w:id="1850869313">
          <w:marLeft w:val="547"/>
          <w:marRight w:val="0"/>
          <w:marTop w:val="120"/>
          <w:marBottom w:val="0"/>
          <w:divBdr>
            <w:top w:val="none" w:sz="0" w:space="0" w:color="auto"/>
            <w:left w:val="none" w:sz="0" w:space="0" w:color="auto"/>
            <w:bottom w:val="none" w:sz="0" w:space="0" w:color="auto"/>
            <w:right w:val="none" w:sz="0" w:space="0" w:color="auto"/>
          </w:divBdr>
        </w:div>
        <w:div w:id="2098819588">
          <w:marLeft w:val="547"/>
          <w:marRight w:val="0"/>
          <w:marTop w:val="120"/>
          <w:marBottom w:val="0"/>
          <w:divBdr>
            <w:top w:val="none" w:sz="0" w:space="0" w:color="auto"/>
            <w:left w:val="none" w:sz="0" w:space="0" w:color="auto"/>
            <w:bottom w:val="none" w:sz="0" w:space="0" w:color="auto"/>
            <w:right w:val="none" w:sz="0" w:space="0" w:color="auto"/>
          </w:divBdr>
        </w:div>
      </w:divsChild>
    </w:div>
    <w:div w:id="526721731">
      <w:bodyDiv w:val="1"/>
      <w:marLeft w:val="0"/>
      <w:marRight w:val="0"/>
      <w:marTop w:val="0"/>
      <w:marBottom w:val="0"/>
      <w:divBdr>
        <w:top w:val="none" w:sz="0" w:space="0" w:color="auto"/>
        <w:left w:val="none" w:sz="0" w:space="0" w:color="auto"/>
        <w:bottom w:val="none" w:sz="0" w:space="0" w:color="auto"/>
        <w:right w:val="none" w:sz="0" w:space="0" w:color="auto"/>
      </w:divBdr>
    </w:div>
    <w:div w:id="610206278">
      <w:bodyDiv w:val="1"/>
      <w:marLeft w:val="0"/>
      <w:marRight w:val="0"/>
      <w:marTop w:val="0"/>
      <w:marBottom w:val="0"/>
      <w:divBdr>
        <w:top w:val="none" w:sz="0" w:space="0" w:color="auto"/>
        <w:left w:val="none" w:sz="0" w:space="0" w:color="auto"/>
        <w:bottom w:val="none" w:sz="0" w:space="0" w:color="auto"/>
        <w:right w:val="none" w:sz="0" w:space="0" w:color="auto"/>
      </w:divBdr>
    </w:div>
    <w:div w:id="620264717">
      <w:bodyDiv w:val="1"/>
      <w:marLeft w:val="0"/>
      <w:marRight w:val="0"/>
      <w:marTop w:val="0"/>
      <w:marBottom w:val="0"/>
      <w:divBdr>
        <w:top w:val="none" w:sz="0" w:space="0" w:color="auto"/>
        <w:left w:val="none" w:sz="0" w:space="0" w:color="auto"/>
        <w:bottom w:val="none" w:sz="0" w:space="0" w:color="auto"/>
        <w:right w:val="none" w:sz="0" w:space="0" w:color="auto"/>
      </w:divBdr>
    </w:div>
    <w:div w:id="706024461">
      <w:bodyDiv w:val="1"/>
      <w:marLeft w:val="0"/>
      <w:marRight w:val="0"/>
      <w:marTop w:val="0"/>
      <w:marBottom w:val="0"/>
      <w:divBdr>
        <w:top w:val="none" w:sz="0" w:space="0" w:color="auto"/>
        <w:left w:val="none" w:sz="0" w:space="0" w:color="auto"/>
        <w:bottom w:val="none" w:sz="0" w:space="0" w:color="auto"/>
        <w:right w:val="none" w:sz="0" w:space="0" w:color="auto"/>
      </w:divBdr>
    </w:div>
    <w:div w:id="761799077">
      <w:bodyDiv w:val="1"/>
      <w:marLeft w:val="0"/>
      <w:marRight w:val="0"/>
      <w:marTop w:val="0"/>
      <w:marBottom w:val="0"/>
      <w:divBdr>
        <w:top w:val="none" w:sz="0" w:space="0" w:color="auto"/>
        <w:left w:val="none" w:sz="0" w:space="0" w:color="auto"/>
        <w:bottom w:val="none" w:sz="0" w:space="0" w:color="auto"/>
        <w:right w:val="none" w:sz="0" w:space="0" w:color="auto"/>
      </w:divBdr>
    </w:div>
    <w:div w:id="873620459">
      <w:bodyDiv w:val="1"/>
      <w:marLeft w:val="0"/>
      <w:marRight w:val="0"/>
      <w:marTop w:val="0"/>
      <w:marBottom w:val="0"/>
      <w:divBdr>
        <w:top w:val="none" w:sz="0" w:space="0" w:color="auto"/>
        <w:left w:val="none" w:sz="0" w:space="0" w:color="auto"/>
        <w:bottom w:val="none" w:sz="0" w:space="0" w:color="auto"/>
        <w:right w:val="none" w:sz="0" w:space="0" w:color="auto"/>
      </w:divBdr>
      <w:divsChild>
        <w:div w:id="2078740252">
          <w:marLeft w:val="547"/>
          <w:marRight w:val="0"/>
          <w:marTop w:val="154"/>
          <w:marBottom w:val="0"/>
          <w:divBdr>
            <w:top w:val="none" w:sz="0" w:space="0" w:color="auto"/>
            <w:left w:val="none" w:sz="0" w:space="0" w:color="auto"/>
            <w:bottom w:val="none" w:sz="0" w:space="0" w:color="auto"/>
            <w:right w:val="none" w:sz="0" w:space="0" w:color="auto"/>
          </w:divBdr>
        </w:div>
      </w:divsChild>
    </w:div>
    <w:div w:id="1027412468">
      <w:bodyDiv w:val="1"/>
      <w:marLeft w:val="0"/>
      <w:marRight w:val="0"/>
      <w:marTop w:val="0"/>
      <w:marBottom w:val="0"/>
      <w:divBdr>
        <w:top w:val="none" w:sz="0" w:space="0" w:color="auto"/>
        <w:left w:val="none" w:sz="0" w:space="0" w:color="auto"/>
        <w:bottom w:val="none" w:sz="0" w:space="0" w:color="auto"/>
        <w:right w:val="none" w:sz="0" w:space="0" w:color="auto"/>
      </w:divBdr>
    </w:div>
    <w:div w:id="1032222589">
      <w:bodyDiv w:val="1"/>
      <w:marLeft w:val="0"/>
      <w:marRight w:val="0"/>
      <w:marTop w:val="0"/>
      <w:marBottom w:val="0"/>
      <w:divBdr>
        <w:top w:val="none" w:sz="0" w:space="0" w:color="auto"/>
        <w:left w:val="none" w:sz="0" w:space="0" w:color="auto"/>
        <w:bottom w:val="none" w:sz="0" w:space="0" w:color="auto"/>
        <w:right w:val="none" w:sz="0" w:space="0" w:color="auto"/>
      </w:divBdr>
    </w:div>
    <w:div w:id="1076173899">
      <w:bodyDiv w:val="1"/>
      <w:marLeft w:val="0"/>
      <w:marRight w:val="0"/>
      <w:marTop w:val="0"/>
      <w:marBottom w:val="0"/>
      <w:divBdr>
        <w:top w:val="none" w:sz="0" w:space="0" w:color="auto"/>
        <w:left w:val="none" w:sz="0" w:space="0" w:color="auto"/>
        <w:bottom w:val="none" w:sz="0" w:space="0" w:color="auto"/>
        <w:right w:val="none" w:sz="0" w:space="0" w:color="auto"/>
      </w:divBdr>
      <w:divsChild>
        <w:div w:id="237636495">
          <w:marLeft w:val="547"/>
          <w:marRight w:val="0"/>
          <w:marTop w:val="120"/>
          <w:marBottom w:val="0"/>
          <w:divBdr>
            <w:top w:val="none" w:sz="0" w:space="0" w:color="auto"/>
            <w:left w:val="none" w:sz="0" w:space="0" w:color="auto"/>
            <w:bottom w:val="none" w:sz="0" w:space="0" w:color="auto"/>
            <w:right w:val="none" w:sz="0" w:space="0" w:color="auto"/>
          </w:divBdr>
        </w:div>
        <w:div w:id="921064015">
          <w:marLeft w:val="547"/>
          <w:marRight w:val="0"/>
          <w:marTop w:val="120"/>
          <w:marBottom w:val="0"/>
          <w:divBdr>
            <w:top w:val="none" w:sz="0" w:space="0" w:color="auto"/>
            <w:left w:val="none" w:sz="0" w:space="0" w:color="auto"/>
            <w:bottom w:val="none" w:sz="0" w:space="0" w:color="auto"/>
            <w:right w:val="none" w:sz="0" w:space="0" w:color="auto"/>
          </w:divBdr>
        </w:div>
        <w:div w:id="1048870348">
          <w:marLeft w:val="547"/>
          <w:marRight w:val="0"/>
          <w:marTop w:val="120"/>
          <w:marBottom w:val="0"/>
          <w:divBdr>
            <w:top w:val="none" w:sz="0" w:space="0" w:color="auto"/>
            <w:left w:val="none" w:sz="0" w:space="0" w:color="auto"/>
            <w:bottom w:val="none" w:sz="0" w:space="0" w:color="auto"/>
            <w:right w:val="none" w:sz="0" w:space="0" w:color="auto"/>
          </w:divBdr>
        </w:div>
        <w:div w:id="1592666811">
          <w:marLeft w:val="547"/>
          <w:marRight w:val="0"/>
          <w:marTop w:val="120"/>
          <w:marBottom w:val="0"/>
          <w:divBdr>
            <w:top w:val="none" w:sz="0" w:space="0" w:color="auto"/>
            <w:left w:val="none" w:sz="0" w:space="0" w:color="auto"/>
            <w:bottom w:val="none" w:sz="0" w:space="0" w:color="auto"/>
            <w:right w:val="none" w:sz="0" w:space="0" w:color="auto"/>
          </w:divBdr>
        </w:div>
      </w:divsChild>
    </w:div>
    <w:div w:id="1118451135">
      <w:bodyDiv w:val="1"/>
      <w:marLeft w:val="0"/>
      <w:marRight w:val="0"/>
      <w:marTop w:val="0"/>
      <w:marBottom w:val="0"/>
      <w:divBdr>
        <w:top w:val="none" w:sz="0" w:space="0" w:color="auto"/>
        <w:left w:val="none" w:sz="0" w:space="0" w:color="auto"/>
        <w:bottom w:val="none" w:sz="0" w:space="0" w:color="auto"/>
        <w:right w:val="none" w:sz="0" w:space="0" w:color="auto"/>
      </w:divBdr>
    </w:div>
    <w:div w:id="1200245664">
      <w:bodyDiv w:val="1"/>
      <w:marLeft w:val="0"/>
      <w:marRight w:val="0"/>
      <w:marTop w:val="0"/>
      <w:marBottom w:val="0"/>
      <w:divBdr>
        <w:top w:val="none" w:sz="0" w:space="0" w:color="auto"/>
        <w:left w:val="none" w:sz="0" w:space="0" w:color="auto"/>
        <w:bottom w:val="none" w:sz="0" w:space="0" w:color="auto"/>
        <w:right w:val="none" w:sz="0" w:space="0" w:color="auto"/>
      </w:divBdr>
    </w:div>
    <w:div w:id="1217357403">
      <w:bodyDiv w:val="1"/>
      <w:marLeft w:val="0"/>
      <w:marRight w:val="0"/>
      <w:marTop w:val="0"/>
      <w:marBottom w:val="0"/>
      <w:divBdr>
        <w:top w:val="none" w:sz="0" w:space="0" w:color="auto"/>
        <w:left w:val="none" w:sz="0" w:space="0" w:color="auto"/>
        <w:bottom w:val="none" w:sz="0" w:space="0" w:color="auto"/>
        <w:right w:val="none" w:sz="0" w:space="0" w:color="auto"/>
      </w:divBdr>
    </w:div>
    <w:div w:id="1293096401">
      <w:bodyDiv w:val="1"/>
      <w:marLeft w:val="0"/>
      <w:marRight w:val="0"/>
      <w:marTop w:val="0"/>
      <w:marBottom w:val="0"/>
      <w:divBdr>
        <w:top w:val="none" w:sz="0" w:space="0" w:color="auto"/>
        <w:left w:val="none" w:sz="0" w:space="0" w:color="auto"/>
        <w:bottom w:val="none" w:sz="0" w:space="0" w:color="auto"/>
        <w:right w:val="none" w:sz="0" w:space="0" w:color="auto"/>
      </w:divBdr>
    </w:div>
    <w:div w:id="1323774545">
      <w:bodyDiv w:val="1"/>
      <w:marLeft w:val="0"/>
      <w:marRight w:val="0"/>
      <w:marTop w:val="0"/>
      <w:marBottom w:val="0"/>
      <w:divBdr>
        <w:top w:val="none" w:sz="0" w:space="0" w:color="auto"/>
        <w:left w:val="none" w:sz="0" w:space="0" w:color="auto"/>
        <w:bottom w:val="none" w:sz="0" w:space="0" w:color="auto"/>
        <w:right w:val="none" w:sz="0" w:space="0" w:color="auto"/>
      </w:divBdr>
      <w:divsChild>
        <w:div w:id="1111633729">
          <w:marLeft w:val="547"/>
          <w:marRight w:val="0"/>
          <w:marTop w:val="154"/>
          <w:marBottom w:val="0"/>
          <w:divBdr>
            <w:top w:val="none" w:sz="0" w:space="0" w:color="auto"/>
            <w:left w:val="none" w:sz="0" w:space="0" w:color="auto"/>
            <w:bottom w:val="none" w:sz="0" w:space="0" w:color="auto"/>
            <w:right w:val="none" w:sz="0" w:space="0" w:color="auto"/>
          </w:divBdr>
        </w:div>
        <w:div w:id="303580844">
          <w:marLeft w:val="547"/>
          <w:marRight w:val="0"/>
          <w:marTop w:val="154"/>
          <w:marBottom w:val="0"/>
          <w:divBdr>
            <w:top w:val="none" w:sz="0" w:space="0" w:color="auto"/>
            <w:left w:val="none" w:sz="0" w:space="0" w:color="auto"/>
            <w:bottom w:val="none" w:sz="0" w:space="0" w:color="auto"/>
            <w:right w:val="none" w:sz="0" w:space="0" w:color="auto"/>
          </w:divBdr>
        </w:div>
        <w:div w:id="1549801335">
          <w:marLeft w:val="547"/>
          <w:marRight w:val="0"/>
          <w:marTop w:val="154"/>
          <w:marBottom w:val="0"/>
          <w:divBdr>
            <w:top w:val="none" w:sz="0" w:space="0" w:color="auto"/>
            <w:left w:val="none" w:sz="0" w:space="0" w:color="auto"/>
            <w:bottom w:val="none" w:sz="0" w:space="0" w:color="auto"/>
            <w:right w:val="none" w:sz="0" w:space="0" w:color="auto"/>
          </w:divBdr>
        </w:div>
      </w:divsChild>
    </w:div>
    <w:div w:id="1325934279">
      <w:bodyDiv w:val="1"/>
      <w:marLeft w:val="0"/>
      <w:marRight w:val="0"/>
      <w:marTop w:val="0"/>
      <w:marBottom w:val="0"/>
      <w:divBdr>
        <w:top w:val="none" w:sz="0" w:space="0" w:color="auto"/>
        <w:left w:val="none" w:sz="0" w:space="0" w:color="auto"/>
        <w:bottom w:val="none" w:sz="0" w:space="0" w:color="auto"/>
        <w:right w:val="none" w:sz="0" w:space="0" w:color="auto"/>
      </w:divBdr>
    </w:div>
    <w:div w:id="1458716873">
      <w:bodyDiv w:val="1"/>
      <w:marLeft w:val="0"/>
      <w:marRight w:val="0"/>
      <w:marTop w:val="0"/>
      <w:marBottom w:val="0"/>
      <w:divBdr>
        <w:top w:val="none" w:sz="0" w:space="0" w:color="auto"/>
        <w:left w:val="none" w:sz="0" w:space="0" w:color="auto"/>
        <w:bottom w:val="none" w:sz="0" w:space="0" w:color="auto"/>
        <w:right w:val="none" w:sz="0" w:space="0" w:color="auto"/>
      </w:divBdr>
    </w:div>
    <w:div w:id="1594244082">
      <w:bodyDiv w:val="1"/>
      <w:marLeft w:val="0"/>
      <w:marRight w:val="0"/>
      <w:marTop w:val="0"/>
      <w:marBottom w:val="0"/>
      <w:divBdr>
        <w:top w:val="none" w:sz="0" w:space="0" w:color="auto"/>
        <w:left w:val="none" w:sz="0" w:space="0" w:color="auto"/>
        <w:bottom w:val="none" w:sz="0" w:space="0" w:color="auto"/>
        <w:right w:val="none" w:sz="0" w:space="0" w:color="auto"/>
      </w:divBdr>
    </w:div>
    <w:div w:id="1752195577">
      <w:bodyDiv w:val="1"/>
      <w:marLeft w:val="0"/>
      <w:marRight w:val="0"/>
      <w:marTop w:val="0"/>
      <w:marBottom w:val="0"/>
      <w:divBdr>
        <w:top w:val="none" w:sz="0" w:space="0" w:color="auto"/>
        <w:left w:val="none" w:sz="0" w:space="0" w:color="auto"/>
        <w:bottom w:val="none" w:sz="0" w:space="0" w:color="auto"/>
        <w:right w:val="none" w:sz="0" w:space="0" w:color="auto"/>
      </w:divBdr>
      <w:divsChild>
        <w:div w:id="57440691">
          <w:marLeft w:val="547"/>
          <w:marRight w:val="0"/>
          <w:marTop w:val="154"/>
          <w:marBottom w:val="0"/>
          <w:divBdr>
            <w:top w:val="none" w:sz="0" w:space="0" w:color="auto"/>
            <w:left w:val="none" w:sz="0" w:space="0" w:color="auto"/>
            <w:bottom w:val="none" w:sz="0" w:space="0" w:color="auto"/>
            <w:right w:val="none" w:sz="0" w:space="0" w:color="auto"/>
          </w:divBdr>
        </w:div>
        <w:div w:id="396706536">
          <w:marLeft w:val="547"/>
          <w:marRight w:val="0"/>
          <w:marTop w:val="154"/>
          <w:marBottom w:val="0"/>
          <w:divBdr>
            <w:top w:val="none" w:sz="0" w:space="0" w:color="auto"/>
            <w:left w:val="none" w:sz="0" w:space="0" w:color="auto"/>
            <w:bottom w:val="none" w:sz="0" w:space="0" w:color="auto"/>
            <w:right w:val="none" w:sz="0" w:space="0" w:color="auto"/>
          </w:divBdr>
        </w:div>
        <w:div w:id="612975245">
          <w:marLeft w:val="547"/>
          <w:marRight w:val="0"/>
          <w:marTop w:val="154"/>
          <w:marBottom w:val="0"/>
          <w:divBdr>
            <w:top w:val="none" w:sz="0" w:space="0" w:color="auto"/>
            <w:left w:val="none" w:sz="0" w:space="0" w:color="auto"/>
            <w:bottom w:val="none" w:sz="0" w:space="0" w:color="auto"/>
            <w:right w:val="none" w:sz="0" w:space="0" w:color="auto"/>
          </w:divBdr>
        </w:div>
        <w:div w:id="766460925">
          <w:marLeft w:val="547"/>
          <w:marRight w:val="0"/>
          <w:marTop w:val="154"/>
          <w:marBottom w:val="0"/>
          <w:divBdr>
            <w:top w:val="none" w:sz="0" w:space="0" w:color="auto"/>
            <w:left w:val="none" w:sz="0" w:space="0" w:color="auto"/>
            <w:bottom w:val="none" w:sz="0" w:space="0" w:color="auto"/>
            <w:right w:val="none" w:sz="0" w:space="0" w:color="auto"/>
          </w:divBdr>
        </w:div>
      </w:divsChild>
    </w:div>
    <w:div w:id="1816100213">
      <w:bodyDiv w:val="1"/>
      <w:marLeft w:val="0"/>
      <w:marRight w:val="0"/>
      <w:marTop w:val="0"/>
      <w:marBottom w:val="0"/>
      <w:divBdr>
        <w:top w:val="none" w:sz="0" w:space="0" w:color="auto"/>
        <w:left w:val="none" w:sz="0" w:space="0" w:color="auto"/>
        <w:bottom w:val="none" w:sz="0" w:space="0" w:color="auto"/>
        <w:right w:val="none" w:sz="0" w:space="0" w:color="auto"/>
      </w:divBdr>
      <w:divsChild>
        <w:div w:id="230042934">
          <w:marLeft w:val="547"/>
          <w:marRight w:val="0"/>
          <w:marTop w:val="154"/>
          <w:marBottom w:val="0"/>
          <w:divBdr>
            <w:top w:val="none" w:sz="0" w:space="0" w:color="auto"/>
            <w:left w:val="none" w:sz="0" w:space="0" w:color="auto"/>
            <w:bottom w:val="none" w:sz="0" w:space="0" w:color="auto"/>
            <w:right w:val="none" w:sz="0" w:space="0" w:color="auto"/>
          </w:divBdr>
        </w:div>
        <w:div w:id="657227507">
          <w:marLeft w:val="547"/>
          <w:marRight w:val="0"/>
          <w:marTop w:val="154"/>
          <w:marBottom w:val="0"/>
          <w:divBdr>
            <w:top w:val="none" w:sz="0" w:space="0" w:color="auto"/>
            <w:left w:val="none" w:sz="0" w:space="0" w:color="auto"/>
            <w:bottom w:val="none" w:sz="0" w:space="0" w:color="auto"/>
            <w:right w:val="none" w:sz="0" w:space="0" w:color="auto"/>
          </w:divBdr>
        </w:div>
        <w:div w:id="2107071649">
          <w:marLeft w:val="547"/>
          <w:marRight w:val="0"/>
          <w:marTop w:val="154"/>
          <w:marBottom w:val="0"/>
          <w:divBdr>
            <w:top w:val="none" w:sz="0" w:space="0" w:color="auto"/>
            <w:left w:val="none" w:sz="0" w:space="0" w:color="auto"/>
            <w:bottom w:val="none" w:sz="0" w:space="0" w:color="auto"/>
            <w:right w:val="none" w:sz="0" w:space="0" w:color="auto"/>
          </w:divBdr>
        </w:div>
      </w:divsChild>
    </w:div>
    <w:div w:id="2082865550">
      <w:bodyDiv w:val="1"/>
      <w:marLeft w:val="0"/>
      <w:marRight w:val="0"/>
      <w:marTop w:val="0"/>
      <w:marBottom w:val="0"/>
      <w:divBdr>
        <w:top w:val="none" w:sz="0" w:space="0" w:color="auto"/>
        <w:left w:val="none" w:sz="0" w:space="0" w:color="auto"/>
        <w:bottom w:val="none" w:sz="0" w:space="0" w:color="auto"/>
        <w:right w:val="none" w:sz="0" w:space="0" w:color="auto"/>
      </w:divBdr>
    </w:div>
    <w:div w:id="2090350814">
      <w:bodyDiv w:val="1"/>
      <w:marLeft w:val="0"/>
      <w:marRight w:val="0"/>
      <w:marTop w:val="0"/>
      <w:marBottom w:val="0"/>
      <w:divBdr>
        <w:top w:val="none" w:sz="0" w:space="0" w:color="auto"/>
        <w:left w:val="none" w:sz="0" w:space="0" w:color="auto"/>
        <w:bottom w:val="none" w:sz="0" w:space="0" w:color="auto"/>
        <w:right w:val="none" w:sz="0" w:space="0" w:color="auto"/>
      </w:divBdr>
    </w:div>
    <w:div w:id="2103378628">
      <w:bodyDiv w:val="1"/>
      <w:marLeft w:val="0"/>
      <w:marRight w:val="0"/>
      <w:marTop w:val="0"/>
      <w:marBottom w:val="0"/>
      <w:divBdr>
        <w:top w:val="none" w:sz="0" w:space="0" w:color="auto"/>
        <w:left w:val="none" w:sz="0" w:space="0" w:color="auto"/>
        <w:bottom w:val="none" w:sz="0" w:space="0" w:color="auto"/>
        <w:right w:val="none" w:sz="0" w:space="0" w:color="auto"/>
      </w:divBdr>
    </w:div>
    <w:div w:id="210753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dr.eionet.europa.eu/help/birds_art12" TargetMode="Externa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yperlink" Target="https://cdr.eionet.europa.eu/lv/eu/art12/envxh2nkq" TargetMode="External"/><Relationship Id="rId14" Type="http://schemas.openxmlformats.org/officeDocument/2006/relationships/chart" Target="charts/chart5.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vide-my.sharepoint.com/personal/ilonam_varam_gov_lv/Documents/Documents/N2000/putni/Art%2012%20zi&#326;ojums/zi&#326;ojums_2025/Kopsavilkums_Art12_31072025_IM.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vide-my.sharepoint.com/personal/ilonam_varam_gov_lv/Documents/Documents/N2000/putni/Art%2012%20zi&#326;ojums/zi&#326;ojums_2025/Kopsavilkums_Art12_31072025_IM.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vide-my.sharepoint.com/personal/ilonam_varam_gov_lv/Documents/Documents/N2000/putni/Art%2012%20zi&#326;ojums/zi&#326;ojums_2025/Kopsavilkums_Art12_31072025_IM.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vide-my.sharepoint.com/personal/ilonam_varam_gov_lv/Documents/Documents/N2000/putni/Art%2012%20zi&#326;ojums/zi&#326;ojums_2025/Kopsavilkums_Art12_31072025_IM.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https://vide-my.sharepoint.com/personal/ilonam_varam_gov_lv/Documents/Documents/N2000/putni/Art%2012%20zi&#326;ojums/zi&#326;ojums_2025/Kopsavilkums_Art12_31072025_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vide-my.sharepoint.com/personal/ilonam_varam_gov_lv/Documents/Documents/N2000/putni/Art%2012%20zi&#326;ojums/zi&#326;ojums_2025/Kopsavilkums_Art12_31072025_IM.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vide-my.sharepoint.com/personal/ilonam_varam_gov_lv/Documents/Documents/N2000/putni/Art%2012%20zi&#326;ojums/zi&#326;ojums_2025/Kopsavilkums_Art12_31072025_IM.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vide-my.sharepoint.com/personal/ilonam_varam_gov_lv/Documents/Documents/N2000/putni/Art%2012%20zi&#326;ojums/zi&#326;ojums_2025/Kopsavilkums_Art12_31072025_IM.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vide-my.sharepoint.com/personal/ilonam_varam_gov_lv/Documents/Documents/N2000/putni/Art%2012%20zi&#326;ojums/zi&#326;ojums_2025/Kopsavilkums_Art12_31072025_IM.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vide-my.sharepoint.com/personal/ilonam_varam_gov_lv/Documents/Documents/N2000/putni/Art%2012%20zi&#326;ojums/zi&#326;ojums_2025/Kopsavilkums_Art12_31072025_IM.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vide-my.sharepoint.com/personal/ilonam_varam_gov_lv/Documents/Documents/N2000/putni/Art%2012%20zi&#326;ojums/zi&#326;ojums_2025/Kopsavilkums_Art12_31072025_IM.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vide-my.sharepoint.com/personal/ilonam_varam_gov_lv/Documents/Documents/N2000/putni/Art%2012%20zi&#326;ojums/zi&#326;ojums_2025/Kopsavilkums_Art12_31072025_IM.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BF0-449A-8527-0EE06C81DDC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BF0-449A-8527-0EE06C81DDC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BF0-449A-8527-0EE06C81DDC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'dati grafikiem'!$C$63:$C$65</c:f>
              <c:strCache>
                <c:ptCount val="3"/>
                <c:pt idx="0">
                  <c:v>ligzdojošie</c:v>
                </c:pt>
                <c:pt idx="1">
                  <c:v>caurceļotāji</c:v>
                </c:pt>
                <c:pt idx="2">
                  <c:v>ziemojošie</c:v>
                </c:pt>
              </c:strCache>
            </c:strRef>
          </c:cat>
          <c:val>
            <c:numRef>
              <c:f>'dati grafikiem'!$D$63:$D$65</c:f>
              <c:numCache>
                <c:formatCode>0</c:formatCode>
                <c:ptCount val="3"/>
                <c:pt idx="0">
                  <c:v>217</c:v>
                </c:pt>
                <c:pt idx="1">
                  <c:v>29</c:v>
                </c:pt>
                <c:pt idx="2">
                  <c:v>35</c:v>
                </c:pt>
              </c:numCache>
            </c:numRef>
          </c:val>
          <c:extLst>
            <c:ext xmlns:c16="http://schemas.microsoft.com/office/drawing/2014/chart" uri="{C3380CC4-5D6E-409C-BE32-E72D297353CC}">
              <c16:uniqueId val="{00000006-FBF0-449A-8527-0EE06C81DDC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F9F-4BA0-A519-C5914C02295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F9F-4BA0-A519-C5914C02295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F9F-4BA0-A519-C5914C02295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F9F-4BA0-A519-C5914C02295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F9F-4BA0-A519-C5914C02295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F9F-4BA0-A519-C5914C02295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1"/>
            <c:showBubbleSize val="0"/>
            <c:showLeaderLines val="0"/>
            <c:extLst>
              <c:ext xmlns:c15="http://schemas.microsoft.com/office/drawing/2012/chart" uri="{CE6537A1-D6FC-4f65-9D91-7224C49458BB}"/>
            </c:extLst>
          </c:dLbls>
          <c:cat>
            <c:strRef>
              <c:f>'dati grafikiem'!$C$181:$C$186</c:f>
              <c:strCache>
                <c:ptCount val="6"/>
                <c:pt idx="0">
                  <c:v>stabila</c:v>
                </c:pt>
                <c:pt idx="1">
                  <c:v>palielinās</c:v>
                </c:pt>
                <c:pt idx="2">
                  <c:v>samazinās</c:v>
                </c:pt>
                <c:pt idx="3">
                  <c:v>neskaidra</c:v>
                </c:pt>
                <c:pt idx="4">
                  <c:v>svārstās</c:v>
                </c:pt>
                <c:pt idx="5">
                  <c:v>nav datu</c:v>
                </c:pt>
              </c:strCache>
            </c:strRef>
          </c:cat>
          <c:val>
            <c:numRef>
              <c:f>'dati grafikiem'!$D$181:$D$186</c:f>
              <c:numCache>
                <c:formatCode>0</c:formatCode>
                <c:ptCount val="6"/>
                <c:pt idx="0">
                  <c:v>36.986301369863014</c:v>
                </c:pt>
                <c:pt idx="1">
                  <c:v>17.80821917808219</c:v>
                </c:pt>
                <c:pt idx="2">
                  <c:v>20.547945205479451</c:v>
                </c:pt>
                <c:pt idx="3">
                  <c:v>12.328767123287671</c:v>
                </c:pt>
                <c:pt idx="4">
                  <c:v>0</c:v>
                </c:pt>
                <c:pt idx="5">
                  <c:v>12.328767123287671</c:v>
                </c:pt>
              </c:numCache>
            </c:numRef>
          </c:val>
          <c:extLst>
            <c:ext xmlns:c16="http://schemas.microsoft.com/office/drawing/2014/chart" uri="{C3380CC4-5D6E-409C-BE32-E72D297353CC}">
              <c16:uniqueId val="{0000000C-7F9F-4BA0-A519-C5914C022954}"/>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39B-47D7-BFD1-66D748A0318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39B-47D7-BFD1-66D748A0318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39B-47D7-BFD1-66D748A0318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39B-47D7-BFD1-66D748A0318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39B-47D7-BFD1-66D748A0318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39B-47D7-BFD1-66D748A0318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1"/>
            <c:showBubbleSize val="0"/>
            <c:showLeaderLines val="0"/>
            <c:extLst>
              <c:ext xmlns:c15="http://schemas.microsoft.com/office/drawing/2012/chart" uri="{CE6537A1-D6FC-4f65-9D91-7224C49458BB}"/>
            </c:extLst>
          </c:dLbls>
          <c:cat>
            <c:strRef>
              <c:f>'dati grafikiem'!$C$192:$C$197</c:f>
              <c:strCache>
                <c:ptCount val="6"/>
                <c:pt idx="0">
                  <c:v>stabila</c:v>
                </c:pt>
                <c:pt idx="1">
                  <c:v>palielinās</c:v>
                </c:pt>
                <c:pt idx="2">
                  <c:v>samazinās</c:v>
                </c:pt>
                <c:pt idx="3">
                  <c:v>neskaidra</c:v>
                </c:pt>
                <c:pt idx="4">
                  <c:v>svārstās</c:v>
                </c:pt>
                <c:pt idx="5">
                  <c:v>nav datu</c:v>
                </c:pt>
              </c:strCache>
            </c:strRef>
          </c:cat>
          <c:val>
            <c:numRef>
              <c:f>'dati grafikiem'!$D$192:$D$197</c:f>
              <c:numCache>
                <c:formatCode>0</c:formatCode>
                <c:ptCount val="6"/>
                <c:pt idx="0">
                  <c:v>13.698630136986301</c:v>
                </c:pt>
                <c:pt idx="1">
                  <c:v>21.917808219178081</c:v>
                </c:pt>
                <c:pt idx="2">
                  <c:v>39.726027397260275</c:v>
                </c:pt>
                <c:pt idx="3">
                  <c:v>6.8493150684931505</c:v>
                </c:pt>
                <c:pt idx="4">
                  <c:v>1.3698630136986301</c:v>
                </c:pt>
                <c:pt idx="5">
                  <c:v>16.43835616438356</c:v>
                </c:pt>
              </c:numCache>
            </c:numRef>
          </c:val>
          <c:extLst>
            <c:ext xmlns:c16="http://schemas.microsoft.com/office/drawing/2014/chart" uri="{C3380CC4-5D6E-409C-BE32-E72D297353CC}">
              <c16:uniqueId val="{0000000C-F39B-47D7-BFD1-66D748A0318C}"/>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767-4AE1-A4B2-ED99B1C6161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767-4AE1-A4B2-ED99B1C6161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767-4AE1-A4B2-ED99B1C6161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767-4AE1-A4B2-ED99B1C6161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'dati grafikiem'!$A$211:$A$214</c:f>
              <c:strCache>
                <c:ptCount val="4"/>
                <c:pt idx="0">
                  <c:v>pilnīga inventarizācija vai statistiski ticami dati</c:v>
                </c:pt>
                <c:pt idx="1">
                  <c:v>datu ekstrapolācija no nepilnīgām uzskaitēm</c:v>
                </c:pt>
                <c:pt idx="2">
                  <c:v>ekspertu aplēses pēc ierobežotiem datiem</c:v>
                </c:pt>
                <c:pt idx="3">
                  <c:v>nepietiekami dati</c:v>
                </c:pt>
              </c:strCache>
            </c:strRef>
          </c:cat>
          <c:val>
            <c:numRef>
              <c:f>'dati grafikiem'!$B$211:$B$214</c:f>
              <c:numCache>
                <c:formatCode>0</c:formatCode>
                <c:ptCount val="4"/>
                <c:pt idx="0">
                  <c:v>43.772241992882563</c:v>
                </c:pt>
                <c:pt idx="1">
                  <c:v>31.672597864768683</c:v>
                </c:pt>
                <c:pt idx="2">
                  <c:v>13.523131672597867</c:v>
                </c:pt>
                <c:pt idx="3">
                  <c:v>10.320284697508896</c:v>
                </c:pt>
              </c:numCache>
            </c:numRef>
          </c:val>
          <c:extLst>
            <c:ext xmlns:c16="http://schemas.microsoft.com/office/drawing/2014/chart" uri="{C3380CC4-5D6E-409C-BE32-E72D297353CC}">
              <c16:uniqueId val="{00000008-F767-4AE1-A4B2-ED99B1C6161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5E7-45C1-B192-B87F3E6E36B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5E7-45C1-B192-B87F3E6E36B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'dati grafikiem'!$C$71:$C$72</c:f>
              <c:strCache>
                <c:ptCount val="2"/>
                <c:pt idx="0">
                  <c:v>Jāveido Natura 2000 teritorijas</c:v>
                </c:pt>
                <c:pt idx="1">
                  <c:v>Nav jāveido Natura 2000 teritorijas</c:v>
                </c:pt>
              </c:strCache>
            </c:strRef>
          </c:cat>
          <c:val>
            <c:numRef>
              <c:f>'dati grafikiem'!$D$71:$D$72</c:f>
              <c:numCache>
                <c:formatCode>0</c:formatCode>
                <c:ptCount val="2"/>
                <c:pt idx="0">
                  <c:v>120</c:v>
                </c:pt>
                <c:pt idx="1">
                  <c:v>161</c:v>
                </c:pt>
              </c:numCache>
            </c:numRef>
          </c:val>
          <c:extLst>
            <c:ext xmlns:c16="http://schemas.microsoft.com/office/drawing/2014/chart" uri="{C3380CC4-5D6E-409C-BE32-E72D297353CC}">
              <c16:uniqueId val="{00000004-55E7-45C1-B192-B87F3E6E36B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'dati grafikiem'!$D$88</c:f>
              <c:strCache>
                <c:ptCount val="1"/>
                <c:pt idx="0">
                  <c:v>īstermiņa</c:v>
                </c:pt>
              </c:strCache>
            </c:strRef>
          </c:tx>
          <c:spPr>
            <a:solidFill>
              <a:srgbClr val="00B0F0"/>
            </a:solidFill>
            <a:ln>
              <a:noFill/>
            </a:ln>
            <a:effectLst/>
          </c:spPr>
          <c:invertIfNegative val="0"/>
          <c:cat>
            <c:strRef>
              <c:f>'dati grafikiem'!$C$89:$C$94</c:f>
              <c:strCache>
                <c:ptCount val="6"/>
                <c:pt idx="0">
                  <c:v>stabila</c:v>
                </c:pt>
                <c:pt idx="1">
                  <c:v>palielinās</c:v>
                </c:pt>
                <c:pt idx="2">
                  <c:v>samazinās</c:v>
                </c:pt>
                <c:pt idx="3">
                  <c:v>neskaidra</c:v>
                </c:pt>
                <c:pt idx="4">
                  <c:v>svārstās</c:v>
                </c:pt>
                <c:pt idx="5">
                  <c:v>nav datu</c:v>
                </c:pt>
              </c:strCache>
            </c:strRef>
          </c:cat>
          <c:val>
            <c:numRef>
              <c:f>'dati grafikiem'!$D$89:$D$94</c:f>
              <c:numCache>
                <c:formatCode>General</c:formatCode>
                <c:ptCount val="6"/>
                <c:pt idx="0">
                  <c:v>72</c:v>
                </c:pt>
                <c:pt idx="1">
                  <c:v>56</c:v>
                </c:pt>
                <c:pt idx="2">
                  <c:v>49</c:v>
                </c:pt>
                <c:pt idx="3">
                  <c:v>42</c:v>
                </c:pt>
                <c:pt idx="4">
                  <c:v>2</c:v>
                </c:pt>
                <c:pt idx="5">
                  <c:v>31</c:v>
                </c:pt>
              </c:numCache>
            </c:numRef>
          </c:val>
          <c:extLst>
            <c:ext xmlns:c16="http://schemas.microsoft.com/office/drawing/2014/chart" uri="{C3380CC4-5D6E-409C-BE32-E72D297353CC}">
              <c16:uniqueId val="{00000000-D029-4272-B155-F4FAE15A56D2}"/>
            </c:ext>
          </c:extLst>
        </c:ser>
        <c:ser>
          <c:idx val="1"/>
          <c:order val="1"/>
          <c:tx>
            <c:strRef>
              <c:f>'dati grafikiem'!$E$88</c:f>
              <c:strCache>
                <c:ptCount val="1"/>
                <c:pt idx="0">
                  <c:v>ilgtermiņa</c:v>
                </c:pt>
              </c:strCache>
            </c:strRef>
          </c:tx>
          <c:spPr>
            <a:solidFill>
              <a:srgbClr val="002060"/>
            </a:solidFill>
            <a:ln>
              <a:noFill/>
            </a:ln>
            <a:effectLst/>
          </c:spPr>
          <c:invertIfNegative val="0"/>
          <c:cat>
            <c:strRef>
              <c:f>'dati grafikiem'!$C$89:$C$94</c:f>
              <c:strCache>
                <c:ptCount val="6"/>
                <c:pt idx="0">
                  <c:v>stabila</c:v>
                </c:pt>
                <c:pt idx="1">
                  <c:v>palielinās</c:v>
                </c:pt>
                <c:pt idx="2">
                  <c:v>samazinās</c:v>
                </c:pt>
                <c:pt idx="3">
                  <c:v>neskaidra</c:v>
                </c:pt>
                <c:pt idx="4">
                  <c:v>svārstās</c:v>
                </c:pt>
                <c:pt idx="5">
                  <c:v>nav datu</c:v>
                </c:pt>
              </c:strCache>
            </c:strRef>
          </c:cat>
          <c:val>
            <c:numRef>
              <c:f>'dati grafikiem'!$E$89:$E$94</c:f>
              <c:numCache>
                <c:formatCode>General</c:formatCode>
                <c:ptCount val="6"/>
                <c:pt idx="0">
                  <c:v>40</c:v>
                </c:pt>
                <c:pt idx="1">
                  <c:v>79</c:v>
                </c:pt>
                <c:pt idx="2">
                  <c:v>62</c:v>
                </c:pt>
                <c:pt idx="3">
                  <c:v>27</c:v>
                </c:pt>
                <c:pt idx="4">
                  <c:v>3</c:v>
                </c:pt>
                <c:pt idx="5" formatCode="0">
                  <c:v>40</c:v>
                </c:pt>
              </c:numCache>
            </c:numRef>
          </c:val>
          <c:extLst>
            <c:ext xmlns:c16="http://schemas.microsoft.com/office/drawing/2014/chart" uri="{C3380CC4-5D6E-409C-BE32-E72D297353CC}">
              <c16:uniqueId val="{00000001-D029-4272-B155-F4FAE15A56D2}"/>
            </c:ext>
          </c:extLst>
        </c:ser>
        <c:dLbls>
          <c:showLegendKey val="0"/>
          <c:showVal val="0"/>
          <c:showCatName val="0"/>
          <c:showSerName val="0"/>
          <c:showPercent val="0"/>
          <c:showBubbleSize val="0"/>
        </c:dLbls>
        <c:gapWidth val="219"/>
        <c:overlap val="-27"/>
        <c:axId val="1039459103"/>
        <c:axId val="1039458143"/>
      </c:barChart>
      <c:catAx>
        <c:axId val="1039459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39458143"/>
        <c:crosses val="autoZero"/>
        <c:auto val="1"/>
        <c:lblAlgn val="ctr"/>
        <c:lblOffset val="100"/>
        <c:noMultiLvlLbl val="0"/>
      </c:catAx>
      <c:valAx>
        <c:axId val="10394581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394591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B20-41D9-890D-E71648879B0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B20-41D9-890D-E71648879B0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B20-41D9-890D-E71648879B0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B20-41D9-890D-E71648879B0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B20-41D9-890D-E71648879B0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B20-41D9-890D-E71648879B0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'dati grafikiem'!$C$105:$C$110</c:f>
              <c:strCache>
                <c:ptCount val="6"/>
                <c:pt idx="0">
                  <c:v>stabila</c:v>
                </c:pt>
                <c:pt idx="1">
                  <c:v>palielinās</c:v>
                </c:pt>
                <c:pt idx="2">
                  <c:v>samazinās</c:v>
                </c:pt>
                <c:pt idx="3">
                  <c:v>neskaidra</c:v>
                </c:pt>
                <c:pt idx="4">
                  <c:v>svārstās</c:v>
                </c:pt>
                <c:pt idx="5">
                  <c:v>nav datu</c:v>
                </c:pt>
              </c:strCache>
            </c:strRef>
          </c:cat>
          <c:val>
            <c:numRef>
              <c:f>'dati grafikiem'!$D$105:$D$110</c:f>
              <c:numCache>
                <c:formatCode>0</c:formatCode>
                <c:ptCount val="6"/>
                <c:pt idx="0">
                  <c:v>25.622775800711743</c:v>
                </c:pt>
                <c:pt idx="1">
                  <c:v>19.9288256227758</c:v>
                </c:pt>
                <c:pt idx="2">
                  <c:v>17.437722419928825</c:v>
                </c:pt>
                <c:pt idx="3">
                  <c:v>14.946619217081849</c:v>
                </c:pt>
                <c:pt idx="4">
                  <c:v>0.71174377224199281</c:v>
                </c:pt>
                <c:pt idx="5">
                  <c:v>11.032028469750891</c:v>
                </c:pt>
              </c:numCache>
            </c:numRef>
          </c:val>
          <c:extLst>
            <c:ext xmlns:c16="http://schemas.microsoft.com/office/drawing/2014/chart" uri="{C3380CC4-5D6E-409C-BE32-E72D297353CC}">
              <c16:uniqueId val="{0000000C-AB20-41D9-890D-E71648879B0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AD3-4741-B0D7-28EF88233BC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AD3-4741-B0D7-28EF88233BC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AD3-4741-B0D7-28EF88233BC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AD3-4741-B0D7-28EF88233BC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AD3-4741-B0D7-28EF88233BC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AD3-4741-B0D7-28EF88233BC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'dati grafikiem'!$C$116:$C$121</c:f>
              <c:strCache>
                <c:ptCount val="6"/>
                <c:pt idx="0">
                  <c:v>stabila</c:v>
                </c:pt>
                <c:pt idx="1">
                  <c:v>palielinās</c:v>
                </c:pt>
                <c:pt idx="2">
                  <c:v>samazinās</c:v>
                </c:pt>
                <c:pt idx="3">
                  <c:v>neskaidra</c:v>
                </c:pt>
                <c:pt idx="4">
                  <c:v>svārstās</c:v>
                </c:pt>
                <c:pt idx="5">
                  <c:v>nav datu</c:v>
                </c:pt>
              </c:strCache>
            </c:strRef>
          </c:cat>
          <c:val>
            <c:numRef>
              <c:f>'dati grafikiem'!$D$116:$D$121</c:f>
              <c:numCache>
                <c:formatCode>0</c:formatCode>
                <c:ptCount val="6"/>
                <c:pt idx="0">
                  <c:v>14.23487544483986</c:v>
                </c:pt>
                <c:pt idx="1">
                  <c:v>28.113879003558718</c:v>
                </c:pt>
                <c:pt idx="2">
                  <c:v>22.064056939501782</c:v>
                </c:pt>
                <c:pt idx="3">
                  <c:v>9.6085409252669027</c:v>
                </c:pt>
                <c:pt idx="4">
                  <c:v>1.0676156583629894</c:v>
                </c:pt>
                <c:pt idx="5">
                  <c:v>14.23487544483986</c:v>
                </c:pt>
              </c:numCache>
            </c:numRef>
          </c:val>
          <c:extLst>
            <c:ext xmlns:c16="http://schemas.microsoft.com/office/drawing/2014/chart" uri="{C3380CC4-5D6E-409C-BE32-E72D297353CC}">
              <c16:uniqueId val="{0000000C-EAD3-4741-B0D7-28EF88233BC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287081025101507E-2"/>
          <c:y val="5.1162790697674418E-2"/>
          <c:w val="0.90266072690809263"/>
          <c:h val="0.73454239150338763"/>
        </c:manualLayout>
      </c:layout>
      <c:barChart>
        <c:barDir val="col"/>
        <c:grouping val="clustered"/>
        <c:varyColors val="0"/>
        <c:ser>
          <c:idx val="0"/>
          <c:order val="0"/>
          <c:tx>
            <c:strRef>
              <c:f>'dati grafikiem'!$D$130</c:f>
              <c:strCache>
                <c:ptCount val="1"/>
                <c:pt idx="0">
                  <c:v>īstermiņa</c:v>
                </c:pt>
              </c:strCache>
            </c:strRef>
          </c:tx>
          <c:spPr>
            <a:solidFill>
              <a:srgbClr val="00B0F0"/>
            </a:solidFill>
            <a:ln>
              <a:noFill/>
            </a:ln>
            <a:effectLst/>
          </c:spPr>
          <c:invertIfNegative val="0"/>
          <c:cat>
            <c:strRef>
              <c:f>'dati grafikiem'!$C$131:$C$136</c:f>
              <c:strCache>
                <c:ptCount val="6"/>
                <c:pt idx="0">
                  <c:v>stabila</c:v>
                </c:pt>
                <c:pt idx="1">
                  <c:v>palielinās</c:v>
                </c:pt>
                <c:pt idx="2">
                  <c:v>samazinās</c:v>
                </c:pt>
                <c:pt idx="3">
                  <c:v>neskaidra</c:v>
                </c:pt>
                <c:pt idx="4">
                  <c:v>svārstās</c:v>
                </c:pt>
                <c:pt idx="5">
                  <c:v>nav datu</c:v>
                </c:pt>
              </c:strCache>
            </c:strRef>
          </c:cat>
          <c:val>
            <c:numRef>
              <c:f>'dati grafikiem'!$D$131:$D$136</c:f>
              <c:numCache>
                <c:formatCode>General</c:formatCode>
                <c:ptCount val="6"/>
                <c:pt idx="0">
                  <c:v>72</c:v>
                </c:pt>
                <c:pt idx="1">
                  <c:v>43</c:v>
                </c:pt>
                <c:pt idx="2">
                  <c:v>43</c:v>
                </c:pt>
                <c:pt idx="3">
                  <c:v>32</c:v>
                </c:pt>
                <c:pt idx="4">
                  <c:v>2</c:v>
                </c:pt>
                <c:pt idx="5">
                  <c:v>25</c:v>
                </c:pt>
              </c:numCache>
            </c:numRef>
          </c:val>
          <c:extLst>
            <c:ext xmlns:c16="http://schemas.microsoft.com/office/drawing/2014/chart" uri="{C3380CC4-5D6E-409C-BE32-E72D297353CC}">
              <c16:uniqueId val="{00000000-2025-4FD5-9AB2-210F973E33D5}"/>
            </c:ext>
          </c:extLst>
        </c:ser>
        <c:ser>
          <c:idx val="1"/>
          <c:order val="1"/>
          <c:tx>
            <c:strRef>
              <c:f>'dati grafikiem'!$E$130</c:f>
              <c:strCache>
                <c:ptCount val="1"/>
                <c:pt idx="0">
                  <c:v>ilgtermiņa</c:v>
                </c:pt>
              </c:strCache>
            </c:strRef>
          </c:tx>
          <c:spPr>
            <a:solidFill>
              <a:srgbClr val="002060"/>
            </a:solidFill>
            <a:ln>
              <a:noFill/>
            </a:ln>
            <a:effectLst/>
          </c:spPr>
          <c:invertIfNegative val="0"/>
          <c:cat>
            <c:strRef>
              <c:f>'dati grafikiem'!$C$131:$C$136</c:f>
              <c:strCache>
                <c:ptCount val="6"/>
                <c:pt idx="0">
                  <c:v>stabila</c:v>
                </c:pt>
                <c:pt idx="1">
                  <c:v>palielinās</c:v>
                </c:pt>
                <c:pt idx="2">
                  <c:v>samazinās</c:v>
                </c:pt>
                <c:pt idx="3">
                  <c:v>neskaidra</c:v>
                </c:pt>
                <c:pt idx="4">
                  <c:v>svārstās</c:v>
                </c:pt>
                <c:pt idx="5">
                  <c:v>nav datu</c:v>
                </c:pt>
              </c:strCache>
            </c:strRef>
          </c:cat>
          <c:val>
            <c:numRef>
              <c:f>'dati grafikiem'!$E$131:$E$136</c:f>
              <c:numCache>
                <c:formatCode>General</c:formatCode>
                <c:ptCount val="6"/>
                <c:pt idx="0">
                  <c:v>39</c:v>
                </c:pt>
                <c:pt idx="1">
                  <c:v>61</c:v>
                </c:pt>
                <c:pt idx="2">
                  <c:v>60</c:v>
                </c:pt>
                <c:pt idx="3">
                  <c:v>19</c:v>
                </c:pt>
                <c:pt idx="4">
                  <c:v>3</c:v>
                </c:pt>
                <c:pt idx="5" formatCode="0">
                  <c:v>34</c:v>
                </c:pt>
              </c:numCache>
            </c:numRef>
          </c:val>
          <c:extLst>
            <c:ext xmlns:c16="http://schemas.microsoft.com/office/drawing/2014/chart" uri="{C3380CC4-5D6E-409C-BE32-E72D297353CC}">
              <c16:uniqueId val="{00000001-2025-4FD5-9AB2-210F973E33D5}"/>
            </c:ext>
          </c:extLst>
        </c:ser>
        <c:dLbls>
          <c:showLegendKey val="0"/>
          <c:showVal val="0"/>
          <c:showCatName val="0"/>
          <c:showSerName val="0"/>
          <c:showPercent val="0"/>
          <c:showBubbleSize val="0"/>
        </c:dLbls>
        <c:gapWidth val="219"/>
        <c:overlap val="-27"/>
        <c:axId val="1173576415"/>
        <c:axId val="1173584575"/>
      </c:barChart>
      <c:catAx>
        <c:axId val="1173576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173584575"/>
        <c:crosses val="autoZero"/>
        <c:auto val="1"/>
        <c:lblAlgn val="ctr"/>
        <c:lblOffset val="100"/>
        <c:noMultiLvlLbl val="0"/>
      </c:catAx>
      <c:valAx>
        <c:axId val="11735845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1735764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79D-4727-A8C8-208C11664B0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79D-4727-A8C8-208C11664B0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79D-4727-A8C8-208C11664B0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79D-4727-A8C8-208C11664B0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79D-4727-A8C8-208C11664B0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79D-4727-A8C8-208C11664B0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1"/>
            <c:showBubbleSize val="0"/>
            <c:showLeaderLines val="0"/>
            <c:extLst>
              <c:ext xmlns:c15="http://schemas.microsoft.com/office/drawing/2012/chart" uri="{CE6537A1-D6FC-4f65-9D91-7224C49458BB}"/>
            </c:extLst>
          </c:dLbls>
          <c:cat>
            <c:strRef>
              <c:f>'dati grafikiem'!$C$144:$C$149</c:f>
              <c:strCache>
                <c:ptCount val="6"/>
                <c:pt idx="0">
                  <c:v>stabila</c:v>
                </c:pt>
                <c:pt idx="1">
                  <c:v>palielinās</c:v>
                </c:pt>
                <c:pt idx="2">
                  <c:v>samazinās</c:v>
                </c:pt>
                <c:pt idx="3">
                  <c:v>neskaidra</c:v>
                </c:pt>
                <c:pt idx="4">
                  <c:v>svārstās</c:v>
                </c:pt>
                <c:pt idx="5">
                  <c:v>nav datu</c:v>
                </c:pt>
              </c:strCache>
            </c:strRef>
          </c:cat>
          <c:val>
            <c:numRef>
              <c:f>'dati grafikiem'!$D$144:$D$149</c:f>
              <c:numCache>
                <c:formatCode>0</c:formatCode>
                <c:ptCount val="6"/>
                <c:pt idx="0">
                  <c:v>33.179723502304149</c:v>
                </c:pt>
                <c:pt idx="1">
                  <c:v>19.815668202764979</c:v>
                </c:pt>
                <c:pt idx="2">
                  <c:v>19.815668202764979</c:v>
                </c:pt>
                <c:pt idx="3">
                  <c:v>14.746543778801843</c:v>
                </c:pt>
                <c:pt idx="4">
                  <c:v>0.92165898617511521</c:v>
                </c:pt>
                <c:pt idx="5">
                  <c:v>11.52073732718894</c:v>
                </c:pt>
              </c:numCache>
            </c:numRef>
          </c:val>
          <c:extLst>
            <c:ext xmlns:c16="http://schemas.microsoft.com/office/drawing/2014/chart" uri="{C3380CC4-5D6E-409C-BE32-E72D297353CC}">
              <c16:uniqueId val="{0000000C-179D-4727-A8C8-208C11664B0B}"/>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042-4C6E-8FC3-34864179380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042-4C6E-8FC3-34864179380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042-4C6E-8FC3-34864179380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042-4C6E-8FC3-34864179380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042-4C6E-8FC3-34864179380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042-4C6E-8FC3-34864179380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1"/>
            <c:showBubbleSize val="0"/>
            <c:showLeaderLines val="0"/>
            <c:extLst>
              <c:ext xmlns:c15="http://schemas.microsoft.com/office/drawing/2012/chart" uri="{CE6537A1-D6FC-4f65-9D91-7224C49458BB}"/>
            </c:extLst>
          </c:dLbls>
          <c:cat>
            <c:strRef>
              <c:f>'dati grafikiem'!$C$155:$C$160</c:f>
              <c:strCache>
                <c:ptCount val="6"/>
                <c:pt idx="0">
                  <c:v>stabila</c:v>
                </c:pt>
                <c:pt idx="1">
                  <c:v>palielinās</c:v>
                </c:pt>
                <c:pt idx="2">
                  <c:v>samazinās</c:v>
                </c:pt>
                <c:pt idx="3">
                  <c:v>neskaidra</c:v>
                </c:pt>
                <c:pt idx="4">
                  <c:v>svārstās</c:v>
                </c:pt>
                <c:pt idx="5">
                  <c:v>nav datu</c:v>
                </c:pt>
              </c:strCache>
            </c:strRef>
          </c:cat>
          <c:val>
            <c:numRef>
              <c:f>'dati grafikiem'!$D$155:$D$160</c:f>
              <c:numCache>
                <c:formatCode>0</c:formatCode>
                <c:ptCount val="6"/>
                <c:pt idx="0">
                  <c:v>17.972350230414747</c:v>
                </c:pt>
                <c:pt idx="1">
                  <c:v>28.110599078341014</c:v>
                </c:pt>
                <c:pt idx="2">
                  <c:v>27.649769585253459</c:v>
                </c:pt>
                <c:pt idx="3">
                  <c:v>8.7557603686635943</c:v>
                </c:pt>
                <c:pt idx="4">
                  <c:v>1.3824884792626728</c:v>
                </c:pt>
                <c:pt idx="5">
                  <c:v>15.668202764976957</c:v>
                </c:pt>
              </c:numCache>
            </c:numRef>
          </c:val>
          <c:extLst>
            <c:ext xmlns:c16="http://schemas.microsoft.com/office/drawing/2014/chart" uri="{C3380CC4-5D6E-409C-BE32-E72D297353CC}">
              <c16:uniqueId val="{0000000C-1042-4C6E-8FC3-348641793804}"/>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'dati grafikiem'!$D$167</c:f>
              <c:strCache>
                <c:ptCount val="1"/>
                <c:pt idx="0">
                  <c:v>īstermiņa</c:v>
                </c:pt>
              </c:strCache>
            </c:strRef>
          </c:tx>
          <c:spPr>
            <a:solidFill>
              <a:srgbClr val="00B0F0"/>
            </a:solidFill>
            <a:ln>
              <a:noFill/>
            </a:ln>
            <a:effectLst/>
          </c:spPr>
          <c:invertIfNegative val="0"/>
          <c:cat>
            <c:strRef>
              <c:f>'dati grafikiem'!$C$168:$C$173</c:f>
              <c:strCache>
                <c:ptCount val="6"/>
                <c:pt idx="0">
                  <c:v>stabila</c:v>
                </c:pt>
                <c:pt idx="1">
                  <c:v>palielinās</c:v>
                </c:pt>
                <c:pt idx="2">
                  <c:v>samazinās</c:v>
                </c:pt>
                <c:pt idx="3">
                  <c:v>neskaidra</c:v>
                </c:pt>
                <c:pt idx="4">
                  <c:v>svārstās</c:v>
                </c:pt>
                <c:pt idx="5">
                  <c:v>nav datu</c:v>
                </c:pt>
              </c:strCache>
            </c:strRef>
          </c:cat>
          <c:val>
            <c:numRef>
              <c:f>'dati grafikiem'!$D$168:$D$173</c:f>
              <c:numCache>
                <c:formatCode>General</c:formatCode>
                <c:ptCount val="6"/>
                <c:pt idx="0">
                  <c:v>27</c:v>
                </c:pt>
                <c:pt idx="1">
                  <c:v>13</c:v>
                </c:pt>
                <c:pt idx="2">
                  <c:v>15</c:v>
                </c:pt>
                <c:pt idx="3">
                  <c:v>9</c:v>
                </c:pt>
                <c:pt idx="5">
                  <c:v>9</c:v>
                </c:pt>
              </c:numCache>
            </c:numRef>
          </c:val>
          <c:extLst>
            <c:ext xmlns:c16="http://schemas.microsoft.com/office/drawing/2014/chart" uri="{C3380CC4-5D6E-409C-BE32-E72D297353CC}">
              <c16:uniqueId val="{00000000-15DA-4EB2-A4A8-CB61597D7395}"/>
            </c:ext>
          </c:extLst>
        </c:ser>
        <c:ser>
          <c:idx val="1"/>
          <c:order val="1"/>
          <c:tx>
            <c:strRef>
              <c:f>'dati grafikiem'!$E$167</c:f>
              <c:strCache>
                <c:ptCount val="1"/>
                <c:pt idx="0">
                  <c:v>ilgtermiņa</c:v>
                </c:pt>
              </c:strCache>
            </c:strRef>
          </c:tx>
          <c:spPr>
            <a:solidFill>
              <a:srgbClr val="002060"/>
            </a:solidFill>
            <a:ln>
              <a:noFill/>
            </a:ln>
            <a:effectLst/>
          </c:spPr>
          <c:invertIfNegative val="0"/>
          <c:cat>
            <c:strRef>
              <c:f>'dati grafikiem'!$C$168:$C$173</c:f>
              <c:strCache>
                <c:ptCount val="6"/>
                <c:pt idx="0">
                  <c:v>stabila</c:v>
                </c:pt>
                <c:pt idx="1">
                  <c:v>palielinās</c:v>
                </c:pt>
                <c:pt idx="2">
                  <c:v>samazinās</c:v>
                </c:pt>
                <c:pt idx="3">
                  <c:v>neskaidra</c:v>
                </c:pt>
                <c:pt idx="4">
                  <c:v>svārstās</c:v>
                </c:pt>
                <c:pt idx="5">
                  <c:v>nav datu</c:v>
                </c:pt>
              </c:strCache>
            </c:strRef>
          </c:cat>
          <c:val>
            <c:numRef>
              <c:f>'dati grafikiem'!$E$168:$E$173</c:f>
              <c:numCache>
                <c:formatCode>General</c:formatCode>
                <c:ptCount val="6"/>
                <c:pt idx="0">
                  <c:v>10</c:v>
                </c:pt>
                <c:pt idx="1">
                  <c:v>16</c:v>
                </c:pt>
                <c:pt idx="2">
                  <c:v>29</c:v>
                </c:pt>
                <c:pt idx="3">
                  <c:v>5</c:v>
                </c:pt>
                <c:pt idx="4">
                  <c:v>1</c:v>
                </c:pt>
                <c:pt idx="5" formatCode="0">
                  <c:v>12</c:v>
                </c:pt>
              </c:numCache>
            </c:numRef>
          </c:val>
          <c:extLst>
            <c:ext xmlns:c16="http://schemas.microsoft.com/office/drawing/2014/chart" uri="{C3380CC4-5D6E-409C-BE32-E72D297353CC}">
              <c16:uniqueId val="{00000001-15DA-4EB2-A4A8-CB61597D7395}"/>
            </c:ext>
          </c:extLst>
        </c:ser>
        <c:dLbls>
          <c:showLegendKey val="0"/>
          <c:showVal val="0"/>
          <c:showCatName val="0"/>
          <c:showSerName val="0"/>
          <c:showPercent val="0"/>
          <c:showBubbleSize val="0"/>
        </c:dLbls>
        <c:gapWidth val="219"/>
        <c:overlap val="-27"/>
        <c:axId val="1865815711"/>
        <c:axId val="1858056287"/>
      </c:barChart>
      <c:catAx>
        <c:axId val="1865815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58056287"/>
        <c:crosses val="autoZero"/>
        <c:auto val="1"/>
        <c:lblAlgn val="ctr"/>
        <c:lblOffset val="100"/>
        <c:noMultiLvlLbl val="0"/>
      </c:catAx>
      <c:valAx>
        <c:axId val="1858056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658157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C5C8A-D408-47B4-8331-8FEE8C4E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8196</Words>
  <Characters>4673</Characters>
  <Application>Microsoft Office Word</Application>
  <DocSecurity>4</DocSecurity>
  <Lines>38</Lines>
  <Paragraphs>25</Paragraphs>
  <ScaleCrop>false</ScaleCrop>
  <HeadingPairs>
    <vt:vector size="2" baseType="variant">
      <vt:variant>
        <vt:lpstr>Title</vt:lpstr>
      </vt:variant>
      <vt:variant>
        <vt:i4>1</vt:i4>
      </vt:variant>
    </vt:vector>
  </HeadingPairs>
  <TitlesOfParts>
    <vt:vector size="1" baseType="lpstr">
      <vt:lpstr>Informatīvais ziņojums "Pārskats par Eiropas Parlamenta un Padomes 2009. gada 30. novembra direktīvas 2009/147/EK par savvaļas putnu aizsardzību ieviešanu 2013.-2018. gadā"</vt:lpstr>
    </vt:vector>
  </TitlesOfParts>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"Pārskats par Eiropas Parlamenta un Padomes 2009. gada 30. novembra direktīvas 2009/147/EK par savvaļas putnu aizsardzību ieviešanu 2013.-2018. gadā"</dc:title>
  <dc:subject>informatīvais ziņojums</dc:subject>
  <dc:creator>I. Mendziņa, 67026432, ilona.mendzina@varam.gov.lv</dc:creator>
  <cp:lastModifiedBy>Ilona Mendziņa</cp:lastModifiedBy>
  <cp:revision>2</cp:revision>
  <dcterms:created xsi:type="dcterms:W3CDTF">2025-10-21T10:52:00Z</dcterms:created>
  <dcterms:modified xsi:type="dcterms:W3CDTF">2025-10-21T10:52:00Z</dcterms:modified>
  <cp:category>informatīvais ziņojums</cp:category>
</cp:coreProperties>
</file>