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Par Latvijas-Lietuvas starpvaldību pārrobežu sadarbības komisijas Latvijas Republikas pārstāvju grupu un darbību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Saskaņā ar 1999. gada 10. septembrī Panevēžā parakstītā Latvijas Republikas valdības un Lietuvas Republikas valdības līguma par pārrobežu sadarbību 5. pantu apstiprināt darbam Latvijas–Lietuvas starpvaldību pārrobežas sadarbības komisijā Latvijas Republikas pārstāvju grupu šādā sastāvā: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R.Čudars – viedās administrācijas un reģionālās attīstības ministrs (pārstāvju grupas vadītājs);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Pārstāvju grupas locekļi:</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G. Ansiņš – Kurzemes plānošanas reģiona Attīstības padomes loceklis, Liepājas valstspilsētas domes priekšsēdētājs;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 Elksniņš – Latgales plānošanas reģiona Attīstības padomes priekšsēdētāja vietnieks, Daugavpils valstspilsētas pašvaldības domes priekšsēdētājs;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L. Līdums – Zemgales plānošanas reģiona Attīstības padomes priekšsēdētājs, Aizkraukles novada domes priekšsēdētājs;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R. Radiņa − Ārlietu ministrijas Baltijas valstu, Ziemeļvalstu un reģionālās sadarbības nodaļas vadītāja;</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E. Šimiņa-Neverovska – Satiksmes ministrijas valsts sekretāra vietniece;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G. Švika – Iekšlietu ministrijas Nozares politikas departamenta direktors;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D.Vilsone - Kultūras ministrijas valsts sekretāre.</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Pārstāvju grupas loceklis savas prombūtnes laikā nosaka sev aizvietotāju un informē par to Viedās administrācijas un reģionālās attīstības ministriju (turpmāk – VARAM), tādējādi nodrošinot savas iestādes pārstāvību Latvijas–Lietuvas starpvaldību pārrobežas sadarbības komisijā.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Pārstāvju grupas darbību koordinē VARAM.</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Noteikt, ka Latvijas–Lietuvas starpvaldību pārrobežas sadarbības komisijas sēdēs ar padomdevēja tiesībām piedalās Latvijas vēstnieks Lietuvā.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Noteikt VARAM par attiecīgo iestādi atbilstoši Eiropas Parlamenta un Padomes 2025.gada 7.maija Regulas (ES) 2025/925 par Pierobežas reģionu attīstības un izaugsmes instrumentu (turpmāk - BRIDGEforEU  regula) 6.pantam un uzdot ar Latvijas un Lietuvas pārrobežu šķēršļiem saistīto jautājumu koordinēšanu Latvijā.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VARAM sniegt informāciju Eiropas Komisijai saskaņā ar BRIDGEforEU  regulas pielikuma 2.iedaļā noteikto.</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Atzīt par spēku zaudējušu Ministru kabineta 2020. gada 13. augusta rīkojumu Nr. 434 "Par Latvijas Republikas pārstāvju grupu Latvijas–Lietuvas starpvaldību pārrobežas sadarbības komisijā" (Latvijas Vēstnesis, 2020, 158. nr.).</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p w:rsidP="00000000" w:rsidRDefault="00000000" w:rsidR="00000000" w:rsidRPr="00000000" w:rsidDel="00000000">
      <w:pPr>
        <w:contextualSpacing w:val="0"/>
        <w:ind w:left="705"/>
        <w:spacing w:lineRule="auto" w:line="240"/>
        <w:pBdr/>
      </w:pPr>
      <w:r w:rsidR="00000000" w:rsidRPr="00000000" w:rsidDel="00000000">
        <w:rPr>
          <w:rtl w:val="0"/>
        </w:rPr>
        <w:t xml:space="preserve"/>
      </w:r>
      <w:r w:rsidR="00000000" w:rsidRPr="00000000" w:rsidDel="00000000">
        <w:rPr>
          <w:sz w:val="24"/>
          <w:rtl w:val="0"/>
        </w:rPr>
        <w:t xml:space="preserve">** Dokuments ir parakstīts ar TAP portāla elektroniskās parakstīšanas rīku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25-TA-2373</w:t>
    </w:r>
    <w:r>
      <w:br/>
    </w:r>
    <w:r w:rsidR="00000000" w:rsidRPr="00000000" w:rsidDel="00000000">
      <w:rPr>
        <w:rtl w:val="0"/>
      </w:rPr>
      <w:t xml:space="preserve">Izdrukāts 03.11.2025. 16.07 - 2.0 Redakcija</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25-TA-2373</w:t>
    </w:r>
    <w:r>
      <w:br/>
    </w:r>
    <w:r w:rsidR="00000000" w:rsidRPr="00000000" w:rsidDel="00000000">
      <w:rPr>
        <w:rtl w:val="0"/>
      </w:rPr>
      <w:t xml:space="preserve">Izdrukāts 03.11.2025. 16.07 - 2.0 Redakcija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rīkojuma_projekts_25-TA-2373.docx</dc:title>
</cp:coreProperties>
</file>

<file path=docProps/custom.xml><?xml version="1.0" encoding="utf-8"?>
<Properties xmlns="http://schemas.openxmlformats.org/officeDocument/2006/custom-properties" xmlns:vt="http://schemas.openxmlformats.org/officeDocument/2006/docPropsVTypes"/>
</file>