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EB0BB" w14:textId="3372754A" w:rsidR="0092352A" w:rsidRPr="000F7F5E" w:rsidRDefault="00822B98" w:rsidP="00B82D05">
      <w:pPr>
        <w:pStyle w:val="NormalWeb"/>
        <w:spacing w:before="120" w:beforeAutospacing="0" w:after="0" w:afterAutospacing="0"/>
        <w:ind w:left="22" w:right="55" w:hanging="1"/>
        <w:jc w:val="center"/>
        <w:rPr>
          <w:b/>
          <w:bCs/>
          <w:color w:val="00B050"/>
        </w:rPr>
      </w:pPr>
      <w:r w:rsidRPr="000F7F5E">
        <w:rPr>
          <w:b/>
          <w:bCs/>
          <w:color w:val="00B050"/>
        </w:rPr>
        <w:t>Vadlīnijas saistošo noteikumu izstrādei</w:t>
      </w:r>
      <w:r w:rsidR="002D055E" w:rsidRPr="000F7F5E">
        <w:rPr>
          <w:b/>
          <w:bCs/>
          <w:color w:val="00B050"/>
        </w:rPr>
        <w:t xml:space="preserve"> </w:t>
      </w:r>
      <w:r w:rsidR="001B55DA" w:rsidRPr="000F7F5E">
        <w:rPr>
          <w:b/>
          <w:bCs/>
          <w:color w:val="00B050"/>
        </w:rPr>
        <w:t>par transportlīdzekļu iebraukšanu īpaša režīma zonās, kuras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w:t>
      </w:r>
      <w:r w:rsidR="00CE5CEF" w:rsidRPr="000F7F5E">
        <w:rPr>
          <w:b/>
          <w:bCs/>
          <w:color w:val="00B050"/>
        </w:rPr>
        <w:t>i</w:t>
      </w:r>
    </w:p>
    <w:p w14:paraId="151371B7" w14:textId="33ACCC8D" w:rsidR="00786B2B" w:rsidRPr="000F7F5E" w:rsidRDefault="00786B2B" w:rsidP="00B82D05">
      <w:pPr>
        <w:pStyle w:val="tv213"/>
        <w:shd w:val="clear" w:color="auto" w:fill="FFFFFF"/>
        <w:tabs>
          <w:tab w:val="left" w:pos="567"/>
        </w:tabs>
        <w:spacing w:before="120" w:beforeAutospacing="0" w:after="0" w:afterAutospacing="0"/>
        <w:jc w:val="both"/>
        <w:rPr>
          <w:rFonts w:eastAsia="Times New Roman"/>
          <w:b/>
          <w:bCs/>
        </w:rPr>
      </w:pPr>
      <w:r w:rsidRPr="000F7F5E">
        <w:rPr>
          <w:b/>
          <w:bCs/>
        </w:rPr>
        <w:t xml:space="preserve">Saskaņā ar Pašvaldību likuma 47. panta otro daļu saistošie noteikumi </w:t>
      </w:r>
      <w:r w:rsidR="00CE5CEF" w:rsidRPr="000F7F5E">
        <w:rPr>
          <w:b/>
          <w:bCs/>
        </w:rPr>
        <w:t>par transportlīdzekļu iebraukšanu īpaša režīma zonās, kuras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w:t>
      </w:r>
      <w:r w:rsidR="0049712B" w:rsidRPr="000F7F5E">
        <w:rPr>
          <w:b/>
          <w:bCs/>
        </w:rPr>
        <w:t>, ja dome paredz</w:t>
      </w:r>
      <w:r w:rsidR="0049712B" w:rsidRPr="000F7F5E">
        <w:rPr>
          <w:rFonts w:eastAsia="Times New Roman"/>
          <w:b/>
          <w:bCs/>
        </w:rPr>
        <w:t xml:space="preserve"> administratīvos sodus par saistošo noteikumu pārkāpšanu</w:t>
      </w:r>
      <w:r w:rsidR="0049712B" w:rsidRPr="000F7F5E">
        <w:rPr>
          <w:b/>
          <w:bCs/>
        </w:rPr>
        <w:t>,</w:t>
      </w:r>
      <w:r w:rsidRPr="000F7F5E">
        <w:rPr>
          <w:b/>
          <w:bCs/>
        </w:rPr>
        <w:t xml:space="preserve"> </w:t>
      </w:r>
      <w:r w:rsidR="0049712B" w:rsidRPr="000F7F5E">
        <w:rPr>
          <w:b/>
          <w:bCs/>
        </w:rPr>
        <w:t xml:space="preserve">ir </w:t>
      </w:r>
      <w:r w:rsidRPr="000F7F5E">
        <w:rPr>
          <w:b/>
          <w:bCs/>
        </w:rPr>
        <w:t>nosūtāmi VARAM izvērtēšanai un atzinuma sniegšanai.</w:t>
      </w:r>
    </w:p>
    <w:p w14:paraId="010F4876" w14:textId="289C0A3B" w:rsidR="007730C9" w:rsidRPr="000F7F5E" w:rsidRDefault="00D31ABB" w:rsidP="00A41242">
      <w:pPr>
        <w:spacing w:before="120"/>
        <w:jc w:val="both"/>
        <w:rPr>
          <w:rFonts w:ascii="Times New Roman" w:hAnsi="Times New Roman" w:cs="Times New Roman"/>
          <w:color w:val="000000"/>
          <w:sz w:val="24"/>
          <w:szCs w:val="24"/>
        </w:rPr>
      </w:pPr>
      <w:r w:rsidRPr="000F7F5E">
        <w:rPr>
          <w:rFonts w:ascii="Times New Roman" w:hAnsi="Times New Roman" w:cs="Times New Roman"/>
          <w:sz w:val="24"/>
          <w:szCs w:val="24"/>
          <w:shd w:val="clear" w:color="auto" w:fill="FFFFFF"/>
        </w:rPr>
        <w:t xml:space="preserve">Saistošo noteikumu </w:t>
      </w:r>
      <w:r w:rsidR="009B3062" w:rsidRPr="000F7F5E">
        <w:rPr>
          <w:rFonts w:ascii="Times New Roman" w:hAnsi="Times New Roman" w:cs="Times New Roman"/>
          <w:sz w:val="24"/>
          <w:szCs w:val="24"/>
          <w:shd w:val="clear" w:color="auto" w:fill="FFFFFF"/>
        </w:rPr>
        <w:t xml:space="preserve">izdošanas </w:t>
      </w:r>
      <w:r w:rsidRPr="000F7F5E">
        <w:rPr>
          <w:rFonts w:ascii="Times New Roman" w:hAnsi="Times New Roman" w:cs="Times New Roman"/>
          <w:sz w:val="24"/>
          <w:szCs w:val="24"/>
          <w:shd w:val="clear" w:color="auto" w:fill="FFFFFF"/>
        </w:rPr>
        <w:t>tiesiskais pamatojums</w:t>
      </w:r>
      <w:r w:rsidRPr="000F7F5E">
        <w:rPr>
          <w:rStyle w:val="FootnoteReference"/>
          <w:rFonts w:ascii="Times New Roman" w:hAnsi="Times New Roman" w:cs="Times New Roman"/>
          <w:sz w:val="24"/>
          <w:szCs w:val="24"/>
          <w:shd w:val="clear" w:color="auto" w:fill="FFFFFF"/>
        </w:rPr>
        <w:footnoteReference w:id="1"/>
      </w:r>
      <w:r w:rsidR="00F05F75" w:rsidRPr="000F7F5E">
        <w:rPr>
          <w:rFonts w:ascii="Times New Roman" w:hAnsi="Times New Roman" w:cs="Times New Roman"/>
          <w:sz w:val="24"/>
          <w:szCs w:val="24"/>
          <w:shd w:val="clear" w:color="auto" w:fill="FFFFFF"/>
        </w:rPr>
        <w:t xml:space="preserve"> ir Pašvaldību likuma </w:t>
      </w:r>
      <w:r w:rsidR="00F05F75" w:rsidRPr="000F7F5E">
        <w:rPr>
          <w:rFonts w:ascii="Times New Roman" w:eastAsia="Calibri" w:hAnsi="Times New Roman" w:cs="Times New Roman"/>
          <w:sz w:val="24"/>
          <w:szCs w:val="24"/>
        </w:rPr>
        <w:t>45. panta pirmās daļas 6. punkts</w:t>
      </w:r>
      <w:r w:rsidR="00A41242" w:rsidRPr="000F7F5E">
        <w:rPr>
          <w:rFonts w:ascii="Times New Roman" w:eastAsia="Calibri" w:hAnsi="Times New Roman" w:cs="Times New Roman"/>
          <w:sz w:val="24"/>
          <w:szCs w:val="24"/>
        </w:rPr>
        <w:t xml:space="preserve">, kurš noteic, ka </w:t>
      </w:r>
      <w:r w:rsidR="00AC3573" w:rsidRPr="000F7F5E">
        <w:rPr>
          <w:rFonts w:ascii="Times New Roman" w:hAnsi="Times New Roman" w:cs="Times New Roman"/>
          <w:color w:val="000000"/>
          <w:sz w:val="24"/>
          <w:szCs w:val="24"/>
        </w:rPr>
        <w:t>dome ir tiesīga izdot saistošos noteikumus un paredzēt administratīvo atbildību par to pārkāpšanu, nosakot administratīvos pārkāpumus un par tiem piemērojamos administratīvos sodus, ja likumos nav noteikts citādi</w:t>
      </w:r>
      <w:r w:rsidR="004D3E18" w:rsidRPr="000F7F5E">
        <w:rPr>
          <w:rFonts w:ascii="Times New Roman" w:hAnsi="Times New Roman" w:cs="Times New Roman"/>
          <w:color w:val="000000"/>
          <w:sz w:val="24"/>
          <w:szCs w:val="24"/>
        </w:rPr>
        <w:t xml:space="preserve">, </w:t>
      </w:r>
      <w:r w:rsidR="00B44FC5" w:rsidRPr="000F7F5E">
        <w:rPr>
          <w:rFonts w:ascii="Times New Roman" w:hAnsi="Times New Roman" w:cs="Times New Roman"/>
          <w:color w:val="000000"/>
          <w:sz w:val="24"/>
          <w:szCs w:val="24"/>
        </w:rPr>
        <w:t>par transportlīdzekļu iebraukšanu īpaša režīma zonās, kuras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aizsardzībai.</w:t>
      </w:r>
    </w:p>
    <w:p w14:paraId="6E68F79E" w14:textId="3AA100B3" w:rsidR="00767EE9" w:rsidRPr="000F7F5E" w:rsidRDefault="00767EE9" w:rsidP="00767EE9">
      <w:pPr>
        <w:pStyle w:val="NormalWeb"/>
        <w:spacing w:before="120" w:beforeAutospacing="0" w:after="0" w:afterAutospacing="0"/>
        <w:ind w:right="-6"/>
        <w:jc w:val="both"/>
        <w:rPr>
          <w:color w:val="000000"/>
        </w:rPr>
      </w:pPr>
      <w:r w:rsidRPr="000F7F5E">
        <w:rPr>
          <w:rStyle w:val="normaltextrun"/>
          <w:color w:val="000000"/>
          <w:shd w:val="clear" w:color="auto" w:fill="FFFFFF"/>
        </w:rPr>
        <w:t xml:space="preserve">Saskaņā ar šo pilnvarojumu pašvaldība ir tiesīga paredzēt administratīvo atbildību par iebraukšanu īpaša režīma zonā bez atļaujas, tostarp caurlaides. Atļauja iebraukšanai īpaša režīma zonā tiek izsniegta saistošajos noteikumos noteiktajā kārtībā pēc pašvaldības nodevas samaksas. Līdz ar to </w:t>
      </w:r>
      <w:r w:rsidRPr="000F7F5E">
        <w:rPr>
          <w:rStyle w:val="normaltextrun"/>
          <w:b/>
          <w:bCs/>
          <w:color w:val="000000"/>
          <w:shd w:val="clear" w:color="auto" w:fill="FFFFFF"/>
        </w:rPr>
        <w:t>administratīvā atbildība tiek paredzēta par jau minēto pārvietošanos bez pašvaldības atļaujas</w:t>
      </w:r>
      <w:r w:rsidRPr="000F7F5E">
        <w:rPr>
          <w:rStyle w:val="normaltextrun"/>
          <w:color w:val="000000"/>
          <w:shd w:val="clear" w:color="auto" w:fill="FFFFFF"/>
        </w:rPr>
        <w:t>, kas tiek izsniegta pēc nodevas samaksas, nevis par pašu nodevas neapmaksāšanas faktu.</w:t>
      </w:r>
    </w:p>
    <w:p w14:paraId="3A66C414" w14:textId="4BF5B34D" w:rsidR="00E4353F" w:rsidRPr="000F7F5E" w:rsidRDefault="00234199" w:rsidP="00B82D05">
      <w:pPr>
        <w:pStyle w:val="NormalWeb"/>
        <w:spacing w:before="120" w:beforeAutospacing="0" w:after="0" w:afterAutospacing="0"/>
        <w:ind w:left="20" w:right="-6" w:firstLine="1"/>
        <w:jc w:val="center"/>
        <w:rPr>
          <w:b/>
          <w:bCs/>
          <w:color w:val="000000"/>
        </w:rPr>
      </w:pPr>
      <w:r w:rsidRPr="000F7F5E">
        <w:rPr>
          <w:b/>
          <w:bCs/>
          <w:color w:val="000000"/>
        </w:rPr>
        <w:t>Kas jāņem vērā, i</w:t>
      </w:r>
      <w:r w:rsidR="00E4353F" w:rsidRPr="000F7F5E">
        <w:rPr>
          <w:b/>
          <w:bCs/>
          <w:color w:val="000000"/>
        </w:rPr>
        <w:t>zstrādājot saistošo</w:t>
      </w:r>
      <w:r w:rsidR="00822B98" w:rsidRPr="000F7F5E">
        <w:rPr>
          <w:b/>
          <w:bCs/>
          <w:color w:val="000000"/>
        </w:rPr>
        <w:t>s noteikumus</w:t>
      </w:r>
    </w:p>
    <w:p w14:paraId="1A5E8523" w14:textId="62E87622" w:rsidR="00400A54" w:rsidRPr="000F7F5E" w:rsidRDefault="00400A54" w:rsidP="00B82D05">
      <w:pPr>
        <w:pStyle w:val="NormalWeb"/>
        <w:numPr>
          <w:ilvl w:val="0"/>
          <w:numId w:val="7"/>
        </w:numPr>
        <w:spacing w:before="120" w:beforeAutospacing="0" w:after="0" w:afterAutospacing="0"/>
        <w:ind w:left="0" w:right="-6" w:firstLine="0"/>
        <w:jc w:val="both"/>
        <w:rPr>
          <w:rStyle w:val="normaltextrun"/>
          <w:color w:val="000000"/>
        </w:rPr>
      </w:pPr>
      <w:r w:rsidRPr="000F7F5E">
        <w:rPr>
          <w:rStyle w:val="normaltextrun"/>
          <w:color w:val="000000"/>
        </w:rPr>
        <w:t>Izstrādājot saistošos noteikumus jāievēro Ministru kabineta 2009.</w:t>
      </w:r>
      <w:r w:rsidR="00013B6E" w:rsidRPr="000F7F5E">
        <w:rPr>
          <w:rStyle w:val="normaltextrun"/>
          <w:color w:val="000000"/>
        </w:rPr>
        <w:t> </w:t>
      </w:r>
      <w:r w:rsidRPr="000F7F5E">
        <w:rPr>
          <w:rStyle w:val="normaltextrun"/>
          <w:color w:val="000000"/>
        </w:rPr>
        <w:t>gada 3.</w:t>
      </w:r>
      <w:r w:rsidR="00013B6E" w:rsidRPr="000F7F5E">
        <w:rPr>
          <w:rStyle w:val="normaltextrun"/>
          <w:color w:val="000000"/>
        </w:rPr>
        <w:t> </w:t>
      </w:r>
      <w:r w:rsidRPr="000F7F5E">
        <w:rPr>
          <w:rStyle w:val="normaltextrun"/>
          <w:color w:val="000000"/>
        </w:rPr>
        <w:t>februāra noteikumi Nr.</w:t>
      </w:r>
      <w:r w:rsidR="00013B6E" w:rsidRPr="000F7F5E">
        <w:rPr>
          <w:rStyle w:val="normaltextrun"/>
          <w:color w:val="000000"/>
        </w:rPr>
        <w:t> </w:t>
      </w:r>
      <w:r w:rsidRPr="000F7F5E">
        <w:rPr>
          <w:rStyle w:val="normaltextrun"/>
          <w:color w:val="000000"/>
        </w:rPr>
        <w:t>108 “Normatīvo aktu  projektu sagatavošanas noteikumi”.</w:t>
      </w:r>
    </w:p>
    <w:p w14:paraId="380109E5" w14:textId="121CC977" w:rsidR="0087146B" w:rsidRPr="000F7F5E" w:rsidRDefault="002D083E" w:rsidP="00A62153">
      <w:pPr>
        <w:pStyle w:val="NormalWeb"/>
        <w:numPr>
          <w:ilvl w:val="0"/>
          <w:numId w:val="7"/>
        </w:numPr>
        <w:spacing w:before="120" w:beforeAutospacing="0" w:after="0" w:afterAutospacing="0"/>
        <w:ind w:left="0" w:right="-6" w:firstLine="0"/>
        <w:jc w:val="both"/>
        <w:rPr>
          <w:color w:val="000000"/>
        </w:rPr>
      </w:pPr>
      <w:r w:rsidRPr="000F7F5E">
        <w:t>Paredzot saistošajos noteikumos administratīvo atbildību par noteiktu pārkāpumu, ir jāievēr</w:t>
      </w:r>
      <w:r w:rsidR="00B765F4" w:rsidRPr="000F7F5E">
        <w:t>o</w:t>
      </w:r>
      <w:r w:rsidRPr="000F7F5E">
        <w:t xml:space="preserve"> Tieslietu ministrijas vēstulē</w:t>
      </w:r>
      <w:r w:rsidR="00A6075F" w:rsidRPr="000F7F5E">
        <w:rPr>
          <w:rStyle w:val="FootnoteReference"/>
        </w:rPr>
        <w:footnoteReference w:id="2"/>
      </w:r>
      <w:r w:rsidRPr="000F7F5E">
        <w:t xml:space="preserve"> </w:t>
      </w:r>
      <w:r w:rsidR="00A6075F" w:rsidRPr="000F7F5E">
        <w:t>paustais viedoklis, piemēram</w:t>
      </w:r>
      <w:r w:rsidR="00A62153" w:rsidRPr="000F7F5E">
        <w:t>, p</w:t>
      </w:r>
      <w:r w:rsidR="00EB7F04" w:rsidRPr="000F7F5E">
        <w:t xml:space="preserve">ašvaldībām ir </w:t>
      </w:r>
      <w:r w:rsidR="005A5C1E" w:rsidRPr="000F7F5E">
        <w:t>jāatturas</w:t>
      </w:r>
      <w:r w:rsidR="00EB7F04" w:rsidRPr="000F7F5E">
        <w:t xml:space="preserve">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w:t>
      </w:r>
      <w:r w:rsidR="00735590" w:rsidRPr="000F7F5E">
        <w:t> – a</w:t>
      </w:r>
      <w:r w:rsidR="00EB7F04" w:rsidRPr="000F7F5E">
        <w:t>dministratīvā akta un tā nosacījumu (uzdevumu) piespiedu izpildi (piemēram, piespiedu naudu vai aizvietotājizpildi).</w:t>
      </w:r>
    </w:p>
    <w:p w14:paraId="0E71A00E" w14:textId="6E155775" w:rsidR="0087146B" w:rsidRPr="000F7F5E" w:rsidRDefault="00EB7F04" w:rsidP="00B82D05">
      <w:pPr>
        <w:pStyle w:val="NormalWeb"/>
        <w:numPr>
          <w:ilvl w:val="0"/>
          <w:numId w:val="7"/>
        </w:numPr>
        <w:spacing w:before="120" w:beforeAutospacing="0" w:after="0" w:afterAutospacing="0"/>
        <w:ind w:left="0" w:right="-6" w:firstLine="0"/>
        <w:jc w:val="both"/>
        <w:rPr>
          <w:color w:val="000000"/>
        </w:rPr>
      </w:pPr>
      <w:r w:rsidRPr="000F7F5E">
        <w:t xml:space="preserve">Pašvaldība saistošajos noteikumos, iekļaujot normas, kuras dublē likumā vai Ministru kabineta noteikumos ietverto regulējumu, pārkāpj </w:t>
      </w:r>
      <w:r w:rsidR="00735590" w:rsidRPr="000F7F5E">
        <w:t>pilnvarojuma</w:t>
      </w:r>
      <w:r w:rsidRPr="000F7F5E">
        <w:t xml:space="preserve"> robežas. 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0F7F5E">
        <w:rPr>
          <w:rStyle w:val="FootnoteReference"/>
        </w:rPr>
        <w:footnoteReference w:id="3"/>
      </w:r>
    </w:p>
    <w:p w14:paraId="02D36292" w14:textId="4E808470" w:rsidR="0087146B" w:rsidRPr="000F7F5E" w:rsidRDefault="00BA7A8D" w:rsidP="00B82D05">
      <w:pPr>
        <w:pStyle w:val="NormalWeb"/>
        <w:numPr>
          <w:ilvl w:val="0"/>
          <w:numId w:val="7"/>
        </w:numPr>
        <w:spacing w:before="120" w:beforeAutospacing="0" w:after="0" w:afterAutospacing="0"/>
        <w:ind w:left="0" w:right="-6" w:firstLine="0"/>
        <w:jc w:val="both"/>
        <w:rPr>
          <w:color w:val="000000"/>
        </w:rPr>
      </w:pPr>
      <w:r w:rsidRPr="000F7F5E">
        <w:t xml:space="preserve">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w:t>
      </w:r>
      <w:r w:rsidRPr="000F7F5E">
        <w:lastRenderedPageBreak/>
        <w:t xml:space="preserve">pilnvarotās pašvaldību iestāžu amatpersonas. Līdz ar to saistošajos noteikumos </w:t>
      </w:r>
      <w:r w:rsidR="00E75FC7" w:rsidRPr="000F7F5E">
        <w:t xml:space="preserve">jānoteic pašvaldības amatpersonas, kuras ir tiesīgas </w:t>
      </w:r>
      <w:r w:rsidRPr="000F7F5E">
        <w:t>veikt administratīvā pārkāpuma procesu.</w:t>
      </w:r>
    </w:p>
    <w:p w14:paraId="7F2490A3" w14:textId="77777777" w:rsidR="0087146B" w:rsidRPr="000F7F5E" w:rsidRDefault="00BA7A8D" w:rsidP="00B82D05">
      <w:pPr>
        <w:pStyle w:val="NormalWeb"/>
        <w:numPr>
          <w:ilvl w:val="0"/>
          <w:numId w:val="7"/>
        </w:numPr>
        <w:spacing w:before="120" w:beforeAutospacing="0" w:after="0" w:afterAutospacing="0"/>
        <w:ind w:left="0" w:right="-6" w:firstLine="0"/>
        <w:jc w:val="both"/>
        <w:rPr>
          <w:color w:val="000000"/>
        </w:rPr>
      </w:pPr>
      <w:r w:rsidRPr="000F7F5E">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0F7F5E">
        <w:rPr>
          <w:rStyle w:val="FootnoteReference"/>
        </w:rPr>
        <w:footnoteReference w:id="4"/>
      </w:r>
    </w:p>
    <w:p w14:paraId="16CA8FBF" w14:textId="26009D64" w:rsidR="00BA7A8D" w:rsidRPr="000F7F5E" w:rsidRDefault="00DE433A" w:rsidP="00B82D05">
      <w:pPr>
        <w:pStyle w:val="NormalWeb"/>
        <w:numPr>
          <w:ilvl w:val="0"/>
          <w:numId w:val="7"/>
        </w:numPr>
        <w:spacing w:before="120" w:beforeAutospacing="0" w:after="0" w:afterAutospacing="0"/>
        <w:ind w:left="0" w:right="-6" w:firstLine="0"/>
        <w:jc w:val="both"/>
        <w:rPr>
          <w:color w:val="000000"/>
        </w:rPr>
      </w:pPr>
      <w:r w:rsidRPr="000F7F5E">
        <w:t>A</w:t>
      </w:r>
      <w:r w:rsidR="00BA7A8D" w:rsidRPr="000F7F5E">
        <w:t>dministratīvās atbildības jomā nav atbalstāma blanketu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5A4F07AE" w14:textId="77777777" w:rsidR="00DE433A" w:rsidRPr="000F7F5E" w:rsidRDefault="00BA7A8D" w:rsidP="00B82D05">
      <w:pPr>
        <w:pStyle w:val="NormalWeb"/>
        <w:spacing w:before="120" w:beforeAutospacing="0" w:after="0" w:afterAutospacing="0"/>
        <w:jc w:val="both"/>
        <w:rPr>
          <w:i/>
          <w:iCs/>
        </w:rPr>
      </w:pPr>
      <w:r w:rsidRPr="000F7F5E">
        <w:rPr>
          <w:i/>
          <w:iCs/>
        </w:rPr>
        <w:t>Nav atbalstāma administratīvo pārkāpumu sastāvu veidošana, atsaucoties tikai uz saistošo noteikumu punktiem vai pat veselām nodaļām, neidentificējot darbības vai bezdarbības izpausmes par kurām personu paredzēts sodīt.</w:t>
      </w:r>
    </w:p>
    <w:p w14:paraId="5888C848" w14:textId="77777777" w:rsidR="00DE433A" w:rsidRPr="000F7F5E" w:rsidRDefault="00BA7A8D" w:rsidP="00B82D05">
      <w:pPr>
        <w:pStyle w:val="NormalWeb"/>
        <w:numPr>
          <w:ilvl w:val="0"/>
          <w:numId w:val="7"/>
        </w:numPr>
        <w:spacing w:before="120" w:beforeAutospacing="0" w:after="0" w:afterAutospacing="0"/>
        <w:ind w:left="0" w:firstLine="0"/>
        <w:jc w:val="both"/>
        <w:rPr>
          <w:i/>
          <w:iCs/>
        </w:rPr>
      </w:pPr>
      <w:r w:rsidRPr="000F7F5E">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4590449B" w14:textId="560D5528" w:rsidR="00BA7A8D" w:rsidRPr="000F7F5E" w:rsidRDefault="00BA7A8D" w:rsidP="00B82D05">
      <w:pPr>
        <w:pStyle w:val="NormalWeb"/>
        <w:spacing w:before="120" w:beforeAutospacing="0" w:after="0" w:afterAutospacing="0"/>
        <w:jc w:val="both"/>
        <w:rPr>
          <w:i/>
          <w:iCs/>
        </w:rPr>
      </w:pPr>
      <w:r w:rsidRPr="000F7F5E">
        <w:t>Piemēram:</w:t>
      </w:r>
    </w:p>
    <w:p w14:paraId="4AA4B93D" w14:textId="77777777" w:rsidR="00BA7A8D" w:rsidRPr="000F7F5E" w:rsidRDefault="00BA7A8D" w:rsidP="00B82D05">
      <w:pPr>
        <w:pStyle w:val="ListParagraph"/>
        <w:numPr>
          <w:ilvl w:val="0"/>
          <w:numId w:val="5"/>
        </w:numPr>
        <w:suppressAutoHyphens w:val="0"/>
        <w:autoSpaceDN/>
        <w:spacing w:before="120"/>
        <w:ind w:left="0" w:firstLine="0"/>
        <w:contextualSpacing/>
        <w:jc w:val="both"/>
        <w:textAlignment w:val="auto"/>
        <w:rPr>
          <w:i/>
          <w:iCs/>
          <w:sz w:val="24"/>
          <w:szCs w:val="24"/>
        </w:rPr>
      </w:pPr>
      <w:r w:rsidRPr="000F7F5E">
        <w:rPr>
          <w:i/>
          <w:iCs/>
          <w:sz w:val="24"/>
          <w:szCs w:val="24"/>
        </w:rPr>
        <w:t>Naudas soda vienības sankcijā norāda vārdiem, nevis cipariem.</w:t>
      </w:r>
    </w:p>
    <w:p w14:paraId="2C632537" w14:textId="77777777" w:rsidR="00BA7A8D" w:rsidRPr="000F7F5E" w:rsidRDefault="00BA7A8D" w:rsidP="00B82D05">
      <w:pPr>
        <w:pStyle w:val="ListParagraph"/>
        <w:numPr>
          <w:ilvl w:val="0"/>
          <w:numId w:val="5"/>
        </w:numPr>
        <w:suppressAutoHyphens w:val="0"/>
        <w:autoSpaceDN/>
        <w:spacing w:before="120"/>
        <w:ind w:left="0" w:firstLine="0"/>
        <w:contextualSpacing/>
        <w:jc w:val="both"/>
        <w:textAlignment w:val="auto"/>
        <w:rPr>
          <w:i/>
          <w:iCs/>
          <w:sz w:val="24"/>
          <w:szCs w:val="24"/>
        </w:rPr>
      </w:pPr>
      <w:r w:rsidRPr="000F7F5E">
        <w:rPr>
          <w:i/>
          <w:iCs/>
          <w:sz w:val="24"/>
          <w:szCs w:val="24"/>
        </w:rPr>
        <w:t>Saskaņā ar Administratīvās atbildības likumu sodus “piemēro”, nevis “izsaka” vai “uzliek”.</w:t>
      </w:r>
    </w:p>
    <w:p w14:paraId="62D673A6" w14:textId="77777777" w:rsidR="00DE433A" w:rsidRPr="000F7F5E" w:rsidRDefault="00BA7A8D" w:rsidP="00B82D05">
      <w:pPr>
        <w:pStyle w:val="ListParagraph"/>
        <w:numPr>
          <w:ilvl w:val="0"/>
          <w:numId w:val="5"/>
        </w:numPr>
        <w:suppressAutoHyphens w:val="0"/>
        <w:autoSpaceDN/>
        <w:spacing w:before="120"/>
        <w:ind w:left="0" w:firstLine="0"/>
        <w:contextualSpacing/>
        <w:jc w:val="both"/>
        <w:textAlignment w:val="auto"/>
        <w:rPr>
          <w:i/>
          <w:iCs/>
          <w:sz w:val="24"/>
          <w:szCs w:val="24"/>
        </w:rPr>
      </w:pPr>
      <w:r w:rsidRPr="000F7F5E">
        <w:rPr>
          <w:i/>
          <w:iCs/>
          <w:sz w:val="24"/>
          <w:szCs w:val="24"/>
        </w:rPr>
        <w:t>Administratīvās atbildības reformas</w:t>
      </w:r>
      <w:r w:rsidRPr="000F7F5E">
        <w:rPr>
          <w:rStyle w:val="apple-converted-space"/>
          <w:i/>
          <w:iCs/>
          <w:sz w:val="24"/>
          <w:szCs w:val="24"/>
        </w:rPr>
        <w:t xml:space="preserve"> </w:t>
      </w:r>
      <w:r w:rsidRPr="000F7F5E">
        <w:rPr>
          <w:i/>
          <w:iCs/>
          <w:sz w:val="24"/>
          <w:szCs w:val="24"/>
        </w:rPr>
        <w:t xml:space="preserve">rezultātā tika atzīts, ka vainas formām administratīvo pārkāpumu tiesībās nav praktiskas nozīmes. Tas nozīmē, ka tiesību normā, kas paredz administratīvo atbildību, nav </w:t>
      </w:r>
      <w:r w:rsidR="00F72F32" w:rsidRPr="000F7F5E">
        <w:rPr>
          <w:i/>
          <w:iCs/>
          <w:sz w:val="24"/>
          <w:szCs w:val="24"/>
        </w:rPr>
        <w:t>paredzēta</w:t>
      </w:r>
      <w:r w:rsidRPr="000F7F5E">
        <w:rPr>
          <w:i/>
          <w:iCs/>
          <w:sz w:val="24"/>
          <w:szCs w:val="24"/>
        </w:rPr>
        <w:t xml:space="preserve"> </w:t>
      </w:r>
      <w:r w:rsidR="00F72F32" w:rsidRPr="000F7F5E">
        <w:rPr>
          <w:i/>
          <w:iCs/>
          <w:sz w:val="24"/>
          <w:szCs w:val="24"/>
        </w:rPr>
        <w:t>tāda</w:t>
      </w:r>
      <w:r w:rsidRPr="000F7F5E">
        <w:rPr>
          <w:i/>
          <w:iCs/>
          <w:sz w:val="24"/>
          <w:szCs w:val="24"/>
        </w:rPr>
        <w:t xml:space="preserve"> tiesiskā </w:t>
      </w:r>
      <w:r w:rsidR="00F72F32" w:rsidRPr="000F7F5E">
        <w:rPr>
          <w:i/>
          <w:iCs/>
          <w:sz w:val="24"/>
          <w:szCs w:val="24"/>
        </w:rPr>
        <w:t>sastāva</w:t>
      </w:r>
      <w:r w:rsidRPr="000F7F5E">
        <w:rPr>
          <w:i/>
          <w:iCs/>
          <w:sz w:val="24"/>
          <w:szCs w:val="24"/>
        </w:rPr>
        <w:t xml:space="preserve"> </w:t>
      </w:r>
      <w:r w:rsidR="00F72F32" w:rsidRPr="000F7F5E">
        <w:rPr>
          <w:i/>
          <w:iCs/>
          <w:sz w:val="24"/>
          <w:szCs w:val="24"/>
        </w:rPr>
        <w:t>pazīme</w:t>
      </w:r>
      <w:r w:rsidRPr="000F7F5E">
        <w:rPr>
          <w:i/>
          <w:iCs/>
          <w:sz w:val="24"/>
          <w:szCs w:val="24"/>
        </w:rPr>
        <w:t xml:space="preserve"> kā </w:t>
      </w:r>
      <w:r w:rsidR="00F72F32" w:rsidRPr="000F7F5E">
        <w:rPr>
          <w:i/>
          <w:iCs/>
          <w:sz w:val="24"/>
          <w:szCs w:val="24"/>
        </w:rPr>
        <w:t>tiešs</w:t>
      </w:r>
      <w:r w:rsidRPr="000F7F5E">
        <w:rPr>
          <w:i/>
          <w:iCs/>
          <w:sz w:val="24"/>
          <w:szCs w:val="24"/>
        </w:rPr>
        <w:t xml:space="preserve"> nodoms vai </w:t>
      </w:r>
      <w:r w:rsidR="00F72F32" w:rsidRPr="000F7F5E">
        <w:rPr>
          <w:i/>
          <w:iCs/>
          <w:sz w:val="24"/>
          <w:szCs w:val="24"/>
        </w:rPr>
        <w:t>neuzmanība</w:t>
      </w:r>
      <w:r w:rsidRPr="000F7F5E">
        <w:rPr>
          <w:i/>
          <w:iCs/>
          <w:sz w:val="24"/>
          <w:szCs w:val="24"/>
        </w:rPr>
        <w:t xml:space="preserve">, </w:t>
      </w:r>
      <w:r w:rsidR="00F72F32" w:rsidRPr="000F7F5E">
        <w:rPr>
          <w:i/>
          <w:iCs/>
          <w:sz w:val="24"/>
          <w:szCs w:val="24"/>
        </w:rPr>
        <w:t>tapāt</w:t>
      </w:r>
      <w:r w:rsidRPr="000F7F5E">
        <w:rPr>
          <w:i/>
          <w:iCs/>
          <w:sz w:val="24"/>
          <w:szCs w:val="24"/>
        </w:rPr>
        <w:t xml:space="preserve"> arī </w:t>
      </w:r>
      <w:r w:rsidR="00F72F32" w:rsidRPr="000F7F5E">
        <w:rPr>
          <w:i/>
          <w:iCs/>
          <w:sz w:val="24"/>
          <w:szCs w:val="24"/>
        </w:rPr>
        <w:t>piemērojamais</w:t>
      </w:r>
      <w:r w:rsidRPr="000F7F5E">
        <w:rPr>
          <w:i/>
          <w:iCs/>
          <w:sz w:val="24"/>
          <w:szCs w:val="24"/>
        </w:rPr>
        <w:t xml:space="preserve"> sods nav atkarīgs no</w:t>
      </w:r>
      <w:r w:rsidRPr="000F7F5E">
        <w:rPr>
          <w:rStyle w:val="apple-converted-space"/>
          <w:i/>
          <w:iCs/>
          <w:sz w:val="24"/>
          <w:szCs w:val="24"/>
        </w:rPr>
        <w:t xml:space="preserve"> vainas</w:t>
      </w:r>
      <w:r w:rsidRPr="000F7F5E">
        <w:rPr>
          <w:i/>
          <w:iCs/>
          <w:sz w:val="24"/>
          <w:szCs w:val="24"/>
        </w:rPr>
        <w:t xml:space="preserve"> formas.</w:t>
      </w:r>
      <w:r w:rsidRPr="000F7F5E">
        <w:rPr>
          <w:sz w:val="24"/>
          <w:szCs w:val="24"/>
        </w:rPr>
        <w:t xml:space="preserve"> </w:t>
      </w:r>
      <w:r w:rsidRPr="000F7F5E">
        <w:rPr>
          <w:i/>
          <w:iCs/>
          <w:sz w:val="24"/>
          <w:szCs w:val="24"/>
        </w:rPr>
        <w:t>Attiecīgi saistošajos noteikumos nav lietojams arī termins “vainīgā persona”.</w:t>
      </w:r>
    </w:p>
    <w:p w14:paraId="633E05AC" w14:textId="4EA51DF7" w:rsidR="00BA7A8D" w:rsidRPr="000F7F5E" w:rsidRDefault="00BA7A8D" w:rsidP="00B82D05">
      <w:pPr>
        <w:pStyle w:val="ListParagraph"/>
        <w:numPr>
          <w:ilvl w:val="0"/>
          <w:numId w:val="7"/>
        </w:numPr>
        <w:suppressAutoHyphens w:val="0"/>
        <w:autoSpaceDN/>
        <w:spacing w:before="120"/>
        <w:ind w:left="0" w:firstLine="0"/>
        <w:contextualSpacing/>
        <w:jc w:val="both"/>
        <w:textAlignment w:val="auto"/>
        <w:rPr>
          <w:i/>
          <w:iCs/>
          <w:sz w:val="24"/>
          <w:szCs w:val="24"/>
        </w:rPr>
      </w:pPr>
      <w:r w:rsidRPr="000F7F5E">
        <w:rPr>
          <w:sz w:val="24"/>
          <w:szCs w:val="24"/>
        </w:rPr>
        <w:t>Attiecībā uz naudas sodu noteikšanu par administratīvo pārkāpumu, norādām, ka pastāv divas metodes:</w:t>
      </w:r>
    </w:p>
    <w:p w14:paraId="441340B1" w14:textId="77777777" w:rsidR="008E0435" w:rsidRPr="000F7F5E" w:rsidRDefault="00DE433A" w:rsidP="008E0435">
      <w:pPr>
        <w:pStyle w:val="ListParagraph"/>
        <w:numPr>
          <w:ilvl w:val="0"/>
          <w:numId w:val="8"/>
        </w:numPr>
        <w:suppressAutoHyphens w:val="0"/>
        <w:autoSpaceDN/>
        <w:spacing w:before="120"/>
        <w:ind w:left="0" w:firstLine="709"/>
        <w:contextualSpacing/>
        <w:jc w:val="both"/>
        <w:textAlignment w:val="auto"/>
        <w:rPr>
          <w:i/>
          <w:iCs/>
          <w:sz w:val="24"/>
          <w:szCs w:val="24"/>
        </w:rPr>
      </w:pPr>
      <w:r w:rsidRPr="000F7F5E">
        <w:rPr>
          <w:sz w:val="24"/>
          <w:szCs w:val="24"/>
        </w:rPr>
        <w:t>p</w:t>
      </w:r>
      <w:r w:rsidR="00BA7A8D" w:rsidRPr="000F7F5E">
        <w:rPr>
          <w:sz w:val="24"/>
          <w:szCs w:val="24"/>
        </w:rPr>
        <w:t>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r w:rsidR="008E0435" w:rsidRPr="000F7F5E">
        <w:rPr>
          <w:sz w:val="24"/>
          <w:szCs w:val="24"/>
        </w:rPr>
        <w:t>.</w:t>
      </w:r>
    </w:p>
    <w:p w14:paraId="7F3FD2CF" w14:textId="60A57B98" w:rsidR="00DE433A" w:rsidRPr="000F7F5E" w:rsidRDefault="008E0435" w:rsidP="008E0435">
      <w:pPr>
        <w:spacing w:before="120"/>
        <w:contextualSpacing/>
        <w:jc w:val="both"/>
        <w:rPr>
          <w:rFonts w:ascii="Times New Roman" w:hAnsi="Times New Roman" w:cs="Times New Roman"/>
          <w:i/>
          <w:iCs/>
          <w:sz w:val="24"/>
          <w:szCs w:val="24"/>
        </w:rPr>
      </w:pPr>
      <w:r w:rsidRPr="000F7F5E">
        <w:rPr>
          <w:rFonts w:ascii="Times New Roman" w:hAnsi="Times New Roman" w:cs="Times New Roman"/>
          <w:i/>
          <w:iCs/>
          <w:sz w:val="24"/>
          <w:szCs w:val="24"/>
        </w:rPr>
        <w:t>Vēršam uzmanību, ka administratīvā soda apmēra noteikšanā pašvaldībām jāņem vērā Administratīvās atbildības likuma 16. panta trešā un septītā daļa;</w:t>
      </w:r>
    </w:p>
    <w:p w14:paraId="6B6F1805" w14:textId="77777777" w:rsidR="00DE433A" w:rsidRPr="000F7F5E" w:rsidRDefault="00DE433A" w:rsidP="008E0435">
      <w:pPr>
        <w:pStyle w:val="ListParagraph"/>
        <w:numPr>
          <w:ilvl w:val="0"/>
          <w:numId w:val="8"/>
        </w:numPr>
        <w:suppressAutoHyphens w:val="0"/>
        <w:autoSpaceDN/>
        <w:spacing w:before="120"/>
        <w:ind w:left="0" w:firstLine="709"/>
        <w:contextualSpacing/>
        <w:jc w:val="both"/>
        <w:textAlignment w:val="auto"/>
        <w:rPr>
          <w:i/>
          <w:iCs/>
          <w:sz w:val="24"/>
          <w:szCs w:val="24"/>
        </w:rPr>
      </w:pPr>
      <w:r w:rsidRPr="000F7F5E">
        <w:rPr>
          <w:sz w:val="24"/>
          <w:szCs w:val="24"/>
        </w:rPr>
        <w:t>o</w:t>
      </w:r>
      <w:r w:rsidR="00BA7A8D" w:rsidRPr="000F7F5E">
        <w:rPr>
          <w:sz w:val="24"/>
          <w:szCs w:val="24"/>
        </w:rPr>
        <w:t>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00BA7A8D" w:rsidRPr="000F7F5E">
        <w:rPr>
          <w:rStyle w:val="FootnoteReference"/>
          <w:sz w:val="24"/>
          <w:szCs w:val="24"/>
        </w:rPr>
        <w:footnoteReference w:id="5"/>
      </w:r>
    </w:p>
    <w:p w14:paraId="76C09028" w14:textId="77777777" w:rsidR="00933D24" w:rsidRPr="000F7F5E" w:rsidRDefault="00DE433A" w:rsidP="00B82D05">
      <w:pPr>
        <w:spacing w:before="120" w:after="0" w:line="240" w:lineRule="auto"/>
        <w:contextualSpacing/>
        <w:jc w:val="both"/>
        <w:rPr>
          <w:rFonts w:ascii="Times New Roman" w:hAnsi="Times New Roman" w:cs="Times New Roman"/>
          <w:i/>
          <w:iCs/>
          <w:sz w:val="24"/>
          <w:szCs w:val="24"/>
        </w:rPr>
      </w:pPr>
      <w:r w:rsidRPr="000F7F5E">
        <w:rPr>
          <w:rFonts w:ascii="Times New Roman" w:hAnsi="Times New Roman" w:cs="Times New Roman"/>
          <w:i/>
          <w:iCs/>
          <w:sz w:val="24"/>
          <w:szCs w:val="24"/>
        </w:rPr>
        <w:t>V</w:t>
      </w:r>
      <w:r w:rsidR="00BA7A8D" w:rsidRPr="000F7F5E">
        <w:rPr>
          <w:rFonts w:ascii="Times New Roman" w:hAnsi="Times New Roman" w:cs="Times New Roman"/>
          <w:i/>
          <w:iCs/>
          <w:sz w:val="24"/>
          <w:szCs w:val="24"/>
        </w:rPr>
        <w:t>ēršam uzmanību, ka otrās metodes pielietošana ir izņēmuma gadījums, nevis standarta situācija nosakot naudas sodu.</w:t>
      </w:r>
      <w:r w:rsidRPr="000F7F5E">
        <w:rPr>
          <w:rFonts w:ascii="Times New Roman" w:hAnsi="Times New Roman" w:cs="Times New Roman"/>
          <w:i/>
          <w:iCs/>
          <w:sz w:val="24"/>
          <w:szCs w:val="24"/>
        </w:rPr>
        <w:t xml:space="preserve"> </w:t>
      </w:r>
      <w:r w:rsidR="00BA7A8D" w:rsidRPr="000F7F5E">
        <w:rPr>
          <w:rFonts w:ascii="Times New Roman" w:hAnsi="Times New Roman" w:cs="Times New Roman"/>
          <w:i/>
          <w:iCs/>
          <w:sz w:val="24"/>
          <w:szCs w:val="24"/>
        </w:rPr>
        <w:t xml:space="preserve">Paredzot soda apmēra robežas, uzmanība jāpievērš sankcijas efektivitātei </w:t>
      </w:r>
      <w:r w:rsidR="00BA7A8D" w:rsidRPr="000F7F5E">
        <w:rPr>
          <w:rFonts w:ascii="Times New Roman" w:hAnsi="Times New Roman" w:cs="Times New Roman"/>
          <w:i/>
          <w:iCs/>
          <w:sz w:val="24"/>
          <w:szCs w:val="24"/>
        </w:rPr>
        <w:lastRenderedPageBreak/>
        <w:t>(tostarp, lai sods būtu efektīvs, tam ir jābūt samērīgam arī ar personas ienākumiem).</w:t>
      </w:r>
      <w:r w:rsidRPr="000F7F5E">
        <w:rPr>
          <w:rFonts w:ascii="Times New Roman" w:hAnsi="Times New Roman" w:cs="Times New Roman"/>
          <w:i/>
          <w:iCs/>
          <w:sz w:val="24"/>
          <w:szCs w:val="24"/>
        </w:rPr>
        <w:t xml:space="preserve"> </w:t>
      </w:r>
      <w:r w:rsidR="00BA7A8D" w:rsidRPr="000F7F5E">
        <w:rPr>
          <w:rFonts w:ascii="Times New Roman" w:hAnsi="Times New Roman" w:cs="Times New Roman"/>
          <w:i/>
          <w:iCs/>
          <w:sz w:val="24"/>
          <w:szCs w:val="24"/>
        </w:rPr>
        <w:t>Norādām, ka soda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56492488" w14:textId="77777777" w:rsidR="0092478E" w:rsidRPr="000F7F5E" w:rsidRDefault="006C6FBD" w:rsidP="00EA59D7">
      <w:pPr>
        <w:pStyle w:val="tv213"/>
        <w:numPr>
          <w:ilvl w:val="0"/>
          <w:numId w:val="7"/>
        </w:numPr>
        <w:shd w:val="clear" w:color="auto" w:fill="FFFFFF"/>
        <w:spacing w:before="120" w:beforeAutospacing="0" w:after="0" w:afterAutospacing="0"/>
        <w:ind w:left="0" w:firstLine="0"/>
        <w:jc w:val="both"/>
        <w:rPr>
          <w:rFonts w:eastAsia="Times New Roman"/>
          <w:color w:val="414142"/>
        </w:rPr>
      </w:pPr>
      <w:r w:rsidRPr="000F7F5E">
        <w:rPr>
          <w:color w:val="000000"/>
        </w:rPr>
        <w:t>Nodeva tiek noteikta, pamatojoties uz l</w:t>
      </w:r>
      <w:r w:rsidR="005D0505" w:rsidRPr="000F7F5E">
        <w:rPr>
          <w:color w:val="000000"/>
        </w:rPr>
        <w:t>ikuma “Par nodokļiem un nodevām” 12.</w:t>
      </w:r>
      <w:r w:rsidR="00661947" w:rsidRPr="000F7F5E">
        <w:rPr>
          <w:color w:val="000000"/>
        </w:rPr>
        <w:t> </w:t>
      </w:r>
      <w:r w:rsidR="005D0505" w:rsidRPr="000F7F5E">
        <w:rPr>
          <w:color w:val="000000"/>
        </w:rPr>
        <w:t>panta pirmās daļas 6.</w:t>
      </w:r>
      <w:r w:rsidR="00661947" w:rsidRPr="000F7F5E">
        <w:rPr>
          <w:color w:val="000000"/>
        </w:rPr>
        <w:t> </w:t>
      </w:r>
      <w:r w:rsidR="005D0505" w:rsidRPr="000F7F5E">
        <w:rPr>
          <w:color w:val="000000"/>
        </w:rPr>
        <w:t>punkt</w:t>
      </w:r>
      <w:r w:rsidRPr="000F7F5E">
        <w:rPr>
          <w:color w:val="000000"/>
        </w:rPr>
        <w:t>u, kas</w:t>
      </w:r>
      <w:r w:rsidR="005D0505" w:rsidRPr="000F7F5E">
        <w:rPr>
          <w:color w:val="000000"/>
        </w:rPr>
        <w:t xml:space="preserve"> </w:t>
      </w:r>
      <w:r w:rsidR="00546574" w:rsidRPr="000F7F5E">
        <w:rPr>
          <w:color w:val="000000"/>
        </w:rPr>
        <w:t xml:space="preserve">nosaka </w:t>
      </w:r>
      <w:r w:rsidR="008D4D58" w:rsidRPr="000F7F5E">
        <w:rPr>
          <w:color w:val="000000"/>
        </w:rPr>
        <w:t>v</w:t>
      </w:r>
      <w:r w:rsidR="00197A33" w:rsidRPr="000F7F5E">
        <w:rPr>
          <w:color w:val="000000"/>
        </w:rPr>
        <w:t>ietējās pašvaldības dome</w:t>
      </w:r>
      <w:r w:rsidR="00661947" w:rsidRPr="000F7F5E">
        <w:rPr>
          <w:color w:val="000000"/>
        </w:rPr>
        <w:t>s tiesības</w:t>
      </w:r>
      <w:r w:rsidR="00197A33" w:rsidRPr="000F7F5E">
        <w:rPr>
          <w:color w:val="000000"/>
        </w:rPr>
        <w:t xml:space="preserve"> Ministru kabineta noteikumos noteiktajā kārtībā savā administratīvajā teritorijā uzlikt pašvaldības nodevas par</w:t>
      </w:r>
      <w:r w:rsidR="004144DA" w:rsidRPr="000F7F5E">
        <w:rPr>
          <w:color w:val="000000"/>
        </w:rPr>
        <w:t xml:space="preserve"> transportlīdzekļu iebraukšanu īpaša režīma zonās.</w:t>
      </w:r>
      <w:r w:rsidR="00661947" w:rsidRPr="000F7F5E">
        <w:rPr>
          <w:color w:val="000000"/>
        </w:rPr>
        <w:t xml:space="preserve"> </w:t>
      </w:r>
      <w:r w:rsidR="0028312F" w:rsidRPr="000F7F5E">
        <w:rPr>
          <w:color w:val="000000"/>
        </w:rPr>
        <w:t xml:space="preserve">Nodevas </w:t>
      </w:r>
      <w:r w:rsidR="00EA59D7" w:rsidRPr="000F7F5E">
        <w:rPr>
          <w:color w:val="000000"/>
        </w:rPr>
        <w:t>uzlikšanas kārtību noteic Ministru kabineta 2005. gada 28. jūnija noteikumu Nr. 480 “Noteikumi par kārtību, kādā pašvaldība var uzlikt pašvaldības nodevas”</w:t>
      </w:r>
      <w:r w:rsidR="0092478E" w:rsidRPr="000F7F5E">
        <w:rPr>
          <w:color w:val="000000"/>
        </w:rPr>
        <w:t>.</w:t>
      </w:r>
    </w:p>
    <w:p w14:paraId="2F2280A1" w14:textId="3C35DC65" w:rsidR="00865451" w:rsidRPr="000F7F5E" w:rsidRDefault="0092478E" w:rsidP="0092478E">
      <w:pPr>
        <w:pStyle w:val="tv213"/>
        <w:shd w:val="clear" w:color="auto" w:fill="FFFFFF"/>
        <w:spacing w:before="120" w:beforeAutospacing="0" w:after="0" w:afterAutospacing="0"/>
        <w:jc w:val="both"/>
        <w:rPr>
          <w:rFonts w:eastAsia="Times New Roman"/>
          <w:color w:val="414142"/>
        </w:rPr>
      </w:pPr>
      <w:r w:rsidRPr="000F7F5E">
        <w:rPr>
          <w:i/>
          <w:iCs/>
          <w:color w:val="000000"/>
        </w:rPr>
        <w:t xml:space="preserve">Vēršam uzmanību, ka </w:t>
      </w:r>
      <w:r w:rsidR="00865451" w:rsidRPr="000F7F5E">
        <w:rPr>
          <w:i/>
          <w:iCs/>
          <w:color w:val="000000"/>
        </w:rPr>
        <w:t xml:space="preserve">nodevu var piemērot </w:t>
      </w:r>
      <w:r w:rsidRPr="000F7F5E">
        <w:rPr>
          <w:i/>
          <w:iCs/>
          <w:color w:val="000000"/>
        </w:rPr>
        <w:t>tām</w:t>
      </w:r>
      <w:r w:rsidR="00865451" w:rsidRPr="000F7F5E">
        <w:rPr>
          <w:i/>
          <w:iCs/>
          <w:color w:val="000000"/>
        </w:rPr>
        <w:t xml:space="preserve"> teritorijām, kuras ir noteiktas pašvaldības teritorijas plānojumā</w:t>
      </w:r>
      <w:r w:rsidR="00865451" w:rsidRPr="000F7F5E">
        <w:rPr>
          <w:color w:val="000000"/>
        </w:rPr>
        <w:t>.</w:t>
      </w:r>
    </w:p>
    <w:p w14:paraId="0CB9FCB7" w14:textId="59AD70F6" w:rsidR="00933D24" w:rsidRPr="000F7F5E" w:rsidRDefault="005D0505" w:rsidP="00B82D05">
      <w:pPr>
        <w:pStyle w:val="ListParagraph"/>
        <w:numPr>
          <w:ilvl w:val="0"/>
          <w:numId w:val="7"/>
        </w:numPr>
        <w:spacing w:before="120"/>
        <w:ind w:left="0" w:firstLine="0"/>
        <w:contextualSpacing/>
        <w:jc w:val="both"/>
        <w:rPr>
          <w:rFonts w:eastAsiaTheme="minorHAnsi"/>
          <w:sz w:val="24"/>
          <w:szCs w:val="24"/>
          <w:u w:val="single"/>
        </w:rPr>
      </w:pPr>
      <w:bookmarkStart w:id="0" w:name="_Hlk216275879"/>
      <w:r w:rsidRPr="000F7F5E">
        <w:rPr>
          <w:color w:val="000000"/>
          <w:sz w:val="24"/>
          <w:szCs w:val="24"/>
        </w:rPr>
        <w:t>Ministru kabineta 2005.</w:t>
      </w:r>
      <w:r w:rsidR="00661947" w:rsidRPr="000F7F5E">
        <w:rPr>
          <w:color w:val="000000"/>
          <w:sz w:val="24"/>
          <w:szCs w:val="24"/>
        </w:rPr>
        <w:t> </w:t>
      </w:r>
      <w:r w:rsidRPr="000F7F5E">
        <w:rPr>
          <w:color w:val="000000"/>
          <w:sz w:val="24"/>
          <w:szCs w:val="24"/>
        </w:rPr>
        <w:t>gada 28.</w:t>
      </w:r>
      <w:r w:rsidR="00661947" w:rsidRPr="000F7F5E">
        <w:rPr>
          <w:color w:val="000000"/>
          <w:sz w:val="24"/>
          <w:szCs w:val="24"/>
        </w:rPr>
        <w:t> </w:t>
      </w:r>
      <w:r w:rsidRPr="000F7F5E">
        <w:rPr>
          <w:color w:val="000000"/>
          <w:sz w:val="24"/>
          <w:szCs w:val="24"/>
        </w:rPr>
        <w:t>jūnija noteikumu Nr.</w:t>
      </w:r>
      <w:r w:rsidR="00661947" w:rsidRPr="000F7F5E">
        <w:rPr>
          <w:color w:val="000000"/>
          <w:sz w:val="24"/>
          <w:szCs w:val="24"/>
        </w:rPr>
        <w:t> </w:t>
      </w:r>
      <w:r w:rsidRPr="000F7F5E">
        <w:rPr>
          <w:color w:val="000000"/>
          <w:sz w:val="24"/>
          <w:szCs w:val="24"/>
        </w:rPr>
        <w:t xml:space="preserve">480 “Noteikumi par kārtību, kādā pašvaldība var uzlikt pašvaldības nodevas” </w:t>
      </w:r>
      <w:bookmarkEnd w:id="0"/>
      <w:r w:rsidRPr="000F7F5E">
        <w:rPr>
          <w:color w:val="000000"/>
          <w:sz w:val="24"/>
          <w:szCs w:val="24"/>
        </w:rPr>
        <w:t>11.</w:t>
      </w:r>
      <w:r w:rsidR="00661947" w:rsidRPr="000F7F5E">
        <w:rPr>
          <w:color w:val="000000"/>
          <w:sz w:val="24"/>
          <w:szCs w:val="24"/>
        </w:rPr>
        <w:t> </w:t>
      </w:r>
      <w:r w:rsidRPr="000F7F5E">
        <w:rPr>
          <w:color w:val="000000"/>
          <w:sz w:val="24"/>
          <w:szCs w:val="24"/>
        </w:rPr>
        <w:t>punkt</w:t>
      </w:r>
      <w:r w:rsidR="00FA36C3" w:rsidRPr="000F7F5E">
        <w:rPr>
          <w:color w:val="000000"/>
          <w:sz w:val="24"/>
          <w:szCs w:val="24"/>
        </w:rPr>
        <w:t>s nosaka</w:t>
      </w:r>
      <w:r w:rsidR="00D8081B" w:rsidRPr="000F7F5E">
        <w:rPr>
          <w:color w:val="000000"/>
          <w:sz w:val="24"/>
          <w:szCs w:val="24"/>
        </w:rPr>
        <w:t>, ka</w:t>
      </w:r>
      <w:r w:rsidR="00FA36C3" w:rsidRPr="000F7F5E">
        <w:rPr>
          <w:color w:val="000000"/>
          <w:sz w:val="24"/>
          <w:szCs w:val="24"/>
        </w:rPr>
        <w:t xml:space="preserve"> </w:t>
      </w:r>
      <w:r w:rsidR="00D8081B" w:rsidRPr="000F7F5E">
        <w:rPr>
          <w:color w:val="000000"/>
          <w:sz w:val="24"/>
          <w:szCs w:val="24"/>
        </w:rPr>
        <w:t xml:space="preserve">nodevas par transportlīdzekļu iebraukšanu īpaša režīma zonās, kuras ir noteiktas attiecīgās pašvaldības </w:t>
      </w:r>
      <w:r w:rsidR="00D8081B" w:rsidRPr="000F7F5E">
        <w:rPr>
          <w:sz w:val="24"/>
          <w:szCs w:val="24"/>
        </w:rPr>
        <w:t>teritorijas plānojumā ceļu satiksmes drošības uzla­bošanai, sabiedrības veselības, sabiedriskās kārtības un drošības nodro­šināšanai, kā arī dabas, īpaši aizsargājamo kultūr­vēsturisko teritoriju un kultūras pieminekļu aizsardzībai, paš­valdība ir tiesīga uzlikt personām, kuras transport­līdzekļi iebrauc attiecīgajā īpaša režīma zonā.</w:t>
      </w:r>
      <w:r w:rsidR="00207690" w:rsidRPr="000F7F5E">
        <w:rPr>
          <w:sz w:val="24"/>
          <w:szCs w:val="24"/>
        </w:rPr>
        <w:t xml:space="preserve"> Saskaņā ar </w:t>
      </w:r>
      <w:r w:rsidR="00F85B7C" w:rsidRPr="000F7F5E">
        <w:rPr>
          <w:sz w:val="24"/>
          <w:szCs w:val="24"/>
        </w:rPr>
        <w:t xml:space="preserve">šo </w:t>
      </w:r>
      <w:r w:rsidR="00207690" w:rsidRPr="000F7F5E">
        <w:rPr>
          <w:sz w:val="24"/>
          <w:szCs w:val="24"/>
        </w:rPr>
        <w:t>noteikumu 16.3. apakšpunktu</w:t>
      </w:r>
      <w:r w:rsidR="00D30DBC" w:rsidRPr="000F7F5E">
        <w:rPr>
          <w:sz w:val="24"/>
          <w:szCs w:val="24"/>
        </w:rPr>
        <w:t xml:space="preserve"> </w:t>
      </w:r>
      <w:r w:rsidR="00207690" w:rsidRPr="000F7F5E">
        <w:rPr>
          <w:sz w:val="24"/>
          <w:szCs w:val="24"/>
        </w:rPr>
        <w:t>no nodevas par transportlīdzekļu iebraukšanu īpaša režīma zonās</w:t>
      </w:r>
      <w:r w:rsidR="00933D24" w:rsidRPr="000F7F5E">
        <w:rPr>
          <w:sz w:val="24"/>
          <w:szCs w:val="24"/>
        </w:rPr>
        <w:t xml:space="preserve"> atbrīvo</w:t>
      </w:r>
      <w:r w:rsidR="00207690" w:rsidRPr="000F7F5E">
        <w:rPr>
          <w:sz w:val="24"/>
          <w:szCs w:val="24"/>
        </w:rPr>
        <w:t>:</w:t>
      </w:r>
    </w:p>
    <w:p w14:paraId="2BE07249" w14:textId="2149C925" w:rsidR="00933D24" w:rsidRPr="000F7F5E" w:rsidRDefault="00207690" w:rsidP="0092478E">
      <w:pPr>
        <w:pStyle w:val="tv213"/>
        <w:numPr>
          <w:ilvl w:val="0"/>
          <w:numId w:val="10"/>
        </w:numPr>
        <w:shd w:val="clear" w:color="auto" w:fill="FFFFFF"/>
        <w:spacing w:before="120" w:beforeAutospacing="0" w:after="0" w:afterAutospacing="0"/>
        <w:ind w:left="0" w:firstLine="709"/>
        <w:jc w:val="both"/>
        <w:rPr>
          <w:rFonts w:eastAsia="Times New Roman"/>
        </w:rPr>
      </w:pPr>
      <w:r w:rsidRPr="000F7F5E">
        <w:rPr>
          <w:rFonts w:eastAsia="Times New Roman"/>
        </w:rPr>
        <w:t>fiziskās personas, ja tām attiecīgajā teritorijā ir pastāvīgā dzīvesvieta vai to īpašumā (valdījumā, lietošanā) ir nekustamais īpašums. Pašvaldības dome saistošajos noteikumos, ievērojot minēto fizisko personu tiesības un tiesiskās intereses, var ierobežot fizisko personu skaitu, kas atbrīvojamas no nodevas samaksas;</w:t>
      </w:r>
    </w:p>
    <w:p w14:paraId="426D00F1" w14:textId="4972E896" w:rsidR="00933D24" w:rsidRPr="000F7F5E" w:rsidRDefault="00207690" w:rsidP="0092478E">
      <w:pPr>
        <w:pStyle w:val="tv213"/>
        <w:numPr>
          <w:ilvl w:val="0"/>
          <w:numId w:val="10"/>
        </w:numPr>
        <w:shd w:val="clear" w:color="auto" w:fill="FFFFFF"/>
        <w:spacing w:before="120" w:beforeAutospacing="0" w:after="0" w:afterAutospacing="0"/>
        <w:ind w:left="0" w:firstLine="709"/>
        <w:jc w:val="both"/>
        <w:rPr>
          <w:rFonts w:eastAsia="Times New Roman"/>
        </w:rPr>
      </w:pPr>
      <w:r w:rsidRPr="000F7F5E">
        <w:rPr>
          <w:rFonts w:eastAsia="Times New Roman"/>
        </w:rPr>
        <w:t>visu grupu invalīdi, kuri vada pielāgotus automobiļus, un tie automobiļu vadītāji, kuri pārvadā I grupas invalīdus, kā arī invalīdus, kuriem ir apgrūtināta pārvietošanās;</w:t>
      </w:r>
    </w:p>
    <w:p w14:paraId="1AC76975" w14:textId="7B79E691" w:rsidR="008E3912" w:rsidRPr="000F7F5E" w:rsidRDefault="00207690" w:rsidP="0092478E">
      <w:pPr>
        <w:pStyle w:val="tv213"/>
        <w:numPr>
          <w:ilvl w:val="0"/>
          <w:numId w:val="10"/>
        </w:numPr>
        <w:shd w:val="clear" w:color="auto" w:fill="FFFFFF"/>
        <w:spacing w:before="120" w:beforeAutospacing="0" w:after="0" w:afterAutospacing="0"/>
        <w:ind w:left="0" w:firstLine="709"/>
        <w:jc w:val="both"/>
        <w:rPr>
          <w:rFonts w:eastAsia="Times New Roman"/>
        </w:rPr>
      </w:pPr>
      <w:r w:rsidRPr="000F7F5E">
        <w:rPr>
          <w:rFonts w:eastAsia="Times New Roman"/>
        </w:rPr>
        <w:t>avāriju dienesta, specializēto un operatīvo dienestu, Valsts poli</w:t>
      </w:r>
      <w:r w:rsidRPr="000F7F5E">
        <w:rPr>
          <w:rFonts w:eastAsia="Times New Roman"/>
        </w:rPr>
        <w:softHyphen/>
        <w:t>cijas, Valsts robežsardzes transports, pildot dienesta pienākumus, sabiedriskais transports, kā arī Saeimas, Ministru kabineta, ārvalstu diplomātiskā korpusa, Korupcijas novēršanas un apkarošanas biroja un prokuratūras autotransports</w:t>
      </w:r>
      <w:r w:rsidR="003A4C45" w:rsidRPr="000F7F5E">
        <w:rPr>
          <w:rFonts w:eastAsia="Times New Roman"/>
        </w:rPr>
        <w:t>.</w:t>
      </w:r>
    </w:p>
    <w:p w14:paraId="69E85717" w14:textId="059643EA" w:rsidR="0092478E" w:rsidRPr="000F7F5E" w:rsidRDefault="0092478E" w:rsidP="0092478E">
      <w:pPr>
        <w:pStyle w:val="tv213"/>
        <w:shd w:val="clear" w:color="auto" w:fill="FFFFFF"/>
        <w:spacing w:before="120" w:beforeAutospacing="0" w:after="0" w:afterAutospacing="0"/>
        <w:jc w:val="both"/>
        <w:rPr>
          <w:rFonts w:eastAsia="Times New Roman"/>
        </w:rPr>
      </w:pPr>
      <w:r w:rsidRPr="000F7F5E">
        <w:rPr>
          <w:rFonts w:eastAsia="Times New Roman"/>
        </w:rPr>
        <w:t>Vienlaikus pašvaldībai, pamatojoties uz Ministru kabineta 2005. gada 28. jūnija noteikumu Nr. 480 “Noteikumi par kārtību, kādā pašvaldība var uzlikt pašvaldības nodevas” 16.</w:t>
      </w:r>
      <w:r w:rsidRPr="000F7F5E">
        <w:rPr>
          <w:rFonts w:eastAsia="Times New Roman"/>
          <w:vertAlign w:val="superscript"/>
        </w:rPr>
        <w:t>1</w:t>
      </w:r>
      <w:r w:rsidRPr="000F7F5E">
        <w:rPr>
          <w:rFonts w:eastAsia="Times New Roman"/>
        </w:rPr>
        <w:t xml:space="preserve"> punktu ir tiesības savos saistošajos noteikumos </w:t>
      </w:r>
      <w:r w:rsidR="00246176" w:rsidRPr="000F7F5E">
        <w:rPr>
          <w:rFonts w:eastAsia="Times New Roman"/>
        </w:rPr>
        <w:t>papildus šo noteikumu minētajām personām noteikt personas, kas ir atbrīvojamas no nodevas samaksas.</w:t>
      </w:r>
    </w:p>
    <w:p w14:paraId="67F275BC" w14:textId="45F3122C" w:rsidR="00003D86" w:rsidRPr="000F7F5E" w:rsidRDefault="00003D86" w:rsidP="00F60E03">
      <w:pPr>
        <w:pStyle w:val="BodyText"/>
        <w:numPr>
          <w:ilvl w:val="0"/>
          <w:numId w:val="7"/>
        </w:numPr>
        <w:spacing w:after="0"/>
        <w:ind w:left="0" w:firstLine="0"/>
        <w:rPr>
          <w:rFonts w:ascii="Times New Roman" w:hAnsi="Times New Roman"/>
          <w:color w:val="auto"/>
          <w:sz w:val="24"/>
          <w:lang w:val="lv-LV"/>
        </w:rPr>
      </w:pPr>
      <w:r w:rsidRPr="000F7F5E">
        <w:rPr>
          <w:rFonts w:ascii="Times New Roman" w:hAnsi="Times New Roman"/>
          <w:color w:val="auto"/>
          <w:sz w:val="24"/>
          <w:lang w:val="lv-LV"/>
        </w:rPr>
        <w:t>Satversmes tiesas 2023. gada 27.novembra spriedumā lietā Nr. 2022-16-05</w:t>
      </w:r>
      <w:r w:rsidRPr="000F7F5E">
        <w:rPr>
          <w:rFonts w:ascii="Times New Roman" w:hAnsi="Times New Roman"/>
          <w:color w:val="auto"/>
          <w:sz w:val="24"/>
          <w:vertAlign w:val="superscript"/>
          <w:lang w:val="lv-LV"/>
        </w:rPr>
        <w:footnoteReference w:id="6"/>
      </w:r>
      <w:r w:rsidRPr="000F7F5E">
        <w:rPr>
          <w:rFonts w:ascii="Times New Roman" w:hAnsi="Times New Roman"/>
          <w:color w:val="auto"/>
          <w:sz w:val="24"/>
          <w:lang w:val="lv-LV"/>
        </w:rPr>
        <w:t xml:space="preserve"> tika vērtēts VARAM rīkojuma tiesiskums, ar kuru tika apturēta Jūrmalas valstspilsētas saistošo noteikumu darbība. Minētie grozījumi paredzēja palielināt maksu par transportlīdzekļu iebraukšanu īpaša režīma zonā Jūrmalas pilsētas administratīvajā teritorijā, kā arī noteikt, ka nodeva piemērojama visa kalendārā gada garumā, ne tikai tūrisma sezonā.</w:t>
      </w:r>
    </w:p>
    <w:p w14:paraId="5B9B8DCE" w14:textId="77777777" w:rsidR="00003D86" w:rsidRPr="000F7F5E" w:rsidRDefault="00003D86" w:rsidP="00F60E03">
      <w:pPr>
        <w:pStyle w:val="BodyText"/>
        <w:spacing w:after="0"/>
        <w:ind w:firstLine="720"/>
        <w:rPr>
          <w:rFonts w:ascii="Times New Roman" w:hAnsi="Times New Roman"/>
          <w:color w:val="auto"/>
          <w:sz w:val="24"/>
          <w:lang w:val="lv-LV"/>
        </w:rPr>
      </w:pPr>
      <w:r w:rsidRPr="000F7F5E">
        <w:rPr>
          <w:rFonts w:ascii="Times New Roman" w:hAnsi="Times New Roman"/>
          <w:color w:val="auto"/>
          <w:sz w:val="24"/>
          <w:lang w:val="lv-LV"/>
        </w:rPr>
        <w:t>Satversmes tiesa atzina, ka pašvaldībai ir tiesības noteikt īpaša režīma zonas un paredzēt maksu par transportlīdzekļu iebraukšanu tajās, ja tas pamatots ar vides aizsardzības apsvērumiem un izdots normatīvā pilnvarojuma ietvaros. Nodevas mērķis ir īpaša režīma zonas aizsardzība no transportlīdzekļu nelabvēlīgās ietekmes.</w:t>
      </w:r>
    </w:p>
    <w:p w14:paraId="799BEFE0" w14:textId="77777777" w:rsidR="00003D86" w:rsidRPr="000F7F5E" w:rsidRDefault="00003D86" w:rsidP="00F60E03">
      <w:pPr>
        <w:pStyle w:val="BodyText"/>
        <w:spacing w:after="0"/>
        <w:ind w:firstLine="720"/>
        <w:rPr>
          <w:rFonts w:ascii="Times New Roman" w:hAnsi="Times New Roman"/>
          <w:color w:val="auto"/>
          <w:sz w:val="24"/>
          <w:lang w:val="lv-LV"/>
        </w:rPr>
      </w:pPr>
      <w:r w:rsidRPr="000F7F5E">
        <w:rPr>
          <w:rFonts w:ascii="Times New Roman" w:hAnsi="Times New Roman"/>
          <w:color w:val="auto"/>
          <w:sz w:val="24"/>
          <w:lang w:val="lv-LV"/>
        </w:rPr>
        <w:lastRenderedPageBreak/>
        <w:t>Satversmes tiesa precizēja, ka nodevai piemīt arī regulatīva, nevis tikai fiskāla funkcija. Pašvaldības nodevai par iebraukšanu īpaša režīma zonā piemīt ekonomiski regulatīvs raksturs – tā ietekmē cilvēku izvēli un tādējādi veicina īpaša režīma zonas aizsardzību.</w:t>
      </w:r>
    </w:p>
    <w:p w14:paraId="1B66572E" w14:textId="6E4E4E9F" w:rsidR="00D24800" w:rsidRPr="000F7F5E" w:rsidRDefault="00003D86" w:rsidP="00F60E03">
      <w:pPr>
        <w:pStyle w:val="NormalWeb"/>
        <w:spacing w:before="0" w:beforeAutospacing="0" w:after="0" w:afterAutospacing="0"/>
        <w:ind w:right="-6" w:firstLine="720"/>
        <w:jc w:val="both"/>
      </w:pPr>
      <w:r w:rsidRPr="000F7F5E">
        <w:t>Savukārt par sabiedrības līdzdalību tiesa norādīja, ka toreiz spēkā esošais likums “Par pašvaldībām” neparedzēja pašvaldībai obligātu pienākumu konsultēties ar privātpersonām. Satversmes tiesa arī norādīja, ka izskatāmajā lietā nav iespējams identificēt konkrētas personas, kuru viedokli pašvaldībai būtu bijis nepieciešams uzklausīt, bet visu Latvijas iedzīvotāju aptaujāšana nebūtu samērīga.</w:t>
      </w:r>
    </w:p>
    <w:p w14:paraId="267EE618" w14:textId="35496861" w:rsidR="00535D37" w:rsidRPr="000F7F5E" w:rsidRDefault="00535D37" w:rsidP="00B82D05">
      <w:pPr>
        <w:pStyle w:val="NormalWeb"/>
        <w:numPr>
          <w:ilvl w:val="0"/>
          <w:numId w:val="7"/>
        </w:numPr>
        <w:spacing w:before="120" w:beforeAutospacing="0" w:after="0" w:afterAutospacing="0"/>
        <w:ind w:left="0" w:right="-6" w:firstLine="0"/>
        <w:jc w:val="both"/>
        <w:rPr>
          <w:color w:val="000000"/>
        </w:rPr>
      </w:pPr>
      <w:r w:rsidRPr="000F7F5E">
        <w:rPr>
          <w:color w:val="000000"/>
        </w:rPr>
        <w:t>Lai gan Tiesībsarga birojs, analizējot tiesisko regulējumu un pašvaldības sniegto pamatojumu, nav konstatējis Latvijas Republikas Satversmes 91.</w:t>
      </w:r>
      <w:r w:rsidR="00AF16C2" w:rsidRPr="000F7F5E">
        <w:rPr>
          <w:color w:val="000000"/>
        </w:rPr>
        <w:t> </w:t>
      </w:r>
      <w:r w:rsidRPr="000F7F5E">
        <w:rPr>
          <w:color w:val="000000"/>
        </w:rPr>
        <w:t>panta pārkāpumu, tomēr ir secinājis, ka nodevas piemērošana visa gada garumā var negatīvi ietekmēt valsts iestāžu darbību un būtiski apgrūtināt kvalificētu darbinieku piesaisti un darbinieku ar vismazāko atalgojumu noturēšanu gadījumos, kad sabiedriskā transporta izmantošana līdz darba vietai objektīvi nav iespējama.</w:t>
      </w:r>
      <w:r w:rsidR="004A0920" w:rsidRPr="000F7F5E">
        <w:rPr>
          <w:rStyle w:val="FootnoteReference"/>
          <w:color w:val="000000"/>
        </w:rPr>
        <w:footnoteReference w:id="7"/>
      </w:r>
    </w:p>
    <w:p w14:paraId="05F77F92" w14:textId="77777777" w:rsidR="004F222E" w:rsidRDefault="004F222E" w:rsidP="00945036">
      <w:pPr>
        <w:pStyle w:val="NormalWeb"/>
        <w:spacing w:before="0" w:beforeAutospacing="0" w:after="0" w:afterAutospacing="0"/>
        <w:ind w:right="-6"/>
        <w:jc w:val="both"/>
        <w:rPr>
          <w:rFonts w:ascii="Times" w:hAnsi="Times" w:cs="Times"/>
          <w:color w:val="000000"/>
        </w:rPr>
      </w:pPr>
    </w:p>
    <w:p w14:paraId="6140AA62" w14:textId="77777777" w:rsidR="000F7F5E" w:rsidRPr="000F7F5E" w:rsidRDefault="000F7F5E" w:rsidP="00945036">
      <w:pPr>
        <w:pStyle w:val="NormalWeb"/>
        <w:spacing w:before="0" w:beforeAutospacing="0" w:after="0" w:afterAutospacing="0"/>
        <w:ind w:right="-6"/>
        <w:jc w:val="both"/>
        <w:rPr>
          <w:rFonts w:ascii="Times" w:hAnsi="Times" w:cs="Times"/>
          <w:color w:val="000000"/>
        </w:rPr>
      </w:pPr>
    </w:p>
    <w:p w14:paraId="09314169" w14:textId="1949F7BE" w:rsidR="00822B98" w:rsidRPr="009A22C3" w:rsidRDefault="00822B98" w:rsidP="004F222E">
      <w:pPr>
        <w:pStyle w:val="ListParagraph"/>
        <w:ind w:left="0"/>
        <w:jc w:val="both"/>
        <w:rPr>
          <w:sz w:val="20"/>
          <w:szCs w:val="20"/>
        </w:rPr>
      </w:pPr>
      <w:r w:rsidRPr="009A22C3">
        <w:rPr>
          <w:sz w:val="20"/>
          <w:szCs w:val="20"/>
        </w:rPr>
        <w:t xml:space="preserve">Vadlīnijas aktualizētas </w:t>
      </w:r>
      <w:r w:rsidR="00945036" w:rsidRPr="009A22C3">
        <w:rPr>
          <w:sz w:val="20"/>
          <w:szCs w:val="20"/>
        </w:rPr>
        <w:t>1</w:t>
      </w:r>
      <w:r w:rsidR="00205B49">
        <w:rPr>
          <w:sz w:val="20"/>
          <w:szCs w:val="20"/>
        </w:rPr>
        <w:t>7</w:t>
      </w:r>
      <w:r w:rsidR="0084587C" w:rsidRPr="009A22C3">
        <w:rPr>
          <w:sz w:val="20"/>
          <w:szCs w:val="20"/>
        </w:rPr>
        <w:t>.</w:t>
      </w:r>
      <w:r w:rsidR="00713E8F" w:rsidRPr="009A22C3">
        <w:rPr>
          <w:sz w:val="20"/>
          <w:szCs w:val="20"/>
        </w:rPr>
        <w:t>12</w:t>
      </w:r>
      <w:r w:rsidR="0084587C" w:rsidRPr="009A22C3">
        <w:rPr>
          <w:sz w:val="20"/>
          <w:szCs w:val="20"/>
        </w:rPr>
        <w:t>.202</w:t>
      </w:r>
      <w:r w:rsidR="00713E8F" w:rsidRPr="009A22C3">
        <w:rPr>
          <w:sz w:val="20"/>
          <w:szCs w:val="20"/>
        </w:rPr>
        <w:t>5</w:t>
      </w:r>
      <w:r w:rsidR="0084587C" w:rsidRPr="009A22C3">
        <w:rPr>
          <w:sz w:val="20"/>
          <w:szCs w:val="20"/>
        </w:rPr>
        <w:t>.</w:t>
      </w:r>
    </w:p>
    <w:p w14:paraId="3372868F" w14:textId="77777777" w:rsidR="004F222E" w:rsidRPr="009A22C3" w:rsidRDefault="004F222E" w:rsidP="004F222E">
      <w:pPr>
        <w:pStyle w:val="xxmsonormal"/>
        <w:shd w:val="clear" w:color="auto" w:fill="FFFFFF"/>
        <w:rPr>
          <w:color w:val="000000"/>
          <w:sz w:val="20"/>
          <w:szCs w:val="20"/>
        </w:rPr>
      </w:pPr>
    </w:p>
    <w:p w14:paraId="39CA2F2E" w14:textId="0B5AA839" w:rsidR="00BF1811" w:rsidRPr="009A22C3" w:rsidRDefault="00822B98" w:rsidP="004F222E">
      <w:pPr>
        <w:pStyle w:val="xxmsonormal"/>
        <w:shd w:val="clear" w:color="auto" w:fill="FFFFFF"/>
        <w:rPr>
          <w:color w:val="000000"/>
          <w:sz w:val="20"/>
          <w:szCs w:val="20"/>
        </w:rPr>
      </w:pPr>
      <w:r w:rsidRPr="009A22C3">
        <w:rPr>
          <w:color w:val="000000"/>
          <w:sz w:val="20"/>
          <w:szCs w:val="20"/>
        </w:rPr>
        <w:t>Kontaktinformācija:</w:t>
      </w:r>
    </w:p>
    <w:p w14:paraId="4BECE00D" w14:textId="4365B015" w:rsidR="00822B98" w:rsidRPr="009A22C3" w:rsidRDefault="00822B98" w:rsidP="004F222E">
      <w:pPr>
        <w:pStyle w:val="xxmsonormal"/>
        <w:shd w:val="clear" w:color="auto" w:fill="FFFFFF"/>
        <w:rPr>
          <w:color w:val="000000"/>
          <w:sz w:val="20"/>
          <w:szCs w:val="20"/>
        </w:rPr>
      </w:pPr>
      <w:r w:rsidRPr="009A22C3">
        <w:rPr>
          <w:color w:val="000000"/>
          <w:sz w:val="20"/>
          <w:szCs w:val="20"/>
        </w:rPr>
        <w:t>Aigars Cibuļskis, Pašvaldību departamenta Pašvaldību pārraudzības nodaļas vecākais eksperts</w:t>
      </w:r>
    </w:p>
    <w:p w14:paraId="40995CD0" w14:textId="0779C075" w:rsidR="007C1083" w:rsidRDefault="00822B98" w:rsidP="00945036">
      <w:pPr>
        <w:pStyle w:val="ListParagraph"/>
        <w:ind w:left="0"/>
        <w:jc w:val="both"/>
        <w:rPr>
          <w:color w:val="000000"/>
          <w:sz w:val="20"/>
          <w:szCs w:val="20"/>
        </w:rPr>
      </w:pPr>
      <w:hyperlink r:id="rId8" w:history="1">
        <w:r w:rsidRPr="009A22C3">
          <w:rPr>
            <w:rStyle w:val="Hyperlink"/>
            <w:sz w:val="20"/>
            <w:szCs w:val="20"/>
          </w:rPr>
          <w:t>aigars.cibulskis@varam.gov.lv</w:t>
        </w:r>
      </w:hyperlink>
      <w:r w:rsidRPr="009A22C3">
        <w:rPr>
          <w:color w:val="000000"/>
          <w:sz w:val="20"/>
          <w:szCs w:val="20"/>
        </w:rPr>
        <w:t>, tālr. 67026919</w:t>
      </w:r>
    </w:p>
    <w:p w14:paraId="42A833DA" w14:textId="77777777" w:rsidR="00BE164D" w:rsidRDefault="00BE164D" w:rsidP="00BE164D">
      <w:pPr>
        <w:pStyle w:val="xxmsonormal"/>
        <w:shd w:val="clear" w:color="auto" w:fill="FFFFFF"/>
        <w:rPr>
          <w:rFonts w:ascii="Calibri" w:hAnsi="Calibri" w:cs="Calibri"/>
          <w:color w:val="000000"/>
          <w:sz w:val="22"/>
          <w:szCs w:val="22"/>
        </w:rPr>
      </w:pPr>
      <w:r>
        <w:rPr>
          <w:color w:val="000000"/>
          <w:sz w:val="20"/>
          <w:szCs w:val="20"/>
        </w:rPr>
        <w:t>Sabīna Liepa, Pašvaldību departamenta direktora vietniece – Pašvaldību pārraudzības nodaļas vadītāja</w:t>
      </w:r>
    </w:p>
    <w:p w14:paraId="45680582" w14:textId="00674790" w:rsidR="00BE164D" w:rsidRPr="00BE164D" w:rsidRDefault="00BE164D" w:rsidP="00945036">
      <w:pPr>
        <w:pStyle w:val="ListParagraph"/>
        <w:ind w:left="0"/>
        <w:jc w:val="both"/>
        <w:rPr>
          <w:color w:val="000000"/>
        </w:rPr>
      </w:pPr>
      <w:hyperlink r:id="rId9" w:history="1">
        <w:r>
          <w:rPr>
            <w:rStyle w:val="Hyperlink"/>
          </w:rPr>
          <w:t>sabina.liepa@varam.gov.lv</w:t>
        </w:r>
      </w:hyperlink>
      <w:r>
        <w:rPr>
          <w:color w:val="000000"/>
        </w:rPr>
        <w:t>, tālr. 67026934</w:t>
      </w:r>
    </w:p>
    <w:sectPr w:rsidR="00BE164D" w:rsidRPr="00BE164D" w:rsidSect="00933D2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6E234" w14:textId="77777777" w:rsidR="000D1E10" w:rsidRDefault="000D1E10" w:rsidP="00051606">
      <w:pPr>
        <w:spacing w:after="0" w:line="240" w:lineRule="auto"/>
      </w:pPr>
      <w:r>
        <w:separator/>
      </w:r>
    </w:p>
  </w:endnote>
  <w:endnote w:type="continuationSeparator" w:id="0">
    <w:p w14:paraId="7D323AC6" w14:textId="77777777" w:rsidR="000D1E10" w:rsidRDefault="000D1E10" w:rsidP="0005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B2F06" w14:textId="77777777" w:rsidR="000D1E10" w:rsidRDefault="000D1E10" w:rsidP="00051606">
      <w:pPr>
        <w:spacing w:after="0" w:line="240" w:lineRule="auto"/>
      </w:pPr>
      <w:r>
        <w:separator/>
      </w:r>
    </w:p>
  </w:footnote>
  <w:footnote w:type="continuationSeparator" w:id="0">
    <w:p w14:paraId="17920BD5" w14:textId="77777777" w:rsidR="000D1E10" w:rsidRDefault="000D1E10" w:rsidP="00051606">
      <w:pPr>
        <w:spacing w:after="0" w:line="240" w:lineRule="auto"/>
      </w:pPr>
      <w:r>
        <w:continuationSeparator/>
      </w:r>
    </w:p>
  </w:footnote>
  <w:footnote w:id="1">
    <w:p w14:paraId="09D3BF26" w14:textId="77777777" w:rsidR="00D31ABB" w:rsidRPr="009A22C3" w:rsidRDefault="00D31ABB" w:rsidP="000F2CC8">
      <w:pPr>
        <w:pStyle w:val="FootnoteText"/>
        <w:jc w:val="both"/>
        <w:rPr>
          <w:rFonts w:ascii="Times New Roman" w:hAnsi="Times New Roman" w:cs="Times New Roman"/>
        </w:rPr>
      </w:pPr>
      <w:r w:rsidRPr="009A22C3">
        <w:rPr>
          <w:rStyle w:val="FootnoteReference"/>
          <w:rFonts w:ascii="Times New Roman" w:hAnsi="Times New Roman" w:cs="Times New Roman"/>
        </w:rPr>
        <w:footnoteRef/>
      </w:r>
      <w:r w:rsidRPr="009A22C3">
        <w:rPr>
          <w:rFonts w:ascii="Times New Roman" w:hAnsi="Times New Roman" w:cs="Times New Roman"/>
        </w:rPr>
        <w:t> Skat. ministrijas metodiskais materiāls “</w:t>
      </w:r>
      <w:hyperlink r:id="rId1" w:tooltip="Pašvaldības saistošo noteikumu izdošanas pilnvarojums" w:history="1">
        <w:r w:rsidRPr="009A22C3">
          <w:rPr>
            <w:rStyle w:val="Hyperlink"/>
            <w:rFonts w:ascii="Times New Roman" w:hAnsi="Times New Roman" w:cs="Times New Roman"/>
          </w:rPr>
          <w:t>Pašvaldības saistošo noteikumu izdošanas pilnvarojums</w:t>
        </w:r>
      </w:hyperlink>
      <w:r w:rsidRPr="009A22C3">
        <w:rPr>
          <w:rFonts w:ascii="Times New Roman" w:hAnsi="Times New Roman" w:cs="Times New Roman"/>
        </w:rPr>
        <w:t xml:space="preserve">: , pieejams šeit: </w:t>
      </w:r>
      <w:hyperlink r:id="rId2" w:history="1">
        <w:r w:rsidRPr="009A22C3">
          <w:rPr>
            <w:rStyle w:val="Hyperlink"/>
            <w:rFonts w:ascii="Times New Roman" w:hAnsi="Times New Roman" w:cs="Times New Roman"/>
          </w:rPr>
          <w:t>https://www.varam.gov.lv/lv/saistoso-noteikumu-izstrade</w:t>
        </w:r>
      </w:hyperlink>
      <w:r w:rsidRPr="009A22C3">
        <w:rPr>
          <w:rFonts w:ascii="Times New Roman" w:hAnsi="Times New Roman" w:cs="Times New Roman"/>
        </w:rPr>
        <w:t>;</w:t>
      </w:r>
    </w:p>
  </w:footnote>
  <w:footnote w:id="2">
    <w:p w14:paraId="1CB51751" w14:textId="57C6FC13" w:rsidR="00A6075F" w:rsidRPr="009A22C3" w:rsidRDefault="00A6075F" w:rsidP="000F2CC8">
      <w:pPr>
        <w:pStyle w:val="FootnoteText"/>
        <w:jc w:val="both"/>
        <w:rPr>
          <w:rFonts w:ascii="Times New Roman" w:hAnsi="Times New Roman" w:cs="Times New Roman"/>
        </w:rPr>
      </w:pPr>
      <w:r w:rsidRPr="009A22C3">
        <w:rPr>
          <w:rStyle w:val="FootnoteReference"/>
          <w:rFonts w:ascii="Times New Roman" w:hAnsi="Times New Roman" w:cs="Times New Roman"/>
        </w:rPr>
        <w:footnoteRef/>
      </w:r>
      <w:r w:rsidRPr="009A22C3">
        <w:rPr>
          <w:rFonts w:ascii="Times New Roman" w:hAnsi="Times New Roman" w:cs="Times New Roman"/>
        </w:rPr>
        <w:t> Viedoklis pausts Tieslietu ministrijas 2023. gada 1. februāra vēstulē Nr. 1-17/356, kas nosūtīta visām pašvaldībām</w:t>
      </w:r>
    </w:p>
  </w:footnote>
  <w:footnote w:id="3">
    <w:p w14:paraId="3770C9B4" w14:textId="0C162890" w:rsidR="00EB7F04" w:rsidRPr="008C7080" w:rsidRDefault="00EB7F04" w:rsidP="000F2CC8">
      <w:pPr>
        <w:pStyle w:val="FootnoteText"/>
        <w:jc w:val="both"/>
        <w:rPr>
          <w:rFonts w:ascii="Times New Roman" w:hAnsi="Times New Roman" w:cs="Times New Roman"/>
          <w:i/>
          <w:iCs/>
        </w:rPr>
      </w:pPr>
      <w:r w:rsidRPr="009A22C3">
        <w:rPr>
          <w:rStyle w:val="FootnoteReference"/>
          <w:rFonts w:ascii="Times New Roman" w:hAnsi="Times New Roman" w:cs="Times New Roman"/>
        </w:rPr>
        <w:footnoteRef/>
      </w:r>
      <w:r w:rsidRPr="009A22C3">
        <w:rPr>
          <w:rFonts w:ascii="Times New Roman" w:hAnsi="Times New Roman" w:cs="Times New Roman"/>
        </w:rPr>
        <w:t> Autoru kolektīvs. E. Danovska un G. Kūtra zinātniskajā redakcijā. Administratīvo pārkāpumu tiesības. Administratīvās atbildības likuma skaidrojumi. Rīga: Tiesu namu aģentūra, 2020, 69., 70. lpp.</w:t>
      </w:r>
      <w:r w:rsidR="00945036" w:rsidRPr="009A22C3">
        <w:rPr>
          <w:rFonts w:ascii="Times New Roman" w:hAnsi="Times New Roman" w:cs="Times New Roman"/>
        </w:rPr>
        <w:t>;</w:t>
      </w:r>
    </w:p>
  </w:footnote>
  <w:footnote w:id="4">
    <w:p w14:paraId="62926010" w14:textId="491EE511" w:rsidR="00BA7A8D" w:rsidRPr="008C7080" w:rsidRDefault="00BA7A8D" w:rsidP="00BA7A8D">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sidR="00945036">
        <w:rPr>
          <w:rFonts w:ascii="Times New Roman" w:hAnsi="Times New Roman" w:cs="Times New Roman"/>
        </w:rPr>
        <w:t>;</w:t>
      </w:r>
    </w:p>
  </w:footnote>
  <w:footnote w:id="5">
    <w:p w14:paraId="247C3C6D" w14:textId="4C057F78" w:rsidR="00BA7A8D" w:rsidRPr="000F2CC8" w:rsidRDefault="00BA7A8D" w:rsidP="00BA7A8D">
      <w:pPr>
        <w:pStyle w:val="FootnoteText"/>
        <w:jc w:val="both"/>
        <w:rPr>
          <w:rFonts w:ascii="Times New Roman" w:hAnsi="Times New Roman" w:cs="Times New Roman"/>
        </w:rPr>
      </w:pPr>
      <w:r w:rsidRPr="000F2CC8">
        <w:rPr>
          <w:rStyle w:val="FootnoteReference"/>
          <w:rFonts w:ascii="Times New Roman" w:hAnsi="Times New Roman" w:cs="Times New Roman"/>
        </w:rPr>
        <w:footnoteRef/>
      </w:r>
      <w:r w:rsidRPr="000F2CC8">
        <w:rPr>
          <w:rFonts w:ascii="Times New Roman" w:hAnsi="Times New Roman" w:cs="Times New Roman"/>
        </w:rPr>
        <w:t> Administratīvo pārkāpumu tiesības. Administratīvās atbildības likuma skaidrojumi. Sagatavojis autoru kolektīvs. E. Danovska un G. Kūtra zinātniskajā redakcijā. Rīga: Tiesu namu aģentūra, 2020, 60.-61. lpp</w:t>
      </w:r>
      <w:r w:rsidR="00945036" w:rsidRPr="000F2CC8">
        <w:rPr>
          <w:rFonts w:ascii="Times New Roman" w:hAnsi="Times New Roman" w:cs="Times New Roman"/>
        </w:rPr>
        <w:t>;</w:t>
      </w:r>
    </w:p>
  </w:footnote>
  <w:footnote w:id="6">
    <w:p w14:paraId="4D2B197B" w14:textId="33DFC679" w:rsidR="00003D86" w:rsidRPr="009A22C3" w:rsidRDefault="00003D86" w:rsidP="00B82D05">
      <w:pPr>
        <w:pStyle w:val="FootnoteText"/>
        <w:jc w:val="both"/>
        <w:rPr>
          <w:rFonts w:ascii="Times New Roman" w:hAnsi="Times New Roman" w:cs="Times New Roman"/>
        </w:rPr>
      </w:pPr>
      <w:r w:rsidRPr="009A22C3">
        <w:rPr>
          <w:rStyle w:val="FootnoteReference"/>
          <w:rFonts w:ascii="Times New Roman" w:hAnsi="Times New Roman" w:cs="Times New Roman"/>
        </w:rPr>
        <w:footnoteRef/>
      </w:r>
      <w:r w:rsidR="00945036" w:rsidRPr="009A22C3">
        <w:rPr>
          <w:rFonts w:ascii="Times New Roman" w:hAnsi="Times New Roman" w:cs="Times New Roman"/>
        </w:rPr>
        <w:t> </w:t>
      </w:r>
      <w:r w:rsidRPr="009A22C3">
        <w:rPr>
          <w:rFonts w:ascii="Times New Roman" w:hAnsi="Times New Roman" w:cs="Times New Roman"/>
        </w:rPr>
        <w:t xml:space="preserve">Satversmes tiesas </w:t>
      </w:r>
      <w:r w:rsidR="00B82D05" w:rsidRPr="009A22C3">
        <w:rPr>
          <w:rFonts w:ascii="Times New Roman" w:hAnsi="Times New Roman" w:cs="Times New Roman"/>
        </w:rPr>
        <w:t xml:space="preserve">2023. gada 27. novembra </w:t>
      </w:r>
      <w:r w:rsidRPr="009A22C3">
        <w:rPr>
          <w:rFonts w:ascii="Times New Roman" w:hAnsi="Times New Roman" w:cs="Times New Roman"/>
        </w:rPr>
        <w:t>spriedums lietā Nr.</w:t>
      </w:r>
      <w:r w:rsidR="00B82D05" w:rsidRPr="009A22C3">
        <w:rPr>
          <w:rFonts w:ascii="Times New Roman" w:hAnsi="Times New Roman" w:cs="Times New Roman"/>
        </w:rPr>
        <w:t> </w:t>
      </w:r>
      <w:r w:rsidRPr="009A22C3">
        <w:rPr>
          <w:rFonts w:ascii="Times New Roman" w:hAnsi="Times New Roman" w:cs="Times New Roman"/>
        </w:rPr>
        <w:t>2022-16-05, pieejams</w:t>
      </w:r>
      <w:r w:rsidR="00B82D05" w:rsidRPr="009A22C3">
        <w:rPr>
          <w:rFonts w:ascii="Times New Roman" w:hAnsi="Times New Roman" w:cs="Times New Roman"/>
        </w:rPr>
        <w:t xml:space="preserve"> šeit</w:t>
      </w:r>
      <w:r w:rsidRPr="009A22C3">
        <w:rPr>
          <w:rFonts w:ascii="Times New Roman" w:hAnsi="Times New Roman" w:cs="Times New Roman"/>
        </w:rPr>
        <w:t xml:space="preserve">:  </w:t>
      </w:r>
      <w:hyperlink r:id="rId3" w:history="1">
        <w:r w:rsidR="00945036" w:rsidRPr="009A22C3">
          <w:rPr>
            <w:rStyle w:val="Hyperlink"/>
            <w:rFonts w:ascii="Times New Roman" w:hAnsi="Times New Roman" w:cs="Times New Roman"/>
          </w:rPr>
          <w:t>https://www.satv.tiesa.gov.lv/cases/?search%5Bnumber%5D=2022-16-05</w:t>
        </w:r>
      </w:hyperlink>
      <w:r w:rsidR="00945036" w:rsidRPr="009A22C3">
        <w:rPr>
          <w:rFonts w:ascii="Times New Roman" w:hAnsi="Times New Roman" w:cs="Times New Roman"/>
        </w:rPr>
        <w:t>;</w:t>
      </w:r>
    </w:p>
  </w:footnote>
  <w:footnote w:id="7">
    <w:p w14:paraId="49C05A28" w14:textId="71E95B29" w:rsidR="004A0920" w:rsidRPr="009A22C3" w:rsidRDefault="004A0920" w:rsidP="00B82D05">
      <w:pPr>
        <w:pStyle w:val="FootnoteText"/>
        <w:jc w:val="both"/>
        <w:rPr>
          <w:rFonts w:ascii="Times New Roman" w:hAnsi="Times New Roman" w:cs="Times New Roman"/>
        </w:rPr>
      </w:pPr>
      <w:r w:rsidRPr="009A22C3">
        <w:rPr>
          <w:rStyle w:val="FootnoteReference"/>
          <w:rFonts w:ascii="Times New Roman" w:hAnsi="Times New Roman" w:cs="Times New Roman"/>
        </w:rPr>
        <w:footnoteRef/>
      </w:r>
      <w:r w:rsidR="00945036" w:rsidRPr="009A22C3">
        <w:rPr>
          <w:rFonts w:ascii="Times New Roman" w:hAnsi="Times New Roman" w:cs="Times New Roman"/>
        </w:rPr>
        <w:t> </w:t>
      </w:r>
      <w:r w:rsidR="00B845C7" w:rsidRPr="009A22C3">
        <w:rPr>
          <w:rFonts w:ascii="Times New Roman" w:hAnsi="Times New Roman" w:cs="Times New Roman"/>
        </w:rPr>
        <w:t xml:space="preserve">Tiesībsarga </w:t>
      </w:r>
      <w:r w:rsidR="00AE4CA1" w:rsidRPr="009A22C3">
        <w:rPr>
          <w:rFonts w:ascii="Times New Roman" w:hAnsi="Times New Roman" w:cs="Times New Roman"/>
        </w:rPr>
        <w:t xml:space="preserve">2025. gada </w:t>
      </w:r>
      <w:r w:rsidR="003F21BC" w:rsidRPr="009A22C3">
        <w:rPr>
          <w:rFonts w:ascii="Times New Roman" w:hAnsi="Times New Roman" w:cs="Times New Roman"/>
        </w:rPr>
        <w:t xml:space="preserve">16. maija vēstule </w:t>
      </w:r>
      <w:r w:rsidR="00AE4CA1" w:rsidRPr="009A22C3">
        <w:rPr>
          <w:rFonts w:ascii="Times New Roman" w:hAnsi="Times New Roman" w:cs="Times New Roman"/>
        </w:rPr>
        <w:t>Nr.</w:t>
      </w:r>
      <w:r w:rsidR="00945036" w:rsidRPr="009A22C3">
        <w:rPr>
          <w:rFonts w:ascii="Times New Roman" w:hAnsi="Times New Roman" w:cs="Times New Roman"/>
        </w:rPr>
        <w:t> </w:t>
      </w:r>
      <w:r w:rsidR="00AE4CA1" w:rsidRPr="009A22C3">
        <w:rPr>
          <w:rFonts w:ascii="Times New Roman" w:hAnsi="Times New Roman" w:cs="Times New Roman"/>
        </w:rPr>
        <w:t>1-5/98</w:t>
      </w:r>
      <w:r w:rsidR="003F21BC" w:rsidRPr="009A22C3">
        <w:rPr>
          <w:rFonts w:ascii="Times New Roman" w:hAnsi="Times New Roman" w:cs="Times New Roman"/>
        </w:rPr>
        <w:t>, pieejama</w:t>
      </w:r>
      <w:r w:rsidR="00945036" w:rsidRPr="009A22C3">
        <w:rPr>
          <w:rFonts w:ascii="Times New Roman" w:hAnsi="Times New Roman" w:cs="Times New Roman"/>
        </w:rPr>
        <w:t xml:space="preserve"> šeit</w:t>
      </w:r>
      <w:r w:rsidR="003F21BC" w:rsidRPr="009A22C3">
        <w:rPr>
          <w:rFonts w:ascii="Times New Roman" w:hAnsi="Times New Roman" w:cs="Times New Roman"/>
        </w:rPr>
        <w:t xml:space="preserve">: </w:t>
      </w:r>
      <w:hyperlink r:id="rId4" w:history="1">
        <w:r w:rsidR="00540BDC" w:rsidRPr="009A22C3">
          <w:rPr>
            <w:rStyle w:val="Hyperlink"/>
            <w:rFonts w:ascii="Times New Roman" w:hAnsi="Times New Roman" w:cs="Times New Roman"/>
          </w:rPr>
          <w:t>https://www.tiesibsargs.lv/wp-content/uploads/2025/05/par-transportlidzeklu-iebrauksanu-ipasa-rezima-zona-.pdf</w:t>
        </w:r>
      </w:hyperlink>
      <w:r w:rsidR="00945036" w:rsidRPr="009A22C3">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6082"/>
    <w:multiLevelType w:val="hybridMultilevel"/>
    <w:tmpl w:val="693CB706"/>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 w15:restartNumberingAfterBreak="0">
    <w:nsid w:val="061A4331"/>
    <w:multiLevelType w:val="hybridMultilevel"/>
    <w:tmpl w:val="795AE924"/>
    <w:lvl w:ilvl="0" w:tplc="BA74A7DA">
      <w:start w:val="1"/>
      <w:numFmt w:val="decimal"/>
      <w:lvlText w:val="%1."/>
      <w:lvlJc w:val="left"/>
      <w:pPr>
        <w:ind w:left="741" w:hanging="360"/>
      </w:pPr>
      <w:rPr>
        <w:b/>
        <w:bCs/>
        <w:i w:val="0"/>
        <w:iCs w:val="0"/>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2" w15:restartNumberingAfterBreak="0">
    <w:nsid w:val="1A7D6D66"/>
    <w:multiLevelType w:val="multilevel"/>
    <w:tmpl w:val="425424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4" w15:restartNumberingAfterBreak="0">
    <w:nsid w:val="30D35C5C"/>
    <w:multiLevelType w:val="multilevel"/>
    <w:tmpl w:val="1A48B94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5D73146"/>
    <w:multiLevelType w:val="hybridMultilevel"/>
    <w:tmpl w:val="1758139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38C51655"/>
    <w:multiLevelType w:val="hybridMultilevel"/>
    <w:tmpl w:val="EA240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083A43"/>
    <w:multiLevelType w:val="hybridMultilevel"/>
    <w:tmpl w:val="F8D4A720"/>
    <w:lvl w:ilvl="0" w:tplc="BDDAD97C">
      <w:numFmt w:val="bullet"/>
      <w:lvlText w:val="-"/>
      <w:lvlJc w:val="left"/>
      <w:pPr>
        <w:ind w:left="720" w:hanging="360"/>
      </w:pPr>
      <w:rPr>
        <w:rFonts w:ascii="Calibri" w:eastAsiaTheme="minorHAnsi" w:hAnsi="Calibri" w:cs="Calibri" w:hint="default"/>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6F03B52"/>
    <w:multiLevelType w:val="hybridMultilevel"/>
    <w:tmpl w:val="DDCC94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891E30"/>
    <w:multiLevelType w:val="hybridMultilevel"/>
    <w:tmpl w:val="795AE924"/>
    <w:lvl w:ilvl="0" w:tplc="FFFFFFFF">
      <w:start w:val="1"/>
      <w:numFmt w:val="decimal"/>
      <w:lvlText w:val="%1."/>
      <w:lvlJc w:val="left"/>
      <w:pPr>
        <w:ind w:left="741" w:hanging="360"/>
      </w:pPr>
      <w:rPr>
        <w:b/>
        <w:bCs/>
        <w:i w:val="0"/>
        <w:iCs w:val="0"/>
      </w:rPr>
    </w:lvl>
    <w:lvl w:ilvl="1" w:tplc="FFFFFFFF" w:tentative="1">
      <w:start w:val="1"/>
      <w:numFmt w:val="lowerLetter"/>
      <w:lvlText w:val="%2."/>
      <w:lvlJc w:val="left"/>
      <w:pPr>
        <w:ind w:left="1461" w:hanging="360"/>
      </w:pPr>
    </w:lvl>
    <w:lvl w:ilvl="2" w:tplc="FFFFFFFF" w:tentative="1">
      <w:start w:val="1"/>
      <w:numFmt w:val="lowerRoman"/>
      <w:lvlText w:val="%3."/>
      <w:lvlJc w:val="right"/>
      <w:pPr>
        <w:ind w:left="2181" w:hanging="180"/>
      </w:pPr>
    </w:lvl>
    <w:lvl w:ilvl="3" w:tplc="FFFFFFFF" w:tentative="1">
      <w:start w:val="1"/>
      <w:numFmt w:val="decimal"/>
      <w:lvlText w:val="%4."/>
      <w:lvlJc w:val="left"/>
      <w:pPr>
        <w:ind w:left="2901" w:hanging="360"/>
      </w:pPr>
    </w:lvl>
    <w:lvl w:ilvl="4" w:tplc="FFFFFFFF" w:tentative="1">
      <w:start w:val="1"/>
      <w:numFmt w:val="lowerLetter"/>
      <w:lvlText w:val="%5."/>
      <w:lvlJc w:val="left"/>
      <w:pPr>
        <w:ind w:left="3621" w:hanging="360"/>
      </w:pPr>
    </w:lvl>
    <w:lvl w:ilvl="5" w:tplc="FFFFFFFF" w:tentative="1">
      <w:start w:val="1"/>
      <w:numFmt w:val="lowerRoman"/>
      <w:lvlText w:val="%6."/>
      <w:lvlJc w:val="right"/>
      <w:pPr>
        <w:ind w:left="4341" w:hanging="180"/>
      </w:pPr>
    </w:lvl>
    <w:lvl w:ilvl="6" w:tplc="FFFFFFFF" w:tentative="1">
      <w:start w:val="1"/>
      <w:numFmt w:val="decimal"/>
      <w:lvlText w:val="%7."/>
      <w:lvlJc w:val="left"/>
      <w:pPr>
        <w:ind w:left="5061" w:hanging="360"/>
      </w:pPr>
    </w:lvl>
    <w:lvl w:ilvl="7" w:tplc="FFFFFFFF" w:tentative="1">
      <w:start w:val="1"/>
      <w:numFmt w:val="lowerLetter"/>
      <w:lvlText w:val="%8."/>
      <w:lvlJc w:val="left"/>
      <w:pPr>
        <w:ind w:left="5781" w:hanging="360"/>
      </w:pPr>
    </w:lvl>
    <w:lvl w:ilvl="8" w:tplc="FFFFFFFF" w:tentative="1">
      <w:start w:val="1"/>
      <w:numFmt w:val="lowerRoman"/>
      <w:lvlText w:val="%9."/>
      <w:lvlJc w:val="right"/>
      <w:pPr>
        <w:ind w:left="6501" w:hanging="180"/>
      </w:pPr>
    </w:lvl>
  </w:abstractNum>
  <w:abstractNum w:abstractNumId="11" w15:restartNumberingAfterBreak="0">
    <w:nsid w:val="514452A2"/>
    <w:multiLevelType w:val="hybridMultilevel"/>
    <w:tmpl w:val="98FED728"/>
    <w:lvl w:ilvl="0" w:tplc="DA6AACCE">
      <w:start w:val="1"/>
      <w:numFmt w:val="decimal"/>
      <w:lvlText w:val="%1."/>
      <w:lvlJc w:val="left"/>
      <w:pPr>
        <w:ind w:left="928" w:hanging="360"/>
      </w:pPr>
      <w:rPr>
        <w:rFonts w:ascii="Times New Roman" w:eastAsia="Times New Roman" w:hAnsi="Times New Roman" w:cs="Times New Roman"/>
        <w:b/>
        <w:bCs/>
        <w:i w:val="0"/>
        <w:iCs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15:restartNumberingAfterBreak="0">
    <w:nsid w:val="5507357F"/>
    <w:multiLevelType w:val="multilevel"/>
    <w:tmpl w:val="F9E0A0D4"/>
    <w:lvl w:ilvl="0">
      <w:start w:val="2"/>
      <w:numFmt w:val="decimal"/>
      <w:lvlText w:val="%1."/>
      <w:lvlJc w:val="left"/>
      <w:pPr>
        <w:ind w:left="380" w:hanging="3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54100714">
    <w:abstractNumId w:val="3"/>
  </w:num>
  <w:num w:numId="2" w16cid:durableId="1708293381">
    <w:abstractNumId w:val="13"/>
  </w:num>
  <w:num w:numId="3" w16cid:durableId="2087725828">
    <w:abstractNumId w:val="2"/>
  </w:num>
  <w:num w:numId="4" w16cid:durableId="929312318">
    <w:abstractNumId w:val="7"/>
  </w:num>
  <w:num w:numId="5" w16cid:durableId="606544934">
    <w:abstractNumId w:val="5"/>
  </w:num>
  <w:num w:numId="6" w16cid:durableId="202064613">
    <w:abstractNumId w:val="4"/>
  </w:num>
  <w:num w:numId="7" w16cid:durableId="396712128">
    <w:abstractNumId w:val="1"/>
  </w:num>
  <w:num w:numId="8" w16cid:durableId="1332103040">
    <w:abstractNumId w:val="6"/>
  </w:num>
  <w:num w:numId="9" w16cid:durableId="1042708739">
    <w:abstractNumId w:val="9"/>
  </w:num>
  <w:num w:numId="10" w16cid:durableId="2121414135">
    <w:abstractNumId w:val="0"/>
  </w:num>
  <w:num w:numId="11" w16cid:durableId="677314815">
    <w:abstractNumId w:val="12"/>
  </w:num>
  <w:num w:numId="12" w16cid:durableId="1216507939">
    <w:abstractNumId w:val="11"/>
  </w:num>
  <w:num w:numId="13" w16cid:durableId="1218667804">
    <w:abstractNumId w:val="10"/>
  </w:num>
  <w:num w:numId="14" w16cid:durableId="525363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3F"/>
    <w:rsid w:val="00003D86"/>
    <w:rsid w:val="00006F4F"/>
    <w:rsid w:val="00013B6E"/>
    <w:rsid w:val="000322E3"/>
    <w:rsid w:val="0003582E"/>
    <w:rsid w:val="00042E3C"/>
    <w:rsid w:val="00051606"/>
    <w:rsid w:val="00073D25"/>
    <w:rsid w:val="000815EC"/>
    <w:rsid w:val="000925E9"/>
    <w:rsid w:val="000C2B24"/>
    <w:rsid w:val="000D1E10"/>
    <w:rsid w:val="000F2CC8"/>
    <w:rsid w:val="000F7F5E"/>
    <w:rsid w:val="001005EC"/>
    <w:rsid w:val="00106A91"/>
    <w:rsid w:val="00160F5D"/>
    <w:rsid w:val="00197A33"/>
    <w:rsid w:val="001A6401"/>
    <w:rsid w:val="001B55DA"/>
    <w:rsid w:val="001C234C"/>
    <w:rsid w:val="00205B49"/>
    <w:rsid w:val="00207690"/>
    <w:rsid w:val="002161FF"/>
    <w:rsid w:val="00232878"/>
    <w:rsid w:val="00234199"/>
    <w:rsid w:val="00246176"/>
    <w:rsid w:val="00252661"/>
    <w:rsid w:val="00263610"/>
    <w:rsid w:val="00275F23"/>
    <w:rsid w:val="0028312F"/>
    <w:rsid w:val="00284609"/>
    <w:rsid w:val="0028619B"/>
    <w:rsid w:val="002B42D6"/>
    <w:rsid w:val="002C015C"/>
    <w:rsid w:val="002C75C8"/>
    <w:rsid w:val="002D055E"/>
    <w:rsid w:val="002D083E"/>
    <w:rsid w:val="002D2B4E"/>
    <w:rsid w:val="002D742C"/>
    <w:rsid w:val="002F0502"/>
    <w:rsid w:val="00305E08"/>
    <w:rsid w:val="00313864"/>
    <w:rsid w:val="00314A75"/>
    <w:rsid w:val="00324DBE"/>
    <w:rsid w:val="00343F47"/>
    <w:rsid w:val="003516CA"/>
    <w:rsid w:val="003542D2"/>
    <w:rsid w:val="0036286A"/>
    <w:rsid w:val="003662DB"/>
    <w:rsid w:val="0037212B"/>
    <w:rsid w:val="003A4C45"/>
    <w:rsid w:val="003A67B8"/>
    <w:rsid w:val="003F21BC"/>
    <w:rsid w:val="00400A54"/>
    <w:rsid w:val="004057BD"/>
    <w:rsid w:val="00412213"/>
    <w:rsid w:val="004144DA"/>
    <w:rsid w:val="00420A89"/>
    <w:rsid w:val="00443579"/>
    <w:rsid w:val="00443DBA"/>
    <w:rsid w:val="00446E06"/>
    <w:rsid w:val="00456425"/>
    <w:rsid w:val="00462AC0"/>
    <w:rsid w:val="00463A6B"/>
    <w:rsid w:val="0047578F"/>
    <w:rsid w:val="00483C97"/>
    <w:rsid w:val="00487A21"/>
    <w:rsid w:val="0049712B"/>
    <w:rsid w:val="00497600"/>
    <w:rsid w:val="004A0920"/>
    <w:rsid w:val="004A424C"/>
    <w:rsid w:val="004B6497"/>
    <w:rsid w:val="004D305C"/>
    <w:rsid w:val="004D3E18"/>
    <w:rsid w:val="004E21E6"/>
    <w:rsid w:val="004E760C"/>
    <w:rsid w:val="004F222E"/>
    <w:rsid w:val="00501228"/>
    <w:rsid w:val="005049C8"/>
    <w:rsid w:val="0051643B"/>
    <w:rsid w:val="00517090"/>
    <w:rsid w:val="00535D37"/>
    <w:rsid w:val="005362E7"/>
    <w:rsid w:val="00540BDC"/>
    <w:rsid w:val="00546574"/>
    <w:rsid w:val="00557E35"/>
    <w:rsid w:val="0057797D"/>
    <w:rsid w:val="00587D07"/>
    <w:rsid w:val="005A5C1E"/>
    <w:rsid w:val="005C348D"/>
    <w:rsid w:val="005D0505"/>
    <w:rsid w:val="005E4580"/>
    <w:rsid w:val="005F1941"/>
    <w:rsid w:val="006137E6"/>
    <w:rsid w:val="00630CAC"/>
    <w:rsid w:val="00632173"/>
    <w:rsid w:val="00661947"/>
    <w:rsid w:val="00691C5B"/>
    <w:rsid w:val="006A6683"/>
    <w:rsid w:val="006C6FBD"/>
    <w:rsid w:val="006E5A6A"/>
    <w:rsid w:val="006F2200"/>
    <w:rsid w:val="006F6914"/>
    <w:rsid w:val="0070343F"/>
    <w:rsid w:val="00706689"/>
    <w:rsid w:val="00713E8F"/>
    <w:rsid w:val="007151A6"/>
    <w:rsid w:val="007345D9"/>
    <w:rsid w:val="00735590"/>
    <w:rsid w:val="007651A3"/>
    <w:rsid w:val="00767EE9"/>
    <w:rsid w:val="007730C9"/>
    <w:rsid w:val="00786B2B"/>
    <w:rsid w:val="007C1083"/>
    <w:rsid w:val="007C5C07"/>
    <w:rsid w:val="007D29E9"/>
    <w:rsid w:val="007F2E7B"/>
    <w:rsid w:val="007F5F46"/>
    <w:rsid w:val="00805289"/>
    <w:rsid w:val="00821D41"/>
    <w:rsid w:val="00822365"/>
    <w:rsid w:val="00822B98"/>
    <w:rsid w:val="0084587C"/>
    <w:rsid w:val="00846FF0"/>
    <w:rsid w:val="00865451"/>
    <w:rsid w:val="0087146B"/>
    <w:rsid w:val="0087650A"/>
    <w:rsid w:val="008A7AFD"/>
    <w:rsid w:val="008D4D58"/>
    <w:rsid w:val="008D4E12"/>
    <w:rsid w:val="008E0435"/>
    <w:rsid w:val="008E37F3"/>
    <w:rsid w:val="008E3912"/>
    <w:rsid w:val="008F4591"/>
    <w:rsid w:val="00901932"/>
    <w:rsid w:val="0092352A"/>
    <w:rsid w:val="00924456"/>
    <w:rsid w:val="0092478E"/>
    <w:rsid w:val="009260FD"/>
    <w:rsid w:val="00933D24"/>
    <w:rsid w:val="00942A23"/>
    <w:rsid w:val="00945036"/>
    <w:rsid w:val="00951062"/>
    <w:rsid w:val="00967B64"/>
    <w:rsid w:val="00976BBD"/>
    <w:rsid w:val="00983766"/>
    <w:rsid w:val="009900B9"/>
    <w:rsid w:val="009A22C3"/>
    <w:rsid w:val="009B3062"/>
    <w:rsid w:val="009C33B7"/>
    <w:rsid w:val="009D6C3D"/>
    <w:rsid w:val="009E427C"/>
    <w:rsid w:val="009E77B8"/>
    <w:rsid w:val="009F30F0"/>
    <w:rsid w:val="00A06348"/>
    <w:rsid w:val="00A177C9"/>
    <w:rsid w:val="00A30205"/>
    <w:rsid w:val="00A41242"/>
    <w:rsid w:val="00A5055C"/>
    <w:rsid w:val="00A53BF5"/>
    <w:rsid w:val="00A6075F"/>
    <w:rsid w:val="00A62153"/>
    <w:rsid w:val="00A85BA5"/>
    <w:rsid w:val="00AA37A3"/>
    <w:rsid w:val="00AC3573"/>
    <w:rsid w:val="00AD577A"/>
    <w:rsid w:val="00AE38D7"/>
    <w:rsid w:val="00AE4CA1"/>
    <w:rsid w:val="00AE5048"/>
    <w:rsid w:val="00AE7315"/>
    <w:rsid w:val="00AF16C2"/>
    <w:rsid w:val="00B25E51"/>
    <w:rsid w:val="00B36E19"/>
    <w:rsid w:val="00B44FC5"/>
    <w:rsid w:val="00B62588"/>
    <w:rsid w:val="00B6630D"/>
    <w:rsid w:val="00B765F4"/>
    <w:rsid w:val="00B82D05"/>
    <w:rsid w:val="00B845C7"/>
    <w:rsid w:val="00B85DCC"/>
    <w:rsid w:val="00B872D2"/>
    <w:rsid w:val="00B9248A"/>
    <w:rsid w:val="00B96897"/>
    <w:rsid w:val="00BA7A8D"/>
    <w:rsid w:val="00BE164D"/>
    <w:rsid w:val="00BF1811"/>
    <w:rsid w:val="00BF364C"/>
    <w:rsid w:val="00BF4DF2"/>
    <w:rsid w:val="00C345AF"/>
    <w:rsid w:val="00C54603"/>
    <w:rsid w:val="00C96455"/>
    <w:rsid w:val="00CA434C"/>
    <w:rsid w:val="00CE5CEF"/>
    <w:rsid w:val="00CE63D1"/>
    <w:rsid w:val="00D0576A"/>
    <w:rsid w:val="00D24800"/>
    <w:rsid w:val="00D30DBC"/>
    <w:rsid w:val="00D31ABB"/>
    <w:rsid w:val="00D42859"/>
    <w:rsid w:val="00D8081B"/>
    <w:rsid w:val="00DA5C5D"/>
    <w:rsid w:val="00DA7BE9"/>
    <w:rsid w:val="00DB60C7"/>
    <w:rsid w:val="00DD1F93"/>
    <w:rsid w:val="00DE31AC"/>
    <w:rsid w:val="00DE433A"/>
    <w:rsid w:val="00E11435"/>
    <w:rsid w:val="00E16E9A"/>
    <w:rsid w:val="00E213A2"/>
    <w:rsid w:val="00E22298"/>
    <w:rsid w:val="00E43368"/>
    <w:rsid w:val="00E4353F"/>
    <w:rsid w:val="00E75FC7"/>
    <w:rsid w:val="00E8255C"/>
    <w:rsid w:val="00E842B0"/>
    <w:rsid w:val="00E93BAB"/>
    <w:rsid w:val="00EA59D7"/>
    <w:rsid w:val="00EB7F04"/>
    <w:rsid w:val="00ED4A4A"/>
    <w:rsid w:val="00EE189A"/>
    <w:rsid w:val="00F05F75"/>
    <w:rsid w:val="00F12C66"/>
    <w:rsid w:val="00F30805"/>
    <w:rsid w:val="00F35416"/>
    <w:rsid w:val="00F41DC0"/>
    <w:rsid w:val="00F47AB4"/>
    <w:rsid w:val="00F55C73"/>
    <w:rsid w:val="00F60E03"/>
    <w:rsid w:val="00F72F32"/>
    <w:rsid w:val="00F85B7C"/>
    <w:rsid w:val="00F93E44"/>
    <w:rsid w:val="00FA1CA7"/>
    <w:rsid w:val="00FA36C3"/>
    <w:rsid w:val="00FC03FA"/>
    <w:rsid w:val="00FC643A"/>
    <w:rsid w:val="00FE3836"/>
    <w:rsid w:val="00FE4A42"/>
    <w:rsid w:val="00FF76C3"/>
    <w:rsid w:val="231C5C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9E55"/>
  <w15:docId w15:val="{74BFFC99-7687-4B84-AA26-AAB32195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53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516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1606"/>
  </w:style>
  <w:style w:type="paragraph" w:styleId="Footer">
    <w:name w:val="footer"/>
    <w:basedOn w:val="Normal"/>
    <w:link w:val="FooterChar"/>
    <w:uiPriority w:val="99"/>
    <w:unhideWhenUsed/>
    <w:rsid w:val="000516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1606"/>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qFormat/>
    <w:rsid w:val="00822B98"/>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822B98"/>
    <w:rPr>
      <w:color w:val="0563C1"/>
      <w:u w:val="single"/>
    </w:rPr>
  </w:style>
  <w:style w:type="paragraph" w:customStyle="1" w:styleId="xxmsonormal">
    <w:name w:val="x_x_msonormal"/>
    <w:basedOn w:val="Normal"/>
    <w:rsid w:val="00822B98"/>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822B98"/>
  </w:style>
  <w:style w:type="paragraph" w:styleId="FootnoteText">
    <w:name w:val="footnote text"/>
    <w:aliases w:val="Char Char Char,Footnote Text1,Footnote Text1 Char,Rakstz. Rakstz.,Footnote Text Char2 Char,Footnote Text Char1 Char2 Char,Footnote Text Char Char Char Char,Footnote Text Char1 Char Char Char Char,Footnote Text Char Char Char Char Char Char"/>
    <w:basedOn w:val="Normal"/>
    <w:link w:val="FootnoteTextChar"/>
    <w:uiPriority w:val="99"/>
    <w:unhideWhenUsed/>
    <w:qFormat/>
    <w:rsid w:val="009900B9"/>
    <w:pPr>
      <w:spacing w:after="0" w:line="240" w:lineRule="auto"/>
    </w:pPr>
    <w:rPr>
      <w:sz w:val="20"/>
      <w:szCs w:val="20"/>
    </w:rPr>
  </w:style>
  <w:style w:type="character" w:customStyle="1" w:styleId="FootnoteTextChar">
    <w:name w:val="Footnote Text Char"/>
    <w:aliases w:val="Char Char Char Char1,Footnote Text1 Char1,Footnote Text1 Char Char,Rakstz. Rakstz. Char,Footnote Text Char2 Char Char,Footnote Text Char1 Char2 Char Char,Footnote Text Char Char Char Char Char"/>
    <w:basedOn w:val="DefaultParagraphFont"/>
    <w:link w:val="FootnoteText"/>
    <w:uiPriority w:val="99"/>
    <w:rsid w:val="009900B9"/>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number"/>
    <w:basedOn w:val="DefaultParagraphFont"/>
    <w:link w:val="CharCharCharChar"/>
    <w:uiPriority w:val="99"/>
    <w:unhideWhenUsed/>
    <w:qFormat/>
    <w:rsid w:val="009900B9"/>
    <w:rPr>
      <w:vertAlign w:val="superscript"/>
    </w:rPr>
  </w:style>
  <w:style w:type="character" w:styleId="UnresolvedMention">
    <w:name w:val="Unresolved Mention"/>
    <w:basedOn w:val="DefaultParagraphFont"/>
    <w:uiPriority w:val="99"/>
    <w:semiHidden/>
    <w:unhideWhenUsed/>
    <w:rsid w:val="007651A3"/>
    <w:rPr>
      <w:color w:val="605E5C"/>
      <w:shd w:val="clear" w:color="auto" w:fill="E1DFDD"/>
    </w:rPr>
  </w:style>
  <w:style w:type="paragraph" w:customStyle="1" w:styleId="xmsonormal">
    <w:name w:val="x_msonormal"/>
    <w:basedOn w:val="Normal"/>
    <w:rsid w:val="002D083E"/>
    <w:pPr>
      <w:spacing w:after="0" w:line="240" w:lineRule="auto"/>
    </w:pPr>
    <w:rPr>
      <w:rFonts w:ascii="Calibri" w:hAnsi="Calibri" w:cs="Calibri"/>
      <w:lang w:eastAsia="lv-LV"/>
    </w:rPr>
  </w:style>
  <w:style w:type="paragraph" w:customStyle="1" w:styleId="CharCharCharChar">
    <w:name w:val="Char Char Char Char"/>
    <w:aliases w:val="Char2"/>
    <w:basedOn w:val="Normal"/>
    <w:next w:val="Normal"/>
    <w:link w:val="FootnoteReference"/>
    <w:uiPriority w:val="99"/>
    <w:rsid w:val="002D083E"/>
    <w:pPr>
      <w:spacing w:line="240" w:lineRule="exact"/>
      <w:jc w:val="both"/>
      <w:textAlignment w:val="baseline"/>
    </w:pPr>
    <w:rPr>
      <w:vertAlign w:val="superscript"/>
    </w:r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qFormat/>
    <w:locked/>
    <w:rsid w:val="002D083E"/>
    <w:rPr>
      <w:rFonts w:ascii="Times New Roman" w:eastAsia="Times New Roman" w:hAnsi="Times New Roman" w:cs="Times New Roman"/>
      <w:lang w:eastAsia="lv-LV"/>
    </w:rPr>
  </w:style>
  <w:style w:type="paragraph" w:styleId="EndnoteText">
    <w:name w:val="endnote text"/>
    <w:basedOn w:val="Normal"/>
    <w:link w:val="EndnoteTextChar"/>
    <w:uiPriority w:val="99"/>
    <w:semiHidden/>
    <w:unhideWhenUsed/>
    <w:rsid w:val="006321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173"/>
    <w:rPr>
      <w:sz w:val="20"/>
      <w:szCs w:val="20"/>
    </w:rPr>
  </w:style>
  <w:style w:type="character" w:styleId="EndnoteReference">
    <w:name w:val="endnote reference"/>
    <w:basedOn w:val="DefaultParagraphFont"/>
    <w:uiPriority w:val="99"/>
    <w:semiHidden/>
    <w:unhideWhenUsed/>
    <w:rsid w:val="00632173"/>
    <w:rPr>
      <w:vertAlign w:val="superscript"/>
    </w:rPr>
  </w:style>
  <w:style w:type="character" w:customStyle="1" w:styleId="apple-converted-space">
    <w:name w:val="apple-converted-space"/>
    <w:basedOn w:val="DefaultParagraphFont"/>
    <w:rsid w:val="00BA7A8D"/>
  </w:style>
  <w:style w:type="character" w:customStyle="1" w:styleId="normaltextrun">
    <w:name w:val="normaltextrun"/>
    <w:basedOn w:val="DefaultParagraphFont"/>
    <w:rsid w:val="00630CAC"/>
  </w:style>
  <w:style w:type="paragraph" w:customStyle="1" w:styleId="tv213">
    <w:name w:val="tv213"/>
    <w:basedOn w:val="Normal"/>
    <w:rsid w:val="00786B2B"/>
    <w:pPr>
      <w:spacing w:before="100" w:beforeAutospacing="1" w:after="100" w:afterAutospacing="1" w:line="240" w:lineRule="auto"/>
    </w:pPr>
    <w:rPr>
      <w:rFonts w:ascii="Times New Roman" w:eastAsia="Calibri" w:hAnsi="Times New Roman" w:cs="Times New Roman"/>
      <w:sz w:val="24"/>
      <w:szCs w:val="24"/>
      <w:lang w:eastAsia="lv-LV"/>
    </w:rPr>
  </w:style>
  <w:style w:type="paragraph" w:styleId="BodyText">
    <w:name w:val="Body Text"/>
    <w:basedOn w:val="Normal"/>
    <w:link w:val="BodyTextChar"/>
    <w:qFormat/>
    <w:rsid w:val="00003D86"/>
    <w:pPr>
      <w:spacing w:after="120" w:line="240" w:lineRule="auto"/>
      <w:jc w:val="both"/>
    </w:pPr>
    <w:rPr>
      <w:rFonts w:ascii="Arial" w:eastAsia="Times New Roman" w:hAnsi="Arial" w:cs="Times New Roman"/>
      <w:color w:val="5E6175"/>
      <w:sz w:val="20"/>
      <w:szCs w:val="24"/>
      <w:lang w:val="en-US"/>
    </w:rPr>
  </w:style>
  <w:style w:type="character" w:customStyle="1" w:styleId="BodyTextChar">
    <w:name w:val="Body Text Char"/>
    <w:basedOn w:val="DefaultParagraphFont"/>
    <w:link w:val="BodyText"/>
    <w:rsid w:val="00003D86"/>
    <w:rPr>
      <w:rFonts w:ascii="Arial" w:eastAsia="Times New Roman" w:hAnsi="Arial" w:cs="Times New Roman"/>
      <w:color w:val="5E6175"/>
      <w:sz w:val="20"/>
      <w:szCs w:val="24"/>
      <w:lang w:val="en-US"/>
    </w:rPr>
  </w:style>
  <w:style w:type="paragraph" w:customStyle="1" w:styleId="FootnoteRefernece">
    <w:name w:val="Footnote Refernece"/>
    <w:aliases w:val="Odwołanie przypisu,Footnotes refss,Ref,de nota al pie,E,E FNZ"/>
    <w:basedOn w:val="Normal"/>
    <w:next w:val="Normal"/>
    <w:rsid w:val="00003D86"/>
    <w:pPr>
      <w:spacing w:line="240" w:lineRule="exact"/>
      <w:jc w:val="both"/>
      <w:textAlignment w:val="baseline"/>
    </w:pPr>
    <w:rPr>
      <w:rFonts w:ascii="Calibri" w:eastAsia="Calibri" w:hAnsi="Calibri" w:cs="Times New Roman"/>
      <w:sz w:val="20"/>
      <w:szCs w:val="20"/>
      <w:vertAlign w:val="superscript"/>
      <w:lang w:eastAsia="lv-LV"/>
    </w:rPr>
  </w:style>
  <w:style w:type="character" w:styleId="FollowedHyperlink">
    <w:name w:val="FollowedHyperlink"/>
    <w:basedOn w:val="DefaultParagraphFont"/>
    <w:uiPriority w:val="99"/>
    <w:semiHidden/>
    <w:unhideWhenUsed/>
    <w:rsid w:val="00B82D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67129">
      <w:bodyDiv w:val="1"/>
      <w:marLeft w:val="0"/>
      <w:marRight w:val="0"/>
      <w:marTop w:val="0"/>
      <w:marBottom w:val="0"/>
      <w:divBdr>
        <w:top w:val="none" w:sz="0" w:space="0" w:color="auto"/>
        <w:left w:val="none" w:sz="0" w:space="0" w:color="auto"/>
        <w:bottom w:val="none" w:sz="0" w:space="0" w:color="auto"/>
        <w:right w:val="none" w:sz="0" w:space="0" w:color="auto"/>
      </w:divBdr>
    </w:div>
    <w:div w:id="16770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ars.cibulskis@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ce.balgalve@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tv.tiesa.gov.lv/cases/?search%5Bnumber%5D=2022-16-05"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 Id="rId4" Type="http://schemas.openxmlformats.org/officeDocument/2006/relationships/hyperlink" Target="https://www.tiesibsargs.lv/wp-content/uploads/2025/05/par-transportlidzeklu-iebrauksanu-ipasa-rezima-zo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246A-9346-4056-84EF-2FEFFEBA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7766</Words>
  <Characters>4428</Characters>
  <Application>Microsoft Office Word</Application>
  <DocSecurity>0</DocSecurity>
  <Lines>36</Lines>
  <Paragraphs>24</Paragraphs>
  <ScaleCrop>false</ScaleCrop>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Matiss</dc:creator>
  <cp:keywords/>
  <cp:lastModifiedBy>Sabīna Liepa</cp:lastModifiedBy>
  <cp:revision>107</cp:revision>
  <dcterms:created xsi:type="dcterms:W3CDTF">2023-03-31T19:44:00Z</dcterms:created>
  <dcterms:modified xsi:type="dcterms:W3CDTF">2025-12-17T10:16:00Z</dcterms:modified>
</cp:coreProperties>
</file>