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B7BB" w14:textId="77777777" w:rsidR="00D30547" w:rsidRPr="00684AD9" w:rsidRDefault="00D30547" w:rsidP="006346E1">
      <w:pPr>
        <w:pStyle w:val="NormalWeb"/>
        <w:jc w:val="center"/>
        <w:rPr>
          <w:rFonts w:ascii="Times New Roman" w:hAnsi="Times New Roman" w:cs="Times New Roman"/>
          <w:b/>
          <w:sz w:val="28"/>
          <w:szCs w:val="28"/>
        </w:rPr>
      </w:pPr>
      <w:r w:rsidRPr="00684AD9">
        <w:rPr>
          <w:rFonts w:ascii="Times New Roman" w:hAnsi="Times New Roman" w:cs="Times New Roman"/>
          <w:b/>
          <w:sz w:val="28"/>
          <w:szCs w:val="28"/>
        </w:rPr>
        <w:t xml:space="preserve">Vadlīnijas pašvaldībām administratīvo izdevumu finanšu </w:t>
      </w:r>
      <w:r w:rsidR="00D16A71" w:rsidRPr="00684AD9">
        <w:rPr>
          <w:rFonts w:ascii="Times New Roman" w:hAnsi="Times New Roman" w:cs="Times New Roman"/>
          <w:b/>
          <w:sz w:val="28"/>
          <w:szCs w:val="28"/>
        </w:rPr>
        <w:t xml:space="preserve">datu </w:t>
      </w:r>
      <w:r w:rsidRPr="00684AD9">
        <w:rPr>
          <w:rFonts w:ascii="Times New Roman" w:hAnsi="Times New Roman" w:cs="Times New Roman"/>
          <w:b/>
          <w:sz w:val="28"/>
          <w:szCs w:val="28"/>
        </w:rPr>
        <w:t>un budžeta analīzē</w:t>
      </w:r>
      <w:r w:rsidR="00D16A71" w:rsidRPr="00684AD9">
        <w:rPr>
          <w:rFonts w:ascii="Times New Roman" w:hAnsi="Times New Roman" w:cs="Times New Roman"/>
          <w:b/>
          <w:sz w:val="28"/>
          <w:szCs w:val="28"/>
        </w:rPr>
        <w:t xml:space="preserve"> </w:t>
      </w:r>
      <w:r w:rsidR="00535A95" w:rsidRPr="00684AD9">
        <w:rPr>
          <w:rFonts w:ascii="Times New Roman" w:hAnsi="Times New Roman" w:cs="Times New Roman"/>
          <w:b/>
          <w:sz w:val="28"/>
          <w:szCs w:val="28"/>
        </w:rPr>
        <w:t xml:space="preserve">indikatoru </w:t>
      </w:r>
      <w:r w:rsidR="00D16A71" w:rsidRPr="00684AD9">
        <w:rPr>
          <w:rFonts w:ascii="Times New Roman" w:hAnsi="Times New Roman" w:cs="Times New Roman"/>
          <w:b/>
          <w:sz w:val="28"/>
          <w:szCs w:val="28"/>
        </w:rPr>
        <w:t>piemērošana</w:t>
      </w:r>
    </w:p>
    <w:p w14:paraId="65AA5946" w14:textId="77777777" w:rsidR="009772DB" w:rsidRPr="00684AD9" w:rsidRDefault="009772DB" w:rsidP="006346E1">
      <w:pPr>
        <w:pStyle w:val="NormalWeb"/>
        <w:jc w:val="center"/>
        <w:rPr>
          <w:rFonts w:ascii="Times New Roman" w:hAnsi="Times New Roman" w:cs="Times New Roman"/>
          <w:b/>
          <w:color w:val="333333"/>
        </w:rPr>
      </w:pPr>
      <w:r w:rsidRPr="00684AD9">
        <w:rPr>
          <w:rFonts w:ascii="Times New Roman" w:hAnsi="Times New Roman" w:cs="Times New Roman"/>
          <w:b/>
        </w:rPr>
        <w:t>Ievads</w:t>
      </w:r>
    </w:p>
    <w:p w14:paraId="2DB0B617" w14:textId="77777777" w:rsidR="00EC1347" w:rsidRPr="00684AD9" w:rsidRDefault="00D16A71"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Vadlīnijas pašvaldībām administratīvo izdevumu finanšu datu un budžeta analīzē (turpmāk – vadlīnijas) ir izstrādātas ar mērķi pilnveidot budžeta izdevumu analīzes sistēmu, izvērtējot pašvaldību administratīvos izdevumus un nodrošinot to salīdzināmību analītiskām vajadzībām. Vadlīnijām ir ieteikuma raksturs. Tās var piemērot pašvaldības, lai analizētu </w:t>
      </w:r>
      <w:r w:rsidR="00E70080" w:rsidRPr="00684AD9">
        <w:rPr>
          <w:rFonts w:ascii="Times New Roman" w:hAnsi="Times New Roman" w:cs="Times New Roman"/>
        </w:rPr>
        <w:t>pašvaldību administratīvos</w:t>
      </w:r>
      <w:r w:rsidRPr="00684AD9">
        <w:rPr>
          <w:rFonts w:ascii="Times New Roman" w:hAnsi="Times New Roman" w:cs="Times New Roman"/>
        </w:rPr>
        <w:t xml:space="preserve"> izdevumus un lai sekmētu racionālu budžeta līdzekļu izlietojumu. </w:t>
      </w:r>
      <w:r w:rsidR="00EC1347" w:rsidRPr="00684AD9">
        <w:rPr>
          <w:rFonts w:ascii="Times New Roman" w:hAnsi="Times New Roman" w:cs="Times New Roman"/>
        </w:rPr>
        <w:t xml:space="preserve">Vadlīnijas definē pašvaldību administratīvo izdevumu indikatorus un nosaka to aprēķināšanas metodoloģiju. </w:t>
      </w:r>
    </w:p>
    <w:p w14:paraId="67D3BA85" w14:textId="77777777" w:rsidR="00D16A71" w:rsidRPr="00684AD9" w:rsidRDefault="00D16A71"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Pielietojot indikatora datus budžeta analīzē, pašvaldība var veikt indikatoru rezultātu salīdzināšanu, analizēt un sistemātiski pārraudzīt administratīvos izdevumus un nepieciešamības gadījumā pieņemt lēmumus administratīvo izdevumu un atbalsta funkciju izdevumu efektivitātes </w:t>
      </w:r>
      <w:r w:rsidR="004A44FC" w:rsidRPr="00684AD9">
        <w:rPr>
          <w:rFonts w:ascii="Times New Roman" w:hAnsi="Times New Roman" w:cs="Times New Roman"/>
        </w:rPr>
        <w:t>samērošanu</w:t>
      </w:r>
      <w:r w:rsidRPr="00684AD9">
        <w:rPr>
          <w:rFonts w:ascii="Times New Roman" w:hAnsi="Times New Roman" w:cs="Times New Roman"/>
        </w:rPr>
        <w:t xml:space="preserve">. </w:t>
      </w:r>
    </w:p>
    <w:p w14:paraId="40A76D6A" w14:textId="15133617" w:rsidR="00E70080" w:rsidRPr="00684AD9" w:rsidRDefault="00D16A71" w:rsidP="006346E1">
      <w:pPr>
        <w:pStyle w:val="Default"/>
        <w:spacing w:after="120"/>
        <w:jc w:val="both"/>
        <w:rPr>
          <w:rFonts w:ascii="Times New Roman" w:hAnsi="Times New Roman" w:cs="Times New Roman"/>
        </w:rPr>
      </w:pPr>
      <w:r w:rsidRPr="00684AD9">
        <w:rPr>
          <w:rFonts w:ascii="Times New Roman" w:hAnsi="Times New Roman" w:cs="Times New Roman"/>
        </w:rPr>
        <w:t xml:space="preserve">Vadlīniju pamatā ir </w:t>
      </w:r>
      <w:r w:rsidR="00E70080" w:rsidRPr="00684AD9">
        <w:rPr>
          <w:rFonts w:ascii="Times New Roman" w:hAnsi="Times New Roman" w:cs="Times New Roman"/>
        </w:rPr>
        <w:t>ņemta vispārējās valdības sektora izdevumu uzskaite Latvijā, kas tiek veikta atbilstoši Ministru kabineta apstiprinātajām klasifikācijām. Starp tām ir arī Ministru kabineta 2005.</w:t>
      </w:r>
      <w:r w:rsidR="00AE39B7">
        <w:rPr>
          <w:rFonts w:ascii="Times New Roman" w:hAnsi="Times New Roman" w:cs="Times New Roman"/>
        </w:rPr>
        <w:t> </w:t>
      </w:r>
      <w:r w:rsidR="00E70080" w:rsidRPr="00684AD9">
        <w:rPr>
          <w:rFonts w:ascii="Times New Roman" w:hAnsi="Times New Roman" w:cs="Times New Roman"/>
        </w:rPr>
        <w:t>gada 13.</w:t>
      </w:r>
      <w:r w:rsidR="00AE39B7">
        <w:rPr>
          <w:rFonts w:ascii="Times New Roman" w:hAnsi="Times New Roman" w:cs="Times New Roman"/>
        </w:rPr>
        <w:t> </w:t>
      </w:r>
      <w:r w:rsidR="00E70080" w:rsidRPr="00684AD9">
        <w:rPr>
          <w:rFonts w:ascii="Times New Roman" w:hAnsi="Times New Roman" w:cs="Times New Roman"/>
        </w:rPr>
        <w:t>decembra noteikumi Nr.</w:t>
      </w:r>
      <w:r w:rsidR="00AE39B7">
        <w:rPr>
          <w:rFonts w:ascii="Times New Roman" w:hAnsi="Times New Roman" w:cs="Times New Roman"/>
        </w:rPr>
        <w:t> </w:t>
      </w:r>
      <w:r w:rsidR="00E70080" w:rsidRPr="00684AD9">
        <w:rPr>
          <w:rFonts w:ascii="Times New Roman" w:hAnsi="Times New Roman" w:cs="Times New Roman"/>
        </w:rPr>
        <w:t xml:space="preserve">934 </w:t>
      </w:r>
      <w:r w:rsidR="001437B2" w:rsidRPr="00684AD9">
        <w:rPr>
          <w:rFonts w:ascii="Times New Roman" w:hAnsi="Times New Roman" w:cs="Times New Roman"/>
        </w:rPr>
        <w:t>“</w:t>
      </w:r>
      <w:r w:rsidR="00E70080" w:rsidRPr="00684AD9">
        <w:rPr>
          <w:rFonts w:ascii="Times New Roman" w:hAnsi="Times New Roman" w:cs="Times New Roman"/>
        </w:rPr>
        <w:t>Noteikumi par budžeta izdevumu klasifikāciju atbilstoši funkcionālajām kategorijām”</w:t>
      </w:r>
      <w:r w:rsidR="00161129" w:rsidRPr="00684AD9">
        <w:rPr>
          <w:rFonts w:ascii="Times New Roman" w:hAnsi="Times New Roman" w:cs="Times New Roman"/>
        </w:rPr>
        <w:t>, kas veidot</w:t>
      </w:r>
      <w:r w:rsidR="00E461EF" w:rsidRPr="00684AD9">
        <w:rPr>
          <w:rFonts w:ascii="Times New Roman" w:hAnsi="Times New Roman" w:cs="Times New Roman"/>
        </w:rPr>
        <w:t>i</w:t>
      </w:r>
      <w:r w:rsidR="00161129" w:rsidRPr="00684AD9">
        <w:rPr>
          <w:rFonts w:ascii="Times New Roman" w:hAnsi="Times New Roman" w:cs="Times New Roman"/>
        </w:rPr>
        <w:t xml:space="preserve"> uz</w:t>
      </w:r>
      <w:r w:rsidR="00E70080" w:rsidRPr="00684AD9">
        <w:rPr>
          <w:rFonts w:ascii="Times New Roman" w:hAnsi="Times New Roman" w:cs="Times New Roman"/>
        </w:rPr>
        <w:t xml:space="preserve"> Starptautiskās Valdības izdevumu klasifikācijas COFOG</w:t>
      </w:r>
      <w:r w:rsidR="009B65EB" w:rsidRPr="00684AD9">
        <w:rPr>
          <w:rFonts w:ascii="Times New Roman" w:hAnsi="Times New Roman" w:cs="Times New Roman"/>
        </w:rPr>
        <w:t xml:space="preserve"> (</w:t>
      </w:r>
      <w:proofErr w:type="spellStart"/>
      <w:r w:rsidR="009B65EB" w:rsidRPr="000B6FDE">
        <w:rPr>
          <w:rFonts w:ascii="Times New Roman" w:hAnsi="Times New Roman" w:cs="Times New Roman"/>
          <w:i/>
          <w:iCs/>
        </w:rPr>
        <w:t>Classification</w:t>
      </w:r>
      <w:proofErr w:type="spellEnd"/>
      <w:r w:rsidR="009B65EB" w:rsidRPr="000B6FDE">
        <w:rPr>
          <w:rFonts w:ascii="Times New Roman" w:hAnsi="Times New Roman" w:cs="Times New Roman"/>
          <w:i/>
          <w:iCs/>
        </w:rPr>
        <w:t xml:space="preserve"> </w:t>
      </w:r>
      <w:proofErr w:type="spellStart"/>
      <w:r w:rsidR="009B65EB" w:rsidRPr="000B6FDE">
        <w:rPr>
          <w:rFonts w:ascii="Times New Roman" w:hAnsi="Times New Roman" w:cs="Times New Roman"/>
          <w:i/>
          <w:iCs/>
        </w:rPr>
        <w:t>of</w:t>
      </w:r>
      <w:proofErr w:type="spellEnd"/>
      <w:r w:rsidR="009B65EB" w:rsidRPr="000B6FDE">
        <w:rPr>
          <w:rFonts w:ascii="Times New Roman" w:hAnsi="Times New Roman" w:cs="Times New Roman"/>
          <w:i/>
          <w:iCs/>
        </w:rPr>
        <w:t xml:space="preserve"> </w:t>
      </w:r>
      <w:proofErr w:type="spellStart"/>
      <w:r w:rsidR="009B65EB" w:rsidRPr="000B6FDE">
        <w:rPr>
          <w:rFonts w:ascii="Times New Roman" w:hAnsi="Times New Roman" w:cs="Times New Roman"/>
          <w:i/>
          <w:iCs/>
        </w:rPr>
        <w:t>the</w:t>
      </w:r>
      <w:proofErr w:type="spellEnd"/>
      <w:r w:rsidR="009B65EB" w:rsidRPr="000B6FDE">
        <w:rPr>
          <w:rFonts w:ascii="Times New Roman" w:hAnsi="Times New Roman" w:cs="Times New Roman"/>
          <w:i/>
          <w:iCs/>
        </w:rPr>
        <w:t xml:space="preserve"> </w:t>
      </w:r>
      <w:proofErr w:type="spellStart"/>
      <w:r w:rsidR="009B65EB" w:rsidRPr="000B6FDE">
        <w:rPr>
          <w:rFonts w:ascii="Times New Roman" w:hAnsi="Times New Roman" w:cs="Times New Roman"/>
          <w:i/>
          <w:iCs/>
        </w:rPr>
        <w:t>Functions</w:t>
      </w:r>
      <w:proofErr w:type="spellEnd"/>
      <w:r w:rsidR="009B65EB" w:rsidRPr="000B6FDE">
        <w:rPr>
          <w:rFonts w:ascii="Times New Roman" w:hAnsi="Times New Roman" w:cs="Times New Roman"/>
          <w:i/>
          <w:iCs/>
        </w:rPr>
        <w:t xml:space="preserve"> </w:t>
      </w:r>
      <w:proofErr w:type="spellStart"/>
      <w:r w:rsidR="009B65EB" w:rsidRPr="000B6FDE">
        <w:rPr>
          <w:rFonts w:ascii="Times New Roman" w:hAnsi="Times New Roman" w:cs="Times New Roman"/>
          <w:i/>
          <w:iCs/>
        </w:rPr>
        <w:t>of</w:t>
      </w:r>
      <w:proofErr w:type="spellEnd"/>
      <w:r w:rsidR="009B65EB" w:rsidRPr="000B6FDE">
        <w:rPr>
          <w:rFonts w:ascii="Times New Roman" w:hAnsi="Times New Roman" w:cs="Times New Roman"/>
          <w:i/>
          <w:iCs/>
        </w:rPr>
        <w:t xml:space="preserve"> </w:t>
      </w:r>
      <w:proofErr w:type="spellStart"/>
      <w:r w:rsidR="009B65EB" w:rsidRPr="000B6FDE">
        <w:rPr>
          <w:rFonts w:ascii="Times New Roman" w:hAnsi="Times New Roman" w:cs="Times New Roman"/>
          <w:i/>
          <w:iCs/>
        </w:rPr>
        <w:t>Government</w:t>
      </w:r>
      <w:proofErr w:type="spellEnd"/>
      <w:r w:rsidR="009B65EB" w:rsidRPr="00684AD9">
        <w:rPr>
          <w:rFonts w:ascii="Times New Roman" w:hAnsi="Times New Roman" w:cs="Times New Roman"/>
        </w:rPr>
        <w:t>)</w:t>
      </w:r>
      <w:r w:rsidR="00161129" w:rsidRPr="00684AD9">
        <w:rPr>
          <w:rFonts w:ascii="Times New Roman" w:hAnsi="Times New Roman" w:cs="Times New Roman"/>
        </w:rPr>
        <w:t xml:space="preserve"> pamata</w:t>
      </w:r>
      <w:r w:rsidR="009B65EB" w:rsidRPr="00684AD9">
        <w:rPr>
          <w:rFonts w:ascii="Times New Roman" w:hAnsi="Times New Roman" w:cs="Times New Roman"/>
        </w:rPr>
        <w:t>, kas 1999.</w:t>
      </w:r>
      <w:r w:rsidR="00AE39B7">
        <w:rPr>
          <w:rFonts w:ascii="Times New Roman" w:hAnsi="Times New Roman" w:cs="Times New Roman"/>
        </w:rPr>
        <w:t> </w:t>
      </w:r>
      <w:r w:rsidR="009B65EB" w:rsidRPr="00684AD9">
        <w:rPr>
          <w:rFonts w:ascii="Times New Roman" w:hAnsi="Times New Roman" w:cs="Times New Roman"/>
        </w:rPr>
        <w:t xml:space="preserve">gadā pieņemta Apvienoto Nāciju organizācijā (ANO), </w:t>
      </w:r>
      <w:r w:rsidR="00E461EF" w:rsidRPr="00684AD9">
        <w:rPr>
          <w:rFonts w:ascii="Times New Roman" w:hAnsi="Times New Roman" w:cs="Times New Roman"/>
        </w:rPr>
        <w:t xml:space="preserve">un </w:t>
      </w:r>
      <w:r w:rsidR="009B65EB" w:rsidRPr="00684AD9">
        <w:rPr>
          <w:rFonts w:ascii="Times New Roman" w:hAnsi="Times New Roman" w:cs="Times New Roman"/>
        </w:rPr>
        <w:t>ko izmanto virkne pasaules valstu, starptautisku savienību un organizāciju, tai skaitā E</w:t>
      </w:r>
      <w:r w:rsidR="00AE39B7">
        <w:rPr>
          <w:rFonts w:ascii="Times New Roman" w:hAnsi="Times New Roman" w:cs="Times New Roman"/>
        </w:rPr>
        <w:t>i</w:t>
      </w:r>
      <w:r w:rsidR="003D29F8">
        <w:rPr>
          <w:rFonts w:ascii="Times New Roman" w:hAnsi="Times New Roman" w:cs="Times New Roman"/>
        </w:rPr>
        <w:t xml:space="preserve">ropas </w:t>
      </w:r>
      <w:r w:rsidR="009B65EB" w:rsidRPr="00684AD9">
        <w:rPr>
          <w:rFonts w:ascii="Times New Roman" w:hAnsi="Times New Roman" w:cs="Times New Roman"/>
        </w:rPr>
        <w:t>S</w:t>
      </w:r>
      <w:r w:rsidR="003D29F8">
        <w:rPr>
          <w:rFonts w:ascii="Times New Roman" w:hAnsi="Times New Roman" w:cs="Times New Roman"/>
        </w:rPr>
        <w:t>avienība</w:t>
      </w:r>
      <w:r w:rsidR="00E461EF" w:rsidRPr="00684AD9">
        <w:rPr>
          <w:rFonts w:ascii="Times New Roman" w:hAnsi="Times New Roman" w:cs="Times New Roman"/>
        </w:rPr>
        <w:t xml:space="preserve"> un</w:t>
      </w:r>
      <w:r w:rsidR="009B65EB" w:rsidRPr="00684AD9">
        <w:rPr>
          <w:rFonts w:ascii="Times New Roman" w:hAnsi="Times New Roman" w:cs="Times New Roman"/>
        </w:rPr>
        <w:t xml:space="preserve"> </w:t>
      </w:r>
      <w:proofErr w:type="spellStart"/>
      <w:r w:rsidR="009B65EB" w:rsidRPr="000B6FDE">
        <w:rPr>
          <w:rFonts w:ascii="Times New Roman" w:hAnsi="Times New Roman" w:cs="Times New Roman"/>
          <w:i/>
          <w:iCs/>
        </w:rPr>
        <w:t>Eurostat</w:t>
      </w:r>
      <w:proofErr w:type="spellEnd"/>
      <w:r w:rsidR="009B65EB" w:rsidRPr="00684AD9">
        <w:rPr>
          <w:rFonts w:ascii="Times New Roman" w:hAnsi="Times New Roman" w:cs="Times New Roman"/>
        </w:rPr>
        <w:t>. Latvijā šī klasifikācija valsts budžeta un pašvaldību budžetu izdevumiem tiek izmantota kopš 2007.</w:t>
      </w:r>
      <w:r w:rsidR="003D29F8">
        <w:rPr>
          <w:rFonts w:ascii="Times New Roman" w:hAnsi="Times New Roman" w:cs="Times New Roman"/>
        </w:rPr>
        <w:t> </w:t>
      </w:r>
      <w:r w:rsidR="009B65EB" w:rsidRPr="00684AD9">
        <w:rPr>
          <w:rFonts w:ascii="Times New Roman" w:hAnsi="Times New Roman" w:cs="Times New Roman"/>
        </w:rPr>
        <w:t xml:space="preserve">gada. </w:t>
      </w:r>
      <w:r w:rsidR="00E70080" w:rsidRPr="00684AD9">
        <w:rPr>
          <w:rFonts w:ascii="Times New Roman" w:hAnsi="Times New Roman" w:cs="Times New Roman"/>
        </w:rPr>
        <w:t>Tas parāda dalībvalsts izdevumus pret konkrētu mērķi (valdības funkciju), nevis pret ekonomiskajām kategorijām (patēriņš, kapitālieguldījumiem u.c.).</w:t>
      </w:r>
    </w:p>
    <w:p w14:paraId="67522C2E" w14:textId="78259548" w:rsidR="00D16A71" w:rsidRPr="00684AD9" w:rsidRDefault="00D16A71"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Vadlīnijās ietvertie principi pamatojas uz spēkā esošajiem normatīvajiem aktiem</w:t>
      </w:r>
      <w:r w:rsidR="00E461EF" w:rsidRPr="00684AD9">
        <w:rPr>
          <w:rFonts w:ascii="Times New Roman" w:hAnsi="Times New Roman" w:cs="Times New Roman"/>
        </w:rPr>
        <w:t>.</w:t>
      </w:r>
      <w:r w:rsidRPr="00684AD9">
        <w:rPr>
          <w:rFonts w:ascii="Times New Roman" w:hAnsi="Times New Roman" w:cs="Times New Roman"/>
        </w:rPr>
        <w:t xml:space="preserve"> </w:t>
      </w:r>
      <w:r w:rsidR="00E461EF" w:rsidRPr="00684AD9">
        <w:rPr>
          <w:rFonts w:ascii="Times New Roman" w:hAnsi="Times New Roman" w:cs="Times New Roman"/>
        </w:rPr>
        <w:t>J</w:t>
      </w:r>
      <w:r w:rsidRPr="00684AD9">
        <w:rPr>
          <w:rFonts w:ascii="Times New Roman" w:hAnsi="Times New Roman" w:cs="Times New Roman"/>
        </w:rPr>
        <w:t>a notiek izmaiņas attiecīgajos normatīvajos aktos, tad tas var ietekmēt vadlīnijās ietverto principu piemērošanu. Lai nodrošinātu pašvaldību administratīvo izdevumu indikatoru argumentētu un kvalitatīvu izstrādi un secīgu atlasi, tika definēti seši indikatoru atlases kritēriji:</w:t>
      </w:r>
    </w:p>
    <w:p w14:paraId="5675C2A4" w14:textId="77777777" w:rsidR="00D16A71" w:rsidRPr="00684AD9" w:rsidRDefault="00D16A71" w:rsidP="006346E1">
      <w:pPr>
        <w:pStyle w:val="NormalWeb"/>
        <w:numPr>
          <w:ilvl w:val="0"/>
          <w:numId w:val="9"/>
        </w:numPr>
        <w:spacing w:before="0" w:beforeAutospacing="0" w:after="0" w:afterAutospacing="0"/>
        <w:ind w:left="714" w:hanging="357"/>
        <w:jc w:val="both"/>
        <w:rPr>
          <w:rFonts w:ascii="Times New Roman" w:hAnsi="Times New Roman" w:cs="Times New Roman"/>
        </w:rPr>
      </w:pPr>
      <w:r w:rsidRPr="00684AD9">
        <w:rPr>
          <w:rFonts w:ascii="Times New Roman" w:hAnsi="Times New Roman" w:cs="Times New Roman"/>
        </w:rPr>
        <w:t xml:space="preserve">indikatora rezultāti ir salīdzināmi starp </w:t>
      </w:r>
      <w:r w:rsidR="00855601" w:rsidRPr="00684AD9">
        <w:rPr>
          <w:rFonts w:ascii="Times New Roman" w:hAnsi="Times New Roman" w:cs="Times New Roman"/>
        </w:rPr>
        <w:t>pašvaldībām</w:t>
      </w:r>
      <w:r w:rsidRPr="00684AD9">
        <w:rPr>
          <w:rFonts w:ascii="Times New Roman" w:hAnsi="Times New Roman" w:cs="Times New Roman"/>
        </w:rPr>
        <w:t xml:space="preserve">, neatkarīgi no </w:t>
      </w:r>
      <w:r w:rsidR="00855601" w:rsidRPr="00684AD9">
        <w:rPr>
          <w:rFonts w:ascii="Times New Roman" w:hAnsi="Times New Roman" w:cs="Times New Roman"/>
        </w:rPr>
        <w:t>pašvaldību atrašanās vietas un lieluma</w:t>
      </w:r>
      <w:r w:rsidRPr="00684AD9">
        <w:rPr>
          <w:rFonts w:ascii="Times New Roman" w:hAnsi="Times New Roman" w:cs="Times New Roman"/>
        </w:rPr>
        <w:t>;</w:t>
      </w:r>
    </w:p>
    <w:p w14:paraId="7EB8F6EC" w14:textId="77777777" w:rsidR="00D16A71" w:rsidRPr="00684AD9" w:rsidRDefault="00D16A71" w:rsidP="006346E1">
      <w:pPr>
        <w:pStyle w:val="NormalWeb"/>
        <w:numPr>
          <w:ilvl w:val="0"/>
          <w:numId w:val="9"/>
        </w:numPr>
        <w:spacing w:before="0" w:beforeAutospacing="0" w:after="0" w:afterAutospacing="0"/>
        <w:ind w:left="714" w:hanging="357"/>
        <w:jc w:val="both"/>
        <w:rPr>
          <w:rFonts w:ascii="Times New Roman" w:hAnsi="Times New Roman" w:cs="Times New Roman"/>
        </w:rPr>
      </w:pPr>
      <w:r w:rsidRPr="00684AD9">
        <w:rPr>
          <w:rFonts w:ascii="Times New Roman" w:hAnsi="Times New Roman" w:cs="Times New Roman"/>
        </w:rPr>
        <w:t>pastāv iespēja veikt indikatora efektivitātes paaugstināšanu, kas potenciāli nodrošinātu indikatora vērtības uzlabošanos;</w:t>
      </w:r>
    </w:p>
    <w:p w14:paraId="18E5CAC6" w14:textId="77777777" w:rsidR="00D16A71" w:rsidRPr="00684AD9" w:rsidRDefault="00D16A71" w:rsidP="006346E1">
      <w:pPr>
        <w:pStyle w:val="NormalWeb"/>
        <w:numPr>
          <w:ilvl w:val="0"/>
          <w:numId w:val="9"/>
        </w:numPr>
        <w:spacing w:before="0" w:beforeAutospacing="0" w:after="0" w:afterAutospacing="0"/>
        <w:ind w:left="714" w:hanging="357"/>
        <w:jc w:val="both"/>
        <w:rPr>
          <w:rFonts w:ascii="Times New Roman" w:hAnsi="Times New Roman" w:cs="Times New Roman"/>
        </w:rPr>
      </w:pPr>
      <w:r w:rsidRPr="00684AD9">
        <w:rPr>
          <w:rFonts w:ascii="Times New Roman" w:hAnsi="Times New Roman" w:cs="Times New Roman"/>
        </w:rPr>
        <w:t xml:space="preserve">administratīvo procedūru apjoms, kas ir ieguldāms indikatora aprēķināšanā, ir adekvāts tam ieguvumam, ko </w:t>
      </w:r>
      <w:r w:rsidR="00B53734" w:rsidRPr="00684AD9">
        <w:rPr>
          <w:rFonts w:ascii="Times New Roman" w:hAnsi="Times New Roman" w:cs="Times New Roman"/>
        </w:rPr>
        <w:t>pašvaldībai</w:t>
      </w:r>
      <w:r w:rsidRPr="00684AD9">
        <w:rPr>
          <w:rFonts w:ascii="Times New Roman" w:hAnsi="Times New Roman" w:cs="Times New Roman"/>
        </w:rPr>
        <w:t xml:space="preserve"> un sabiedrībai sniedz aprēķinātā indikatora vērtība;</w:t>
      </w:r>
    </w:p>
    <w:p w14:paraId="42A0DE54" w14:textId="77777777" w:rsidR="00D16A71" w:rsidRPr="00684AD9" w:rsidRDefault="00D16A71" w:rsidP="006346E1">
      <w:pPr>
        <w:pStyle w:val="NormalWeb"/>
        <w:numPr>
          <w:ilvl w:val="0"/>
          <w:numId w:val="9"/>
        </w:numPr>
        <w:spacing w:before="0" w:beforeAutospacing="0" w:after="0" w:afterAutospacing="0"/>
        <w:ind w:left="714" w:hanging="357"/>
        <w:jc w:val="both"/>
        <w:rPr>
          <w:rFonts w:ascii="Times New Roman" w:hAnsi="Times New Roman" w:cs="Times New Roman"/>
        </w:rPr>
      </w:pPr>
      <w:r w:rsidRPr="00684AD9">
        <w:rPr>
          <w:rFonts w:ascii="Times New Roman" w:hAnsi="Times New Roman" w:cs="Times New Roman"/>
        </w:rPr>
        <w:t>indikatora būtība ir viegli saprotama publiskās pārvaldes un aktīvās sabiedrības pārstāvjiem, kā arī aprēķinātā indikatora vērtība ir viennozīmīgi interpretējama;</w:t>
      </w:r>
    </w:p>
    <w:p w14:paraId="307E1289" w14:textId="77777777" w:rsidR="00D16A71" w:rsidRPr="00684AD9" w:rsidRDefault="00D16A71" w:rsidP="006346E1">
      <w:pPr>
        <w:pStyle w:val="NormalWeb"/>
        <w:numPr>
          <w:ilvl w:val="0"/>
          <w:numId w:val="9"/>
        </w:numPr>
        <w:spacing w:before="0" w:beforeAutospacing="0" w:after="0" w:afterAutospacing="0"/>
        <w:ind w:left="714" w:hanging="357"/>
        <w:jc w:val="both"/>
        <w:rPr>
          <w:rFonts w:ascii="Times New Roman" w:hAnsi="Times New Roman" w:cs="Times New Roman"/>
        </w:rPr>
      </w:pPr>
      <w:r w:rsidRPr="00684AD9">
        <w:rPr>
          <w:rFonts w:ascii="Times New Roman" w:hAnsi="Times New Roman" w:cs="Times New Roman"/>
        </w:rPr>
        <w:t>indikatoram var noteikt ekonomiski, statistiski vai empīriski pamatotas atsauces vērtības;</w:t>
      </w:r>
    </w:p>
    <w:p w14:paraId="6F99D953" w14:textId="77777777" w:rsidR="00D30547" w:rsidRPr="00684AD9" w:rsidRDefault="00D16A71" w:rsidP="006346E1">
      <w:pPr>
        <w:pStyle w:val="NormalWeb"/>
        <w:numPr>
          <w:ilvl w:val="0"/>
          <w:numId w:val="9"/>
        </w:numPr>
        <w:spacing w:before="0" w:beforeAutospacing="0" w:after="120" w:afterAutospacing="0"/>
        <w:ind w:left="714" w:hanging="357"/>
        <w:jc w:val="both"/>
        <w:rPr>
          <w:rFonts w:ascii="Times New Roman" w:hAnsi="Times New Roman" w:cs="Times New Roman"/>
        </w:rPr>
      </w:pPr>
      <w:r w:rsidRPr="00684AD9">
        <w:rPr>
          <w:rFonts w:ascii="Times New Roman" w:hAnsi="Times New Roman" w:cs="Times New Roman"/>
        </w:rPr>
        <w:t>daļa no indikatoriem ir starptautiski atzīti un praktizēti publiskajā pārvaldē</w:t>
      </w:r>
      <w:r w:rsidR="00A218FA" w:rsidRPr="00684AD9">
        <w:rPr>
          <w:rFonts w:ascii="Times New Roman" w:hAnsi="Times New Roman" w:cs="Times New Roman"/>
        </w:rPr>
        <w:t>.</w:t>
      </w:r>
    </w:p>
    <w:p w14:paraId="7C3330E5" w14:textId="77777777" w:rsidR="000A3C1A" w:rsidRPr="00684AD9" w:rsidRDefault="000A3C1A"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Ņemot par pamatu pēc uzkrāšanas principa uzskaitītos izdevumus, aprēķinātās indikatoru vērtības raksturo faktisko izdevumu apjomu uz vienu vienību (uz vienu iedzīvotāju) neatkarīgi no šo izdevumu apmaksas brīža, atspoguļojot apmaksāto/iegādāto resursu (pamatā preču un pakalpojumu) faktisko izlietojumu noteiktā pārskata periodā. Indikatori, kas ir aprēķināti pēc uzkrāšanas principa, ir piemēroti veikto izdevumu analīzei un salīdzināšanai.</w:t>
      </w:r>
    </w:p>
    <w:p w14:paraId="0436BD3B" w14:textId="77777777" w:rsidR="00684AD9" w:rsidRDefault="00684AD9" w:rsidP="006346E1">
      <w:pPr>
        <w:pStyle w:val="NormalWeb"/>
        <w:jc w:val="center"/>
        <w:rPr>
          <w:rFonts w:ascii="Times New Roman" w:hAnsi="Times New Roman" w:cs="Times New Roman"/>
          <w:b/>
        </w:rPr>
      </w:pPr>
    </w:p>
    <w:p w14:paraId="2BC3336B" w14:textId="77777777" w:rsidR="00684AD9" w:rsidRDefault="00684AD9" w:rsidP="006346E1">
      <w:pPr>
        <w:pStyle w:val="NormalWeb"/>
        <w:jc w:val="center"/>
        <w:rPr>
          <w:rFonts w:ascii="Times New Roman" w:hAnsi="Times New Roman" w:cs="Times New Roman"/>
          <w:b/>
        </w:rPr>
      </w:pPr>
    </w:p>
    <w:p w14:paraId="52E7C92F" w14:textId="75A0900D" w:rsidR="000A3C1A" w:rsidRPr="00684AD9" w:rsidRDefault="009772DB" w:rsidP="006346E1">
      <w:pPr>
        <w:pStyle w:val="NormalWeb"/>
        <w:jc w:val="center"/>
        <w:rPr>
          <w:rFonts w:ascii="Times New Roman" w:hAnsi="Times New Roman" w:cs="Times New Roman"/>
          <w:b/>
        </w:rPr>
      </w:pPr>
      <w:r w:rsidRPr="00684AD9">
        <w:rPr>
          <w:rFonts w:ascii="Times New Roman" w:hAnsi="Times New Roman" w:cs="Times New Roman"/>
          <w:b/>
        </w:rPr>
        <w:lastRenderedPageBreak/>
        <w:t>Esošās situācijas identificētās problēmas</w:t>
      </w:r>
    </w:p>
    <w:p w14:paraId="211E03FE" w14:textId="70455821" w:rsidR="00535A95" w:rsidRPr="00684AD9" w:rsidRDefault="00535A95"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Šobrīd analizējot pašvaldību datus </w:t>
      </w:r>
      <w:r w:rsidR="001437B2" w:rsidRPr="00684AD9">
        <w:rPr>
          <w:rFonts w:ascii="Times New Roman" w:hAnsi="Times New Roman" w:cs="Times New Roman"/>
        </w:rPr>
        <w:t>četru</w:t>
      </w:r>
      <w:r w:rsidR="008931A1" w:rsidRPr="00684AD9">
        <w:rPr>
          <w:rFonts w:ascii="Times New Roman" w:hAnsi="Times New Roman" w:cs="Times New Roman"/>
        </w:rPr>
        <w:t xml:space="preserve"> gadu griezumā (2021.</w:t>
      </w:r>
      <w:r w:rsidR="001437B2" w:rsidRPr="00684AD9">
        <w:rPr>
          <w:rFonts w:ascii="Times New Roman" w:hAnsi="Times New Roman" w:cs="Times New Roman"/>
        </w:rPr>
        <w:t>–</w:t>
      </w:r>
      <w:r w:rsidR="008931A1" w:rsidRPr="00684AD9">
        <w:rPr>
          <w:rFonts w:ascii="Times New Roman" w:hAnsi="Times New Roman" w:cs="Times New Roman"/>
        </w:rPr>
        <w:t>2024.</w:t>
      </w:r>
      <w:r w:rsidR="001437B2" w:rsidRPr="00684AD9">
        <w:rPr>
          <w:rFonts w:ascii="Times New Roman" w:hAnsi="Times New Roman" w:cs="Times New Roman"/>
        </w:rPr>
        <w:t> </w:t>
      </w:r>
      <w:r w:rsidR="008931A1" w:rsidRPr="00684AD9">
        <w:rPr>
          <w:rFonts w:ascii="Times New Roman" w:hAnsi="Times New Roman" w:cs="Times New Roman"/>
        </w:rPr>
        <w:t>g</w:t>
      </w:r>
      <w:r w:rsidR="001437B2" w:rsidRPr="00684AD9">
        <w:rPr>
          <w:rFonts w:ascii="Times New Roman" w:hAnsi="Times New Roman" w:cs="Times New Roman"/>
        </w:rPr>
        <w:t>ads</w:t>
      </w:r>
      <w:r w:rsidR="008931A1" w:rsidRPr="00684AD9">
        <w:rPr>
          <w:rFonts w:ascii="Times New Roman" w:hAnsi="Times New Roman" w:cs="Times New Roman"/>
        </w:rPr>
        <w:t xml:space="preserve">) </w:t>
      </w:r>
      <w:r w:rsidR="00D30547" w:rsidRPr="00684AD9">
        <w:rPr>
          <w:rFonts w:ascii="Times New Roman" w:hAnsi="Times New Roman" w:cs="Times New Roman"/>
        </w:rPr>
        <w:t>atzīmēj</w:t>
      </w:r>
      <w:r w:rsidRPr="00684AD9">
        <w:rPr>
          <w:rFonts w:ascii="Times New Roman" w:hAnsi="Times New Roman" w:cs="Times New Roman"/>
        </w:rPr>
        <w:t>am</w:t>
      </w:r>
      <w:r w:rsidR="00D30547" w:rsidRPr="00684AD9">
        <w:rPr>
          <w:rFonts w:ascii="Times New Roman" w:hAnsi="Times New Roman" w:cs="Times New Roman"/>
        </w:rPr>
        <w:t>, ka nevienlīdzība pašvaldību starpā ir liela, piemēram, administratīv</w:t>
      </w:r>
      <w:r w:rsidR="008F72BF" w:rsidRPr="00684AD9">
        <w:rPr>
          <w:rFonts w:ascii="Times New Roman" w:hAnsi="Times New Roman" w:cs="Times New Roman"/>
        </w:rPr>
        <w:t>ie</w:t>
      </w:r>
      <w:r w:rsidR="00D30547" w:rsidRPr="00684AD9">
        <w:rPr>
          <w:rFonts w:ascii="Times New Roman" w:hAnsi="Times New Roman" w:cs="Times New Roman"/>
        </w:rPr>
        <w:t xml:space="preserve"> </w:t>
      </w:r>
      <w:r w:rsidR="008F72BF" w:rsidRPr="00684AD9">
        <w:rPr>
          <w:rFonts w:ascii="Times New Roman" w:hAnsi="Times New Roman" w:cs="Times New Roman"/>
        </w:rPr>
        <w:t>izdevumi</w:t>
      </w:r>
      <w:r w:rsidR="00D30547" w:rsidRPr="00684AD9">
        <w:rPr>
          <w:rFonts w:ascii="Times New Roman" w:hAnsi="Times New Roman" w:cs="Times New Roman"/>
        </w:rPr>
        <w:t xml:space="preserve"> </w:t>
      </w:r>
      <w:r w:rsidR="004B2344" w:rsidRPr="00684AD9">
        <w:rPr>
          <w:rFonts w:ascii="Times New Roman" w:hAnsi="Times New Roman" w:cs="Times New Roman"/>
        </w:rPr>
        <w:t xml:space="preserve">uz vienu iedzīvotāju </w:t>
      </w:r>
      <w:r w:rsidR="00D30547" w:rsidRPr="00684AD9">
        <w:rPr>
          <w:rFonts w:ascii="Times New Roman" w:hAnsi="Times New Roman" w:cs="Times New Roman"/>
        </w:rPr>
        <w:t xml:space="preserve">pašvaldībās svārstās no </w:t>
      </w:r>
      <w:r w:rsidR="00CC71E2" w:rsidRPr="00684AD9">
        <w:rPr>
          <w:rFonts w:ascii="Times New Roman" w:hAnsi="Times New Roman" w:cs="Times New Roman"/>
        </w:rPr>
        <w:t xml:space="preserve">52 </w:t>
      </w:r>
      <w:proofErr w:type="spellStart"/>
      <w:r w:rsidR="002A6638" w:rsidRPr="00684E98">
        <w:rPr>
          <w:rFonts w:ascii="Times New Roman" w:hAnsi="Times New Roman" w:cs="Times New Roman"/>
          <w:i/>
          <w:iCs/>
        </w:rPr>
        <w:t>euro</w:t>
      </w:r>
      <w:proofErr w:type="spellEnd"/>
      <w:r w:rsidR="00D30547" w:rsidRPr="00684AD9">
        <w:rPr>
          <w:rFonts w:ascii="Times New Roman" w:hAnsi="Times New Roman" w:cs="Times New Roman"/>
        </w:rPr>
        <w:t xml:space="preserve"> līdz 2</w:t>
      </w:r>
      <w:r w:rsidR="00CC71E2" w:rsidRPr="00684AD9">
        <w:rPr>
          <w:rFonts w:ascii="Times New Roman" w:hAnsi="Times New Roman" w:cs="Times New Roman"/>
        </w:rPr>
        <w:t>5</w:t>
      </w:r>
      <w:r w:rsidR="009772DB" w:rsidRPr="00684AD9">
        <w:rPr>
          <w:rFonts w:ascii="Times New Roman" w:hAnsi="Times New Roman" w:cs="Times New Roman"/>
        </w:rPr>
        <w:t>9</w:t>
      </w:r>
      <w:r w:rsidR="00684AD9">
        <w:rPr>
          <w:rFonts w:ascii="Times New Roman" w:hAnsi="Times New Roman" w:cs="Times New Roman"/>
        </w:rPr>
        <w:t> </w:t>
      </w:r>
      <w:proofErr w:type="spellStart"/>
      <w:r w:rsidR="001437B2" w:rsidRPr="00684AD9">
        <w:rPr>
          <w:rFonts w:ascii="Times New Roman" w:hAnsi="Times New Roman" w:cs="Times New Roman"/>
          <w:i/>
          <w:iCs/>
        </w:rPr>
        <w:t>euro</w:t>
      </w:r>
      <w:proofErr w:type="spellEnd"/>
      <w:r w:rsidR="00D30547" w:rsidRPr="00684AD9">
        <w:rPr>
          <w:rFonts w:ascii="Times New Roman" w:hAnsi="Times New Roman" w:cs="Times New Roman"/>
        </w:rPr>
        <w:t xml:space="preserve">. </w:t>
      </w:r>
      <w:r w:rsidR="009772DB" w:rsidRPr="00684AD9">
        <w:rPr>
          <w:rFonts w:ascii="Times New Roman" w:hAnsi="Times New Roman" w:cs="Times New Roman"/>
        </w:rPr>
        <w:t>Tāpat analizējot izdevumu īpatsvaru (%) kopējos izdevumos svārstība ir būtiska no 2</w:t>
      </w:r>
      <w:r w:rsidR="00684AD9">
        <w:rPr>
          <w:rFonts w:ascii="Times New Roman" w:hAnsi="Times New Roman" w:cs="Times New Roman"/>
        </w:rPr>
        <w:t>,</w:t>
      </w:r>
      <w:r w:rsidR="00181DAF" w:rsidRPr="00684AD9">
        <w:rPr>
          <w:rFonts w:ascii="Times New Roman" w:hAnsi="Times New Roman" w:cs="Times New Roman"/>
        </w:rPr>
        <w:t>74</w:t>
      </w:r>
      <w:r w:rsidR="002A6638" w:rsidRPr="00684AD9">
        <w:rPr>
          <w:rFonts w:ascii="Times New Roman" w:hAnsi="Times New Roman" w:cs="Times New Roman"/>
        </w:rPr>
        <w:t xml:space="preserve">% </w:t>
      </w:r>
      <w:r w:rsidR="009772DB" w:rsidRPr="00684AD9">
        <w:rPr>
          <w:rFonts w:ascii="Times New Roman" w:hAnsi="Times New Roman" w:cs="Times New Roman"/>
        </w:rPr>
        <w:t xml:space="preserve">līdz </w:t>
      </w:r>
      <w:r w:rsidR="00181DAF" w:rsidRPr="00684AD9">
        <w:rPr>
          <w:rFonts w:ascii="Times New Roman" w:hAnsi="Times New Roman" w:cs="Times New Roman"/>
        </w:rPr>
        <w:t>15,84</w:t>
      </w:r>
      <w:r w:rsidR="009772DB" w:rsidRPr="00684AD9">
        <w:rPr>
          <w:rFonts w:ascii="Times New Roman" w:hAnsi="Times New Roman" w:cs="Times New Roman"/>
        </w:rPr>
        <w:t>%.</w:t>
      </w:r>
    </w:p>
    <w:p w14:paraId="178BDAAD" w14:textId="75FC9460" w:rsidR="008248C8" w:rsidRPr="00684AD9" w:rsidRDefault="008248C8"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Neskatoties uz plašo ikdienas pielietojumu, Latvijas normatīvajos aktos nav definēts jēdziens </w:t>
      </w:r>
      <w:r w:rsidR="001437B2" w:rsidRPr="00684AD9">
        <w:rPr>
          <w:rFonts w:ascii="Times New Roman" w:hAnsi="Times New Roman" w:cs="Times New Roman"/>
        </w:rPr>
        <w:t>“</w:t>
      </w:r>
      <w:r w:rsidRPr="00684E98">
        <w:rPr>
          <w:rFonts w:ascii="Times New Roman" w:hAnsi="Times New Roman" w:cs="Times New Roman"/>
          <w:i/>
          <w:iCs/>
        </w:rPr>
        <w:t>administratīvie izdevumi</w:t>
      </w:r>
      <w:r w:rsidRPr="00684AD9">
        <w:rPr>
          <w:rFonts w:ascii="Times New Roman" w:hAnsi="Times New Roman" w:cs="Times New Roman"/>
        </w:rPr>
        <w:t xml:space="preserve">”. Šo vadlīniju izpratnē administratīvie izdevumi ir </w:t>
      </w:r>
      <w:r w:rsidR="00B10F82" w:rsidRPr="00684AD9">
        <w:rPr>
          <w:rFonts w:ascii="Times New Roman" w:hAnsi="Times New Roman" w:cs="Times New Roman"/>
        </w:rPr>
        <w:t>pašvaldības</w:t>
      </w:r>
      <w:r w:rsidRPr="00684AD9">
        <w:rPr>
          <w:rFonts w:ascii="Times New Roman" w:hAnsi="Times New Roman" w:cs="Times New Roman"/>
        </w:rPr>
        <w:t xml:space="preserve"> pamatbudžeta pamatfunkciju īstenošanas daļas, kurās tiek </w:t>
      </w:r>
      <w:r w:rsidR="00EC1347" w:rsidRPr="00684AD9">
        <w:rPr>
          <w:rFonts w:ascii="Times New Roman" w:hAnsi="Times New Roman" w:cs="Times New Roman"/>
        </w:rPr>
        <w:t xml:space="preserve">plānoti </w:t>
      </w:r>
      <w:r w:rsidRPr="00684AD9">
        <w:rPr>
          <w:rFonts w:ascii="Times New Roman" w:hAnsi="Times New Roman" w:cs="Times New Roman"/>
        </w:rPr>
        <w:t>izdevumi</w:t>
      </w:r>
      <w:r w:rsidR="00864944" w:rsidRPr="00684AD9">
        <w:rPr>
          <w:rFonts w:ascii="Times New Roman" w:eastAsia="Calibri" w:hAnsi="Times New Roman" w:cs="Times New Roman"/>
        </w:rPr>
        <w:t xml:space="preserve"> atbilstoši funkcionālajai kategorijai 01.000</w:t>
      </w:r>
      <w:r w:rsidR="00864944" w:rsidRPr="00684AD9">
        <w:rPr>
          <w:rFonts w:ascii="Times New Roman" w:eastAsia="Times New Roman" w:hAnsi="Times New Roman" w:cs="Times New Roman"/>
        </w:rPr>
        <w:t xml:space="preserve"> </w:t>
      </w:r>
      <w:r w:rsidR="00864944" w:rsidRPr="000B6FDE">
        <w:rPr>
          <w:rFonts w:ascii="Times New Roman" w:eastAsia="Times New Roman" w:hAnsi="Times New Roman" w:cs="Times New Roman"/>
          <w:i/>
          <w:iCs/>
        </w:rPr>
        <w:t>Vispārēj</w:t>
      </w:r>
      <w:r w:rsidR="00294E2E">
        <w:rPr>
          <w:rFonts w:ascii="Times New Roman" w:eastAsia="Times New Roman" w:hAnsi="Times New Roman" w:cs="Times New Roman"/>
          <w:i/>
          <w:iCs/>
        </w:rPr>
        <w:t>ie</w:t>
      </w:r>
      <w:r w:rsidR="00864944" w:rsidRPr="000B6FDE">
        <w:rPr>
          <w:rFonts w:ascii="Times New Roman" w:eastAsia="Times New Roman" w:hAnsi="Times New Roman" w:cs="Times New Roman"/>
          <w:i/>
          <w:iCs/>
        </w:rPr>
        <w:t xml:space="preserve"> valdības dienesti</w:t>
      </w:r>
      <w:r w:rsidRPr="00684AD9">
        <w:rPr>
          <w:rFonts w:ascii="Times New Roman" w:hAnsi="Times New Roman" w:cs="Times New Roman"/>
        </w:rPr>
        <w:t xml:space="preserve">, kas ir paredzēti pašvaldības darbības nodrošināšanai. </w:t>
      </w:r>
    </w:p>
    <w:p w14:paraId="5CB9132E" w14:textId="677FB637" w:rsidR="00DA7FCB" w:rsidRPr="00684AD9" w:rsidRDefault="008248C8"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Detalizētu izdevumu tvērumu, kas ir attiecināms uz administratīvajiem izdevumiem</w:t>
      </w:r>
      <w:r w:rsidR="00864944" w:rsidRPr="00684AD9">
        <w:rPr>
          <w:rFonts w:ascii="Times New Roman" w:eastAsia="Calibri" w:hAnsi="Times New Roman" w:cs="Times New Roman"/>
        </w:rPr>
        <w:t xml:space="preserve"> atbilstoši funkcionālajai kategorijai 01.000</w:t>
      </w:r>
      <w:r w:rsidR="00864944" w:rsidRPr="00684AD9">
        <w:rPr>
          <w:rFonts w:ascii="Times New Roman" w:eastAsia="Times New Roman" w:hAnsi="Times New Roman" w:cs="Times New Roman"/>
        </w:rPr>
        <w:t xml:space="preserve"> </w:t>
      </w:r>
      <w:r w:rsidR="00864944" w:rsidRPr="000B6FDE">
        <w:rPr>
          <w:rFonts w:ascii="Times New Roman" w:eastAsia="Times New Roman" w:hAnsi="Times New Roman" w:cs="Times New Roman"/>
          <w:i/>
          <w:iCs/>
        </w:rPr>
        <w:t>Vispārēj</w:t>
      </w:r>
      <w:r w:rsidR="00294E2E">
        <w:rPr>
          <w:rFonts w:ascii="Times New Roman" w:eastAsia="Times New Roman" w:hAnsi="Times New Roman" w:cs="Times New Roman"/>
          <w:i/>
          <w:iCs/>
        </w:rPr>
        <w:t>ie</w:t>
      </w:r>
      <w:r w:rsidR="00864944" w:rsidRPr="000B6FDE">
        <w:rPr>
          <w:rFonts w:ascii="Times New Roman" w:eastAsia="Times New Roman" w:hAnsi="Times New Roman" w:cs="Times New Roman"/>
          <w:i/>
          <w:iCs/>
        </w:rPr>
        <w:t xml:space="preserve"> valdības dienesti</w:t>
      </w:r>
      <w:r w:rsidRPr="00684AD9">
        <w:rPr>
          <w:rFonts w:ascii="Times New Roman" w:hAnsi="Times New Roman" w:cs="Times New Roman"/>
        </w:rPr>
        <w:t>, skatīt šo vadlīniju 1.</w:t>
      </w:r>
      <w:r w:rsidR="00684AD9">
        <w:rPr>
          <w:rFonts w:ascii="Times New Roman" w:hAnsi="Times New Roman" w:cs="Times New Roman"/>
        </w:rPr>
        <w:t> </w:t>
      </w:r>
      <w:r w:rsidRPr="00684AD9">
        <w:rPr>
          <w:rFonts w:ascii="Times New Roman" w:hAnsi="Times New Roman" w:cs="Times New Roman"/>
        </w:rPr>
        <w:t xml:space="preserve">tabulā un tās aprakstā. </w:t>
      </w:r>
    </w:p>
    <w:p w14:paraId="6B50E98D" w14:textId="4321AED7" w:rsidR="008248C8" w:rsidRPr="00684AD9" w:rsidRDefault="008248C8"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Administratīvo izdevumu indikatorus iedala vispārējos indikatoros un specifiskajos indikatoros. Vispārējie indikatori novērtē kopējos administratīvos izdevumus, specifiskie indikatori novērtē administratīvos izdevumus atsevišķās kategorijās (piemēram, </w:t>
      </w:r>
      <w:r w:rsidR="00E0073D" w:rsidRPr="00684AD9">
        <w:rPr>
          <w:rFonts w:ascii="Times New Roman" w:hAnsi="Times New Roman" w:cs="Times New Roman"/>
        </w:rPr>
        <w:t>procentu maksājumi, pašvaldību budžetu iemaksas pašvaldību finanšu izlīdzināšanas fondā</w:t>
      </w:r>
      <w:r w:rsidRPr="00684AD9">
        <w:rPr>
          <w:rFonts w:ascii="Times New Roman" w:hAnsi="Times New Roman" w:cs="Times New Roman"/>
        </w:rPr>
        <w:t xml:space="preserve">). </w:t>
      </w:r>
    </w:p>
    <w:p w14:paraId="1A1CA3BC" w14:textId="47A6DFED" w:rsidR="00B10F82" w:rsidRPr="00684AD9" w:rsidRDefault="00B10F82" w:rsidP="006346E1">
      <w:pPr>
        <w:pStyle w:val="NormalWeb"/>
        <w:spacing w:before="0" w:beforeAutospacing="0" w:after="120" w:afterAutospacing="0"/>
        <w:jc w:val="right"/>
        <w:rPr>
          <w:rFonts w:ascii="Times New Roman" w:hAnsi="Times New Roman" w:cs="Times New Roman"/>
        </w:rPr>
      </w:pPr>
      <w:r w:rsidRPr="00684AD9">
        <w:rPr>
          <w:rFonts w:ascii="Times New Roman" w:hAnsi="Times New Roman" w:cs="Times New Roman"/>
        </w:rPr>
        <w:t>1.</w:t>
      </w:r>
      <w:r w:rsidR="00684AD9">
        <w:rPr>
          <w:rFonts w:ascii="Times New Roman" w:hAnsi="Times New Roman" w:cs="Times New Roman"/>
        </w:rPr>
        <w:t> </w:t>
      </w:r>
      <w:r w:rsidRPr="00684AD9">
        <w:rPr>
          <w:rFonts w:ascii="Times New Roman" w:hAnsi="Times New Roman" w:cs="Times New Roman"/>
        </w:rPr>
        <w:t>tabula</w:t>
      </w:r>
    </w:p>
    <w:p w14:paraId="57C23125" w14:textId="1D4EC788" w:rsidR="00E04963" w:rsidRPr="00684AD9" w:rsidRDefault="00E04963" w:rsidP="006346E1">
      <w:pPr>
        <w:spacing w:after="120" w:line="240" w:lineRule="auto"/>
        <w:jc w:val="both"/>
        <w:rPr>
          <w:rFonts w:ascii="Times New Roman" w:eastAsia="Times New Roman" w:hAnsi="Times New Roman" w:cs="Times New Roman"/>
          <w:sz w:val="24"/>
          <w:szCs w:val="24"/>
          <w:lang w:eastAsia="lv-LV"/>
        </w:rPr>
      </w:pPr>
      <w:r w:rsidRPr="00684AD9">
        <w:rPr>
          <w:rFonts w:ascii="Times New Roman" w:eastAsia="Calibri" w:hAnsi="Times New Roman" w:cs="Times New Roman"/>
          <w:sz w:val="24"/>
          <w:szCs w:val="24"/>
        </w:rPr>
        <w:t xml:space="preserve">Tabulā </w:t>
      </w:r>
      <w:r w:rsidR="00DC4C7B" w:rsidRPr="00684AD9">
        <w:rPr>
          <w:rFonts w:ascii="Times New Roman" w:eastAsia="Calibri" w:hAnsi="Times New Roman" w:cs="Times New Roman"/>
          <w:sz w:val="24"/>
          <w:szCs w:val="24"/>
        </w:rPr>
        <w:t>atspoguļot</w:t>
      </w:r>
      <w:r w:rsidR="00E461EF" w:rsidRPr="00684AD9">
        <w:rPr>
          <w:rFonts w:ascii="Times New Roman" w:eastAsia="Calibri" w:hAnsi="Times New Roman" w:cs="Times New Roman"/>
          <w:sz w:val="24"/>
          <w:szCs w:val="24"/>
        </w:rPr>
        <w:t>i</w:t>
      </w:r>
      <w:r w:rsidRPr="00684AD9">
        <w:rPr>
          <w:rFonts w:ascii="Times New Roman" w:eastAsia="Calibri" w:hAnsi="Times New Roman" w:cs="Times New Roman"/>
          <w:sz w:val="24"/>
          <w:szCs w:val="24"/>
        </w:rPr>
        <w:t xml:space="preserve"> </w:t>
      </w:r>
      <w:r w:rsidR="00DC4C7B" w:rsidRPr="00684AD9">
        <w:rPr>
          <w:rFonts w:ascii="Times New Roman" w:eastAsia="Calibri" w:hAnsi="Times New Roman" w:cs="Times New Roman"/>
          <w:sz w:val="24"/>
          <w:szCs w:val="24"/>
        </w:rPr>
        <w:t xml:space="preserve">pašvaldību </w:t>
      </w:r>
      <w:r w:rsidRPr="00684AD9">
        <w:rPr>
          <w:rFonts w:ascii="Times New Roman" w:eastAsia="Calibri" w:hAnsi="Times New Roman" w:cs="Times New Roman"/>
          <w:sz w:val="24"/>
          <w:szCs w:val="24"/>
        </w:rPr>
        <w:t>budžetu izdevum</w:t>
      </w:r>
      <w:r w:rsidR="00DC4C7B" w:rsidRPr="00684AD9">
        <w:rPr>
          <w:rFonts w:ascii="Times New Roman" w:eastAsia="Calibri" w:hAnsi="Times New Roman" w:cs="Times New Roman"/>
          <w:sz w:val="24"/>
          <w:szCs w:val="24"/>
        </w:rPr>
        <w:t>i</w:t>
      </w:r>
      <w:r w:rsidRPr="00684AD9">
        <w:rPr>
          <w:rFonts w:ascii="Times New Roman" w:eastAsia="Calibri" w:hAnsi="Times New Roman" w:cs="Times New Roman"/>
          <w:sz w:val="24"/>
          <w:szCs w:val="24"/>
        </w:rPr>
        <w:t xml:space="preserve"> atbilstoši funkcionālajai kategorijai 01.000</w:t>
      </w:r>
      <w:r w:rsidRPr="00684AD9">
        <w:rPr>
          <w:rFonts w:ascii="Times New Roman" w:eastAsia="Times New Roman" w:hAnsi="Times New Roman" w:cs="Times New Roman"/>
          <w:sz w:val="24"/>
          <w:szCs w:val="24"/>
          <w:lang w:eastAsia="lv-LV"/>
        </w:rPr>
        <w:t xml:space="preserve"> </w:t>
      </w:r>
      <w:r w:rsidR="00DC4C7B" w:rsidRPr="000B6FDE">
        <w:rPr>
          <w:rFonts w:ascii="Times New Roman" w:eastAsia="Times New Roman" w:hAnsi="Times New Roman" w:cs="Times New Roman"/>
          <w:i/>
          <w:iCs/>
          <w:sz w:val="24"/>
          <w:szCs w:val="24"/>
          <w:lang w:eastAsia="lv-LV"/>
        </w:rPr>
        <w:t>V</w:t>
      </w:r>
      <w:r w:rsidRPr="000B6FDE">
        <w:rPr>
          <w:rFonts w:ascii="Times New Roman" w:eastAsia="Times New Roman" w:hAnsi="Times New Roman" w:cs="Times New Roman"/>
          <w:i/>
          <w:iCs/>
          <w:sz w:val="24"/>
          <w:szCs w:val="24"/>
          <w:lang w:eastAsia="lv-LV"/>
        </w:rPr>
        <w:t>ispārēj</w:t>
      </w:r>
      <w:r w:rsidR="00294E2E">
        <w:rPr>
          <w:rFonts w:ascii="Times New Roman" w:eastAsia="Times New Roman" w:hAnsi="Times New Roman" w:cs="Times New Roman"/>
          <w:i/>
          <w:iCs/>
          <w:sz w:val="24"/>
          <w:szCs w:val="24"/>
          <w:lang w:eastAsia="lv-LV"/>
        </w:rPr>
        <w:t>ie</w:t>
      </w:r>
      <w:r w:rsidRPr="000B6FDE">
        <w:rPr>
          <w:rFonts w:ascii="Times New Roman" w:eastAsia="Times New Roman" w:hAnsi="Times New Roman" w:cs="Times New Roman"/>
          <w:i/>
          <w:iCs/>
          <w:sz w:val="24"/>
          <w:szCs w:val="24"/>
          <w:lang w:eastAsia="lv-LV"/>
        </w:rPr>
        <w:t xml:space="preserve"> valdības </w:t>
      </w:r>
      <w:r w:rsidR="00DC4C7B" w:rsidRPr="000B6FDE">
        <w:rPr>
          <w:rFonts w:ascii="Times New Roman" w:eastAsia="Times New Roman" w:hAnsi="Times New Roman" w:cs="Times New Roman"/>
          <w:i/>
          <w:iCs/>
          <w:sz w:val="24"/>
          <w:szCs w:val="24"/>
          <w:lang w:eastAsia="lv-LV"/>
        </w:rPr>
        <w:t>dienesti</w:t>
      </w:r>
      <w:r w:rsidR="00816F81" w:rsidRPr="00684AD9">
        <w:rPr>
          <w:rFonts w:ascii="Times New Roman" w:eastAsia="Times New Roman" w:hAnsi="Times New Roman" w:cs="Times New Roman"/>
          <w:sz w:val="24"/>
          <w:szCs w:val="24"/>
          <w:lang w:eastAsia="lv-LV"/>
        </w:rPr>
        <w:t>.</w:t>
      </w:r>
      <w:r w:rsidRPr="00684AD9">
        <w:rPr>
          <w:rFonts w:ascii="Times New Roman" w:eastAsia="Times New Roman" w:hAnsi="Times New Roman" w:cs="Times New Roman"/>
          <w:sz w:val="24"/>
          <w:szCs w:val="24"/>
          <w:lang w:eastAsia="lv-LV"/>
        </w:rPr>
        <w:t xml:space="preserve"> </w:t>
      </w:r>
    </w:p>
    <w:tbl>
      <w:tblPr>
        <w:tblW w:w="5210"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5"/>
        <w:gridCol w:w="2093"/>
        <w:gridCol w:w="2426"/>
        <w:gridCol w:w="2099"/>
        <w:gridCol w:w="2871"/>
      </w:tblGrid>
      <w:tr w:rsidR="00E04963" w:rsidRPr="00684AD9" w14:paraId="49AE57F3" w14:textId="77777777" w:rsidTr="00684AD9">
        <w:trPr>
          <w:trHeight w:val="16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4FE44E14" w14:textId="77777777" w:rsidR="00E04963" w:rsidRPr="00684AD9" w:rsidRDefault="00E04963" w:rsidP="006346E1">
            <w:pPr>
              <w:spacing w:before="100" w:beforeAutospacing="1" w:after="100" w:afterAutospacing="1" w:line="240" w:lineRule="auto"/>
              <w:jc w:val="center"/>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Kods</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049435DA" w14:textId="77777777" w:rsidR="00E04963" w:rsidRPr="00684AD9" w:rsidRDefault="00E04963" w:rsidP="006346E1">
            <w:pPr>
              <w:spacing w:before="100" w:beforeAutospacing="1" w:after="100" w:afterAutospacing="1" w:line="240" w:lineRule="auto"/>
              <w:jc w:val="center"/>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Koda nosaukums</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44E2A4D7" w14:textId="77777777" w:rsidR="00E04963" w:rsidRPr="00684AD9" w:rsidRDefault="00E04963" w:rsidP="006346E1">
            <w:pPr>
              <w:spacing w:before="100" w:beforeAutospacing="1" w:after="100" w:afterAutospacing="1" w:line="240" w:lineRule="auto"/>
              <w:jc w:val="center"/>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Kodā uzskaita</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45DAB23C" w14:textId="77777777" w:rsidR="00E04963" w:rsidRPr="00684AD9" w:rsidRDefault="00E04963" w:rsidP="006346E1">
            <w:pPr>
              <w:spacing w:before="100" w:beforeAutospacing="1" w:after="100" w:afterAutospacing="1" w:line="240" w:lineRule="auto"/>
              <w:jc w:val="center"/>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Kodā neuzskaita</w:t>
            </w: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71F47160" w14:textId="77777777" w:rsidR="00E04963" w:rsidRPr="00684AD9" w:rsidRDefault="00E04963" w:rsidP="006346E1">
            <w:pPr>
              <w:spacing w:before="100" w:beforeAutospacing="1" w:after="100" w:afterAutospacing="1" w:line="240" w:lineRule="auto"/>
              <w:jc w:val="center"/>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Pašvaldību pārskat</w:t>
            </w:r>
            <w:r w:rsidR="000D2A86" w:rsidRPr="00684AD9">
              <w:rPr>
                <w:rFonts w:ascii="Times New Roman" w:eastAsia="Times New Roman" w:hAnsi="Times New Roman" w:cs="Times New Roman"/>
                <w:b/>
                <w:bCs/>
                <w:lang w:eastAsia="lv-LV"/>
              </w:rPr>
              <w:t>os</w:t>
            </w:r>
            <w:r w:rsidRPr="00684AD9">
              <w:rPr>
                <w:rFonts w:ascii="Times New Roman" w:eastAsia="Times New Roman" w:hAnsi="Times New Roman" w:cs="Times New Roman"/>
                <w:b/>
                <w:bCs/>
                <w:lang w:eastAsia="lv-LV"/>
              </w:rPr>
              <w:t xml:space="preserve"> atspoguļotie izdevumi</w:t>
            </w:r>
          </w:p>
        </w:tc>
      </w:tr>
      <w:tr w:rsidR="00E04963" w:rsidRPr="00684AD9" w14:paraId="3B9CCB5F" w14:textId="77777777" w:rsidTr="00684AD9">
        <w:trPr>
          <w:trHeight w:val="240"/>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4070EAA8"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01.000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46E6FFA7"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Vispārējie valdības dienesti</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26EA9498"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1053466A"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65C11703"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r>
      <w:tr w:rsidR="00E04963" w:rsidRPr="00684AD9" w14:paraId="166F5390"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0932C9F7"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01.100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7C7AC305"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Izpildvara, likumdošanas vara, finanšu un fiskālā darbība, ārlietas</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0C98A329"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 xml:space="preserve">Valsts pārvaldes darbību visos līmeņos, tai skaitā Ministru kabineta, ministriju, pašvaldību darbību. Likumdošanas institūciju darbību visos līmeņos, šo institūciju administratīvos, politiskos un konsultējošos darbiniekus. Nodarbinātos bibliotēkās un citos uzziņas dienestos, kas nodrošina galvenokārt izpildvaru un likumdošanas varu, kā arī pakalpojumus un dienestus, kas nodrošina augstākās izpildvaras un likumdošanas varas vadību un personālu. Pastāvīgās vai īpašam nolūkam radītās komisijas un komitejas, kuras ir </w:t>
            </w:r>
            <w:r w:rsidRPr="00684AD9">
              <w:rPr>
                <w:rFonts w:ascii="Times New Roman" w:eastAsia="Times New Roman" w:hAnsi="Times New Roman" w:cs="Times New Roman"/>
                <w:lang w:eastAsia="lv-LV"/>
              </w:rPr>
              <w:lastRenderedPageBreak/>
              <w:t>izveidojusi izpildvaras vai likumdošanas varas vadība vai kas pārstāv šo vadību.</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56B8179C"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lastRenderedPageBreak/>
              <w:t xml:space="preserve">Ministrijas un valsts pārvaldes iestādes, to padotībā esošās juridiski patstāvīgās institūcijas un struktūrvienības, </w:t>
            </w:r>
            <w:r w:rsidRPr="00684AD9">
              <w:rPr>
                <w:rFonts w:ascii="Times New Roman" w:eastAsia="Times New Roman" w:hAnsi="Times New Roman" w:cs="Times New Roman"/>
                <w:b/>
                <w:lang w:eastAsia="lv-LV"/>
              </w:rPr>
              <w:t>pašvaldību izveidotās juridiski patstāvīgās institūcijas</w:t>
            </w:r>
            <w:r w:rsidRPr="00684AD9">
              <w:rPr>
                <w:rFonts w:ascii="Times New Roman" w:eastAsia="Times New Roman" w:hAnsi="Times New Roman" w:cs="Times New Roman"/>
                <w:lang w:eastAsia="lv-LV"/>
              </w:rPr>
              <w:t>, kuras klasificē attiecīgajā Budžetu izdevumu klasifikācijas nodaļā atbilstoši funkcionālajām kategorijām saskaņā ar attiecīgās institūcijas darbības galveno funkciju</w:t>
            </w: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6F6EB2F5"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Pašvaldības domes izdevumus;</w:t>
            </w:r>
          </w:p>
          <w:p w14:paraId="04D44171"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deputātu izdevumus;</w:t>
            </w:r>
          </w:p>
          <w:p w14:paraId="5DDF36D5"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administrācijas izdevumus;</w:t>
            </w:r>
          </w:p>
          <w:p w14:paraId="57477EB7"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pagastu pārvalžu izdevumus;</w:t>
            </w:r>
          </w:p>
          <w:p w14:paraId="6CD51D8D"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komisiju, komiteju izdevumus;</w:t>
            </w:r>
          </w:p>
          <w:p w14:paraId="46DB99B7"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klientu apkalpošanas centra izdevumus;</w:t>
            </w:r>
          </w:p>
          <w:p w14:paraId="71A4E61B"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dzimtsarakstu nodaļas izdevumus (ja tā nav iestāde);</w:t>
            </w:r>
          </w:p>
          <w:p w14:paraId="5E1C97D6" w14:textId="77777777"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vēlēšanu komisija;</w:t>
            </w:r>
          </w:p>
          <w:p w14:paraId="09F9DAAA" w14:textId="2031F221" w:rsidR="00E04963" w:rsidRPr="00684AD9" w:rsidRDefault="00E04963" w:rsidP="006346E1">
            <w:pPr>
              <w:pStyle w:val="ListParagraph"/>
              <w:numPr>
                <w:ilvl w:val="0"/>
                <w:numId w:val="3"/>
              </w:numPr>
              <w:spacing w:line="240" w:lineRule="auto"/>
              <w:rPr>
                <w:rFonts w:ascii="Times New Roman" w:eastAsia="Calibri" w:hAnsi="Times New Roman" w:cs="Times New Roman"/>
              </w:rPr>
            </w:pPr>
            <w:r w:rsidRPr="00684AD9">
              <w:rPr>
                <w:rFonts w:ascii="Times New Roman" w:eastAsia="Calibri" w:hAnsi="Times New Roman" w:cs="Times New Roman"/>
              </w:rPr>
              <w:t>u</w:t>
            </w:r>
            <w:r w:rsidR="00AB3D9C">
              <w:rPr>
                <w:rFonts w:ascii="Times New Roman" w:eastAsia="Calibri" w:hAnsi="Times New Roman" w:cs="Times New Roman"/>
              </w:rPr>
              <w:t>.</w:t>
            </w:r>
            <w:r w:rsidRPr="00684AD9">
              <w:rPr>
                <w:rFonts w:ascii="Times New Roman" w:eastAsia="Calibri" w:hAnsi="Times New Roman" w:cs="Times New Roman"/>
              </w:rPr>
              <w:t>c.</w:t>
            </w:r>
          </w:p>
          <w:p w14:paraId="51467124"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r>
      <w:tr w:rsidR="00E04963" w:rsidRPr="00684AD9" w14:paraId="0A3DD2EB"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47E57ADA"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01.300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49A6D83C"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Vispārējas nozīmes dienesti</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20C243E0"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Vispārējas nozīmes dienestu darbību, kas nav saistīta ar kādu noteiktu funkciju un kuru parasti veic centrālās valsts pārvaldes iestādes dažādos valdības līmeņos; ietver arī ar konkrētas funkcijas izpildi saistītos pakalpojumus, kurus veic šādas valsts pārvaldes iestādes.</w:t>
            </w:r>
          </w:p>
          <w:p w14:paraId="57B2A631"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Pakalpojumus (dienestus), ja tiem nav saistības ar kādu noteiktu funkciju. Politikas un procedūras izveidošanas un pieņemšanas dienestus, kas saistīti ar ierēdņu personāla izvēli, paaugstināšanu amatā un novērtēšanu.</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7B9E7A04"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09BBF1F4" w14:textId="77777777" w:rsidR="00E04963" w:rsidRPr="00684AD9" w:rsidRDefault="00E04963" w:rsidP="006346E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lang w:eastAsia="lv-LV"/>
              </w:rPr>
            </w:pPr>
            <w:r w:rsidRPr="00684AD9">
              <w:rPr>
                <w:rFonts w:ascii="Times New Roman" w:eastAsia="Times New Roman" w:hAnsi="Times New Roman" w:cs="Times New Roman"/>
                <w:bCs/>
                <w:lang w:eastAsia="lv-LV"/>
              </w:rPr>
              <w:t>Dzimtsarakstu iestādes izdevumi</w:t>
            </w:r>
          </w:p>
        </w:tc>
      </w:tr>
      <w:tr w:rsidR="00E04963" w:rsidRPr="00684AD9" w14:paraId="10997A14"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00D13A78"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01.600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75BCD0CD"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Pārējie iepriekš neklasificētie vispārējie valdības dienesti</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67A3460D"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Pārējos vispārējos valdības dienestus, kurus nav iespējams attiecināt uz attiecīgo 01.100, 01.200, 01.300, 01.400 vai 01.500 funkcijas kodu.</w:t>
            </w:r>
          </w:p>
          <w:p w14:paraId="7DC35695"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Iepriekš neklasificētu vispārējo vadības dienestu darbību, pakalpojumus (balsotāju reģistrāciju, vēlēšanu un referendumu organizēšanu, pārraudzību teritorijās bez pašvaldībām un citus) vai atbalstu tiem.</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49DD879E"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 xml:space="preserve">Valsts parāda darījumus (01.700); vispārēja rakstura </w:t>
            </w:r>
            <w:proofErr w:type="spellStart"/>
            <w:r w:rsidRPr="00684AD9">
              <w:rPr>
                <w:rFonts w:ascii="Times New Roman" w:eastAsia="Times New Roman" w:hAnsi="Times New Roman" w:cs="Times New Roman"/>
                <w:lang w:eastAsia="lv-LV"/>
              </w:rPr>
              <w:t>transfertus</w:t>
            </w:r>
            <w:proofErr w:type="spellEnd"/>
            <w:r w:rsidRPr="00684AD9">
              <w:rPr>
                <w:rFonts w:ascii="Times New Roman" w:eastAsia="Times New Roman" w:hAnsi="Times New Roman" w:cs="Times New Roman"/>
                <w:lang w:eastAsia="lv-LV"/>
              </w:rPr>
              <w:t xml:space="preserve"> starp dažādiem valdības līmeņiem (01.800).</w:t>
            </w: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52A88B0B" w14:textId="77777777" w:rsidR="00E04963" w:rsidRPr="00684AD9" w:rsidRDefault="00E04963" w:rsidP="006346E1">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Nevalstisko organizāciju izdevumi</w:t>
            </w:r>
          </w:p>
          <w:p w14:paraId="26EB0C40" w14:textId="77777777" w:rsidR="00E04963" w:rsidRPr="00684AD9" w:rsidRDefault="00E04963" w:rsidP="006346E1">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Īpašumu apdrošināšanas izdevumi</w:t>
            </w:r>
          </w:p>
          <w:p w14:paraId="2241B244" w14:textId="77777777" w:rsidR="00E04963" w:rsidRPr="00684AD9" w:rsidRDefault="00E04963" w:rsidP="006346E1">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Vēlēšanu komisiju izdevumi</w:t>
            </w:r>
          </w:p>
          <w:p w14:paraId="4D60AB53" w14:textId="77777777" w:rsidR="00E04963" w:rsidRPr="00684AD9" w:rsidRDefault="00E04963" w:rsidP="006346E1">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Utt.</w:t>
            </w:r>
          </w:p>
        </w:tc>
      </w:tr>
      <w:tr w:rsidR="00E04963" w:rsidRPr="00684AD9" w14:paraId="05DA1C79"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6AED0C75"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01.700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2303D160"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Vispārējās valdības sektora (valsts un pašvaldības) parāda darījumi</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648426DD"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Maksājumus par aizņēmumiem un izdevumus, kas saistīti ar aizņēmumu izlaišanu un apdrošināšanu.</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3CD3E811"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Valsts parāda vadības izdevumus un parāda pamatsummas atmaksu (01.120).</w:t>
            </w: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287AB0B7" w14:textId="77777777" w:rsidR="00E04963" w:rsidRPr="00684AD9" w:rsidRDefault="00E04963" w:rsidP="006346E1">
            <w:pPr>
              <w:pStyle w:val="ListParagraph"/>
              <w:numPr>
                <w:ilvl w:val="0"/>
                <w:numId w:val="4"/>
              </w:numPr>
              <w:spacing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b/>
                <w:color w:val="7030A0"/>
                <w:lang w:eastAsia="lv-LV"/>
              </w:rPr>
              <w:t>Budžeta iestāžu procentu maksājumi Valsts kasei</w:t>
            </w:r>
            <w:r w:rsidRPr="00684AD9">
              <w:rPr>
                <w:rFonts w:ascii="Times New Roman" w:eastAsia="Times New Roman" w:hAnsi="Times New Roman" w:cs="Times New Roman"/>
                <w:lang w:eastAsia="lv-LV"/>
              </w:rPr>
              <w:t>.</w:t>
            </w:r>
          </w:p>
        </w:tc>
      </w:tr>
      <w:tr w:rsidR="00E04963" w:rsidRPr="00684AD9" w14:paraId="356C6DBF"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1B830615"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01.800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0C8D08FB"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 xml:space="preserve">Vispārēja rakstura </w:t>
            </w:r>
            <w:proofErr w:type="spellStart"/>
            <w:r w:rsidRPr="00684AD9">
              <w:rPr>
                <w:rFonts w:ascii="Times New Roman" w:eastAsia="Times New Roman" w:hAnsi="Times New Roman" w:cs="Times New Roman"/>
                <w:b/>
                <w:bCs/>
                <w:lang w:eastAsia="lv-LV"/>
              </w:rPr>
              <w:t>transferti</w:t>
            </w:r>
            <w:proofErr w:type="spellEnd"/>
            <w:r w:rsidRPr="00684AD9">
              <w:rPr>
                <w:rFonts w:ascii="Times New Roman" w:eastAsia="Times New Roman" w:hAnsi="Times New Roman" w:cs="Times New Roman"/>
                <w:b/>
                <w:bCs/>
                <w:lang w:eastAsia="lv-LV"/>
              </w:rPr>
              <w:t xml:space="preserve"> starp valsts pārvaldes dažādiem līmeņiem</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199E4540"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proofErr w:type="spellStart"/>
            <w:r w:rsidRPr="00684AD9">
              <w:rPr>
                <w:rFonts w:ascii="Times New Roman" w:eastAsia="Times New Roman" w:hAnsi="Times New Roman" w:cs="Times New Roman"/>
                <w:lang w:eastAsia="lv-LV"/>
              </w:rPr>
              <w:t>Transfertus</w:t>
            </w:r>
            <w:proofErr w:type="spellEnd"/>
            <w:r w:rsidRPr="00684AD9">
              <w:rPr>
                <w:rFonts w:ascii="Times New Roman" w:eastAsia="Times New Roman" w:hAnsi="Times New Roman" w:cs="Times New Roman"/>
                <w:lang w:eastAsia="lv-LV"/>
              </w:rPr>
              <w:t xml:space="preserve"> starp dažādiem valdības līmeņiem, subsīdijas un dotācijas, kas nav </w:t>
            </w:r>
            <w:r w:rsidRPr="00684AD9">
              <w:rPr>
                <w:rFonts w:ascii="Times New Roman" w:eastAsia="Times New Roman" w:hAnsi="Times New Roman" w:cs="Times New Roman"/>
                <w:lang w:eastAsia="lv-LV"/>
              </w:rPr>
              <w:lastRenderedPageBreak/>
              <w:t>klasificētas citās kodu grupās.</w:t>
            </w:r>
          </w:p>
          <w:p w14:paraId="67D36756"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Pašvaldību vispārēja rakstura maksājumus un norēķinus ar valsts pamatbudžetu. Norēķinus ar pašvaldību budžetiem.</w:t>
            </w:r>
          </w:p>
          <w:p w14:paraId="34304C33"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lang w:eastAsia="lv-LV"/>
              </w:rPr>
              <w:t>Maksājumus pašvaldību finanšu izlīdzināšanas fondā. Dotācijas no valsts pamatbudžeta.</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3BE800F7"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4E79E5A9" w14:textId="77777777" w:rsidR="00E04963" w:rsidRPr="00684AD9" w:rsidRDefault="00E04963" w:rsidP="006346E1">
            <w:pPr>
              <w:pStyle w:val="ListParagraph"/>
              <w:spacing w:before="100" w:beforeAutospacing="1" w:after="100" w:afterAutospacing="1" w:line="240" w:lineRule="auto"/>
              <w:ind w:left="360"/>
              <w:jc w:val="both"/>
              <w:rPr>
                <w:rFonts w:ascii="Times New Roman" w:eastAsia="Times New Roman" w:hAnsi="Times New Roman" w:cs="Times New Roman"/>
                <w:b/>
                <w:bCs/>
                <w:lang w:eastAsia="lv-LV"/>
              </w:rPr>
            </w:pPr>
          </w:p>
        </w:tc>
      </w:tr>
      <w:tr w:rsidR="00E04963" w:rsidRPr="00684AD9" w14:paraId="2932C5F8"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1BBAFAB3"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01.820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6F307559"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 xml:space="preserve">Vispārēja rakstura </w:t>
            </w:r>
            <w:proofErr w:type="spellStart"/>
            <w:r w:rsidRPr="00684AD9">
              <w:rPr>
                <w:rFonts w:ascii="Times New Roman" w:eastAsia="Times New Roman" w:hAnsi="Times New Roman" w:cs="Times New Roman"/>
                <w:b/>
                <w:bCs/>
                <w:lang w:eastAsia="lv-LV"/>
              </w:rPr>
              <w:t>transferti</w:t>
            </w:r>
            <w:proofErr w:type="spellEnd"/>
            <w:r w:rsidRPr="00684AD9">
              <w:rPr>
                <w:rFonts w:ascii="Times New Roman" w:eastAsia="Times New Roman" w:hAnsi="Times New Roman" w:cs="Times New Roman"/>
                <w:b/>
                <w:bCs/>
                <w:lang w:eastAsia="lv-LV"/>
              </w:rPr>
              <w:t xml:space="preserve"> no pašvaldību budžeta valsts budžetam</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3112CCBF"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lang w:eastAsia="lv-LV"/>
              </w:rPr>
              <w:t>Pašvaldību budžetu norēķinu ar valsts budžetu.</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39458724"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3B5E3C0E" w14:textId="77777777" w:rsidR="00E04963" w:rsidRPr="00684AD9" w:rsidRDefault="00E04963" w:rsidP="006346E1">
            <w:pPr>
              <w:pStyle w:val="ListParagraph"/>
              <w:numPr>
                <w:ilvl w:val="0"/>
                <w:numId w:val="5"/>
              </w:numPr>
              <w:spacing w:before="100" w:beforeAutospacing="1" w:after="100" w:afterAutospacing="1" w:line="240" w:lineRule="auto"/>
              <w:jc w:val="both"/>
              <w:rPr>
                <w:rFonts w:ascii="Times New Roman" w:eastAsia="Times New Roman" w:hAnsi="Times New Roman" w:cs="Times New Roman"/>
                <w:bCs/>
                <w:lang w:eastAsia="lv-LV"/>
              </w:rPr>
            </w:pPr>
            <w:r w:rsidRPr="00684AD9">
              <w:rPr>
                <w:rFonts w:ascii="Times New Roman" w:hAnsi="Times New Roman" w:cs="Times New Roman"/>
                <w:bCs/>
                <w:shd w:val="clear" w:color="auto" w:fill="FFFFFF"/>
              </w:rPr>
              <w:t xml:space="preserve">Vispārēja rakstura </w:t>
            </w:r>
            <w:proofErr w:type="spellStart"/>
            <w:r w:rsidRPr="00684AD9">
              <w:rPr>
                <w:rFonts w:ascii="Times New Roman" w:hAnsi="Times New Roman" w:cs="Times New Roman"/>
                <w:bCs/>
                <w:shd w:val="clear" w:color="auto" w:fill="FFFFFF"/>
              </w:rPr>
              <w:t>transferti</w:t>
            </w:r>
            <w:proofErr w:type="spellEnd"/>
            <w:r w:rsidRPr="00684AD9">
              <w:rPr>
                <w:rFonts w:ascii="Times New Roman" w:hAnsi="Times New Roman" w:cs="Times New Roman"/>
                <w:bCs/>
                <w:shd w:val="clear" w:color="auto" w:fill="FFFFFF"/>
              </w:rPr>
              <w:t xml:space="preserve"> no pašvaldību budžeta valsts budžetam</w:t>
            </w:r>
          </w:p>
        </w:tc>
      </w:tr>
      <w:tr w:rsidR="00E04963" w:rsidRPr="00684AD9" w14:paraId="4D8CE282"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1BE18F9E"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01.830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374F4FAE"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 xml:space="preserve">Vispārēja rakstura </w:t>
            </w:r>
            <w:proofErr w:type="spellStart"/>
            <w:r w:rsidRPr="00684AD9">
              <w:rPr>
                <w:rFonts w:ascii="Times New Roman" w:eastAsia="Times New Roman" w:hAnsi="Times New Roman" w:cs="Times New Roman"/>
                <w:b/>
                <w:bCs/>
                <w:lang w:eastAsia="lv-LV"/>
              </w:rPr>
              <w:t>transferti</w:t>
            </w:r>
            <w:proofErr w:type="spellEnd"/>
            <w:r w:rsidRPr="00684AD9">
              <w:rPr>
                <w:rFonts w:ascii="Times New Roman" w:eastAsia="Times New Roman" w:hAnsi="Times New Roman" w:cs="Times New Roman"/>
                <w:b/>
                <w:bCs/>
                <w:lang w:eastAsia="lv-LV"/>
              </w:rPr>
              <w:t xml:space="preserve"> no pašvaldību budžeta pašvaldību budžetam</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78B09149"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eastAsia="Times New Roman" w:hAnsi="Times New Roman" w:cs="Times New Roman"/>
                <w:lang w:eastAsia="lv-LV"/>
              </w:rPr>
              <w:t xml:space="preserve">Vispārēja rakstura pašvaldības budžeta </w:t>
            </w:r>
            <w:proofErr w:type="spellStart"/>
            <w:r w:rsidRPr="00684AD9">
              <w:rPr>
                <w:rFonts w:ascii="Times New Roman" w:eastAsia="Times New Roman" w:hAnsi="Times New Roman" w:cs="Times New Roman"/>
                <w:lang w:eastAsia="lv-LV"/>
              </w:rPr>
              <w:t>pārskaitījumus</w:t>
            </w:r>
            <w:proofErr w:type="spellEnd"/>
            <w:r w:rsidRPr="00684AD9">
              <w:rPr>
                <w:rFonts w:ascii="Times New Roman" w:eastAsia="Times New Roman" w:hAnsi="Times New Roman" w:cs="Times New Roman"/>
                <w:lang w:eastAsia="lv-LV"/>
              </w:rPr>
              <w:t xml:space="preserve"> citas pašvaldības budžetam; pašvaldību budžetu iemaksas pašvaldību finanšu izlīdzināšanas fondā.</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28C29DE0"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4D2F53B2" w14:textId="77777777" w:rsidR="00E04963" w:rsidRPr="00684AD9" w:rsidRDefault="00E04963" w:rsidP="006346E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hAnsi="Times New Roman" w:cs="Times New Roman"/>
                <w:bCs/>
                <w:shd w:val="clear" w:color="auto" w:fill="FFFFFF"/>
              </w:rPr>
              <w:t xml:space="preserve">Pašvaldību budžetu </w:t>
            </w:r>
            <w:proofErr w:type="spellStart"/>
            <w:r w:rsidRPr="00684AD9">
              <w:rPr>
                <w:rFonts w:ascii="Times New Roman" w:hAnsi="Times New Roman" w:cs="Times New Roman"/>
                <w:bCs/>
                <w:shd w:val="clear" w:color="auto" w:fill="FFFFFF"/>
              </w:rPr>
              <w:t>transfertus</w:t>
            </w:r>
            <w:proofErr w:type="spellEnd"/>
            <w:r w:rsidRPr="00684AD9">
              <w:rPr>
                <w:rFonts w:ascii="Times New Roman" w:hAnsi="Times New Roman" w:cs="Times New Roman"/>
                <w:bCs/>
                <w:shd w:val="clear" w:color="auto" w:fill="FFFFFF"/>
              </w:rPr>
              <w:t xml:space="preserve"> citām pašvaldībām;</w:t>
            </w:r>
          </w:p>
          <w:p w14:paraId="2BAAABC8" w14:textId="77777777" w:rsidR="00E04963" w:rsidRPr="00684AD9" w:rsidRDefault="00E04963" w:rsidP="006346E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lang w:eastAsia="lv-LV"/>
              </w:rPr>
            </w:pPr>
            <w:r w:rsidRPr="00684AD9">
              <w:rPr>
                <w:rFonts w:ascii="Times New Roman" w:hAnsi="Times New Roman" w:cs="Times New Roman"/>
                <w:b/>
                <w:bCs/>
                <w:color w:val="7030A0"/>
                <w:shd w:val="clear" w:color="auto" w:fill="FFFFFF"/>
              </w:rPr>
              <w:t>Pašvaldības iemaksa pašvaldību finanšu izlīdzināšanas fondā</w:t>
            </w:r>
          </w:p>
        </w:tc>
      </w:tr>
      <w:tr w:rsidR="00E04963" w:rsidRPr="00684AD9" w14:paraId="6D082599" w14:textId="77777777" w:rsidTr="00684AD9">
        <w:trPr>
          <w:trHeight w:val="135"/>
          <w:tblCellSpacing w:w="7" w:type="dxa"/>
          <w:jc w:val="center"/>
        </w:trPr>
        <w:tc>
          <w:tcPr>
            <w:tcW w:w="416" w:type="pct"/>
            <w:tcBorders>
              <w:top w:val="outset" w:sz="6" w:space="0" w:color="000000"/>
              <w:left w:val="outset" w:sz="6" w:space="0" w:color="000000"/>
              <w:bottom w:val="outset" w:sz="6" w:space="0" w:color="000000"/>
              <w:right w:val="outset" w:sz="6" w:space="0" w:color="000000"/>
            </w:tcBorders>
            <w:shd w:val="clear" w:color="auto" w:fill="FFFFFF"/>
            <w:hideMark/>
          </w:tcPr>
          <w:p w14:paraId="30DA80AD"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01.890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49873275"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b/>
                <w:bCs/>
                <w:lang w:eastAsia="lv-LV"/>
              </w:rPr>
              <w:t xml:space="preserve">Pārējie citur neklasificētie vispārēja rakstura </w:t>
            </w:r>
            <w:proofErr w:type="spellStart"/>
            <w:r w:rsidRPr="00684AD9">
              <w:rPr>
                <w:rFonts w:ascii="Times New Roman" w:eastAsia="Times New Roman" w:hAnsi="Times New Roman" w:cs="Times New Roman"/>
                <w:b/>
                <w:bCs/>
                <w:lang w:eastAsia="lv-LV"/>
              </w:rPr>
              <w:t>transferti</w:t>
            </w:r>
            <w:proofErr w:type="spellEnd"/>
            <w:r w:rsidRPr="00684AD9">
              <w:rPr>
                <w:rFonts w:ascii="Times New Roman" w:eastAsia="Times New Roman" w:hAnsi="Times New Roman" w:cs="Times New Roman"/>
                <w:b/>
                <w:bCs/>
                <w:lang w:eastAsia="lv-LV"/>
              </w:rPr>
              <w:t xml:space="preserve"> starp dažādiem valsts pārvaldes līmeņiem</w:t>
            </w:r>
          </w:p>
        </w:tc>
        <w:tc>
          <w:tcPr>
            <w:tcW w:w="1161" w:type="pct"/>
            <w:tcBorders>
              <w:top w:val="outset" w:sz="6" w:space="0" w:color="000000"/>
              <w:left w:val="outset" w:sz="6" w:space="0" w:color="000000"/>
              <w:bottom w:val="outset" w:sz="6" w:space="0" w:color="000000"/>
              <w:right w:val="outset" w:sz="6" w:space="0" w:color="000000"/>
            </w:tcBorders>
            <w:shd w:val="clear" w:color="auto" w:fill="FFFFFF"/>
          </w:tcPr>
          <w:p w14:paraId="62A78287" w14:textId="77777777" w:rsidR="00E04963" w:rsidRPr="00684AD9" w:rsidRDefault="00E04963" w:rsidP="006346E1">
            <w:pPr>
              <w:spacing w:before="100" w:beforeAutospacing="1" w:after="100" w:afterAutospacing="1" w:line="240" w:lineRule="auto"/>
              <w:jc w:val="both"/>
              <w:rPr>
                <w:rFonts w:ascii="Times New Roman" w:eastAsia="Times New Roman" w:hAnsi="Times New Roman" w:cs="Times New Roman"/>
                <w:lang w:eastAsia="lv-LV"/>
              </w:rPr>
            </w:pPr>
            <w:r w:rsidRPr="00684AD9">
              <w:rPr>
                <w:rFonts w:ascii="Times New Roman" w:eastAsia="Times New Roman" w:hAnsi="Times New Roman" w:cs="Times New Roman"/>
                <w:lang w:eastAsia="lv-LV"/>
              </w:rPr>
              <w:t xml:space="preserve">Pārējos vispārēja rakstura </w:t>
            </w:r>
            <w:proofErr w:type="spellStart"/>
            <w:r w:rsidRPr="00684AD9">
              <w:rPr>
                <w:rFonts w:ascii="Times New Roman" w:eastAsia="Times New Roman" w:hAnsi="Times New Roman" w:cs="Times New Roman"/>
                <w:lang w:eastAsia="lv-LV"/>
              </w:rPr>
              <w:t>transfertus</w:t>
            </w:r>
            <w:proofErr w:type="spellEnd"/>
            <w:r w:rsidRPr="00684AD9">
              <w:rPr>
                <w:rFonts w:ascii="Times New Roman" w:eastAsia="Times New Roman" w:hAnsi="Times New Roman" w:cs="Times New Roman"/>
                <w:lang w:eastAsia="lv-LV"/>
              </w:rPr>
              <w:t xml:space="preserve"> starp dažādiem valsts pārvaldes līmeņiem.</w:t>
            </w:r>
          </w:p>
          <w:p w14:paraId="4F474E95"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r w:rsidRPr="00684AD9">
              <w:rPr>
                <w:rFonts w:ascii="Times New Roman" w:eastAsia="Times New Roman" w:hAnsi="Times New Roman" w:cs="Times New Roman"/>
                <w:lang w:eastAsia="lv-LV"/>
              </w:rPr>
              <w:t>Izdevumus neparedzētiem gadījumiem</w:t>
            </w:r>
          </w:p>
        </w:tc>
        <w:tc>
          <w:tcPr>
            <w:tcW w:w="1003" w:type="pct"/>
            <w:tcBorders>
              <w:top w:val="outset" w:sz="6" w:space="0" w:color="000000"/>
              <w:left w:val="outset" w:sz="6" w:space="0" w:color="000000"/>
              <w:bottom w:val="outset" w:sz="6" w:space="0" w:color="000000"/>
              <w:right w:val="outset" w:sz="6" w:space="0" w:color="000000"/>
            </w:tcBorders>
            <w:shd w:val="clear" w:color="auto" w:fill="FFFFFF"/>
          </w:tcPr>
          <w:p w14:paraId="7D9E864A"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p>
        </w:tc>
        <w:tc>
          <w:tcPr>
            <w:tcW w:w="1371" w:type="pct"/>
            <w:tcBorders>
              <w:top w:val="outset" w:sz="6" w:space="0" w:color="000000"/>
              <w:left w:val="outset" w:sz="6" w:space="0" w:color="000000"/>
              <w:bottom w:val="outset" w:sz="6" w:space="0" w:color="000000"/>
              <w:right w:val="outset" w:sz="6" w:space="0" w:color="000000"/>
            </w:tcBorders>
            <w:shd w:val="clear" w:color="auto" w:fill="FFFFFF"/>
          </w:tcPr>
          <w:p w14:paraId="4592AEC2" w14:textId="77777777" w:rsidR="00E04963" w:rsidRPr="00684AD9" w:rsidRDefault="00E04963" w:rsidP="006346E1">
            <w:pPr>
              <w:pStyle w:val="ListParagraph"/>
              <w:numPr>
                <w:ilvl w:val="0"/>
                <w:numId w:val="7"/>
              </w:numPr>
              <w:spacing w:line="240" w:lineRule="auto"/>
              <w:jc w:val="both"/>
              <w:rPr>
                <w:rFonts w:ascii="Times New Roman" w:hAnsi="Times New Roman" w:cs="Times New Roman"/>
                <w:bCs/>
                <w:shd w:val="clear" w:color="auto" w:fill="FFFFFF"/>
              </w:rPr>
            </w:pPr>
            <w:r w:rsidRPr="00684AD9">
              <w:rPr>
                <w:rFonts w:ascii="Times New Roman" w:hAnsi="Times New Roman" w:cs="Times New Roman"/>
                <w:bCs/>
                <w:shd w:val="clear" w:color="auto" w:fill="FFFFFF"/>
              </w:rPr>
              <w:t>Izdevumi neparedzētiem gadījumiem (ugunsgrēks, vētra, plūdi utt.)</w:t>
            </w:r>
          </w:p>
          <w:p w14:paraId="27471548" w14:textId="77777777" w:rsidR="00E04963" w:rsidRPr="00684AD9" w:rsidRDefault="00E04963" w:rsidP="006346E1">
            <w:pPr>
              <w:spacing w:before="100" w:beforeAutospacing="1" w:after="100" w:afterAutospacing="1" w:line="240" w:lineRule="auto"/>
              <w:rPr>
                <w:rFonts w:ascii="Times New Roman" w:eastAsia="Times New Roman" w:hAnsi="Times New Roman" w:cs="Times New Roman"/>
                <w:b/>
                <w:bCs/>
                <w:lang w:eastAsia="lv-LV"/>
              </w:rPr>
            </w:pPr>
          </w:p>
        </w:tc>
      </w:tr>
    </w:tbl>
    <w:p w14:paraId="7E3D53DB" w14:textId="77777777" w:rsidR="00DA7FCB" w:rsidRPr="00684AD9" w:rsidRDefault="00DA7FCB" w:rsidP="006346E1">
      <w:pPr>
        <w:spacing w:after="0" w:line="240" w:lineRule="auto"/>
        <w:jc w:val="both"/>
        <w:rPr>
          <w:rFonts w:ascii="Times New Roman" w:hAnsi="Times New Roman" w:cs="Times New Roman"/>
        </w:rPr>
      </w:pPr>
    </w:p>
    <w:p w14:paraId="6C97527E" w14:textId="77777777" w:rsidR="00E80097" w:rsidRPr="00684AD9" w:rsidRDefault="00E8009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 xml:space="preserve">Administratīvie </w:t>
      </w:r>
      <w:r w:rsidR="008F72BF" w:rsidRPr="00684AD9">
        <w:rPr>
          <w:rFonts w:ascii="Times New Roman" w:hAnsi="Times New Roman" w:cs="Times New Roman"/>
          <w:sz w:val="24"/>
          <w:szCs w:val="24"/>
        </w:rPr>
        <w:t>izdevumi</w:t>
      </w:r>
      <w:r w:rsidRPr="00684AD9">
        <w:rPr>
          <w:rFonts w:ascii="Times New Roman" w:hAnsi="Times New Roman" w:cs="Times New Roman"/>
          <w:sz w:val="24"/>
          <w:szCs w:val="24"/>
        </w:rPr>
        <w:t>, kā perioda finanšu jeb budžeta izdevumi, pārskatos tiek sadalīti pēc šādām budžeta izdevumu klasifikācijām:</w:t>
      </w:r>
    </w:p>
    <w:p w14:paraId="0444ABFB" w14:textId="40A293E1" w:rsidR="00E80097" w:rsidRPr="00684AD9" w:rsidRDefault="00AF16B6" w:rsidP="006346E1">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E80097" w:rsidRPr="00684AD9">
        <w:rPr>
          <w:rFonts w:ascii="Times New Roman" w:hAnsi="Times New Roman" w:cs="Times New Roman"/>
          <w:sz w:val="24"/>
          <w:szCs w:val="24"/>
        </w:rPr>
        <w:t xml:space="preserve">zdevumu klasifikācija atbilstoši funkcionālajām kategorijām </w:t>
      </w:r>
      <w:r w:rsidR="00684AD9" w:rsidRPr="00684AD9">
        <w:rPr>
          <w:rFonts w:ascii="Times New Roman" w:hAnsi="Times New Roman" w:cs="Times New Roman"/>
          <w:sz w:val="24"/>
          <w:szCs w:val="24"/>
        </w:rPr>
        <w:t>–</w:t>
      </w:r>
      <w:r w:rsidR="00E80097" w:rsidRPr="00684AD9">
        <w:rPr>
          <w:rFonts w:ascii="Times New Roman" w:hAnsi="Times New Roman" w:cs="Times New Roman"/>
          <w:sz w:val="24"/>
          <w:szCs w:val="24"/>
        </w:rPr>
        <w:t xml:space="preserve"> </w:t>
      </w:r>
      <w:r w:rsidR="00684AD9" w:rsidRPr="00684AD9">
        <w:rPr>
          <w:rFonts w:ascii="Times New Roman" w:hAnsi="Times New Roman" w:cs="Times New Roman"/>
          <w:sz w:val="24"/>
          <w:szCs w:val="24"/>
        </w:rPr>
        <w:t>Ministru kabineta 2005.</w:t>
      </w:r>
      <w:r>
        <w:rPr>
          <w:rFonts w:ascii="Times New Roman" w:hAnsi="Times New Roman" w:cs="Times New Roman"/>
          <w:sz w:val="24"/>
          <w:szCs w:val="24"/>
        </w:rPr>
        <w:t> </w:t>
      </w:r>
      <w:r w:rsidR="00684AD9" w:rsidRPr="00684AD9">
        <w:rPr>
          <w:rFonts w:ascii="Times New Roman" w:hAnsi="Times New Roman" w:cs="Times New Roman"/>
          <w:sz w:val="24"/>
          <w:szCs w:val="24"/>
        </w:rPr>
        <w:t xml:space="preserve">gada 13. decembra </w:t>
      </w:r>
      <w:r w:rsidR="00E80097" w:rsidRPr="00684AD9">
        <w:rPr>
          <w:rFonts w:ascii="Times New Roman" w:hAnsi="Times New Roman" w:cs="Times New Roman"/>
          <w:sz w:val="24"/>
          <w:szCs w:val="24"/>
        </w:rPr>
        <w:t>noteikumi Nr.</w:t>
      </w:r>
      <w:r w:rsidR="00684AD9" w:rsidRPr="00684AD9">
        <w:rPr>
          <w:rFonts w:ascii="Times New Roman" w:hAnsi="Times New Roman" w:cs="Times New Roman"/>
          <w:sz w:val="24"/>
          <w:szCs w:val="24"/>
        </w:rPr>
        <w:t> </w:t>
      </w:r>
      <w:r w:rsidR="00E80097" w:rsidRPr="00684AD9">
        <w:rPr>
          <w:rFonts w:ascii="Times New Roman" w:hAnsi="Times New Roman" w:cs="Times New Roman"/>
          <w:sz w:val="24"/>
          <w:szCs w:val="24"/>
        </w:rPr>
        <w:t xml:space="preserve">934 </w:t>
      </w:r>
      <w:r w:rsidR="00684AD9" w:rsidRPr="00684AD9">
        <w:rPr>
          <w:rFonts w:ascii="Times New Roman" w:hAnsi="Times New Roman" w:cs="Times New Roman"/>
          <w:sz w:val="24"/>
          <w:szCs w:val="24"/>
        </w:rPr>
        <w:t>“</w:t>
      </w:r>
      <w:r w:rsidR="00E80097" w:rsidRPr="00684AD9">
        <w:rPr>
          <w:rFonts w:ascii="Times New Roman" w:hAnsi="Times New Roman" w:cs="Times New Roman"/>
          <w:sz w:val="24"/>
          <w:szCs w:val="24"/>
        </w:rPr>
        <w:t>Noteikumi par budžetu izdevumu klasifikāciju atbilstoši funkcionālajām kategorijām”;</w:t>
      </w:r>
    </w:p>
    <w:p w14:paraId="59866791" w14:textId="4F6E3D8C" w:rsidR="00E80097" w:rsidRPr="00684AD9" w:rsidRDefault="00AF16B6" w:rsidP="006346E1">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E80097" w:rsidRPr="00684AD9">
        <w:rPr>
          <w:rFonts w:ascii="Times New Roman" w:hAnsi="Times New Roman" w:cs="Times New Roman"/>
          <w:sz w:val="24"/>
          <w:szCs w:val="24"/>
        </w:rPr>
        <w:t>zdevumu klasifikācija atbilstoši ekonomiskajām kategorijām</w:t>
      </w:r>
      <w:r w:rsidR="00684AD9" w:rsidRPr="00684AD9">
        <w:rPr>
          <w:rFonts w:ascii="Times New Roman" w:hAnsi="Times New Roman" w:cs="Times New Roman"/>
          <w:sz w:val="24"/>
          <w:szCs w:val="24"/>
        </w:rPr>
        <w:t xml:space="preserve"> – Ministru kabineta 2005.</w:t>
      </w:r>
      <w:r>
        <w:rPr>
          <w:rFonts w:ascii="Times New Roman" w:hAnsi="Times New Roman" w:cs="Times New Roman"/>
          <w:sz w:val="24"/>
          <w:szCs w:val="24"/>
        </w:rPr>
        <w:t> </w:t>
      </w:r>
      <w:r w:rsidR="00684AD9" w:rsidRPr="00684AD9">
        <w:rPr>
          <w:rFonts w:ascii="Times New Roman" w:hAnsi="Times New Roman" w:cs="Times New Roman"/>
          <w:sz w:val="24"/>
          <w:szCs w:val="24"/>
        </w:rPr>
        <w:t xml:space="preserve">gada 27. decembra </w:t>
      </w:r>
      <w:r w:rsidR="00E80097" w:rsidRPr="00684AD9">
        <w:rPr>
          <w:rFonts w:ascii="Times New Roman" w:hAnsi="Times New Roman" w:cs="Times New Roman"/>
          <w:sz w:val="24"/>
          <w:szCs w:val="24"/>
        </w:rPr>
        <w:t xml:space="preserve"> noteikumi Nr.</w:t>
      </w:r>
      <w:r w:rsidR="00684AD9" w:rsidRPr="00684AD9">
        <w:rPr>
          <w:rFonts w:ascii="Times New Roman" w:hAnsi="Times New Roman" w:cs="Times New Roman"/>
          <w:sz w:val="24"/>
          <w:szCs w:val="24"/>
        </w:rPr>
        <w:t> </w:t>
      </w:r>
      <w:r w:rsidR="00E80097" w:rsidRPr="00684AD9">
        <w:rPr>
          <w:rFonts w:ascii="Times New Roman" w:hAnsi="Times New Roman" w:cs="Times New Roman"/>
          <w:sz w:val="24"/>
          <w:szCs w:val="24"/>
        </w:rPr>
        <w:t xml:space="preserve">1031 </w:t>
      </w:r>
      <w:r w:rsidR="00684AD9" w:rsidRPr="00684AD9">
        <w:rPr>
          <w:rFonts w:ascii="Times New Roman" w:hAnsi="Times New Roman" w:cs="Times New Roman"/>
          <w:sz w:val="24"/>
          <w:szCs w:val="24"/>
        </w:rPr>
        <w:t>“</w:t>
      </w:r>
      <w:r w:rsidR="00E80097" w:rsidRPr="00684AD9">
        <w:rPr>
          <w:rFonts w:ascii="Times New Roman" w:hAnsi="Times New Roman" w:cs="Times New Roman"/>
          <w:sz w:val="24"/>
          <w:szCs w:val="24"/>
        </w:rPr>
        <w:t>Noteikumi par budžetu izdevumu klasifikāciju atbilstoši ekonomiskajām kategorijām”.</w:t>
      </w:r>
    </w:p>
    <w:p w14:paraId="14400609" w14:textId="77777777" w:rsidR="00E80097" w:rsidRPr="00684AD9" w:rsidRDefault="00E8009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Oficiālie pārskati (pēc minētajām klasifikācijām) nedod pietiekamu iespēju identificēt funkcijas/pakalpojumus un administratīvos izdevumus to ietvaros. Šāda informācija šobrīd būtu speciāli jāpieprasa pašvaldībām.</w:t>
      </w:r>
    </w:p>
    <w:p w14:paraId="7734515F" w14:textId="3C2134BD" w:rsidR="00E80097" w:rsidRPr="00684AD9" w:rsidRDefault="00E8009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Pašvaldības</w:t>
      </w:r>
      <w:r w:rsidR="00BB2AD3">
        <w:rPr>
          <w:rFonts w:ascii="Times New Roman" w:hAnsi="Times New Roman" w:cs="Times New Roman"/>
          <w:sz w:val="24"/>
          <w:szCs w:val="24"/>
        </w:rPr>
        <w:t xml:space="preserve"> un</w:t>
      </w:r>
      <w:r w:rsidR="00BB2AD3" w:rsidRPr="00684AD9">
        <w:rPr>
          <w:rFonts w:ascii="Times New Roman" w:hAnsi="Times New Roman" w:cs="Times New Roman"/>
          <w:sz w:val="24"/>
          <w:szCs w:val="24"/>
        </w:rPr>
        <w:t xml:space="preserve"> </w:t>
      </w:r>
      <w:r w:rsidRPr="00684AD9">
        <w:rPr>
          <w:rFonts w:ascii="Times New Roman" w:hAnsi="Times New Roman" w:cs="Times New Roman"/>
          <w:sz w:val="24"/>
          <w:szCs w:val="24"/>
        </w:rPr>
        <w:t xml:space="preserve">to struktūrvienības kā budžeta iestādes darbojas pēc principiem, kas </w:t>
      </w:r>
      <w:r w:rsidR="00D372ED" w:rsidRPr="00684AD9">
        <w:rPr>
          <w:rFonts w:ascii="Times New Roman" w:hAnsi="Times New Roman" w:cs="Times New Roman"/>
          <w:sz w:val="24"/>
          <w:szCs w:val="24"/>
        </w:rPr>
        <w:t>atšķiras</w:t>
      </w:r>
      <w:r w:rsidRPr="00684AD9">
        <w:rPr>
          <w:rFonts w:ascii="Times New Roman" w:hAnsi="Times New Roman" w:cs="Times New Roman"/>
          <w:sz w:val="24"/>
          <w:szCs w:val="24"/>
        </w:rPr>
        <w:t xml:space="preserve"> no komercsabiedrību principiem – pašvaldībām peļņa/zaudējumi nav jānosaka. Tomēr arī to darbībā ir gan darbības ar labuma (pakalpojuma sniegšanas) raksturu, gan ar pārvaldes jeb administratīvu raksturu. Pašvaldību darbības kontekstā jēdzienam administratīvie izdevumi nav vienotas klasifikācijas un tā izpratne un lietošana līdzīgi kā jēdzienam administratīvi resursi/administratīvais resurss ir atkarīga no </w:t>
      </w:r>
      <w:r w:rsidRPr="00684AD9">
        <w:rPr>
          <w:rFonts w:ascii="Times New Roman" w:hAnsi="Times New Roman" w:cs="Times New Roman"/>
          <w:sz w:val="24"/>
          <w:szCs w:val="24"/>
        </w:rPr>
        <w:lastRenderedPageBreak/>
        <w:t>mēroga un plašuma. Tomēr, ja ar jēdzienu administratīvais resurss var izprast visus pašvaldības līdzekļus, tad visus pašvaldības budžeta izdevumus nav pieņemts dēvēt par administratīvajiem izdevumiem. Visu pašvaldības izdevumu apzīmēšanai izmanto jēdzienu pašvaldības izdevumi vai pašvaldības budžeta izdevumi, bet administratīvie izdevumi ir tikai daļa no tiem.</w:t>
      </w:r>
    </w:p>
    <w:p w14:paraId="2D229C01" w14:textId="0730FF8B" w:rsidR="00E80097" w:rsidRPr="00684AD9" w:rsidRDefault="00E8009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Valsts kontroles revīzijas “</w:t>
      </w:r>
      <w:r w:rsidR="00223876" w:rsidRPr="00223876">
        <w:rPr>
          <w:rFonts w:ascii="Times New Roman" w:hAnsi="Times New Roman" w:cs="Times New Roman"/>
          <w:i/>
          <w:iCs/>
          <w:sz w:val="24"/>
          <w:szCs w:val="24"/>
        </w:rPr>
        <w:t>Vai pašvaldības administratīvais resurss tās funkciju īstenošanai tiek izlietots produktīvi un ekonomiski</w:t>
      </w:r>
      <w:r w:rsidRPr="00223876">
        <w:rPr>
          <w:rFonts w:ascii="Times New Roman" w:hAnsi="Times New Roman" w:cs="Times New Roman"/>
          <w:i/>
          <w:iCs/>
          <w:sz w:val="24"/>
          <w:szCs w:val="24"/>
        </w:rPr>
        <w:t>?</w:t>
      </w:r>
      <w:r w:rsidRPr="00684AD9">
        <w:rPr>
          <w:rFonts w:ascii="Times New Roman" w:hAnsi="Times New Roman" w:cs="Times New Roman"/>
          <w:sz w:val="24"/>
          <w:szCs w:val="24"/>
        </w:rPr>
        <w:t>” ietvar</w:t>
      </w:r>
      <w:r w:rsidR="005C7E4B" w:rsidRPr="00684AD9">
        <w:rPr>
          <w:rFonts w:ascii="Times New Roman" w:hAnsi="Times New Roman" w:cs="Times New Roman"/>
          <w:sz w:val="24"/>
          <w:szCs w:val="24"/>
        </w:rPr>
        <w:t>ā</w:t>
      </w:r>
      <w:r w:rsidRPr="00684AD9">
        <w:rPr>
          <w:rFonts w:ascii="Times New Roman" w:hAnsi="Times New Roman" w:cs="Times New Roman"/>
          <w:sz w:val="24"/>
          <w:szCs w:val="24"/>
        </w:rPr>
        <w:t xml:space="preserve"> </w:t>
      </w:r>
      <w:r w:rsidR="00FC633B">
        <w:rPr>
          <w:rFonts w:ascii="Times New Roman" w:hAnsi="Times New Roman" w:cs="Times New Roman"/>
          <w:sz w:val="24"/>
          <w:szCs w:val="24"/>
        </w:rPr>
        <w:t>(</w:t>
      </w:r>
      <w:r w:rsidRPr="00684AD9">
        <w:rPr>
          <w:rFonts w:ascii="Times New Roman" w:hAnsi="Times New Roman" w:cs="Times New Roman"/>
          <w:sz w:val="24"/>
          <w:szCs w:val="24"/>
        </w:rPr>
        <w:t>Rīgā, 2016.</w:t>
      </w:r>
      <w:r w:rsidR="00FC633B">
        <w:rPr>
          <w:rFonts w:ascii="Times New Roman" w:hAnsi="Times New Roman" w:cs="Times New Roman"/>
          <w:sz w:val="24"/>
          <w:szCs w:val="24"/>
        </w:rPr>
        <w:t> </w:t>
      </w:r>
      <w:r w:rsidRPr="00684AD9">
        <w:rPr>
          <w:rFonts w:ascii="Times New Roman" w:hAnsi="Times New Roman" w:cs="Times New Roman"/>
          <w:sz w:val="24"/>
          <w:szCs w:val="24"/>
        </w:rPr>
        <w:t>gada 25.</w:t>
      </w:r>
      <w:r w:rsidR="00FC633B">
        <w:rPr>
          <w:rFonts w:ascii="Times New Roman" w:hAnsi="Times New Roman" w:cs="Times New Roman"/>
          <w:sz w:val="24"/>
          <w:szCs w:val="24"/>
        </w:rPr>
        <w:t> </w:t>
      </w:r>
      <w:r w:rsidRPr="00684AD9">
        <w:rPr>
          <w:rFonts w:ascii="Times New Roman" w:hAnsi="Times New Roman" w:cs="Times New Roman"/>
          <w:sz w:val="24"/>
          <w:szCs w:val="24"/>
        </w:rPr>
        <w:t>novembrī</w:t>
      </w:r>
      <w:r w:rsidR="00FC633B">
        <w:rPr>
          <w:rFonts w:ascii="Times New Roman" w:hAnsi="Times New Roman" w:cs="Times New Roman"/>
          <w:sz w:val="24"/>
          <w:szCs w:val="24"/>
        </w:rPr>
        <w:t>)</w:t>
      </w:r>
      <w:r w:rsidRPr="00684AD9">
        <w:rPr>
          <w:rFonts w:ascii="Times New Roman" w:hAnsi="Times New Roman" w:cs="Times New Roman"/>
          <w:sz w:val="24"/>
          <w:szCs w:val="24"/>
        </w:rPr>
        <w:t xml:space="preserve"> ir sniegts </w:t>
      </w:r>
      <w:r w:rsidR="00FC633B">
        <w:rPr>
          <w:rFonts w:ascii="Times New Roman" w:hAnsi="Times New Roman" w:cs="Times New Roman"/>
          <w:sz w:val="24"/>
          <w:szCs w:val="24"/>
        </w:rPr>
        <w:t>e</w:t>
      </w:r>
      <w:r w:rsidRPr="00684AD9">
        <w:rPr>
          <w:rFonts w:ascii="Times New Roman" w:hAnsi="Times New Roman" w:cs="Times New Roman"/>
          <w:sz w:val="24"/>
          <w:szCs w:val="24"/>
        </w:rPr>
        <w:t>ksperta atzinums (Inga Vilka)</w:t>
      </w:r>
      <w:r w:rsidR="00FC633B">
        <w:rPr>
          <w:rFonts w:ascii="Times New Roman" w:hAnsi="Times New Roman" w:cs="Times New Roman"/>
          <w:sz w:val="24"/>
          <w:szCs w:val="24"/>
        </w:rPr>
        <w:t>: “</w:t>
      </w:r>
      <w:r w:rsidRPr="00684AD9">
        <w:rPr>
          <w:rFonts w:ascii="Times New Roman" w:hAnsi="Times New Roman" w:cs="Times New Roman"/>
          <w:sz w:val="24"/>
          <w:szCs w:val="24"/>
        </w:rPr>
        <w:t>Gadījumā, ja skata visu pašvaldību kopā, sevišķi situācijā, kur informācija tiek apkopota un analizēta par vairākām pašvaldībām, par administratīvajiem izdevumiem parasti uzskata izdevumus 01 funkcionālajā kategorijā (Vispārējie valdības dienesti), tos koriģējot ar šādiem izdevumiem (no 01 izdevumu summas atskaita šādus izdevumus šajā kategorijā pēc ekonomiskās klasifikācijas):</w:t>
      </w:r>
    </w:p>
    <w:p w14:paraId="23C79AD2" w14:textId="40457D10" w:rsidR="00E80097" w:rsidRPr="00684AD9" w:rsidRDefault="008D7B6D" w:rsidP="006346E1">
      <w:pPr>
        <w:spacing w:after="120" w:line="240" w:lineRule="auto"/>
        <w:jc w:val="both"/>
        <w:rPr>
          <w:rFonts w:ascii="Times New Roman" w:hAnsi="Times New Roman" w:cs="Times New Roman"/>
          <w:i/>
          <w:sz w:val="24"/>
          <w:szCs w:val="24"/>
        </w:rPr>
      </w:pPr>
      <w:r w:rsidRPr="00684AD9">
        <w:rPr>
          <w:rFonts w:ascii="Times New Roman" w:hAnsi="Times New Roman" w:cs="Times New Roman"/>
          <w:sz w:val="24"/>
          <w:szCs w:val="24"/>
        </w:rPr>
        <w:t xml:space="preserve">• </w:t>
      </w:r>
      <w:r w:rsidR="00E80097" w:rsidRPr="00684AD9">
        <w:rPr>
          <w:rFonts w:ascii="Times New Roman" w:hAnsi="Times New Roman" w:cs="Times New Roman"/>
          <w:i/>
          <w:sz w:val="24"/>
          <w:szCs w:val="24"/>
        </w:rPr>
        <w:t>Iemaksa pašvaldību finanšu izlīdzināšanas fondā (kas to veic) – EKK 7260;</w:t>
      </w:r>
    </w:p>
    <w:p w14:paraId="3B8B3691" w14:textId="0C2E23B9" w:rsidR="00E80097" w:rsidRPr="00684AD9" w:rsidRDefault="008D7B6D" w:rsidP="006346E1">
      <w:pPr>
        <w:spacing w:after="120" w:line="240" w:lineRule="auto"/>
        <w:jc w:val="both"/>
        <w:rPr>
          <w:rFonts w:ascii="Times New Roman" w:hAnsi="Times New Roman" w:cs="Times New Roman"/>
          <w:i/>
          <w:sz w:val="24"/>
          <w:szCs w:val="24"/>
        </w:rPr>
      </w:pPr>
      <w:r w:rsidRPr="00684AD9">
        <w:rPr>
          <w:rFonts w:ascii="Times New Roman" w:hAnsi="Times New Roman" w:cs="Times New Roman"/>
          <w:i/>
          <w:sz w:val="24"/>
          <w:szCs w:val="24"/>
        </w:rPr>
        <w:t xml:space="preserve">• </w:t>
      </w:r>
      <w:r w:rsidR="00E80097" w:rsidRPr="00684AD9">
        <w:rPr>
          <w:rFonts w:ascii="Times New Roman" w:hAnsi="Times New Roman" w:cs="Times New Roman"/>
          <w:i/>
          <w:sz w:val="24"/>
          <w:szCs w:val="24"/>
        </w:rPr>
        <w:t>Procentu maksājumi – EKK 4000.</w:t>
      </w:r>
    </w:p>
    <w:p w14:paraId="66B92F11" w14:textId="50C474AB" w:rsidR="00E80097" w:rsidRPr="00684AD9" w:rsidRDefault="00E8009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Līdz ar to vairāku pašvaldību salīdzināšanai skata attiecīgos koriģētos 01 kategorijas izdevumus uz 1iedzīvotāju un kategorijas izdevumu īpatsvaru (%) kopējos izdevumos.</w:t>
      </w:r>
      <w:r w:rsidR="007609E6">
        <w:rPr>
          <w:rFonts w:ascii="Times New Roman" w:hAnsi="Times New Roman" w:cs="Times New Roman"/>
          <w:sz w:val="24"/>
          <w:szCs w:val="24"/>
        </w:rPr>
        <w:t>”</w:t>
      </w:r>
      <w:r w:rsidRPr="00684AD9">
        <w:rPr>
          <w:rFonts w:ascii="Times New Roman" w:hAnsi="Times New Roman" w:cs="Times New Roman"/>
          <w:sz w:val="24"/>
          <w:szCs w:val="24"/>
        </w:rPr>
        <w:t xml:space="preserve"> </w:t>
      </w:r>
    </w:p>
    <w:p w14:paraId="694F8992" w14:textId="328D4EC5" w:rsidR="005A2789" w:rsidRDefault="005A2789" w:rsidP="00223876">
      <w:pPr>
        <w:spacing w:after="0" w:line="240" w:lineRule="auto"/>
        <w:jc w:val="both"/>
        <w:rPr>
          <w:rFonts w:ascii="Times New Roman" w:hAnsi="Times New Roman" w:cs="Times New Roman"/>
          <w:sz w:val="24"/>
          <w:szCs w:val="24"/>
        </w:rPr>
      </w:pPr>
      <w:r w:rsidRPr="00684AD9">
        <w:rPr>
          <w:rFonts w:ascii="Times New Roman" w:hAnsi="Times New Roman" w:cs="Times New Roman"/>
          <w:sz w:val="24"/>
          <w:szCs w:val="24"/>
        </w:rPr>
        <w:t xml:space="preserve">Izmantojot šo praksi arī </w:t>
      </w:r>
      <w:r w:rsidR="006849A7" w:rsidRPr="00684AD9">
        <w:rPr>
          <w:rFonts w:ascii="Times New Roman" w:hAnsi="Times New Roman" w:cs="Times New Roman"/>
          <w:sz w:val="24"/>
          <w:szCs w:val="24"/>
        </w:rPr>
        <w:t>Viedās administrācijas</w:t>
      </w:r>
      <w:r w:rsidRPr="00684AD9">
        <w:rPr>
          <w:rFonts w:ascii="Times New Roman" w:hAnsi="Times New Roman" w:cs="Times New Roman"/>
          <w:sz w:val="24"/>
          <w:szCs w:val="24"/>
        </w:rPr>
        <w:t xml:space="preserve"> un reģionālās </w:t>
      </w:r>
      <w:r w:rsidR="004617EB" w:rsidRPr="00684AD9">
        <w:rPr>
          <w:rFonts w:ascii="Times New Roman" w:hAnsi="Times New Roman" w:cs="Times New Roman"/>
          <w:sz w:val="24"/>
          <w:szCs w:val="24"/>
        </w:rPr>
        <w:t xml:space="preserve">attīstības </w:t>
      </w:r>
      <w:r w:rsidRPr="00684AD9">
        <w:rPr>
          <w:rFonts w:ascii="Times New Roman" w:hAnsi="Times New Roman" w:cs="Times New Roman"/>
          <w:sz w:val="24"/>
          <w:szCs w:val="24"/>
        </w:rPr>
        <w:t xml:space="preserve">ministrijas </w:t>
      </w:r>
      <w:r w:rsidR="0062443F" w:rsidRPr="00684AD9">
        <w:rPr>
          <w:rFonts w:ascii="Times New Roman" w:hAnsi="Times New Roman" w:cs="Times New Roman"/>
          <w:sz w:val="24"/>
          <w:szCs w:val="24"/>
        </w:rPr>
        <w:t xml:space="preserve">(turpmāk – Ministrija) </w:t>
      </w:r>
      <w:r w:rsidRPr="00684AD9">
        <w:rPr>
          <w:rFonts w:ascii="Times New Roman" w:hAnsi="Times New Roman" w:cs="Times New Roman"/>
          <w:sz w:val="24"/>
          <w:szCs w:val="24"/>
        </w:rPr>
        <w:t>atbildīgie speciālisti vērtē un analizē pašvaldību administratīvos izdevumus. U</w:t>
      </w:r>
      <w:r w:rsidR="009F7D2C" w:rsidRPr="00684AD9">
        <w:rPr>
          <w:rFonts w:ascii="Times New Roman" w:hAnsi="Times New Roman" w:cs="Times New Roman"/>
          <w:sz w:val="24"/>
          <w:szCs w:val="24"/>
        </w:rPr>
        <w:t xml:space="preserve">z šo brīdi dati parāda sekojošo ainu, kurā lielākais īpatsvars – </w:t>
      </w:r>
      <w:r w:rsidR="00D9302D" w:rsidRPr="00684AD9">
        <w:rPr>
          <w:rFonts w:ascii="Times New Roman" w:hAnsi="Times New Roman" w:cs="Times New Roman"/>
          <w:sz w:val="24"/>
          <w:szCs w:val="24"/>
        </w:rPr>
        <w:t>15,84</w:t>
      </w:r>
      <w:r w:rsidR="009F7D2C" w:rsidRPr="00684AD9">
        <w:rPr>
          <w:rFonts w:ascii="Times New Roman" w:hAnsi="Times New Roman" w:cs="Times New Roman"/>
          <w:sz w:val="24"/>
          <w:szCs w:val="24"/>
        </w:rPr>
        <w:t xml:space="preserve">%; mazākais – </w:t>
      </w:r>
      <w:r w:rsidR="00D9302D" w:rsidRPr="00684AD9">
        <w:rPr>
          <w:rFonts w:ascii="Times New Roman" w:hAnsi="Times New Roman" w:cs="Times New Roman"/>
          <w:sz w:val="24"/>
          <w:szCs w:val="24"/>
        </w:rPr>
        <w:t>2,74</w:t>
      </w:r>
      <w:r w:rsidR="009F7D2C" w:rsidRPr="00684AD9">
        <w:rPr>
          <w:rFonts w:ascii="Times New Roman" w:hAnsi="Times New Roman" w:cs="Times New Roman"/>
          <w:sz w:val="24"/>
          <w:szCs w:val="24"/>
        </w:rPr>
        <w:t>%.</w:t>
      </w:r>
    </w:p>
    <w:p w14:paraId="53CC3C99" w14:textId="77777777" w:rsidR="00223876" w:rsidRPr="00684AD9" w:rsidRDefault="00223876" w:rsidP="00223876">
      <w:pPr>
        <w:spacing w:after="0" w:line="240" w:lineRule="auto"/>
        <w:jc w:val="both"/>
        <w:rPr>
          <w:rFonts w:ascii="Times New Roman" w:hAnsi="Times New Roman" w:cs="Times New Roman"/>
          <w:sz w:val="24"/>
          <w:szCs w:val="24"/>
        </w:rPr>
      </w:pPr>
    </w:p>
    <w:p w14:paraId="4257EEDA" w14:textId="2A035503" w:rsidR="0040780F" w:rsidRPr="000B6FDE" w:rsidRDefault="0040780F" w:rsidP="006346E1">
      <w:pPr>
        <w:spacing w:after="120" w:line="240" w:lineRule="auto"/>
        <w:jc w:val="center"/>
        <w:rPr>
          <w:rFonts w:ascii="Times New Roman" w:hAnsi="Times New Roman" w:cs="Times New Roman"/>
          <w:i/>
          <w:iCs/>
          <w:sz w:val="24"/>
          <w:szCs w:val="24"/>
        </w:rPr>
      </w:pPr>
      <w:r w:rsidRPr="000B6FDE">
        <w:rPr>
          <w:rFonts w:ascii="Times New Roman" w:hAnsi="Times New Roman" w:cs="Times New Roman"/>
          <w:i/>
          <w:iCs/>
          <w:sz w:val="24"/>
          <w:szCs w:val="24"/>
        </w:rPr>
        <w:t xml:space="preserve">Pašvaldību administratīvie izdevumi, % no kopējiem izdevumiem, </w:t>
      </w:r>
      <w:r w:rsidR="00D9302D" w:rsidRPr="000B6FDE">
        <w:rPr>
          <w:rFonts w:ascii="Times New Roman" w:hAnsi="Times New Roman" w:cs="Times New Roman"/>
          <w:i/>
          <w:iCs/>
          <w:sz w:val="24"/>
          <w:szCs w:val="24"/>
        </w:rPr>
        <w:t xml:space="preserve">4 gadu griezumā </w:t>
      </w:r>
      <w:r w:rsidR="00B80FD2" w:rsidRPr="000B6FDE">
        <w:rPr>
          <w:rFonts w:ascii="Times New Roman" w:hAnsi="Times New Roman" w:cs="Times New Roman"/>
          <w:i/>
          <w:iCs/>
          <w:sz w:val="24"/>
          <w:szCs w:val="24"/>
        </w:rPr>
        <w:t xml:space="preserve">no 2021.g. līdz 2024.g. </w:t>
      </w:r>
      <w:r w:rsidR="009E0503" w:rsidRPr="000B6FDE">
        <w:rPr>
          <w:rFonts w:ascii="Times New Roman" w:hAnsi="Times New Roman" w:cs="Times New Roman"/>
          <w:i/>
          <w:iCs/>
          <w:sz w:val="24"/>
          <w:szCs w:val="24"/>
        </w:rPr>
        <w:t xml:space="preserve">(vidējais aritmētiskais) </w:t>
      </w:r>
      <w:r w:rsidRPr="000B6FDE">
        <w:rPr>
          <w:rFonts w:ascii="Times New Roman" w:hAnsi="Times New Roman" w:cs="Times New Roman"/>
          <w:i/>
          <w:iCs/>
          <w:sz w:val="24"/>
          <w:szCs w:val="24"/>
        </w:rPr>
        <w:t>(dati – Valsts kase</w:t>
      </w:r>
      <w:r w:rsidR="00757457" w:rsidRPr="000B6FDE">
        <w:rPr>
          <w:rFonts w:ascii="Times New Roman" w:hAnsi="Times New Roman" w:cs="Times New Roman"/>
          <w:i/>
          <w:iCs/>
          <w:sz w:val="24"/>
          <w:szCs w:val="24"/>
        </w:rPr>
        <w:t xml:space="preserve"> (</w:t>
      </w:r>
      <w:r w:rsidR="009E0503" w:rsidRPr="000B6FDE">
        <w:rPr>
          <w:rFonts w:ascii="Times New Roman" w:hAnsi="Times New Roman" w:cs="Times New Roman"/>
          <w:i/>
          <w:iCs/>
          <w:sz w:val="24"/>
          <w:szCs w:val="24"/>
        </w:rPr>
        <w:t xml:space="preserve">gada </w:t>
      </w:r>
      <w:r w:rsidR="00757457" w:rsidRPr="000B6FDE">
        <w:rPr>
          <w:rFonts w:ascii="Times New Roman" w:hAnsi="Times New Roman" w:cs="Times New Roman"/>
          <w:i/>
          <w:iCs/>
          <w:sz w:val="24"/>
          <w:szCs w:val="24"/>
        </w:rPr>
        <w:t>pārskat</w:t>
      </w:r>
      <w:r w:rsidR="009E0503" w:rsidRPr="000B6FDE">
        <w:rPr>
          <w:rFonts w:ascii="Times New Roman" w:hAnsi="Times New Roman" w:cs="Times New Roman"/>
          <w:i/>
          <w:iCs/>
          <w:sz w:val="24"/>
          <w:szCs w:val="24"/>
        </w:rPr>
        <w:t>i</w:t>
      </w:r>
      <w:r w:rsidR="00757457" w:rsidRPr="000B6FDE">
        <w:rPr>
          <w:rFonts w:ascii="Times New Roman" w:hAnsi="Times New Roman" w:cs="Times New Roman"/>
          <w:i/>
          <w:iCs/>
          <w:sz w:val="24"/>
          <w:szCs w:val="24"/>
        </w:rPr>
        <w:t>)</w:t>
      </w:r>
      <w:r w:rsidRPr="000B6FDE">
        <w:rPr>
          <w:rFonts w:ascii="Times New Roman" w:hAnsi="Times New Roman" w:cs="Times New Roman"/>
          <w:i/>
          <w:iCs/>
          <w:sz w:val="24"/>
          <w:szCs w:val="24"/>
        </w:rPr>
        <w:t xml:space="preserve">, aprēķini – </w:t>
      </w:r>
      <w:r w:rsidR="009E0503" w:rsidRPr="000B6FDE">
        <w:rPr>
          <w:rFonts w:ascii="Times New Roman" w:hAnsi="Times New Roman" w:cs="Times New Roman"/>
          <w:i/>
          <w:iCs/>
          <w:sz w:val="24"/>
          <w:szCs w:val="24"/>
        </w:rPr>
        <w:t>Ministrija</w:t>
      </w:r>
      <w:r w:rsidRPr="000B6FDE">
        <w:rPr>
          <w:rFonts w:ascii="Times New Roman" w:hAnsi="Times New Roman" w:cs="Times New Roman"/>
          <w:i/>
          <w:iCs/>
          <w:sz w:val="24"/>
          <w:szCs w:val="24"/>
        </w:rPr>
        <w:t>)</w:t>
      </w:r>
      <w:r w:rsidR="00B52B12">
        <w:rPr>
          <w:rStyle w:val="FootnoteReference"/>
          <w:rFonts w:ascii="Times New Roman" w:hAnsi="Times New Roman" w:cs="Times New Roman"/>
          <w:i/>
          <w:iCs/>
          <w:sz w:val="24"/>
          <w:szCs w:val="24"/>
        </w:rPr>
        <w:footnoteReference w:id="1"/>
      </w:r>
    </w:p>
    <w:p w14:paraId="65AEF6F0" w14:textId="1F601BF8" w:rsidR="00F048CB" w:rsidRPr="00684AD9" w:rsidRDefault="00B30FC6" w:rsidP="00223876">
      <w:pPr>
        <w:pStyle w:val="NormalWeb"/>
        <w:spacing w:before="0" w:beforeAutospacing="0" w:after="120" w:afterAutospacing="0"/>
        <w:jc w:val="center"/>
        <w:rPr>
          <w:rFonts w:ascii="Times New Roman" w:hAnsi="Times New Roman" w:cs="Times New Roman"/>
        </w:rPr>
      </w:pPr>
      <w:r w:rsidRPr="00684AD9">
        <w:rPr>
          <w:noProof/>
        </w:rPr>
        <w:drawing>
          <wp:inline distT="0" distB="0" distL="0" distR="0" wp14:anchorId="451DB27D" wp14:editId="4346684F">
            <wp:extent cx="5207635" cy="2186609"/>
            <wp:effectExtent l="0" t="0" r="12065" b="4445"/>
            <wp:docPr id="4688206" name="Chart 1">
              <a:extLst xmlns:a="http://schemas.openxmlformats.org/drawingml/2006/main">
                <a:ext uri="{FF2B5EF4-FFF2-40B4-BE49-F238E27FC236}">
                  <a16:creationId xmlns:a16="http://schemas.microsoft.com/office/drawing/2014/main" id="{608053B2-D6C5-82A7-80A5-CB0DFF4825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8C881A" w14:textId="61DA8D29" w:rsidR="004C7D2C" w:rsidRDefault="004C7D2C" w:rsidP="006346E1">
      <w:pPr>
        <w:pStyle w:val="NormalWeb"/>
        <w:spacing w:before="0" w:beforeAutospacing="0" w:after="120" w:afterAutospacing="0"/>
        <w:jc w:val="both"/>
        <w:rPr>
          <w:rFonts w:ascii="Times New Roman" w:hAnsi="Times New Roman" w:cs="Times New Roman"/>
        </w:rPr>
      </w:pPr>
      <w:r>
        <w:rPr>
          <w:rFonts w:ascii="Times New Roman" w:hAnsi="Times New Roman" w:cs="Times New Roman"/>
        </w:rPr>
        <w:t>Apkopojot pašvaldību</w:t>
      </w:r>
      <w:r w:rsidRPr="00684AD9">
        <w:rPr>
          <w:rFonts w:ascii="Times New Roman" w:hAnsi="Times New Roman" w:cs="Times New Roman"/>
        </w:rPr>
        <w:t xml:space="preserve"> dat</w:t>
      </w:r>
      <w:r>
        <w:rPr>
          <w:rFonts w:ascii="Times New Roman" w:hAnsi="Times New Roman" w:cs="Times New Roman"/>
        </w:rPr>
        <w:t>us redzam</w:t>
      </w:r>
      <w:r w:rsidR="00BB5660">
        <w:rPr>
          <w:rFonts w:ascii="Times New Roman" w:hAnsi="Times New Roman" w:cs="Times New Roman"/>
        </w:rPr>
        <w:t xml:space="preserve">, ka viena </w:t>
      </w:r>
      <w:r w:rsidR="0011139A">
        <w:rPr>
          <w:rFonts w:ascii="Times New Roman" w:hAnsi="Times New Roman" w:cs="Times New Roman"/>
        </w:rPr>
        <w:t>pašvaldība</w:t>
      </w:r>
      <w:r w:rsidR="00BB5660">
        <w:rPr>
          <w:rFonts w:ascii="Times New Roman" w:hAnsi="Times New Roman" w:cs="Times New Roman"/>
        </w:rPr>
        <w:t xml:space="preserve"> ir robežās līdz 20%</w:t>
      </w:r>
      <w:r w:rsidR="00824D8E">
        <w:rPr>
          <w:rFonts w:ascii="Times New Roman" w:hAnsi="Times New Roman" w:cs="Times New Roman"/>
        </w:rPr>
        <w:t xml:space="preserve">, deviņas ir </w:t>
      </w:r>
      <w:r w:rsidR="00936076">
        <w:rPr>
          <w:rFonts w:ascii="Times New Roman" w:hAnsi="Times New Roman" w:cs="Times New Roman"/>
        </w:rPr>
        <w:t xml:space="preserve">saglabājušas ietvaru no 10-15%, bet trīsdesmit trīs jau sasniegušas </w:t>
      </w:r>
      <w:r w:rsidR="00864593" w:rsidRPr="00684AD9">
        <w:rPr>
          <w:rFonts w:ascii="Times New Roman" w:hAnsi="Times New Roman" w:cs="Times New Roman"/>
        </w:rPr>
        <w:t>izdevumu aritmētisk</w:t>
      </w:r>
      <w:r w:rsidR="00864593">
        <w:rPr>
          <w:rFonts w:ascii="Times New Roman" w:hAnsi="Times New Roman" w:cs="Times New Roman"/>
        </w:rPr>
        <w:t>o</w:t>
      </w:r>
      <w:r w:rsidR="00864593" w:rsidRPr="00684AD9">
        <w:rPr>
          <w:rFonts w:ascii="Times New Roman" w:hAnsi="Times New Roman" w:cs="Times New Roman"/>
        </w:rPr>
        <w:t xml:space="preserve"> īpatsvar</w:t>
      </w:r>
      <w:r w:rsidR="00864593">
        <w:rPr>
          <w:rFonts w:ascii="Times New Roman" w:hAnsi="Times New Roman" w:cs="Times New Roman"/>
        </w:rPr>
        <w:t>u</w:t>
      </w:r>
      <w:r w:rsidR="006C3939">
        <w:rPr>
          <w:rFonts w:ascii="Times New Roman" w:hAnsi="Times New Roman" w:cs="Times New Roman"/>
        </w:rPr>
        <w:t xml:space="preserve"> līdz 10%, kas ir </w:t>
      </w:r>
      <w:r w:rsidR="00864593" w:rsidRPr="00684AD9">
        <w:rPr>
          <w:rFonts w:ascii="Times New Roman" w:hAnsi="Times New Roman" w:cs="Times New Roman"/>
        </w:rPr>
        <w:t xml:space="preserve"> </w:t>
      </w:r>
      <w:r w:rsidR="006C3939" w:rsidRPr="00684AD9">
        <w:rPr>
          <w:rFonts w:ascii="Times New Roman" w:hAnsi="Times New Roman" w:cs="Times New Roman"/>
        </w:rPr>
        <w:t>optimālais sasniedzamais rādītājs</w:t>
      </w:r>
      <w:r w:rsidR="006C3939">
        <w:rPr>
          <w:rFonts w:ascii="Times New Roman" w:hAnsi="Times New Roman" w:cs="Times New Roman"/>
        </w:rPr>
        <w:t>.</w:t>
      </w:r>
    </w:p>
    <w:p w14:paraId="4F40A383" w14:textId="7C95E653" w:rsidR="00F85D57" w:rsidRPr="00684AD9" w:rsidRDefault="00F3173E"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 xml:space="preserve">Jāatzīmē, ka </w:t>
      </w:r>
      <w:proofErr w:type="spellStart"/>
      <w:r w:rsidR="00684AD9">
        <w:rPr>
          <w:rFonts w:ascii="Times New Roman" w:hAnsi="Times New Roman" w:cs="Times New Roman"/>
        </w:rPr>
        <w:t>valsts</w:t>
      </w:r>
      <w:r w:rsidRPr="00684AD9">
        <w:rPr>
          <w:rFonts w:ascii="Times New Roman" w:hAnsi="Times New Roman" w:cs="Times New Roman"/>
        </w:rPr>
        <w:t>pilsēt</w:t>
      </w:r>
      <w:r w:rsidR="00BF0581">
        <w:rPr>
          <w:rFonts w:ascii="Times New Roman" w:hAnsi="Times New Roman" w:cs="Times New Roman"/>
        </w:rPr>
        <w:t>u</w:t>
      </w:r>
      <w:proofErr w:type="spellEnd"/>
      <w:r w:rsidRPr="00684AD9">
        <w:rPr>
          <w:rFonts w:ascii="Times New Roman" w:hAnsi="Times New Roman" w:cs="Times New Roman"/>
        </w:rPr>
        <w:t xml:space="preserve"> administratīvo izdevumu īpatsvaru pret kopējiem izdevumiem ir vidēji ap </w:t>
      </w:r>
      <w:r w:rsidR="000E1EF3" w:rsidRPr="00684AD9">
        <w:rPr>
          <w:rFonts w:ascii="Times New Roman" w:hAnsi="Times New Roman" w:cs="Times New Roman"/>
        </w:rPr>
        <w:t>5,50</w:t>
      </w:r>
      <w:r w:rsidRPr="00684AD9">
        <w:rPr>
          <w:rFonts w:ascii="Times New Roman" w:hAnsi="Times New Roman" w:cs="Times New Roman"/>
        </w:rPr>
        <w:t>%, kas ir labs rezultāts.</w:t>
      </w:r>
      <w:r w:rsidR="00524D08" w:rsidRPr="00684AD9">
        <w:rPr>
          <w:rFonts w:ascii="Times New Roman" w:hAnsi="Times New Roman" w:cs="Times New Roman"/>
        </w:rPr>
        <w:t xml:space="preserve"> </w:t>
      </w:r>
    </w:p>
    <w:p w14:paraId="7DCDB007" w14:textId="77777777" w:rsidR="00F3173E" w:rsidRPr="00684AD9" w:rsidRDefault="00F85D57" w:rsidP="006346E1">
      <w:pPr>
        <w:pStyle w:val="NormalWeb"/>
        <w:spacing w:before="0" w:beforeAutospacing="0" w:after="120" w:afterAutospacing="0"/>
        <w:jc w:val="both"/>
        <w:rPr>
          <w:rFonts w:ascii="Times New Roman" w:hAnsi="Times New Roman" w:cs="Times New Roman"/>
        </w:rPr>
      </w:pPr>
      <w:r w:rsidRPr="00684AD9">
        <w:rPr>
          <w:rFonts w:ascii="Times New Roman" w:hAnsi="Times New Roman" w:cs="Times New Roman"/>
        </w:rPr>
        <w:t>Lai pašvaldība varētu apskatīt savus izdevumus no šo vērtējumu skatupunkta piedāvājam administratīvo izdevumu aprēķināšanas indikatoru pielietošanu.</w:t>
      </w:r>
    </w:p>
    <w:p w14:paraId="56E6FBC5" w14:textId="77777777" w:rsidR="009772DB" w:rsidRPr="000B6FDE" w:rsidRDefault="009772DB" w:rsidP="00223876">
      <w:pPr>
        <w:pStyle w:val="NormalWeb"/>
        <w:spacing w:before="0" w:beforeAutospacing="0" w:after="240" w:afterAutospacing="0"/>
        <w:jc w:val="center"/>
        <w:rPr>
          <w:rFonts w:ascii="Times New Roman" w:hAnsi="Times New Roman" w:cs="Times New Roman"/>
          <w:b/>
          <w:color w:val="0070C0"/>
        </w:rPr>
      </w:pPr>
      <w:r w:rsidRPr="000B6FDE">
        <w:rPr>
          <w:rFonts w:ascii="Times New Roman" w:hAnsi="Times New Roman" w:cs="Times New Roman"/>
          <w:b/>
          <w:color w:val="0070C0"/>
        </w:rPr>
        <w:lastRenderedPageBreak/>
        <w:t>Administratīvo izdevumu indikatori</w:t>
      </w:r>
    </w:p>
    <w:p w14:paraId="76559EE3" w14:textId="5AB0AEED" w:rsidR="005D7988" w:rsidRPr="006346E1" w:rsidRDefault="006E042A" w:rsidP="00223876">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sz w:val="24"/>
          <w:szCs w:val="24"/>
        </w:rPr>
        <w:t>Koriģēto funkcionālās kategorijas 01</w:t>
      </w:r>
      <w:r w:rsidR="00664473" w:rsidRPr="006346E1">
        <w:rPr>
          <w:rFonts w:ascii="Times New Roman" w:hAnsi="Times New Roman" w:cs="Times New Roman"/>
          <w:sz w:val="24"/>
          <w:szCs w:val="24"/>
        </w:rPr>
        <w:t xml:space="preserve">.000 </w:t>
      </w:r>
      <w:r w:rsidRPr="000B6FDE">
        <w:rPr>
          <w:rFonts w:ascii="Times New Roman" w:hAnsi="Times New Roman" w:cs="Times New Roman"/>
          <w:i/>
          <w:iCs/>
          <w:sz w:val="24"/>
          <w:szCs w:val="24"/>
        </w:rPr>
        <w:t>Vispārēj</w:t>
      </w:r>
      <w:r w:rsidR="00664473" w:rsidRPr="006346E1">
        <w:rPr>
          <w:rFonts w:ascii="Times New Roman" w:hAnsi="Times New Roman" w:cs="Times New Roman"/>
          <w:i/>
          <w:iCs/>
          <w:sz w:val="24"/>
          <w:szCs w:val="24"/>
        </w:rPr>
        <w:t>ie</w:t>
      </w:r>
      <w:r w:rsidRPr="000B6FDE">
        <w:rPr>
          <w:rFonts w:ascii="Times New Roman" w:hAnsi="Times New Roman" w:cs="Times New Roman"/>
          <w:i/>
          <w:iCs/>
          <w:sz w:val="24"/>
          <w:szCs w:val="24"/>
        </w:rPr>
        <w:t xml:space="preserve"> valdības dienesta </w:t>
      </w:r>
      <w:r w:rsidRPr="006346E1">
        <w:rPr>
          <w:rFonts w:ascii="Times New Roman" w:hAnsi="Times New Roman" w:cs="Times New Roman"/>
          <w:sz w:val="24"/>
          <w:szCs w:val="24"/>
        </w:rPr>
        <w:t>izdevumu</w:t>
      </w:r>
      <w:r w:rsidRPr="006346E1">
        <w:rPr>
          <w:rFonts w:ascii="Times New Roman" w:hAnsi="Times New Roman" w:cs="Times New Roman"/>
          <w:color w:val="000000"/>
          <w:sz w:val="24"/>
          <w:szCs w:val="24"/>
        </w:rPr>
        <w:t xml:space="preserve"> </w:t>
      </w:r>
      <w:r w:rsidR="005D7988" w:rsidRPr="006346E1">
        <w:rPr>
          <w:rFonts w:ascii="Times New Roman" w:hAnsi="Times New Roman" w:cs="Times New Roman"/>
          <w:color w:val="000000"/>
          <w:sz w:val="24"/>
          <w:szCs w:val="24"/>
        </w:rPr>
        <w:t>aprēķinu formula:</w:t>
      </w:r>
    </w:p>
    <w:p w14:paraId="4DBD6100" w14:textId="77777777" w:rsidR="005D7988" w:rsidRPr="006346E1" w:rsidRDefault="005D7988" w:rsidP="000B6FDE">
      <w:pPr>
        <w:autoSpaceDE w:val="0"/>
        <w:autoSpaceDN w:val="0"/>
        <w:adjustRightInd w:val="0"/>
        <w:spacing w:before="120" w:after="120" w:line="240" w:lineRule="auto"/>
        <w:jc w:val="center"/>
        <w:rPr>
          <w:rFonts w:ascii="Times New Roman" w:hAnsi="Times New Roman" w:cs="Times New Roman"/>
          <w:b/>
          <w:color w:val="000000"/>
          <w:sz w:val="24"/>
          <w:szCs w:val="24"/>
        </w:rPr>
      </w:pPr>
      <w:r w:rsidRPr="006346E1">
        <w:rPr>
          <w:rFonts w:ascii="Times New Roman" w:hAnsi="Times New Roman" w:cs="Times New Roman"/>
          <w:b/>
          <w:color w:val="000000"/>
          <w:sz w:val="24"/>
          <w:szCs w:val="24"/>
        </w:rPr>
        <w:t>1) KFK = VDI – (</w:t>
      </w:r>
      <w:proofErr w:type="spellStart"/>
      <w:r w:rsidRPr="006346E1">
        <w:rPr>
          <w:rFonts w:ascii="Times New Roman" w:hAnsi="Times New Roman" w:cs="Times New Roman"/>
          <w:b/>
          <w:color w:val="000000"/>
          <w:sz w:val="24"/>
          <w:szCs w:val="24"/>
        </w:rPr>
        <w:t>IemF</w:t>
      </w:r>
      <w:proofErr w:type="spellEnd"/>
      <w:r w:rsidRPr="006346E1">
        <w:rPr>
          <w:rFonts w:ascii="Times New Roman" w:hAnsi="Times New Roman" w:cs="Times New Roman"/>
          <w:b/>
          <w:color w:val="000000"/>
          <w:sz w:val="24"/>
          <w:szCs w:val="24"/>
        </w:rPr>
        <w:t xml:space="preserve"> +PM)</w:t>
      </w:r>
    </w:p>
    <w:p w14:paraId="126CEFFC" w14:textId="12B75E61" w:rsidR="005D7988" w:rsidRPr="006346E1" w:rsidRDefault="005D7988" w:rsidP="00CB0DA7">
      <w:pPr>
        <w:autoSpaceDE w:val="0"/>
        <w:autoSpaceDN w:val="0"/>
        <w:adjustRightInd w:val="0"/>
        <w:spacing w:after="60" w:line="240" w:lineRule="auto"/>
        <w:rPr>
          <w:rFonts w:ascii="Times New Roman" w:hAnsi="Times New Roman" w:cs="Times New Roman"/>
          <w:color w:val="000000"/>
          <w:sz w:val="24"/>
          <w:szCs w:val="24"/>
        </w:rPr>
      </w:pPr>
      <w:r w:rsidRPr="006346E1">
        <w:rPr>
          <w:rFonts w:ascii="Times New Roman" w:hAnsi="Times New Roman" w:cs="Times New Roman"/>
          <w:color w:val="000000"/>
          <w:sz w:val="24"/>
          <w:szCs w:val="24"/>
        </w:rPr>
        <w:t>kur</w:t>
      </w:r>
      <w:r w:rsidR="006346E1">
        <w:rPr>
          <w:rFonts w:ascii="Times New Roman" w:hAnsi="Times New Roman" w:cs="Times New Roman"/>
          <w:color w:val="000000"/>
          <w:sz w:val="24"/>
          <w:szCs w:val="24"/>
        </w:rPr>
        <w:t>:</w:t>
      </w:r>
    </w:p>
    <w:p w14:paraId="783F52B6" w14:textId="77777777" w:rsidR="00984BCE" w:rsidRPr="006346E1" w:rsidRDefault="005D7988"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proofErr w:type="spellStart"/>
      <w:r w:rsidRPr="006346E1">
        <w:rPr>
          <w:rFonts w:ascii="Times New Roman" w:hAnsi="Times New Roman" w:cs="Times New Roman"/>
          <w:b/>
          <w:color w:val="000000"/>
          <w:sz w:val="24"/>
          <w:szCs w:val="24"/>
        </w:rPr>
        <w:t>IemF</w:t>
      </w:r>
      <w:proofErr w:type="spellEnd"/>
      <w:r w:rsidRPr="006346E1">
        <w:rPr>
          <w:rFonts w:ascii="Times New Roman" w:hAnsi="Times New Roman" w:cs="Times New Roman"/>
          <w:b/>
          <w:color w:val="000000"/>
          <w:sz w:val="24"/>
          <w:szCs w:val="24"/>
        </w:rPr>
        <w:t xml:space="preserve"> )</w:t>
      </w:r>
      <w:r w:rsidRPr="006346E1">
        <w:rPr>
          <w:rFonts w:ascii="Times New Roman" w:hAnsi="Times New Roman" w:cs="Times New Roman"/>
          <w:color w:val="000000"/>
          <w:sz w:val="24"/>
          <w:szCs w:val="24"/>
        </w:rPr>
        <w:t xml:space="preserve"> – </w:t>
      </w:r>
    </w:p>
    <w:p w14:paraId="498E150D" w14:textId="1276125C" w:rsidR="00984BCE" w:rsidRPr="006346E1" w:rsidRDefault="005D7988" w:rsidP="00CB0DA7">
      <w:pPr>
        <w:autoSpaceDE w:val="0"/>
        <w:autoSpaceDN w:val="0"/>
        <w:adjustRightInd w:val="0"/>
        <w:spacing w:after="60" w:line="240" w:lineRule="auto"/>
        <w:jc w:val="both"/>
        <w:rPr>
          <w:rFonts w:ascii="Times New Roman" w:hAnsi="Times New Roman" w:cs="Times New Roman"/>
          <w:color w:val="000000"/>
          <w:sz w:val="24"/>
          <w:szCs w:val="24"/>
        </w:rPr>
      </w:pPr>
      <w:r w:rsidRPr="006346E1">
        <w:rPr>
          <w:rFonts w:ascii="Times New Roman" w:hAnsi="Times New Roman" w:cs="Times New Roman"/>
          <w:sz w:val="24"/>
          <w:szCs w:val="24"/>
        </w:rPr>
        <w:t>Iemaksa pašvaldību finanšu izlīdzināšanas fondā (kas to veic)</w:t>
      </w:r>
      <w:r w:rsidR="00664473" w:rsidRPr="006346E1">
        <w:rPr>
          <w:rFonts w:ascii="Times New Roman" w:hAnsi="Times New Roman" w:cs="Times New Roman"/>
          <w:sz w:val="24"/>
          <w:szCs w:val="24"/>
        </w:rPr>
        <w:t>,</w:t>
      </w:r>
      <w:r w:rsidRPr="006346E1">
        <w:rPr>
          <w:rFonts w:ascii="Times New Roman" w:hAnsi="Times New Roman" w:cs="Times New Roman"/>
          <w:sz w:val="24"/>
          <w:szCs w:val="24"/>
        </w:rPr>
        <w:t xml:space="preserve"> ko uzskaita 01</w:t>
      </w:r>
      <w:r w:rsidR="00664473" w:rsidRPr="006346E1">
        <w:rPr>
          <w:rFonts w:ascii="Times New Roman" w:hAnsi="Times New Roman" w:cs="Times New Roman"/>
          <w:sz w:val="24"/>
          <w:szCs w:val="24"/>
        </w:rPr>
        <w:t>.000</w:t>
      </w:r>
      <w:r w:rsidRPr="006346E1">
        <w:rPr>
          <w:rFonts w:ascii="Times New Roman" w:hAnsi="Times New Roman" w:cs="Times New Roman"/>
          <w:sz w:val="24"/>
          <w:szCs w:val="24"/>
        </w:rPr>
        <w:t xml:space="preserve"> funkcionālajā kategorijā</w:t>
      </w:r>
      <w:r w:rsidR="00C4436C" w:rsidRPr="006346E1">
        <w:rPr>
          <w:rFonts w:ascii="Times New Roman" w:hAnsi="Times New Roman" w:cs="Times New Roman"/>
          <w:sz w:val="24"/>
          <w:szCs w:val="24"/>
        </w:rPr>
        <w:t xml:space="preserve"> (EKK 7260)</w:t>
      </w:r>
      <w:r w:rsidRPr="006346E1">
        <w:rPr>
          <w:rFonts w:ascii="Times New Roman" w:hAnsi="Times New Roman" w:cs="Times New Roman"/>
          <w:sz w:val="24"/>
          <w:szCs w:val="24"/>
        </w:rPr>
        <w:t>.</w:t>
      </w:r>
      <w:r w:rsidRPr="006346E1">
        <w:rPr>
          <w:rFonts w:ascii="Times New Roman" w:hAnsi="Times New Roman" w:cs="Times New Roman"/>
          <w:i/>
          <w:sz w:val="24"/>
          <w:szCs w:val="24"/>
        </w:rPr>
        <w:t xml:space="preserve"> </w:t>
      </w:r>
      <w:r w:rsidRPr="006346E1">
        <w:rPr>
          <w:rFonts w:ascii="Times New Roman" w:hAnsi="Times New Roman" w:cs="Times New Roman"/>
          <w:sz w:val="24"/>
          <w:szCs w:val="24"/>
        </w:rPr>
        <w:t>I</w:t>
      </w:r>
      <w:r w:rsidRPr="006346E1">
        <w:rPr>
          <w:rFonts w:ascii="Times New Roman" w:hAnsi="Times New Roman" w:cs="Times New Roman"/>
          <w:color w:val="000000"/>
          <w:sz w:val="24"/>
          <w:szCs w:val="24"/>
        </w:rPr>
        <w:t xml:space="preserve">ndikatora </w:t>
      </w:r>
      <w:proofErr w:type="spellStart"/>
      <w:r w:rsidRPr="006346E1">
        <w:rPr>
          <w:rFonts w:ascii="Times New Roman" w:hAnsi="Times New Roman" w:cs="Times New Roman"/>
          <w:color w:val="000000"/>
          <w:sz w:val="24"/>
          <w:szCs w:val="24"/>
        </w:rPr>
        <w:t>IemF</w:t>
      </w:r>
      <w:proofErr w:type="spellEnd"/>
      <w:r w:rsidRPr="006346E1">
        <w:rPr>
          <w:rFonts w:ascii="Times New Roman" w:hAnsi="Times New Roman" w:cs="Times New Roman"/>
          <w:color w:val="000000"/>
          <w:sz w:val="24"/>
          <w:szCs w:val="24"/>
        </w:rPr>
        <w:t xml:space="preserve"> vērtība katrai pašvaldībai skatāma</w:t>
      </w:r>
      <w:r w:rsidR="00431888" w:rsidRPr="006346E1">
        <w:rPr>
          <w:rFonts w:ascii="Times New Roman" w:hAnsi="Times New Roman" w:cs="Times New Roman"/>
          <w:color w:val="000000"/>
          <w:sz w:val="24"/>
          <w:szCs w:val="24"/>
        </w:rPr>
        <w:t xml:space="preserve"> atsevišķi.</w:t>
      </w:r>
      <w:r w:rsidRPr="006346E1">
        <w:rPr>
          <w:rFonts w:ascii="Times New Roman" w:hAnsi="Times New Roman" w:cs="Times New Roman"/>
          <w:color w:val="000000"/>
          <w:sz w:val="24"/>
          <w:szCs w:val="24"/>
        </w:rPr>
        <w:t xml:space="preserve"> </w:t>
      </w:r>
    </w:p>
    <w:p w14:paraId="6ACA74FA" w14:textId="77777777" w:rsidR="00984BCE" w:rsidRPr="006346E1" w:rsidRDefault="005D7988"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(PM)</w:t>
      </w:r>
      <w:r w:rsidRPr="006346E1">
        <w:rPr>
          <w:rFonts w:ascii="Times New Roman" w:hAnsi="Times New Roman" w:cs="Times New Roman"/>
          <w:color w:val="000000"/>
          <w:sz w:val="24"/>
          <w:szCs w:val="24"/>
        </w:rPr>
        <w:t xml:space="preserve"> – </w:t>
      </w:r>
    </w:p>
    <w:p w14:paraId="5552D630" w14:textId="15BB5F77" w:rsidR="00984BCE" w:rsidRPr="006346E1" w:rsidRDefault="005D7988" w:rsidP="00CB0DA7">
      <w:pPr>
        <w:autoSpaceDE w:val="0"/>
        <w:autoSpaceDN w:val="0"/>
        <w:adjustRightInd w:val="0"/>
        <w:spacing w:after="60" w:line="240" w:lineRule="auto"/>
        <w:jc w:val="both"/>
        <w:rPr>
          <w:rFonts w:ascii="Times New Roman" w:hAnsi="Times New Roman" w:cs="Times New Roman"/>
          <w:color w:val="000000"/>
          <w:sz w:val="24"/>
          <w:szCs w:val="24"/>
        </w:rPr>
      </w:pPr>
      <w:r w:rsidRPr="006346E1">
        <w:rPr>
          <w:rFonts w:ascii="Times New Roman" w:hAnsi="Times New Roman" w:cs="Times New Roman"/>
          <w:sz w:val="24"/>
          <w:szCs w:val="24"/>
        </w:rPr>
        <w:t>Procentu maksājumi</w:t>
      </w:r>
      <w:r w:rsidR="00664473" w:rsidRPr="006346E1">
        <w:rPr>
          <w:rFonts w:ascii="Times New Roman" w:hAnsi="Times New Roman" w:cs="Times New Roman"/>
          <w:sz w:val="24"/>
          <w:szCs w:val="24"/>
        </w:rPr>
        <w:t>,</w:t>
      </w:r>
      <w:r w:rsidRPr="006346E1">
        <w:rPr>
          <w:rFonts w:ascii="Times New Roman" w:hAnsi="Times New Roman" w:cs="Times New Roman"/>
          <w:sz w:val="24"/>
          <w:szCs w:val="24"/>
        </w:rPr>
        <w:t xml:space="preserve"> ko uzskaita 01</w:t>
      </w:r>
      <w:r w:rsidR="00664473" w:rsidRPr="006346E1">
        <w:rPr>
          <w:rFonts w:ascii="Times New Roman" w:hAnsi="Times New Roman" w:cs="Times New Roman"/>
          <w:sz w:val="24"/>
          <w:szCs w:val="24"/>
        </w:rPr>
        <w:t>.000</w:t>
      </w:r>
      <w:r w:rsidRPr="006346E1">
        <w:rPr>
          <w:rFonts w:ascii="Times New Roman" w:hAnsi="Times New Roman" w:cs="Times New Roman"/>
          <w:sz w:val="24"/>
          <w:szCs w:val="24"/>
        </w:rPr>
        <w:t xml:space="preserve"> funkcionālajā kategorijā</w:t>
      </w:r>
      <w:r w:rsidR="00C4436C" w:rsidRPr="006346E1">
        <w:rPr>
          <w:rFonts w:ascii="Times New Roman" w:hAnsi="Times New Roman" w:cs="Times New Roman"/>
          <w:sz w:val="24"/>
          <w:szCs w:val="24"/>
        </w:rPr>
        <w:t xml:space="preserve"> (EKK 4000)</w:t>
      </w:r>
      <w:r w:rsidRPr="006346E1">
        <w:rPr>
          <w:rFonts w:ascii="Times New Roman" w:hAnsi="Times New Roman" w:cs="Times New Roman"/>
          <w:sz w:val="24"/>
          <w:szCs w:val="24"/>
        </w:rPr>
        <w:t>. I</w:t>
      </w:r>
      <w:r w:rsidRPr="006346E1">
        <w:rPr>
          <w:rFonts w:ascii="Times New Roman" w:hAnsi="Times New Roman" w:cs="Times New Roman"/>
          <w:color w:val="000000"/>
          <w:sz w:val="24"/>
          <w:szCs w:val="24"/>
        </w:rPr>
        <w:t>ndikatora PM vērtība katrai pašvaldībai skatāma</w:t>
      </w:r>
      <w:r w:rsidR="00431888" w:rsidRPr="006346E1">
        <w:rPr>
          <w:rFonts w:ascii="Times New Roman" w:hAnsi="Times New Roman" w:cs="Times New Roman"/>
          <w:color w:val="000000"/>
          <w:sz w:val="24"/>
          <w:szCs w:val="24"/>
        </w:rPr>
        <w:t xml:space="preserve"> atsevišķi.</w:t>
      </w:r>
      <w:r w:rsidRPr="006346E1">
        <w:rPr>
          <w:rFonts w:ascii="Times New Roman" w:hAnsi="Times New Roman" w:cs="Times New Roman"/>
          <w:color w:val="000000"/>
          <w:sz w:val="24"/>
          <w:szCs w:val="24"/>
        </w:rPr>
        <w:t xml:space="preserve"> </w:t>
      </w:r>
    </w:p>
    <w:p w14:paraId="65EFC36E" w14:textId="77777777" w:rsidR="00984BCE" w:rsidRPr="006346E1" w:rsidRDefault="005D7988"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(VDI)</w:t>
      </w:r>
      <w:r w:rsidRPr="006346E1">
        <w:rPr>
          <w:rFonts w:ascii="Times New Roman" w:hAnsi="Times New Roman" w:cs="Times New Roman"/>
          <w:color w:val="000000"/>
          <w:sz w:val="24"/>
          <w:szCs w:val="24"/>
        </w:rPr>
        <w:t xml:space="preserve"> </w:t>
      </w:r>
      <w:r w:rsidR="00984BCE" w:rsidRPr="006346E1">
        <w:rPr>
          <w:rFonts w:ascii="Times New Roman" w:hAnsi="Times New Roman" w:cs="Times New Roman"/>
          <w:color w:val="000000"/>
          <w:sz w:val="24"/>
          <w:szCs w:val="24"/>
        </w:rPr>
        <w:t>–</w:t>
      </w:r>
      <w:r w:rsidRPr="006346E1">
        <w:rPr>
          <w:rFonts w:ascii="Times New Roman" w:hAnsi="Times New Roman" w:cs="Times New Roman"/>
          <w:color w:val="000000"/>
          <w:sz w:val="24"/>
          <w:szCs w:val="24"/>
        </w:rPr>
        <w:t xml:space="preserve"> </w:t>
      </w:r>
    </w:p>
    <w:p w14:paraId="5C37BD26" w14:textId="1359BB88" w:rsidR="00984BCE" w:rsidRPr="006346E1" w:rsidRDefault="005D7988" w:rsidP="00CB0DA7">
      <w:pPr>
        <w:autoSpaceDE w:val="0"/>
        <w:autoSpaceDN w:val="0"/>
        <w:adjustRightInd w:val="0"/>
        <w:spacing w:after="60" w:line="240" w:lineRule="auto"/>
        <w:jc w:val="both"/>
        <w:rPr>
          <w:rFonts w:ascii="Times New Roman" w:hAnsi="Times New Roman" w:cs="Times New Roman"/>
          <w:color w:val="000000"/>
          <w:sz w:val="24"/>
          <w:szCs w:val="24"/>
        </w:rPr>
      </w:pPr>
      <w:r w:rsidRPr="006346E1">
        <w:rPr>
          <w:rFonts w:ascii="Times New Roman" w:hAnsi="Times New Roman" w:cs="Times New Roman"/>
          <w:color w:val="000000"/>
          <w:sz w:val="24"/>
          <w:szCs w:val="24"/>
        </w:rPr>
        <w:t>Izdevumi</w:t>
      </w:r>
      <w:r w:rsidR="00664473" w:rsidRPr="006346E1">
        <w:rPr>
          <w:rFonts w:ascii="Times New Roman" w:hAnsi="Times New Roman" w:cs="Times New Roman"/>
          <w:color w:val="000000"/>
          <w:sz w:val="24"/>
          <w:szCs w:val="24"/>
        </w:rPr>
        <w:t>,</w:t>
      </w:r>
      <w:r w:rsidRPr="006346E1">
        <w:rPr>
          <w:rFonts w:ascii="Times New Roman" w:hAnsi="Times New Roman" w:cs="Times New Roman"/>
          <w:color w:val="000000"/>
          <w:sz w:val="24"/>
          <w:szCs w:val="24"/>
        </w:rPr>
        <w:t xml:space="preserve"> ko uzskaita 01</w:t>
      </w:r>
      <w:r w:rsidR="00664473" w:rsidRPr="006346E1">
        <w:rPr>
          <w:rFonts w:ascii="Times New Roman" w:hAnsi="Times New Roman" w:cs="Times New Roman"/>
          <w:color w:val="000000"/>
          <w:sz w:val="24"/>
          <w:szCs w:val="24"/>
        </w:rPr>
        <w:t>.000</w:t>
      </w:r>
      <w:r w:rsidRPr="006346E1">
        <w:rPr>
          <w:rFonts w:ascii="Times New Roman" w:hAnsi="Times New Roman" w:cs="Times New Roman"/>
          <w:color w:val="000000"/>
          <w:sz w:val="24"/>
          <w:szCs w:val="24"/>
        </w:rPr>
        <w:t xml:space="preserve"> funkcionālajā kategorijā. Indikatora </w:t>
      </w:r>
      <w:r w:rsidR="006E3179">
        <w:rPr>
          <w:rFonts w:ascii="Times New Roman" w:hAnsi="Times New Roman" w:cs="Times New Roman"/>
          <w:color w:val="000000"/>
          <w:sz w:val="24"/>
          <w:szCs w:val="24"/>
        </w:rPr>
        <w:t>VDI</w:t>
      </w:r>
      <w:r w:rsidR="006E3179" w:rsidRPr="006346E1">
        <w:rPr>
          <w:rFonts w:ascii="Times New Roman" w:hAnsi="Times New Roman" w:cs="Times New Roman"/>
          <w:color w:val="000000"/>
          <w:sz w:val="24"/>
          <w:szCs w:val="24"/>
        </w:rPr>
        <w:t xml:space="preserve"> </w:t>
      </w:r>
      <w:r w:rsidRPr="006346E1">
        <w:rPr>
          <w:rFonts w:ascii="Times New Roman" w:hAnsi="Times New Roman" w:cs="Times New Roman"/>
          <w:color w:val="000000"/>
          <w:sz w:val="24"/>
          <w:szCs w:val="24"/>
        </w:rPr>
        <w:t>vērtība katra</w:t>
      </w:r>
      <w:r w:rsidR="00431888" w:rsidRPr="006346E1">
        <w:rPr>
          <w:rFonts w:ascii="Times New Roman" w:hAnsi="Times New Roman" w:cs="Times New Roman"/>
          <w:color w:val="000000"/>
          <w:sz w:val="24"/>
          <w:szCs w:val="24"/>
        </w:rPr>
        <w:t>i pašvaldībai skatāma atsevišķi.</w:t>
      </w:r>
    </w:p>
    <w:p w14:paraId="6160322B" w14:textId="77777777" w:rsidR="00984BCE" w:rsidRPr="006346E1" w:rsidRDefault="0064762F" w:rsidP="006346E1">
      <w:pPr>
        <w:autoSpaceDE w:val="0"/>
        <w:autoSpaceDN w:val="0"/>
        <w:adjustRightInd w:val="0"/>
        <w:spacing w:after="0" w:line="240" w:lineRule="auto"/>
        <w:jc w:val="both"/>
        <w:rPr>
          <w:rFonts w:ascii="Times New Roman" w:hAnsi="Times New Roman" w:cs="Times New Roman"/>
          <w:b/>
          <w:color w:val="000000"/>
          <w:sz w:val="24"/>
          <w:szCs w:val="24"/>
        </w:rPr>
      </w:pPr>
      <w:r w:rsidRPr="006346E1">
        <w:rPr>
          <w:rFonts w:ascii="Times New Roman" w:hAnsi="Times New Roman" w:cs="Times New Roman"/>
          <w:b/>
          <w:color w:val="000000"/>
          <w:sz w:val="24"/>
          <w:szCs w:val="24"/>
        </w:rPr>
        <w:t xml:space="preserve">(KFK) </w:t>
      </w:r>
      <w:r w:rsidR="00984BCE" w:rsidRPr="006346E1">
        <w:rPr>
          <w:rFonts w:ascii="Times New Roman" w:hAnsi="Times New Roman" w:cs="Times New Roman"/>
          <w:b/>
          <w:color w:val="000000"/>
          <w:sz w:val="24"/>
          <w:szCs w:val="24"/>
        </w:rPr>
        <w:t>–</w:t>
      </w:r>
      <w:r w:rsidRPr="006346E1">
        <w:rPr>
          <w:rFonts w:ascii="Times New Roman" w:hAnsi="Times New Roman" w:cs="Times New Roman"/>
          <w:b/>
          <w:color w:val="000000"/>
          <w:sz w:val="24"/>
          <w:szCs w:val="24"/>
        </w:rPr>
        <w:t xml:space="preserve"> </w:t>
      </w:r>
    </w:p>
    <w:p w14:paraId="427193E2" w14:textId="3735931D" w:rsidR="00431888" w:rsidRPr="006346E1" w:rsidRDefault="0064762F" w:rsidP="00CB0DA7">
      <w:pPr>
        <w:spacing w:after="60" w:line="240" w:lineRule="auto"/>
        <w:jc w:val="both"/>
        <w:rPr>
          <w:rFonts w:ascii="Times New Roman" w:hAnsi="Times New Roman" w:cs="Times New Roman"/>
          <w:sz w:val="24"/>
          <w:szCs w:val="24"/>
        </w:rPr>
      </w:pPr>
      <w:r w:rsidRPr="006346E1">
        <w:rPr>
          <w:rFonts w:ascii="Times New Roman" w:hAnsi="Times New Roman" w:cs="Times New Roman"/>
          <w:sz w:val="24"/>
          <w:szCs w:val="24"/>
        </w:rPr>
        <w:t>Koriģētie funkcionālās kategorijas 01</w:t>
      </w:r>
      <w:r w:rsidR="00FC5948" w:rsidRPr="006346E1">
        <w:rPr>
          <w:rFonts w:ascii="Times New Roman" w:hAnsi="Times New Roman" w:cs="Times New Roman"/>
          <w:sz w:val="24"/>
          <w:szCs w:val="24"/>
        </w:rPr>
        <w:t xml:space="preserve">.000 </w:t>
      </w:r>
      <w:r w:rsidRPr="000B6FDE">
        <w:rPr>
          <w:rFonts w:ascii="Times New Roman" w:hAnsi="Times New Roman" w:cs="Times New Roman"/>
          <w:i/>
          <w:iCs/>
          <w:sz w:val="24"/>
          <w:szCs w:val="24"/>
        </w:rPr>
        <w:t>Vispārēj</w:t>
      </w:r>
      <w:r w:rsidR="00FC5948" w:rsidRPr="006346E1">
        <w:rPr>
          <w:rFonts w:ascii="Times New Roman" w:hAnsi="Times New Roman" w:cs="Times New Roman"/>
          <w:i/>
          <w:iCs/>
          <w:sz w:val="24"/>
          <w:szCs w:val="24"/>
        </w:rPr>
        <w:t>ie</w:t>
      </w:r>
      <w:r w:rsidRPr="000B6FDE">
        <w:rPr>
          <w:rFonts w:ascii="Times New Roman" w:hAnsi="Times New Roman" w:cs="Times New Roman"/>
          <w:i/>
          <w:iCs/>
          <w:sz w:val="24"/>
          <w:szCs w:val="24"/>
        </w:rPr>
        <w:t xml:space="preserve"> valdības dienesta</w:t>
      </w:r>
      <w:r w:rsidRPr="006346E1">
        <w:rPr>
          <w:rFonts w:ascii="Times New Roman" w:hAnsi="Times New Roman" w:cs="Times New Roman"/>
          <w:sz w:val="24"/>
          <w:szCs w:val="24"/>
        </w:rPr>
        <w:t xml:space="preserve"> izdevumi.</w:t>
      </w:r>
      <w:r w:rsidR="00511002" w:rsidRPr="006346E1">
        <w:rPr>
          <w:rFonts w:ascii="Times New Roman" w:hAnsi="Times New Roman" w:cs="Times New Roman"/>
          <w:sz w:val="24"/>
          <w:szCs w:val="24"/>
        </w:rPr>
        <w:t xml:space="preserve"> Šo indikatoru izmanto, lai pašvaldīb</w:t>
      </w:r>
      <w:r w:rsidR="004C13B5" w:rsidRPr="006346E1">
        <w:rPr>
          <w:rFonts w:ascii="Times New Roman" w:hAnsi="Times New Roman" w:cs="Times New Roman"/>
          <w:sz w:val="24"/>
          <w:szCs w:val="24"/>
        </w:rPr>
        <w:t>as izdevumu kontekstā</w:t>
      </w:r>
      <w:r w:rsidR="00511002" w:rsidRPr="006346E1">
        <w:rPr>
          <w:rFonts w:ascii="Times New Roman" w:hAnsi="Times New Roman" w:cs="Times New Roman"/>
          <w:sz w:val="24"/>
          <w:szCs w:val="24"/>
        </w:rPr>
        <w:t xml:space="preserve"> analītiski aprēķinātu </w:t>
      </w:r>
      <w:r w:rsidR="004C13B5" w:rsidRPr="006346E1">
        <w:rPr>
          <w:rFonts w:ascii="Times New Roman" w:hAnsi="Times New Roman" w:cs="Times New Roman"/>
          <w:sz w:val="24"/>
          <w:szCs w:val="24"/>
        </w:rPr>
        <w:t xml:space="preserve">administratīvo </w:t>
      </w:r>
      <w:r w:rsidR="00511002" w:rsidRPr="006346E1">
        <w:rPr>
          <w:rFonts w:ascii="Times New Roman" w:hAnsi="Times New Roman" w:cs="Times New Roman"/>
          <w:sz w:val="24"/>
          <w:szCs w:val="24"/>
        </w:rPr>
        <w:t xml:space="preserve">izdevumu īpatsvaru (%) kopējos izdevumos, kā arī izdevumus </w:t>
      </w:r>
      <w:r w:rsidR="008B6B88" w:rsidRPr="006346E1">
        <w:rPr>
          <w:rFonts w:ascii="Times New Roman" w:hAnsi="Times New Roman" w:cs="Times New Roman"/>
          <w:sz w:val="24"/>
          <w:szCs w:val="24"/>
        </w:rPr>
        <w:t xml:space="preserve">attiecībā pret </w:t>
      </w:r>
      <w:r w:rsidR="00AF16B6" w:rsidRPr="006346E1">
        <w:rPr>
          <w:rFonts w:ascii="Times New Roman" w:hAnsi="Times New Roman" w:cs="Times New Roman"/>
          <w:sz w:val="24"/>
          <w:szCs w:val="24"/>
        </w:rPr>
        <w:t xml:space="preserve">vienu </w:t>
      </w:r>
      <w:r w:rsidR="00511002" w:rsidRPr="006346E1">
        <w:rPr>
          <w:rFonts w:ascii="Times New Roman" w:hAnsi="Times New Roman" w:cs="Times New Roman"/>
          <w:sz w:val="24"/>
          <w:szCs w:val="24"/>
        </w:rPr>
        <w:t>iedzīvotāju</w:t>
      </w:r>
      <w:r w:rsidR="008B6B88" w:rsidRPr="006346E1">
        <w:rPr>
          <w:rFonts w:ascii="Times New Roman" w:hAnsi="Times New Roman" w:cs="Times New Roman"/>
          <w:sz w:val="24"/>
          <w:szCs w:val="24"/>
        </w:rPr>
        <w:t>.</w:t>
      </w:r>
      <w:r w:rsidR="00431888" w:rsidRPr="006346E1">
        <w:rPr>
          <w:rFonts w:ascii="Times New Roman" w:hAnsi="Times New Roman" w:cs="Times New Roman"/>
          <w:sz w:val="24"/>
          <w:szCs w:val="24"/>
        </w:rPr>
        <w:t xml:space="preserve"> </w:t>
      </w:r>
    </w:p>
    <w:p w14:paraId="1957D422" w14:textId="50B0F591" w:rsidR="005D7988" w:rsidRDefault="00431888" w:rsidP="006346E1">
      <w:pPr>
        <w:spacing w:after="0" w:line="240" w:lineRule="auto"/>
        <w:jc w:val="both"/>
        <w:rPr>
          <w:rFonts w:ascii="Times New Roman" w:hAnsi="Times New Roman" w:cs="Times New Roman"/>
          <w:sz w:val="24"/>
          <w:szCs w:val="24"/>
        </w:rPr>
      </w:pPr>
      <w:r w:rsidRPr="006346E1">
        <w:rPr>
          <w:rFonts w:ascii="Times New Roman" w:hAnsi="Times New Roman" w:cs="Times New Roman"/>
          <w:sz w:val="24"/>
          <w:szCs w:val="24"/>
        </w:rPr>
        <w:t>Līdz ar to šeit identificējam specifisko</w:t>
      </w:r>
      <w:r w:rsidR="00057DE9" w:rsidRPr="006346E1">
        <w:rPr>
          <w:rFonts w:ascii="Times New Roman" w:hAnsi="Times New Roman" w:cs="Times New Roman"/>
          <w:sz w:val="24"/>
          <w:szCs w:val="24"/>
        </w:rPr>
        <w:t>s</w:t>
      </w:r>
      <w:r w:rsidRPr="006346E1">
        <w:rPr>
          <w:rFonts w:ascii="Times New Roman" w:hAnsi="Times New Roman" w:cs="Times New Roman"/>
          <w:sz w:val="24"/>
          <w:szCs w:val="24"/>
        </w:rPr>
        <w:t xml:space="preserve"> indikatoru</w:t>
      </w:r>
      <w:r w:rsidR="00057DE9" w:rsidRPr="006346E1">
        <w:rPr>
          <w:rFonts w:ascii="Times New Roman" w:hAnsi="Times New Roman" w:cs="Times New Roman"/>
          <w:sz w:val="24"/>
          <w:szCs w:val="24"/>
        </w:rPr>
        <w:t>s</w:t>
      </w:r>
      <w:r w:rsidRPr="006346E1">
        <w:rPr>
          <w:rFonts w:ascii="Times New Roman" w:hAnsi="Times New Roman" w:cs="Times New Roman"/>
          <w:sz w:val="24"/>
          <w:szCs w:val="24"/>
        </w:rPr>
        <w:t>.</w:t>
      </w:r>
    </w:p>
    <w:p w14:paraId="1C93A622" w14:textId="77777777" w:rsidR="00223876" w:rsidRDefault="00223876" w:rsidP="006346E1">
      <w:pPr>
        <w:spacing w:after="0" w:line="240" w:lineRule="auto"/>
        <w:jc w:val="both"/>
        <w:rPr>
          <w:rFonts w:ascii="Times New Roman" w:hAnsi="Times New Roman" w:cs="Times New Roman"/>
          <w:sz w:val="24"/>
          <w:szCs w:val="24"/>
        </w:rPr>
      </w:pPr>
    </w:p>
    <w:p w14:paraId="020D3DDA" w14:textId="3FAC7321" w:rsidR="006E042A" w:rsidRPr="00CB0DA7" w:rsidRDefault="006E042A" w:rsidP="00223876">
      <w:pPr>
        <w:pStyle w:val="NormalWeb"/>
        <w:spacing w:before="0" w:beforeAutospacing="0" w:after="240" w:afterAutospacing="0"/>
        <w:jc w:val="center"/>
        <w:rPr>
          <w:rFonts w:ascii="Times New Roman" w:hAnsi="Times New Roman" w:cs="Times New Roman"/>
          <w:b/>
          <w:color w:val="0070C0"/>
        </w:rPr>
      </w:pPr>
      <w:r w:rsidRPr="00CB0DA7">
        <w:rPr>
          <w:rFonts w:ascii="Times New Roman" w:hAnsi="Times New Roman" w:cs="Times New Roman"/>
          <w:b/>
          <w:color w:val="0070C0"/>
        </w:rPr>
        <w:t>Administratīvo izdevumu aprēķinu formulas:</w:t>
      </w:r>
    </w:p>
    <w:p w14:paraId="510A7743" w14:textId="77777777" w:rsidR="006E042A" w:rsidRPr="006346E1" w:rsidRDefault="00AF5B3D" w:rsidP="00223876">
      <w:pPr>
        <w:autoSpaceDE w:val="0"/>
        <w:autoSpaceDN w:val="0"/>
        <w:adjustRightInd w:val="0"/>
        <w:spacing w:after="120" w:line="240" w:lineRule="auto"/>
        <w:jc w:val="center"/>
        <w:rPr>
          <w:rFonts w:ascii="Times New Roman" w:hAnsi="Times New Roman" w:cs="Times New Roman"/>
          <w:b/>
          <w:color w:val="000000"/>
          <w:sz w:val="24"/>
          <w:szCs w:val="24"/>
        </w:rPr>
      </w:pPr>
      <w:r w:rsidRPr="006346E1">
        <w:rPr>
          <w:rFonts w:ascii="Times New Roman" w:hAnsi="Times New Roman" w:cs="Times New Roman"/>
          <w:b/>
          <w:color w:val="000000"/>
          <w:sz w:val="24"/>
          <w:szCs w:val="24"/>
        </w:rPr>
        <w:t>2</w:t>
      </w:r>
      <w:r w:rsidR="006E042A" w:rsidRPr="006346E1">
        <w:rPr>
          <w:rFonts w:ascii="Times New Roman" w:hAnsi="Times New Roman" w:cs="Times New Roman"/>
          <w:b/>
          <w:color w:val="000000"/>
          <w:sz w:val="24"/>
          <w:szCs w:val="24"/>
        </w:rPr>
        <w:t>) ADM% = (</w:t>
      </w:r>
      <w:r w:rsidR="006E042A" w:rsidRPr="006346E1">
        <w:rPr>
          <w:rFonts w:ascii="Times New Roman" w:hAnsi="Times New Roman" w:cs="Times New Roman"/>
          <w:b/>
          <w:sz w:val="24"/>
          <w:szCs w:val="24"/>
        </w:rPr>
        <w:t>KFK/</w:t>
      </w:r>
      <w:proofErr w:type="spellStart"/>
      <w:r w:rsidR="006E042A" w:rsidRPr="006346E1">
        <w:rPr>
          <w:rFonts w:ascii="Times New Roman" w:hAnsi="Times New Roman" w:cs="Times New Roman"/>
          <w:b/>
          <w:sz w:val="24"/>
          <w:szCs w:val="24"/>
        </w:rPr>
        <w:t>Kizd</w:t>
      </w:r>
      <w:proofErr w:type="spellEnd"/>
      <w:r w:rsidR="006E042A" w:rsidRPr="006346E1">
        <w:rPr>
          <w:rFonts w:ascii="Times New Roman" w:hAnsi="Times New Roman" w:cs="Times New Roman"/>
          <w:b/>
          <w:color w:val="000000"/>
          <w:sz w:val="24"/>
          <w:szCs w:val="24"/>
        </w:rPr>
        <w:t>) *100</w:t>
      </w:r>
    </w:p>
    <w:p w14:paraId="198E1F7C" w14:textId="57133FB6" w:rsidR="006E042A" w:rsidRPr="006346E1" w:rsidRDefault="006E042A" w:rsidP="00CB0DA7">
      <w:pPr>
        <w:autoSpaceDE w:val="0"/>
        <w:autoSpaceDN w:val="0"/>
        <w:adjustRightInd w:val="0"/>
        <w:spacing w:after="60" w:line="240" w:lineRule="auto"/>
        <w:rPr>
          <w:rFonts w:ascii="Times New Roman" w:hAnsi="Times New Roman" w:cs="Times New Roman"/>
          <w:color w:val="000000"/>
          <w:sz w:val="24"/>
          <w:szCs w:val="24"/>
        </w:rPr>
      </w:pPr>
      <w:r w:rsidRPr="006346E1">
        <w:rPr>
          <w:rFonts w:ascii="Times New Roman" w:hAnsi="Times New Roman" w:cs="Times New Roman"/>
          <w:color w:val="000000"/>
          <w:sz w:val="24"/>
          <w:szCs w:val="24"/>
        </w:rPr>
        <w:t>kur</w:t>
      </w:r>
      <w:r w:rsidR="006346E1">
        <w:rPr>
          <w:rFonts w:ascii="Times New Roman" w:hAnsi="Times New Roman" w:cs="Times New Roman"/>
          <w:color w:val="000000"/>
          <w:sz w:val="24"/>
          <w:szCs w:val="24"/>
        </w:rPr>
        <w:t>:</w:t>
      </w:r>
      <w:r w:rsidRPr="006346E1">
        <w:rPr>
          <w:rFonts w:ascii="Times New Roman" w:hAnsi="Times New Roman" w:cs="Times New Roman"/>
          <w:color w:val="000000"/>
          <w:sz w:val="24"/>
          <w:szCs w:val="24"/>
        </w:rPr>
        <w:t xml:space="preserve"> </w:t>
      </w:r>
    </w:p>
    <w:p w14:paraId="394E1DDA" w14:textId="77777777" w:rsidR="006E042A" w:rsidRPr="006346E1" w:rsidRDefault="006E042A"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r w:rsidRPr="006346E1">
        <w:rPr>
          <w:rFonts w:ascii="Times New Roman" w:hAnsi="Times New Roman" w:cs="Times New Roman"/>
          <w:b/>
          <w:sz w:val="24"/>
          <w:szCs w:val="24"/>
        </w:rPr>
        <w:t>KFK</w:t>
      </w:r>
      <w:r w:rsidRPr="006346E1">
        <w:rPr>
          <w:rFonts w:ascii="Times New Roman" w:hAnsi="Times New Roman" w:cs="Times New Roman"/>
          <w:b/>
          <w:color w:val="000000"/>
          <w:sz w:val="24"/>
          <w:szCs w:val="24"/>
        </w:rPr>
        <w:t>)</w:t>
      </w:r>
      <w:r w:rsidRPr="006346E1">
        <w:rPr>
          <w:rFonts w:ascii="Times New Roman" w:hAnsi="Times New Roman" w:cs="Times New Roman"/>
          <w:color w:val="000000"/>
          <w:sz w:val="24"/>
          <w:szCs w:val="24"/>
        </w:rPr>
        <w:t xml:space="preserve"> – </w:t>
      </w:r>
    </w:p>
    <w:p w14:paraId="04DC04BF" w14:textId="663E15C0" w:rsidR="00431888" w:rsidRPr="006346E1" w:rsidRDefault="006E042A" w:rsidP="00CB0DA7">
      <w:pPr>
        <w:autoSpaceDE w:val="0"/>
        <w:autoSpaceDN w:val="0"/>
        <w:adjustRightInd w:val="0"/>
        <w:spacing w:after="60" w:line="240" w:lineRule="auto"/>
        <w:jc w:val="both"/>
        <w:rPr>
          <w:rFonts w:ascii="Times New Roman" w:hAnsi="Times New Roman" w:cs="Times New Roman"/>
          <w:color w:val="000000"/>
          <w:sz w:val="24"/>
          <w:szCs w:val="24"/>
        </w:rPr>
      </w:pPr>
      <w:r w:rsidRPr="006346E1">
        <w:rPr>
          <w:rFonts w:ascii="Times New Roman" w:hAnsi="Times New Roman" w:cs="Times New Roman"/>
          <w:sz w:val="24"/>
          <w:szCs w:val="24"/>
        </w:rPr>
        <w:t>Koriģētie funkcionālās kategorijas 01</w:t>
      </w:r>
      <w:r w:rsidR="006346E1" w:rsidRPr="006346E1">
        <w:rPr>
          <w:rFonts w:ascii="Times New Roman" w:hAnsi="Times New Roman" w:cs="Times New Roman"/>
          <w:sz w:val="24"/>
          <w:szCs w:val="24"/>
        </w:rPr>
        <w:t xml:space="preserve">.000 </w:t>
      </w:r>
      <w:r w:rsidR="006346E1" w:rsidRPr="000B6FDE">
        <w:rPr>
          <w:rFonts w:ascii="Times New Roman" w:hAnsi="Times New Roman" w:cs="Times New Roman"/>
          <w:i/>
          <w:iCs/>
          <w:sz w:val="24"/>
          <w:szCs w:val="24"/>
        </w:rPr>
        <w:t xml:space="preserve">Vispārējie </w:t>
      </w:r>
      <w:r w:rsidRPr="000B6FDE">
        <w:rPr>
          <w:rFonts w:ascii="Times New Roman" w:hAnsi="Times New Roman" w:cs="Times New Roman"/>
          <w:i/>
          <w:iCs/>
          <w:sz w:val="24"/>
          <w:szCs w:val="24"/>
        </w:rPr>
        <w:t>valdības dienesta</w:t>
      </w:r>
      <w:r w:rsidRPr="006346E1">
        <w:rPr>
          <w:rFonts w:ascii="Times New Roman" w:hAnsi="Times New Roman" w:cs="Times New Roman"/>
          <w:sz w:val="24"/>
          <w:szCs w:val="24"/>
        </w:rPr>
        <w:t xml:space="preserve"> izdevumi</w:t>
      </w:r>
      <w:r w:rsidR="00431888" w:rsidRPr="006346E1">
        <w:rPr>
          <w:rFonts w:ascii="Times New Roman" w:hAnsi="Times New Roman" w:cs="Times New Roman"/>
          <w:sz w:val="24"/>
          <w:szCs w:val="24"/>
        </w:rPr>
        <w:t xml:space="preserve">. </w:t>
      </w:r>
      <w:r w:rsidR="00431888" w:rsidRPr="006346E1">
        <w:rPr>
          <w:rFonts w:ascii="Times New Roman" w:hAnsi="Times New Roman" w:cs="Times New Roman"/>
          <w:color w:val="000000"/>
          <w:sz w:val="24"/>
          <w:szCs w:val="24"/>
        </w:rPr>
        <w:t>Indikatora KFK vērtība katrai pašvaldībai skatāma atsevišķi.</w:t>
      </w:r>
    </w:p>
    <w:p w14:paraId="5893EC7F" w14:textId="77777777" w:rsidR="006E042A" w:rsidRPr="006346E1" w:rsidRDefault="006E042A"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proofErr w:type="spellStart"/>
      <w:r w:rsidRPr="006346E1">
        <w:rPr>
          <w:rFonts w:ascii="Times New Roman" w:hAnsi="Times New Roman" w:cs="Times New Roman"/>
          <w:b/>
          <w:sz w:val="24"/>
          <w:szCs w:val="24"/>
        </w:rPr>
        <w:t>Kizd</w:t>
      </w:r>
      <w:proofErr w:type="spellEnd"/>
      <w:r w:rsidRPr="006346E1">
        <w:rPr>
          <w:rFonts w:ascii="Times New Roman" w:hAnsi="Times New Roman" w:cs="Times New Roman"/>
          <w:b/>
          <w:color w:val="000000"/>
          <w:sz w:val="24"/>
          <w:szCs w:val="24"/>
        </w:rPr>
        <w:t>)</w:t>
      </w:r>
      <w:r w:rsidRPr="006346E1">
        <w:rPr>
          <w:rFonts w:ascii="Times New Roman" w:hAnsi="Times New Roman" w:cs="Times New Roman"/>
          <w:color w:val="000000"/>
          <w:sz w:val="24"/>
          <w:szCs w:val="24"/>
        </w:rPr>
        <w:t xml:space="preserve"> – </w:t>
      </w:r>
    </w:p>
    <w:p w14:paraId="3DE4B0A2" w14:textId="77777777" w:rsidR="00431888" w:rsidRPr="006346E1" w:rsidRDefault="00ED70F9" w:rsidP="00CB0DA7">
      <w:pPr>
        <w:autoSpaceDE w:val="0"/>
        <w:autoSpaceDN w:val="0"/>
        <w:adjustRightInd w:val="0"/>
        <w:spacing w:after="60" w:line="240" w:lineRule="auto"/>
        <w:jc w:val="both"/>
        <w:rPr>
          <w:rFonts w:ascii="Times New Roman" w:hAnsi="Times New Roman" w:cs="Times New Roman"/>
          <w:color w:val="000000"/>
          <w:sz w:val="24"/>
          <w:szCs w:val="24"/>
        </w:rPr>
      </w:pPr>
      <w:r w:rsidRPr="006346E1">
        <w:rPr>
          <w:rFonts w:ascii="Times New Roman" w:hAnsi="Times New Roman" w:cs="Times New Roman"/>
          <w:sz w:val="24"/>
          <w:szCs w:val="24"/>
        </w:rPr>
        <w:t>Pašvaldību Izdevumi kopā</w:t>
      </w:r>
      <w:r w:rsidR="00431888" w:rsidRPr="006346E1">
        <w:rPr>
          <w:rFonts w:ascii="Times New Roman" w:hAnsi="Times New Roman" w:cs="Times New Roman"/>
          <w:sz w:val="24"/>
          <w:szCs w:val="24"/>
        </w:rPr>
        <w:t>.</w:t>
      </w:r>
      <w:r w:rsidR="00431888" w:rsidRPr="006346E1">
        <w:rPr>
          <w:rFonts w:ascii="Times New Roman" w:hAnsi="Times New Roman" w:cs="Times New Roman"/>
          <w:color w:val="000000"/>
          <w:sz w:val="24"/>
          <w:szCs w:val="24"/>
        </w:rPr>
        <w:t xml:space="preserve"> Indikatora </w:t>
      </w:r>
      <w:proofErr w:type="spellStart"/>
      <w:r w:rsidR="00431888" w:rsidRPr="006346E1">
        <w:rPr>
          <w:rFonts w:ascii="Times New Roman" w:hAnsi="Times New Roman" w:cs="Times New Roman"/>
          <w:color w:val="000000"/>
          <w:sz w:val="24"/>
          <w:szCs w:val="24"/>
        </w:rPr>
        <w:t>Kizd</w:t>
      </w:r>
      <w:proofErr w:type="spellEnd"/>
      <w:r w:rsidR="00431888" w:rsidRPr="006346E1">
        <w:rPr>
          <w:rFonts w:ascii="Times New Roman" w:hAnsi="Times New Roman" w:cs="Times New Roman"/>
          <w:color w:val="000000"/>
          <w:sz w:val="24"/>
          <w:szCs w:val="24"/>
        </w:rPr>
        <w:t xml:space="preserve"> vērtība katrai pašvaldībai skatāma atsevišķi.</w:t>
      </w:r>
    </w:p>
    <w:p w14:paraId="38F926F0" w14:textId="77777777" w:rsidR="00121FAC" w:rsidRPr="006346E1" w:rsidRDefault="00121FAC"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(ADM%)</w:t>
      </w:r>
      <w:r w:rsidRPr="006346E1">
        <w:rPr>
          <w:rFonts w:ascii="Times New Roman" w:hAnsi="Times New Roman" w:cs="Times New Roman"/>
          <w:color w:val="000000"/>
          <w:sz w:val="24"/>
          <w:szCs w:val="24"/>
        </w:rPr>
        <w:t xml:space="preserve"> – </w:t>
      </w:r>
    </w:p>
    <w:p w14:paraId="423A58AE" w14:textId="21E4F75E" w:rsidR="007E2B59" w:rsidRPr="006346E1" w:rsidRDefault="00121FAC" w:rsidP="00CB0DA7">
      <w:pPr>
        <w:autoSpaceDE w:val="0"/>
        <w:autoSpaceDN w:val="0"/>
        <w:adjustRightInd w:val="0"/>
        <w:spacing w:after="60" w:line="240" w:lineRule="auto"/>
        <w:jc w:val="both"/>
        <w:rPr>
          <w:rFonts w:ascii="Times New Roman" w:hAnsi="Times New Roman" w:cs="Times New Roman"/>
          <w:sz w:val="24"/>
          <w:szCs w:val="24"/>
        </w:rPr>
      </w:pPr>
      <w:r w:rsidRPr="006346E1">
        <w:rPr>
          <w:rFonts w:ascii="Times New Roman" w:hAnsi="Times New Roman" w:cs="Times New Roman"/>
          <w:sz w:val="24"/>
          <w:szCs w:val="24"/>
        </w:rPr>
        <w:t>Administratīvo izdevumu (koriģētie 01 kategorijas izdevumi) īpatsvars (%) kopējos izdevumos</w:t>
      </w:r>
      <w:r w:rsidR="00431888" w:rsidRPr="006346E1">
        <w:rPr>
          <w:rFonts w:ascii="Times New Roman" w:hAnsi="Times New Roman" w:cs="Times New Roman"/>
          <w:sz w:val="24"/>
          <w:szCs w:val="24"/>
        </w:rPr>
        <w:t xml:space="preserve">. </w:t>
      </w:r>
    </w:p>
    <w:p w14:paraId="2C3FBC27" w14:textId="67591734" w:rsidR="000B6FDE" w:rsidRDefault="00431888" w:rsidP="006346E1">
      <w:pPr>
        <w:spacing w:after="0" w:line="240" w:lineRule="auto"/>
        <w:jc w:val="both"/>
        <w:rPr>
          <w:rFonts w:ascii="Times New Roman" w:hAnsi="Times New Roman" w:cs="Times New Roman"/>
          <w:sz w:val="24"/>
          <w:szCs w:val="24"/>
        </w:rPr>
      </w:pPr>
      <w:r w:rsidRPr="006346E1">
        <w:rPr>
          <w:rFonts w:ascii="Times New Roman" w:hAnsi="Times New Roman" w:cs="Times New Roman"/>
          <w:sz w:val="24"/>
          <w:szCs w:val="24"/>
        </w:rPr>
        <w:t>Līdz ar to šeit identificējam vispārīgo indikatoru.</w:t>
      </w:r>
    </w:p>
    <w:p w14:paraId="1476EF1B" w14:textId="77777777" w:rsidR="00223876" w:rsidRDefault="00223876" w:rsidP="006346E1">
      <w:pPr>
        <w:spacing w:after="0" w:line="240" w:lineRule="auto"/>
        <w:jc w:val="both"/>
        <w:rPr>
          <w:rFonts w:ascii="Times New Roman" w:hAnsi="Times New Roman" w:cs="Times New Roman"/>
          <w:sz w:val="24"/>
          <w:szCs w:val="24"/>
        </w:rPr>
      </w:pPr>
    </w:p>
    <w:p w14:paraId="11C6EC07" w14:textId="50068683" w:rsidR="00DA7FCB" w:rsidRPr="006346E1" w:rsidRDefault="00E94E48" w:rsidP="00223876">
      <w:pPr>
        <w:autoSpaceDE w:val="0"/>
        <w:autoSpaceDN w:val="0"/>
        <w:adjustRightInd w:val="0"/>
        <w:spacing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proofErr w:type="spellStart"/>
      <w:r w:rsidR="00AF5B3D" w:rsidRPr="006346E1">
        <w:rPr>
          <w:rFonts w:ascii="Times New Roman" w:hAnsi="Times New Roman" w:cs="Times New Roman"/>
          <w:b/>
          <w:color w:val="000000"/>
          <w:sz w:val="24"/>
          <w:szCs w:val="24"/>
        </w:rPr>
        <w:t>ADM</w:t>
      </w:r>
      <w:r w:rsidR="006C1BF9" w:rsidRPr="006346E1">
        <w:rPr>
          <w:rFonts w:ascii="Times New Roman" w:hAnsi="Times New Roman" w:cs="Times New Roman"/>
          <w:b/>
          <w:color w:val="000000"/>
          <w:sz w:val="24"/>
          <w:szCs w:val="24"/>
        </w:rPr>
        <w:t>iedz</w:t>
      </w:r>
      <w:proofErr w:type="spellEnd"/>
      <w:r w:rsidR="00AF5B3D" w:rsidRPr="006346E1">
        <w:rPr>
          <w:rFonts w:ascii="Times New Roman" w:hAnsi="Times New Roman" w:cs="Times New Roman"/>
          <w:b/>
          <w:color w:val="000000"/>
          <w:sz w:val="24"/>
          <w:szCs w:val="24"/>
        </w:rPr>
        <w:t xml:space="preserve"> = (KFK/</w:t>
      </w:r>
      <w:proofErr w:type="spellStart"/>
      <w:r w:rsidR="006C1BF9" w:rsidRPr="006346E1">
        <w:rPr>
          <w:rFonts w:ascii="Times New Roman" w:hAnsi="Times New Roman" w:cs="Times New Roman"/>
          <w:b/>
          <w:color w:val="000000"/>
          <w:sz w:val="24"/>
          <w:szCs w:val="24"/>
        </w:rPr>
        <w:t>Iedzsk</w:t>
      </w:r>
      <w:proofErr w:type="spellEnd"/>
      <w:r w:rsidR="00AF5B3D" w:rsidRPr="006346E1">
        <w:rPr>
          <w:rFonts w:ascii="Times New Roman" w:hAnsi="Times New Roman" w:cs="Times New Roman"/>
          <w:b/>
          <w:color w:val="000000"/>
          <w:sz w:val="24"/>
          <w:szCs w:val="24"/>
        </w:rPr>
        <w:t xml:space="preserve">) </w:t>
      </w:r>
    </w:p>
    <w:p w14:paraId="7496A9FE" w14:textId="6883B714" w:rsidR="00AF5B3D" w:rsidRPr="006346E1" w:rsidRDefault="00AF5B3D" w:rsidP="00CB0DA7">
      <w:pPr>
        <w:autoSpaceDE w:val="0"/>
        <w:autoSpaceDN w:val="0"/>
        <w:adjustRightInd w:val="0"/>
        <w:spacing w:after="60" w:line="240" w:lineRule="auto"/>
        <w:rPr>
          <w:rFonts w:ascii="Times New Roman" w:hAnsi="Times New Roman" w:cs="Times New Roman"/>
          <w:color w:val="000000"/>
          <w:sz w:val="24"/>
          <w:szCs w:val="24"/>
        </w:rPr>
      </w:pPr>
      <w:r w:rsidRPr="006346E1">
        <w:rPr>
          <w:rFonts w:ascii="Times New Roman" w:hAnsi="Times New Roman" w:cs="Times New Roman"/>
          <w:color w:val="000000"/>
          <w:sz w:val="24"/>
          <w:szCs w:val="24"/>
        </w:rPr>
        <w:t>kur</w:t>
      </w:r>
      <w:r w:rsidR="006346E1">
        <w:rPr>
          <w:rFonts w:ascii="Times New Roman" w:hAnsi="Times New Roman" w:cs="Times New Roman"/>
          <w:color w:val="000000"/>
          <w:sz w:val="24"/>
          <w:szCs w:val="24"/>
        </w:rPr>
        <w:t>:</w:t>
      </w:r>
    </w:p>
    <w:p w14:paraId="530460CB" w14:textId="77777777" w:rsidR="00AF5B3D" w:rsidRPr="006346E1" w:rsidRDefault="00AF5B3D"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r w:rsidRPr="006346E1">
        <w:rPr>
          <w:rFonts w:ascii="Times New Roman" w:hAnsi="Times New Roman" w:cs="Times New Roman"/>
          <w:b/>
          <w:sz w:val="24"/>
          <w:szCs w:val="24"/>
        </w:rPr>
        <w:t>KFK</w:t>
      </w:r>
      <w:r w:rsidRPr="006346E1">
        <w:rPr>
          <w:rFonts w:ascii="Times New Roman" w:hAnsi="Times New Roman" w:cs="Times New Roman"/>
          <w:b/>
          <w:color w:val="000000"/>
          <w:sz w:val="24"/>
          <w:szCs w:val="24"/>
        </w:rPr>
        <w:t>)</w:t>
      </w:r>
      <w:r w:rsidRPr="006346E1">
        <w:rPr>
          <w:rFonts w:ascii="Times New Roman" w:hAnsi="Times New Roman" w:cs="Times New Roman"/>
          <w:color w:val="000000"/>
          <w:sz w:val="24"/>
          <w:szCs w:val="24"/>
        </w:rPr>
        <w:t xml:space="preserve"> – </w:t>
      </w:r>
    </w:p>
    <w:p w14:paraId="732E91B5" w14:textId="487F16F0" w:rsidR="00AF5B3D" w:rsidRPr="006346E1" w:rsidRDefault="00AF5B3D" w:rsidP="00CB0DA7">
      <w:pPr>
        <w:autoSpaceDE w:val="0"/>
        <w:autoSpaceDN w:val="0"/>
        <w:adjustRightInd w:val="0"/>
        <w:spacing w:after="60" w:line="240" w:lineRule="auto"/>
        <w:rPr>
          <w:rFonts w:ascii="Times New Roman" w:hAnsi="Times New Roman" w:cs="Times New Roman"/>
          <w:color w:val="000000"/>
          <w:sz w:val="24"/>
          <w:szCs w:val="24"/>
        </w:rPr>
      </w:pPr>
      <w:r w:rsidRPr="00AD3E15">
        <w:rPr>
          <w:rFonts w:ascii="Times New Roman" w:hAnsi="Times New Roman" w:cs="Times New Roman"/>
          <w:color w:val="000000"/>
          <w:sz w:val="24"/>
          <w:szCs w:val="24"/>
        </w:rPr>
        <w:t>Koriģētie funkcionālās kategorijas 01</w:t>
      </w:r>
      <w:r w:rsidR="00AD3E15">
        <w:rPr>
          <w:rFonts w:ascii="Times New Roman" w:hAnsi="Times New Roman" w:cs="Times New Roman"/>
          <w:color w:val="000000"/>
          <w:sz w:val="24"/>
          <w:szCs w:val="24"/>
        </w:rPr>
        <w:t xml:space="preserve">.000 </w:t>
      </w:r>
      <w:r w:rsidR="00AD3E15" w:rsidRPr="000B6FDE">
        <w:rPr>
          <w:rFonts w:ascii="Times New Roman" w:hAnsi="Times New Roman" w:cs="Times New Roman"/>
          <w:i/>
          <w:iCs/>
          <w:color w:val="000000"/>
          <w:sz w:val="24"/>
          <w:szCs w:val="24"/>
        </w:rPr>
        <w:t xml:space="preserve">Vispārējie </w:t>
      </w:r>
      <w:r w:rsidRPr="000B6FDE">
        <w:rPr>
          <w:rFonts w:ascii="Times New Roman" w:hAnsi="Times New Roman" w:cs="Times New Roman"/>
          <w:i/>
          <w:iCs/>
          <w:color w:val="000000"/>
          <w:sz w:val="24"/>
          <w:szCs w:val="24"/>
        </w:rPr>
        <w:t>valdības dienesta</w:t>
      </w:r>
      <w:r w:rsidRPr="00AD3E15">
        <w:rPr>
          <w:rFonts w:ascii="Times New Roman" w:hAnsi="Times New Roman" w:cs="Times New Roman"/>
          <w:color w:val="000000"/>
          <w:sz w:val="24"/>
          <w:szCs w:val="24"/>
        </w:rPr>
        <w:t xml:space="preserve"> izdevumi</w:t>
      </w:r>
      <w:r w:rsidR="00431888" w:rsidRPr="00AD3E15">
        <w:rPr>
          <w:rFonts w:ascii="Times New Roman" w:hAnsi="Times New Roman" w:cs="Times New Roman"/>
          <w:color w:val="000000"/>
          <w:sz w:val="24"/>
          <w:szCs w:val="24"/>
        </w:rPr>
        <w:t xml:space="preserve">. </w:t>
      </w:r>
      <w:r w:rsidR="00431888" w:rsidRPr="006346E1">
        <w:rPr>
          <w:rFonts w:ascii="Times New Roman" w:hAnsi="Times New Roman" w:cs="Times New Roman"/>
          <w:color w:val="000000"/>
          <w:sz w:val="24"/>
          <w:szCs w:val="24"/>
        </w:rPr>
        <w:t>Indikatora KFK vērtība katrai pašvaldībai skatāma atsevišķi.</w:t>
      </w:r>
    </w:p>
    <w:p w14:paraId="5C98C8E9" w14:textId="77777777" w:rsidR="00AF5B3D" w:rsidRPr="006346E1" w:rsidRDefault="00AF5B3D"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proofErr w:type="spellStart"/>
      <w:r w:rsidR="006C1BF9" w:rsidRPr="006346E1">
        <w:rPr>
          <w:rFonts w:ascii="Times New Roman" w:hAnsi="Times New Roman" w:cs="Times New Roman"/>
          <w:b/>
          <w:sz w:val="24"/>
          <w:szCs w:val="24"/>
        </w:rPr>
        <w:t>Iedzsk</w:t>
      </w:r>
      <w:proofErr w:type="spellEnd"/>
      <w:r w:rsidRPr="006346E1">
        <w:rPr>
          <w:rFonts w:ascii="Times New Roman" w:hAnsi="Times New Roman" w:cs="Times New Roman"/>
          <w:b/>
          <w:color w:val="000000"/>
          <w:sz w:val="24"/>
          <w:szCs w:val="24"/>
        </w:rPr>
        <w:t>)</w:t>
      </w:r>
      <w:r w:rsidRPr="006346E1">
        <w:rPr>
          <w:rFonts w:ascii="Times New Roman" w:hAnsi="Times New Roman" w:cs="Times New Roman"/>
          <w:color w:val="000000"/>
          <w:sz w:val="24"/>
          <w:szCs w:val="24"/>
        </w:rPr>
        <w:t xml:space="preserve"> – </w:t>
      </w:r>
    </w:p>
    <w:p w14:paraId="4A11E403" w14:textId="56941FE0" w:rsidR="00431888" w:rsidRPr="006346E1" w:rsidRDefault="006C1BF9" w:rsidP="00CB0DA7">
      <w:pPr>
        <w:autoSpaceDE w:val="0"/>
        <w:autoSpaceDN w:val="0"/>
        <w:adjustRightInd w:val="0"/>
        <w:spacing w:after="60" w:line="240" w:lineRule="auto"/>
        <w:rPr>
          <w:rFonts w:ascii="Times New Roman" w:hAnsi="Times New Roman" w:cs="Times New Roman"/>
          <w:color w:val="000000"/>
          <w:sz w:val="24"/>
          <w:szCs w:val="24"/>
        </w:rPr>
      </w:pPr>
      <w:r w:rsidRPr="00AD3E15">
        <w:rPr>
          <w:rFonts w:ascii="Times New Roman" w:hAnsi="Times New Roman" w:cs="Times New Roman"/>
          <w:color w:val="000000"/>
          <w:sz w:val="24"/>
          <w:szCs w:val="24"/>
        </w:rPr>
        <w:t>Saskaņā ar ikgadējā gada pašvaldību finanšu izlīdzināšanas aprēķinu iedzīvotāju skaits</w:t>
      </w:r>
      <w:r w:rsidR="00431888" w:rsidRPr="00AD3E15">
        <w:rPr>
          <w:rFonts w:ascii="Times New Roman" w:hAnsi="Times New Roman" w:cs="Times New Roman"/>
          <w:color w:val="000000"/>
          <w:sz w:val="24"/>
          <w:szCs w:val="24"/>
        </w:rPr>
        <w:t>.</w:t>
      </w:r>
      <w:r w:rsidRPr="00AD3E15">
        <w:rPr>
          <w:rFonts w:ascii="Times New Roman" w:hAnsi="Times New Roman" w:cs="Times New Roman"/>
          <w:color w:val="000000"/>
          <w:sz w:val="24"/>
          <w:szCs w:val="24"/>
        </w:rPr>
        <w:t xml:space="preserve"> </w:t>
      </w:r>
      <w:r w:rsidR="00431888" w:rsidRPr="006346E1">
        <w:rPr>
          <w:rFonts w:ascii="Times New Roman" w:hAnsi="Times New Roman" w:cs="Times New Roman"/>
          <w:color w:val="000000"/>
          <w:sz w:val="24"/>
          <w:szCs w:val="24"/>
        </w:rPr>
        <w:t xml:space="preserve">Indikatora </w:t>
      </w:r>
      <w:proofErr w:type="spellStart"/>
      <w:r w:rsidR="00431888" w:rsidRPr="006346E1">
        <w:rPr>
          <w:rFonts w:ascii="Times New Roman" w:hAnsi="Times New Roman" w:cs="Times New Roman"/>
          <w:color w:val="000000"/>
          <w:sz w:val="24"/>
          <w:szCs w:val="24"/>
        </w:rPr>
        <w:t>Iedzsk</w:t>
      </w:r>
      <w:proofErr w:type="spellEnd"/>
      <w:r w:rsidR="00431888" w:rsidRPr="006346E1">
        <w:rPr>
          <w:rFonts w:ascii="Times New Roman" w:hAnsi="Times New Roman" w:cs="Times New Roman"/>
          <w:color w:val="000000"/>
          <w:sz w:val="24"/>
          <w:szCs w:val="24"/>
        </w:rPr>
        <w:t xml:space="preserve"> vērtība katrai pašvaldībai skatāma atsevišķi.</w:t>
      </w:r>
    </w:p>
    <w:p w14:paraId="2B652354" w14:textId="77777777" w:rsidR="00AF5B3D" w:rsidRPr="006346E1" w:rsidRDefault="00AF5B3D" w:rsidP="006346E1">
      <w:pPr>
        <w:autoSpaceDE w:val="0"/>
        <w:autoSpaceDN w:val="0"/>
        <w:adjustRightInd w:val="0"/>
        <w:spacing w:after="0" w:line="240" w:lineRule="auto"/>
        <w:jc w:val="both"/>
        <w:rPr>
          <w:rFonts w:ascii="Times New Roman" w:hAnsi="Times New Roman" w:cs="Times New Roman"/>
          <w:color w:val="000000"/>
          <w:sz w:val="24"/>
          <w:szCs w:val="24"/>
        </w:rPr>
      </w:pPr>
      <w:r w:rsidRPr="006346E1">
        <w:rPr>
          <w:rFonts w:ascii="Times New Roman" w:hAnsi="Times New Roman" w:cs="Times New Roman"/>
          <w:b/>
          <w:color w:val="000000"/>
          <w:sz w:val="24"/>
          <w:szCs w:val="24"/>
        </w:rPr>
        <w:t>(</w:t>
      </w:r>
      <w:proofErr w:type="spellStart"/>
      <w:r w:rsidR="006C1BF9" w:rsidRPr="006346E1">
        <w:rPr>
          <w:rFonts w:ascii="Times New Roman" w:hAnsi="Times New Roman" w:cs="Times New Roman"/>
          <w:b/>
          <w:color w:val="000000"/>
          <w:sz w:val="24"/>
          <w:szCs w:val="24"/>
        </w:rPr>
        <w:t>ADMiedz</w:t>
      </w:r>
      <w:proofErr w:type="spellEnd"/>
      <w:r w:rsidRPr="006346E1">
        <w:rPr>
          <w:rFonts w:ascii="Times New Roman" w:hAnsi="Times New Roman" w:cs="Times New Roman"/>
          <w:b/>
          <w:color w:val="000000"/>
          <w:sz w:val="24"/>
          <w:szCs w:val="24"/>
        </w:rPr>
        <w:t>)</w:t>
      </w:r>
      <w:r w:rsidRPr="006346E1">
        <w:rPr>
          <w:rFonts w:ascii="Times New Roman" w:hAnsi="Times New Roman" w:cs="Times New Roman"/>
          <w:color w:val="000000"/>
          <w:sz w:val="24"/>
          <w:szCs w:val="24"/>
        </w:rPr>
        <w:t xml:space="preserve"> – </w:t>
      </w:r>
    </w:p>
    <w:p w14:paraId="11EA5A3F" w14:textId="2BCAAE79" w:rsidR="00E17D20" w:rsidRDefault="00C74150" w:rsidP="00CB0DA7">
      <w:pPr>
        <w:autoSpaceDE w:val="0"/>
        <w:autoSpaceDN w:val="0"/>
        <w:adjustRightInd w:val="0"/>
        <w:spacing w:after="60" w:line="240" w:lineRule="auto"/>
        <w:rPr>
          <w:rFonts w:ascii="Times New Roman" w:hAnsi="Times New Roman" w:cs="Times New Roman"/>
          <w:color w:val="000000"/>
          <w:sz w:val="24"/>
          <w:szCs w:val="24"/>
        </w:rPr>
      </w:pPr>
      <w:r w:rsidRPr="00E94E48">
        <w:rPr>
          <w:rFonts w:ascii="Times New Roman" w:hAnsi="Times New Roman" w:cs="Times New Roman"/>
          <w:color w:val="000000"/>
          <w:sz w:val="24"/>
          <w:szCs w:val="24"/>
        </w:rPr>
        <w:t xml:space="preserve">Administratīvie izdevumi </w:t>
      </w:r>
      <w:r w:rsidR="00AF5B3D" w:rsidRPr="00E94E48">
        <w:rPr>
          <w:rFonts w:ascii="Times New Roman" w:hAnsi="Times New Roman" w:cs="Times New Roman"/>
          <w:color w:val="000000"/>
          <w:sz w:val="24"/>
          <w:szCs w:val="24"/>
        </w:rPr>
        <w:t xml:space="preserve">(koriģētie 01 kategorijas izdevumi) </w:t>
      </w:r>
      <w:r w:rsidRPr="00E94E48">
        <w:rPr>
          <w:rFonts w:ascii="Times New Roman" w:hAnsi="Times New Roman" w:cs="Times New Roman"/>
          <w:color w:val="000000"/>
          <w:sz w:val="24"/>
          <w:szCs w:val="24"/>
        </w:rPr>
        <w:t xml:space="preserve">uz </w:t>
      </w:r>
      <w:r w:rsidR="00AF16B6" w:rsidRPr="00E94E48">
        <w:rPr>
          <w:rFonts w:ascii="Times New Roman" w:hAnsi="Times New Roman" w:cs="Times New Roman"/>
          <w:color w:val="000000"/>
          <w:sz w:val="24"/>
          <w:szCs w:val="24"/>
        </w:rPr>
        <w:t xml:space="preserve">vienu </w:t>
      </w:r>
      <w:r w:rsidRPr="00E94E48">
        <w:rPr>
          <w:rFonts w:ascii="Times New Roman" w:hAnsi="Times New Roman" w:cs="Times New Roman"/>
          <w:color w:val="000000"/>
          <w:sz w:val="24"/>
          <w:szCs w:val="24"/>
        </w:rPr>
        <w:t>iedzīvotāju</w:t>
      </w:r>
      <w:r w:rsidR="00F2780D" w:rsidRPr="00E94E48">
        <w:rPr>
          <w:rFonts w:ascii="Times New Roman" w:hAnsi="Times New Roman" w:cs="Times New Roman"/>
          <w:color w:val="000000"/>
          <w:sz w:val="24"/>
          <w:szCs w:val="24"/>
        </w:rPr>
        <w:t>.</w:t>
      </w:r>
    </w:p>
    <w:p w14:paraId="6694D6BC" w14:textId="77777777" w:rsidR="00431888" w:rsidRPr="006346E1" w:rsidRDefault="00431888" w:rsidP="006346E1">
      <w:pPr>
        <w:spacing w:line="240" w:lineRule="auto"/>
        <w:jc w:val="both"/>
        <w:rPr>
          <w:rFonts w:ascii="Times New Roman" w:hAnsi="Times New Roman" w:cs="Times New Roman"/>
          <w:sz w:val="24"/>
          <w:szCs w:val="24"/>
        </w:rPr>
      </w:pPr>
      <w:r w:rsidRPr="006346E1">
        <w:rPr>
          <w:rFonts w:ascii="Times New Roman" w:hAnsi="Times New Roman" w:cs="Times New Roman"/>
          <w:sz w:val="24"/>
          <w:szCs w:val="24"/>
        </w:rPr>
        <w:t>Līdz ar to šeit identificējam vispārīgo indikatoru.</w:t>
      </w:r>
    </w:p>
    <w:p w14:paraId="2AB69659" w14:textId="17F2E584" w:rsidR="008B4A77" w:rsidRPr="00684AD9" w:rsidRDefault="008B4A77" w:rsidP="00CB0DA7">
      <w:pPr>
        <w:pStyle w:val="NormalWeb"/>
        <w:jc w:val="center"/>
        <w:rPr>
          <w:rFonts w:ascii="Times New Roman" w:hAnsi="Times New Roman" w:cs="Times New Roman"/>
          <w:b/>
        </w:rPr>
      </w:pPr>
      <w:r w:rsidRPr="00684AD9">
        <w:rPr>
          <w:rFonts w:ascii="Times New Roman" w:hAnsi="Times New Roman" w:cs="Times New Roman"/>
          <w:b/>
        </w:rPr>
        <w:lastRenderedPageBreak/>
        <w:t>Secinājumi</w:t>
      </w:r>
    </w:p>
    <w:p w14:paraId="39B2A495" w14:textId="33B4D5B4" w:rsidR="00E17D20" w:rsidRPr="00684AD9" w:rsidRDefault="00E17D20"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Analizējot pašvaldības attīstību, visbiežāk par pamatu tam</w:t>
      </w:r>
      <w:r w:rsidR="00C3526B">
        <w:rPr>
          <w:rFonts w:ascii="Times New Roman" w:hAnsi="Times New Roman" w:cs="Times New Roman"/>
          <w:sz w:val="24"/>
          <w:szCs w:val="24"/>
        </w:rPr>
        <w:t>,</w:t>
      </w:r>
      <w:r w:rsidRPr="00684AD9">
        <w:rPr>
          <w:rFonts w:ascii="Times New Roman" w:hAnsi="Times New Roman" w:cs="Times New Roman"/>
          <w:sz w:val="24"/>
          <w:szCs w:val="24"/>
        </w:rPr>
        <w:t xml:space="preserve"> vai šī attīstība būs veiksmīga</w:t>
      </w:r>
      <w:r w:rsidR="00C3526B">
        <w:rPr>
          <w:rFonts w:ascii="Times New Roman" w:hAnsi="Times New Roman" w:cs="Times New Roman"/>
          <w:sz w:val="24"/>
          <w:szCs w:val="24"/>
        </w:rPr>
        <w:t>,</w:t>
      </w:r>
      <w:r w:rsidRPr="00684AD9">
        <w:rPr>
          <w:rFonts w:ascii="Times New Roman" w:hAnsi="Times New Roman" w:cs="Times New Roman"/>
          <w:sz w:val="24"/>
          <w:szCs w:val="24"/>
        </w:rPr>
        <w:t xml:space="preserve"> ņem vērā </w:t>
      </w:r>
      <w:r w:rsidRPr="00684AD9">
        <w:rPr>
          <w:rFonts w:ascii="Times New Roman" w:hAnsi="Times New Roman" w:cs="Times New Roman"/>
          <w:b/>
          <w:sz w:val="24"/>
          <w:szCs w:val="24"/>
        </w:rPr>
        <w:t>finanšu</w:t>
      </w:r>
      <w:r w:rsidRPr="00684AD9">
        <w:rPr>
          <w:rFonts w:ascii="Times New Roman" w:hAnsi="Times New Roman" w:cs="Times New Roman"/>
          <w:sz w:val="24"/>
          <w:szCs w:val="24"/>
        </w:rPr>
        <w:t xml:space="preserve"> vai </w:t>
      </w:r>
      <w:r w:rsidRPr="00684AD9">
        <w:rPr>
          <w:rFonts w:ascii="Times New Roman" w:hAnsi="Times New Roman" w:cs="Times New Roman"/>
          <w:b/>
          <w:sz w:val="24"/>
          <w:szCs w:val="24"/>
        </w:rPr>
        <w:t>cilvēkresursu</w:t>
      </w:r>
      <w:r w:rsidRPr="00684AD9">
        <w:rPr>
          <w:rFonts w:ascii="Times New Roman" w:hAnsi="Times New Roman" w:cs="Times New Roman"/>
          <w:sz w:val="24"/>
          <w:szCs w:val="24"/>
        </w:rPr>
        <w:t xml:space="preserve"> </w:t>
      </w:r>
      <w:r w:rsidRPr="00684AD9">
        <w:rPr>
          <w:rFonts w:ascii="Times New Roman" w:hAnsi="Times New Roman" w:cs="Times New Roman"/>
          <w:b/>
          <w:sz w:val="24"/>
          <w:szCs w:val="24"/>
        </w:rPr>
        <w:t>radītājus</w:t>
      </w:r>
      <w:r w:rsidRPr="00684AD9">
        <w:rPr>
          <w:rFonts w:ascii="Times New Roman" w:hAnsi="Times New Roman" w:cs="Times New Roman"/>
          <w:sz w:val="24"/>
          <w:szCs w:val="24"/>
        </w:rPr>
        <w:t xml:space="preserve">. Tomēr pēdējo gadu laikā uzmanība tiek pievērsta arī </w:t>
      </w:r>
      <w:r w:rsidR="00B62C29">
        <w:rPr>
          <w:rFonts w:ascii="Times New Roman" w:hAnsi="Times New Roman" w:cs="Times New Roman"/>
          <w:sz w:val="24"/>
          <w:szCs w:val="24"/>
        </w:rPr>
        <w:t>minēto rādītāju</w:t>
      </w:r>
      <w:r w:rsidRPr="00684AD9">
        <w:rPr>
          <w:rFonts w:ascii="Times New Roman" w:hAnsi="Times New Roman" w:cs="Times New Roman"/>
          <w:sz w:val="24"/>
          <w:szCs w:val="24"/>
        </w:rPr>
        <w:t xml:space="preserve"> attīstības potenciāla nozīme</w:t>
      </w:r>
      <w:r w:rsidR="00784EE1" w:rsidRPr="00684AD9">
        <w:rPr>
          <w:rFonts w:ascii="Times New Roman" w:hAnsi="Times New Roman" w:cs="Times New Roman"/>
          <w:sz w:val="24"/>
          <w:szCs w:val="24"/>
        </w:rPr>
        <w:t>i</w:t>
      </w:r>
      <w:r w:rsidRPr="00684AD9">
        <w:rPr>
          <w:rFonts w:ascii="Times New Roman" w:hAnsi="Times New Roman" w:cs="Times New Roman"/>
          <w:sz w:val="24"/>
          <w:szCs w:val="24"/>
        </w:rPr>
        <w:t xml:space="preserve"> pret izdevumiem</w:t>
      </w:r>
      <w:r w:rsidR="00784EE1" w:rsidRPr="00684AD9">
        <w:rPr>
          <w:rFonts w:ascii="Times New Roman" w:hAnsi="Times New Roman" w:cs="Times New Roman"/>
          <w:sz w:val="24"/>
          <w:szCs w:val="24"/>
        </w:rPr>
        <w:t>,</w:t>
      </w:r>
      <w:r w:rsidRPr="00684AD9">
        <w:rPr>
          <w:rFonts w:ascii="Times New Roman" w:hAnsi="Times New Roman" w:cs="Times New Roman"/>
          <w:sz w:val="24"/>
          <w:szCs w:val="24"/>
        </w:rPr>
        <w:t xml:space="preserve"> kas apzīmējami ar administratīviem izdevumiem. Pašvaldības administratīvo izdevumu potenciālu var uzskatīt par vienu no svarīgākajiem priekšnoteikumiem, lai tās attīstība būtu veiksmīga, jo pat ja pašvaldībai ir pieeja</w:t>
      </w:r>
      <w:r w:rsidR="00784EE1" w:rsidRPr="00684AD9">
        <w:rPr>
          <w:rFonts w:ascii="Times New Roman" w:hAnsi="Times New Roman" w:cs="Times New Roman"/>
          <w:sz w:val="24"/>
          <w:szCs w:val="24"/>
        </w:rPr>
        <w:t>mi</w:t>
      </w:r>
      <w:r w:rsidRPr="00684AD9">
        <w:rPr>
          <w:rFonts w:ascii="Times New Roman" w:hAnsi="Times New Roman" w:cs="Times New Roman"/>
          <w:sz w:val="24"/>
          <w:szCs w:val="24"/>
        </w:rPr>
        <w:t xml:space="preserve"> daudz resursi, bez nemainīga šī indikatora potenciāla tās attīstība būs </w:t>
      </w:r>
      <w:proofErr w:type="spellStart"/>
      <w:r w:rsidRPr="00684AD9">
        <w:rPr>
          <w:rFonts w:ascii="Times New Roman" w:hAnsi="Times New Roman" w:cs="Times New Roman"/>
          <w:sz w:val="24"/>
          <w:szCs w:val="24"/>
        </w:rPr>
        <w:t>stagnējoša</w:t>
      </w:r>
      <w:proofErr w:type="spellEnd"/>
      <w:r w:rsidRPr="00684AD9">
        <w:rPr>
          <w:rFonts w:ascii="Times New Roman" w:hAnsi="Times New Roman" w:cs="Times New Roman"/>
          <w:sz w:val="24"/>
          <w:szCs w:val="24"/>
        </w:rPr>
        <w:t>.</w:t>
      </w:r>
      <w:r w:rsidR="00223876">
        <w:rPr>
          <w:rStyle w:val="FootnoteReference"/>
          <w:rFonts w:ascii="Times New Roman" w:hAnsi="Times New Roman" w:cs="Times New Roman"/>
          <w:sz w:val="24"/>
          <w:szCs w:val="24"/>
        </w:rPr>
        <w:footnoteReference w:id="2"/>
      </w:r>
      <w:r w:rsidRPr="00684AD9">
        <w:rPr>
          <w:rFonts w:ascii="Times New Roman" w:hAnsi="Times New Roman" w:cs="Times New Roman"/>
          <w:sz w:val="24"/>
          <w:szCs w:val="24"/>
        </w:rPr>
        <w:t xml:space="preserve"> </w:t>
      </w:r>
    </w:p>
    <w:p w14:paraId="06D8E882" w14:textId="77777777" w:rsidR="00574921" w:rsidRPr="00684AD9" w:rsidRDefault="00574921" w:rsidP="006346E1">
      <w:pPr>
        <w:autoSpaceDE w:val="0"/>
        <w:autoSpaceDN w:val="0"/>
        <w:adjustRightInd w:val="0"/>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 xml:space="preserve">Jāņem vērā, ka indikatori tiek rēķināti, izmantojot primāro informāciju par ieguldījuma, izpildes, rezultātu un ietekmes rādītājiem. Pamatā tiek izmantoti trīs veidu vienkāršie rādītāji: </w:t>
      </w:r>
    </w:p>
    <w:p w14:paraId="4A5C8563" w14:textId="77777777" w:rsidR="00574921" w:rsidRPr="00684AD9" w:rsidRDefault="00574921" w:rsidP="006346E1">
      <w:pPr>
        <w:autoSpaceDE w:val="0"/>
        <w:autoSpaceDN w:val="0"/>
        <w:adjustRightInd w:val="0"/>
        <w:spacing w:after="120" w:line="240" w:lineRule="auto"/>
        <w:ind w:left="720"/>
        <w:rPr>
          <w:rFonts w:ascii="Times New Roman" w:hAnsi="Times New Roman" w:cs="Times New Roman"/>
          <w:sz w:val="24"/>
          <w:szCs w:val="24"/>
        </w:rPr>
      </w:pPr>
      <w:r w:rsidRPr="00684AD9">
        <w:rPr>
          <w:rFonts w:ascii="Times New Roman" w:hAnsi="Times New Roman" w:cs="Times New Roman"/>
          <w:sz w:val="24"/>
          <w:szCs w:val="24"/>
        </w:rPr>
        <w:t xml:space="preserve">1) efektivitāte (ieguldījuma rādītājs / rezultatīvo rādītāju); </w:t>
      </w:r>
    </w:p>
    <w:p w14:paraId="5A760FB7" w14:textId="77777777" w:rsidR="00574921" w:rsidRPr="00684AD9" w:rsidRDefault="00574921" w:rsidP="006346E1">
      <w:pPr>
        <w:autoSpaceDE w:val="0"/>
        <w:autoSpaceDN w:val="0"/>
        <w:adjustRightInd w:val="0"/>
        <w:spacing w:after="120" w:line="240" w:lineRule="auto"/>
        <w:ind w:left="720"/>
        <w:rPr>
          <w:rFonts w:ascii="Times New Roman" w:hAnsi="Times New Roman" w:cs="Times New Roman"/>
          <w:sz w:val="24"/>
          <w:szCs w:val="24"/>
        </w:rPr>
      </w:pPr>
      <w:r w:rsidRPr="00684AD9">
        <w:rPr>
          <w:rFonts w:ascii="Times New Roman" w:hAnsi="Times New Roman" w:cs="Times New Roman"/>
          <w:sz w:val="24"/>
          <w:szCs w:val="24"/>
        </w:rPr>
        <w:t xml:space="preserve">2) produktivitāte (rezultatīvais rādītājs / ieguldījumu rādītāju); </w:t>
      </w:r>
    </w:p>
    <w:p w14:paraId="7E45B6C5" w14:textId="1BE70C9C" w:rsidR="00574921" w:rsidRDefault="00574921" w:rsidP="006346E1">
      <w:pPr>
        <w:autoSpaceDE w:val="0"/>
        <w:autoSpaceDN w:val="0"/>
        <w:adjustRightInd w:val="0"/>
        <w:spacing w:after="120" w:line="240" w:lineRule="auto"/>
        <w:ind w:left="720"/>
        <w:rPr>
          <w:rFonts w:ascii="Times New Roman" w:hAnsi="Times New Roman" w:cs="Times New Roman"/>
          <w:sz w:val="24"/>
          <w:szCs w:val="24"/>
        </w:rPr>
      </w:pPr>
      <w:r w:rsidRPr="00684AD9">
        <w:rPr>
          <w:rFonts w:ascii="Times New Roman" w:hAnsi="Times New Roman" w:cs="Times New Roman"/>
          <w:sz w:val="24"/>
          <w:szCs w:val="24"/>
        </w:rPr>
        <w:t>3) salīdzinājums (raksturojamais rādītājs / bāzes rādītājs).</w:t>
      </w:r>
    </w:p>
    <w:p w14:paraId="46300806" w14:textId="6D3E1BB5" w:rsidR="00223876" w:rsidRPr="00684AD9" w:rsidRDefault="00223876" w:rsidP="00223876">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Attiecībā uz minētajiem rādītājiem:</w:t>
      </w:r>
    </w:p>
    <w:p w14:paraId="7C16BC0E" w14:textId="7FCAD553" w:rsidR="00223876" w:rsidRDefault="00223876" w:rsidP="00223876">
      <w:pPr>
        <w:pStyle w:val="ListParagraph"/>
        <w:numPr>
          <w:ilvl w:val="0"/>
          <w:numId w:val="11"/>
        </w:numPr>
        <w:autoSpaceDE w:val="0"/>
        <w:autoSpaceDN w:val="0"/>
        <w:adjustRightInd w:val="0"/>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i/>
          <w:iCs/>
          <w:sz w:val="24"/>
          <w:szCs w:val="24"/>
        </w:rPr>
        <w:t>e</w:t>
      </w:r>
      <w:r w:rsidR="00291F60" w:rsidRPr="00223876">
        <w:rPr>
          <w:rFonts w:ascii="Times New Roman" w:hAnsi="Times New Roman" w:cs="Times New Roman"/>
          <w:i/>
          <w:iCs/>
          <w:sz w:val="24"/>
          <w:szCs w:val="24"/>
        </w:rPr>
        <w:t>fektivitāti</w:t>
      </w:r>
      <w:r w:rsidR="00291F60" w:rsidRPr="00223876">
        <w:rPr>
          <w:rFonts w:ascii="Times New Roman" w:hAnsi="Times New Roman" w:cs="Times New Roman"/>
          <w:sz w:val="24"/>
          <w:szCs w:val="24"/>
        </w:rPr>
        <w:t xml:space="preserve"> var palielināt, ja to pašu rezultātu var sasniegt ar mazākiem izdevumiem/ieguldījumiem</w:t>
      </w:r>
      <w:r>
        <w:rPr>
          <w:rFonts w:ascii="Times New Roman" w:hAnsi="Times New Roman" w:cs="Times New Roman"/>
          <w:sz w:val="24"/>
          <w:szCs w:val="24"/>
        </w:rPr>
        <w:t>;</w:t>
      </w:r>
      <w:r w:rsidR="00574921" w:rsidRPr="00223876">
        <w:rPr>
          <w:rFonts w:ascii="Times New Roman" w:hAnsi="Times New Roman" w:cs="Times New Roman"/>
          <w:sz w:val="24"/>
          <w:szCs w:val="24"/>
        </w:rPr>
        <w:t xml:space="preserve"> </w:t>
      </w:r>
    </w:p>
    <w:p w14:paraId="120C5CD6" w14:textId="3A01A73D" w:rsidR="00223876" w:rsidRDefault="00223876" w:rsidP="00223876">
      <w:pPr>
        <w:pStyle w:val="ListParagraph"/>
        <w:numPr>
          <w:ilvl w:val="0"/>
          <w:numId w:val="11"/>
        </w:numPr>
        <w:autoSpaceDE w:val="0"/>
        <w:autoSpaceDN w:val="0"/>
        <w:adjustRightInd w:val="0"/>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i/>
          <w:iCs/>
          <w:sz w:val="24"/>
          <w:szCs w:val="24"/>
        </w:rPr>
        <w:t>p</w:t>
      </w:r>
      <w:r w:rsidR="00574921" w:rsidRPr="00223876">
        <w:rPr>
          <w:rFonts w:ascii="Times New Roman" w:hAnsi="Times New Roman" w:cs="Times New Roman"/>
          <w:i/>
          <w:iCs/>
          <w:sz w:val="24"/>
          <w:szCs w:val="24"/>
        </w:rPr>
        <w:t>roduktivitāti</w:t>
      </w:r>
      <w:r w:rsidR="00574921" w:rsidRPr="00223876">
        <w:rPr>
          <w:rFonts w:ascii="Times New Roman" w:hAnsi="Times New Roman" w:cs="Times New Roman"/>
          <w:sz w:val="24"/>
          <w:szCs w:val="24"/>
        </w:rPr>
        <w:t xml:space="preserve"> vajag palielināt, jo jāsasniedz lielāku rezultātu pie tiem pašiem izdevumiem</w:t>
      </w:r>
      <w:r>
        <w:rPr>
          <w:rFonts w:ascii="Times New Roman" w:hAnsi="Times New Roman" w:cs="Times New Roman"/>
          <w:sz w:val="24"/>
          <w:szCs w:val="24"/>
        </w:rPr>
        <w:t>;</w:t>
      </w:r>
      <w:r w:rsidR="00574921" w:rsidRPr="00223876">
        <w:rPr>
          <w:rFonts w:ascii="Times New Roman" w:hAnsi="Times New Roman" w:cs="Times New Roman"/>
          <w:sz w:val="24"/>
          <w:szCs w:val="24"/>
        </w:rPr>
        <w:t xml:space="preserve"> </w:t>
      </w:r>
    </w:p>
    <w:p w14:paraId="6CC5434E" w14:textId="1080ABC1" w:rsidR="00574921" w:rsidRPr="00223876" w:rsidRDefault="00223876" w:rsidP="00223876">
      <w:pPr>
        <w:pStyle w:val="ListParagraph"/>
        <w:numPr>
          <w:ilvl w:val="0"/>
          <w:numId w:val="11"/>
        </w:numPr>
        <w:autoSpaceDE w:val="0"/>
        <w:autoSpaceDN w:val="0"/>
        <w:adjustRightInd w:val="0"/>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i/>
          <w:iCs/>
          <w:sz w:val="24"/>
          <w:szCs w:val="24"/>
        </w:rPr>
        <w:t>s</w:t>
      </w:r>
      <w:r w:rsidR="00574921" w:rsidRPr="00223876">
        <w:rPr>
          <w:rFonts w:ascii="Times New Roman" w:hAnsi="Times New Roman" w:cs="Times New Roman"/>
          <w:i/>
          <w:iCs/>
          <w:sz w:val="24"/>
          <w:szCs w:val="24"/>
        </w:rPr>
        <w:t>alīdzinājumu</w:t>
      </w:r>
      <w:r w:rsidR="00574921" w:rsidRPr="00223876">
        <w:rPr>
          <w:rFonts w:ascii="Times New Roman" w:hAnsi="Times New Roman" w:cs="Times New Roman"/>
          <w:sz w:val="24"/>
          <w:szCs w:val="24"/>
        </w:rPr>
        <w:t xml:space="preserve"> parasti jātuvina vienam, jo salīdzināmo bāzi parasti izvēlas kā paraugu. </w:t>
      </w:r>
    </w:p>
    <w:p w14:paraId="2227DB2D" w14:textId="678B270E" w:rsidR="00574921" w:rsidRPr="00684AD9" w:rsidRDefault="00574921" w:rsidP="006346E1">
      <w:pPr>
        <w:autoSpaceDE w:val="0"/>
        <w:autoSpaceDN w:val="0"/>
        <w:adjustRightInd w:val="0"/>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 xml:space="preserve">Saliktie (kompleksie) indikatori tiek iegūti, pielietojot matemātiskās darbības vienkāršajiem indikatoriem. Mērķu un misijas raksturošanai ir raksturīga salikto indikatoru lietošana. </w:t>
      </w:r>
    </w:p>
    <w:p w14:paraId="6E101BDF" w14:textId="78D198FD" w:rsidR="00574921" w:rsidRPr="00684AD9" w:rsidRDefault="00574921" w:rsidP="006346E1">
      <w:pPr>
        <w:autoSpaceDE w:val="0"/>
        <w:autoSpaceDN w:val="0"/>
        <w:adjustRightInd w:val="0"/>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Līdz ar to</w:t>
      </w:r>
      <w:r w:rsidR="0062443F" w:rsidRPr="00684AD9">
        <w:rPr>
          <w:rFonts w:ascii="Times New Roman" w:hAnsi="Times New Roman" w:cs="Times New Roman"/>
          <w:sz w:val="24"/>
          <w:szCs w:val="24"/>
        </w:rPr>
        <w:t xml:space="preserve"> </w:t>
      </w:r>
      <w:r w:rsidR="00370847" w:rsidRPr="00684AD9">
        <w:rPr>
          <w:rFonts w:ascii="Times New Roman" w:hAnsi="Times New Roman" w:cs="Times New Roman"/>
          <w:sz w:val="24"/>
          <w:szCs w:val="24"/>
        </w:rPr>
        <w:t>Ministrija</w:t>
      </w:r>
      <w:r w:rsidR="003576D1" w:rsidRPr="00684AD9">
        <w:rPr>
          <w:rFonts w:ascii="Times New Roman" w:hAnsi="Times New Roman" w:cs="Times New Roman"/>
          <w:sz w:val="24"/>
          <w:szCs w:val="24"/>
        </w:rPr>
        <w:t>s speciālistu ieskatā pašvaldību administratīv</w:t>
      </w:r>
      <w:r w:rsidR="00D623FF" w:rsidRPr="00684AD9">
        <w:rPr>
          <w:rFonts w:ascii="Times New Roman" w:hAnsi="Times New Roman" w:cs="Times New Roman"/>
          <w:sz w:val="24"/>
          <w:szCs w:val="24"/>
        </w:rPr>
        <w:t>o</w:t>
      </w:r>
      <w:r w:rsidR="003576D1" w:rsidRPr="00684AD9">
        <w:rPr>
          <w:rFonts w:ascii="Times New Roman" w:hAnsi="Times New Roman" w:cs="Times New Roman"/>
          <w:sz w:val="24"/>
          <w:szCs w:val="24"/>
        </w:rPr>
        <w:t xml:space="preserve"> izdevumu īpatsvars </w:t>
      </w:r>
      <w:r w:rsidR="00223876">
        <w:rPr>
          <w:rFonts w:ascii="Times New Roman" w:hAnsi="Times New Roman" w:cs="Times New Roman"/>
          <w:sz w:val="24"/>
          <w:szCs w:val="24"/>
        </w:rPr>
        <w:t>(</w:t>
      </w:r>
      <w:r w:rsidR="003576D1" w:rsidRPr="00684AD9">
        <w:rPr>
          <w:rFonts w:ascii="Times New Roman" w:hAnsi="Times New Roman" w:cs="Times New Roman"/>
          <w:sz w:val="24"/>
          <w:szCs w:val="24"/>
        </w:rPr>
        <w:t>%</w:t>
      </w:r>
      <w:r w:rsidR="00223876">
        <w:rPr>
          <w:rFonts w:ascii="Times New Roman" w:hAnsi="Times New Roman" w:cs="Times New Roman"/>
          <w:sz w:val="24"/>
          <w:szCs w:val="24"/>
        </w:rPr>
        <w:t>)</w:t>
      </w:r>
      <w:r w:rsidR="003576D1" w:rsidRPr="00684AD9">
        <w:rPr>
          <w:rFonts w:ascii="Times New Roman" w:hAnsi="Times New Roman" w:cs="Times New Roman"/>
          <w:sz w:val="24"/>
          <w:szCs w:val="24"/>
        </w:rPr>
        <w:t xml:space="preserve"> no kopējiem izdevumiem būtu vēlams sasniegt</w:t>
      </w:r>
      <w:r w:rsidR="00D623FF" w:rsidRPr="00684AD9">
        <w:rPr>
          <w:rFonts w:ascii="Times New Roman" w:hAnsi="Times New Roman" w:cs="Times New Roman"/>
          <w:sz w:val="24"/>
          <w:szCs w:val="24"/>
        </w:rPr>
        <w:t xml:space="preserve"> amplitūdā no</w:t>
      </w:r>
      <w:r w:rsidR="003576D1" w:rsidRPr="00684AD9">
        <w:rPr>
          <w:rFonts w:ascii="Times New Roman" w:hAnsi="Times New Roman" w:cs="Times New Roman"/>
          <w:sz w:val="24"/>
          <w:szCs w:val="24"/>
        </w:rPr>
        <w:t xml:space="preserve"> </w:t>
      </w:r>
      <w:r w:rsidR="00D623FF" w:rsidRPr="00684AD9">
        <w:rPr>
          <w:rFonts w:ascii="Times New Roman" w:hAnsi="Times New Roman" w:cs="Times New Roman"/>
          <w:sz w:val="24"/>
          <w:szCs w:val="24"/>
        </w:rPr>
        <w:t>7% līdz</w:t>
      </w:r>
      <w:r w:rsidR="00BB0589" w:rsidRPr="00684AD9">
        <w:rPr>
          <w:rFonts w:ascii="Times New Roman" w:hAnsi="Times New Roman" w:cs="Times New Roman"/>
          <w:sz w:val="24"/>
          <w:szCs w:val="24"/>
        </w:rPr>
        <w:t xml:space="preserve"> 1</w:t>
      </w:r>
      <w:r w:rsidR="003576D1" w:rsidRPr="00684AD9">
        <w:rPr>
          <w:rFonts w:ascii="Times New Roman" w:hAnsi="Times New Roman" w:cs="Times New Roman"/>
          <w:sz w:val="24"/>
          <w:szCs w:val="24"/>
        </w:rPr>
        <w:t>0%</w:t>
      </w:r>
      <w:r w:rsidR="00223876">
        <w:rPr>
          <w:rFonts w:ascii="Times New Roman" w:hAnsi="Times New Roman" w:cs="Times New Roman"/>
          <w:sz w:val="24"/>
          <w:szCs w:val="24"/>
        </w:rPr>
        <w:t>,</w:t>
      </w:r>
      <w:r w:rsidR="003576D1" w:rsidRPr="00684AD9">
        <w:rPr>
          <w:rFonts w:ascii="Times New Roman" w:hAnsi="Times New Roman" w:cs="Times New Roman"/>
          <w:sz w:val="24"/>
          <w:szCs w:val="24"/>
        </w:rPr>
        <w:t xml:space="preserve"> ņemot vērā pašvaldību dažādību gan iedzīvotāju skaita ziņā, gan tās atrašanās vietas ietekmes faktoriem.</w:t>
      </w:r>
    </w:p>
    <w:p w14:paraId="7B0A21A2" w14:textId="77777777" w:rsidR="00166377" w:rsidRPr="00684AD9" w:rsidRDefault="00166377" w:rsidP="006346E1">
      <w:pPr>
        <w:spacing w:after="120" w:line="240" w:lineRule="auto"/>
        <w:jc w:val="both"/>
        <w:rPr>
          <w:rFonts w:ascii="Times New Roman" w:hAnsi="Times New Roman" w:cs="Times New Roman"/>
          <w:sz w:val="24"/>
          <w:szCs w:val="24"/>
        </w:rPr>
      </w:pPr>
      <w:r w:rsidRPr="00684AD9">
        <w:rPr>
          <w:rFonts w:ascii="Times New Roman" w:hAnsi="Times New Roman" w:cs="Times New Roman"/>
          <w:sz w:val="24"/>
          <w:szCs w:val="24"/>
        </w:rPr>
        <w:t>No Ministrijas specialistu viedokļa efektīva finanšu plūsma ir tāda, kur katra šodien ieguldītā naudas vienība nākotnē ģenerē jaunu finanšu plūsmu. No pārvaldības viedokļa finanšu plūsma ir instruments jeb spēka punkts, ar kura palīdzību sasniegt izvirzītos mērķus. Pārmaiņu situācijās finanses vadītāja rokās kļūst par galveno administratīvo resursu jeb pārmaiņu vadīšanas sviru.</w:t>
      </w:r>
    </w:p>
    <w:p w14:paraId="4EB94C25" w14:textId="77777777" w:rsidR="00166377" w:rsidRDefault="00166377" w:rsidP="006346E1">
      <w:pPr>
        <w:spacing w:line="240" w:lineRule="auto"/>
        <w:jc w:val="both"/>
        <w:rPr>
          <w:rFonts w:ascii="Times New Roman" w:hAnsi="Times New Roman" w:cs="Times New Roman"/>
          <w:sz w:val="24"/>
          <w:szCs w:val="24"/>
        </w:rPr>
      </w:pPr>
    </w:p>
    <w:p w14:paraId="04E5CFF5" w14:textId="77777777" w:rsidR="00223876" w:rsidRPr="00684AD9" w:rsidRDefault="00223876" w:rsidP="006346E1">
      <w:pPr>
        <w:spacing w:line="240" w:lineRule="auto"/>
        <w:jc w:val="both"/>
        <w:rPr>
          <w:rFonts w:ascii="Times New Roman" w:hAnsi="Times New Roman" w:cs="Times New Roman"/>
          <w:sz w:val="24"/>
          <w:szCs w:val="24"/>
        </w:rPr>
      </w:pPr>
    </w:p>
    <w:p w14:paraId="7EB2DDED" w14:textId="77777777" w:rsidR="00F8232A" w:rsidRPr="00CB0DA7" w:rsidRDefault="00F8232A" w:rsidP="006346E1">
      <w:pPr>
        <w:spacing w:after="0" w:line="240" w:lineRule="auto"/>
        <w:rPr>
          <w:rFonts w:ascii="Times New Roman" w:eastAsiaTheme="minorEastAsia" w:hAnsi="Times New Roman"/>
          <w:b/>
          <w:noProof/>
          <w:sz w:val="20"/>
          <w:szCs w:val="20"/>
          <w:lang w:eastAsia="lv-LV"/>
        </w:rPr>
      </w:pPr>
      <w:r w:rsidRPr="00CB0DA7">
        <w:rPr>
          <w:rFonts w:ascii="Times New Roman" w:eastAsiaTheme="minorEastAsia" w:hAnsi="Times New Roman"/>
          <w:b/>
          <w:noProof/>
          <w:sz w:val="20"/>
          <w:szCs w:val="20"/>
          <w:lang w:eastAsia="lv-LV"/>
        </w:rPr>
        <w:t>Sagatavoja:</w:t>
      </w:r>
    </w:p>
    <w:p w14:paraId="6550C2A7" w14:textId="7993E9E6" w:rsidR="00B16550" w:rsidRPr="00CB0DA7" w:rsidRDefault="00B16550" w:rsidP="006346E1">
      <w:pPr>
        <w:spacing w:after="0" w:line="240" w:lineRule="auto"/>
        <w:rPr>
          <w:rFonts w:ascii="Times New Roman" w:eastAsia="Calibri" w:hAnsi="Times New Roman"/>
          <w:noProof/>
          <w:sz w:val="20"/>
          <w:szCs w:val="20"/>
          <w:lang w:eastAsia="lv-LV"/>
        </w:rPr>
      </w:pPr>
      <w:r w:rsidRPr="00CB0DA7">
        <w:rPr>
          <w:rFonts w:ascii="Times New Roman" w:eastAsia="Calibri" w:hAnsi="Times New Roman"/>
          <w:noProof/>
          <w:sz w:val="20"/>
          <w:szCs w:val="20"/>
          <w:lang w:eastAsia="lv-LV"/>
        </w:rPr>
        <w:t>Viedās administrācijas un reģionālās attīstības ministrija</w:t>
      </w:r>
      <w:r w:rsidR="00751AF0" w:rsidRPr="00CB0DA7">
        <w:rPr>
          <w:rFonts w:ascii="Times New Roman" w:eastAsia="Calibri" w:hAnsi="Times New Roman"/>
          <w:noProof/>
          <w:sz w:val="20"/>
          <w:szCs w:val="20"/>
          <w:lang w:eastAsia="lv-LV"/>
        </w:rPr>
        <w:t>s</w:t>
      </w:r>
    </w:p>
    <w:p w14:paraId="16C57305" w14:textId="77E39445" w:rsidR="00751AF0" w:rsidRPr="00CB0DA7" w:rsidRDefault="00751AF0" w:rsidP="006346E1">
      <w:pPr>
        <w:spacing w:after="0" w:line="240" w:lineRule="auto"/>
        <w:rPr>
          <w:rFonts w:ascii="Times New Roman" w:eastAsiaTheme="minorEastAsia" w:hAnsi="Times New Roman"/>
          <w:noProof/>
          <w:sz w:val="20"/>
          <w:szCs w:val="20"/>
          <w:lang w:eastAsia="lv-LV"/>
        </w:rPr>
      </w:pPr>
      <w:r w:rsidRPr="00CB0DA7">
        <w:rPr>
          <w:rFonts w:ascii="Times New Roman" w:eastAsiaTheme="minorEastAsia" w:hAnsi="Times New Roman"/>
          <w:noProof/>
          <w:sz w:val="20"/>
          <w:szCs w:val="20"/>
          <w:lang w:eastAsia="lv-LV"/>
        </w:rPr>
        <w:t xml:space="preserve">Valsts ilgtspējīgas attīstības plānošanas departamenta </w:t>
      </w:r>
    </w:p>
    <w:p w14:paraId="2E262F1A" w14:textId="4ED70860" w:rsidR="00C67F82" w:rsidRPr="00CB0DA7" w:rsidRDefault="00322C0D" w:rsidP="006346E1">
      <w:pPr>
        <w:spacing w:after="0" w:line="240" w:lineRule="auto"/>
        <w:rPr>
          <w:rFonts w:ascii="Times New Roman" w:hAnsi="Times New Roman" w:cs="Times New Roman"/>
        </w:rPr>
      </w:pPr>
      <w:r w:rsidRPr="00CB0DA7">
        <w:rPr>
          <w:rFonts w:ascii="Times New Roman" w:eastAsiaTheme="minorEastAsia" w:hAnsi="Times New Roman"/>
          <w:noProof/>
          <w:sz w:val="20"/>
          <w:szCs w:val="20"/>
          <w:lang w:eastAsia="lv-LV"/>
        </w:rPr>
        <w:t>Teritoriju attīstības izvērtēšanas nodaļa</w:t>
      </w:r>
    </w:p>
    <w:sectPr w:rsidR="00C67F82" w:rsidRPr="00CB0DA7" w:rsidSect="00684AD9">
      <w:headerReference w:type="default" r:id="rId9"/>
      <w:pgSz w:w="12240" w:h="15840"/>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4266" w14:textId="77777777" w:rsidR="000303EA" w:rsidRDefault="000303EA" w:rsidP="00460EB2">
      <w:pPr>
        <w:spacing w:after="0" w:line="240" w:lineRule="auto"/>
      </w:pPr>
      <w:r>
        <w:separator/>
      </w:r>
    </w:p>
  </w:endnote>
  <w:endnote w:type="continuationSeparator" w:id="0">
    <w:p w14:paraId="4D7BCA43" w14:textId="77777777" w:rsidR="000303EA" w:rsidRDefault="000303EA" w:rsidP="0046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352F" w14:textId="77777777" w:rsidR="000303EA" w:rsidRDefault="000303EA" w:rsidP="00460EB2">
      <w:pPr>
        <w:spacing w:after="0" w:line="240" w:lineRule="auto"/>
      </w:pPr>
      <w:r>
        <w:separator/>
      </w:r>
    </w:p>
  </w:footnote>
  <w:footnote w:type="continuationSeparator" w:id="0">
    <w:p w14:paraId="214D5CA2" w14:textId="77777777" w:rsidR="000303EA" w:rsidRDefault="000303EA" w:rsidP="00460EB2">
      <w:pPr>
        <w:spacing w:after="0" w:line="240" w:lineRule="auto"/>
      </w:pPr>
      <w:r>
        <w:continuationSeparator/>
      </w:r>
    </w:p>
  </w:footnote>
  <w:footnote w:id="1">
    <w:p w14:paraId="5CE11640" w14:textId="72C83193" w:rsidR="00B52B12" w:rsidRPr="00B52B12" w:rsidRDefault="00B52B12" w:rsidP="00B52B12">
      <w:pPr>
        <w:pStyle w:val="FootnoteText"/>
        <w:jc w:val="both"/>
        <w:rPr>
          <w:rFonts w:ascii="Times New Roman" w:hAnsi="Times New Roman" w:cs="Times New Roman"/>
        </w:rPr>
      </w:pPr>
      <w:r w:rsidRPr="00B52B12">
        <w:rPr>
          <w:rStyle w:val="FootnoteReference"/>
          <w:rFonts w:ascii="Times New Roman" w:hAnsi="Times New Roman" w:cs="Times New Roman"/>
        </w:rPr>
        <w:footnoteRef/>
      </w:r>
      <w:r w:rsidRPr="00B52B12">
        <w:rPr>
          <w:rFonts w:ascii="Times New Roman" w:hAnsi="Times New Roman" w:cs="Times New Roman"/>
        </w:rPr>
        <w:t xml:space="preserve"> Pamatojoties uz 2024. gada 13. jūnijā pieņemtajiem Administratīvo teritoriju un apdzīvoto vietu likuma </w:t>
      </w:r>
      <w:hyperlink r:id="rId1" w:history="1">
        <w:r w:rsidRPr="00B52B12">
          <w:rPr>
            <w:rStyle w:val="Hyperlink"/>
            <w:rFonts w:ascii="Times New Roman" w:hAnsi="Times New Roman" w:cs="Times New Roman"/>
          </w:rPr>
          <w:t xml:space="preserve">grozījumiem </w:t>
        </w:r>
      </w:hyperlink>
      <w:r w:rsidRPr="00B52B12">
        <w:rPr>
          <w:rFonts w:ascii="Times New Roman" w:hAnsi="Times New Roman" w:cs="Times New Roman"/>
        </w:rPr>
        <w:t xml:space="preserve"> (stājas spēkā 2024. gada 30. jūnijā), no 2025. gada 1. jūlija Latvijā ir 42 pašvaldības, jo Varakļānu novads tika apvienots ar Madonas novadu. Vienlaikus šo vadlīniju ietvaros tiek analizēta situācija par 43 pašvaldībām, jo uz vadlīniju izstrādes brīdi Valsts kases e-pārskatu sistēmā pieejami dati par pašvaldību 202</w:t>
      </w:r>
      <w:r>
        <w:rPr>
          <w:rFonts w:ascii="Times New Roman" w:hAnsi="Times New Roman" w:cs="Times New Roman"/>
        </w:rPr>
        <w:t>4</w:t>
      </w:r>
      <w:r w:rsidRPr="00B52B12">
        <w:rPr>
          <w:rFonts w:ascii="Times New Roman" w:hAnsi="Times New Roman" w:cs="Times New Roman"/>
        </w:rPr>
        <w:t>. gada budžetiem.</w:t>
      </w:r>
    </w:p>
  </w:footnote>
  <w:footnote w:id="2">
    <w:p w14:paraId="53D876E7" w14:textId="086CA187" w:rsidR="00223876" w:rsidRPr="00CB0DA7" w:rsidRDefault="00223876" w:rsidP="00223876">
      <w:pPr>
        <w:pStyle w:val="FootnoteText"/>
        <w:jc w:val="both"/>
        <w:rPr>
          <w:rFonts w:ascii="Times New Roman" w:hAnsi="Times New Roman" w:cs="Times New Roman"/>
        </w:rPr>
      </w:pPr>
      <w:r w:rsidRPr="00CB0DA7">
        <w:rPr>
          <w:rStyle w:val="FootnoteReference"/>
          <w:rFonts w:ascii="Times New Roman" w:hAnsi="Times New Roman" w:cs="Times New Roman"/>
        </w:rPr>
        <w:footnoteRef/>
      </w:r>
      <w:r w:rsidRPr="00CB0DA7">
        <w:rPr>
          <w:rFonts w:ascii="Times New Roman" w:hAnsi="Times New Roman" w:cs="Times New Roman"/>
        </w:rPr>
        <w:t xml:space="preserve"> Valsts kontroles</w:t>
      </w:r>
      <w:r>
        <w:rPr>
          <w:rFonts w:ascii="Times New Roman" w:hAnsi="Times New Roman" w:cs="Times New Roman"/>
        </w:rPr>
        <w:t xml:space="preserve"> r</w:t>
      </w:r>
      <w:r w:rsidRPr="00CB0DA7">
        <w:rPr>
          <w:rFonts w:ascii="Times New Roman" w:hAnsi="Times New Roman" w:cs="Times New Roman"/>
        </w:rPr>
        <w:t>evīzija</w:t>
      </w:r>
      <w:r>
        <w:rPr>
          <w:rFonts w:ascii="Times New Roman" w:hAnsi="Times New Roman" w:cs="Times New Roman"/>
        </w:rPr>
        <w:t>s</w:t>
      </w:r>
      <w:r w:rsidRPr="00CB0DA7">
        <w:rPr>
          <w:rFonts w:ascii="Times New Roman" w:hAnsi="Times New Roman" w:cs="Times New Roman"/>
        </w:rPr>
        <w:t xml:space="preserve"> “</w:t>
      </w:r>
      <w:hyperlink r:id="rId2" w:history="1">
        <w:r w:rsidRPr="00CB0DA7">
          <w:rPr>
            <w:rStyle w:val="Hyperlink"/>
            <w:rFonts w:ascii="Times New Roman" w:hAnsi="Times New Roman" w:cs="Times New Roman"/>
          </w:rPr>
          <w:t>Vai pašvaldības administratīvais resurss tās funkciju īstenošanai tiek izlietots produktīvi un ekonomiski?</w:t>
        </w:r>
      </w:hyperlink>
      <w:r w:rsidRPr="00CB0DA7">
        <w:rPr>
          <w:rFonts w:ascii="Times New Roman" w:hAnsi="Times New Roman" w:cs="Times New Roman"/>
        </w:rPr>
        <w:t>”</w:t>
      </w:r>
      <w:r>
        <w:rPr>
          <w:rFonts w:ascii="Times New Roman" w:hAnsi="Times New Roman" w:cs="Times New Roman"/>
        </w:rPr>
        <w:t xml:space="preserv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985320"/>
      <w:docPartObj>
        <w:docPartGallery w:val="Page Numbers (Top of Page)"/>
        <w:docPartUnique/>
      </w:docPartObj>
    </w:sdtPr>
    <w:sdtEndPr>
      <w:rPr>
        <w:rFonts w:ascii="Times New Roman" w:hAnsi="Times New Roman" w:cs="Times New Roman"/>
        <w:noProof/>
      </w:rPr>
    </w:sdtEndPr>
    <w:sdtContent>
      <w:p w14:paraId="085D4B2C" w14:textId="6556488C" w:rsidR="00460EB2" w:rsidRPr="00223876" w:rsidRDefault="00460EB2">
        <w:pPr>
          <w:pStyle w:val="Header"/>
          <w:jc w:val="center"/>
          <w:rPr>
            <w:rFonts w:ascii="Times New Roman" w:hAnsi="Times New Roman" w:cs="Times New Roman"/>
          </w:rPr>
        </w:pPr>
        <w:r w:rsidRPr="00223876">
          <w:rPr>
            <w:rFonts w:ascii="Times New Roman" w:hAnsi="Times New Roman" w:cs="Times New Roman"/>
          </w:rPr>
          <w:fldChar w:fldCharType="begin"/>
        </w:r>
        <w:r w:rsidRPr="00223876">
          <w:rPr>
            <w:rFonts w:ascii="Times New Roman" w:hAnsi="Times New Roman" w:cs="Times New Roman"/>
          </w:rPr>
          <w:instrText xml:space="preserve"> PAGE   \* MERGEFORMAT </w:instrText>
        </w:r>
        <w:r w:rsidRPr="00223876">
          <w:rPr>
            <w:rFonts w:ascii="Times New Roman" w:hAnsi="Times New Roman" w:cs="Times New Roman"/>
          </w:rPr>
          <w:fldChar w:fldCharType="separate"/>
        </w:r>
        <w:r w:rsidR="00EC21F1" w:rsidRPr="00223876">
          <w:rPr>
            <w:rFonts w:ascii="Times New Roman" w:hAnsi="Times New Roman" w:cs="Times New Roman"/>
            <w:noProof/>
          </w:rPr>
          <w:t>10</w:t>
        </w:r>
        <w:r w:rsidRPr="00223876">
          <w:rPr>
            <w:rFonts w:ascii="Times New Roman" w:hAnsi="Times New Roman" w:cs="Times New Roman"/>
            <w:noProof/>
          </w:rPr>
          <w:fldChar w:fldCharType="end"/>
        </w:r>
      </w:p>
    </w:sdtContent>
  </w:sdt>
  <w:p w14:paraId="7E19953F" w14:textId="77777777" w:rsidR="00460EB2" w:rsidRDefault="00460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18"/>
    <w:multiLevelType w:val="hybridMultilevel"/>
    <w:tmpl w:val="7ACC6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FF6120"/>
    <w:multiLevelType w:val="hybridMultilevel"/>
    <w:tmpl w:val="A0AEBE44"/>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5656973"/>
    <w:multiLevelType w:val="hybridMultilevel"/>
    <w:tmpl w:val="572467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905C5D"/>
    <w:multiLevelType w:val="hybridMultilevel"/>
    <w:tmpl w:val="69488D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C177E8A"/>
    <w:multiLevelType w:val="hybridMultilevel"/>
    <w:tmpl w:val="C57488C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9A179D1"/>
    <w:multiLevelType w:val="hybridMultilevel"/>
    <w:tmpl w:val="D16233A6"/>
    <w:lvl w:ilvl="0" w:tplc="9ED4CBFC">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484E40"/>
    <w:multiLevelType w:val="hybridMultilevel"/>
    <w:tmpl w:val="D16233A6"/>
    <w:lvl w:ilvl="0" w:tplc="9ED4CBFC">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C22820"/>
    <w:multiLevelType w:val="hybridMultilevel"/>
    <w:tmpl w:val="18D2922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B8B33A8"/>
    <w:multiLevelType w:val="hybridMultilevel"/>
    <w:tmpl w:val="EF2AB6CE"/>
    <w:lvl w:ilvl="0" w:tplc="9ED4CBFC">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8B12F6"/>
    <w:multiLevelType w:val="hybridMultilevel"/>
    <w:tmpl w:val="4762D9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E5679A"/>
    <w:multiLevelType w:val="hybridMultilevel"/>
    <w:tmpl w:val="24680EC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4453107">
    <w:abstractNumId w:val="10"/>
  </w:num>
  <w:num w:numId="2" w16cid:durableId="1864588564">
    <w:abstractNumId w:val="7"/>
  </w:num>
  <w:num w:numId="3" w16cid:durableId="1040209517">
    <w:abstractNumId w:val="1"/>
  </w:num>
  <w:num w:numId="4" w16cid:durableId="1567566545">
    <w:abstractNumId w:val="4"/>
  </w:num>
  <w:num w:numId="5" w16cid:durableId="325745748">
    <w:abstractNumId w:val="5"/>
  </w:num>
  <w:num w:numId="6" w16cid:durableId="285086600">
    <w:abstractNumId w:val="6"/>
  </w:num>
  <w:num w:numId="7" w16cid:durableId="396510563">
    <w:abstractNumId w:val="8"/>
  </w:num>
  <w:num w:numId="8" w16cid:durableId="77290140">
    <w:abstractNumId w:val="3"/>
  </w:num>
  <w:num w:numId="9" w16cid:durableId="590357888">
    <w:abstractNumId w:val="2"/>
  </w:num>
  <w:num w:numId="10" w16cid:durableId="1378318350">
    <w:abstractNumId w:val="9"/>
  </w:num>
  <w:num w:numId="11" w16cid:durableId="55477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47"/>
    <w:rsid w:val="00007212"/>
    <w:rsid w:val="000303EA"/>
    <w:rsid w:val="000469A1"/>
    <w:rsid w:val="00056AE0"/>
    <w:rsid w:val="00057DE9"/>
    <w:rsid w:val="00072874"/>
    <w:rsid w:val="000A34F3"/>
    <w:rsid w:val="000A3C1A"/>
    <w:rsid w:val="000B2530"/>
    <w:rsid w:val="000B6FDE"/>
    <w:rsid w:val="000D2A86"/>
    <w:rsid w:val="000E1EF3"/>
    <w:rsid w:val="000E5EF9"/>
    <w:rsid w:val="0011139A"/>
    <w:rsid w:val="00117CC4"/>
    <w:rsid w:val="00121FAC"/>
    <w:rsid w:val="00123A40"/>
    <w:rsid w:val="0014099F"/>
    <w:rsid w:val="001437B2"/>
    <w:rsid w:val="001575CA"/>
    <w:rsid w:val="00161129"/>
    <w:rsid w:val="00166377"/>
    <w:rsid w:val="00181DAF"/>
    <w:rsid w:val="001B1EFC"/>
    <w:rsid w:val="001B5AF0"/>
    <w:rsid w:val="00207727"/>
    <w:rsid w:val="00223876"/>
    <w:rsid w:val="00244440"/>
    <w:rsid w:val="00263F45"/>
    <w:rsid w:val="00267DC5"/>
    <w:rsid w:val="002737DD"/>
    <w:rsid w:val="00291F60"/>
    <w:rsid w:val="00294E2E"/>
    <w:rsid w:val="002A227D"/>
    <w:rsid w:val="002A6638"/>
    <w:rsid w:val="002B72FA"/>
    <w:rsid w:val="00322C0D"/>
    <w:rsid w:val="003576D1"/>
    <w:rsid w:val="00370847"/>
    <w:rsid w:val="00386435"/>
    <w:rsid w:val="003B2BAD"/>
    <w:rsid w:val="003D29F8"/>
    <w:rsid w:val="0040780F"/>
    <w:rsid w:val="00430EAC"/>
    <w:rsid w:val="00431888"/>
    <w:rsid w:val="00450E10"/>
    <w:rsid w:val="00455ECC"/>
    <w:rsid w:val="00460EB2"/>
    <w:rsid w:val="004617EB"/>
    <w:rsid w:val="004A44FC"/>
    <w:rsid w:val="004B2344"/>
    <w:rsid w:val="004B7827"/>
    <w:rsid w:val="004C13B5"/>
    <w:rsid w:val="004C7D2C"/>
    <w:rsid w:val="004E2DD7"/>
    <w:rsid w:val="004F3B01"/>
    <w:rsid w:val="00511002"/>
    <w:rsid w:val="0051536D"/>
    <w:rsid w:val="00524D08"/>
    <w:rsid w:val="00535A95"/>
    <w:rsid w:val="00574921"/>
    <w:rsid w:val="005A2789"/>
    <w:rsid w:val="005A7ED2"/>
    <w:rsid w:val="005C7E4B"/>
    <w:rsid w:val="005D7988"/>
    <w:rsid w:val="00600FE1"/>
    <w:rsid w:val="00603E3C"/>
    <w:rsid w:val="006102B6"/>
    <w:rsid w:val="00623926"/>
    <w:rsid w:val="0062443F"/>
    <w:rsid w:val="006346E1"/>
    <w:rsid w:val="0064762F"/>
    <w:rsid w:val="00664473"/>
    <w:rsid w:val="00684350"/>
    <w:rsid w:val="006849A7"/>
    <w:rsid w:val="00684AD9"/>
    <w:rsid w:val="00684E98"/>
    <w:rsid w:val="006972F8"/>
    <w:rsid w:val="006A131B"/>
    <w:rsid w:val="006A288B"/>
    <w:rsid w:val="006A5757"/>
    <w:rsid w:val="006A59AD"/>
    <w:rsid w:val="006C1BF9"/>
    <w:rsid w:val="006C3939"/>
    <w:rsid w:val="006E042A"/>
    <w:rsid w:val="006E19E3"/>
    <w:rsid w:val="006E3179"/>
    <w:rsid w:val="0071318A"/>
    <w:rsid w:val="00751AF0"/>
    <w:rsid w:val="00757457"/>
    <w:rsid w:val="007609E6"/>
    <w:rsid w:val="007670FC"/>
    <w:rsid w:val="00784EE1"/>
    <w:rsid w:val="007D046D"/>
    <w:rsid w:val="007E2B59"/>
    <w:rsid w:val="007E3FB8"/>
    <w:rsid w:val="007F25E6"/>
    <w:rsid w:val="00804703"/>
    <w:rsid w:val="00816F81"/>
    <w:rsid w:val="008248C8"/>
    <w:rsid w:val="00824D8E"/>
    <w:rsid w:val="00831372"/>
    <w:rsid w:val="008416EA"/>
    <w:rsid w:val="00855601"/>
    <w:rsid w:val="00864593"/>
    <w:rsid w:val="00864944"/>
    <w:rsid w:val="00876CDF"/>
    <w:rsid w:val="008931A1"/>
    <w:rsid w:val="0089725B"/>
    <w:rsid w:val="008A6700"/>
    <w:rsid w:val="008B4A77"/>
    <w:rsid w:val="008B6B88"/>
    <w:rsid w:val="008C4DF2"/>
    <w:rsid w:val="008D7B6D"/>
    <w:rsid w:val="008F72BF"/>
    <w:rsid w:val="00907877"/>
    <w:rsid w:val="009345AB"/>
    <w:rsid w:val="00936076"/>
    <w:rsid w:val="009360C7"/>
    <w:rsid w:val="009772DB"/>
    <w:rsid w:val="00980DD6"/>
    <w:rsid w:val="009822D3"/>
    <w:rsid w:val="009836FD"/>
    <w:rsid w:val="00984292"/>
    <w:rsid w:val="00984BCE"/>
    <w:rsid w:val="009B65EB"/>
    <w:rsid w:val="009E0503"/>
    <w:rsid w:val="009E5243"/>
    <w:rsid w:val="009F17D3"/>
    <w:rsid w:val="009F7D2C"/>
    <w:rsid w:val="00A00E44"/>
    <w:rsid w:val="00A01BA0"/>
    <w:rsid w:val="00A057A1"/>
    <w:rsid w:val="00A05801"/>
    <w:rsid w:val="00A12E80"/>
    <w:rsid w:val="00A218FA"/>
    <w:rsid w:val="00A5568F"/>
    <w:rsid w:val="00AB3D9C"/>
    <w:rsid w:val="00AD3E15"/>
    <w:rsid w:val="00AE39B7"/>
    <w:rsid w:val="00AF16B6"/>
    <w:rsid w:val="00AF5B3D"/>
    <w:rsid w:val="00B10F82"/>
    <w:rsid w:val="00B16550"/>
    <w:rsid w:val="00B30FC6"/>
    <w:rsid w:val="00B312EF"/>
    <w:rsid w:val="00B52B12"/>
    <w:rsid w:val="00B53734"/>
    <w:rsid w:val="00B62C29"/>
    <w:rsid w:val="00B6795A"/>
    <w:rsid w:val="00B80FD2"/>
    <w:rsid w:val="00BB0589"/>
    <w:rsid w:val="00BB2AD3"/>
    <w:rsid w:val="00BB5660"/>
    <w:rsid w:val="00BB7185"/>
    <w:rsid w:val="00BF0581"/>
    <w:rsid w:val="00BF36A3"/>
    <w:rsid w:val="00C02470"/>
    <w:rsid w:val="00C06CE2"/>
    <w:rsid w:val="00C103CD"/>
    <w:rsid w:val="00C16C6B"/>
    <w:rsid w:val="00C3526B"/>
    <w:rsid w:val="00C3741F"/>
    <w:rsid w:val="00C43B37"/>
    <w:rsid w:val="00C4436C"/>
    <w:rsid w:val="00C67F82"/>
    <w:rsid w:val="00C74150"/>
    <w:rsid w:val="00C967BB"/>
    <w:rsid w:val="00CA3005"/>
    <w:rsid w:val="00CB0DA7"/>
    <w:rsid w:val="00CB511F"/>
    <w:rsid w:val="00CB7421"/>
    <w:rsid w:val="00CC71E2"/>
    <w:rsid w:val="00D16A71"/>
    <w:rsid w:val="00D25B77"/>
    <w:rsid w:val="00D30547"/>
    <w:rsid w:val="00D3503B"/>
    <w:rsid w:val="00D372ED"/>
    <w:rsid w:val="00D623FF"/>
    <w:rsid w:val="00D72D8C"/>
    <w:rsid w:val="00D77795"/>
    <w:rsid w:val="00D86132"/>
    <w:rsid w:val="00D873CB"/>
    <w:rsid w:val="00D9302D"/>
    <w:rsid w:val="00D97821"/>
    <w:rsid w:val="00DA30A8"/>
    <w:rsid w:val="00DA4D2C"/>
    <w:rsid w:val="00DA7FCB"/>
    <w:rsid w:val="00DC4C7B"/>
    <w:rsid w:val="00DD0CD9"/>
    <w:rsid w:val="00DD5D35"/>
    <w:rsid w:val="00DF7A53"/>
    <w:rsid w:val="00E0073D"/>
    <w:rsid w:val="00E0491A"/>
    <w:rsid w:val="00E04963"/>
    <w:rsid w:val="00E17D20"/>
    <w:rsid w:val="00E461EF"/>
    <w:rsid w:val="00E53DC8"/>
    <w:rsid w:val="00E70080"/>
    <w:rsid w:val="00E7756B"/>
    <w:rsid w:val="00E80097"/>
    <w:rsid w:val="00E94E48"/>
    <w:rsid w:val="00E95FF7"/>
    <w:rsid w:val="00EC1347"/>
    <w:rsid w:val="00EC21F1"/>
    <w:rsid w:val="00ED1EAC"/>
    <w:rsid w:val="00ED70F9"/>
    <w:rsid w:val="00F048CB"/>
    <w:rsid w:val="00F140FF"/>
    <w:rsid w:val="00F168CD"/>
    <w:rsid w:val="00F274F2"/>
    <w:rsid w:val="00F2780D"/>
    <w:rsid w:val="00F3173E"/>
    <w:rsid w:val="00F45325"/>
    <w:rsid w:val="00F536F0"/>
    <w:rsid w:val="00F605D4"/>
    <w:rsid w:val="00F8232A"/>
    <w:rsid w:val="00F85D57"/>
    <w:rsid w:val="00F87B87"/>
    <w:rsid w:val="00FA0E6F"/>
    <w:rsid w:val="00FC17CD"/>
    <w:rsid w:val="00FC5948"/>
    <w:rsid w:val="00FC6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CBF4"/>
  <w15:chartTrackingRefBased/>
  <w15:docId w15:val="{00570500-DE5C-4886-875C-F946EF01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47"/>
    <w:pPr>
      <w:spacing w:before="100" w:beforeAutospacing="1" w:after="100" w:afterAutospacing="1" w:line="240" w:lineRule="auto"/>
    </w:pPr>
    <w:rPr>
      <w:rFonts w:ascii="Arial" w:hAnsi="Arial" w:cs="Arial"/>
      <w:sz w:val="24"/>
      <w:szCs w:val="24"/>
      <w:lang w:eastAsia="lv-LV"/>
    </w:rPr>
  </w:style>
  <w:style w:type="character" w:styleId="Hyperlink">
    <w:name w:val="Hyperlink"/>
    <w:basedOn w:val="DefaultParagraphFont"/>
    <w:uiPriority w:val="99"/>
    <w:unhideWhenUsed/>
    <w:rsid w:val="00CA3005"/>
    <w:rPr>
      <w:color w:val="0563C1" w:themeColor="hyperlink"/>
      <w:u w:val="single"/>
    </w:rPr>
  </w:style>
  <w:style w:type="paragraph" w:styleId="ListParagraph">
    <w:name w:val="List Paragraph"/>
    <w:basedOn w:val="Normal"/>
    <w:uiPriority w:val="34"/>
    <w:qFormat/>
    <w:rsid w:val="00E04963"/>
    <w:pPr>
      <w:ind w:left="720"/>
      <w:contextualSpacing/>
    </w:pPr>
  </w:style>
  <w:style w:type="paragraph" w:customStyle="1" w:styleId="Default">
    <w:name w:val="Default"/>
    <w:rsid w:val="009B65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9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F7"/>
    <w:rPr>
      <w:rFonts w:ascii="Segoe UI" w:hAnsi="Segoe UI" w:cs="Segoe UI"/>
      <w:sz w:val="18"/>
      <w:szCs w:val="18"/>
    </w:rPr>
  </w:style>
  <w:style w:type="paragraph" w:styleId="Header">
    <w:name w:val="header"/>
    <w:basedOn w:val="Normal"/>
    <w:link w:val="HeaderChar"/>
    <w:uiPriority w:val="99"/>
    <w:unhideWhenUsed/>
    <w:rsid w:val="00460E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0EB2"/>
  </w:style>
  <w:style w:type="paragraph" w:styleId="Footer">
    <w:name w:val="footer"/>
    <w:basedOn w:val="Normal"/>
    <w:link w:val="FooterChar"/>
    <w:uiPriority w:val="99"/>
    <w:unhideWhenUsed/>
    <w:rsid w:val="00460E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0EB2"/>
  </w:style>
  <w:style w:type="character" w:styleId="CommentReference">
    <w:name w:val="annotation reference"/>
    <w:basedOn w:val="DefaultParagraphFont"/>
    <w:uiPriority w:val="99"/>
    <w:semiHidden/>
    <w:unhideWhenUsed/>
    <w:rsid w:val="00E461EF"/>
    <w:rPr>
      <w:sz w:val="16"/>
      <w:szCs w:val="16"/>
    </w:rPr>
  </w:style>
  <w:style w:type="paragraph" w:styleId="CommentText">
    <w:name w:val="annotation text"/>
    <w:basedOn w:val="Normal"/>
    <w:link w:val="CommentTextChar"/>
    <w:uiPriority w:val="99"/>
    <w:unhideWhenUsed/>
    <w:rsid w:val="00E461EF"/>
    <w:pPr>
      <w:spacing w:line="240" w:lineRule="auto"/>
    </w:pPr>
    <w:rPr>
      <w:sz w:val="20"/>
      <w:szCs w:val="20"/>
    </w:rPr>
  </w:style>
  <w:style w:type="character" w:customStyle="1" w:styleId="CommentTextChar">
    <w:name w:val="Comment Text Char"/>
    <w:basedOn w:val="DefaultParagraphFont"/>
    <w:link w:val="CommentText"/>
    <w:uiPriority w:val="99"/>
    <w:rsid w:val="00E461EF"/>
    <w:rPr>
      <w:sz w:val="20"/>
      <w:szCs w:val="20"/>
    </w:rPr>
  </w:style>
  <w:style w:type="paragraph" w:styleId="CommentSubject">
    <w:name w:val="annotation subject"/>
    <w:basedOn w:val="CommentText"/>
    <w:next w:val="CommentText"/>
    <w:link w:val="CommentSubjectChar"/>
    <w:uiPriority w:val="99"/>
    <w:semiHidden/>
    <w:unhideWhenUsed/>
    <w:rsid w:val="00E461EF"/>
    <w:rPr>
      <w:b/>
      <w:bCs/>
    </w:rPr>
  </w:style>
  <w:style w:type="character" w:customStyle="1" w:styleId="CommentSubjectChar">
    <w:name w:val="Comment Subject Char"/>
    <w:basedOn w:val="CommentTextChar"/>
    <w:link w:val="CommentSubject"/>
    <w:uiPriority w:val="99"/>
    <w:semiHidden/>
    <w:rsid w:val="00E461EF"/>
    <w:rPr>
      <w:b/>
      <w:bCs/>
      <w:sz w:val="20"/>
      <w:szCs w:val="20"/>
    </w:rPr>
  </w:style>
  <w:style w:type="paragraph" w:styleId="Revision">
    <w:name w:val="Revision"/>
    <w:hidden/>
    <w:uiPriority w:val="99"/>
    <w:semiHidden/>
    <w:rsid w:val="00F274F2"/>
    <w:pPr>
      <w:spacing w:after="0" w:line="240" w:lineRule="auto"/>
    </w:pPr>
  </w:style>
  <w:style w:type="paragraph" w:styleId="FootnoteText">
    <w:name w:val="footnote text"/>
    <w:basedOn w:val="Normal"/>
    <w:link w:val="FootnoteTextChar"/>
    <w:uiPriority w:val="99"/>
    <w:semiHidden/>
    <w:unhideWhenUsed/>
    <w:rsid w:val="00B52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B12"/>
    <w:rPr>
      <w:sz w:val="20"/>
      <w:szCs w:val="20"/>
    </w:rPr>
  </w:style>
  <w:style w:type="character" w:styleId="FootnoteReference">
    <w:name w:val="footnote reference"/>
    <w:basedOn w:val="DefaultParagraphFont"/>
    <w:uiPriority w:val="99"/>
    <w:semiHidden/>
    <w:unhideWhenUsed/>
    <w:rsid w:val="00B52B12"/>
    <w:rPr>
      <w:vertAlign w:val="superscript"/>
    </w:rPr>
  </w:style>
  <w:style w:type="character" w:styleId="UnresolvedMention">
    <w:name w:val="Unresolved Mention"/>
    <w:basedOn w:val="DefaultParagraphFont"/>
    <w:uiPriority w:val="99"/>
    <w:semiHidden/>
    <w:unhideWhenUsed/>
    <w:rsid w:val="00B52B12"/>
    <w:rPr>
      <w:color w:val="605E5C"/>
      <w:shd w:val="clear" w:color="auto" w:fill="E1DFDD"/>
    </w:rPr>
  </w:style>
  <w:style w:type="character" w:styleId="FollowedHyperlink">
    <w:name w:val="FollowedHyperlink"/>
    <w:basedOn w:val="DefaultParagraphFont"/>
    <w:uiPriority w:val="99"/>
    <w:semiHidden/>
    <w:unhideWhenUsed/>
    <w:rsid w:val="00CB0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385">
      <w:bodyDiv w:val="1"/>
      <w:marLeft w:val="0"/>
      <w:marRight w:val="0"/>
      <w:marTop w:val="0"/>
      <w:marBottom w:val="0"/>
      <w:divBdr>
        <w:top w:val="none" w:sz="0" w:space="0" w:color="auto"/>
        <w:left w:val="none" w:sz="0" w:space="0" w:color="auto"/>
        <w:bottom w:val="none" w:sz="0" w:space="0" w:color="auto"/>
        <w:right w:val="none" w:sz="0" w:space="0" w:color="auto"/>
      </w:divBdr>
    </w:div>
    <w:div w:id="323320654">
      <w:bodyDiv w:val="1"/>
      <w:marLeft w:val="0"/>
      <w:marRight w:val="0"/>
      <w:marTop w:val="0"/>
      <w:marBottom w:val="0"/>
      <w:divBdr>
        <w:top w:val="none" w:sz="0" w:space="0" w:color="auto"/>
        <w:left w:val="none" w:sz="0" w:space="0" w:color="auto"/>
        <w:bottom w:val="none" w:sz="0" w:space="0" w:color="auto"/>
        <w:right w:val="none" w:sz="0" w:space="0" w:color="auto"/>
      </w:divBdr>
      <w:divsChild>
        <w:div w:id="852839089">
          <w:marLeft w:val="0"/>
          <w:marRight w:val="0"/>
          <w:marTop w:val="480"/>
          <w:marBottom w:val="240"/>
          <w:divBdr>
            <w:top w:val="none" w:sz="0" w:space="0" w:color="auto"/>
            <w:left w:val="none" w:sz="0" w:space="0" w:color="auto"/>
            <w:bottom w:val="none" w:sz="0" w:space="0" w:color="auto"/>
            <w:right w:val="none" w:sz="0" w:space="0" w:color="auto"/>
          </w:divBdr>
        </w:div>
        <w:div w:id="2017002897">
          <w:marLeft w:val="0"/>
          <w:marRight w:val="0"/>
          <w:marTop w:val="0"/>
          <w:marBottom w:val="567"/>
          <w:divBdr>
            <w:top w:val="none" w:sz="0" w:space="0" w:color="auto"/>
            <w:left w:val="none" w:sz="0" w:space="0" w:color="auto"/>
            <w:bottom w:val="none" w:sz="0" w:space="0" w:color="auto"/>
            <w:right w:val="none" w:sz="0" w:space="0" w:color="auto"/>
          </w:divBdr>
        </w:div>
      </w:divsChild>
    </w:div>
    <w:div w:id="1104306486">
      <w:bodyDiv w:val="1"/>
      <w:marLeft w:val="0"/>
      <w:marRight w:val="0"/>
      <w:marTop w:val="0"/>
      <w:marBottom w:val="0"/>
      <w:divBdr>
        <w:top w:val="none" w:sz="0" w:space="0" w:color="auto"/>
        <w:left w:val="none" w:sz="0" w:space="0" w:color="auto"/>
        <w:bottom w:val="none" w:sz="0" w:space="0" w:color="auto"/>
        <w:right w:val="none" w:sz="0" w:space="0" w:color="auto"/>
      </w:divBdr>
    </w:div>
    <w:div w:id="17002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rvk.gov.lv/lv/revizijas/revizijas/noslegtas-revizijas?area=&amp;type=&amp;municipality=&amp;department=&amp;published=1&amp;search=administrat%C4%ABvais&amp;resor=&amp;start_date=&amp;end_date=" TargetMode="External"/><Relationship Id="rId1" Type="http://schemas.openxmlformats.org/officeDocument/2006/relationships/hyperlink" Target="https://likumi.lv/ta/id/353139-grozijumi-administrativo-teritoriju-un-apdzivoto-vietu-likum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īpatsvars!$G$49:$G$51</c:f>
              <c:strCache>
                <c:ptCount val="3"/>
                <c:pt idx="0">
                  <c:v>15-20%</c:v>
                </c:pt>
                <c:pt idx="1">
                  <c:v>10-15%</c:v>
                </c:pt>
                <c:pt idx="2">
                  <c:v>līdz 10%</c:v>
                </c:pt>
              </c:strCache>
            </c:strRef>
          </c:cat>
          <c:val>
            <c:numRef>
              <c:f>īpatsvars!$H$49:$H$51</c:f>
              <c:numCache>
                <c:formatCode>General</c:formatCode>
                <c:ptCount val="3"/>
                <c:pt idx="0">
                  <c:v>1</c:v>
                </c:pt>
                <c:pt idx="1">
                  <c:v>9</c:v>
                </c:pt>
                <c:pt idx="2">
                  <c:v>33</c:v>
                </c:pt>
              </c:numCache>
            </c:numRef>
          </c:val>
          <c:extLst>
            <c:ext xmlns:c16="http://schemas.microsoft.com/office/drawing/2014/chart" uri="{C3380CC4-5D6E-409C-BE32-E72D297353CC}">
              <c16:uniqueId val="{00000000-8CAD-4D7E-8785-9983C626AE42}"/>
            </c:ext>
          </c:extLst>
        </c:ser>
        <c:dLbls>
          <c:showLegendKey val="0"/>
          <c:showVal val="1"/>
          <c:showCatName val="0"/>
          <c:showSerName val="0"/>
          <c:showPercent val="0"/>
          <c:showBubbleSize val="0"/>
        </c:dLbls>
        <c:gapWidth val="150"/>
        <c:overlap val="-25"/>
        <c:axId val="1884058208"/>
        <c:axId val="1884057248"/>
      </c:barChart>
      <c:catAx>
        <c:axId val="188405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884057248"/>
        <c:crosses val="autoZero"/>
        <c:auto val="1"/>
        <c:lblAlgn val="ctr"/>
        <c:lblOffset val="100"/>
        <c:noMultiLvlLbl val="0"/>
      </c:catAx>
      <c:valAx>
        <c:axId val="1884057248"/>
        <c:scaling>
          <c:orientation val="minMax"/>
        </c:scaling>
        <c:delete val="1"/>
        <c:axPos val="l"/>
        <c:numFmt formatCode="General" sourceLinked="1"/>
        <c:majorTickMark val="none"/>
        <c:minorTickMark val="none"/>
        <c:tickLblPos val="nextTo"/>
        <c:crossAx val="188405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B9CE-7283-486A-B920-14A8F193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14658</Characters>
  <Application>Microsoft Office Word</Application>
  <DocSecurity>4</DocSecurity>
  <Lines>505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Brunava</dc:creator>
  <cp:keywords/>
  <dc:description/>
  <cp:lastModifiedBy>Maija Brunava</cp:lastModifiedBy>
  <cp:revision>2</cp:revision>
  <cp:lastPrinted>2019-04-08T14:19:00Z</cp:lastPrinted>
  <dcterms:created xsi:type="dcterms:W3CDTF">2026-02-16T13:56:00Z</dcterms:created>
  <dcterms:modified xsi:type="dcterms:W3CDTF">2026-02-16T13:56:00Z</dcterms:modified>
</cp:coreProperties>
</file>