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10.xml" ContentType="application/vnd.ms-office.chartcolorstyle+xml"/>
  <Override PartName="/word/charts/chart/colors11.xml" ContentType="application/vnd.ms-office.chartcolorstyle+xml"/>
  <Override PartName="/word/charts/chart/colors12.xml" ContentType="application/vnd.ms-office.chartcolorstyle+xml"/>
  <Override PartName="/word/charts/chart/colors13.xml" ContentType="application/vnd.ms-office.chartcolorstyle+xml"/>
  <Override PartName="/word/charts/chart/colors14.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colors9.xml" ContentType="application/vnd.ms-office.chartcolorstyle+xml"/>
  <Override PartName="/word/charts/chart/style1.xml" ContentType="application/vnd.ms-office.chartstyle+xml"/>
  <Override PartName="/word/charts/chart/style10.xml" ContentType="application/vnd.ms-office.chartstyle+xml"/>
  <Override PartName="/word/charts/chart/style11.xml" ContentType="application/vnd.ms-office.chartstyle+xml"/>
  <Override PartName="/word/charts/chart/style12.xml" ContentType="application/vnd.ms-office.chartstyle+xml"/>
  <Override PartName="/word/charts/chart/style13.xml" ContentType="application/vnd.ms-office.chartstyle+xml"/>
  <Override PartName="/word/charts/chart/style14.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style9.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embeddings/Microsoft_Excel_Worksheet3.xlsx" ContentType="application/vnd.openxmlformats-officedocument.spreadsheetml.sheet"/>
  <Override PartName="/word/embeddings/Microsoft_Excel_Worksheet4.xlsx" ContentType="application/vnd.openxmlformats-officedocument.spreadsheetml.sheet"/>
  <Override PartName="/word/embeddings/Microsoft_Excel_Worksheet5.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sdt>
      <w:sdtPr>
        <w:id w:val="-1086998316"/>
        <w:docPartObj>
          <w:docPartGallery w:val="Cover Pages"/>
          <w:docPartUnique/>
        </w:docPartObj>
      </w:sdtPr>
      <w:sdtEndPr>
        <w:rPr>
          <w:lang w:eastAsia="lv-LV"/>
        </w:rPr>
      </w:sdtEndPr>
      <w:sdtContent>
        <w:p w:rsidR="00FC5FCF" w14:paraId="4AF7440E" w14:textId="3F7DFE8C">
          <w:r>
            <w:rPr>
              <w:noProof/>
            </w:rPr>
            <mc:AlternateContent>
              <mc:Choice Requires="wpg">
                <w:drawing>
                  <wp:anchor distT="0" distB="0" distL="114300" distR="114300" simplePos="0" relativeHeight="251661312" behindDoc="1" locked="0" layoutInCell="1" allowOverlap="1">
                    <wp:simplePos x="0" y="0"/>
                    <wp:positionH relativeFrom="page">
                      <wp:align>center</wp:align>
                    </wp:positionH>
                    <wp:positionV relativeFrom="page">
                      <wp:align>center</wp:align>
                    </wp:positionV>
                    <wp:extent cx="6665653" cy="9718511"/>
                    <wp:effectExtent l="0" t="0" r="2540" b="635"/>
                    <wp:wrapNone/>
                    <wp:docPr id="193" name="Grupa 198"/>
                    <wp:cNvGraphicFramePr/>
                    <a:graphic xmlns:a="http://schemas.openxmlformats.org/drawingml/2006/main">
                      <a:graphicData uri="http://schemas.microsoft.com/office/word/2010/wordprocessingGroup">
                        <wpg:wgp xmlns:wpg="http://schemas.microsoft.com/office/word/2010/wordprocessingGroup">
                          <wpg:cNvGrpSpPr/>
                          <wpg:grpSpPr>
                            <a:xfrm>
                              <a:off x="0" y="0"/>
                              <a:ext cx="6665653" cy="9718511"/>
                              <a:chOff x="0" y="0"/>
                              <a:chExt cx="6864824" cy="9123528"/>
                            </a:xfrm>
                          </wpg:grpSpPr>
                          <wps:wsp xmlns:wps="http://schemas.microsoft.com/office/word/2010/wordprocessingShape">
                            <wps:cNvPr id="194" name="Taisnstūris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 name="Taisnstūris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ors"/>
                                    <w:id w:val="945428907"/>
                                    <w:dataBinding w:prefixMappings="xmlns:ns0='http://purl.org/dc/elements/1.1/' xmlns:ns1='http://schemas.openxmlformats.org/package/2006/metadata/core-properties' " w:xpath="/ns1:coreProperties[1]/ns0:creator[1]" w:storeItemID="{6C3C8BC8-F283-45AE-878A-BAB7291924A1}"/>
                                    <w:text/>
                                  </w:sdtPr>
                                  <w:sdtContent>
                                    <w:p w:rsidR="00FC5FCF" w:rsidP="00387B3E" w14:textId="002D83AF">
                                      <w:pPr>
                                        <w:pStyle w:val="NoSpacing"/>
                                        <w:spacing w:before="120"/>
                                        <w:rPr>
                                          <w:color w:val="FFFFFF" w:themeColor="background1"/>
                                        </w:rPr>
                                      </w:pPr>
                                      <w:r>
                                        <w:rPr>
                                          <w:color w:val="FFFFFF" w:themeColor="background1"/>
                                        </w:rPr>
                                        <w:t>Daiga Naroga</w:t>
                                      </w:r>
                                    </w:p>
                                  </w:sdtContent>
                                </w:sdt>
                                <w:p w:rsidR="00FC5FCF" w:rsidP="00DF2EDA" w14:textId="7635E17E">
                                  <w:pPr>
                                    <w:pStyle w:val="NoSpacing"/>
                                    <w:spacing w:before="120"/>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wps:bodyPr>
                          </wps:wsp>
                          <wps:wsp xmlns:wps="http://schemas.microsoft.com/office/word/2010/wordprocessingShape">
                            <wps:cNvPr id="196" name="Tekstlodziņš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72"/>
                                      <w:szCs w:val="72"/>
                                    </w:rPr>
                                    <w:alias w:val="Virsraksts"/>
                                    <w:id w:val="-9991715"/>
                                    <w:dataBinding w:prefixMappings="xmlns:ns0='http://purl.org/dc/elements/1.1/' xmlns:ns1='http://schemas.openxmlformats.org/package/2006/metadata/core-properties' " w:xpath="/ns1:coreProperties[1]/ns0:title[1]" w:storeItemID="{6C3C8BC8-F283-45AE-878A-BAB7291924A1}"/>
                                    <w:text/>
                                  </w:sdtPr>
                                  <w:sdtContent>
                                    <w:p w:rsidR="00FC5FCF" w14:textId="65A6F9A9">
                                      <w:pPr>
                                        <w:pStyle w:val="NoSpacing"/>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Aizkraukles novada publiskais pārskats</w:t>
                                      </w:r>
                                      <w:r w:rsidR="00387B3E">
                                        <w:rPr>
                                          <w:rFonts w:asciiTheme="majorHAnsi" w:eastAsiaTheme="majorEastAsia" w:hAnsiTheme="majorHAnsi" w:cstheme="majorBidi"/>
                                          <w:caps/>
                                          <w:color w:val="156082" w:themeColor="accent1"/>
                                          <w:sz w:val="72"/>
                                          <w:szCs w:val="72"/>
                                        </w:rPr>
                                        <w:t xml:space="preserve"> 202</w:t>
                                      </w:r>
                                      <w:r w:rsidR="00CA77BE">
                                        <w:rPr>
                                          <w:rFonts w:asciiTheme="majorHAnsi" w:eastAsiaTheme="majorEastAsia" w:hAnsiTheme="majorHAnsi" w:cstheme="majorBidi"/>
                                          <w:caps/>
                                          <w:color w:val="156082" w:themeColor="accent1"/>
                                          <w:sz w:val="72"/>
                                          <w:szCs w:val="72"/>
                                        </w:rPr>
                                        <w:t>5</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wps:bodyPr>
                          </wps:wsp>
                        </wpg:wgp>
                      </a:graphicData>
                    </a:graphic>
                    <wp14:sizeRelH relativeFrom="page">
                      <wp14:pctWidth>88200</wp14:pctWidth>
                    </wp14:sizeRelH>
                    <wp14:sizeRelV relativeFrom="page">
                      <wp14:pctHeight>90900</wp14:pctHeight>
                    </wp14:sizeRelV>
                  </wp:anchor>
                </w:drawing>
              </mc:Choice>
              <mc:Fallback>
                <w:pict>
                  <v:group id="Grupa 198" o:spid="_x0000_s1025" style="width:540.55pt;height:718.4pt;margin-top:0;margin-left:0;mso-height-percent:909;mso-position-horizontal:center;mso-position-horizontal-relative:page;mso-position-vertical:center;mso-position-vertical-relative:page;mso-width-percent:882;position:absolute;z-index:-251654144" coordsize="68648,91235">
                    <v:rect id="Taisnstūris 194" o:spid="_x0000_s1026" style="width:68580;height:13716;mso-wrap-style:square;position:absolute;v-text-anchor:middle;visibility:visible" fillcolor="#156082" stroked="f" strokeweight="1pt"/>
                    <v:rect id="Taisnstūris 195" o:spid="_x0000_s1027" style="width:68580;height:50292;mso-wrap-style:square;position:absolute;top:40943;v-text-anchor:bottom;visibility:visible" fillcolor="#156082" stroked="f" strokeweight="1pt">
                      <v:textbox inset="36pt,57.6pt,36pt,36pt">
                        <w:txbxContent>
                          <w:sdt>
                            <w:sdtPr>
                              <w:rPr>
                                <w:color w:val="FFFFFF" w:themeColor="background1"/>
                              </w:rPr>
                              <w:alias w:val="Autors"/>
                              <w:id w:val="1873836182"/>
                              <w:dataBinding w:prefixMappings="xmlns:ns0='http://purl.org/dc/elements/1.1/' xmlns:ns1='http://schemas.openxmlformats.org/package/2006/metadata/core-properties' " w:xpath="/ns1:coreProperties[1]/ns0:creator[1]" w:storeItemID="{6C3C8BC8-F283-45AE-878A-BAB7291924A1}"/>
                              <w:text/>
                            </w:sdtPr>
                            <w:sdtContent>
                              <w:p w:rsidR="00FC5FCF" w:rsidP="00387B3E" w14:paraId="762A24DA" w14:textId="002D83AF">
                                <w:pPr>
                                  <w:pStyle w:val="NoSpacing"/>
                                  <w:spacing w:before="120"/>
                                  <w:rPr>
                                    <w:color w:val="FFFFFF" w:themeColor="background1"/>
                                  </w:rPr>
                                </w:pPr>
                                <w:r>
                                  <w:rPr>
                                    <w:color w:val="FFFFFF" w:themeColor="background1"/>
                                  </w:rPr>
                                  <w:t>Daiga Naroga</w:t>
                                </w:r>
                              </w:p>
                            </w:sdtContent>
                          </w:sdt>
                          <w:p w:rsidR="00FC5FCF" w:rsidP="00DF2EDA" w14:paraId="49D4A59F" w14:textId="7635E17E">
                            <w:pPr>
                              <w:pStyle w:val="NoSpacing"/>
                              <w:spacing w:before="120"/>
                              <w:rPr>
                                <w:color w:val="FFFFFF" w:themeColor="background1"/>
                              </w:rPr>
                            </w:pPr>
                          </w:p>
                        </w:txbxContent>
                      </v:textbox>
                    </v:rect>
                    <v:shapetype id="_x0000_t202" coordsize="21600,21600" o:spt="202" path="m,l,21600r21600,l21600,xe">
                      <v:stroke joinstyle="miter"/>
                      <v:path gradientshapeok="t" o:connecttype="rect"/>
                    </v:shapetype>
                    <v:shape id="Tekstlodziņš 196" o:spid="_x0000_s1028" type="#_x0000_t202" style="width:68580;height:27227;left:68;mso-wrap-style:square;position:absolute;top:13716;v-text-anchor:middle;visibility:visible" fillcolor="white" stroked="f" strokeweight="0.5pt">
                      <v:textbox inset="36pt,7.2pt,36pt,7.2pt">
                        <w:txbxContent>
                          <w:sdt>
                            <w:sdtPr>
                              <w:rPr>
                                <w:rFonts w:asciiTheme="majorHAnsi" w:eastAsiaTheme="majorEastAsia" w:hAnsiTheme="majorHAnsi" w:cstheme="majorBidi"/>
                                <w:caps/>
                                <w:color w:val="156082" w:themeColor="accent1"/>
                                <w:sz w:val="72"/>
                                <w:szCs w:val="72"/>
                              </w:rPr>
                              <w:alias w:val="Virsraksts"/>
                              <w:id w:val="1235500844"/>
                              <w:dataBinding w:prefixMappings="xmlns:ns0='http://purl.org/dc/elements/1.1/' xmlns:ns1='http://schemas.openxmlformats.org/package/2006/metadata/core-properties' " w:xpath="/ns1:coreProperties[1]/ns0:title[1]" w:storeItemID="{6C3C8BC8-F283-45AE-878A-BAB7291924A1}"/>
                              <w:text/>
                            </w:sdtPr>
                            <w:sdtContent>
                              <w:p w:rsidR="00FC5FCF" w14:paraId="7BABB770" w14:textId="65A6F9A9">
                                <w:pPr>
                                  <w:pStyle w:val="NoSpacing"/>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Aizkraukles novada publiskais pārskats</w:t>
                                </w:r>
                                <w:r w:rsidR="00387B3E">
                                  <w:rPr>
                                    <w:rFonts w:asciiTheme="majorHAnsi" w:eastAsiaTheme="majorEastAsia" w:hAnsiTheme="majorHAnsi" w:cstheme="majorBidi"/>
                                    <w:caps/>
                                    <w:color w:val="156082" w:themeColor="accent1"/>
                                    <w:sz w:val="72"/>
                                    <w:szCs w:val="72"/>
                                  </w:rPr>
                                  <w:t xml:space="preserve"> 202</w:t>
                                </w:r>
                                <w:r w:rsidR="00CA77BE">
                                  <w:rPr>
                                    <w:rFonts w:asciiTheme="majorHAnsi" w:eastAsiaTheme="majorEastAsia" w:hAnsiTheme="majorHAnsi" w:cstheme="majorBidi"/>
                                    <w:caps/>
                                    <w:color w:val="156082" w:themeColor="accent1"/>
                                    <w:sz w:val="72"/>
                                    <w:szCs w:val="72"/>
                                  </w:rPr>
                                  <w:t>5</w:t>
                                </w:r>
                              </w:p>
                            </w:sdtContent>
                          </w:sdt>
                        </w:txbxContent>
                      </v:textbox>
                    </v:shape>
                  </v:group>
                </w:pict>
              </mc:Fallback>
            </mc:AlternateContent>
          </w:r>
        </w:p>
        <w:p w:rsidR="00FC5FCF" w14:paraId="62F74657" w14:textId="27BAACA5">
          <w:pPr>
            <w:rPr>
              <w:lang w:eastAsia="lv-LV"/>
            </w:rPr>
          </w:pPr>
          <w:r>
            <w:rPr>
              <w:lang w:eastAsia="lv-LV"/>
            </w:rPr>
            <w:br w:type="page"/>
          </w:r>
        </w:p>
      </w:sdtContent>
    </w:sdt>
    <w:p w:rsidR="001D1256" w14:paraId="3B8EC958" w14:textId="77777777">
      <w:pPr>
        <w:rPr>
          <w:lang w:eastAsia="lv-LV"/>
        </w:rPr>
      </w:pPr>
    </w:p>
    <w:sdt>
      <w:sdtPr>
        <w:rPr>
          <w:b w:val="0"/>
          <w:kern w:val="2"/>
          <w:sz w:val="24"/>
          <w:szCs w:val="24"/>
          <w:lang w:eastAsia="en-US"/>
          <w14:ligatures w14:val="standardContextual"/>
        </w:rPr>
        <w:id w:val="1315066776"/>
        <w:docPartObj>
          <w:docPartGallery w:val="Table of Contents"/>
          <w:docPartUnique/>
        </w:docPartObj>
      </w:sdtPr>
      <w:sdtEndPr>
        <w:rPr>
          <w:b/>
          <w:bCs/>
        </w:rPr>
      </w:sdtEndPr>
      <w:sdtContent>
        <w:p w:rsidR="00FA09A7" w14:paraId="74FFF01A" w14:textId="77777777">
          <w:pPr>
            <w:pStyle w:val="TOCHeading"/>
            <w:jc w:val="center"/>
          </w:pPr>
          <w:r>
            <w:rPr>
              <w:bCs/>
            </w:rPr>
            <w:t>SATURS</w:t>
          </w:r>
        </w:p>
        <w:p w:rsidR="00392E97" w:rsidRPr="007F15EB" w:rsidP="00392E97" w14:paraId="51BC967A" w14:textId="19AAFB33">
          <w:pPr>
            <w:rPr>
              <w:lang w:eastAsia="lv-LV"/>
            </w:rPr>
          </w:pPr>
        </w:p>
        <w:p w:rsidR="000844E5" w:rsidP="000844E5" w14:paraId="0E1CE18C" w14:textId="11CE8632">
          <w:pPr>
            <w:pStyle w:val="TOC2"/>
            <w:tabs>
              <w:tab w:val="right" w:leader="dot" w:pos="9628"/>
            </w:tabs>
            <w:ind w:left="0"/>
            <w:rPr>
              <w:noProof/>
              <w:lang w:eastAsia="lv-LV"/>
            </w:rPr>
          </w:pPr>
          <w:r>
            <w:fldChar w:fldCharType="begin"/>
          </w:r>
          <w:r>
            <w:instrText xml:space="preserve"> TOC \o "1-3" \h \z \u </w:instrText>
          </w:r>
          <w:r>
            <w:fldChar w:fldCharType="separate"/>
          </w:r>
          <w:hyperlink w:anchor="_Toc201145435" w:history="1">
            <w:r>
              <w:rPr>
                <w:rStyle w:val="Hyperlink"/>
                <w:noProof/>
              </w:rPr>
              <w:t>DOMES PRIEKŠSĒDĒTĀJA UZRUNA</w:t>
            </w:r>
            <w:r>
              <w:rPr>
                <w:noProof/>
                <w:webHidden/>
              </w:rPr>
              <w:tab/>
            </w:r>
            <w:r>
              <w:rPr>
                <w:noProof/>
                <w:webHidden/>
              </w:rPr>
              <w:fldChar w:fldCharType="begin"/>
            </w:r>
            <w:r>
              <w:rPr>
                <w:noProof/>
                <w:webHidden/>
              </w:rPr>
              <w:instrText xml:space="preserve"> PAGEREF _Toc201145435 \h </w:instrText>
            </w:r>
            <w:r>
              <w:rPr>
                <w:noProof/>
                <w:webHidden/>
              </w:rPr>
              <w:fldChar w:fldCharType="separate"/>
            </w:r>
            <w:r>
              <w:rPr>
                <w:noProof/>
                <w:webHidden/>
              </w:rPr>
              <w:t>3</w:t>
            </w:r>
            <w:r>
              <w:rPr>
                <w:noProof/>
                <w:webHidden/>
              </w:rPr>
              <w:fldChar w:fldCharType="end"/>
            </w:r>
          </w:hyperlink>
        </w:p>
        <w:p w:rsidR="000844E5" w:rsidP="000844E5" w14:paraId="050573BB" w14:textId="600CDA48">
          <w:pPr>
            <w:pStyle w:val="TOC2"/>
            <w:tabs>
              <w:tab w:val="right" w:leader="dot" w:pos="9628"/>
            </w:tabs>
            <w:ind w:left="0"/>
            <w:rPr>
              <w:noProof/>
              <w:lang w:eastAsia="lv-LV"/>
            </w:rPr>
          </w:pPr>
          <w:hyperlink w:anchor="_Toc201145436" w:history="1">
            <w:r>
              <w:rPr>
                <w:rStyle w:val="Hyperlink"/>
                <w:noProof/>
              </w:rPr>
              <w:t>AIZKRAUKLES NOVADA VISPĀRĒJS RAKSTUROJUMS</w:t>
            </w:r>
            <w:r>
              <w:rPr>
                <w:noProof/>
                <w:webHidden/>
              </w:rPr>
              <w:tab/>
            </w:r>
            <w:r>
              <w:rPr>
                <w:noProof/>
                <w:webHidden/>
              </w:rPr>
              <w:fldChar w:fldCharType="begin"/>
            </w:r>
            <w:r>
              <w:rPr>
                <w:noProof/>
                <w:webHidden/>
              </w:rPr>
              <w:instrText xml:space="preserve"> PAGEREF _Toc201145436 \h </w:instrText>
            </w:r>
            <w:r>
              <w:rPr>
                <w:noProof/>
                <w:webHidden/>
              </w:rPr>
              <w:fldChar w:fldCharType="separate"/>
            </w:r>
            <w:r>
              <w:rPr>
                <w:noProof/>
                <w:webHidden/>
              </w:rPr>
              <w:t>4</w:t>
            </w:r>
            <w:r>
              <w:rPr>
                <w:noProof/>
                <w:webHidden/>
              </w:rPr>
              <w:fldChar w:fldCharType="end"/>
            </w:r>
          </w:hyperlink>
        </w:p>
        <w:p w:rsidR="000844E5" w:rsidRPr="000844E5" w:rsidP="000844E5" w14:paraId="3D35856E" w14:textId="499D6671">
          <w:pPr>
            <w:pStyle w:val="TOC2"/>
            <w:tabs>
              <w:tab w:val="left" w:pos="720"/>
              <w:tab w:val="right" w:leader="dot" w:pos="9628"/>
            </w:tabs>
            <w:ind w:left="0"/>
            <w:rPr>
              <w:noProof/>
              <w:lang w:eastAsia="lv-LV"/>
            </w:rPr>
          </w:pPr>
          <w:hyperlink w:anchor="_Toc201145437" w:history="1">
            <w:r>
              <w:rPr>
                <w:rStyle w:val="Hyperlink"/>
                <w:noProof/>
              </w:rPr>
              <w:t>IEDZĪVOTĀJI</w:t>
            </w:r>
            <w:r>
              <w:rPr>
                <w:noProof/>
                <w:webHidden/>
              </w:rPr>
              <w:tab/>
            </w:r>
            <w:r>
              <w:rPr>
                <w:noProof/>
                <w:webHidden/>
              </w:rPr>
              <w:fldChar w:fldCharType="begin"/>
            </w:r>
            <w:r>
              <w:rPr>
                <w:noProof/>
                <w:webHidden/>
              </w:rPr>
              <w:instrText xml:space="preserve"> PAGEREF _Toc201145437 \h </w:instrText>
            </w:r>
            <w:r>
              <w:rPr>
                <w:noProof/>
                <w:webHidden/>
              </w:rPr>
              <w:fldChar w:fldCharType="separate"/>
            </w:r>
            <w:r>
              <w:rPr>
                <w:noProof/>
                <w:webHidden/>
              </w:rPr>
              <w:t>6</w:t>
            </w:r>
            <w:r>
              <w:rPr>
                <w:noProof/>
                <w:webHidden/>
              </w:rPr>
              <w:fldChar w:fldCharType="end"/>
            </w:r>
          </w:hyperlink>
        </w:p>
        <w:p w:rsidR="000844E5" w:rsidRPr="000844E5" w:rsidP="000844E5" w14:paraId="494CA527" w14:textId="59C61FB7">
          <w:pPr>
            <w:pStyle w:val="TOC2"/>
            <w:tabs>
              <w:tab w:val="left" w:pos="720"/>
              <w:tab w:val="right" w:leader="dot" w:pos="9628"/>
            </w:tabs>
            <w:ind w:left="0"/>
            <w:rPr>
              <w:noProof/>
              <w:lang w:eastAsia="lv-LV"/>
            </w:rPr>
          </w:pPr>
          <w:hyperlink w:anchor="_Toc201145438" w:history="1">
            <w:r>
              <w:rPr>
                <w:rStyle w:val="Hyperlink"/>
                <w:noProof/>
              </w:rPr>
              <w:t>UZŅĒMĒJDARBĪBA</w:t>
            </w:r>
            <w:r>
              <w:rPr>
                <w:noProof/>
                <w:webHidden/>
              </w:rPr>
              <w:tab/>
            </w:r>
            <w:r>
              <w:rPr>
                <w:noProof/>
                <w:webHidden/>
              </w:rPr>
              <w:fldChar w:fldCharType="begin"/>
            </w:r>
            <w:r>
              <w:rPr>
                <w:noProof/>
                <w:webHidden/>
              </w:rPr>
              <w:instrText xml:space="preserve"> PAGEREF _Toc201145438 \h </w:instrText>
            </w:r>
            <w:r>
              <w:rPr>
                <w:noProof/>
                <w:webHidden/>
              </w:rPr>
              <w:fldChar w:fldCharType="separate"/>
            </w:r>
            <w:r>
              <w:rPr>
                <w:noProof/>
                <w:webHidden/>
              </w:rPr>
              <w:t>8</w:t>
            </w:r>
            <w:r>
              <w:rPr>
                <w:noProof/>
                <w:webHidden/>
              </w:rPr>
              <w:fldChar w:fldCharType="end"/>
            </w:r>
          </w:hyperlink>
        </w:p>
        <w:p w:rsidR="000844E5" w:rsidP="000844E5" w14:paraId="1C689AFE" w14:textId="1879158F">
          <w:pPr>
            <w:pStyle w:val="TOC2"/>
            <w:tabs>
              <w:tab w:val="right" w:leader="dot" w:pos="9628"/>
            </w:tabs>
            <w:ind w:left="0"/>
            <w:rPr>
              <w:noProof/>
              <w:lang w:eastAsia="lv-LV"/>
            </w:rPr>
          </w:pPr>
          <w:hyperlink w:anchor="_Toc201145439" w:history="1">
            <w:r>
              <w:rPr>
                <w:rStyle w:val="Hyperlink"/>
                <w:noProof/>
              </w:rPr>
              <w:t>PAŠVALDĪBAS PĀRVALDĪBA</w:t>
            </w:r>
            <w:r>
              <w:rPr>
                <w:noProof/>
                <w:webHidden/>
              </w:rPr>
              <w:tab/>
            </w:r>
            <w:r>
              <w:rPr>
                <w:noProof/>
                <w:webHidden/>
              </w:rPr>
              <w:fldChar w:fldCharType="begin"/>
            </w:r>
            <w:r>
              <w:rPr>
                <w:noProof/>
                <w:webHidden/>
              </w:rPr>
              <w:instrText xml:space="preserve"> PAGEREF _Toc201145439 \h </w:instrText>
            </w:r>
            <w:r>
              <w:rPr>
                <w:noProof/>
                <w:webHidden/>
              </w:rPr>
              <w:fldChar w:fldCharType="separate"/>
            </w:r>
            <w:r>
              <w:rPr>
                <w:noProof/>
                <w:webHidden/>
              </w:rPr>
              <w:t>15</w:t>
            </w:r>
            <w:r>
              <w:rPr>
                <w:noProof/>
                <w:webHidden/>
              </w:rPr>
              <w:fldChar w:fldCharType="end"/>
            </w:r>
          </w:hyperlink>
        </w:p>
        <w:p w:rsidR="000844E5" w:rsidP="000844E5" w14:paraId="740EC33C" w14:textId="4D212B19">
          <w:pPr>
            <w:pStyle w:val="TOC2"/>
            <w:tabs>
              <w:tab w:val="right" w:leader="dot" w:pos="9628"/>
            </w:tabs>
            <w:ind w:left="0"/>
            <w:rPr>
              <w:noProof/>
              <w:lang w:eastAsia="lv-LV"/>
            </w:rPr>
          </w:pPr>
          <w:hyperlink w:anchor="_Toc201145440" w:history="1">
            <w:r>
              <w:rPr>
                <w:rStyle w:val="Hyperlink"/>
                <w:noProof/>
              </w:rPr>
              <w:t>PAŠVALDĪBAS JURIDISKAIS STATUSS, ORGANIZĀCIJA UN FUNKCIJAS</w:t>
            </w:r>
            <w:r>
              <w:rPr>
                <w:noProof/>
                <w:webHidden/>
              </w:rPr>
              <w:tab/>
            </w:r>
            <w:r>
              <w:rPr>
                <w:noProof/>
                <w:webHidden/>
              </w:rPr>
              <w:fldChar w:fldCharType="begin"/>
            </w:r>
            <w:r>
              <w:rPr>
                <w:noProof/>
                <w:webHidden/>
              </w:rPr>
              <w:instrText xml:space="preserve"> PAGEREF _Toc201145440 \h </w:instrText>
            </w:r>
            <w:r>
              <w:rPr>
                <w:noProof/>
                <w:webHidden/>
              </w:rPr>
              <w:fldChar w:fldCharType="separate"/>
            </w:r>
            <w:r>
              <w:rPr>
                <w:noProof/>
                <w:webHidden/>
              </w:rPr>
              <w:t>19</w:t>
            </w:r>
            <w:r>
              <w:rPr>
                <w:noProof/>
                <w:webHidden/>
              </w:rPr>
              <w:fldChar w:fldCharType="end"/>
            </w:r>
          </w:hyperlink>
        </w:p>
        <w:p w:rsidR="000844E5" w14:paraId="7564C124" w14:textId="08772010">
          <w:pPr>
            <w:pStyle w:val="TOC1"/>
            <w:rPr>
              <w:lang w:eastAsia="lv-LV"/>
            </w:rPr>
          </w:pPr>
          <w:hyperlink w:anchor="_Toc201145441" w:history="1">
            <w:r>
              <w:rPr>
                <w:rStyle w:val="Hyperlink"/>
              </w:rPr>
              <w:t>PAMATBUDŽETA FINANSĒJUMS UN TĀ IZLIETOJUMS</w:t>
            </w:r>
            <w:r>
              <w:rPr>
                <w:webHidden/>
              </w:rPr>
              <w:tab/>
            </w:r>
            <w:r>
              <w:rPr>
                <w:webHidden/>
              </w:rPr>
              <w:fldChar w:fldCharType="begin"/>
            </w:r>
            <w:r>
              <w:rPr>
                <w:webHidden/>
              </w:rPr>
              <w:instrText xml:space="preserve"> PAGEREF _Toc201145441 \h </w:instrText>
            </w:r>
            <w:r>
              <w:rPr>
                <w:webHidden/>
              </w:rPr>
              <w:fldChar w:fldCharType="separate"/>
            </w:r>
            <w:r>
              <w:rPr>
                <w:webHidden/>
              </w:rPr>
              <w:t>35</w:t>
            </w:r>
            <w:r>
              <w:rPr>
                <w:webHidden/>
              </w:rPr>
              <w:fldChar w:fldCharType="end"/>
            </w:r>
          </w:hyperlink>
        </w:p>
        <w:p w:rsidR="000844E5" w14:paraId="35527518" w14:textId="27B6C36F">
          <w:pPr>
            <w:pStyle w:val="TOC1"/>
            <w:rPr>
              <w:lang w:eastAsia="lv-LV"/>
            </w:rPr>
          </w:pPr>
          <w:hyperlink w:anchor="_Toc201145442" w:history="1">
            <w:r>
              <w:rPr>
                <w:rStyle w:val="Hyperlink"/>
                <w:rFonts w:eastAsia="Calibri"/>
              </w:rPr>
              <w:t>SAŅEMTIE ZIEDOJUMI UN DĀVINĀJUMI</w:t>
            </w:r>
            <w:r>
              <w:rPr>
                <w:webHidden/>
              </w:rPr>
              <w:tab/>
            </w:r>
            <w:r>
              <w:rPr>
                <w:webHidden/>
              </w:rPr>
              <w:fldChar w:fldCharType="begin"/>
            </w:r>
            <w:r>
              <w:rPr>
                <w:webHidden/>
              </w:rPr>
              <w:instrText xml:space="preserve"> PAGEREF _Toc201145442 \h </w:instrText>
            </w:r>
            <w:r>
              <w:rPr>
                <w:webHidden/>
              </w:rPr>
              <w:fldChar w:fldCharType="separate"/>
            </w:r>
            <w:r>
              <w:rPr>
                <w:webHidden/>
              </w:rPr>
              <w:t>37</w:t>
            </w:r>
            <w:r>
              <w:rPr>
                <w:webHidden/>
              </w:rPr>
              <w:fldChar w:fldCharType="end"/>
            </w:r>
          </w:hyperlink>
        </w:p>
        <w:p w:rsidR="000844E5" w14:paraId="3762ECAA" w14:textId="6A90F301">
          <w:pPr>
            <w:pStyle w:val="TOC1"/>
            <w:rPr>
              <w:lang w:eastAsia="lv-LV"/>
            </w:rPr>
          </w:pPr>
          <w:hyperlink w:anchor="_Toc201145443" w:history="1">
            <w:r>
              <w:rPr>
                <w:rStyle w:val="Hyperlink"/>
                <w:rFonts w:eastAsia="Calibri"/>
                <w:shd w:val="clear" w:color="auto" w:fill="FFFFFF"/>
              </w:rPr>
              <w:t>SAISTĪBU UN GARANTIJU APJOMI</w:t>
            </w:r>
            <w:r>
              <w:rPr>
                <w:webHidden/>
              </w:rPr>
              <w:tab/>
            </w:r>
            <w:r>
              <w:rPr>
                <w:webHidden/>
              </w:rPr>
              <w:fldChar w:fldCharType="begin"/>
            </w:r>
            <w:r>
              <w:rPr>
                <w:webHidden/>
              </w:rPr>
              <w:instrText xml:space="preserve"> PAGEREF _Toc201145443 \h </w:instrText>
            </w:r>
            <w:r>
              <w:rPr>
                <w:webHidden/>
              </w:rPr>
              <w:fldChar w:fldCharType="separate"/>
            </w:r>
            <w:r>
              <w:rPr>
                <w:webHidden/>
              </w:rPr>
              <w:t>37</w:t>
            </w:r>
            <w:r>
              <w:rPr>
                <w:webHidden/>
              </w:rPr>
              <w:fldChar w:fldCharType="end"/>
            </w:r>
          </w:hyperlink>
        </w:p>
        <w:p w:rsidR="000844E5" w14:paraId="691E1284" w14:textId="5987A19D">
          <w:pPr>
            <w:pStyle w:val="TOC1"/>
            <w:rPr>
              <w:lang w:eastAsia="lv-LV"/>
            </w:rPr>
          </w:pPr>
          <w:hyperlink w:anchor="_Toc201145444" w:history="1">
            <w:r>
              <w:rPr>
                <w:rStyle w:val="Hyperlink"/>
                <w:lang w:eastAsia="lv-LV"/>
              </w:rPr>
              <w:t>NEKUSTAMĀ ĪPAŠUMA NOVĒRTĒJUMS DIVOS IEPRIEKŠĒJOS GADOS, EURO</w:t>
            </w:r>
            <w:r>
              <w:rPr>
                <w:webHidden/>
              </w:rPr>
              <w:tab/>
            </w:r>
            <w:r>
              <w:rPr>
                <w:webHidden/>
              </w:rPr>
              <w:fldChar w:fldCharType="begin"/>
            </w:r>
            <w:r>
              <w:rPr>
                <w:webHidden/>
              </w:rPr>
              <w:instrText xml:space="preserve"> PAGEREF _Toc201145444 \h </w:instrText>
            </w:r>
            <w:r>
              <w:rPr>
                <w:webHidden/>
              </w:rPr>
              <w:fldChar w:fldCharType="separate"/>
            </w:r>
            <w:r>
              <w:rPr>
                <w:webHidden/>
              </w:rPr>
              <w:t>38</w:t>
            </w:r>
            <w:r>
              <w:rPr>
                <w:webHidden/>
              </w:rPr>
              <w:fldChar w:fldCharType="end"/>
            </w:r>
          </w:hyperlink>
        </w:p>
        <w:p w:rsidR="000844E5" w14:paraId="41B94D36" w14:textId="6A44A8F1">
          <w:pPr>
            <w:pStyle w:val="TOC1"/>
            <w:rPr>
              <w:lang w:eastAsia="lv-LV"/>
            </w:rPr>
          </w:pPr>
          <w:hyperlink w:anchor="_Toc201145445" w:history="1">
            <w:r>
              <w:rPr>
                <w:rStyle w:val="Hyperlink"/>
                <w:lang w:eastAsia="lv-LV"/>
              </w:rPr>
              <w:t>KAPITĀLA VĒRTĪBA UN TĀ IZMAIŅAS</w:t>
            </w:r>
            <w:r>
              <w:rPr>
                <w:webHidden/>
              </w:rPr>
              <w:tab/>
            </w:r>
            <w:r>
              <w:rPr>
                <w:webHidden/>
              </w:rPr>
              <w:fldChar w:fldCharType="begin"/>
            </w:r>
            <w:r>
              <w:rPr>
                <w:webHidden/>
              </w:rPr>
              <w:instrText xml:space="preserve"> PAGEREF _Toc201145445 \h </w:instrText>
            </w:r>
            <w:r>
              <w:rPr>
                <w:webHidden/>
              </w:rPr>
              <w:fldChar w:fldCharType="separate"/>
            </w:r>
            <w:r>
              <w:rPr>
                <w:webHidden/>
              </w:rPr>
              <w:t>39</w:t>
            </w:r>
            <w:r>
              <w:rPr>
                <w:webHidden/>
              </w:rPr>
              <w:fldChar w:fldCharType="end"/>
            </w:r>
          </w:hyperlink>
        </w:p>
        <w:p w:rsidR="000844E5" w14:paraId="7CD3E2BC" w14:textId="3ADB15D8">
          <w:pPr>
            <w:pStyle w:val="TOC1"/>
            <w:rPr>
              <w:lang w:eastAsia="lv-LV"/>
            </w:rPr>
          </w:pPr>
          <w:hyperlink w:anchor="_Toc201145446" w:history="1">
            <w:r>
              <w:rPr>
                <w:rStyle w:val="Hyperlink"/>
              </w:rPr>
              <w:t>REVIDENTA ATZINUMS PAR PAŠVALDĪBAS SAIMNIECISKO DARBĪBU UN GADA PĀRSKATU</w:t>
            </w:r>
            <w:r>
              <w:rPr>
                <w:webHidden/>
              </w:rPr>
              <w:tab/>
            </w:r>
            <w:r>
              <w:rPr>
                <w:webHidden/>
              </w:rPr>
              <w:fldChar w:fldCharType="begin"/>
            </w:r>
            <w:r>
              <w:rPr>
                <w:webHidden/>
              </w:rPr>
              <w:instrText xml:space="preserve"> PAGEREF _Toc201145446 \h </w:instrText>
            </w:r>
            <w:r>
              <w:rPr>
                <w:webHidden/>
              </w:rPr>
              <w:fldChar w:fldCharType="separate"/>
            </w:r>
            <w:r>
              <w:rPr>
                <w:webHidden/>
              </w:rPr>
              <w:t>40</w:t>
            </w:r>
            <w:r>
              <w:rPr>
                <w:webHidden/>
              </w:rPr>
              <w:fldChar w:fldCharType="end"/>
            </w:r>
          </w:hyperlink>
        </w:p>
        <w:p w:rsidR="000844E5" w14:paraId="67AE497F" w14:textId="4D132322">
          <w:pPr>
            <w:pStyle w:val="TOC1"/>
            <w:rPr>
              <w:lang w:eastAsia="lv-LV"/>
            </w:rPr>
          </w:pPr>
          <w:hyperlink w:anchor="_Toc201145447" w:history="1">
            <w:r>
              <w:rPr>
                <w:rStyle w:val="Hyperlink"/>
              </w:rPr>
              <w:t>DOMES LĒMUMS PAR IEPRIEKŠĒJĀ SAIMNIECISKĀ GADA PĀRSKATU</w:t>
            </w:r>
            <w:r>
              <w:rPr>
                <w:webHidden/>
              </w:rPr>
              <w:tab/>
            </w:r>
            <w:r>
              <w:rPr>
                <w:webHidden/>
              </w:rPr>
              <w:fldChar w:fldCharType="begin"/>
            </w:r>
            <w:r>
              <w:rPr>
                <w:webHidden/>
              </w:rPr>
              <w:instrText xml:space="preserve"> PAGEREF _Toc201145447 \h </w:instrText>
            </w:r>
            <w:r>
              <w:rPr>
                <w:webHidden/>
              </w:rPr>
              <w:fldChar w:fldCharType="separate"/>
            </w:r>
            <w:r>
              <w:rPr>
                <w:webHidden/>
              </w:rPr>
              <w:t>40</w:t>
            </w:r>
            <w:r>
              <w:rPr>
                <w:webHidden/>
              </w:rPr>
              <w:fldChar w:fldCharType="end"/>
            </w:r>
          </w:hyperlink>
        </w:p>
        <w:p w:rsidR="00392E97" w:rsidRPr="007F15EB" w14:paraId="0865B510" w14:textId="24466913">
          <w:r>
            <w:rPr>
              <w:b/>
              <w:bCs/>
            </w:rPr>
            <w:fldChar w:fldCharType="end"/>
          </w:r>
        </w:p>
      </w:sdtContent>
    </w:sdt>
    <w:p w:rsidR="00392E97" w:rsidRPr="007F15EB" w14:paraId="0BBCE91D" w14:textId="3A327968">
      <w:r>
        <w:br w:type="page"/>
      </w:r>
    </w:p>
    <w:p w:rsidR="00FA09A7" w:rsidRPr="00F7000B" w:rsidP="00FA09A7" w14:paraId="49925D13" w14:textId="77777777">
      <w:pPr>
        <w:pStyle w:val="Heading2"/>
        <w:jc w:val="center"/>
        <w:rPr>
          <w:sz w:val="28"/>
          <w:szCs w:val="28"/>
          <w:lang w:eastAsia="lv-LV"/>
        </w:rPr>
      </w:pPr>
      <w:r w:rsidRPr="00F7000B">
        <w:rPr>
          <w:sz w:val="28"/>
          <w:szCs w:val="28"/>
        </w:rPr>
        <w:t>DOMES PRIEKŠSĒDĒTĀJA UZRUNA</w:t>
      </w:r>
    </w:p>
    <w:p w:rsidR="00FC5FCF" w:rsidRPr="00FC5FCF" w:rsidP="00DF2EDA" w14:paraId="4E752A2E" w14:textId="74143237">
      <w:pPr>
        <w:spacing w:after="0" w:line="240" w:lineRule="auto"/>
        <w:ind w:firstLine="567"/>
        <w:jc w:val="both"/>
      </w:pPr>
      <w:r>
        <w:t>2025. </w:t>
      </w:r>
      <w:r w:rsidRPr="00FC5FCF">
        <w:t>gads Latvijā un Aizkraukles novadā ir bijis pārmaiņu un nostiprināšanās gads, kurā paralēli izaicinājumiem skaidri iezīmējās arī attīstības virzieni un jaunas iespējas nākotnei. Drošības jautājumi, politiskās un ekonomiskās norises turpināja ietekmēt pašvaldību darbu, vienlaikus apliecinot sabiedrības un institūciju spēju pielāgoties un attīstīties.</w:t>
      </w:r>
    </w:p>
    <w:p w:rsidR="00FC5FCF" w:rsidRPr="00FC5FCF" w:rsidP="00DF2EDA" w14:paraId="7FE00E7C" w14:textId="77777777">
      <w:pPr>
        <w:spacing w:after="0" w:line="240" w:lineRule="auto"/>
        <w:ind w:firstLine="567"/>
        <w:jc w:val="both"/>
      </w:pPr>
      <w:r w:rsidRPr="00FC5FCF">
        <w:t>Aizvadītajā gadā Latvijā īpaši aktuāli bija valsts drošības un politiskās stabilitātes jautājumi. Norisinājās pašvaldību vēlēšanas, notika aktīvas politiskās diskusijas, bet vienlaikus turpinājās darbs pie ekonomikas attīstības un investīciju piesaistes. Ekonomikas izaugsme, lai arī mērena, tomēr demonstrēja atkopšanos pēc iepriekšējo gadu svārstībām un radīja pamatu turpmākai attīstībai.</w:t>
      </w:r>
    </w:p>
    <w:p w:rsidR="00FC5FCF" w:rsidRPr="00FC5FCF" w:rsidP="00DF2EDA" w14:paraId="51989AD7" w14:textId="77777777">
      <w:pPr>
        <w:spacing w:after="0" w:line="240" w:lineRule="auto"/>
        <w:ind w:firstLine="567"/>
        <w:jc w:val="both"/>
      </w:pPr>
      <w:r w:rsidRPr="00FC5FCF">
        <w:t>Aizkraukles novadā 2025. gadā turpinājās mērķtiecīgs darbs pie teritorijas attīstības, īstenojot stratēģiski nozīmīgus projektus infrastruktūrā, izglītībā, sociālajā jomā un vides ilgtspējā. Tika piesaistīts Eiropas Savienības un citu finanšu instrumentu finansējums, kas ļāva uzlabot publisko infrastruktūru, sakārtot apkārtējo vidi un paaugstināt pakalpojumu kvalitāti iedzīvotājiem.</w:t>
      </w:r>
    </w:p>
    <w:p w:rsidR="00FC5FCF" w:rsidRPr="00FC5FCF" w:rsidP="00DF2EDA" w14:paraId="6679043E" w14:textId="77777777">
      <w:pPr>
        <w:spacing w:after="0" w:line="240" w:lineRule="auto"/>
        <w:ind w:firstLine="567"/>
        <w:jc w:val="both"/>
      </w:pPr>
      <w:r w:rsidRPr="00FC5FCF">
        <w:t>Īpaša uzmanība tika pievērsta iedzīvotāju labklājībai un līdzdalībai. Līdzdalības budžeta projektos iedzīvotāji aktīvi iesaistījās, rosinot un realizējot iniciatīvas, kas uzlabo dzīves vidi – no rotaļu un sporta laukumiem līdz sabiedriskās ārtelpas attīstībai. Tas apliecina, ka novada attīstība balstās ciešā sadarbībā ar iedzīvotājiem.</w:t>
      </w:r>
    </w:p>
    <w:p w:rsidR="00FC5FCF" w:rsidRPr="00FC5FCF" w:rsidP="00DF2EDA" w14:paraId="4BA4AC11" w14:textId="77777777">
      <w:pPr>
        <w:spacing w:after="0" w:line="240" w:lineRule="auto"/>
        <w:ind w:firstLine="567"/>
        <w:jc w:val="both"/>
      </w:pPr>
      <w:r w:rsidRPr="00FC5FCF">
        <w:t>Būtiski darbi veikti arī drošības un civilās aizsardzības jomā. Pašvaldība attīstīja patvertņu infrastruktūru, pilnveidoja sadarbību ar atbildīgajām institūcijām un stiprināja gatavību rīkoties krīzes situācijās, rūpējoties par iedzīvotāju drošību.</w:t>
      </w:r>
    </w:p>
    <w:p w:rsidR="00FC5FCF" w:rsidRPr="00FC5FCF" w:rsidP="00DF2EDA" w14:paraId="0769F773" w14:textId="50A3D09A">
      <w:pPr>
        <w:spacing w:after="0" w:line="240" w:lineRule="auto"/>
        <w:ind w:firstLine="567"/>
        <w:jc w:val="both"/>
      </w:pPr>
      <w:r>
        <w:t>2025. </w:t>
      </w:r>
      <w:r w:rsidRPr="00FC5FCF">
        <w:t>gads bijis bagāts kultūras un sabiedriskās dzīves norisēm. Visā novadā aizvadīti daudzi pasākumi, kas stiprināja kopienu, veicināja lokālpatriotismu un radīja iespējas iedzīvotājiem aktīvi iesaistīties sabiedriskajā dzīvē. Kultūras pasākumu daudzveidība un apmeklētība apliecina, ka novads ir dzīvotspējīgs un radošs.</w:t>
      </w:r>
    </w:p>
    <w:p w:rsidR="00FC5FCF" w:rsidRPr="00FC5FCF" w:rsidP="00DF2EDA" w14:paraId="0746A024" w14:textId="77777777">
      <w:pPr>
        <w:spacing w:after="0" w:line="240" w:lineRule="auto"/>
        <w:ind w:firstLine="567"/>
        <w:jc w:val="both"/>
      </w:pPr>
      <w:r w:rsidRPr="00FC5FCF">
        <w:t>Turpinājās darbs pie novada attīstības plānošanas dokumentiem, nodrošinot iedzīvotāju iesaisti un viedokļu uzklausīšanu. Sabiedrības līdzdalība kļūst par arvien nozīmīgāku elementu lēmumu pieņemšanā, stiprinot uzticēšanos pašvaldībai un veidojot kopīgu izpratni par novada nākotni.</w:t>
      </w:r>
    </w:p>
    <w:p w:rsidR="00FC5FCF" w:rsidRPr="00FC5FCF" w:rsidP="00DF2EDA" w14:paraId="3B7A42BF" w14:textId="77777777">
      <w:pPr>
        <w:spacing w:after="0" w:line="240" w:lineRule="auto"/>
        <w:ind w:firstLine="567"/>
        <w:jc w:val="both"/>
      </w:pPr>
      <w:r w:rsidRPr="00FC5FCF">
        <w:t>Atskatoties uz 2025. gadu, varam secināt – tas ir bijis gads, kurā esam spējuši ne tikai pārvarēt izaicinājumus, bet arī mērķtiecīgi virzīties uz priekšu. Mūsu sasniegumi ir kopīga darba rezultāts – pašvaldības, iedzīvotāju, uzņēmēju un sadarbības partneru ieguldījums.</w:t>
      </w:r>
    </w:p>
    <w:p w:rsidR="00FC5FCF" w:rsidRPr="00FC5FCF" w:rsidP="00FC5FCF" w14:paraId="5C5F5FAB" w14:textId="77777777">
      <w:pPr>
        <w:spacing w:after="0" w:line="240" w:lineRule="auto"/>
        <w:ind w:firstLine="709"/>
        <w:jc w:val="both"/>
      </w:pPr>
      <w:r w:rsidRPr="00FC5FCF">
        <w:t>Ar pārliecību turpināsim iesākto arī turpmāk, lai Aizkraukles novads būtu droša, attīstīta un pievilcīga vieta dzīvei, darbam un izaugsmei.</w:t>
      </w:r>
    </w:p>
    <w:p w:rsidR="002C1F26" w:rsidRPr="007F15EB" w:rsidP="0063170B" w14:paraId="08FE6515" w14:textId="73D1B0B6">
      <w:pPr>
        <w:spacing w:after="0" w:line="240" w:lineRule="auto"/>
        <w:ind w:firstLine="709"/>
        <w:jc w:val="both"/>
      </w:pPr>
    </w:p>
    <w:p w:rsidR="0063170B" w:rsidRPr="007F15EB" w:rsidP="0063170B" w14:paraId="7DCCEB44" w14:textId="77777777">
      <w:pPr>
        <w:spacing w:after="0" w:line="240" w:lineRule="auto"/>
        <w:ind w:firstLine="709"/>
      </w:pPr>
    </w:p>
    <w:p w:rsidR="002C1F26" w:rsidRPr="007F15EB" w:rsidP="008E668E" w14:paraId="35EBE58C" w14:textId="242A6200">
      <w:pPr>
        <w:spacing w:after="0" w:line="240" w:lineRule="auto"/>
        <w:ind w:firstLine="567"/>
      </w:pPr>
      <w:r>
        <w:t xml:space="preserve">Leons Līdums </w:t>
      </w:r>
    </w:p>
    <w:p w:rsidR="008E615C" w:rsidRPr="007F15EB" w:rsidP="008E668E" w14:paraId="4315DBBD" w14:textId="36820AFA">
      <w:pPr>
        <w:spacing w:after="0" w:line="240" w:lineRule="auto"/>
        <w:ind w:firstLine="567"/>
      </w:pPr>
      <w:r>
        <w:t>Aizkraukles novada pašvaldības priekšsēdētājs</w:t>
      </w:r>
    </w:p>
    <w:p w:rsidR="002C1F26" w:rsidRPr="007F15EB" w14:paraId="055CBF3A" w14:textId="5220BEDB">
      <w:r>
        <w:br w:type="page"/>
      </w:r>
    </w:p>
    <w:p w:rsidR="00FA09A7" w:rsidRPr="00F7000B" w:rsidP="00FA09A7" w14:paraId="499D47C1" w14:textId="77777777">
      <w:pPr>
        <w:pStyle w:val="Heading2"/>
        <w:jc w:val="center"/>
        <w:rPr>
          <w:sz w:val="28"/>
          <w:szCs w:val="28"/>
          <w:lang w:eastAsia="lv-LV"/>
        </w:rPr>
      </w:pPr>
      <w:r w:rsidRPr="00F7000B">
        <w:rPr>
          <w:sz w:val="28"/>
          <w:szCs w:val="28"/>
        </w:rPr>
        <w:t>AIZKRAUKLES NOVADA VISPĀRĒJS RAKSTUROJUMS</w:t>
      </w:r>
    </w:p>
    <w:p w:rsidR="00FA09A7" w:rsidRPr="00F7000B" w:rsidP="00FA09A7" w14:paraId="1E86C58A" w14:textId="77777777">
      <w:pPr>
        <w:pStyle w:val="ListParagraph"/>
        <w:numPr>
          <w:ilvl w:val="0"/>
          <w:numId w:val="1"/>
        </w:numPr>
        <w:rPr>
          <w:b/>
          <w:bCs/>
          <w:lang w:eastAsia="lv-LV"/>
        </w:rPr>
      </w:pPr>
      <w:r w:rsidRPr="00F7000B">
        <w:rPr>
          <w:b/>
          <w:bCs/>
          <w:color w:val="0F4761"/>
        </w:rPr>
        <w:t>TERITORIJA</w:t>
      </w:r>
    </w:p>
    <w:p w:rsidR="002C1F26" w:rsidRPr="007F15EB" w:rsidP="00A32AA7" w14:paraId="3AFBBBB9" w14:textId="7EE821B7">
      <w:pPr>
        <w:spacing w:after="0" w:line="240" w:lineRule="auto"/>
        <w:ind w:firstLine="567"/>
        <w:jc w:val="both"/>
      </w:pPr>
      <w:r>
        <w:t xml:space="preserve">Apvienotais Aizkraukles novads atrodas vietā, kur satiekas trīs Latvijas kultūrvēsturiskie apgabali – Vidzeme, Zemgale un Sēlija. Novada teritorija izvietojusies Viduslatvijas zemienē un Lejasdaugavas senlejā. </w:t>
      </w:r>
    </w:p>
    <w:p w:rsidR="002C1F26" w:rsidRPr="007F15EB" w:rsidP="00A32AA7" w14:paraId="2B86C137" w14:textId="77777777">
      <w:pPr>
        <w:spacing w:after="0" w:line="240" w:lineRule="auto"/>
        <w:ind w:firstLine="567"/>
        <w:jc w:val="both"/>
      </w:pPr>
      <w:r>
        <w:t xml:space="preserve">Novads robežojas ar Bauskas, Ogres, Madonas un Jēkabpils novadu, kā arī ar Lietuvu. Novada centrs ir Aizkraukle (reģionālās nozīmes attīstības centrs). </w:t>
      </w:r>
    </w:p>
    <w:p w:rsidR="002C1F26" w:rsidRPr="007F15EB" w:rsidP="00A32AA7" w14:paraId="3953E770" w14:textId="00F3295B">
      <w:pPr>
        <w:spacing w:after="0" w:line="240" w:lineRule="auto"/>
        <w:ind w:firstLine="567"/>
        <w:jc w:val="both"/>
      </w:pPr>
      <w:r>
        <w:t xml:space="preserve">Aizkraukles novada pašvaldība nodrošina ar likumu pašvaldībai noteikto autonomo funkciju izpildi kopumā. Pagasta teritorijā savas kompetences ietvaros to dara pagasta pakalpojumu centri. Pašvaldības teritorijā ir četras pilsētas un 18 pagasti. </w:t>
      </w:r>
    </w:p>
    <w:p w:rsidR="002C1F26" w:rsidRPr="007F15EB" w:rsidP="00A32AA7" w14:paraId="3EB0E70E" w14:textId="2C9E6594">
      <w:pPr>
        <w:spacing w:after="0" w:line="240" w:lineRule="auto"/>
        <w:ind w:firstLine="567"/>
        <w:jc w:val="both"/>
      </w:pPr>
      <w:r>
        <w:t xml:space="preserve">Pašvaldībā, īstenojot administratīvo reformu, turpinās strukturālas reformas un ar 2022. gada 1. janvāri uzsāka darbu jauni veidota Aizkraukles novada pašvaldības Centrālā pārvalde, Sociālais dienests, Pašvaldības policija, Bāriņtiesa, Izglītības un Kultūras pārvalde. </w:t>
      </w:r>
    </w:p>
    <w:p w:rsidR="002C1F26" w:rsidRPr="007F15EB" w:rsidP="00A32AA7" w14:paraId="0B1913CE" w14:textId="2198A56C">
      <w:pPr>
        <w:spacing w:after="0" w:line="240" w:lineRule="auto"/>
        <w:ind w:firstLine="567"/>
        <w:jc w:val="both"/>
      </w:pPr>
      <w:r>
        <w:t xml:space="preserve">Pašvaldībai ar likumu noteikto autonomo funkciju realizēšanai Aizkraukles novada dome ir izveidojusi 65 pašvaldības iestādes, t.sk. 33 izglītības un 13 kultūras iestādes, kā arī divas aģentūras. </w:t>
      </w:r>
    </w:p>
    <w:p w:rsidR="002C1F26" w:rsidRPr="007F15EB" w:rsidP="002C1F26" w14:paraId="0F757F55" w14:textId="77777777">
      <w:pPr>
        <w:spacing w:after="0" w:line="240" w:lineRule="auto"/>
        <w:ind w:left="357"/>
        <w:rPr>
          <w:b/>
          <w:bCs/>
          <w:color w:val="0F4761" w:themeColor="accent1" w:themeShade="BF"/>
        </w:rPr>
      </w:pPr>
    </w:p>
    <w:p w:rsidR="002C1F26" w:rsidRPr="007F15EB" w:rsidP="002C1F26" w14:paraId="60A211B3" w14:textId="77777777">
      <w:pPr>
        <w:spacing w:after="0" w:line="240" w:lineRule="auto"/>
        <w:ind w:left="357"/>
        <w:rPr>
          <w:b/>
          <w:bCs/>
          <w:color w:val="0F4761" w:themeColor="accent1" w:themeShade="BF"/>
        </w:rPr>
      </w:pPr>
      <w:r>
        <w:rPr>
          <w:b/>
          <w:bCs/>
          <w:color w:val="0F4761" w:themeColor="accent1" w:themeShade="BF"/>
        </w:rPr>
        <w:t>Aizkraukles novada teritorija un iedzīvotāji</w:t>
      </w:r>
    </w:p>
    <w:p w:rsidR="00FD114A" w:rsidRPr="007F15EB" w:rsidP="00FD114A" w14:paraId="59AEADEA" w14:textId="77777777">
      <w:pPr>
        <w:spacing w:after="0" w:line="240" w:lineRule="auto"/>
        <w:ind w:left="357"/>
        <w:jc w:val="both"/>
      </w:pPr>
      <w:r>
        <w:t>Sākot ar 2022. gada 1. janvāri Aizkraukles novada pašvaldībā darbojas 3 atsevišķi nodokļu maksātāji:</w:t>
      </w:r>
    </w:p>
    <w:p w:rsidR="00FD114A" w:rsidRPr="007F15EB" w14:paraId="480F8DA6" w14:textId="77777777">
      <w:pPr>
        <w:pStyle w:val="ListParagraph"/>
        <w:numPr>
          <w:ilvl w:val="0"/>
          <w:numId w:val="4"/>
        </w:numPr>
        <w:spacing w:after="0" w:line="240" w:lineRule="auto"/>
        <w:jc w:val="both"/>
      </w:pPr>
      <w:r>
        <w:t xml:space="preserve">Aizkraukles novada pašvaldība, reģistrācijas Nr.90000074812; </w:t>
      </w:r>
    </w:p>
    <w:p w:rsidR="00FD114A" w:rsidRPr="007F15EB" w14:paraId="55B5C255" w14:textId="39839437">
      <w:pPr>
        <w:pStyle w:val="ListParagraph"/>
        <w:numPr>
          <w:ilvl w:val="0"/>
          <w:numId w:val="4"/>
        </w:numPr>
        <w:spacing w:after="0" w:line="240" w:lineRule="auto"/>
        <w:jc w:val="both"/>
      </w:pPr>
      <w:r>
        <w:t>a</w:t>
      </w:r>
      <w:r w:rsidR="002C1F26">
        <w:t xml:space="preserve">ģentūra “Kokneses sporta centrs”, reģistrācijas Nr.90009000575; </w:t>
      </w:r>
    </w:p>
    <w:p w:rsidR="002C1F26" w:rsidRPr="007F15EB" w14:paraId="6C8379BD" w14:textId="4B1AE13D">
      <w:pPr>
        <w:pStyle w:val="ListParagraph"/>
        <w:numPr>
          <w:ilvl w:val="0"/>
          <w:numId w:val="4"/>
        </w:numPr>
        <w:spacing w:after="0" w:line="360" w:lineRule="auto"/>
        <w:ind w:left="1071" w:hanging="357"/>
        <w:jc w:val="both"/>
      </w:pPr>
      <w:r>
        <w:t>a</w:t>
      </w:r>
      <w:r w:rsidR="00FD114A">
        <w:t xml:space="preserve">ģentūra “Sociālās aprūpes centrs “Ziedugravas”, reģistrācijas Nr.90001689793. </w:t>
      </w:r>
    </w:p>
    <w:p w:rsidR="002C1F26" w:rsidRPr="007F15EB" w:rsidP="002A64FE" w14:paraId="71A0B0C6" w14:textId="728594A5">
      <w:pPr>
        <w:spacing w:after="0" w:line="240" w:lineRule="auto"/>
        <w:ind w:firstLine="567"/>
        <w:jc w:val="both"/>
      </w:pPr>
      <w:r>
        <w:t>Aizkraukles novada teritorija un iedzīvotāji Aizkraukles novads saskaņā ar 2020. gada 10.</w:t>
      </w:r>
      <w:r w:rsidR="007F03BA">
        <w:t> </w:t>
      </w:r>
      <w:r>
        <w:t xml:space="preserve">jūnijā pieņemto Administratīvo teritoriju un apdzīvoto vietu likumu ir izveidots, apvienojot sešus novadus – Aizkraukles, Jaunjelgavas, Kokneses, Neretas, Pļaviņu un Skrīveru novadu, kuros ir 18 pagasti. </w:t>
      </w:r>
    </w:p>
    <w:tbl>
      <w:tblPr>
        <w:tblStyle w:val="TableGrid"/>
        <w:tblpPr w:leftFromText="180" w:rightFromText="180" w:vertAnchor="text" w:horzAnchor="margin" w:tblpY="256"/>
        <w:tblW w:w="9634" w:type="dxa"/>
        <w:tblLook w:val="04A0"/>
      </w:tblPr>
      <w:tblGrid>
        <w:gridCol w:w="2087"/>
        <w:gridCol w:w="1031"/>
        <w:gridCol w:w="1808"/>
        <w:gridCol w:w="4708"/>
      </w:tblGrid>
      <w:tr w14:paraId="5D14DCF5" w14:textId="77777777" w:rsidTr="00B101C6">
        <w:tblPrEx>
          <w:tblW w:w="9634" w:type="dxa"/>
          <w:tblLook w:val="04A0"/>
        </w:tblPrEx>
        <w:tc>
          <w:tcPr>
            <w:tcW w:w="2087" w:type="dxa"/>
            <w:shd w:val="clear" w:color="auto" w:fill="0F4761" w:themeFill="accent1" w:themeFillShade="BF"/>
            <w:vAlign w:val="center"/>
          </w:tcPr>
          <w:p w:rsidR="008F44C2" w:rsidRPr="007F15EB" w:rsidP="008F44C2" w14:paraId="6772C154" w14:textId="77777777">
            <w:pPr>
              <w:jc w:val="center"/>
              <w:rPr>
                <w:b/>
                <w:bCs/>
              </w:rPr>
            </w:pPr>
            <w:r>
              <w:rPr>
                <w:b/>
                <w:bCs/>
              </w:rPr>
              <w:t>Apvienības</w:t>
            </w:r>
          </w:p>
        </w:tc>
        <w:tc>
          <w:tcPr>
            <w:tcW w:w="1031" w:type="dxa"/>
            <w:shd w:val="clear" w:color="auto" w:fill="0F4761" w:themeFill="accent1" w:themeFillShade="BF"/>
            <w:vAlign w:val="center"/>
          </w:tcPr>
          <w:p w:rsidR="008F44C2" w:rsidRPr="007F15EB" w:rsidP="008F44C2" w14:paraId="386FAD5A" w14:textId="77777777">
            <w:pPr>
              <w:jc w:val="center"/>
              <w:rPr>
                <w:b/>
                <w:bCs/>
              </w:rPr>
            </w:pPr>
            <w:r>
              <w:rPr>
                <w:b/>
                <w:bCs/>
              </w:rPr>
              <w:t>Platība, km</w:t>
            </w:r>
            <w:r>
              <w:rPr>
                <w:b/>
                <w:bCs/>
                <w:vertAlign w:val="superscript"/>
              </w:rPr>
              <w:t>2</w:t>
            </w:r>
          </w:p>
        </w:tc>
        <w:tc>
          <w:tcPr>
            <w:tcW w:w="1808" w:type="dxa"/>
            <w:shd w:val="clear" w:color="auto" w:fill="0F4761" w:themeFill="accent1" w:themeFillShade="BF"/>
            <w:vAlign w:val="center"/>
          </w:tcPr>
          <w:p w:rsidR="008F44C2" w:rsidRPr="007F15EB" w:rsidP="008F44C2" w14:paraId="2F5A1682" w14:textId="77777777">
            <w:pPr>
              <w:jc w:val="center"/>
              <w:rPr>
                <w:b/>
                <w:bCs/>
              </w:rPr>
            </w:pPr>
            <w:r>
              <w:rPr>
                <w:b/>
                <w:bCs/>
              </w:rPr>
              <w:t>Pilsēta</w:t>
            </w:r>
          </w:p>
        </w:tc>
        <w:tc>
          <w:tcPr>
            <w:tcW w:w="4708" w:type="dxa"/>
            <w:shd w:val="clear" w:color="auto" w:fill="0F4761" w:themeFill="accent1" w:themeFillShade="BF"/>
            <w:vAlign w:val="center"/>
          </w:tcPr>
          <w:p w:rsidR="008F44C2" w:rsidRPr="007F15EB" w:rsidP="008F44C2" w14:paraId="2E1E57A3" w14:textId="77777777">
            <w:pPr>
              <w:jc w:val="center"/>
              <w:rPr>
                <w:b/>
                <w:bCs/>
              </w:rPr>
            </w:pPr>
            <w:r>
              <w:rPr>
                <w:b/>
                <w:bCs/>
              </w:rPr>
              <w:t>Pagasti</w:t>
            </w:r>
          </w:p>
        </w:tc>
      </w:tr>
      <w:tr w14:paraId="580DBE54" w14:textId="77777777" w:rsidTr="00B101C6">
        <w:tblPrEx>
          <w:tblW w:w="9634" w:type="dxa"/>
          <w:tblLook w:val="04A0"/>
        </w:tblPrEx>
        <w:tc>
          <w:tcPr>
            <w:tcW w:w="2087" w:type="dxa"/>
            <w:vAlign w:val="center"/>
          </w:tcPr>
          <w:p w:rsidR="008F44C2" w:rsidRPr="007F15EB" w:rsidP="008F44C2" w14:paraId="046D8D8E" w14:textId="77777777">
            <w:pPr>
              <w:rPr>
                <w:b/>
                <w:bCs/>
              </w:rPr>
            </w:pPr>
            <w:r>
              <w:rPr>
                <w:b/>
                <w:bCs/>
              </w:rPr>
              <w:t>Aizkraukles</w:t>
            </w:r>
          </w:p>
        </w:tc>
        <w:tc>
          <w:tcPr>
            <w:tcW w:w="1031" w:type="dxa"/>
            <w:vAlign w:val="center"/>
          </w:tcPr>
          <w:p w:rsidR="008F44C2" w:rsidRPr="007F15EB" w:rsidP="008F44C2" w14:paraId="79DC3F4C" w14:textId="77777777">
            <w:r>
              <w:t>102</w:t>
            </w:r>
          </w:p>
        </w:tc>
        <w:tc>
          <w:tcPr>
            <w:tcW w:w="1808" w:type="dxa"/>
            <w:vAlign w:val="center"/>
          </w:tcPr>
          <w:p w:rsidR="008F44C2" w:rsidRPr="007F15EB" w:rsidP="008F44C2" w14:paraId="11754817" w14:textId="77777777">
            <w:r>
              <w:t>Aizkraukle</w:t>
            </w:r>
          </w:p>
        </w:tc>
        <w:tc>
          <w:tcPr>
            <w:tcW w:w="4708" w:type="dxa"/>
            <w:vAlign w:val="center"/>
          </w:tcPr>
          <w:p w:rsidR="008F44C2" w:rsidRPr="007F15EB" w:rsidP="008F44C2" w14:paraId="5B5B4909" w14:textId="77777777">
            <w:r>
              <w:t>Aizkraukles</w:t>
            </w:r>
          </w:p>
        </w:tc>
      </w:tr>
      <w:tr w14:paraId="2D73A82A" w14:textId="77777777" w:rsidTr="00B101C6">
        <w:tblPrEx>
          <w:tblW w:w="9634" w:type="dxa"/>
          <w:tblLook w:val="04A0"/>
        </w:tblPrEx>
        <w:tc>
          <w:tcPr>
            <w:tcW w:w="2087" w:type="dxa"/>
            <w:vAlign w:val="center"/>
          </w:tcPr>
          <w:p w:rsidR="008F44C2" w:rsidRPr="007F15EB" w:rsidP="008F44C2" w14:paraId="224B711D" w14:textId="77777777">
            <w:pPr>
              <w:rPr>
                <w:b/>
                <w:bCs/>
              </w:rPr>
            </w:pPr>
            <w:r>
              <w:rPr>
                <w:b/>
                <w:bCs/>
              </w:rPr>
              <w:t>Jaunjelgavas</w:t>
            </w:r>
          </w:p>
        </w:tc>
        <w:tc>
          <w:tcPr>
            <w:tcW w:w="1031" w:type="dxa"/>
            <w:vAlign w:val="center"/>
          </w:tcPr>
          <w:p w:rsidR="008F44C2" w:rsidRPr="007F15EB" w:rsidP="008F44C2" w14:paraId="433F1BC9" w14:textId="77777777">
            <w:r>
              <w:t>684</w:t>
            </w:r>
          </w:p>
        </w:tc>
        <w:tc>
          <w:tcPr>
            <w:tcW w:w="1808" w:type="dxa"/>
            <w:vAlign w:val="center"/>
          </w:tcPr>
          <w:p w:rsidR="008F44C2" w:rsidRPr="007F15EB" w:rsidP="008F44C2" w14:paraId="6719B4F9" w14:textId="77777777">
            <w:r>
              <w:t>Jaunjelgava</w:t>
            </w:r>
          </w:p>
        </w:tc>
        <w:tc>
          <w:tcPr>
            <w:tcW w:w="4708" w:type="dxa"/>
            <w:vAlign w:val="center"/>
          </w:tcPr>
          <w:p w:rsidR="008F44C2" w:rsidRPr="007F15EB" w:rsidP="008F44C2" w14:paraId="6040B52F" w14:textId="77777777">
            <w:r>
              <w:t>Seces, Staburaga, Sunākstes, Daudzeses, Sērenes, Jaunjelgavas</w:t>
            </w:r>
          </w:p>
        </w:tc>
      </w:tr>
      <w:tr w14:paraId="0A4C3DD6" w14:textId="77777777" w:rsidTr="00B101C6">
        <w:tblPrEx>
          <w:tblW w:w="9634" w:type="dxa"/>
          <w:tblLook w:val="04A0"/>
        </w:tblPrEx>
        <w:tc>
          <w:tcPr>
            <w:tcW w:w="2087" w:type="dxa"/>
            <w:vAlign w:val="center"/>
          </w:tcPr>
          <w:p w:rsidR="008F44C2" w:rsidRPr="007F15EB" w:rsidP="008F44C2" w14:paraId="49070FCD" w14:textId="77777777">
            <w:pPr>
              <w:rPr>
                <w:b/>
                <w:bCs/>
              </w:rPr>
            </w:pPr>
            <w:r>
              <w:rPr>
                <w:b/>
                <w:bCs/>
              </w:rPr>
              <w:t>Kokneses</w:t>
            </w:r>
          </w:p>
        </w:tc>
        <w:tc>
          <w:tcPr>
            <w:tcW w:w="1031" w:type="dxa"/>
            <w:vAlign w:val="center"/>
          </w:tcPr>
          <w:p w:rsidR="008F44C2" w:rsidRPr="007F15EB" w:rsidP="008F44C2" w14:paraId="2EF5FC52" w14:textId="77777777">
            <w:r>
              <w:t>361</w:t>
            </w:r>
          </w:p>
        </w:tc>
        <w:tc>
          <w:tcPr>
            <w:tcW w:w="1808" w:type="dxa"/>
            <w:vAlign w:val="center"/>
          </w:tcPr>
          <w:p w:rsidR="008F44C2" w:rsidRPr="007F15EB" w:rsidP="008F44C2" w14:paraId="2DDDAF41" w14:textId="77777777">
            <w:r>
              <w:t>Koknese</w:t>
            </w:r>
          </w:p>
        </w:tc>
        <w:tc>
          <w:tcPr>
            <w:tcW w:w="4708" w:type="dxa"/>
            <w:vAlign w:val="center"/>
          </w:tcPr>
          <w:p w:rsidR="008F44C2" w:rsidRPr="007F15EB" w:rsidP="008F44C2" w14:paraId="2C9925CF" w14:textId="77777777">
            <w:r>
              <w:t>Kokneses, Bebru, Iršu</w:t>
            </w:r>
          </w:p>
        </w:tc>
      </w:tr>
      <w:tr w14:paraId="2886C3F2" w14:textId="77777777" w:rsidTr="00B101C6">
        <w:tblPrEx>
          <w:tblW w:w="9634" w:type="dxa"/>
          <w:tblLook w:val="04A0"/>
        </w:tblPrEx>
        <w:tc>
          <w:tcPr>
            <w:tcW w:w="2087" w:type="dxa"/>
            <w:vAlign w:val="center"/>
          </w:tcPr>
          <w:p w:rsidR="008F44C2" w:rsidRPr="007F15EB" w:rsidP="008F44C2" w14:paraId="29ECE0BC" w14:textId="77777777">
            <w:pPr>
              <w:rPr>
                <w:b/>
                <w:bCs/>
              </w:rPr>
            </w:pPr>
            <w:r>
              <w:rPr>
                <w:b/>
                <w:bCs/>
              </w:rPr>
              <w:t>Neretas</w:t>
            </w:r>
          </w:p>
        </w:tc>
        <w:tc>
          <w:tcPr>
            <w:tcW w:w="1031" w:type="dxa"/>
            <w:vAlign w:val="center"/>
          </w:tcPr>
          <w:p w:rsidR="008F44C2" w:rsidRPr="007F15EB" w:rsidP="008F44C2" w14:paraId="7F76434A" w14:textId="77777777">
            <w:r>
              <w:t>645</w:t>
            </w:r>
          </w:p>
        </w:tc>
        <w:tc>
          <w:tcPr>
            <w:tcW w:w="1808" w:type="dxa"/>
            <w:vAlign w:val="center"/>
          </w:tcPr>
          <w:p w:rsidR="008F44C2" w:rsidRPr="007F15EB" w:rsidP="008F44C2" w14:paraId="77007A85" w14:textId="77777777"/>
        </w:tc>
        <w:tc>
          <w:tcPr>
            <w:tcW w:w="4708" w:type="dxa"/>
            <w:vAlign w:val="center"/>
          </w:tcPr>
          <w:p w:rsidR="008F44C2" w:rsidRPr="007F15EB" w:rsidP="008F44C2" w14:paraId="68693E45" w14:textId="77777777">
            <w:r>
              <w:t>Neretas, Pilskalnes, Zalves, Mazzalves</w:t>
            </w:r>
          </w:p>
        </w:tc>
      </w:tr>
      <w:tr w14:paraId="3F972382" w14:textId="77777777" w:rsidTr="00B101C6">
        <w:tblPrEx>
          <w:tblW w:w="9634" w:type="dxa"/>
          <w:tblLook w:val="04A0"/>
        </w:tblPrEx>
        <w:tc>
          <w:tcPr>
            <w:tcW w:w="2087" w:type="dxa"/>
            <w:vAlign w:val="center"/>
          </w:tcPr>
          <w:p w:rsidR="008F44C2" w:rsidRPr="007F15EB" w:rsidP="008F44C2" w14:paraId="5517DD73" w14:textId="77777777">
            <w:pPr>
              <w:rPr>
                <w:b/>
                <w:bCs/>
              </w:rPr>
            </w:pPr>
            <w:r>
              <w:rPr>
                <w:b/>
                <w:bCs/>
              </w:rPr>
              <w:t>Pļaviņu</w:t>
            </w:r>
          </w:p>
        </w:tc>
        <w:tc>
          <w:tcPr>
            <w:tcW w:w="1031" w:type="dxa"/>
            <w:vAlign w:val="center"/>
          </w:tcPr>
          <w:p w:rsidR="008F44C2" w:rsidRPr="007F15EB" w:rsidP="008F44C2" w14:paraId="0F976A02" w14:textId="77777777">
            <w:r>
              <w:t>376</w:t>
            </w:r>
          </w:p>
        </w:tc>
        <w:tc>
          <w:tcPr>
            <w:tcW w:w="1808" w:type="dxa"/>
            <w:vAlign w:val="center"/>
          </w:tcPr>
          <w:p w:rsidR="008F44C2" w:rsidRPr="007F15EB" w:rsidP="008F44C2" w14:paraId="3ECA916A" w14:textId="77777777">
            <w:r>
              <w:t>Pļaviņas</w:t>
            </w:r>
          </w:p>
        </w:tc>
        <w:tc>
          <w:tcPr>
            <w:tcW w:w="4708" w:type="dxa"/>
            <w:vAlign w:val="center"/>
          </w:tcPr>
          <w:p w:rsidR="008F44C2" w:rsidRPr="007F15EB" w:rsidP="008F44C2" w14:paraId="7C395C4E" w14:textId="77777777">
            <w:r>
              <w:t>Aiviekstes, Klintaines, Vietalvas</w:t>
            </w:r>
          </w:p>
        </w:tc>
      </w:tr>
      <w:tr w14:paraId="7229070F" w14:textId="77777777" w:rsidTr="00B101C6">
        <w:tblPrEx>
          <w:tblW w:w="9634" w:type="dxa"/>
          <w:tblLook w:val="04A0"/>
        </w:tblPrEx>
        <w:tc>
          <w:tcPr>
            <w:tcW w:w="2087" w:type="dxa"/>
            <w:vAlign w:val="center"/>
          </w:tcPr>
          <w:p w:rsidR="008F44C2" w:rsidRPr="007F15EB" w:rsidP="008F44C2" w14:paraId="2439FFC8" w14:textId="77777777">
            <w:pPr>
              <w:rPr>
                <w:b/>
                <w:bCs/>
              </w:rPr>
            </w:pPr>
            <w:r>
              <w:rPr>
                <w:b/>
                <w:bCs/>
              </w:rPr>
              <w:t>Skrīveru</w:t>
            </w:r>
          </w:p>
        </w:tc>
        <w:tc>
          <w:tcPr>
            <w:tcW w:w="1031" w:type="dxa"/>
            <w:vAlign w:val="center"/>
          </w:tcPr>
          <w:p w:rsidR="008F44C2" w:rsidRPr="007F15EB" w:rsidP="008F44C2" w14:paraId="60164F0E" w14:textId="77777777">
            <w:r>
              <w:t>105</w:t>
            </w:r>
          </w:p>
        </w:tc>
        <w:tc>
          <w:tcPr>
            <w:tcW w:w="1808" w:type="dxa"/>
            <w:vAlign w:val="center"/>
          </w:tcPr>
          <w:p w:rsidR="008F44C2" w:rsidRPr="007F15EB" w:rsidP="008F44C2" w14:paraId="52E3BD27" w14:textId="77777777"/>
        </w:tc>
        <w:tc>
          <w:tcPr>
            <w:tcW w:w="4708" w:type="dxa"/>
            <w:vAlign w:val="center"/>
          </w:tcPr>
          <w:p w:rsidR="008F44C2" w:rsidRPr="007F15EB" w:rsidP="008F44C2" w14:paraId="05DC5EAF" w14:textId="77777777">
            <w:r>
              <w:t>Skrīveri</w:t>
            </w:r>
          </w:p>
        </w:tc>
      </w:tr>
    </w:tbl>
    <w:p w:rsidR="00C027A7" w:rsidRPr="007F15EB" w:rsidP="00C027A7" w14:paraId="3EE74F14" w14:textId="77777777">
      <w:pPr>
        <w:jc w:val="center"/>
      </w:pPr>
      <w:r>
        <w:rPr>
          <w:i/>
          <w:iCs/>
          <w:sz w:val="22"/>
          <w:szCs w:val="22"/>
        </w:rPr>
        <w:t>Aizkraukles novadu veidojošie pagasti un pilsētas (no 01.07.2021.).</w:t>
      </w:r>
    </w:p>
    <w:p w:rsidR="00C027A7" w:rsidRPr="007F15EB" w:rsidP="00C027A7" w14:paraId="6562F792" w14:textId="77777777">
      <w:pPr>
        <w:jc w:val="center"/>
      </w:pPr>
      <w:r>
        <w:rPr>
          <w:i/>
          <w:iCs/>
          <w:sz w:val="22"/>
          <w:szCs w:val="22"/>
        </w:rPr>
        <w:t>Aizkraukles novadu veidojošie pagasti un pilsētas (no 01.07.2021.).</w:t>
      </w:r>
    </w:p>
    <w:p w:rsidR="00B101C6" w:rsidRPr="007F15EB" w:rsidP="002A64FE" w14:paraId="4CAA2497" w14:textId="5F74015C">
      <w:pPr>
        <w:spacing w:after="0" w:line="240" w:lineRule="auto"/>
        <w:ind w:firstLine="567"/>
        <w:jc w:val="both"/>
      </w:pPr>
      <w:r>
        <w:t>Novada kopējā platība ir 2273 km2, kas ir 3,5 % no visas Latvijas kopējās platības, iedzīvotāju skaits 2024. gada sākumā pēc Oficiālās statistikas portāla datiem bija 30 007.</w:t>
      </w:r>
    </w:p>
    <w:p w:rsidR="00B101C6" w:rsidRPr="007F15EB" w:rsidP="008A0372" w14:paraId="2EF2992B" w14:textId="07F05CB2">
      <w:pPr>
        <w:jc w:val="both"/>
        <w:rPr>
          <w:b/>
          <w:bCs/>
          <w:color w:val="0F4761" w:themeColor="accent1" w:themeShade="BF"/>
        </w:rPr>
      </w:pPr>
      <w:r>
        <w:br w:type="page"/>
      </w:r>
      <w:r w:rsidR="00F7000B">
        <w:rPr>
          <w:b/>
          <w:bCs/>
          <w:color w:val="0F4761" w:themeColor="accent1" w:themeShade="BF"/>
        </w:rPr>
        <w:t>Dabas resursi</w:t>
      </w:r>
    </w:p>
    <w:p w:rsidR="00B101C6" w:rsidRPr="007F15EB" w:rsidP="0024304F" w14:paraId="4AD148D2" w14:textId="78D1D8CB">
      <w:pPr>
        <w:pStyle w:val="ListParagraph"/>
        <w:numPr>
          <w:ilvl w:val="1"/>
          <w:numId w:val="1"/>
        </w:numPr>
        <w:spacing w:after="0" w:line="360" w:lineRule="auto"/>
        <w:ind w:left="1083" w:hanging="357"/>
        <w:rPr>
          <w:i/>
          <w:iCs/>
          <w:color w:val="0F4761" w:themeColor="accent1" w:themeShade="BF"/>
        </w:rPr>
      </w:pPr>
      <w:r>
        <w:rPr>
          <w:i/>
          <w:iCs/>
          <w:color w:val="0F4761" w:themeColor="accent1" w:themeShade="BF"/>
        </w:rPr>
        <w:t xml:space="preserve"> Zemes resursi </w:t>
      </w:r>
    </w:p>
    <w:p w:rsidR="008F44C2" w:rsidRPr="007F15EB" w:rsidP="00B101C6" w14:paraId="237DE754" w14:textId="657032C7">
      <w:pPr>
        <w:spacing w:after="0" w:line="240" w:lineRule="auto"/>
        <w:ind w:firstLine="709"/>
        <w:jc w:val="both"/>
      </w:pPr>
      <w:r>
        <w:rPr>
          <w:noProof/>
        </w:rPr>
        <w:drawing>
          <wp:anchor distT="0" distB="0" distL="114300" distR="114300" simplePos="0" relativeHeight="251658240" behindDoc="1" locked="0" layoutInCell="1" allowOverlap="1">
            <wp:simplePos x="0" y="0"/>
            <wp:positionH relativeFrom="margin">
              <wp:posOffset>810433</wp:posOffset>
            </wp:positionH>
            <wp:positionV relativeFrom="paragraph">
              <wp:posOffset>759749</wp:posOffset>
            </wp:positionV>
            <wp:extent cx="4758690" cy="1993900"/>
            <wp:effectExtent l="0" t="0" r="3810" b="6350"/>
            <wp:wrapTight wrapText="bothSides">
              <wp:wrapPolygon>
                <wp:start x="0" y="0"/>
                <wp:lineTo x="0" y="21462"/>
                <wp:lineTo x="21531" y="21462"/>
                <wp:lineTo x="21531" y="0"/>
                <wp:lineTo x="0" y="0"/>
              </wp:wrapPolygon>
            </wp:wrapTight>
            <wp:docPr id="2080981932"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t>Vairāk nekā pusi novada teritorijas aizņem meža zeme (57 % jeb 130 402 ha), savukārt lauksaimniecībā izmantojamā zeme veido apmēram trešdaļu novada zemes resursu (29 % jeb 65 153 ha). 4 % no kopējās novada platības atrodas zem ūdeņiem. Purvi aizņem 2 % teritorijas, krūmājs – arī 2%, savukārt zeme zem ēkām un pagalmiem sastāda apmēram 1 %.</w:t>
      </w:r>
    </w:p>
    <w:p w:rsidR="00155F3F" w:rsidRPr="007F15EB" w:rsidP="00B101C6" w14:paraId="13859DC9" w14:textId="77777777">
      <w:pPr>
        <w:spacing w:after="0" w:line="240" w:lineRule="auto"/>
        <w:ind w:firstLine="709"/>
        <w:jc w:val="both"/>
      </w:pPr>
    </w:p>
    <w:p w:rsidR="00584145" w:rsidRPr="007F15EB" w:rsidP="00155F3F" w14:paraId="66CEB83E" w14:textId="0887C9CD">
      <w:pPr>
        <w:spacing w:after="0" w:line="240" w:lineRule="auto"/>
        <w:ind w:firstLine="709"/>
        <w:jc w:val="center"/>
        <w:rPr>
          <w:i/>
          <w:iCs/>
          <w:sz w:val="22"/>
          <w:szCs w:val="22"/>
        </w:rPr>
      </w:pPr>
      <w:r>
        <w:rPr>
          <w:i/>
          <w:iCs/>
          <w:sz w:val="22"/>
          <w:szCs w:val="22"/>
        </w:rPr>
        <w:t>Zemes lietošanas veidi Aizkraukles novadā, ha (avots – VZD, 2021).</w:t>
      </w:r>
    </w:p>
    <w:p w:rsidR="00155F3F" w:rsidRPr="007F15EB" w:rsidP="00155F3F" w14:paraId="70358E1C" w14:textId="77777777">
      <w:pPr>
        <w:spacing w:after="0" w:line="240" w:lineRule="auto"/>
        <w:ind w:firstLine="709"/>
        <w:jc w:val="center"/>
        <w:rPr>
          <w:noProof/>
        </w:rPr>
      </w:pPr>
    </w:p>
    <w:p w:rsidR="00B101C6" w:rsidRPr="007F15EB" w:rsidP="002A64FE" w14:paraId="1F82621E" w14:textId="02A3504E">
      <w:pPr>
        <w:spacing w:after="0" w:line="240" w:lineRule="auto"/>
        <w:ind w:firstLine="567"/>
        <w:jc w:val="both"/>
      </w:pPr>
      <w:r>
        <w:rPr>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537845</wp:posOffset>
            </wp:positionV>
            <wp:extent cx="4758690" cy="3137535"/>
            <wp:effectExtent l="0" t="0" r="3810" b="5715"/>
            <wp:wrapTight wrapText="bothSides">
              <wp:wrapPolygon>
                <wp:start x="0" y="0"/>
                <wp:lineTo x="0" y="21508"/>
                <wp:lineTo x="21531" y="21508"/>
                <wp:lineTo x="21531" y="0"/>
                <wp:lineTo x="0" y="0"/>
              </wp:wrapPolygon>
            </wp:wrapTight>
            <wp:docPr id="897634136"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t>Visvairāk meža zemes ir Jaunjelgavas un Neretas novados. Lauksaimniecībā izmantojamā zeme līdzīgā platībā ir Jaunjelgavas (15 092 ha), Kokneses (13 296 ha) un Pļaviņu novados (11 269 ha).</w:t>
      </w:r>
    </w:p>
    <w:p w:rsidR="00BE1F24" w:rsidRPr="007F15EB" w:rsidP="00BE1F24" w14:paraId="6E368503" w14:textId="34B2134E">
      <w:pPr>
        <w:spacing w:after="0" w:line="240" w:lineRule="auto"/>
        <w:ind w:firstLine="709"/>
        <w:jc w:val="center"/>
        <w:rPr>
          <w:i/>
          <w:iCs/>
          <w:sz w:val="22"/>
          <w:szCs w:val="22"/>
        </w:rPr>
      </w:pPr>
      <w:r>
        <w:rPr>
          <w:i/>
          <w:iCs/>
          <w:sz w:val="22"/>
          <w:szCs w:val="22"/>
        </w:rPr>
        <w:t>Zemes lietošanas veidi novadu griezumā, ha (avots – VZD, 2021).</w:t>
      </w:r>
    </w:p>
    <w:p w:rsidR="00155F3F" w:rsidRPr="007F15EB" w:rsidP="00BE1F24" w14:paraId="2749E7E9" w14:textId="492A978E">
      <w:pPr>
        <w:spacing w:after="0" w:line="240" w:lineRule="auto"/>
        <w:ind w:firstLine="709"/>
        <w:jc w:val="center"/>
        <w:rPr>
          <w:i/>
          <w:iCs/>
          <w:noProof/>
          <w:sz w:val="22"/>
          <w:szCs w:val="22"/>
        </w:rPr>
      </w:pPr>
    </w:p>
    <w:p w:rsidR="000A2E02" w:rsidRPr="007F15EB" w:rsidP="000A2E02" w14:paraId="093A5F5B" w14:textId="6AA5D053">
      <w:pPr>
        <w:spacing w:after="0" w:line="240" w:lineRule="auto"/>
        <w:ind w:firstLine="709"/>
        <w:jc w:val="both"/>
      </w:pPr>
      <w:r>
        <w:t>No lauksaimniecībā izmantojamās zemes lielāko daļu sastāda aramzeme (40 505 ha jeb 62 %), mazāk ganības (14 923 ha jeb 23 %), pļavas (9 058 ha jeb 14 %) un augļu dārzi (667 ha jeb 1 %).</w:t>
      </w:r>
    </w:p>
    <w:p w:rsidR="000A2E02" w:rsidRPr="007F15EB" w:rsidP="000A2E02" w14:paraId="591CEDC9" w14:textId="11DF2F98">
      <w:pPr>
        <w:pStyle w:val="ListParagraph"/>
        <w:numPr>
          <w:ilvl w:val="1"/>
          <w:numId w:val="1"/>
        </w:numPr>
        <w:spacing w:before="60" w:after="0" w:line="360" w:lineRule="auto"/>
        <w:ind w:left="1083" w:hanging="357"/>
        <w:rPr>
          <w:i/>
          <w:iCs/>
          <w:color w:val="0F4761" w:themeColor="accent1" w:themeShade="BF"/>
        </w:rPr>
      </w:pPr>
      <w:r>
        <w:rPr>
          <w:i/>
          <w:iCs/>
          <w:color w:val="0F4761" w:themeColor="accent1" w:themeShade="BF"/>
        </w:rPr>
        <w:t>Meži</w:t>
      </w:r>
    </w:p>
    <w:p w:rsidR="000A2E02" w:rsidRPr="007F15EB" w:rsidP="00B0380E" w14:paraId="1E03A8C6" w14:textId="339BAB08">
      <w:pPr>
        <w:spacing w:after="0" w:line="240" w:lineRule="auto"/>
        <w:ind w:firstLine="709"/>
        <w:jc w:val="both"/>
      </w:pPr>
      <w:r>
        <w:t>Aizkraukles novads ir bagāts ar mežiem, kas kopā veido 142 084 ha (Valsts meža dienests, 2024). Visvairāk mežu ir valsts īpašumā – 83 471 ha jeb 60 %, privātie – 56 782 ha jeb 39 %, un pašvaldības īpašumā – 1832 ha jeb aptuveni 1 % mežu. Aizkraukles novada mežos dominē bērzi, priedes un egles.</w:t>
      </w:r>
    </w:p>
    <w:p w:rsidR="000E4820" w:rsidRPr="007F15EB" w:rsidP="00DE01ED" w14:paraId="0E78920E" w14:textId="1FA2606F">
      <w:pPr>
        <w:pStyle w:val="ListParagraph"/>
        <w:spacing w:after="0" w:line="240" w:lineRule="auto"/>
        <w:rPr>
          <w:i/>
          <w:iCs/>
          <w:color w:val="0F4761" w:themeColor="accent1" w:themeShade="BF"/>
        </w:rPr>
      </w:pPr>
      <w:r>
        <w:rPr>
          <w:i/>
          <w:iCs/>
          <w:color w:val="0F4761" w:themeColor="accent1" w:themeShade="BF"/>
        </w:rPr>
        <w:t>2.3. Ūdens resursi</w:t>
      </w:r>
    </w:p>
    <w:p w:rsidR="000E4820" w:rsidRPr="007F15EB" w:rsidP="00DE01ED" w14:paraId="7B2C5FB1" w14:textId="09AB9C6C">
      <w:pPr>
        <w:spacing w:after="0" w:line="240" w:lineRule="auto"/>
        <w:ind w:firstLine="709"/>
        <w:jc w:val="both"/>
      </w:pPr>
      <w:r>
        <w:t xml:space="preserve">Ūdeņi ir nozīmīgs Aizkraukles novada resurss, kuru izmanto elektroenerģijas ražošanai, tūrismam un rekreācijai, zivsaimniecībai un citām vajadzībām. Aizkraukles novada teritorijas </w:t>
      </w:r>
      <w:r>
        <w:t xml:space="preserve">virszemes ūdens resursus veido upes, ezeri un mākslīgi veidotās ūdenstilpes – Pļaviņu hidroelektrostacijas (HES) ūdenskrātuve, appludināti karjeri un vairāki dīķi. Kopumā ūdens objektu zeme veido 4 % no novada teritorijas. </w:t>
      </w:r>
    </w:p>
    <w:p w:rsidR="00DE01ED" w:rsidRPr="007F15EB" w:rsidP="00DE01ED" w14:paraId="68D4B253" w14:textId="77777777">
      <w:pPr>
        <w:spacing w:after="0" w:line="240" w:lineRule="auto"/>
        <w:ind w:firstLine="709"/>
        <w:rPr>
          <w:i/>
          <w:iCs/>
          <w:color w:val="0F4761" w:themeColor="accent1" w:themeShade="BF"/>
        </w:rPr>
      </w:pPr>
    </w:p>
    <w:p w:rsidR="00621E3F" w:rsidRPr="007F15EB" w:rsidP="00DE01ED" w14:paraId="2D6B6815" w14:textId="77777777">
      <w:pPr>
        <w:spacing w:after="0" w:line="240" w:lineRule="auto"/>
        <w:ind w:firstLine="709"/>
        <w:rPr>
          <w:i/>
          <w:iCs/>
          <w:color w:val="0F4761" w:themeColor="accent1" w:themeShade="BF"/>
        </w:rPr>
      </w:pPr>
      <w:r>
        <w:rPr>
          <w:i/>
          <w:iCs/>
          <w:color w:val="0F4761" w:themeColor="accent1" w:themeShade="BF"/>
        </w:rPr>
        <w:t>Virszemes ūdeņi</w:t>
      </w:r>
    </w:p>
    <w:p w:rsidR="000E4820" w:rsidP="00A20CCB" w14:paraId="5A24520A" w14:textId="03294840">
      <w:pPr>
        <w:spacing w:after="0" w:line="240" w:lineRule="auto"/>
        <w:ind w:firstLine="709"/>
        <w:jc w:val="both"/>
      </w:pPr>
      <w:r>
        <w:rPr>
          <w:i/>
          <w:iCs/>
          <w:color w:val="0F4761" w:themeColor="accent1" w:themeShade="BF"/>
        </w:rPr>
        <w:t xml:space="preserve"> </w:t>
      </w:r>
      <w:r>
        <w:t>Vislielākā un nozīmīgākā novada upe ir Daugava, kura šķērso novada un Latvijas teritoriju (upes kopējais garums – 1005 km, Latvijas teritorijā – 352 km, gada notece 24,45 km</w:t>
      </w:r>
      <w:r>
        <w:rPr>
          <w:vertAlign w:val="superscript"/>
        </w:rPr>
        <w:t>3</w:t>
      </w:r>
      <w:r>
        <w:t>). Daugavas ūdens pieder pie vāji mineralizētiem ūdeņiem. Daugavas ūdens ir nozīmīgs kā atjaunojamais enerģētiskais resurss, ko izmanto elektroenerģijas ražošanai – Aizkraukles novadā darbojas Pļaviņu HES. Pļaviņu HES ir nozīmīga loma Latvijas enerģētikā – tā jaudas ziņā ir lielākā hidroelektrostacija Baltijā un otra lielākā Eiropas Savienībā, un veido daļu no Daugavas HES kaskādes. Pļaviņu HES ūdenskrātuve ir lielākais mākslīgi uzpludinātais virszemes ūdensobjekts Latvijas teritorijā: tās kopējā platība ir 32,4 km2 un vidējais dziļums – 14,6 m. Daugavas upes un ūdenskrātuves ūdeņi izmantojami arī zivsaimniecībā un rekreācijā. Aizkraukles novadā Daugava kā artērija plūst caur bijušajiem Aizkraukles, Kokneses, Jaunjelgavas, Skrīveru un Pļaviņu novadiem, izņemot Neretas novadu. Daugavas upes ūdens labas kvalitātes nodrošināšanai un upes baseina apsaimniekošanai ir ļoti nozīmīga loma, jo jebkura saimnieciskā darbība upē atstāj ietekmi arī uz Latvijas galvaspilsētu, kurai Daugavas Rīgas HES ūdenskrātuve kalpo, kā dzeramā ūdens ņemšanas vieta.</w:t>
      </w:r>
    </w:p>
    <w:p w:rsidR="00A9033C" w:rsidRPr="007F15EB" w:rsidP="00A20CCB" w14:paraId="02748D2C" w14:textId="77777777">
      <w:pPr>
        <w:spacing w:after="0" w:line="240" w:lineRule="auto"/>
        <w:ind w:firstLine="709"/>
        <w:jc w:val="both"/>
      </w:pPr>
    </w:p>
    <w:p w:rsidR="00FA68C0" w:rsidRPr="007F15EB" w:rsidP="00E213C9" w14:paraId="39115B9F" w14:textId="59DB588D">
      <w:pPr>
        <w:pStyle w:val="Heading2"/>
        <w:numPr>
          <w:ilvl w:val="0"/>
          <w:numId w:val="1"/>
        </w:numPr>
      </w:pPr>
      <w:bookmarkStart w:id="0" w:name="_Toc201145437"/>
      <w:r>
        <w:t>IEDZĪVOTĀJI</w:t>
      </w:r>
      <w:bookmarkEnd w:id="0"/>
      <w:r>
        <w:t xml:space="preserve"> </w:t>
      </w:r>
    </w:p>
    <w:p w:rsidR="00CD2086" w:rsidP="002A64FE" w14:paraId="035BF9EA" w14:textId="4CA457F3">
      <w:pPr>
        <w:spacing w:after="0" w:line="240" w:lineRule="auto"/>
        <w:ind w:firstLine="567"/>
        <w:jc w:val="both"/>
      </w:pPr>
      <w:r>
        <w:t>Iedzīvotāju skaits 2025. gada 1.jūlijā pēc Oficiālās statistikas portāla datiem bija 29</w:t>
      </w:r>
      <w:r w:rsidR="002A64FE">
        <w:t> </w:t>
      </w:r>
      <w:r>
        <w:t>240</w:t>
      </w:r>
      <w:r w:rsidR="002A64FE">
        <w:t>.</w:t>
      </w:r>
      <w:r>
        <w:t xml:space="preserve"> Līdzīgi kā lielākajā daļā novadu, iedzīvotāju skaits ik gadu samazinās. Saskaņā ar iedzīvotāju skaita prognozi 2030. gadam Aizkraukles novadā iedzīvotāju skaits varētu samazināties par 16,3%.</w:t>
      </w:r>
    </w:p>
    <w:p w:rsidR="000E4820" w:rsidRPr="007F15EB" w:rsidP="002A64FE" w14:paraId="56B2B6F6" w14:textId="51F8DDA4">
      <w:pPr>
        <w:spacing w:after="0" w:line="240" w:lineRule="auto"/>
        <w:ind w:firstLine="567"/>
        <w:jc w:val="both"/>
      </w:pPr>
      <w:r>
        <w:t xml:space="preserve">Vislielākais iedzīvotāju blīvums ir Aizkrauklē, bet vismazāk blīvi apdzīvotās ir teritorijas ziņā lielākās apvienības – Neretas un Jaunjelgavas. </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397"/>
        <w:gridCol w:w="1701"/>
        <w:gridCol w:w="1560"/>
        <w:gridCol w:w="1685"/>
      </w:tblGrid>
      <w:tr w14:paraId="6B5C1BD8" w14:textId="77777777" w:rsidTr="008F0174">
        <w:tblPrEx>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Ex>
        <w:trPr>
          <w:jc w:val="center"/>
        </w:trPr>
        <w:tc>
          <w:tcPr>
            <w:tcW w:w="3397" w:type="dxa"/>
            <w:tcBorders>
              <w:top w:val="single" w:sz="4" w:space="0" w:color="B0BEC5"/>
              <w:left w:val="single" w:sz="4" w:space="0" w:color="B0BEC5"/>
              <w:bottom w:val="single" w:sz="4" w:space="0" w:color="B0BEC5"/>
              <w:right w:val="single" w:sz="4" w:space="0" w:color="B0BEC5"/>
            </w:tcBorders>
            <w:shd w:val="clear" w:color="auto" w:fill="D9E2F3"/>
            <w:tcMar>
              <w:top w:w="100" w:type="dxa"/>
              <w:left w:w="120" w:type="dxa"/>
              <w:bottom w:w="100" w:type="dxa"/>
              <w:right w:w="120" w:type="dxa"/>
            </w:tcMar>
            <w:vAlign w:val="center"/>
          </w:tcPr>
          <w:p w:rsidR="00157BCF" w:rsidP="008F0174" w14:paraId="162E60EB" w14:textId="77777777">
            <w:r>
              <w:rPr>
                <w:b/>
                <w:bCs/>
                <w:sz w:val="20"/>
                <w:szCs w:val="20"/>
              </w:rPr>
              <w:t>Teritorija</w:t>
            </w:r>
          </w:p>
        </w:tc>
        <w:tc>
          <w:tcPr>
            <w:tcW w:w="1701" w:type="dxa"/>
            <w:tcBorders>
              <w:top w:val="single" w:sz="4" w:space="0" w:color="B0BEC5"/>
              <w:left w:val="single" w:sz="4" w:space="0" w:color="B0BEC5"/>
              <w:bottom w:val="single" w:sz="4" w:space="0" w:color="B0BEC5"/>
              <w:right w:val="single" w:sz="4" w:space="0" w:color="B0BEC5"/>
            </w:tcBorders>
            <w:shd w:val="clear" w:color="auto" w:fill="D9E2F3"/>
            <w:tcMar>
              <w:top w:w="100" w:type="dxa"/>
              <w:left w:w="120" w:type="dxa"/>
              <w:bottom w:w="100" w:type="dxa"/>
              <w:right w:w="120" w:type="dxa"/>
            </w:tcMar>
            <w:vAlign w:val="center"/>
          </w:tcPr>
          <w:p w:rsidR="00157BCF" w:rsidP="008F0174" w14:paraId="0C48C5AE" w14:textId="77777777">
            <w:r>
              <w:rPr>
                <w:b/>
                <w:bCs/>
                <w:sz w:val="20"/>
                <w:szCs w:val="20"/>
              </w:rPr>
              <w:t>2023</w:t>
            </w:r>
          </w:p>
        </w:tc>
        <w:tc>
          <w:tcPr>
            <w:tcW w:w="1560" w:type="dxa"/>
            <w:tcBorders>
              <w:top w:val="single" w:sz="4" w:space="0" w:color="B0BEC5"/>
              <w:left w:val="single" w:sz="4" w:space="0" w:color="B0BEC5"/>
              <w:bottom w:val="single" w:sz="4" w:space="0" w:color="B0BEC5"/>
              <w:right w:val="single" w:sz="4" w:space="0" w:color="B0BEC5"/>
            </w:tcBorders>
            <w:shd w:val="clear" w:color="auto" w:fill="D9E2F3"/>
            <w:tcMar>
              <w:top w:w="100" w:type="dxa"/>
              <w:left w:w="120" w:type="dxa"/>
              <w:bottom w:w="100" w:type="dxa"/>
              <w:right w:w="120" w:type="dxa"/>
            </w:tcMar>
            <w:vAlign w:val="center"/>
          </w:tcPr>
          <w:p w:rsidR="00157BCF" w:rsidP="008F0174" w14:paraId="5ED4616D" w14:textId="77777777">
            <w:r>
              <w:rPr>
                <w:b/>
                <w:bCs/>
                <w:sz w:val="20"/>
                <w:szCs w:val="20"/>
              </w:rPr>
              <w:t>2024</w:t>
            </w:r>
          </w:p>
        </w:tc>
        <w:tc>
          <w:tcPr>
            <w:tcW w:w="1685" w:type="dxa"/>
            <w:tcBorders>
              <w:top w:val="single" w:sz="4" w:space="0" w:color="B0BEC5"/>
              <w:left w:val="single" w:sz="4" w:space="0" w:color="B0BEC5"/>
              <w:bottom w:val="single" w:sz="4" w:space="0" w:color="B0BEC5"/>
              <w:right w:val="single" w:sz="4" w:space="0" w:color="B0BEC5"/>
            </w:tcBorders>
            <w:shd w:val="clear" w:color="auto" w:fill="D9E2F3"/>
          </w:tcPr>
          <w:p w:rsidR="00157BCF" w:rsidP="008F0174" w14:paraId="14AA7BCD" w14:textId="77777777">
            <w:pPr>
              <w:ind w:left="121"/>
              <w:rPr>
                <w:b/>
                <w:bCs/>
                <w:sz w:val="20"/>
                <w:szCs w:val="20"/>
              </w:rPr>
            </w:pPr>
            <w:r>
              <w:rPr>
                <w:b/>
                <w:bCs/>
                <w:sz w:val="20"/>
                <w:szCs w:val="20"/>
              </w:rPr>
              <w:t>2025</w:t>
            </w:r>
          </w:p>
        </w:tc>
      </w:tr>
      <w:tr w14:paraId="54F91F40" w14:textId="77777777" w:rsidTr="008F0174">
        <w:tblPrEx>
          <w:tblW w:w="8343" w:type="dxa"/>
          <w:jc w:val="center"/>
          <w:tblCellMar>
            <w:left w:w="10" w:type="dxa"/>
            <w:right w:w="10" w:type="dxa"/>
          </w:tblCellMar>
          <w:tblLook w:val="0000"/>
        </w:tblPrEx>
        <w:trPr>
          <w:jc w:val="center"/>
        </w:trPr>
        <w:tc>
          <w:tcPr>
            <w:tcW w:w="3397"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47A52C66" w14:textId="77777777">
            <w:r>
              <w:rPr>
                <w:sz w:val="20"/>
                <w:szCs w:val="20"/>
              </w:rPr>
              <w:t>Aizkraukle</w:t>
            </w:r>
          </w:p>
        </w:tc>
        <w:tc>
          <w:tcPr>
            <w:tcW w:w="1701"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26A51382" w14:textId="77777777">
            <w:r>
              <w:rPr>
                <w:sz w:val="20"/>
                <w:szCs w:val="20"/>
              </w:rPr>
              <w:t>7 253</w:t>
            </w:r>
          </w:p>
        </w:tc>
        <w:tc>
          <w:tcPr>
            <w:tcW w:w="1560"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25EA1C86" w14:textId="77777777">
            <w:r>
              <w:rPr>
                <w:sz w:val="20"/>
                <w:szCs w:val="20"/>
              </w:rPr>
              <w:t>7 136</w:t>
            </w:r>
          </w:p>
        </w:tc>
        <w:tc>
          <w:tcPr>
            <w:tcW w:w="1685" w:type="dxa"/>
            <w:tcBorders>
              <w:top w:val="single" w:sz="4" w:space="0" w:color="B0BEC5"/>
              <w:left w:val="single" w:sz="4" w:space="0" w:color="B0BEC5"/>
              <w:bottom w:val="single" w:sz="4" w:space="0" w:color="B0BEC5"/>
              <w:right w:val="single" w:sz="4" w:space="0" w:color="B0BEC5"/>
            </w:tcBorders>
          </w:tcPr>
          <w:p w:rsidR="00157BCF" w:rsidP="008F0174" w14:paraId="2155004C" w14:textId="77777777">
            <w:pPr>
              <w:ind w:left="121"/>
              <w:rPr>
                <w:sz w:val="20"/>
                <w:szCs w:val="20"/>
              </w:rPr>
            </w:pPr>
            <w:r>
              <w:rPr>
                <w:sz w:val="20"/>
                <w:szCs w:val="20"/>
              </w:rPr>
              <w:t>6997</w:t>
            </w:r>
          </w:p>
        </w:tc>
      </w:tr>
      <w:tr w14:paraId="6BF5CCF4" w14:textId="77777777" w:rsidTr="008F0174">
        <w:tblPrEx>
          <w:tblW w:w="8343" w:type="dxa"/>
          <w:jc w:val="center"/>
          <w:tblCellMar>
            <w:left w:w="10" w:type="dxa"/>
            <w:right w:w="10" w:type="dxa"/>
          </w:tblCellMar>
          <w:tblLook w:val="0000"/>
        </w:tblPrEx>
        <w:trPr>
          <w:jc w:val="center"/>
        </w:trPr>
        <w:tc>
          <w:tcPr>
            <w:tcW w:w="3397"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7430CA91" w14:textId="77777777">
            <w:r>
              <w:rPr>
                <w:sz w:val="20"/>
                <w:szCs w:val="20"/>
              </w:rPr>
              <w:t>Aizkraukles pagasts</w:t>
            </w:r>
          </w:p>
        </w:tc>
        <w:tc>
          <w:tcPr>
            <w:tcW w:w="1701"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0ED8013C" w14:textId="77777777">
            <w:r>
              <w:rPr>
                <w:sz w:val="20"/>
                <w:szCs w:val="20"/>
              </w:rPr>
              <w:t>993</w:t>
            </w:r>
          </w:p>
        </w:tc>
        <w:tc>
          <w:tcPr>
            <w:tcW w:w="1560"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0FB40549" w14:textId="77777777">
            <w:r>
              <w:rPr>
                <w:sz w:val="20"/>
                <w:szCs w:val="20"/>
              </w:rPr>
              <w:t>989</w:t>
            </w:r>
          </w:p>
        </w:tc>
        <w:tc>
          <w:tcPr>
            <w:tcW w:w="1685" w:type="dxa"/>
            <w:tcBorders>
              <w:top w:val="single" w:sz="4" w:space="0" w:color="B0BEC5"/>
              <w:left w:val="single" w:sz="4" w:space="0" w:color="B0BEC5"/>
              <w:bottom w:val="single" w:sz="4" w:space="0" w:color="B0BEC5"/>
              <w:right w:val="single" w:sz="4" w:space="0" w:color="B0BEC5"/>
            </w:tcBorders>
            <w:shd w:val="clear" w:color="auto" w:fill="EEF2F9"/>
          </w:tcPr>
          <w:p w:rsidR="00157BCF" w:rsidP="008F0174" w14:paraId="083B74A0" w14:textId="77777777">
            <w:pPr>
              <w:ind w:left="121"/>
              <w:rPr>
                <w:sz w:val="20"/>
                <w:szCs w:val="20"/>
              </w:rPr>
            </w:pPr>
            <w:r>
              <w:rPr>
                <w:sz w:val="20"/>
                <w:szCs w:val="20"/>
              </w:rPr>
              <w:t>945</w:t>
            </w:r>
          </w:p>
        </w:tc>
      </w:tr>
      <w:tr w14:paraId="5DC3E460" w14:textId="77777777" w:rsidTr="008F0174">
        <w:tblPrEx>
          <w:tblW w:w="8343" w:type="dxa"/>
          <w:jc w:val="center"/>
          <w:tblCellMar>
            <w:left w:w="10" w:type="dxa"/>
            <w:right w:w="10" w:type="dxa"/>
          </w:tblCellMar>
          <w:tblLook w:val="0000"/>
        </w:tblPrEx>
        <w:trPr>
          <w:jc w:val="center"/>
        </w:trPr>
        <w:tc>
          <w:tcPr>
            <w:tcW w:w="3397"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4FC49AA2" w14:textId="77777777">
            <w:r>
              <w:rPr>
                <w:sz w:val="20"/>
                <w:szCs w:val="20"/>
              </w:rPr>
              <w:t>Jaunjelgavas apvienībā</w:t>
            </w:r>
          </w:p>
        </w:tc>
        <w:tc>
          <w:tcPr>
            <w:tcW w:w="1701"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446D2B91" w14:textId="77777777">
            <w:r>
              <w:rPr>
                <w:sz w:val="20"/>
                <w:szCs w:val="20"/>
              </w:rPr>
              <w:t>5 342</w:t>
            </w:r>
          </w:p>
        </w:tc>
        <w:tc>
          <w:tcPr>
            <w:tcW w:w="1560"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2B2D370A" w14:textId="77777777">
            <w:r>
              <w:rPr>
                <w:sz w:val="20"/>
                <w:szCs w:val="20"/>
              </w:rPr>
              <w:t>5 222</w:t>
            </w:r>
          </w:p>
        </w:tc>
        <w:tc>
          <w:tcPr>
            <w:tcW w:w="1685" w:type="dxa"/>
            <w:tcBorders>
              <w:top w:val="single" w:sz="4" w:space="0" w:color="B0BEC5"/>
              <w:left w:val="single" w:sz="4" w:space="0" w:color="B0BEC5"/>
              <w:bottom w:val="single" w:sz="4" w:space="0" w:color="B0BEC5"/>
              <w:right w:val="single" w:sz="4" w:space="0" w:color="B0BEC5"/>
            </w:tcBorders>
          </w:tcPr>
          <w:p w:rsidR="00157BCF" w:rsidP="008F0174" w14:paraId="00A53A8D" w14:textId="77777777">
            <w:pPr>
              <w:ind w:left="121"/>
              <w:rPr>
                <w:sz w:val="20"/>
                <w:szCs w:val="20"/>
              </w:rPr>
            </w:pPr>
            <w:r>
              <w:rPr>
                <w:sz w:val="20"/>
                <w:szCs w:val="20"/>
              </w:rPr>
              <w:t>5120</w:t>
            </w:r>
          </w:p>
        </w:tc>
      </w:tr>
      <w:tr w14:paraId="7E07D1A4" w14:textId="77777777" w:rsidTr="008F0174">
        <w:tblPrEx>
          <w:tblW w:w="8343" w:type="dxa"/>
          <w:jc w:val="center"/>
          <w:tblCellMar>
            <w:left w:w="10" w:type="dxa"/>
            <w:right w:w="10" w:type="dxa"/>
          </w:tblCellMar>
          <w:tblLook w:val="0000"/>
        </w:tblPrEx>
        <w:trPr>
          <w:jc w:val="center"/>
        </w:trPr>
        <w:tc>
          <w:tcPr>
            <w:tcW w:w="3397"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3F1D16B6" w14:textId="77777777">
            <w:r>
              <w:rPr>
                <w:sz w:val="20"/>
                <w:szCs w:val="20"/>
              </w:rPr>
              <w:t xml:space="preserve">  t.sk. Jaunjelgava</w:t>
            </w:r>
          </w:p>
        </w:tc>
        <w:tc>
          <w:tcPr>
            <w:tcW w:w="1701"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59FD0F45" w14:textId="77777777">
            <w:r>
              <w:rPr>
                <w:sz w:val="20"/>
                <w:szCs w:val="20"/>
              </w:rPr>
              <w:t>1 903</w:t>
            </w:r>
          </w:p>
        </w:tc>
        <w:tc>
          <w:tcPr>
            <w:tcW w:w="1560"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5C3FAB06" w14:textId="77777777">
            <w:r>
              <w:rPr>
                <w:sz w:val="20"/>
                <w:szCs w:val="20"/>
              </w:rPr>
              <w:t>1 850</w:t>
            </w:r>
          </w:p>
        </w:tc>
        <w:tc>
          <w:tcPr>
            <w:tcW w:w="1685" w:type="dxa"/>
            <w:tcBorders>
              <w:top w:val="single" w:sz="4" w:space="0" w:color="B0BEC5"/>
              <w:left w:val="single" w:sz="4" w:space="0" w:color="B0BEC5"/>
              <w:bottom w:val="single" w:sz="4" w:space="0" w:color="B0BEC5"/>
              <w:right w:val="single" w:sz="4" w:space="0" w:color="B0BEC5"/>
            </w:tcBorders>
            <w:shd w:val="clear" w:color="auto" w:fill="EEF2F9"/>
          </w:tcPr>
          <w:p w:rsidR="00157BCF" w:rsidP="008F0174" w14:paraId="1190E0AC" w14:textId="77777777">
            <w:pPr>
              <w:ind w:left="121"/>
              <w:rPr>
                <w:sz w:val="20"/>
                <w:szCs w:val="20"/>
              </w:rPr>
            </w:pPr>
            <w:r>
              <w:rPr>
                <w:sz w:val="20"/>
                <w:szCs w:val="20"/>
              </w:rPr>
              <w:t>1771</w:t>
            </w:r>
          </w:p>
        </w:tc>
      </w:tr>
      <w:tr w14:paraId="08DAB357" w14:textId="77777777" w:rsidTr="008F0174">
        <w:tblPrEx>
          <w:tblW w:w="8343" w:type="dxa"/>
          <w:jc w:val="center"/>
          <w:tblCellMar>
            <w:left w:w="10" w:type="dxa"/>
            <w:right w:w="10" w:type="dxa"/>
          </w:tblCellMar>
          <w:tblLook w:val="0000"/>
        </w:tblPrEx>
        <w:trPr>
          <w:jc w:val="center"/>
        </w:trPr>
        <w:tc>
          <w:tcPr>
            <w:tcW w:w="3397"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0D027266" w14:textId="77777777">
            <w:r>
              <w:rPr>
                <w:sz w:val="20"/>
                <w:szCs w:val="20"/>
              </w:rPr>
              <w:t>Kokneses apvienība</w:t>
            </w:r>
          </w:p>
        </w:tc>
        <w:tc>
          <w:tcPr>
            <w:tcW w:w="1701"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31EB633C" w14:textId="77777777">
            <w:r>
              <w:rPr>
                <w:sz w:val="20"/>
                <w:szCs w:val="20"/>
              </w:rPr>
              <w:t>5 212</w:t>
            </w:r>
          </w:p>
        </w:tc>
        <w:tc>
          <w:tcPr>
            <w:tcW w:w="1560"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2E4AC6C5" w14:textId="77777777">
            <w:r>
              <w:rPr>
                <w:sz w:val="20"/>
                <w:szCs w:val="20"/>
              </w:rPr>
              <w:t>5 174</w:t>
            </w:r>
          </w:p>
        </w:tc>
        <w:tc>
          <w:tcPr>
            <w:tcW w:w="1685" w:type="dxa"/>
            <w:tcBorders>
              <w:top w:val="single" w:sz="4" w:space="0" w:color="B0BEC5"/>
              <w:left w:val="single" w:sz="4" w:space="0" w:color="B0BEC5"/>
              <w:bottom w:val="single" w:sz="4" w:space="0" w:color="B0BEC5"/>
              <w:right w:val="single" w:sz="4" w:space="0" w:color="B0BEC5"/>
            </w:tcBorders>
          </w:tcPr>
          <w:p w:rsidR="00157BCF" w:rsidP="008F0174" w14:paraId="05B84278" w14:textId="77777777">
            <w:pPr>
              <w:ind w:left="121"/>
              <w:rPr>
                <w:sz w:val="20"/>
                <w:szCs w:val="20"/>
              </w:rPr>
            </w:pPr>
            <w:r>
              <w:rPr>
                <w:sz w:val="20"/>
                <w:szCs w:val="20"/>
              </w:rPr>
              <w:t>5008</w:t>
            </w:r>
          </w:p>
        </w:tc>
      </w:tr>
      <w:tr w14:paraId="5EE980D9" w14:textId="77777777" w:rsidTr="008F0174">
        <w:tblPrEx>
          <w:tblW w:w="8343" w:type="dxa"/>
          <w:jc w:val="center"/>
          <w:tblCellMar>
            <w:left w:w="10" w:type="dxa"/>
            <w:right w:w="10" w:type="dxa"/>
          </w:tblCellMar>
          <w:tblLook w:val="0000"/>
        </w:tblPrEx>
        <w:trPr>
          <w:jc w:val="center"/>
        </w:trPr>
        <w:tc>
          <w:tcPr>
            <w:tcW w:w="3397"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491EB77E" w14:textId="77777777">
            <w:r>
              <w:rPr>
                <w:sz w:val="20"/>
                <w:szCs w:val="20"/>
              </w:rPr>
              <w:t xml:space="preserve">  t.sk. Koknese</w:t>
            </w:r>
          </w:p>
        </w:tc>
        <w:tc>
          <w:tcPr>
            <w:tcW w:w="1701"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3A724107" w14:textId="77777777">
            <w:r>
              <w:rPr>
                <w:sz w:val="20"/>
                <w:szCs w:val="20"/>
              </w:rPr>
              <w:t>2 603</w:t>
            </w:r>
          </w:p>
        </w:tc>
        <w:tc>
          <w:tcPr>
            <w:tcW w:w="1560"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4C3584BB" w14:textId="77777777">
            <w:r>
              <w:rPr>
                <w:sz w:val="20"/>
                <w:szCs w:val="20"/>
              </w:rPr>
              <w:t>2 579</w:t>
            </w:r>
          </w:p>
        </w:tc>
        <w:tc>
          <w:tcPr>
            <w:tcW w:w="1685" w:type="dxa"/>
            <w:tcBorders>
              <w:top w:val="single" w:sz="4" w:space="0" w:color="B0BEC5"/>
              <w:left w:val="single" w:sz="4" w:space="0" w:color="B0BEC5"/>
              <w:bottom w:val="single" w:sz="4" w:space="0" w:color="B0BEC5"/>
              <w:right w:val="single" w:sz="4" w:space="0" w:color="B0BEC5"/>
            </w:tcBorders>
            <w:shd w:val="clear" w:color="auto" w:fill="EEF2F9"/>
          </w:tcPr>
          <w:p w:rsidR="00157BCF" w:rsidP="008F0174" w14:paraId="3C31D5F2" w14:textId="77777777">
            <w:pPr>
              <w:ind w:left="121"/>
              <w:rPr>
                <w:sz w:val="20"/>
                <w:szCs w:val="20"/>
              </w:rPr>
            </w:pPr>
            <w:r>
              <w:rPr>
                <w:sz w:val="20"/>
                <w:szCs w:val="20"/>
              </w:rPr>
              <w:t>2504</w:t>
            </w:r>
          </w:p>
        </w:tc>
      </w:tr>
      <w:tr w14:paraId="47F95B23" w14:textId="77777777" w:rsidTr="008F0174">
        <w:tblPrEx>
          <w:tblW w:w="8343" w:type="dxa"/>
          <w:jc w:val="center"/>
          <w:tblCellMar>
            <w:left w:w="10" w:type="dxa"/>
            <w:right w:w="10" w:type="dxa"/>
          </w:tblCellMar>
          <w:tblLook w:val="0000"/>
        </w:tblPrEx>
        <w:trPr>
          <w:jc w:val="center"/>
        </w:trPr>
        <w:tc>
          <w:tcPr>
            <w:tcW w:w="3397"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3F01002A" w14:textId="77777777">
            <w:r>
              <w:rPr>
                <w:sz w:val="20"/>
                <w:szCs w:val="20"/>
              </w:rPr>
              <w:t>Neretas apvienība</w:t>
            </w:r>
          </w:p>
        </w:tc>
        <w:tc>
          <w:tcPr>
            <w:tcW w:w="1701"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24702459" w14:textId="77777777">
            <w:r>
              <w:rPr>
                <w:sz w:val="20"/>
                <w:szCs w:val="20"/>
              </w:rPr>
              <w:t>3 231</w:t>
            </w:r>
          </w:p>
        </w:tc>
        <w:tc>
          <w:tcPr>
            <w:tcW w:w="1560"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7D2F430B" w14:textId="77777777">
            <w:r>
              <w:rPr>
                <w:sz w:val="20"/>
                <w:szCs w:val="20"/>
              </w:rPr>
              <w:t>3 152</w:t>
            </w:r>
          </w:p>
        </w:tc>
        <w:tc>
          <w:tcPr>
            <w:tcW w:w="1685" w:type="dxa"/>
            <w:tcBorders>
              <w:top w:val="single" w:sz="4" w:space="0" w:color="B0BEC5"/>
              <w:left w:val="single" w:sz="4" w:space="0" w:color="B0BEC5"/>
              <w:bottom w:val="single" w:sz="4" w:space="0" w:color="B0BEC5"/>
              <w:right w:val="single" w:sz="4" w:space="0" w:color="B0BEC5"/>
            </w:tcBorders>
          </w:tcPr>
          <w:p w:rsidR="00157BCF" w:rsidP="008F0174" w14:paraId="192BFF99" w14:textId="77777777">
            <w:pPr>
              <w:ind w:left="121"/>
              <w:rPr>
                <w:sz w:val="20"/>
                <w:szCs w:val="20"/>
              </w:rPr>
            </w:pPr>
            <w:r>
              <w:rPr>
                <w:sz w:val="20"/>
                <w:szCs w:val="20"/>
              </w:rPr>
              <w:t>3055</w:t>
            </w:r>
          </w:p>
        </w:tc>
      </w:tr>
      <w:tr w14:paraId="39557A13" w14:textId="77777777" w:rsidTr="008F0174">
        <w:tblPrEx>
          <w:tblW w:w="8343" w:type="dxa"/>
          <w:jc w:val="center"/>
          <w:tblCellMar>
            <w:left w:w="10" w:type="dxa"/>
            <w:right w:w="10" w:type="dxa"/>
          </w:tblCellMar>
          <w:tblLook w:val="0000"/>
        </w:tblPrEx>
        <w:trPr>
          <w:jc w:val="center"/>
        </w:trPr>
        <w:tc>
          <w:tcPr>
            <w:tcW w:w="3397"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442A1D4A" w14:textId="77777777">
            <w:r>
              <w:rPr>
                <w:sz w:val="20"/>
                <w:szCs w:val="20"/>
              </w:rPr>
              <w:t>Pļaviņu apvienība</w:t>
            </w:r>
          </w:p>
        </w:tc>
        <w:tc>
          <w:tcPr>
            <w:tcW w:w="1701"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1EB275FA" w14:textId="77777777">
            <w:r>
              <w:rPr>
                <w:sz w:val="20"/>
                <w:szCs w:val="20"/>
              </w:rPr>
              <w:t>4 864</w:t>
            </w:r>
          </w:p>
        </w:tc>
        <w:tc>
          <w:tcPr>
            <w:tcW w:w="1560"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3F64C658" w14:textId="77777777">
            <w:r>
              <w:rPr>
                <w:sz w:val="20"/>
                <w:szCs w:val="20"/>
              </w:rPr>
              <w:t>4 829</w:t>
            </w:r>
          </w:p>
        </w:tc>
        <w:tc>
          <w:tcPr>
            <w:tcW w:w="1685" w:type="dxa"/>
            <w:tcBorders>
              <w:top w:val="single" w:sz="4" w:space="0" w:color="B0BEC5"/>
              <w:left w:val="single" w:sz="4" w:space="0" w:color="B0BEC5"/>
              <w:bottom w:val="single" w:sz="4" w:space="0" w:color="B0BEC5"/>
              <w:right w:val="single" w:sz="4" w:space="0" w:color="B0BEC5"/>
            </w:tcBorders>
            <w:shd w:val="clear" w:color="auto" w:fill="EEF2F9"/>
          </w:tcPr>
          <w:p w:rsidR="00157BCF" w:rsidP="008F0174" w14:paraId="181A0599" w14:textId="77777777">
            <w:pPr>
              <w:ind w:left="121"/>
              <w:rPr>
                <w:sz w:val="20"/>
                <w:szCs w:val="20"/>
              </w:rPr>
            </w:pPr>
            <w:r>
              <w:rPr>
                <w:sz w:val="20"/>
                <w:szCs w:val="20"/>
              </w:rPr>
              <w:t>4777</w:t>
            </w:r>
          </w:p>
        </w:tc>
      </w:tr>
      <w:tr w14:paraId="492987E1" w14:textId="77777777" w:rsidTr="008F0174">
        <w:tblPrEx>
          <w:tblW w:w="8343" w:type="dxa"/>
          <w:jc w:val="center"/>
          <w:tblCellMar>
            <w:left w:w="10" w:type="dxa"/>
            <w:right w:w="10" w:type="dxa"/>
          </w:tblCellMar>
          <w:tblLook w:val="0000"/>
        </w:tblPrEx>
        <w:trPr>
          <w:jc w:val="center"/>
        </w:trPr>
        <w:tc>
          <w:tcPr>
            <w:tcW w:w="3397"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1F390D49" w14:textId="77777777">
            <w:r>
              <w:rPr>
                <w:sz w:val="20"/>
                <w:szCs w:val="20"/>
              </w:rPr>
              <w:t xml:space="preserve">  t.sk. Pļaviņas</w:t>
            </w:r>
          </w:p>
        </w:tc>
        <w:tc>
          <w:tcPr>
            <w:tcW w:w="1701"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6ABF6FF3" w14:textId="77777777">
            <w:r>
              <w:rPr>
                <w:sz w:val="20"/>
                <w:szCs w:val="20"/>
              </w:rPr>
              <w:t>2 994</w:t>
            </w:r>
          </w:p>
        </w:tc>
        <w:tc>
          <w:tcPr>
            <w:tcW w:w="1560" w:type="dxa"/>
            <w:tcBorders>
              <w:top w:val="single" w:sz="4" w:space="0" w:color="B0BEC5"/>
              <w:left w:val="single" w:sz="4" w:space="0" w:color="B0BEC5"/>
              <w:bottom w:val="single" w:sz="4" w:space="0" w:color="B0BEC5"/>
              <w:right w:val="single" w:sz="4" w:space="0" w:color="B0BEC5"/>
            </w:tcBorders>
            <w:tcMar>
              <w:top w:w="100" w:type="dxa"/>
              <w:left w:w="120" w:type="dxa"/>
              <w:bottom w:w="100" w:type="dxa"/>
              <w:right w:w="120" w:type="dxa"/>
            </w:tcMar>
            <w:vAlign w:val="center"/>
          </w:tcPr>
          <w:p w:rsidR="00157BCF" w:rsidP="008F0174" w14:paraId="4D36B397" w14:textId="77777777">
            <w:r>
              <w:rPr>
                <w:sz w:val="20"/>
                <w:szCs w:val="20"/>
              </w:rPr>
              <w:t>2 950</w:t>
            </w:r>
          </w:p>
        </w:tc>
        <w:tc>
          <w:tcPr>
            <w:tcW w:w="1685" w:type="dxa"/>
            <w:tcBorders>
              <w:top w:val="single" w:sz="4" w:space="0" w:color="B0BEC5"/>
              <w:left w:val="single" w:sz="4" w:space="0" w:color="B0BEC5"/>
              <w:bottom w:val="single" w:sz="4" w:space="0" w:color="B0BEC5"/>
              <w:right w:val="single" w:sz="4" w:space="0" w:color="B0BEC5"/>
            </w:tcBorders>
          </w:tcPr>
          <w:p w:rsidR="00157BCF" w:rsidP="008F0174" w14:paraId="46947A6D" w14:textId="77777777">
            <w:pPr>
              <w:ind w:left="121"/>
              <w:rPr>
                <w:sz w:val="20"/>
                <w:szCs w:val="20"/>
              </w:rPr>
            </w:pPr>
            <w:r>
              <w:rPr>
                <w:sz w:val="20"/>
                <w:szCs w:val="20"/>
              </w:rPr>
              <w:t>2935</w:t>
            </w:r>
          </w:p>
        </w:tc>
      </w:tr>
      <w:tr w14:paraId="505183A5" w14:textId="77777777" w:rsidTr="008F0174">
        <w:tblPrEx>
          <w:tblW w:w="8343" w:type="dxa"/>
          <w:jc w:val="center"/>
          <w:tblCellMar>
            <w:left w:w="10" w:type="dxa"/>
            <w:right w:w="10" w:type="dxa"/>
          </w:tblCellMar>
          <w:tblLook w:val="0000"/>
        </w:tblPrEx>
        <w:trPr>
          <w:jc w:val="center"/>
        </w:trPr>
        <w:tc>
          <w:tcPr>
            <w:tcW w:w="3397"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594EAC3C" w14:textId="77777777">
            <w:r>
              <w:rPr>
                <w:sz w:val="20"/>
                <w:szCs w:val="20"/>
              </w:rPr>
              <w:t>Skrīveru pagasts</w:t>
            </w:r>
          </w:p>
        </w:tc>
        <w:tc>
          <w:tcPr>
            <w:tcW w:w="1701"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3A327069" w14:textId="77777777">
            <w:r>
              <w:rPr>
                <w:sz w:val="20"/>
                <w:szCs w:val="20"/>
              </w:rPr>
              <w:t>3 434</w:t>
            </w:r>
          </w:p>
        </w:tc>
        <w:tc>
          <w:tcPr>
            <w:tcW w:w="1560" w:type="dxa"/>
            <w:tcBorders>
              <w:top w:val="single" w:sz="4" w:space="0" w:color="B0BEC5"/>
              <w:left w:val="single" w:sz="4" w:space="0" w:color="B0BEC5"/>
              <w:bottom w:val="single" w:sz="4" w:space="0" w:color="B0BEC5"/>
              <w:right w:val="single" w:sz="4" w:space="0" w:color="B0BEC5"/>
            </w:tcBorders>
            <w:shd w:val="clear" w:color="auto" w:fill="EEF2F9"/>
            <w:tcMar>
              <w:top w:w="100" w:type="dxa"/>
              <w:left w:w="120" w:type="dxa"/>
              <w:bottom w:w="100" w:type="dxa"/>
              <w:right w:w="120" w:type="dxa"/>
            </w:tcMar>
            <w:vAlign w:val="center"/>
          </w:tcPr>
          <w:p w:rsidR="00157BCF" w:rsidP="008F0174" w14:paraId="3C0F343A" w14:textId="77777777">
            <w:r>
              <w:rPr>
                <w:sz w:val="20"/>
                <w:szCs w:val="20"/>
              </w:rPr>
              <w:t>3 393</w:t>
            </w:r>
          </w:p>
        </w:tc>
        <w:tc>
          <w:tcPr>
            <w:tcW w:w="1685" w:type="dxa"/>
            <w:tcBorders>
              <w:top w:val="single" w:sz="4" w:space="0" w:color="B0BEC5"/>
              <w:left w:val="single" w:sz="4" w:space="0" w:color="B0BEC5"/>
              <w:bottom w:val="single" w:sz="4" w:space="0" w:color="B0BEC5"/>
              <w:right w:val="single" w:sz="4" w:space="0" w:color="B0BEC5"/>
            </w:tcBorders>
            <w:shd w:val="clear" w:color="auto" w:fill="EEF2F9"/>
          </w:tcPr>
          <w:p w:rsidR="00157BCF" w:rsidP="008F0174" w14:paraId="2E5364DF" w14:textId="77777777">
            <w:pPr>
              <w:ind w:left="121"/>
              <w:rPr>
                <w:sz w:val="20"/>
                <w:szCs w:val="20"/>
              </w:rPr>
            </w:pPr>
            <w:r>
              <w:rPr>
                <w:sz w:val="20"/>
                <w:szCs w:val="20"/>
              </w:rPr>
              <w:t>3338</w:t>
            </w:r>
          </w:p>
        </w:tc>
      </w:tr>
      <w:tr w14:paraId="5A46984D" w14:textId="77777777" w:rsidTr="008F0174">
        <w:tblPrEx>
          <w:tblW w:w="8343" w:type="dxa"/>
          <w:jc w:val="center"/>
          <w:tblCellMar>
            <w:left w:w="10" w:type="dxa"/>
            <w:right w:w="10" w:type="dxa"/>
          </w:tblCellMar>
          <w:tblLook w:val="0000"/>
        </w:tblPrEx>
        <w:trPr>
          <w:jc w:val="center"/>
        </w:trPr>
        <w:tc>
          <w:tcPr>
            <w:tcW w:w="3397" w:type="dxa"/>
            <w:tcBorders>
              <w:top w:val="single" w:sz="4" w:space="0" w:color="B0BEC5"/>
              <w:left w:val="single" w:sz="4" w:space="0" w:color="B0BEC5"/>
              <w:bottom w:val="single" w:sz="4" w:space="0" w:color="B0BEC5"/>
              <w:right w:val="single" w:sz="4" w:space="0" w:color="B0BEC5"/>
            </w:tcBorders>
            <w:shd w:val="clear" w:color="auto" w:fill="D9E2F3"/>
            <w:tcMar>
              <w:top w:w="100" w:type="dxa"/>
              <w:left w:w="120" w:type="dxa"/>
              <w:bottom w:w="100" w:type="dxa"/>
              <w:right w:w="120" w:type="dxa"/>
            </w:tcMar>
            <w:vAlign w:val="center"/>
          </w:tcPr>
          <w:p w:rsidR="00157BCF" w:rsidP="008F0174" w14:paraId="62343977" w14:textId="77777777">
            <w:r>
              <w:rPr>
                <w:b/>
                <w:bCs/>
                <w:sz w:val="20"/>
                <w:szCs w:val="20"/>
              </w:rPr>
              <w:t>AIZKRAUKLES NOVADS KOPĀ</w:t>
            </w:r>
          </w:p>
        </w:tc>
        <w:tc>
          <w:tcPr>
            <w:tcW w:w="1701" w:type="dxa"/>
            <w:tcBorders>
              <w:top w:val="single" w:sz="4" w:space="0" w:color="B0BEC5"/>
              <w:left w:val="single" w:sz="4" w:space="0" w:color="B0BEC5"/>
              <w:bottom w:val="single" w:sz="4" w:space="0" w:color="B0BEC5"/>
              <w:right w:val="single" w:sz="4" w:space="0" w:color="B0BEC5"/>
            </w:tcBorders>
            <w:shd w:val="clear" w:color="auto" w:fill="D9E2F3"/>
            <w:tcMar>
              <w:top w:w="100" w:type="dxa"/>
              <w:left w:w="120" w:type="dxa"/>
              <w:bottom w:w="100" w:type="dxa"/>
              <w:right w:w="120" w:type="dxa"/>
            </w:tcMar>
            <w:vAlign w:val="center"/>
          </w:tcPr>
          <w:p w:rsidR="00157BCF" w:rsidP="008F0174" w14:paraId="088D72FC" w14:textId="77777777">
            <w:r>
              <w:rPr>
                <w:b/>
                <w:bCs/>
                <w:sz w:val="20"/>
                <w:szCs w:val="20"/>
              </w:rPr>
              <w:t>30 329</w:t>
            </w:r>
          </w:p>
        </w:tc>
        <w:tc>
          <w:tcPr>
            <w:tcW w:w="1560" w:type="dxa"/>
            <w:tcBorders>
              <w:top w:val="single" w:sz="4" w:space="0" w:color="B0BEC5"/>
              <w:left w:val="single" w:sz="4" w:space="0" w:color="B0BEC5"/>
              <w:bottom w:val="single" w:sz="4" w:space="0" w:color="B0BEC5"/>
              <w:right w:val="single" w:sz="4" w:space="0" w:color="B0BEC5"/>
            </w:tcBorders>
            <w:shd w:val="clear" w:color="auto" w:fill="D9E2F3"/>
            <w:tcMar>
              <w:top w:w="100" w:type="dxa"/>
              <w:left w:w="120" w:type="dxa"/>
              <w:bottom w:w="100" w:type="dxa"/>
              <w:right w:w="120" w:type="dxa"/>
            </w:tcMar>
            <w:vAlign w:val="center"/>
          </w:tcPr>
          <w:p w:rsidR="00157BCF" w:rsidP="008F0174" w14:paraId="3580DE7A" w14:textId="77777777">
            <w:r>
              <w:rPr>
                <w:b/>
                <w:bCs/>
                <w:sz w:val="20"/>
                <w:szCs w:val="20"/>
              </w:rPr>
              <w:t>29 895</w:t>
            </w:r>
          </w:p>
        </w:tc>
        <w:tc>
          <w:tcPr>
            <w:tcW w:w="1685" w:type="dxa"/>
            <w:tcBorders>
              <w:top w:val="single" w:sz="4" w:space="0" w:color="B0BEC5"/>
              <w:left w:val="single" w:sz="4" w:space="0" w:color="B0BEC5"/>
              <w:bottom w:val="single" w:sz="4" w:space="0" w:color="B0BEC5"/>
              <w:right w:val="single" w:sz="4" w:space="0" w:color="B0BEC5"/>
            </w:tcBorders>
            <w:shd w:val="clear" w:color="auto" w:fill="D9E2F3"/>
          </w:tcPr>
          <w:p w:rsidR="00157BCF" w:rsidP="008F0174" w14:paraId="2BE3B940" w14:textId="77777777">
            <w:pPr>
              <w:ind w:left="121"/>
              <w:rPr>
                <w:b/>
                <w:bCs/>
                <w:sz w:val="20"/>
                <w:szCs w:val="20"/>
              </w:rPr>
            </w:pPr>
            <w:r>
              <w:rPr>
                <w:b/>
                <w:bCs/>
                <w:sz w:val="20"/>
                <w:szCs w:val="20"/>
              </w:rPr>
              <w:t>29240</w:t>
            </w:r>
          </w:p>
        </w:tc>
      </w:tr>
    </w:tbl>
    <w:p w:rsidR="00E213C9" w:rsidRPr="007F15EB" w:rsidP="00FA68C0" w14:paraId="2C372D8B" w14:textId="77777777">
      <w:pPr>
        <w:spacing w:after="0" w:line="240" w:lineRule="auto"/>
        <w:ind w:firstLine="709"/>
        <w:jc w:val="both"/>
      </w:pPr>
    </w:p>
    <w:p w:rsidR="00621E3F" w:rsidP="00621E3F" w14:paraId="125A72B1" w14:textId="1202A961">
      <w:pPr>
        <w:spacing w:after="0" w:line="240" w:lineRule="auto"/>
        <w:ind w:firstLine="709"/>
        <w:jc w:val="center"/>
        <w:rPr>
          <w:i/>
          <w:iCs/>
          <w:sz w:val="22"/>
          <w:szCs w:val="22"/>
        </w:rPr>
      </w:pPr>
      <w:r>
        <w:rPr>
          <w:i/>
          <w:iCs/>
          <w:sz w:val="22"/>
          <w:szCs w:val="22"/>
        </w:rPr>
        <w:t>i</w:t>
      </w:r>
      <w:r w:rsidR="008A0372">
        <w:rPr>
          <w:i/>
          <w:iCs/>
          <w:sz w:val="22"/>
          <w:szCs w:val="22"/>
        </w:rPr>
        <w:t>edzīvotāju skaits un dinamika Aizkraukles novadā</w:t>
      </w:r>
      <w:r>
        <w:rPr>
          <w:rStyle w:val="FootnoteReference"/>
          <w:i/>
          <w:iCs/>
          <w:sz w:val="22"/>
          <w:szCs w:val="22"/>
        </w:rPr>
        <w:footnoteReference w:id="2"/>
      </w:r>
    </w:p>
    <w:p w:rsidR="00157BCF" w:rsidRPr="007F15EB" w:rsidP="00621E3F" w14:paraId="1345AA95" w14:textId="77777777">
      <w:pPr>
        <w:spacing w:after="0" w:line="240" w:lineRule="auto"/>
        <w:ind w:firstLine="709"/>
        <w:jc w:val="center"/>
        <w:rPr>
          <w:i/>
          <w:iCs/>
          <w:sz w:val="22"/>
          <w:szCs w:val="22"/>
        </w:rPr>
      </w:pPr>
    </w:p>
    <w:p w:rsidR="00621E3F" w:rsidRPr="007F15EB" w:rsidP="002A64FE" w14:paraId="07DFDD0A" w14:textId="2F66EA29">
      <w:pPr>
        <w:spacing w:after="0" w:line="240" w:lineRule="auto"/>
        <w:ind w:firstLine="567"/>
        <w:jc w:val="both"/>
      </w:pPr>
      <w:r>
        <w:rPr>
          <w:noProof/>
        </w:rPr>
        <w:drawing>
          <wp:anchor distT="0" distB="0" distL="114300" distR="114300" simplePos="0" relativeHeight="251660288" behindDoc="1" locked="0" layoutInCell="1" allowOverlap="1">
            <wp:simplePos x="0" y="0"/>
            <wp:positionH relativeFrom="column">
              <wp:posOffset>450215</wp:posOffset>
            </wp:positionH>
            <wp:positionV relativeFrom="paragraph">
              <wp:posOffset>625994</wp:posOffset>
            </wp:positionV>
            <wp:extent cx="5486400" cy="3200400"/>
            <wp:effectExtent l="0" t="0" r="0" b="0"/>
            <wp:wrapTight wrapText="bothSides">
              <wp:wrapPolygon>
                <wp:start x="0" y="0"/>
                <wp:lineTo x="0" y="21471"/>
                <wp:lineTo x="21525" y="21471"/>
                <wp:lineTo x="21525" y="0"/>
                <wp:lineTo x="0" y="0"/>
              </wp:wrapPolygon>
            </wp:wrapTight>
            <wp:docPr id="452141843"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t>Iedzīvotāju skaita samazinājums ietekmē arī pašvaldības pieejamos finanšu resursus – lielāko pašvaldības ieņēmumu avotu – Iedzīvotāju ienākuma nodokli. Pašvaldībā ir tendence palielināties iedzīvotāju īpatsvaram vecumā virs darbspējas vecuma.</w:t>
      </w:r>
    </w:p>
    <w:p w:rsidR="00621E3F" w:rsidRPr="007F15EB" w:rsidP="00F00344" w14:paraId="192F1468" w14:textId="2FDBD58E">
      <w:pPr>
        <w:spacing w:after="0" w:line="240" w:lineRule="auto"/>
        <w:ind w:firstLine="709"/>
        <w:jc w:val="center"/>
        <w:rPr>
          <w:i/>
          <w:iCs/>
          <w:sz w:val="22"/>
          <w:szCs w:val="22"/>
        </w:rPr>
      </w:pPr>
      <w:r>
        <w:rPr>
          <w:i/>
          <w:iCs/>
          <w:sz w:val="22"/>
          <w:szCs w:val="22"/>
        </w:rPr>
        <w:t>Iedzīvotāju sadalījums pa vecuma grupām uz 2025. gada 1. janvāri (PMLP statistika).</w:t>
      </w:r>
    </w:p>
    <w:p w:rsidR="00B378F2" w:rsidRPr="007F15EB" w:rsidP="00F00344" w14:paraId="18F1D055" w14:textId="77777777">
      <w:pPr>
        <w:spacing w:after="0" w:line="240" w:lineRule="auto"/>
        <w:ind w:firstLine="709"/>
        <w:jc w:val="center"/>
        <w:rPr>
          <w:i/>
          <w:iCs/>
          <w:sz w:val="22"/>
          <w:szCs w:val="22"/>
        </w:rPr>
      </w:pPr>
    </w:p>
    <w:p w:rsidR="00884B35" w:rsidP="002A64FE" w14:paraId="4D4A155B" w14:textId="77777777">
      <w:pPr>
        <w:spacing w:after="0" w:line="276" w:lineRule="auto"/>
        <w:ind w:firstLine="567"/>
      </w:pPr>
      <w:r>
        <w:t>Iedzīvotāju sadalījumā pa darbspējas vecuma grupām 2025. gadā Aizkraukles novadā vidēji 13% iedzīvotāju bija līdz darbspējas vecumam (līdz 14 gadiem), 63% darbspējas vecumā (15–64) un 24% pēc darbspējas vecuma (no 65 gadiem).</w:t>
      </w:r>
    </w:p>
    <w:p w:rsidR="00302111" w:rsidRPr="007F15EB" w:rsidP="00B378F2" w14:paraId="13687793" w14:textId="2976C23E">
      <w:pPr>
        <w:spacing w:after="0" w:line="240" w:lineRule="auto"/>
        <w:ind w:firstLine="709"/>
        <w:jc w:val="both"/>
      </w:pPr>
    </w:p>
    <w:p w:rsidR="00237BA4" w:rsidRPr="007F15EB" w:rsidP="00791DC0" w14:paraId="3B8CFA5B" w14:textId="3302B513">
      <w:pPr>
        <w:pStyle w:val="Heading2"/>
        <w:numPr>
          <w:ilvl w:val="0"/>
          <w:numId w:val="1"/>
        </w:numPr>
      </w:pPr>
      <w:bookmarkStart w:id="1" w:name="_Toc201145438"/>
      <w:r>
        <w:t>UZŅĒMĒJDARBĪBA</w:t>
      </w:r>
      <w:bookmarkEnd w:id="1"/>
      <w:r>
        <w:t xml:space="preserve"> </w:t>
      </w:r>
    </w:p>
    <w:p w:rsidR="00C8690E" w:rsidRPr="00185475" w:rsidP="002A64FE" w14:paraId="70407A6D" w14:textId="77777777">
      <w:pPr>
        <w:pStyle w:val="NormalWeb"/>
        <w:ind w:firstLine="567"/>
        <w:jc w:val="both"/>
        <w:rPr>
          <w:color w:val="000000"/>
        </w:rPr>
      </w:pPr>
      <w:r>
        <w:rPr>
          <w:color w:val="000000"/>
        </w:rPr>
        <w:t>Aizkraukles novada Uzņēmējdarbības atbalsta centra darbības mērķis:</w:t>
      </w:r>
    </w:p>
    <w:p w:rsidR="00C8690E" w:rsidRPr="00185475" w:rsidP="002A64FE" w14:paraId="74A588A0" w14:textId="77777777">
      <w:pPr>
        <w:pStyle w:val="NormalWeb"/>
        <w:ind w:firstLine="567"/>
        <w:jc w:val="both"/>
        <w:rPr>
          <w:color w:val="000000"/>
        </w:rPr>
      </w:pPr>
      <w:r>
        <w:rPr>
          <w:color w:val="000000"/>
        </w:rPr>
        <w:t>Aizkraukles novada Uzņēmējdarbības atbalsta centrs sniedz atbalstu esošajiem un topošajiem uzņēmējiem, veicinot ilgtspējīgas un kvalitatīvas uzņēmējdarbības vides attīstību un sadarbību.</w:t>
      </w:r>
    </w:p>
    <w:p w:rsidR="00C8690E" w:rsidRPr="00185475" w:rsidP="002A64FE" w14:paraId="0D776B06" w14:textId="4275D431">
      <w:pPr>
        <w:pStyle w:val="NormalWeb"/>
        <w:ind w:firstLine="567"/>
        <w:jc w:val="both"/>
        <w:rPr>
          <w:color w:val="000000"/>
        </w:rPr>
      </w:pPr>
      <w:r>
        <w:rPr>
          <w:color w:val="000000"/>
        </w:rPr>
        <w:t>2025.</w:t>
      </w:r>
      <w:r w:rsidR="002A64FE">
        <w:rPr>
          <w:color w:val="000000"/>
        </w:rPr>
        <w:t> </w:t>
      </w:r>
      <w:r>
        <w:rPr>
          <w:color w:val="000000"/>
        </w:rPr>
        <w:t>gadā Aizkraukles novada Uzņēmējdarbības atbalsta centrs īstenoja dažādus pasākumus un aktivitātes uzņēmējdarbības attīstības veicināšanai, kā arī turpināja veiksmīgu sadarbību ar plašu sadarbības partneru loku – Zemgales plānošanas reģionu, Zemgales Uzņēmējdarbības centru, Latvijas Tirdzniecības un rūpniecības kameras Zemgales nodaļu, Latvijas Investīciju un attīstības aģentūru (LIAA), Aizkraukles rajona partnerību, finanšu institūciju ALTUM, Latvijas Lauku konsultāciju un izglītības centra Aizkraukles biroju un mācību centru „BUTS”.</w:t>
      </w:r>
    </w:p>
    <w:p w:rsidR="00C8690E" w:rsidRPr="00185475" w:rsidP="002A64FE" w14:paraId="39517343" w14:textId="77777777">
      <w:pPr>
        <w:pStyle w:val="NormalWeb"/>
        <w:ind w:firstLine="567"/>
        <w:jc w:val="both"/>
        <w:rPr>
          <w:color w:val="000000"/>
        </w:rPr>
      </w:pPr>
      <w:r>
        <w:rPr>
          <w:color w:val="000000"/>
        </w:rPr>
        <w:t>Sadarbībā ar partneriem regulāri tiek nodrošināta informācijas apmaiņa par projektu iespējām, uzņēmējdarbības pasākumiem un citām aktivitātēm, kas veicina uzņēmumu attīstību, konkurētspēju un izaugsmi.</w:t>
      </w:r>
    </w:p>
    <w:p w:rsidR="00C8690E" w:rsidRPr="00185475" w:rsidP="002A64FE" w14:paraId="04BFA005" w14:textId="77777777">
      <w:pPr>
        <w:pStyle w:val="NormalWeb"/>
        <w:ind w:firstLine="567"/>
        <w:rPr>
          <w:color w:val="000000"/>
        </w:rPr>
      </w:pPr>
      <w:r>
        <w:rPr>
          <w:color w:val="000000"/>
        </w:rPr>
        <w:t>Aizkraukles novada Uzņēmējdarbības atbalsta centra aktivitātes:</w:t>
      </w:r>
    </w:p>
    <w:p w:rsidR="00C8690E" w:rsidRPr="00185475" w:rsidP="002A64FE" w14:paraId="466A88A7" w14:textId="19332ABE">
      <w:pPr>
        <w:pStyle w:val="NormalWeb"/>
        <w:ind w:left="1134" w:hanging="567"/>
        <w:jc w:val="both"/>
        <w:rPr>
          <w:color w:val="000000"/>
        </w:rPr>
      </w:pPr>
      <w:r>
        <w:rPr>
          <w:color w:val="000000"/>
        </w:rPr>
        <w:t xml:space="preserve">• </w:t>
      </w:r>
      <w:r w:rsidR="002A64FE">
        <w:rPr>
          <w:color w:val="000000"/>
        </w:rPr>
        <w:tab/>
      </w:r>
      <w:r>
        <w:rPr>
          <w:color w:val="000000"/>
        </w:rPr>
        <w:t>regulāra informācijas sniegšana esošajiem un topošajiem uzņēmējiem par uzņēmējdarbības uzsākšanas un attīstības iespējām, semināriem, apmācībām un citām aktualitātēm;</w:t>
      </w:r>
    </w:p>
    <w:p w:rsidR="00C8690E" w:rsidRPr="00185475" w:rsidP="002A64FE" w14:paraId="00094849" w14:textId="7E218239">
      <w:pPr>
        <w:pStyle w:val="NormalWeb"/>
        <w:ind w:left="1134" w:hanging="567"/>
        <w:jc w:val="both"/>
        <w:rPr>
          <w:color w:val="000000"/>
        </w:rPr>
      </w:pPr>
      <w:r>
        <w:rPr>
          <w:color w:val="000000"/>
        </w:rPr>
        <w:t xml:space="preserve">• </w:t>
      </w:r>
      <w:r w:rsidR="002A64FE">
        <w:rPr>
          <w:color w:val="000000"/>
        </w:rPr>
        <w:tab/>
      </w:r>
      <w:r>
        <w:rPr>
          <w:color w:val="000000"/>
        </w:rPr>
        <w:t>ikmēneša uzņēmēju un sadarbības partneru tikšanās un informatīvo semināru organizēšana. Tikšanās laikā tika aplūkotas šādas tēmas:</w:t>
      </w:r>
    </w:p>
    <w:p w:rsidR="00C8690E" w:rsidRPr="00185475" w:rsidP="002A64FE" w14:paraId="7F26D548" w14:textId="77777777">
      <w:pPr>
        <w:pStyle w:val="NormalWeb"/>
        <w:spacing w:before="0" w:beforeAutospacing="0" w:after="0" w:afterAutospacing="0"/>
        <w:ind w:firstLine="709"/>
        <w:jc w:val="both"/>
        <w:rPr>
          <w:color w:val="000000"/>
        </w:rPr>
      </w:pPr>
      <w:r>
        <w:rPr>
          <w:color w:val="000000"/>
        </w:rPr>
        <w:t>· AS „Latvijas Pasts” un Aizkraukles novada uzņēmēju sadarbības iespējas;</w:t>
      </w:r>
    </w:p>
    <w:p w:rsidR="00C8690E" w:rsidRPr="00185475" w:rsidP="002A64FE" w14:paraId="0FD13747" w14:textId="77777777">
      <w:pPr>
        <w:pStyle w:val="NormalWeb"/>
        <w:spacing w:before="0" w:beforeAutospacing="0" w:after="0" w:afterAutospacing="0"/>
        <w:ind w:firstLine="709"/>
        <w:jc w:val="both"/>
        <w:rPr>
          <w:color w:val="000000"/>
        </w:rPr>
      </w:pPr>
      <w:r>
        <w:rPr>
          <w:color w:val="000000"/>
        </w:rPr>
        <w:t>· auto kā uzņēmuma vizītkarte, piemērota transportlīdzekļa izvēle un autoparka pārvaldība;</w:t>
      </w:r>
    </w:p>
    <w:p w:rsidR="00C8690E" w:rsidRPr="00185475" w:rsidP="002A64FE" w14:paraId="68425351" w14:textId="77777777">
      <w:pPr>
        <w:pStyle w:val="NormalWeb"/>
        <w:spacing w:before="0" w:beforeAutospacing="0" w:after="0" w:afterAutospacing="0"/>
        <w:ind w:firstLine="709"/>
        <w:jc w:val="both"/>
        <w:rPr>
          <w:color w:val="000000"/>
        </w:rPr>
      </w:pPr>
      <w:r>
        <w:rPr>
          <w:color w:val="000000"/>
        </w:rPr>
        <w:t>· pieredzes stāsts par dalību TV3 biznesa šovā „Miljonu vērta ideja”;</w:t>
      </w:r>
    </w:p>
    <w:p w:rsidR="00C8690E" w:rsidRPr="00185475" w:rsidP="002A64FE" w14:paraId="538330ED" w14:textId="77777777">
      <w:pPr>
        <w:pStyle w:val="NormalWeb"/>
        <w:spacing w:before="0" w:beforeAutospacing="0" w:after="0" w:afterAutospacing="0"/>
        <w:ind w:firstLine="709"/>
        <w:jc w:val="both"/>
        <w:rPr>
          <w:color w:val="000000"/>
        </w:rPr>
      </w:pPr>
      <w:r>
        <w:rPr>
          <w:color w:val="000000"/>
        </w:rPr>
        <w:t>· programma „Erasmus jaunajiem uzņēmējiem”;</w:t>
      </w:r>
    </w:p>
    <w:p w:rsidR="00C8690E" w:rsidRPr="00185475" w:rsidP="002A64FE" w14:paraId="6AF8E084" w14:textId="77777777">
      <w:pPr>
        <w:pStyle w:val="NormalWeb"/>
        <w:spacing w:before="0" w:beforeAutospacing="0" w:after="0" w:afterAutospacing="0"/>
        <w:ind w:firstLine="709"/>
        <w:jc w:val="both"/>
        <w:rPr>
          <w:color w:val="000000"/>
        </w:rPr>
      </w:pPr>
      <w:r>
        <w:rPr>
          <w:color w:val="000000"/>
        </w:rPr>
        <w:t>· risinājumi uzņēmumu produktivitātes paaugstināšanai un kiberdrošības stiprināšanai;</w:t>
      </w:r>
    </w:p>
    <w:p w:rsidR="00C8690E" w:rsidRPr="00185475" w:rsidP="002A64FE" w14:paraId="68CA21C9" w14:textId="77777777">
      <w:pPr>
        <w:pStyle w:val="NormalWeb"/>
        <w:spacing w:before="0" w:beforeAutospacing="0" w:after="0" w:afterAutospacing="0"/>
        <w:ind w:firstLine="709"/>
        <w:jc w:val="both"/>
        <w:rPr>
          <w:color w:val="000000"/>
        </w:rPr>
      </w:pPr>
      <w:r>
        <w:rPr>
          <w:color w:val="000000"/>
        </w:rPr>
        <w:t>· zvanu pārvaldības risinājumi un „Microsoft 365” iespējas uzņēmumiem;</w:t>
      </w:r>
    </w:p>
    <w:p w:rsidR="00C8690E" w:rsidRPr="00185475" w:rsidP="002A64FE" w14:paraId="2D7F0359" w14:textId="77777777">
      <w:pPr>
        <w:pStyle w:val="NormalWeb"/>
        <w:spacing w:before="0" w:beforeAutospacing="0" w:after="0" w:afterAutospacing="0"/>
        <w:ind w:left="720"/>
        <w:jc w:val="both"/>
        <w:rPr>
          <w:color w:val="000000"/>
        </w:rPr>
      </w:pPr>
      <w:r>
        <w:rPr>
          <w:color w:val="000000"/>
        </w:rPr>
        <w:t>· atgriezeniskās saites nozīme organizācijā un praktiski rīki motivējošas komunikācijas veidošanai;</w:t>
      </w:r>
    </w:p>
    <w:p w:rsidR="00C8690E" w:rsidRPr="00185475" w:rsidP="002A64FE" w14:paraId="7CB03350" w14:textId="77777777">
      <w:pPr>
        <w:pStyle w:val="NormalWeb"/>
        <w:spacing w:before="0" w:beforeAutospacing="0" w:after="0" w:afterAutospacing="0"/>
        <w:ind w:firstLine="709"/>
        <w:jc w:val="both"/>
        <w:rPr>
          <w:color w:val="000000"/>
        </w:rPr>
      </w:pPr>
      <w:r>
        <w:rPr>
          <w:color w:val="000000"/>
        </w:rPr>
        <w:t>· atbalsts uzņēmumu digitālajai attīstībai, EDIC pakalpojumi un aktualitātes;</w:t>
      </w:r>
    </w:p>
    <w:p w:rsidR="00C8690E" w:rsidRPr="00185475" w:rsidP="002A64FE" w14:paraId="0EAD76EE" w14:textId="77777777">
      <w:pPr>
        <w:pStyle w:val="NormalWeb"/>
        <w:spacing w:before="0" w:beforeAutospacing="0" w:after="0" w:afterAutospacing="0"/>
        <w:ind w:firstLine="709"/>
        <w:jc w:val="both"/>
        <w:rPr>
          <w:color w:val="000000"/>
        </w:rPr>
      </w:pPr>
      <w:r>
        <w:rPr>
          <w:color w:val="000000"/>
        </w:rPr>
        <w:t>· bērnu un jauniešu akadēmijas „ESI” Skrīveru filiāles darbība;</w:t>
      </w:r>
    </w:p>
    <w:p w:rsidR="00C8690E" w:rsidRPr="00185475" w:rsidP="002A64FE" w14:paraId="2FB84D79" w14:textId="77777777">
      <w:pPr>
        <w:pStyle w:val="NormalWeb"/>
        <w:spacing w:before="0" w:beforeAutospacing="0" w:after="0" w:afterAutospacing="0"/>
        <w:ind w:firstLine="709"/>
        <w:jc w:val="both"/>
        <w:rPr>
          <w:color w:val="000000"/>
        </w:rPr>
      </w:pPr>
      <w:r>
        <w:rPr>
          <w:color w:val="000000"/>
        </w:rPr>
        <w:t>· radošums, izglītība un cilvēka dizains kā instrumenti personības izaugsmei;</w:t>
      </w:r>
    </w:p>
    <w:p w:rsidR="00C8690E" w:rsidRPr="00185475" w:rsidP="002A64FE" w14:paraId="4C80D999" w14:textId="77777777">
      <w:pPr>
        <w:pStyle w:val="NormalWeb"/>
        <w:spacing w:before="0" w:beforeAutospacing="0" w:after="0" w:afterAutospacing="0"/>
        <w:ind w:firstLine="709"/>
        <w:jc w:val="both"/>
        <w:rPr>
          <w:color w:val="000000"/>
        </w:rPr>
      </w:pPr>
      <w:r>
        <w:rPr>
          <w:color w:val="000000"/>
        </w:rPr>
        <w:t>· ALTUM atbalsta programmas uzņēmējiem;</w:t>
      </w:r>
    </w:p>
    <w:p w:rsidR="00C8690E" w:rsidRPr="00185475" w:rsidP="002A64FE" w14:paraId="062896BB" w14:textId="77777777">
      <w:pPr>
        <w:pStyle w:val="NormalWeb"/>
        <w:spacing w:before="0" w:beforeAutospacing="0" w:after="0" w:afterAutospacing="0"/>
        <w:ind w:firstLine="709"/>
        <w:jc w:val="both"/>
        <w:rPr>
          <w:color w:val="000000"/>
        </w:rPr>
      </w:pPr>
      <w:r>
        <w:rPr>
          <w:color w:val="000000"/>
        </w:rPr>
        <w:t>· Erasmus projekts „Digitālo rīku izmantošana tūrisma konkurētspējas celšanai”;</w:t>
      </w:r>
    </w:p>
    <w:p w:rsidR="00C8690E" w:rsidRPr="00185475" w:rsidP="002A64FE" w14:paraId="5E2B36BC" w14:textId="77777777">
      <w:pPr>
        <w:pStyle w:val="NormalWeb"/>
        <w:spacing w:before="0" w:beforeAutospacing="0" w:after="0" w:afterAutospacing="0"/>
        <w:ind w:left="720"/>
        <w:jc w:val="both"/>
        <w:rPr>
          <w:color w:val="000000"/>
        </w:rPr>
      </w:pPr>
      <w:r>
        <w:rPr>
          <w:color w:val="000000"/>
        </w:rPr>
        <w:t>· uzņēmumu tīmekļvietņu efektivitāte un to loma uzņēmējdarbības attīstībā („Ja tava mājas lapa būtu darbinieks – vai tu maksātu viņam algu?”).</w:t>
      </w:r>
    </w:p>
    <w:p w:rsidR="00C8690E" w:rsidRPr="00185475" w:rsidP="002A64FE" w14:paraId="3ADFA9FB" w14:textId="77777777">
      <w:pPr>
        <w:pStyle w:val="NormalWeb"/>
        <w:ind w:firstLine="567"/>
        <w:jc w:val="both"/>
        <w:rPr>
          <w:color w:val="000000"/>
        </w:rPr>
      </w:pPr>
      <w:r>
        <w:rPr>
          <w:color w:val="000000"/>
        </w:rPr>
        <w:t>Aizkraukles novada pašvaldības izsludinātajā biznesa ideju pieteikumu konkursā “Esi uzņēmējs Aizkraukles novadā 2025!”, kura būtība ir sniegt pašvaldības atbalstu fizisku un juridisku personu biznesa ideju realizācijai, motivējot iedzīvotājus realizēt savas biznesa idejas jaunu produktu vai pakalpojumu radīšanai Aizkraukles novadā tika atbalstītas 4 biznesa idejas par kopējo summu 20 000 eiro no pašvaldības budžeta līdzekļiem.</w:t>
      </w:r>
    </w:p>
    <w:p w:rsidR="00C8690E" w:rsidRPr="00185475" w:rsidP="002A64FE" w14:paraId="3188DA4D" w14:textId="77777777">
      <w:pPr>
        <w:pStyle w:val="NormalWeb"/>
        <w:ind w:firstLine="567"/>
        <w:jc w:val="both"/>
        <w:rPr>
          <w:color w:val="000000"/>
        </w:rPr>
      </w:pPr>
      <w:r>
        <w:rPr>
          <w:color w:val="000000"/>
        </w:rPr>
        <w:t>Pretendenti, kuru biznesa ideju īstenošanai piešķirts pašvaldības finansējums:</w:t>
      </w:r>
    </w:p>
    <w:p w:rsidR="00C8690E" w:rsidRPr="00185475" w:rsidP="002A64FE" w14:paraId="6A2B86D3" w14:textId="77777777">
      <w:pPr>
        <w:pStyle w:val="NormalWeb"/>
        <w:ind w:firstLine="709"/>
        <w:jc w:val="both"/>
        <w:rPr>
          <w:color w:val="000000"/>
        </w:rPr>
      </w:pPr>
      <w:r>
        <w:rPr>
          <w:color w:val="000000"/>
        </w:rPr>
        <w:t>· Svetlana Mateša saņēma finansējumu 4827.20 eiro apmērā, biznesa idejas realizēšanai par fiziskās attīstības studijas aprīkojuma iegādi;</w:t>
      </w:r>
    </w:p>
    <w:p w:rsidR="00C8690E" w:rsidRPr="00185475" w:rsidP="002A64FE" w14:paraId="22E0381A" w14:textId="77777777">
      <w:pPr>
        <w:pStyle w:val="NormalWeb"/>
        <w:ind w:firstLine="709"/>
        <w:jc w:val="both"/>
        <w:rPr>
          <w:color w:val="000000"/>
        </w:rPr>
      </w:pPr>
      <w:r>
        <w:rPr>
          <w:color w:val="000000"/>
        </w:rPr>
        <w:t>· Tomass Miglāns saņēma finansējumu 4669.00 eiro apmērā, biznesa idejas realizēšanai par veterinārmedicīnas pakalpojumu sniegšanu ar specializāciju zirgkopībā, aprīkojuma iegādei;</w:t>
      </w:r>
    </w:p>
    <w:p w:rsidR="00C8690E" w:rsidRPr="00185475" w:rsidP="002A64FE" w14:paraId="0ED5030F" w14:textId="77777777">
      <w:pPr>
        <w:pStyle w:val="NormalWeb"/>
        <w:ind w:firstLine="709"/>
        <w:jc w:val="both"/>
        <w:rPr>
          <w:color w:val="000000"/>
        </w:rPr>
      </w:pPr>
      <w:r>
        <w:rPr>
          <w:color w:val="000000"/>
        </w:rPr>
        <w:t>· IK Dāvanu skapis saņēma finansējums 5000.00 apmērā, biznesa idejas attīstīšanai par moduļu mājas iegādi personalizētu dāvanu ražošanai un meistarklašu organizēšanai;</w:t>
      </w:r>
    </w:p>
    <w:p w:rsidR="00C8690E" w:rsidRPr="00185475" w:rsidP="002A64FE" w14:paraId="1CE3001D" w14:textId="77777777">
      <w:pPr>
        <w:pStyle w:val="NormalWeb"/>
        <w:ind w:firstLine="709"/>
        <w:jc w:val="both"/>
        <w:rPr>
          <w:color w:val="000000"/>
        </w:rPr>
      </w:pPr>
      <w:r>
        <w:rPr>
          <w:color w:val="000000"/>
        </w:rPr>
        <w:t>· Beātei Beatrise Kalnaraupa saņēma finansējumu 4170.65 eiro apmērā, biznesa idejas realizēšanai par izbraukumu veterinārmedicīnas pakalpojumu sniegšanu Aizkraukles novadā, aprīkojuma iegādi.</w:t>
      </w:r>
    </w:p>
    <w:p w:rsidR="00C8690E" w:rsidRPr="00185475" w:rsidP="002A64FE" w14:paraId="4B880BB6" w14:textId="77777777">
      <w:pPr>
        <w:pStyle w:val="NormalWeb"/>
        <w:ind w:firstLine="709"/>
        <w:jc w:val="both"/>
        <w:rPr>
          <w:color w:val="000000"/>
        </w:rPr>
      </w:pPr>
      <w:r>
        <w:rPr>
          <w:color w:val="000000"/>
        </w:rPr>
        <w:t>Tradicionāli gada nogalē jau desmito reizi Zemgales plānošanas reģions un tā struktūrvienība Zemgales Uzņēmējdarbības centrs organizēja uzņēmēju godināšanas pasākumu, kuram Aizkraukles novada pašvaldība atzinībai nominēja trīs novada uzņēmumus.</w:t>
      </w:r>
    </w:p>
    <w:p w:rsidR="00C8690E" w:rsidRPr="00185475" w:rsidP="002A64FE" w14:paraId="3D362148" w14:textId="77777777">
      <w:pPr>
        <w:pStyle w:val="NormalWeb"/>
        <w:ind w:firstLine="567"/>
        <w:jc w:val="both"/>
        <w:rPr>
          <w:color w:val="000000"/>
        </w:rPr>
      </w:pPr>
      <w:r>
        <w:rPr>
          <w:color w:val="000000"/>
        </w:rPr>
        <w:t>Par laureātu nominācijā „Jaunais uzņēmējs” šoreiz kļuva komunālo elektroapgādes un telekomunikāciju objektu būvniecības uzņēmums SIA „JEC” no Pļaviņām. Mazo uzņēmumu grupā balvu saņēma svaigi ceptu mīklas izstrādājumu un kūku ražotājs SIA „Melānija M” no Aizkraukles, savukārt kā labākais lielais uzņēmums tika sumināts jauktās lauksaimniecības un piena lopkopības uzņēmums SIA „ZS Pilslejas” no Bebru pagasta.</w:t>
      </w:r>
    </w:p>
    <w:p w:rsidR="00C8690E" w:rsidRPr="00185475" w:rsidP="002A64FE" w14:paraId="60A78AAA" w14:textId="77777777">
      <w:pPr>
        <w:pStyle w:val="NormalWeb"/>
        <w:ind w:firstLine="567"/>
        <w:jc w:val="both"/>
        <w:rPr>
          <w:color w:val="000000"/>
        </w:rPr>
      </w:pPr>
      <w:r>
        <w:rPr>
          <w:color w:val="000000"/>
        </w:rPr>
        <w:t>Foto Nr.1 SIA "ZS Pilslejas" valdes loceklis Uldis Krievārs un biroja vadītāja Sintija Ķiploka.</w:t>
      </w:r>
    </w:p>
    <w:p w:rsidR="00C8690E" w:rsidRPr="00185475" w:rsidP="002A64FE" w14:paraId="167F8EDA" w14:textId="3EDA8A83">
      <w:pPr>
        <w:pStyle w:val="NormalWeb"/>
        <w:ind w:firstLine="567"/>
        <w:jc w:val="both"/>
        <w:rPr>
          <w:color w:val="000000"/>
        </w:rPr>
      </w:pPr>
      <w:r>
        <w:rPr>
          <w:color w:val="000000"/>
        </w:rPr>
        <w:t>Iesaistāmies projekta aktivitātēs:</w:t>
      </w:r>
    </w:p>
    <w:p w:rsidR="00C8690E" w:rsidRPr="002A64FE" w:rsidP="002A64FE" w14:paraId="7E923C27" w14:textId="1D84E3F9">
      <w:pPr>
        <w:pStyle w:val="NormalWeb"/>
        <w:numPr>
          <w:ilvl w:val="0"/>
          <w:numId w:val="31"/>
        </w:numPr>
        <w:ind w:left="1134" w:hanging="567"/>
        <w:jc w:val="both"/>
        <w:rPr>
          <w:color w:val="000000"/>
        </w:rPr>
      </w:pPr>
      <w:r>
        <w:rPr>
          <w:color w:val="000000"/>
        </w:rPr>
        <w:t>p</w:t>
      </w:r>
      <w:r>
        <w:rPr>
          <w:color w:val="000000"/>
        </w:rPr>
        <w:t>rojekts Nr.2.3.2.1.i.0/1/23/I/CFLA/002 “Digitālā darba ar jaunatni sistēmas attīstība pašvaldībās” "Jauniešu kompetenču pilnveides prakse uzņēmumos</w:t>
      </w:r>
      <w:r>
        <w:rPr>
          <w:color w:val="000000"/>
        </w:rPr>
        <w:t xml:space="preserve"> </w:t>
      </w:r>
      <w:r w:rsidRPr="002A64FE">
        <w:rPr>
          <w:color w:val="000000"/>
        </w:rPr>
        <w:t>digitālo un uzņēmējdarbības prasmju attīstībai", kura mērķis ir paplašināt jauniešu zināšanas un prasmes, kā arī veidot jaunas sadarbības formas pašvaldības, jauniešu un novada uzņēmēju starpā, kas nākotnē veicinātu lauku reģiona jauniešu veiksmīgāku iesaistīšanos darba tirgū un iespējams, savas uzņēmējdarbības uzsākšanu.</w:t>
      </w:r>
    </w:p>
    <w:p w:rsidR="00C8690E" w:rsidRPr="00185475" w:rsidP="002A64FE" w14:paraId="4B1AA3EC" w14:textId="77777777">
      <w:pPr>
        <w:pStyle w:val="NormalWeb"/>
        <w:ind w:left="1134"/>
        <w:rPr>
          <w:color w:val="000000"/>
        </w:rPr>
      </w:pPr>
      <w:r>
        <w:rPr>
          <w:color w:val="000000"/>
        </w:rPr>
        <w:t>Foto Nr. 2 Par digitālo kompetenču pieredzes praksi uzņēmumā SIA “IMIga” prezentē kafejnīcas “Panna” vadītāja Ingūna Grandāne un praktikante Estere Migla.</w:t>
      </w:r>
    </w:p>
    <w:p w:rsidR="00C8690E" w:rsidRPr="00185475" w:rsidP="002A64FE" w14:paraId="580F6309" w14:textId="79EFBC5E">
      <w:pPr>
        <w:pStyle w:val="NormalWeb"/>
        <w:numPr>
          <w:ilvl w:val="0"/>
          <w:numId w:val="31"/>
        </w:numPr>
        <w:ind w:left="1134" w:hanging="567"/>
        <w:rPr>
          <w:color w:val="000000"/>
        </w:rPr>
      </w:pPr>
      <w:r>
        <w:rPr>
          <w:color w:val="000000"/>
        </w:rPr>
        <w:t>p</w:t>
      </w:r>
      <w:r>
        <w:rPr>
          <w:color w:val="000000"/>
        </w:rPr>
        <w:t>rojekta “RE:IMPACT” laikā izstrādāts rīcības plāns sociālās uzņēmējdarbības veicināšanai Aizkraukles novadā</w:t>
      </w:r>
      <w:r>
        <w:rPr>
          <w:color w:val="000000"/>
        </w:rPr>
        <w:t>;</w:t>
      </w:r>
    </w:p>
    <w:p w:rsidR="00C8690E" w:rsidRPr="00185475" w:rsidP="002A64FE" w14:paraId="615722FD" w14:textId="77777777">
      <w:pPr>
        <w:pStyle w:val="NormalWeb"/>
        <w:ind w:left="1134"/>
        <w:rPr>
          <w:color w:val="000000"/>
        </w:rPr>
      </w:pPr>
      <w:r>
        <w:rPr>
          <w:color w:val="000000"/>
        </w:rPr>
        <w:t>Foto Nr. 3 Projekta “RE:IMPACT” aktivitāte - seminārs “Rīcības plāns sociālās uzņēmējdarbības attīstībai – atbalsts pozitīvām pārmaiņām sabiedrībā”.</w:t>
      </w:r>
    </w:p>
    <w:p w:rsidR="00C8690E" w:rsidRPr="00185475" w:rsidP="00884B35" w14:paraId="66E63221" w14:textId="77777777">
      <w:pPr>
        <w:pStyle w:val="NormalWeb"/>
        <w:ind w:firstLine="709"/>
        <w:rPr>
          <w:color w:val="000000"/>
        </w:rPr>
      </w:pPr>
      <w:r>
        <w:rPr>
          <w:color w:val="000000"/>
        </w:rPr>
        <w:t>Dati par sociālo uzņēmējdarbību:</w:t>
      </w:r>
    </w:p>
    <w:p w:rsidR="00C8690E" w:rsidRPr="00185475" w:rsidP="00884B35" w14:paraId="281DFD3F" w14:textId="77777777">
      <w:pPr>
        <w:pStyle w:val="NormalWeb"/>
        <w:ind w:firstLine="709"/>
        <w:rPr>
          <w:color w:val="000000"/>
        </w:rPr>
      </w:pPr>
      <w:r>
        <w:rPr>
          <w:color w:val="000000"/>
        </w:rPr>
        <w:t>2025. gadā Aizkraukles novadā ir reģistrēti 2 uzņēmumi, kuriem piešķirts sociālā uzņēmuma statuss, kā arī viens sociālais uzņēmums ar reģistrētu struktūrvienību novada teritorijā.*</w:t>
      </w:r>
    </w:p>
    <w:p w:rsidR="00C8690E" w:rsidRPr="00185475" w:rsidP="00884B35" w14:paraId="21892AE3" w14:textId="77777777">
      <w:pPr>
        <w:pStyle w:val="NormalWeb"/>
        <w:ind w:firstLine="709"/>
        <w:rPr>
          <w:color w:val="000000"/>
        </w:rPr>
      </w:pPr>
      <w:r>
        <w:rPr>
          <w:color w:val="000000"/>
        </w:rPr>
        <w:t>*</w:t>
      </w:r>
      <w:r w:rsidRPr="002A64FE">
        <w:rPr>
          <w:i/>
          <w:iCs/>
          <w:color w:val="000000"/>
        </w:rPr>
        <w:t>pamatojoties uz Labklājības ministrijas sagatavotajiem datiem Sociālo uzņēmēju reģistrā.</w:t>
      </w:r>
    </w:p>
    <w:p w:rsidR="00C8690E" w:rsidRPr="00185475" w:rsidP="00884B35" w14:paraId="263F0781" w14:textId="77777777">
      <w:pPr>
        <w:pStyle w:val="NormalWeb"/>
        <w:ind w:firstLine="709"/>
        <w:rPr>
          <w:color w:val="000000"/>
        </w:rPr>
      </w:pPr>
      <w:r>
        <w:rPr>
          <w:color w:val="000000"/>
        </w:rPr>
        <w:t>Aizkraukles novada gada balva uzņēmējdarbībā 2025</w:t>
      </w:r>
    </w:p>
    <w:p w:rsidR="00C8690E" w:rsidRPr="00185475" w:rsidP="002A64FE" w14:paraId="5B0FACD0" w14:textId="77777777">
      <w:pPr>
        <w:pStyle w:val="NormalWeb"/>
        <w:ind w:firstLine="567"/>
        <w:jc w:val="both"/>
        <w:rPr>
          <w:color w:val="000000"/>
        </w:rPr>
      </w:pPr>
      <w:r>
        <w:rPr>
          <w:color w:val="000000"/>
        </w:rPr>
        <w:t>Konkursa pretendentus konkursa komisija nosaka, pamatojoties uz Valsts ieņēmuma dienesta, Uzņēmumu reģistra, LURSOFT, Lauku atbalsta dienesta, attīstības finanšu institūcijas “ALTUM”, Latvijas Investīciju un attīstības aģentūras, Centrālās finanšu un līgumu aģentūras, Aizkraukles novada domes u.c. datiem.</w:t>
      </w:r>
    </w:p>
    <w:p w:rsidR="00C8690E" w:rsidRPr="00185475" w:rsidP="002A64FE" w14:paraId="0365964F" w14:textId="77777777">
      <w:pPr>
        <w:pStyle w:val="NormalWeb"/>
        <w:ind w:firstLine="567"/>
        <w:jc w:val="both"/>
        <w:rPr>
          <w:color w:val="000000"/>
        </w:rPr>
      </w:pPr>
      <w:r>
        <w:rPr>
          <w:color w:val="000000"/>
        </w:rPr>
        <w:t>Balvas tiek pasniegtas uzņēmumiem, kas iepriekšējā gadā snieguši nozīmīgu atbalstu Aizkraukles novada attīstībai.</w:t>
      </w:r>
    </w:p>
    <w:p w:rsidR="00C8690E" w:rsidRPr="00185475" w:rsidP="002A64FE" w14:paraId="6B441A01" w14:textId="2A524F25">
      <w:pPr>
        <w:pStyle w:val="NormalWeb"/>
        <w:ind w:firstLine="567"/>
        <w:rPr>
          <w:color w:val="000000"/>
        </w:rPr>
      </w:pPr>
      <w:r>
        <w:rPr>
          <w:color w:val="000000"/>
        </w:rPr>
        <w:t>Balvas saņēma</w:t>
      </w:r>
      <w:r w:rsidR="002A64FE">
        <w:rPr>
          <w:color w:val="000000"/>
        </w:rPr>
        <w:t>:</w:t>
      </w:r>
    </w:p>
    <w:p w:rsidR="00C8690E" w:rsidRPr="00185475" w:rsidP="002A64FE" w14:paraId="2EA6993E" w14:textId="195BAEFD">
      <w:pPr>
        <w:pStyle w:val="NormalWeb"/>
        <w:numPr>
          <w:ilvl w:val="0"/>
          <w:numId w:val="22"/>
        </w:numPr>
        <w:ind w:left="1134" w:hanging="567"/>
        <w:rPr>
          <w:color w:val="000000"/>
        </w:rPr>
      </w:pPr>
      <w:r>
        <w:rPr>
          <w:color w:val="000000"/>
        </w:rPr>
        <w:t>n</w:t>
      </w:r>
      <w:r>
        <w:rPr>
          <w:color w:val="000000"/>
        </w:rPr>
        <w:t>ominācijā “Liels nodokļu maksātājs” balva tika pasniegta SIA “Billerud Latvia”. SIA “Billerud Latvia” ir zviedru kapitāla uzņēmums, kas darbojas Jaunjelgavā</w:t>
      </w:r>
      <w:r>
        <w:rPr>
          <w:color w:val="000000"/>
        </w:rPr>
        <w:t>;</w:t>
      </w:r>
    </w:p>
    <w:p w:rsidR="00C8690E" w:rsidRPr="00185475" w:rsidP="002A64FE" w14:paraId="4851A32F" w14:textId="6D632A6C">
      <w:pPr>
        <w:pStyle w:val="NormalWeb"/>
        <w:numPr>
          <w:ilvl w:val="0"/>
          <w:numId w:val="22"/>
        </w:numPr>
        <w:ind w:left="1134" w:hanging="567"/>
        <w:rPr>
          <w:color w:val="000000"/>
        </w:rPr>
      </w:pPr>
      <w:r>
        <w:rPr>
          <w:color w:val="000000"/>
        </w:rPr>
        <w:t>n</w:t>
      </w:r>
      <w:r>
        <w:rPr>
          <w:color w:val="000000"/>
        </w:rPr>
        <w:t>ominācijā “Liels darba devējs” tika apbalvots uzņēmums SIA “Hanza-elektro” no Kokneses</w:t>
      </w:r>
      <w:r>
        <w:rPr>
          <w:color w:val="000000"/>
        </w:rPr>
        <w:t>;</w:t>
      </w:r>
    </w:p>
    <w:p w:rsidR="00C8690E" w:rsidRPr="00185475" w:rsidP="002A64FE" w14:paraId="7EEE1CBC" w14:textId="552293C1">
      <w:pPr>
        <w:pStyle w:val="NormalWeb"/>
        <w:numPr>
          <w:ilvl w:val="0"/>
          <w:numId w:val="22"/>
        </w:numPr>
        <w:ind w:left="1134" w:hanging="567"/>
        <w:rPr>
          <w:color w:val="000000"/>
        </w:rPr>
      </w:pPr>
      <w:r>
        <w:rPr>
          <w:color w:val="000000"/>
        </w:rPr>
        <w:t>n</w:t>
      </w:r>
      <w:r>
        <w:rPr>
          <w:color w:val="000000"/>
        </w:rPr>
        <w:t>ominācijā “Solis pasaulē” balvu saņēma SIA “RADADA” no Skrīveriem</w:t>
      </w:r>
      <w:r>
        <w:rPr>
          <w:color w:val="000000"/>
        </w:rPr>
        <w:t>;</w:t>
      </w:r>
    </w:p>
    <w:p w:rsidR="00C8690E" w:rsidRPr="00185475" w:rsidP="002A64FE" w14:paraId="0FD15043" w14:textId="3C33912E">
      <w:pPr>
        <w:pStyle w:val="NormalWeb"/>
        <w:numPr>
          <w:ilvl w:val="0"/>
          <w:numId w:val="22"/>
        </w:numPr>
        <w:ind w:left="1134" w:hanging="567"/>
        <w:rPr>
          <w:color w:val="000000"/>
        </w:rPr>
      </w:pPr>
      <w:r>
        <w:rPr>
          <w:color w:val="000000"/>
        </w:rPr>
        <w:t>n</w:t>
      </w:r>
      <w:r>
        <w:rPr>
          <w:color w:val="000000"/>
        </w:rPr>
        <w:t>ominācijā “Stabilitāte” tika apbalvots uzņēmums SIA “Pļaviņu DM”</w:t>
      </w:r>
      <w:r>
        <w:rPr>
          <w:color w:val="000000"/>
        </w:rPr>
        <w:t>;</w:t>
      </w:r>
    </w:p>
    <w:p w:rsidR="00C8690E" w:rsidRPr="00185475" w:rsidP="002A64FE" w14:paraId="6C00C678" w14:textId="62291321">
      <w:pPr>
        <w:pStyle w:val="NormalWeb"/>
        <w:numPr>
          <w:ilvl w:val="0"/>
          <w:numId w:val="22"/>
        </w:numPr>
        <w:ind w:left="1134" w:hanging="567"/>
        <w:rPr>
          <w:color w:val="000000"/>
        </w:rPr>
      </w:pPr>
      <w:r>
        <w:rPr>
          <w:color w:val="000000"/>
        </w:rPr>
        <w:t>n</w:t>
      </w:r>
      <w:r>
        <w:rPr>
          <w:color w:val="000000"/>
        </w:rPr>
        <w:t>ominācija “Investīcijas” balva tika piešķirta SIA “Kokneses SES”</w:t>
      </w:r>
      <w:r>
        <w:rPr>
          <w:color w:val="000000"/>
        </w:rPr>
        <w:t>;</w:t>
      </w:r>
    </w:p>
    <w:p w:rsidR="00C8690E" w:rsidRPr="00185475" w:rsidP="002A64FE" w14:paraId="74CAE945" w14:textId="49B219EE">
      <w:pPr>
        <w:pStyle w:val="NormalWeb"/>
        <w:numPr>
          <w:ilvl w:val="0"/>
          <w:numId w:val="22"/>
        </w:numPr>
        <w:ind w:left="1134" w:hanging="567"/>
        <w:rPr>
          <w:color w:val="000000"/>
        </w:rPr>
      </w:pPr>
      <w:r>
        <w:rPr>
          <w:color w:val="000000"/>
        </w:rPr>
        <w:t>n</w:t>
      </w:r>
      <w:r>
        <w:rPr>
          <w:color w:val="000000"/>
        </w:rPr>
        <w:t>ominācija “Inovācija” balvu saņēma zemnieku saimniecības “Čaidāni”</w:t>
      </w:r>
      <w:r>
        <w:rPr>
          <w:color w:val="000000"/>
        </w:rPr>
        <w:t>;</w:t>
      </w:r>
    </w:p>
    <w:p w:rsidR="00C8690E" w:rsidRPr="00185475" w:rsidP="002A64FE" w14:paraId="2763E9B0" w14:textId="2F10F6DA">
      <w:pPr>
        <w:pStyle w:val="NormalWeb"/>
        <w:numPr>
          <w:ilvl w:val="0"/>
          <w:numId w:val="22"/>
        </w:numPr>
        <w:ind w:left="1134" w:hanging="567"/>
        <w:jc w:val="both"/>
        <w:rPr>
          <w:color w:val="000000"/>
        </w:rPr>
      </w:pPr>
      <w:r>
        <w:rPr>
          <w:color w:val="000000"/>
        </w:rPr>
        <w:t>n</w:t>
      </w:r>
      <w:r>
        <w:rPr>
          <w:color w:val="000000"/>
        </w:rPr>
        <w:t>ominācijā “Izaugsme” balva piešķirta SIA “Salenieku Bloks” no Sērenes pagasta</w:t>
      </w:r>
      <w:r>
        <w:rPr>
          <w:color w:val="000000"/>
        </w:rPr>
        <w:t>;</w:t>
      </w:r>
    </w:p>
    <w:p w:rsidR="00C8690E" w:rsidRPr="00185475" w:rsidP="002A64FE" w14:paraId="3F08D4E3" w14:textId="4119585F">
      <w:pPr>
        <w:pStyle w:val="NormalWeb"/>
        <w:numPr>
          <w:ilvl w:val="0"/>
          <w:numId w:val="22"/>
        </w:numPr>
        <w:ind w:left="1134" w:hanging="567"/>
        <w:jc w:val="both"/>
        <w:rPr>
          <w:color w:val="000000"/>
        </w:rPr>
      </w:pPr>
      <w:r>
        <w:rPr>
          <w:color w:val="000000"/>
        </w:rPr>
        <w:t>n</w:t>
      </w:r>
      <w:r>
        <w:rPr>
          <w:color w:val="000000"/>
        </w:rPr>
        <w:t>ominācijā “Saimnieks laukos” balvu saņēma Dzintars Kazakevičs no Seces</w:t>
      </w:r>
      <w:r>
        <w:rPr>
          <w:color w:val="000000"/>
        </w:rPr>
        <w:t>;</w:t>
      </w:r>
    </w:p>
    <w:p w:rsidR="00C8690E" w:rsidRPr="00185475" w:rsidP="002A64FE" w14:paraId="50DBDB09" w14:textId="744CE1C7">
      <w:pPr>
        <w:pStyle w:val="NormalWeb"/>
        <w:numPr>
          <w:ilvl w:val="0"/>
          <w:numId w:val="22"/>
        </w:numPr>
        <w:ind w:left="1134" w:hanging="567"/>
        <w:jc w:val="both"/>
        <w:rPr>
          <w:color w:val="000000"/>
        </w:rPr>
      </w:pPr>
      <w:r>
        <w:rPr>
          <w:color w:val="000000"/>
        </w:rPr>
        <w:t>n</w:t>
      </w:r>
      <w:r>
        <w:rPr>
          <w:color w:val="000000"/>
        </w:rPr>
        <w:t>ominācijā “No paaudzes paaudzē” balva piešķirta SIA “Beļūna ZS Saules” no Neretas pagasta</w:t>
      </w:r>
      <w:r>
        <w:rPr>
          <w:color w:val="000000"/>
        </w:rPr>
        <w:t>;</w:t>
      </w:r>
    </w:p>
    <w:p w:rsidR="00C8690E" w:rsidRPr="00185475" w:rsidP="002A64FE" w14:paraId="1D6EC88E" w14:textId="4568177D">
      <w:pPr>
        <w:pStyle w:val="NormalWeb"/>
        <w:numPr>
          <w:ilvl w:val="0"/>
          <w:numId w:val="22"/>
        </w:numPr>
        <w:ind w:left="1134" w:hanging="567"/>
        <w:jc w:val="both"/>
        <w:rPr>
          <w:color w:val="000000"/>
        </w:rPr>
      </w:pPr>
      <w:r>
        <w:rPr>
          <w:color w:val="000000"/>
        </w:rPr>
        <w:t>n</w:t>
      </w:r>
      <w:r>
        <w:rPr>
          <w:color w:val="000000"/>
        </w:rPr>
        <w:t>ominācija “Vietējā garša” balvu saņēma SIA “BERICO” Jāņa kūpinātava Seces</w:t>
      </w:r>
      <w:r>
        <w:rPr>
          <w:color w:val="000000"/>
        </w:rPr>
        <w:t>;</w:t>
      </w:r>
    </w:p>
    <w:p w:rsidR="00C8690E" w:rsidRPr="00185475" w:rsidP="002A64FE" w14:paraId="3E10B2B9" w14:textId="2642FA59">
      <w:pPr>
        <w:pStyle w:val="NormalWeb"/>
        <w:numPr>
          <w:ilvl w:val="0"/>
          <w:numId w:val="22"/>
        </w:numPr>
        <w:ind w:left="1134" w:hanging="567"/>
        <w:jc w:val="both"/>
        <w:rPr>
          <w:color w:val="000000"/>
        </w:rPr>
      </w:pPr>
      <w:r>
        <w:rPr>
          <w:color w:val="000000"/>
        </w:rPr>
        <w:t>n</w:t>
      </w:r>
      <w:r>
        <w:rPr>
          <w:color w:val="000000"/>
        </w:rPr>
        <w:t>ominācijā “Amata meistars” balvu saņēma SIA “INDALO” no Neretas pagasta</w:t>
      </w:r>
      <w:r>
        <w:rPr>
          <w:color w:val="000000"/>
        </w:rPr>
        <w:t>;</w:t>
      </w:r>
    </w:p>
    <w:p w:rsidR="00C8690E" w:rsidRPr="00185475" w:rsidP="002A64FE" w14:paraId="21A53375" w14:textId="55197A9E">
      <w:pPr>
        <w:pStyle w:val="NormalWeb"/>
        <w:numPr>
          <w:ilvl w:val="0"/>
          <w:numId w:val="22"/>
        </w:numPr>
        <w:ind w:left="1134" w:hanging="567"/>
        <w:jc w:val="both"/>
        <w:rPr>
          <w:color w:val="000000"/>
        </w:rPr>
      </w:pPr>
      <w:r>
        <w:rPr>
          <w:color w:val="000000"/>
        </w:rPr>
        <w:t>n</w:t>
      </w:r>
      <w:r>
        <w:rPr>
          <w:color w:val="000000"/>
        </w:rPr>
        <w:t>ominācijā “Tūrisma pērle” balvu saņēma SIA “Odzienas muiža”</w:t>
      </w:r>
      <w:r>
        <w:rPr>
          <w:color w:val="000000"/>
        </w:rPr>
        <w:t>;</w:t>
      </w:r>
    </w:p>
    <w:p w:rsidR="00C8690E" w:rsidRPr="00185475" w:rsidP="002A64FE" w14:paraId="59B3D795" w14:textId="460390A3">
      <w:pPr>
        <w:pStyle w:val="NormalWeb"/>
        <w:numPr>
          <w:ilvl w:val="0"/>
          <w:numId w:val="22"/>
        </w:numPr>
        <w:ind w:left="1134" w:hanging="567"/>
        <w:jc w:val="both"/>
        <w:rPr>
          <w:color w:val="000000"/>
        </w:rPr>
      </w:pPr>
      <w:r>
        <w:rPr>
          <w:color w:val="000000"/>
        </w:rPr>
        <w:t>n</w:t>
      </w:r>
      <w:r>
        <w:rPr>
          <w:color w:val="000000"/>
        </w:rPr>
        <w:t>ominācijā “Jaunais uzņēmējs” balvu saņēma IK “Stukmaņu dārzs”.</w:t>
      </w:r>
    </w:p>
    <w:p w:rsidR="00C8690E" w:rsidRPr="00185475" w:rsidP="002A64FE" w14:paraId="6362654A" w14:textId="77777777">
      <w:pPr>
        <w:pStyle w:val="NormalWeb"/>
        <w:ind w:firstLine="709"/>
        <w:jc w:val="both"/>
        <w:rPr>
          <w:color w:val="000000"/>
        </w:rPr>
      </w:pPr>
      <w:r>
        <w:rPr>
          <w:color w:val="000000"/>
        </w:rPr>
        <w:t>Pretendentu nominācijai “Draudzīgs klientam” izvirza iedzīvotāji.</w:t>
      </w:r>
    </w:p>
    <w:p w:rsidR="002A1250" w:rsidRPr="002A64FE" w:rsidP="002A64FE" w14:paraId="1B848DDB" w14:textId="4D81F1F7">
      <w:pPr>
        <w:pStyle w:val="NormalWeb"/>
        <w:ind w:firstLine="709"/>
        <w:jc w:val="both"/>
        <w:rPr>
          <w:color w:val="000000"/>
        </w:rPr>
      </w:pPr>
      <w:r>
        <w:rPr>
          <w:color w:val="000000"/>
        </w:rPr>
        <w:t>Aizkraukles novada iedzīvotāji tika aicināti piedalīties balsojumā un izvēlēties vienu uzņēmēju, kurš būtu pelnījis atzinību nominācijā “Draudzīgs klientam”. Noslēdzoties balsojumam, par nominācijas “Draudzīgs klientam” uzvarētāju tika atzīta atpūtas vieta “Ciemiņos”, kas atrodas Bebru pagasta “Kalniņos”.</w:t>
      </w:r>
    </w:p>
    <w:p w:rsidR="00987341" w:rsidRPr="00987341" w:rsidP="00987341" w14:paraId="61516A94" w14:textId="253FCC12">
      <w:pPr>
        <w:pStyle w:val="NormalWeb"/>
        <w:ind w:firstLine="709"/>
        <w:rPr>
          <w:b/>
          <w:bCs/>
          <w:color w:val="000000"/>
        </w:rPr>
      </w:pPr>
      <w:r w:rsidRPr="00987341">
        <w:rPr>
          <w:b/>
          <w:bCs/>
          <w:color w:val="000000"/>
        </w:rPr>
        <w:t>Uzņēmējdarbības tendences Aizkraukles novadā</w:t>
      </w:r>
    </w:p>
    <w:p w:rsidR="00987341" w:rsidRPr="00987341" w:rsidP="002A64FE" w14:paraId="0B728C88" w14:textId="77777777">
      <w:pPr>
        <w:pStyle w:val="NormalWeb"/>
        <w:ind w:firstLine="709"/>
        <w:jc w:val="both"/>
        <w:rPr>
          <w:color w:val="000000"/>
        </w:rPr>
      </w:pPr>
      <w:r w:rsidRPr="00987341">
        <w:rPr>
          <w:color w:val="000000"/>
        </w:rPr>
        <w:t>Latvijas uzņēmējdarbības vidē 2025. gadā iezīmējusies pozitīva tendence – turpinājis pieaugt jaunreģistrēto uzņēmumu skaits, tam pārsniedzot likvidēto uzņēmumu daudzumu. Lai arī šāda tendence iezīmējās arī 2023. gadā, pagājušais gads īpašs ar to, ka jauno uzņēmumu bijis par teju trešdaļu vairāk nekā likvidēto.</w:t>
      </w:r>
    </w:p>
    <w:p w:rsidR="00987341" w:rsidRPr="00987341" w:rsidP="00E8651C" w14:paraId="4485EBF0" w14:textId="77777777">
      <w:pPr>
        <w:pStyle w:val="NormalWeb"/>
        <w:ind w:firstLine="567"/>
        <w:jc w:val="both"/>
        <w:rPr>
          <w:color w:val="000000"/>
        </w:rPr>
      </w:pPr>
      <w:r w:rsidRPr="00987341">
        <w:rPr>
          <w:color w:val="000000"/>
        </w:rPr>
        <w:t>Jauno uzņēmumu skaits 2025. gadā bijis augstākais kopš 2016. gada, norādot uz pieaugošu uzņēmēju gatavību uzsākt jaunu saimniecisko darbību, neskatoties uz ekonomiskajiem izaicinājumiem un ģeopolitisko nenoteiktību. “Lursoft IT” apkopotie dati atklāj, ka kopējais uzņēmumu skaits Latvijā 2025. gadā audzis par 2546 uzņēmumiem, jo gada laikā reģistrēti 10445 jauni uzņēmumi, bet likvidēti 7899.</w:t>
      </w:r>
    </w:p>
    <w:p w:rsidR="00987341" w:rsidRPr="00987341" w:rsidP="00E8651C" w14:paraId="60B9284F" w14:textId="77777777">
      <w:pPr>
        <w:pStyle w:val="NormalWeb"/>
        <w:ind w:firstLine="567"/>
        <w:jc w:val="both"/>
        <w:rPr>
          <w:color w:val="000000"/>
        </w:rPr>
      </w:pPr>
      <w:r w:rsidRPr="00987341">
        <w:rPr>
          <w:color w:val="000000"/>
        </w:rPr>
        <w:t>Lai arī Aizkraukles novadā jauno uzņēmumu skaits pērn bijis mazāks nekā 2024. gadā, saglabājusies pozitīva kopējā tendence, jaunreģistrēto uzņēmumu skaitam pārsniedzot likvidēto. “Lursoft IT” apkopotie dati rāda, ka 2025. gadā Aizkraukles novadā reģistrēti 78 jauni uzņēmumi, bet likvidēti 62. Pozitīvā dinamika, kad jaunreģistrēto skaits pārsniedz likvidēto uzņēmumu skaitu, novadā saglabājusies trešo gadu pēc kārtas.</w:t>
      </w:r>
    </w:p>
    <w:p w:rsidR="00987341" w:rsidRPr="00987341" w:rsidP="00E8651C" w14:paraId="3A4C3B89" w14:textId="77777777">
      <w:pPr>
        <w:pStyle w:val="NormalWeb"/>
        <w:ind w:firstLine="709"/>
        <w:jc w:val="both"/>
        <w:rPr>
          <w:color w:val="000000"/>
        </w:rPr>
      </w:pPr>
      <w:r w:rsidRPr="00987341">
        <w:rPr>
          <w:color w:val="000000"/>
        </w:rPr>
        <w:t>Analizējot datus pēdējo desmit gadu periodā, kopējā uzņēmumu skaita bilance gan bijusi ar mīnusa zīmi. Kopš 2016. gada Aizkraukles novadā reģistrēti 903 jauni uzņēmumi, kamēr likvidēti – 1141, kas nozīmē, ka kopējais uzņēmumu skaits pēdējo desmit gadu laikā novadā samazinājies par 238.</w:t>
      </w:r>
    </w:p>
    <w:p w:rsidR="00987341" w:rsidRPr="00987341" w:rsidP="00E8651C" w14:paraId="1994D2A2" w14:textId="77777777">
      <w:pPr>
        <w:pStyle w:val="NormalWeb"/>
        <w:ind w:firstLine="567"/>
        <w:jc w:val="both"/>
        <w:rPr>
          <w:color w:val="000000"/>
        </w:rPr>
      </w:pPr>
      <w:r w:rsidRPr="00987341">
        <w:rPr>
          <w:color w:val="000000"/>
        </w:rPr>
        <w:t>Pagājušajā gadā ik mēnesi Aizkraukles novadā reģistrēti vidēji 6,5 jauni uzņēmumi. Vislielākā jaunu uzņēmumu reģistrēšanas aktivitāte novadā fiksēta aprīlī, jūlijā un augustā, kad ik mēnesi reģistrēti 10 jauni uzņēmumi. Savukārt mazāk aktīvs bijis gada iesākums, jo gan janvārī, gan februārī novada uzņēmumu kopējam pulkam pievienojušies 3 jauni uzņēmumi.</w:t>
      </w:r>
    </w:p>
    <w:p w:rsidR="00987341" w:rsidRPr="00987341" w:rsidP="00E8651C" w14:paraId="7D615ED9" w14:textId="70F2012F">
      <w:pPr>
        <w:pStyle w:val="NormalWeb"/>
        <w:ind w:firstLine="567"/>
        <w:jc w:val="both"/>
        <w:rPr>
          <w:color w:val="000000"/>
        </w:rPr>
      </w:pPr>
      <w:r w:rsidRPr="00987341">
        <w:rPr>
          <w:color w:val="000000"/>
        </w:rPr>
        <w:t>Jauno uzņēmumu kopējais pamatkapitāls 2025. gadā uz reģistrācijas brīdi sasniedza 64,03 tūkst. EUR, savukārt līdz gada beigām tas bija palielināts līdz 97,03 tūkst. EUR. Reģistrācijas brīdī visaugstākais pamatkapitāls no visiem Aizkraukles novada jaunreģistrētajiem uzņēmumiem 2025.</w:t>
      </w:r>
      <w:r w:rsidR="00E8651C">
        <w:rPr>
          <w:color w:val="000000"/>
        </w:rPr>
        <w:t> </w:t>
      </w:r>
      <w:r w:rsidRPr="00987341">
        <w:rPr>
          <w:color w:val="000000"/>
        </w:rPr>
        <w:t xml:space="preserve">gadā bijis SIA “Inn Parts”. “Lursoft IT” izziņas dati rāda, ka šī motociklu un to daļu piederumu mazumtirgotāja pamatkapitālā ieguldīti 5 tūkst. EUR. Jānorāda gan, ka pagājušā gada decembrī reģistrētā SIA “Inn Parts” juridiskā adrese š.g. martā pārcelta uz Rīgu. Analizējot jauno uzņēmumu pamatkapitāla izmaiņas, jāizceļ SIA “Smagais” Aizkraukles novada Skrīveros. Aizvadītā gada 15. </w:t>
      </w:r>
      <w:r w:rsidRPr="00987341">
        <w:rPr>
          <w:color w:val="000000"/>
        </w:rPr>
        <w:t>jūlijā šis kravu autotransporta uzņēmums reģistrēts ar 3 tūkst. EUR pamatkapitālu, bet vien nedēļu vēlāk tas palielināts jau līdz 33 tūkst. EUR</w:t>
      </w:r>
    </w:p>
    <w:p w:rsidR="009030FB" w:rsidP="00884B35" w14:paraId="04DB49C3" w14:textId="48B4C869">
      <w:pPr>
        <w:pStyle w:val="NormalWeb"/>
        <w:ind w:firstLine="709"/>
        <w:rPr>
          <w:color w:val="000000"/>
        </w:rPr>
      </w:pPr>
      <w:r>
        <w:rPr>
          <w:noProof/>
          <w:lang w:val="en-US" w:eastAsia="zh-CN"/>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1250" w:rsidRPr="00E8651C" w:rsidP="00E8651C" w14:paraId="267452F6" w14:textId="77777777">
      <w:pPr>
        <w:pStyle w:val="Body"/>
        <w:jc w:val="both"/>
        <w:rPr>
          <w:rFonts w:ascii="Times New Roman" w:hAnsi="Times New Roman" w:cs="Times New Roman"/>
        </w:rPr>
      </w:pPr>
      <w:r w:rsidRPr="00E8651C">
        <w:rPr>
          <w:rFonts w:ascii="Times New Roman" w:hAnsi="Times New Roman" w:cs="Times New Roman"/>
        </w:rPr>
        <w:t>Šobrīd Aizkraukles novadā reģistrēti 2188 uzņēmumi, no kuriem 53,52% ir sabiedrības ar ierobežotu atbildību, 34,60% – zemnieku saimniecības, 6,12% - individuālie komersanti. Tāpat arī pašvaldības teritorijā reģistrēti 99 individuālie uzņēmumi, 13 – kooperatīvās sabiedrības, 9 – pilnsabiedrības, 3 – akciju sabiedrības un pa vienai filiālei un komandītsabiedrībai.</w:t>
      </w:r>
    </w:p>
    <w:p w:rsidR="002A1250" w:rsidRPr="00E8651C" w:rsidP="00E8651C" w14:paraId="579F6FBF" w14:textId="77777777">
      <w:pPr>
        <w:pStyle w:val="Body"/>
        <w:jc w:val="both"/>
        <w:rPr>
          <w:rFonts w:ascii="Times New Roman" w:hAnsi="Times New Roman" w:cs="Times New Roman"/>
        </w:rPr>
      </w:pPr>
    </w:p>
    <w:p w:rsidR="002A1250" w:rsidRPr="00E8651C" w:rsidP="00E8651C" w14:paraId="1A8EDE10" w14:textId="77777777">
      <w:pPr>
        <w:pStyle w:val="Body"/>
        <w:jc w:val="both"/>
        <w:rPr>
          <w:rFonts w:ascii="Times New Roman" w:hAnsi="Times New Roman" w:cs="Times New Roman"/>
        </w:rPr>
      </w:pPr>
      <w:r w:rsidRPr="00E8651C">
        <w:rPr>
          <w:rFonts w:ascii="Times New Roman" w:hAnsi="Times New Roman" w:cs="Times New Roman"/>
        </w:rPr>
        <w:t>Analizējot datus par novadā reģistrēto uzņēmumu darbības jomām, redzams, ka ceturtā daļa no visiem Aizkraukles novadā reģistrētajiem uzņēmumiem pārstāv augkopības un lopkopības nozari. Uzņēmumu skaita ziņā otra lielākā nozare novadā ir mazumtirdzniecība, aiz kuras seko sauszemes un cauruļvadu transports. Populārāko darbības jomu vidū arī mežsaimniecība un mežizstrāde, kā arī specializētie būvdarbi.</w:t>
      </w:r>
    </w:p>
    <w:p w:rsidR="002A1250" w:rsidRPr="002A0266" w:rsidP="002A1250" w14:paraId="75E9BFF6" w14:textId="77777777">
      <w:pPr>
        <w:pStyle w:val="Body"/>
        <w:rPr>
          <w:rFonts w:asciiTheme="minorHAnsi" w:hAnsiTheme="minorHAnsi" w:cstheme="minorHAnsi"/>
          <w:sz w:val="22"/>
          <w:szCs w:val="22"/>
        </w:rPr>
      </w:pPr>
    </w:p>
    <w:p w:rsidR="002A1250" w:rsidRPr="00E8651C" w:rsidP="002A1250" w14:paraId="23762A65" w14:textId="77777777">
      <w:pPr>
        <w:pStyle w:val="Body"/>
        <w:rPr>
          <w:rFonts w:ascii="Times New Roman" w:hAnsi="Times New Roman" w:cs="Times New Roman"/>
          <w:b/>
          <w:bCs/>
        </w:rPr>
      </w:pPr>
      <w:r w:rsidRPr="00E8651C">
        <w:rPr>
          <w:rFonts w:ascii="Times New Roman" w:hAnsi="Times New Roman" w:cs="Times New Roman"/>
          <w:b/>
          <w:bCs/>
        </w:rPr>
        <w:t>Populārākās uzņēmējdarbības nozares Aizkraukles novadā:</w:t>
      </w:r>
    </w:p>
    <w:p w:rsidR="002A1250" w:rsidP="00E8651C" w14:paraId="07451912" w14:textId="243AF8B2">
      <w:pPr>
        <w:pStyle w:val="ListParagraph"/>
        <w:numPr>
          <w:ilvl w:val="0"/>
          <w:numId w:val="25"/>
        </w:numPr>
        <w:spacing w:after="0" w:line="240" w:lineRule="auto"/>
        <w:ind w:left="567" w:hanging="567"/>
        <w:rPr>
          <w:rFonts w:cstheme="minorHAnsi"/>
        </w:rPr>
      </w:pPr>
      <w:r>
        <w:rPr>
          <w:rFonts w:cstheme="minorHAnsi"/>
        </w:rPr>
        <w:t>a</w:t>
      </w:r>
      <w:r>
        <w:rPr>
          <w:rFonts w:cstheme="minorHAnsi"/>
        </w:rPr>
        <w:t>ugkopība un lopkopība;</w:t>
      </w:r>
    </w:p>
    <w:p w:rsidR="002A1250" w:rsidP="00E8651C" w14:paraId="00DF79BF" w14:textId="5574BE32">
      <w:pPr>
        <w:pStyle w:val="ListParagraph"/>
        <w:numPr>
          <w:ilvl w:val="0"/>
          <w:numId w:val="25"/>
        </w:numPr>
        <w:spacing w:after="0" w:line="240" w:lineRule="auto"/>
        <w:ind w:left="567" w:hanging="567"/>
        <w:rPr>
          <w:rFonts w:cstheme="minorHAnsi"/>
        </w:rPr>
      </w:pPr>
      <w:r>
        <w:rPr>
          <w:rFonts w:cstheme="minorHAnsi"/>
        </w:rPr>
        <w:t>m</w:t>
      </w:r>
      <w:r>
        <w:rPr>
          <w:rFonts w:cstheme="minorHAnsi"/>
        </w:rPr>
        <w:t>azumtirdzniecība;</w:t>
      </w:r>
    </w:p>
    <w:p w:rsidR="002A1250" w:rsidP="00E8651C" w14:paraId="184E3C54" w14:textId="13B68172">
      <w:pPr>
        <w:pStyle w:val="ListParagraph"/>
        <w:numPr>
          <w:ilvl w:val="0"/>
          <w:numId w:val="25"/>
        </w:numPr>
        <w:spacing w:after="0" w:line="240" w:lineRule="auto"/>
        <w:ind w:left="567" w:hanging="567"/>
        <w:rPr>
          <w:rFonts w:cstheme="minorHAnsi"/>
        </w:rPr>
      </w:pPr>
      <w:r>
        <w:rPr>
          <w:rFonts w:cstheme="minorHAnsi"/>
        </w:rPr>
        <w:t>sa</w:t>
      </w:r>
      <w:r>
        <w:rPr>
          <w:rFonts w:cstheme="minorHAnsi"/>
        </w:rPr>
        <w:t>uszemes un cauruļvadu transports;</w:t>
      </w:r>
    </w:p>
    <w:p w:rsidR="002A1250" w:rsidP="00E8651C" w14:paraId="0C6D0EE1" w14:textId="574D0C98">
      <w:pPr>
        <w:pStyle w:val="ListParagraph"/>
        <w:numPr>
          <w:ilvl w:val="0"/>
          <w:numId w:val="25"/>
        </w:numPr>
        <w:spacing w:after="0" w:line="240" w:lineRule="auto"/>
        <w:ind w:left="567" w:hanging="567"/>
        <w:rPr>
          <w:rFonts w:cstheme="minorHAnsi"/>
        </w:rPr>
      </w:pPr>
      <w:r>
        <w:rPr>
          <w:rFonts w:cstheme="minorHAnsi"/>
        </w:rPr>
        <w:t>m</w:t>
      </w:r>
      <w:r>
        <w:rPr>
          <w:rFonts w:cstheme="minorHAnsi"/>
        </w:rPr>
        <w:t>ežsaimniecība un mežizstrāde;</w:t>
      </w:r>
    </w:p>
    <w:p w:rsidR="002A1250" w:rsidP="00E8651C" w14:paraId="4EE07ABB" w14:textId="239CCA7A">
      <w:pPr>
        <w:pStyle w:val="ListParagraph"/>
        <w:numPr>
          <w:ilvl w:val="0"/>
          <w:numId w:val="25"/>
        </w:numPr>
        <w:spacing w:after="0" w:line="240" w:lineRule="auto"/>
        <w:ind w:left="567" w:hanging="567"/>
        <w:rPr>
          <w:rFonts w:cstheme="minorHAnsi"/>
        </w:rPr>
      </w:pPr>
      <w:r>
        <w:rPr>
          <w:rFonts w:cstheme="minorHAnsi"/>
        </w:rPr>
        <w:t>s</w:t>
      </w:r>
      <w:r>
        <w:rPr>
          <w:rFonts w:cstheme="minorHAnsi"/>
        </w:rPr>
        <w:t>pecializētie būvdarbi.</w:t>
      </w:r>
    </w:p>
    <w:p w:rsidR="002A1250" w:rsidRPr="003D2DCD" w:rsidP="002A1250" w14:paraId="14D147D8" w14:textId="77777777">
      <w:pPr>
        <w:spacing w:after="0" w:line="240" w:lineRule="auto"/>
        <w:rPr>
          <w:rFonts w:cstheme="minorHAnsi"/>
        </w:rPr>
      </w:pPr>
    </w:p>
    <w:p w:rsidR="002A1250" w:rsidP="00E8651C" w14:paraId="3BBDD47A" w14:textId="77777777">
      <w:pPr>
        <w:spacing w:after="0" w:line="240" w:lineRule="auto"/>
        <w:jc w:val="both"/>
        <w:rPr>
          <w:rFonts w:cstheme="minorHAnsi"/>
        </w:rPr>
      </w:pPr>
      <w:r w:rsidRPr="006C5517">
        <w:rPr>
          <w:rFonts w:cstheme="minorHAnsi"/>
        </w:rPr>
        <w:t xml:space="preserve">Balstoties uz </w:t>
      </w:r>
      <w:r>
        <w:rPr>
          <w:rFonts w:cstheme="minorHAnsi"/>
        </w:rPr>
        <w:t>iesniegtajiem</w:t>
      </w:r>
      <w:r w:rsidRPr="006C5517">
        <w:rPr>
          <w:rFonts w:cstheme="minorHAnsi"/>
        </w:rPr>
        <w:t xml:space="preserve"> pārskatiem par 2024. gadu, </w:t>
      </w:r>
      <w:r>
        <w:rPr>
          <w:rFonts w:cstheme="minorHAnsi"/>
        </w:rPr>
        <w:t>vislielākais apgrozījums Aizkraukles novadā reģistrēts mazumtirdzniecībā, tiesa, 93,11% daļu no šīs summas veido AS “Virši-A” pienesums. Pieejamie finanšu dati rāda, ka 2024. gadā AS “Virši-A” apgrozījums sasniedza 353,48 milj. EUR, bet peļņa – 6,13 milj. EUR. Pārskatu par 2025. gadu degvielas tirgotājs vēl nav iesniedzis.</w:t>
      </w:r>
    </w:p>
    <w:p w:rsidR="002A1250" w:rsidP="00E8651C" w14:paraId="7C8D3032" w14:textId="77777777">
      <w:pPr>
        <w:spacing w:after="0" w:line="240" w:lineRule="auto"/>
        <w:jc w:val="both"/>
        <w:rPr>
          <w:rFonts w:cstheme="minorHAnsi"/>
        </w:rPr>
      </w:pPr>
    </w:p>
    <w:p w:rsidR="002A1250" w:rsidP="00E8651C" w14:paraId="4F7EF33C" w14:textId="77777777">
      <w:pPr>
        <w:spacing w:after="0" w:line="240" w:lineRule="auto"/>
        <w:jc w:val="both"/>
        <w:rPr>
          <w:rFonts w:cstheme="minorHAnsi"/>
        </w:rPr>
      </w:pPr>
      <w:r>
        <w:rPr>
          <w:rFonts w:cstheme="minorHAnsi"/>
        </w:rPr>
        <w:t>Vairāk nekā 300 milj. EUR aizpērn apgrozījuši arī Aizkraukles novadā reģistrētie koksnes un koka izstrādājumu ražotāji. Līdzīgi kā mazumtirdzniecībā, arī šajā nozarē lauvas tiesu no kopējā apgrozījuma nodrošina viens spēlētājs – SIA “LATGRAN” (71,88% no nozares kopējā apgrozījuma Aizkraukles novadā).</w:t>
      </w:r>
    </w:p>
    <w:p w:rsidR="002A1250" w:rsidP="002A1250" w14:paraId="5446356A" w14:textId="77777777">
      <w:pPr>
        <w:spacing w:after="0" w:line="240" w:lineRule="auto"/>
        <w:rPr>
          <w:rFonts w:cstheme="minorHAnsi"/>
        </w:rPr>
      </w:pPr>
    </w:p>
    <w:p w:rsidR="002A1250" w:rsidP="00E8651C" w14:paraId="247BFD93" w14:textId="77777777">
      <w:pPr>
        <w:spacing w:after="0" w:line="240" w:lineRule="auto"/>
        <w:jc w:val="both"/>
        <w:rPr>
          <w:rFonts w:cstheme="minorHAnsi"/>
        </w:rPr>
      </w:pPr>
      <w:r>
        <w:rPr>
          <w:rFonts w:cstheme="minorHAnsi"/>
        </w:rPr>
        <w:t>Starp nozarēm ar lielāko apgrozījumu Aizkraukles novadā ierindojusies arī mežsaimniecība un mežizstrāde, vairumtirdzniecība un augkopība/ lopkopība.</w:t>
      </w:r>
    </w:p>
    <w:p w:rsidR="002A1250" w:rsidRPr="002A0266" w:rsidP="002A1250" w14:paraId="43BBB09E" w14:textId="77777777">
      <w:pPr>
        <w:pStyle w:val="Body"/>
        <w:rPr>
          <w:rFonts w:asciiTheme="minorHAnsi" w:hAnsiTheme="minorHAnsi" w:cstheme="minorHAnsi"/>
          <w:sz w:val="22"/>
          <w:szCs w:val="22"/>
        </w:rPr>
      </w:pPr>
    </w:p>
    <w:p w:rsidR="002A1250" w:rsidRPr="00E8651C" w:rsidP="002A1250" w14:paraId="12736A6E" w14:textId="77777777">
      <w:pPr>
        <w:pStyle w:val="Body"/>
        <w:rPr>
          <w:rFonts w:ascii="Times New Roman" w:hAnsi="Times New Roman" w:cs="Times New Roman"/>
          <w:b/>
          <w:bCs/>
        </w:rPr>
      </w:pPr>
      <w:r w:rsidRPr="00E8651C">
        <w:rPr>
          <w:rFonts w:ascii="Times New Roman" w:hAnsi="Times New Roman" w:cs="Times New Roman"/>
          <w:b/>
          <w:bCs/>
        </w:rPr>
        <w:t>Lielākās uzņēmējdarbības nozares Aizkraukles novadā pēc kopējā apgrozījuma 2024. gadā:</w:t>
      </w:r>
    </w:p>
    <w:p w:rsidR="002A1250" w:rsidRPr="00E8651C" w:rsidP="00E8651C" w14:paraId="70C6A6F2" w14:textId="278DB63D">
      <w:pPr>
        <w:pStyle w:val="ListParagraph"/>
        <w:numPr>
          <w:ilvl w:val="0"/>
          <w:numId w:val="29"/>
        </w:numPr>
        <w:spacing w:after="0" w:line="240" w:lineRule="auto"/>
        <w:ind w:left="567" w:hanging="567"/>
      </w:pPr>
      <w:r>
        <w:t>m</w:t>
      </w:r>
      <w:r w:rsidRPr="00E8651C">
        <w:t>azumtirdzniecība: 379,63 milj. EUR;</w:t>
      </w:r>
    </w:p>
    <w:p w:rsidR="002A1250" w:rsidRPr="00E8651C" w:rsidP="00E8651C" w14:paraId="0FFF7978" w14:textId="27FC3BC0">
      <w:pPr>
        <w:pStyle w:val="ListParagraph"/>
        <w:numPr>
          <w:ilvl w:val="0"/>
          <w:numId w:val="29"/>
        </w:numPr>
        <w:spacing w:after="0" w:line="240" w:lineRule="auto"/>
        <w:ind w:left="567" w:hanging="567"/>
      </w:pPr>
      <w:r>
        <w:t>k</w:t>
      </w:r>
      <w:r w:rsidRPr="00E8651C">
        <w:t>oksnes un koka izstrādājumu ražošana: 308,37 milj. EUR;</w:t>
      </w:r>
    </w:p>
    <w:p w:rsidR="002A1250" w:rsidRPr="00E8651C" w:rsidP="00E8651C" w14:paraId="56E3A544" w14:textId="45E07D46">
      <w:pPr>
        <w:pStyle w:val="ListParagraph"/>
        <w:numPr>
          <w:ilvl w:val="0"/>
          <w:numId w:val="29"/>
        </w:numPr>
        <w:spacing w:after="0" w:line="240" w:lineRule="auto"/>
        <w:ind w:left="567" w:hanging="567"/>
      </w:pPr>
      <w:r>
        <w:t>m</w:t>
      </w:r>
      <w:r w:rsidRPr="00E8651C">
        <w:t>ežsaimniecība un mežizstrāde: 118,81 milj. EUR;</w:t>
      </w:r>
    </w:p>
    <w:p w:rsidR="002A1250" w:rsidRPr="00E8651C" w:rsidP="00E8651C" w14:paraId="76481624" w14:textId="48AA6A59">
      <w:pPr>
        <w:pStyle w:val="ListParagraph"/>
        <w:numPr>
          <w:ilvl w:val="0"/>
          <w:numId w:val="29"/>
        </w:numPr>
        <w:spacing w:after="0" w:line="240" w:lineRule="auto"/>
        <w:ind w:left="567" w:hanging="567"/>
      </w:pPr>
      <w:r>
        <w:t>v</w:t>
      </w:r>
      <w:r w:rsidRPr="00E8651C">
        <w:t>airumtirdzniecība: 66,99 milj. EUR;</w:t>
      </w:r>
    </w:p>
    <w:p w:rsidR="002A1250" w:rsidRPr="00E8651C" w:rsidP="00E8651C" w14:paraId="46864742" w14:textId="494D8499">
      <w:pPr>
        <w:pStyle w:val="ListParagraph"/>
        <w:numPr>
          <w:ilvl w:val="0"/>
          <w:numId w:val="29"/>
        </w:numPr>
        <w:spacing w:after="0" w:line="240" w:lineRule="auto"/>
        <w:ind w:left="567" w:hanging="567"/>
      </w:pPr>
      <w:r>
        <w:t>a</w:t>
      </w:r>
      <w:r w:rsidRPr="00E8651C">
        <w:t>ugkopība un lopkopība: 39,57 milj. EUR.</w:t>
      </w:r>
    </w:p>
    <w:p w:rsidR="002A1250" w:rsidRPr="002A0266" w:rsidP="002A1250" w14:paraId="28688346" w14:textId="77777777">
      <w:pPr>
        <w:spacing w:after="0" w:line="240" w:lineRule="auto"/>
        <w:rPr>
          <w:rFonts w:cstheme="minorHAnsi"/>
        </w:rPr>
      </w:pPr>
    </w:p>
    <w:p w:rsidR="002A1250" w:rsidRPr="00E8651C" w:rsidP="00E8651C" w14:paraId="4C80D52B" w14:textId="77777777">
      <w:pPr>
        <w:pStyle w:val="Body"/>
        <w:ind w:firstLine="567"/>
        <w:jc w:val="both"/>
        <w:rPr>
          <w:rFonts w:ascii="Times New Roman" w:hAnsi="Times New Roman" w:cs="Times New Roman"/>
          <w:color w:val="auto"/>
        </w:rPr>
      </w:pPr>
      <w:r w:rsidRPr="00E8651C">
        <w:rPr>
          <w:rFonts w:ascii="Times New Roman" w:hAnsi="Times New Roman" w:cs="Times New Roman"/>
          <w:color w:val="auto"/>
        </w:rPr>
        <w:t>“Lursoft IT” izpētījis, ka ārvalstu kapitālu piesaistījuši 57 novadā reģistrēti uzņēmumi, kopējai ieguldījumu summai šobrīd sasniedzot 23,19 milj. EUR. Tas ļāvis Aizkraukles novadam uzkrāto ārvalstu ieguldījumu apjoma ziņā starp visām pašvaldībām ierindoties 26. vietā, līdztekus Siguldas un Ventspils novadiem. Apjomīgākie ārvalstu ieguldījumi uzkrāti javu ražošanas (9,40 milj. EUR) un mežizstrādes (8,00 milj. EUR) nozarēs.</w:t>
      </w:r>
    </w:p>
    <w:p w:rsidR="002A1250" w:rsidRPr="00E8651C" w:rsidP="00E8651C" w14:paraId="057EAA11" w14:textId="77777777">
      <w:pPr>
        <w:pStyle w:val="Body"/>
        <w:jc w:val="both"/>
        <w:rPr>
          <w:rFonts w:ascii="Times New Roman" w:hAnsi="Times New Roman" w:cs="Times New Roman"/>
        </w:rPr>
      </w:pPr>
    </w:p>
    <w:p w:rsidR="002A1250" w:rsidRPr="00E8651C" w:rsidP="00E8651C" w14:paraId="674F00AD" w14:textId="700D6277">
      <w:pPr>
        <w:pStyle w:val="Body"/>
        <w:ind w:firstLine="567"/>
        <w:jc w:val="both"/>
        <w:rPr>
          <w:rFonts w:ascii="Times New Roman" w:hAnsi="Times New Roman" w:cs="Times New Roman"/>
        </w:rPr>
      </w:pPr>
      <w:r w:rsidRPr="00E8651C">
        <w:rPr>
          <w:rFonts w:ascii="Times New Roman" w:hAnsi="Times New Roman" w:cs="Times New Roman"/>
        </w:rPr>
        <w:t>Apjoma ziņā lielākos ieguldījumus Aizkraukles novada uzņēmumu pamatkapitālos veikuši investori no Dānijas (9,40 milj. EUR), Zviedrijas (8,00 milj. EUR) un Igaunijas (3,71 milj. EUR). Novada uzņēmumu pamatkapitālos ieguldījumi reģistrēti no 19 dažādām valstīm</w:t>
      </w:r>
      <w:r w:rsidR="00E8651C">
        <w:rPr>
          <w:rFonts w:ascii="Times New Roman" w:hAnsi="Times New Roman" w:cs="Times New Roman"/>
        </w:rPr>
        <w:t>.</w:t>
      </w:r>
    </w:p>
    <w:p w:rsidR="002A1250" w:rsidRPr="00E8651C" w:rsidP="00E8651C" w14:paraId="5CD9D705" w14:textId="77777777">
      <w:pPr>
        <w:pStyle w:val="Body"/>
        <w:jc w:val="both"/>
        <w:rPr>
          <w:rFonts w:ascii="Times New Roman" w:hAnsi="Times New Roman" w:cs="Times New Roman"/>
        </w:rPr>
      </w:pPr>
    </w:p>
    <w:p w:rsidR="002A1250" w:rsidRPr="00E8651C" w:rsidP="002A1250" w14:paraId="2C1AC36B" w14:textId="77777777">
      <w:pPr>
        <w:pStyle w:val="Heading2"/>
      </w:pPr>
      <w:r w:rsidRPr="00E8651C">
        <w:t>Vidējā apgrozījuma rādītājs turpinājis augt</w:t>
      </w:r>
    </w:p>
    <w:p w:rsidR="002A1250" w:rsidP="00E8651C" w14:paraId="19C7A93B" w14:textId="77777777">
      <w:pPr>
        <w:spacing w:after="0" w:line="240" w:lineRule="auto"/>
        <w:ind w:firstLine="567"/>
        <w:jc w:val="both"/>
        <w:rPr>
          <w:rFonts w:cstheme="minorHAnsi"/>
        </w:rPr>
      </w:pPr>
      <w:r>
        <w:rPr>
          <w:rFonts w:cstheme="minorHAnsi"/>
        </w:rPr>
        <w:t xml:space="preserve">Analizējot datus par Aizkraukles novadā reģistrēto uzņēmumu apgrozījumu, redzams, ka pēdējos gados vidējam rādītājam uz vienu uzņēmumu bijusi tendence pieaugt. Kopš 2022. gada tas audzis par 18,36%, pērn sasniedzot vidēji 40,87 tūkst. EUR uz vienu uzņēmumu. Jāņem gan vērā, ka vēl norit gada pārskatu iesniegšana, tāpēc gan kopējā, gan arī vidējā rādītājā gaidāmas izmaiņas. </w:t>
      </w:r>
    </w:p>
    <w:p w:rsidR="002A1250" w:rsidP="00E8651C" w14:paraId="1BB3E93E" w14:textId="77777777">
      <w:pPr>
        <w:spacing w:after="0" w:line="240" w:lineRule="auto"/>
        <w:ind w:firstLine="567"/>
        <w:jc w:val="both"/>
        <w:rPr>
          <w:rFonts w:cstheme="minorHAnsi"/>
        </w:rPr>
      </w:pPr>
      <w:r>
        <w:rPr>
          <w:rFonts w:cstheme="minorHAnsi"/>
        </w:rPr>
        <w:t>“Lursoft IT” apkopotie dati rāda, ka Aizkraukles novadā reģistrēto uzņēmumu kopējais apgrozījums 2024. gadā sasniedza 1,10 miljardus eiro. No šīs summas teju trešdaļu veido viena uzņēmuma – AS “Virši-A” – apgrozījums. Pārskatu par saimnieciskās darbības rezultātiem 2025. gadā uzņēmums vēl nav iesniedzis. Pētījuma sagatavošanas brīdī jaunāko finanšu pārskatu nebija iesniedzis arī 2024. gada līderu topa 4. pozīcijā esošais SIA “Jeld-Wen Latvija”, kas aizpērn apgrozīja 48,56 milj. EUR, un vairāki citi novada lielākie uzņēmumi, kuru apgrozījums ierasti mērāms vairākos miljonos eiro. Piemēram, SIA “Krauss” (17,95 milj. EUR apgrozījums 2024. gadā), SIA “Pakavs” (15,12 milj. EUR) u.c. Līdz ar to 2025. gada apgrozījuma kopējos rādītājos vēl sagaidāmas būtiskas izmaiņas, kā arī izmaiņas gaidāmas līderu saraksta pirmajās pozīcijās.</w:t>
      </w:r>
    </w:p>
    <w:p w:rsidR="002A1250" w:rsidP="00E8651C" w14:paraId="6007BAD3" w14:textId="77777777">
      <w:pPr>
        <w:spacing w:after="0" w:line="240" w:lineRule="auto"/>
        <w:ind w:firstLine="567"/>
        <w:jc w:val="both"/>
        <w:rPr>
          <w:rFonts w:cstheme="minorHAnsi"/>
        </w:rPr>
      </w:pPr>
      <w:r>
        <w:rPr>
          <w:rFonts w:cstheme="minorHAnsi"/>
        </w:rPr>
        <w:t xml:space="preserve">Analizējot datus par Aizkraukles novada uzņēmumiem, kuri jau iesnieguši pārskatus par 2025. gadu un pērn guvuši ieņēmumus no saimnieciskās darbības, redzams, ka šo uzņēmumu kopējais apgrozījums gada laikā samazinājies par 2,31%, neskatoties uz to, ka 60,73% no šiem uzņēmumiem izdevies gada laikā savu apgrozījumu palielināt. </w:t>
      </w:r>
    </w:p>
    <w:p w:rsidR="002A1250" w:rsidP="00E8651C" w14:paraId="23971F8C" w14:textId="77777777">
      <w:pPr>
        <w:spacing w:after="0" w:line="240" w:lineRule="auto"/>
        <w:ind w:firstLine="567"/>
        <w:jc w:val="both"/>
        <w:rPr>
          <w:rFonts w:cstheme="minorHAnsi"/>
        </w:rPr>
      </w:pPr>
      <w:r>
        <w:rPr>
          <w:rFonts w:cstheme="minorHAnsi"/>
        </w:rPr>
        <w:t>Dati rāda, ka ar vairāk nekā 1 milj. EUR lielu apgrozījumu 2024. gadā novadā strādāja 67 uzņēmumi, savukārt no uzņēmumiem, kuri jau iesnieguši pārskatus par 2025. gadu, 1 milj. EUR apgrozījuma slieksni pērn pārvarējuši 55 komersanti.</w:t>
      </w:r>
    </w:p>
    <w:p w:rsidR="002A1250" w:rsidRPr="002A0266" w:rsidP="002A1250" w14:paraId="77A2111A" w14:textId="77777777">
      <w:pPr>
        <w:pStyle w:val="Body"/>
        <w:jc w:val="center"/>
        <w:rPr>
          <w:rFonts w:asciiTheme="minorHAnsi" w:hAnsiTheme="minorHAnsi" w:cstheme="minorHAnsi"/>
          <w:sz w:val="22"/>
          <w:szCs w:val="22"/>
        </w:rPr>
      </w:pPr>
      <w:r>
        <w:rPr>
          <w:noProof/>
          <w:lang w:val="en-US" w:eastAsia="zh-CN"/>
        </w:rPr>
        <w:drawing>
          <wp:inline distT="0" distB="0" distL="0" distR="0">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1250" w:rsidP="002A1250" w14:paraId="1F770B15" w14:textId="77777777">
      <w:pPr>
        <w:pStyle w:val="Body"/>
        <w:rPr>
          <w:rFonts w:asciiTheme="minorHAnsi" w:hAnsiTheme="minorHAnsi" w:cstheme="minorHAnsi"/>
          <w:sz w:val="22"/>
          <w:szCs w:val="22"/>
        </w:rPr>
      </w:pPr>
    </w:p>
    <w:p w:rsidR="002A1250" w:rsidRPr="00E8651C" w:rsidP="00E8651C" w14:paraId="34F0E930" w14:textId="77777777">
      <w:pPr>
        <w:pStyle w:val="Body"/>
        <w:ind w:firstLine="567"/>
        <w:jc w:val="both"/>
        <w:rPr>
          <w:rFonts w:ascii="Times New Roman" w:hAnsi="Times New Roman" w:cs="Times New Roman"/>
        </w:rPr>
      </w:pPr>
      <w:r w:rsidRPr="00E8651C">
        <w:rPr>
          <w:rFonts w:ascii="Times New Roman" w:hAnsi="Times New Roman" w:cs="Times New Roman"/>
        </w:rPr>
        <w:t>No uzņēmumiem, kuri pētījuma sagatavošanas brīdī bija iesnieguši pārskatus par 2025. gadu, visaugstāko apgrozījumu pagājušajā gadā uzrādījis SIA “Latgran”. Salīdzinot ar gadu iepriekš, pērn SIA “Latgran” apgrozījums samazinājies par 413,92 tūkst. EUR, sarūķot līdz 221,23 milj. EUR. Industriālo koksnes granulu ražotājs 2025. gadā turpināja darbību ierastajā režīmā, visās ražotnēs saražotais apjoms pārsniedza iepriekšējā gada un plānoto apjomu. Iesniegtajā vadības ziņojumā SIA “Latgran” norādījis, ka 2025. gadā tas saražoja 624 tūkst. t industriālo koksnes granulu, kas ir par 8% vairāk nekā 2024. gadā un 4% vairāk nekā 2023. gadā. Pārdošanas cena 2025. gadā ir nedaudz samazinājusies.</w:t>
      </w:r>
    </w:p>
    <w:p w:rsidR="002A1250" w:rsidP="002A1250" w14:paraId="192EB7FF" w14:textId="77777777">
      <w:pPr>
        <w:pStyle w:val="Body"/>
        <w:rPr>
          <w:rFonts w:asciiTheme="minorHAnsi" w:hAnsiTheme="minorHAnsi" w:cstheme="minorHAnsi"/>
          <w:sz w:val="22"/>
          <w:szCs w:val="22"/>
        </w:rPr>
      </w:pPr>
    </w:p>
    <w:p w:rsidR="002A1250" w:rsidRPr="00E8651C" w:rsidP="00E8651C" w14:paraId="30557825" w14:textId="77777777">
      <w:pPr>
        <w:pStyle w:val="Body"/>
        <w:ind w:firstLine="567"/>
        <w:jc w:val="both"/>
        <w:rPr>
          <w:rFonts w:ascii="Times New Roman" w:hAnsi="Times New Roman" w:cs="Times New Roman"/>
        </w:rPr>
      </w:pPr>
      <w:r w:rsidRPr="00E8651C">
        <w:rPr>
          <w:rFonts w:ascii="Times New Roman" w:hAnsi="Times New Roman" w:cs="Times New Roman"/>
        </w:rPr>
        <w:t xml:space="preserve">Ar ievērojamu apgrozījuma pieaugumu 2025. gadā strādājis SIA “Liellopu izsoļu nams”. “Lursoft IT” pieejamie dati rāda, ka gada laikā uzņēmuma apgrozījums palielinājies par 42,65%, sasniedzot 44,11 milj. EUR. Iesniegtajā vadības ziņojumā uzņēmums norādījis, ka apgrozījuma pieaugumu nodrošināja Eiropas tirgus ikdienas monitorings, cieša saziņa ar pircējiem, piedāvājuma un pieprasījuma līdzsvara saglabāšana un augstākas pārdošanas cenas. </w:t>
      </w:r>
    </w:p>
    <w:p w:rsidR="002A1250" w:rsidP="002A1250" w14:paraId="59EEFA5B" w14:textId="77777777">
      <w:pPr>
        <w:pStyle w:val="Body"/>
        <w:rPr>
          <w:rFonts w:asciiTheme="minorHAnsi" w:hAnsiTheme="minorHAnsi" w:cstheme="minorHAnsi"/>
          <w:sz w:val="22"/>
          <w:szCs w:val="22"/>
        </w:rPr>
      </w:pPr>
    </w:p>
    <w:p w:rsidR="002A1250" w:rsidRPr="00E8651C" w:rsidP="00E8651C" w14:paraId="400769DF" w14:textId="77777777">
      <w:pPr>
        <w:pStyle w:val="Body"/>
        <w:ind w:firstLine="567"/>
        <w:jc w:val="both"/>
        <w:rPr>
          <w:rFonts w:ascii="Times New Roman" w:hAnsi="Times New Roman" w:cs="Times New Roman"/>
        </w:rPr>
      </w:pPr>
      <w:r w:rsidRPr="00E8651C">
        <w:rPr>
          <w:rFonts w:ascii="Times New Roman" w:hAnsi="Times New Roman" w:cs="Times New Roman"/>
        </w:rPr>
        <w:t>Meža izstrādes, koksnes atkritumu pārstrādes un meža augsnes sagatavošanas uzņēmums SIA “BILLERUD Latvia” norādījis, ka 2025. gadā dramatiski samazinājās pieprasījums un uzņēmuma pārdošanas apjoms mātes uzņēmumam. Papīrmalkai piedzīvots kritums par 57%, bet celulozes šķeldai par 67%. Pēc pašreizējām prognozēm uzņēmums 2026. gadā lielāku papīrmalkas un šķeldas piegādes apjomu neplāno. Pieprasījuma kritums atspoguļojies arī SIA “BILLERUD Latvia” apgrozījumā, kas sarucis par 52,36% mazāks nekā 2024. gadā. Pērn uzņēmums apgrozīja 40,96 milj. EUR.</w:t>
      </w:r>
    </w:p>
    <w:p w:rsidR="002A1250" w:rsidP="002A1250" w14:paraId="777570AB" w14:textId="77777777">
      <w:pPr>
        <w:pStyle w:val="Body"/>
        <w:rPr>
          <w:rFonts w:asciiTheme="minorHAnsi" w:hAnsiTheme="minorHAnsi" w:cstheme="minorHAnsi"/>
          <w:sz w:val="22"/>
          <w:szCs w:val="22"/>
        </w:rPr>
      </w:pPr>
    </w:p>
    <w:p w:rsidR="002A1250" w:rsidRPr="00E8651C" w:rsidP="00E8651C" w14:paraId="6F703619" w14:textId="77777777">
      <w:pPr>
        <w:pStyle w:val="Body"/>
        <w:ind w:firstLine="567"/>
        <w:rPr>
          <w:rFonts w:ascii="Times New Roman" w:hAnsi="Times New Roman" w:cs="Times New Roman"/>
        </w:rPr>
      </w:pPr>
      <w:r w:rsidRPr="00E8651C">
        <w:rPr>
          <w:rFonts w:ascii="Times New Roman" w:hAnsi="Times New Roman" w:cs="Times New Roman"/>
        </w:rPr>
        <w:t>Starp Aizkraukles novada uzņēmumiem ar lielāko apgrozījumu ierindojas arī elektroenerģijas un dabas gāzes tirgotājs SIA “VIRŠI Renergy”, kura apgrozījums gada laikā pieaudzis par 270,82 tūkst. EUR. Pērn uzņēmums apgrozīja 29,14 milj. EUR.</w:t>
      </w:r>
    </w:p>
    <w:p w:rsidR="002A1250" w:rsidP="002A1250" w14:paraId="3ED83F2A" w14:textId="77777777">
      <w:pPr>
        <w:pStyle w:val="Body"/>
        <w:rPr>
          <w:rFonts w:asciiTheme="minorHAnsi" w:hAnsiTheme="minorHAnsi" w:cstheme="minorHAnsi"/>
          <w:sz w:val="22"/>
          <w:szCs w:val="22"/>
        </w:rPr>
      </w:pPr>
    </w:p>
    <w:p w:rsidR="002A1250" w:rsidRPr="00E8651C" w:rsidP="00E8651C" w14:paraId="08FBFF42" w14:textId="77777777">
      <w:pPr>
        <w:pStyle w:val="Body"/>
        <w:ind w:firstLine="567"/>
        <w:jc w:val="both"/>
        <w:rPr>
          <w:rFonts w:ascii="Times New Roman" w:hAnsi="Times New Roman" w:cs="Times New Roman"/>
        </w:rPr>
      </w:pPr>
      <w:r w:rsidRPr="00E8651C">
        <w:rPr>
          <w:rFonts w:ascii="Times New Roman" w:hAnsi="Times New Roman" w:cs="Times New Roman"/>
        </w:rPr>
        <w:t>Līderu TOP 5 sarakstu pētījuma sagatavošanas brīdī noslēdz Lauksaimniecības pakalpojumu kooperatīvā sabiedrība “Baltu Piens” ar 2025. gadā apgrozītiem 16,19 milj. EUR. Gada laikā kooperatīva apgrozījums palielinājies par 37,08%. Apgrozījuma palielinājums saistāms ar piena cenu pieaugumu, kā arī ar iepirktā piena apjomu palielinājumu no kooperatīva biedriem. Kopumā no kooperatīva biedriem 2025. gadā tika iepirkti 32 457,68 tūkst. t svaigpiena.</w:t>
      </w:r>
    </w:p>
    <w:p w:rsidR="002A1250" w:rsidRPr="00E8651C" w:rsidP="002A1250" w14:paraId="467C4804" w14:textId="77777777">
      <w:pPr>
        <w:pStyle w:val="Body"/>
        <w:rPr>
          <w:rFonts w:ascii="Times New Roman" w:hAnsi="Times New Roman" w:cs="Times New Roman"/>
        </w:rPr>
      </w:pPr>
      <w:r w:rsidRPr="00E8651C">
        <w:rPr>
          <w:rFonts w:ascii="Times New Roman" w:hAnsi="Times New Roman" w:cs="Times New Roman"/>
        </w:rPr>
        <w:t xml:space="preserve"> </w:t>
      </w:r>
    </w:p>
    <w:p w:rsidR="002A1250" w:rsidRPr="00E8651C" w:rsidP="002A1250" w14:paraId="28E38E68" w14:textId="77777777">
      <w:pPr>
        <w:pStyle w:val="Body"/>
        <w:rPr>
          <w:rFonts w:ascii="Times New Roman" w:hAnsi="Times New Roman" w:cs="Times New Roman"/>
          <w:b/>
          <w:bCs/>
        </w:rPr>
      </w:pPr>
      <w:r w:rsidRPr="00E8651C">
        <w:rPr>
          <w:rFonts w:ascii="Times New Roman" w:hAnsi="Times New Roman" w:cs="Times New Roman"/>
          <w:b/>
          <w:bCs/>
        </w:rPr>
        <w:t>Aizkraukles novada lielākie uzņēmumi pēc apgrozījuma 2025. gadā:</w:t>
      </w:r>
    </w:p>
    <w:p w:rsidR="002A1250" w:rsidRPr="00E8651C" w:rsidP="00E8651C" w14:paraId="3CDAF42A" w14:textId="77777777">
      <w:pPr>
        <w:pStyle w:val="Body"/>
        <w:numPr>
          <w:ilvl w:val="0"/>
          <w:numId w:val="28"/>
        </w:numPr>
        <w:ind w:left="567" w:hanging="567"/>
        <w:rPr>
          <w:rFonts w:ascii="Times New Roman" w:hAnsi="Times New Roman" w:cs="Times New Roman"/>
          <w:bCs/>
        </w:rPr>
      </w:pPr>
      <w:r w:rsidRPr="00E8651C">
        <w:rPr>
          <w:rFonts w:ascii="Times New Roman" w:hAnsi="Times New Roman" w:cs="Times New Roman"/>
          <w:bCs/>
        </w:rPr>
        <w:t>SIA “Latgran”: 221,23 milj. EUR;</w:t>
      </w:r>
    </w:p>
    <w:p w:rsidR="002A1250" w:rsidRPr="00E8651C" w:rsidP="00F074A4" w14:paraId="36D5B491" w14:textId="77777777">
      <w:pPr>
        <w:pStyle w:val="Body"/>
        <w:numPr>
          <w:ilvl w:val="0"/>
          <w:numId w:val="28"/>
        </w:numPr>
        <w:ind w:left="567" w:hanging="567"/>
        <w:rPr>
          <w:rFonts w:ascii="Times New Roman" w:hAnsi="Times New Roman" w:cs="Times New Roman"/>
          <w:bCs/>
        </w:rPr>
      </w:pPr>
      <w:r w:rsidRPr="00E8651C">
        <w:rPr>
          <w:rFonts w:ascii="Times New Roman" w:hAnsi="Times New Roman" w:cs="Times New Roman"/>
          <w:bCs/>
        </w:rPr>
        <w:t>SIA “Liellopu izsoļu nams”: 44,11 milj. EUR;</w:t>
      </w:r>
    </w:p>
    <w:p w:rsidR="002A1250" w:rsidRPr="00E8651C" w:rsidP="00F074A4" w14:paraId="3F7CF931" w14:textId="77777777">
      <w:pPr>
        <w:pStyle w:val="Body"/>
        <w:numPr>
          <w:ilvl w:val="0"/>
          <w:numId w:val="28"/>
        </w:numPr>
        <w:ind w:left="567" w:hanging="567"/>
        <w:rPr>
          <w:rFonts w:ascii="Times New Roman" w:hAnsi="Times New Roman" w:cs="Times New Roman"/>
          <w:bCs/>
        </w:rPr>
      </w:pPr>
      <w:r w:rsidRPr="00E8651C">
        <w:rPr>
          <w:rFonts w:ascii="Times New Roman" w:hAnsi="Times New Roman" w:cs="Times New Roman"/>
          <w:bCs/>
        </w:rPr>
        <w:t>SIA “BILLERUD Latvia”: 40,96 milj. EUR;</w:t>
      </w:r>
    </w:p>
    <w:p w:rsidR="002A1250" w:rsidRPr="00E8651C" w:rsidP="00F074A4" w14:paraId="38709076" w14:textId="77777777">
      <w:pPr>
        <w:pStyle w:val="Body"/>
        <w:numPr>
          <w:ilvl w:val="0"/>
          <w:numId w:val="28"/>
        </w:numPr>
        <w:ind w:left="567" w:hanging="567"/>
        <w:rPr>
          <w:rFonts w:ascii="Times New Roman" w:hAnsi="Times New Roman" w:cs="Times New Roman"/>
          <w:bCs/>
        </w:rPr>
      </w:pPr>
      <w:r w:rsidRPr="00E8651C">
        <w:rPr>
          <w:rFonts w:ascii="Times New Roman" w:hAnsi="Times New Roman" w:cs="Times New Roman"/>
          <w:bCs/>
        </w:rPr>
        <w:t>SIA “VIRŠI Renergy”: 29,14 milj. EUR;</w:t>
      </w:r>
    </w:p>
    <w:p w:rsidR="002A1250" w:rsidRPr="00E8651C" w:rsidP="00F074A4" w14:paraId="5162D988" w14:textId="77777777">
      <w:pPr>
        <w:pStyle w:val="Body"/>
        <w:numPr>
          <w:ilvl w:val="0"/>
          <w:numId w:val="28"/>
        </w:numPr>
        <w:ind w:left="567" w:hanging="567"/>
        <w:rPr>
          <w:rFonts w:ascii="Times New Roman" w:hAnsi="Times New Roman" w:cs="Times New Roman"/>
          <w:bCs/>
        </w:rPr>
      </w:pPr>
      <w:r w:rsidRPr="00E8651C">
        <w:rPr>
          <w:rFonts w:ascii="Times New Roman" w:hAnsi="Times New Roman" w:cs="Times New Roman"/>
          <w:bCs/>
        </w:rPr>
        <w:t>Lauksaimniecības pakalpojumu kooperatīvā sabiedrība “Baltu Piens”: 16,19 milj. EUR.</w:t>
      </w:r>
    </w:p>
    <w:p w:rsidR="002A1250" w:rsidRPr="002A0266" w:rsidP="002A1250" w14:paraId="58400801" w14:textId="77777777">
      <w:pPr>
        <w:pStyle w:val="Heading2"/>
        <w:rPr>
          <w:rFonts w:asciiTheme="minorHAnsi" w:hAnsiTheme="minorHAnsi" w:cstheme="minorHAnsi"/>
          <w:sz w:val="22"/>
          <w:szCs w:val="22"/>
        </w:rPr>
      </w:pPr>
    </w:p>
    <w:p w:rsidR="002A1250" w:rsidRPr="00E76E89" w:rsidP="002A1250" w14:paraId="2B7FE0C9" w14:textId="77777777">
      <w:pPr>
        <w:pStyle w:val="Heading2"/>
      </w:pPr>
      <w:r w:rsidRPr="00E76E89">
        <w:t>Peļņas rādītājiem mainīgi rezultāti</w:t>
      </w:r>
    </w:p>
    <w:p w:rsidR="002A1250" w:rsidRPr="002A0266" w:rsidP="002A1250" w14:paraId="63DF515D" w14:textId="77777777">
      <w:pPr>
        <w:pStyle w:val="Body"/>
        <w:rPr>
          <w:rFonts w:asciiTheme="minorHAnsi" w:hAnsiTheme="minorHAnsi" w:cstheme="minorHAnsi"/>
          <w:sz w:val="22"/>
          <w:szCs w:val="22"/>
        </w:rPr>
      </w:pPr>
    </w:p>
    <w:p w:rsidR="002A1250" w:rsidRPr="00E76E89" w:rsidP="00E76E89" w14:paraId="09414E88" w14:textId="77777777">
      <w:pPr>
        <w:pStyle w:val="Body"/>
        <w:ind w:firstLine="567"/>
        <w:jc w:val="both"/>
        <w:rPr>
          <w:rFonts w:ascii="Times New Roman" w:hAnsi="Times New Roman" w:cs="Times New Roman"/>
          <w:color w:val="000000" w:themeColor="text1"/>
        </w:rPr>
      </w:pPr>
      <w:r w:rsidRPr="00E76E89">
        <w:rPr>
          <w:rFonts w:ascii="Times New Roman" w:hAnsi="Times New Roman" w:cs="Times New Roman"/>
          <w:color w:val="000000" w:themeColor="text1"/>
        </w:rPr>
        <w:t xml:space="preserve">Peļņas rādītāji pēdējos gados Aizkraukles novadā reģistrētajiem uzņēmumiem bijuši mainīgi. “Lursoft IT” apkopotie dati rāda, ka novadā reģistrētie uzņēmumi 2022. gadā kopā nopelnīja 84,43 milj. EUR, bet jau gadu vēlāk peļņas rādītājs piedzīvoja ievērojamu kritumu, samazinoties līdz 5,6 milj. EUR. Nākamajā gadā atkal sekojis kāpums, palielinoties līdz 63,7 milj. EUR. Vai kāpums būs turpinājies arī pagājušajā gadā, vēl pāragri secināt, jo pārskatus nav iesnieguši vairāki novada lielie pelnītāji (AS “Virši-A” peļņa 2024. gadā – 6,13 milj. EUR, SIA “Jeld-Wen Latvija” – 1,62 milj. EUR), SIA “Salenieku Bloks” – 1,32 milj. EUR u.c.), tomēr pirmie rezultāti iezīmē vienotu likumsakarību – iepriekšējo gadu līderu peļņa vairumā gadījumu pērn bijusi mazāka. Vienlaikus </w:t>
      </w:r>
      <w:r w:rsidRPr="00E76E89">
        <w:rPr>
          <w:rFonts w:ascii="Times New Roman" w:hAnsi="Times New Roman" w:cs="Times New Roman"/>
          <w:color w:val="000000" w:themeColor="text1"/>
        </w:rPr>
        <w:t>redzams, ka vidējās peļņas rādītājs, balstoties uz jau iesniegto pārskatu datiem, pagājušajā gadā ir audzis.</w:t>
      </w:r>
    </w:p>
    <w:p w:rsidR="002A1250" w:rsidP="002A1250" w14:paraId="296E608B" w14:textId="77777777">
      <w:pPr>
        <w:pStyle w:val="Body"/>
        <w:rPr>
          <w:rFonts w:asciiTheme="minorHAnsi" w:hAnsiTheme="minorHAnsi" w:cstheme="minorHAnsi"/>
          <w:color w:val="000000" w:themeColor="text1"/>
          <w:sz w:val="22"/>
          <w:szCs w:val="22"/>
        </w:rPr>
      </w:pPr>
    </w:p>
    <w:p w:rsidR="002A1250" w:rsidRPr="00E76E89" w:rsidP="00E76E89" w14:paraId="0A7A83A0" w14:textId="77777777">
      <w:pPr>
        <w:pStyle w:val="Body"/>
        <w:ind w:firstLine="567"/>
        <w:jc w:val="both"/>
        <w:rPr>
          <w:rFonts w:ascii="Times New Roman" w:hAnsi="Times New Roman" w:cs="Times New Roman"/>
          <w:color w:val="000000" w:themeColor="text1"/>
        </w:rPr>
      </w:pPr>
      <w:r w:rsidRPr="00E76E89">
        <w:rPr>
          <w:rFonts w:ascii="Times New Roman" w:hAnsi="Times New Roman" w:cs="Times New Roman"/>
          <w:color w:val="000000" w:themeColor="text1"/>
        </w:rPr>
        <w:t>Pētījuma sagatavošanas brīdī 2025. gada pārskatus iesniegušo Aizkraukles novada uzņēmumu kopējā peļņa par pagājušo gadu sasniedza 42,08 milj. EUR, bet vidējais rādītājs uz vienu uzņēmumu – 613 eiro.</w:t>
      </w:r>
    </w:p>
    <w:p w:rsidR="002A1250" w:rsidRPr="00E76E89" w:rsidP="00E76E89" w14:paraId="19183D69" w14:textId="77777777">
      <w:pPr>
        <w:pStyle w:val="Body"/>
        <w:jc w:val="both"/>
        <w:rPr>
          <w:rFonts w:ascii="Times New Roman" w:hAnsi="Times New Roman" w:cs="Times New Roman"/>
          <w:color w:val="auto"/>
        </w:rPr>
      </w:pPr>
    </w:p>
    <w:p w:rsidR="002A1250" w:rsidRPr="00E76E89" w:rsidP="00E76E89" w14:paraId="51F8A608" w14:textId="77777777">
      <w:pPr>
        <w:pStyle w:val="Body"/>
        <w:ind w:firstLine="567"/>
        <w:jc w:val="both"/>
        <w:rPr>
          <w:rFonts w:ascii="Times New Roman" w:hAnsi="Times New Roman" w:cs="Times New Roman"/>
          <w:color w:val="auto"/>
        </w:rPr>
      </w:pPr>
      <w:r w:rsidRPr="00E76E89">
        <w:rPr>
          <w:rFonts w:ascii="Times New Roman" w:hAnsi="Times New Roman" w:cs="Times New Roman"/>
          <w:color w:val="auto"/>
        </w:rPr>
        <w:t>Peļņas rezultātu gada laikā izdevies uzlabot 54,63% no visiem Aizkraukles novada uzņēmumiem, kas jau iesnieguši pārskatus par 2025. gadu.</w:t>
      </w:r>
    </w:p>
    <w:p w:rsidR="002A1250" w:rsidP="002A1250" w14:paraId="4B066649" w14:textId="77777777">
      <w:pPr>
        <w:pStyle w:val="Body"/>
        <w:rPr>
          <w:rFonts w:asciiTheme="minorHAnsi" w:hAnsiTheme="minorHAnsi" w:cstheme="minorHAnsi"/>
          <w:sz w:val="22"/>
          <w:szCs w:val="22"/>
        </w:rPr>
      </w:pPr>
    </w:p>
    <w:p w:rsidR="002A1250" w:rsidRPr="002A0266" w:rsidP="002A1250" w14:paraId="4F8ECF24" w14:textId="77777777">
      <w:pPr>
        <w:pStyle w:val="Body"/>
        <w:rPr>
          <w:rFonts w:asciiTheme="minorHAnsi" w:hAnsiTheme="minorHAnsi" w:cstheme="minorHAnsi"/>
          <w:sz w:val="22"/>
          <w:szCs w:val="22"/>
        </w:rPr>
      </w:pPr>
      <w:r>
        <w:rPr>
          <w:noProof/>
          <w:lang w:val="en-US" w:eastAsia="zh-CN"/>
        </w:rPr>
        <w:drawing>
          <wp:inline distT="0" distB="0" distL="0" distR="0">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1250" w:rsidP="002A1250" w14:paraId="34AD8300" w14:textId="77777777">
      <w:pPr>
        <w:pStyle w:val="Body"/>
        <w:rPr>
          <w:rFonts w:cstheme="minorHAnsi"/>
          <w:sz w:val="22"/>
          <w:szCs w:val="22"/>
        </w:rPr>
      </w:pPr>
    </w:p>
    <w:p w:rsidR="002A1250" w:rsidRPr="00A263DE" w:rsidP="00A263DE" w14:paraId="7F87788E" w14:textId="77777777">
      <w:pPr>
        <w:pStyle w:val="Body"/>
        <w:ind w:firstLine="567"/>
        <w:jc w:val="both"/>
        <w:rPr>
          <w:rFonts w:ascii="Times New Roman" w:hAnsi="Times New Roman" w:cs="Times New Roman"/>
          <w:bCs/>
        </w:rPr>
      </w:pPr>
      <w:r w:rsidRPr="00A263DE">
        <w:rPr>
          <w:rFonts w:ascii="Times New Roman" w:hAnsi="Times New Roman" w:cs="Times New Roman"/>
          <w:bCs/>
        </w:rPr>
        <w:t>Pētījuma datu atlases brīdī visaugstāko peļņu Aizkraukles novadā 2025. gadā uzrādījis SIA “Latgran”, liecina “Lursoft IT” apkopotā informācija. Salīdzinot ar 2024. gadu, pērn SIA “Latgran” peļņa gan sarukusi teju par piektdaļu mazāka, samazinoties līdz 25,25 milj. EUR.</w:t>
      </w:r>
    </w:p>
    <w:p w:rsidR="002A1250" w:rsidRPr="00A263DE" w:rsidP="00A263DE" w14:paraId="0B28CC76" w14:textId="77777777">
      <w:pPr>
        <w:pStyle w:val="Body"/>
        <w:jc w:val="both"/>
        <w:rPr>
          <w:rFonts w:asciiTheme="minorHAnsi" w:hAnsiTheme="minorHAnsi" w:cstheme="minorHAnsi"/>
          <w:bCs/>
        </w:rPr>
      </w:pPr>
    </w:p>
    <w:p w:rsidR="002A1250" w:rsidRPr="00A263DE" w:rsidP="00A263DE" w14:paraId="37387B7F" w14:textId="77777777">
      <w:pPr>
        <w:pStyle w:val="Body"/>
        <w:ind w:firstLine="567"/>
        <w:jc w:val="both"/>
        <w:rPr>
          <w:rFonts w:ascii="Times New Roman" w:hAnsi="Times New Roman" w:cs="Times New Roman"/>
          <w:bCs/>
        </w:rPr>
      </w:pPr>
      <w:r w:rsidRPr="00A263DE">
        <w:rPr>
          <w:rFonts w:ascii="Times New Roman" w:hAnsi="Times New Roman" w:cs="Times New Roman"/>
          <w:bCs/>
        </w:rPr>
        <w:t>Gan apgrozījuma, gan peļņas kritumu 2025. gadā piedzīvojusi arī SIA “Kūdras enerģija”. Dati rāda, ka gada laikā uzņēmuma peļņa pēc nodokļu nomaksas samazinājusies par 32,79%, sarūkot līdz 3,10 milj. EUR. Par teju trešdaļa bijis mazāks arī SIA “Kūdras enerģija” apgrozījums. Uzņēmums savā pārskatā skaidro, ka tas saistīts ar lietaino sezonu un ražošanas līniju rekonstrukciju, kā dēļ no septembra līdz novembrim nenotika ražošana. Pērn uzņēmums veica kapitālieguldījumus kūdras ieguves laukos, kā arī iegādājās jaunu traktortehniku un kūdras ieguves tehniku.</w:t>
      </w:r>
    </w:p>
    <w:p w:rsidR="002A1250" w:rsidRPr="00A263DE" w:rsidP="00A263DE" w14:paraId="0CE68C8F" w14:textId="77777777">
      <w:pPr>
        <w:pStyle w:val="Body"/>
        <w:jc w:val="both"/>
        <w:rPr>
          <w:rFonts w:ascii="Times New Roman" w:hAnsi="Times New Roman" w:cs="Times New Roman"/>
          <w:bCs/>
        </w:rPr>
      </w:pPr>
    </w:p>
    <w:p w:rsidR="002A1250" w:rsidRPr="00A263DE" w:rsidP="00A263DE" w14:paraId="03AB0020" w14:textId="77777777">
      <w:pPr>
        <w:pStyle w:val="Body"/>
        <w:ind w:firstLine="567"/>
        <w:jc w:val="both"/>
        <w:rPr>
          <w:rFonts w:asciiTheme="minorHAnsi" w:hAnsiTheme="minorHAnsi" w:cstheme="minorHAnsi"/>
          <w:bCs/>
        </w:rPr>
      </w:pPr>
      <w:r w:rsidRPr="00A263DE">
        <w:rPr>
          <w:rFonts w:ascii="Times New Roman" w:hAnsi="Times New Roman" w:cs="Times New Roman"/>
          <w:bCs/>
        </w:rPr>
        <w:t>Starp lielākajiem pelnītājiem Aizkraukles novadā ierindojas arī 2024. gada vasarā reģistrētais piena lopkopības uzņēmums SIA “VS Dairy”, kuram aizpērn pievienotas daļas no SIA “Vecsiljāņi”. Pagājušajā gadā uzņēmuma apgrozījums sasniedza 8,41 milj. EUR, bet peļņa – 2,64 milj. EUR. Pārskata gadā SIA “VS Dairy” veica ieguldījumus saimniecības attīstībā, uzsākot jaunas iekārtas izbūvi, kas modernizē tehnoloģiskos procesus</w:t>
      </w:r>
      <w:r w:rsidRPr="00A263DE">
        <w:rPr>
          <w:rFonts w:asciiTheme="minorHAnsi" w:hAnsiTheme="minorHAnsi" w:cstheme="minorHAnsi"/>
          <w:bCs/>
        </w:rPr>
        <w:t>.</w:t>
      </w:r>
    </w:p>
    <w:p w:rsidR="002A1250" w:rsidRPr="00A263DE" w:rsidP="00A263DE" w14:paraId="52308B9D" w14:textId="77777777">
      <w:pPr>
        <w:pStyle w:val="Body"/>
        <w:jc w:val="both"/>
        <w:rPr>
          <w:rFonts w:asciiTheme="minorHAnsi" w:hAnsiTheme="minorHAnsi" w:cstheme="minorHAnsi"/>
          <w:bCs/>
        </w:rPr>
      </w:pPr>
    </w:p>
    <w:p w:rsidR="002A1250" w:rsidRPr="002D2860" w:rsidP="002D2860" w14:paraId="2B68E485" w14:textId="77777777">
      <w:pPr>
        <w:pStyle w:val="Body"/>
        <w:ind w:firstLine="567"/>
        <w:jc w:val="both"/>
        <w:rPr>
          <w:rFonts w:ascii="Times New Roman" w:hAnsi="Times New Roman" w:cs="Times New Roman"/>
          <w:bCs/>
        </w:rPr>
      </w:pPr>
      <w:r w:rsidRPr="002D2860">
        <w:rPr>
          <w:rFonts w:ascii="Times New Roman" w:hAnsi="Times New Roman" w:cs="Times New Roman"/>
          <w:bCs/>
        </w:rPr>
        <w:t xml:space="preserve">SIA “Vecsiljāņi”, kas 2024. gadā uzsāka uzņēmuma reorganizāciju, atdalot lauksaimniecības un biogāzes nozari, pagājušajā gadā nopelnījis 2,62 milj. EUR. </w:t>
      </w:r>
    </w:p>
    <w:p w:rsidR="002A1250" w:rsidRPr="002D2860" w:rsidP="002D2860" w14:paraId="72139E07" w14:textId="77777777">
      <w:pPr>
        <w:pStyle w:val="Body"/>
        <w:ind w:firstLine="567"/>
        <w:jc w:val="both"/>
        <w:rPr>
          <w:rFonts w:ascii="Times New Roman" w:hAnsi="Times New Roman" w:cs="Times New Roman"/>
          <w:bCs/>
        </w:rPr>
      </w:pPr>
    </w:p>
    <w:p w:rsidR="002A1250" w:rsidRPr="002D2860" w:rsidP="002D2860" w14:paraId="75A258F8" w14:textId="77777777">
      <w:pPr>
        <w:pStyle w:val="Body"/>
        <w:ind w:firstLine="567"/>
        <w:jc w:val="both"/>
        <w:rPr>
          <w:rFonts w:ascii="Times New Roman" w:hAnsi="Times New Roman" w:cs="Times New Roman"/>
          <w:bCs/>
        </w:rPr>
      </w:pPr>
      <w:r w:rsidRPr="002D2860">
        <w:rPr>
          <w:rFonts w:ascii="Times New Roman" w:hAnsi="Times New Roman" w:cs="Times New Roman"/>
          <w:bCs/>
        </w:rPr>
        <w:t>TOP 5 lielāko pelnītāju sarakstu noslēdz SIA “Jaunholandes piens” ar 2025. gadā nopelnītiem 659,88 tūkst. EUR. Gada laikā piena lopkopības uzņēmuma peļņa palielinājusies vairāk nekā 2,5 reizes. Pārskata gadā SIA “Jaunholandes piens” iegādāties jaunu lauksaimniecības tehniku un apsaimniekoja 780 ha lauksaimniecības zemes. Pērn, lai paplašinātu uzņēmumu, iegādāti 57 ha zemes.</w:t>
      </w:r>
    </w:p>
    <w:p w:rsidR="002A1250" w:rsidP="002A1250" w14:paraId="703C079E" w14:textId="77777777">
      <w:pPr>
        <w:pStyle w:val="Body"/>
        <w:rPr>
          <w:rFonts w:asciiTheme="minorHAnsi" w:hAnsiTheme="minorHAnsi" w:cstheme="minorHAnsi"/>
          <w:bCs/>
          <w:sz w:val="22"/>
          <w:szCs w:val="22"/>
        </w:rPr>
      </w:pPr>
    </w:p>
    <w:p w:rsidR="002D2860" w:rsidP="002A1250" w14:paraId="34895684" w14:textId="77777777">
      <w:pPr>
        <w:pStyle w:val="Body"/>
        <w:rPr>
          <w:rFonts w:asciiTheme="minorHAnsi" w:hAnsiTheme="minorHAnsi" w:cstheme="minorHAnsi"/>
          <w:b/>
          <w:bCs/>
          <w:sz w:val="22"/>
          <w:szCs w:val="22"/>
        </w:rPr>
      </w:pPr>
    </w:p>
    <w:p w:rsidR="002A1250" w:rsidRPr="002D2860" w:rsidP="002A1250" w14:paraId="49FD3D65" w14:textId="3234F435">
      <w:pPr>
        <w:pStyle w:val="Body"/>
        <w:rPr>
          <w:rFonts w:ascii="Times New Roman" w:hAnsi="Times New Roman" w:cs="Times New Roman"/>
          <w:b/>
          <w:bCs/>
        </w:rPr>
      </w:pPr>
      <w:r w:rsidRPr="002D2860">
        <w:rPr>
          <w:rFonts w:ascii="Times New Roman" w:hAnsi="Times New Roman" w:cs="Times New Roman"/>
          <w:b/>
          <w:bCs/>
        </w:rPr>
        <w:t>Aizkraukles novada lielākie uzņēmumi pēc peļņas 2025. gadā:</w:t>
      </w:r>
    </w:p>
    <w:p w:rsidR="002A1250" w:rsidP="002D2860" w14:paraId="1329356B" w14:textId="77777777">
      <w:pPr>
        <w:pStyle w:val="ListParagraph"/>
        <w:numPr>
          <w:ilvl w:val="0"/>
          <w:numId w:val="27"/>
        </w:numPr>
        <w:spacing w:line="256" w:lineRule="auto"/>
        <w:ind w:left="567" w:hanging="567"/>
        <w:rPr>
          <w:rFonts w:cstheme="minorHAnsi"/>
        </w:rPr>
      </w:pPr>
      <w:r>
        <w:rPr>
          <w:rFonts w:cstheme="minorHAnsi"/>
        </w:rPr>
        <w:t>SIA “Latgran”: 25,25 milj. EUR;</w:t>
      </w:r>
    </w:p>
    <w:p w:rsidR="002A1250" w:rsidP="002D2860" w14:paraId="2EF308AA" w14:textId="77777777">
      <w:pPr>
        <w:pStyle w:val="ListParagraph"/>
        <w:numPr>
          <w:ilvl w:val="0"/>
          <w:numId w:val="27"/>
        </w:numPr>
        <w:spacing w:line="256" w:lineRule="auto"/>
        <w:ind w:left="567" w:hanging="567"/>
        <w:rPr>
          <w:rFonts w:cstheme="minorHAnsi"/>
        </w:rPr>
      </w:pPr>
      <w:r>
        <w:rPr>
          <w:rFonts w:cstheme="minorHAnsi"/>
        </w:rPr>
        <w:t>SIA “Kūdras enerģija”: 3,10 milj. EUR;</w:t>
      </w:r>
    </w:p>
    <w:p w:rsidR="002A1250" w:rsidP="002D2860" w14:paraId="3CA01D7A" w14:textId="77777777">
      <w:pPr>
        <w:pStyle w:val="ListParagraph"/>
        <w:numPr>
          <w:ilvl w:val="0"/>
          <w:numId w:val="27"/>
        </w:numPr>
        <w:spacing w:line="256" w:lineRule="auto"/>
        <w:ind w:left="567" w:hanging="567"/>
        <w:rPr>
          <w:rFonts w:cstheme="minorHAnsi"/>
        </w:rPr>
      </w:pPr>
      <w:r>
        <w:rPr>
          <w:rFonts w:cstheme="minorHAnsi"/>
        </w:rPr>
        <w:t>SIA “VS Dairy”: 2,64 milj. EUR;</w:t>
      </w:r>
    </w:p>
    <w:p w:rsidR="002A1250" w:rsidP="002D2860" w14:paraId="6597A23E" w14:textId="77777777">
      <w:pPr>
        <w:pStyle w:val="ListParagraph"/>
        <w:numPr>
          <w:ilvl w:val="0"/>
          <w:numId w:val="27"/>
        </w:numPr>
        <w:spacing w:line="256" w:lineRule="auto"/>
        <w:ind w:left="567" w:hanging="567"/>
        <w:rPr>
          <w:rFonts w:cstheme="minorHAnsi"/>
        </w:rPr>
      </w:pPr>
      <w:r>
        <w:rPr>
          <w:rFonts w:cstheme="minorHAnsi"/>
        </w:rPr>
        <w:t>SIA “Vecsiljāņi”: 2,62 milj. EUR;</w:t>
      </w:r>
    </w:p>
    <w:p w:rsidR="002A1250" w:rsidRPr="002D2860" w:rsidP="002D2860" w14:paraId="5122FC13" w14:textId="49024653">
      <w:pPr>
        <w:pStyle w:val="ListParagraph"/>
        <w:numPr>
          <w:ilvl w:val="0"/>
          <w:numId w:val="27"/>
        </w:numPr>
        <w:spacing w:line="256" w:lineRule="auto"/>
        <w:ind w:left="567" w:hanging="567"/>
        <w:rPr>
          <w:rFonts w:cstheme="minorHAnsi"/>
        </w:rPr>
      </w:pPr>
      <w:r>
        <w:rPr>
          <w:rFonts w:cstheme="minorHAnsi"/>
        </w:rPr>
        <w:t xml:space="preserve">SIA “Jaunholandes piens”: 0,66 milj. EUR. </w:t>
      </w:r>
    </w:p>
    <w:p w:rsidR="002A1250" w:rsidRPr="002D2860" w:rsidP="002A1250" w14:paraId="462D5346" w14:textId="77777777">
      <w:pPr>
        <w:pStyle w:val="Heading2"/>
      </w:pPr>
      <w:r w:rsidRPr="002D2860">
        <w:t>Darbinieku skaitam tendence sarukt</w:t>
      </w:r>
    </w:p>
    <w:p w:rsidR="002A1250" w:rsidRPr="002D2860" w:rsidP="002D2860" w14:paraId="53E06D42" w14:textId="77777777">
      <w:pPr>
        <w:pStyle w:val="Body"/>
        <w:ind w:firstLine="567"/>
        <w:jc w:val="both"/>
        <w:rPr>
          <w:rFonts w:ascii="Times New Roman" w:hAnsi="Times New Roman" w:cs="Times New Roman"/>
        </w:rPr>
      </w:pPr>
      <w:r w:rsidRPr="002D2860">
        <w:rPr>
          <w:rFonts w:ascii="Times New Roman" w:hAnsi="Times New Roman" w:cs="Times New Roman"/>
        </w:rPr>
        <w:t>Balstoties uz Valsts ieņēmumu dienesta (VID) publiskoto informāciju, otro gadu pēc kārtas Aizkraukles novadā turpinājis sarukt kopējais nodarbināto skaits. Ja 2023. gadā novada uzņēmumos strādāja 5375 darbinieki, tad pagājušajā gadā tie bijuši 5303 strādājošie, kas ir par 1,34% mazāk.</w:t>
      </w:r>
    </w:p>
    <w:p w:rsidR="002A1250" w:rsidRPr="002D2860" w:rsidP="002D2860" w14:paraId="63CC6C18" w14:textId="77777777">
      <w:pPr>
        <w:pStyle w:val="Body"/>
        <w:jc w:val="both"/>
        <w:rPr>
          <w:rFonts w:ascii="Times New Roman" w:hAnsi="Times New Roman" w:cs="Times New Roman"/>
        </w:rPr>
      </w:pPr>
    </w:p>
    <w:p w:rsidR="002A1250" w:rsidRPr="002D2860" w:rsidP="002D2860" w14:paraId="345BBCDF" w14:textId="77777777">
      <w:pPr>
        <w:pStyle w:val="Body"/>
        <w:ind w:firstLine="567"/>
        <w:jc w:val="both"/>
        <w:rPr>
          <w:rFonts w:ascii="Times New Roman" w:hAnsi="Times New Roman" w:cs="Times New Roman"/>
        </w:rPr>
      </w:pPr>
      <w:r w:rsidRPr="002D2860">
        <w:rPr>
          <w:rFonts w:ascii="Times New Roman" w:hAnsi="Times New Roman" w:cs="Times New Roman"/>
        </w:rPr>
        <w:t>Balstoties uz VID sniegto informāciju, 2025. gadā Aizkraukles novadā bija 86 uzņēmumi, kuros darbinieku skaits sasniedza vismaz 10 strādājošos, tostarp 6 uzņēmumos strādājošo skaits pārsniedza 100 darbiniekus.</w:t>
      </w:r>
    </w:p>
    <w:p w:rsidR="002A1250" w:rsidRPr="002D2860" w:rsidP="002D2860" w14:paraId="3E697CEC" w14:textId="77777777">
      <w:pPr>
        <w:pStyle w:val="Body"/>
        <w:jc w:val="both"/>
        <w:rPr>
          <w:rFonts w:ascii="Times New Roman" w:hAnsi="Times New Roman" w:cs="Times New Roman"/>
        </w:rPr>
      </w:pPr>
    </w:p>
    <w:p w:rsidR="002A1250" w:rsidRPr="002D2860" w:rsidP="002D2860" w14:paraId="6FEA2F44" w14:textId="77777777">
      <w:pPr>
        <w:pStyle w:val="Body"/>
        <w:ind w:firstLine="567"/>
        <w:jc w:val="both"/>
        <w:rPr>
          <w:rFonts w:ascii="Times New Roman" w:hAnsi="Times New Roman" w:cs="Times New Roman"/>
        </w:rPr>
      </w:pPr>
      <w:r w:rsidRPr="002D2860">
        <w:rPr>
          <w:rFonts w:ascii="Times New Roman" w:hAnsi="Times New Roman" w:cs="Times New Roman"/>
        </w:rPr>
        <w:t>Darbinieku skaita ziņā lielākā nozare Aizkraukles novadā 2025. gadā bija mazumtirdzniecība, kurā pērn nodarbināti 1275 darbinieki. Otrajā vietā ar 869 strādājošajiem ierindojusies koksnes un koka izstrādājumu ražošana, bet trešais lielākais darba devējs Aizkraukles novadā pagājušajā gadā bijis mežizstrāde. Šajā nozarē strādājošajos uzņēmumos 2025. gadā nodarbināti 362 darbinieki.</w:t>
      </w:r>
    </w:p>
    <w:p w:rsidR="002A1250" w:rsidRPr="002A0266" w:rsidP="002A1250" w14:paraId="06243320" w14:textId="77777777">
      <w:pPr>
        <w:pStyle w:val="Body"/>
        <w:jc w:val="center"/>
        <w:rPr>
          <w:rFonts w:asciiTheme="minorHAnsi" w:hAnsiTheme="minorHAnsi" w:cstheme="minorHAnsi"/>
          <w:sz w:val="22"/>
          <w:szCs w:val="22"/>
        </w:rPr>
      </w:pPr>
      <w:r>
        <w:rPr>
          <w:noProof/>
          <w:lang w:val="en-US" w:eastAsia="zh-CN"/>
        </w:rPr>
        <w:drawing>
          <wp:inline distT="0" distB="0" distL="0" distR="0">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A1250" w:rsidRPr="002A0266" w:rsidP="002A1250" w14:paraId="35CA09FF" w14:textId="77777777">
      <w:pPr>
        <w:pStyle w:val="Body"/>
        <w:rPr>
          <w:rFonts w:asciiTheme="minorHAnsi" w:hAnsiTheme="minorHAnsi" w:cstheme="minorHAnsi"/>
          <w:sz w:val="22"/>
          <w:szCs w:val="22"/>
        </w:rPr>
      </w:pPr>
    </w:p>
    <w:p w:rsidR="002A1250" w:rsidRPr="002D2860" w:rsidP="002D2860" w14:paraId="22EE5E65" w14:textId="77777777">
      <w:pPr>
        <w:pStyle w:val="Body"/>
        <w:ind w:firstLine="567"/>
        <w:jc w:val="both"/>
        <w:rPr>
          <w:rFonts w:ascii="Times New Roman" w:hAnsi="Times New Roman" w:cs="Times New Roman"/>
        </w:rPr>
      </w:pPr>
      <w:r w:rsidRPr="002D2860">
        <w:rPr>
          <w:rFonts w:ascii="Times New Roman" w:hAnsi="Times New Roman" w:cs="Times New Roman"/>
        </w:rPr>
        <w:t>Starp visiem Aizkraukles novadā reģistrētajiem uzņēmumiem lielākais darba devējs ir degvielas tirgotājs AS “Virši-A”. Strādājošo skaits uzņēmumā turpinājis pieaugt, pērn sasniedzot jau 886 darbiniekus. “Lursoft IT” apkopotā informācija atklāj, ka nodarbināto skaits uzņēmumā gada laikā pieaudzis par 5,73%.</w:t>
      </w:r>
    </w:p>
    <w:p w:rsidR="002A1250" w:rsidRPr="002D2860" w:rsidP="002D2860" w14:paraId="2DA80B9B" w14:textId="77777777">
      <w:pPr>
        <w:pStyle w:val="Body"/>
        <w:jc w:val="both"/>
        <w:rPr>
          <w:rFonts w:ascii="Times New Roman" w:hAnsi="Times New Roman" w:cs="Times New Roman"/>
        </w:rPr>
      </w:pPr>
    </w:p>
    <w:p w:rsidR="002A1250" w:rsidRPr="002D2860" w:rsidP="002D2860" w14:paraId="22D1F4A7" w14:textId="77777777">
      <w:pPr>
        <w:pStyle w:val="Body"/>
        <w:ind w:firstLine="567"/>
        <w:jc w:val="both"/>
        <w:rPr>
          <w:rFonts w:ascii="Times New Roman" w:hAnsi="Times New Roman" w:cs="Times New Roman"/>
        </w:rPr>
      </w:pPr>
      <w:r w:rsidRPr="002D2860">
        <w:rPr>
          <w:rFonts w:ascii="Times New Roman" w:hAnsi="Times New Roman" w:cs="Times New Roman"/>
        </w:rPr>
        <w:t>Tikmēr SIA “Jeld-Wen Latvija” darbinieku skaits pagājušajā gadā sarucis līdz 294 strādājošajiem, samazinoties par teju ceturto daļu. Kokapstrādes uzņēmumā SIA “Krauss” pagājušajā gadā nodarbināti 172 darbinieki (+2,99% pret 2024. gadu), bet SIA “Aizkraukles klīnika” – 145 strādājošie (+2,11%). Aizkraukles novada pašvaldībai un SIA “Balvu un Gulbenes slimnīcu fonds” piederošā veselības iestāde 2025. gadā palielināja apgrozījumu līdz 5,21 milj. EUR, bet peļņu līdz 250,13 tūkst. EUR.</w:t>
      </w:r>
    </w:p>
    <w:p w:rsidR="002A1250" w:rsidRPr="002D2860" w:rsidP="002D2860" w14:paraId="6BA37F1C" w14:textId="77777777">
      <w:pPr>
        <w:pStyle w:val="Body"/>
        <w:jc w:val="both"/>
        <w:rPr>
          <w:rFonts w:ascii="Times New Roman" w:hAnsi="Times New Roman" w:cs="Times New Roman"/>
        </w:rPr>
      </w:pPr>
    </w:p>
    <w:p w:rsidR="002A1250" w:rsidRPr="002D2860" w:rsidP="002D2860" w14:paraId="7A504A35" w14:textId="77777777">
      <w:pPr>
        <w:pStyle w:val="Body"/>
        <w:ind w:firstLine="567"/>
        <w:jc w:val="both"/>
        <w:rPr>
          <w:rFonts w:ascii="Times New Roman" w:hAnsi="Times New Roman" w:cs="Times New Roman"/>
        </w:rPr>
      </w:pPr>
      <w:r w:rsidRPr="002D2860">
        <w:rPr>
          <w:rFonts w:ascii="Times New Roman" w:hAnsi="Times New Roman" w:cs="Times New Roman"/>
        </w:rPr>
        <w:t>TOP 5 lielāko darba devēju sarakstu Aizkraukles novadā noslēdz SIA “Latgran” ar 129 darbiniekiem. Gada laikā to skaits uzņēmumā samazinājies par 11,64%.</w:t>
      </w:r>
    </w:p>
    <w:p w:rsidR="002A1250" w:rsidP="002A1250" w14:paraId="753BC8F7" w14:textId="77777777">
      <w:pPr>
        <w:pStyle w:val="Body"/>
        <w:rPr>
          <w:rFonts w:asciiTheme="minorHAnsi" w:hAnsiTheme="minorHAnsi" w:cstheme="minorHAnsi"/>
          <w:bCs/>
          <w:sz w:val="22"/>
          <w:szCs w:val="22"/>
        </w:rPr>
      </w:pPr>
    </w:p>
    <w:p w:rsidR="002D2860" w:rsidRPr="002A0266" w:rsidP="002A1250" w14:paraId="7BFB1B74" w14:textId="77777777">
      <w:pPr>
        <w:pStyle w:val="Body"/>
        <w:rPr>
          <w:rFonts w:asciiTheme="minorHAnsi" w:hAnsiTheme="minorHAnsi" w:cstheme="minorHAnsi"/>
          <w:bCs/>
          <w:sz w:val="22"/>
          <w:szCs w:val="22"/>
        </w:rPr>
      </w:pPr>
    </w:p>
    <w:p w:rsidR="002A1250" w:rsidRPr="002D2860" w:rsidP="002A1250" w14:paraId="1199935C" w14:textId="77777777">
      <w:pPr>
        <w:pStyle w:val="Body"/>
        <w:rPr>
          <w:rFonts w:ascii="Times New Roman" w:hAnsi="Times New Roman" w:cs="Times New Roman"/>
          <w:b/>
          <w:bCs/>
        </w:rPr>
      </w:pPr>
      <w:r w:rsidRPr="002D2860">
        <w:rPr>
          <w:rFonts w:ascii="Times New Roman" w:hAnsi="Times New Roman" w:cs="Times New Roman"/>
          <w:b/>
          <w:bCs/>
        </w:rPr>
        <w:t>Aizkraukles novada lielākie darba devēji pēc vidējā darbinieku skaita 2025. gadā:</w:t>
      </w:r>
    </w:p>
    <w:p w:rsidR="002A1250" w:rsidRPr="002D2860" w:rsidP="002A1250" w14:paraId="4BB6EBFD" w14:textId="77777777">
      <w:pPr>
        <w:pStyle w:val="Body"/>
        <w:numPr>
          <w:ilvl w:val="0"/>
          <w:numId w:val="26"/>
        </w:numPr>
        <w:rPr>
          <w:rFonts w:ascii="Times New Roman" w:hAnsi="Times New Roman" w:cs="Times New Roman"/>
        </w:rPr>
      </w:pPr>
      <w:r w:rsidRPr="002D2860">
        <w:rPr>
          <w:rFonts w:ascii="Times New Roman" w:hAnsi="Times New Roman" w:cs="Times New Roman"/>
        </w:rPr>
        <w:t>AS “Virši-A”: 886 darbinieki;</w:t>
      </w:r>
    </w:p>
    <w:p w:rsidR="002A1250" w:rsidRPr="002D2860" w:rsidP="002A1250" w14:paraId="43883242" w14:textId="77777777">
      <w:pPr>
        <w:pStyle w:val="Body"/>
        <w:numPr>
          <w:ilvl w:val="0"/>
          <w:numId w:val="26"/>
        </w:numPr>
        <w:rPr>
          <w:rFonts w:ascii="Times New Roman" w:hAnsi="Times New Roman" w:cs="Times New Roman"/>
        </w:rPr>
      </w:pPr>
      <w:r w:rsidRPr="002D2860">
        <w:rPr>
          <w:rFonts w:ascii="Times New Roman" w:hAnsi="Times New Roman" w:cs="Times New Roman"/>
        </w:rPr>
        <w:t>SIA “Jeld-Wen Latvija”: 294 darbinieki;</w:t>
      </w:r>
    </w:p>
    <w:p w:rsidR="002A1250" w:rsidRPr="002D2860" w:rsidP="002A1250" w14:paraId="5AFCF6A6" w14:textId="77777777">
      <w:pPr>
        <w:pStyle w:val="Body"/>
        <w:numPr>
          <w:ilvl w:val="0"/>
          <w:numId w:val="26"/>
        </w:numPr>
        <w:rPr>
          <w:rFonts w:ascii="Times New Roman" w:hAnsi="Times New Roman" w:cs="Times New Roman"/>
        </w:rPr>
      </w:pPr>
      <w:r w:rsidRPr="002D2860">
        <w:rPr>
          <w:rFonts w:ascii="Times New Roman" w:hAnsi="Times New Roman" w:cs="Times New Roman"/>
        </w:rPr>
        <w:t>SIA “Krauss”: 172 darbinieki;</w:t>
      </w:r>
    </w:p>
    <w:p w:rsidR="002A1250" w:rsidRPr="002D2860" w:rsidP="002A1250" w14:paraId="358F34FE" w14:textId="77777777">
      <w:pPr>
        <w:pStyle w:val="Body"/>
        <w:numPr>
          <w:ilvl w:val="0"/>
          <w:numId w:val="26"/>
        </w:numPr>
        <w:rPr>
          <w:rFonts w:ascii="Times New Roman" w:hAnsi="Times New Roman" w:cs="Times New Roman"/>
        </w:rPr>
      </w:pPr>
      <w:r w:rsidRPr="002D2860">
        <w:rPr>
          <w:rFonts w:ascii="Times New Roman" w:hAnsi="Times New Roman" w:cs="Times New Roman"/>
        </w:rPr>
        <w:t>SIA “Aizkraukles klīnika”: 145 darbinieki;</w:t>
      </w:r>
    </w:p>
    <w:p w:rsidR="002A1250" w:rsidRPr="002D2860" w:rsidP="002A1250" w14:paraId="51F0C352" w14:textId="77777777">
      <w:pPr>
        <w:pStyle w:val="Body"/>
        <w:numPr>
          <w:ilvl w:val="0"/>
          <w:numId w:val="26"/>
        </w:numPr>
        <w:rPr>
          <w:rFonts w:ascii="Times New Roman" w:hAnsi="Times New Roman" w:cs="Times New Roman"/>
        </w:rPr>
      </w:pPr>
      <w:r w:rsidRPr="002D2860">
        <w:rPr>
          <w:rFonts w:ascii="Times New Roman" w:hAnsi="Times New Roman" w:cs="Times New Roman"/>
        </w:rPr>
        <w:t>SIA “Latgran”: 129 darbinieki.</w:t>
      </w:r>
    </w:p>
    <w:p w:rsidR="002A1250" w:rsidRPr="002A0266" w:rsidP="002A1250" w14:paraId="1C8212D5" w14:textId="77777777">
      <w:pPr>
        <w:pStyle w:val="Body"/>
        <w:rPr>
          <w:rFonts w:asciiTheme="minorHAnsi" w:hAnsiTheme="minorHAnsi" w:cstheme="minorHAnsi"/>
          <w:sz w:val="22"/>
          <w:szCs w:val="22"/>
        </w:rPr>
      </w:pPr>
    </w:p>
    <w:p w:rsidR="002A1250" w:rsidRPr="002A0266" w:rsidP="002A1250" w14:paraId="45193A63" w14:textId="77777777">
      <w:pPr>
        <w:pStyle w:val="Heading2"/>
        <w:rPr>
          <w:rFonts w:asciiTheme="minorHAnsi" w:hAnsiTheme="minorHAnsi" w:cstheme="minorHAnsi"/>
        </w:rPr>
      </w:pPr>
      <w:r>
        <w:rPr>
          <w:rFonts w:asciiTheme="minorHAnsi" w:hAnsiTheme="minorHAnsi" w:cstheme="minorHAnsi"/>
        </w:rPr>
        <w:t>Nodokļos samaksāts vairāk</w:t>
      </w:r>
    </w:p>
    <w:p w:rsidR="002A1250" w:rsidRPr="005C36E4" w:rsidP="005C36E4" w14:paraId="73E1CCF7" w14:textId="77777777">
      <w:pPr>
        <w:pStyle w:val="Body"/>
        <w:ind w:firstLine="567"/>
        <w:jc w:val="both"/>
        <w:rPr>
          <w:rFonts w:ascii="Times New Roman" w:hAnsi="Times New Roman" w:cs="Times New Roman"/>
        </w:rPr>
      </w:pPr>
      <w:r w:rsidRPr="005C36E4">
        <w:rPr>
          <w:rFonts w:ascii="Times New Roman" w:hAnsi="Times New Roman" w:cs="Times New Roman"/>
        </w:rPr>
        <w:t xml:space="preserve">Pagājušajā gadā Latvijas uzņēmumu veikto nodokļu iemaksu apjoms valsts kopbudžetā sasniedzis 12,30 miljardus eiro, liecina “Lursoft IT” apkopotie dati. Tostarp 4,20 miljardi eiro samaksāti valsts sociālās apdrošināšanas obligātajās iemaksās un 2,12 miljardi eiro iedzīvotāju ienākuma nodoklī. </w:t>
      </w:r>
    </w:p>
    <w:p w:rsidR="002A1250" w:rsidRPr="005C36E4" w:rsidP="005C36E4" w14:paraId="38811A3D" w14:textId="77777777">
      <w:pPr>
        <w:pStyle w:val="Body"/>
        <w:jc w:val="both"/>
        <w:rPr>
          <w:rFonts w:ascii="Times New Roman" w:hAnsi="Times New Roman" w:cs="Times New Roman"/>
        </w:rPr>
      </w:pPr>
    </w:p>
    <w:p w:rsidR="002A1250" w:rsidRPr="005C36E4" w:rsidP="005C36E4" w14:paraId="4BD86F66" w14:textId="77777777">
      <w:pPr>
        <w:pStyle w:val="Body"/>
        <w:ind w:firstLine="567"/>
        <w:jc w:val="both"/>
        <w:rPr>
          <w:rFonts w:ascii="Times New Roman" w:hAnsi="Times New Roman" w:cs="Times New Roman"/>
        </w:rPr>
      </w:pPr>
      <w:r w:rsidRPr="005C36E4">
        <w:rPr>
          <w:rFonts w:ascii="Times New Roman" w:hAnsi="Times New Roman" w:cs="Times New Roman"/>
        </w:rPr>
        <w:t>Aizkraukles novadā reģistrētie uzņēmumi VID administrētajos nodokļos 2025. gadā kopā samaksājuši 151,13 milj. EUR, kas ir par 14,58% vairāk nekā gadu iepriekš.</w:t>
      </w:r>
    </w:p>
    <w:p w:rsidR="002A1250" w:rsidRPr="005C36E4" w:rsidP="005C36E4" w14:paraId="493682B5" w14:textId="77777777">
      <w:pPr>
        <w:pStyle w:val="Body"/>
        <w:jc w:val="both"/>
        <w:rPr>
          <w:rFonts w:ascii="Times New Roman" w:hAnsi="Times New Roman" w:cs="Times New Roman"/>
        </w:rPr>
      </w:pPr>
    </w:p>
    <w:p w:rsidR="002A1250" w:rsidRPr="005C36E4" w:rsidP="005C36E4" w14:paraId="4B412DC0" w14:textId="77777777">
      <w:pPr>
        <w:pStyle w:val="Body"/>
        <w:ind w:firstLine="567"/>
        <w:jc w:val="both"/>
        <w:rPr>
          <w:rFonts w:ascii="Times New Roman" w:hAnsi="Times New Roman" w:cs="Times New Roman"/>
        </w:rPr>
      </w:pPr>
      <w:r w:rsidRPr="005C36E4">
        <w:rPr>
          <w:rFonts w:ascii="Times New Roman" w:hAnsi="Times New Roman" w:cs="Times New Roman"/>
        </w:rPr>
        <w:t>No kopējām nodokļu iemaksām 27,84 milj. EUR veidoja valsts sociālās apdrošināšanas obligātās iemaksas (+1,17% pret 2024. gadu) un 13,03 milj. EUR – iedzīvotāju ienākuma nodoklis (-11,97%).</w:t>
      </w:r>
    </w:p>
    <w:p w:rsidR="002A1250" w:rsidRPr="005C36E4" w:rsidP="005C36E4" w14:paraId="1E84E9FB" w14:textId="77777777">
      <w:pPr>
        <w:pStyle w:val="Body"/>
        <w:jc w:val="both"/>
        <w:rPr>
          <w:rFonts w:ascii="Times New Roman" w:hAnsi="Times New Roman" w:cs="Times New Roman"/>
        </w:rPr>
      </w:pPr>
    </w:p>
    <w:p w:rsidR="002A1250" w:rsidRPr="005C36E4" w:rsidP="005C36E4" w14:paraId="6C1103BE" w14:textId="77777777">
      <w:pPr>
        <w:pStyle w:val="Body"/>
        <w:ind w:firstLine="567"/>
        <w:jc w:val="both"/>
        <w:rPr>
          <w:rFonts w:ascii="Times New Roman" w:hAnsi="Times New Roman" w:cs="Times New Roman"/>
        </w:rPr>
      </w:pPr>
      <w:r w:rsidRPr="005C36E4">
        <w:rPr>
          <w:rFonts w:ascii="Times New Roman" w:hAnsi="Times New Roman" w:cs="Times New Roman"/>
        </w:rPr>
        <w:t>Pagājušajā gadā pašvaldības teritorijā bija 10 uzņēmumi, kuru nodokļu iemaksu apjoms pārsniedza 1 milj. EUR.</w:t>
      </w:r>
    </w:p>
    <w:p w:rsidR="002A1250" w:rsidRPr="002A0266" w:rsidP="002A1250" w14:paraId="63C98DC0" w14:textId="77777777">
      <w:pPr>
        <w:pStyle w:val="Body"/>
        <w:rPr>
          <w:rFonts w:asciiTheme="minorHAnsi" w:hAnsiTheme="minorHAnsi" w:cstheme="minorHAnsi"/>
          <w:sz w:val="22"/>
          <w:szCs w:val="22"/>
        </w:rPr>
      </w:pPr>
    </w:p>
    <w:p w:rsidR="002A1250" w:rsidRPr="002A0266" w:rsidP="002A1250" w14:paraId="464FF729" w14:textId="77777777">
      <w:pPr>
        <w:pStyle w:val="Body"/>
        <w:jc w:val="center"/>
        <w:rPr>
          <w:rFonts w:asciiTheme="minorHAnsi" w:hAnsiTheme="minorHAnsi" w:cstheme="minorHAnsi"/>
          <w:sz w:val="22"/>
          <w:szCs w:val="22"/>
        </w:rPr>
      </w:pPr>
      <w:r>
        <w:rPr>
          <w:noProof/>
          <w:lang w:val="en-US" w:eastAsia="zh-CN"/>
        </w:rPr>
        <w:drawing>
          <wp:inline distT="0" distB="0" distL="0" distR="0">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heme="minorHAnsi" w:hAnsiTheme="minorHAnsi" w:cstheme="minorHAnsi"/>
          <w:sz w:val="22"/>
          <w:szCs w:val="22"/>
        </w:rPr>
        <w:t>l</w:t>
      </w:r>
    </w:p>
    <w:p w:rsidR="002A1250" w:rsidRPr="002A0266" w:rsidP="002A1250" w14:paraId="04C9B5C4" w14:textId="77777777">
      <w:pPr>
        <w:pStyle w:val="Body"/>
        <w:rPr>
          <w:rFonts w:asciiTheme="minorHAnsi" w:hAnsiTheme="minorHAnsi" w:cstheme="minorHAnsi"/>
          <w:sz w:val="22"/>
          <w:szCs w:val="22"/>
        </w:rPr>
      </w:pPr>
    </w:p>
    <w:p w:rsidR="002A1250" w:rsidRPr="0074612B" w:rsidP="0074612B" w14:paraId="494ED9D3" w14:textId="77777777">
      <w:pPr>
        <w:pStyle w:val="Body"/>
        <w:ind w:firstLine="567"/>
        <w:jc w:val="both"/>
        <w:rPr>
          <w:rFonts w:ascii="Times New Roman" w:hAnsi="Times New Roman" w:cs="Times New Roman"/>
        </w:rPr>
      </w:pPr>
      <w:r w:rsidRPr="0074612B">
        <w:rPr>
          <w:rFonts w:ascii="Times New Roman" w:hAnsi="Times New Roman" w:cs="Times New Roman"/>
        </w:rPr>
        <w:t>Absolūts līderis samaksāto nodokļu ziņā Aizkraukles novadā ir AS “Virši-A”, kuru iemaksu apjoms valsts kopbudžetā 2025. gadā audzis par 16,41%, sasniedzot jau 117,76 milj. EUR. No tiem 28,11 milj. EUR degvielas tirgotājs samaksājis pievienotās vērtības nodoklī, 5,12 milj. EUR – valsts sociālās apdrošināšanas obligātajās iemaksās un 2,03 milj. EUR – iedzīvotāju ienākuma nodoklī.</w:t>
      </w:r>
    </w:p>
    <w:p w:rsidR="002A1250" w:rsidRPr="0074612B" w:rsidP="0074612B" w14:paraId="71074146" w14:textId="77777777">
      <w:pPr>
        <w:pStyle w:val="Body"/>
        <w:jc w:val="both"/>
        <w:rPr>
          <w:rFonts w:ascii="Times New Roman" w:hAnsi="Times New Roman" w:cs="Times New Roman"/>
        </w:rPr>
      </w:pPr>
    </w:p>
    <w:p w:rsidR="002A1250" w:rsidRPr="0074612B" w:rsidP="0074612B" w14:paraId="3E602187" w14:textId="77777777">
      <w:pPr>
        <w:pStyle w:val="Body"/>
        <w:ind w:firstLine="567"/>
        <w:jc w:val="both"/>
        <w:rPr>
          <w:rFonts w:ascii="Times New Roman" w:hAnsi="Times New Roman" w:cs="Times New Roman"/>
        </w:rPr>
      </w:pPr>
      <w:r w:rsidRPr="0074612B">
        <w:rPr>
          <w:rFonts w:ascii="Times New Roman" w:hAnsi="Times New Roman" w:cs="Times New Roman"/>
        </w:rPr>
        <w:t>Pagājušajā gadā ievērojami augusi summa, kuru nodokļos valsts kopbudžetā samaksājusi SIA “Kūdras enerģija”. Ja 2024. gadā tie bija 1,64 milj. EUR, tad pērn – jau 2,53 milj. EUR, kas ir pieaugums par 54,16%.</w:t>
      </w:r>
    </w:p>
    <w:p w:rsidR="002A1250" w:rsidRPr="0074612B" w:rsidP="0074612B" w14:paraId="08F2FEB4" w14:textId="77777777">
      <w:pPr>
        <w:pStyle w:val="Body"/>
        <w:jc w:val="both"/>
        <w:rPr>
          <w:rFonts w:ascii="Times New Roman" w:hAnsi="Times New Roman" w:cs="Times New Roman"/>
        </w:rPr>
      </w:pPr>
    </w:p>
    <w:p w:rsidR="002A1250" w:rsidRPr="0074612B" w:rsidP="0074612B" w14:paraId="6D21FDE1" w14:textId="77777777">
      <w:pPr>
        <w:pStyle w:val="Body"/>
        <w:ind w:firstLine="567"/>
        <w:jc w:val="both"/>
        <w:rPr>
          <w:rFonts w:ascii="Times New Roman" w:hAnsi="Times New Roman" w:cs="Times New Roman"/>
        </w:rPr>
      </w:pPr>
      <w:r w:rsidRPr="0074612B">
        <w:rPr>
          <w:rFonts w:ascii="Times New Roman" w:hAnsi="Times New Roman" w:cs="Times New Roman"/>
        </w:rPr>
        <w:t xml:space="preserve">Lielāku summu nodokļos pagājušajā gadā samaksājis arī SIA “Pakavs”, liecina “Lursoft IT” apkopotā informācija. Dati rāda, ka lauksaimniecības preču tirgotājs VID administrētajos nodokļos </w:t>
      </w:r>
      <w:r w:rsidRPr="0074612B">
        <w:rPr>
          <w:rFonts w:ascii="Times New Roman" w:hAnsi="Times New Roman" w:cs="Times New Roman"/>
        </w:rPr>
        <w:t>2025. gadā samaksājis 2,50 milj. EUR, tostarp 329,94 tūkst. EUR valsts sociālās apdrošināšanas obligātajās iemaksās un 144,95 tūkst. EUR – iedzīvotāju ienākuma nodoklī.</w:t>
      </w:r>
    </w:p>
    <w:p w:rsidR="002A1250" w:rsidRPr="0074612B" w:rsidP="0074612B" w14:paraId="4C158D4F" w14:textId="77777777">
      <w:pPr>
        <w:pStyle w:val="Body"/>
        <w:jc w:val="both"/>
        <w:rPr>
          <w:rFonts w:ascii="Times New Roman" w:hAnsi="Times New Roman" w:cs="Times New Roman"/>
        </w:rPr>
      </w:pPr>
    </w:p>
    <w:p w:rsidR="002A1250" w:rsidRPr="0074612B" w:rsidP="0074612B" w14:paraId="71DAF12E" w14:textId="77777777">
      <w:pPr>
        <w:pStyle w:val="Body"/>
        <w:ind w:firstLine="567"/>
        <w:jc w:val="both"/>
        <w:rPr>
          <w:rFonts w:ascii="Times New Roman" w:hAnsi="Times New Roman" w:cs="Times New Roman"/>
        </w:rPr>
      </w:pPr>
      <w:r w:rsidRPr="0074612B">
        <w:rPr>
          <w:rFonts w:ascii="Times New Roman" w:hAnsi="Times New Roman" w:cs="Times New Roman"/>
        </w:rPr>
        <w:t>No TOP 5 lielāko nodokļu maksātāju sarakstā esošajiem uzņēmumiem tikai SIA “Jeld-Wen Latvija” iemaksu apjoms pērn bijis mazāks nekā 2024. gadā, rāda “Lursoft IT” dati. Ja 2024. gadā uzņēmums valsts kopbudžetā nodokļos samaksāja nepilnus 3 milj. EUR, tad pagājušajā gadā šī summa bijusi jau par 36,39% mazāka, sarūkot līdz 1,85 milj. EUR. Sarucis gan uzņēmuma iedzīvotāju ienākuma nodokļa, gan valsts sociālās apdrošināšanas obligāto iemaksu apjoms.</w:t>
      </w:r>
    </w:p>
    <w:p w:rsidR="002A1250" w:rsidRPr="0074612B" w:rsidP="0074612B" w14:paraId="7763579C" w14:textId="77777777">
      <w:pPr>
        <w:pStyle w:val="Body"/>
        <w:jc w:val="both"/>
        <w:rPr>
          <w:rFonts w:ascii="Times New Roman" w:hAnsi="Times New Roman" w:cs="Times New Roman"/>
        </w:rPr>
      </w:pPr>
    </w:p>
    <w:p w:rsidR="002A1250" w:rsidRPr="0074612B" w:rsidP="0074612B" w14:paraId="3924FD13" w14:textId="77777777">
      <w:pPr>
        <w:pStyle w:val="Body"/>
        <w:ind w:firstLine="567"/>
        <w:jc w:val="both"/>
        <w:rPr>
          <w:rFonts w:ascii="Times New Roman" w:hAnsi="Times New Roman" w:cs="Times New Roman"/>
        </w:rPr>
      </w:pPr>
      <w:r w:rsidRPr="0074612B">
        <w:rPr>
          <w:rFonts w:ascii="Times New Roman" w:hAnsi="Times New Roman" w:cs="Times New Roman"/>
        </w:rPr>
        <w:t>Lielāko nodokļu maksātāju sarakstu Aizkraukles novadā 2025. gadā noslēdz SIA “ZS Pilslejas”. Lauksaimniecības uzņēmuma nodokļu maksājumu apjoms aizvadītajā gadā pieauga līdz 1,66 milj. EUR (+30,95% pret 2024. gadu).</w:t>
      </w:r>
    </w:p>
    <w:p w:rsidR="002A1250" w:rsidRPr="002A0266" w:rsidP="002A1250" w14:paraId="5B0D900D" w14:textId="77777777">
      <w:pPr>
        <w:pStyle w:val="Body"/>
        <w:rPr>
          <w:rFonts w:asciiTheme="minorHAnsi" w:hAnsiTheme="minorHAnsi" w:cstheme="minorHAnsi"/>
          <w:sz w:val="22"/>
          <w:szCs w:val="22"/>
        </w:rPr>
      </w:pPr>
    </w:p>
    <w:p w:rsidR="002A1250" w:rsidRPr="0074612B" w:rsidP="002A1250" w14:paraId="325C2DDF" w14:textId="77777777">
      <w:pPr>
        <w:pStyle w:val="Body"/>
        <w:rPr>
          <w:rFonts w:ascii="Times New Roman" w:hAnsi="Times New Roman" w:cs="Times New Roman"/>
          <w:b/>
          <w:bCs/>
          <w:sz w:val="22"/>
          <w:szCs w:val="22"/>
        </w:rPr>
      </w:pPr>
      <w:r w:rsidRPr="0074612B">
        <w:rPr>
          <w:rFonts w:ascii="Times New Roman" w:hAnsi="Times New Roman" w:cs="Times New Roman"/>
          <w:b/>
          <w:bCs/>
          <w:sz w:val="22"/>
          <w:szCs w:val="22"/>
        </w:rPr>
        <w:t>Aizkraukles novada lielākie nodokļu maksātāji pēc 2025. gada samaksātās kopējās nodokļu summas valsts kopbudžetā:</w:t>
      </w:r>
    </w:p>
    <w:p w:rsidR="002A1250" w:rsidRPr="0074612B" w:rsidP="0074612B" w14:paraId="1558941D" w14:textId="77777777">
      <w:pPr>
        <w:pStyle w:val="Body"/>
        <w:numPr>
          <w:ilvl w:val="0"/>
          <w:numId w:val="30"/>
        </w:numPr>
        <w:ind w:left="567" w:hanging="567"/>
        <w:rPr>
          <w:rFonts w:ascii="Times New Roman" w:hAnsi="Times New Roman" w:cs="Times New Roman"/>
        </w:rPr>
      </w:pPr>
      <w:r w:rsidRPr="0074612B">
        <w:rPr>
          <w:rFonts w:ascii="Times New Roman" w:hAnsi="Times New Roman" w:cs="Times New Roman"/>
        </w:rPr>
        <w:t>AS “Virši-A”: 117,76 milj. EUR;</w:t>
      </w:r>
    </w:p>
    <w:p w:rsidR="002A1250" w:rsidRPr="0074612B" w:rsidP="0074612B" w14:paraId="0236D6AF" w14:textId="77777777">
      <w:pPr>
        <w:pStyle w:val="Body"/>
        <w:numPr>
          <w:ilvl w:val="0"/>
          <w:numId w:val="30"/>
        </w:numPr>
        <w:ind w:left="567" w:hanging="567"/>
        <w:rPr>
          <w:rFonts w:ascii="Times New Roman" w:hAnsi="Times New Roman" w:cs="Times New Roman"/>
        </w:rPr>
      </w:pPr>
      <w:r w:rsidRPr="0074612B">
        <w:rPr>
          <w:rFonts w:ascii="Times New Roman" w:hAnsi="Times New Roman" w:cs="Times New Roman"/>
        </w:rPr>
        <w:t>SIA “Kūdras enerģija”: 2,53 milj. EUR;</w:t>
      </w:r>
    </w:p>
    <w:p w:rsidR="002A1250" w:rsidRPr="0074612B" w:rsidP="0074612B" w14:paraId="0CD6A941" w14:textId="77777777">
      <w:pPr>
        <w:pStyle w:val="Body"/>
        <w:numPr>
          <w:ilvl w:val="0"/>
          <w:numId w:val="30"/>
        </w:numPr>
        <w:ind w:left="567" w:hanging="567"/>
        <w:rPr>
          <w:rFonts w:ascii="Times New Roman" w:hAnsi="Times New Roman" w:cs="Times New Roman"/>
        </w:rPr>
      </w:pPr>
      <w:r w:rsidRPr="0074612B">
        <w:rPr>
          <w:rFonts w:ascii="Times New Roman" w:hAnsi="Times New Roman" w:cs="Times New Roman"/>
        </w:rPr>
        <w:t>SIA “Pakavs”: 2,50 milj. EUR;</w:t>
      </w:r>
    </w:p>
    <w:p w:rsidR="002A1250" w:rsidRPr="0074612B" w:rsidP="0074612B" w14:paraId="2227E681" w14:textId="77777777">
      <w:pPr>
        <w:pStyle w:val="Body"/>
        <w:numPr>
          <w:ilvl w:val="0"/>
          <w:numId w:val="30"/>
        </w:numPr>
        <w:ind w:left="567" w:hanging="567"/>
        <w:rPr>
          <w:rFonts w:ascii="Times New Roman" w:hAnsi="Times New Roman" w:cs="Times New Roman"/>
        </w:rPr>
      </w:pPr>
      <w:r w:rsidRPr="0074612B">
        <w:rPr>
          <w:rFonts w:ascii="Times New Roman" w:hAnsi="Times New Roman" w:cs="Times New Roman"/>
        </w:rPr>
        <w:t>SIA “Jeld-Wen Latvija”: 1,85 milj. EUR;</w:t>
      </w:r>
    </w:p>
    <w:p w:rsidR="002A1250" w:rsidRPr="0074612B" w:rsidP="0074612B" w14:paraId="6FC29CB2" w14:textId="77777777">
      <w:pPr>
        <w:pStyle w:val="Body"/>
        <w:numPr>
          <w:ilvl w:val="0"/>
          <w:numId w:val="30"/>
        </w:numPr>
        <w:ind w:left="567" w:hanging="567"/>
        <w:rPr>
          <w:rFonts w:ascii="Times New Roman" w:hAnsi="Times New Roman" w:cs="Times New Roman"/>
        </w:rPr>
      </w:pPr>
      <w:r w:rsidRPr="0074612B">
        <w:rPr>
          <w:rFonts w:ascii="Times New Roman" w:hAnsi="Times New Roman" w:cs="Times New Roman"/>
        </w:rPr>
        <w:t>SIA “ZS Pilslejas”: 1,66 milj. EUR.</w:t>
      </w:r>
    </w:p>
    <w:p w:rsidR="002A1250" w:rsidRPr="0074612B" w:rsidP="002A1250" w14:paraId="18025250" w14:textId="77777777">
      <w:pPr>
        <w:pStyle w:val="Body"/>
        <w:rPr>
          <w:rFonts w:ascii="Times New Roman" w:hAnsi="Times New Roman" w:cs="Times New Roman"/>
          <w:sz w:val="22"/>
          <w:szCs w:val="22"/>
        </w:rPr>
      </w:pPr>
    </w:p>
    <w:p w:rsidR="002A1250" w:rsidRPr="0074612B" w:rsidP="002A1250" w14:paraId="2C1C89AD" w14:textId="77777777">
      <w:pPr>
        <w:pStyle w:val="Body"/>
        <w:rPr>
          <w:rFonts w:ascii="Times New Roman" w:hAnsi="Times New Roman" w:cs="Times New Roman"/>
          <w:sz w:val="22"/>
          <w:szCs w:val="22"/>
        </w:rPr>
      </w:pPr>
      <w:r w:rsidRPr="0074612B">
        <w:rPr>
          <w:rFonts w:ascii="Times New Roman" w:hAnsi="Times New Roman" w:cs="Times New Roman"/>
          <w:sz w:val="22"/>
          <w:szCs w:val="22"/>
        </w:rPr>
        <w:t>* Dati par Aizkraukles novada uzņēmumiem aprēķināti uz 05.06.2026.</w:t>
      </w:r>
    </w:p>
    <w:p w:rsidR="002A1250" w:rsidRPr="0074612B" w:rsidP="002A1250" w14:paraId="5DDA77AE" w14:textId="77777777">
      <w:pPr>
        <w:pStyle w:val="Body"/>
        <w:rPr>
          <w:rFonts w:ascii="Times New Roman" w:hAnsi="Times New Roman" w:cs="Times New Roman"/>
          <w:sz w:val="22"/>
          <w:szCs w:val="22"/>
        </w:rPr>
      </w:pPr>
      <w:r w:rsidRPr="0074612B">
        <w:rPr>
          <w:rFonts w:ascii="Times New Roman" w:hAnsi="Times New Roman" w:cs="Times New Roman"/>
          <w:sz w:val="22"/>
          <w:szCs w:val="22"/>
        </w:rPr>
        <w:t>**Vidējie rādītāji aprēķināti, izmantojot vidējo mediānu.</w:t>
      </w:r>
    </w:p>
    <w:p w:rsidR="006F7B04" w:rsidRPr="0074612B" w:rsidP="0074612B" w14:paraId="7E4EA62C" w14:textId="04B14EBC">
      <w:pPr>
        <w:pStyle w:val="Body"/>
        <w:rPr>
          <w:rFonts w:ascii="Times New Roman" w:hAnsi="Times New Roman" w:cs="Times New Roman"/>
          <w:sz w:val="22"/>
          <w:szCs w:val="22"/>
        </w:rPr>
      </w:pPr>
      <w:r w:rsidRPr="0074612B">
        <w:rPr>
          <w:rFonts w:ascii="Times New Roman" w:hAnsi="Times New Roman" w:cs="Times New Roman"/>
          <w:sz w:val="22"/>
          <w:szCs w:val="22"/>
        </w:rPr>
        <w:t>*** Informācijas avots datiem par uzņēmumu samaksātajiem nodokļiem un darbinieku skaitu – Valsts ieņēmumu dienests.</w:t>
      </w:r>
    </w:p>
    <w:p w:rsidR="00945BBF" w:rsidRPr="007F15EB" w:rsidP="00F7000B" w14:paraId="7C6F9825" w14:textId="1625260F">
      <w:pPr>
        <w:pStyle w:val="Heading2"/>
        <w:numPr>
          <w:ilvl w:val="0"/>
          <w:numId w:val="1"/>
        </w:numPr>
      </w:pPr>
      <w:bookmarkStart w:id="2" w:name="_Toc201145439"/>
      <w:r>
        <w:t>PAŠVALDĪBAS PĀRVALDĪBA</w:t>
      </w:r>
      <w:bookmarkEnd w:id="2"/>
    </w:p>
    <w:p w:rsidR="00945BBF" w:rsidRPr="007F15EB" w:rsidP="0074612B" w14:paraId="602CB4F5" w14:textId="3BFC2D22">
      <w:pPr>
        <w:spacing w:after="0" w:line="240" w:lineRule="auto"/>
        <w:ind w:firstLine="567"/>
        <w:jc w:val="both"/>
      </w:pPr>
      <w:r>
        <w:t>Aizkraukles novada dome atbilstoši Pašvaldības domes vēlēšanu likumam no 2025.</w:t>
      </w:r>
      <w:r w:rsidR="0074612B">
        <w:t> </w:t>
      </w:r>
      <w:r>
        <w:t>gada 1.</w:t>
      </w:r>
      <w:r w:rsidR="0074612B">
        <w:t> </w:t>
      </w:r>
      <w:r>
        <w:t>jūlija sastāv no 15 (piecpadsmit) deputātiem.</w:t>
      </w:r>
    </w:p>
    <w:p w:rsidR="00945BBF" w:rsidRPr="007F15EB" w:rsidP="0074612B" w14:paraId="2E26FC0A" w14:textId="5ED05F65">
      <w:pPr>
        <w:spacing w:after="0" w:line="240" w:lineRule="auto"/>
        <w:ind w:firstLine="567"/>
        <w:jc w:val="both"/>
      </w:pPr>
      <w:r>
        <w:t xml:space="preserve">Lai nodrošinātu savu darbību un izstrādātu domes lēmumprojektus, darbojas 3 patstāvīgas komitejas: Finanšu un </w:t>
      </w:r>
      <w:r w:rsidR="0074612B">
        <w:t>attīstības</w:t>
      </w:r>
      <w:r>
        <w:t xml:space="preserve"> jautājumu komiteja 15 deputātu sastāvā;  Izglītības, kultūras un sporta jautājumu komiteja 9 deputātu sastāvā; Sociālo jautājumu komiteja 9 deputātu sastāvā.</w:t>
      </w:r>
    </w:p>
    <w:p w:rsidR="00945BBF" w:rsidRPr="007F15EB" w:rsidP="0074612B" w14:paraId="289FC7BA" w14:textId="77777777">
      <w:pPr>
        <w:spacing w:after="0" w:line="240" w:lineRule="auto"/>
        <w:ind w:firstLine="567"/>
        <w:jc w:val="both"/>
      </w:pPr>
      <w:r>
        <w:t xml:space="preserve">Pašvaldības organizatoriskā struktūra, kā arī lēmumu pieņemšanas kārtība tiek noteikta domes apstiprinātā pašvaldības nolikumā.  </w:t>
      </w:r>
    </w:p>
    <w:p w:rsidR="00945BBF" w:rsidRPr="007F15EB" w:rsidP="0074612B" w14:paraId="14BDF7F9" w14:textId="6566DCB8">
      <w:pPr>
        <w:spacing w:after="0" w:line="240" w:lineRule="auto"/>
        <w:ind w:firstLine="567"/>
        <w:jc w:val="both"/>
      </w:pPr>
      <w:r>
        <w:t>Saskaņā ar administratīvo teritoriju reformu, kas tika uzsākta 2021.</w:t>
      </w:r>
      <w:r w:rsidR="0074612B">
        <w:t> </w:t>
      </w:r>
      <w:r>
        <w:t>gadā, ņemot vērā Administratīvo teritoriju un apdzīvoto vietu likuma pārejas noteikumu 6.</w:t>
      </w:r>
      <w:r w:rsidR="0074612B">
        <w:t> </w:t>
      </w:r>
      <w:r>
        <w:t>punktu, kas nosaka, ka Aizkraukles novada pašvaldība ir attiecīgajā novadā iekļauto pašvaldību institūciju, finanšu, mantas, tiesību un saistību pārņēmēja, un ievērojot Aizkraukles novada domes 2021.gada 1.jūlija saistošos noteikumus Nr.</w:t>
      </w:r>
      <w:r w:rsidR="0074612B">
        <w:t> </w:t>
      </w:r>
      <w:r>
        <w:t xml:space="preserve">2021/1 “Aizkraukles novada pašvaldības nolikums”, Aizkraukles novada dome ir izveidojusi šādas iestādes ar struktūrvienībām: </w:t>
      </w:r>
      <w:r>
        <w:rPr>
          <w:b/>
          <w:bCs/>
        </w:rPr>
        <w:t>Aizkraukles novada pašvaldības Centrālā pārvalde.</w:t>
      </w:r>
      <w:r>
        <w:t xml:space="preserve"> Tai ir šādas struktūrvienības: Kanceleja, Juridiskā nodaļa, Finanšu un grāmatvedības nodaļa, Attīstības nodaļa, Informācijas un komunikācijas tehnoloģiju nodaļa, Saimnieciskā nodaļa, Dzimtsarakstu nodaļa, Īpašumu nodaļa, Personāla nodaļa, Komunikācijas nodaļa, Tūrisma nodaļa, Uzņēmējdarbības atbalsta centrs, Aizkraukles pagasta pakalpojumu centrs.  </w:t>
      </w:r>
    </w:p>
    <w:p w:rsidR="00945BBF" w:rsidRPr="007F15EB" w:rsidP="00EC6711" w14:paraId="56DED749" w14:textId="21DB6DE0">
      <w:pPr>
        <w:spacing w:after="0" w:line="240" w:lineRule="auto"/>
        <w:ind w:firstLine="567"/>
        <w:jc w:val="both"/>
      </w:pPr>
      <w:r>
        <w:rPr>
          <w:b/>
          <w:bCs/>
        </w:rPr>
        <w:t>Aizkraukles novada pašvaldības Centrālā pārvalde</w:t>
      </w:r>
      <w:r>
        <w:t xml:space="preserve"> ir Aizkraukles novada domes izveidota iestāde, kas nodrošina </w:t>
      </w:r>
      <w:r w:rsidR="0074612B">
        <w:t>d</w:t>
      </w:r>
      <w:r>
        <w:t>omes pieņemto lēmumu izpildi, organizē pašvaldības pārvaldību, ievērojot normatīvo aktu prasības, t.sk., bet</w:t>
      </w:r>
      <w:r w:rsidR="0074612B">
        <w:t>,</w:t>
      </w:r>
      <w:r>
        <w:t xml:space="preserve"> neaprobežojoties ar </w:t>
      </w:r>
      <w:r w:rsidR="0074612B">
        <w:t>d</w:t>
      </w:r>
      <w:r>
        <w:t xml:space="preserve">omes lēmumu projektu sagatavošanu un to virzību, administratīvo aktu izdošanu, pārvaldes vienību darba organizēšanu, atbild par normatīvo aktu ievērošanu un to piemērošanu pašvaldības darbā. </w:t>
      </w:r>
    </w:p>
    <w:p w:rsidR="00945BBF" w:rsidRPr="007F15EB" w:rsidP="0074612B" w14:paraId="3DF5DE77" w14:textId="723EBC9C">
      <w:pPr>
        <w:spacing w:after="0" w:line="240" w:lineRule="auto"/>
        <w:ind w:firstLine="567"/>
        <w:jc w:val="both"/>
      </w:pPr>
      <w:r>
        <w:t>Centrālās pārvaldes struktūrvienības,  izveido, reorganizē un likvidē novada dome. Pašvaldības administrāciju vada</w:t>
      </w:r>
      <w:r w:rsidR="0074612B">
        <w:t xml:space="preserve"> u</w:t>
      </w:r>
      <w:r>
        <w:t xml:space="preserve">n tās darbu organizē pašvaldības izpilddirektora vietnieks. Aizkraukles pilsētu un Aizkraukles pagastu pārvalda Aizkraukles novada pašvaldības Centrālā pārvalde.  </w:t>
      </w:r>
    </w:p>
    <w:p w:rsidR="00945BBF" w:rsidRPr="007F15EB" w:rsidP="0074612B" w14:paraId="1C6457FF" w14:textId="77777777">
      <w:pPr>
        <w:spacing w:after="0" w:line="240" w:lineRule="auto"/>
        <w:ind w:firstLine="567"/>
        <w:jc w:val="both"/>
      </w:pPr>
      <w:r>
        <w:t xml:space="preserve">Iestādes darbojas kā publisko tiesību juridiska persona. Iestāžu vadītāji ir padoti pašvaldības </w:t>
      </w:r>
    </w:p>
    <w:p w:rsidR="00945BBF" w:rsidRPr="007F15EB" w:rsidP="00945BBF" w14:paraId="5090802B" w14:textId="77777777">
      <w:pPr>
        <w:spacing w:after="0" w:line="240" w:lineRule="auto"/>
        <w:jc w:val="both"/>
      </w:pPr>
      <w:r>
        <w:t xml:space="preserve">izpilddirektoram. Iestāžu nolikumus apstiprina dome, bet to struktūrvienību nolikumus apstiprina izpilddirektors. </w:t>
      </w:r>
    </w:p>
    <w:p w:rsidR="00945BBF" w:rsidRPr="007F15EB" w:rsidP="0074612B" w14:paraId="5291C3BE" w14:textId="3190F036">
      <w:pPr>
        <w:spacing w:after="0" w:line="240" w:lineRule="auto"/>
        <w:ind w:firstLine="567"/>
        <w:jc w:val="both"/>
        <w:rPr>
          <w:b/>
          <w:bCs/>
        </w:rPr>
      </w:pPr>
      <w:r>
        <w:rPr>
          <w:b/>
          <w:bCs/>
        </w:rPr>
        <w:t>Kokneses apvienības pārvalde ar šādām struktūrvienībām</w:t>
      </w:r>
      <w:r>
        <w:t xml:space="preserve">: Bebru pagasta pakalpojumu centrs, Iršu pagasta pakalpojumu centrs. </w:t>
      </w:r>
      <w:r>
        <w:rPr>
          <w:b/>
          <w:bCs/>
        </w:rPr>
        <w:t>Pļaviņu apvienības pārvalde ar šādām struktūrvienībām:</w:t>
      </w:r>
      <w:r>
        <w:t xml:space="preserve"> Klintaines pagasta pakalpojumu centrs, Vietalvas pagasta pakalpojumu centrs, Aiviekstes pagasta pakalpojumu centrs. </w:t>
      </w:r>
      <w:r>
        <w:rPr>
          <w:b/>
          <w:bCs/>
        </w:rPr>
        <w:t>Neretas apvienības pārvalde ar šādām struktūrvienībām:</w:t>
      </w:r>
      <w:r>
        <w:t xml:space="preserve"> Mazzalves pagasta pakalpojumu centrs, Zalves pagasta pakalpojumu centrs, Pilskalnes pagasta pakalpojumu centrs. </w:t>
      </w:r>
      <w:r>
        <w:rPr>
          <w:b/>
          <w:bCs/>
        </w:rPr>
        <w:t>Jaunjelgavas apvienības pārvalde ar šādām struktūrvienībām:</w:t>
      </w:r>
      <w:r>
        <w:t xml:space="preserve"> Daudzeses pagasta pakalpojumu centrs, Sērenes pagasta pakalpojumu centrs, Seces pagasta pakalpojumu centrs, Staburaga pagasta pakalpojumu centrs, Sunākstes pagasta pakalpojumu centrs. Skrīveru pagasta pārvalde.</w:t>
      </w:r>
      <w:r>
        <w:rPr>
          <w:b/>
          <w:bCs/>
        </w:rPr>
        <w:t xml:space="preserve"> Aizkraukles novada Izglītības pārvalde ar šādām struktūrvienībām:</w:t>
      </w:r>
      <w:r>
        <w:t xml:space="preserve"> Jaunjelgavas pirmskolas izglītības iestāde “Atvasīte”; Seces pirmsskolas izglītības iestāde “Vasariņa”; Daudzeses pirmsskolas izglītības iestāde “Čiekuriņš”; Pļaviņu pirmsskolas izglītības iestāde “Bērziņš”; Skrīveru pirmsskolas izglītības iestāde “Sprīdītis”; Skrīveru pirmsskolas izglītības iestāde “Saulēni”; Neretas pirmsskolas izglītības iestāde “Ziediņš”; Kokneses pirmsskolas izglītības iestāde “Gundega”; Bebru pirmsskolas izglītības iestāde “Bitīte”; Aizkraukles pirmsskolas izglītības iestāde “Saulīte”; Aizkraukles pirmsskolas izglītības iestāde “Zīlīte”; Aizkraukles pirmsskolas izglītības iestāde “Auseklītis”; Aizkraukles pagasta sākumskola; Pērses sākumskola; Bebru pamatskola; Kokneses pamatskola – attīstības centrs; Seces pamatskola; Daudzeses pamatskola; Mazzalves pamatskola; Aizkraukles novada vidusskola; Jaunjelgavas vidusskola; Andreja Upīša Skrīveru vidusskola; Neretas Jāņa Jaunsudrabiņa vidusskola; Ilmāra Gaiša Kokneses vidusskola; Pļaviņu vidusskola; Aizkraukles Mākslas skola; P. Barisona Aizkraukles Mūzikas skola; Aizkraukles novada Sporta skola; Skrīveru Mūzikas un mākslas skola; Kokneses mūzikas skola; Pļaviņu Mākslas skola; Pļaviņu Mūzikas skola; </w:t>
      </w:r>
      <w:r>
        <w:rPr>
          <w:b/>
          <w:bCs/>
        </w:rPr>
        <w:t>Aizkraukles novada Interešu izglītības centrs ar šādām struktūrvienībām:</w:t>
      </w:r>
      <w:r>
        <w:t xml:space="preserve"> Jaunjelgavas Jauniešu iniciatīvu centrs, Pļaviņu Jauniešu iniciatīvu centrs “Ideja”; Aizkraukles novada Kultūras pārvalde. </w:t>
      </w:r>
      <w:r>
        <w:rPr>
          <w:b/>
          <w:bCs/>
        </w:rPr>
        <w:t xml:space="preserve">Aizkraukles novada centrālā bibliotēka ar šādām struktūrvienībām: </w:t>
      </w:r>
      <w:r>
        <w:t xml:space="preserve">Aizkraukles pagasta bibliotēka. </w:t>
      </w:r>
      <w:r>
        <w:rPr>
          <w:b/>
          <w:bCs/>
        </w:rPr>
        <w:t>Kokneses bibliotēka ar šādām struktūrvienībām:</w:t>
      </w:r>
      <w:r>
        <w:t xml:space="preserve"> Iršu pagasta bibliotēka, Bebru pagasta bibliotēka. </w:t>
      </w:r>
      <w:r>
        <w:rPr>
          <w:b/>
          <w:bCs/>
        </w:rPr>
        <w:t>Andreja Upīša Skrīveru bibliotēka ar šādu struktūrvienību:</w:t>
      </w:r>
      <w:r>
        <w:t xml:space="preserve"> Skrīveru bērnu bibliotēka. </w:t>
      </w:r>
      <w:r>
        <w:rPr>
          <w:b/>
          <w:bCs/>
        </w:rPr>
        <w:t>Neretas bibliotēka ar šādām struktūrvienībām:</w:t>
      </w:r>
      <w:r>
        <w:t xml:space="preserve"> Neretas bērnu bibliotēka, Pilskalnes pagasta bibliotēka, Zalves pagasta bibliotēka, Zalves pagasta Sproģu bibliotēka, Mazzalves pagasta bibliotēka. </w:t>
      </w:r>
      <w:r>
        <w:rPr>
          <w:b/>
          <w:bCs/>
        </w:rPr>
        <w:t>Pļaviņu bibliotēka ar šādām struktūrvienībām:</w:t>
      </w:r>
      <w:r>
        <w:t xml:space="preserve"> Gostiņu bibliotēka, Klintaines pagasta bibliotēka, E. Prūsas Vietalvas pagasta bibliotēka. </w:t>
      </w:r>
      <w:r>
        <w:rPr>
          <w:b/>
          <w:bCs/>
        </w:rPr>
        <w:t>Jaunjelgavas pilsētas bibliotēka ar šādām struktūrvienībām:</w:t>
      </w:r>
      <w:r>
        <w:t xml:space="preserve"> Daudzeses pagasta bibliotēka, Sērenes pagasta bibliotēka, Seces pagasta bibliotēka, Staburaga pagasta bibliotēka, Sunākstes pagasta bibliotēka. </w:t>
      </w:r>
    </w:p>
    <w:p w:rsidR="00945BBF" w:rsidRPr="007F15EB" w:rsidP="0074612B" w14:paraId="3D0F2CDC" w14:textId="3847A4E9">
      <w:pPr>
        <w:spacing w:after="0" w:line="240" w:lineRule="auto"/>
        <w:ind w:firstLine="567"/>
        <w:jc w:val="both"/>
      </w:pPr>
      <w:r>
        <w:t xml:space="preserve">Aizkraukles Kultūras centrs (iekļaujot Aizkraukles pagasta kultūras namu). Kokneses Kultūras centrs (iekļaujot Iršu un Bebru pagastu kultūras darba organizatorus). Pļaviņu Kultūras centrs (iekļaujot Klintaines, Vietalvas, Aiviekstes pagastu kultūras darba organizatorus). Skrīveru kultūras centrs. Neretas Kultūras centrs (iekļaujot Pilskalnes, Sproģu un Zalves kultūras darba organizatorus) ar šādu struktūrvienību: Mazzalves saieta nams. Jaunjelgavas Kultūras centrs ar šādām struktūrvienībām: Sērenes Tautas nams, Seces pagasta Kultūras nams, Staburaga Saieta nams, Sunākstes pagasta Saieta nams, Daudzeses pagasta Saieta nams. </w:t>
      </w:r>
      <w:r>
        <w:rPr>
          <w:b/>
          <w:bCs/>
        </w:rPr>
        <w:t>Aizkraukles Vēstures un mākslas muzejs ar šādām struktūrvienībām:</w:t>
      </w:r>
      <w:r>
        <w:t xml:space="preserve"> Neretas novadapētniecības muzejs, Jāņa Jaunsudrabiņa muzejs “Riekstiņi”, Tēlnieka Voldemāra Jākobsona memoriālā māja. Aizkraukles novada Sociālais dienests. Aizkraukles novada būvvalde. Aizkraukles novada Pašvaldības policija</w:t>
      </w:r>
      <w:r w:rsidR="0074612B">
        <w:t xml:space="preserve">, </w:t>
      </w:r>
      <w:r>
        <w:t>Aizkraukles novada Sporta centrs</w:t>
      </w:r>
      <w:r w:rsidR="0074612B">
        <w:t xml:space="preserve">, </w:t>
      </w:r>
      <w:r>
        <w:t>Aizkraukles novada Bāriņtiesa</w:t>
      </w:r>
      <w:r w:rsidR="0074612B">
        <w:t>, s</w:t>
      </w:r>
      <w:r>
        <w:t>ociālās aprūpes centrs “Pļaviņas”</w:t>
      </w:r>
      <w:r w:rsidR="0074612B">
        <w:t>, s</w:t>
      </w:r>
      <w:r>
        <w:t>ociālās aprūpes centrs “Nereta”</w:t>
      </w:r>
      <w:r w:rsidR="0074612B">
        <w:t>, a</w:t>
      </w:r>
      <w:r>
        <w:t>ģentūra “Kokneses sporta centrs”</w:t>
      </w:r>
      <w:r w:rsidR="0074612B">
        <w:t>, a</w:t>
      </w:r>
      <w:r>
        <w:t>ģentūra “Sociālās aprūpes centrs “Ziedugravas”</w:t>
      </w:r>
      <w:r w:rsidR="0074612B">
        <w:t>,</w:t>
      </w:r>
      <w:r>
        <w:t xml:space="preserve"> Aizkraukles novada </w:t>
      </w:r>
      <w:r w:rsidR="0074612B">
        <w:t>V</w:t>
      </w:r>
      <w:r>
        <w:t xml:space="preserve">ēlēšanu komisija. </w:t>
      </w:r>
    </w:p>
    <w:p w:rsidR="00945BBF" w:rsidRPr="007F15EB" w:rsidP="00A021E5" w14:paraId="0A38CFCA" w14:textId="1A592C2B">
      <w:pPr>
        <w:spacing w:after="0" w:line="240" w:lineRule="auto"/>
        <w:ind w:firstLine="567"/>
        <w:jc w:val="both"/>
      </w:pPr>
      <w:r>
        <w:t xml:space="preserve">Saskaņā ar likumu “Par pašvaldībām” un Aizkraukles novada domes 2021. gada 1. jūlija saistošos noteikumus Nr. 2021/1 “Aizkraukles novada pašvaldības nolikums”, pašvaldības lēmējvaras funkcijas īsteno pašvaldības dome, kuras sastāvā ir 19 ievēlētie deputāti, tajā skaitā no </w:t>
      </w:r>
    </w:p>
    <w:p w:rsidR="008F65F4" w:rsidP="00EF15CC" w14:paraId="1B6A201C" w14:textId="70ABCDF0">
      <w:pPr>
        <w:spacing w:after="0" w:line="240" w:lineRule="auto"/>
        <w:jc w:val="both"/>
        <w:rPr>
          <w:b/>
          <w:bCs/>
          <w:i/>
          <w:iCs/>
          <w:color w:val="0F4761" w:themeColor="accent1" w:themeShade="BF"/>
        </w:rPr>
      </w:pPr>
      <w:r>
        <w:t xml:space="preserve">deputātu vidus ievēlētais domes priekšsēdētājs un divi domes priekšsēdētāja vietnieki: domes priekšsēdētāja vietnieks attīstības un sadarbības jautājumos un domes priekšsēdētāja vietnieks </w:t>
      </w:r>
      <w:r>
        <w:t>tautsaimniecības un vides jautājumos. Pēc 2025.</w:t>
      </w:r>
      <w:r w:rsidR="00A021E5">
        <w:t> </w:t>
      </w:r>
      <w:r>
        <w:t xml:space="preserve">gada pašvaldību vēlēšanām, samazinoties iedzīvotāju skaitam, deputātu skaits saruka uz piecpadsmit. </w:t>
      </w:r>
    </w:p>
    <w:p w:rsidR="008F65F4" w:rsidP="00945BBF" w14:paraId="36A69006" w14:textId="77777777">
      <w:pPr>
        <w:spacing w:after="0" w:line="360" w:lineRule="auto"/>
        <w:jc w:val="both"/>
        <w:rPr>
          <w:b/>
          <w:bCs/>
          <w:i/>
          <w:iCs/>
          <w:color w:val="0F4761" w:themeColor="accent1" w:themeShade="BF"/>
        </w:rPr>
      </w:pPr>
    </w:p>
    <w:p w:rsidR="00945BBF" w:rsidRPr="007F15EB" w:rsidP="00945BBF" w14:paraId="7ECF0DE1" w14:textId="31C287CB">
      <w:pPr>
        <w:spacing w:after="0" w:line="360" w:lineRule="auto"/>
        <w:jc w:val="both"/>
        <w:rPr>
          <w:b/>
          <w:bCs/>
          <w:i/>
          <w:iCs/>
          <w:color w:val="0F4761" w:themeColor="accent1" w:themeShade="BF"/>
        </w:rPr>
      </w:pPr>
      <w:r>
        <w:rPr>
          <w:b/>
          <w:bCs/>
          <w:i/>
          <w:iCs/>
          <w:color w:val="0F4761" w:themeColor="accent1" w:themeShade="BF"/>
        </w:rPr>
        <w:t>Aizkraukles novada domes deputātu sastāvs 2025. gadā (pēc vēlēšanām):</w:t>
      </w:r>
    </w:p>
    <w:p w:rsidR="003D1D2E" w:rsidP="003D1D2E" w14:paraId="3665C5F7" w14:textId="77777777">
      <w:pPr>
        <w:tabs>
          <w:tab w:val="left" w:pos="3686"/>
        </w:tabs>
        <w:spacing w:after="0" w:line="240" w:lineRule="auto"/>
        <w:jc w:val="both"/>
      </w:pPr>
      <w:r>
        <w:t>Kaspars ĀDAMS</w:t>
      </w:r>
      <w:r>
        <w:tab/>
        <w:t xml:space="preserve">Nacionālā apvienība “Visu Latvijai!”- “Tēvzemei un </w:t>
      </w:r>
    </w:p>
    <w:p w:rsidR="003D1D2E" w:rsidP="003D1D2E" w14:paraId="032EDE36" w14:textId="79685923">
      <w:pPr>
        <w:tabs>
          <w:tab w:val="left" w:pos="3686"/>
        </w:tabs>
        <w:spacing w:after="0" w:line="240" w:lineRule="auto"/>
        <w:jc w:val="both"/>
      </w:pPr>
      <w:r>
        <w:tab/>
        <w:t>Brīvībai/LNNK”</w:t>
      </w:r>
    </w:p>
    <w:p w:rsidR="00945BBF" w:rsidRPr="007F15EB" w:rsidP="00945BBF" w14:paraId="685476DC" w14:textId="4A60EB47">
      <w:pPr>
        <w:spacing w:after="0" w:line="240" w:lineRule="auto"/>
        <w:jc w:val="both"/>
      </w:pPr>
      <w:r>
        <w:t xml:space="preserve">Jānis Sarmis BAJINSKIS </w:t>
      </w:r>
      <w:r>
        <w:tab/>
      </w:r>
      <w:r>
        <w:tab/>
        <w:t xml:space="preserve">Jaunā VIENOTĪBA </w:t>
      </w:r>
    </w:p>
    <w:p w:rsidR="00945BBF" w:rsidRPr="007F15EB" w:rsidP="00945BBF" w14:paraId="18129434" w14:textId="5723BD33">
      <w:pPr>
        <w:spacing w:after="0" w:line="240" w:lineRule="auto"/>
        <w:jc w:val="both"/>
      </w:pPr>
      <w:r>
        <w:t>Ingūna GRANDĀNE</w:t>
      </w:r>
      <w:r>
        <w:tab/>
      </w:r>
      <w:r>
        <w:tab/>
      </w:r>
      <w:r>
        <w:tab/>
        <w:t>“Latvijas attīstībai’, VIDZEMES PARTIJA</w:t>
      </w:r>
    </w:p>
    <w:p w:rsidR="00945BBF" w:rsidRPr="007F15EB" w:rsidP="00945BBF" w14:paraId="1BCC4C1C" w14:textId="39E08CCB">
      <w:pPr>
        <w:spacing w:after="0" w:line="240" w:lineRule="auto"/>
        <w:ind w:left="3600" w:hanging="3600"/>
        <w:jc w:val="both"/>
      </w:pPr>
      <w:r>
        <w:t>Gatis GŪTMANIS</w:t>
      </w:r>
      <w:r>
        <w:tab/>
        <w:t>ievēlēts no Nacionālā apvienība “Visu Latvijai!”- “Tēvzemei un Brīvībai/LNNK”, pie frakcijām un partijas nepiederošs kopš 2025.gada 25.jūnija</w:t>
      </w:r>
    </w:p>
    <w:p w:rsidR="007A19B9" w:rsidP="00945BBF" w14:paraId="7D007DFE" w14:textId="29786D26">
      <w:pPr>
        <w:spacing w:after="0" w:line="240" w:lineRule="auto"/>
        <w:ind w:left="3600" w:hanging="3600"/>
        <w:jc w:val="both"/>
      </w:pPr>
      <w:r>
        <w:t>Ingus LAZDĀNS                               Zaļo un Zemnieku savienība, Latvijas Zaļā partija</w:t>
      </w:r>
    </w:p>
    <w:p w:rsidR="00945BBF" w:rsidRPr="007F15EB" w:rsidP="00945BBF" w14:paraId="2937AD69" w14:textId="75349336">
      <w:pPr>
        <w:spacing w:after="0" w:line="240" w:lineRule="auto"/>
        <w:ind w:left="3600" w:hanging="3600"/>
        <w:jc w:val="both"/>
      </w:pPr>
      <w:r>
        <w:t xml:space="preserve">Guntis LIBEKS </w:t>
      </w:r>
      <w:r>
        <w:tab/>
        <w:t>Nacionālā apvienība “Visu Latvijai!”- “Tēvzemei un Brīvībai/LNNK”</w:t>
      </w:r>
    </w:p>
    <w:p w:rsidR="00945BBF" w:rsidRPr="007F15EB" w:rsidP="00945BBF" w14:paraId="3C117781" w14:textId="4E551126">
      <w:pPr>
        <w:spacing w:after="0" w:line="240" w:lineRule="auto"/>
        <w:jc w:val="both"/>
      </w:pPr>
      <w:r>
        <w:t xml:space="preserve">Leons LĪDUMS </w:t>
      </w:r>
      <w:r>
        <w:tab/>
      </w:r>
      <w:r>
        <w:tab/>
      </w:r>
      <w:r>
        <w:tab/>
        <w:t>“Latvijas attīstībai”, VIDZEMES PARTIJA</w:t>
      </w:r>
    </w:p>
    <w:p w:rsidR="00945BBF" w:rsidRPr="007F15EB" w:rsidP="00945BBF" w14:paraId="05227120" w14:textId="77777777">
      <w:pPr>
        <w:spacing w:after="0" w:line="240" w:lineRule="auto"/>
        <w:jc w:val="both"/>
      </w:pPr>
      <w:r>
        <w:t xml:space="preserve">Aigars LUKSS </w:t>
      </w:r>
      <w:r>
        <w:tab/>
      </w:r>
      <w:r>
        <w:tab/>
      </w:r>
      <w:r>
        <w:tab/>
        <w:t>Jaunā VIENOTĪBA</w:t>
      </w:r>
    </w:p>
    <w:p w:rsidR="00945BBF" w:rsidRPr="007F15EB" w:rsidP="00945BBF" w14:paraId="4C6A6261" w14:textId="312D0AE3">
      <w:pPr>
        <w:spacing w:after="0" w:line="240" w:lineRule="auto"/>
        <w:ind w:left="3600" w:hanging="3600"/>
        <w:jc w:val="both"/>
      </w:pPr>
      <w:r>
        <w:t xml:space="preserve">Aivars MIEZĪTIS </w:t>
      </w:r>
      <w:r>
        <w:tab/>
        <w:t>Nacionālā apvienība “Visu Latvijai!”- “Tēvzemei un Brīvībai/LNNK”</w:t>
      </w:r>
    </w:p>
    <w:p w:rsidR="00945BBF" w:rsidRPr="007F15EB" w:rsidP="00945BBF" w14:paraId="159BEA1E" w14:textId="59327ED2">
      <w:pPr>
        <w:spacing w:after="0" w:line="240" w:lineRule="auto"/>
        <w:ind w:left="3600" w:hanging="3600"/>
        <w:jc w:val="both"/>
      </w:pPr>
      <w:r>
        <w:t xml:space="preserve">Uģis RUBENIS </w:t>
      </w:r>
      <w:r>
        <w:tab/>
        <w:t>Nacionālā apvienība “Visu Latvijai!”- “Tēvzemei un Brīvībai/LNNK”</w:t>
      </w:r>
    </w:p>
    <w:p w:rsidR="00945BBF" w:rsidRPr="007F15EB" w:rsidP="00945BBF" w14:paraId="295FFC9D" w14:textId="457F01DB">
      <w:pPr>
        <w:spacing w:after="0" w:line="240" w:lineRule="auto"/>
        <w:jc w:val="both"/>
      </w:pPr>
      <w:r>
        <w:t xml:space="preserve">Arvis UPĪTS </w:t>
      </w:r>
      <w:r>
        <w:tab/>
      </w:r>
      <w:r>
        <w:tab/>
      </w:r>
      <w:r>
        <w:tab/>
      </w:r>
      <w:r>
        <w:tab/>
        <w:t>“Latvijas attīstībai”, VIDZEMES PARTIJA</w:t>
      </w:r>
    </w:p>
    <w:p w:rsidR="00945BBF" w:rsidRPr="007F15EB" w:rsidP="00945BBF" w14:paraId="626AE4A1" w14:textId="0ED7E671">
      <w:pPr>
        <w:spacing w:after="0" w:line="240" w:lineRule="auto"/>
        <w:jc w:val="both"/>
      </w:pPr>
      <w:r>
        <w:t xml:space="preserve">Evija VECTIRĀNE </w:t>
      </w:r>
      <w:r>
        <w:tab/>
      </w:r>
      <w:r>
        <w:tab/>
      </w:r>
      <w:r>
        <w:tab/>
        <w:t>Zaļo un Zemnieku savienība, Latvijas Zaļā partija</w:t>
      </w:r>
    </w:p>
    <w:p w:rsidR="00945BBF" w:rsidRPr="007F15EB" w:rsidP="00945BBF" w14:paraId="39D1ED46" w14:textId="36C794BC">
      <w:pPr>
        <w:spacing w:after="0" w:line="240" w:lineRule="auto"/>
        <w:jc w:val="both"/>
      </w:pPr>
      <w:r>
        <w:t xml:space="preserve">Dainis VINGRIS </w:t>
      </w:r>
      <w:r>
        <w:tab/>
      </w:r>
      <w:r>
        <w:tab/>
      </w:r>
      <w:r>
        <w:tab/>
        <w:t>“Latvijas attīstībai”, VIDZEMES PARTIJA</w:t>
      </w:r>
    </w:p>
    <w:p w:rsidR="00945BBF" w:rsidRPr="007F15EB" w:rsidP="00945BBF" w14:paraId="458868C7" w14:textId="22A5870B">
      <w:pPr>
        <w:spacing w:after="0" w:line="240" w:lineRule="auto"/>
        <w:jc w:val="both"/>
      </w:pPr>
      <w:r>
        <w:t xml:space="preserve">Andris ZĀLĪTIS </w:t>
      </w:r>
      <w:r>
        <w:tab/>
      </w:r>
      <w:r>
        <w:tab/>
      </w:r>
      <w:r>
        <w:tab/>
        <w:t>“Latvijas attīstībai”, VIDZEMES PARTIJA</w:t>
      </w:r>
    </w:p>
    <w:p w:rsidR="007A19B9" w:rsidP="003D1D2E" w14:paraId="040817A0" w14:textId="12811311">
      <w:pPr>
        <w:tabs>
          <w:tab w:val="left" w:pos="3544"/>
        </w:tabs>
        <w:spacing w:after="0" w:line="240" w:lineRule="auto"/>
        <w:jc w:val="both"/>
      </w:pPr>
      <w:r>
        <w:t>Kaspars ŽIDOVS</w:t>
      </w:r>
      <w:r>
        <w:tab/>
        <w:t xml:space="preserve"> “Latvijas attīstībai”, VIDZEMES PARTIJA</w:t>
      </w:r>
    </w:p>
    <w:p w:rsidR="003D1D2E" w:rsidP="003D1D2E" w14:paraId="3639FA5F" w14:textId="77777777">
      <w:pPr>
        <w:tabs>
          <w:tab w:val="left" w:pos="3544"/>
        </w:tabs>
        <w:spacing w:after="0" w:line="240" w:lineRule="auto"/>
        <w:jc w:val="both"/>
      </w:pPr>
    </w:p>
    <w:p w:rsidR="003D1D2E" w:rsidP="003D1D2E" w14:paraId="5D3EB98B" w14:textId="77777777">
      <w:pPr>
        <w:tabs>
          <w:tab w:val="left" w:pos="3544"/>
        </w:tabs>
        <w:spacing w:after="0" w:line="240" w:lineRule="auto"/>
        <w:jc w:val="both"/>
      </w:pPr>
    </w:p>
    <w:p w:rsidR="00945BBF" w:rsidRPr="007F15EB" w:rsidP="00945BBF" w14:paraId="449D00AC" w14:textId="3A80CE4A">
      <w:pPr>
        <w:spacing w:after="0" w:line="240" w:lineRule="auto"/>
        <w:ind w:firstLine="709"/>
        <w:jc w:val="both"/>
      </w:pPr>
      <w:r>
        <w:t xml:space="preserve">2025. gadā Aizkraukles novada domes pastāvīgās komitejas darbojās šādos sastāvos: </w:t>
      </w:r>
      <w:r>
        <w:rPr>
          <w:b/>
          <w:bCs/>
        </w:rPr>
        <w:t xml:space="preserve">Finanšu un </w:t>
      </w:r>
      <w:r w:rsidR="007C22CC">
        <w:rPr>
          <w:b/>
          <w:bCs/>
        </w:rPr>
        <w:t xml:space="preserve">attīstības </w:t>
      </w:r>
      <w:r>
        <w:rPr>
          <w:b/>
          <w:bCs/>
        </w:rPr>
        <w:t>jautājumu komiteja (17) deputātu sastāvā:</w:t>
      </w:r>
      <w:r>
        <w:t xml:space="preserve"> Leonu LĪDUMU, Uldi DZĒRVI, Gati GŪTMANI, Ingūnu GRANDĀNI, Andri ZĀLĪTI, Elitu KAŅEPĒJU, Eviju VECTIRĀNI, Jāni Sarmi BAJINSKI, Aivaru MIEZĪTI, Daini VINGRI, Arvi UPĪTI, Eināru ZĒBERGU, Dāvi KALNIŅU, Uģi RUBENI, Gunti LIBEKU, Aigaru LUKSU, Juriju MAŠKOVU.</w:t>
      </w:r>
    </w:p>
    <w:p w:rsidR="00945BBF" w:rsidRPr="007F15EB" w:rsidP="00945BBF" w14:paraId="562F9921" w14:textId="77777777">
      <w:pPr>
        <w:spacing w:after="0" w:line="240" w:lineRule="auto"/>
        <w:ind w:firstLine="709"/>
        <w:jc w:val="both"/>
      </w:pPr>
      <w:r>
        <w:rPr>
          <w:b/>
          <w:bCs/>
        </w:rPr>
        <w:t>Izglītības, kultūras un sporta jautājumu komiteja (11) deputātu sastāvā:</w:t>
      </w:r>
      <w:r>
        <w:t xml:space="preserve"> Uldi DZĒRVI, Gati GŪTMANI, Eviju VECTIRĀNI, Zani ROMANOVU, Jāni Sarmi BAJINSKI, Aivaru MIEZĪTI, Arvi UPĪTI, Dāvi KALNIŅU, Anitu OSTROVSKU, Aigaru LUKSU, Ingūnu GRANDĀNI. </w:t>
      </w:r>
    </w:p>
    <w:p w:rsidR="00945BBF" w:rsidP="00945BBF" w14:paraId="7B126E3C" w14:textId="77777777">
      <w:pPr>
        <w:spacing w:after="0" w:line="240" w:lineRule="auto"/>
        <w:ind w:firstLine="709"/>
        <w:jc w:val="both"/>
      </w:pPr>
      <w:r>
        <w:rPr>
          <w:b/>
          <w:bCs/>
        </w:rPr>
        <w:t>Sociālo jautājumu komiteja (9) deputātu sastāvā:</w:t>
      </w:r>
      <w:r>
        <w:t xml:space="preserve"> Zani ROMANOVU, Andri ZĀLĪTI, Daini VINGRI, Eināru ZĒBERGU, Anitu OSTROVSKU, Uģi RUBENI, Gunti LIBEKU, Elitu KAŅEPĒJU, Juriju MAŠKOVU.</w:t>
      </w:r>
    </w:p>
    <w:p w:rsidR="00E9131D" w:rsidRPr="007F15EB" w:rsidP="00E9131D" w14:paraId="3432BE6F" w14:textId="1FB1B01D">
      <w:pPr>
        <w:spacing w:after="0" w:line="240" w:lineRule="auto"/>
        <w:ind w:firstLine="709"/>
        <w:jc w:val="both"/>
      </w:pPr>
      <w:r>
        <w:t xml:space="preserve">2025. gadā pēc pašvaldību vēlēšanām Aizkraukles novada domes pastāvīgās komitejas darbojās šādos sastāvos: </w:t>
      </w:r>
      <w:r>
        <w:rPr>
          <w:b/>
          <w:bCs/>
        </w:rPr>
        <w:t xml:space="preserve">Finanšu un </w:t>
      </w:r>
      <w:r w:rsidR="007C22CC">
        <w:rPr>
          <w:b/>
          <w:bCs/>
        </w:rPr>
        <w:t xml:space="preserve">attīstības </w:t>
      </w:r>
      <w:r>
        <w:rPr>
          <w:b/>
          <w:bCs/>
        </w:rPr>
        <w:t>jautājumu komiteja (15) deputātu sastāvā:</w:t>
      </w:r>
      <w:r>
        <w:t xml:space="preserve"> Leonu LĪDUMU, Gati GŪTMANI, Ingūnu GRANDĀNI, Andri ZĀLĪTI, Eviju VECTIRĀNI, Jāni Sarmi BAJINSKI, Kasparu ĀDAMU, Aivaru MIEZĪTI, Daini VINGRI, Arvi UPĪTI, Ingu LAZDĀNU, Uģi RUBENI, Gunti LIBEKU, Aigaru LUKSU, Kasparu ŽIDOVU.</w:t>
      </w:r>
    </w:p>
    <w:p w:rsidR="00E9131D" w:rsidRPr="007F15EB" w:rsidP="00E9131D" w14:paraId="19C08191" w14:textId="65ABA2EF">
      <w:pPr>
        <w:spacing w:after="0" w:line="240" w:lineRule="auto"/>
        <w:ind w:firstLine="709"/>
        <w:jc w:val="both"/>
      </w:pPr>
      <w:r>
        <w:rPr>
          <w:b/>
          <w:bCs/>
        </w:rPr>
        <w:t>Izglītības, kultūras un sporta jautājumu komiteja (9) deputātu sastāvā:</w:t>
      </w:r>
      <w:r>
        <w:t xml:space="preserve"> Arvi UPĪTI, Gati GŪTMANI, Eviju VECTIRĀNI, Leonu LĪDUMU, Daini VINGRI, Kasparu ŽIDOVU, Jāni Sarmi BAJINSKI, Aivaru MIEZĪTI, Kasparu ĀDAMU.</w:t>
      </w:r>
    </w:p>
    <w:p w:rsidR="00E9131D" w:rsidRPr="007F15EB" w:rsidP="00E9131D" w14:paraId="093757F8" w14:textId="22E2B88C">
      <w:pPr>
        <w:spacing w:after="0" w:line="240" w:lineRule="auto"/>
        <w:ind w:firstLine="709"/>
        <w:jc w:val="both"/>
      </w:pPr>
      <w:r>
        <w:rPr>
          <w:b/>
          <w:bCs/>
        </w:rPr>
        <w:t>Sociālo jautājumu komiteja (9) deputātu sastāvā:</w:t>
      </w:r>
      <w:r>
        <w:t xml:space="preserve"> Evija VECTIRĀNI, Ingūnu GRANDĀNI, Andri ZĀLĪTI, Daini VINGRI, Uģi RUBENI, Gunti LIBEKU, Aigaru LUKSU, Kasparu ŽIDOVU, Gati GŪTMANI.</w:t>
      </w:r>
    </w:p>
    <w:p w:rsidR="00E9131D" w:rsidRPr="007F15EB" w:rsidP="00945BBF" w14:paraId="58BF0BC1" w14:textId="77777777">
      <w:pPr>
        <w:spacing w:after="0" w:line="240" w:lineRule="auto"/>
        <w:ind w:firstLine="709"/>
        <w:jc w:val="both"/>
      </w:pPr>
    </w:p>
    <w:p w:rsidR="00945BBF" w:rsidRPr="007F15EB" w:rsidP="00217DE0" w14:paraId="0D1BFF8B" w14:textId="79B7FE06">
      <w:pPr>
        <w:spacing w:after="0" w:line="240" w:lineRule="auto"/>
        <w:ind w:firstLine="709"/>
        <w:jc w:val="both"/>
      </w:pPr>
      <w:r>
        <w:t xml:space="preserve">Laika posmā no 2025. gada 1. janvāra līdz 2025. gada 31. decembrim notikušas: 8 Finanšu un </w:t>
      </w:r>
      <w:r w:rsidR="007C22CC">
        <w:t>attīstības</w:t>
      </w:r>
      <w:r>
        <w:t xml:space="preserve"> jautājumu komitejas sēdes (izskatīti 410 jautājumi); 9 Izglītības, kultūras un sporta </w:t>
      </w:r>
      <w:r>
        <w:t xml:space="preserve">jautājumu komitejas sēdes (izskatīti 42 jautājumi); 8 Sociālo jautājumu komitejas sēdes (izskatīti 23 jautājumi); 4 Apvienoto komiteju sēdes (172 izskatīti  jautājumi) 19 </w:t>
      </w:r>
      <w:r w:rsidR="007C22CC">
        <w:t>d</w:t>
      </w:r>
      <w:r>
        <w:t xml:space="preserve">omes sēdes (pieņemti 768 lēmumi). </w:t>
      </w:r>
    </w:p>
    <w:p w:rsidR="005F1CD1" w:rsidRPr="007F15EB" w:rsidP="000A756E" w14:paraId="62E9FE02" w14:textId="352774B3">
      <w:pPr>
        <w:spacing w:after="0" w:line="240" w:lineRule="auto"/>
        <w:ind w:firstLine="567"/>
        <w:jc w:val="both"/>
      </w:pPr>
      <w:r>
        <w:t>Laika posmā no 2024. gada 1. janvāra līdz 2024. gada 31. decembrim Aizkraukles novada pašvaldībā tika izveidotas un darbojās šādas pastāvīgās komisijas: Aizkraukles novada domes Administratīvo jautājumu komisija; Aizkraukles novada domes Pedagoģiski medicīniskā komisija; Aizkraukles novada domes Iepirkumu komisija; Aizkraukles novada domes Interešu izglītības programmu un mērķdotācijas sadales komisija; Aizkraukles novada domes Interešu izglītības un pieaugušo neformālās izglītības programmu licencēšanas komisija; Aizkraukles novada domes Zemes lietu komisija; Aizkraukles novada domes Dzīvokļu komisija; Aizkraukles novada domes Izsoles komisija; Aizkraukles novada domes Civilās aizsardzības komisija; Aizkraukles novada domes Attīstītības komisija; Aizkraukles novada domes Ētikas komisija; Aizkraukles novada domes Medību koordinācijas komisija; Aizkraukles novada domes Sporta komisija; Aizkraukles novada domes Jaunatnes lietu komisija; Aizkraukles novada domes Zvejas licencēšanas komisija; Aizkraukles novada domes Objektu apsekošanas un mantas vērtēšanas komisija; Aizkraukles novada domes bērnu tiesību aizsardzības sadarbības grupa; Aizkraukles novada domes Koku ciršanas atļaujas izsniegšanas komisija; Aizkraukles novada domes Komisija darījumiem ar lauksaimniecības zemi; Aizkraukles novada domes Administratīvo aktu strīdu komisija.</w:t>
      </w:r>
    </w:p>
    <w:p w:rsidR="00945BBF" w:rsidRPr="007F15EB" w14:paraId="7487A8B7" w14:textId="77777777">
      <w:pPr>
        <w:rPr>
          <w:b/>
          <w:color w:val="0F4761" w:themeColor="accent1" w:themeShade="BF"/>
          <w:sz w:val="28"/>
          <w:szCs w:val="32"/>
        </w:rPr>
      </w:pPr>
      <w:r>
        <w:br w:type="page"/>
      </w:r>
    </w:p>
    <w:p w:rsidR="00265906" w:rsidRPr="007F15EB" w:rsidP="003129B7" w14:paraId="21748385" w14:textId="1041FC16">
      <w:pPr>
        <w:pStyle w:val="Heading2"/>
        <w:numPr>
          <w:ilvl w:val="0"/>
          <w:numId w:val="1"/>
        </w:numPr>
      </w:pPr>
      <w:bookmarkStart w:id="3" w:name="_Toc201145440"/>
      <w:r>
        <w:t>PAŠVALDĪBAS JURIDISKAIS STATUSS, ORGANIZĀCIJA UN FUNKCIJAS</w:t>
      </w:r>
      <w:bookmarkEnd w:id="3"/>
    </w:p>
    <w:p w:rsidR="00E530E6" w:rsidRPr="007F15EB" w:rsidP="009815C0" w14:paraId="18A40023" w14:textId="386797CC">
      <w:pPr>
        <w:spacing w:after="0" w:line="360" w:lineRule="auto"/>
        <w:ind w:firstLine="709"/>
        <w:rPr>
          <w:b/>
          <w:bCs/>
          <w:i/>
          <w:iCs/>
          <w:color w:val="0F4761" w:themeColor="accent1" w:themeShade="BF"/>
        </w:rPr>
      </w:pPr>
      <w:r>
        <w:rPr>
          <w:b/>
          <w:bCs/>
          <w:i/>
          <w:iCs/>
          <w:color w:val="0F4761" w:themeColor="accent1" w:themeShade="BF"/>
        </w:rPr>
        <w:t>Juridiskais statuss un organizācija</w:t>
      </w:r>
    </w:p>
    <w:p w:rsidR="00E530E6" w:rsidRPr="007F15EB" w:rsidP="000A756E" w14:paraId="6E4B5EBB" w14:textId="29F1760E">
      <w:pPr>
        <w:spacing w:after="0" w:line="240" w:lineRule="auto"/>
        <w:ind w:firstLine="567"/>
        <w:jc w:val="both"/>
      </w:pPr>
      <w:r>
        <w:t>Saskaņā ar Pašvaldību likumu</w:t>
      </w:r>
      <w:r w:rsidR="000A756E">
        <w:t xml:space="preserve"> </w:t>
      </w:r>
      <w:r>
        <w:t xml:space="preserve">publisko tiesību jomā pašvaldību kompetencē ir šajā un citos likumos noteiktās autonomās funkcijas, deleģētās valsts pārvaldes funkcijas un uzdevumi, kuru izpilde likumā noteiktajā kārtībā nodota pašvaldībām, kā arī autonomās funkcijas, kuras tiek īstenotas kā brīvprātīgās iniciatīvas.  </w:t>
      </w:r>
    </w:p>
    <w:p w:rsidR="00E530E6" w:rsidRPr="007F15EB" w:rsidP="001A675E" w14:paraId="1534894B" w14:textId="65BE4E62">
      <w:pPr>
        <w:spacing w:after="0" w:line="240" w:lineRule="auto"/>
        <w:ind w:firstLine="567"/>
        <w:jc w:val="both"/>
      </w:pPr>
      <w:r>
        <w:t xml:space="preserve">Pašvaldības iedzīvotāju pārstāvību nodrošina to ievēlēts pašvaldības lēmējorgāns – novada dome, kas pieņem lēmumus, nosaka pašvaldības institucionālo struktūru, lemj par autonomo funkciju un brīvprātīgo iniciatīvu īstenošanu un par kārtību, kādā nodrošina pašvaldībai deleģēto valsts pārvaldes funkciju un pārvaldes uzdevumu izpildi, izstrādā un izpilda pašvaldības budžetu. </w:t>
      </w:r>
    </w:p>
    <w:p w:rsidR="00E530E6" w:rsidRPr="007F15EB" w:rsidP="001A675E" w14:paraId="38CDEAD5" w14:textId="3064DDEB">
      <w:pPr>
        <w:spacing w:after="0" w:line="240" w:lineRule="auto"/>
        <w:ind w:firstLine="567"/>
        <w:jc w:val="both"/>
      </w:pPr>
      <w:r>
        <w:t xml:space="preserve">Pašvaldības dome atbilstoši kompetencei ir atbildīga par pašvaldības institūciju tiesisku darbību un finanšu līdzekļu izlietojumu.  </w:t>
      </w:r>
    </w:p>
    <w:p w:rsidR="00D95960" w:rsidRPr="007F15EB" w:rsidP="00E530E6" w14:paraId="667C2C30" w14:textId="77777777">
      <w:pPr>
        <w:spacing w:after="0" w:line="240" w:lineRule="auto"/>
      </w:pPr>
    </w:p>
    <w:p w:rsidR="00D95960" w:rsidRPr="007F15EB" w:rsidP="009815C0" w14:paraId="74FB0229" w14:textId="02D908D0">
      <w:pPr>
        <w:spacing w:after="0" w:line="360" w:lineRule="auto"/>
        <w:ind w:firstLine="720"/>
        <w:rPr>
          <w:b/>
          <w:bCs/>
          <w:i/>
          <w:iCs/>
          <w:color w:val="0F4761" w:themeColor="accent1" w:themeShade="BF"/>
        </w:rPr>
      </w:pPr>
      <w:r>
        <w:rPr>
          <w:b/>
          <w:bCs/>
          <w:i/>
          <w:iCs/>
          <w:color w:val="0F4761" w:themeColor="accent1" w:themeShade="BF"/>
        </w:rPr>
        <w:t>Pašvaldības būtiskākās funkcijas</w:t>
      </w:r>
    </w:p>
    <w:p w:rsidR="00895753" w:rsidRPr="007F15EB" w14:paraId="1F24D6B3" w14:textId="77777777">
      <w:pPr>
        <w:pStyle w:val="ListParagraph"/>
        <w:numPr>
          <w:ilvl w:val="0"/>
          <w:numId w:val="2"/>
        </w:numPr>
        <w:spacing w:after="0" w:line="240" w:lineRule="auto"/>
      </w:pPr>
      <w:r>
        <w:t xml:space="preserve">organizēt iedzīvotājiem komunālos pakalpojumus neatkarīgi no tā, kā īpašumā atrodas dzīvojamais fonds;  </w:t>
      </w:r>
    </w:p>
    <w:p w:rsidR="00895753" w:rsidRPr="007F15EB" w14:paraId="744ADFB0" w14:textId="77777777">
      <w:pPr>
        <w:pStyle w:val="ListParagraph"/>
        <w:numPr>
          <w:ilvl w:val="0"/>
          <w:numId w:val="2"/>
        </w:numPr>
        <w:spacing w:after="0" w:line="240" w:lineRule="auto"/>
      </w:pPr>
      <w:r>
        <w:t xml:space="preserve">gādāt par savas administratīvās teritorijas labiekārtošanu un sanitāro tīrību; </w:t>
      </w:r>
    </w:p>
    <w:p w:rsidR="00895753" w:rsidRPr="007F15EB" w14:paraId="43C1E9E5" w14:textId="77777777">
      <w:pPr>
        <w:pStyle w:val="ListParagraph"/>
        <w:numPr>
          <w:ilvl w:val="0"/>
          <w:numId w:val="2"/>
        </w:numPr>
        <w:spacing w:after="0" w:line="240" w:lineRule="auto"/>
      </w:pPr>
      <w:r>
        <w:t xml:space="preserve">noteikt kārtību, kādā izmantojami publiskā lietošanā esošie meži un ūdeņi;  </w:t>
      </w:r>
    </w:p>
    <w:p w:rsidR="00895753" w:rsidRPr="007F15EB" w14:paraId="17D9E946" w14:textId="77777777">
      <w:pPr>
        <w:pStyle w:val="ListParagraph"/>
        <w:numPr>
          <w:ilvl w:val="0"/>
          <w:numId w:val="2"/>
        </w:numPr>
        <w:spacing w:after="0" w:line="240" w:lineRule="auto"/>
      </w:pPr>
      <w:r>
        <w:t xml:space="preserve">gādāt par iedzīvotāju izglītību;  </w:t>
      </w:r>
    </w:p>
    <w:p w:rsidR="00895753" w:rsidRPr="007F15EB" w14:paraId="0048CACD" w14:textId="77777777">
      <w:pPr>
        <w:pStyle w:val="ListParagraph"/>
        <w:numPr>
          <w:ilvl w:val="0"/>
          <w:numId w:val="2"/>
        </w:numPr>
        <w:spacing w:after="0" w:line="240" w:lineRule="auto"/>
      </w:pPr>
      <w:r>
        <w:t xml:space="preserve">rūpēties par kultūru un sekmēt tradicionālo kultūras vērtību saglabāšanu un tautas jaunrades attīstību;  </w:t>
      </w:r>
    </w:p>
    <w:p w:rsidR="00895753" w:rsidRPr="007F15EB" w14:paraId="62636BC0" w14:textId="77777777">
      <w:pPr>
        <w:pStyle w:val="ListParagraph"/>
        <w:numPr>
          <w:ilvl w:val="0"/>
          <w:numId w:val="2"/>
        </w:numPr>
        <w:spacing w:after="0" w:line="240" w:lineRule="auto"/>
      </w:pPr>
      <w:r>
        <w:t xml:space="preserve">nodrošināt veselības aprūpes pieejamību, kā arī veicināt iedzīvotāju veselīgu dzīvesveidu un sportu;  </w:t>
      </w:r>
    </w:p>
    <w:p w:rsidR="00895753" w:rsidRPr="007F15EB" w14:paraId="0A46B3F9" w14:textId="77777777">
      <w:pPr>
        <w:pStyle w:val="ListParagraph"/>
        <w:numPr>
          <w:ilvl w:val="0"/>
          <w:numId w:val="2"/>
        </w:numPr>
        <w:spacing w:after="0" w:line="240" w:lineRule="auto"/>
      </w:pPr>
      <w:r>
        <w:t xml:space="preserve">nodrošināt iedzīvotājiem sociālo palīdzību (sociālo aprūpi);  </w:t>
      </w:r>
    </w:p>
    <w:p w:rsidR="00895753" w:rsidRPr="007F15EB" w14:paraId="07CBC8C7" w14:textId="77777777">
      <w:pPr>
        <w:pStyle w:val="ListParagraph"/>
        <w:numPr>
          <w:ilvl w:val="0"/>
          <w:numId w:val="2"/>
        </w:numPr>
        <w:spacing w:after="0" w:line="240" w:lineRule="auto"/>
      </w:pPr>
      <w:r>
        <w:t xml:space="preserve">gādāt par aizgādnību, aizbildnību, adopciju un bērnu personisko un mantisko tiesību un interešu aizsardzību;  </w:t>
      </w:r>
    </w:p>
    <w:p w:rsidR="00895753" w:rsidRPr="007F15EB" w14:paraId="0B8347E7" w14:textId="77777777">
      <w:pPr>
        <w:pStyle w:val="ListParagraph"/>
        <w:numPr>
          <w:ilvl w:val="0"/>
          <w:numId w:val="2"/>
        </w:numPr>
        <w:spacing w:after="0" w:line="240" w:lineRule="auto"/>
      </w:pPr>
      <w:r>
        <w:t xml:space="preserve">sniegt palīdzību iedzīvotājiem dzīvokļa jautājumu risināšanā; </w:t>
      </w:r>
    </w:p>
    <w:p w:rsidR="00963459" w:rsidRPr="007F15EB" w14:paraId="0311F253" w14:textId="77777777">
      <w:pPr>
        <w:pStyle w:val="ListParagraph"/>
        <w:numPr>
          <w:ilvl w:val="0"/>
          <w:numId w:val="2"/>
        </w:numPr>
        <w:spacing w:after="0" w:line="240" w:lineRule="auto"/>
      </w:pPr>
      <w:r>
        <w:t xml:space="preserve">sekmēt saimniecisko darbību attiecīgajā administratīvajā teritorijā, rūpēties par bezdarba samazināšanu; </w:t>
      </w:r>
    </w:p>
    <w:p w:rsidR="00963459" w:rsidRPr="007F15EB" w14:paraId="261535D2" w14:textId="77777777">
      <w:pPr>
        <w:pStyle w:val="ListParagraph"/>
        <w:numPr>
          <w:ilvl w:val="0"/>
          <w:numId w:val="2"/>
        </w:numPr>
        <w:spacing w:after="0" w:line="240" w:lineRule="auto"/>
      </w:pPr>
      <w:r>
        <w:t xml:space="preserve">izsniegt atļaujas un licences komercdarbībai, ja tas paredzēts likumos;  </w:t>
      </w:r>
    </w:p>
    <w:p w:rsidR="00963459" w:rsidRPr="007F15EB" w14:paraId="5A963E10" w14:textId="77777777">
      <w:pPr>
        <w:pStyle w:val="ListParagraph"/>
        <w:numPr>
          <w:ilvl w:val="0"/>
          <w:numId w:val="2"/>
        </w:numPr>
        <w:spacing w:after="0" w:line="240" w:lineRule="auto"/>
      </w:pPr>
      <w:r>
        <w:t xml:space="preserve">piedalīties sabiedriskās kārtības nodrošināšanā, apkarot žūpību un netiklību; </w:t>
      </w:r>
    </w:p>
    <w:p w:rsidR="00963459" w:rsidRPr="007F15EB" w14:paraId="5EB5C855" w14:textId="77777777">
      <w:pPr>
        <w:pStyle w:val="ListParagraph"/>
        <w:numPr>
          <w:ilvl w:val="0"/>
          <w:numId w:val="2"/>
        </w:numPr>
        <w:spacing w:after="0" w:line="240" w:lineRule="auto"/>
      </w:pPr>
      <w:r>
        <w:t xml:space="preserve">saskaņā ar attiecīgās pašvaldības teritorijas plānojumu noteikt zemes izmantošanas un apbūves kārtību; </w:t>
      </w:r>
    </w:p>
    <w:p w:rsidR="00963459" w:rsidRPr="007F15EB" w14:paraId="7D76F70E" w14:textId="77777777">
      <w:pPr>
        <w:pStyle w:val="ListParagraph"/>
        <w:numPr>
          <w:ilvl w:val="0"/>
          <w:numId w:val="2"/>
        </w:numPr>
        <w:spacing w:after="0" w:line="240" w:lineRule="auto"/>
      </w:pPr>
      <w:r>
        <w:t xml:space="preserve">nodrošināt savas administratīvās teritorijas būvniecības procesa tiesiskumu; </w:t>
      </w:r>
    </w:p>
    <w:p w:rsidR="00963459" w:rsidRPr="007F15EB" w14:paraId="43F98651" w14:textId="77777777">
      <w:pPr>
        <w:pStyle w:val="ListParagraph"/>
        <w:numPr>
          <w:ilvl w:val="0"/>
          <w:numId w:val="2"/>
        </w:numPr>
        <w:spacing w:after="0" w:line="240" w:lineRule="auto"/>
      </w:pPr>
      <w:r>
        <w:t xml:space="preserve">veikt civilstāvokļa aktu reģistrāciju;  </w:t>
      </w:r>
    </w:p>
    <w:p w:rsidR="00963459" w:rsidRPr="007F15EB" w14:paraId="0EAEE0BE" w14:textId="77777777">
      <w:pPr>
        <w:pStyle w:val="ListParagraph"/>
        <w:numPr>
          <w:ilvl w:val="0"/>
          <w:numId w:val="2"/>
        </w:numPr>
        <w:spacing w:after="0" w:line="240" w:lineRule="auto"/>
      </w:pPr>
      <w:r>
        <w:t xml:space="preserve">savākt un sniegt valsts statistikai nepieciešamās ziņas;  </w:t>
      </w:r>
    </w:p>
    <w:p w:rsidR="00963459" w:rsidRPr="007F15EB" w14:paraId="246B1841" w14:textId="77777777">
      <w:pPr>
        <w:pStyle w:val="ListParagraph"/>
        <w:numPr>
          <w:ilvl w:val="0"/>
          <w:numId w:val="2"/>
        </w:numPr>
        <w:spacing w:after="0" w:line="240" w:lineRule="auto"/>
      </w:pPr>
      <w:r>
        <w:t xml:space="preserve">veikt nepieciešamos pasākumus domes vēlēšanās;  </w:t>
      </w:r>
    </w:p>
    <w:p w:rsidR="00963459" w:rsidRPr="007F15EB" w14:paraId="0F752611" w14:textId="77777777">
      <w:pPr>
        <w:pStyle w:val="ListParagraph"/>
        <w:numPr>
          <w:ilvl w:val="0"/>
          <w:numId w:val="2"/>
        </w:numPr>
        <w:spacing w:after="0" w:line="240" w:lineRule="auto"/>
      </w:pPr>
      <w:r>
        <w:t xml:space="preserve">piedalīties civilās aizsardzības pasākumu nodrošināšanā; </w:t>
      </w:r>
    </w:p>
    <w:p w:rsidR="00963459" w:rsidRPr="007F15EB" w14:paraId="1BF31442" w14:textId="77777777">
      <w:pPr>
        <w:pStyle w:val="ListParagraph"/>
        <w:numPr>
          <w:ilvl w:val="0"/>
          <w:numId w:val="2"/>
        </w:numPr>
        <w:spacing w:after="0" w:line="240" w:lineRule="auto"/>
      </w:pPr>
      <w:r>
        <w:t xml:space="preserve">organizēt sabiedriskā transporta pakalpojumus;  </w:t>
      </w:r>
    </w:p>
    <w:p w:rsidR="00963459" w:rsidRPr="007F15EB" w14:paraId="17D73E28" w14:textId="77777777">
      <w:pPr>
        <w:pStyle w:val="ListParagraph"/>
        <w:numPr>
          <w:ilvl w:val="0"/>
          <w:numId w:val="2"/>
        </w:numPr>
        <w:spacing w:after="0" w:line="240" w:lineRule="auto"/>
      </w:pPr>
      <w:r>
        <w:t xml:space="preserve">organizēt pedagoģisko darbinieku tālākizglītību un izglītības metodisko darbu;  </w:t>
      </w:r>
    </w:p>
    <w:p w:rsidR="00963459" w:rsidRPr="007F15EB" w14:paraId="0AEFEBEE" w14:textId="77777777">
      <w:pPr>
        <w:pStyle w:val="ListParagraph"/>
        <w:numPr>
          <w:ilvl w:val="0"/>
          <w:numId w:val="2"/>
        </w:numPr>
        <w:spacing w:after="0" w:line="240" w:lineRule="auto"/>
      </w:pPr>
      <w:r>
        <w:t xml:space="preserve">veikt attiecīgajā administratīvajā teritorijā dzīvojošo bērnu uzskaiti;  </w:t>
      </w:r>
    </w:p>
    <w:p w:rsidR="0059592D" w:rsidRPr="007F15EB" w14:paraId="6D2033AB" w14:textId="325BF02C">
      <w:pPr>
        <w:pStyle w:val="ListParagraph"/>
        <w:numPr>
          <w:ilvl w:val="0"/>
          <w:numId w:val="2"/>
        </w:numPr>
        <w:spacing w:after="0" w:line="240" w:lineRule="auto"/>
      </w:pPr>
      <w:r>
        <w:t>īstenot bērnu tiesību aizsardzību attiecīgajā administratīvajā teritorijā.</w:t>
      </w:r>
    </w:p>
    <w:p w:rsidR="00254E78" w:rsidRPr="007F15EB" w14:paraId="55CC25E7" w14:textId="77777777"/>
    <w:p w:rsidR="006C6E52" w:rsidRPr="006C6E52" w:rsidP="00D41FE7" w14:paraId="0100F5AF" w14:textId="4DB633EC">
      <w:pPr>
        <w:spacing w:before="120" w:line="240" w:lineRule="auto"/>
        <w:ind w:firstLine="567"/>
        <w:jc w:val="both"/>
        <w:rPr>
          <w:b/>
          <w:bCs/>
          <w:i/>
          <w:iCs/>
          <w:lang w:eastAsia="lv-LV"/>
        </w:rPr>
      </w:pPr>
      <w:r>
        <w:rPr>
          <w:b/>
          <w:bCs/>
          <w:i/>
          <w:iCs/>
          <w:lang w:eastAsia="lv-LV"/>
        </w:rPr>
        <w:t xml:space="preserve">Centrālās pārvaldes, domes, komiteju un komisiju darba nodrošināšana </w:t>
      </w:r>
    </w:p>
    <w:p w:rsidR="00D41FE7" w:rsidRPr="00DF0582" w:rsidP="00D41FE7" w14:paraId="0D5A429F" w14:textId="1BCC2054">
      <w:pPr>
        <w:spacing w:before="120" w:line="240" w:lineRule="auto"/>
        <w:ind w:firstLine="567"/>
        <w:jc w:val="both"/>
        <w:rPr>
          <w:lang w:eastAsia="lv-LV"/>
        </w:rPr>
      </w:pPr>
      <w:r>
        <w:rPr>
          <w:lang w:eastAsia="lv-LV"/>
        </w:rPr>
        <w:t xml:space="preserve">Domes darba organizatorisko, administratīvo un tehnisko apkalpošanu nodrošina Aizkraukles novada pašvaldības Centrālās pārvaldes Kanceleja (turpmāk – Kanceleja). Kanceleja nodrošina pašvaldības dokumentu pārvaldību, organizē domes un komiteju darba procesu, nodrošina dzīvesvietas deklarēšanas funkciju izpildi, valsts un pašvaldības pakalpojumu pieejamību </w:t>
      </w:r>
      <w:r>
        <w:rPr>
          <w:lang w:eastAsia="lv-LV"/>
        </w:rPr>
        <w:t>iedzīvotājiem, kā arī īsteno klientu apkalpošanas un citas pašvaldības darbības nodrošināšanai nepieciešamās atbalsta funkcijas.</w:t>
      </w:r>
    </w:p>
    <w:p w:rsidR="00D41FE7" w:rsidRPr="00163F02" w:rsidP="00D41FE7" w14:paraId="5ABA75B2" w14:textId="77777777">
      <w:pPr>
        <w:spacing w:before="120" w:line="240" w:lineRule="auto"/>
        <w:outlineLvl w:val="1"/>
        <w:rPr>
          <w:b/>
          <w:bCs/>
          <w:lang w:eastAsia="lv-LV"/>
        </w:rPr>
      </w:pPr>
      <w:r>
        <w:rPr>
          <w:b/>
          <w:bCs/>
          <w:lang w:eastAsia="lv-LV"/>
        </w:rPr>
        <w:t>Domes un komiteju darba nodrošināšana</w:t>
      </w:r>
    </w:p>
    <w:p w:rsidR="00D41FE7" w:rsidRPr="009F5C5A" w:rsidP="00D41FE7" w14:paraId="3E4226C0" w14:textId="77777777">
      <w:pPr>
        <w:spacing w:before="120" w:line="240" w:lineRule="auto"/>
        <w:ind w:firstLine="567"/>
        <w:jc w:val="both"/>
        <w:rPr>
          <w:lang w:eastAsia="lv-LV"/>
        </w:rPr>
      </w:pPr>
      <w:r>
        <w:rPr>
          <w:lang w:eastAsia="lv-LV"/>
        </w:rPr>
        <w:t>Atbilstoši Pašvaldību likumā noteiktajai domes un pastāvīgo komiteju darba organizācijas kārtībai Kanceleja 2025. gadā nodrošināja pilnu domes un komiteju darba administratīvo un tehnisko atbalstu – no sēžu darba kārtību sagatavošanas un izsludināšanas līdz pieņemto lēmumu un sēžu protokolu noformēšanai un uzskaitei.</w:t>
      </w:r>
    </w:p>
    <w:p w:rsidR="00D41FE7" w:rsidRPr="009F5C5A" w:rsidP="00D41FE7" w14:paraId="0AD55B9C" w14:textId="77777777">
      <w:pPr>
        <w:spacing w:before="120" w:line="240" w:lineRule="auto"/>
        <w:ind w:firstLine="567"/>
        <w:jc w:val="both"/>
        <w:rPr>
          <w:lang w:eastAsia="lv-LV"/>
        </w:rPr>
      </w:pPr>
      <w:r>
        <w:rPr>
          <w:lang w:eastAsia="lv-LV"/>
        </w:rPr>
        <w:t>Saskaņā ar Aizkraukles novada pašvaldības nolikumu un domes darba reglamentu domes un pastāvīgo komiteju sēžu sagatavošana un norise tiek nodrošināta elektroniskajā dokumentu vadības sistēmā. Deputātiem un ziņotājiem lēmumu projekti, tiem pievienotie dokumenti un uzziņas materiāli pieejami digitālā formātā, tādējādi samazinot papīra dokumentu apriti un veicinot efektīvāku informācijas apriti.</w:t>
      </w:r>
    </w:p>
    <w:p w:rsidR="00D41FE7" w:rsidRPr="009F5C5A" w:rsidP="00D41FE7" w14:paraId="36282A91" w14:textId="77777777">
      <w:pPr>
        <w:spacing w:before="120" w:line="240" w:lineRule="auto"/>
        <w:ind w:firstLine="567"/>
        <w:jc w:val="both"/>
        <w:rPr>
          <w:lang w:eastAsia="lv-LV"/>
        </w:rPr>
      </w:pPr>
      <w:r>
        <w:rPr>
          <w:lang w:eastAsia="lv-LV"/>
        </w:rPr>
        <w:t>Īstenojot Paziņošanas likuma un citu dokumentu apriti regulējošo normatīvo aktu prasības, Kanceleja nodrošināja domes lēmumu, sēžu protokolu izrakstu un citu dokumentu nosūtīšanu adresātiem un oficiālo paziņošanu. Dokumentu apritē prioritāri tika izmantoti elektroniskie saziņas līdzekļi – oficiālā elektroniskā adrese (e-adrese) un elektroniski parakstītu dokumentu aprite.</w:t>
      </w:r>
    </w:p>
    <w:p w:rsidR="00D41FE7" w:rsidRPr="009F5C5A" w:rsidP="00D41FE7" w14:paraId="3DF5CDAC" w14:textId="77777777">
      <w:pPr>
        <w:spacing w:before="120" w:line="240" w:lineRule="auto"/>
        <w:ind w:firstLine="567"/>
        <w:jc w:val="both"/>
        <w:rPr>
          <w:lang w:eastAsia="lv-LV"/>
        </w:rPr>
      </w:pPr>
      <w:r>
        <w:rPr>
          <w:lang w:eastAsia="lv-LV"/>
        </w:rPr>
        <w:t>Pārskata periodā no 2025. gada 1. janvāra līdz 31. decembrim Aizkraukles novada domes deputāti, īstenojot Pašvaldību likumā noteiktās pilnvaras, komiteju un domes sēdēs izskatīja pašvaldības darbībai nozīmīgus jautājumus un pieņēma lēmumus. Kanceleja nodrošināja nepieciešamo organizatorisko un tehnisko atbalstu šādam sēžu darba apjomam:</w:t>
      </w:r>
    </w:p>
    <w:p w:rsidR="00FE738C" w:rsidP="00FE738C" w14:paraId="55085F56" w14:textId="77777777">
      <w:pPr>
        <w:spacing w:before="120" w:line="240" w:lineRule="auto"/>
        <w:ind w:left="1134" w:hanging="567"/>
        <w:jc w:val="both"/>
        <w:rPr>
          <w:lang w:eastAsia="lv-LV"/>
        </w:rPr>
      </w:pPr>
      <w:r>
        <w:rPr>
          <w:lang w:eastAsia="lv-LV"/>
        </w:rPr>
        <w:t>• Finanšu un attīstības jautājumu komiteja – 8 sēdes, kurās izskatīti 410 jautājumi;</w:t>
      </w:r>
    </w:p>
    <w:p w:rsidR="00D41FE7" w:rsidP="00FE738C" w14:paraId="19E026E3" w14:textId="244A64C3">
      <w:pPr>
        <w:spacing w:before="120" w:line="240" w:lineRule="auto"/>
        <w:ind w:left="1134" w:hanging="567"/>
        <w:jc w:val="both"/>
        <w:rPr>
          <w:lang w:eastAsia="lv-LV"/>
        </w:rPr>
      </w:pPr>
      <w:r>
        <w:rPr>
          <w:lang w:eastAsia="lv-LV"/>
        </w:rPr>
        <w:t>• Izglītības, kultūras un sporta jautājumu komiteja – 9 sēdes, kurās izskatīti 42 jautājumi;</w:t>
      </w:r>
    </w:p>
    <w:p w:rsidR="00D41FE7" w:rsidP="00FE738C" w14:paraId="47409F6B" w14:textId="77777777">
      <w:pPr>
        <w:spacing w:before="120" w:line="240" w:lineRule="auto"/>
        <w:ind w:left="1134" w:hanging="567"/>
        <w:jc w:val="both"/>
        <w:rPr>
          <w:lang w:eastAsia="lv-LV"/>
        </w:rPr>
      </w:pPr>
      <w:r>
        <w:rPr>
          <w:lang w:eastAsia="lv-LV"/>
        </w:rPr>
        <w:t>• Sociālo jautājumu komiteja – 8 sēdes, kurās izskatīti 23 jautājumi;</w:t>
      </w:r>
    </w:p>
    <w:p w:rsidR="00D41FE7" w:rsidP="00FE738C" w14:paraId="15309441" w14:textId="77777777">
      <w:pPr>
        <w:spacing w:before="120" w:line="240" w:lineRule="auto"/>
        <w:ind w:left="567"/>
        <w:jc w:val="both"/>
        <w:rPr>
          <w:lang w:eastAsia="lv-LV"/>
        </w:rPr>
      </w:pPr>
      <w:r>
        <w:rPr>
          <w:lang w:eastAsia="lv-LV"/>
        </w:rPr>
        <w:t>• Apvienotās komiteju sēdes – 4 sēdes, kurās izskatīti 172 jautājumi;</w:t>
      </w:r>
    </w:p>
    <w:p w:rsidR="00D41FE7" w:rsidRPr="009F5C5A" w:rsidP="00FE738C" w14:paraId="03B446ED" w14:textId="691B272F">
      <w:pPr>
        <w:spacing w:before="120" w:line="240" w:lineRule="auto"/>
        <w:ind w:left="567"/>
        <w:jc w:val="both"/>
        <w:rPr>
          <w:lang w:eastAsia="lv-LV"/>
        </w:rPr>
      </w:pPr>
      <w:r>
        <w:rPr>
          <w:lang w:eastAsia="lv-LV"/>
        </w:rPr>
        <w:t xml:space="preserve">• </w:t>
      </w:r>
      <w:r w:rsidR="00FE738C">
        <w:rPr>
          <w:lang w:eastAsia="lv-LV"/>
        </w:rPr>
        <w:t>d</w:t>
      </w:r>
      <w:r>
        <w:rPr>
          <w:lang w:eastAsia="lv-LV"/>
        </w:rPr>
        <w:t>omes sēdes – 19 sēdes, kurās pieņemti 768 lēmumi.</w:t>
      </w:r>
    </w:p>
    <w:p w:rsidR="00D41FE7" w:rsidRPr="009F5C5A" w:rsidP="00D41FE7" w14:paraId="3611A640" w14:textId="77777777">
      <w:pPr>
        <w:spacing w:before="120" w:line="240" w:lineRule="auto"/>
        <w:ind w:firstLine="567"/>
        <w:jc w:val="both"/>
        <w:rPr>
          <w:lang w:eastAsia="lv-LV"/>
        </w:rPr>
      </w:pPr>
      <w:r>
        <w:rPr>
          <w:lang w:eastAsia="lv-LV"/>
        </w:rPr>
        <w:t>Kopumā pārskata gadā komitejās tika izskatīti 647 jautājumi, savukārt dome pieņēma 768 lēmumus, nodrošinot pašvaldības autonomo funkciju izpildi un novada attīstībai nepieciešamo lēmumu pieņemšanu.</w:t>
      </w:r>
    </w:p>
    <w:p w:rsidR="00D41FE7" w:rsidRPr="006C6E52" w:rsidP="00D41FE7" w14:paraId="5E23A8E9" w14:textId="77777777">
      <w:pPr>
        <w:spacing w:before="120" w:line="240" w:lineRule="auto"/>
        <w:outlineLvl w:val="1"/>
        <w:rPr>
          <w:b/>
          <w:bCs/>
          <w:i/>
          <w:iCs/>
          <w:lang w:eastAsia="lv-LV"/>
        </w:rPr>
      </w:pPr>
      <w:r>
        <w:rPr>
          <w:b/>
          <w:bCs/>
          <w:i/>
          <w:iCs/>
          <w:lang w:eastAsia="lv-LV"/>
        </w:rPr>
        <w:t>Saistošo noteikumu izstrādes un publicēšanas nodrošināšana</w:t>
      </w:r>
    </w:p>
    <w:p w:rsidR="00D41FE7" w:rsidRPr="009F5C5A" w:rsidP="00D41FE7" w14:paraId="1913CD4F" w14:textId="77777777">
      <w:pPr>
        <w:spacing w:before="120" w:line="240" w:lineRule="auto"/>
        <w:ind w:firstLine="567"/>
        <w:jc w:val="both"/>
        <w:rPr>
          <w:lang w:eastAsia="lv-LV"/>
        </w:rPr>
      </w:pPr>
      <w:r>
        <w:rPr>
          <w:lang w:eastAsia="lv-LV"/>
        </w:rPr>
        <w:t>Saskaņā ar Pašvaldību likumu un Oficiālo publikāciju un tiesiskās informācijas likumu pašvaldības saistošie noteikumi iegūst vispārsaistošu spēku pēc to publicēšanas oficiālajā izdevumā „Latvijas Vēstnesis”. Kanceleja nodrošināja domes pieņemto saistošo noteikumu un to grozījumu virzību, noformēšanu, publicēšanas procesu un uzskaiti.</w:t>
      </w:r>
    </w:p>
    <w:p w:rsidR="00D41FE7" w:rsidRPr="009F5C5A" w:rsidP="00D41FE7" w14:paraId="27B8214C" w14:textId="77777777">
      <w:pPr>
        <w:spacing w:before="120" w:line="240" w:lineRule="auto"/>
        <w:ind w:firstLine="567"/>
        <w:jc w:val="both"/>
        <w:rPr>
          <w:lang w:eastAsia="lv-LV"/>
        </w:rPr>
      </w:pPr>
      <w:r>
        <w:rPr>
          <w:lang w:eastAsia="lv-LV"/>
        </w:rPr>
        <w:t>Pārskata gadā dome pieņēma 25 saistošos noteikumus, no kuriem 16 bija grozījumi iepriekš izdotajos saistošajos noteikumos. Tas apliecina pašvaldības normatīvā regulējuma regulāru pilnveidošanu un pielāgošanu gan ārējo normatīvo aktu izmaiņām, gan novada attīstības vajadzībām un iedzīvotāju interesēm.</w:t>
      </w:r>
    </w:p>
    <w:p w:rsidR="00D41FE7" w:rsidRPr="009F5C5A" w:rsidP="00FE738C" w14:paraId="5DE23307" w14:textId="6CCDA403">
      <w:pPr>
        <w:spacing w:before="120" w:after="120" w:line="240" w:lineRule="auto"/>
        <w:ind w:firstLine="567"/>
        <w:jc w:val="both"/>
        <w:rPr>
          <w:lang w:eastAsia="lv-LV"/>
        </w:rPr>
      </w:pPr>
      <w:r>
        <w:rPr>
          <w:lang w:eastAsia="lv-LV"/>
        </w:rPr>
        <w:t>2025. </w:t>
      </w:r>
      <w:r>
        <w:rPr>
          <w:lang w:eastAsia="lv-LV"/>
        </w:rPr>
        <w:t>gadā pieņemtie un aktualizētie saistošie noteikumi aptvēra plašu pašvaldības autonomo funkciju loku, tostarp sociālās palīdzības un sociālo pakalpojumu nodrošināšanu, budžeta plānošanu, mājokļu politiku, sabiedrības līdzdalības veicināšanu, atbalstu personām ar funkcionēšanas ierobežojumiem, pašvaldības institucionālās darbības regulējumu un citas novada attīstībai nozīmīgas jomas.</w:t>
      </w:r>
    </w:p>
    <w:p w:rsidR="00D41FE7" w:rsidRPr="003E7B95" w:rsidP="00D41FE7" w14:paraId="49CC8C41" w14:textId="77777777">
      <w:pPr>
        <w:spacing w:before="120" w:line="240" w:lineRule="auto"/>
        <w:ind w:firstLine="567"/>
        <w:jc w:val="both"/>
        <w:rPr>
          <w:lang w:eastAsia="lv-LV"/>
        </w:rPr>
      </w:pPr>
      <w:r>
        <w:rPr>
          <w:lang w:eastAsia="lv-LV"/>
        </w:rPr>
        <w:t xml:space="preserve">Detalizēts 2025. gadā pieņemto un aktualizēto saistošo noteikumu pārskats: </w:t>
      </w:r>
    </w:p>
    <w:p w:rsidR="00D41FE7" w:rsidRPr="00681CD8" w14:paraId="472D64FE" w14:textId="4590E8B8">
      <w:pPr>
        <w:numPr>
          <w:ilvl w:val="0"/>
          <w:numId w:val="19"/>
        </w:numPr>
        <w:spacing w:before="120" w:after="120" w:line="240" w:lineRule="auto"/>
        <w:ind w:left="714" w:hanging="357"/>
        <w:jc w:val="both"/>
        <w:rPr>
          <w:lang w:eastAsia="lv-LV"/>
        </w:rPr>
      </w:pPr>
      <w:r>
        <w:rPr>
          <w:b/>
          <w:bCs/>
          <w:lang w:eastAsia="lv-LV"/>
        </w:rPr>
        <w:t>23.01.2025.</w:t>
      </w:r>
      <w:r>
        <w:rPr>
          <w:lang w:eastAsia="lv-LV"/>
        </w:rPr>
        <w:t xml:space="preserve">  </w:t>
      </w:r>
      <w:r>
        <w:rPr>
          <w:b/>
          <w:bCs/>
          <w:lang w:eastAsia="lv-LV"/>
        </w:rPr>
        <w:t>Nr. 2025/1</w:t>
      </w:r>
      <w:r>
        <w:rPr>
          <w:lang w:eastAsia="lv-LV"/>
        </w:rPr>
        <w:t xml:space="preserve">  Par Aizkraukles novada pašvaldības budžetu 2025.</w:t>
      </w:r>
      <w:r w:rsidR="00FE738C">
        <w:rPr>
          <w:lang w:eastAsia="lv-LV"/>
        </w:rPr>
        <w:t> </w:t>
      </w:r>
      <w:r>
        <w:rPr>
          <w:lang w:eastAsia="lv-LV"/>
        </w:rPr>
        <w:t xml:space="preserve">gadam </w:t>
      </w:r>
      <w:r>
        <w:rPr>
          <w:i/>
          <w:iCs/>
          <w:lang w:eastAsia="lv-LV"/>
        </w:rPr>
        <w:t>(LV, 29.01.2025., stājas spēkā 30.01.2025.)</w:t>
      </w:r>
    </w:p>
    <w:p w:rsidR="00D41FE7" w:rsidRPr="00681CD8" w14:paraId="338833C6" w14:textId="2B230CCA">
      <w:pPr>
        <w:numPr>
          <w:ilvl w:val="0"/>
          <w:numId w:val="19"/>
        </w:numPr>
        <w:spacing w:before="120" w:after="120" w:line="240" w:lineRule="auto"/>
        <w:ind w:left="714" w:hanging="357"/>
        <w:jc w:val="both"/>
        <w:rPr>
          <w:lang w:eastAsia="lv-LV"/>
        </w:rPr>
      </w:pPr>
      <w:r>
        <w:rPr>
          <w:b/>
          <w:bCs/>
          <w:lang w:eastAsia="lv-LV"/>
        </w:rPr>
        <w:t>23.01.2025.</w:t>
      </w:r>
      <w:r>
        <w:rPr>
          <w:lang w:eastAsia="lv-LV"/>
        </w:rPr>
        <w:t xml:space="preserve">| </w:t>
      </w:r>
      <w:r>
        <w:rPr>
          <w:b/>
          <w:bCs/>
          <w:lang w:eastAsia="lv-LV"/>
        </w:rPr>
        <w:t>Nr. 2025/2</w:t>
      </w:r>
      <w:r>
        <w:rPr>
          <w:lang w:eastAsia="lv-LV"/>
        </w:rPr>
        <w:t>| Grozījums Aizkraukles novada domes 2021.</w:t>
      </w:r>
      <w:r w:rsidR="00FE738C">
        <w:rPr>
          <w:lang w:eastAsia="lv-LV"/>
        </w:rPr>
        <w:t> </w:t>
      </w:r>
      <w:r>
        <w:rPr>
          <w:lang w:eastAsia="lv-LV"/>
        </w:rPr>
        <w:t>gada 21.</w:t>
      </w:r>
      <w:r w:rsidR="00FE738C">
        <w:rPr>
          <w:lang w:eastAsia="lv-LV"/>
        </w:rPr>
        <w:t> </w:t>
      </w:r>
      <w:r>
        <w:rPr>
          <w:lang w:eastAsia="lv-LV"/>
        </w:rPr>
        <w:t xml:space="preserve">oktobra saistošajos noteikumos Nr.2021/15 “Par Aizkraukles novada pašvaldības atbalstu audžuģimenēm” </w:t>
      </w:r>
      <w:r>
        <w:rPr>
          <w:i/>
          <w:iCs/>
          <w:lang w:eastAsia="lv-LV"/>
        </w:rPr>
        <w:t>(LV 06.02.2025., stājas spēkā 01.03.2025)</w:t>
      </w:r>
    </w:p>
    <w:p w:rsidR="00D41FE7" w:rsidRPr="00681CD8" w14:paraId="0B37020F" w14:textId="77777777">
      <w:pPr>
        <w:numPr>
          <w:ilvl w:val="0"/>
          <w:numId w:val="19"/>
        </w:numPr>
        <w:spacing w:before="120" w:after="120" w:line="240" w:lineRule="auto"/>
        <w:ind w:left="714" w:hanging="357"/>
        <w:jc w:val="both"/>
        <w:rPr>
          <w:lang w:eastAsia="lv-LV"/>
        </w:rPr>
      </w:pPr>
      <w:r>
        <w:rPr>
          <w:b/>
          <w:bCs/>
          <w:lang w:eastAsia="lv-LV"/>
        </w:rPr>
        <w:t>23.01.2025.</w:t>
      </w:r>
      <w:r>
        <w:rPr>
          <w:lang w:eastAsia="lv-LV"/>
        </w:rPr>
        <w:t xml:space="preserve">  </w:t>
      </w:r>
      <w:r>
        <w:rPr>
          <w:b/>
          <w:bCs/>
          <w:lang w:eastAsia="lv-LV"/>
        </w:rPr>
        <w:t>Nr. 2025/3</w:t>
      </w:r>
      <w:r>
        <w:rPr>
          <w:lang w:eastAsia="lv-LV"/>
        </w:rPr>
        <w:t xml:space="preserve">| Par aprūpes mājās pakalpojumu bērniem un jauniešiem ar invaliditāti Aizkraukles novadā apstiprināšanu </w:t>
      </w:r>
      <w:r>
        <w:rPr>
          <w:i/>
          <w:iCs/>
          <w:lang w:eastAsia="lv-LV"/>
        </w:rPr>
        <w:t>(Precizētie SN LV, 07.03.2025., stājas spēkā 08.03.2025.)</w:t>
      </w:r>
    </w:p>
    <w:p w:rsidR="00D41FE7" w:rsidRPr="00681CD8" w14:paraId="5856A5BB" w14:textId="77777777">
      <w:pPr>
        <w:numPr>
          <w:ilvl w:val="0"/>
          <w:numId w:val="19"/>
        </w:numPr>
        <w:spacing w:before="120" w:after="120" w:line="240" w:lineRule="auto"/>
        <w:ind w:left="714" w:hanging="357"/>
        <w:jc w:val="both"/>
        <w:rPr>
          <w:lang w:eastAsia="lv-LV"/>
        </w:rPr>
      </w:pPr>
      <w:r>
        <w:rPr>
          <w:b/>
          <w:bCs/>
          <w:lang w:eastAsia="lv-LV"/>
        </w:rPr>
        <w:t>20.02.2025.</w:t>
      </w:r>
      <w:r>
        <w:rPr>
          <w:lang w:eastAsia="lv-LV"/>
        </w:rPr>
        <w:t xml:space="preserve">| </w:t>
      </w:r>
      <w:r>
        <w:rPr>
          <w:b/>
          <w:bCs/>
          <w:lang w:eastAsia="lv-LV"/>
        </w:rPr>
        <w:t>Nr. 2025/74</w:t>
      </w:r>
      <w:r>
        <w:rPr>
          <w:lang w:eastAsia="lv-LV"/>
        </w:rPr>
        <w:t xml:space="preserve">| Par kārtību, kādā tiek izsniegta atļauja vīna, raudzēto dzērienu, starpproduktu vai pārējo alkoholisko dzērienu ražošanai mazā alkoholisko dzērienu darītavā Aizkraukles novadā </w:t>
      </w:r>
      <w:r>
        <w:rPr>
          <w:i/>
          <w:iCs/>
          <w:lang w:eastAsia="lv-LV"/>
        </w:rPr>
        <w:t>(LV, 26.02.2025., stājas spēkā 27.02.2025.)</w:t>
      </w:r>
    </w:p>
    <w:p w:rsidR="00D41FE7" w:rsidRPr="00681CD8" w14:paraId="0F20DE30" w14:textId="77777777">
      <w:pPr>
        <w:numPr>
          <w:ilvl w:val="0"/>
          <w:numId w:val="19"/>
        </w:numPr>
        <w:spacing w:before="120" w:after="120" w:line="240" w:lineRule="auto"/>
        <w:ind w:left="714" w:hanging="357"/>
        <w:jc w:val="both"/>
        <w:rPr>
          <w:lang w:eastAsia="lv-LV"/>
        </w:rPr>
      </w:pPr>
      <w:r>
        <w:rPr>
          <w:b/>
          <w:bCs/>
          <w:lang w:eastAsia="lv-LV"/>
        </w:rPr>
        <w:t>20.02.2025.</w:t>
      </w:r>
      <w:r>
        <w:rPr>
          <w:lang w:eastAsia="lv-LV"/>
        </w:rPr>
        <w:t xml:space="preserve">  </w:t>
      </w:r>
      <w:r>
        <w:rPr>
          <w:b/>
          <w:bCs/>
          <w:lang w:eastAsia="lv-LV"/>
        </w:rPr>
        <w:t>Nr. 2025/76</w:t>
      </w:r>
      <w:r>
        <w:rPr>
          <w:lang w:eastAsia="lv-LV"/>
        </w:rPr>
        <w:t xml:space="preserve">  Par Aizkraukles novada domes 23.01.2025. saistošo noteikumu Nr. 2025/3 “Par aprūpes mājās pakalpojumu bērniem un jauniešiem ar invaliditāti Aizkraukles novadā” precizēšanu </w:t>
      </w:r>
      <w:r>
        <w:rPr>
          <w:i/>
          <w:iCs/>
          <w:lang w:eastAsia="lv-LV"/>
        </w:rPr>
        <w:t>(LV, 07.03.2025., stājas spēkā 08.03.2025.)</w:t>
      </w:r>
    </w:p>
    <w:p w:rsidR="00D41FE7" w:rsidRPr="00681CD8" w14:paraId="7AF89673" w14:textId="77777777">
      <w:pPr>
        <w:numPr>
          <w:ilvl w:val="0"/>
          <w:numId w:val="19"/>
        </w:numPr>
        <w:spacing w:before="120" w:after="120" w:line="240" w:lineRule="auto"/>
        <w:ind w:left="714" w:hanging="357"/>
        <w:jc w:val="both"/>
        <w:rPr>
          <w:lang w:eastAsia="lv-LV"/>
        </w:rPr>
      </w:pPr>
      <w:r>
        <w:rPr>
          <w:b/>
          <w:bCs/>
          <w:lang w:eastAsia="lv-LV"/>
        </w:rPr>
        <w:t>21.03.2025.</w:t>
      </w:r>
      <w:r>
        <w:rPr>
          <w:lang w:eastAsia="lv-LV"/>
        </w:rPr>
        <w:t xml:space="preserve">  </w:t>
      </w:r>
      <w:r>
        <w:rPr>
          <w:b/>
          <w:bCs/>
          <w:lang w:eastAsia="lv-LV"/>
        </w:rPr>
        <w:t>Nr. 2025/119</w:t>
      </w:r>
      <w:r>
        <w:rPr>
          <w:lang w:eastAsia="lv-LV"/>
        </w:rPr>
        <w:t xml:space="preserve">  Par saistošo noteikumu Nr.2025/6 “Grozījumi Aizkraukles novada domes 2023. gada 19. oktobra saistošajos noteikumos Nr. 2023/17 "Par Aizkraukles novada pašvaldības materiālajiem pabalstiem” apstiprināšanu</w:t>
      </w:r>
    </w:p>
    <w:p w:rsidR="00D41FE7" w:rsidRPr="00681CD8" w14:paraId="2DB0B0C4" w14:textId="7AAE7932">
      <w:pPr>
        <w:numPr>
          <w:ilvl w:val="0"/>
          <w:numId w:val="19"/>
        </w:numPr>
        <w:spacing w:before="120" w:after="120" w:line="240" w:lineRule="auto"/>
        <w:ind w:left="714" w:hanging="357"/>
        <w:jc w:val="both"/>
        <w:rPr>
          <w:lang w:eastAsia="lv-LV"/>
        </w:rPr>
      </w:pPr>
      <w:r>
        <w:rPr>
          <w:b/>
          <w:bCs/>
          <w:lang w:eastAsia="lv-LV"/>
        </w:rPr>
        <w:t>21.03.2025.</w:t>
      </w:r>
      <w:r>
        <w:rPr>
          <w:lang w:eastAsia="lv-LV"/>
        </w:rPr>
        <w:t xml:space="preserve">  </w:t>
      </w:r>
      <w:r>
        <w:rPr>
          <w:b/>
          <w:bCs/>
          <w:lang w:eastAsia="lv-LV"/>
        </w:rPr>
        <w:t>Nr. 2025/120</w:t>
      </w:r>
      <w:r>
        <w:rPr>
          <w:lang w:eastAsia="lv-LV"/>
        </w:rPr>
        <w:t>| Par saistošo noteikumu Nr.</w:t>
      </w:r>
      <w:r w:rsidR="00FE738C">
        <w:rPr>
          <w:lang w:eastAsia="lv-LV"/>
        </w:rPr>
        <w:t> </w:t>
      </w:r>
      <w:r>
        <w:rPr>
          <w:lang w:eastAsia="lv-LV"/>
        </w:rPr>
        <w:t xml:space="preserve">2025/7 "Aizkraukles novada pašvaldības sabiedrības līdzdalības budžeta projektu konkursa nolikums" apstiprināšanu </w:t>
      </w:r>
      <w:r>
        <w:rPr>
          <w:i/>
          <w:iCs/>
          <w:lang w:eastAsia="lv-LV"/>
        </w:rPr>
        <w:t>(LV, 25.03.2025., stājas spēkā 26.03.2025.)</w:t>
      </w:r>
    </w:p>
    <w:p w:rsidR="00D41FE7" w:rsidRPr="00681CD8" w14:paraId="6E7A13C3" w14:textId="64E636A7">
      <w:pPr>
        <w:numPr>
          <w:ilvl w:val="0"/>
          <w:numId w:val="19"/>
        </w:numPr>
        <w:spacing w:before="120" w:after="120" w:line="240" w:lineRule="auto"/>
        <w:ind w:left="714" w:hanging="357"/>
        <w:jc w:val="both"/>
        <w:rPr>
          <w:lang w:eastAsia="lv-LV"/>
        </w:rPr>
      </w:pPr>
      <w:r>
        <w:rPr>
          <w:b/>
          <w:bCs/>
          <w:lang w:eastAsia="lv-LV"/>
        </w:rPr>
        <w:t>17.04.2025.</w:t>
      </w:r>
      <w:r>
        <w:rPr>
          <w:lang w:eastAsia="lv-LV"/>
        </w:rPr>
        <w:t xml:space="preserve"> </w:t>
      </w:r>
      <w:r>
        <w:rPr>
          <w:b/>
          <w:bCs/>
          <w:lang w:eastAsia="lv-LV"/>
        </w:rPr>
        <w:t>Nr. 2025/225</w:t>
      </w:r>
      <w:r>
        <w:rPr>
          <w:lang w:eastAsia="lv-LV"/>
        </w:rPr>
        <w:t>| Par saistošo noteikumu Nr.</w:t>
      </w:r>
      <w:r w:rsidR="00FE738C">
        <w:rPr>
          <w:lang w:eastAsia="lv-LV"/>
        </w:rPr>
        <w:t> </w:t>
      </w:r>
      <w:r>
        <w:rPr>
          <w:lang w:eastAsia="lv-LV"/>
        </w:rPr>
        <w:t>2025/8 „Grozījumi Aizkraukles novada domes 2025.gada 23.janvāra saistošajos noteikumos Nr.</w:t>
      </w:r>
      <w:r w:rsidR="00FE738C">
        <w:rPr>
          <w:lang w:eastAsia="lv-LV"/>
        </w:rPr>
        <w:t> </w:t>
      </w:r>
      <w:r>
        <w:rPr>
          <w:lang w:eastAsia="lv-LV"/>
        </w:rPr>
        <w:t xml:space="preserve">2025/1 “Par Aizkraukles novada pašvaldības budžetu 2025.gadam” apstiprināšanu </w:t>
      </w:r>
      <w:r>
        <w:rPr>
          <w:i/>
          <w:iCs/>
          <w:lang w:eastAsia="lv-LV"/>
        </w:rPr>
        <w:t>(LV, 28.04.2025., stājas spēkā 29.04.2025.)</w:t>
      </w:r>
    </w:p>
    <w:p w:rsidR="00D41FE7" w:rsidRPr="00681CD8" w14:paraId="5C550165" w14:textId="134A8A2A">
      <w:pPr>
        <w:numPr>
          <w:ilvl w:val="0"/>
          <w:numId w:val="19"/>
        </w:numPr>
        <w:spacing w:before="120" w:after="120" w:line="240" w:lineRule="auto"/>
        <w:ind w:left="714" w:hanging="357"/>
        <w:jc w:val="both"/>
        <w:rPr>
          <w:lang w:eastAsia="lv-LV"/>
        </w:rPr>
      </w:pPr>
      <w:r>
        <w:rPr>
          <w:b/>
          <w:bCs/>
          <w:lang w:eastAsia="lv-LV"/>
        </w:rPr>
        <w:t>17.04.2025.</w:t>
      </w:r>
      <w:r>
        <w:rPr>
          <w:lang w:eastAsia="lv-LV"/>
        </w:rPr>
        <w:t xml:space="preserve"> </w:t>
      </w:r>
      <w:r>
        <w:rPr>
          <w:b/>
          <w:bCs/>
          <w:lang w:eastAsia="lv-LV"/>
        </w:rPr>
        <w:t>Nr. 2025/226</w:t>
      </w:r>
      <w:r>
        <w:rPr>
          <w:lang w:eastAsia="lv-LV"/>
        </w:rPr>
        <w:t xml:space="preserve">  Par saistošo noteikumu Nr.</w:t>
      </w:r>
      <w:r w:rsidR="00FE738C">
        <w:rPr>
          <w:lang w:eastAsia="lv-LV"/>
        </w:rPr>
        <w:t> </w:t>
      </w:r>
      <w:r>
        <w:rPr>
          <w:lang w:eastAsia="lv-LV"/>
        </w:rPr>
        <w:t>2025/9 “Grozījumi Aizkraukles novada domes 2023.gada 20.jūlija saistošajos noteikumos Nr.</w:t>
      </w:r>
      <w:r w:rsidR="00FE738C">
        <w:rPr>
          <w:lang w:eastAsia="lv-LV"/>
        </w:rPr>
        <w:t> </w:t>
      </w:r>
      <w:r>
        <w:rPr>
          <w:lang w:eastAsia="lv-LV"/>
        </w:rPr>
        <w:t xml:space="preserve">2023/11 “Par Aizkraukles novada pašvaldības īpašumā vai valdījumā esošo dzīvojamo telpu īres maksas noteikšanas kārtību”” apstiprināšanu </w:t>
      </w:r>
      <w:r>
        <w:rPr>
          <w:i/>
          <w:iCs/>
          <w:lang w:eastAsia="lv-LV"/>
        </w:rPr>
        <w:t>(LV, 28.04.2025., stājas spēkā 29.04.2025.)</w:t>
      </w:r>
    </w:p>
    <w:p w:rsidR="00D41FE7" w:rsidRPr="00681CD8" w14:paraId="44236CB6" w14:textId="77777777">
      <w:pPr>
        <w:numPr>
          <w:ilvl w:val="0"/>
          <w:numId w:val="19"/>
        </w:numPr>
        <w:spacing w:before="120" w:after="120" w:line="240" w:lineRule="auto"/>
        <w:ind w:left="714" w:hanging="357"/>
        <w:jc w:val="both"/>
        <w:rPr>
          <w:lang w:eastAsia="lv-LV"/>
        </w:rPr>
      </w:pPr>
      <w:r>
        <w:rPr>
          <w:b/>
          <w:bCs/>
          <w:lang w:eastAsia="lv-LV"/>
        </w:rPr>
        <w:t>21.05.2025.</w:t>
      </w:r>
      <w:r>
        <w:rPr>
          <w:lang w:eastAsia="lv-LV"/>
        </w:rPr>
        <w:t xml:space="preserve"> </w:t>
      </w:r>
      <w:r>
        <w:rPr>
          <w:b/>
          <w:bCs/>
          <w:lang w:eastAsia="lv-LV"/>
        </w:rPr>
        <w:t>Nr. 2025/294</w:t>
      </w:r>
      <w:r>
        <w:rPr>
          <w:lang w:eastAsia="lv-LV"/>
        </w:rPr>
        <w:t xml:space="preserve"> | Par atbalsta pasākumiem mājokļa vides pielāgošanai personām ar funkcionēšanas ierobežojumiem Aizkraukles novadā apstiprināšanu </w:t>
      </w:r>
      <w:r>
        <w:rPr>
          <w:i/>
          <w:iCs/>
          <w:lang w:eastAsia="lv-LV"/>
        </w:rPr>
        <w:t>(LV, 12.06.2025., stājas spēkā 01.01.2026.)</w:t>
      </w:r>
    </w:p>
    <w:p w:rsidR="00D41FE7" w:rsidRPr="00681CD8" w14:paraId="1E0E66F9" w14:textId="2DA32694">
      <w:pPr>
        <w:numPr>
          <w:ilvl w:val="0"/>
          <w:numId w:val="19"/>
        </w:numPr>
        <w:spacing w:before="120" w:after="120" w:line="240" w:lineRule="auto"/>
        <w:ind w:left="714" w:hanging="357"/>
        <w:jc w:val="both"/>
        <w:rPr>
          <w:lang w:eastAsia="lv-LV"/>
        </w:rPr>
      </w:pPr>
      <w:r>
        <w:rPr>
          <w:b/>
          <w:bCs/>
          <w:lang w:eastAsia="lv-LV"/>
        </w:rPr>
        <w:t>21.05.2025.</w:t>
      </w:r>
      <w:r>
        <w:rPr>
          <w:lang w:eastAsia="lv-LV"/>
        </w:rPr>
        <w:t xml:space="preserve"> </w:t>
      </w:r>
      <w:r>
        <w:rPr>
          <w:b/>
          <w:bCs/>
          <w:lang w:eastAsia="lv-LV"/>
        </w:rPr>
        <w:t>Nr. 2025/295</w:t>
      </w:r>
      <w:r>
        <w:rPr>
          <w:lang w:eastAsia="lv-LV"/>
        </w:rPr>
        <w:t xml:space="preserve">  Par saistošo noteikumu Nr.</w:t>
      </w:r>
      <w:r w:rsidR="00FE738C">
        <w:rPr>
          <w:lang w:eastAsia="lv-LV"/>
        </w:rPr>
        <w:t> </w:t>
      </w:r>
      <w:r>
        <w:rPr>
          <w:lang w:eastAsia="lv-LV"/>
        </w:rPr>
        <w:t xml:space="preserve">2025/11 “Grozījumi Aizkraukles novada domes 2021.gada 17.novembra saistošajos noteikumos Nr.2021/19 “Par palīdzību dzīvokļa jautājumu risināšanā Aizkraukles novadā”” apstiprināšanu </w:t>
      </w:r>
      <w:r>
        <w:rPr>
          <w:i/>
          <w:iCs/>
          <w:lang w:eastAsia="lv-LV"/>
        </w:rPr>
        <w:t>(LV 02.06.2025., stājas spēkā 03.06.2025.)</w:t>
      </w:r>
    </w:p>
    <w:p w:rsidR="00D41FE7" w:rsidRPr="00681CD8" w14:paraId="299124AB" w14:textId="670BD3E1">
      <w:pPr>
        <w:numPr>
          <w:ilvl w:val="0"/>
          <w:numId w:val="19"/>
        </w:numPr>
        <w:spacing w:before="120" w:after="120" w:line="240" w:lineRule="auto"/>
        <w:ind w:left="714" w:hanging="357"/>
        <w:jc w:val="both"/>
        <w:rPr>
          <w:lang w:eastAsia="lv-LV"/>
        </w:rPr>
      </w:pPr>
      <w:r>
        <w:rPr>
          <w:b/>
          <w:bCs/>
          <w:lang w:eastAsia="lv-LV"/>
        </w:rPr>
        <w:t>19.06.2025.</w:t>
      </w:r>
      <w:r>
        <w:rPr>
          <w:lang w:eastAsia="lv-LV"/>
        </w:rPr>
        <w:t xml:space="preserve"> </w:t>
      </w:r>
      <w:r>
        <w:rPr>
          <w:b/>
          <w:bCs/>
          <w:lang w:eastAsia="lv-LV"/>
        </w:rPr>
        <w:t>Nr. 2025/342</w:t>
      </w:r>
      <w:r>
        <w:rPr>
          <w:lang w:eastAsia="lv-LV"/>
        </w:rPr>
        <w:t xml:space="preserve">  Par saistošo noteikumu Nr.</w:t>
      </w:r>
      <w:r w:rsidR="00FE738C">
        <w:rPr>
          <w:lang w:eastAsia="lv-LV"/>
        </w:rPr>
        <w:t> </w:t>
      </w:r>
      <w:r>
        <w:rPr>
          <w:lang w:eastAsia="lv-LV"/>
        </w:rPr>
        <w:t xml:space="preserve">2025/12 “Grozījumi Aizkraukles novada domes 2024.gada 20.jūnija saistošajos noteikumos Nr.2024/11 “Aizkraukles novada pašvaldības nolikums” apstiprināšanu </w:t>
      </w:r>
      <w:r>
        <w:rPr>
          <w:i/>
          <w:iCs/>
          <w:lang w:eastAsia="lv-LV"/>
        </w:rPr>
        <w:t>(LV, 25.06.2025., stājas spēkā 26.06.2025.)</w:t>
      </w:r>
    </w:p>
    <w:p w:rsidR="00D41FE7" w:rsidRPr="00681CD8" w14:paraId="40386F2A" w14:textId="4BCC4FF4">
      <w:pPr>
        <w:numPr>
          <w:ilvl w:val="0"/>
          <w:numId w:val="19"/>
        </w:numPr>
        <w:spacing w:before="120" w:after="120" w:line="240" w:lineRule="auto"/>
        <w:ind w:left="714" w:hanging="357"/>
        <w:jc w:val="both"/>
        <w:rPr>
          <w:lang w:eastAsia="lv-LV"/>
        </w:rPr>
      </w:pPr>
      <w:r>
        <w:rPr>
          <w:b/>
          <w:bCs/>
          <w:lang w:eastAsia="lv-LV"/>
        </w:rPr>
        <w:t>24.07.2025.</w:t>
      </w:r>
      <w:r>
        <w:rPr>
          <w:lang w:eastAsia="lv-LV"/>
        </w:rPr>
        <w:t xml:space="preserve"> </w:t>
      </w:r>
      <w:r>
        <w:rPr>
          <w:b/>
          <w:bCs/>
          <w:lang w:eastAsia="lv-LV"/>
        </w:rPr>
        <w:t>Nr. 2025/419</w:t>
      </w:r>
      <w:r>
        <w:rPr>
          <w:lang w:eastAsia="lv-LV"/>
        </w:rPr>
        <w:t xml:space="preserve">  Par saistošo noteikumu Nr.</w:t>
      </w:r>
      <w:r w:rsidR="00FE738C">
        <w:rPr>
          <w:lang w:eastAsia="lv-LV"/>
        </w:rPr>
        <w:t> </w:t>
      </w:r>
      <w:r>
        <w:rPr>
          <w:lang w:eastAsia="lv-LV"/>
        </w:rPr>
        <w:t xml:space="preserve">2025/13 “Par Aizkraukles novada pašvaldības medību tiesību piešķiršanas kārtību” apstiprināšanu </w:t>
      </w:r>
      <w:r>
        <w:rPr>
          <w:i/>
          <w:iCs/>
          <w:lang w:eastAsia="lv-LV"/>
        </w:rPr>
        <w:t>(LV 06.08.2025., piemērojams ar 01.08.2025.)</w:t>
      </w:r>
    </w:p>
    <w:p w:rsidR="00D41FE7" w:rsidRPr="00681CD8" w14:paraId="500D7D31" w14:textId="78242F16">
      <w:pPr>
        <w:numPr>
          <w:ilvl w:val="0"/>
          <w:numId w:val="19"/>
        </w:numPr>
        <w:spacing w:before="120" w:after="120" w:line="240" w:lineRule="auto"/>
        <w:ind w:left="714" w:hanging="357"/>
        <w:jc w:val="both"/>
        <w:rPr>
          <w:lang w:eastAsia="lv-LV"/>
        </w:rPr>
      </w:pPr>
      <w:r>
        <w:rPr>
          <w:b/>
          <w:bCs/>
          <w:lang w:eastAsia="lv-LV"/>
        </w:rPr>
        <w:t>24.07.2025.</w:t>
      </w:r>
      <w:r>
        <w:rPr>
          <w:lang w:eastAsia="lv-LV"/>
        </w:rPr>
        <w:t xml:space="preserve"> </w:t>
      </w:r>
      <w:r>
        <w:rPr>
          <w:b/>
          <w:bCs/>
          <w:lang w:eastAsia="lv-LV"/>
        </w:rPr>
        <w:t>Nr. 2025/420</w:t>
      </w:r>
      <w:r>
        <w:rPr>
          <w:lang w:eastAsia="lv-LV"/>
        </w:rPr>
        <w:t xml:space="preserve">  Par saistošo noteikumu Nr.</w:t>
      </w:r>
      <w:r w:rsidR="00FE738C">
        <w:rPr>
          <w:lang w:eastAsia="lv-LV"/>
        </w:rPr>
        <w:t> </w:t>
      </w:r>
      <w:r>
        <w:rPr>
          <w:lang w:eastAsia="lv-LV"/>
        </w:rPr>
        <w:t xml:space="preserve">2025/14 "Grozījumi Aizkraukles novada domes 2024.gada 18.aprīļa saistošajos noteikumos Nr. 2024/6 “Par sociālo pakalpojumu sniegšanas kārtību Aizkraukles novadā” apstiprināšanu </w:t>
      </w:r>
      <w:r>
        <w:rPr>
          <w:i/>
          <w:iCs/>
          <w:lang w:eastAsia="lv-LV"/>
        </w:rPr>
        <w:t>(LV 14.08.2025., stājas spēkā 15.08.2025.)</w:t>
      </w:r>
    </w:p>
    <w:p w:rsidR="00D41FE7" w:rsidRPr="00681CD8" w14:paraId="30889FF6" w14:textId="1F2F4AF7">
      <w:pPr>
        <w:numPr>
          <w:ilvl w:val="0"/>
          <w:numId w:val="19"/>
        </w:numPr>
        <w:spacing w:before="120" w:after="120" w:line="240" w:lineRule="auto"/>
        <w:ind w:left="714" w:hanging="357"/>
        <w:jc w:val="both"/>
        <w:rPr>
          <w:lang w:eastAsia="lv-LV"/>
        </w:rPr>
      </w:pPr>
      <w:r>
        <w:rPr>
          <w:b/>
          <w:bCs/>
          <w:lang w:eastAsia="lv-LV"/>
        </w:rPr>
        <w:t>21.08.2025.</w:t>
      </w:r>
      <w:r>
        <w:rPr>
          <w:lang w:eastAsia="lv-LV"/>
        </w:rPr>
        <w:t xml:space="preserve"> </w:t>
      </w:r>
      <w:r>
        <w:rPr>
          <w:b/>
          <w:bCs/>
          <w:lang w:eastAsia="lv-LV"/>
        </w:rPr>
        <w:t>Nr. 2025/460</w:t>
      </w:r>
      <w:r>
        <w:rPr>
          <w:lang w:eastAsia="lv-LV"/>
        </w:rPr>
        <w:t xml:space="preserve">  Par saistošo noteikumu Nr.</w:t>
      </w:r>
      <w:r w:rsidR="00FE738C">
        <w:rPr>
          <w:lang w:eastAsia="lv-LV"/>
        </w:rPr>
        <w:t> </w:t>
      </w:r>
      <w:r>
        <w:rPr>
          <w:lang w:eastAsia="lv-LV"/>
        </w:rPr>
        <w:t xml:space="preserve">2025/16 „Grozījumi Aizkraukles novada domes 2025.gada 23.janvāra saistošajos noteikumos Nr.2025/1 “Par Aizkraukles novada pašvaldības budžetu 2025.gadam” apstiprināšanu </w:t>
      </w:r>
      <w:r>
        <w:rPr>
          <w:i/>
          <w:iCs/>
          <w:lang w:eastAsia="lv-LV"/>
        </w:rPr>
        <w:t>(LV 25.08.2025., stājas spēkā 26.08.2025.)</w:t>
      </w:r>
    </w:p>
    <w:p w:rsidR="00D41FE7" w:rsidRPr="00681CD8" w14:paraId="046D6E12" w14:textId="4A209E96">
      <w:pPr>
        <w:numPr>
          <w:ilvl w:val="0"/>
          <w:numId w:val="19"/>
        </w:numPr>
        <w:spacing w:before="120" w:after="120" w:line="240" w:lineRule="auto"/>
        <w:ind w:left="714" w:hanging="357"/>
        <w:jc w:val="both"/>
        <w:rPr>
          <w:lang w:eastAsia="lv-LV"/>
        </w:rPr>
      </w:pPr>
      <w:r>
        <w:rPr>
          <w:b/>
          <w:bCs/>
          <w:lang w:eastAsia="lv-LV"/>
        </w:rPr>
        <w:t>21.08.2025.</w:t>
      </w:r>
      <w:r>
        <w:rPr>
          <w:lang w:eastAsia="lv-LV"/>
        </w:rPr>
        <w:t xml:space="preserve"> </w:t>
      </w:r>
      <w:r>
        <w:rPr>
          <w:b/>
          <w:bCs/>
          <w:lang w:eastAsia="lv-LV"/>
        </w:rPr>
        <w:t>Nr. 2025/461</w:t>
      </w:r>
      <w:r>
        <w:rPr>
          <w:lang w:eastAsia="lv-LV"/>
        </w:rPr>
        <w:t xml:space="preserve">  Par saistošo noteikumu Nr.</w:t>
      </w:r>
      <w:r w:rsidR="00991F0C">
        <w:rPr>
          <w:lang w:eastAsia="lv-LV"/>
        </w:rPr>
        <w:t> </w:t>
      </w:r>
      <w:r>
        <w:rPr>
          <w:lang w:eastAsia="lv-LV"/>
        </w:rPr>
        <w:t>2025/17 Grozījumi Aizkraukles novada domes 2024.gada 15.februāra saistošajos noteikumos Nr.2024/2 “Aizkraukles novada Iedzīvotāju padomes nolikums”” apstiprināšanu</w:t>
      </w:r>
    </w:p>
    <w:p w:rsidR="00D41FE7" w:rsidRPr="00681CD8" w14:paraId="752469E0" w14:textId="6070B010">
      <w:pPr>
        <w:numPr>
          <w:ilvl w:val="0"/>
          <w:numId w:val="19"/>
        </w:numPr>
        <w:spacing w:before="120" w:after="120" w:line="240" w:lineRule="auto"/>
        <w:ind w:left="714" w:hanging="357"/>
        <w:jc w:val="both"/>
        <w:rPr>
          <w:lang w:eastAsia="lv-LV"/>
        </w:rPr>
      </w:pPr>
      <w:r>
        <w:rPr>
          <w:b/>
          <w:bCs/>
          <w:lang w:eastAsia="lv-LV"/>
        </w:rPr>
        <w:t>25.09.2025.</w:t>
      </w:r>
      <w:r>
        <w:rPr>
          <w:lang w:eastAsia="lv-LV"/>
        </w:rPr>
        <w:t xml:space="preserve"> </w:t>
      </w:r>
      <w:r>
        <w:rPr>
          <w:b/>
          <w:bCs/>
          <w:lang w:eastAsia="lv-LV"/>
        </w:rPr>
        <w:t>Nr. 2025/514</w:t>
      </w:r>
      <w:r>
        <w:rPr>
          <w:lang w:eastAsia="lv-LV"/>
        </w:rPr>
        <w:t>| Par saistošo noteikumu Nr.</w:t>
      </w:r>
      <w:r w:rsidR="00991F0C">
        <w:rPr>
          <w:lang w:eastAsia="lv-LV"/>
        </w:rPr>
        <w:t> </w:t>
      </w:r>
      <w:r>
        <w:rPr>
          <w:lang w:eastAsia="lv-LV"/>
        </w:rPr>
        <w:t xml:space="preserve">2025/18 “Grozījums Aizkraukles novada domes 2025. gada 21. maija saistošajos noteikumos Nr. 2025/10 “Par atbalsta pasākumiem mājokļa vides pielāgošanai personām ar funkcionēšanas ierobežojumiem Aizkraukles novadā” apstiprināšanu </w:t>
      </w:r>
      <w:r>
        <w:rPr>
          <w:i/>
          <w:iCs/>
          <w:lang w:eastAsia="lv-LV"/>
        </w:rPr>
        <w:t>(LV 07.10.2025., stājas spēkā 08.10.2025.)</w:t>
      </w:r>
    </w:p>
    <w:p w:rsidR="00D41FE7" w:rsidRPr="00681CD8" w14:paraId="10FE9F34" w14:textId="5E1F5244">
      <w:pPr>
        <w:numPr>
          <w:ilvl w:val="0"/>
          <w:numId w:val="19"/>
        </w:numPr>
        <w:spacing w:before="120" w:after="120" w:line="240" w:lineRule="auto"/>
        <w:ind w:left="714" w:hanging="357"/>
        <w:jc w:val="both"/>
        <w:rPr>
          <w:lang w:eastAsia="lv-LV"/>
        </w:rPr>
      </w:pPr>
      <w:r>
        <w:rPr>
          <w:b/>
          <w:bCs/>
          <w:lang w:eastAsia="lv-LV"/>
        </w:rPr>
        <w:t>23.10.2025.</w:t>
      </w:r>
      <w:r>
        <w:rPr>
          <w:lang w:eastAsia="lv-LV"/>
        </w:rPr>
        <w:t xml:space="preserve"> </w:t>
      </w:r>
      <w:r>
        <w:rPr>
          <w:b/>
          <w:bCs/>
          <w:lang w:eastAsia="lv-LV"/>
        </w:rPr>
        <w:t>Nr. 2025/607</w:t>
      </w:r>
      <w:r>
        <w:rPr>
          <w:lang w:eastAsia="lv-LV"/>
        </w:rPr>
        <w:t xml:space="preserve">  Par saistošo noteikumu Nr.</w:t>
      </w:r>
      <w:r w:rsidR="00991F0C">
        <w:rPr>
          <w:lang w:eastAsia="lv-LV"/>
        </w:rPr>
        <w:t> </w:t>
      </w:r>
      <w:r>
        <w:rPr>
          <w:lang w:eastAsia="lv-LV"/>
        </w:rPr>
        <w:t xml:space="preserve">2025/19 “Aģentūras „Sociālās aprūpes centrs „Ziedugravas”” maksas pakalpojumu cenrādis” apstiprināšanu </w:t>
      </w:r>
      <w:r>
        <w:rPr>
          <w:i/>
          <w:iCs/>
          <w:lang w:eastAsia="lv-LV"/>
        </w:rPr>
        <w:t>(LV, 28.10.2025., stājas spēkā 01.01.2026.)</w:t>
      </w:r>
    </w:p>
    <w:p w:rsidR="00D41FE7" w:rsidRPr="00681CD8" w14:paraId="132E45DD" w14:textId="162B5B7C">
      <w:pPr>
        <w:numPr>
          <w:ilvl w:val="0"/>
          <w:numId w:val="19"/>
        </w:numPr>
        <w:spacing w:before="120" w:after="120" w:line="240" w:lineRule="auto"/>
        <w:ind w:left="714" w:hanging="357"/>
        <w:jc w:val="both"/>
        <w:rPr>
          <w:lang w:eastAsia="lv-LV"/>
        </w:rPr>
      </w:pPr>
      <w:r>
        <w:rPr>
          <w:b/>
          <w:bCs/>
          <w:lang w:eastAsia="lv-LV"/>
        </w:rPr>
        <w:t>20.11.2025.</w:t>
      </w:r>
      <w:r>
        <w:rPr>
          <w:lang w:eastAsia="lv-LV"/>
        </w:rPr>
        <w:t xml:space="preserve"> </w:t>
      </w:r>
      <w:r>
        <w:rPr>
          <w:b/>
          <w:bCs/>
          <w:lang w:eastAsia="lv-LV"/>
        </w:rPr>
        <w:t>Nr. 2025/663</w:t>
      </w:r>
      <w:r>
        <w:rPr>
          <w:lang w:eastAsia="lv-LV"/>
        </w:rPr>
        <w:t xml:space="preserve">  Par saistošo noteikumu Nr.</w:t>
      </w:r>
      <w:r w:rsidR="00991F0C">
        <w:rPr>
          <w:lang w:eastAsia="lv-LV"/>
        </w:rPr>
        <w:t>  </w:t>
      </w:r>
      <w:r>
        <w:rPr>
          <w:lang w:eastAsia="lv-LV"/>
        </w:rPr>
        <w:t xml:space="preserve">2025/21 "Grozījumi Aizkraukles novada domes 2024.gada 16.maija saistošajos noteikumos Nr. 2024/9 “Par mājas (istabas) dzīvnieku turēšanu Aizkraukles novadā” apstiprināšanu </w:t>
      </w:r>
      <w:r>
        <w:rPr>
          <w:i/>
          <w:iCs/>
          <w:lang w:eastAsia="lv-LV"/>
        </w:rPr>
        <w:t>(LV, 25.11.2025., stājas spēkā 26.11.2025.)</w:t>
      </w:r>
    </w:p>
    <w:p w:rsidR="00D41FE7" w:rsidRPr="00681CD8" w14:paraId="713AFD0F" w14:textId="77777777">
      <w:pPr>
        <w:numPr>
          <w:ilvl w:val="0"/>
          <w:numId w:val="19"/>
        </w:numPr>
        <w:spacing w:before="120" w:after="120" w:line="240" w:lineRule="auto"/>
        <w:ind w:left="714" w:hanging="357"/>
        <w:jc w:val="both"/>
        <w:rPr>
          <w:lang w:eastAsia="lv-LV"/>
        </w:rPr>
      </w:pPr>
      <w:r>
        <w:rPr>
          <w:b/>
          <w:bCs/>
          <w:lang w:eastAsia="lv-LV"/>
        </w:rPr>
        <w:t>20.11.2025.</w:t>
      </w:r>
      <w:r>
        <w:rPr>
          <w:lang w:eastAsia="lv-LV"/>
        </w:rPr>
        <w:t xml:space="preserve"> </w:t>
      </w:r>
      <w:r>
        <w:rPr>
          <w:b/>
          <w:bCs/>
          <w:lang w:eastAsia="lv-LV"/>
        </w:rPr>
        <w:t>Nr. 2025/664</w:t>
      </w:r>
      <w:r>
        <w:rPr>
          <w:lang w:eastAsia="lv-LV"/>
        </w:rPr>
        <w:t xml:space="preserve"> Par saistošo noteikumu Nr.2025/20 “Grozījumi Aizkraukles novada domes 2021.gada 17.novembra saistošajos noteikumos Nr.2021/19 “Par palīdzību dzīvokļa jautājumu risināšanā Aizkraukles novadā”” apstiprināšanu </w:t>
      </w:r>
      <w:r>
        <w:rPr>
          <w:i/>
          <w:iCs/>
          <w:lang w:eastAsia="lv-LV"/>
        </w:rPr>
        <w:t>(LV 12.12.2025., stājas spēkā 01.01.2026.)</w:t>
      </w:r>
    </w:p>
    <w:p w:rsidR="00D41FE7" w:rsidRPr="00681CD8" w14:paraId="7F0B171D" w14:textId="18615F9E">
      <w:pPr>
        <w:numPr>
          <w:ilvl w:val="0"/>
          <w:numId w:val="19"/>
        </w:numPr>
        <w:spacing w:before="120" w:after="120" w:line="240" w:lineRule="auto"/>
        <w:ind w:left="714" w:hanging="357"/>
        <w:jc w:val="both"/>
        <w:rPr>
          <w:lang w:eastAsia="lv-LV"/>
        </w:rPr>
      </w:pPr>
      <w:r>
        <w:rPr>
          <w:b/>
          <w:bCs/>
          <w:lang w:eastAsia="lv-LV"/>
        </w:rPr>
        <w:t>18.12.2025.</w:t>
      </w:r>
      <w:r>
        <w:rPr>
          <w:lang w:eastAsia="lv-LV"/>
        </w:rPr>
        <w:t xml:space="preserve">  </w:t>
      </w:r>
      <w:r>
        <w:rPr>
          <w:b/>
          <w:bCs/>
          <w:lang w:eastAsia="lv-LV"/>
        </w:rPr>
        <w:t>Nr. 2025/712</w:t>
      </w:r>
      <w:r>
        <w:rPr>
          <w:lang w:eastAsia="lv-LV"/>
        </w:rPr>
        <w:t xml:space="preserve">  Par saistošo noteikumu Nr.</w:t>
      </w:r>
      <w:r w:rsidR="00991F0C">
        <w:rPr>
          <w:lang w:eastAsia="lv-LV"/>
        </w:rPr>
        <w:t> </w:t>
      </w:r>
      <w:r>
        <w:rPr>
          <w:lang w:eastAsia="lv-LV"/>
        </w:rPr>
        <w:t xml:space="preserve">2025/23 „Grozījumi Aizkraukles novada domes 2025.gada 23.janvāra saistošajos noteikumos Nr.2025/1 “Par Aizkraukles novada pašvaldības budžetu 2025.gadam” apstiprināšanu </w:t>
      </w:r>
      <w:r>
        <w:rPr>
          <w:i/>
          <w:iCs/>
          <w:lang w:eastAsia="lv-LV"/>
        </w:rPr>
        <w:t>(LV, 29.12.2025., stājas spēkā 30.12.2025.)</w:t>
      </w:r>
    </w:p>
    <w:p w:rsidR="00D41FE7" w:rsidRPr="00681CD8" w14:paraId="6782BEAD" w14:textId="6A9DF362">
      <w:pPr>
        <w:numPr>
          <w:ilvl w:val="0"/>
          <w:numId w:val="19"/>
        </w:numPr>
        <w:spacing w:before="120" w:after="120" w:line="240" w:lineRule="auto"/>
        <w:ind w:left="714" w:hanging="357"/>
        <w:jc w:val="both"/>
        <w:rPr>
          <w:lang w:eastAsia="lv-LV"/>
        </w:rPr>
      </w:pPr>
      <w:r>
        <w:rPr>
          <w:b/>
          <w:bCs/>
          <w:lang w:eastAsia="lv-LV"/>
        </w:rPr>
        <w:t>18.12.2025.</w:t>
      </w:r>
      <w:r>
        <w:rPr>
          <w:lang w:eastAsia="lv-LV"/>
        </w:rPr>
        <w:t xml:space="preserve"> </w:t>
      </w:r>
      <w:r>
        <w:rPr>
          <w:b/>
          <w:bCs/>
          <w:lang w:eastAsia="lv-LV"/>
        </w:rPr>
        <w:t>Nr. 2025/713</w:t>
      </w:r>
      <w:r>
        <w:rPr>
          <w:lang w:eastAsia="lv-LV"/>
        </w:rPr>
        <w:t xml:space="preserve">  Par saistošo noteikumu Nr.</w:t>
      </w:r>
      <w:r w:rsidR="00991F0C">
        <w:rPr>
          <w:lang w:eastAsia="lv-LV"/>
        </w:rPr>
        <w:t> </w:t>
      </w:r>
      <w:r>
        <w:rPr>
          <w:lang w:eastAsia="lv-LV"/>
        </w:rPr>
        <w:t xml:space="preserve">2025/24 “Par Aizkraukles novada pašvaldības materiālajiem pabalstiem” apstiprināšanu </w:t>
      </w:r>
      <w:r>
        <w:rPr>
          <w:i/>
          <w:iCs/>
          <w:lang w:eastAsia="lv-LV"/>
        </w:rPr>
        <w:t>(LV 20.01.2026., stājas spēkā 01.02.2026.)</w:t>
      </w:r>
    </w:p>
    <w:p w:rsidR="00D41FE7" w:rsidRPr="00681CD8" w14:paraId="1DD9D887" w14:textId="77777777">
      <w:pPr>
        <w:numPr>
          <w:ilvl w:val="0"/>
          <w:numId w:val="19"/>
        </w:numPr>
        <w:spacing w:before="120" w:after="120" w:line="240" w:lineRule="auto"/>
        <w:ind w:left="714" w:hanging="357"/>
        <w:jc w:val="both"/>
        <w:rPr>
          <w:lang w:eastAsia="lv-LV"/>
        </w:rPr>
      </w:pPr>
      <w:r>
        <w:rPr>
          <w:b/>
          <w:bCs/>
          <w:lang w:eastAsia="lv-LV"/>
        </w:rPr>
        <w:t>18.12.2025.</w:t>
      </w:r>
      <w:r>
        <w:rPr>
          <w:lang w:eastAsia="lv-LV"/>
        </w:rPr>
        <w:t xml:space="preserve"> </w:t>
      </w:r>
      <w:r>
        <w:rPr>
          <w:b/>
          <w:bCs/>
          <w:lang w:eastAsia="lv-LV"/>
        </w:rPr>
        <w:t>Nr. 2025/714</w:t>
      </w:r>
      <w:r>
        <w:rPr>
          <w:lang w:eastAsia="lv-LV"/>
        </w:rPr>
        <w:t xml:space="preserve">  Grozījumi Aizkraukles novada domes 2021. gada 21. oktobra saistošajos noteikumos Nr. 2021/15 "Par Aizkraukles novada pašvaldības atbalstu audžuģimenēm" apstiprināšanu </w:t>
      </w:r>
      <w:r>
        <w:rPr>
          <w:i/>
          <w:iCs/>
          <w:lang w:eastAsia="lv-LV"/>
        </w:rPr>
        <w:t>(LV, 16.01.2026., piemērojams ar 01.01.2026.)</w:t>
      </w:r>
    </w:p>
    <w:p w:rsidR="00D41FE7" w:rsidRPr="00681CD8" w14:paraId="4954792D" w14:textId="488EDF47">
      <w:pPr>
        <w:numPr>
          <w:ilvl w:val="0"/>
          <w:numId w:val="19"/>
        </w:numPr>
        <w:spacing w:before="120" w:after="120" w:line="240" w:lineRule="auto"/>
        <w:ind w:left="714" w:hanging="357"/>
        <w:jc w:val="both"/>
        <w:rPr>
          <w:lang w:eastAsia="lv-LV"/>
        </w:rPr>
      </w:pPr>
      <w:r>
        <w:rPr>
          <w:b/>
          <w:bCs/>
          <w:lang w:eastAsia="lv-LV"/>
        </w:rPr>
        <w:t>18.12.2025.</w:t>
      </w:r>
      <w:r>
        <w:rPr>
          <w:lang w:eastAsia="lv-LV"/>
        </w:rPr>
        <w:t xml:space="preserve"> </w:t>
      </w:r>
      <w:r>
        <w:rPr>
          <w:b/>
          <w:bCs/>
          <w:lang w:eastAsia="lv-LV"/>
        </w:rPr>
        <w:t>Nr. 2025/715</w:t>
      </w:r>
      <w:r>
        <w:rPr>
          <w:lang w:eastAsia="lv-LV"/>
        </w:rPr>
        <w:t xml:space="preserve">  Par saistošo noteikumu Nr.</w:t>
      </w:r>
      <w:r w:rsidR="00991F0C">
        <w:rPr>
          <w:lang w:eastAsia="lv-LV"/>
        </w:rPr>
        <w:t> </w:t>
      </w:r>
      <w:r>
        <w:rPr>
          <w:lang w:eastAsia="lv-LV"/>
        </w:rPr>
        <w:t xml:space="preserve">2025/26 “Grozījumi Aizkraukles novada domes 2021.gada 21.oktobra saistošajos noteikumos Nr.2021/12 “Par augstas detalizācijas topogrāfiskās informācijas aprites kārtību un izcenojumiem Aizkraukles novadā”” apstiprināšanu </w:t>
      </w:r>
      <w:r>
        <w:rPr>
          <w:i/>
          <w:iCs/>
          <w:lang w:eastAsia="lv-LV"/>
        </w:rPr>
        <w:t>(LV 29.12.2025., stājas spēkā 01.01.2026.)</w:t>
      </w:r>
    </w:p>
    <w:p w:rsidR="00D41FE7" w:rsidRPr="00681CD8" w14:paraId="48B98DC9" w14:textId="2C18771E">
      <w:pPr>
        <w:numPr>
          <w:ilvl w:val="0"/>
          <w:numId w:val="19"/>
        </w:numPr>
        <w:spacing w:before="120" w:after="120" w:line="240" w:lineRule="auto"/>
        <w:ind w:left="714" w:hanging="357"/>
        <w:jc w:val="both"/>
        <w:rPr>
          <w:lang w:eastAsia="lv-LV"/>
        </w:rPr>
      </w:pPr>
      <w:r>
        <w:rPr>
          <w:b/>
          <w:bCs/>
          <w:lang w:eastAsia="lv-LV"/>
        </w:rPr>
        <w:t>18.12.2025.</w:t>
      </w:r>
      <w:r>
        <w:rPr>
          <w:lang w:eastAsia="lv-LV"/>
        </w:rPr>
        <w:t xml:space="preserve">  </w:t>
      </w:r>
      <w:r>
        <w:rPr>
          <w:b/>
          <w:bCs/>
          <w:lang w:eastAsia="lv-LV"/>
        </w:rPr>
        <w:t>Nr. 2025/720</w:t>
      </w:r>
      <w:r>
        <w:rPr>
          <w:lang w:eastAsia="lv-LV"/>
        </w:rPr>
        <w:t xml:space="preserve"> Par saistošo noteikumu Nr.</w:t>
      </w:r>
      <w:r w:rsidR="00991F0C">
        <w:rPr>
          <w:lang w:eastAsia="lv-LV"/>
        </w:rPr>
        <w:t> </w:t>
      </w:r>
      <w:r>
        <w:rPr>
          <w:lang w:eastAsia="lv-LV"/>
        </w:rPr>
        <w:t xml:space="preserve">2025/27 “Grozījumi Aizkraukles novada domes 2024.gada 20.jūnija saistošajos noteikumos Nr.2024/11 “Aizkraukles novada pašvaldības nolikums”” apstiprināšanu </w:t>
      </w:r>
      <w:r>
        <w:rPr>
          <w:i/>
          <w:iCs/>
          <w:lang w:eastAsia="lv-LV"/>
        </w:rPr>
        <w:t>(LV 29.12.2025., stājas spēkā 30.12.2025.)</w:t>
      </w:r>
    </w:p>
    <w:p w:rsidR="00D41FE7" w:rsidRPr="006C6E52" w:rsidP="00D41FE7" w14:paraId="11813B14" w14:textId="77777777">
      <w:pPr>
        <w:spacing w:before="120" w:line="240" w:lineRule="auto"/>
        <w:jc w:val="both"/>
        <w:outlineLvl w:val="1"/>
        <w:rPr>
          <w:b/>
          <w:bCs/>
          <w:i/>
          <w:iCs/>
          <w:lang w:eastAsia="lv-LV"/>
        </w:rPr>
      </w:pPr>
      <w:r>
        <w:rPr>
          <w:b/>
          <w:bCs/>
          <w:i/>
          <w:iCs/>
          <w:lang w:eastAsia="lv-LV"/>
        </w:rPr>
        <w:t>Dokumentu aprite un digitālā pārvaldība</w:t>
      </w:r>
    </w:p>
    <w:p w:rsidR="00D41FE7" w:rsidRPr="009F5C5A" w:rsidP="00D41FE7" w14:paraId="25C426B0" w14:textId="77777777">
      <w:pPr>
        <w:spacing w:before="120" w:line="240" w:lineRule="auto"/>
        <w:ind w:firstLine="567"/>
        <w:jc w:val="both"/>
        <w:rPr>
          <w:lang w:eastAsia="lv-LV"/>
        </w:rPr>
      </w:pPr>
      <w:r>
        <w:rPr>
          <w:lang w:eastAsia="lv-LV"/>
        </w:rPr>
        <w:t>Kanceleja nodrošina vienotu un centralizētu dokumentu pārvaldības sistēmas darbību pašvaldībā, veicot dokumentu reģistrāciju, apriti, uzskaiti un glabāšanu atbilstoši normatīvo aktu prasībām.</w:t>
      </w:r>
    </w:p>
    <w:p w:rsidR="00D41FE7" w:rsidRPr="009F5C5A" w:rsidP="00D41FE7" w14:paraId="710CFF28" w14:textId="77777777">
      <w:pPr>
        <w:spacing w:before="120" w:line="240" w:lineRule="auto"/>
        <w:ind w:firstLine="567"/>
        <w:jc w:val="both"/>
        <w:rPr>
          <w:lang w:eastAsia="lv-LV"/>
        </w:rPr>
      </w:pPr>
      <w:r>
        <w:rPr>
          <w:lang w:eastAsia="lv-LV"/>
        </w:rPr>
        <w:t>Lietvedības jomā 2025. gadā saglabājās augsta dokumentu aprites intensitāte. Centrālā pārvaldē reģistrēti 4624 saņemtie dokumenti, 4734 iesniegumi, sagatavoti un nosūtīti 5058 dokumenti, kā arī izsniegtas 463 izziņas. Salīdzinājumā ar iepriekšējo gadu būtiski pieaudzis reģistrēto līgumu skaits.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88"/>
        <w:gridCol w:w="1046"/>
        <w:gridCol w:w="1046"/>
        <w:gridCol w:w="1000"/>
      </w:tblGrid>
      <w:tr w14:paraId="65C08E45" w14:textId="77777777" w:rsidTr="006C6E52">
        <w:tblPrEx>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blCellSpacing w:w="15" w:type="dxa"/>
          <w:jc w:val="center"/>
        </w:trPr>
        <w:tc>
          <w:tcPr>
            <w:tcW w:w="0" w:type="auto"/>
            <w:vAlign w:val="center"/>
            <w:hideMark/>
          </w:tcPr>
          <w:p w:rsidR="00D41FE7" w:rsidRPr="00312D49" w:rsidP="00F80C79" w14:paraId="1AA59DD7" w14:textId="77777777">
            <w:pPr>
              <w:spacing w:before="120" w:line="240" w:lineRule="auto"/>
              <w:jc w:val="center"/>
              <w:rPr>
                <w:b/>
                <w:bCs/>
                <w:i/>
                <w:iCs/>
                <w:sz w:val="22"/>
                <w:szCs w:val="22"/>
                <w:lang w:eastAsia="lv-LV"/>
              </w:rPr>
            </w:pPr>
            <w:r>
              <w:rPr>
                <w:b/>
                <w:bCs/>
                <w:i/>
                <w:iCs/>
                <w:sz w:val="22"/>
                <w:szCs w:val="22"/>
                <w:lang w:eastAsia="lv-LV"/>
              </w:rPr>
              <w:t>Dokumentu veidi</w:t>
            </w:r>
          </w:p>
        </w:tc>
        <w:tc>
          <w:tcPr>
            <w:tcW w:w="0" w:type="auto"/>
            <w:vAlign w:val="center"/>
            <w:hideMark/>
          </w:tcPr>
          <w:p w:rsidR="00D41FE7" w:rsidRPr="00312D49" w:rsidP="00F80C79" w14:paraId="5EA501C4" w14:textId="77777777">
            <w:pPr>
              <w:spacing w:before="120" w:line="240" w:lineRule="auto"/>
              <w:jc w:val="right"/>
              <w:rPr>
                <w:b/>
                <w:bCs/>
                <w:i/>
                <w:iCs/>
                <w:sz w:val="22"/>
                <w:szCs w:val="22"/>
                <w:lang w:eastAsia="lv-LV"/>
              </w:rPr>
            </w:pPr>
            <w:r>
              <w:rPr>
                <w:b/>
                <w:bCs/>
                <w:i/>
                <w:iCs/>
                <w:sz w:val="22"/>
                <w:szCs w:val="22"/>
                <w:lang w:eastAsia="lv-LV"/>
              </w:rPr>
              <w:t>2024. gads</w:t>
            </w:r>
          </w:p>
        </w:tc>
        <w:tc>
          <w:tcPr>
            <w:tcW w:w="0" w:type="auto"/>
            <w:vAlign w:val="center"/>
            <w:hideMark/>
          </w:tcPr>
          <w:p w:rsidR="00D41FE7" w:rsidRPr="00312D49" w:rsidP="00F80C79" w14:paraId="7B41B309" w14:textId="77777777">
            <w:pPr>
              <w:spacing w:before="120" w:line="240" w:lineRule="auto"/>
              <w:jc w:val="right"/>
              <w:rPr>
                <w:b/>
                <w:bCs/>
                <w:i/>
                <w:iCs/>
                <w:sz w:val="22"/>
                <w:szCs w:val="22"/>
                <w:lang w:eastAsia="lv-LV"/>
              </w:rPr>
            </w:pPr>
            <w:r>
              <w:rPr>
                <w:b/>
                <w:bCs/>
                <w:i/>
                <w:iCs/>
                <w:sz w:val="22"/>
                <w:szCs w:val="22"/>
                <w:lang w:eastAsia="lv-LV"/>
              </w:rPr>
              <w:t>2025. gads</w:t>
            </w:r>
          </w:p>
        </w:tc>
        <w:tc>
          <w:tcPr>
            <w:tcW w:w="0" w:type="auto"/>
            <w:vAlign w:val="center"/>
            <w:hideMark/>
          </w:tcPr>
          <w:p w:rsidR="00D41FE7" w:rsidRPr="00312D49" w:rsidP="00F80C79" w14:paraId="227E639F" w14:textId="77777777">
            <w:pPr>
              <w:spacing w:before="120" w:line="240" w:lineRule="auto"/>
              <w:jc w:val="right"/>
              <w:rPr>
                <w:b/>
                <w:bCs/>
                <w:i/>
                <w:iCs/>
                <w:sz w:val="22"/>
                <w:szCs w:val="22"/>
                <w:lang w:eastAsia="lv-LV"/>
              </w:rPr>
            </w:pPr>
            <w:r>
              <w:rPr>
                <w:b/>
                <w:bCs/>
                <w:i/>
                <w:iCs/>
                <w:sz w:val="22"/>
                <w:szCs w:val="22"/>
                <w:lang w:eastAsia="lv-LV"/>
              </w:rPr>
              <w:t>Dinamika</w:t>
            </w:r>
          </w:p>
        </w:tc>
      </w:tr>
      <w:tr w14:paraId="3D378D75" w14:textId="77777777" w:rsidTr="006C6E52">
        <w:tblPrEx>
          <w:tblW w:w="0" w:type="auto"/>
          <w:jc w:val="center"/>
          <w:tblCellSpacing w:w="15" w:type="dxa"/>
          <w:tblCellMar>
            <w:top w:w="15" w:type="dxa"/>
            <w:left w:w="15" w:type="dxa"/>
            <w:bottom w:w="15" w:type="dxa"/>
            <w:right w:w="15" w:type="dxa"/>
          </w:tblCellMar>
          <w:tblLook w:val="04A0"/>
        </w:tblPrEx>
        <w:trPr>
          <w:tblCellSpacing w:w="15" w:type="dxa"/>
          <w:jc w:val="center"/>
        </w:trPr>
        <w:tc>
          <w:tcPr>
            <w:tcW w:w="0" w:type="auto"/>
            <w:vAlign w:val="center"/>
            <w:hideMark/>
          </w:tcPr>
          <w:p w:rsidR="00D41FE7" w:rsidRPr="009F5C5A" w:rsidP="00F80C79" w14:paraId="271EE028" w14:textId="77777777">
            <w:pPr>
              <w:spacing w:before="120" w:line="240" w:lineRule="auto"/>
              <w:rPr>
                <w:lang w:eastAsia="lv-LV"/>
              </w:rPr>
            </w:pPr>
            <w:r>
              <w:rPr>
                <w:lang w:eastAsia="lv-LV"/>
              </w:rPr>
              <w:t>Reģistrētie saņemtie dokumenti</w:t>
            </w:r>
          </w:p>
        </w:tc>
        <w:tc>
          <w:tcPr>
            <w:tcW w:w="0" w:type="auto"/>
            <w:vAlign w:val="center"/>
            <w:hideMark/>
          </w:tcPr>
          <w:p w:rsidR="00D41FE7" w:rsidRPr="009F5C5A" w:rsidP="00F80C79" w14:paraId="668A385E" w14:textId="77777777">
            <w:pPr>
              <w:spacing w:before="120" w:line="240" w:lineRule="auto"/>
              <w:jc w:val="right"/>
              <w:rPr>
                <w:lang w:eastAsia="lv-LV"/>
              </w:rPr>
            </w:pPr>
            <w:r>
              <w:rPr>
                <w:lang w:eastAsia="lv-LV"/>
              </w:rPr>
              <w:t>4223</w:t>
            </w:r>
          </w:p>
        </w:tc>
        <w:tc>
          <w:tcPr>
            <w:tcW w:w="0" w:type="auto"/>
            <w:vAlign w:val="center"/>
            <w:hideMark/>
          </w:tcPr>
          <w:p w:rsidR="00D41FE7" w:rsidRPr="009F5C5A" w:rsidP="00F80C79" w14:paraId="5FA1662F" w14:textId="77777777">
            <w:pPr>
              <w:spacing w:before="120" w:line="240" w:lineRule="auto"/>
              <w:jc w:val="right"/>
              <w:rPr>
                <w:lang w:eastAsia="lv-LV"/>
              </w:rPr>
            </w:pPr>
            <w:r>
              <w:rPr>
                <w:lang w:eastAsia="lv-LV"/>
              </w:rPr>
              <w:t>4624</w:t>
            </w:r>
          </w:p>
        </w:tc>
        <w:tc>
          <w:tcPr>
            <w:tcW w:w="0" w:type="auto"/>
            <w:vAlign w:val="center"/>
            <w:hideMark/>
          </w:tcPr>
          <w:p w:rsidR="00D41FE7" w:rsidRPr="009F5C5A" w:rsidP="00F80C79" w14:paraId="4DD9F277" w14:textId="77777777">
            <w:pPr>
              <w:spacing w:before="120" w:line="240" w:lineRule="auto"/>
              <w:jc w:val="right"/>
              <w:rPr>
                <w:lang w:eastAsia="lv-LV"/>
              </w:rPr>
            </w:pPr>
            <w:r>
              <w:rPr>
                <w:lang w:eastAsia="lv-LV"/>
              </w:rPr>
              <w:t>+9,5 %</w:t>
            </w:r>
          </w:p>
        </w:tc>
      </w:tr>
      <w:tr w14:paraId="248F602C" w14:textId="77777777" w:rsidTr="006C6E52">
        <w:tblPrEx>
          <w:tblW w:w="0" w:type="auto"/>
          <w:jc w:val="center"/>
          <w:tblCellSpacing w:w="15" w:type="dxa"/>
          <w:tblCellMar>
            <w:top w:w="15" w:type="dxa"/>
            <w:left w:w="15" w:type="dxa"/>
            <w:bottom w:w="15" w:type="dxa"/>
            <w:right w:w="15" w:type="dxa"/>
          </w:tblCellMar>
          <w:tblLook w:val="04A0"/>
        </w:tblPrEx>
        <w:trPr>
          <w:tblCellSpacing w:w="15" w:type="dxa"/>
          <w:jc w:val="center"/>
        </w:trPr>
        <w:tc>
          <w:tcPr>
            <w:tcW w:w="0" w:type="auto"/>
            <w:vAlign w:val="center"/>
            <w:hideMark/>
          </w:tcPr>
          <w:p w:rsidR="00D41FE7" w:rsidRPr="009F5C5A" w:rsidP="00F80C79" w14:paraId="173A8D42" w14:textId="77777777">
            <w:pPr>
              <w:spacing w:before="120" w:line="240" w:lineRule="auto"/>
              <w:rPr>
                <w:lang w:eastAsia="lv-LV"/>
              </w:rPr>
            </w:pPr>
            <w:r>
              <w:rPr>
                <w:lang w:eastAsia="lv-LV"/>
              </w:rPr>
              <w:t>Reģistrētie saņemtie iesniegumi</w:t>
            </w:r>
          </w:p>
        </w:tc>
        <w:tc>
          <w:tcPr>
            <w:tcW w:w="0" w:type="auto"/>
            <w:vAlign w:val="center"/>
            <w:hideMark/>
          </w:tcPr>
          <w:p w:rsidR="00D41FE7" w:rsidRPr="009F5C5A" w:rsidP="00F80C79" w14:paraId="3C49E8F4" w14:textId="77777777">
            <w:pPr>
              <w:spacing w:before="120" w:line="240" w:lineRule="auto"/>
              <w:jc w:val="right"/>
              <w:rPr>
                <w:lang w:eastAsia="lv-LV"/>
              </w:rPr>
            </w:pPr>
            <w:r>
              <w:rPr>
                <w:lang w:eastAsia="lv-LV"/>
              </w:rPr>
              <w:t>5053</w:t>
            </w:r>
          </w:p>
        </w:tc>
        <w:tc>
          <w:tcPr>
            <w:tcW w:w="0" w:type="auto"/>
            <w:vAlign w:val="center"/>
            <w:hideMark/>
          </w:tcPr>
          <w:p w:rsidR="00D41FE7" w:rsidRPr="009F5C5A" w:rsidP="00F80C79" w14:paraId="7A7AB985" w14:textId="77777777">
            <w:pPr>
              <w:spacing w:before="120" w:line="240" w:lineRule="auto"/>
              <w:jc w:val="right"/>
              <w:rPr>
                <w:lang w:eastAsia="lv-LV"/>
              </w:rPr>
            </w:pPr>
            <w:r>
              <w:rPr>
                <w:lang w:eastAsia="lv-LV"/>
              </w:rPr>
              <w:t>4734</w:t>
            </w:r>
          </w:p>
        </w:tc>
        <w:tc>
          <w:tcPr>
            <w:tcW w:w="0" w:type="auto"/>
            <w:vAlign w:val="center"/>
            <w:hideMark/>
          </w:tcPr>
          <w:p w:rsidR="00D41FE7" w:rsidRPr="009F5C5A" w:rsidP="00F80C79" w14:paraId="512C1E33" w14:textId="77777777">
            <w:pPr>
              <w:spacing w:before="120" w:line="240" w:lineRule="auto"/>
              <w:jc w:val="right"/>
              <w:rPr>
                <w:lang w:eastAsia="lv-LV"/>
              </w:rPr>
            </w:pPr>
            <w:r>
              <w:rPr>
                <w:lang w:eastAsia="lv-LV"/>
              </w:rPr>
              <w:t>-6,3 %</w:t>
            </w:r>
          </w:p>
        </w:tc>
      </w:tr>
      <w:tr w14:paraId="435653BB" w14:textId="77777777" w:rsidTr="006C6E52">
        <w:tblPrEx>
          <w:tblW w:w="0" w:type="auto"/>
          <w:jc w:val="center"/>
          <w:tblCellSpacing w:w="15" w:type="dxa"/>
          <w:tblCellMar>
            <w:top w:w="15" w:type="dxa"/>
            <w:left w:w="15" w:type="dxa"/>
            <w:bottom w:w="15" w:type="dxa"/>
            <w:right w:w="15" w:type="dxa"/>
          </w:tblCellMar>
          <w:tblLook w:val="04A0"/>
        </w:tblPrEx>
        <w:trPr>
          <w:tblCellSpacing w:w="15" w:type="dxa"/>
          <w:jc w:val="center"/>
        </w:trPr>
        <w:tc>
          <w:tcPr>
            <w:tcW w:w="0" w:type="auto"/>
            <w:vAlign w:val="center"/>
            <w:hideMark/>
          </w:tcPr>
          <w:p w:rsidR="00D41FE7" w:rsidRPr="009F5C5A" w:rsidP="00F80C79" w14:paraId="2B694310" w14:textId="77777777">
            <w:pPr>
              <w:spacing w:before="120" w:line="240" w:lineRule="auto"/>
              <w:rPr>
                <w:lang w:eastAsia="lv-LV"/>
              </w:rPr>
            </w:pPr>
            <w:r>
              <w:rPr>
                <w:lang w:eastAsia="lv-LV"/>
              </w:rPr>
              <w:t>Sagatavotie un nosūtītie dokumenti</w:t>
            </w:r>
          </w:p>
        </w:tc>
        <w:tc>
          <w:tcPr>
            <w:tcW w:w="0" w:type="auto"/>
            <w:vAlign w:val="center"/>
            <w:hideMark/>
          </w:tcPr>
          <w:p w:rsidR="00D41FE7" w:rsidRPr="009F5C5A" w:rsidP="00F80C79" w14:paraId="003E96CE" w14:textId="77777777">
            <w:pPr>
              <w:spacing w:before="120" w:line="240" w:lineRule="auto"/>
              <w:jc w:val="right"/>
              <w:rPr>
                <w:lang w:eastAsia="lv-LV"/>
              </w:rPr>
            </w:pPr>
            <w:r>
              <w:rPr>
                <w:lang w:eastAsia="lv-LV"/>
              </w:rPr>
              <w:t>5047</w:t>
            </w:r>
          </w:p>
        </w:tc>
        <w:tc>
          <w:tcPr>
            <w:tcW w:w="0" w:type="auto"/>
            <w:vAlign w:val="center"/>
            <w:hideMark/>
          </w:tcPr>
          <w:p w:rsidR="00D41FE7" w:rsidRPr="009F5C5A" w:rsidP="00F80C79" w14:paraId="7C2C1614" w14:textId="77777777">
            <w:pPr>
              <w:spacing w:before="120" w:line="240" w:lineRule="auto"/>
              <w:jc w:val="right"/>
              <w:rPr>
                <w:lang w:eastAsia="lv-LV"/>
              </w:rPr>
            </w:pPr>
            <w:r>
              <w:rPr>
                <w:lang w:eastAsia="lv-LV"/>
              </w:rPr>
              <w:t>5058</w:t>
            </w:r>
          </w:p>
        </w:tc>
        <w:tc>
          <w:tcPr>
            <w:tcW w:w="0" w:type="auto"/>
            <w:vAlign w:val="center"/>
            <w:hideMark/>
          </w:tcPr>
          <w:p w:rsidR="00D41FE7" w:rsidRPr="009F5C5A" w:rsidP="00F80C79" w14:paraId="4257F4C7" w14:textId="77777777">
            <w:pPr>
              <w:spacing w:before="120" w:line="240" w:lineRule="auto"/>
              <w:jc w:val="right"/>
              <w:rPr>
                <w:lang w:eastAsia="lv-LV"/>
              </w:rPr>
            </w:pPr>
            <w:r>
              <w:rPr>
                <w:lang w:eastAsia="lv-LV"/>
              </w:rPr>
              <w:t>+0,2 %</w:t>
            </w:r>
          </w:p>
        </w:tc>
      </w:tr>
      <w:tr w14:paraId="4365A7FE" w14:textId="77777777" w:rsidTr="006C6E52">
        <w:tblPrEx>
          <w:tblW w:w="0" w:type="auto"/>
          <w:jc w:val="center"/>
          <w:tblCellSpacing w:w="15" w:type="dxa"/>
          <w:tblCellMar>
            <w:top w:w="15" w:type="dxa"/>
            <w:left w:w="15" w:type="dxa"/>
            <w:bottom w:w="15" w:type="dxa"/>
            <w:right w:w="15" w:type="dxa"/>
          </w:tblCellMar>
          <w:tblLook w:val="04A0"/>
        </w:tblPrEx>
        <w:trPr>
          <w:tblCellSpacing w:w="15" w:type="dxa"/>
          <w:jc w:val="center"/>
        </w:trPr>
        <w:tc>
          <w:tcPr>
            <w:tcW w:w="0" w:type="auto"/>
            <w:vAlign w:val="center"/>
            <w:hideMark/>
          </w:tcPr>
          <w:p w:rsidR="00D41FE7" w:rsidRPr="009F5C5A" w:rsidP="00F80C79" w14:paraId="61D6F3D0" w14:textId="77777777">
            <w:pPr>
              <w:spacing w:before="120" w:line="240" w:lineRule="auto"/>
              <w:rPr>
                <w:lang w:eastAsia="lv-LV"/>
              </w:rPr>
            </w:pPr>
            <w:r>
              <w:rPr>
                <w:lang w:eastAsia="lv-LV"/>
              </w:rPr>
              <w:t>Sagatavotās un izsniegtās izziņas</w:t>
            </w:r>
          </w:p>
        </w:tc>
        <w:tc>
          <w:tcPr>
            <w:tcW w:w="0" w:type="auto"/>
            <w:vAlign w:val="center"/>
            <w:hideMark/>
          </w:tcPr>
          <w:p w:rsidR="00D41FE7" w:rsidRPr="009F5C5A" w:rsidP="00F80C79" w14:paraId="0E546C53" w14:textId="77777777">
            <w:pPr>
              <w:spacing w:before="120" w:line="240" w:lineRule="auto"/>
              <w:jc w:val="right"/>
              <w:rPr>
                <w:lang w:eastAsia="lv-LV"/>
              </w:rPr>
            </w:pPr>
            <w:r>
              <w:rPr>
                <w:lang w:eastAsia="lv-LV"/>
              </w:rPr>
              <w:t>430</w:t>
            </w:r>
          </w:p>
        </w:tc>
        <w:tc>
          <w:tcPr>
            <w:tcW w:w="0" w:type="auto"/>
            <w:vAlign w:val="center"/>
            <w:hideMark/>
          </w:tcPr>
          <w:p w:rsidR="00D41FE7" w:rsidRPr="009F5C5A" w:rsidP="00F80C79" w14:paraId="57CC65FF" w14:textId="77777777">
            <w:pPr>
              <w:spacing w:before="120" w:line="240" w:lineRule="auto"/>
              <w:jc w:val="right"/>
              <w:rPr>
                <w:lang w:eastAsia="lv-LV"/>
              </w:rPr>
            </w:pPr>
            <w:r>
              <w:rPr>
                <w:lang w:eastAsia="lv-LV"/>
              </w:rPr>
              <w:t>463</w:t>
            </w:r>
          </w:p>
        </w:tc>
        <w:tc>
          <w:tcPr>
            <w:tcW w:w="0" w:type="auto"/>
            <w:vAlign w:val="center"/>
            <w:hideMark/>
          </w:tcPr>
          <w:p w:rsidR="00D41FE7" w:rsidRPr="009F5C5A" w:rsidP="00F80C79" w14:paraId="5771CA2B" w14:textId="77777777">
            <w:pPr>
              <w:spacing w:before="120" w:line="240" w:lineRule="auto"/>
              <w:jc w:val="right"/>
              <w:rPr>
                <w:lang w:eastAsia="lv-LV"/>
              </w:rPr>
            </w:pPr>
            <w:r>
              <w:rPr>
                <w:lang w:eastAsia="lv-LV"/>
              </w:rPr>
              <w:t>+7,7 %</w:t>
            </w:r>
          </w:p>
        </w:tc>
      </w:tr>
      <w:tr w14:paraId="24EB1F14" w14:textId="77777777" w:rsidTr="006C6E52">
        <w:tblPrEx>
          <w:tblW w:w="0" w:type="auto"/>
          <w:jc w:val="center"/>
          <w:tblCellSpacing w:w="15" w:type="dxa"/>
          <w:tblCellMar>
            <w:top w:w="15" w:type="dxa"/>
            <w:left w:w="15" w:type="dxa"/>
            <w:bottom w:w="15" w:type="dxa"/>
            <w:right w:w="15" w:type="dxa"/>
          </w:tblCellMar>
          <w:tblLook w:val="04A0"/>
        </w:tblPrEx>
        <w:trPr>
          <w:tblCellSpacing w:w="15" w:type="dxa"/>
          <w:jc w:val="center"/>
        </w:trPr>
        <w:tc>
          <w:tcPr>
            <w:tcW w:w="0" w:type="auto"/>
            <w:vAlign w:val="center"/>
            <w:hideMark/>
          </w:tcPr>
          <w:p w:rsidR="00D41FE7" w:rsidRPr="009F5C5A" w:rsidP="00F80C79" w14:paraId="2DEA82FB" w14:textId="77777777">
            <w:pPr>
              <w:spacing w:before="120" w:line="240" w:lineRule="auto"/>
              <w:rPr>
                <w:lang w:eastAsia="lv-LV"/>
              </w:rPr>
            </w:pPr>
            <w:r>
              <w:rPr>
                <w:lang w:eastAsia="lv-LV"/>
              </w:rPr>
              <w:t>Reģistrētie līgumi</w:t>
            </w:r>
          </w:p>
        </w:tc>
        <w:tc>
          <w:tcPr>
            <w:tcW w:w="0" w:type="auto"/>
            <w:vAlign w:val="center"/>
            <w:hideMark/>
          </w:tcPr>
          <w:p w:rsidR="00D41FE7" w:rsidRPr="009F5C5A" w:rsidP="00F80C79" w14:paraId="18AFAA82" w14:textId="77777777">
            <w:pPr>
              <w:spacing w:before="120" w:line="240" w:lineRule="auto"/>
              <w:jc w:val="right"/>
              <w:rPr>
                <w:lang w:eastAsia="lv-LV"/>
              </w:rPr>
            </w:pPr>
            <w:r>
              <w:rPr>
                <w:lang w:eastAsia="lv-LV"/>
              </w:rPr>
              <w:t>1582</w:t>
            </w:r>
          </w:p>
        </w:tc>
        <w:tc>
          <w:tcPr>
            <w:tcW w:w="0" w:type="auto"/>
            <w:vAlign w:val="center"/>
            <w:hideMark/>
          </w:tcPr>
          <w:p w:rsidR="00D41FE7" w:rsidRPr="009F5C5A" w:rsidP="00F80C79" w14:paraId="262CF01B" w14:textId="77777777">
            <w:pPr>
              <w:spacing w:before="120" w:line="240" w:lineRule="auto"/>
              <w:jc w:val="right"/>
              <w:rPr>
                <w:lang w:eastAsia="lv-LV"/>
              </w:rPr>
            </w:pPr>
            <w:r>
              <w:rPr>
                <w:lang w:eastAsia="lv-LV"/>
              </w:rPr>
              <w:t>2003</w:t>
            </w:r>
          </w:p>
        </w:tc>
        <w:tc>
          <w:tcPr>
            <w:tcW w:w="0" w:type="auto"/>
            <w:vAlign w:val="center"/>
            <w:hideMark/>
          </w:tcPr>
          <w:p w:rsidR="00D41FE7" w:rsidRPr="009F5C5A" w:rsidP="00F80C79" w14:paraId="2503FC19" w14:textId="77777777">
            <w:pPr>
              <w:spacing w:before="120" w:line="240" w:lineRule="auto"/>
              <w:jc w:val="right"/>
              <w:rPr>
                <w:lang w:eastAsia="lv-LV"/>
              </w:rPr>
            </w:pPr>
            <w:r>
              <w:rPr>
                <w:lang w:eastAsia="lv-LV"/>
              </w:rPr>
              <w:t>+26,6 %</w:t>
            </w:r>
          </w:p>
        </w:tc>
      </w:tr>
    </w:tbl>
    <w:p w:rsidR="006C6E52" w:rsidP="00D41FE7" w14:paraId="188E2DE8" w14:textId="77777777">
      <w:pPr>
        <w:spacing w:before="120" w:line="240" w:lineRule="auto"/>
        <w:ind w:firstLine="567"/>
        <w:jc w:val="both"/>
        <w:rPr>
          <w:lang w:eastAsia="lv-LV"/>
        </w:rPr>
      </w:pPr>
    </w:p>
    <w:p w:rsidR="00D41FE7" w:rsidRPr="009F5C5A" w:rsidP="00D41FE7" w14:paraId="6B140D7E" w14:textId="67D60517">
      <w:pPr>
        <w:spacing w:before="120" w:line="240" w:lineRule="auto"/>
        <w:ind w:firstLine="567"/>
        <w:jc w:val="both"/>
        <w:rPr>
          <w:lang w:eastAsia="lv-LV"/>
        </w:rPr>
      </w:pPr>
      <w:r>
        <w:rPr>
          <w:lang w:eastAsia="lv-LV"/>
        </w:rPr>
        <w:t>Dokumentu aprites rādītāji liecina par stabilu pašvaldības administratīvo darbību. Īpaši izceļams reģistrēto līgumu skaita pieaugums par 26,6 %, kas saistāms ar aktīvu projektu īstenošanu, pakalpojumu nodrošināšanu un saimnieciskās darbības procesu organizēšanu.</w:t>
      </w:r>
    </w:p>
    <w:p w:rsidR="00D41FE7" w:rsidRPr="00AB4BB9" w14:paraId="7B5682B2" w14:textId="77777777">
      <w:pPr>
        <w:pStyle w:val="ListParagraph"/>
        <w:numPr>
          <w:ilvl w:val="0"/>
          <w:numId w:val="21"/>
        </w:numPr>
        <w:spacing w:before="120" w:after="120" w:line="240" w:lineRule="auto"/>
        <w:ind w:left="0" w:firstLine="567"/>
        <w:contextualSpacing w:val="0"/>
        <w:jc w:val="both"/>
        <w:rPr>
          <w:lang w:eastAsia="lv-LV"/>
        </w:rPr>
      </w:pPr>
      <w:r>
        <w:rPr>
          <w:lang w:eastAsia="lv-LV"/>
        </w:rPr>
        <w:t xml:space="preserve">gadā Kanceleja turpināja veicināt elektronisko dokumentu apriti un digitālo pakalpojumu izmantošanu. Iedzīvotājiem un juridiskajām personām tika nodrošināta iespēja iesniegt dokumentus un saņemt pakalpojumus attālināti, izmantojot oficiālo elektronisko adresi (e-adresi), portālu Latvija.lv, elektronisko pastu un pašvaldības tīmekļvietnē pieejamos e-pakalpojumus un mobilo aplikāciju. </w:t>
      </w:r>
    </w:p>
    <w:p w:rsidR="00D41FE7" w:rsidRPr="009F5C5A" w:rsidP="00D41FE7" w14:paraId="40E0E478" w14:textId="77777777">
      <w:pPr>
        <w:pStyle w:val="ListParagraph"/>
        <w:spacing w:before="120" w:line="240" w:lineRule="auto"/>
        <w:ind w:left="0" w:firstLine="567"/>
        <w:contextualSpacing w:val="0"/>
        <w:jc w:val="both"/>
        <w:rPr>
          <w:lang w:eastAsia="lv-LV"/>
        </w:rPr>
      </w:pPr>
      <w:r>
        <w:rPr>
          <w:lang w:eastAsia="lv-LV"/>
        </w:rPr>
        <w:t>Elektroniskās dokumentu aprites plašāka izmantošana veicināja efektīvāku dokumentu apstrādi, samazināja papīra dokumentu apriti un nodrošināja operatīvāku saziņu ar iedzīvotājiem, uzņēmējiem un sadarbības partneriem.</w:t>
      </w:r>
    </w:p>
    <w:p w:rsidR="00D41FE7" w:rsidRPr="006C6E52" w:rsidP="00D41FE7" w14:paraId="0EA9A889" w14:textId="77777777">
      <w:pPr>
        <w:spacing w:before="120" w:line="240" w:lineRule="auto"/>
        <w:outlineLvl w:val="1"/>
        <w:rPr>
          <w:b/>
          <w:bCs/>
          <w:i/>
          <w:iCs/>
          <w:lang w:eastAsia="lv-LV"/>
        </w:rPr>
      </w:pPr>
      <w:r>
        <w:rPr>
          <w:b/>
          <w:bCs/>
          <w:i/>
          <w:iCs/>
          <w:lang w:eastAsia="lv-LV"/>
        </w:rPr>
        <w:t>Valsts un pašvaldības vienoto klientu apkalpošanas centru darbība</w:t>
      </w:r>
    </w:p>
    <w:p w:rsidR="00D41FE7" w:rsidRPr="009F5C5A" w:rsidP="00D41FE7" w14:paraId="1DB35A8D" w14:textId="77777777">
      <w:pPr>
        <w:spacing w:before="120" w:line="240" w:lineRule="auto"/>
        <w:ind w:firstLine="567"/>
        <w:jc w:val="both"/>
        <w:rPr>
          <w:lang w:eastAsia="lv-LV"/>
        </w:rPr>
      </w:pPr>
      <w:r>
        <w:rPr>
          <w:lang w:eastAsia="lv-LV"/>
        </w:rPr>
        <w:t>Pašvaldības un valsts pakalpojumu pieejamību, kā arī klātienes atbalstu iedzīvotājiem visā Aizkraukles novada teritorijā nodrošina Kancelejas pārraudzībā esošais Valsts un pašvaldības vienoto klientu apkalpošanas centru (VPVKAC) tīkls. Pārskata gadā novadā darbojās 19 VPVKAC, nodrošinot pakalpojumu pieejamību visās novada pilsētās un pagastos.</w:t>
      </w:r>
    </w:p>
    <w:p w:rsidR="00D41FE7" w:rsidRPr="009F5C5A" w:rsidP="00D41FE7" w14:paraId="04A59158" w14:textId="77777777">
      <w:pPr>
        <w:spacing w:before="120" w:line="240" w:lineRule="auto"/>
        <w:ind w:firstLine="567"/>
        <w:jc w:val="both"/>
        <w:rPr>
          <w:lang w:eastAsia="lv-LV"/>
        </w:rPr>
      </w:pPr>
      <w:r>
        <w:rPr>
          <w:lang w:eastAsia="lv-LV"/>
        </w:rPr>
        <w:t>VPVKAC darbojas pēc vienas pieturas aģentūras principa, vienuviet nodrošinot gan valsts pārvaldes, gan pašvaldības pakalpojumu pieejamību. Centru darbinieki sniedz konsultācijas par pašvaldības pakalpojumiem, to saņemšanas kārtību, nepieciešamajiem dokumentiem un piemērojamām maksām, pieņem iesniegumus, nodrošina dokumentu apriti un palīdz iedzīvotājiem izmantot digitālos pakalpojumus.</w:t>
      </w:r>
    </w:p>
    <w:p w:rsidR="00D41FE7" w:rsidRPr="009F5C5A" w:rsidP="00D41FE7" w14:paraId="5EC58055" w14:textId="77777777">
      <w:pPr>
        <w:spacing w:before="120" w:line="240" w:lineRule="auto"/>
        <w:ind w:firstLine="567"/>
        <w:jc w:val="both"/>
        <w:rPr>
          <w:lang w:eastAsia="lv-LV"/>
        </w:rPr>
      </w:pPr>
      <w:r>
        <w:rPr>
          <w:lang w:eastAsia="lv-LV"/>
        </w:rPr>
        <w:t>Atbilstoši noslēgtajiem sadarbības līgumiem VPVKAC nodrošina arī valsts pārvaldes pakalpojumu pieejamību un konsultācijas par dažādu valsts iestāžu pakalpojumiem, tostarp Valsts ieņēmumu dienesta, Valsts zemes dienesta, Lauksaimniecības datu centra, Būvniecības valsts kontroles biroja, Nacionālā veselības dienesta, Valsts darba inspekcijas, Lauku atbalsta dienesta, Uzņēmumu reģistra, Sociālās integrācijas valsts aģentūras, Veselības un darbspēju ekspertīzes ārstu valsts komisijas un Valsts sociālās apdrošināšanas aģentūras pakalpojumu saņemšanā.</w:t>
      </w:r>
    </w:p>
    <w:p w:rsidR="00D41FE7" w:rsidRPr="009F5C5A" w:rsidP="00D41FE7" w14:paraId="59D932E4" w14:textId="77777777">
      <w:pPr>
        <w:spacing w:before="120" w:line="240" w:lineRule="auto"/>
        <w:ind w:firstLine="567"/>
        <w:jc w:val="both"/>
        <w:rPr>
          <w:lang w:eastAsia="lv-LV"/>
        </w:rPr>
      </w:pPr>
      <w:r>
        <w:rPr>
          <w:lang w:eastAsia="lv-LV"/>
        </w:rPr>
        <w:t>VPVKAC darbinieki sniedz arī praktisku atbalstu valsts pārvaldes digitālo pakalpojumu izmantošanā, tostarp e-adreses aktivizēšanā un darbā ar portālu Latvija.lv.</w:t>
      </w:r>
    </w:p>
    <w:p w:rsidR="00D41FE7" w:rsidRPr="009F5C5A" w:rsidP="00D41FE7" w14:paraId="7C8231E3" w14:textId="77777777">
      <w:pPr>
        <w:spacing w:before="120" w:line="240" w:lineRule="auto"/>
        <w:ind w:firstLine="567"/>
        <w:jc w:val="both"/>
        <w:rPr>
          <w:lang w:eastAsia="lv-LV"/>
        </w:rPr>
      </w:pPr>
      <w:r>
        <w:rPr>
          <w:lang w:eastAsia="lv-LV"/>
        </w:rPr>
        <w:t>Pašvaldības funkciju nodrošināšanas ietvaros VPVKAC pieņem un reģistrē iedzīvotāju iesniegumus, nodrošina dokumentu apriti starp pašvaldības institūcijām un iedzīvotājiem, kā arī veic dzīvesvietas deklarēšanas un citas normatīvajos aktos noteiktās reģistrācijas funkcijas.</w:t>
      </w:r>
    </w:p>
    <w:p w:rsidR="00D41FE7" w:rsidRPr="009F5C5A" w:rsidP="00D41FE7" w14:paraId="29C0C23C" w14:textId="77777777">
      <w:pPr>
        <w:spacing w:before="120" w:line="240" w:lineRule="auto"/>
        <w:ind w:firstLine="567"/>
        <w:jc w:val="both"/>
        <w:rPr>
          <w:lang w:eastAsia="lv-LV"/>
        </w:rPr>
      </w:pPr>
      <w:r>
        <w:rPr>
          <w:lang w:eastAsia="lv-LV"/>
        </w:rPr>
        <w:t xml:space="preserve">Kopumā 2025. gadā Kanceleja nodrošināja nepārtrauktu domes, komiteju un pašvaldības administratīvo procesu darbību, efektīvu dokumentu pārvaldību, normatīvās bāzes aktualizēšanu, digitālo risinājumu attīstību un iedzīvotājiem pieejamu klientu apkalpošanu visā Aizkraukles novada </w:t>
      </w:r>
      <w:r>
        <w:rPr>
          <w:lang w:eastAsia="lv-LV"/>
        </w:rPr>
        <w:t>teritorijā. Kancelejas darbība sekmēja kvalitatīvu pašvaldības funkciju izpildi, efektīvu pārvaldību un iedzīvotājiem pieejamu pakalpojumu nodrošināšanu.</w:t>
      </w:r>
    </w:p>
    <w:p w:rsidR="00D41FE7" w:rsidP="00676D5E" w14:paraId="1A120C46" w14:textId="77777777">
      <w:pPr>
        <w:spacing w:after="0" w:line="360" w:lineRule="auto"/>
        <w:ind w:firstLine="720"/>
        <w:rPr>
          <w:b/>
          <w:bCs/>
          <w:i/>
          <w:iCs/>
          <w:color w:val="0F4761" w:themeColor="accent1" w:themeShade="BF"/>
        </w:rPr>
      </w:pPr>
    </w:p>
    <w:p w:rsidR="00676D5E" w:rsidRPr="002A1250" w:rsidP="00676D5E" w14:paraId="41BE240C" w14:textId="416D9C44">
      <w:pPr>
        <w:spacing w:after="0" w:line="360" w:lineRule="auto"/>
        <w:ind w:firstLine="720"/>
        <w:rPr>
          <w:b/>
          <w:bCs/>
        </w:rPr>
      </w:pPr>
      <w:r w:rsidRPr="002A1250">
        <w:rPr>
          <w:b/>
          <w:bCs/>
        </w:rPr>
        <w:t>Iedzīvotāju informēšana un sabiedrības iesaiste pašvaldībā notiekošajos procesos</w:t>
      </w:r>
    </w:p>
    <w:p w:rsidR="008B504B" w:rsidRPr="007F15EB" w:rsidP="006C6E52" w14:paraId="19604072" w14:textId="0F74DDCF">
      <w:pPr>
        <w:spacing w:after="0" w:line="240" w:lineRule="auto"/>
        <w:ind w:firstLine="709"/>
        <w:jc w:val="both"/>
        <w:rPr>
          <w:b/>
          <w:bCs/>
          <w:i/>
          <w:iCs/>
          <w:color w:val="0F4761" w:themeColor="accent1" w:themeShade="BF"/>
        </w:rPr>
      </w:pPr>
      <w:r>
        <w:t xml:space="preserve">Aizkraukles novada pašvaldības Centrālās pārvaldes Komunikācijas nodaļa 2025. gadā iedzīvotājiem nodrošināja iespējas saņemt daudzveidīgu un pilnvērtīgu informāciju par domes pieņemtajiem lēmumiem, pašvaldības dzīves norisēm un aktualitātēm. </w:t>
      </w:r>
    </w:p>
    <w:p w:rsidR="006C6E52" w:rsidP="008B504B" w14:paraId="03DD5518" w14:textId="77777777">
      <w:pPr>
        <w:spacing w:after="0" w:line="240" w:lineRule="auto"/>
        <w:ind w:firstLine="709"/>
        <w:jc w:val="both"/>
      </w:pPr>
    </w:p>
    <w:p w:rsidR="008B504B" w:rsidRPr="007F15EB" w:rsidP="001F2105" w14:paraId="1C9503A6" w14:textId="5B3F6C8C">
      <w:pPr>
        <w:spacing w:after="0" w:line="240" w:lineRule="auto"/>
        <w:ind w:firstLine="567"/>
        <w:jc w:val="both"/>
      </w:pPr>
      <w:r>
        <w:t>Iedzīvotāju informēšanai tika izmantoti visi pašvaldībai pieejamie komunikācijas kanāli. Informatīvais izdevums “Aizkraukles Novada Vēstis” tika izdots 10 reizes 12 – 16 lapaspušu apjomā 12 000 eksemplāru lielā metienā un bez maksas tika nogādāts iepriekš pieteikto mājsaimniecību pastkastītēs, pieejams līdzņemšanai pašvaldība iestādēs, piemēram, bibliotēkās un . Informatīvais izdevums bija pieejams bibliotēkās, klientu apkalpošanas centros un citās pašvaldības iestādēs, kā arī digitālā formātā lasāms pašvaldības tīmekļvietnē www.aizkraukle.lv, kur ir pieejams arī iepriekšējo informatīvā izdevuma numuru arhīvs. Iedzīvotāji par dažādām aktualitātēm tika informēti arī oficiālajā tīmekļvietnē www.aizkraukle.lv, iestāžu un kapitālsabiedrību tīmekļvietnēs, digitālās komunikācijas sociālo tīklu kontos (Facebook, Instagram, YouTube).</w:t>
      </w:r>
    </w:p>
    <w:p w:rsidR="008B504B" w:rsidRPr="007F15EB" w:rsidP="001F2105" w14:paraId="1BB9AD8E" w14:textId="78B69C95">
      <w:pPr>
        <w:spacing w:after="0" w:line="240" w:lineRule="auto"/>
        <w:ind w:firstLine="567"/>
        <w:jc w:val="center"/>
      </w:pPr>
    </w:p>
    <w:p w:rsidR="008B504B" w:rsidRPr="007F15EB" w:rsidP="001F2105" w14:paraId="3D43E78B" w14:textId="7F291093">
      <w:pPr>
        <w:spacing w:after="0" w:line="240" w:lineRule="auto"/>
        <w:ind w:firstLine="567"/>
        <w:jc w:val="both"/>
        <w:rPr>
          <w:color w:val="EE0000"/>
        </w:rPr>
      </w:pPr>
      <w:r>
        <w:t xml:space="preserve"> Saskaņā ar Google Analytics datiem pašvaldības tīmekļvietnes aizkraukle.lv lietotāju skaits 2025. gadā bija </w:t>
      </w:r>
      <w:r w:rsidR="00EC7FD5">
        <w:t xml:space="preserve">69 942 </w:t>
      </w:r>
      <w:r>
        <w:t>(202</w:t>
      </w:r>
      <w:r w:rsidR="002B3077">
        <w:t>4</w:t>
      </w:r>
      <w:r>
        <w:t xml:space="preserve">. gadā ‒ </w:t>
      </w:r>
      <w:r w:rsidR="002B3077">
        <w:t>71 394</w:t>
      </w:r>
      <w:r>
        <w:t xml:space="preserve">), lapu skatījumu skaits ‒  </w:t>
      </w:r>
      <w:r w:rsidR="00EC7FD5">
        <w:t xml:space="preserve">569 124 </w:t>
      </w:r>
      <w:r>
        <w:t xml:space="preserve">(2023. gadā ‒ </w:t>
      </w:r>
      <w:r w:rsidR="00EC7FD5">
        <w:t>579 745</w:t>
      </w:r>
      <w:r>
        <w:t xml:space="preserve">). </w:t>
      </w:r>
    </w:p>
    <w:p w:rsidR="008B504B" w:rsidRPr="007F15EB" w:rsidP="001F2105" w14:paraId="711699DB" w14:textId="2310BB9A">
      <w:pPr>
        <w:spacing w:after="0" w:line="240" w:lineRule="auto"/>
        <w:ind w:firstLine="567"/>
        <w:jc w:val="both"/>
      </w:pPr>
      <w:r>
        <w:t>Pēc Meta Business Suite datiem, pašvaldības Facebook profila skatījumu skaits 202</w:t>
      </w:r>
      <w:r w:rsidR="00BF0C30">
        <w:t>5</w:t>
      </w:r>
      <w:r>
        <w:t xml:space="preserve">. gadā bija 6 990 361, Instagram ‒ 56 989, Tiktok saņemtas </w:t>
      </w:r>
      <w:r w:rsidR="00B957D3">
        <w:t xml:space="preserve">900 </w:t>
      </w:r>
      <w:r>
        <w:t>atzīmes “Patīk”</w:t>
      </w:r>
      <w:r w:rsidR="00994D01">
        <w:t>, bijuši  39 304 skatījumi</w:t>
      </w:r>
      <w:r>
        <w:t xml:space="preserve">. </w:t>
      </w:r>
    </w:p>
    <w:p w:rsidR="008B504B" w:rsidRPr="007F15EB" w:rsidP="001F2105" w14:paraId="0B196903" w14:textId="4D5720E6">
      <w:pPr>
        <w:spacing w:after="0" w:line="240" w:lineRule="auto"/>
        <w:ind w:firstLine="567"/>
        <w:jc w:val="both"/>
      </w:pPr>
      <w:r>
        <w:t>Pašvaldības profiliem sociālajos tīklos 2025. gadā bija 11 778 sekotāji (202</w:t>
      </w:r>
      <w:r w:rsidR="00B957D3">
        <w:t>4</w:t>
      </w:r>
      <w:r>
        <w:t>. gadā ‒ 11 409). Sekotāji sociālo tīklu vietnēs: Facebook – 9625, Instagram –1649, YouTube – 492, bet TikTok, kur pašvaldības konts tika izveidots 202</w:t>
      </w:r>
      <w:r w:rsidR="00BC30EE">
        <w:t>3</w:t>
      </w:r>
      <w:r>
        <w:t>. gadā – 1</w:t>
      </w:r>
      <w:r w:rsidR="00BC30EE">
        <w:t>155</w:t>
      </w:r>
      <w:r>
        <w:t xml:space="preserve"> sekotāji. </w:t>
      </w:r>
    </w:p>
    <w:p w:rsidR="008B504B" w:rsidRPr="007F15EB" w:rsidP="001F2105" w14:paraId="68DE54B4" w14:textId="279E522A">
      <w:pPr>
        <w:spacing w:after="0" w:line="240" w:lineRule="auto"/>
        <w:ind w:firstLine="567"/>
        <w:jc w:val="both"/>
      </w:pPr>
      <w:r>
        <w:t>Rūpējoties, lai Aizkraukles novada iedzīvotāji iespēju robežās saņemtu atbildes uz viņus interesējošiem jautājumiem un nodrošinātu domes darba caurspīdīgumu atbilstoši Pašvaldību likumam</w:t>
      </w:r>
      <w:r w:rsidR="001F2105">
        <w:t>,</w:t>
      </w:r>
      <w:r>
        <w:t xml:space="preserve"> kas stājās spēkā 2023. gada 1. janvārī, no 2023. gada janvāra visas domes sēdes notiek tiešsaistes režīmā. Kopš 2023. gada janvāra Finanšu un </w:t>
      </w:r>
      <w:r w:rsidR="001F2105">
        <w:t>attīstības</w:t>
      </w:r>
      <w:r>
        <w:t xml:space="preserve"> jautājumu, Sociālo jautājumu un Izglītības, kultūras un sporta jautājumu komitejas sēžu audioieraksti un protokoli ir pieejami Aizkraukles novada pašvaldības tīmekļvietnē aizkraukle.lv, dodot iespēju novada iedzīvotājiem gūt ieskatu par visiem komitejās diskutētajiem aktuālajiem jautājumiem, kas tiek virzīti uz domes sēdi tālākai lēmumu pieņemšanai. </w:t>
      </w:r>
    </w:p>
    <w:p w:rsidR="008B504B" w:rsidRPr="007F15EB" w:rsidP="001F2105" w14:paraId="34647B92" w14:textId="391F214E">
      <w:pPr>
        <w:spacing w:after="0" w:line="240" w:lineRule="auto"/>
        <w:ind w:firstLine="567"/>
        <w:jc w:val="both"/>
      </w:pPr>
      <w:r>
        <w:t xml:space="preserve">2025. gadā tika uzturēts 2022. gadā izveidotais fotoattēlu uzglabāšanas un apmaiņas vietnes Flickr konts, dodot iespēju iedzīvotājiem lejuplādēt interesējošās fotogrāfijas to oriģinālajā izmērā, ieskaitot augstas izšķirtspējas kvalitatīvus fotoattēlus. Iespēju 2025.gadā  izmantojuši 2637 unikālie skatītāji.  </w:t>
      </w:r>
    </w:p>
    <w:p w:rsidR="008B504B" w:rsidRPr="007F15EB" w:rsidP="001F2105" w14:paraId="0DE56563" w14:textId="16FE6FBE">
      <w:pPr>
        <w:spacing w:after="0" w:line="240" w:lineRule="auto"/>
        <w:ind w:firstLine="567"/>
        <w:jc w:val="both"/>
      </w:pPr>
      <w:r>
        <w:t>2023. gada pavasarī tika izveidota jauna platforma komunikācijai ar iedzīvotājiem – Aizkraukles novada pašvaldības mobilā lietotne “Aizkraukles novads”, kura ir ērti pieejama un izmantojama ikviena iedzīvotāja viedtālrunī. 2023. gada beigās mobilo aplikāciju lietoja jau vairāk nekā 1000 iedzīvotāju, savukārt 202</w:t>
      </w:r>
      <w:r w:rsidR="00BC30EE">
        <w:t>5</w:t>
      </w:r>
      <w:r>
        <w:t xml:space="preserve">. gadā lietotāju skaits pieaudzis līdz </w:t>
      </w:r>
      <w:r w:rsidR="00BC30EE">
        <w:t xml:space="preserve">1556 </w:t>
      </w:r>
      <w:r>
        <w:t>iedzīvotājiem.</w:t>
      </w:r>
    </w:p>
    <w:p w:rsidR="008B504B" w:rsidRPr="007F15EB" w:rsidP="001F2105" w14:paraId="346F362C" w14:textId="168CD4DF">
      <w:pPr>
        <w:spacing w:after="0" w:line="240" w:lineRule="auto"/>
        <w:ind w:firstLine="567"/>
        <w:jc w:val="both"/>
        <w:rPr>
          <w:color w:val="EE0000"/>
        </w:rPr>
      </w:pPr>
      <w:r>
        <w:t xml:space="preserve">Mobilās lietotnes sadaļā “Ziņo pašvaldībai” novada iedzīvotāji aktīvi izmanto iespēju no sava viedtālruņa sūtīt ierosinājumus pašvaldībai un ziņot par dažādām nebūšanām vai nepieciešamajiem uzlabojumiem, ievietojot arī fotoattēlus no notikuma vietas. Kopš 2023. gada 21. marta līdz gada beigām iedzīvotāji mobilajā lietotnē veikuši 299 ierakstus, uzdodot jautājumus un izsakot savu viedokli par dažādiem sev aktuāliem jautājumiem, savukārt 2025. gadā tika veikti jau 323 ieraksti. </w:t>
      </w:r>
    </w:p>
    <w:p w:rsidR="008B504B" w:rsidRPr="007F15EB" w:rsidP="001F2105" w14:paraId="297DFA19" w14:textId="3514B965">
      <w:pPr>
        <w:spacing w:after="0" w:line="240" w:lineRule="auto"/>
        <w:ind w:firstLine="567"/>
        <w:jc w:val="both"/>
      </w:pPr>
      <w:r>
        <w:t xml:space="preserve">Komunikācijas nodaļa mobilajā lietotnē visa gada laikā ir sniegusi atbildes uz iedzīvotāju jautājumiem un ierosinājumiem, savukārt sadaļā “Pasākumi” regulāri tika ievietota jaunākā informācija par gaidāmajiem kultūras, sporta un citiem pasākumiem, bet sadaļā “Piedāvājumi” tika aktualizēta informācija par pašvaldības iestāžu un novada uzņēmumu piedāvājumiem. Mobilā </w:t>
      </w:r>
      <w:r>
        <w:t xml:space="preserve">aplikācija ar iedzīvotājiem veicinājusi divvirziena komunikāciju un efektīvāku informēšanu par pašvaldības un uzņēmēju sniegtajiem pakalpojumiem. </w:t>
      </w:r>
    </w:p>
    <w:p w:rsidR="008B504B" w:rsidRPr="007F15EB" w:rsidP="005F5F96" w14:paraId="60F048D4" w14:textId="7744C2F9">
      <w:pPr>
        <w:spacing w:after="0" w:line="240" w:lineRule="auto"/>
        <w:ind w:firstLine="567"/>
        <w:jc w:val="both"/>
      </w:pPr>
      <w:r>
        <w:t>2025. gadā tika sekmēta sadarbība ar nacionālā un reģionālā mēroga televīzijām, tajā skaitā ar Re:TV un TV3, laikrakstiem un “Latvijas Radio”, nevalstiskajām sabiedriskajām organizācijām un citām sabiedrības grupām.</w:t>
      </w:r>
    </w:p>
    <w:p w:rsidR="008B504B" w:rsidRPr="007F15EB" w:rsidP="005F5F96" w14:paraId="7D26CC3F" w14:textId="3FA11C3A">
      <w:pPr>
        <w:spacing w:after="0" w:line="240" w:lineRule="auto"/>
        <w:ind w:firstLine="567"/>
        <w:jc w:val="both"/>
      </w:pPr>
      <w:r>
        <w:t xml:space="preserve">2025. gadā Komunikācijas nodaļa sagatavoja informāciju dažādiem plašsaziņas medijiem, kā arī pašvaldības pārstāvji tiem snieguši komentārus par aktuāliem novada dzīves jautājumiem. Komunikācijas nodaļa 2025. gadā plānoja un īstenoja sabiedrisko attiecību kampaņas, organizēja iedzīvotāju aptauju, pašvaldības vadības un nozaru speciālistu tikšanās ar iedzīvotājiem. </w:t>
      </w:r>
    </w:p>
    <w:p w:rsidR="009C7DAA" w:rsidP="002B1DD5" w14:paraId="4F97577D" w14:textId="2B0804B2">
      <w:pPr>
        <w:spacing w:after="0" w:line="240" w:lineRule="auto"/>
        <w:ind w:firstLine="567"/>
        <w:jc w:val="both"/>
      </w:pPr>
      <w:r>
        <w:t>Lai īstenotu iekšējo komunikāciju, Komunikācijas nodaļa proaktīvi sadarbojās ar visām pašvaldības Centrālās pārvaldes nodaļām, iestādēm un kapitālsabiedrībām un komunicēja par sabiedrībai nozīmīgiem jautājumiem, kā arī sniedza atbalstu būtisku jautājumu un notikumu atspoguļošanā plašsaziņas medijiem un digitālajā komunikācijā sociālo tīklu kontos.</w:t>
      </w:r>
    </w:p>
    <w:p w:rsidR="002B1DD5" w:rsidRPr="002B1DD5" w:rsidP="002B1DD5" w14:paraId="0576E5DC" w14:textId="77777777">
      <w:pPr>
        <w:spacing w:after="0" w:line="240" w:lineRule="auto"/>
        <w:ind w:firstLine="567"/>
        <w:jc w:val="both"/>
      </w:pPr>
    </w:p>
    <w:p w:rsidR="009C7DAA" w:rsidP="00D115C3" w14:paraId="49962395" w14:textId="606EAB6A">
      <w:pPr>
        <w:ind w:firstLine="720"/>
        <w:jc w:val="both"/>
        <w:rPr>
          <w:rFonts w:eastAsia="Calibri"/>
          <w:b/>
          <w:bCs/>
        </w:rPr>
      </w:pPr>
      <w:r>
        <w:rPr>
          <w:rFonts w:eastAsia="Calibri"/>
          <w:b/>
          <w:bCs/>
        </w:rPr>
        <w:t>Novads kultūras jomā</w:t>
      </w:r>
    </w:p>
    <w:p w:rsidR="00D115C3" w:rsidP="002B1DD5" w14:paraId="37CCFAB2" w14:textId="7C043C9C">
      <w:pPr>
        <w:spacing w:after="0" w:line="240" w:lineRule="auto"/>
        <w:ind w:firstLine="720"/>
        <w:jc w:val="both"/>
        <w:rPr>
          <w:rFonts w:eastAsia="Calibri"/>
          <w:sz w:val="28"/>
          <w:szCs w:val="28"/>
        </w:rPr>
      </w:pPr>
      <w:r>
        <w:rPr>
          <w:rFonts w:eastAsia="Calibri"/>
        </w:rPr>
        <w:t>Saskaņā ar Aizkraukles novada ilgtspējīgas attīstības stratēģiju 2021.-2034.gadam, kultūras pārvalde pārrauga kultūras jomu virzoties uz stratēģijas 1.stratēģisko mērķi “Attīstīt kvalitatīvu dzīves telpu, vidi un pakalpojumus” (SM 1) un 2.startēģisko mērķi “Veidot aktīvu un veselu sabiedrību” (SM 3), kā arī šajā dokumentā definētajām prioritātēm:  ērta, zaļa, droša un radoša vide (IP 1); pakalpojumu kvalitāte un pieejamība (IP 2); atvērta, aktīva un izglītota sabiedrība (IP 4). Kultūras pārvaldes darbības mērķi saskan ar stratēģijas virzību: nodrošināt līdzsvarotu kultūras nozares attīstību visā novada teritorijā; apzināt un apkopot novada kultūras resursus, veicinot to racionālu izmantošanu, saglabāšanu un popularizēšanu; attīstīt sabiedrības iesaistes mehānismus kultūras procesos, veicinot radošumu; veicināt novada tēla atpazīstamību, vienotu identitāti un lokālpatriotismu.</w:t>
      </w:r>
    </w:p>
    <w:p w:rsidR="00D115C3" w:rsidP="002B1DD5" w14:paraId="4DBA5954" w14:textId="7B691B0C">
      <w:pPr>
        <w:spacing w:after="0" w:line="240" w:lineRule="auto"/>
        <w:ind w:firstLine="720"/>
        <w:jc w:val="both"/>
        <w:rPr>
          <w:rFonts w:eastAsia="Calibri"/>
        </w:rPr>
      </w:pPr>
      <w:r>
        <w:rPr>
          <w:rFonts w:eastAsia="Calibri"/>
          <w:b/>
          <w:bCs/>
        </w:rPr>
        <w:t>Virzoties uz SM 1 / IP1 un IP 2, tiek nodrošināta kultūras iestāžu darbība un koordinācija</w:t>
      </w:r>
      <w:r>
        <w:rPr>
          <w:rFonts w:eastAsia="Calibri"/>
        </w:rPr>
        <w:t xml:space="preserve">. Aizkraukles novada </w:t>
      </w:r>
      <w:r w:rsidR="002B1DD5">
        <w:rPr>
          <w:rFonts w:eastAsia="Calibri"/>
        </w:rPr>
        <w:t>K</w:t>
      </w:r>
      <w:r>
        <w:rPr>
          <w:rFonts w:eastAsia="Calibri"/>
        </w:rPr>
        <w:t>ultūras pārvaldei ir metodiskā kultūras centra statuss un tā pārrauga  kultūras jomas pakalpojumus ko sniedz  41 pašvaldības kultūras institūcija: 6 bibliotēkas ar 17 struktūrvienībām, 4 muzejus,  6 kultūras centri ar 5 struktūrvienībām. Kopumā pašvaldības kultūras sektorā strādā ap 260 darbinieku.</w:t>
      </w:r>
    </w:p>
    <w:p w:rsidR="00D115C3" w:rsidP="00B23CBA" w14:paraId="0101BD1E" w14:textId="77777777">
      <w:pPr>
        <w:spacing w:after="0" w:line="240" w:lineRule="auto"/>
        <w:ind w:firstLine="567"/>
        <w:jc w:val="both"/>
        <w:rPr>
          <w:rFonts w:eastAsia="Calibri"/>
        </w:rPr>
      </w:pPr>
      <w:r>
        <w:rPr>
          <w:rFonts w:eastAsia="Calibri"/>
        </w:rPr>
        <w:t>Noorganizēti 5 semināri kultūras darbiniekiem, 1 seminārs mantojuma objektu īpašniekiem, 2 deju kolektīvu vadītājiem, 8 semināri bibliotekāru darbiniekiem, 2 kultūras darbinieku pieredzes apmaiņas ar Gulbenes un Jēkabpils novadiem.</w:t>
      </w:r>
    </w:p>
    <w:p w:rsidR="00D115C3" w:rsidP="005962AC" w14:paraId="3AC0D3F5" w14:textId="77777777">
      <w:pPr>
        <w:spacing w:after="0" w:line="240" w:lineRule="auto"/>
        <w:ind w:firstLine="567"/>
        <w:jc w:val="both"/>
        <w:rPr>
          <w:rFonts w:eastAsia="Calibri"/>
        </w:rPr>
      </w:pPr>
      <w:r>
        <w:rPr>
          <w:rFonts w:eastAsia="Calibri"/>
          <w:b/>
          <w:bCs/>
        </w:rPr>
        <w:t>Izmaiņas struktūrā:</w:t>
      </w:r>
      <w:r>
        <w:rPr>
          <w:rFonts w:eastAsia="Calibri"/>
        </w:rPr>
        <w:t xml:space="preserve"> 2025.gadā nav notikušas izmaiņas kultūras nozares pārvaldības un iestāžu struktūrā.</w:t>
      </w:r>
    </w:p>
    <w:p w:rsidR="00D115C3" w:rsidP="005962AC" w14:paraId="1290305B" w14:textId="040224B6">
      <w:pPr>
        <w:spacing w:after="0" w:line="240" w:lineRule="auto"/>
        <w:ind w:firstLine="567"/>
        <w:jc w:val="both"/>
        <w:rPr>
          <w:rFonts w:eastAsia="Calibri"/>
        </w:rPr>
      </w:pPr>
      <w:r>
        <w:rPr>
          <w:rFonts w:eastAsia="Calibri"/>
          <w:b/>
          <w:bCs/>
        </w:rPr>
        <w:t>Komunikācij</w:t>
      </w:r>
      <w:r w:rsidR="005962AC">
        <w:rPr>
          <w:rFonts w:eastAsia="Calibri"/>
          <w:b/>
          <w:bCs/>
        </w:rPr>
        <w:t xml:space="preserve">a: </w:t>
      </w:r>
      <w:r>
        <w:rPr>
          <w:rFonts w:eastAsia="Calibri"/>
        </w:rPr>
        <w:t>par kultūras piedāvājumu iedzīvotāji tiek regulāri informēti pašvaldības oficiālajā vietnē aizkraukle.lv, tūrisma vietnē visitaizkraukle.lv</w:t>
      </w:r>
      <w:r w:rsidR="00BB500C">
        <w:rPr>
          <w:rFonts w:eastAsia="Calibri"/>
        </w:rPr>
        <w:t xml:space="preserve">, </w:t>
      </w:r>
      <w:r>
        <w:rPr>
          <w:rFonts w:eastAsia="Calibri"/>
        </w:rPr>
        <w:t xml:space="preserve">pašvaldības mobilajā aplikācijā, pašvaldības un iestāžu sociālo tīklu kontos un Aizkraukles novada informatīvajā izdevumā. </w:t>
      </w:r>
    </w:p>
    <w:p w:rsidR="00D115C3" w:rsidP="005962AC" w14:paraId="409BC38A" w14:textId="6146FE3B">
      <w:pPr>
        <w:spacing w:after="0" w:line="240" w:lineRule="auto"/>
        <w:ind w:firstLine="567"/>
        <w:jc w:val="both"/>
        <w:rPr>
          <w:rFonts w:eastAsia="Calibri"/>
        </w:rPr>
      </w:pPr>
      <w:r>
        <w:rPr>
          <w:rFonts w:eastAsia="Calibri"/>
        </w:rPr>
        <w:t xml:space="preserve">Virzoties uz </w:t>
      </w:r>
      <w:r>
        <w:rPr>
          <w:rFonts w:eastAsia="Calibri"/>
          <w:b/>
          <w:bCs/>
        </w:rPr>
        <w:t>jaunām darba formām</w:t>
      </w:r>
      <w:r>
        <w:rPr>
          <w:rFonts w:eastAsia="Calibri"/>
        </w:rPr>
        <w:t>, 2024.</w:t>
      </w:r>
      <w:r w:rsidR="00BB500C">
        <w:rPr>
          <w:rFonts w:eastAsia="Calibri"/>
        </w:rPr>
        <w:t> </w:t>
      </w:r>
      <w:r>
        <w:rPr>
          <w:rFonts w:eastAsia="Calibri"/>
        </w:rPr>
        <w:t xml:space="preserve">gadā atklāta Koprades telpa, kurā kultūras pārvaldes darbiniekiem notiek darbs kopā ar tūrisma, uzņēmējdarbības un komunikācijas speciālistiem, sniedzot atbalstu kultūras institūcijām, NVO un dažādām kultūras iniciatīvām. </w:t>
      </w:r>
    </w:p>
    <w:p w:rsidR="00D115C3" w:rsidP="00BB500C" w14:paraId="32A94C9E" w14:textId="00B01CAF">
      <w:pPr>
        <w:spacing w:after="0" w:line="240" w:lineRule="auto"/>
        <w:ind w:firstLine="567"/>
        <w:jc w:val="both"/>
        <w:rPr>
          <w:rFonts w:eastAsia="Calibri"/>
        </w:rPr>
      </w:pPr>
      <w:r>
        <w:rPr>
          <w:rFonts w:eastAsia="Calibri"/>
          <w:b/>
          <w:bCs/>
        </w:rPr>
        <w:t>Kultūras norises:</w:t>
      </w:r>
      <w:r>
        <w:rPr>
          <w:rFonts w:eastAsia="Calibri"/>
        </w:rPr>
        <w:t xml:space="preserve"> 2025.</w:t>
      </w:r>
      <w:r w:rsidR="00BB500C">
        <w:rPr>
          <w:rFonts w:eastAsia="Calibri"/>
        </w:rPr>
        <w:t> </w:t>
      </w:r>
      <w:r>
        <w:rPr>
          <w:rFonts w:eastAsia="Calibri"/>
        </w:rPr>
        <w:t>gadā</w:t>
      </w:r>
      <w:r>
        <w:t xml:space="preserve"> </w:t>
      </w:r>
      <w:r>
        <w:rPr>
          <w:rFonts w:eastAsia="Calibri"/>
          <w:b/>
          <w:bCs/>
        </w:rPr>
        <w:t>kultūras centros</w:t>
      </w:r>
      <w:r>
        <w:rPr>
          <w:rFonts w:eastAsia="Calibri"/>
        </w:rPr>
        <w:t xml:space="preserve"> noorganizēti 918 pasākumi kultūras pasākumi, ko apmeklēja 89968 (</w:t>
      </w:r>
      <w:r>
        <w:rPr>
          <w:rFonts w:eastAsia="Calibri"/>
          <w:i/>
          <w:iCs/>
        </w:rPr>
        <w:t>85 000 2022.</w:t>
      </w:r>
      <w:r w:rsidR="00BB500C">
        <w:rPr>
          <w:rFonts w:eastAsia="Calibri"/>
          <w:i/>
          <w:iCs/>
        </w:rPr>
        <w:t> </w:t>
      </w:r>
      <w:r>
        <w:rPr>
          <w:rFonts w:eastAsia="Calibri"/>
          <w:i/>
          <w:iCs/>
        </w:rPr>
        <w:t>g</w:t>
      </w:r>
      <w:r>
        <w:rPr>
          <w:rFonts w:eastAsia="Calibri"/>
        </w:rPr>
        <w:t xml:space="preserve">) apmeklētāju. Notikuši vairāki novadu vienojoši pasākumi: garīgās mūzikas festivāls “Soli Deo Gloria”, Aizkrauklē; Sēlijas tūrisma sezonas atklāšana Staburagā, Baltu vienības diena Jaunjelgavā. </w:t>
      </w:r>
    </w:p>
    <w:p w:rsidR="00D115C3" w:rsidP="00BB500C" w14:paraId="23ED07D1" w14:textId="77777777">
      <w:pPr>
        <w:spacing w:after="0" w:line="240" w:lineRule="auto"/>
        <w:ind w:firstLine="567"/>
        <w:jc w:val="both"/>
      </w:pPr>
      <w:r>
        <w:rPr>
          <w:rFonts w:eastAsia="Calibri"/>
        </w:rPr>
        <w:t>Jaunjelgavas kultūras centrs realizējis VKKF Sēlijas kultūras programmas projektu “</w:t>
      </w:r>
      <w:r>
        <w:t>Sēļu bolsam navaid gōls” piesaistot 3 987,00 eiro.</w:t>
      </w:r>
    </w:p>
    <w:p w:rsidR="00D115C3" w:rsidP="00BB500C" w14:paraId="57519C2A" w14:textId="77777777">
      <w:pPr>
        <w:spacing w:after="0" w:line="240" w:lineRule="auto"/>
        <w:ind w:firstLine="720"/>
        <w:jc w:val="both"/>
        <w:rPr>
          <w:rFonts w:eastAsia="Calibri"/>
        </w:rPr>
      </w:pPr>
    </w:p>
    <w:p w:rsidR="00D115C3" w:rsidP="00D115C3" w14:paraId="70E0DCC8" w14:textId="77777777">
      <w:pPr>
        <w:ind w:firstLine="720"/>
        <w:contextualSpacing/>
        <w:jc w:val="both"/>
        <w:rPr>
          <w:rFonts w:eastAsia="Calibri"/>
        </w:rPr>
      </w:pPr>
      <w:r>
        <w:rPr>
          <w:noProof/>
          <w:color w:val="002060"/>
          <w:shd w:val="clear" w:color="auto" w:fill="153D63" w:themeFill="text2" w:themeFillTint="E6"/>
        </w:rPr>
        <w:drawing>
          <wp:inline distT="0" distB="0" distL="0" distR="0">
            <wp:extent cx="4572000" cy="2743200"/>
            <wp:effectExtent l="0" t="0" r="0" b="0"/>
            <wp:docPr id="1376293496" name="Diagramma 1">
              <a:extLst xmlns:a="http://schemas.openxmlformats.org/drawingml/2006/main">
                <a:ext xmlns:a="http://schemas.openxmlformats.org/drawingml/2006/main" uri="{FF2B5EF4-FFF2-40B4-BE49-F238E27FC236}">
                  <a16:creationId xmlns:a16="http://schemas.microsoft.com/office/drawing/2014/main" id="{F11F4D13-F59C-294C-2DC9-9AA08147E3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115C3" w:rsidP="00D115C3" w14:paraId="7D82E993" w14:textId="77777777">
      <w:pPr>
        <w:ind w:firstLine="720"/>
        <w:contextualSpacing/>
        <w:jc w:val="both"/>
        <w:rPr>
          <w:rFonts w:eastAsia="Calibri"/>
        </w:rPr>
      </w:pPr>
    </w:p>
    <w:p w:rsidR="00D115C3" w:rsidP="00D115C3" w14:paraId="2247B599" w14:textId="77777777">
      <w:pPr>
        <w:ind w:firstLine="720"/>
        <w:contextualSpacing/>
        <w:jc w:val="both"/>
        <w:rPr>
          <w:rFonts w:eastAsia="Calibri"/>
        </w:rPr>
      </w:pPr>
      <w:r>
        <w:rPr>
          <w:noProof/>
        </w:rPr>
        <w:drawing>
          <wp:inline distT="0" distB="0" distL="0" distR="0">
            <wp:extent cx="4572000" cy="2743200"/>
            <wp:effectExtent l="0" t="0" r="0" b="0"/>
            <wp:docPr id="28743429" name="Diagramma 1">
              <a:extLst xmlns:a="http://schemas.openxmlformats.org/drawingml/2006/main">
                <a:ext xmlns:a="http://schemas.openxmlformats.org/drawingml/2006/main" uri="{FF2B5EF4-FFF2-40B4-BE49-F238E27FC236}">
                  <a16:creationId xmlns:a16="http://schemas.microsoft.com/office/drawing/2014/main" id="{42F3723D-28D1-D595-96F1-B05EE107A0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115C3" w:rsidP="00D115C3" w14:paraId="340E788A" w14:textId="77777777">
      <w:pPr>
        <w:ind w:firstLine="720"/>
        <w:contextualSpacing/>
        <w:jc w:val="both"/>
        <w:rPr>
          <w:rFonts w:eastAsia="Calibri"/>
        </w:rPr>
      </w:pPr>
    </w:p>
    <w:p w:rsidR="00D115C3" w:rsidP="00D115C3" w14:paraId="2A330453" w14:textId="77777777">
      <w:pPr>
        <w:ind w:firstLine="720"/>
        <w:contextualSpacing/>
        <w:jc w:val="both"/>
        <w:rPr>
          <w:rFonts w:eastAsia="Calibri"/>
        </w:rPr>
      </w:pPr>
    </w:p>
    <w:p w:rsidR="00D115C3" w:rsidP="00BB500C" w14:paraId="0239B4DB" w14:textId="792B5A08">
      <w:pPr>
        <w:spacing w:after="0" w:line="240" w:lineRule="auto"/>
        <w:ind w:firstLine="567"/>
        <w:jc w:val="both"/>
        <w:rPr>
          <w:rFonts w:eastAsia="Calibri"/>
        </w:rPr>
      </w:pPr>
      <w:r>
        <w:rPr>
          <w:rFonts w:eastAsia="Calibri"/>
        </w:rPr>
        <w:t xml:space="preserve">Visas novada </w:t>
      </w:r>
      <w:r>
        <w:rPr>
          <w:rFonts w:eastAsia="Calibri"/>
          <w:b/>
          <w:bCs/>
        </w:rPr>
        <w:t>bibliotēkas</w:t>
      </w:r>
      <w:r>
        <w:rPr>
          <w:rFonts w:eastAsia="Calibri"/>
        </w:rPr>
        <w:t xml:space="preserve"> ir akreditētas, kopējais patstāvīgo lasītāju skaits ir audzis nedaudz no 8647 2024.</w:t>
      </w:r>
      <w:r w:rsidR="00C80BA6">
        <w:rPr>
          <w:rFonts w:eastAsia="Calibri"/>
        </w:rPr>
        <w:t> </w:t>
      </w:r>
      <w:r>
        <w:rPr>
          <w:rFonts w:eastAsia="Calibri"/>
        </w:rPr>
        <w:t>gadā uz 8719, kopumā bibliotēkās bijuši 98036 fiziski apmeklējumi, kas ir mazāk par 2024 gada rādītāju -  129 811 apmeklētāju, bet vērojams palielinājums 3 gadu periodā (95069  2022.</w:t>
      </w:r>
      <w:r w:rsidR="00C80BA6">
        <w:rPr>
          <w:rFonts w:eastAsia="Calibri"/>
        </w:rPr>
        <w:t> </w:t>
      </w:r>
      <w:r>
        <w:rPr>
          <w:rFonts w:eastAsia="Calibri"/>
        </w:rPr>
        <w:t>gadā), virtuālo apmeklējumu skaits ir 1084920 (1 270 296 2024.g /17080 2022.</w:t>
      </w:r>
      <w:r w:rsidR="00643A09">
        <w:rPr>
          <w:rFonts w:eastAsia="Calibri"/>
        </w:rPr>
        <w:t> </w:t>
      </w:r>
      <w:r>
        <w:rPr>
          <w:rFonts w:eastAsia="Calibri"/>
        </w:rPr>
        <w:t>g</w:t>
      </w:r>
      <w:r w:rsidR="00643A09">
        <w:rPr>
          <w:rFonts w:eastAsia="Calibri"/>
        </w:rPr>
        <w:t>.</w:t>
      </w:r>
      <w:r>
        <w:rPr>
          <w:rFonts w:eastAsia="Calibri"/>
        </w:rPr>
        <w:t>),  un kopā izsniegtas 219279 vienības (244 654 2024.</w:t>
      </w:r>
      <w:r w:rsidR="00643A09">
        <w:rPr>
          <w:rFonts w:eastAsia="Calibri"/>
        </w:rPr>
        <w:t> </w:t>
      </w:r>
      <w:r>
        <w:rPr>
          <w:rFonts w:eastAsia="Calibri"/>
        </w:rPr>
        <w:t>g</w:t>
      </w:r>
      <w:r w:rsidR="00643A09">
        <w:rPr>
          <w:rFonts w:eastAsia="Calibri"/>
        </w:rPr>
        <w:t>.</w:t>
      </w:r>
      <w:r>
        <w:rPr>
          <w:rFonts w:eastAsia="Calibri"/>
        </w:rPr>
        <w:t>)</w:t>
      </w:r>
    </w:p>
    <w:p w:rsidR="00D115C3" w:rsidP="00BB500C" w14:paraId="7ADBDAB8" w14:textId="77777777">
      <w:pPr>
        <w:spacing w:after="0" w:line="240" w:lineRule="auto"/>
        <w:ind w:firstLine="720"/>
        <w:jc w:val="both"/>
        <w:rPr>
          <w:rFonts w:eastAsia="Calibri"/>
        </w:rPr>
      </w:pPr>
    </w:p>
    <w:p w:rsidR="00D115C3" w:rsidP="00D115C3" w14:paraId="5F62C8A5" w14:textId="77777777">
      <w:pPr>
        <w:ind w:firstLine="720"/>
        <w:contextualSpacing/>
        <w:jc w:val="both"/>
        <w:rPr>
          <w:rFonts w:eastAsia="Calibri"/>
        </w:rPr>
      </w:pPr>
      <w:r>
        <w:rPr>
          <w:noProof/>
        </w:rPr>
        <w:drawing>
          <wp:inline distT="0" distB="0" distL="0" distR="0">
            <wp:extent cx="5091545" cy="3595255"/>
            <wp:effectExtent l="0" t="0" r="13970" b="5715"/>
            <wp:docPr id="438712353" name="Diagramma 1">
              <a:extLst xmlns:a="http://schemas.openxmlformats.org/drawingml/2006/main">
                <a:ext xmlns:a="http://schemas.openxmlformats.org/drawingml/2006/main" uri="{FF2B5EF4-FFF2-40B4-BE49-F238E27FC236}">
                  <a16:creationId xmlns:a16="http://schemas.microsoft.com/office/drawing/2014/main" id="{0EFA1687-33B5-35E6-4163-D85F6B35A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115C3" w:rsidP="00D115C3" w14:paraId="6BB83FD3" w14:textId="77777777">
      <w:pPr>
        <w:ind w:firstLine="720"/>
        <w:contextualSpacing/>
        <w:jc w:val="both"/>
        <w:rPr>
          <w:rFonts w:eastAsia="Calibri"/>
        </w:rPr>
      </w:pPr>
    </w:p>
    <w:p w:rsidR="00D115C3" w:rsidP="00D115C3" w14:paraId="16757259" w14:textId="77777777">
      <w:pPr>
        <w:ind w:firstLine="720"/>
        <w:contextualSpacing/>
        <w:jc w:val="both"/>
        <w:rPr>
          <w:rFonts w:eastAsia="Calibri"/>
        </w:rPr>
      </w:pPr>
      <w:r>
        <w:rPr>
          <w:noProof/>
        </w:rPr>
        <w:drawing>
          <wp:inline distT="0" distB="0" distL="0" distR="0">
            <wp:extent cx="5188527" cy="3609109"/>
            <wp:effectExtent l="0" t="0" r="12700" b="10795"/>
            <wp:docPr id="1466815896" name="Diagramma 1">
              <a:extLst xmlns:a="http://schemas.openxmlformats.org/drawingml/2006/main">
                <a:ext xmlns:a="http://schemas.openxmlformats.org/drawingml/2006/main" uri="{FF2B5EF4-FFF2-40B4-BE49-F238E27FC236}">
                  <a16:creationId xmlns:a16="http://schemas.microsoft.com/office/drawing/2014/main" id="{0EFA1687-33B5-35E6-4163-D85F6B35A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115C3" w:rsidP="00D115C3" w14:paraId="32B07B01" w14:textId="77777777">
      <w:pPr>
        <w:ind w:firstLine="720"/>
        <w:contextualSpacing/>
        <w:jc w:val="both"/>
        <w:rPr>
          <w:rFonts w:eastAsia="Calibri"/>
        </w:rPr>
      </w:pPr>
    </w:p>
    <w:p w:rsidR="00D115C3" w:rsidP="00D115C3" w14:paraId="376B9175" w14:textId="77777777">
      <w:pPr>
        <w:ind w:firstLine="720"/>
        <w:contextualSpacing/>
        <w:jc w:val="both"/>
        <w:rPr>
          <w:rFonts w:eastAsia="Calibri"/>
        </w:rPr>
      </w:pPr>
    </w:p>
    <w:p w:rsidR="00D115C3" w:rsidP="00D115C3" w14:paraId="34B802E8" w14:textId="77777777">
      <w:pPr>
        <w:contextualSpacing/>
        <w:jc w:val="both"/>
        <w:rPr>
          <w:rFonts w:eastAsia="Calibri"/>
        </w:rPr>
      </w:pPr>
      <w:r>
        <w:rPr>
          <w:rFonts w:eastAsia="Calibri"/>
        </w:rPr>
        <w:t>Precīzāki kultūras iestāžu darbības dati pieejami portālā kultūrasdati.lv</w:t>
      </w:r>
    </w:p>
    <w:p w:rsidR="00D115C3" w:rsidP="00D115C3" w14:paraId="12544A1D" w14:textId="77777777">
      <w:pPr>
        <w:contextualSpacing/>
        <w:jc w:val="both"/>
        <w:rPr>
          <w:rFonts w:eastAsia="Calibri"/>
        </w:rPr>
      </w:pPr>
    </w:p>
    <w:p w:rsidR="00D115C3" w:rsidRPr="00055C53" w:rsidP="0071310D" w14:paraId="46ABE71E" w14:textId="77777777">
      <w:pPr>
        <w:spacing w:after="0" w:line="240" w:lineRule="auto"/>
        <w:ind w:firstLine="567"/>
        <w:jc w:val="both"/>
        <w:rPr>
          <w:rFonts w:eastAsia="Calibri"/>
        </w:rPr>
      </w:pPr>
      <w:r w:rsidRPr="00055C53">
        <w:rPr>
          <w:rFonts w:eastAsia="Calibri"/>
        </w:rPr>
        <w:t>Aizkraukles vēstures un mākslas muzejs realizējis VKKF atbalstītu projektu un ir veikta pastāvīgās ekspozīcijas atjaunošana piesaistot līdzekļus 25 000,00 eiro apmērā.</w:t>
      </w:r>
      <w:r w:rsidRPr="00055C53">
        <w:t xml:space="preserve"> Neretas novadpētniecības muzejā izveidota jauna vēsturiskā ekspozīcija.</w:t>
      </w:r>
    </w:p>
    <w:p w:rsidR="00D115C3" w:rsidP="00D115C3" w14:paraId="4BCE46A9" w14:textId="77777777">
      <w:pPr>
        <w:contextualSpacing/>
        <w:jc w:val="both"/>
        <w:rPr>
          <w:rFonts w:eastAsia="Calibri"/>
        </w:rPr>
      </w:pPr>
    </w:p>
    <w:p w:rsidR="00D115C3" w:rsidP="0071310D" w14:paraId="4379964A" w14:textId="77777777">
      <w:pPr>
        <w:spacing w:after="0" w:line="240" w:lineRule="auto"/>
        <w:ind w:firstLine="567"/>
        <w:contextualSpacing/>
        <w:jc w:val="both"/>
        <w:rPr>
          <w:rFonts w:eastAsia="Calibri"/>
        </w:rPr>
      </w:pPr>
      <w:r>
        <w:rPr>
          <w:rFonts w:eastAsia="Calibri"/>
          <w:b/>
          <w:bCs/>
        </w:rPr>
        <w:t xml:space="preserve">Starptautiskā sadarbība: </w:t>
      </w:r>
      <w:r>
        <w:rPr>
          <w:rFonts w:eastAsia="Calibri"/>
        </w:rPr>
        <w:t xml:space="preserve">2025.gadā noslēgts sadarbības līgums ar Rivnes pašvaldību Ukrainā, notikusi delegāciju apmaiņa pilsētu svētkos ar citām partnerpilsētām, kā arī atzīmēta 20 gadu </w:t>
      </w:r>
      <w:r>
        <w:rPr>
          <w:rFonts w:eastAsia="Calibri"/>
        </w:rPr>
        <w:t>sadarbības jubileja ar  Kiškunhalašas pilsētu Ungārijā. Sadarbībā ar Biržiem, Akmeni un Pakruoji Lietuvā kopīgi noorganizēts Starptautisks pasākums Baltu vienības diena Jaunjelgavā ar abu valstu parlamentu pārstāvju piedalīšanos. Uzsākts darbs pie projekta “Kultūras logi” kopā ar Slavutičas Ukrainā  kultūras un izglītības darbiniekiem</w:t>
      </w:r>
    </w:p>
    <w:p w:rsidR="00D115C3" w:rsidP="00D115C3" w14:paraId="2A876701" w14:textId="77777777">
      <w:pPr>
        <w:contextualSpacing/>
        <w:jc w:val="both"/>
        <w:rPr>
          <w:rFonts w:eastAsia="Calibri"/>
        </w:rPr>
      </w:pPr>
    </w:p>
    <w:p w:rsidR="00D115C3" w:rsidP="0071310D" w14:paraId="27876E34" w14:textId="77777777">
      <w:pPr>
        <w:spacing w:after="0" w:line="240" w:lineRule="auto"/>
        <w:ind w:firstLine="567"/>
        <w:jc w:val="both"/>
        <w:rPr>
          <w:rFonts w:eastAsia="Calibri"/>
        </w:rPr>
      </w:pPr>
      <w:r>
        <w:rPr>
          <w:rFonts w:eastAsia="Calibri"/>
          <w:b/>
          <w:bCs/>
        </w:rPr>
        <w:t xml:space="preserve">Virzoties uz SM 1 IP 3 sabiedrība tiek iesaistīta tautas mākslas procesos un Dziesmu svētku kustības nepārtrauktībā. </w:t>
      </w:r>
      <w:r>
        <w:rPr>
          <w:rFonts w:eastAsia="Calibri"/>
        </w:rPr>
        <w:t>Kultūras centros darbojas 101 amatiermākslas kolektīvs – 8 kori, 12 vokālie ansambļi, 19 pieaugušo  deju kolektīvi, 11 bērnu deju kolektīvi, 10 amatierteātri, 9 dažādu stilu  deju kolektīvi,  3 folkloras kopas, 2 tautas mūzikas kapelas,  2 pūtēju orķestri, 4 lietišķās mākslas studijas un 21 dažādu stilu mūzikas jomas kolektīvi, kuriem tiek nodrošināta darbība un atalgojums vadītājiem.</w:t>
      </w:r>
    </w:p>
    <w:p w:rsidR="00D115C3" w:rsidP="0071310D" w14:paraId="119B7665" w14:textId="26E98557">
      <w:pPr>
        <w:spacing w:after="0" w:line="240" w:lineRule="auto"/>
        <w:ind w:firstLine="567"/>
        <w:rPr>
          <w:rFonts w:eastAsia="Calibri"/>
        </w:rPr>
      </w:pPr>
      <w:r>
        <w:rPr>
          <w:rFonts w:eastAsia="Calibri"/>
        </w:rPr>
        <w:t xml:space="preserve">Aizkraukles novada </w:t>
      </w:r>
      <w:r w:rsidR="0071310D">
        <w:rPr>
          <w:rFonts w:eastAsia="Calibri"/>
        </w:rPr>
        <w:t>K</w:t>
      </w:r>
      <w:r>
        <w:rPr>
          <w:rFonts w:eastAsia="Calibri"/>
        </w:rPr>
        <w:t>ultūras pārvalde 2025.</w:t>
      </w:r>
      <w:r w:rsidR="0071310D">
        <w:rPr>
          <w:rFonts w:eastAsia="Calibri"/>
        </w:rPr>
        <w:t xml:space="preserve"> </w:t>
      </w:r>
      <w:r>
        <w:rPr>
          <w:rFonts w:eastAsia="Calibri"/>
        </w:rPr>
        <w:t xml:space="preserve">gadā sastādīja un izdeva grāmatu "Caur sidraba birzi iet", kurā ietverts vēsturisks apskats par Dziesmu svētku kustības pirmssākumiem Aizkraukles novadā un Dziesmu svētku 150 - gades dalībnieku atmiņu stāsti un foto liecības. </w:t>
      </w:r>
    </w:p>
    <w:p w:rsidR="00D115C3" w:rsidRPr="00862CBD" w:rsidP="00D115C3" w14:paraId="1419A855" w14:textId="77777777">
      <w:pPr>
        <w:spacing w:after="0"/>
        <w:ind w:firstLine="720"/>
        <w:rPr>
          <w:rFonts w:eastAsia="Calibri"/>
        </w:rPr>
      </w:pPr>
    </w:p>
    <w:p w:rsidR="00D115C3" w:rsidP="0071310D" w14:paraId="375B7BBA" w14:textId="0F75571F">
      <w:pPr>
        <w:spacing w:after="0" w:line="240" w:lineRule="auto"/>
        <w:ind w:firstLine="720"/>
        <w:jc w:val="both"/>
        <w:rPr>
          <w:rFonts w:eastAsia="Calibri"/>
        </w:rPr>
      </w:pPr>
      <w:r>
        <w:rPr>
          <w:rFonts w:eastAsia="Calibri"/>
        </w:rPr>
        <w:t>2025.</w:t>
      </w:r>
      <w:r w:rsidR="0071310D">
        <w:rPr>
          <w:rFonts w:eastAsia="Calibri"/>
        </w:rPr>
        <w:t> </w:t>
      </w:r>
      <w:r>
        <w:rPr>
          <w:rFonts w:eastAsia="Calibri"/>
        </w:rPr>
        <w:t>gada lielākais notikums bija novada bērnu un jauniešu amatiermākslas kolektīvu dalība  XIII Latvijas Skolu jaunatnes dziesmu un deju svētkos, kuros piedalījās 33 630 bērnu un jauniešu, vairāk nekā 600 Aizkraukles novada bērnu un jauniešu no 34 kolektīviem. 12 novada deju kolektīvi piedalījās Vidējās paaudzes svētkos Salaspilī. 4 folkloras kopas un 2 tautas mūzikas ansambļi piedalījās Starptautiskajā folkloras festivālā “Baltica”, kurā piedalījās 250 folkloras kopu, etnogrāfisko ansambļu no trijām Baltijas valstīm.</w:t>
      </w:r>
    </w:p>
    <w:p w:rsidR="00D115C3" w:rsidP="00D115C3" w14:paraId="4BA666E9" w14:textId="77777777">
      <w:pPr>
        <w:contextualSpacing/>
        <w:jc w:val="both"/>
        <w:rPr>
          <w:rFonts w:eastAsia="Calibri"/>
        </w:rPr>
      </w:pPr>
    </w:p>
    <w:p w:rsidR="00D115C3" w:rsidP="0071310D" w14:paraId="49C6D867" w14:textId="77777777">
      <w:pPr>
        <w:spacing w:after="0" w:line="240" w:lineRule="auto"/>
        <w:ind w:firstLine="567"/>
        <w:contextualSpacing/>
        <w:jc w:val="both"/>
        <w:rPr>
          <w:rFonts w:eastAsia="Calibri"/>
        </w:rPr>
      </w:pPr>
      <w:r>
        <w:rPr>
          <w:rFonts w:eastAsia="Calibri"/>
          <w:b/>
          <w:bCs/>
        </w:rPr>
        <w:t xml:space="preserve">Virzoties uz SM 3, IP 4, notiek darbs ar nevalstisko sektoru un tiek organizēti izglītojoši pasākumi, sabiedrība tiek iesaistīta kultūrvēsturiskā mantojuma saglabāšanā. </w:t>
      </w:r>
    </w:p>
    <w:p w:rsidR="00D115C3" w:rsidP="0071310D" w14:paraId="6C68C680" w14:textId="77777777">
      <w:pPr>
        <w:spacing w:after="0" w:line="240" w:lineRule="auto"/>
        <w:ind w:firstLine="567"/>
        <w:contextualSpacing/>
        <w:jc w:val="both"/>
        <w:rPr>
          <w:rFonts w:eastAsia="Calibri"/>
        </w:rPr>
      </w:pPr>
      <w:r>
        <w:rPr>
          <w:rFonts w:eastAsia="Calibri"/>
        </w:rPr>
        <w:t>Turpinot pildīt Aizkraukles novada pašvaldības abpusēji parakstīto Sadarbības memorandu NVO jomā, tika īstenoti vairāki atbalsta pasākumi NVO sektoram:</w:t>
      </w:r>
    </w:p>
    <w:p w:rsidR="00D115C3" w:rsidP="0071310D" w14:paraId="0A940999" w14:textId="4DE185D8">
      <w:pPr>
        <w:pStyle w:val="ListParagraph"/>
        <w:numPr>
          <w:ilvl w:val="0"/>
          <w:numId w:val="3"/>
        </w:numPr>
        <w:spacing w:after="0" w:line="240" w:lineRule="auto"/>
        <w:ind w:left="1077" w:hanging="357"/>
        <w:jc w:val="both"/>
        <w:rPr>
          <w:rFonts w:eastAsia="Calibri"/>
        </w:rPr>
      </w:pPr>
      <w:r>
        <w:rPr>
          <w:rFonts w:eastAsia="Calibri"/>
        </w:rPr>
        <w:t>n</w:t>
      </w:r>
      <w:r>
        <w:rPr>
          <w:rFonts w:eastAsia="Calibri"/>
        </w:rPr>
        <w:t>oorganizēts Aizkraukles novada iedzīvotāju līdzdalības forums “Drošas kopienas”, sadarbībā ar Zemgales NVO centru;</w:t>
      </w:r>
    </w:p>
    <w:p w:rsidR="00D115C3" w:rsidP="0071310D" w14:paraId="6C40F80A" w14:textId="1088B3D7">
      <w:pPr>
        <w:pStyle w:val="ListParagraph"/>
        <w:numPr>
          <w:ilvl w:val="0"/>
          <w:numId w:val="3"/>
        </w:numPr>
        <w:spacing w:after="0" w:line="240" w:lineRule="auto"/>
        <w:ind w:left="1077" w:hanging="357"/>
        <w:jc w:val="both"/>
        <w:rPr>
          <w:rFonts w:eastAsia="Calibri"/>
        </w:rPr>
      </w:pPr>
      <w:r>
        <w:rPr>
          <w:rFonts w:eastAsia="Calibri"/>
        </w:rPr>
        <w:t>d</w:t>
      </w:r>
      <w:r>
        <w:rPr>
          <w:rFonts w:eastAsia="Calibri"/>
        </w:rPr>
        <w:t>arbojas koordinācijas sistēma Aizkraukles novada NVO sektoram;</w:t>
      </w:r>
    </w:p>
    <w:p w:rsidR="00D115C3" w:rsidRPr="00AD5BF1" w:rsidP="0071310D" w14:paraId="13788016" w14:textId="2BD4EFFA">
      <w:pPr>
        <w:pStyle w:val="ListParagraph"/>
        <w:numPr>
          <w:ilvl w:val="0"/>
          <w:numId w:val="3"/>
        </w:numPr>
        <w:spacing w:after="0" w:line="240" w:lineRule="auto"/>
        <w:ind w:left="1077" w:hanging="357"/>
        <w:jc w:val="both"/>
        <w:rPr>
          <w:rFonts w:eastAsia="Calibri"/>
        </w:rPr>
      </w:pPr>
      <w:r>
        <w:rPr>
          <w:rFonts w:eastAsia="Calibri"/>
        </w:rPr>
        <w:t>Aizkraukles novada pašvaldības rīkotajā NVO projektu konkursā 2025. gadā iesniegti 34 pieteikumi, kuru īstenošanai tika pieprasīti 26 305  eiro, atbalstīts 31 projekts, kopējais finansējums  15 000 eiro</w:t>
      </w:r>
      <w:r w:rsidR="0071310D">
        <w:rPr>
          <w:rFonts w:eastAsia="Calibri"/>
        </w:rPr>
        <w:t>.</w:t>
      </w:r>
    </w:p>
    <w:p w:rsidR="00D115C3" w:rsidP="00D115C3" w14:paraId="10D68790" w14:textId="77777777">
      <w:pPr>
        <w:ind w:firstLine="720"/>
        <w:contextualSpacing/>
        <w:jc w:val="both"/>
        <w:rPr>
          <w:rFonts w:eastAsia="Calibri"/>
        </w:rPr>
      </w:pPr>
    </w:p>
    <w:p w:rsidR="00D115C3" w:rsidP="00A00227" w14:paraId="5B2A8D79" w14:textId="75E51325">
      <w:pPr>
        <w:spacing w:after="0" w:line="240" w:lineRule="auto"/>
        <w:ind w:firstLine="567"/>
        <w:jc w:val="both"/>
        <w:rPr>
          <w:rFonts w:eastAsia="Calibri"/>
        </w:rPr>
      </w:pPr>
      <w:r>
        <w:rPr>
          <w:rFonts w:eastAsia="Calibri"/>
        </w:rPr>
        <w:t>Veicinot sabiedrības iesaisti kultūrvēsturiskā mantojuma saglabāšanā, 2024.</w:t>
      </w:r>
      <w:r w:rsidR="00A00227">
        <w:rPr>
          <w:rFonts w:eastAsia="Calibri"/>
        </w:rPr>
        <w:t> </w:t>
      </w:r>
      <w:r>
        <w:rPr>
          <w:rFonts w:eastAsia="Calibri"/>
        </w:rPr>
        <w:t>gadā pieņemti Aizkraukles novada domes saistošie noteikumi Nr.</w:t>
      </w:r>
      <w:r w:rsidR="00A00227">
        <w:rPr>
          <w:rFonts w:eastAsia="Calibri"/>
        </w:rPr>
        <w:t> </w:t>
      </w:r>
      <w:r>
        <w:rPr>
          <w:rFonts w:eastAsia="Calibri"/>
        </w:rPr>
        <w:t>2024/7</w:t>
      </w:r>
      <w:r>
        <w:rPr>
          <w:rFonts w:eastAsia="Calibri"/>
        </w:rPr>
        <w:br/>
        <w:t>“Par Aizkraukles novada pašvaldības līdzfinansējumu kultūras pieminekļu saglabāšanai” un šim mērķim paredzēti līdzekļi 5000,- eiro apmērā. 2025.</w:t>
      </w:r>
      <w:r w:rsidR="00A00227">
        <w:rPr>
          <w:rFonts w:eastAsia="Calibri"/>
        </w:rPr>
        <w:t> </w:t>
      </w:r>
      <w:r>
        <w:rPr>
          <w:rFonts w:eastAsia="Calibri"/>
        </w:rPr>
        <w:t xml:space="preserve">gadā realizēti 4 projekti : </w:t>
      </w:r>
    </w:p>
    <w:p w:rsidR="00D115C3" w:rsidP="00D115C3" w14:paraId="3FEB4AE3" w14:textId="77777777">
      <w:pPr>
        <w:ind w:firstLine="720"/>
        <w:contextualSpacing/>
        <w:jc w:val="both"/>
        <w:rPr>
          <w:rFonts w:eastAsia="Calibri"/>
        </w:rPr>
      </w:pPr>
    </w:p>
    <w:tbl>
      <w:tblPr>
        <w:tblStyle w:val="TableGrid"/>
        <w:tblW w:w="0" w:type="auto"/>
        <w:jc w:val="center"/>
        <w:tblLook w:val="04A0"/>
      </w:tblPr>
      <w:tblGrid>
        <w:gridCol w:w="8296"/>
      </w:tblGrid>
      <w:tr w14:paraId="520D4ED8" w14:textId="77777777" w:rsidTr="00D115C3">
        <w:tblPrEx>
          <w:tblW w:w="0" w:type="auto"/>
          <w:jc w:val="center"/>
          <w:tblLook w:val="04A0"/>
        </w:tblPrEx>
        <w:trPr>
          <w:jc w:val="center"/>
        </w:trPr>
        <w:tc>
          <w:tcPr>
            <w:tcW w:w="8296" w:type="dxa"/>
          </w:tcPr>
          <w:p w:rsidR="00D115C3" w:rsidRPr="007B1023" w:rsidP="00F80C79" w14:paraId="6296E648" w14:textId="701C69A6">
            <w:pPr>
              <w:contextualSpacing/>
              <w:jc w:val="both"/>
              <w:rPr>
                <w:rFonts w:eastAsia="Calibri"/>
                <w:i/>
                <w:iCs/>
              </w:rPr>
            </w:pPr>
            <w:r>
              <w:rPr>
                <w:rFonts w:eastAsia="Calibri"/>
                <w:i/>
                <w:iCs/>
              </w:rPr>
              <w:t>SIA “Odzienas muiža”, projekts “Odzienas muižas kungu mājas (jeb Odzienas pils) rietumu fasādes konservācijas darbi”. Finansējums 1287,00 eiro.</w:t>
            </w:r>
          </w:p>
        </w:tc>
      </w:tr>
      <w:tr w14:paraId="204050FF" w14:textId="77777777" w:rsidTr="00D115C3">
        <w:tblPrEx>
          <w:tblW w:w="0" w:type="auto"/>
          <w:jc w:val="center"/>
          <w:tblLook w:val="04A0"/>
        </w:tblPrEx>
        <w:trPr>
          <w:jc w:val="center"/>
        </w:trPr>
        <w:tc>
          <w:tcPr>
            <w:tcW w:w="8296" w:type="dxa"/>
          </w:tcPr>
          <w:p w:rsidR="00D115C3" w:rsidRPr="007B1023" w:rsidP="00F80C79" w14:paraId="63968384" w14:textId="77777777">
            <w:pPr>
              <w:contextualSpacing/>
              <w:jc w:val="both"/>
              <w:rPr>
                <w:rFonts w:eastAsia="Calibri"/>
                <w:i/>
                <w:iCs/>
              </w:rPr>
            </w:pPr>
            <w:r>
              <w:rPr>
                <w:rFonts w:eastAsia="Calibri"/>
                <w:i/>
                <w:iCs/>
              </w:rPr>
              <w:t>Biedrība “Sēļu klubs” , projekts “Lielzalves muižas mājas vestibila koka grīdas restaurācija”. Finansējums 1287,00 eiro.</w:t>
            </w:r>
          </w:p>
        </w:tc>
      </w:tr>
      <w:tr w14:paraId="0B7B9DF3" w14:textId="77777777" w:rsidTr="00D115C3">
        <w:tblPrEx>
          <w:tblW w:w="0" w:type="auto"/>
          <w:jc w:val="center"/>
          <w:tblLook w:val="04A0"/>
        </w:tblPrEx>
        <w:trPr>
          <w:jc w:val="center"/>
        </w:trPr>
        <w:tc>
          <w:tcPr>
            <w:tcW w:w="8296" w:type="dxa"/>
          </w:tcPr>
          <w:p w:rsidR="00D115C3" w:rsidRPr="007B1023" w:rsidP="00F80C79" w14:paraId="5E700BA5" w14:textId="77777777">
            <w:pPr>
              <w:contextualSpacing/>
              <w:jc w:val="both"/>
              <w:rPr>
                <w:rFonts w:eastAsia="Calibri"/>
                <w:i/>
                <w:iCs/>
              </w:rPr>
            </w:pPr>
            <w:r>
              <w:rPr>
                <w:rFonts w:eastAsia="Calibri"/>
                <w:i/>
                <w:iCs/>
              </w:rPr>
              <w:t>Biedrībai “Atjauno muižu”, projekts “Vecmēmeles muižas kungu mājas iebūvētā seifa rāmja restaurācija”.  Finansējums 1140,00 eiro.</w:t>
            </w:r>
          </w:p>
        </w:tc>
      </w:tr>
      <w:tr w14:paraId="2F6C159D" w14:textId="77777777" w:rsidTr="00D115C3">
        <w:tblPrEx>
          <w:tblW w:w="0" w:type="auto"/>
          <w:jc w:val="center"/>
          <w:tblLook w:val="04A0"/>
        </w:tblPrEx>
        <w:trPr>
          <w:jc w:val="center"/>
        </w:trPr>
        <w:tc>
          <w:tcPr>
            <w:tcW w:w="8296" w:type="dxa"/>
          </w:tcPr>
          <w:p w:rsidR="00D115C3" w:rsidRPr="007B1023" w:rsidP="00F80C79" w14:paraId="20672110" w14:textId="77777777">
            <w:pPr>
              <w:contextualSpacing/>
              <w:jc w:val="both"/>
              <w:rPr>
                <w:rFonts w:eastAsia="Calibri"/>
                <w:i/>
                <w:iCs/>
              </w:rPr>
            </w:pPr>
            <w:r>
              <w:rPr>
                <w:rFonts w:eastAsia="Calibri"/>
                <w:i/>
                <w:iCs/>
              </w:rPr>
              <w:t>Biedrībai “Bites”, projekta  “Vecbebru muižas kungu mājas divu lieveņu dekoratīvo jumtiņu atjaunošana”.  Finansējums 1286,00 eiro</w:t>
            </w:r>
          </w:p>
        </w:tc>
      </w:tr>
    </w:tbl>
    <w:p w:rsidR="00D115C3" w:rsidP="00D115C3" w14:paraId="608607B8" w14:textId="77777777">
      <w:pPr>
        <w:ind w:firstLine="720"/>
        <w:contextualSpacing/>
        <w:jc w:val="both"/>
        <w:rPr>
          <w:b/>
          <w:bCs/>
        </w:rPr>
      </w:pPr>
    </w:p>
    <w:p w:rsidR="00D115C3" w:rsidRPr="00565114" w:rsidP="00D115C3" w14:paraId="10E2F5F6" w14:textId="6A62FA8A">
      <w:pPr>
        <w:ind w:firstLine="720"/>
        <w:contextualSpacing/>
        <w:jc w:val="both"/>
      </w:pPr>
      <w:r>
        <w:t>2025.</w:t>
      </w:r>
      <w:r w:rsidR="00493690">
        <w:t> </w:t>
      </w:r>
      <w:r>
        <w:t xml:space="preserve">gadā VKKF Sēlijas kultūras programmas atbalstītie projekti biedrībām: </w:t>
      </w:r>
    </w:p>
    <w:tbl>
      <w:tblPr>
        <w:tblStyle w:val="TableGrid"/>
        <w:tblW w:w="0" w:type="auto"/>
        <w:jc w:val="center"/>
        <w:tblLook w:val="04A0"/>
      </w:tblPr>
      <w:tblGrid>
        <w:gridCol w:w="8296"/>
      </w:tblGrid>
      <w:tr w14:paraId="7722B4CA" w14:textId="77777777" w:rsidTr="00D115C3">
        <w:tblPrEx>
          <w:tblW w:w="0" w:type="auto"/>
          <w:jc w:val="center"/>
          <w:tblLook w:val="04A0"/>
        </w:tblPrEx>
        <w:trPr>
          <w:jc w:val="center"/>
        </w:trPr>
        <w:tc>
          <w:tcPr>
            <w:tcW w:w="8296" w:type="dxa"/>
          </w:tcPr>
          <w:p w:rsidR="00D115C3" w:rsidRPr="00565114" w:rsidP="00F80C79" w14:paraId="6E02A938" w14:textId="2D47C8E9">
            <w:pPr>
              <w:contextualSpacing/>
              <w:jc w:val="both"/>
              <w:rPr>
                <w:i/>
                <w:iCs/>
              </w:rPr>
            </w:pPr>
            <w:r>
              <w:rPr>
                <w:i/>
                <w:iCs/>
              </w:rPr>
              <w:t>Vienoti Sērenei cilvēkstāstos, Biedrība "Sērenes ļaudis" 2 090,00 eiro</w:t>
            </w:r>
          </w:p>
        </w:tc>
      </w:tr>
      <w:tr w14:paraId="583A53E6" w14:textId="77777777" w:rsidTr="00D115C3">
        <w:tblPrEx>
          <w:tblW w:w="0" w:type="auto"/>
          <w:jc w:val="center"/>
          <w:tblLook w:val="04A0"/>
        </w:tblPrEx>
        <w:trPr>
          <w:jc w:val="center"/>
        </w:trPr>
        <w:tc>
          <w:tcPr>
            <w:tcW w:w="8296" w:type="dxa"/>
          </w:tcPr>
          <w:p w:rsidR="00D115C3" w:rsidRPr="00565114" w:rsidP="00F80C79" w14:paraId="097E9582" w14:textId="380EDD2D">
            <w:pPr>
              <w:contextualSpacing/>
              <w:jc w:val="both"/>
              <w:rPr>
                <w:i/>
                <w:iCs/>
              </w:rPr>
            </w:pPr>
            <w:r>
              <w:rPr>
                <w:i/>
                <w:iCs/>
              </w:rPr>
              <w:t>Dabas krāsu parāde Lielzalves muižā,  Biedrība "Sēļu klubs" 680,00 eiro; Dziesminieku dienas Sēlijā 2025, Austras biedrība 3 000,00 eiro</w:t>
            </w:r>
          </w:p>
        </w:tc>
      </w:tr>
      <w:tr w14:paraId="43282F14" w14:textId="77777777" w:rsidTr="00D115C3">
        <w:tblPrEx>
          <w:tblW w:w="0" w:type="auto"/>
          <w:jc w:val="center"/>
          <w:tblLook w:val="04A0"/>
        </w:tblPrEx>
        <w:trPr>
          <w:jc w:val="center"/>
        </w:trPr>
        <w:tc>
          <w:tcPr>
            <w:tcW w:w="8296" w:type="dxa"/>
          </w:tcPr>
          <w:p w:rsidR="00D115C3" w:rsidRPr="00565114" w:rsidP="00F80C79" w14:paraId="50B176D2" w14:textId="18B08D58">
            <w:pPr>
              <w:contextualSpacing/>
              <w:jc w:val="both"/>
              <w:rPr>
                <w:i/>
                <w:iCs/>
              </w:rPr>
            </w:pPr>
            <w:r>
              <w:rPr>
                <w:i/>
                <w:iCs/>
              </w:rPr>
              <w:t>Ērberģe – Sēlijas daļa, Biedrība "Ērberģietes" 2 722,50 eiro</w:t>
            </w:r>
          </w:p>
        </w:tc>
      </w:tr>
      <w:tr w14:paraId="41AFE951" w14:textId="77777777" w:rsidTr="00D115C3">
        <w:tblPrEx>
          <w:tblW w:w="0" w:type="auto"/>
          <w:jc w:val="center"/>
          <w:tblLook w:val="04A0"/>
        </w:tblPrEx>
        <w:trPr>
          <w:jc w:val="center"/>
        </w:trPr>
        <w:tc>
          <w:tcPr>
            <w:tcW w:w="8296" w:type="dxa"/>
          </w:tcPr>
          <w:p w:rsidR="00D115C3" w:rsidRPr="00565114" w:rsidP="00F80C79" w14:paraId="77A2F578" w14:textId="350DEB59">
            <w:pPr>
              <w:contextualSpacing/>
              <w:jc w:val="both"/>
              <w:rPr>
                <w:i/>
                <w:iCs/>
              </w:rPr>
            </w:pPr>
            <w:r>
              <w:rPr>
                <w:i/>
                <w:iCs/>
              </w:rPr>
              <w:t xml:space="preserve">Gaismai piederīgs, Biedrība "Saules aka" 2 940,00 eiro </w:t>
            </w:r>
          </w:p>
        </w:tc>
      </w:tr>
      <w:tr w14:paraId="6F57F957" w14:textId="77777777" w:rsidTr="00D115C3">
        <w:tblPrEx>
          <w:tblW w:w="0" w:type="auto"/>
          <w:jc w:val="center"/>
          <w:tblLook w:val="04A0"/>
        </w:tblPrEx>
        <w:trPr>
          <w:jc w:val="center"/>
        </w:trPr>
        <w:tc>
          <w:tcPr>
            <w:tcW w:w="8296" w:type="dxa"/>
          </w:tcPr>
          <w:p w:rsidR="00D115C3" w:rsidRPr="00565114" w:rsidP="00F80C79" w14:paraId="1496917C" w14:textId="77777777">
            <w:pPr>
              <w:contextualSpacing/>
              <w:jc w:val="both"/>
              <w:rPr>
                <w:i/>
                <w:iCs/>
              </w:rPr>
            </w:pPr>
            <w:r>
              <w:rPr>
                <w:i/>
                <w:iCs/>
              </w:rPr>
              <w:t>Semināru un meistarklašu cikls "Vēsturiskie jumti, laukakmens mūra atjaunošana, sēļu sēta",  Biedrība "Atjauno muižu" 3 050,00 eiro</w:t>
            </w:r>
          </w:p>
        </w:tc>
      </w:tr>
      <w:tr w14:paraId="77295995" w14:textId="77777777" w:rsidTr="00D115C3">
        <w:tblPrEx>
          <w:tblW w:w="0" w:type="auto"/>
          <w:jc w:val="center"/>
          <w:tblLook w:val="04A0"/>
        </w:tblPrEx>
        <w:trPr>
          <w:jc w:val="center"/>
        </w:trPr>
        <w:tc>
          <w:tcPr>
            <w:tcW w:w="8296" w:type="dxa"/>
          </w:tcPr>
          <w:p w:rsidR="00D115C3" w:rsidRPr="00565114" w:rsidP="00F80C79" w14:paraId="1D0580C2" w14:textId="77777777">
            <w:pPr>
              <w:contextualSpacing/>
              <w:jc w:val="both"/>
              <w:rPr>
                <w:i/>
                <w:iCs/>
              </w:rPr>
            </w:pPr>
            <w:r>
              <w:rPr>
                <w:i/>
                <w:iCs/>
              </w:rPr>
              <w:t>Skaidu plēšamās ierīces rasējums pēc sēļu sētas "Ķiermeles" kādreizējā saimnieka Nikolaja Mačiņa 1940. gadā darinātā parauga Biedrība "Zemnieku sēta "Ķiermeles"" 800,00 eiro</w:t>
            </w:r>
          </w:p>
        </w:tc>
      </w:tr>
      <w:tr w14:paraId="2EFDFCCF" w14:textId="77777777" w:rsidTr="00D115C3">
        <w:tblPrEx>
          <w:tblW w:w="0" w:type="auto"/>
          <w:jc w:val="center"/>
          <w:tblLook w:val="04A0"/>
        </w:tblPrEx>
        <w:trPr>
          <w:jc w:val="center"/>
        </w:trPr>
        <w:tc>
          <w:tcPr>
            <w:tcW w:w="8296" w:type="dxa"/>
          </w:tcPr>
          <w:p w:rsidR="00D115C3" w:rsidRPr="00565114" w:rsidP="00F80C79" w14:paraId="085E916F" w14:textId="77777777">
            <w:pPr>
              <w:contextualSpacing/>
              <w:jc w:val="both"/>
              <w:rPr>
                <w:i/>
                <w:iCs/>
              </w:rPr>
            </w:pPr>
            <w:r>
              <w:rPr>
                <w:i/>
                <w:iCs/>
              </w:rPr>
              <w:t>Sēlijas identitāti meklējot – etnogrāfiskā mantojuma apzināšana Neretā Latvijas Etnogrāfiskais brīvdabas muzejs 591,00 eiro</w:t>
            </w:r>
          </w:p>
        </w:tc>
      </w:tr>
    </w:tbl>
    <w:p w:rsidR="00D115C3" w:rsidP="00087D38" w14:paraId="65480193" w14:textId="77777777">
      <w:pPr>
        <w:contextualSpacing/>
        <w:jc w:val="both"/>
      </w:pPr>
    </w:p>
    <w:p w:rsidR="00D115C3" w:rsidRPr="00565114" w:rsidP="00D115C3" w14:paraId="16716163" w14:textId="1980CCB0">
      <w:pPr>
        <w:ind w:firstLine="720"/>
        <w:contextualSpacing/>
        <w:jc w:val="both"/>
      </w:pPr>
      <w:r>
        <w:t>2025.</w:t>
      </w:r>
      <w:r w:rsidR="00087D38">
        <w:t> </w:t>
      </w:r>
      <w:r>
        <w:t>gadā VKKF Vidzemes kultūras programmas atbalstītie projekti novadā:</w:t>
      </w:r>
    </w:p>
    <w:tbl>
      <w:tblPr>
        <w:tblStyle w:val="TableGrid"/>
        <w:tblW w:w="0" w:type="auto"/>
        <w:jc w:val="center"/>
        <w:tblLook w:val="04A0"/>
      </w:tblPr>
      <w:tblGrid>
        <w:gridCol w:w="8296"/>
      </w:tblGrid>
      <w:tr w14:paraId="3CF43046" w14:textId="77777777" w:rsidTr="00D115C3">
        <w:tblPrEx>
          <w:tblW w:w="0" w:type="auto"/>
          <w:jc w:val="center"/>
          <w:tblLook w:val="04A0"/>
        </w:tblPrEx>
        <w:trPr>
          <w:jc w:val="center"/>
        </w:trPr>
        <w:tc>
          <w:tcPr>
            <w:tcW w:w="8296" w:type="dxa"/>
          </w:tcPr>
          <w:p w:rsidR="00D115C3" w:rsidRPr="00565114" w:rsidP="00F80C79" w14:paraId="16B1C58B" w14:textId="77777777">
            <w:pPr>
              <w:contextualSpacing/>
              <w:jc w:val="both"/>
              <w:rPr>
                <w:i/>
                <w:iCs/>
              </w:rPr>
            </w:pPr>
            <w:r>
              <w:rPr>
                <w:i/>
                <w:iCs/>
              </w:rPr>
              <w:t>Koncertuzvedums " Kokneses sapņu komanda 1935",  Kokneses Mūzikas skola 2000,00 eiro</w:t>
            </w:r>
          </w:p>
        </w:tc>
      </w:tr>
      <w:tr w14:paraId="5E3DA15F" w14:textId="77777777" w:rsidTr="00D115C3">
        <w:tblPrEx>
          <w:tblW w:w="0" w:type="auto"/>
          <w:jc w:val="center"/>
          <w:tblLook w:val="04A0"/>
        </w:tblPrEx>
        <w:trPr>
          <w:jc w:val="center"/>
        </w:trPr>
        <w:tc>
          <w:tcPr>
            <w:tcW w:w="8296" w:type="dxa"/>
          </w:tcPr>
          <w:p w:rsidR="00D115C3" w:rsidRPr="00565114" w:rsidP="00F80C79" w14:paraId="7EECD1E8" w14:textId="77777777">
            <w:pPr>
              <w:contextualSpacing/>
              <w:jc w:val="both"/>
              <w:rPr>
                <w:i/>
                <w:iCs/>
              </w:rPr>
            </w:pPr>
            <w:r>
              <w:rPr>
                <w:i/>
                <w:iCs/>
              </w:rPr>
              <w:t>Nokļūt stāstā, Jauniešu biedrība "SOLIS" 2500,00 eiro</w:t>
            </w:r>
          </w:p>
        </w:tc>
      </w:tr>
      <w:tr w14:paraId="1AAE84BE" w14:textId="77777777" w:rsidTr="00D115C3">
        <w:tblPrEx>
          <w:tblW w:w="0" w:type="auto"/>
          <w:jc w:val="center"/>
          <w:tblLook w:val="04A0"/>
        </w:tblPrEx>
        <w:trPr>
          <w:jc w:val="center"/>
        </w:trPr>
        <w:tc>
          <w:tcPr>
            <w:tcW w:w="8296" w:type="dxa"/>
          </w:tcPr>
          <w:p w:rsidR="00D115C3" w:rsidRPr="00565114" w:rsidP="00F80C79" w14:paraId="7D64AF85" w14:textId="77777777">
            <w:pPr>
              <w:contextualSpacing/>
              <w:jc w:val="both"/>
              <w:rPr>
                <w:i/>
                <w:iCs/>
              </w:rPr>
            </w:pPr>
            <w:r>
              <w:rPr>
                <w:i/>
                <w:iCs/>
              </w:rPr>
              <w:t xml:space="preserve">Kamermūzikas dienas Pļaviņās 2025,  Pļaviņu Mūzikas skola 3000,00 eiro </w:t>
            </w:r>
          </w:p>
        </w:tc>
      </w:tr>
    </w:tbl>
    <w:p w:rsidR="00D115C3" w:rsidP="00D115C3" w14:paraId="34273794" w14:textId="77777777">
      <w:pPr>
        <w:ind w:firstLine="720"/>
        <w:contextualSpacing/>
        <w:jc w:val="both"/>
        <w:rPr>
          <w:rFonts w:eastAsia="Calibri"/>
        </w:rPr>
      </w:pPr>
    </w:p>
    <w:p w:rsidR="00D115C3" w:rsidP="00087D38" w14:paraId="5F8BF856" w14:textId="77777777">
      <w:pPr>
        <w:spacing w:after="0" w:line="240" w:lineRule="auto"/>
        <w:ind w:firstLine="720"/>
        <w:jc w:val="both"/>
        <w:rPr>
          <w:rFonts w:eastAsia="Calibri"/>
        </w:rPr>
      </w:pPr>
      <w:r>
        <w:rPr>
          <w:rFonts w:eastAsia="Calibri"/>
        </w:rPr>
        <w:t>Aizkraukles novada pārvalde piedalās Zemgales plānošanas reģiona   Interreg Europe 2021-2027 programmas projekta  “Kultūra kā Eiropas atveseļošanās sabiedrotais Nr.1’’ (CHERRY)  un Interreg Europe programmas projekta Nr. 02C0329 “Lauku teritoriju vietējo kopienu iesaiste reliģiskā mantojuma saglabāšanā” jeb REliHE.</w:t>
      </w:r>
    </w:p>
    <w:p w:rsidR="00A7700D" w:rsidP="00087D38" w14:paraId="3EE81BB5" w14:textId="77777777">
      <w:pPr>
        <w:spacing w:after="0"/>
        <w:contextualSpacing/>
        <w:jc w:val="both"/>
        <w:rPr>
          <w:b/>
          <w:bCs/>
        </w:rPr>
      </w:pPr>
    </w:p>
    <w:p w:rsidR="00D115C3" w:rsidRPr="00944E53" w:rsidP="00A7700D" w14:paraId="2DA55C8E" w14:textId="091327BC">
      <w:pPr>
        <w:spacing w:after="0"/>
        <w:ind w:firstLine="720"/>
        <w:contextualSpacing/>
        <w:jc w:val="both"/>
        <w:rPr>
          <w:rFonts w:eastAsia="Calibri"/>
        </w:rPr>
      </w:pPr>
      <w:r>
        <w:rPr>
          <w:b/>
          <w:bCs/>
        </w:rPr>
        <w:t>Galvenie uzdevumu izpildi veicinošie faktori</w:t>
      </w:r>
    </w:p>
    <w:p w:rsidR="00D115C3" w:rsidP="00480F35" w14:paraId="137B8AB1" w14:textId="32C09E7B">
      <w:pPr>
        <w:spacing w:after="0" w:line="240" w:lineRule="auto"/>
        <w:ind w:firstLine="426"/>
        <w:jc w:val="both"/>
      </w:pPr>
      <w:r>
        <w:t>Kopumā jomas attīstībā jūtama lielāka sabiedrības iesaiste un pilsoniskā līdzdalība, līdz ar to tiek veicināta arī pakalpojuma daudzveidība un dažādots piedāvājums. No Valsts Kultūrkapitāla Fonda 2025.gadā dažādos projektos novada iestādes un biedrības piesaistījušas 36 400,00 eiro</w:t>
      </w:r>
    </w:p>
    <w:p w:rsidR="00D115C3" w:rsidP="00480F35" w14:paraId="05846452" w14:textId="77777777">
      <w:pPr>
        <w:spacing w:after="0" w:line="240" w:lineRule="auto"/>
        <w:ind w:firstLine="567"/>
        <w:jc w:val="both"/>
      </w:pPr>
      <w:r>
        <w:rPr>
          <w:rFonts w:eastAsia="Calibri"/>
        </w:rPr>
        <w:t xml:space="preserve">Arvien vairāk vērojama sabiedrības iesaiste kopienu dzīvē, kā pozitīvo piemēru var minēt </w:t>
      </w:r>
      <w:r>
        <w:t>biedrību “Bites”, kura Bebru pagastā realizējusi ap 20 iedzīvotājiem noderīgu projektu (kopsummā par vairāk nekā 100 000 eiro): bērnu rotaļu laukums, atjaunotā stadiona ēka, fitnesa centrs, skeitparks, pludmales volejbola laukums, sapulču telpa senioriem,  pagasta Mežaparka estrādes apstādījumi, informatīvi stendi par pagasta un Vecbebru muižas vēsturi u.c.</w:t>
      </w:r>
    </w:p>
    <w:p w:rsidR="00D115C3" w:rsidP="00D115C3" w14:paraId="43096439" w14:textId="77777777">
      <w:pPr>
        <w:ind w:firstLine="720"/>
        <w:contextualSpacing/>
        <w:jc w:val="both"/>
      </w:pPr>
    </w:p>
    <w:p w:rsidR="00EE6381" w:rsidP="009F5A3F" w14:paraId="029AE94D" w14:textId="77777777">
      <w:pPr>
        <w:spacing w:after="0" w:line="240" w:lineRule="auto"/>
        <w:ind w:firstLine="567"/>
        <w:jc w:val="both"/>
      </w:pPr>
      <w:r>
        <w:t xml:space="preserve">Kopumā bibliotēku un kultūras centru apmeklētāju skaits salīdzinoši ar pagājušo gadu ir nedaudz samazinājies, bet palielinājies ir profesionālās mākslas piedāvājums un apmeklējums. </w:t>
      </w:r>
    </w:p>
    <w:p w:rsidR="00D115C3" w:rsidRPr="00EE6381" w:rsidP="009F5A3F" w14:paraId="5216DB92" w14:textId="02514399">
      <w:pPr>
        <w:spacing w:after="0" w:line="240" w:lineRule="auto"/>
        <w:ind w:firstLine="567"/>
        <w:jc w:val="both"/>
      </w:pPr>
      <w:r>
        <w:t>Cenu sadārdzinājums dažāda veida pakalpojumiem un nepietiekams finansējums kavē infrastruktūras un aprīkojuma uzlabošanu un pilnveidošanu mūsdienu prasībām. Kara situācija kaimiņvalstīs rada nedrošības sajūtu un impulsu taupīt resursus neizlietojot tos kultūras patēriņam.</w:t>
      </w:r>
    </w:p>
    <w:p w:rsidR="00EE6381" w:rsidP="009F5A3F" w14:paraId="29CDE40B" w14:textId="77777777">
      <w:pPr>
        <w:spacing w:after="0" w:line="360" w:lineRule="auto"/>
        <w:contextualSpacing/>
        <w:jc w:val="both"/>
        <w:rPr>
          <w:b/>
          <w:bCs/>
          <w:i/>
          <w:iCs/>
          <w:color w:val="0F4761" w:themeColor="accent1" w:themeShade="BF"/>
        </w:rPr>
      </w:pPr>
    </w:p>
    <w:p w:rsidR="0082186D" w:rsidRPr="009F5A3F" w:rsidP="00A16F10" w14:paraId="409F5EC5" w14:textId="0A2E4495">
      <w:pPr>
        <w:spacing w:after="0" w:line="360" w:lineRule="auto"/>
        <w:ind w:firstLine="709"/>
        <w:contextualSpacing/>
        <w:jc w:val="both"/>
        <w:rPr>
          <w:b/>
          <w:bCs/>
          <w:i/>
          <w:iCs/>
        </w:rPr>
      </w:pPr>
      <w:r w:rsidRPr="009F5A3F">
        <w:rPr>
          <w:b/>
          <w:bCs/>
          <w:i/>
          <w:iCs/>
        </w:rPr>
        <w:t>6. PAŠVALDĪBAS LOMA DARBĀ AR JAUNATNI</w:t>
      </w:r>
    </w:p>
    <w:p w:rsidR="008253C1" w:rsidRPr="00221DA5" w:rsidP="002943F6" w14:paraId="1775350F" w14:textId="50A05AA3">
      <w:pPr>
        <w:spacing w:after="0" w:line="240" w:lineRule="auto"/>
        <w:ind w:firstLine="567"/>
        <w:jc w:val="both"/>
      </w:pPr>
      <w:r>
        <w:t>2023.</w:t>
      </w:r>
      <w:r w:rsidR="002943F6">
        <w:t> </w:t>
      </w:r>
      <w:r>
        <w:t xml:space="preserve">gadā tika noslēgts JSPA finansētais projekts “Aizkraukles novada Jaunatnes politikas stratēģija 2024-2026” (ID Nr. VP2022/5-6). Projekta mērķis bija izpētīt esošo situāciju Aizkraukles novadā, īstenojot jauniešu aptauju, un atbilstoši gūtajiem rezultātiem izstrādāt jaunatnes jomas stratēģiju.  Projekta mērķis tika sasniegts un 19.10.2023. Aizkraukles novada domes sēdē (protokols </w:t>
      </w:r>
      <w:r w:rsidR="00786DF8">
        <w:t>N</w:t>
      </w:r>
      <w:r>
        <w:t>r.</w:t>
      </w:r>
      <w:r w:rsidR="00786DF8">
        <w:t xml:space="preserve"> </w:t>
      </w:r>
      <w:r>
        <w:t>13, 10.</w:t>
      </w:r>
      <w:r w:rsidR="00786DF8">
        <w:t> </w:t>
      </w:r>
      <w:r>
        <w:t>p.</w:t>
      </w:r>
      <w:r w:rsidR="00786DF8">
        <w:t>)</w:t>
      </w:r>
      <w:r>
        <w:t xml:space="preserve"> </w:t>
      </w:r>
      <w:r w:rsidR="00786DF8">
        <w:t>l</w:t>
      </w:r>
      <w:r>
        <w:t xml:space="preserve">ēmums </w:t>
      </w:r>
      <w:r w:rsidR="00786DF8">
        <w:t>N</w:t>
      </w:r>
      <w:r>
        <w:t>r. 669) apstiprināta “Aizkraukles novada Jaunatnes politikas stratēģija 2024.-2026.</w:t>
      </w:r>
      <w:r w:rsidR="00786DF8">
        <w:t xml:space="preserve"> </w:t>
      </w:r>
      <w:r>
        <w:t xml:space="preserve">gadam”. </w:t>
      </w:r>
    </w:p>
    <w:p w:rsidR="008253C1" w:rsidRPr="00221DA5" w:rsidP="002943F6" w14:paraId="06813F8B" w14:textId="77777777">
      <w:pPr>
        <w:spacing w:after="0" w:line="240" w:lineRule="auto"/>
        <w:ind w:firstLine="567"/>
        <w:jc w:val="both"/>
      </w:pPr>
      <w:r>
        <w:t xml:space="preserve">Balstoties izstrādātajā stratēģijā un ikgadējā veidotajā Darba plānā, ik gadu Jaunatnes politika Aizkraukles novadā tiek mērķtiecīgi un plānveidīgi attīstīta. </w:t>
      </w:r>
    </w:p>
    <w:p w:rsidR="008253C1" w:rsidRPr="00DA314E" w:rsidP="00786DF8" w14:paraId="276F68BA" w14:textId="60E9EA9E">
      <w:pPr>
        <w:spacing w:after="0" w:line="240" w:lineRule="auto"/>
        <w:ind w:firstLine="567"/>
        <w:jc w:val="both"/>
        <w:rPr>
          <w:b/>
        </w:rPr>
      </w:pPr>
      <w:r>
        <w:t xml:space="preserve">Aizkraukles novada Jaunatnes politikas stratēģijā 2024.-2026.gadam, </w:t>
      </w:r>
      <w:r>
        <w:rPr>
          <w:b/>
        </w:rPr>
        <w:t xml:space="preserve">2025. gada izvirzītas sekojošas prioritātes </w:t>
      </w:r>
      <w:r>
        <w:rPr>
          <w:b/>
          <w:iCs/>
          <w:color w:val="000000"/>
          <w:bdr w:val="none" w:sz="0" w:space="0" w:color="auto" w:frame="1"/>
          <w:lang w:eastAsia="lv-LV"/>
        </w:rPr>
        <w:t>darbam ar jaunatni Aizkraukles novada teritorijā</w:t>
      </w:r>
      <w:r w:rsidR="00786DF8">
        <w:rPr>
          <w:b/>
          <w:iCs/>
          <w:color w:val="000000"/>
          <w:bdr w:val="none" w:sz="0" w:space="0" w:color="auto" w:frame="1"/>
          <w:lang w:eastAsia="lv-LV"/>
        </w:rPr>
        <w:t>.</w:t>
      </w:r>
      <w:r>
        <w:rPr>
          <w:b/>
          <w:iCs/>
          <w:color w:val="000000"/>
          <w:bdr w:val="none" w:sz="0" w:space="0" w:color="auto" w:frame="1"/>
          <w:lang w:eastAsia="lv-LV"/>
        </w:rPr>
        <w:t xml:space="preserve"> </w:t>
      </w:r>
    </w:p>
    <w:p w:rsidR="008253C1" w:rsidRPr="00DA314E" w14:paraId="78116801" w14:textId="1F0EEFCE">
      <w:pPr>
        <w:pStyle w:val="ListParagraph"/>
        <w:numPr>
          <w:ilvl w:val="2"/>
          <w:numId w:val="6"/>
        </w:numPr>
        <w:spacing w:after="0" w:line="276" w:lineRule="auto"/>
        <w:jc w:val="both"/>
        <w:rPr>
          <w:b/>
        </w:rPr>
      </w:pPr>
      <w:r>
        <w:t>Plānot un īstenot 2025.</w:t>
      </w:r>
      <w:r w:rsidR="00786DF8">
        <w:t> </w:t>
      </w:r>
      <w:r>
        <w:t>gada aktivitātes</w:t>
      </w:r>
      <w:r w:rsidR="00786DF8">
        <w:t xml:space="preserve"> </w:t>
      </w:r>
      <w:r>
        <w:t xml:space="preserve">atbilstoši Aizkraukles novada Jaunatnes politikas stratēģijai 2024.-2026.gadam. </w:t>
      </w:r>
    </w:p>
    <w:p w:rsidR="008253C1" w:rsidRPr="00DA314E" w14:paraId="4ECFF6A8" w14:textId="1B12671D">
      <w:pPr>
        <w:pStyle w:val="ListParagraph"/>
        <w:numPr>
          <w:ilvl w:val="2"/>
          <w:numId w:val="6"/>
        </w:numPr>
        <w:spacing w:after="0" w:line="276" w:lineRule="auto"/>
        <w:jc w:val="both"/>
        <w:rPr>
          <w:b/>
        </w:rPr>
      </w:pPr>
      <w:r>
        <w:rPr>
          <w:b/>
          <w:bCs/>
        </w:rPr>
        <w:t>Prakšu</w:t>
      </w:r>
      <w:r>
        <w:rPr>
          <w:b/>
          <w:bCs/>
          <w:spacing w:val="61"/>
        </w:rPr>
        <w:t xml:space="preserve"> </w:t>
      </w:r>
      <w:r>
        <w:rPr>
          <w:b/>
          <w:bCs/>
        </w:rPr>
        <w:t>vietu</w:t>
      </w:r>
      <w:r>
        <w:rPr>
          <w:b/>
          <w:bCs/>
          <w:spacing w:val="61"/>
        </w:rPr>
        <w:t xml:space="preserve"> </w:t>
      </w:r>
      <w:r>
        <w:rPr>
          <w:b/>
          <w:bCs/>
        </w:rPr>
        <w:t>izveide</w:t>
      </w:r>
      <w:r>
        <w:rPr>
          <w:b/>
          <w:bCs/>
          <w:spacing w:val="1"/>
        </w:rPr>
        <w:t xml:space="preserve"> </w:t>
      </w:r>
      <w:r>
        <w:rPr>
          <w:b/>
          <w:bCs/>
        </w:rPr>
        <w:t>jauniešiem</w:t>
      </w:r>
      <w:r>
        <w:rPr>
          <w:spacing w:val="1"/>
        </w:rPr>
        <w:t xml:space="preserve"> </w:t>
      </w:r>
      <w:r>
        <w:t>sadarbībā</w:t>
      </w:r>
      <w:r>
        <w:rPr>
          <w:spacing w:val="1"/>
        </w:rPr>
        <w:t xml:space="preserve"> </w:t>
      </w:r>
      <w:r>
        <w:t>ar</w:t>
      </w:r>
      <w:r>
        <w:rPr>
          <w:spacing w:val="1"/>
        </w:rPr>
        <w:t xml:space="preserve"> </w:t>
      </w:r>
      <w:r>
        <w:t xml:space="preserve">Aizkraukles </w:t>
      </w:r>
      <w:r>
        <w:rPr>
          <w:spacing w:val="-1"/>
        </w:rPr>
        <w:t xml:space="preserve">novada </w:t>
      </w:r>
      <w:r>
        <w:rPr>
          <w:spacing w:val="-58"/>
        </w:rPr>
        <w:t xml:space="preserve"> </w:t>
      </w:r>
      <w:r>
        <w:t>uzņēmējiem. Izveidota</w:t>
      </w:r>
      <w:r>
        <w:rPr>
          <w:spacing w:val="1"/>
        </w:rPr>
        <w:t xml:space="preserve"> </w:t>
      </w:r>
      <w:r>
        <w:t>veiksmīga</w:t>
      </w:r>
      <w:r>
        <w:rPr>
          <w:spacing w:val="1"/>
        </w:rPr>
        <w:t xml:space="preserve"> </w:t>
      </w:r>
      <w:r>
        <w:t>sadarbība</w:t>
      </w:r>
      <w:r>
        <w:rPr>
          <w:spacing w:val="1"/>
        </w:rPr>
        <w:t xml:space="preserve"> </w:t>
      </w:r>
      <w:r>
        <w:t>ar</w:t>
      </w:r>
      <w:r>
        <w:rPr>
          <w:spacing w:val="1"/>
        </w:rPr>
        <w:t xml:space="preserve"> </w:t>
      </w:r>
      <w:r>
        <w:t>Aizkraukles</w:t>
      </w:r>
      <w:r>
        <w:rPr>
          <w:spacing w:val="1"/>
        </w:rPr>
        <w:t xml:space="preserve"> </w:t>
      </w:r>
      <w:r>
        <w:t>novada</w:t>
      </w:r>
      <w:r>
        <w:rPr>
          <w:spacing w:val="1"/>
        </w:rPr>
        <w:t xml:space="preserve"> </w:t>
      </w:r>
      <w:r>
        <w:t>Uzņēmējdarbības</w:t>
      </w:r>
      <w:r>
        <w:rPr>
          <w:spacing w:val="1"/>
        </w:rPr>
        <w:t xml:space="preserve"> </w:t>
      </w:r>
      <w:r>
        <w:t>atbalsta</w:t>
      </w:r>
      <w:r>
        <w:rPr>
          <w:spacing w:val="-2"/>
        </w:rPr>
        <w:t xml:space="preserve"> </w:t>
      </w:r>
      <w:r>
        <w:t>centru.</w:t>
      </w:r>
    </w:p>
    <w:p w:rsidR="008253C1" w:rsidRPr="00DA314E" w14:paraId="1B367475" w14:textId="77777777">
      <w:pPr>
        <w:numPr>
          <w:ilvl w:val="2"/>
          <w:numId w:val="6"/>
        </w:numPr>
        <w:tabs>
          <w:tab w:val="left" w:pos="822"/>
        </w:tabs>
        <w:spacing w:after="0" w:line="240" w:lineRule="auto"/>
        <w:jc w:val="both"/>
      </w:pPr>
      <w:r>
        <w:rPr>
          <w:b/>
          <w:bCs/>
        </w:rPr>
        <w:t xml:space="preserve">Mērķtiecīgs </w:t>
      </w:r>
      <w:r>
        <w:rPr>
          <w:b/>
          <w:bCs/>
          <w:spacing w:val="-1"/>
        </w:rPr>
        <w:t xml:space="preserve">neformālās </w:t>
      </w:r>
      <w:r>
        <w:rPr>
          <w:b/>
          <w:bCs/>
        </w:rPr>
        <w:t xml:space="preserve">izglītības </w:t>
      </w:r>
      <w:r>
        <w:rPr>
          <w:b/>
          <w:bCs/>
          <w:spacing w:val="-1"/>
        </w:rPr>
        <w:t xml:space="preserve">piedāvājums, </w:t>
      </w:r>
      <w:r>
        <w:rPr>
          <w:b/>
          <w:bCs/>
        </w:rPr>
        <w:t>atbilstoši</w:t>
      </w:r>
      <w:r>
        <w:rPr>
          <w:b/>
          <w:bCs/>
          <w:spacing w:val="-1"/>
        </w:rPr>
        <w:t xml:space="preserve"> </w:t>
      </w:r>
      <w:r>
        <w:rPr>
          <w:b/>
          <w:bCs/>
        </w:rPr>
        <w:t>pieprasījumam</w:t>
      </w:r>
      <w:r>
        <w:t xml:space="preserve">.  Īstenots projekts neformālās </w:t>
      </w:r>
      <w:r>
        <w:rPr>
          <w:spacing w:val="-1"/>
        </w:rPr>
        <w:t>izglītības</w:t>
      </w:r>
      <w:r>
        <w:rPr>
          <w:spacing w:val="-57"/>
        </w:rPr>
        <w:t xml:space="preserve">        </w:t>
      </w:r>
      <w:r>
        <w:t>piedāvājuma</w:t>
      </w:r>
      <w:r>
        <w:rPr>
          <w:spacing w:val="-2"/>
        </w:rPr>
        <w:t xml:space="preserve"> </w:t>
      </w:r>
      <w:r>
        <w:t>pilnveidošanai.</w:t>
      </w:r>
    </w:p>
    <w:p w:rsidR="008253C1" w:rsidRPr="00DA314E" w14:paraId="131E75C9" w14:textId="77777777">
      <w:pPr>
        <w:numPr>
          <w:ilvl w:val="2"/>
          <w:numId w:val="6"/>
        </w:numPr>
        <w:tabs>
          <w:tab w:val="left" w:pos="822"/>
        </w:tabs>
        <w:spacing w:after="0" w:line="240" w:lineRule="auto"/>
        <w:jc w:val="both"/>
      </w:pPr>
      <w:r>
        <w:rPr>
          <w:b/>
          <w:bCs/>
        </w:rPr>
        <w:t xml:space="preserve">Darbinieku </w:t>
      </w:r>
      <w:r>
        <w:rPr>
          <w:b/>
          <w:bCs/>
          <w:spacing w:val="-1"/>
        </w:rPr>
        <w:t xml:space="preserve">kompetenču </w:t>
      </w:r>
      <w:r>
        <w:rPr>
          <w:b/>
          <w:bCs/>
        </w:rPr>
        <w:t>pilnveide</w:t>
      </w:r>
      <w:r>
        <w:t xml:space="preserve">. Tiek nodrošināta jaunatnes </w:t>
      </w:r>
      <w:r>
        <w:rPr>
          <w:spacing w:val="-1"/>
        </w:rPr>
        <w:t xml:space="preserve">jomas </w:t>
      </w:r>
      <w:r>
        <w:rPr>
          <w:spacing w:val="-57"/>
        </w:rPr>
        <w:t xml:space="preserve"> </w:t>
      </w:r>
      <w:r>
        <w:t>darbinieku</w:t>
      </w:r>
      <w:r>
        <w:rPr>
          <w:spacing w:val="-1"/>
        </w:rPr>
        <w:t xml:space="preserve"> </w:t>
      </w:r>
      <w:r>
        <w:t>profesionālā</w:t>
      </w:r>
      <w:r>
        <w:rPr>
          <w:spacing w:val="-1"/>
        </w:rPr>
        <w:t xml:space="preserve"> </w:t>
      </w:r>
      <w:r>
        <w:t>pilnveide.</w:t>
      </w:r>
    </w:p>
    <w:p w:rsidR="008253C1" w:rsidP="00713F24" w14:paraId="12996C3A" w14:textId="613EA969">
      <w:pPr>
        <w:spacing w:after="0" w:line="240" w:lineRule="auto"/>
        <w:jc w:val="both"/>
      </w:pPr>
      <w:r>
        <w:t>Atbilstoši 2025.</w:t>
      </w:r>
      <w:r w:rsidR="00713F24">
        <w:t> </w:t>
      </w:r>
      <w:r>
        <w:t>gada plānotajam visas izvirzītās prioritātes sasniegtas un Jaunatnes politikas stratēģijas mērķi un uzdevumi izpildīti.</w:t>
      </w:r>
    </w:p>
    <w:p w:rsidR="00713F24" w:rsidP="00713F24" w14:paraId="2B6C2EFC" w14:textId="77777777">
      <w:pPr>
        <w:spacing w:after="0" w:line="240" w:lineRule="auto"/>
        <w:jc w:val="both"/>
      </w:pPr>
    </w:p>
    <w:p w:rsidR="008253C1" w:rsidRPr="003E4EF1" w:rsidP="008253C1" w14:paraId="22D99622" w14:textId="7208A4CD">
      <w:pPr>
        <w:spacing w:before="1"/>
        <w:jc w:val="both"/>
        <w:rPr>
          <w:b/>
          <w:bCs/>
        </w:rPr>
      </w:pPr>
      <w:r>
        <w:rPr>
          <w:b/>
          <w:bCs/>
        </w:rPr>
        <w:t>Projekti Jaunatnes jomā</w:t>
      </w:r>
    </w:p>
    <w:p w:rsidR="008253C1" w:rsidRPr="002233ED" w:rsidP="008253C1" w14:paraId="10615E83" w14:textId="162A7C87">
      <w:pPr>
        <w:spacing w:before="1"/>
        <w:jc w:val="both"/>
        <w:rPr>
          <w:b/>
          <w:bCs/>
        </w:rPr>
      </w:pPr>
      <w:r>
        <w:rPr>
          <w:b/>
          <w:bCs/>
        </w:rPr>
        <w:t>Pēdējo piecu gadu</w:t>
      </w:r>
      <w:r>
        <w:t xml:space="preserve"> (2021.-2025.</w:t>
      </w:r>
      <w:r w:rsidR="00713F24">
        <w:t> </w:t>
      </w:r>
      <w:r>
        <w:t xml:space="preserve">gads) </w:t>
      </w:r>
      <w:r>
        <w:rPr>
          <w:b/>
          <w:bCs/>
        </w:rPr>
        <w:t>laikā jaunatnes jomas projektos piesaistītais finansējums ir EUR 78</w:t>
      </w:r>
      <w:r w:rsidR="00713F24">
        <w:rPr>
          <w:b/>
          <w:bCs/>
        </w:rPr>
        <w:t> </w:t>
      </w:r>
      <w:r>
        <w:rPr>
          <w:b/>
          <w:bCs/>
        </w:rPr>
        <w:t>538</w:t>
      </w:r>
      <w:r w:rsidR="00713F24">
        <w:rPr>
          <w:b/>
          <w:bCs/>
        </w:rPr>
        <w:t>,</w:t>
      </w:r>
      <w:r>
        <w:rPr>
          <w:b/>
          <w:bCs/>
        </w:rPr>
        <w:t>55</w:t>
      </w:r>
    </w:p>
    <w:p w:rsidR="008253C1" w:rsidRPr="00456B81" w:rsidP="008253C1" w14:paraId="027377FF" w14:textId="243AD82A">
      <w:pPr>
        <w:tabs>
          <w:tab w:val="left" w:pos="822"/>
        </w:tabs>
        <w:jc w:val="both"/>
      </w:pPr>
      <w:r>
        <w:rPr>
          <w:b/>
          <w:bCs/>
        </w:rPr>
        <w:t>2025.gadā tika īstenoti trīs projekti</w:t>
      </w:r>
      <w:r>
        <w:t xml:space="preserve">, piesaistot jaunatnes jomas attīstībai, tai skaitā arī materiāltehnisko līdzekļu iegādei papildus </w:t>
      </w:r>
      <w:r>
        <w:rPr>
          <w:b/>
          <w:bCs/>
          <w:caps/>
          <w:spacing w:val="30"/>
        </w:rPr>
        <w:t>eur 58</w:t>
      </w:r>
      <w:r w:rsidR="00713F24">
        <w:rPr>
          <w:b/>
          <w:bCs/>
          <w:caps/>
          <w:spacing w:val="30"/>
        </w:rPr>
        <w:t> </w:t>
      </w:r>
      <w:r>
        <w:rPr>
          <w:b/>
          <w:bCs/>
          <w:caps/>
          <w:spacing w:val="30"/>
        </w:rPr>
        <w:t>726</w:t>
      </w:r>
      <w:r w:rsidR="00713F24">
        <w:rPr>
          <w:b/>
          <w:bCs/>
          <w:caps/>
          <w:spacing w:val="30"/>
        </w:rPr>
        <w:t>,</w:t>
      </w:r>
      <w:r>
        <w:rPr>
          <w:b/>
          <w:bCs/>
          <w:caps/>
          <w:spacing w:val="30"/>
        </w:rPr>
        <w:t>86</w:t>
      </w:r>
      <w:r>
        <w:rPr>
          <w:caps/>
          <w:spacing w:val="30"/>
        </w:rPr>
        <w:t xml:space="preserve">: </w:t>
      </w:r>
    </w:p>
    <w:p w:rsidR="008253C1" w:rsidRPr="00456B81" w14:paraId="22CF3227" w14:textId="77777777">
      <w:pPr>
        <w:numPr>
          <w:ilvl w:val="0"/>
          <w:numId w:val="11"/>
        </w:numPr>
        <w:tabs>
          <w:tab w:val="left" w:pos="822"/>
        </w:tabs>
        <w:spacing w:line="259" w:lineRule="auto"/>
        <w:ind w:left="709"/>
        <w:jc w:val="both"/>
      </w:pPr>
      <w:r>
        <w:t xml:space="preserve">Eiropas Solidaritātes korpusa projekts nr.2024-3-LV02-ESC30-SOL-000268163 “ViedDaris”, summa EUR 10 000; </w:t>
      </w:r>
    </w:p>
    <w:p w:rsidR="008253C1" w:rsidRPr="00456B81" w14:paraId="01C3C4B6" w14:textId="77777777">
      <w:pPr>
        <w:numPr>
          <w:ilvl w:val="0"/>
          <w:numId w:val="11"/>
        </w:numPr>
        <w:tabs>
          <w:tab w:val="left" w:pos="822"/>
        </w:tabs>
        <w:spacing w:line="259" w:lineRule="auto"/>
        <w:ind w:left="709"/>
        <w:jc w:val="both"/>
      </w:pPr>
      <w:r>
        <w:t xml:space="preserve">Jaunatnes starptautisko programmu aģentūru Latvijas Atveseļošanas un noturības mehānisma plāna projekts nr.2.3.2.1.i.0/1/23/I/CFLA/002 "Digitālā darba ar jaunatni attīstība pašvaldībās" EUR 42 726.86 + PVN daļa no pašvaldības; </w:t>
      </w:r>
    </w:p>
    <w:p w:rsidR="008253C1" w14:paraId="4E5E299F" w14:textId="77777777">
      <w:pPr>
        <w:numPr>
          <w:ilvl w:val="0"/>
          <w:numId w:val="11"/>
        </w:numPr>
        <w:tabs>
          <w:tab w:val="left" w:pos="822"/>
        </w:tabs>
        <w:spacing w:line="259" w:lineRule="auto"/>
        <w:ind w:left="709"/>
        <w:jc w:val="both"/>
      </w:pPr>
      <w:r>
        <w:t>LAD un biedrības “Aizkraukles rajona partnerība” finansēts projekts Nr. 25-04-CL05-C0LA19.2203-000006 “Tur ārā” EUR 6 000 (sadarbība ar jauniešu biedrību “Centrs”).</w:t>
      </w:r>
    </w:p>
    <w:p w:rsidR="008253C1" w:rsidP="008253C1" w14:paraId="0D6F98C0" w14:textId="00837996">
      <w:pPr>
        <w:spacing w:before="120" w:after="120"/>
        <w:jc w:val="both"/>
      </w:pPr>
      <w:r>
        <w:t>Mērķtiecīgi strādāts, lai nodrošinātu neformālās izglītības piedāvājumu jauniešiem, piemēram, kopīgi visa novada jauniešiem:</w:t>
      </w:r>
    </w:p>
    <w:p w:rsidR="008253C1" w14:paraId="0D43BC05" w14:textId="77777777">
      <w:pPr>
        <w:pStyle w:val="ListParagraph"/>
        <w:numPr>
          <w:ilvl w:val="0"/>
          <w:numId w:val="7"/>
        </w:numPr>
        <w:spacing w:before="120" w:after="120" w:line="259" w:lineRule="auto"/>
        <w:jc w:val="both"/>
      </w:pPr>
      <w:r>
        <w:t xml:space="preserve">tika organizēti vairāki </w:t>
      </w:r>
      <w:r>
        <w:rPr>
          <w:b/>
          <w:bCs/>
        </w:rPr>
        <w:t xml:space="preserve">pieredzes apmaiņas </w:t>
      </w:r>
      <w:r>
        <w:t>braucieni uz Valmieru, uz ierakstu studiju, uz Jelgavu "KOPRADES" telpu jauniešiem un Zemgales uzņēmējdarbības centra apmeklējums, kur bija iespēja izzināt digitalizācijas nozīmi uzņēmējdarbībā;</w:t>
      </w:r>
    </w:p>
    <w:p w:rsidR="008253C1" w14:paraId="7A90BD1E" w14:textId="77777777">
      <w:pPr>
        <w:pStyle w:val="ListParagraph"/>
        <w:numPr>
          <w:ilvl w:val="0"/>
          <w:numId w:val="7"/>
        </w:numPr>
        <w:spacing w:before="120" w:after="120" w:line="259" w:lineRule="auto"/>
        <w:jc w:val="both"/>
      </w:pPr>
      <w:r>
        <w:t xml:space="preserve">notikušas </w:t>
      </w:r>
      <w:r>
        <w:rPr>
          <w:b/>
          <w:bCs/>
        </w:rPr>
        <w:t>meistarklases</w:t>
      </w:r>
      <w:r>
        <w:t xml:space="preserve"> – tikšanās ar digitālā satura veidotājiem, tikšanās ar profesionālu fotogrāfu un prakstiskā meistarklasē fotostudijā;</w:t>
      </w:r>
    </w:p>
    <w:p w:rsidR="008253C1" w14:paraId="1DB415AC" w14:textId="77777777">
      <w:pPr>
        <w:pStyle w:val="ListParagraph"/>
        <w:numPr>
          <w:ilvl w:val="0"/>
          <w:numId w:val="7"/>
        </w:numPr>
        <w:spacing w:before="120" w:after="120" w:line="259" w:lineRule="auto"/>
        <w:jc w:val="both"/>
      </w:pPr>
      <w:r>
        <w:t xml:space="preserve">organizēti vairākas </w:t>
      </w:r>
      <w:r>
        <w:rPr>
          <w:b/>
          <w:bCs/>
        </w:rPr>
        <w:t xml:space="preserve">neformālās izglītības apmācības jauniešiem </w:t>
      </w:r>
      <w:r>
        <w:t>(skaņas ieraksts, animāciju veidošana, animācijas skaņas kurss, video veidošana un montēšana) par ko jaunieši ir saņēmuši apliecinājumus.</w:t>
      </w:r>
    </w:p>
    <w:p w:rsidR="008253C1" w:rsidRPr="0004150D" w14:paraId="20B01F02" w14:textId="77777777">
      <w:pPr>
        <w:pStyle w:val="ListParagraph"/>
        <w:numPr>
          <w:ilvl w:val="0"/>
          <w:numId w:val="7"/>
        </w:numPr>
        <w:spacing w:before="120" w:after="120" w:line="259" w:lineRule="auto"/>
        <w:jc w:val="both"/>
      </w:pPr>
      <w:r>
        <w:t xml:space="preserve">tika īstenotas četras dažādas </w:t>
      </w:r>
      <w:r>
        <w:rPr>
          <w:b/>
          <w:bCs/>
        </w:rPr>
        <w:t>jaunatnes darbinieku apmācības</w:t>
      </w:r>
      <w:r>
        <w:t>, stiprinot jomas speciālistu zināšanas par digitālo darbu ar jaunatni;</w:t>
      </w:r>
    </w:p>
    <w:p w:rsidR="008253C1" w:rsidRPr="0004150D" w14:paraId="1FA25A0F" w14:textId="77777777">
      <w:pPr>
        <w:pStyle w:val="ListParagraph"/>
        <w:numPr>
          <w:ilvl w:val="0"/>
          <w:numId w:val="7"/>
        </w:numPr>
        <w:spacing w:before="120" w:after="120" w:line="259" w:lineRule="auto"/>
        <w:jc w:val="both"/>
      </w:pPr>
      <w:r>
        <w:t xml:space="preserve">stiprināta novada </w:t>
      </w:r>
      <w:r>
        <w:rPr>
          <w:b/>
          <w:bCs/>
        </w:rPr>
        <w:t>jauniešu līdzdalība savas kopienas un vides veidošanā</w:t>
      </w:r>
      <w:r>
        <w:t xml:space="preserve">, piemēram, kopīgi labiekārtojot jauniešu centru un telpu vidi, kā arī veidojot savas jauniešu kopienas atpazīstamības zīmi jeb kopā ar grafisko dizaineri tika izstrādāti pieci logo, kas izceļ konkrētās apvienības jauniešu vērtības un identitāti; </w:t>
      </w:r>
    </w:p>
    <w:p w:rsidR="008253C1" w:rsidRPr="004140B2" w14:paraId="3265AC1F" w14:textId="77777777">
      <w:pPr>
        <w:pStyle w:val="ListParagraph"/>
        <w:numPr>
          <w:ilvl w:val="0"/>
          <w:numId w:val="7"/>
        </w:numPr>
        <w:spacing w:before="120" w:after="120" w:line="259" w:lineRule="auto"/>
        <w:jc w:val="both"/>
      </w:pPr>
      <w:r>
        <w:t xml:space="preserve">tika </w:t>
      </w:r>
      <w:r>
        <w:rPr>
          <w:b/>
          <w:bCs/>
        </w:rPr>
        <w:t>paplašināta materiāltehniskā bāze</w:t>
      </w:r>
      <w:r>
        <w:t>, iegādājoties 10 portatīvos datorus, skaņas un video ierakstu un montēšanai nepieciešamā tehnika, DJ pults un grafiskā dizaina planšetes, projektori un cita tehnika, kas jauniešiem nodrošina plašāku iespēju pieejamību.</w:t>
      </w:r>
    </w:p>
    <w:p w:rsidR="008253C1" w:rsidP="00713F24" w14:paraId="0188DD5C" w14:textId="3F7ED828">
      <w:pPr>
        <w:spacing w:after="0" w:line="240" w:lineRule="auto"/>
        <w:ind w:firstLine="567"/>
        <w:jc w:val="both"/>
      </w:pPr>
      <w:r>
        <w:t>Viena no 2025.</w:t>
      </w:r>
      <w:r w:rsidR="00713F24">
        <w:t> </w:t>
      </w:r>
      <w:r>
        <w:t>gada prioritātēm bija -</w:t>
      </w:r>
      <w:r>
        <w:rPr>
          <w:b/>
          <w:bCs/>
        </w:rPr>
        <w:t xml:space="preserve"> prakšu</w:t>
      </w:r>
      <w:r>
        <w:rPr>
          <w:b/>
          <w:bCs/>
          <w:spacing w:val="61"/>
        </w:rPr>
        <w:t xml:space="preserve"> </w:t>
      </w:r>
      <w:r>
        <w:rPr>
          <w:b/>
          <w:bCs/>
        </w:rPr>
        <w:t>vietu</w:t>
      </w:r>
      <w:r>
        <w:rPr>
          <w:b/>
          <w:bCs/>
          <w:spacing w:val="61"/>
        </w:rPr>
        <w:t xml:space="preserve"> </w:t>
      </w:r>
      <w:r>
        <w:rPr>
          <w:b/>
          <w:bCs/>
        </w:rPr>
        <w:t>izveide</w:t>
      </w:r>
      <w:r>
        <w:rPr>
          <w:b/>
          <w:bCs/>
          <w:spacing w:val="1"/>
        </w:rPr>
        <w:t xml:space="preserve"> </w:t>
      </w:r>
      <w:r>
        <w:rPr>
          <w:b/>
          <w:bCs/>
        </w:rPr>
        <w:t>jauniešiem</w:t>
      </w:r>
      <w:r>
        <w:t>,</w:t>
      </w:r>
      <w:r>
        <w:rPr>
          <w:spacing w:val="1"/>
        </w:rPr>
        <w:t xml:space="preserve"> </w:t>
      </w:r>
      <w:r>
        <w:t>sadarbībā</w:t>
      </w:r>
      <w:r>
        <w:rPr>
          <w:spacing w:val="1"/>
        </w:rPr>
        <w:t xml:space="preserve"> </w:t>
      </w:r>
      <w:r>
        <w:t>ar</w:t>
      </w:r>
      <w:r>
        <w:rPr>
          <w:spacing w:val="1"/>
        </w:rPr>
        <w:t xml:space="preserve"> </w:t>
      </w:r>
      <w:r>
        <w:t xml:space="preserve">Aizkraukles </w:t>
      </w:r>
      <w:r>
        <w:rPr>
          <w:spacing w:val="-1"/>
        </w:rPr>
        <w:t xml:space="preserve">novada </w:t>
      </w:r>
      <w:r>
        <w:rPr>
          <w:spacing w:val="-58"/>
        </w:rPr>
        <w:t xml:space="preserve"> </w:t>
      </w:r>
      <w:r>
        <w:t>uzņēmējiem. Izveidota</w:t>
      </w:r>
      <w:r>
        <w:rPr>
          <w:spacing w:val="1"/>
        </w:rPr>
        <w:t xml:space="preserve"> </w:t>
      </w:r>
      <w:r>
        <w:t>veiksmīga</w:t>
      </w:r>
      <w:r>
        <w:rPr>
          <w:spacing w:val="1"/>
        </w:rPr>
        <w:t xml:space="preserve"> </w:t>
      </w:r>
      <w:r>
        <w:t>sadarbība</w:t>
      </w:r>
      <w:r>
        <w:rPr>
          <w:spacing w:val="1"/>
        </w:rPr>
        <w:t xml:space="preserve"> </w:t>
      </w:r>
      <w:r>
        <w:t>ar</w:t>
      </w:r>
      <w:r>
        <w:rPr>
          <w:spacing w:val="1"/>
        </w:rPr>
        <w:t xml:space="preserve"> </w:t>
      </w:r>
      <w:r>
        <w:t>Aizkraukles</w:t>
      </w:r>
      <w:r>
        <w:rPr>
          <w:spacing w:val="1"/>
        </w:rPr>
        <w:t xml:space="preserve"> </w:t>
      </w:r>
      <w:r>
        <w:t>novada</w:t>
      </w:r>
      <w:r>
        <w:rPr>
          <w:spacing w:val="1"/>
        </w:rPr>
        <w:t xml:space="preserve"> </w:t>
      </w:r>
      <w:r>
        <w:t>Uzņēmējdarbības</w:t>
      </w:r>
      <w:r>
        <w:rPr>
          <w:spacing w:val="1"/>
        </w:rPr>
        <w:t xml:space="preserve"> </w:t>
      </w:r>
      <w:r>
        <w:t>atbalsta</w:t>
      </w:r>
      <w:r>
        <w:rPr>
          <w:spacing w:val="-2"/>
        </w:rPr>
        <w:t xml:space="preserve"> </w:t>
      </w:r>
      <w:r>
        <w:t>centru</w:t>
      </w:r>
    </w:p>
    <w:p w:rsidR="008253C1" w:rsidP="00713F24" w14:paraId="7AA0B975" w14:textId="77777777">
      <w:pPr>
        <w:spacing w:after="0" w:line="240" w:lineRule="auto"/>
        <w:ind w:firstLine="567"/>
        <w:jc w:val="both"/>
        <w:rPr>
          <w:u w:val="single"/>
        </w:rPr>
      </w:pPr>
      <w:r>
        <w:t xml:space="preserve">Aizkraukles novada Interešu izglītības centra jaunatnes jomas speciālisti ciešā sadarbībā ar Aizkraukles novada pašvaldības Centrālās pārvaldes Komunikācijas nodaļas uzņēmējdarbības atbalsta un komunikācijas speciālistēm izstrādāja nolikumu “Jauniešu kompetenču pilnveides prakse uzņēmumos digitālo un uzņēmējdarbības prasmju attīstībai”. </w:t>
      </w:r>
      <w:r>
        <w:rPr>
          <w:u w:val="single"/>
        </w:rPr>
        <w:t xml:space="preserve">Prakse tiek īstenota Atveseļošanas fonda </w:t>
      </w:r>
      <w:r>
        <w:rPr>
          <w:u w:val="single"/>
        </w:rPr>
        <w:t xml:space="preserve">investīciju projekta Nr. 2.3.2.1.i.0/1/23/I/CFLA/002 “Digitālā darba ar jaunatni sistēmas attīstība pašvaldībās” ietvaros. </w:t>
      </w:r>
    </w:p>
    <w:p w:rsidR="008253C1" w:rsidRPr="002C2774" w:rsidP="00713F24" w14:paraId="02F7AFB3" w14:textId="77777777">
      <w:pPr>
        <w:spacing w:after="0" w:line="240" w:lineRule="auto"/>
        <w:ind w:firstLine="567"/>
        <w:jc w:val="both"/>
        <w:rPr>
          <w:b/>
          <w:bCs/>
        </w:rPr>
      </w:pPr>
      <w:r>
        <w:rPr>
          <w:b/>
          <w:bCs/>
        </w:rPr>
        <w:t xml:space="preserve">Tika parakstīti deviņi sadarbības līgumi – starp deviņiem jauniešiem, pieciem uzņēmējiem un Aizkraukles novada Interešu izglītības centru kā pašvaldības pārstāvi. </w:t>
      </w:r>
      <w:r>
        <w:rPr>
          <w:u w:val="single"/>
        </w:rPr>
        <w:t>Prakšu īstenošanai netika piesaistīti līdzekļi – tā bija visu pušu brīvprātīga, bezatlīdzības iesaiste.</w:t>
      </w:r>
      <w:r>
        <w:rPr>
          <w:b/>
          <w:bCs/>
        </w:rPr>
        <w:t xml:space="preserve"> </w:t>
      </w:r>
    </w:p>
    <w:p w:rsidR="008253C1" w:rsidP="00016987" w14:paraId="731C1E25" w14:textId="77777777">
      <w:pPr>
        <w:spacing w:after="0" w:line="240" w:lineRule="auto"/>
        <w:ind w:firstLine="567"/>
        <w:jc w:val="both"/>
      </w:pPr>
      <w:r>
        <w:t>Prakses norisinājās no 2025. gada 1. septembra līdz 31. decembrim un bija tieši saistītas ar uzņēmējdarbības un digitālo kompetenču pilnveidi. Katrs uzņēmējs kopā ar jaunieti un pašvaldības pārstāvjiem izvērtēja konkrēto situāciju, nosakot prakses mērķus un uzdevumus, lai sadarbība būtu mērķtiecīga un sniegtu reālu pienesumu gan jaunieša izaugsmei, gan uzņēmuma attīstībai.</w:t>
      </w:r>
    </w:p>
    <w:p w:rsidR="00016987" w:rsidP="00016987" w14:paraId="42390BD3" w14:textId="77777777">
      <w:pPr>
        <w:spacing w:before="1"/>
        <w:ind w:firstLine="567"/>
        <w:jc w:val="both"/>
      </w:pPr>
      <w:r>
        <w:t>Izanalizējot paveikto, pieņemts lēmums arī turpmāk attīstīt kompetenču pilnveides prakšu īstenošanu sadarbībā ar uzņēmumiem.</w:t>
      </w:r>
    </w:p>
    <w:p w:rsidR="00A7700D" w:rsidRPr="00223BE4" w:rsidP="00223BE4" w14:paraId="3A55F99D" w14:textId="04B61E55">
      <w:pPr>
        <w:spacing w:after="0" w:line="240" w:lineRule="auto"/>
        <w:ind w:firstLine="567"/>
        <w:jc w:val="both"/>
      </w:pPr>
      <w:r>
        <w:t>K</w:t>
      </w:r>
      <w:r w:rsidR="008253C1">
        <w:t xml:space="preserve">atru gadu notiek </w:t>
      </w:r>
      <w:r w:rsidR="008253C1">
        <w:rPr>
          <w:b/>
          <w:bCs/>
        </w:rPr>
        <w:t>Aizkraukles novada Jauniešu diena</w:t>
      </w:r>
      <w:r w:rsidR="008253C1">
        <w:t>, kas pulcē jauniešus no visa novada</w:t>
      </w:r>
      <w:r w:rsidR="00223BE4">
        <w:t>, k</w:t>
      </w:r>
      <w:r w:rsidR="008253C1">
        <w:t xml:space="preserve">ā arī gada garumā katrā no jauniešu centriem ir notikuši dažādas neformālās izglītības aktivitātes. Mērķtiecīgi uz kādu no pasākumiem, ko rīko jaunatnes darbinieki, ieradies 1761 jaunietis.  </w:t>
      </w:r>
    </w:p>
    <w:p w:rsidR="00A7700D" w:rsidP="008253C1" w14:paraId="6B6DBEDF" w14:textId="77777777">
      <w:pPr>
        <w:spacing w:before="120" w:after="120"/>
        <w:jc w:val="center"/>
        <w:rPr>
          <w:b/>
          <w:bCs/>
          <w:i/>
          <w:iCs/>
        </w:rPr>
      </w:pPr>
    </w:p>
    <w:p w:rsidR="008253C1" w:rsidRPr="00265EBA" w:rsidP="008253C1" w14:paraId="38D39738" w14:textId="0F55D8E0">
      <w:pPr>
        <w:spacing w:before="120" w:after="120"/>
        <w:jc w:val="center"/>
        <w:rPr>
          <w:i/>
          <w:iCs/>
        </w:rPr>
      </w:pPr>
      <w:r>
        <w:rPr>
          <w:b/>
          <w:bCs/>
          <w:i/>
          <w:iCs/>
        </w:rPr>
        <w:t>Rīkoto pasākumu un to apmeklētāju skaits</w:t>
      </w:r>
    </w:p>
    <w:tbl>
      <w:tblPr>
        <w:tblStyle w:val="TableGrid"/>
        <w:tblW w:w="9351" w:type="dxa"/>
        <w:jc w:val="center"/>
        <w:tblLook w:val="04A0"/>
      </w:tblPr>
      <w:tblGrid>
        <w:gridCol w:w="1252"/>
        <w:gridCol w:w="1583"/>
        <w:gridCol w:w="1705"/>
        <w:gridCol w:w="1206"/>
        <w:gridCol w:w="1349"/>
        <w:gridCol w:w="1050"/>
        <w:gridCol w:w="1206"/>
      </w:tblGrid>
      <w:tr w14:paraId="146522F3" w14:textId="77777777" w:rsidTr="00FD5935">
        <w:tblPrEx>
          <w:tblW w:w="9351" w:type="dxa"/>
          <w:jc w:val="center"/>
          <w:tblLook w:val="04A0"/>
        </w:tblPrEx>
        <w:trPr>
          <w:jc w:val="center"/>
        </w:trPr>
        <w:tc>
          <w:tcPr>
            <w:tcW w:w="1252" w:type="dxa"/>
          </w:tcPr>
          <w:p w:rsidR="008253C1" w:rsidRPr="00023FBA" w:rsidP="00F80C79" w14:paraId="285D0029" w14:textId="77777777">
            <w:pPr>
              <w:spacing w:before="120" w:after="120"/>
              <w:jc w:val="both"/>
              <w:rPr>
                <w:sz w:val="20"/>
                <w:szCs w:val="20"/>
              </w:rPr>
            </w:pPr>
            <w:r>
              <w:rPr>
                <w:sz w:val="20"/>
                <w:szCs w:val="20"/>
              </w:rPr>
              <w:t>Vieta</w:t>
            </w:r>
          </w:p>
        </w:tc>
        <w:tc>
          <w:tcPr>
            <w:tcW w:w="1583" w:type="dxa"/>
            <w:vAlign w:val="center"/>
          </w:tcPr>
          <w:p w:rsidR="008253C1" w:rsidRPr="00023FBA" w:rsidP="00F80C79" w14:paraId="12DBDCF2" w14:textId="77777777">
            <w:pPr>
              <w:spacing w:before="120" w:after="120"/>
              <w:jc w:val="both"/>
              <w:rPr>
                <w:sz w:val="20"/>
                <w:szCs w:val="20"/>
              </w:rPr>
            </w:pPr>
            <w:r>
              <w:rPr>
                <w:b/>
                <w:bCs/>
                <w:sz w:val="20"/>
                <w:szCs w:val="20"/>
              </w:rPr>
              <w:t>AIZKRAUKLE</w:t>
            </w:r>
          </w:p>
        </w:tc>
        <w:tc>
          <w:tcPr>
            <w:tcW w:w="1705" w:type="dxa"/>
            <w:vAlign w:val="center"/>
          </w:tcPr>
          <w:p w:rsidR="008253C1" w:rsidRPr="00023FBA" w:rsidP="00F80C79" w14:paraId="17B7DE4C" w14:textId="77777777">
            <w:pPr>
              <w:spacing w:before="120" w:after="120"/>
              <w:jc w:val="both"/>
              <w:rPr>
                <w:sz w:val="20"/>
                <w:szCs w:val="20"/>
              </w:rPr>
            </w:pPr>
            <w:r>
              <w:rPr>
                <w:b/>
                <w:bCs/>
                <w:sz w:val="20"/>
                <w:szCs w:val="20"/>
              </w:rPr>
              <w:t>JAUNJELGAVA</w:t>
            </w:r>
          </w:p>
        </w:tc>
        <w:tc>
          <w:tcPr>
            <w:tcW w:w="1206" w:type="dxa"/>
            <w:vAlign w:val="center"/>
          </w:tcPr>
          <w:p w:rsidR="008253C1" w:rsidRPr="00023FBA" w:rsidP="00F80C79" w14:paraId="03D7CDCC" w14:textId="77777777">
            <w:pPr>
              <w:spacing w:before="120" w:after="120"/>
              <w:jc w:val="both"/>
              <w:rPr>
                <w:sz w:val="20"/>
                <w:szCs w:val="20"/>
              </w:rPr>
            </w:pPr>
            <w:r>
              <w:rPr>
                <w:b/>
                <w:bCs/>
                <w:sz w:val="20"/>
                <w:szCs w:val="20"/>
              </w:rPr>
              <w:t>SKRĪVERI</w:t>
            </w:r>
          </w:p>
        </w:tc>
        <w:tc>
          <w:tcPr>
            <w:tcW w:w="1349" w:type="dxa"/>
            <w:vAlign w:val="center"/>
          </w:tcPr>
          <w:p w:rsidR="008253C1" w:rsidRPr="00023FBA" w:rsidP="00F80C79" w14:paraId="08FEC9D4" w14:textId="77777777">
            <w:pPr>
              <w:spacing w:before="120" w:after="120"/>
              <w:jc w:val="both"/>
              <w:rPr>
                <w:sz w:val="20"/>
                <w:szCs w:val="20"/>
              </w:rPr>
            </w:pPr>
            <w:r>
              <w:rPr>
                <w:b/>
                <w:bCs/>
                <w:sz w:val="20"/>
                <w:szCs w:val="20"/>
              </w:rPr>
              <w:t>PĻAVIŅAS</w:t>
            </w:r>
          </w:p>
        </w:tc>
        <w:tc>
          <w:tcPr>
            <w:tcW w:w="1050" w:type="dxa"/>
            <w:vAlign w:val="center"/>
          </w:tcPr>
          <w:p w:rsidR="008253C1" w:rsidRPr="00023FBA" w:rsidP="00F80C79" w14:paraId="31917EC4" w14:textId="77777777">
            <w:pPr>
              <w:spacing w:before="120" w:after="120"/>
              <w:jc w:val="both"/>
              <w:rPr>
                <w:sz w:val="20"/>
                <w:szCs w:val="20"/>
              </w:rPr>
            </w:pPr>
            <w:r>
              <w:rPr>
                <w:b/>
                <w:bCs/>
                <w:sz w:val="20"/>
                <w:szCs w:val="20"/>
              </w:rPr>
              <w:t>NERETA</w:t>
            </w:r>
          </w:p>
        </w:tc>
        <w:tc>
          <w:tcPr>
            <w:tcW w:w="1206" w:type="dxa"/>
          </w:tcPr>
          <w:p w:rsidR="008253C1" w:rsidRPr="00023FBA" w:rsidP="00F80C79" w14:paraId="35B8FA3F" w14:textId="77777777">
            <w:pPr>
              <w:spacing w:before="120" w:after="120"/>
              <w:jc w:val="both"/>
              <w:rPr>
                <w:b/>
                <w:bCs/>
                <w:sz w:val="20"/>
                <w:szCs w:val="20"/>
              </w:rPr>
            </w:pPr>
            <w:r>
              <w:rPr>
                <w:b/>
                <w:bCs/>
                <w:sz w:val="20"/>
                <w:szCs w:val="20"/>
              </w:rPr>
              <w:t>KOKNESE</w:t>
            </w:r>
          </w:p>
        </w:tc>
      </w:tr>
      <w:tr w14:paraId="68EDB082" w14:textId="77777777" w:rsidTr="00FD5935">
        <w:tblPrEx>
          <w:tblW w:w="9351" w:type="dxa"/>
          <w:jc w:val="center"/>
          <w:tblLook w:val="04A0"/>
        </w:tblPrEx>
        <w:trPr>
          <w:jc w:val="center"/>
        </w:trPr>
        <w:tc>
          <w:tcPr>
            <w:tcW w:w="1252" w:type="dxa"/>
          </w:tcPr>
          <w:p w:rsidR="008253C1" w:rsidRPr="00023FBA" w:rsidP="00F80C79" w14:paraId="06FA7283" w14:textId="77777777">
            <w:pPr>
              <w:spacing w:before="120" w:after="120"/>
              <w:jc w:val="both"/>
              <w:rPr>
                <w:sz w:val="20"/>
                <w:szCs w:val="20"/>
              </w:rPr>
            </w:pPr>
            <w:r>
              <w:rPr>
                <w:sz w:val="20"/>
                <w:szCs w:val="20"/>
              </w:rPr>
              <w:t>Pasākumu skaits</w:t>
            </w:r>
          </w:p>
        </w:tc>
        <w:tc>
          <w:tcPr>
            <w:tcW w:w="1583" w:type="dxa"/>
            <w:vAlign w:val="center"/>
          </w:tcPr>
          <w:p w:rsidR="008253C1" w:rsidRPr="00023FBA" w:rsidP="00F80C79" w14:paraId="5107C1D6" w14:textId="77777777">
            <w:pPr>
              <w:spacing w:before="120" w:after="120"/>
              <w:jc w:val="center"/>
              <w:rPr>
                <w:sz w:val="20"/>
                <w:szCs w:val="20"/>
              </w:rPr>
            </w:pPr>
            <w:r>
              <w:rPr>
                <w:sz w:val="20"/>
                <w:szCs w:val="20"/>
              </w:rPr>
              <w:t>49</w:t>
            </w:r>
          </w:p>
        </w:tc>
        <w:tc>
          <w:tcPr>
            <w:tcW w:w="1705" w:type="dxa"/>
            <w:vAlign w:val="center"/>
          </w:tcPr>
          <w:p w:rsidR="008253C1" w:rsidRPr="00023FBA" w:rsidP="00F80C79" w14:paraId="31A41C10" w14:textId="77777777">
            <w:pPr>
              <w:spacing w:before="120" w:after="120"/>
              <w:jc w:val="center"/>
              <w:rPr>
                <w:sz w:val="20"/>
                <w:szCs w:val="20"/>
              </w:rPr>
            </w:pPr>
            <w:r>
              <w:rPr>
                <w:sz w:val="20"/>
                <w:szCs w:val="20"/>
              </w:rPr>
              <w:t>24</w:t>
            </w:r>
          </w:p>
        </w:tc>
        <w:tc>
          <w:tcPr>
            <w:tcW w:w="1206" w:type="dxa"/>
            <w:vAlign w:val="center"/>
          </w:tcPr>
          <w:p w:rsidR="008253C1" w:rsidRPr="00023FBA" w:rsidP="00F80C79" w14:paraId="7FD56C2C" w14:textId="77777777">
            <w:pPr>
              <w:spacing w:before="120" w:after="120"/>
              <w:jc w:val="center"/>
              <w:rPr>
                <w:sz w:val="20"/>
                <w:szCs w:val="20"/>
              </w:rPr>
            </w:pPr>
            <w:r>
              <w:rPr>
                <w:sz w:val="20"/>
                <w:szCs w:val="20"/>
              </w:rPr>
              <w:t>24</w:t>
            </w:r>
          </w:p>
        </w:tc>
        <w:tc>
          <w:tcPr>
            <w:tcW w:w="1349" w:type="dxa"/>
            <w:vAlign w:val="center"/>
          </w:tcPr>
          <w:p w:rsidR="008253C1" w:rsidRPr="00023FBA" w:rsidP="00F80C79" w14:paraId="39A3D66F" w14:textId="77777777">
            <w:pPr>
              <w:spacing w:before="120" w:after="120"/>
              <w:jc w:val="center"/>
              <w:rPr>
                <w:sz w:val="20"/>
                <w:szCs w:val="20"/>
              </w:rPr>
            </w:pPr>
            <w:r>
              <w:rPr>
                <w:sz w:val="20"/>
                <w:szCs w:val="20"/>
              </w:rPr>
              <w:t>49</w:t>
            </w:r>
          </w:p>
        </w:tc>
        <w:tc>
          <w:tcPr>
            <w:tcW w:w="1050" w:type="dxa"/>
            <w:vAlign w:val="center"/>
          </w:tcPr>
          <w:p w:rsidR="008253C1" w:rsidRPr="00023FBA" w:rsidP="00F80C79" w14:paraId="5D66434E" w14:textId="77777777">
            <w:pPr>
              <w:spacing w:before="120" w:after="120"/>
              <w:jc w:val="center"/>
              <w:rPr>
                <w:sz w:val="20"/>
                <w:szCs w:val="20"/>
              </w:rPr>
            </w:pPr>
            <w:r>
              <w:rPr>
                <w:sz w:val="20"/>
                <w:szCs w:val="20"/>
              </w:rPr>
              <w:t>15</w:t>
            </w:r>
          </w:p>
        </w:tc>
        <w:tc>
          <w:tcPr>
            <w:tcW w:w="1206" w:type="dxa"/>
            <w:vAlign w:val="center"/>
          </w:tcPr>
          <w:p w:rsidR="008253C1" w:rsidRPr="00023FBA" w:rsidP="00F80C79" w14:paraId="3730DF27" w14:textId="77777777">
            <w:pPr>
              <w:spacing w:before="120" w:after="120"/>
              <w:jc w:val="center"/>
              <w:rPr>
                <w:sz w:val="20"/>
                <w:szCs w:val="20"/>
              </w:rPr>
            </w:pPr>
            <w:r>
              <w:rPr>
                <w:sz w:val="20"/>
                <w:szCs w:val="20"/>
              </w:rPr>
              <w:t>6</w:t>
            </w:r>
          </w:p>
        </w:tc>
      </w:tr>
      <w:tr w14:paraId="6EF0FDA3" w14:textId="77777777" w:rsidTr="00FD5935">
        <w:tblPrEx>
          <w:tblW w:w="9351" w:type="dxa"/>
          <w:jc w:val="center"/>
          <w:tblLook w:val="04A0"/>
        </w:tblPrEx>
        <w:trPr>
          <w:jc w:val="center"/>
        </w:trPr>
        <w:tc>
          <w:tcPr>
            <w:tcW w:w="1252" w:type="dxa"/>
          </w:tcPr>
          <w:p w:rsidR="008253C1" w:rsidRPr="00023FBA" w:rsidP="00F80C79" w14:paraId="01996729" w14:textId="77777777">
            <w:pPr>
              <w:spacing w:before="120" w:after="120"/>
              <w:jc w:val="both"/>
              <w:rPr>
                <w:sz w:val="20"/>
                <w:szCs w:val="20"/>
              </w:rPr>
            </w:pPr>
            <w:r>
              <w:rPr>
                <w:sz w:val="20"/>
                <w:szCs w:val="20"/>
              </w:rPr>
              <w:t>Apmeklētāju skaits</w:t>
            </w:r>
          </w:p>
        </w:tc>
        <w:tc>
          <w:tcPr>
            <w:tcW w:w="1583" w:type="dxa"/>
            <w:vAlign w:val="center"/>
          </w:tcPr>
          <w:p w:rsidR="008253C1" w:rsidRPr="00023FBA" w:rsidP="00F80C79" w14:paraId="75175400" w14:textId="77777777">
            <w:pPr>
              <w:spacing w:before="120" w:after="120"/>
              <w:jc w:val="center"/>
              <w:rPr>
                <w:sz w:val="20"/>
                <w:szCs w:val="20"/>
              </w:rPr>
            </w:pPr>
            <w:r>
              <w:rPr>
                <w:sz w:val="20"/>
                <w:szCs w:val="20"/>
              </w:rPr>
              <w:t>490</w:t>
            </w:r>
          </w:p>
        </w:tc>
        <w:tc>
          <w:tcPr>
            <w:tcW w:w="1705" w:type="dxa"/>
            <w:vAlign w:val="center"/>
          </w:tcPr>
          <w:p w:rsidR="008253C1" w:rsidRPr="00023FBA" w:rsidP="00F80C79" w14:paraId="1AFE887A" w14:textId="77777777">
            <w:pPr>
              <w:spacing w:before="120" w:after="120"/>
              <w:jc w:val="center"/>
              <w:rPr>
                <w:sz w:val="20"/>
                <w:szCs w:val="20"/>
              </w:rPr>
            </w:pPr>
            <w:r>
              <w:rPr>
                <w:sz w:val="20"/>
                <w:szCs w:val="20"/>
              </w:rPr>
              <w:t>233</w:t>
            </w:r>
          </w:p>
        </w:tc>
        <w:tc>
          <w:tcPr>
            <w:tcW w:w="1206" w:type="dxa"/>
            <w:vAlign w:val="center"/>
          </w:tcPr>
          <w:p w:rsidR="008253C1" w:rsidRPr="00023FBA" w:rsidP="00F80C79" w14:paraId="31C674BB" w14:textId="77777777">
            <w:pPr>
              <w:spacing w:before="120" w:after="120"/>
              <w:jc w:val="center"/>
              <w:rPr>
                <w:sz w:val="20"/>
                <w:szCs w:val="20"/>
              </w:rPr>
            </w:pPr>
            <w:r>
              <w:rPr>
                <w:sz w:val="20"/>
                <w:szCs w:val="20"/>
              </w:rPr>
              <w:t>384</w:t>
            </w:r>
          </w:p>
        </w:tc>
        <w:tc>
          <w:tcPr>
            <w:tcW w:w="1349" w:type="dxa"/>
            <w:vAlign w:val="center"/>
          </w:tcPr>
          <w:p w:rsidR="008253C1" w:rsidRPr="00023FBA" w:rsidP="00F80C79" w14:paraId="2578FD8E" w14:textId="77777777">
            <w:pPr>
              <w:spacing w:before="120" w:after="120"/>
              <w:jc w:val="center"/>
              <w:rPr>
                <w:sz w:val="20"/>
                <w:szCs w:val="20"/>
              </w:rPr>
            </w:pPr>
            <w:r>
              <w:rPr>
                <w:sz w:val="20"/>
                <w:szCs w:val="20"/>
              </w:rPr>
              <w:t>433</w:t>
            </w:r>
          </w:p>
        </w:tc>
        <w:tc>
          <w:tcPr>
            <w:tcW w:w="1050" w:type="dxa"/>
            <w:vAlign w:val="center"/>
          </w:tcPr>
          <w:p w:rsidR="008253C1" w:rsidRPr="00023FBA" w:rsidP="00F80C79" w14:paraId="2DA3FF56" w14:textId="77777777">
            <w:pPr>
              <w:spacing w:before="120" w:after="120"/>
              <w:jc w:val="center"/>
              <w:rPr>
                <w:sz w:val="20"/>
                <w:szCs w:val="20"/>
              </w:rPr>
            </w:pPr>
            <w:r>
              <w:rPr>
                <w:sz w:val="20"/>
                <w:szCs w:val="20"/>
              </w:rPr>
              <w:t>150</w:t>
            </w:r>
          </w:p>
        </w:tc>
        <w:tc>
          <w:tcPr>
            <w:tcW w:w="1206" w:type="dxa"/>
            <w:vAlign w:val="center"/>
          </w:tcPr>
          <w:p w:rsidR="008253C1" w:rsidRPr="00023FBA" w:rsidP="00F80C79" w14:paraId="07875C6A" w14:textId="77777777">
            <w:pPr>
              <w:spacing w:before="120" w:after="120"/>
              <w:jc w:val="center"/>
              <w:rPr>
                <w:sz w:val="20"/>
                <w:szCs w:val="20"/>
              </w:rPr>
            </w:pPr>
            <w:r>
              <w:rPr>
                <w:sz w:val="20"/>
                <w:szCs w:val="20"/>
              </w:rPr>
              <w:t>71</w:t>
            </w:r>
          </w:p>
        </w:tc>
      </w:tr>
    </w:tbl>
    <w:p w:rsidR="008253C1" w:rsidRPr="00AA1899" w:rsidP="00343661" w14:paraId="2E3F39B9" w14:textId="44B1F9DF">
      <w:pPr>
        <w:spacing w:after="0" w:line="240" w:lineRule="auto"/>
        <w:ind w:firstLine="567"/>
        <w:jc w:val="both"/>
      </w:pPr>
      <w:r>
        <w:t xml:space="preserve">Jāpiemin, ka </w:t>
      </w:r>
      <w:r>
        <w:rPr>
          <w:b/>
          <w:bCs/>
        </w:rPr>
        <w:t>Neretas jauniešu telpas atvērtas tikai 2024.</w:t>
      </w:r>
      <w:r w:rsidR="00343661">
        <w:rPr>
          <w:b/>
          <w:bCs/>
        </w:rPr>
        <w:t> </w:t>
      </w:r>
      <w:r>
        <w:rPr>
          <w:b/>
          <w:bCs/>
        </w:rPr>
        <w:t>gada nogalē</w:t>
      </w:r>
      <w:r>
        <w:t xml:space="preserve"> un </w:t>
      </w:r>
      <w:r>
        <w:rPr>
          <w:b/>
          <w:bCs/>
        </w:rPr>
        <w:t>Koknesē jauniešu telpas uzsākušas darbību 2025.</w:t>
      </w:r>
      <w:r w:rsidR="00343661">
        <w:rPr>
          <w:b/>
          <w:bCs/>
        </w:rPr>
        <w:t> </w:t>
      </w:r>
      <w:r>
        <w:rPr>
          <w:b/>
          <w:bCs/>
        </w:rPr>
        <w:t>gada nogalē</w:t>
      </w:r>
      <w:r>
        <w:t>, tādēļ arī iepriekšējā tabulā nav datu par Kokneses apvienību.</w:t>
      </w:r>
    </w:p>
    <w:p w:rsidR="008253C1" w:rsidRPr="0023058B" w:rsidP="00343661" w14:paraId="4A962A13" w14:textId="0DE3ABE7">
      <w:pPr>
        <w:spacing w:after="0"/>
        <w:ind w:firstLine="567"/>
        <w:jc w:val="both"/>
      </w:pPr>
      <w:r>
        <w:t xml:space="preserve">Lai izprastu kādēļ apmeklējums ir </w:t>
      </w:r>
      <w:r w:rsidR="00343661">
        <w:t>šāds</w:t>
      </w:r>
      <w:r>
        <w:t>, jāzina, ko to ietekmē dažādi iemesli:</w:t>
      </w:r>
    </w:p>
    <w:p w:rsidR="008253C1" w:rsidRPr="00B84168" w14:paraId="7DD8F9C2" w14:textId="13C3487D">
      <w:pPr>
        <w:numPr>
          <w:ilvl w:val="0"/>
          <w:numId w:val="8"/>
        </w:numPr>
        <w:spacing w:after="0" w:line="259" w:lineRule="auto"/>
        <w:jc w:val="both"/>
      </w:pPr>
      <w:r>
        <w:t>j</w:t>
      </w:r>
      <w:r>
        <w:t xml:space="preserve">auniešu skaits apvienībās - </w:t>
      </w:r>
      <w:r>
        <w:t>p</w:t>
      </w:r>
      <w:r>
        <w:t xml:space="preserve">iemēram, uz 01.09.2025. A.Upīša Skrīveru vidusskolā </w:t>
      </w:r>
      <w:r>
        <w:rPr>
          <w:b/>
          <w:bCs/>
        </w:rPr>
        <w:t>483</w:t>
      </w:r>
      <w:r>
        <w:t xml:space="preserve"> un Neretas J. Jaunsudrabiņa vidusskolā </w:t>
      </w:r>
      <w:r>
        <w:rPr>
          <w:b/>
          <w:bCs/>
        </w:rPr>
        <w:t>126</w:t>
      </w:r>
      <w:r>
        <w:t xml:space="preserve"> skolēni</w:t>
      </w:r>
      <w:r>
        <w:t>;</w:t>
      </w:r>
    </w:p>
    <w:p w:rsidR="008253C1" w14:paraId="07F28609" w14:textId="3F226834">
      <w:pPr>
        <w:numPr>
          <w:ilvl w:val="0"/>
          <w:numId w:val="9"/>
        </w:numPr>
        <w:spacing w:after="0" w:line="259" w:lineRule="auto"/>
        <w:jc w:val="both"/>
      </w:pPr>
      <w:r>
        <w:t>j</w:t>
      </w:r>
      <w:r>
        <w:t>aunatnes darbinieka slodze – novadā ir viens jaunatnes lietu speciālists, 2 jauniešu centru vadītāji (Pļaviņas, Jaunjelgava), 1 pilnas slodzes jaunatnes darbinieks (Aizkrauklē) un 3 jaunatnes darbinieki (Skrīveri, Nereta, Koknese), kuru slodze ir 0.5 likmes.</w:t>
      </w:r>
    </w:p>
    <w:p w:rsidR="008253C1" w14:paraId="7E0CB2CD" w14:textId="59D98CA9">
      <w:pPr>
        <w:numPr>
          <w:ilvl w:val="0"/>
          <w:numId w:val="9"/>
        </w:numPr>
        <w:spacing w:after="0" w:line="259" w:lineRule="auto"/>
        <w:jc w:val="both"/>
      </w:pPr>
      <w:r>
        <w:t>t</w:t>
      </w:r>
      <w:r>
        <w:t>elpu pieejamība:</w:t>
      </w:r>
    </w:p>
    <w:p w:rsidR="008253C1" w14:paraId="483450C4" w14:textId="06F964B2">
      <w:pPr>
        <w:numPr>
          <w:ilvl w:val="1"/>
          <w:numId w:val="9"/>
        </w:numPr>
        <w:spacing w:after="0" w:line="259" w:lineRule="auto"/>
        <w:jc w:val="both"/>
      </w:pPr>
      <w:r>
        <w:t>Aizkraukle - vairākas telpas ANIIC (3 stāvos), Garāžiņa</w:t>
      </w:r>
      <w:r w:rsidR="00343661">
        <w:t>;</w:t>
      </w:r>
    </w:p>
    <w:p w:rsidR="008253C1" w14:paraId="1A0B576E" w14:textId="2898AA1A">
      <w:pPr>
        <w:numPr>
          <w:ilvl w:val="1"/>
          <w:numId w:val="9"/>
        </w:numPr>
        <w:spacing w:after="0" w:line="259" w:lineRule="auto"/>
        <w:jc w:val="both"/>
      </w:pPr>
      <w:r>
        <w:t xml:space="preserve">Jaunjelgavas JIC - </w:t>
      </w:r>
      <w:r>
        <w:rPr>
          <w:b/>
          <w:bCs/>
        </w:rPr>
        <w:t>299,4 m2</w:t>
      </w:r>
      <w:r w:rsidR="00343661">
        <w:rPr>
          <w:b/>
          <w:bCs/>
        </w:rPr>
        <w:t>;</w:t>
      </w:r>
    </w:p>
    <w:p w:rsidR="008253C1" w14:paraId="4025E3D6" w14:textId="03C26C15">
      <w:pPr>
        <w:numPr>
          <w:ilvl w:val="1"/>
          <w:numId w:val="9"/>
        </w:numPr>
        <w:spacing w:after="0" w:line="259" w:lineRule="auto"/>
        <w:jc w:val="both"/>
      </w:pPr>
      <w:r>
        <w:t xml:space="preserve">Pļaviņu JIC - </w:t>
      </w:r>
      <w:r>
        <w:rPr>
          <w:b/>
          <w:bCs/>
        </w:rPr>
        <w:t>365.9 m2</w:t>
      </w:r>
      <w:r>
        <w:t xml:space="preserve"> divos stāvos</w:t>
      </w:r>
      <w:r w:rsidR="00343661">
        <w:t>;</w:t>
      </w:r>
    </w:p>
    <w:p w:rsidR="008253C1" w14:paraId="08A27086" w14:textId="54B923CA">
      <w:pPr>
        <w:numPr>
          <w:ilvl w:val="1"/>
          <w:numId w:val="9"/>
        </w:numPr>
        <w:spacing w:after="0" w:line="259" w:lineRule="auto"/>
        <w:jc w:val="both"/>
      </w:pPr>
      <w:r>
        <w:t xml:space="preserve">Neretas jauniešu telpa ~ </w:t>
      </w:r>
      <w:r>
        <w:rPr>
          <w:b/>
          <w:bCs/>
        </w:rPr>
        <w:t>25 m2</w:t>
      </w:r>
      <w:r w:rsidR="00343661">
        <w:rPr>
          <w:b/>
          <w:bCs/>
        </w:rPr>
        <w:t>;</w:t>
      </w:r>
    </w:p>
    <w:p w:rsidR="008253C1" w14:paraId="5AC367BF" w14:textId="5D9EE522">
      <w:pPr>
        <w:numPr>
          <w:ilvl w:val="1"/>
          <w:numId w:val="9"/>
        </w:numPr>
        <w:spacing w:after="0" w:line="259" w:lineRule="auto"/>
        <w:jc w:val="both"/>
      </w:pPr>
      <w:r>
        <w:t xml:space="preserve">Kokneses jauniešu telpa ~ </w:t>
      </w:r>
      <w:r>
        <w:rPr>
          <w:b/>
          <w:bCs/>
        </w:rPr>
        <w:t>20 m2</w:t>
      </w:r>
      <w:r w:rsidR="00343661">
        <w:rPr>
          <w:b/>
          <w:bCs/>
        </w:rPr>
        <w:t>;</w:t>
      </w:r>
    </w:p>
    <w:p w:rsidR="008253C1" w:rsidRPr="00B84168" w14:paraId="156FE487" w14:textId="45F624DF">
      <w:pPr>
        <w:numPr>
          <w:ilvl w:val="1"/>
          <w:numId w:val="9"/>
        </w:numPr>
        <w:spacing w:after="0" w:line="259" w:lineRule="auto"/>
        <w:jc w:val="both"/>
      </w:pPr>
      <w:r>
        <w:t xml:space="preserve">Skrīveri - mansarda stāvs </w:t>
      </w:r>
      <w:r>
        <w:rPr>
          <w:b/>
          <w:bCs/>
        </w:rPr>
        <w:t>97,6 m2</w:t>
      </w:r>
      <w:r w:rsidR="00343661">
        <w:t>.</w:t>
      </w:r>
    </w:p>
    <w:p w:rsidR="008253C1" w:rsidRPr="00B84168" w14:paraId="009ED63B" w14:textId="3DD06ABA">
      <w:pPr>
        <w:numPr>
          <w:ilvl w:val="0"/>
          <w:numId w:val="10"/>
        </w:numPr>
        <w:spacing w:after="0" w:line="259" w:lineRule="auto"/>
        <w:jc w:val="both"/>
      </w:pPr>
      <w:r>
        <w:t>n</w:t>
      </w:r>
      <w:r>
        <w:t xml:space="preserve">epietiekams vai novecojis materiāli tehniskais nodrošinājums - </w:t>
      </w:r>
      <w:r>
        <w:t>t</w:t>
      </w:r>
      <w:r>
        <w:t>ehnika - datori, projektors, skandas utt. galda spēles, virtuve, telpu aprīkojums (galdi, pufi, dīvāni utt.)</w:t>
      </w:r>
      <w:r>
        <w:t xml:space="preserve"> </w:t>
      </w:r>
      <w:r>
        <w:t>u.c.</w:t>
      </w:r>
    </w:p>
    <w:p w:rsidR="008253C1" w:rsidP="00343661" w14:paraId="688D37F9" w14:textId="55C377E1">
      <w:pPr>
        <w:spacing w:before="120" w:after="120"/>
        <w:ind w:firstLine="567"/>
        <w:jc w:val="both"/>
        <w:rPr>
          <w:b/>
          <w:bCs/>
        </w:rPr>
      </w:pPr>
      <w:r>
        <w:t>Kopumā jauniešu centrus un telpas 2025.</w:t>
      </w:r>
      <w:r w:rsidR="00343661">
        <w:t> </w:t>
      </w:r>
      <w:r>
        <w:t xml:space="preserve">gadā ir </w:t>
      </w:r>
      <w:r>
        <w:rPr>
          <w:b/>
          <w:bCs/>
        </w:rPr>
        <w:t>apmeklējuši 9188 jaunieši, kas ir par 2844 jauniešiem vairāk nekā 2024.</w:t>
      </w:r>
      <w:r w:rsidR="00343661">
        <w:rPr>
          <w:b/>
          <w:bCs/>
        </w:rPr>
        <w:t> </w:t>
      </w:r>
      <w:r>
        <w:rPr>
          <w:b/>
          <w:bCs/>
        </w:rPr>
        <w:t xml:space="preserve">gadā. </w:t>
      </w:r>
    </w:p>
    <w:p w:rsidR="00FD5935" w:rsidP="008253C1" w14:paraId="649B0AE6" w14:textId="77777777">
      <w:pPr>
        <w:spacing w:before="120" w:after="120"/>
        <w:jc w:val="center"/>
        <w:rPr>
          <w:b/>
          <w:bCs/>
          <w:i/>
          <w:iCs/>
        </w:rPr>
      </w:pPr>
    </w:p>
    <w:p w:rsidR="00343661" w:rsidP="008253C1" w14:paraId="53F83A9D" w14:textId="77777777">
      <w:pPr>
        <w:spacing w:before="120" w:after="120"/>
        <w:jc w:val="center"/>
        <w:rPr>
          <w:b/>
          <w:bCs/>
          <w:i/>
          <w:iCs/>
        </w:rPr>
      </w:pPr>
    </w:p>
    <w:p w:rsidR="00343661" w:rsidP="008253C1" w14:paraId="57A9E706" w14:textId="77777777">
      <w:pPr>
        <w:spacing w:before="120" w:after="120"/>
        <w:jc w:val="center"/>
        <w:rPr>
          <w:b/>
          <w:bCs/>
          <w:i/>
          <w:iCs/>
        </w:rPr>
      </w:pPr>
    </w:p>
    <w:p w:rsidR="00343661" w:rsidP="008253C1" w14:paraId="18D39597" w14:textId="77777777">
      <w:pPr>
        <w:spacing w:before="120" w:after="120"/>
        <w:jc w:val="center"/>
        <w:rPr>
          <w:b/>
          <w:bCs/>
          <w:i/>
          <w:iCs/>
        </w:rPr>
      </w:pPr>
    </w:p>
    <w:p w:rsidR="008253C1" w:rsidRPr="00B54278" w:rsidP="008253C1" w14:paraId="0CA9418C" w14:textId="081E8E10">
      <w:pPr>
        <w:spacing w:before="120" w:after="120"/>
        <w:jc w:val="center"/>
        <w:rPr>
          <w:b/>
          <w:bCs/>
          <w:i/>
          <w:iCs/>
        </w:rPr>
      </w:pPr>
      <w:r>
        <w:rPr>
          <w:b/>
          <w:bCs/>
          <w:i/>
          <w:iCs/>
        </w:rPr>
        <w:t>Jauniešu telpu/centru apmeklējuma statistika salīdzinot 2024. un 2025.</w:t>
      </w:r>
      <w:r w:rsidR="00343661">
        <w:rPr>
          <w:b/>
          <w:bCs/>
          <w:i/>
          <w:iCs/>
        </w:rPr>
        <w:t> </w:t>
      </w:r>
      <w:r>
        <w:rPr>
          <w:b/>
          <w:bCs/>
          <w:i/>
          <w:iCs/>
        </w:rPr>
        <w:t>gadu</w:t>
      </w:r>
    </w:p>
    <w:tbl>
      <w:tblPr>
        <w:tblStyle w:val="TableGrid"/>
        <w:tblW w:w="9239" w:type="dxa"/>
        <w:jc w:val="center"/>
        <w:tblLook w:val="04A0"/>
      </w:tblPr>
      <w:tblGrid>
        <w:gridCol w:w="1236"/>
        <w:gridCol w:w="717"/>
        <w:gridCol w:w="704"/>
        <w:gridCol w:w="750"/>
        <w:gridCol w:w="733"/>
        <w:gridCol w:w="603"/>
        <w:gridCol w:w="603"/>
        <w:gridCol w:w="603"/>
        <w:gridCol w:w="603"/>
        <w:gridCol w:w="801"/>
        <w:gridCol w:w="603"/>
        <w:gridCol w:w="887"/>
        <w:gridCol w:w="784"/>
      </w:tblGrid>
      <w:tr w14:paraId="047C1C3E" w14:textId="77777777" w:rsidTr="00FD5935">
        <w:tblPrEx>
          <w:tblW w:w="9239" w:type="dxa"/>
          <w:jc w:val="center"/>
          <w:tblLook w:val="04A0"/>
        </w:tblPrEx>
        <w:trPr>
          <w:trHeight w:val="272"/>
          <w:jc w:val="center"/>
        </w:trPr>
        <w:tc>
          <w:tcPr>
            <w:tcW w:w="1141" w:type="dxa"/>
          </w:tcPr>
          <w:p w:rsidR="008253C1" w:rsidRPr="00CC7653" w:rsidP="00F80C79" w14:paraId="544460FD" w14:textId="77777777">
            <w:pPr>
              <w:pStyle w:val="ListParagraph"/>
              <w:spacing w:before="120" w:after="120"/>
              <w:ind w:left="0"/>
              <w:jc w:val="both"/>
              <w:rPr>
                <w:sz w:val="20"/>
                <w:szCs w:val="20"/>
              </w:rPr>
            </w:pPr>
            <w:r>
              <w:rPr>
                <w:sz w:val="20"/>
                <w:szCs w:val="20"/>
              </w:rPr>
              <w:t>VIETA</w:t>
            </w:r>
          </w:p>
        </w:tc>
        <w:tc>
          <w:tcPr>
            <w:tcW w:w="1350" w:type="dxa"/>
            <w:gridSpan w:val="2"/>
            <w:vAlign w:val="center"/>
          </w:tcPr>
          <w:p w:rsidR="008253C1" w:rsidRPr="00CC7653" w:rsidP="00F80C79" w14:paraId="5E49AE8A" w14:textId="77777777">
            <w:pPr>
              <w:pStyle w:val="ListParagraph"/>
              <w:spacing w:before="120" w:after="120"/>
              <w:ind w:left="0"/>
              <w:jc w:val="center"/>
              <w:rPr>
                <w:sz w:val="20"/>
                <w:szCs w:val="20"/>
              </w:rPr>
            </w:pPr>
            <w:r>
              <w:rPr>
                <w:b/>
                <w:bCs/>
                <w:sz w:val="20"/>
                <w:szCs w:val="20"/>
              </w:rPr>
              <w:t>AIZKRAUKLE</w:t>
            </w:r>
          </w:p>
        </w:tc>
        <w:tc>
          <w:tcPr>
            <w:tcW w:w="1449" w:type="dxa"/>
            <w:gridSpan w:val="2"/>
            <w:vAlign w:val="center"/>
          </w:tcPr>
          <w:p w:rsidR="008253C1" w:rsidRPr="00CC7653" w:rsidP="00F80C79" w14:paraId="4BB9BBCC" w14:textId="77777777">
            <w:pPr>
              <w:pStyle w:val="ListParagraph"/>
              <w:spacing w:before="120" w:after="120"/>
              <w:ind w:left="0"/>
              <w:jc w:val="center"/>
              <w:rPr>
                <w:sz w:val="20"/>
                <w:szCs w:val="20"/>
              </w:rPr>
            </w:pPr>
            <w:r>
              <w:rPr>
                <w:b/>
                <w:bCs/>
                <w:sz w:val="20"/>
                <w:szCs w:val="20"/>
              </w:rPr>
              <w:t>JAUNJELGAVA</w:t>
            </w:r>
          </w:p>
        </w:tc>
        <w:tc>
          <w:tcPr>
            <w:tcW w:w="1198" w:type="dxa"/>
            <w:gridSpan w:val="2"/>
            <w:vAlign w:val="center"/>
          </w:tcPr>
          <w:p w:rsidR="008253C1" w:rsidRPr="00CC7653" w:rsidP="00F80C79" w14:paraId="2F666EE1" w14:textId="77777777">
            <w:pPr>
              <w:pStyle w:val="ListParagraph"/>
              <w:spacing w:before="120" w:after="120"/>
              <w:ind w:left="0"/>
              <w:jc w:val="center"/>
              <w:rPr>
                <w:sz w:val="20"/>
                <w:szCs w:val="20"/>
              </w:rPr>
            </w:pPr>
            <w:r>
              <w:rPr>
                <w:b/>
                <w:bCs/>
                <w:sz w:val="20"/>
                <w:szCs w:val="20"/>
              </w:rPr>
              <w:t>SKRĪVERI</w:t>
            </w:r>
          </w:p>
        </w:tc>
        <w:tc>
          <w:tcPr>
            <w:tcW w:w="1198" w:type="dxa"/>
            <w:gridSpan w:val="2"/>
            <w:vAlign w:val="center"/>
          </w:tcPr>
          <w:p w:rsidR="008253C1" w:rsidRPr="00CC7653" w:rsidP="00F80C79" w14:paraId="07B88B8D" w14:textId="77777777">
            <w:pPr>
              <w:pStyle w:val="ListParagraph"/>
              <w:spacing w:before="120" w:after="120"/>
              <w:ind w:left="0"/>
              <w:jc w:val="center"/>
              <w:rPr>
                <w:sz w:val="20"/>
                <w:szCs w:val="20"/>
              </w:rPr>
            </w:pPr>
            <w:r>
              <w:rPr>
                <w:b/>
                <w:bCs/>
                <w:sz w:val="20"/>
                <w:szCs w:val="20"/>
              </w:rPr>
              <w:t>PĻAVIŅAS</w:t>
            </w:r>
          </w:p>
        </w:tc>
        <w:tc>
          <w:tcPr>
            <w:tcW w:w="1382" w:type="dxa"/>
            <w:gridSpan w:val="2"/>
            <w:vAlign w:val="center"/>
          </w:tcPr>
          <w:p w:rsidR="008253C1" w:rsidRPr="00CC7653" w:rsidP="00F80C79" w14:paraId="4DCE6395" w14:textId="77777777">
            <w:pPr>
              <w:pStyle w:val="ListParagraph"/>
              <w:spacing w:before="120" w:after="120"/>
              <w:ind w:left="0"/>
              <w:jc w:val="center"/>
              <w:rPr>
                <w:sz w:val="20"/>
                <w:szCs w:val="20"/>
              </w:rPr>
            </w:pPr>
            <w:r>
              <w:rPr>
                <w:b/>
                <w:bCs/>
                <w:sz w:val="20"/>
                <w:szCs w:val="20"/>
              </w:rPr>
              <w:t>NERETA</w:t>
            </w:r>
          </w:p>
        </w:tc>
        <w:tc>
          <w:tcPr>
            <w:tcW w:w="1521" w:type="dxa"/>
            <w:gridSpan w:val="2"/>
            <w:vAlign w:val="center"/>
          </w:tcPr>
          <w:p w:rsidR="008253C1" w:rsidRPr="00CC7653" w:rsidP="00F80C79" w14:paraId="01CF3049" w14:textId="77777777">
            <w:pPr>
              <w:pStyle w:val="ListParagraph"/>
              <w:spacing w:before="120" w:after="120"/>
              <w:ind w:left="0"/>
              <w:jc w:val="center"/>
              <w:rPr>
                <w:sz w:val="20"/>
                <w:szCs w:val="20"/>
              </w:rPr>
            </w:pPr>
            <w:r>
              <w:rPr>
                <w:b/>
                <w:bCs/>
                <w:sz w:val="20"/>
                <w:szCs w:val="20"/>
              </w:rPr>
              <w:t>KOPĀ</w:t>
            </w:r>
          </w:p>
        </w:tc>
      </w:tr>
      <w:tr w14:paraId="155708F9" w14:textId="77777777" w:rsidTr="00FD5935">
        <w:tblPrEx>
          <w:tblW w:w="9239" w:type="dxa"/>
          <w:jc w:val="center"/>
          <w:tblLook w:val="04A0"/>
        </w:tblPrEx>
        <w:trPr>
          <w:trHeight w:val="343"/>
          <w:jc w:val="center"/>
        </w:trPr>
        <w:tc>
          <w:tcPr>
            <w:tcW w:w="1141" w:type="dxa"/>
          </w:tcPr>
          <w:p w:rsidR="008253C1" w:rsidRPr="00CC7653" w:rsidP="00F80C79" w14:paraId="28542116" w14:textId="77777777">
            <w:pPr>
              <w:pStyle w:val="ListParagraph"/>
              <w:spacing w:before="120" w:after="120"/>
              <w:ind w:left="0"/>
              <w:jc w:val="both"/>
              <w:rPr>
                <w:sz w:val="20"/>
                <w:szCs w:val="20"/>
              </w:rPr>
            </w:pPr>
            <w:r>
              <w:rPr>
                <w:sz w:val="20"/>
                <w:szCs w:val="20"/>
              </w:rPr>
              <w:t>GADS</w:t>
            </w:r>
          </w:p>
        </w:tc>
        <w:tc>
          <w:tcPr>
            <w:tcW w:w="692" w:type="dxa"/>
            <w:vAlign w:val="center"/>
          </w:tcPr>
          <w:p w:rsidR="008253C1" w:rsidRPr="00CC7653" w:rsidP="00F80C79" w14:paraId="3E861A0E" w14:textId="77777777">
            <w:pPr>
              <w:pStyle w:val="ListParagraph"/>
              <w:spacing w:before="120" w:after="120"/>
              <w:ind w:left="0"/>
              <w:jc w:val="center"/>
              <w:rPr>
                <w:sz w:val="20"/>
                <w:szCs w:val="20"/>
              </w:rPr>
            </w:pPr>
            <w:r>
              <w:rPr>
                <w:sz w:val="20"/>
                <w:szCs w:val="20"/>
              </w:rPr>
              <w:t>2024.</w:t>
            </w:r>
          </w:p>
        </w:tc>
        <w:tc>
          <w:tcPr>
            <w:tcW w:w="658" w:type="dxa"/>
            <w:vAlign w:val="center"/>
          </w:tcPr>
          <w:p w:rsidR="008253C1" w:rsidRPr="00CC7653" w:rsidP="00F80C79" w14:paraId="39A26A35" w14:textId="77777777">
            <w:pPr>
              <w:pStyle w:val="ListParagraph"/>
              <w:spacing w:before="120" w:after="120"/>
              <w:ind w:left="0"/>
              <w:jc w:val="center"/>
              <w:rPr>
                <w:sz w:val="20"/>
                <w:szCs w:val="20"/>
              </w:rPr>
            </w:pPr>
            <w:r>
              <w:rPr>
                <w:sz w:val="20"/>
                <w:szCs w:val="20"/>
              </w:rPr>
              <w:t>2025.</w:t>
            </w:r>
          </w:p>
        </w:tc>
        <w:tc>
          <w:tcPr>
            <w:tcW w:w="742" w:type="dxa"/>
            <w:vAlign w:val="center"/>
          </w:tcPr>
          <w:p w:rsidR="008253C1" w:rsidRPr="00CC7653" w:rsidP="00F80C79" w14:paraId="26D1509E" w14:textId="77777777">
            <w:pPr>
              <w:pStyle w:val="ListParagraph"/>
              <w:spacing w:before="120" w:after="120"/>
              <w:ind w:left="0"/>
              <w:jc w:val="center"/>
              <w:rPr>
                <w:sz w:val="20"/>
                <w:szCs w:val="20"/>
              </w:rPr>
            </w:pPr>
            <w:r>
              <w:rPr>
                <w:sz w:val="20"/>
                <w:szCs w:val="20"/>
              </w:rPr>
              <w:t>2024.</w:t>
            </w:r>
          </w:p>
        </w:tc>
        <w:tc>
          <w:tcPr>
            <w:tcW w:w="706" w:type="dxa"/>
            <w:vAlign w:val="center"/>
          </w:tcPr>
          <w:p w:rsidR="008253C1" w:rsidRPr="00CC7653" w:rsidP="00F80C79" w14:paraId="470E7D50" w14:textId="77777777">
            <w:pPr>
              <w:pStyle w:val="ListParagraph"/>
              <w:spacing w:before="120" w:after="120"/>
              <w:ind w:left="0"/>
              <w:jc w:val="center"/>
              <w:rPr>
                <w:sz w:val="20"/>
                <w:szCs w:val="20"/>
              </w:rPr>
            </w:pPr>
            <w:r>
              <w:rPr>
                <w:sz w:val="20"/>
                <w:szCs w:val="20"/>
              </w:rPr>
              <w:t>2025.</w:t>
            </w:r>
          </w:p>
        </w:tc>
        <w:tc>
          <w:tcPr>
            <w:tcW w:w="600" w:type="dxa"/>
            <w:vAlign w:val="center"/>
          </w:tcPr>
          <w:p w:rsidR="008253C1" w:rsidRPr="00CC7653" w:rsidP="00F80C79" w14:paraId="11EA3D95" w14:textId="77777777">
            <w:pPr>
              <w:pStyle w:val="ListParagraph"/>
              <w:spacing w:before="120" w:after="120"/>
              <w:ind w:left="0"/>
              <w:jc w:val="center"/>
              <w:rPr>
                <w:sz w:val="20"/>
                <w:szCs w:val="20"/>
              </w:rPr>
            </w:pPr>
            <w:r>
              <w:rPr>
                <w:sz w:val="20"/>
                <w:szCs w:val="20"/>
              </w:rPr>
              <w:t>2024.</w:t>
            </w:r>
          </w:p>
        </w:tc>
        <w:tc>
          <w:tcPr>
            <w:tcW w:w="598" w:type="dxa"/>
            <w:vAlign w:val="center"/>
          </w:tcPr>
          <w:p w:rsidR="008253C1" w:rsidRPr="00CC7653" w:rsidP="00F80C79" w14:paraId="62493699" w14:textId="77777777">
            <w:pPr>
              <w:pStyle w:val="ListParagraph"/>
              <w:spacing w:before="120" w:after="120"/>
              <w:ind w:left="0"/>
              <w:jc w:val="center"/>
              <w:rPr>
                <w:sz w:val="20"/>
                <w:szCs w:val="20"/>
              </w:rPr>
            </w:pPr>
            <w:r>
              <w:rPr>
                <w:sz w:val="20"/>
                <w:szCs w:val="20"/>
              </w:rPr>
              <w:t>2025.</w:t>
            </w:r>
          </w:p>
        </w:tc>
        <w:tc>
          <w:tcPr>
            <w:tcW w:w="600" w:type="dxa"/>
            <w:vAlign w:val="center"/>
          </w:tcPr>
          <w:p w:rsidR="008253C1" w:rsidRPr="00CC7653" w:rsidP="00F80C79" w14:paraId="2DC071A3" w14:textId="77777777">
            <w:pPr>
              <w:pStyle w:val="ListParagraph"/>
              <w:spacing w:before="120" w:after="120"/>
              <w:ind w:left="0"/>
              <w:jc w:val="center"/>
              <w:rPr>
                <w:sz w:val="20"/>
                <w:szCs w:val="20"/>
              </w:rPr>
            </w:pPr>
            <w:r>
              <w:rPr>
                <w:sz w:val="20"/>
                <w:szCs w:val="20"/>
              </w:rPr>
              <w:t>2024.</w:t>
            </w:r>
          </w:p>
        </w:tc>
        <w:tc>
          <w:tcPr>
            <w:tcW w:w="598" w:type="dxa"/>
            <w:vAlign w:val="center"/>
          </w:tcPr>
          <w:p w:rsidR="008253C1" w:rsidRPr="00CC7653" w:rsidP="00F80C79" w14:paraId="4AD43CD3" w14:textId="77777777">
            <w:pPr>
              <w:pStyle w:val="ListParagraph"/>
              <w:spacing w:before="120" w:after="120"/>
              <w:ind w:left="0"/>
              <w:jc w:val="center"/>
              <w:rPr>
                <w:sz w:val="20"/>
                <w:szCs w:val="20"/>
              </w:rPr>
            </w:pPr>
            <w:r>
              <w:rPr>
                <w:sz w:val="20"/>
                <w:szCs w:val="20"/>
              </w:rPr>
              <w:t>2025.</w:t>
            </w:r>
          </w:p>
        </w:tc>
        <w:tc>
          <w:tcPr>
            <w:tcW w:w="785" w:type="dxa"/>
            <w:vAlign w:val="center"/>
          </w:tcPr>
          <w:p w:rsidR="008253C1" w:rsidRPr="00CC7653" w:rsidP="00F80C79" w14:paraId="4B2E56D9" w14:textId="77777777">
            <w:pPr>
              <w:pStyle w:val="ListParagraph"/>
              <w:spacing w:before="120" w:after="120"/>
              <w:ind w:left="0"/>
              <w:jc w:val="center"/>
              <w:rPr>
                <w:sz w:val="20"/>
                <w:szCs w:val="20"/>
              </w:rPr>
            </w:pPr>
            <w:r>
              <w:rPr>
                <w:sz w:val="18"/>
                <w:szCs w:val="18"/>
              </w:rPr>
              <w:t>no 20.10.24</w:t>
            </w:r>
            <w:r>
              <w:rPr>
                <w:sz w:val="20"/>
                <w:szCs w:val="20"/>
              </w:rPr>
              <w:t>.</w:t>
            </w:r>
          </w:p>
        </w:tc>
        <w:tc>
          <w:tcPr>
            <w:tcW w:w="597" w:type="dxa"/>
            <w:vAlign w:val="center"/>
          </w:tcPr>
          <w:p w:rsidR="008253C1" w:rsidRPr="00CC7653" w:rsidP="00F80C79" w14:paraId="4BC6A7C3" w14:textId="77777777">
            <w:pPr>
              <w:pStyle w:val="ListParagraph"/>
              <w:spacing w:before="120" w:after="120"/>
              <w:ind w:left="0"/>
              <w:jc w:val="center"/>
              <w:rPr>
                <w:sz w:val="20"/>
                <w:szCs w:val="20"/>
              </w:rPr>
            </w:pPr>
            <w:r>
              <w:rPr>
                <w:sz w:val="20"/>
                <w:szCs w:val="20"/>
              </w:rPr>
              <w:t>2025.</w:t>
            </w:r>
          </w:p>
        </w:tc>
        <w:tc>
          <w:tcPr>
            <w:tcW w:w="809" w:type="dxa"/>
            <w:vAlign w:val="center"/>
          </w:tcPr>
          <w:p w:rsidR="008253C1" w:rsidRPr="00CC7653" w:rsidP="00F80C79" w14:paraId="1F1EB105" w14:textId="77777777">
            <w:pPr>
              <w:pStyle w:val="ListParagraph"/>
              <w:spacing w:before="120" w:after="120"/>
              <w:ind w:left="0"/>
              <w:jc w:val="center"/>
              <w:rPr>
                <w:sz w:val="20"/>
                <w:szCs w:val="20"/>
              </w:rPr>
            </w:pPr>
            <w:r>
              <w:rPr>
                <w:b/>
                <w:bCs/>
                <w:sz w:val="20"/>
                <w:szCs w:val="20"/>
              </w:rPr>
              <w:t>2024.</w:t>
            </w:r>
          </w:p>
        </w:tc>
        <w:tc>
          <w:tcPr>
            <w:tcW w:w="711" w:type="dxa"/>
            <w:vAlign w:val="center"/>
          </w:tcPr>
          <w:p w:rsidR="008253C1" w:rsidRPr="00CC7653" w:rsidP="00F80C79" w14:paraId="7779C3BC" w14:textId="77777777">
            <w:pPr>
              <w:pStyle w:val="ListParagraph"/>
              <w:spacing w:before="120" w:after="120"/>
              <w:ind w:left="0"/>
              <w:jc w:val="center"/>
              <w:rPr>
                <w:sz w:val="20"/>
                <w:szCs w:val="20"/>
              </w:rPr>
            </w:pPr>
            <w:r>
              <w:rPr>
                <w:b/>
                <w:bCs/>
                <w:sz w:val="20"/>
                <w:szCs w:val="20"/>
              </w:rPr>
              <w:t>2025.</w:t>
            </w:r>
          </w:p>
        </w:tc>
      </w:tr>
      <w:tr w14:paraId="0BE34659" w14:textId="77777777" w:rsidTr="00FD5935">
        <w:tblPrEx>
          <w:tblW w:w="9239" w:type="dxa"/>
          <w:jc w:val="center"/>
          <w:tblLook w:val="04A0"/>
        </w:tblPrEx>
        <w:trPr>
          <w:trHeight w:val="272"/>
          <w:jc w:val="center"/>
        </w:trPr>
        <w:tc>
          <w:tcPr>
            <w:tcW w:w="1141" w:type="dxa"/>
          </w:tcPr>
          <w:p w:rsidR="008253C1" w:rsidRPr="00CC7653" w:rsidP="00F80C79" w14:paraId="46FFEDBB" w14:textId="77777777">
            <w:pPr>
              <w:pStyle w:val="ListParagraph"/>
              <w:spacing w:before="120" w:after="120"/>
              <w:ind w:left="0"/>
              <w:jc w:val="both"/>
              <w:rPr>
                <w:sz w:val="20"/>
                <w:szCs w:val="20"/>
              </w:rPr>
            </w:pPr>
            <w:r>
              <w:rPr>
                <w:sz w:val="20"/>
                <w:szCs w:val="20"/>
              </w:rPr>
              <w:t>KOPĀ</w:t>
            </w:r>
          </w:p>
        </w:tc>
        <w:tc>
          <w:tcPr>
            <w:tcW w:w="692" w:type="dxa"/>
            <w:vAlign w:val="center"/>
          </w:tcPr>
          <w:p w:rsidR="008253C1" w:rsidRPr="00CC7653" w:rsidP="00F80C79" w14:paraId="634FFE64" w14:textId="77777777">
            <w:pPr>
              <w:pStyle w:val="ListParagraph"/>
              <w:spacing w:before="120" w:after="120"/>
              <w:ind w:left="0"/>
              <w:jc w:val="center"/>
              <w:rPr>
                <w:sz w:val="20"/>
                <w:szCs w:val="20"/>
              </w:rPr>
            </w:pPr>
            <w:r>
              <w:rPr>
                <w:sz w:val="20"/>
                <w:szCs w:val="20"/>
              </w:rPr>
              <w:t>1734</w:t>
            </w:r>
          </w:p>
        </w:tc>
        <w:tc>
          <w:tcPr>
            <w:tcW w:w="658" w:type="dxa"/>
            <w:vAlign w:val="center"/>
          </w:tcPr>
          <w:p w:rsidR="008253C1" w:rsidRPr="00CC7653" w:rsidP="00F80C79" w14:paraId="0EDF2BE8" w14:textId="77777777">
            <w:pPr>
              <w:pStyle w:val="ListParagraph"/>
              <w:spacing w:before="120" w:after="120"/>
              <w:ind w:left="0"/>
              <w:jc w:val="center"/>
              <w:rPr>
                <w:sz w:val="20"/>
                <w:szCs w:val="20"/>
              </w:rPr>
            </w:pPr>
            <w:r>
              <w:rPr>
                <w:sz w:val="20"/>
                <w:szCs w:val="20"/>
              </w:rPr>
              <w:t>3040</w:t>
            </w:r>
          </w:p>
        </w:tc>
        <w:tc>
          <w:tcPr>
            <w:tcW w:w="742" w:type="dxa"/>
            <w:vAlign w:val="center"/>
          </w:tcPr>
          <w:p w:rsidR="008253C1" w:rsidRPr="00CC7653" w:rsidP="00F80C79" w14:paraId="22A41423" w14:textId="77777777">
            <w:pPr>
              <w:pStyle w:val="ListParagraph"/>
              <w:spacing w:before="120" w:after="120"/>
              <w:ind w:left="0"/>
              <w:jc w:val="center"/>
              <w:rPr>
                <w:sz w:val="20"/>
                <w:szCs w:val="20"/>
              </w:rPr>
            </w:pPr>
            <w:r>
              <w:rPr>
                <w:sz w:val="20"/>
                <w:szCs w:val="20"/>
              </w:rPr>
              <w:t>1213</w:t>
            </w:r>
          </w:p>
        </w:tc>
        <w:tc>
          <w:tcPr>
            <w:tcW w:w="706" w:type="dxa"/>
            <w:vAlign w:val="center"/>
          </w:tcPr>
          <w:p w:rsidR="008253C1" w:rsidRPr="00CC7653" w:rsidP="00F80C79" w14:paraId="0BA546AE" w14:textId="77777777">
            <w:pPr>
              <w:pStyle w:val="ListParagraph"/>
              <w:spacing w:before="120" w:after="120"/>
              <w:ind w:left="0"/>
              <w:jc w:val="center"/>
              <w:rPr>
                <w:sz w:val="20"/>
                <w:szCs w:val="20"/>
              </w:rPr>
            </w:pPr>
            <w:r>
              <w:rPr>
                <w:sz w:val="20"/>
                <w:szCs w:val="20"/>
              </w:rPr>
              <w:t>1391</w:t>
            </w:r>
          </w:p>
        </w:tc>
        <w:tc>
          <w:tcPr>
            <w:tcW w:w="600" w:type="dxa"/>
            <w:vAlign w:val="center"/>
          </w:tcPr>
          <w:p w:rsidR="008253C1" w:rsidRPr="00CC7653" w:rsidP="00F80C79" w14:paraId="5E952B05" w14:textId="77777777">
            <w:pPr>
              <w:pStyle w:val="ListParagraph"/>
              <w:spacing w:before="120" w:after="120"/>
              <w:ind w:left="0"/>
              <w:jc w:val="center"/>
              <w:rPr>
                <w:sz w:val="20"/>
                <w:szCs w:val="20"/>
              </w:rPr>
            </w:pPr>
            <w:r>
              <w:rPr>
                <w:sz w:val="20"/>
                <w:szCs w:val="20"/>
              </w:rPr>
              <w:t>1286</w:t>
            </w:r>
          </w:p>
        </w:tc>
        <w:tc>
          <w:tcPr>
            <w:tcW w:w="598" w:type="dxa"/>
            <w:vAlign w:val="center"/>
          </w:tcPr>
          <w:p w:rsidR="008253C1" w:rsidRPr="00CC7653" w:rsidP="00F80C79" w14:paraId="1BA0464B" w14:textId="77777777">
            <w:pPr>
              <w:pStyle w:val="ListParagraph"/>
              <w:spacing w:before="120" w:after="120"/>
              <w:ind w:left="0"/>
              <w:jc w:val="center"/>
              <w:rPr>
                <w:sz w:val="20"/>
                <w:szCs w:val="20"/>
              </w:rPr>
            </w:pPr>
            <w:r>
              <w:rPr>
                <w:sz w:val="20"/>
                <w:szCs w:val="20"/>
              </w:rPr>
              <w:t>1850</w:t>
            </w:r>
          </w:p>
        </w:tc>
        <w:tc>
          <w:tcPr>
            <w:tcW w:w="600" w:type="dxa"/>
            <w:vAlign w:val="center"/>
          </w:tcPr>
          <w:p w:rsidR="008253C1" w:rsidRPr="00CC7653" w:rsidP="00F80C79" w14:paraId="6EB57F2A" w14:textId="77777777">
            <w:pPr>
              <w:pStyle w:val="ListParagraph"/>
              <w:spacing w:before="120" w:after="120"/>
              <w:ind w:left="0"/>
              <w:jc w:val="center"/>
              <w:rPr>
                <w:sz w:val="20"/>
                <w:szCs w:val="20"/>
              </w:rPr>
            </w:pPr>
            <w:r>
              <w:rPr>
                <w:sz w:val="20"/>
                <w:szCs w:val="20"/>
              </w:rPr>
              <w:t>2111</w:t>
            </w:r>
          </w:p>
        </w:tc>
        <w:tc>
          <w:tcPr>
            <w:tcW w:w="598" w:type="dxa"/>
            <w:vAlign w:val="center"/>
          </w:tcPr>
          <w:p w:rsidR="008253C1" w:rsidRPr="00CC7653" w:rsidP="00F80C79" w14:paraId="43DC58E2" w14:textId="77777777">
            <w:pPr>
              <w:pStyle w:val="ListParagraph"/>
              <w:spacing w:before="120" w:after="120"/>
              <w:ind w:left="0"/>
              <w:jc w:val="center"/>
              <w:rPr>
                <w:sz w:val="20"/>
                <w:szCs w:val="20"/>
              </w:rPr>
            </w:pPr>
            <w:r>
              <w:rPr>
                <w:sz w:val="20"/>
                <w:szCs w:val="20"/>
              </w:rPr>
              <w:t>2652</w:t>
            </w:r>
          </w:p>
        </w:tc>
        <w:tc>
          <w:tcPr>
            <w:tcW w:w="785" w:type="dxa"/>
            <w:vAlign w:val="center"/>
          </w:tcPr>
          <w:p w:rsidR="008253C1" w:rsidRPr="00CC7653" w:rsidP="00F80C79" w14:paraId="774A9BDB" w14:textId="77777777">
            <w:pPr>
              <w:pStyle w:val="ListParagraph"/>
              <w:spacing w:before="120" w:after="120"/>
              <w:ind w:left="0"/>
              <w:jc w:val="center"/>
              <w:rPr>
                <w:sz w:val="20"/>
                <w:szCs w:val="20"/>
              </w:rPr>
            </w:pPr>
            <w:r>
              <w:rPr>
                <w:sz w:val="20"/>
                <w:szCs w:val="20"/>
              </w:rPr>
              <w:t>80</w:t>
            </w:r>
          </w:p>
        </w:tc>
        <w:tc>
          <w:tcPr>
            <w:tcW w:w="597" w:type="dxa"/>
            <w:vAlign w:val="center"/>
          </w:tcPr>
          <w:p w:rsidR="008253C1" w:rsidRPr="00CC7653" w:rsidP="00F80C79" w14:paraId="044A24E3" w14:textId="77777777">
            <w:pPr>
              <w:pStyle w:val="ListParagraph"/>
              <w:spacing w:before="120" w:after="120"/>
              <w:ind w:left="0"/>
              <w:jc w:val="center"/>
              <w:rPr>
                <w:sz w:val="20"/>
                <w:szCs w:val="20"/>
              </w:rPr>
            </w:pPr>
            <w:r>
              <w:rPr>
                <w:sz w:val="20"/>
                <w:szCs w:val="20"/>
              </w:rPr>
              <w:t>255</w:t>
            </w:r>
          </w:p>
        </w:tc>
        <w:tc>
          <w:tcPr>
            <w:tcW w:w="809" w:type="dxa"/>
            <w:vAlign w:val="center"/>
          </w:tcPr>
          <w:p w:rsidR="008253C1" w:rsidRPr="00CC7653" w:rsidP="00F80C79" w14:paraId="2B75C38D" w14:textId="77777777">
            <w:pPr>
              <w:pStyle w:val="ListParagraph"/>
              <w:spacing w:before="120" w:after="120"/>
              <w:ind w:left="0"/>
              <w:jc w:val="center"/>
              <w:rPr>
                <w:sz w:val="20"/>
                <w:szCs w:val="20"/>
              </w:rPr>
            </w:pPr>
            <w:r>
              <w:rPr>
                <w:b/>
                <w:bCs/>
                <w:sz w:val="20"/>
                <w:szCs w:val="20"/>
              </w:rPr>
              <w:t>6344</w:t>
            </w:r>
          </w:p>
        </w:tc>
        <w:tc>
          <w:tcPr>
            <w:tcW w:w="711" w:type="dxa"/>
            <w:vAlign w:val="center"/>
          </w:tcPr>
          <w:p w:rsidR="008253C1" w:rsidRPr="00CC7653" w:rsidP="00F80C79" w14:paraId="5FDBBCB5" w14:textId="77777777">
            <w:pPr>
              <w:pStyle w:val="ListParagraph"/>
              <w:spacing w:before="120" w:after="120"/>
              <w:ind w:left="0"/>
              <w:jc w:val="center"/>
              <w:rPr>
                <w:sz w:val="20"/>
                <w:szCs w:val="20"/>
              </w:rPr>
            </w:pPr>
            <w:r>
              <w:rPr>
                <w:b/>
                <w:bCs/>
                <w:sz w:val="20"/>
                <w:szCs w:val="20"/>
              </w:rPr>
              <w:t>9188</w:t>
            </w:r>
          </w:p>
        </w:tc>
      </w:tr>
      <w:tr w14:paraId="29634AEC" w14:textId="77777777" w:rsidTr="00FD5935">
        <w:tblPrEx>
          <w:tblW w:w="9239" w:type="dxa"/>
          <w:jc w:val="center"/>
          <w:tblLook w:val="04A0"/>
        </w:tblPrEx>
        <w:trPr>
          <w:trHeight w:val="272"/>
          <w:jc w:val="center"/>
        </w:trPr>
        <w:tc>
          <w:tcPr>
            <w:tcW w:w="1141" w:type="dxa"/>
          </w:tcPr>
          <w:p w:rsidR="008253C1" w:rsidRPr="00CC7653" w:rsidP="00F80C79" w14:paraId="290E6899" w14:textId="77777777">
            <w:pPr>
              <w:pStyle w:val="ListParagraph"/>
              <w:spacing w:before="120" w:after="120"/>
              <w:ind w:left="0"/>
              <w:jc w:val="both"/>
              <w:rPr>
                <w:sz w:val="20"/>
                <w:szCs w:val="20"/>
              </w:rPr>
            </w:pPr>
            <w:r>
              <w:rPr>
                <w:sz w:val="20"/>
                <w:szCs w:val="20"/>
              </w:rPr>
              <w:t>UNIKĀLIE</w:t>
            </w:r>
          </w:p>
        </w:tc>
        <w:tc>
          <w:tcPr>
            <w:tcW w:w="692" w:type="dxa"/>
            <w:vAlign w:val="center"/>
          </w:tcPr>
          <w:p w:rsidR="008253C1" w:rsidRPr="00CC7653" w:rsidP="00F80C79" w14:paraId="28CF8C20" w14:textId="77777777">
            <w:pPr>
              <w:pStyle w:val="ListParagraph"/>
              <w:spacing w:before="120" w:after="120"/>
              <w:ind w:left="0"/>
              <w:jc w:val="center"/>
              <w:rPr>
                <w:sz w:val="20"/>
                <w:szCs w:val="20"/>
              </w:rPr>
            </w:pPr>
            <w:r>
              <w:rPr>
                <w:sz w:val="20"/>
                <w:szCs w:val="20"/>
              </w:rPr>
              <w:t>166</w:t>
            </w:r>
          </w:p>
        </w:tc>
        <w:tc>
          <w:tcPr>
            <w:tcW w:w="658" w:type="dxa"/>
            <w:vAlign w:val="center"/>
          </w:tcPr>
          <w:p w:rsidR="008253C1" w:rsidRPr="00CC7653" w:rsidP="00F80C79" w14:paraId="3D3F7999" w14:textId="77777777">
            <w:pPr>
              <w:pStyle w:val="ListParagraph"/>
              <w:spacing w:before="120" w:after="120"/>
              <w:ind w:left="0"/>
              <w:jc w:val="center"/>
              <w:rPr>
                <w:sz w:val="20"/>
                <w:szCs w:val="20"/>
              </w:rPr>
            </w:pPr>
            <w:r>
              <w:rPr>
                <w:sz w:val="20"/>
                <w:szCs w:val="20"/>
              </w:rPr>
              <w:t>251</w:t>
            </w:r>
          </w:p>
        </w:tc>
        <w:tc>
          <w:tcPr>
            <w:tcW w:w="742" w:type="dxa"/>
            <w:vAlign w:val="center"/>
          </w:tcPr>
          <w:p w:rsidR="008253C1" w:rsidRPr="00CC7653" w:rsidP="00F80C79" w14:paraId="4728B17B" w14:textId="77777777">
            <w:pPr>
              <w:pStyle w:val="ListParagraph"/>
              <w:spacing w:before="120" w:after="120"/>
              <w:ind w:left="0"/>
              <w:jc w:val="center"/>
              <w:rPr>
                <w:sz w:val="20"/>
                <w:szCs w:val="20"/>
              </w:rPr>
            </w:pPr>
            <w:r>
              <w:rPr>
                <w:sz w:val="20"/>
                <w:szCs w:val="20"/>
              </w:rPr>
              <w:t>124</w:t>
            </w:r>
          </w:p>
        </w:tc>
        <w:tc>
          <w:tcPr>
            <w:tcW w:w="706" w:type="dxa"/>
            <w:vAlign w:val="center"/>
          </w:tcPr>
          <w:p w:rsidR="008253C1" w:rsidRPr="00CC7653" w:rsidP="00F80C79" w14:paraId="7F2D9FC9" w14:textId="77777777">
            <w:pPr>
              <w:pStyle w:val="ListParagraph"/>
              <w:spacing w:before="120" w:after="120"/>
              <w:ind w:left="0"/>
              <w:jc w:val="center"/>
              <w:rPr>
                <w:sz w:val="20"/>
                <w:szCs w:val="20"/>
              </w:rPr>
            </w:pPr>
            <w:r>
              <w:rPr>
                <w:sz w:val="20"/>
                <w:szCs w:val="20"/>
              </w:rPr>
              <w:t>164</w:t>
            </w:r>
          </w:p>
        </w:tc>
        <w:tc>
          <w:tcPr>
            <w:tcW w:w="600" w:type="dxa"/>
            <w:vAlign w:val="center"/>
          </w:tcPr>
          <w:p w:rsidR="008253C1" w:rsidRPr="00CC7653" w:rsidP="00F80C79" w14:paraId="1457D5A3" w14:textId="77777777">
            <w:pPr>
              <w:pStyle w:val="ListParagraph"/>
              <w:spacing w:before="120" w:after="120"/>
              <w:ind w:left="0"/>
              <w:jc w:val="center"/>
              <w:rPr>
                <w:sz w:val="20"/>
                <w:szCs w:val="20"/>
              </w:rPr>
            </w:pPr>
            <w:r>
              <w:rPr>
                <w:sz w:val="20"/>
                <w:szCs w:val="20"/>
              </w:rPr>
              <w:t>167</w:t>
            </w:r>
          </w:p>
        </w:tc>
        <w:tc>
          <w:tcPr>
            <w:tcW w:w="598" w:type="dxa"/>
            <w:vAlign w:val="center"/>
          </w:tcPr>
          <w:p w:rsidR="008253C1" w:rsidRPr="00CC7653" w:rsidP="00F80C79" w14:paraId="08AB8C2F" w14:textId="77777777">
            <w:pPr>
              <w:pStyle w:val="ListParagraph"/>
              <w:spacing w:before="120" w:after="120"/>
              <w:ind w:left="0"/>
              <w:jc w:val="center"/>
              <w:rPr>
                <w:sz w:val="20"/>
                <w:szCs w:val="20"/>
              </w:rPr>
            </w:pPr>
            <w:r>
              <w:rPr>
                <w:sz w:val="20"/>
                <w:szCs w:val="20"/>
              </w:rPr>
              <w:t>207</w:t>
            </w:r>
          </w:p>
        </w:tc>
        <w:tc>
          <w:tcPr>
            <w:tcW w:w="600" w:type="dxa"/>
            <w:vAlign w:val="center"/>
          </w:tcPr>
          <w:p w:rsidR="008253C1" w:rsidRPr="00CC7653" w:rsidP="00F80C79" w14:paraId="382DA2DE" w14:textId="77777777">
            <w:pPr>
              <w:pStyle w:val="ListParagraph"/>
              <w:spacing w:before="120" w:after="120"/>
              <w:ind w:left="0"/>
              <w:jc w:val="center"/>
              <w:rPr>
                <w:sz w:val="20"/>
                <w:szCs w:val="20"/>
              </w:rPr>
            </w:pPr>
            <w:r>
              <w:rPr>
                <w:sz w:val="20"/>
                <w:szCs w:val="20"/>
              </w:rPr>
              <w:t>279</w:t>
            </w:r>
          </w:p>
        </w:tc>
        <w:tc>
          <w:tcPr>
            <w:tcW w:w="598" w:type="dxa"/>
            <w:vAlign w:val="center"/>
          </w:tcPr>
          <w:p w:rsidR="008253C1" w:rsidRPr="00CC7653" w:rsidP="00F80C79" w14:paraId="49CDF68A" w14:textId="77777777">
            <w:pPr>
              <w:pStyle w:val="ListParagraph"/>
              <w:spacing w:before="120" w:after="120"/>
              <w:ind w:left="0"/>
              <w:jc w:val="center"/>
              <w:rPr>
                <w:sz w:val="20"/>
                <w:szCs w:val="20"/>
              </w:rPr>
            </w:pPr>
            <w:r>
              <w:rPr>
                <w:sz w:val="20"/>
                <w:szCs w:val="20"/>
              </w:rPr>
              <w:t>327</w:t>
            </w:r>
          </w:p>
        </w:tc>
        <w:tc>
          <w:tcPr>
            <w:tcW w:w="785" w:type="dxa"/>
            <w:vAlign w:val="center"/>
          </w:tcPr>
          <w:p w:rsidR="008253C1" w:rsidRPr="00CC7653" w:rsidP="00F80C79" w14:paraId="7D77E871" w14:textId="77777777">
            <w:pPr>
              <w:pStyle w:val="ListParagraph"/>
              <w:spacing w:before="120" w:after="120"/>
              <w:ind w:left="0"/>
              <w:jc w:val="center"/>
              <w:rPr>
                <w:sz w:val="20"/>
                <w:szCs w:val="20"/>
              </w:rPr>
            </w:pPr>
            <w:r>
              <w:rPr>
                <w:sz w:val="20"/>
                <w:szCs w:val="20"/>
              </w:rPr>
              <w:t>15</w:t>
            </w:r>
          </w:p>
        </w:tc>
        <w:tc>
          <w:tcPr>
            <w:tcW w:w="597" w:type="dxa"/>
            <w:vAlign w:val="center"/>
          </w:tcPr>
          <w:p w:rsidR="008253C1" w:rsidRPr="00CC7653" w:rsidP="00F80C79" w14:paraId="7C1D2EDC" w14:textId="77777777">
            <w:pPr>
              <w:pStyle w:val="ListParagraph"/>
              <w:spacing w:before="120" w:after="120"/>
              <w:ind w:left="0"/>
              <w:jc w:val="center"/>
              <w:rPr>
                <w:sz w:val="20"/>
                <w:szCs w:val="20"/>
              </w:rPr>
            </w:pPr>
            <w:r>
              <w:rPr>
                <w:sz w:val="20"/>
                <w:szCs w:val="20"/>
              </w:rPr>
              <w:t>43</w:t>
            </w:r>
          </w:p>
        </w:tc>
        <w:tc>
          <w:tcPr>
            <w:tcW w:w="809" w:type="dxa"/>
            <w:vAlign w:val="center"/>
          </w:tcPr>
          <w:p w:rsidR="008253C1" w:rsidRPr="00CC7653" w:rsidP="00F80C79" w14:paraId="069B98D9" w14:textId="77777777">
            <w:pPr>
              <w:pStyle w:val="ListParagraph"/>
              <w:spacing w:before="120" w:after="120"/>
              <w:ind w:left="0"/>
              <w:jc w:val="center"/>
              <w:rPr>
                <w:sz w:val="20"/>
                <w:szCs w:val="20"/>
              </w:rPr>
            </w:pPr>
            <w:r>
              <w:rPr>
                <w:b/>
                <w:bCs/>
                <w:sz w:val="20"/>
                <w:szCs w:val="20"/>
              </w:rPr>
              <w:t>736</w:t>
            </w:r>
          </w:p>
        </w:tc>
        <w:tc>
          <w:tcPr>
            <w:tcW w:w="711" w:type="dxa"/>
            <w:vAlign w:val="center"/>
          </w:tcPr>
          <w:p w:rsidR="008253C1" w:rsidRPr="00CC7653" w:rsidP="00F80C79" w14:paraId="1A43781A" w14:textId="77777777">
            <w:pPr>
              <w:pStyle w:val="ListParagraph"/>
              <w:spacing w:before="120" w:after="120"/>
              <w:ind w:left="0"/>
              <w:jc w:val="center"/>
              <w:rPr>
                <w:sz w:val="20"/>
                <w:szCs w:val="20"/>
              </w:rPr>
            </w:pPr>
            <w:r>
              <w:rPr>
                <w:b/>
                <w:bCs/>
                <w:sz w:val="20"/>
                <w:szCs w:val="20"/>
              </w:rPr>
              <w:t>992</w:t>
            </w:r>
          </w:p>
        </w:tc>
      </w:tr>
      <w:tr w14:paraId="0B4830B8" w14:textId="77777777" w:rsidTr="00FD5935">
        <w:tblPrEx>
          <w:tblW w:w="9239" w:type="dxa"/>
          <w:jc w:val="center"/>
          <w:tblLook w:val="04A0"/>
        </w:tblPrEx>
        <w:trPr>
          <w:trHeight w:val="272"/>
          <w:jc w:val="center"/>
        </w:trPr>
        <w:tc>
          <w:tcPr>
            <w:tcW w:w="1141" w:type="dxa"/>
          </w:tcPr>
          <w:p w:rsidR="008253C1" w:rsidRPr="00CC7653" w:rsidP="00F80C79" w14:paraId="613E1287" w14:textId="77777777">
            <w:pPr>
              <w:pStyle w:val="ListParagraph"/>
              <w:spacing w:before="120" w:after="120"/>
              <w:ind w:left="0"/>
              <w:jc w:val="both"/>
              <w:rPr>
                <w:sz w:val="20"/>
                <w:szCs w:val="20"/>
              </w:rPr>
            </w:pPr>
            <w:r>
              <w:rPr>
                <w:sz w:val="20"/>
                <w:szCs w:val="20"/>
              </w:rPr>
              <w:t>LĪDZ13 G.V.</w:t>
            </w:r>
          </w:p>
        </w:tc>
        <w:tc>
          <w:tcPr>
            <w:tcW w:w="692" w:type="dxa"/>
            <w:vAlign w:val="center"/>
          </w:tcPr>
          <w:p w:rsidR="008253C1" w:rsidRPr="00CC7653" w:rsidP="00F80C79" w14:paraId="2559BA3C" w14:textId="77777777">
            <w:pPr>
              <w:pStyle w:val="ListParagraph"/>
              <w:spacing w:before="120" w:after="120"/>
              <w:ind w:left="0"/>
              <w:jc w:val="center"/>
              <w:rPr>
                <w:sz w:val="20"/>
                <w:szCs w:val="20"/>
              </w:rPr>
            </w:pPr>
            <w:r>
              <w:rPr>
                <w:sz w:val="20"/>
                <w:szCs w:val="20"/>
              </w:rPr>
              <w:t>21%</w:t>
            </w:r>
          </w:p>
        </w:tc>
        <w:tc>
          <w:tcPr>
            <w:tcW w:w="658" w:type="dxa"/>
            <w:vAlign w:val="center"/>
          </w:tcPr>
          <w:p w:rsidR="008253C1" w:rsidRPr="00CC7653" w:rsidP="00F80C79" w14:paraId="7E4A4691" w14:textId="77777777">
            <w:pPr>
              <w:pStyle w:val="ListParagraph"/>
              <w:spacing w:before="120" w:after="120"/>
              <w:ind w:left="0"/>
              <w:jc w:val="center"/>
              <w:rPr>
                <w:sz w:val="20"/>
                <w:szCs w:val="20"/>
              </w:rPr>
            </w:pPr>
            <w:r>
              <w:rPr>
                <w:sz w:val="20"/>
                <w:szCs w:val="20"/>
              </w:rPr>
              <w:t>51%</w:t>
            </w:r>
          </w:p>
        </w:tc>
        <w:tc>
          <w:tcPr>
            <w:tcW w:w="742" w:type="dxa"/>
            <w:vAlign w:val="center"/>
          </w:tcPr>
          <w:p w:rsidR="008253C1" w:rsidRPr="00CC7653" w:rsidP="00F80C79" w14:paraId="0282206A" w14:textId="77777777">
            <w:pPr>
              <w:pStyle w:val="ListParagraph"/>
              <w:spacing w:before="120" w:after="120"/>
              <w:ind w:left="0"/>
              <w:jc w:val="center"/>
              <w:rPr>
                <w:sz w:val="20"/>
                <w:szCs w:val="20"/>
              </w:rPr>
            </w:pPr>
            <w:r>
              <w:rPr>
                <w:sz w:val="20"/>
                <w:szCs w:val="20"/>
              </w:rPr>
              <w:t>26%</w:t>
            </w:r>
          </w:p>
        </w:tc>
        <w:tc>
          <w:tcPr>
            <w:tcW w:w="706" w:type="dxa"/>
            <w:vAlign w:val="center"/>
          </w:tcPr>
          <w:p w:rsidR="008253C1" w:rsidRPr="00CC7653" w:rsidP="00F80C79" w14:paraId="5522402C" w14:textId="77777777">
            <w:pPr>
              <w:pStyle w:val="ListParagraph"/>
              <w:spacing w:before="120" w:after="120"/>
              <w:ind w:left="0"/>
              <w:jc w:val="center"/>
              <w:rPr>
                <w:sz w:val="20"/>
                <w:szCs w:val="20"/>
              </w:rPr>
            </w:pPr>
            <w:r>
              <w:rPr>
                <w:sz w:val="20"/>
                <w:szCs w:val="20"/>
              </w:rPr>
              <w:t>34%</w:t>
            </w:r>
          </w:p>
        </w:tc>
        <w:tc>
          <w:tcPr>
            <w:tcW w:w="600" w:type="dxa"/>
            <w:vAlign w:val="center"/>
          </w:tcPr>
          <w:p w:rsidR="008253C1" w:rsidRPr="00CC7653" w:rsidP="00F80C79" w14:paraId="1E04C4A3" w14:textId="77777777">
            <w:pPr>
              <w:pStyle w:val="ListParagraph"/>
              <w:spacing w:before="120" w:after="120"/>
              <w:ind w:left="0"/>
              <w:jc w:val="center"/>
              <w:rPr>
                <w:sz w:val="20"/>
                <w:szCs w:val="20"/>
              </w:rPr>
            </w:pPr>
            <w:r>
              <w:rPr>
                <w:sz w:val="20"/>
                <w:szCs w:val="20"/>
              </w:rPr>
              <w:t>70%</w:t>
            </w:r>
          </w:p>
        </w:tc>
        <w:tc>
          <w:tcPr>
            <w:tcW w:w="598" w:type="dxa"/>
            <w:vAlign w:val="center"/>
          </w:tcPr>
          <w:p w:rsidR="008253C1" w:rsidRPr="00CC7653" w:rsidP="00F80C79" w14:paraId="37F853DE" w14:textId="77777777">
            <w:pPr>
              <w:pStyle w:val="ListParagraph"/>
              <w:spacing w:before="120" w:after="120"/>
              <w:ind w:left="0"/>
              <w:jc w:val="center"/>
              <w:rPr>
                <w:sz w:val="20"/>
                <w:szCs w:val="20"/>
              </w:rPr>
            </w:pPr>
            <w:r>
              <w:rPr>
                <w:sz w:val="20"/>
                <w:szCs w:val="20"/>
              </w:rPr>
              <w:t>65%</w:t>
            </w:r>
          </w:p>
        </w:tc>
        <w:tc>
          <w:tcPr>
            <w:tcW w:w="600" w:type="dxa"/>
            <w:vAlign w:val="center"/>
          </w:tcPr>
          <w:p w:rsidR="008253C1" w:rsidRPr="00CC7653" w:rsidP="00F80C79" w14:paraId="4CB63D65" w14:textId="77777777">
            <w:pPr>
              <w:pStyle w:val="ListParagraph"/>
              <w:spacing w:before="120" w:after="120"/>
              <w:ind w:left="0"/>
              <w:jc w:val="center"/>
              <w:rPr>
                <w:sz w:val="20"/>
                <w:szCs w:val="20"/>
              </w:rPr>
            </w:pPr>
            <w:r>
              <w:rPr>
                <w:sz w:val="20"/>
                <w:szCs w:val="20"/>
              </w:rPr>
              <w:t>26%</w:t>
            </w:r>
          </w:p>
        </w:tc>
        <w:tc>
          <w:tcPr>
            <w:tcW w:w="598" w:type="dxa"/>
            <w:vAlign w:val="center"/>
          </w:tcPr>
          <w:p w:rsidR="008253C1" w:rsidRPr="00CC7653" w:rsidP="00F80C79" w14:paraId="065E2C0E" w14:textId="77777777">
            <w:pPr>
              <w:pStyle w:val="ListParagraph"/>
              <w:spacing w:before="120" w:after="120"/>
              <w:ind w:left="0"/>
              <w:jc w:val="center"/>
              <w:rPr>
                <w:sz w:val="20"/>
                <w:szCs w:val="20"/>
              </w:rPr>
            </w:pPr>
            <w:r>
              <w:rPr>
                <w:sz w:val="20"/>
                <w:szCs w:val="20"/>
              </w:rPr>
              <w:t>8%</w:t>
            </w:r>
          </w:p>
        </w:tc>
        <w:tc>
          <w:tcPr>
            <w:tcW w:w="785" w:type="dxa"/>
            <w:vAlign w:val="center"/>
          </w:tcPr>
          <w:p w:rsidR="008253C1" w:rsidRPr="00CC7653" w:rsidP="00F80C79" w14:paraId="65CCB8D3" w14:textId="77777777">
            <w:pPr>
              <w:pStyle w:val="ListParagraph"/>
              <w:spacing w:before="120" w:after="120"/>
              <w:ind w:left="0"/>
              <w:jc w:val="center"/>
              <w:rPr>
                <w:sz w:val="20"/>
                <w:szCs w:val="20"/>
              </w:rPr>
            </w:pPr>
            <w:r>
              <w:rPr>
                <w:sz w:val="20"/>
                <w:szCs w:val="20"/>
              </w:rPr>
              <w:t>80%</w:t>
            </w:r>
          </w:p>
        </w:tc>
        <w:tc>
          <w:tcPr>
            <w:tcW w:w="597" w:type="dxa"/>
            <w:vAlign w:val="center"/>
          </w:tcPr>
          <w:p w:rsidR="008253C1" w:rsidRPr="00CC7653" w:rsidP="00F80C79" w14:paraId="79DB6924" w14:textId="77777777">
            <w:pPr>
              <w:pStyle w:val="ListParagraph"/>
              <w:spacing w:before="120" w:after="120"/>
              <w:ind w:left="0"/>
              <w:jc w:val="center"/>
              <w:rPr>
                <w:sz w:val="20"/>
                <w:szCs w:val="20"/>
              </w:rPr>
            </w:pPr>
            <w:r>
              <w:rPr>
                <w:sz w:val="20"/>
                <w:szCs w:val="20"/>
              </w:rPr>
              <w:t>70%</w:t>
            </w:r>
          </w:p>
        </w:tc>
        <w:tc>
          <w:tcPr>
            <w:tcW w:w="809" w:type="dxa"/>
            <w:vAlign w:val="center"/>
          </w:tcPr>
          <w:p w:rsidR="008253C1" w:rsidRPr="00CC7653" w:rsidP="00F80C79" w14:paraId="715D78E5" w14:textId="77777777">
            <w:pPr>
              <w:pStyle w:val="ListParagraph"/>
              <w:spacing w:before="120" w:after="120"/>
              <w:ind w:left="0"/>
              <w:jc w:val="center"/>
              <w:rPr>
                <w:sz w:val="20"/>
                <w:szCs w:val="20"/>
              </w:rPr>
            </w:pPr>
            <w:r>
              <w:rPr>
                <w:b/>
                <w:bCs/>
                <w:sz w:val="20"/>
                <w:szCs w:val="20"/>
              </w:rPr>
              <w:t>35.75%</w:t>
            </w:r>
          </w:p>
        </w:tc>
        <w:tc>
          <w:tcPr>
            <w:tcW w:w="711" w:type="dxa"/>
            <w:vAlign w:val="center"/>
          </w:tcPr>
          <w:p w:rsidR="008253C1" w:rsidRPr="00CC7653" w:rsidP="00F80C79" w14:paraId="29F3DBE9" w14:textId="77777777">
            <w:pPr>
              <w:pStyle w:val="ListParagraph"/>
              <w:spacing w:before="120" w:after="120"/>
              <w:ind w:left="0"/>
              <w:jc w:val="center"/>
              <w:rPr>
                <w:sz w:val="20"/>
                <w:szCs w:val="20"/>
              </w:rPr>
            </w:pPr>
            <w:r>
              <w:rPr>
                <w:b/>
                <w:bCs/>
                <w:sz w:val="20"/>
                <w:szCs w:val="20"/>
              </w:rPr>
              <w:t>45.6%</w:t>
            </w:r>
          </w:p>
        </w:tc>
      </w:tr>
      <w:tr w14:paraId="4F74609D" w14:textId="77777777" w:rsidTr="00FD5935">
        <w:tblPrEx>
          <w:tblW w:w="9239" w:type="dxa"/>
          <w:jc w:val="center"/>
          <w:tblLook w:val="04A0"/>
        </w:tblPrEx>
        <w:trPr>
          <w:trHeight w:val="307"/>
          <w:jc w:val="center"/>
        </w:trPr>
        <w:tc>
          <w:tcPr>
            <w:tcW w:w="1141" w:type="dxa"/>
          </w:tcPr>
          <w:p w:rsidR="008253C1" w:rsidRPr="00CC7653" w:rsidP="00F80C79" w14:paraId="6B81C9B9" w14:textId="77777777">
            <w:pPr>
              <w:pStyle w:val="ListParagraph"/>
              <w:spacing w:before="120" w:after="120"/>
              <w:ind w:left="0"/>
              <w:jc w:val="both"/>
              <w:rPr>
                <w:sz w:val="20"/>
                <w:szCs w:val="20"/>
              </w:rPr>
            </w:pPr>
            <w:r>
              <w:t>13-15 G.V.</w:t>
            </w:r>
          </w:p>
        </w:tc>
        <w:tc>
          <w:tcPr>
            <w:tcW w:w="692" w:type="dxa"/>
            <w:vAlign w:val="center"/>
          </w:tcPr>
          <w:p w:rsidR="008253C1" w:rsidRPr="00CC7653" w:rsidP="00F80C79" w14:paraId="6D24B7F7" w14:textId="77777777">
            <w:pPr>
              <w:pStyle w:val="ListParagraph"/>
              <w:spacing w:before="120" w:after="120"/>
              <w:ind w:left="0"/>
              <w:jc w:val="center"/>
              <w:rPr>
                <w:sz w:val="20"/>
                <w:szCs w:val="20"/>
              </w:rPr>
            </w:pPr>
            <w:r>
              <w:t>52%</w:t>
            </w:r>
          </w:p>
        </w:tc>
        <w:tc>
          <w:tcPr>
            <w:tcW w:w="658" w:type="dxa"/>
            <w:vAlign w:val="center"/>
          </w:tcPr>
          <w:p w:rsidR="008253C1" w:rsidRPr="00CC7653" w:rsidP="00F80C79" w14:paraId="34B25F04" w14:textId="77777777">
            <w:pPr>
              <w:pStyle w:val="ListParagraph"/>
              <w:spacing w:before="120" w:after="120"/>
              <w:ind w:left="0"/>
              <w:jc w:val="center"/>
              <w:rPr>
                <w:sz w:val="20"/>
                <w:szCs w:val="20"/>
              </w:rPr>
            </w:pPr>
            <w:r>
              <w:t>36%</w:t>
            </w:r>
          </w:p>
        </w:tc>
        <w:tc>
          <w:tcPr>
            <w:tcW w:w="742" w:type="dxa"/>
            <w:vAlign w:val="center"/>
          </w:tcPr>
          <w:p w:rsidR="008253C1" w:rsidRPr="00CC7653" w:rsidP="00F80C79" w14:paraId="39F3DFAA" w14:textId="77777777">
            <w:pPr>
              <w:pStyle w:val="ListParagraph"/>
              <w:spacing w:before="120" w:after="120"/>
              <w:ind w:left="0"/>
              <w:jc w:val="center"/>
              <w:rPr>
                <w:sz w:val="20"/>
                <w:szCs w:val="20"/>
              </w:rPr>
            </w:pPr>
            <w:r>
              <w:t>30%</w:t>
            </w:r>
          </w:p>
        </w:tc>
        <w:tc>
          <w:tcPr>
            <w:tcW w:w="706" w:type="dxa"/>
            <w:vAlign w:val="center"/>
          </w:tcPr>
          <w:p w:rsidR="008253C1" w:rsidRPr="00CC7653" w:rsidP="00F80C79" w14:paraId="5BD853F9" w14:textId="77777777">
            <w:pPr>
              <w:pStyle w:val="ListParagraph"/>
              <w:spacing w:before="120" w:after="120"/>
              <w:ind w:left="0"/>
              <w:jc w:val="center"/>
              <w:rPr>
                <w:sz w:val="20"/>
                <w:szCs w:val="20"/>
              </w:rPr>
            </w:pPr>
            <w:r>
              <w:t>33%</w:t>
            </w:r>
          </w:p>
        </w:tc>
        <w:tc>
          <w:tcPr>
            <w:tcW w:w="600" w:type="dxa"/>
            <w:vAlign w:val="center"/>
          </w:tcPr>
          <w:p w:rsidR="008253C1" w:rsidRPr="00CC7653" w:rsidP="00F80C79" w14:paraId="151A61C9" w14:textId="77777777">
            <w:pPr>
              <w:pStyle w:val="ListParagraph"/>
              <w:spacing w:before="120" w:after="120"/>
              <w:ind w:left="0"/>
              <w:jc w:val="center"/>
              <w:rPr>
                <w:sz w:val="20"/>
                <w:szCs w:val="20"/>
              </w:rPr>
            </w:pPr>
            <w:r>
              <w:t>25%</w:t>
            </w:r>
          </w:p>
        </w:tc>
        <w:tc>
          <w:tcPr>
            <w:tcW w:w="598" w:type="dxa"/>
            <w:vAlign w:val="center"/>
          </w:tcPr>
          <w:p w:rsidR="008253C1" w:rsidRPr="00CC7653" w:rsidP="00F80C79" w14:paraId="302605D5" w14:textId="77777777">
            <w:pPr>
              <w:pStyle w:val="ListParagraph"/>
              <w:spacing w:before="120" w:after="120"/>
              <w:ind w:left="0"/>
              <w:jc w:val="center"/>
              <w:rPr>
                <w:sz w:val="20"/>
                <w:szCs w:val="20"/>
              </w:rPr>
            </w:pPr>
            <w:r>
              <w:t>22%</w:t>
            </w:r>
          </w:p>
        </w:tc>
        <w:tc>
          <w:tcPr>
            <w:tcW w:w="600" w:type="dxa"/>
            <w:vAlign w:val="center"/>
          </w:tcPr>
          <w:p w:rsidR="008253C1" w:rsidRPr="00CC7653" w:rsidP="00F80C79" w14:paraId="3DBA7D7E" w14:textId="77777777">
            <w:pPr>
              <w:pStyle w:val="ListParagraph"/>
              <w:spacing w:before="120" w:after="120"/>
              <w:ind w:left="0"/>
              <w:jc w:val="center"/>
              <w:rPr>
                <w:sz w:val="20"/>
                <w:szCs w:val="20"/>
              </w:rPr>
            </w:pPr>
            <w:r>
              <w:t>54%</w:t>
            </w:r>
          </w:p>
        </w:tc>
        <w:tc>
          <w:tcPr>
            <w:tcW w:w="598" w:type="dxa"/>
            <w:vAlign w:val="center"/>
          </w:tcPr>
          <w:p w:rsidR="008253C1" w:rsidRPr="00CC7653" w:rsidP="00F80C79" w14:paraId="366D1EB2" w14:textId="77777777">
            <w:pPr>
              <w:pStyle w:val="ListParagraph"/>
              <w:spacing w:before="120" w:after="120"/>
              <w:ind w:left="0"/>
              <w:jc w:val="center"/>
              <w:rPr>
                <w:sz w:val="20"/>
                <w:szCs w:val="20"/>
              </w:rPr>
            </w:pPr>
            <w:r>
              <w:t>67%</w:t>
            </w:r>
          </w:p>
        </w:tc>
        <w:tc>
          <w:tcPr>
            <w:tcW w:w="785" w:type="dxa"/>
            <w:vAlign w:val="center"/>
          </w:tcPr>
          <w:p w:rsidR="008253C1" w:rsidRPr="00CC7653" w:rsidP="00F80C79" w14:paraId="133F56ED" w14:textId="77777777">
            <w:pPr>
              <w:pStyle w:val="ListParagraph"/>
              <w:spacing w:before="120" w:after="120"/>
              <w:ind w:left="0"/>
              <w:jc w:val="center"/>
              <w:rPr>
                <w:sz w:val="20"/>
                <w:szCs w:val="20"/>
              </w:rPr>
            </w:pPr>
            <w:r>
              <w:t>20%</w:t>
            </w:r>
          </w:p>
        </w:tc>
        <w:tc>
          <w:tcPr>
            <w:tcW w:w="597" w:type="dxa"/>
            <w:vAlign w:val="center"/>
          </w:tcPr>
          <w:p w:rsidR="008253C1" w:rsidRPr="00CC7653" w:rsidP="00F80C79" w14:paraId="7FF687C7" w14:textId="77777777">
            <w:pPr>
              <w:pStyle w:val="ListParagraph"/>
              <w:spacing w:before="120" w:after="120"/>
              <w:ind w:left="0"/>
              <w:jc w:val="center"/>
              <w:rPr>
                <w:sz w:val="20"/>
                <w:szCs w:val="20"/>
              </w:rPr>
            </w:pPr>
            <w:r>
              <w:t>25%</w:t>
            </w:r>
          </w:p>
        </w:tc>
        <w:tc>
          <w:tcPr>
            <w:tcW w:w="809" w:type="dxa"/>
            <w:vAlign w:val="center"/>
          </w:tcPr>
          <w:p w:rsidR="008253C1" w:rsidRPr="00CC7653" w:rsidP="00F80C79" w14:paraId="2FC3DAA6" w14:textId="77777777">
            <w:pPr>
              <w:pStyle w:val="ListParagraph"/>
              <w:spacing w:before="120" w:after="120"/>
              <w:ind w:left="0"/>
              <w:jc w:val="center"/>
              <w:rPr>
                <w:sz w:val="20"/>
                <w:szCs w:val="20"/>
              </w:rPr>
            </w:pPr>
            <w:r>
              <w:rPr>
                <w:b/>
                <w:bCs/>
              </w:rPr>
              <w:t>40.25%</w:t>
            </w:r>
          </w:p>
        </w:tc>
        <w:tc>
          <w:tcPr>
            <w:tcW w:w="711" w:type="dxa"/>
            <w:vAlign w:val="center"/>
          </w:tcPr>
          <w:p w:rsidR="008253C1" w:rsidRPr="00CC7653" w:rsidP="00F80C79" w14:paraId="07A7E7CD" w14:textId="77777777">
            <w:pPr>
              <w:pStyle w:val="ListParagraph"/>
              <w:spacing w:before="120" w:after="120"/>
              <w:ind w:left="0"/>
              <w:jc w:val="center"/>
              <w:rPr>
                <w:sz w:val="20"/>
                <w:szCs w:val="20"/>
              </w:rPr>
            </w:pPr>
            <w:r>
              <w:rPr>
                <w:b/>
                <w:bCs/>
              </w:rPr>
              <w:t>36.6%</w:t>
            </w:r>
          </w:p>
        </w:tc>
      </w:tr>
      <w:tr w14:paraId="0AB2961B" w14:textId="77777777" w:rsidTr="00FD5935">
        <w:tblPrEx>
          <w:tblW w:w="9239" w:type="dxa"/>
          <w:jc w:val="center"/>
          <w:tblLook w:val="04A0"/>
        </w:tblPrEx>
        <w:trPr>
          <w:trHeight w:val="307"/>
          <w:jc w:val="center"/>
        </w:trPr>
        <w:tc>
          <w:tcPr>
            <w:tcW w:w="1141" w:type="dxa"/>
          </w:tcPr>
          <w:p w:rsidR="008253C1" w:rsidRPr="00613794" w:rsidP="00F80C79" w14:paraId="3EAB4944" w14:textId="77777777">
            <w:pPr>
              <w:pStyle w:val="ListParagraph"/>
              <w:spacing w:before="120" w:after="120"/>
              <w:ind w:left="0"/>
              <w:jc w:val="both"/>
            </w:pPr>
            <w:r>
              <w:t>16-18 G.V.</w:t>
            </w:r>
          </w:p>
        </w:tc>
        <w:tc>
          <w:tcPr>
            <w:tcW w:w="692" w:type="dxa"/>
            <w:vAlign w:val="center"/>
          </w:tcPr>
          <w:p w:rsidR="008253C1" w:rsidRPr="00613794" w:rsidP="00F80C79" w14:paraId="4C269490" w14:textId="77777777">
            <w:pPr>
              <w:pStyle w:val="ListParagraph"/>
              <w:spacing w:before="120" w:after="120"/>
              <w:ind w:left="0"/>
              <w:jc w:val="center"/>
            </w:pPr>
            <w:r>
              <w:t>22%</w:t>
            </w:r>
          </w:p>
        </w:tc>
        <w:tc>
          <w:tcPr>
            <w:tcW w:w="658" w:type="dxa"/>
            <w:vAlign w:val="center"/>
          </w:tcPr>
          <w:p w:rsidR="008253C1" w:rsidRPr="00613794" w:rsidP="00F80C79" w14:paraId="7F1E3080" w14:textId="77777777">
            <w:pPr>
              <w:pStyle w:val="ListParagraph"/>
              <w:spacing w:before="120" w:after="120"/>
              <w:ind w:left="0"/>
              <w:jc w:val="center"/>
            </w:pPr>
            <w:r>
              <w:t>11%</w:t>
            </w:r>
          </w:p>
        </w:tc>
        <w:tc>
          <w:tcPr>
            <w:tcW w:w="742" w:type="dxa"/>
            <w:vAlign w:val="center"/>
          </w:tcPr>
          <w:p w:rsidR="008253C1" w:rsidRPr="00613794" w:rsidP="00F80C79" w14:paraId="443796AF" w14:textId="77777777">
            <w:pPr>
              <w:pStyle w:val="ListParagraph"/>
              <w:spacing w:before="120" w:after="120"/>
              <w:ind w:left="0"/>
              <w:jc w:val="center"/>
            </w:pPr>
            <w:r>
              <w:t>27%</w:t>
            </w:r>
          </w:p>
        </w:tc>
        <w:tc>
          <w:tcPr>
            <w:tcW w:w="706" w:type="dxa"/>
            <w:vAlign w:val="center"/>
          </w:tcPr>
          <w:p w:rsidR="008253C1" w:rsidRPr="00613794" w:rsidP="00F80C79" w14:paraId="239C9EE7" w14:textId="77777777">
            <w:pPr>
              <w:pStyle w:val="ListParagraph"/>
              <w:spacing w:before="120" w:after="120"/>
              <w:ind w:left="0"/>
              <w:jc w:val="center"/>
            </w:pPr>
            <w:r>
              <w:t>14%</w:t>
            </w:r>
          </w:p>
        </w:tc>
        <w:tc>
          <w:tcPr>
            <w:tcW w:w="600" w:type="dxa"/>
            <w:vAlign w:val="center"/>
          </w:tcPr>
          <w:p w:rsidR="008253C1" w:rsidRPr="00613794" w:rsidP="00F80C79" w14:paraId="4A88C9E7" w14:textId="77777777">
            <w:pPr>
              <w:pStyle w:val="ListParagraph"/>
              <w:spacing w:before="120" w:after="120"/>
              <w:ind w:left="0"/>
              <w:jc w:val="center"/>
            </w:pPr>
            <w:r>
              <w:t>5%</w:t>
            </w:r>
          </w:p>
        </w:tc>
        <w:tc>
          <w:tcPr>
            <w:tcW w:w="598" w:type="dxa"/>
            <w:vAlign w:val="center"/>
          </w:tcPr>
          <w:p w:rsidR="008253C1" w:rsidRPr="00613794" w:rsidP="00F80C79" w14:paraId="7CB66F6B" w14:textId="77777777">
            <w:pPr>
              <w:pStyle w:val="ListParagraph"/>
              <w:spacing w:before="120" w:after="120"/>
              <w:ind w:left="0"/>
              <w:jc w:val="center"/>
            </w:pPr>
            <w:r>
              <w:t>7%</w:t>
            </w:r>
          </w:p>
        </w:tc>
        <w:tc>
          <w:tcPr>
            <w:tcW w:w="600" w:type="dxa"/>
            <w:vAlign w:val="center"/>
          </w:tcPr>
          <w:p w:rsidR="008253C1" w:rsidRPr="00613794" w:rsidP="00F80C79" w14:paraId="7DDD472A" w14:textId="77777777">
            <w:pPr>
              <w:pStyle w:val="ListParagraph"/>
              <w:spacing w:before="120" w:after="120"/>
              <w:ind w:left="0"/>
              <w:jc w:val="center"/>
            </w:pPr>
            <w:r>
              <w:t>17%</w:t>
            </w:r>
          </w:p>
        </w:tc>
        <w:tc>
          <w:tcPr>
            <w:tcW w:w="598" w:type="dxa"/>
            <w:vAlign w:val="center"/>
          </w:tcPr>
          <w:p w:rsidR="008253C1" w:rsidRPr="00613794" w:rsidP="00F80C79" w14:paraId="2D001AA8" w14:textId="77777777">
            <w:pPr>
              <w:pStyle w:val="ListParagraph"/>
              <w:spacing w:before="120" w:after="120"/>
              <w:ind w:left="0"/>
              <w:jc w:val="center"/>
            </w:pPr>
            <w:r>
              <w:t>20%</w:t>
            </w:r>
          </w:p>
        </w:tc>
        <w:tc>
          <w:tcPr>
            <w:tcW w:w="785" w:type="dxa"/>
            <w:vAlign w:val="center"/>
          </w:tcPr>
          <w:p w:rsidR="008253C1" w:rsidRPr="00613794" w:rsidP="00F80C79" w14:paraId="780B775E" w14:textId="77777777">
            <w:pPr>
              <w:pStyle w:val="ListParagraph"/>
              <w:spacing w:before="120" w:after="120"/>
              <w:ind w:left="0"/>
              <w:jc w:val="center"/>
            </w:pPr>
            <w:r>
              <w:t>0%</w:t>
            </w:r>
          </w:p>
        </w:tc>
        <w:tc>
          <w:tcPr>
            <w:tcW w:w="597" w:type="dxa"/>
            <w:vAlign w:val="center"/>
          </w:tcPr>
          <w:p w:rsidR="008253C1" w:rsidRPr="00613794" w:rsidP="00F80C79" w14:paraId="6AEF5745" w14:textId="77777777">
            <w:pPr>
              <w:pStyle w:val="ListParagraph"/>
              <w:spacing w:before="120" w:after="120"/>
              <w:ind w:left="0"/>
              <w:jc w:val="center"/>
            </w:pPr>
            <w:r>
              <w:t>5%</w:t>
            </w:r>
          </w:p>
        </w:tc>
        <w:tc>
          <w:tcPr>
            <w:tcW w:w="809" w:type="dxa"/>
            <w:vAlign w:val="center"/>
          </w:tcPr>
          <w:p w:rsidR="008253C1" w:rsidRPr="00613794" w:rsidP="00F80C79" w14:paraId="7AF3D14C" w14:textId="77777777">
            <w:pPr>
              <w:pStyle w:val="ListParagraph"/>
              <w:spacing w:before="120" w:after="120"/>
              <w:ind w:left="0"/>
              <w:jc w:val="center"/>
              <w:rPr>
                <w:b/>
                <w:bCs/>
              </w:rPr>
            </w:pPr>
            <w:r>
              <w:rPr>
                <w:b/>
                <w:bCs/>
              </w:rPr>
              <w:t>17.75%</w:t>
            </w:r>
          </w:p>
        </w:tc>
        <w:tc>
          <w:tcPr>
            <w:tcW w:w="711" w:type="dxa"/>
            <w:vAlign w:val="center"/>
          </w:tcPr>
          <w:p w:rsidR="008253C1" w:rsidRPr="00613794" w:rsidP="00F80C79" w14:paraId="76B14BB7" w14:textId="77777777">
            <w:pPr>
              <w:pStyle w:val="ListParagraph"/>
              <w:spacing w:before="120" w:after="120"/>
              <w:ind w:left="0"/>
              <w:jc w:val="center"/>
              <w:rPr>
                <w:b/>
                <w:bCs/>
              </w:rPr>
            </w:pPr>
            <w:r>
              <w:rPr>
                <w:b/>
                <w:bCs/>
              </w:rPr>
              <w:t>11.4%</w:t>
            </w:r>
          </w:p>
        </w:tc>
      </w:tr>
      <w:tr w14:paraId="719F76BA" w14:textId="77777777" w:rsidTr="00FD5935">
        <w:tblPrEx>
          <w:tblW w:w="9239" w:type="dxa"/>
          <w:jc w:val="center"/>
          <w:tblLook w:val="04A0"/>
        </w:tblPrEx>
        <w:trPr>
          <w:trHeight w:val="520"/>
          <w:jc w:val="center"/>
        </w:trPr>
        <w:tc>
          <w:tcPr>
            <w:tcW w:w="1141" w:type="dxa"/>
          </w:tcPr>
          <w:p w:rsidR="008253C1" w:rsidRPr="00613794" w:rsidP="00F80C79" w14:paraId="00354F92" w14:textId="77777777">
            <w:pPr>
              <w:pStyle w:val="ListParagraph"/>
              <w:spacing w:before="120" w:after="120"/>
              <w:ind w:left="0"/>
              <w:jc w:val="both"/>
            </w:pPr>
            <w:r>
              <w:t>VECĀKI PAR 18 G.</w:t>
            </w:r>
          </w:p>
        </w:tc>
        <w:tc>
          <w:tcPr>
            <w:tcW w:w="692" w:type="dxa"/>
            <w:vAlign w:val="center"/>
          </w:tcPr>
          <w:p w:rsidR="008253C1" w:rsidRPr="00613794" w:rsidP="00F80C79" w14:paraId="183A4BA3" w14:textId="77777777">
            <w:pPr>
              <w:pStyle w:val="ListParagraph"/>
              <w:spacing w:before="120" w:after="120"/>
              <w:ind w:left="0"/>
              <w:jc w:val="center"/>
            </w:pPr>
            <w:r>
              <w:t>5%</w:t>
            </w:r>
          </w:p>
        </w:tc>
        <w:tc>
          <w:tcPr>
            <w:tcW w:w="658" w:type="dxa"/>
            <w:vAlign w:val="center"/>
          </w:tcPr>
          <w:p w:rsidR="008253C1" w:rsidRPr="00613794" w:rsidP="00F80C79" w14:paraId="0F747D84" w14:textId="77777777">
            <w:pPr>
              <w:pStyle w:val="ListParagraph"/>
              <w:spacing w:before="120" w:after="120"/>
              <w:ind w:left="0"/>
              <w:jc w:val="center"/>
            </w:pPr>
            <w:r>
              <w:t>2%</w:t>
            </w:r>
          </w:p>
        </w:tc>
        <w:tc>
          <w:tcPr>
            <w:tcW w:w="742" w:type="dxa"/>
            <w:vAlign w:val="center"/>
          </w:tcPr>
          <w:p w:rsidR="008253C1" w:rsidRPr="00613794" w:rsidP="00F80C79" w14:paraId="02FFF5DF" w14:textId="77777777">
            <w:pPr>
              <w:pStyle w:val="ListParagraph"/>
              <w:spacing w:before="120" w:after="120"/>
              <w:ind w:left="0"/>
              <w:jc w:val="center"/>
            </w:pPr>
            <w:r>
              <w:t>17%</w:t>
            </w:r>
          </w:p>
        </w:tc>
        <w:tc>
          <w:tcPr>
            <w:tcW w:w="706" w:type="dxa"/>
            <w:vAlign w:val="center"/>
          </w:tcPr>
          <w:p w:rsidR="008253C1" w:rsidRPr="00613794" w:rsidP="00F80C79" w14:paraId="30882B89" w14:textId="77777777">
            <w:pPr>
              <w:pStyle w:val="ListParagraph"/>
              <w:spacing w:before="120" w:after="120"/>
              <w:ind w:left="0"/>
              <w:jc w:val="center"/>
            </w:pPr>
            <w:r>
              <w:t>19%</w:t>
            </w:r>
          </w:p>
        </w:tc>
        <w:tc>
          <w:tcPr>
            <w:tcW w:w="600" w:type="dxa"/>
            <w:vAlign w:val="center"/>
          </w:tcPr>
          <w:p w:rsidR="008253C1" w:rsidRPr="00613794" w:rsidP="00F80C79" w14:paraId="72FAE34B" w14:textId="77777777">
            <w:pPr>
              <w:pStyle w:val="ListParagraph"/>
              <w:spacing w:before="120" w:after="120"/>
              <w:ind w:left="0"/>
              <w:jc w:val="center"/>
            </w:pPr>
            <w:r>
              <w:t>0%</w:t>
            </w:r>
          </w:p>
        </w:tc>
        <w:tc>
          <w:tcPr>
            <w:tcW w:w="598" w:type="dxa"/>
            <w:vAlign w:val="center"/>
          </w:tcPr>
          <w:p w:rsidR="008253C1" w:rsidRPr="00613794" w:rsidP="00F80C79" w14:paraId="1DEEA3EE" w14:textId="77777777">
            <w:pPr>
              <w:pStyle w:val="ListParagraph"/>
              <w:spacing w:before="120" w:after="120"/>
              <w:ind w:left="0"/>
              <w:jc w:val="center"/>
            </w:pPr>
            <w:r>
              <w:t>6%</w:t>
            </w:r>
          </w:p>
        </w:tc>
        <w:tc>
          <w:tcPr>
            <w:tcW w:w="600" w:type="dxa"/>
            <w:vAlign w:val="center"/>
          </w:tcPr>
          <w:p w:rsidR="008253C1" w:rsidRPr="00613794" w:rsidP="00F80C79" w14:paraId="67139E13" w14:textId="77777777">
            <w:pPr>
              <w:pStyle w:val="ListParagraph"/>
              <w:spacing w:before="120" w:after="120"/>
              <w:ind w:left="0"/>
              <w:jc w:val="center"/>
            </w:pPr>
            <w:r>
              <w:t>3%</w:t>
            </w:r>
          </w:p>
        </w:tc>
        <w:tc>
          <w:tcPr>
            <w:tcW w:w="598" w:type="dxa"/>
            <w:vAlign w:val="center"/>
          </w:tcPr>
          <w:p w:rsidR="008253C1" w:rsidRPr="00613794" w:rsidP="00F80C79" w14:paraId="76A43D14" w14:textId="77777777">
            <w:pPr>
              <w:pStyle w:val="ListParagraph"/>
              <w:spacing w:before="120" w:after="120"/>
              <w:ind w:left="0"/>
              <w:jc w:val="center"/>
            </w:pPr>
            <w:r>
              <w:t>5%</w:t>
            </w:r>
          </w:p>
        </w:tc>
        <w:tc>
          <w:tcPr>
            <w:tcW w:w="785" w:type="dxa"/>
            <w:vAlign w:val="center"/>
          </w:tcPr>
          <w:p w:rsidR="008253C1" w:rsidRPr="00613794" w:rsidP="00F80C79" w14:paraId="15C823FA" w14:textId="77777777">
            <w:pPr>
              <w:pStyle w:val="ListParagraph"/>
              <w:spacing w:before="120" w:after="120"/>
              <w:ind w:left="0"/>
              <w:jc w:val="center"/>
            </w:pPr>
            <w:r>
              <w:t>0%</w:t>
            </w:r>
          </w:p>
        </w:tc>
        <w:tc>
          <w:tcPr>
            <w:tcW w:w="597" w:type="dxa"/>
            <w:vAlign w:val="center"/>
          </w:tcPr>
          <w:p w:rsidR="008253C1" w:rsidRPr="00613794" w:rsidP="00F80C79" w14:paraId="3A18DD1A" w14:textId="77777777">
            <w:pPr>
              <w:pStyle w:val="ListParagraph"/>
              <w:spacing w:before="120" w:after="120"/>
              <w:ind w:left="0"/>
              <w:jc w:val="center"/>
            </w:pPr>
            <w:r>
              <w:t>0%</w:t>
            </w:r>
          </w:p>
        </w:tc>
        <w:tc>
          <w:tcPr>
            <w:tcW w:w="809" w:type="dxa"/>
            <w:vAlign w:val="center"/>
          </w:tcPr>
          <w:p w:rsidR="008253C1" w:rsidRPr="00613794" w:rsidP="00F80C79" w14:paraId="66E6F985" w14:textId="77777777">
            <w:pPr>
              <w:pStyle w:val="ListParagraph"/>
              <w:spacing w:before="120" w:after="120"/>
              <w:ind w:left="0"/>
              <w:jc w:val="center"/>
              <w:rPr>
                <w:b/>
                <w:bCs/>
              </w:rPr>
            </w:pPr>
            <w:r>
              <w:rPr>
                <w:b/>
                <w:bCs/>
              </w:rPr>
              <w:t>6.25%</w:t>
            </w:r>
          </w:p>
        </w:tc>
        <w:tc>
          <w:tcPr>
            <w:tcW w:w="711" w:type="dxa"/>
            <w:vAlign w:val="center"/>
          </w:tcPr>
          <w:p w:rsidR="008253C1" w:rsidRPr="00613794" w:rsidP="00F80C79" w14:paraId="45FF63AB" w14:textId="77777777">
            <w:pPr>
              <w:pStyle w:val="ListParagraph"/>
              <w:spacing w:before="120" w:after="120"/>
              <w:ind w:left="0"/>
              <w:jc w:val="center"/>
              <w:rPr>
                <w:b/>
                <w:bCs/>
              </w:rPr>
            </w:pPr>
            <w:r>
              <w:rPr>
                <w:b/>
                <w:bCs/>
              </w:rPr>
              <w:t>6.4%</w:t>
            </w:r>
          </w:p>
        </w:tc>
      </w:tr>
      <w:tr w14:paraId="019F791D" w14:textId="77777777" w:rsidTr="00FD5935">
        <w:tblPrEx>
          <w:tblW w:w="9239" w:type="dxa"/>
          <w:jc w:val="center"/>
          <w:tblLook w:val="04A0"/>
        </w:tblPrEx>
        <w:trPr>
          <w:trHeight w:val="307"/>
          <w:jc w:val="center"/>
        </w:trPr>
        <w:tc>
          <w:tcPr>
            <w:tcW w:w="1141" w:type="dxa"/>
          </w:tcPr>
          <w:p w:rsidR="008253C1" w:rsidRPr="00613794" w:rsidP="00F80C79" w14:paraId="0D9AB516" w14:textId="77777777">
            <w:pPr>
              <w:pStyle w:val="ListParagraph"/>
              <w:spacing w:before="120" w:after="120"/>
              <w:ind w:left="0"/>
              <w:jc w:val="both"/>
            </w:pPr>
            <w:r>
              <w:t>ZĒNI</w:t>
            </w:r>
          </w:p>
        </w:tc>
        <w:tc>
          <w:tcPr>
            <w:tcW w:w="692" w:type="dxa"/>
            <w:vAlign w:val="center"/>
          </w:tcPr>
          <w:p w:rsidR="008253C1" w:rsidRPr="00613794" w:rsidP="00F80C79" w14:paraId="0321B5AF" w14:textId="77777777">
            <w:pPr>
              <w:pStyle w:val="ListParagraph"/>
              <w:spacing w:before="120" w:after="120"/>
              <w:ind w:left="0"/>
              <w:jc w:val="center"/>
            </w:pPr>
            <w:r>
              <w:t>90%</w:t>
            </w:r>
          </w:p>
        </w:tc>
        <w:tc>
          <w:tcPr>
            <w:tcW w:w="658" w:type="dxa"/>
            <w:vAlign w:val="center"/>
          </w:tcPr>
          <w:p w:rsidR="008253C1" w:rsidRPr="00613794" w:rsidP="00F80C79" w14:paraId="3F439FE4" w14:textId="77777777">
            <w:pPr>
              <w:pStyle w:val="ListParagraph"/>
              <w:spacing w:before="120" w:after="120"/>
              <w:ind w:left="0"/>
              <w:jc w:val="center"/>
            </w:pPr>
            <w:r>
              <w:t>63%</w:t>
            </w:r>
          </w:p>
        </w:tc>
        <w:tc>
          <w:tcPr>
            <w:tcW w:w="742" w:type="dxa"/>
            <w:vAlign w:val="center"/>
          </w:tcPr>
          <w:p w:rsidR="008253C1" w:rsidRPr="00613794" w:rsidP="00F80C79" w14:paraId="2059B2D7" w14:textId="77777777">
            <w:pPr>
              <w:pStyle w:val="ListParagraph"/>
              <w:spacing w:before="120" w:after="120"/>
              <w:ind w:left="0"/>
              <w:jc w:val="center"/>
            </w:pPr>
            <w:r>
              <w:t>59%</w:t>
            </w:r>
          </w:p>
        </w:tc>
        <w:tc>
          <w:tcPr>
            <w:tcW w:w="706" w:type="dxa"/>
            <w:vAlign w:val="center"/>
          </w:tcPr>
          <w:p w:rsidR="008253C1" w:rsidRPr="00613794" w:rsidP="00F80C79" w14:paraId="2C2EB7C0" w14:textId="77777777">
            <w:pPr>
              <w:pStyle w:val="ListParagraph"/>
              <w:spacing w:before="120" w:after="120"/>
              <w:ind w:left="0"/>
              <w:jc w:val="center"/>
            </w:pPr>
            <w:r>
              <w:t>51%</w:t>
            </w:r>
          </w:p>
        </w:tc>
        <w:tc>
          <w:tcPr>
            <w:tcW w:w="600" w:type="dxa"/>
            <w:vAlign w:val="center"/>
          </w:tcPr>
          <w:p w:rsidR="008253C1" w:rsidRPr="00613794" w:rsidP="00F80C79" w14:paraId="174C0BD5" w14:textId="77777777">
            <w:pPr>
              <w:pStyle w:val="ListParagraph"/>
              <w:spacing w:before="120" w:after="120"/>
              <w:ind w:left="0"/>
              <w:jc w:val="center"/>
            </w:pPr>
            <w:r>
              <w:t>45%</w:t>
            </w:r>
          </w:p>
        </w:tc>
        <w:tc>
          <w:tcPr>
            <w:tcW w:w="598" w:type="dxa"/>
            <w:vAlign w:val="center"/>
          </w:tcPr>
          <w:p w:rsidR="008253C1" w:rsidRPr="00613794" w:rsidP="00F80C79" w14:paraId="5B6E9E01" w14:textId="77777777">
            <w:pPr>
              <w:pStyle w:val="ListParagraph"/>
              <w:spacing w:before="120" w:after="120"/>
              <w:ind w:left="0"/>
              <w:jc w:val="center"/>
            </w:pPr>
            <w:r>
              <w:t>48%</w:t>
            </w:r>
          </w:p>
        </w:tc>
        <w:tc>
          <w:tcPr>
            <w:tcW w:w="600" w:type="dxa"/>
            <w:vAlign w:val="center"/>
          </w:tcPr>
          <w:p w:rsidR="008253C1" w:rsidRPr="00613794" w:rsidP="00F80C79" w14:paraId="3DB06BF9" w14:textId="77777777">
            <w:pPr>
              <w:pStyle w:val="ListParagraph"/>
              <w:spacing w:before="120" w:after="120"/>
              <w:ind w:left="0"/>
              <w:jc w:val="center"/>
            </w:pPr>
            <w:r>
              <w:t>59%</w:t>
            </w:r>
          </w:p>
        </w:tc>
        <w:tc>
          <w:tcPr>
            <w:tcW w:w="598" w:type="dxa"/>
            <w:vAlign w:val="center"/>
          </w:tcPr>
          <w:p w:rsidR="008253C1" w:rsidRPr="00613794" w:rsidP="00F80C79" w14:paraId="342B009B" w14:textId="77777777">
            <w:pPr>
              <w:pStyle w:val="ListParagraph"/>
              <w:spacing w:before="120" w:after="120"/>
              <w:ind w:left="0"/>
              <w:jc w:val="center"/>
            </w:pPr>
            <w:r>
              <w:t>56%</w:t>
            </w:r>
          </w:p>
        </w:tc>
        <w:tc>
          <w:tcPr>
            <w:tcW w:w="785" w:type="dxa"/>
            <w:vAlign w:val="center"/>
          </w:tcPr>
          <w:p w:rsidR="008253C1" w:rsidRPr="00613794" w:rsidP="00F80C79" w14:paraId="70C30948" w14:textId="77777777">
            <w:pPr>
              <w:pStyle w:val="ListParagraph"/>
              <w:spacing w:before="120" w:after="120"/>
              <w:ind w:left="0"/>
              <w:jc w:val="center"/>
            </w:pPr>
            <w:r>
              <w:t>70%</w:t>
            </w:r>
          </w:p>
        </w:tc>
        <w:tc>
          <w:tcPr>
            <w:tcW w:w="597" w:type="dxa"/>
            <w:vAlign w:val="center"/>
          </w:tcPr>
          <w:p w:rsidR="008253C1" w:rsidRPr="00613794" w:rsidP="00F80C79" w14:paraId="0547FA3C" w14:textId="77777777">
            <w:pPr>
              <w:pStyle w:val="ListParagraph"/>
              <w:spacing w:before="120" w:after="120"/>
              <w:ind w:left="0"/>
              <w:jc w:val="center"/>
            </w:pPr>
            <w:r>
              <w:t>45%</w:t>
            </w:r>
          </w:p>
        </w:tc>
        <w:tc>
          <w:tcPr>
            <w:tcW w:w="809" w:type="dxa"/>
            <w:vAlign w:val="center"/>
          </w:tcPr>
          <w:p w:rsidR="008253C1" w:rsidRPr="00613794" w:rsidP="00F80C79" w14:paraId="355772A4" w14:textId="77777777">
            <w:pPr>
              <w:pStyle w:val="ListParagraph"/>
              <w:spacing w:before="120" w:after="120"/>
              <w:ind w:left="0"/>
              <w:jc w:val="center"/>
              <w:rPr>
                <w:b/>
                <w:bCs/>
              </w:rPr>
            </w:pPr>
            <w:r>
              <w:rPr>
                <w:b/>
                <w:bCs/>
              </w:rPr>
              <w:t>63.25%</w:t>
            </w:r>
          </w:p>
        </w:tc>
        <w:tc>
          <w:tcPr>
            <w:tcW w:w="711" w:type="dxa"/>
            <w:vAlign w:val="center"/>
          </w:tcPr>
          <w:p w:rsidR="008253C1" w:rsidRPr="00613794" w:rsidP="00F80C79" w14:paraId="76D5C2CF" w14:textId="77777777">
            <w:pPr>
              <w:pStyle w:val="ListParagraph"/>
              <w:spacing w:before="120" w:after="120"/>
              <w:ind w:left="0"/>
              <w:jc w:val="center"/>
              <w:rPr>
                <w:b/>
                <w:bCs/>
              </w:rPr>
            </w:pPr>
            <w:r>
              <w:rPr>
                <w:b/>
                <w:bCs/>
              </w:rPr>
              <w:t>52.6%</w:t>
            </w:r>
          </w:p>
        </w:tc>
      </w:tr>
      <w:tr w14:paraId="60C1F3AF" w14:textId="77777777" w:rsidTr="00FD5935">
        <w:tblPrEx>
          <w:tblW w:w="9239" w:type="dxa"/>
          <w:jc w:val="center"/>
          <w:tblLook w:val="04A0"/>
        </w:tblPrEx>
        <w:trPr>
          <w:trHeight w:val="307"/>
          <w:jc w:val="center"/>
        </w:trPr>
        <w:tc>
          <w:tcPr>
            <w:tcW w:w="1141" w:type="dxa"/>
          </w:tcPr>
          <w:p w:rsidR="008253C1" w:rsidRPr="00613794" w:rsidP="00F80C79" w14:paraId="5DF5EF07" w14:textId="77777777">
            <w:pPr>
              <w:pStyle w:val="ListParagraph"/>
              <w:spacing w:before="120" w:after="120"/>
              <w:ind w:left="0"/>
              <w:jc w:val="both"/>
            </w:pPr>
            <w:r>
              <w:t>MEITENES</w:t>
            </w:r>
          </w:p>
        </w:tc>
        <w:tc>
          <w:tcPr>
            <w:tcW w:w="692" w:type="dxa"/>
            <w:vAlign w:val="center"/>
          </w:tcPr>
          <w:p w:rsidR="008253C1" w:rsidRPr="00613794" w:rsidP="00F80C79" w14:paraId="3EDFC0CD" w14:textId="77777777">
            <w:pPr>
              <w:pStyle w:val="ListParagraph"/>
              <w:spacing w:before="120" w:after="120"/>
              <w:ind w:left="0"/>
              <w:jc w:val="center"/>
            </w:pPr>
            <w:r>
              <w:t>10%</w:t>
            </w:r>
          </w:p>
        </w:tc>
        <w:tc>
          <w:tcPr>
            <w:tcW w:w="658" w:type="dxa"/>
            <w:vAlign w:val="center"/>
          </w:tcPr>
          <w:p w:rsidR="008253C1" w:rsidRPr="00613794" w:rsidP="00F80C79" w14:paraId="28F454F0" w14:textId="77777777">
            <w:pPr>
              <w:pStyle w:val="ListParagraph"/>
              <w:spacing w:before="120" w:after="120"/>
              <w:ind w:left="0"/>
              <w:jc w:val="center"/>
            </w:pPr>
            <w:r>
              <w:t>37%</w:t>
            </w:r>
          </w:p>
        </w:tc>
        <w:tc>
          <w:tcPr>
            <w:tcW w:w="742" w:type="dxa"/>
            <w:vAlign w:val="center"/>
          </w:tcPr>
          <w:p w:rsidR="008253C1" w:rsidRPr="00613794" w:rsidP="00F80C79" w14:paraId="406B3435" w14:textId="77777777">
            <w:pPr>
              <w:pStyle w:val="ListParagraph"/>
              <w:spacing w:before="120" w:after="120"/>
              <w:ind w:left="0"/>
              <w:jc w:val="center"/>
            </w:pPr>
            <w:r>
              <w:t>41%</w:t>
            </w:r>
          </w:p>
        </w:tc>
        <w:tc>
          <w:tcPr>
            <w:tcW w:w="706" w:type="dxa"/>
            <w:vAlign w:val="center"/>
          </w:tcPr>
          <w:p w:rsidR="008253C1" w:rsidRPr="00613794" w:rsidP="00F80C79" w14:paraId="6BBEB7DB" w14:textId="77777777">
            <w:pPr>
              <w:pStyle w:val="ListParagraph"/>
              <w:spacing w:before="120" w:after="120"/>
              <w:ind w:left="0"/>
              <w:jc w:val="center"/>
            </w:pPr>
            <w:r>
              <w:t>49%</w:t>
            </w:r>
          </w:p>
        </w:tc>
        <w:tc>
          <w:tcPr>
            <w:tcW w:w="600" w:type="dxa"/>
            <w:vAlign w:val="center"/>
          </w:tcPr>
          <w:p w:rsidR="008253C1" w:rsidRPr="00613794" w:rsidP="00F80C79" w14:paraId="0EA04E43" w14:textId="77777777">
            <w:pPr>
              <w:pStyle w:val="ListParagraph"/>
              <w:spacing w:before="120" w:after="120"/>
              <w:ind w:left="0"/>
              <w:jc w:val="center"/>
            </w:pPr>
            <w:r>
              <w:t>55%</w:t>
            </w:r>
          </w:p>
        </w:tc>
        <w:tc>
          <w:tcPr>
            <w:tcW w:w="598" w:type="dxa"/>
            <w:vAlign w:val="center"/>
          </w:tcPr>
          <w:p w:rsidR="008253C1" w:rsidRPr="00613794" w:rsidP="00F80C79" w14:paraId="36E72400" w14:textId="77777777">
            <w:pPr>
              <w:pStyle w:val="ListParagraph"/>
              <w:spacing w:before="120" w:after="120"/>
              <w:ind w:left="0"/>
              <w:jc w:val="center"/>
            </w:pPr>
            <w:r>
              <w:t>52%</w:t>
            </w:r>
          </w:p>
        </w:tc>
        <w:tc>
          <w:tcPr>
            <w:tcW w:w="600" w:type="dxa"/>
            <w:vAlign w:val="center"/>
          </w:tcPr>
          <w:p w:rsidR="008253C1" w:rsidRPr="00613794" w:rsidP="00F80C79" w14:paraId="5C5CEEA9" w14:textId="77777777">
            <w:pPr>
              <w:pStyle w:val="ListParagraph"/>
              <w:spacing w:before="120" w:after="120"/>
              <w:ind w:left="0"/>
              <w:jc w:val="center"/>
            </w:pPr>
            <w:r>
              <w:t>41%</w:t>
            </w:r>
          </w:p>
        </w:tc>
        <w:tc>
          <w:tcPr>
            <w:tcW w:w="598" w:type="dxa"/>
            <w:vAlign w:val="center"/>
          </w:tcPr>
          <w:p w:rsidR="008253C1" w:rsidRPr="00613794" w:rsidP="00F80C79" w14:paraId="743CC15A" w14:textId="77777777">
            <w:pPr>
              <w:pStyle w:val="ListParagraph"/>
              <w:spacing w:before="120" w:after="120"/>
              <w:ind w:left="0"/>
              <w:jc w:val="center"/>
            </w:pPr>
            <w:r>
              <w:t>44%</w:t>
            </w:r>
          </w:p>
        </w:tc>
        <w:tc>
          <w:tcPr>
            <w:tcW w:w="785" w:type="dxa"/>
            <w:vAlign w:val="center"/>
          </w:tcPr>
          <w:p w:rsidR="008253C1" w:rsidRPr="00613794" w:rsidP="00F80C79" w14:paraId="59D2927A" w14:textId="77777777">
            <w:pPr>
              <w:pStyle w:val="ListParagraph"/>
              <w:spacing w:before="120" w:after="120"/>
              <w:ind w:left="0"/>
              <w:jc w:val="center"/>
            </w:pPr>
            <w:r>
              <w:t>30%</w:t>
            </w:r>
          </w:p>
        </w:tc>
        <w:tc>
          <w:tcPr>
            <w:tcW w:w="597" w:type="dxa"/>
            <w:vAlign w:val="center"/>
          </w:tcPr>
          <w:p w:rsidR="008253C1" w:rsidRPr="00613794" w:rsidP="00F80C79" w14:paraId="7E4A4B07" w14:textId="77777777">
            <w:pPr>
              <w:pStyle w:val="ListParagraph"/>
              <w:spacing w:before="120" w:after="120"/>
              <w:ind w:left="0"/>
              <w:jc w:val="center"/>
            </w:pPr>
            <w:r>
              <w:t>55%</w:t>
            </w:r>
          </w:p>
        </w:tc>
        <w:tc>
          <w:tcPr>
            <w:tcW w:w="809" w:type="dxa"/>
            <w:vAlign w:val="center"/>
          </w:tcPr>
          <w:p w:rsidR="008253C1" w:rsidRPr="00613794" w:rsidP="00F80C79" w14:paraId="032D3D4A" w14:textId="77777777">
            <w:pPr>
              <w:pStyle w:val="ListParagraph"/>
              <w:spacing w:before="120" w:after="120"/>
              <w:ind w:left="0"/>
              <w:jc w:val="center"/>
              <w:rPr>
                <w:b/>
                <w:bCs/>
              </w:rPr>
            </w:pPr>
            <w:r>
              <w:rPr>
                <w:b/>
                <w:bCs/>
              </w:rPr>
              <w:t>36.75%</w:t>
            </w:r>
          </w:p>
        </w:tc>
        <w:tc>
          <w:tcPr>
            <w:tcW w:w="711" w:type="dxa"/>
            <w:vAlign w:val="center"/>
          </w:tcPr>
          <w:p w:rsidR="008253C1" w:rsidRPr="00613794" w:rsidP="00F80C79" w14:paraId="7994E92A" w14:textId="77777777">
            <w:pPr>
              <w:pStyle w:val="ListParagraph"/>
              <w:spacing w:before="120" w:after="120"/>
              <w:ind w:left="0"/>
              <w:jc w:val="center"/>
              <w:rPr>
                <w:b/>
                <w:bCs/>
              </w:rPr>
            </w:pPr>
            <w:r>
              <w:rPr>
                <w:b/>
                <w:bCs/>
              </w:rPr>
              <w:t>47.4%</w:t>
            </w:r>
          </w:p>
        </w:tc>
      </w:tr>
    </w:tbl>
    <w:p w:rsidR="00FD5935" w:rsidP="008253C1" w14:paraId="6DED5EA7" w14:textId="77777777">
      <w:pPr>
        <w:tabs>
          <w:tab w:val="left" w:pos="822"/>
        </w:tabs>
        <w:jc w:val="both"/>
        <w:rPr>
          <w:b/>
          <w:bCs/>
        </w:rPr>
      </w:pPr>
    </w:p>
    <w:p w:rsidR="008253C1" w:rsidRPr="00455938" w:rsidP="008253C1" w14:paraId="14FDC45B" w14:textId="1EB4D06C">
      <w:pPr>
        <w:tabs>
          <w:tab w:val="left" w:pos="822"/>
        </w:tabs>
        <w:jc w:val="both"/>
        <w:rPr>
          <w:b/>
          <w:bCs/>
        </w:rPr>
      </w:pPr>
      <w:r>
        <w:rPr>
          <w:b/>
          <w:bCs/>
        </w:rPr>
        <w:t>J</w:t>
      </w:r>
      <w:r w:rsidR="00834BB7">
        <w:rPr>
          <w:b/>
          <w:bCs/>
        </w:rPr>
        <w:t xml:space="preserve">auniešu iniciatīvu projekti </w:t>
      </w:r>
    </w:p>
    <w:p w:rsidR="008253C1" w:rsidP="00343661" w14:paraId="666294DF" w14:textId="2BF52701">
      <w:pPr>
        <w:spacing w:after="0" w:line="240" w:lineRule="auto"/>
        <w:ind w:firstLine="567"/>
        <w:jc w:val="both"/>
      </w:pPr>
      <w:r>
        <w:t>Pamatojoties Aizkraukles novada domes Nolikumu Nr.</w:t>
      </w:r>
      <w:r w:rsidR="00343661">
        <w:t> </w:t>
      </w:r>
      <w:r>
        <w:t>2025/5 “Aizkraukles novada Jauniešu iniciatīvu projektu konkursa Nolikums”, kura mērķis ir sniegt finansiālu atbalstu Aizkraukles novada jauniešu iniciatīvu ideju realizācijai, veicinot jauniešu līdzdalību novada, kultūras, sporta, izglītības un sabiedriskajos procesos, veicinot jauniešu vērtību, prasmju un kompetenču attīstību, 2025.</w:t>
      </w:r>
      <w:r w:rsidR="00343661">
        <w:t> </w:t>
      </w:r>
      <w:r>
        <w:t>gadā apstiprināti 9 projekti, apgūstot pašvaldības piešķirto finansējumu EUR 3730.00 apmērā (iesniegts tika 21 projekts, divās kārtās).</w:t>
      </w:r>
    </w:p>
    <w:p w:rsidR="00343661" w:rsidP="00343661" w14:paraId="20527288" w14:textId="77777777">
      <w:pPr>
        <w:spacing w:after="0" w:line="240" w:lineRule="auto"/>
        <w:ind w:firstLine="567"/>
        <w:jc w:val="both"/>
      </w:pPr>
    </w:p>
    <w:p w:rsidR="008253C1" w:rsidRPr="00C43C2F" w:rsidP="008253C1" w14:paraId="6EF62998" w14:textId="1B3A95CF">
      <w:pPr>
        <w:spacing w:after="120" w:line="276" w:lineRule="auto"/>
        <w:jc w:val="both"/>
        <w:rPr>
          <w:b/>
          <w:bCs/>
        </w:rPr>
      </w:pPr>
      <w:r>
        <w:rPr>
          <w:b/>
          <w:bCs/>
        </w:rPr>
        <w:t>Brīvprātīgo darba koordinēšana</w:t>
      </w:r>
    </w:p>
    <w:p w:rsidR="008253C1" w:rsidRPr="00C93308" w:rsidP="00343661" w14:paraId="74A68C59" w14:textId="77777777">
      <w:pPr>
        <w:spacing w:after="0" w:line="240" w:lineRule="auto"/>
        <w:ind w:firstLine="567"/>
        <w:jc w:val="both"/>
        <w:rPr>
          <w:bCs/>
        </w:rPr>
      </w:pPr>
      <w:r>
        <w:t xml:space="preserve">Pamatojoties uz Aizkraukles novada domes apstiprināto nolikumu </w:t>
      </w:r>
      <w:r>
        <w:rPr>
          <w:bCs/>
        </w:rPr>
        <w:t>„Par jauniešu brīvprātīgā darba organizēšanu  Aizkraukles novadā” jauniešiem ir iespēja slēgt brīvprātīgā darba veikšanas līgumu, īstenot brīvprātīgo darbu, par ko tiek uzskaitītas stundas un gada noslēgumā tiek piešķirts apliecinājums.</w:t>
      </w:r>
    </w:p>
    <w:p w:rsidR="008253C1" w:rsidRPr="00A73BB0" w:rsidP="00343661" w14:paraId="34633455" w14:textId="27C137CE">
      <w:pPr>
        <w:spacing w:after="0" w:line="240" w:lineRule="auto"/>
        <w:ind w:firstLine="567"/>
        <w:jc w:val="both"/>
      </w:pPr>
      <w:r>
        <w:t xml:space="preserve">Kopumā Aizkraukles novadā aktīvi ir 58 brīvprātīgā darba līgumi. </w:t>
      </w:r>
      <w:r>
        <w:rPr>
          <w:b/>
          <w:bCs/>
        </w:rPr>
        <w:t>2025.</w:t>
      </w:r>
      <w:r w:rsidR="00343661">
        <w:rPr>
          <w:b/>
          <w:bCs/>
        </w:rPr>
        <w:t> </w:t>
      </w:r>
      <w:r>
        <w:rPr>
          <w:b/>
          <w:bCs/>
        </w:rPr>
        <w:t>gada Brīvprātīgo jauniešu godināšanas pasākumā “Gada nagla” tika sumināti 13 brīvprātīgā darba veicēji novadā</w:t>
      </w:r>
      <w:r>
        <w:t xml:space="preserve">, saņemot Apliecinājumu par veikto brīvprātīgo darbu, kas ir garāks par 70 brīvprātīgā darba stundām. </w:t>
      </w:r>
    </w:p>
    <w:p w:rsidR="008253C1" w:rsidRPr="0000537F" w:rsidP="008253C1" w14:paraId="5CDB8069" w14:textId="7CCBA892">
      <w:pPr>
        <w:spacing w:before="120" w:after="0" w:line="276" w:lineRule="auto"/>
        <w:jc w:val="both"/>
        <w:rPr>
          <w:b/>
          <w:bCs/>
          <w:lang w:eastAsia="lv-LV"/>
        </w:rPr>
      </w:pPr>
      <w:r>
        <w:rPr>
          <w:b/>
          <w:bCs/>
          <w:lang w:eastAsia="lv-LV"/>
        </w:rPr>
        <w:t xml:space="preserve">ES </w:t>
      </w:r>
      <w:r w:rsidR="00E558EB">
        <w:rPr>
          <w:b/>
          <w:bCs/>
          <w:lang w:eastAsia="lv-LV"/>
        </w:rPr>
        <w:t xml:space="preserve">programmas </w:t>
      </w:r>
      <w:r>
        <w:rPr>
          <w:b/>
          <w:bCs/>
          <w:lang w:eastAsia="lv-LV"/>
        </w:rPr>
        <w:t xml:space="preserve">“EIROPAS SOLIDARITĀTES KORPUSS” </w:t>
      </w:r>
      <w:r w:rsidR="00E558EB">
        <w:rPr>
          <w:b/>
          <w:bCs/>
          <w:lang w:eastAsia="lv-LV"/>
        </w:rPr>
        <w:t>kvalitātes zīme</w:t>
      </w:r>
    </w:p>
    <w:p w:rsidR="008253C1" w:rsidRPr="00C93308" w:rsidP="00343661" w14:paraId="6BDA2CAF" w14:textId="77777777">
      <w:pPr>
        <w:spacing w:after="0" w:line="240" w:lineRule="auto"/>
        <w:ind w:firstLine="567"/>
        <w:jc w:val="both"/>
        <w:rPr>
          <w:lang w:eastAsia="lv-LV"/>
        </w:rPr>
      </w:pPr>
      <w:r>
        <w:rPr>
          <w:lang w:eastAsia="lv-LV"/>
        </w:rPr>
        <w:t xml:space="preserve">Aizkraukles novada Interešu izglītības centram no 28.03.2022. līdz 31.12.2027. ir piešķirta ES programmas “Eiropas Solidaritātes korpuss” kvalitātes zīme partnerorganizācijas loma - brīvprātīgo uzņemšanai, atļaujot vienlaicīgi uzņemt ne vairāk kā 2 brīvprātīgos individuālā brīvprātīgā darba aktivitātē un partnerorganizācijas lomai - brīvprātīgo atbalstam, ļaujot nosūtīt Latvijas jauniešus brīvprātīgā darba veikšanai kādā citā valstī. </w:t>
      </w:r>
    </w:p>
    <w:p w:rsidR="00343661" w:rsidP="008253C1" w14:paraId="0529703E" w14:textId="77777777">
      <w:pPr>
        <w:spacing w:before="120" w:after="0" w:line="276" w:lineRule="auto"/>
        <w:jc w:val="both"/>
        <w:rPr>
          <w:b/>
          <w:bCs/>
        </w:rPr>
      </w:pPr>
    </w:p>
    <w:p w:rsidR="00343661" w:rsidP="008253C1" w14:paraId="6B7B41B8" w14:textId="77777777">
      <w:pPr>
        <w:spacing w:before="120" w:after="0" w:line="276" w:lineRule="auto"/>
        <w:jc w:val="both"/>
        <w:rPr>
          <w:b/>
          <w:bCs/>
        </w:rPr>
      </w:pPr>
    </w:p>
    <w:p w:rsidR="008253C1" w:rsidRPr="00C00CFB" w:rsidP="008253C1" w14:paraId="2BF12F09" w14:textId="21C3B173">
      <w:pPr>
        <w:spacing w:before="120" w:after="0" w:line="276" w:lineRule="auto"/>
        <w:jc w:val="both"/>
        <w:rPr>
          <w:b/>
          <w:bCs/>
        </w:rPr>
      </w:pPr>
      <w:r>
        <w:rPr>
          <w:b/>
          <w:bCs/>
        </w:rPr>
        <w:t>Eurodesk</w:t>
      </w:r>
    </w:p>
    <w:p w:rsidR="008253C1" w:rsidRPr="00C93308" w:rsidP="00DB6635" w14:paraId="5EA630AD" w14:textId="77777777">
      <w:pPr>
        <w:pStyle w:val="paragraph"/>
        <w:spacing w:before="0" w:beforeAutospacing="0" w:after="0" w:afterAutospacing="0"/>
        <w:ind w:firstLine="567"/>
        <w:jc w:val="both"/>
        <w:textAlignment w:val="baseline"/>
        <w:rPr>
          <w:rStyle w:val="eop"/>
        </w:rPr>
      </w:pPr>
      <w:r>
        <w:rPr>
          <w:rStyle w:val="normaltextrun"/>
        </w:rPr>
        <w:t>ANIIC turpina īstenot Eurodesk informācijas punkta funkcijas, nodrošinot informācijas pieejamību par dažādu mobilitātes un citu Eiropas projektu iespējām, kā arī sadarbībā ar “Eurodesk Latvia”, kā arī Eurodesk Vidzemes reģionālo koordinatoru un citiem Info punktiem, atbalstīt rīkotās kampaņas, akcijas un pasākumus, par to informējot jauniešus un iesaistoties dažādu aktivitāšu īstenošanā vietējā līmenī.</w:t>
      </w:r>
      <w:r>
        <w:rPr>
          <w:rStyle w:val="eop"/>
        </w:rPr>
        <w:t> </w:t>
      </w:r>
    </w:p>
    <w:p w:rsidR="008253C1" w:rsidRPr="00E558EB" w:rsidP="008253C1" w14:paraId="28A656D5" w14:textId="77777777">
      <w:pPr>
        <w:spacing w:before="120" w:after="120" w:line="276" w:lineRule="auto"/>
        <w:jc w:val="both"/>
      </w:pPr>
    </w:p>
    <w:p w:rsidR="00E850E1" w:rsidRPr="00DB6635" w:rsidP="00A7700D" w14:paraId="16B90536" w14:textId="3AF6F629">
      <w:pPr>
        <w:pStyle w:val="ListParagraph"/>
        <w:numPr>
          <w:ilvl w:val="2"/>
          <w:numId w:val="9"/>
        </w:numPr>
        <w:tabs>
          <w:tab w:val="left" w:pos="993"/>
        </w:tabs>
        <w:spacing w:after="0" w:line="360" w:lineRule="auto"/>
        <w:ind w:left="0" w:firstLine="709"/>
        <w:jc w:val="both"/>
        <w:rPr>
          <w:b/>
          <w:bCs/>
          <w:i/>
          <w:iCs/>
          <w:sz w:val="28"/>
          <w:szCs w:val="28"/>
        </w:rPr>
      </w:pPr>
      <w:r w:rsidRPr="00DB6635">
        <w:rPr>
          <w:b/>
          <w:bCs/>
          <w:i/>
          <w:iCs/>
          <w:sz w:val="28"/>
          <w:szCs w:val="28"/>
        </w:rPr>
        <w:t>SOCIĀLAIS ATBALSTS NOVADĀ</w:t>
      </w:r>
    </w:p>
    <w:p w:rsidR="00D1081D" w:rsidP="006F3455" w14:paraId="6567ADDD" w14:textId="2FA1E0FD">
      <w:pPr>
        <w:spacing w:after="0" w:line="240" w:lineRule="auto"/>
        <w:ind w:firstLine="567"/>
        <w:jc w:val="both"/>
      </w:pPr>
      <w:r w:rsidRPr="00DB6635">
        <w:t>Aizkraukles novada Sociālais dienests 2025.</w:t>
      </w:r>
      <w:r w:rsidR="00DB6635">
        <w:t> </w:t>
      </w:r>
      <w:r w:rsidRPr="00DB6635">
        <w:t>gadā īstenoja</w:t>
      </w:r>
      <w:r>
        <w:t xml:space="preserve"> Pašvaldību likumā noteikto pašvaldības autonomo funkciju – nodrošināt iedzīvotājiem atbalstu sociālo problēmu risināšanā, kā arī iespēju saņemt sociālo palīdzību un sociālos pakalpojumus. Lai īstenotu šo funkciju, Aizkraukles novada Sociālajā dienestā 2025.gadā strādāja 75 darbinieki, no tiem 37 sociālā darba speciālisti (5 no tiem Sociālā dienesta struktūrvienībās), līdz ar to Aizkraukles novada Sociālais dienests nodrošināja Sociālo pakalpojumu un sociālās palīdzības likuma 10. panta 1. daļā noteikto minimālo prasību, ka lai nodrošinātu iedzīvotāju vajadzību profesionālu izvērtēšanu un kvalitatīvu sociālo pakalpojumu un sociālās palīdzības sniegšanu, pašvaldībā jābūt vismaz vienam sociālā darba speciālistam uz katriem tūkstoš iedzīvotājiem.</w:t>
      </w:r>
    </w:p>
    <w:p w:rsidR="00D1081D" w:rsidP="006F3455" w14:paraId="5585F4B7" w14:textId="77777777">
      <w:pPr>
        <w:spacing w:after="0" w:line="240" w:lineRule="auto"/>
        <w:ind w:firstLine="567"/>
        <w:jc w:val="both"/>
      </w:pPr>
      <w:r>
        <w:t>Aizkraukles novada Sociālajam dienestam 2025. gadā ir šādas struktūrvienības: Seces dienas centrs bērniem un ģimenēm, Daudzeses dienas centrs bērniem un ģimenēm un Pansija/grupu māja “Vīgante”, Kokneses Ģimenes atbalsta dienas centrs, Pļaviņu dienas aprūpes centrs, Vietalvas grupu dzīvoklis, Skrīveru dienas aprūpes centrs, Sproģu grupu dzīvoklis un dienas aprūpes centri, Kokneses specializētās darbnīcas.</w:t>
      </w:r>
    </w:p>
    <w:p w:rsidR="00D1081D" w:rsidRPr="001B215B" w:rsidP="006F3455" w14:paraId="0F09ECDF" w14:textId="77777777">
      <w:pPr>
        <w:spacing w:after="0" w:line="240" w:lineRule="auto"/>
        <w:ind w:firstLine="567"/>
        <w:jc w:val="both"/>
      </w:pPr>
      <w:r>
        <w:t>2025. gadā Aizkraukles novadā trūcīgas mājsaimniecības statuss tika piešķirts 1431 personām (2024. gadā bija 1438 trūcīga personām), savukārt maznodrošinātas mājsaimniecības statuss 2025. gadā tika piešķirts 373 personām (2024. gadā tas tika piešķirts 528 personām).</w:t>
      </w:r>
    </w:p>
    <w:p w:rsidR="00D1081D" w:rsidRPr="00384BF3" w:rsidP="006F3455" w14:paraId="0AD0D911" w14:textId="77777777">
      <w:pPr>
        <w:spacing w:after="0" w:line="240" w:lineRule="auto"/>
        <w:ind w:firstLine="567"/>
        <w:jc w:val="both"/>
      </w:pPr>
      <w:r>
        <w:t xml:space="preserve">Mainoties ekonomiskai situācijai, mazliet samazinājās izmaksāto pabalstu apmērs un saņēmēju skaits, ņemot vērā, ka samazinājušās energoresursu cenas. Mājokļa pabalstu 2025. gadā saņēma 1074 mājsaimniecības un tam tika izlietoti 836 361 </w:t>
      </w:r>
      <w:r>
        <w:rPr>
          <w:i/>
        </w:rPr>
        <w:t>euro,</w:t>
      </w:r>
      <w:r>
        <w:t xml:space="preserve"> 2024. gadā saņēma 1185 mājsaimniecības un tam tika izlietoti 922 238 </w:t>
      </w:r>
      <w:r>
        <w:rPr>
          <w:i/>
          <w:iCs/>
        </w:rPr>
        <w:t xml:space="preserve">euro, </w:t>
      </w:r>
      <w:r>
        <w:t xml:space="preserve">2023. gadā to saņēma 1237 mājsaimniecības un tam tika izlietoti 922 291 </w:t>
      </w:r>
      <w:r>
        <w:rPr>
          <w:i/>
          <w:iCs/>
        </w:rPr>
        <w:t>euro</w:t>
      </w:r>
      <w:r>
        <w:t xml:space="preserve">. Savukārt garantētā minimālā ienākuma pabalstu 2025. gadā saņēma 331 mājsaimniecība un tam tika izlietoti 411 852 </w:t>
      </w:r>
      <w:r>
        <w:rPr>
          <w:i/>
        </w:rPr>
        <w:t>euro</w:t>
      </w:r>
      <w:r>
        <w:t xml:space="preserve">, 2024.gadā saņēma 290 mājsaimniecības un tam izlietoti 297 600 </w:t>
      </w:r>
      <w:r>
        <w:rPr>
          <w:i/>
        </w:rPr>
        <w:t xml:space="preserve">euro, </w:t>
      </w:r>
      <w:r>
        <w:rPr>
          <w:iCs/>
        </w:rPr>
        <w:t xml:space="preserve">2023.gadā šo pabalstu saņēma 327 mājsaimniecības un tam tika izlietoti 269 083 </w:t>
      </w:r>
      <w:r>
        <w:rPr>
          <w:i/>
          <w:iCs/>
        </w:rPr>
        <w:t xml:space="preserve">euro. </w:t>
      </w:r>
      <w:r>
        <w:t>Pieaugums skaidrojams ar minimālo ienākumu sliekšņu maiņu un tam piesaistīto pabalstu ikgadējo pārskatīšanu.</w:t>
      </w:r>
    </w:p>
    <w:p w:rsidR="00D1081D" w:rsidRPr="008470C3" w:rsidP="006F3455" w14:paraId="0924218B" w14:textId="2E2F03C6">
      <w:pPr>
        <w:spacing w:after="0" w:line="240" w:lineRule="auto"/>
        <w:ind w:firstLine="567"/>
        <w:jc w:val="both"/>
        <w:rPr>
          <w:i/>
          <w:iCs/>
        </w:rPr>
      </w:pPr>
      <w:r>
        <w:t>2025.</w:t>
      </w:r>
      <w:r w:rsidR="006F3455">
        <w:t> </w:t>
      </w:r>
      <w:r>
        <w:t xml:space="preserve">gadā pašvaldība kopumā sociālajiem pakalpojumiem un sociālajai palīdzībai izlietoja 3 568 658 </w:t>
      </w:r>
      <w:r>
        <w:rPr>
          <w:i/>
          <w:iCs/>
        </w:rPr>
        <w:t>euro</w:t>
      </w:r>
      <w:r>
        <w:t>, 2024.</w:t>
      </w:r>
      <w:r w:rsidR="006F3455">
        <w:t> </w:t>
      </w:r>
      <w:r>
        <w:t xml:space="preserve">gadā tika izlietoti 3 248 589 </w:t>
      </w:r>
      <w:r>
        <w:rPr>
          <w:i/>
        </w:rPr>
        <w:t>euro</w:t>
      </w:r>
      <w:r>
        <w:t>, 2023.</w:t>
      </w:r>
      <w:r w:rsidR="006F3455">
        <w:t> </w:t>
      </w:r>
      <w:r>
        <w:t xml:space="preserve">gadā tika izlietoti 2 824 020 </w:t>
      </w:r>
      <w:r>
        <w:rPr>
          <w:i/>
          <w:iCs/>
        </w:rPr>
        <w:t>euro</w:t>
      </w:r>
      <w:r>
        <w:t xml:space="preserve">. Pašvaldības līdzfinansētu ilgstošas sociālās aprūpes un sociālās rehabilitācijas pakalpojumu institūcijā 2025. gadā saņēma 194 personas, šim mērķim tika izlietoti 1004875 </w:t>
      </w:r>
      <w:r>
        <w:rPr>
          <w:i/>
        </w:rPr>
        <w:t>euro,</w:t>
      </w:r>
      <w:r>
        <w:t xml:space="preserve"> 2024.gadā saņēma 193 personas, šim mērķim tika izlietoti 928 147 </w:t>
      </w:r>
      <w:r>
        <w:rPr>
          <w:i/>
        </w:rPr>
        <w:t xml:space="preserve">euro. </w:t>
      </w:r>
      <w:r>
        <w:t xml:space="preserve">2023.gadā šo pakalpojumu saņēma 192 personas un tika izlietoti 756 563 </w:t>
      </w:r>
      <w:r>
        <w:rPr>
          <w:i/>
          <w:iCs/>
        </w:rPr>
        <w:t xml:space="preserve">euro. </w:t>
      </w:r>
    </w:p>
    <w:p w:rsidR="00D1081D" w:rsidP="006F3455" w14:paraId="4A278618" w14:textId="77777777">
      <w:pPr>
        <w:spacing w:after="0" w:line="240" w:lineRule="auto"/>
        <w:ind w:firstLine="567"/>
        <w:jc w:val="both"/>
      </w:pPr>
      <w:r>
        <w:t xml:space="preserve">Valsts finansētu asistenta pakalpojumu pašvaldībā 2025.gadā saņēma 334 personas, šim mērķim izlietoti 1 089 532 </w:t>
      </w:r>
      <w:r>
        <w:rPr>
          <w:i/>
          <w:iCs/>
        </w:rPr>
        <w:t>euro</w:t>
      </w:r>
      <w:r>
        <w:t xml:space="preserve">, kas tiek 100% apmērā kompensēti no valsts budžeta līdzekļiem. </w:t>
      </w:r>
    </w:p>
    <w:p w:rsidR="00D1081D" w:rsidRPr="009B5E3D" w:rsidP="00D1081D" w14:paraId="69503430" w14:textId="77777777">
      <w:pPr>
        <w:spacing w:after="0" w:line="276" w:lineRule="auto"/>
        <w:ind w:firstLine="720"/>
        <w:jc w:val="both"/>
      </w:pPr>
    </w:p>
    <w:p w:rsidR="00D1081D" w:rsidRPr="00005C59" w:rsidP="00D1081D" w14:paraId="44EEFDBD" w14:textId="77777777">
      <w:pPr>
        <w:jc w:val="both"/>
        <w:rPr>
          <w:b/>
          <w:bCs/>
        </w:rPr>
      </w:pPr>
      <w:r>
        <w:rPr>
          <w:b/>
          <w:bCs/>
        </w:rPr>
        <w:t>Ienākumu testēto pašvaldības sociālās palīdzības pabalstu saņēmēju raksturojums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2060"/>
        <w:gridCol w:w="1940"/>
        <w:gridCol w:w="1035"/>
        <w:gridCol w:w="1239"/>
        <w:gridCol w:w="1035"/>
        <w:gridCol w:w="936"/>
      </w:tblGrid>
      <w:tr w14:paraId="08EB6710" w14:textId="77777777" w:rsidTr="00F80C7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2"/>
        </w:trPr>
        <w:tc>
          <w:tcPr>
            <w:tcW w:w="731" w:type="pct"/>
            <w:vAlign w:val="center"/>
          </w:tcPr>
          <w:p w:rsidR="00D1081D" w:rsidRPr="009E39C2" w:rsidP="00F80C79" w14:paraId="1F890F82" w14:textId="77777777">
            <w:pPr>
              <w:spacing w:after="0" w:line="240" w:lineRule="auto"/>
              <w:jc w:val="center"/>
              <w:rPr>
                <w:b/>
                <w:bCs/>
              </w:rPr>
            </w:pPr>
          </w:p>
        </w:tc>
        <w:tc>
          <w:tcPr>
            <w:tcW w:w="1083" w:type="pct"/>
            <w:vAlign w:val="center"/>
          </w:tcPr>
          <w:p w:rsidR="00D1081D" w:rsidRPr="009E39C2" w:rsidP="00F80C79" w14:paraId="6824AB84" w14:textId="77777777">
            <w:pPr>
              <w:spacing w:after="0" w:line="240" w:lineRule="auto"/>
              <w:jc w:val="center"/>
              <w:rPr>
                <w:b/>
                <w:bCs/>
                <w:lang w:eastAsia="lv-LV"/>
              </w:rPr>
            </w:pPr>
          </w:p>
        </w:tc>
        <w:tc>
          <w:tcPr>
            <w:tcW w:w="1020" w:type="pct"/>
            <w:vAlign w:val="center"/>
          </w:tcPr>
          <w:p w:rsidR="00D1081D" w:rsidRPr="009E39C2" w:rsidP="00F80C79" w14:paraId="61D4D71E" w14:textId="77777777">
            <w:pPr>
              <w:spacing w:after="0" w:line="240" w:lineRule="auto"/>
              <w:jc w:val="center"/>
              <w:rPr>
                <w:b/>
                <w:bCs/>
                <w:lang w:eastAsia="lv-LV"/>
              </w:rPr>
            </w:pPr>
          </w:p>
        </w:tc>
        <w:tc>
          <w:tcPr>
            <w:tcW w:w="550" w:type="pct"/>
          </w:tcPr>
          <w:p w:rsidR="00D1081D" w:rsidRPr="009E39C2" w:rsidP="00F80C79" w14:paraId="3D4D96E1" w14:textId="77777777">
            <w:pPr>
              <w:spacing w:after="0" w:line="240" w:lineRule="auto"/>
              <w:jc w:val="center"/>
              <w:rPr>
                <w:b/>
                <w:bCs/>
                <w:lang w:eastAsia="lv-LV"/>
              </w:rPr>
            </w:pPr>
            <w:r>
              <w:rPr>
                <w:b/>
                <w:bCs/>
                <w:lang w:eastAsia="lv-LV"/>
              </w:rPr>
              <w:t>2022</w:t>
            </w:r>
          </w:p>
        </w:tc>
        <w:tc>
          <w:tcPr>
            <w:tcW w:w="656" w:type="pct"/>
          </w:tcPr>
          <w:p w:rsidR="00D1081D" w:rsidP="00F80C79" w14:paraId="64A20EAD" w14:textId="77777777">
            <w:pPr>
              <w:spacing w:after="0" w:line="240" w:lineRule="auto"/>
              <w:jc w:val="center"/>
              <w:rPr>
                <w:b/>
                <w:bCs/>
                <w:lang w:eastAsia="lv-LV"/>
              </w:rPr>
            </w:pPr>
            <w:r>
              <w:rPr>
                <w:b/>
                <w:bCs/>
                <w:lang w:eastAsia="lv-LV"/>
              </w:rPr>
              <w:t>2023</w:t>
            </w:r>
          </w:p>
        </w:tc>
        <w:tc>
          <w:tcPr>
            <w:tcW w:w="550" w:type="pct"/>
          </w:tcPr>
          <w:p w:rsidR="00D1081D" w:rsidP="00F80C79" w14:paraId="3819F3FD" w14:textId="77777777">
            <w:pPr>
              <w:spacing w:after="0" w:line="240" w:lineRule="auto"/>
              <w:jc w:val="center"/>
              <w:rPr>
                <w:b/>
                <w:bCs/>
                <w:lang w:eastAsia="lv-LV"/>
              </w:rPr>
            </w:pPr>
            <w:r>
              <w:rPr>
                <w:b/>
                <w:bCs/>
                <w:lang w:eastAsia="lv-LV"/>
              </w:rPr>
              <w:t>2024</w:t>
            </w:r>
          </w:p>
        </w:tc>
        <w:tc>
          <w:tcPr>
            <w:tcW w:w="409" w:type="pct"/>
          </w:tcPr>
          <w:p w:rsidR="00D1081D" w:rsidP="00F80C79" w14:paraId="56B21563" w14:textId="77777777">
            <w:pPr>
              <w:spacing w:after="0" w:line="240" w:lineRule="auto"/>
              <w:jc w:val="center"/>
              <w:rPr>
                <w:b/>
                <w:bCs/>
                <w:lang w:eastAsia="lv-LV"/>
              </w:rPr>
            </w:pPr>
            <w:r>
              <w:rPr>
                <w:b/>
                <w:bCs/>
                <w:lang w:eastAsia="lv-LV"/>
              </w:rPr>
              <w:t>2025</w:t>
            </w:r>
          </w:p>
        </w:tc>
      </w:tr>
      <w:tr w14:paraId="2734AAEE" w14:textId="77777777" w:rsidTr="00F80C79">
        <w:tblPrEx>
          <w:tblW w:w="5000" w:type="pct"/>
          <w:tblLook w:val="04A0"/>
        </w:tblPrEx>
        <w:trPr>
          <w:trHeight w:val="302"/>
        </w:trPr>
        <w:tc>
          <w:tcPr>
            <w:tcW w:w="731" w:type="pct"/>
            <w:vAlign w:val="center"/>
          </w:tcPr>
          <w:p w:rsidR="00D1081D" w:rsidRPr="009E39C2" w:rsidP="00F80C79" w14:paraId="49DD7A19" w14:textId="77777777">
            <w:pPr>
              <w:spacing w:after="0" w:line="240" w:lineRule="auto"/>
              <w:jc w:val="center"/>
              <w:rPr>
                <w:b/>
                <w:bCs/>
              </w:rPr>
            </w:pPr>
            <w:r>
              <w:rPr>
                <w:b/>
                <w:bCs/>
              </w:rPr>
              <w:t>Pabalsta veids</w:t>
            </w:r>
          </w:p>
        </w:tc>
        <w:tc>
          <w:tcPr>
            <w:tcW w:w="1083" w:type="pct"/>
            <w:vAlign w:val="center"/>
          </w:tcPr>
          <w:p w:rsidR="00D1081D" w:rsidRPr="009E39C2" w:rsidP="00F80C79" w14:paraId="50A1EE24" w14:textId="77777777">
            <w:pPr>
              <w:spacing w:after="0" w:line="240" w:lineRule="auto"/>
              <w:jc w:val="center"/>
              <w:rPr>
                <w:b/>
                <w:bCs/>
                <w:lang w:eastAsia="lv-LV"/>
              </w:rPr>
            </w:pPr>
            <w:r>
              <w:rPr>
                <w:b/>
                <w:bCs/>
                <w:lang w:eastAsia="lv-LV"/>
              </w:rPr>
              <w:t>Kritērijs</w:t>
            </w:r>
          </w:p>
        </w:tc>
        <w:tc>
          <w:tcPr>
            <w:tcW w:w="1020" w:type="pct"/>
            <w:vAlign w:val="center"/>
          </w:tcPr>
          <w:p w:rsidR="00D1081D" w:rsidRPr="009E39C2" w:rsidP="00F80C79" w14:paraId="6F39CBD8" w14:textId="77777777">
            <w:pPr>
              <w:spacing w:after="0" w:line="240" w:lineRule="auto"/>
              <w:jc w:val="center"/>
              <w:rPr>
                <w:b/>
                <w:bCs/>
                <w:lang w:eastAsia="lv-LV"/>
              </w:rPr>
            </w:pPr>
            <w:r>
              <w:rPr>
                <w:b/>
                <w:bCs/>
                <w:lang w:eastAsia="lv-LV"/>
              </w:rPr>
              <w:t>Mērvienība</w:t>
            </w:r>
          </w:p>
        </w:tc>
        <w:tc>
          <w:tcPr>
            <w:tcW w:w="2166" w:type="pct"/>
            <w:gridSpan w:val="4"/>
            <w:vAlign w:val="center"/>
          </w:tcPr>
          <w:p w:rsidR="00D1081D" w:rsidRPr="009E39C2" w:rsidP="00F80C79" w14:paraId="174E0579" w14:textId="77777777">
            <w:pPr>
              <w:spacing w:after="0" w:line="240" w:lineRule="auto"/>
              <w:jc w:val="center"/>
              <w:rPr>
                <w:b/>
                <w:bCs/>
                <w:lang w:eastAsia="lv-LV"/>
              </w:rPr>
            </w:pPr>
            <w:r>
              <w:rPr>
                <w:b/>
                <w:bCs/>
                <w:lang w:eastAsia="lv-LV"/>
              </w:rPr>
              <w:t>Skaits</w:t>
            </w:r>
          </w:p>
        </w:tc>
      </w:tr>
      <w:tr w14:paraId="05F1F41B" w14:textId="77777777" w:rsidTr="00F80C79">
        <w:tblPrEx>
          <w:tblW w:w="5000" w:type="pct"/>
          <w:tblLook w:val="04A0"/>
        </w:tblPrEx>
        <w:trPr>
          <w:trHeight w:val="183"/>
        </w:trPr>
        <w:tc>
          <w:tcPr>
            <w:tcW w:w="731" w:type="pct"/>
            <w:vMerge w:val="restart"/>
            <w:vAlign w:val="center"/>
          </w:tcPr>
          <w:p w:rsidR="00D1081D" w:rsidRPr="002C7F9A" w:rsidP="00F80C79" w14:paraId="2A8E3A3D" w14:textId="77777777">
            <w:pPr>
              <w:spacing w:after="0" w:line="240" w:lineRule="auto"/>
              <w:jc w:val="center"/>
              <w:rPr>
                <w:lang w:eastAsia="lv-LV"/>
              </w:rPr>
            </w:pPr>
            <w:r>
              <w:t>GMI</w:t>
            </w:r>
          </w:p>
        </w:tc>
        <w:tc>
          <w:tcPr>
            <w:tcW w:w="1083" w:type="pct"/>
            <w:vAlign w:val="center"/>
            <w:hideMark/>
          </w:tcPr>
          <w:p w:rsidR="00D1081D" w:rsidRPr="002C7F9A" w:rsidP="00F80C79" w14:paraId="2D5CFE78" w14:textId="77777777">
            <w:pPr>
              <w:spacing w:after="0" w:line="240" w:lineRule="auto"/>
              <w:rPr>
                <w:lang w:eastAsia="lv-LV"/>
              </w:rPr>
            </w:pPr>
            <w:r>
              <w:rPr>
                <w:lang w:eastAsia="lv-LV"/>
              </w:rPr>
              <w:t>Izlietotie līdzekļi - kopā</w:t>
            </w:r>
          </w:p>
        </w:tc>
        <w:tc>
          <w:tcPr>
            <w:tcW w:w="1020" w:type="pct"/>
            <w:vAlign w:val="center"/>
            <w:hideMark/>
          </w:tcPr>
          <w:p w:rsidR="00D1081D" w:rsidRPr="002C7F9A" w:rsidP="00F80C79" w14:paraId="639AFFEF" w14:textId="77777777">
            <w:pPr>
              <w:spacing w:after="0" w:line="240" w:lineRule="auto"/>
              <w:rPr>
                <w:i/>
                <w:iCs/>
                <w:lang w:eastAsia="lv-LV"/>
              </w:rPr>
            </w:pPr>
            <w:r>
              <w:rPr>
                <w:i/>
                <w:iCs/>
                <w:lang w:eastAsia="lv-LV"/>
              </w:rPr>
              <w:t>euro</w:t>
            </w:r>
          </w:p>
        </w:tc>
        <w:tc>
          <w:tcPr>
            <w:tcW w:w="550" w:type="pct"/>
            <w:vAlign w:val="center"/>
          </w:tcPr>
          <w:p w:rsidR="00D1081D" w:rsidRPr="002C7F9A" w:rsidP="00F80C79" w14:paraId="4C595275" w14:textId="77777777">
            <w:pPr>
              <w:spacing w:after="0" w:line="240" w:lineRule="auto"/>
              <w:jc w:val="center"/>
              <w:rPr>
                <w:lang w:eastAsia="lv-LV"/>
              </w:rPr>
            </w:pPr>
            <w:r>
              <w:rPr>
                <w:lang w:eastAsia="lv-LV"/>
              </w:rPr>
              <w:t>410136</w:t>
            </w:r>
          </w:p>
        </w:tc>
        <w:tc>
          <w:tcPr>
            <w:tcW w:w="656" w:type="pct"/>
            <w:vAlign w:val="center"/>
          </w:tcPr>
          <w:p w:rsidR="00D1081D" w:rsidRPr="006B234A" w:rsidP="00F80C79" w14:paraId="19BD3C28" w14:textId="77777777">
            <w:pPr>
              <w:spacing w:after="0" w:line="240" w:lineRule="auto"/>
              <w:jc w:val="center"/>
              <w:rPr>
                <w:lang w:eastAsia="lv-LV"/>
              </w:rPr>
            </w:pPr>
            <w:r>
              <w:rPr>
                <w:lang w:eastAsia="lv-LV"/>
              </w:rPr>
              <w:t>313738</w:t>
            </w:r>
          </w:p>
        </w:tc>
        <w:tc>
          <w:tcPr>
            <w:tcW w:w="550" w:type="pct"/>
            <w:vAlign w:val="center"/>
          </w:tcPr>
          <w:p w:rsidR="00D1081D" w:rsidP="00F80C79" w14:paraId="0BB9825B" w14:textId="77777777">
            <w:pPr>
              <w:spacing w:after="0" w:line="240" w:lineRule="auto"/>
              <w:jc w:val="center"/>
              <w:rPr>
                <w:lang w:eastAsia="lv-LV"/>
              </w:rPr>
            </w:pPr>
            <w:r>
              <w:rPr>
                <w:lang w:eastAsia="lv-LV"/>
              </w:rPr>
              <w:t>348322</w:t>
            </w:r>
          </w:p>
        </w:tc>
        <w:tc>
          <w:tcPr>
            <w:tcW w:w="409" w:type="pct"/>
            <w:vAlign w:val="center"/>
          </w:tcPr>
          <w:p w:rsidR="00D1081D" w:rsidRPr="002B51D1" w:rsidP="00F80C79" w14:paraId="66CA9CE5" w14:textId="77777777">
            <w:pPr>
              <w:spacing w:after="0" w:line="240" w:lineRule="auto"/>
              <w:jc w:val="center"/>
              <w:rPr>
                <w:lang w:eastAsia="lv-LV"/>
              </w:rPr>
            </w:pPr>
            <w:r>
              <w:rPr>
                <w:lang w:eastAsia="lv-LV"/>
              </w:rPr>
              <w:t>411852</w:t>
            </w:r>
          </w:p>
        </w:tc>
      </w:tr>
      <w:tr w14:paraId="50B8C41B" w14:textId="77777777" w:rsidTr="00F80C79">
        <w:tblPrEx>
          <w:tblW w:w="5000" w:type="pct"/>
          <w:tblLook w:val="04A0"/>
        </w:tblPrEx>
        <w:trPr>
          <w:trHeight w:val="348"/>
        </w:trPr>
        <w:tc>
          <w:tcPr>
            <w:tcW w:w="731" w:type="pct"/>
            <w:vMerge/>
          </w:tcPr>
          <w:p w:rsidR="00D1081D" w:rsidRPr="002C7F9A" w:rsidP="00F80C79" w14:paraId="2E2E6D67" w14:textId="77777777">
            <w:pPr>
              <w:spacing w:after="0" w:line="240" w:lineRule="auto"/>
              <w:rPr>
                <w:lang w:eastAsia="lv-LV"/>
              </w:rPr>
            </w:pPr>
          </w:p>
        </w:tc>
        <w:tc>
          <w:tcPr>
            <w:tcW w:w="1083" w:type="pct"/>
            <w:vAlign w:val="center"/>
            <w:hideMark/>
          </w:tcPr>
          <w:p w:rsidR="00D1081D" w:rsidRPr="002C7F9A" w:rsidP="00F80C79" w14:paraId="4627C7BB" w14:textId="77777777">
            <w:pPr>
              <w:spacing w:after="0" w:line="240" w:lineRule="auto"/>
              <w:rPr>
                <w:lang w:eastAsia="lv-LV"/>
              </w:rPr>
            </w:pPr>
            <w:r>
              <w:rPr>
                <w:lang w:eastAsia="lv-LV"/>
              </w:rPr>
              <w:t>Mājsaimniecības</w:t>
            </w:r>
          </w:p>
        </w:tc>
        <w:tc>
          <w:tcPr>
            <w:tcW w:w="1020" w:type="pct"/>
            <w:vAlign w:val="center"/>
            <w:hideMark/>
          </w:tcPr>
          <w:p w:rsidR="00D1081D" w:rsidRPr="002C7F9A" w:rsidP="00F80C79" w14:paraId="7F263D6D" w14:textId="77777777">
            <w:pPr>
              <w:spacing w:after="0" w:line="240" w:lineRule="auto"/>
              <w:rPr>
                <w:lang w:eastAsia="lv-LV"/>
              </w:rPr>
            </w:pPr>
            <w:r>
              <w:rPr>
                <w:lang w:eastAsia="lv-LV"/>
              </w:rPr>
              <w:t>mājsaimniecību skaits</w:t>
            </w:r>
          </w:p>
        </w:tc>
        <w:tc>
          <w:tcPr>
            <w:tcW w:w="550" w:type="pct"/>
            <w:vAlign w:val="center"/>
          </w:tcPr>
          <w:p w:rsidR="00D1081D" w:rsidRPr="002C7F9A" w:rsidP="00F80C79" w14:paraId="790F7F65" w14:textId="77777777">
            <w:pPr>
              <w:spacing w:after="0" w:line="240" w:lineRule="auto"/>
              <w:jc w:val="center"/>
              <w:rPr>
                <w:lang w:eastAsia="lv-LV"/>
              </w:rPr>
            </w:pPr>
            <w:r>
              <w:rPr>
                <w:lang w:eastAsia="lv-LV"/>
              </w:rPr>
              <w:t>530</w:t>
            </w:r>
          </w:p>
        </w:tc>
        <w:tc>
          <w:tcPr>
            <w:tcW w:w="656" w:type="pct"/>
            <w:vAlign w:val="center"/>
          </w:tcPr>
          <w:p w:rsidR="00D1081D" w:rsidRPr="00B133E3" w:rsidP="00F80C79" w14:paraId="62974F2F" w14:textId="77777777">
            <w:pPr>
              <w:spacing w:after="0" w:line="240" w:lineRule="auto"/>
              <w:jc w:val="center"/>
              <w:rPr>
                <w:lang w:eastAsia="lv-LV"/>
              </w:rPr>
            </w:pPr>
            <w:r>
              <w:rPr>
                <w:lang w:eastAsia="lv-LV"/>
              </w:rPr>
              <w:t>392</w:t>
            </w:r>
          </w:p>
        </w:tc>
        <w:tc>
          <w:tcPr>
            <w:tcW w:w="550" w:type="pct"/>
            <w:vAlign w:val="center"/>
          </w:tcPr>
          <w:p w:rsidR="00D1081D" w:rsidP="00F80C79" w14:paraId="61C5A3E6" w14:textId="77777777">
            <w:pPr>
              <w:spacing w:after="0" w:line="240" w:lineRule="auto"/>
              <w:jc w:val="center"/>
              <w:rPr>
                <w:lang w:eastAsia="lv-LV"/>
              </w:rPr>
            </w:pPr>
            <w:r>
              <w:rPr>
                <w:lang w:eastAsia="lv-LV"/>
              </w:rPr>
              <w:t>325</w:t>
            </w:r>
          </w:p>
        </w:tc>
        <w:tc>
          <w:tcPr>
            <w:tcW w:w="409" w:type="pct"/>
            <w:vAlign w:val="center"/>
          </w:tcPr>
          <w:p w:rsidR="00D1081D" w:rsidP="00F80C79" w14:paraId="762DA8FC" w14:textId="77777777">
            <w:pPr>
              <w:spacing w:after="0" w:line="240" w:lineRule="auto"/>
              <w:jc w:val="center"/>
              <w:rPr>
                <w:lang w:eastAsia="lv-LV"/>
              </w:rPr>
            </w:pPr>
            <w:r>
              <w:rPr>
                <w:lang w:eastAsia="lv-LV"/>
              </w:rPr>
              <w:t>331</w:t>
            </w:r>
          </w:p>
        </w:tc>
      </w:tr>
      <w:tr w14:paraId="5099DD16" w14:textId="77777777" w:rsidTr="00F80C79">
        <w:tblPrEx>
          <w:tblW w:w="5000" w:type="pct"/>
          <w:tblLook w:val="04A0"/>
        </w:tblPrEx>
        <w:trPr>
          <w:trHeight w:val="348"/>
        </w:trPr>
        <w:tc>
          <w:tcPr>
            <w:tcW w:w="731" w:type="pct"/>
            <w:vMerge w:val="restart"/>
            <w:vAlign w:val="center"/>
          </w:tcPr>
          <w:p w:rsidR="00D1081D" w:rsidRPr="002C7F9A" w:rsidP="00F80C79" w14:paraId="5B4823B0" w14:textId="77777777">
            <w:pPr>
              <w:spacing w:after="0" w:line="240" w:lineRule="auto"/>
              <w:jc w:val="center"/>
              <w:rPr>
                <w:lang w:eastAsia="lv-LV"/>
              </w:rPr>
            </w:pPr>
            <w:r>
              <w:rPr>
                <w:lang w:eastAsia="lv-LV"/>
              </w:rPr>
              <w:t>Mājokļa pabalsts</w:t>
            </w:r>
          </w:p>
        </w:tc>
        <w:tc>
          <w:tcPr>
            <w:tcW w:w="1083" w:type="pct"/>
            <w:vAlign w:val="center"/>
          </w:tcPr>
          <w:p w:rsidR="00D1081D" w:rsidRPr="002C7F9A" w:rsidP="00F80C79" w14:paraId="798DF5A5" w14:textId="77777777">
            <w:pPr>
              <w:spacing w:after="0" w:line="240" w:lineRule="auto"/>
              <w:rPr>
                <w:lang w:eastAsia="lv-LV"/>
              </w:rPr>
            </w:pPr>
            <w:r>
              <w:rPr>
                <w:lang w:eastAsia="lv-LV"/>
              </w:rPr>
              <w:t>Izlietotie līdzekļi - kopā</w:t>
            </w:r>
          </w:p>
        </w:tc>
        <w:tc>
          <w:tcPr>
            <w:tcW w:w="1020" w:type="pct"/>
            <w:vAlign w:val="center"/>
          </w:tcPr>
          <w:p w:rsidR="00D1081D" w:rsidRPr="009E39C2" w:rsidP="00F80C79" w14:paraId="5615AB8F" w14:textId="77777777">
            <w:pPr>
              <w:spacing w:after="0" w:line="240" w:lineRule="auto"/>
              <w:rPr>
                <w:i/>
                <w:iCs/>
                <w:lang w:eastAsia="lv-LV"/>
              </w:rPr>
            </w:pPr>
            <w:r>
              <w:rPr>
                <w:i/>
                <w:iCs/>
                <w:lang w:eastAsia="lv-LV"/>
              </w:rPr>
              <w:t>euro</w:t>
            </w:r>
          </w:p>
        </w:tc>
        <w:tc>
          <w:tcPr>
            <w:tcW w:w="550" w:type="pct"/>
            <w:vAlign w:val="center"/>
          </w:tcPr>
          <w:p w:rsidR="00D1081D" w:rsidRPr="002C7F9A" w:rsidP="00F80C79" w14:paraId="18636717" w14:textId="77777777">
            <w:pPr>
              <w:spacing w:after="0" w:line="240" w:lineRule="auto"/>
              <w:jc w:val="center"/>
              <w:rPr>
                <w:lang w:eastAsia="lv-LV"/>
              </w:rPr>
            </w:pPr>
            <w:r>
              <w:rPr>
                <w:lang w:eastAsia="lv-LV"/>
              </w:rPr>
              <w:t>485269</w:t>
            </w:r>
          </w:p>
        </w:tc>
        <w:tc>
          <w:tcPr>
            <w:tcW w:w="656" w:type="pct"/>
            <w:vAlign w:val="center"/>
          </w:tcPr>
          <w:p w:rsidR="00D1081D" w:rsidRPr="007F296F" w:rsidP="00F80C79" w14:paraId="3876A48A" w14:textId="77777777">
            <w:pPr>
              <w:spacing w:after="0" w:line="240" w:lineRule="auto"/>
              <w:jc w:val="center"/>
              <w:rPr>
                <w:lang w:eastAsia="lv-LV"/>
              </w:rPr>
            </w:pPr>
            <w:r>
              <w:rPr>
                <w:lang w:eastAsia="lv-LV"/>
              </w:rPr>
              <w:t>922291</w:t>
            </w:r>
          </w:p>
        </w:tc>
        <w:tc>
          <w:tcPr>
            <w:tcW w:w="550" w:type="pct"/>
            <w:vAlign w:val="center"/>
          </w:tcPr>
          <w:p w:rsidR="00D1081D" w:rsidP="00F80C79" w14:paraId="3A930B0A" w14:textId="77777777">
            <w:pPr>
              <w:spacing w:after="0" w:line="240" w:lineRule="auto"/>
              <w:jc w:val="center"/>
              <w:rPr>
                <w:lang w:eastAsia="lv-LV"/>
              </w:rPr>
            </w:pPr>
            <w:r>
              <w:rPr>
                <w:lang w:eastAsia="lv-LV"/>
              </w:rPr>
              <w:t>898831</w:t>
            </w:r>
          </w:p>
        </w:tc>
        <w:tc>
          <w:tcPr>
            <w:tcW w:w="409" w:type="pct"/>
            <w:vAlign w:val="center"/>
          </w:tcPr>
          <w:p w:rsidR="00D1081D" w:rsidRPr="002B51D1" w:rsidP="00F80C79" w14:paraId="361B4E5C" w14:textId="77777777">
            <w:pPr>
              <w:spacing w:after="0" w:line="240" w:lineRule="auto"/>
              <w:jc w:val="center"/>
              <w:rPr>
                <w:lang w:eastAsia="lv-LV"/>
              </w:rPr>
            </w:pPr>
            <w:r>
              <w:rPr>
                <w:lang w:eastAsia="lv-LV"/>
              </w:rPr>
              <w:t>836361</w:t>
            </w:r>
          </w:p>
        </w:tc>
      </w:tr>
      <w:tr w14:paraId="0956DBC9" w14:textId="77777777" w:rsidTr="00F80C79">
        <w:tblPrEx>
          <w:tblW w:w="5000" w:type="pct"/>
          <w:tblLook w:val="04A0"/>
        </w:tblPrEx>
        <w:trPr>
          <w:trHeight w:val="348"/>
        </w:trPr>
        <w:tc>
          <w:tcPr>
            <w:tcW w:w="731" w:type="pct"/>
            <w:vMerge/>
          </w:tcPr>
          <w:p w:rsidR="00D1081D" w:rsidRPr="002C7F9A" w:rsidP="00F80C79" w14:paraId="39C381A4" w14:textId="77777777">
            <w:pPr>
              <w:spacing w:after="0" w:line="240" w:lineRule="auto"/>
              <w:rPr>
                <w:lang w:eastAsia="lv-LV"/>
              </w:rPr>
            </w:pPr>
          </w:p>
        </w:tc>
        <w:tc>
          <w:tcPr>
            <w:tcW w:w="1083" w:type="pct"/>
            <w:vAlign w:val="center"/>
          </w:tcPr>
          <w:p w:rsidR="00D1081D" w:rsidRPr="002C7F9A" w:rsidP="00F80C79" w14:paraId="1C513298" w14:textId="77777777">
            <w:pPr>
              <w:spacing w:after="0" w:line="240" w:lineRule="auto"/>
              <w:rPr>
                <w:lang w:eastAsia="lv-LV"/>
              </w:rPr>
            </w:pPr>
            <w:r>
              <w:rPr>
                <w:lang w:eastAsia="lv-LV"/>
              </w:rPr>
              <w:t>personām, kurām spēkā trūcīgas mājsaimniecības statuss</w:t>
            </w:r>
          </w:p>
        </w:tc>
        <w:tc>
          <w:tcPr>
            <w:tcW w:w="1020" w:type="pct"/>
            <w:vAlign w:val="center"/>
          </w:tcPr>
          <w:p w:rsidR="00D1081D" w:rsidRPr="002C7F9A" w:rsidP="00F80C79" w14:paraId="720EA5AA" w14:textId="77777777">
            <w:pPr>
              <w:spacing w:after="0" w:line="240" w:lineRule="auto"/>
              <w:rPr>
                <w:lang w:eastAsia="lv-LV"/>
              </w:rPr>
            </w:pPr>
            <w:r>
              <w:rPr>
                <w:i/>
                <w:iCs/>
                <w:lang w:eastAsia="lv-LV"/>
              </w:rPr>
              <w:t>euro</w:t>
            </w:r>
          </w:p>
        </w:tc>
        <w:tc>
          <w:tcPr>
            <w:tcW w:w="550" w:type="pct"/>
            <w:vAlign w:val="center"/>
          </w:tcPr>
          <w:p w:rsidR="00D1081D" w:rsidRPr="002C7F9A" w:rsidP="00F80C79" w14:paraId="36F670A8" w14:textId="77777777">
            <w:pPr>
              <w:spacing w:after="0" w:line="240" w:lineRule="auto"/>
              <w:jc w:val="center"/>
              <w:rPr>
                <w:lang w:eastAsia="lv-LV"/>
              </w:rPr>
            </w:pPr>
            <w:r>
              <w:rPr>
                <w:lang w:eastAsia="lv-LV"/>
              </w:rPr>
              <w:t>376390</w:t>
            </w:r>
          </w:p>
        </w:tc>
        <w:tc>
          <w:tcPr>
            <w:tcW w:w="656" w:type="pct"/>
            <w:vAlign w:val="center"/>
          </w:tcPr>
          <w:p w:rsidR="00D1081D" w:rsidRPr="00986239" w:rsidP="00F80C79" w14:paraId="274CA749" w14:textId="77777777">
            <w:pPr>
              <w:spacing w:after="0" w:line="240" w:lineRule="auto"/>
              <w:jc w:val="center"/>
              <w:rPr>
                <w:lang w:eastAsia="lv-LV"/>
              </w:rPr>
            </w:pPr>
            <w:r>
              <w:rPr>
                <w:lang w:eastAsia="lv-LV"/>
              </w:rPr>
              <w:t>661294</w:t>
            </w:r>
          </w:p>
        </w:tc>
        <w:tc>
          <w:tcPr>
            <w:tcW w:w="550" w:type="pct"/>
            <w:vAlign w:val="center"/>
          </w:tcPr>
          <w:p w:rsidR="00D1081D" w:rsidP="00F80C79" w14:paraId="42BA7595" w14:textId="77777777">
            <w:pPr>
              <w:spacing w:after="0" w:line="240" w:lineRule="auto"/>
              <w:jc w:val="center"/>
              <w:rPr>
                <w:lang w:eastAsia="lv-LV"/>
              </w:rPr>
            </w:pPr>
            <w:r>
              <w:rPr>
                <w:lang w:eastAsia="lv-LV"/>
              </w:rPr>
              <w:t>714102</w:t>
            </w:r>
          </w:p>
        </w:tc>
        <w:tc>
          <w:tcPr>
            <w:tcW w:w="409" w:type="pct"/>
            <w:vAlign w:val="center"/>
          </w:tcPr>
          <w:p w:rsidR="00D1081D" w:rsidRPr="002B51D1" w:rsidP="00F80C79" w14:paraId="063DBBB6" w14:textId="77777777">
            <w:pPr>
              <w:spacing w:after="0" w:line="240" w:lineRule="auto"/>
              <w:jc w:val="center"/>
              <w:rPr>
                <w:lang w:eastAsia="lv-LV"/>
              </w:rPr>
            </w:pPr>
            <w:r>
              <w:rPr>
                <w:lang w:eastAsia="lv-LV"/>
              </w:rPr>
              <w:t>698270</w:t>
            </w:r>
          </w:p>
        </w:tc>
      </w:tr>
      <w:tr w14:paraId="20BDCCAB" w14:textId="77777777" w:rsidTr="00F80C79">
        <w:tblPrEx>
          <w:tblW w:w="5000" w:type="pct"/>
          <w:tblLook w:val="04A0"/>
        </w:tblPrEx>
        <w:trPr>
          <w:trHeight w:val="348"/>
        </w:trPr>
        <w:tc>
          <w:tcPr>
            <w:tcW w:w="731" w:type="pct"/>
            <w:vMerge/>
          </w:tcPr>
          <w:p w:rsidR="00D1081D" w:rsidRPr="002C7F9A" w:rsidP="00F80C79" w14:paraId="643A5701" w14:textId="77777777">
            <w:pPr>
              <w:spacing w:after="0" w:line="240" w:lineRule="auto"/>
              <w:rPr>
                <w:lang w:eastAsia="lv-LV"/>
              </w:rPr>
            </w:pPr>
          </w:p>
        </w:tc>
        <w:tc>
          <w:tcPr>
            <w:tcW w:w="1083" w:type="pct"/>
            <w:vAlign w:val="center"/>
          </w:tcPr>
          <w:p w:rsidR="00D1081D" w:rsidRPr="002C7F9A" w:rsidP="00F80C79" w14:paraId="2D28A8EA" w14:textId="77777777">
            <w:pPr>
              <w:spacing w:after="0" w:line="240" w:lineRule="auto"/>
              <w:rPr>
                <w:lang w:eastAsia="lv-LV"/>
              </w:rPr>
            </w:pPr>
            <w:r>
              <w:rPr>
                <w:lang w:eastAsia="lv-LV"/>
              </w:rPr>
              <w:t>personām, kurām spēkā maznodrošinātās personas statuss</w:t>
            </w:r>
          </w:p>
        </w:tc>
        <w:tc>
          <w:tcPr>
            <w:tcW w:w="1020" w:type="pct"/>
            <w:vAlign w:val="center"/>
          </w:tcPr>
          <w:p w:rsidR="00D1081D" w:rsidRPr="002C7F9A" w:rsidP="00F80C79" w14:paraId="0BE4F3E6" w14:textId="77777777">
            <w:pPr>
              <w:spacing w:after="0" w:line="240" w:lineRule="auto"/>
              <w:rPr>
                <w:i/>
                <w:iCs/>
                <w:lang w:eastAsia="lv-LV"/>
              </w:rPr>
            </w:pPr>
            <w:r>
              <w:rPr>
                <w:i/>
                <w:iCs/>
                <w:lang w:eastAsia="lv-LV"/>
              </w:rPr>
              <w:t>euro</w:t>
            </w:r>
          </w:p>
        </w:tc>
        <w:tc>
          <w:tcPr>
            <w:tcW w:w="550" w:type="pct"/>
            <w:vAlign w:val="center"/>
          </w:tcPr>
          <w:p w:rsidR="00D1081D" w:rsidRPr="002C7F9A" w:rsidP="00F80C79" w14:paraId="696D7EB1" w14:textId="77777777">
            <w:pPr>
              <w:spacing w:after="0" w:line="240" w:lineRule="auto"/>
              <w:jc w:val="center"/>
              <w:rPr>
                <w:lang w:eastAsia="lv-LV"/>
              </w:rPr>
            </w:pPr>
            <w:r>
              <w:rPr>
                <w:lang w:eastAsia="lv-LV"/>
              </w:rPr>
              <w:t>87998</w:t>
            </w:r>
          </w:p>
        </w:tc>
        <w:tc>
          <w:tcPr>
            <w:tcW w:w="656" w:type="pct"/>
            <w:vAlign w:val="center"/>
          </w:tcPr>
          <w:p w:rsidR="00D1081D" w:rsidRPr="00986239" w:rsidP="00F80C79" w14:paraId="28A238B9" w14:textId="77777777">
            <w:pPr>
              <w:spacing w:after="0" w:line="240" w:lineRule="auto"/>
              <w:jc w:val="center"/>
              <w:rPr>
                <w:lang w:eastAsia="lv-LV"/>
              </w:rPr>
            </w:pPr>
            <w:r>
              <w:rPr>
                <w:lang w:eastAsia="lv-LV"/>
              </w:rPr>
              <w:t>133496</w:t>
            </w:r>
          </w:p>
        </w:tc>
        <w:tc>
          <w:tcPr>
            <w:tcW w:w="550" w:type="pct"/>
            <w:vAlign w:val="center"/>
          </w:tcPr>
          <w:p w:rsidR="00D1081D" w:rsidP="00F80C79" w14:paraId="7266E4AD" w14:textId="77777777">
            <w:pPr>
              <w:spacing w:after="0" w:line="240" w:lineRule="auto"/>
              <w:jc w:val="center"/>
              <w:rPr>
                <w:lang w:eastAsia="lv-LV"/>
              </w:rPr>
            </w:pPr>
            <w:r>
              <w:rPr>
                <w:lang w:eastAsia="lv-LV"/>
              </w:rPr>
              <w:t>121897</w:t>
            </w:r>
          </w:p>
        </w:tc>
        <w:tc>
          <w:tcPr>
            <w:tcW w:w="409" w:type="pct"/>
            <w:vAlign w:val="center"/>
          </w:tcPr>
          <w:p w:rsidR="00D1081D" w:rsidRPr="00C678BE" w:rsidP="00F80C79" w14:paraId="705FA805" w14:textId="77777777">
            <w:pPr>
              <w:spacing w:after="0" w:line="240" w:lineRule="auto"/>
              <w:jc w:val="center"/>
              <w:rPr>
                <w:lang w:eastAsia="lv-LV"/>
              </w:rPr>
            </w:pPr>
            <w:r>
              <w:rPr>
                <w:lang w:eastAsia="lv-LV"/>
              </w:rPr>
              <w:t>106310</w:t>
            </w:r>
          </w:p>
        </w:tc>
      </w:tr>
      <w:tr w14:paraId="7C761BF4" w14:textId="77777777" w:rsidTr="00F80C79">
        <w:tblPrEx>
          <w:tblW w:w="5000" w:type="pct"/>
          <w:tblLook w:val="04A0"/>
        </w:tblPrEx>
        <w:trPr>
          <w:trHeight w:val="348"/>
        </w:trPr>
        <w:tc>
          <w:tcPr>
            <w:tcW w:w="731" w:type="pct"/>
            <w:vMerge/>
          </w:tcPr>
          <w:p w:rsidR="00D1081D" w:rsidRPr="002C7F9A" w:rsidP="00F80C79" w14:paraId="2C61718C" w14:textId="77777777">
            <w:pPr>
              <w:spacing w:after="0" w:line="240" w:lineRule="auto"/>
              <w:rPr>
                <w:lang w:eastAsia="lv-LV"/>
              </w:rPr>
            </w:pPr>
          </w:p>
        </w:tc>
        <w:tc>
          <w:tcPr>
            <w:tcW w:w="1083" w:type="pct"/>
            <w:vAlign w:val="center"/>
          </w:tcPr>
          <w:p w:rsidR="00D1081D" w:rsidRPr="002C7F9A" w:rsidP="00F80C79" w14:paraId="314DCEE5" w14:textId="77777777">
            <w:pPr>
              <w:spacing w:after="0" w:line="240" w:lineRule="auto"/>
              <w:rPr>
                <w:lang w:eastAsia="lv-LV"/>
              </w:rPr>
            </w:pPr>
            <w:r>
              <w:rPr>
                <w:lang w:eastAsia="lv-LV"/>
              </w:rPr>
              <w:t>personas, kurām mājokļa pabalsts izmaksāts kopā ar GMI pabalstu</w:t>
            </w:r>
          </w:p>
        </w:tc>
        <w:tc>
          <w:tcPr>
            <w:tcW w:w="1020" w:type="pct"/>
            <w:vAlign w:val="center"/>
          </w:tcPr>
          <w:p w:rsidR="00D1081D" w:rsidRPr="002C7F9A" w:rsidP="00F80C79" w14:paraId="1106E22A" w14:textId="77777777">
            <w:pPr>
              <w:spacing w:after="0" w:line="240" w:lineRule="auto"/>
              <w:rPr>
                <w:i/>
                <w:iCs/>
                <w:lang w:eastAsia="lv-LV"/>
              </w:rPr>
            </w:pPr>
            <w:r>
              <w:rPr>
                <w:i/>
                <w:iCs/>
                <w:lang w:eastAsia="lv-LV"/>
              </w:rPr>
              <w:t>euro</w:t>
            </w:r>
          </w:p>
        </w:tc>
        <w:tc>
          <w:tcPr>
            <w:tcW w:w="550" w:type="pct"/>
            <w:vAlign w:val="center"/>
          </w:tcPr>
          <w:p w:rsidR="00D1081D" w:rsidRPr="002C7F9A" w:rsidP="00F80C79" w14:paraId="501F16DC" w14:textId="77777777">
            <w:pPr>
              <w:spacing w:after="0" w:line="240" w:lineRule="auto"/>
              <w:jc w:val="center"/>
              <w:rPr>
                <w:lang w:eastAsia="lv-LV"/>
              </w:rPr>
            </w:pPr>
            <w:r>
              <w:rPr>
                <w:lang w:eastAsia="lv-LV"/>
              </w:rPr>
              <w:t>146504</w:t>
            </w:r>
          </w:p>
        </w:tc>
        <w:tc>
          <w:tcPr>
            <w:tcW w:w="656" w:type="pct"/>
            <w:vAlign w:val="center"/>
          </w:tcPr>
          <w:p w:rsidR="00D1081D" w:rsidRPr="00842626" w:rsidP="00F80C79" w14:paraId="53BCD933" w14:textId="77777777">
            <w:pPr>
              <w:spacing w:after="0" w:line="240" w:lineRule="auto"/>
              <w:jc w:val="center"/>
              <w:rPr>
                <w:lang w:eastAsia="lv-LV"/>
              </w:rPr>
            </w:pPr>
            <w:r>
              <w:rPr>
                <w:lang w:eastAsia="lv-LV"/>
              </w:rPr>
              <w:t>265232</w:t>
            </w:r>
          </w:p>
        </w:tc>
        <w:tc>
          <w:tcPr>
            <w:tcW w:w="550" w:type="pct"/>
            <w:vAlign w:val="center"/>
          </w:tcPr>
          <w:p w:rsidR="00D1081D" w:rsidP="00F80C79" w14:paraId="0EE56D38" w14:textId="77777777">
            <w:pPr>
              <w:spacing w:after="0" w:line="240" w:lineRule="auto"/>
              <w:jc w:val="center"/>
              <w:rPr>
                <w:lang w:eastAsia="lv-LV"/>
              </w:rPr>
            </w:pPr>
            <w:r>
              <w:rPr>
                <w:lang w:eastAsia="lv-LV"/>
              </w:rPr>
              <w:t>238065</w:t>
            </w:r>
          </w:p>
        </w:tc>
        <w:tc>
          <w:tcPr>
            <w:tcW w:w="409" w:type="pct"/>
            <w:vAlign w:val="center"/>
          </w:tcPr>
          <w:p w:rsidR="00D1081D" w:rsidRPr="00C678BE" w:rsidP="00F80C79" w14:paraId="129BC235" w14:textId="77777777">
            <w:pPr>
              <w:spacing w:after="0" w:line="240" w:lineRule="auto"/>
              <w:jc w:val="center"/>
              <w:rPr>
                <w:lang w:eastAsia="lv-LV"/>
              </w:rPr>
            </w:pPr>
            <w:r>
              <w:rPr>
                <w:lang w:eastAsia="lv-LV"/>
              </w:rPr>
              <w:t>232092</w:t>
            </w:r>
          </w:p>
        </w:tc>
      </w:tr>
      <w:tr w14:paraId="04793D73" w14:textId="77777777" w:rsidTr="00F80C79">
        <w:tblPrEx>
          <w:tblW w:w="5000" w:type="pct"/>
          <w:tblLook w:val="04A0"/>
        </w:tblPrEx>
        <w:trPr>
          <w:trHeight w:val="348"/>
        </w:trPr>
        <w:tc>
          <w:tcPr>
            <w:tcW w:w="731" w:type="pct"/>
            <w:vMerge/>
          </w:tcPr>
          <w:p w:rsidR="00D1081D" w:rsidRPr="002C7F9A" w:rsidP="00F80C79" w14:paraId="5A1B6264" w14:textId="77777777">
            <w:pPr>
              <w:spacing w:after="0" w:line="240" w:lineRule="auto"/>
              <w:rPr>
                <w:lang w:eastAsia="lv-LV"/>
              </w:rPr>
            </w:pPr>
          </w:p>
        </w:tc>
        <w:tc>
          <w:tcPr>
            <w:tcW w:w="1083" w:type="pct"/>
            <w:vAlign w:val="center"/>
          </w:tcPr>
          <w:p w:rsidR="00D1081D" w:rsidRPr="002C7F9A" w:rsidP="00F80C79" w14:paraId="679A6ED1" w14:textId="77777777">
            <w:pPr>
              <w:spacing w:after="0" w:line="240" w:lineRule="auto"/>
              <w:rPr>
                <w:lang w:eastAsia="lv-LV"/>
              </w:rPr>
            </w:pPr>
            <w:r>
              <w:rPr>
                <w:lang w:eastAsia="lv-LV"/>
              </w:rPr>
              <w:t>Mājsaimniecības</w:t>
            </w:r>
          </w:p>
        </w:tc>
        <w:tc>
          <w:tcPr>
            <w:tcW w:w="1020" w:type="pct"/>
            <w:vAlign w:val="center"/>
          </w:tcPr>
          <w:p w:rsidR="00D1081D" w:rsidRPr="002C7F9A" w:rsidP="00F80C79" w14:paraId="2A9A359F" w14:textId="77777777">
            <w:pPr>
              <w:spacing w:after="0" w:line="240" w:lineRule="auto"/>
              <w:rPr>
                <w:i/>
                <w:iCs/>
                <w:lang w:eastAsia="lv-LV"/>
              </w:rPr>
            </w:pPr>
            <w:r>
              <w:rPr>
                <w:lang w:eastAsia="lv-LV"/>
              </w:rPr>
              <w:t>mājsaimniecību skaits</w:t>
            </w:r>
          </w:p>
        </w:tc>
        <w:tc>
          <w:tcPr>
            <w:tcW w:w="550" w:type="pct"/>
            <w:vAlign w:val="center"/>
          </w:tcPr>
          <w:p w:rsidR="00D1081D" w:rsidRPr="002C7F9A" w:rsidP="00F80C79" w14:paraId="7907EB9A" w14:textId="77777777">
            <w:pPr>
              <w:spacing w:after="0" w:line="240" w:lineRule="auto"/>
              <w:jc w:val="center"/>
              <w:rPr>
                <w:lang w:eastAsia="lv-LV"/>
              </w:rPr>
            </w:pPr>
            <w:r>
              <w:rPr>
                <w:lang w:eastAsia="lv-LV"/>
              </w:rPr>
              <w:t>1052</w:t>
            </w:r>
          </w:p>
        </w:tc>
        <w:tc>
          <w:tcPr>
            <w:tcW w:w="656" w:type="pct"/>
            <w:vAlign w:val="center"/>
          </w:tcPr>
          <w:p w:rsidR="00D1081D" w:rsidRPr="00842626" w:rsidP="00F80C79" w14:paraId="3FE660CA" w14:textId="77777777">
            <w:pPr>
              <w:spacing w:after="0" w:line="240" w:lineRule="auto"/>
              <w:jc w:val="center"/>
              <w:rPr>
                <w:lang w:eastAsia="lv-LV"/>
              </w:rPr>
            </w:pPr>
            <w:r>
              <w:rPr>
                <w:lang w:eastAsia="lv-LV"/>
              </w:rPr>
              <w:t>1237</w:t>
            </w:r>
          </w:p>
        </w:tc>
        <w:tc>
          <w:tcPr>
            <w:tcW w:w="550" w:type="pct"/>
            <w:vAlign w:val="center"/>
          </w:tcPr>
          <w:p w:rsidR="00D1081D" w:rsidP="00F80C79" w14:paraId="041C0A51" w14:textId="77777777">
            <w:pPr>
              <w:spacing w:after="0" w:line="240" w:lineRule="auto"/>
              <w:jc w:val="center"/>
              <w:rPr>
                <w:lang w:eastAsia="lv-LV"/>
              </w:rPr>
            </w:pPr>
            <w:r>
              <w:rPr>
                <w:lang w:eastAsia="lv-LV"/>
              </w:rPr>
              <w:t>1169</w:t>
            </w:r>
          </w:p>
        </w:tc>
        <w:tc>
          <w:tcPr>
            <w:tcW w:w="409" w:type="pct"/>
            <w:vAlign w:val="center"/>
          </w:tcPr>
          <w:p w:rsidR="00D1081D" w:rsidRPr="00C678BE" w:rsidP="00F80C79" w14:paraId="42C46C3D" w14:textId="77777777">
            <w:pPr>
              <w:spacing w:after="0" w:line="240" w:lineRule="auto"/>
              <w:jc w:val="center"/>
              <w:rPr>
                <w:lang w:eastAsia="lv-LV"/>
              </w:rPr>
            </w:pPr>
            <w:r>
              <w:rPr>
                <w:lang w:eastAsia="lv-LV"/>
              </w:rPr>
              <w:t>1074</w:t>
            </w:r>
          </w:p>
        </w:tc>
      </w:tr>
      <w:tr w14:paraId="7BBAEB83" w14:textId="77777777" w:rsidTr="00F80C79">
        <w:tblPrEx>
          <w:tblW w:w="5000" w:type="pct"/>
          <w:tblLook w:val="04A0"/>
        </w:tblPrEx>
        <w:trPr>
          <w:trHeight w:val="348"/>
        </w:trPr>
        <w:tc>
          <w:tcPr>
            <w:tcW w:w="731" w:type="pct"/>
            <w:vMerge w:val="restart"/>
            <w:vAlign w:val="center"/>
          </w:tcPr>
          <w:p w:rsidR="00D1081D" w:rsidRPr="002C7F9A" w:rsidP="00F80C79" w14:paraId="3A371DB9" w14:textId="77777777">
            <w:pPr>
              <w:spacing w:after="0" w:line="240" w:lineRule="auto"/>
              <w:jc w:val="center"/>
              <w:rPr>
                <w:lang w:eastAsia="lv-LV"/>
              </w:rPr>
            </w:pPr>
            <w:r>
              <w:rPr>
                <w:lang w:eastAsia="lv-LV"/>
              </w:rPr>
              <w:t>Pabalsts atsevišķu situāciju risināšanai</w:t>
            </w:r>
          </w:p>
        </w:tc>
        <w:tc>
          <w:tcPr>
            <w:tcW w:w="1083" w:type="pct"/>
            <w:vAlign w:val="center"/>
          </w:tcPr>
          <w:p w:rsidR="00D1081D" w:rsidRPr="002C7F9A" w:rsidP="00F80C79" w14:paraId="6F7C1DD7" w14:textId="77777777">
            <w:pPr>
              <w:spacing w:after="0" w:line="240" w:lineRule="auto"/>
              <w:rPr>
                <w:lang w:eastAsia="lv-LV"/>
              </w:rPr>
            </w:pPr>
            <w:r>
              <w:rPr>
                <w:lang w:eastAsia="lv-LV"/>
              </w:rPr>
              <w:t>izlietotie līdzekļi - kopā</w:t>
            </w:r>
          </w:p>
        </w:tc>
        <w:tc>
          <w:tcPr>
            <w:tcW w:w="1020" w:type="pct"/>
            <w:vAlign w:val="center"/>
          </w:tcPr>
          <w:p w:rsidR="00D1081D" w:rsidRPr="002C7F9A" w:rsidP="00F80C79" w14:paraId="0791C6EE" w14:textId="77777777">
            <w:pPr>
              <w:spacing w:after="0" w:line="240" w:lineRule="auto"/>
              <w:rPr>
                <w:lang w:eastAsia="lv-LV"/>
              </w:rPr>
            </w:pPr>
            <w:r>
              <w:rPr>
                <w:i/>
                <w:iCs/>
                <w:lang w:eastAsia="lv-LV"/>
              </w:rPr>
              <w:t>euro</w:t>
            </w:r>
          </w:p>
        </w:tc>
        <w:tc>
          <w:tcPr>
            <w:tcW w:w="550" w:type="pct"/>
            <w:vAlign w:val="center"/>
          </w:tcPr>
          <w:p w:rsidR="00D1081D" w:rsidRPr="002C7F9A" w:rsidP="00F80C79" w14:paraId="7E895BD1" w14:textId="77777777">
            <w:pPr>
              <w:spacing w:after="0" w:line="240" w:lineRule="auto"/>
              <w:jc w:val="center"/>
              <w:rPr>
                <w:lang w:eastAsia="lv-LV"/>
              </w:rPr>
            </w:pPr>
            <w:r>
              <w:rPr>
                <w:lang w:eastAsia="lv-LV"/>
              </w:rPr>
              <w:t>104393</w:t>
            </w:r>
          </w:p>
        </w:tc>
        <w:tc>
          <w:tcPr>
            <w:tcW w:w="656" w:type="pct"/>
            <w:vAlign w:val="center"/>
          </w:tcPr>
          <w:p w:rsidR="00D1081D" w:rsidRPr="00BB04AA" w:rsidP="00F80C79" w14:paraId="76946C70" w14:textId="77777777">
            <w:pPr>
              <w:spacing w:after="0" w:line="240" w:lineRule="auto"/>
              <w:jc w:val="center"/>
              <w:rPr>
                <w:lang w:eastAsia="lv-LV"/>
              </w:rPr>
            </w:pPr>
            <w:r>
              <w:rPr>
                <w:lang w:eastAsia="lv-LV"/>
              </w:rPr>
              <w:t>116984</w:t>
            </w:r>
          </w:p>
        </w:tc>
        <w:tc>
          <w:tcPr>
            <w:tcW w:w="550" w:type="pct"/>
            <w:vAlign w:val="center"/>
          </w:tcPr>
          <w:p w:rsidR="00D1081D" w:rsidP="00F80C79" w14:paraId="37110D48" w14:textId="77777777">
            <w:pPr>
              <w:spacing w:after="0" w:line="240" w:lineRule="auto"/>
              <w:jc w:val="center"/>
              <w:rPr>
                <w:lang w:eastAsia="lv-LV"/>
              </w:rPr>
            </w:pPr>
            <w:r>
              <w:rPr>
                <w:lang w:eastAsia="lv-LV"/>
              </w:rPr>
              <w:t>106546</w:t>
            </w:r>
          </w:p>
        </w:tc>
        <w:tc>
          <w:tcPr>
            <w:tcW w:w="409" w:type="pct"/>
            <w:vAlign w:val="center"/>
          </w:tcPr>
          <w:p w:rsidR="00D1081D" w:rsidRPr="00C678BE" w:rsidP="00F80C79" w14:paraId="24376218" w14:textId="77777777">
            <w:pPr>
              <w:spacing w:after="0" w:line="240" w:lineRule="auto"/>
              <w:jc w:val="center"/>
              <w:rPr>
                <w:lang w:eastAsia="lv-LV"/>
              </w:rPr>
            </w:pPr>
            <w:r>
              <w:rPr>
                <w:lang w:eastAsia="lv-LV"/>
              </w:rPr>
              <w:t>100348</w:t>
            </w:r>
          </w:p>
        </w:tc>
      </w:tr>
      <w:tr w14:paraId="430A35AC" w14:textId="77777777" w:rsidTr="00F80C79">
        <w:tblPrEx>
          <w:tblW w:w="5000" w:type="pct"/>
          <w:tblLook w:val="04A0"/>
        </w:tblPrEx>
        <w:trPr>
          <w:trHeight w:val="348"/>
        </w:trPr>
        <w:tc>
          <w:tcPr>
            <w:tcW w:w="731" w:type="pct"/>
            <w:vMerge/>
            <w:vAlign w:val="center"/>
          </w:tcPr>
          <w:p w:rsidR="00D1081D" w:rsidRPr="002C7F9A" w:rsidP="00F80C79" w14:paraId="4CE9F4A7" w14:textId="77777777">
            <w:pPr>
              <w:spacing w:after="0" w:line="240" w:lineRule="auto"/>
              <w:jc w:val="center"/>
              <w:rPr>
                <w:lang w:eastAsia="lv-LV"/>
              </w:rPr>
            </w:pPr>
          </w:p>
        </w:tc>
        <w:tc>
          <w:tcPr>
            <w:tcW w:w="1083" w:type="pct"/>
            <w:vAlign w:val="center"/>
          </w:tcPr>
          <w:p w:rsidR="00D1081D" w:rsidRPr="002C7F9A" w:rsidP="00F80C79" w14:paraId="465B9272" w14:textId="77777777">
            <w:pPr>
              <w:spacing w:after="0" w:line="240" w:lineRule="auto"/>
              <w:rPr>
                <w:lang w:eastAsia="lv-LV"/>
              </w:rPr>
            </w:pPr>
            <w:r>
              <w:rPr>
                <w:lang w:eastAsia="lv-LV"/>
              </w:rPr>
              <w:t>mājsaimniecības</w:t>
            </w:r>
          </w:p>
        </w:tc>
        <w:tc>
          <w:tcPr>
            <w:tcW w:w="1020" w:type="pct"/>
            <w:vAlign w:val="center"/>
          </w:tcPr>
          <w:p w:rsidR="00D1081D" w:rsidRPr="002C7F9A" w:rsidP="00F80C79" w14:paraId="420DE8D8" w14:textId="77777777">
            <w:pPr>
              <w:spacing w:after="0" w:line="240" w:lineRule="auto"/>
              <w:rPr>
                <w:i/>
                <w:iCs/>
                <w:lang w:eastAsia="lv-LV"/>
              </w:rPr>
            </w:pPr>
            <w:r>
              <w:rPr>
                <w:lang w:eastAsia="lv-LV"/>
              </w:rPr>
              <w:t>mājsaimniecību skaits</w:t>
            </w:r>
          </w:p>
        </w:tc>
        <w:tc>
          <w:tcPr>
            <w:tcW w:w="550" w:type="pct"/>
            <w:vAlign w:val="center"/>
          </w:tcPr>
          <w:p w:rsidR="00D1081D" w:rsidRPr="002C7F9A" w:rsidP="00F80C79" w14:paraId="2AAA809C" w14:textId="77777777">
            <w:pPr>
              <w:spacing w:after="0" w:line="240" w:lineRule="auto"/>
              <w:jc w:val="center"/>
              <w:rPr>
                <w:lang w:eastAsia="lv-LV"/>
              </w:rPr>
            </w:pPr>
            <w:r>
              <w:rPr>
                <w:lang w:eastAsia="lv-LV"/>
              </w:rPr>
              <w:t>685</w:t>
            </w:r>
          </w:p>
        </w:tc>
        <w:tc>
          <w:tcPr>
            <w:tcW w:w="656" w:type="pct"/>
            <w:vAlign w:val="center"/>
          </w:tcPr>
          <w:p w:rsidR="00D1081D" w:rsidRPr="00BB04AA" w:rsidP="00F80C79" w14:paraId="6A14A7DA" w14:textId="77777777">
            <w:pPr>
              <w:spacing w:after="0" w:line="240" w:lineRule="auto"/>
              <w:jc w:val="center"/>
              <w:rPr>
                <w:lang w:eastAsia="lv-LV"/>
              </w:rPr>
            </w:pPr>
            <w:r>
              <w:rPr>
                <w:lang w:eastAsia="lv-LV"/>
              </w:rPr>
              <w:t>816</w:t>
            </w:r>
          </w:p>
        </w:tc>
        <w:tc>
          <w:tcPr>
            <w:tcW w:w="550" w:type="pct"/>
            <w:vAlign w:val="center"/>
          </w:tcPr>
          <w:p w:rsidR="00D1081D" w:rsidP="00F80C79" w14:paraId="35784577" w14:textId="77777777">
            <w:pPr>
              <w:spacing w:after="0" w:line="240" w:lineRule="auto"/>
              <w:jc w:val="center"/>
              <w:rPr>
                <w:lang w:eastAsia="lv-LV"/>
              </w:rPr>
            </w:pPr>
            <w:r>
              <w:rPr>
                <w:lang w:eastAsia="lv-LV"/>
              </w:rPr>
              <w:t>800</w:t>
            </w:r>
          </w:p>
        </w:tc>
        <w:tc>
          <w:tcPr>
            <w:tcW w:w="409" w:type="pct"/>
            <w:vAlign w:val="center"/>
          </w:tcPr>
          <w:p w:rsidR="00D1081D" w:rsidP="00F80C79" w14:paraId="620DB5F4" w14:textId="77777777">
            <w:pPr>
              <w:spacing w:after="0" w:line="240" w:lineRule="auto"/>
              <w:jc w:val="center"/>
              <w:rPr>
                <w:lang w:eastAsia="lv-LV"/>
              </w:rPr>
            </w:pPr>
            <w:r>
              <w:rPr>
                <w:lang w:eastAsia="lv-LV"/>
              </w:rPr>
              <w:t>746</w:t>
            </w:r>
          </w:p>
        </w:tc>
      </w:tr>
      <w:tr w14:paraId="68A33C43" w14:textId="77777777" w:rsidTr="00F80C79">
        <w:tblPrEx>
          <w:tblW w:w="5000" w:type="pct"/>
          <w:tblLook w:val="04A0"/>
        </w:tblPrEx>
        <w:trPr>
          <w:trHeight w:val="348"/>
        </w:trPr>
        <w:tc>
          <w:tcPr>
            <w:tcW w:w="731" w:type="pct"/>
            <w:vMerge/>
            <w:vAlign w:val="center"/>
          </w:tcPr>
          <w:p w:rsidR="00D1081D" w:rsidRPr="002C7F9A" w:rsidP="00F80C79" w14:paraId="79B9CDC4" w14:textId="77777777">
            <w:pPr>
              <w:spacing w:after="0" w:line="240" w:lineRule="auto"/>
              <w:jc w:val="center"/>
              <w:rPr>
                <w:lang w:eastAsia="lv-LV"/>
              </w:rPr>
            </w:pPr>
          </w:p>
        </w:tc>
        <w:tc>
          <w:tcPr>
            <w:tcW w:w="1083" w:type="pct"/>
            <w:vAlign w:val="center"/>
          </w:tcPr>
          <w:p w:rsidR="00D1081D" w:rsidRPr="002C7F9A" w:rsidP="00F80C79" w14:paraId="6817C093" w14:textId="77777777">
            <w:pPr>
              <w:spacing w:after="0" w:line="240" w:lineRule="auto"/>
              <w:rPr>
                <w:lang w:eastAsia="lv-LV"/>
              </w:rPr>
            </w:pPr>
            <w:r>
              <w:rPr>
                <w:lang w:eastAsia="lv-LV"/>
              </w:rPr>
              <w:t>personas mājsaimniecībās - kopā</w:t>
            </w:r>
          </w:p>
        </w:tc>
        <w:tc>
          <w:tcPr>
            <w:tcW w:w="1020" w:type="pct"/>
            <w:vAlign w:val="center"/>
          </w:tcPr>
          <w:p w:rsidR="00D1081D" w:rsidRPr="002C7F9A" w:rsidP="00F80C79" w14:paraId="7243C8A7" w14:textId="77777777">
            <w:pPr>
              <w:spacing w:after="0" w:line="240" w:lineRule="auto"/>
              <w:rPr>
                <w:lang w:eastAsia="lv-LV"/>
              </w:rPr>
            </w:pPr>
            <w:r>
              <w:rPr>
                <w:lang w:eastAsia="lv-LV"/>
              </w:rPr>
              <w:t>personu skaits</w:t>
            </w:r>
          </w:p>
        </w:tc>
        <w:tc>
          <w:tcPr>
            <w:tcW w:w="550" w:type="pct"/>
            <w:vAlign w:val="center"/>
          </w:tcPr>
          <w:p w:rsidR="00D1081D" w:rsidRPr="002C7F9A" w:rsidP="00F80C79" w14:paraId="2D75952C" w14:textId="77777777">
            <w:pPr>
              <w:spacing w:after="0" w:line="240" w:lineRule="auto"/>
              <w:jc w:val="center"/>
              <w:rPr>
                <w:lang w:eastAsia="lv-LV"/>
              </w:rPr>
            </w:pPr>
            <w:r>
              <w:rPr>
                <w:lang w:eastAsia="lv-LV"/>
              </w:rPr>
              <w:t>1051</w:t>
            </w:r>
          </w:p>
        </w:tc>
        <w:tc>
          <w:tcPr>
            <w:tcW w:w="656" w:type="pct"/>
            <w:vAlign w:val="center"/>
          </w:tcPr>
          <w:p w:rsidR="00D1081D" w:rsidRPr="00390C39" w:rsidP="00F80C79" w14:paraId="12E87F0C" w14:textId="77777777">
            <w:pPr>
              <w:spacing w:after="0" w:line="240" w:lineRule="auto"/>
              <w:jc w:val="center"/>
              <w:rPr>
                <w:lang w:eastAsia="lv-LV"/>
              </w:rPr>
            </w:pPr>
            <w:r>
              <w:rPr>
                <w:lang w:eastAsia="lv-LV"/>
              </w:rPr>
              <w:t>1162</w:t>
            </w:r>
          </w:p>
        </w:tc>
        <w:tc>
          <w:tcPr>
            <w:tcW w:w="550" w:type="pct"/>
            <w:vAlign w:val="center"/>
          </w:tcPr>
          <w:p w:rsidR="00D1081D" w:rsidP="00F80C79" w14:paraId="7C5E9C76" w14:textId="77777777">
            <w:pPr>
              <w:spacing w:after="0" w:line="240" w:lineRule="auto"/>
              <w:jc w:val="center"/>
              <w:rPr>
                <w:lang w:eastAsia="lv-LV"/>
              </w:rPr>
            </w:pPr>
            <w:r>
              <w:rPr>
                <w:lang w:eastAsia="lv-LV"/>
              </w:rPr>
              <w:t>1115</w:t>
            </w:r>
          </w:p>
        </w:tc>
        <w:tc>
          <w:tcPr>
            <w:tcW w:w="409" w:type="pct"/>
            <w:vAlign w:val="center"/>
          </w:tcPr>
          <w:p w:rsidR="00D1081D" w:rsidP="00F80C79" w14:paraId="54A56868" w14:textId="77777777">
            <w:pPr>
              <w:spacing w:after="0" w:line="240" w:lineRule="auto"/>
              <w:jc w:val="center"/>
              <w:rPr>
                <w:lang w:eastAsia="lv-LV"/>
              </w:rPr>
            </w:pPr>
            <w:r>
              <w:rPr>
                <w:lang w:eastAsia="lv-LV"/>
              </w:rPr>
              <w:t>1064</w:t>
            </w:r>
          </w:p>
        </w:tc>
      </w:tr>
      <w:tr w14:paraId="62F848FA" w14:textId="77777777" w:rsidTr="00F80C79">
        <w:tblPrEx>
          <w:tblW w:w="5000" w:type="pct"/>
          <w:tblLook w:val="04A0"/>
        </w:tblPrEx>
        <w:trPr>
          <w:trHeight w:val="348"/>
        </w:trPr>
        <w:tc>
          <w:tcPr>
            <w:tcW w:w="731" w:type="pct"/>
            <w:vMerge w:val="restart"/>
            <w:vAlign w:val="center"/>
          </w:tcPr>
          <w:p w:rsidR="00D1081D" w:rsidRPr="001F4EDD" w:rsidP="00F80C79" w14:paraId="594BD86A" w14:textId="77777777">
            <w:pPr>
              <w:spacing w:after="0" w:line="240" w:lineRule="auto"/>
              <w:jc w:val="center"/>
            </w:pPr>
            <w:r>
              <w:t>Pabalsts krīzes situācijā</w:t>
            </w:r>
          </w:p>
        </w:tc>
        <w:tc>
          <w:tcPr>
            <w:tcW w:w="1083" w:type="pct"/>
            <w:vAlign w:val="center"/>
          </w:tcPr>
          <w:p w:rsidR="00D1081D" w:rsidRPr="002C7F9A" w:rsidP="00F80C79" w14:paraId="4DBA40EF" w14:textId="77777777">
            <w:pPr>
              <w:spacing w:after="0" w:line="240" w:lineRule="auto"/>
              <w:rPr>
                <w:lang w:eastAsia="lv-LV"/>
              </w:rPr>
            </w:pPr>
            <w:r>
              <w:rPr>
                <w:lang w:eastAsia="lv-LV"/>
              </w:rPr>
              <w:t>izlietotie līdzekļi - kopā</w:t>
            </w:r>
          </w:p>
        </w:tc>
        <w:tc>
          <w:tcPr>
            <w:tcW w:w="1020" w:type="pct"/>
            <w:vAlign w:val="center"/>
          </w:tcPr>
          <w:p w:rsidR="00D1081D" w:rsidRPr="002C7F9A" w:rsidP="00F80C79" w14:paraId="7D59F646" w14:textId="77777777">
            <w:pPr>
              <w:spacing w:after="0" w:line="240" w:lineRule="auto"/>
              <w:rPr>
                <w:lang w:eastAsia="lv-LV"/>
              </w:rPr>
            </w:pPr>
            <w:r>
              <w:rPr>
                <w:i/>
                <w:iCs/>
                <w:lang w:eastAsia="lv-LV"/>
              </w:rPr>
              <w:t>euro</w:t>
            </w:r>
          </w:p>
        </w:tc>
        <w:tc>
          <w:tcPr>
            <w:tcW w:w="550" w:type="pct"/>
            <w:vAlign w:val="center"/>
          </w:tcPr>
          <w:p w:rsidR="00D1081D" w:rsidRPr="002C7F9A" w:rsidP="00F80C79" w14:paraId="7F49D961" w14:textId="77777777">
            <w:pPr>
              <w:spacing w:after="0" w:line="240" w:lineRule="auto"/>
              <w:jc w:val="center"/>
              <w:rPr>
                <w:lang w:eastAsia="lv-LV"/>
              </w:rPr>
            </w:pPr>
            <w:r>
              <w:rPr>
                <w:lang w:eastAsia="lv-LV"/>
              </w:rPr>
              <w:t>115365</w:t>
            </w:r>
          </w:p>
        </w:tc>
        <w:tc>
          <w:tcPr>
            <w:tcW w:w="656" w:type="pct"/>
            <w:vAlign w:val="center"/>
          </w:tcPr>
          <w:p w:rsidR="00D1081D" w:rsidRPr="00390C39" w:rsidP="00F80C79" w14:paraId="4F256B7A" w14:textId="77777777">
            <w:pPr>
              <w:spacing w:after="0" w:line="240" w:lineRule="auto"/>
              <w:jc w:val="center"/>
              <w:rPr>
                <w:lang w:eastAsia="lv-LV"/>
              </w:rPr>
            </w:pPr>
            <w:r>
              <w:rPr>
                <w:lang w:eastAsia="lv-LV"/>
              </w:rPr>
              <w:t>11198.15</w:t>
            </w:r>
          </w:p>
        </w:tc>
        <w:tc>
          <w:tcPr>
            <w:tcW w:w="550" w:type="pct"/>
            <w:vAlign w:val="center"/>
          </w:tcPr>
          <w:p w:rsidR="00D1081D" w:rsidRPr="009563E5" w:rsidP="00F80C79" w14:paraId="6999104B" w14:textId="77777777">
            <w:pPr>
              <w:spacing w:after="0" w:line="240" w:lineRule="auto"/>
              <w:jc w:val="center"/>
              <w:rPr>
                <w:lang w:eastAsia="lv-LV"/>
              </w:rPr>
            </w:pPr>
            <w:r>
              <w:rPr>
                <w:lang w:eastAsia="lv-LV"/>
              </w:rPr>
              <w:t>20121</w:t>
            </w:r>
          </w:p>
        </w:tc>
        <w:tc>
          <w:tcPr>
            <w:tcW w:w="409" w:type="pct"/>
            <w:vAlign w:val="center"/>
          </w:tcPr>
          <w:p w:rsidR="00D1081D" w:rsidRPr="002C7794" w:rsidP="00F80C79" w14:paraId="3012F972" w14:textId="77777777">
            <w:pPr>
              <w:spacing w:after="0" w:line="240" w:lineRule="auto"/>
              <w:jc w:val="center"/>
              <w:rPr>
                <w:lang w:eastAsia="lv-LV"/>
              </w:rPr>
            </w:pPr>
            <w:r>
              <w:rPr>
                <w:lang w:eastAsia="lv-LV"/>
              </w:rPr>
              <w:t>8061</w:t>
            </w:r>
          </w:p>
        </w:tc>
      </w:tr>
      <w:tr w14:paraId="565AEAE4" w14:textId="77777777" w:rsidTr="00F80C79">
        <w:tblPrEx>
          <w:tblW w:w="5000" w:type="pct"/>
          <w:tblLook w:val="04A0"/>
        </w:tblPrEx>
        <w:trPr>
          <w:trHeight w:val="348"/>
        </w:trPr>
        <w:tc>
          <w:tcPr>
            <w:tcW w:w="731" w:type="pct"/>
            <w:vMerge/>
          </w:tcPr>
          <w:p w:rsidR="00D1081D" w:rsidRPr="002C7F9A" w:rsidP="00F80C79" w14:paraId="6A14925C" w14:textId="77777777">
            <w:pPr>
              <w:spacing w:after="0" w:line="240" w:lineRule="auto"/>
              <w:jc w:val="both"/>
            </w:pPr>
          </w:p>
        </w:tc>
        <w:tc>
          <w:tcPr>
            <w:tcW w:w="1083" w:type="pct"/>
            <w:vAlign w:val="center"/>
          </w:tcPr>
          <w:p w:rsidR="00D1081D" w:rsidRPr="002C7F9A" w:rsidP="00F80C79" w14:paraId="323FB0B5" w14:textId="77777777">
            <w:pPr>
              <w:spacing w:after="0" w:line="240" w:lineRule="auto"/>
              <w:rPr>
                <w:lang w:eastAsia="lv-LV"/>
              </w:rPr>
            </w:pPr>
            <w:r>
              <w:rPr>
                <w:lang w:eastAsia="lv-LV"/>
              </w:rPr>
              <w:t>mājsaimniecības</w:t>
            </w:r>
          </w:p>
        </w:tc>
        <w:tc>
          <w:tcPr>
            <w:tcW w:w="1020" w:type="pct"/>
            <w:vAlign w:val="center"/>
          </w:tcPr>
          <w:p w:rsidR="00D1081D" w:rsidRPr="002C7F9A" w:rsidP="00F80C79" w14:paraId="506AEF10" w14:textId="77777777">
            <w:pPr>
              <w:spacing w:after="0" w:line="240" w:lineRule="auto"/>
              <w:rPr>
                <w:i/>
                <w:iCs/>
                <w:lang w:eastAsia="lv-LV"/>
              </w:rPr>
            </w:pPr>
            <w:r>
              <w:rPr>
                <w:lang w:eastAsia="lv-LV"/>
              </w:rPr>
              <w:t>mājsaimniecību skaits</w:t>
            </w:r>
          </w:p>
        </w:tc>
        <w:tc>
          <w:tcPr>
            <w:tcW w:w="550" w:type="pct"/>
            <w:vAlign w:val="center"/>
          </w:tcPr>
          <w:p w:rsidR="00D1081D" w:rsidRPr="002C7F9A" w:rsidP="00F80C79" w14:paraId="31621473" w14:textId="77777777">
            <w:pPr>
              <w:spacing w:after="0" w:line="240" w:lineRule="auto"/>
              <w:jc w:val="center"/>
              <w:rPr>
                <w:lang w:eastAsia="lv-LV"/>
              </w:rPr>
            </w:pPr>
            <w:r>
              <w:rPr>
                <w:lang w:eastAsia="lv-LV"/>
              </w:rPr>
              <w:t>224</w:t>
            </w:r>
          </w:p>
        </w:tc>
        <w:tc>
          <w:tcPr>
            <w:tcW w:w="656" w:type="pct"/>
            <w:vAlign w:val="center"/>
          </w:tcPr>
          <w:p w:rsidR="00D1081D" w:rsidRPr="00390C39" w:rsidP="00F80C79" w14:paraId="1AB75F3D" w14:textId="77777777">
            <w:pPr>
              <w:spacing w:after="0" w:line="240" w:lineRule="auto"/>
              <w:jc w:val="center"/>
              <w:rPr>
                <w:lang w:eastAsia="lv-LV"/>
              </w:rPr>
            </w:pPr>
            <w:r>
              <w:rPr>
                <w:lang w:eastAsia="lv-LV"/>
              </w:rPr>
              <w:t>32</w:t>
            </w:r>
          </w:p>
        </w:tc>
        <w:tc>
          <w:tcPr>
            <w:tcW w:w="550" w:type="pct"/>
            <w:vAlign w:val="center"/>
          </w:tcPr>
          <w:p w:rsidR="00D1081D" w:rsidP="00F80C79" w14:paraId="07CD6A60" w14:textId="77777777">
            <w:pPr>
              <w:spacing w:after="0" w:line="240" w:lineRule="auto"/>
              <w:jc w:val="center"/>
              <w:rPr>
                <w:lang w:eastAsia="lv-LV"/>
              </w:rPr>
            </w:pPr>
            <w:r>
              <w:rPr>
                <w:lang w:eastAsia="lv-LV"/>
              </w:rPr>
              <w:t>22</w:t>
            </w:r>
          </w:p>
        </w:tc>
        <w:tc>
          <w:tcPr>
            <w:tcW w:w="409" w:type="pct"/>
            <w:vAlign w:val="center"/>
          </w:tcPr>
          <w:p w:rsidR="00D1081D" w:rsidP="00F80C79" w14:paraId="6E7695BA" w14:textId="77777777">
            <w:pPr>
              <w:spacing w:after="0" w:line="240" w:lineRule="auto"/>
              <w:jc w:val="center"/>
              <w:rPr>
                <w:lang w:eastAsia="lv-LV"/>
              </w:rPr>
            </w:pPr>
            <w:r>
              <w:rPr>
                <w:lang w:eastAsia="lv-LV"/>
              </w:rPr>
              <w:t>13</w:t>
            </w:r>
          </w:p>
        </w:tc>
      </w:tr>
      <w:tr w14:paraId="5D4A3E16" w14:textId="77777777" w:rsidTr="00F80C79">
        <w:tblPrEx>
          <w:tblW w:w="5000" w:type="pct"/>
          <w:tblLook w:val="04A0"/>
        </w:tblPrEx>
        <w:trPr>
          <w:trHeight w:val="348"/>
        </w:trPr>
        <w:tc>
          <w:tcPr>
            <w:tcW w:w="731" w:type="pct"/>
            <w:vMerge/>
          </w:tcPr>
          <w:p w:rsidR="00D1081D" w:rsidRPr="002C7F9A" w:rsidP="00F80C79" w14:paraId="78F22370" w14:textId="77777777">
            <w:pPr>
              <w:spacing w:after="0" w:line="240" w:lineRule="auto"/>
              <w:jc w:val="both"/>
            </w:pPr>
          </w:p>
        </w:tc>
        <w:tc>
          <w:tcPr>
            <w:tcW w:w="1083" w:type="pct"/>
            <w:vAlign w:val="center"/>
          </w:tcPr>
          <w:p w:rsidR="00D1081D" w:rsidRPr="002C7F9A" w:rsidP="00F80C79" w14:paraId="7C466E21" w14:textId="77777777">
            <w:pPr>
              <w:spacing w:after="0" w:line="240" w:lineRule="auto"/>
              <w:rPr>
                <w:lang w:eastAsia="lv-LV"/>
              </w:rPr>
            </w:pPr>
            <w:r>
              <w:rPr>
                <w:lang w:eastAsia="lv-LV"/>
              </w:rPr>
              <w:t>personas mājsaimniecībās - kopā</w:t>
            </w:r>
          </w:p>
        </w:tc>
        <w:tc>
          <w:tcPr>
            <w:tcW w:w="1020" w:type="pct"/>
            <w:vAlign w:val="center"/>
          </w:tcPr>
          <w:p w:rsidR="00D1081D" w:rsidRPr="002C7F9A" w:rsidP="00F80C79" w14:paraId="34FBDE4D" w14:textId="77777777">
            <w:pPr>
              <w:spacing w:after="0" w:line="240" w:lineRule="auto"/>
              <w:rPr>
                <w:lang w:eastAsia="lv-LV"/>
              </w:rPr>
            </w:pPr>
            <w:r>
              <w:rPr>
                <w:lang w:eastAsia="lv-LV"/>
              </w:rPr>
              <w:t>personu skaits</w:t>
            </w:r>
          </w:p>
        </w:tc>
        <w:tc>
          <w:tcPr>
            <w:tcW w:w="550" w:type="pct"/>
            <w:vAlign w:val="center"/>
          </w:tcPr>
          <w:p w:rsidR="00D1081D" w:rsidRPr="002C7F9A" w:rsidP="00F80C79" w14:paraId="3D8C029E" w14:textId="77777777">
            <w:pPr>
              <w:spacing w:after="0" w:line="240" w:lineRule="auto"/>
              <w:jc w:val="center"/>
              <w:rPr>
                <w:lang w:eastAsia="lv-LV"/>
              </w:rPr>
            </w:pPr>
            <w:r>
              <w:rPr>
                <w:lang w:eastAsia="lv-LV"/>
              </w:rPr>
              <w:t>449</w:t>
            </w:r>
          </w:p>
        </w:tc>
        <w:tc>
          <w:tcPr>
            <w:tcW w:w="656" w:type="pct"/>
            <w:vAlign w:val="center"/>
          </w:tcPr>
          <w:p w:rsidR="00D1081D" w:rsidRPr="006239A4" w:rsidP="00F80C79" w14:paraId="3F4D4EA6" w14:textId="77777777">
            <w:pPr>
              <w:spacing w:after="0" w:line="240" w:lineRule="auto"/>
              <w:jc w:val="center"/>
              <w:rPr>
                <w:lang w:eastAsia="lv-LV"/>
              </w:rPr>
            </w:pPr>
            <w:r>
              <w:rPr>
                <w:lang w:eastAsia="lv-LV"/>
              </w:rPr>
              <w:t>39</w:t>
            </w:r>
          </w:p>
        </w:tc>
        <w:tc>
          <w:tcPr>
            <w:tcW w:w="550" w:type="pct"/>
            <w:vAlign w:val="center"/>
          </w:tcPr>
          <w:p w:rsidR="00D1081D" w:rsidP="00F80C79" w14:paraId="13CF1BB0" w14:textId="77777777">
            <w:pPr>
              <w:spacing w:after="0" w:line="240" w:lineRule="auto"/>
              <w:jc w:val="center"/>
              <w:rPr>
                <w:lang w:eastAsia="lv-LV"/>
              </w:rPr>
            </w:pPr>
            <w:r>
              <w:rPr>
                <w:lang w:eastAsia="lv-LV"/>
              </w:rPr>
              <w:t>72</w:t>
            </w:r>
          </w:p>
        </w:tc>
        <w:tc>
          <w:tcPr>
            <w:tcW w:w="409" w:type="pct"/>
            <w:vAlign w:val="center"/>
          </w:tcPr>
          <w:p w:rsidR="00D1081D" w:rsidRPr="007B4C65" w:rsidP="00F80C79" w14:paraId="0B65D933" w14:textId="77777777">
            <w:pPr>
              <w:spacing w:after="0" w:line="240" w:lineRule="auto"/>
              <w:jc w:val="center"/>
              <w:rPr>
                <w:lang w:eastAsia="lv-LV"/>
              </w:rPr>
            </w:pPr>
            <w:r>
              <w:rPr>
                <w:lang w:eastAsia="lv-LV"/>
              </w:rPr>
              <w:t>32</w:t>
            </w:r>
          </w:p>
        </w:tc>
      </w:tr>
    </w:tbl>
    <w:p w:rsidR="00D1081D" w:rsidP="00D1081D" w14:paraId="043CB38E" w14:textId="77777777">
      <w:pPr>
        <w:jc w:val="both"/>
      </w:pPr>
    </w:p>
    <w:p w:rsidR="00D1081D" w:rsidP="006F3455" w14:paraId="27C0EEBB" w14:textId="77777777">
      <w:pPr>
        <w:spacing w:after="0" w:line="240" w:lineRule="auto"/>
        <w:jc w:val="both"/>
      </w:pPr>
      <w:r>
        <w:t>Saskaņā ar Ukrainas civiliedzīvotāju atbalsta likumu, 2025. gadā Aizkraukles novada Sociālais dienests turpināja nodrošināt sociālās palīdzības pabalstus un sociālos pakalpojumus Ukrainas civiliedzīvotājiem.</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6"/>
        <w:gridCol w:w="1234"/>
        <w:gridCol w:w="1234"/>
        <w:gridCol w:w="1234"/>
        <w:gridCol w:w="1389"/>
      </w:tblGrid>
      <w:tr w14:paraId="07829FD1" w14:textId="77777777" w:rsidTr="00F80C79">
        <w:tblPrEx>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8"/>
        </w:trPr>
        <w:tc>
          <w:tcPr>
            <w:tcW w:w="4316" w:type="dxa"/>
            <w:vAlign w:val="center"/>
            <w:hideMark/>
          </w:tcPr>
          <w:p w:rsidR="00D1081D" w:rsidRPr="00EE3B00" w:rsidP="00F80C79" w14:paraId="2F9352DA" w14:textId="77777777">
            <w:pPr>
              <w:spacing w:after="0" w:line="240" w:lineRule="auto"/>
              <w:jc w:val="center"/>
              <w:rPr>
                <w:b/>
                <w:bCs/>
                <w:sz w:val="20"/>
                <w:szCs w:val="20"/>
                <w:lang w:eastAsia="lv-LV"/>
              </w:rPr>
            </w:pPr>
            <w:r>
              <w:rPr>
                <w:b/>
                <w:bCs/>
                <w:sz w:val="20"/>
                <w:szCs w:val="20"/>
                <w:lang w:eastAsia="lv-LV"/>
              </w:rPr>
              <w:t>Sociālās palīdzības pabalsta vai sociālā pakalpojuma veids</w:t>
            </w:r>
          </w:p>
        </w:tc>
        <w:tc>
          <w:tcPr>
            <w:tcW w:w="1234" w:type="dxa"/>
            <w:vAlign w:val="center"/>
            <w:hideMark/>
          </w:tcPr>
          <w:p w:rsidR="00D1081D" w:rsidP="00F80C79" w14:paraId="41DE43A5" w14:textId="77777777">
            <w:pPr>
              <w:spacing w:after="0" w:line="240" w:lineRule="auto"/>
              <w:jc w:val="center"/>
              <w:rPr>
                <w:b/>
                <w:bCs/>
                <w:sz w:val="20"/>
                <w:szCs w:val="20"/>
                <w:lang w:eastAsia="lv-LV"/>
              </w:rPr>
            </w:pPr>
            <w:r>
              <w:rPr>
                <w:b/>
                <w:bCs/>
                <w:sz w:val="20"/>
                <w:szCs w:val="20"/>
                <w:lang w:eastAsia="lv-LV"/>
              </w:rPr>
              <w:t>Izdevumi (EUR)</w:t>
            </w:r>
          </w:p>
          <w:p w:rsidR="00D1081D" w:rsidRPr="00EE3B00" w:rsidP="00F80C79" w14:paraId="06D5F19A" w14:textId="77777777">
            <w:pPr>
              <w:spacing w:after="0" w:line="240" w:lineRule="auto"/>
              <w:jc w:val="center"/>
              <w:rPr>
                <w:b/>
                <w:bCs/>
                <w:sz w:val="20"/>
                <w:szCs w:val="20"/>
                <w:lang w:eastAsia="lv-LV"/>
              </w:rPr>
            </w:pPr>
            <w:r>
              <w:rPr>
                <w:b/>
                <w:bCs/>
                <w:sz w:val="20"/>
                <w:szCs w:val="20"/>
                <w:lang w:eastAsia="lv-LV"/>
              </w:rPr>
              <w:t>2022.gadā</w:t>
            </w:r>
          </w:p>
        </w:tc>
        <w:tc>
          <w:tcPr>
            <w:tcW w:w="1234" w:type="dxa"/>
          </w:tcPr>
          <w:p w:rsidR="00D1081D" w:rsidP="00F80C79" w14:paraId="58A2608F" w14:textId="77777777">
            <w:pPr>
              <w:spacing w:after="0" w:line="240" w:lineRule="auto"/>
              <w:jc w:val="center"/>
              <w:rPr>
                <w:b/>
                <w:bCs/>
                <w:sz w:val="20"/>
                <w:szCs w:val="20"/>
                <w:lang w:eastAsia="lv-LV"/>
              </w:rPr>
            </w:pPr>
            <w:r>
              <w:rPr>
                <w:b/>
                <w:bCs/>
                <w:sz w:val="20"/>
                <w:szCs w:val="20"/>
                <w:lang w:eastAsia="lv-LV"/>
              </w:rPr>
              <w:t>Izdevumi (EUR)</w:t>
            </w:r>
          </w:p>
          <w:p w:rsidR="00D1081D" w:rsidP="00F80C79" w14:paraId="685F2FF4" w14:textId="77777777">
            <w:pPr>
              <w:spacing w:after="0" w:line="240" w:lineRule="auto"/>
              <w:jc w:val="center"/>
              <w:rPr>
                <w:b/>
                <w:bCs/>
                <w:sz w:val="20"/>
                <w:szCs w:val="20"/>
                <w:lang w:eastAsia="lv-LV"/>
              </w:rPr>
            </w:pPr>
            <w:r>
              <w:rPr>
                <w:b/>
                <w:bCs/>
                <w:sz w:val="20"/>
                <w:szCs w:val="20"/>
                <w:lang w:eastAsia="lv-LV"/>
              </w:rPr>
              <w:t>2023.gadā</w:t>
            </w:r>
          </w:p>
        </w:tc>
        <w:tc>
          <w:tcPr>
            <w:tcW w:w="1234" w:type="dxa"/>
          </w:tcPr>
          <w:p w:rsidR="00D1081D" w:rsidP="00F80C79" w14:paraId="26BF93F6" w14:textId="77777777">
            <w:pPr>
              <w:spacing w:after="0" w:line="240" w:lineRule="auto"/>
              <w:jc w:val="center"/>
              <w:rPr>
                <w:b/>
                <w:bCs/>
                <w:sz w:val="20"/>
                <w:szCs w:val="20"/>
                <w:lang w:eastAsia="lv-LV"/>
              </w:rPr>
            </w:pPr>
            <w:r>
              <w:rPr>
                <w:b/>
                <w:bCs/>
                <w:sz w:val="20"/>
                <w:szCs w:val="20"/>
                <w:lang w:eastAsia="lv-LV"/>
              </w:rPr>
              <w:t>Izdevumi (EUR)</w:t>
            </w:r>
          </w:p>
          <w:p w:rsidR="00D1081D" w:rsidP="00F80C79" w14:paraId="1E9C028F" w14:textId="77777777">
            <w:pPr>
              <w:spacing w:after="0" w:line="240" w:lineRule="auto"/>
              <w:jc w:val="center"/>
              <w:rPr>
                <w:b/>
                <w:bCs/>
                <w:sz w:val="20"/>
                <w:szCs w:val="20"/>
                <w:lang w:eastAsia="lv-LV"/>
              </w:rPr>
            </w:pPr>
            <w:r>
              <w:rPr>
                <w:b/>
                <w:bCs/>
                <w:sz w:val="20"/>
                <w:szCs w:val="20"/>
                <w:lang w:eastAsia="lv-LV"/>
              </w:rPr>
              <w:t>2024.gadā</w:t>
            </w:r>
          </w:p>
        </w:tc>
        <w:tc>
          <w:tcPr>
            <w:tcW w:w="1389" w:type="dxa"/>
            <w:vAlign w:val="center"/>
          </w:tcPr>
          <w:p w:rsidR="00D1081D" w:rsidP="00F80C79" w14:paraId="621AF8A5" w14:textId="77777777">
            <w:pPr>
              <w:spacing w:after="0" w:line="240" w:lineRule="auto"/>
              <w:jc w:val="center"/>
              <w:rPr>
                <w:b/>
                <w:bCs/>
                <w:sz w:val="20"/>
                <w:szCs w:val="20"/>
                <w:lang w:eastAsia="lv-LV"/>
              </w:rPr>
            </w:pPr>
            <w:r>
              <w:rPr>
                <w:b/>
                <w:bCs/>
                <w:sz w:val="20"/>
                <w:szCs w:val="20"/>
                <w:lang w:eastAsia="lv-LV"/>
              </w:rPr>
              <w:t>Izdevumi (EUR)</w:t>
            </w:r>
          </w:p>
          <w:p w:rsidR="00D1081D" w:rsidP="00F80C79" w14:paraId="3FC1C3D5" w14:textId="77777777">
            <w:pPr>
              <w:spacing w:after="0" w:line="240" w:lineRule="auto"/>
              <w:jc w:val="center"/>
              <w:rPr>
                <w:b/>
                <w:bCs/>
                <w:sz w:val="20"/>
                <w:szCs w:val="20"/>
                <w:lang w:eastAsia="lv-LV"/>
              </w:rPr>
            </w:pPr>
            <w:r>
              <w:rPr>
                <w:b/>
                <w:bCs/>
                <w:sz w:val="20"/>
                <w:szCs w:val="20"/>
                <w:lang w:eastAsia="lv-LV"/>
              </w:rPr>
              <w:t>2025.gadā</w:t>
            </w:r>
          </w:p>
        </w:tc>
      </w:tr>
      <w:tr w14:paraId="637DD147" w14:textId="77777777" w:rsidTr="00F80C79">
        <w:tblPrEx>
          <w:tblW w:w="9407" w:type="dxa"/>
          <w:tblLayout w:type="fixed"/>
          <w:tblLook w:val="04A0"/>
        </w:tblPrEx>
        <w:trPr>
          <w:trHeight w:val="20"/>
        </w:trPr>
        <w:tc>
          <w:tcPr>
            <w:tcW w:w="4316" w:type="dxa"/>
            <w:noWrap/>
            <w:vAlign w:val="center"/>
            <w:hideMark/>
          </w:tcPr>
          <w:p w:rsidR="00D1081D" w:rsidRPr="00EE3B00" w:rsidP="00F80C79" w14:paraId="3939DBCF" w14:textId="77777777">
            <w:pPr>
              <w:spacing w:after="0" w:line="240" w:lineRule="auto"/>
              <w:jc w:val="both"/>
              <w:rPr>
                <w:lang w:eastAsia="lv-LV"/>
              </w:rPr>
            </w:pPr>
            <w:r>
              <w:rPr>
                <w:lang w:eastAsia="lv-LV"/>
              </w:rPr>
              <w:t xml:space="preserve">Atlīdzība par ārkārtas aizbildņa pienākumu pildīšanu </w:t>
            </w:r>
          </w:p>
        </w:tc>
        <w:tc>
          <w:tcPr>
            <w:tcW w:w="1234" w:type="dxa"/>
            <w:noWrap/>
            <w:vAlign w:val="center"/>
            <w:hideMark/>
          </w:tcPr>
          <w:p w:rsidR="00D1081D" w:rsidRPr="00EE3B00" w:rsidP="00F80C79" w14:paraId="7BB26797" w14:textId="77777777">
            <w:pPr>
              <w:spacing w:after="0" w:line="240" w:lineRule="auto"/>
              <w:jc w:val="center"/>
              <w:rPr>
                <w:color w:val="000000"/>
                <w:lang w:eastAsia="lv-LV"/>
              </w:rPr>
            </w:pPr>
            <w:r>
              <w:rPr>
                <w:color w:val="000000"/>
                <w:lang w:eastAsia="lv-LV"/>
              </w:rPr>
              <w:t>3222.33</w:t>
            </w:r>
          </w:p>
        </w:tc>
        <w:tc>
          <w:tcPr>
            <w:tcW w:w="1234" w:type="dxa"/>
            <w:vAlign w:val="center"/>
          </w:tcPr>
          <w:p w:rsidR="00D1081D" w:rsidRPr="00EE3B00" w:rsidP="00F80C79" w14:paraId="063D126E" w14:textId="77777777">
            <w:pPr>
              <w:spacing w:after="0" w:line="240" w:lineRule="auto"/>
              <w:jc w:val="center"/>
              <w:rPr>
                <w:color w:val="000000"/>
                <w:lang w:eastAsia="lv-LV"/>
              </w:rPr>
            </w:pPr>
            <w:r>
              <w:rPr>
                <w:color w:val="000000"/>
                <w:lang w:eastAsia="lv-LV"/>
              </w:rPr>
              <w:t>755.71</w:t>
            </w:r>
          </w:p>
        </w:tc>
        <w:tc>
          <w:tcPr>
            <w:tcW w:w="1234" w:type="dxa"/>
            <w:vAlign w:val="center"/>
          </w:tcPr>
          <w:p w:rsidR="00D1081D" w:rsidRPr="00FB7FDF" w:rsidP="00F80C79" w14:paraId="6FF8C220" w14:textId="77777777">
            <w:pPr>
              <w:spacing w:after="0" w:line="240" w:lineRule="auto"/>
              <w:jc w:val="center"/>
              <w:rPr>
                <w:color w:val="000000"/>
                <w:lang w:eastAsia="lv-LV"/>
              </w:rPr>
            </w:pPr>
            <w:r>
              <w:rPr>
                <w:color w:val="000000"/>
                <w:lang w:eastAsia="lv-LV"/>
              </w:rPr>
              <w:t>1344.28</w:t>
            </w:r>
          </w:p>
        </w:tc>
        <w:tc>
          <w:tcPr>
            <w:tcW w:w="1389" w:type="dxa"/>
            <w:vAlign w:val="center"/>
          </w:tcPr>
          <w:p w:rsidR="00D1081D" w:rsidRPr="00951B14" w:rsidP="00F80C79" w14:paraId="353C405C" w14:textId="77777777">
            <w:pPr>
              <w:spacing w:after="0" w:line="240" w:lineRule="auto"/>
              <w:jc w:val="center"/>
              <w:rPr>
                <w:color w:val="000000"/>
                <w:lang w:eastAsia="lv-LV"/>
              </w:rPr>
            </w:pPr>
            <w:r>
              <w:rPr>
                <w:color w:val="000000"/>
                <w:lang w:eastAsia="lv-LV"/>
              </w:rPr>
              <w:t>2 780.12</w:t>
            </w:r>
          </w:p>
        </w:tc>
      </w:tr>
      <w:tr w14:paraId="416BD4EC" w14:textId="77777777" w:rsidTr="00F80C79">
        <w:tblPrEx>
          <w:tblW w:w="9407" w:type="dxa"/>
          <w:tblLayout w:type="fixed"/>
          <w:tblLook w:val="04A0"/>
        </w:tblPrEx>
        <w:trPr>
          <w:trHeight w:val="20"/>
        </w:trPr>
        <w:tc>
          <w:tcPr>
            <w:tcW w:w="4316" w:type="dxa"/>
            <w:noWrap/>
            <w:vAlign w:val="center"/>
            <w:hideMark/>
          </w:tcPr>
          <w:p w:rsidR="00D1081D" w:rsidRPr="00EE3B00" w:rsidP="00F80C79" w14:paraId="6CD2720C" w14:textId="77777777">
            <w:pPr>
              <w:spacing w:after="0" w:line="240" w:lineRule="auto"/>
              <w:jc w:val="both"/>
              <w:rPr>
                <w:lang w:eastAsia="lv-LV"/>
              </w:rPr>
            </w:pPr>
            <w:r>
              <w:rPr>
                <w:lang w:eastAsia="lv-LV"/>
              </w:rPr>
              <w:t xml:space="preserve">Pabalsts nepavadīta bērna uzturam </w:t>
            </w:r>
          </w:p>
        </w:tc>
        <w:tc>
          <w:tcPr>
            <w:tcW w:w="1234" w:type="dxa"/>
            <w:noWrap/>
            <w:vAlign w:val="center"/>
            <w:hideMark/>
          </w:tcPr>
          <w:p w:rsidR="00D1081D" w:rsidRPr="00EE3B00" w:rsidP="00F80C79" w14:paraId="606E2DB8" w14:textId="77777777">
            <w:pPr>
              <w:spacing w:after="0" w:line="240" w:lineRule="auto"/>
              <w:jc w:val="center"/>
              <w:rPr>
                <w:color w:val="000000"/>
                <w:lang w:eastAsia="lv-LV"/>
              </w:rPr>
            </w:pPr>
            <w:r>
              <w:rPr>
                <w:color w:val="000000"/>
                <w:lang w:eastAsia="lv-LV"/>
              </w:rPr>
              <w:t>5507.95</w:t>
            </w:r>
          </w:p>
        </w:tc>
        <w:tc>
          <w:tcPr>
            <w:tcW w:w="1234" w:type="dxa"/>
            <w:vAlign w:val="center"/>
          </w:tcPr>
          <w:p w:rsidR="00D1081D" w:rsidRPr="00EE3B00" w:rsidP="00F80C79" w14:paraId="7DDCD351" w14:textId="77777777">
            <w:pPr>
              <w:spacing w:after="0" w:line="240" w:lineRule="auto"/>
              <w:jc w:val="center"/>
              <w:rPr>
                <w:color w:val="000000"/>
                <w:lang w:eastAsia="lv-LV"/>
              </w:rPr>
            </w:pPr>
            <w:r>
              <w:rPr>
                <w:color w:val="000000"/>
                <w:lang w:eastAsia="lv-LV"/>
              </w:rPr>
              <w:t>3728.71</w:t>
            </w:r>
          </w:p>
        </w:tc>
        <w:tc>
          <w:tcPr>
            <w:tcW w:w="1234" w:type="dxa"/>
            <w:vAlign w:val="center"/>
          </w:tcPr>
          <w:p w:rsidR="00D1081D" w:rsidRPr="00FB7FDF" w:rsidP="00F80C79" w14:paraId="1BA3C4B6" w14:textId="77777777">
            <w:pPr>
              <w:spacing w:after="0" w:line="240" w:lineRule="auto"/>
              <w:jc w:val="center"/>
              <w:rPr>
                <w:color w:val="000000"/>
                <w:lang w:eastAsia="lv-LV"/>
              </w:rPr>
            </w:pPr>
            <w:r>
              <w:rPr>
                <w:color w:val="000000"/>
                <w:lang w:eastAsia="lv-LV"/>
              </w:rPr>
              <w:t>2286.21</w:t>
            </w:r>
          </w:p>
        </w:tc>
        <w:tc>
          <w:tcPr>
            <w:tcW w:w="1389" w:type="dxa"/>
            <w:vAlign w:val="center"/>
          </w:tcPr>
          <w:p w:rsidR="00D1081D" w:rsidRPr="00951B14" w:rsidP="00F80C79" w14:paraId="74BE3E60" w14:textId="77777777">
            <w:pPr>
              <w:spacing w:after="0" w:line="240" w:lineRule="auto"/>
              <w:jc w:val="center"/>
              <w:rPr>
                <w:color w:val="000000"/>
                <w:lang w:eastAsia="lv-LV"/>
              </w:rPr>
            </w:pPr>
            <w:r>
              <w:rPr>
                <w:color w:val="000000"/>
                <w:lang w:eastAsia="lv-LV"/>
              </w:rPr>
              <w:t>5 742.58</w:t>
            </w:r>
          </w:p>
        </w:tc>
      </w:tr>
      <w:tr w14:paraId="001FA778" w14:textId="77777777" w:rsidTr="00F80C79">
        <w:tblPrEx>
          <w:tblW w:w="9407" w:type="dxa"/>
          <w:tblLayout w:type="fixed"/>
          <w:tblLook w:val="04A0"/>
        </w:tblPrEx>
        <w:trPr>
          <w:trHeight w:val="20"/>
        </w:trPr>
        <w:tc>
          <w:tcPr>
            <w:tcW w:w="4316" w:type="dxa"/>
            <w:noWrap/>
            <w:vAlign w:val="center"/>
            <w:hideMark/>
          </w:tcPr>
          <w:p w:rsidR="00D1081D" w:rsidRPr="00EE3B00" w:rsidP="00F80C79" w14:paraId="60D438E0" w14:textId="77777777">
            <w:pPr>
              <w:spacing w:after="0" w:line="240" w:lineRule="auto"/>
              <w:jc w:val="both"/>
              <w:rPr>
                <w:lang w:eastAsia="lv-LV"/>
              </w:rPr>
            </w:pPr>
            <w:r>
              <w:rPr>
                <w:lang w:eastAsia="lv-LV"/>
              </w:rPr>
              <w:t xml:space="preserve">Pabalsts apģērba un mīkstā inventāra iegādei </w:t>
            </w:r>
          </w:p>
        </w:tc>
        <w:tc>
          <w:tcPr>
            <w:tcW w:w="1234" w:type="dxa"/>
            <w:noWrap/>
            <w:vAlign w:val="center"/>
            <w:hideMark/>
          </w:tcPr>
          <w:p w:rsidR="00D1081D" w:rsidRPr="00EE3B00" w:rsidP="00F80C79" w14:paraId="4896CCBB" w14:textId="77777777">
            <w:pPr>
              <w:spacing w:after="0" w:line="240" w:lineRule="auto"/>
              <w:jc w:val="center"/>
              <w:rPr>
                <w:color w:val="000000"/>
                <w:lang w:eastAsia="lv-LV"/>
              </w:rPr>
            </w:pPr>
            <w:r>
              <w:rPr>
                <w:color w:val="000000"/>
                <w:lang w:eastAsia="lv-LV"/>
              </w:rPr>
              <w:t>750.00</w:t>
            </w:r>
          </w:p>
        </w:tc>
        <w:tc>
          <w:tcPr>
            <w:tcW w:w="1234" w:type="dxa"/>
            <w:vAlign w:val="center"/>
          </w:tcPr>
          <w:p w:rsidR="00D1081D" w:rsidRPr="00EE3B00" w:rsidP="00F80C79" w14:paraId="5C38F63A" w14:textId="77777777">
            <w:pPr>
              <w:spacing w:after="0" w:line="240" w:lineRule="auto"/>
              <w:jc w:val="center"/>
              <w:rPr>
                <w:color w:val="000000"/>
                <w:lang w:eastAsia="lv-LV"/>
              </w:rPr>
            </w:pPr>
            <w:r>
              <w:rPr>
                <w:color w:val="000000"/>
                <w:lang w:eastAsia="lv-LV"/>
              </w:rPr>
              <w:t>0.00</w:t>
            </w:r>
          </w:p>
        </w:tc>
        <w:tc>
          <w:tcPr>
            <w:tcW w:w="1234" w:type="dxa"/>
            <w:vAlign w:val="center"/>
          </w:tcPr>
          <w:p w:rsidR="00D1081D" w:rsidP="00F80C79" w14:paraId="104AF62D" w14:textId="77777777">
            <w:pPr>
              <w:spacing w:after="0" w:line="240" w:lineRule="auto"/>
              <w:jc w:val="center"/>
              <w:rPr>
                <w:color w:val="000000"/>
                <w:lang w:eastAsia="lv-LV"/>
              </w:rPr>
            </w:pPr>
            <w:r>
              <w:rPr>
                <w:color w:val="000000"/>
                <w:lang w:eastAsia="lv-LV"/>
              </w:rPr>
              <w:t>400.00</w:t>
            </w:r>
          </w:p>
        </w:tc>
        <w:tc>
          <w:tcPr>
            <w:tcW w:w="1389" w:type="dxa"/>
            <w:vAlign w:val="center"/>
          </w:tcPr>
          <w:p w:rsidR="00D1081D" w:rsidP="00F80C79" w14:paraId="26D2CD6D" w14:textId="77777777">
            <w:pPr>
              <w:spacing w:after="0" w:line="240" w:lineRule="auto"/>
              <w:jc w:val="center"/>
              <w:rPr>
                <w:color w:val="000000"/>
                <w:lang w:eastAsia="lv-LV"/>
              </w:rPr>
            </w:pPr>
            <w:r>
              <w:rPr>
                <w:color w:val="000000"/>
                <w:lang w:eastAsia="lv-LV"/>
              </w:rPr>
              <w:t>740.00</w:t>
            </w:r>
          </w:p>
        </w:tc>
      </w:tr>
      <w:tr w14:paraId="63299FD9" w14:textId="77777777" w:rsidTr="00F80C79">
        <w:tblPrEx>
          <w:tblW w:w="9407" w:type="dxa"/>
          <w:tblLayout w:type="fixed"/>
          <w:tblLook w:val="04A0"/>
        </w:tblPrEx>
        <w:trPr>
          <w:trHeight w:val="20"/>
        </w:trPr>
        <w:tc>
          <w:tcPr>
            <w:tcW w:w="4316" w:type="dxa"/>
            <w:noWrap/>
            <w:vAlign w:val="center"/>
            <w:hideMark/>
          </w:tcPr>
          <w:p w:rsidR="00D1081D" w:rsidRPr="00EE3B00" w:rsidP="00F80C79" w14:paraId="5968440A" w14:textId="77777777">
            <w:pPr>
              <w:spacing w:after="0" w:line="240" w:lineRule="auto"/>
              <w:jc w:val="both"/>
              <w:rPr>
                <w:lang w:eastAsia="lv-LV"/>
              </w:rPr>
            </w:pPr>
            <w:r>
              <w:rPr>
                <w:lang w:eastAsia="lv-LV"/>
              </w:rPr>
              <w:t xml:space="preserve">Garantētā minimālā ienākuma (GMI) pabalsts </w:t>
            </w:r>
          </w:p>
        </w:tc>
        <w:tc>
          <w:tcPr>
            <w:tcW w:w="1234" w:type="dxa"/>
            <w:noWrap/>
            <w:vAlign w:val="center"/>
            <w:hideMark/>
          </w:tcPr>
          <w:p w:rsidR="00D1081D" w:rsidRPr="00EE3B00" w:rsidP="00F80C79" w14:paraId="10071C3D" w14:textId="77777777">
            <w:pPr>
              <w:spacing w:after="0" w:line="240" w:lineRule="auto"/>
              <w:jc w:val="center"/>
              <w:rPr>
                <w:color w:val="000000"/>
                <w:lang w:eastAsia="lv-LV"/>
              </w:rPr>
            </w:pPr>
            <w:r>
              <w:rPr>
                <w:color w:val="000000"/>
                <w:lang w:eastAsia="lv-LV"/>
              </w:rPr>
              <w:t>161844.80</w:t>
            </w:r>
          </w:p>
        </w:tc>
        <w:tc>
          <w:tcPr>
            <w:tcW w:w="1234" w:type="dxa"/>
            <w:vAlign w:val="center"/>
          </w:tcPr>
          <w:p w:rsidR="00D1081D" w:rsidRPr="00EE3B00" w:rsidP="00F80C79" w14:paraId="7BD30189" w14:textId="77777777">
            <w:pPr>
              <w:spacing w:after="0" w:line="240" w:lineRule="auto"/>
              <w:jc w:val="center"/>
              <w:rPr>
                <w:color w:val="000000"/>
                <w:lang w:eastAsia="lv-LV"/>
              </w:rPr>
            </w:pPr>
            <w:r>
              <w:rPr>
                <w:color w:val="000000"/>
                <w:lang w:eastAsia="lv-LV"/>
              </w:rPr>
              <w:t>44655.81</w:t>
            </w:r>
          </w:p>
        </w:tc>
        <w:tc>
          <w:tcPr>
            <w:tcW w:w="1234" w:type="dxa"/>
            <w:vAlign w:val="center"/>
          </w:tcPr>
          <w:p w:rsidR="00D1081D" w:rsidRPr="004E523E" w:rsidP="00F80C79" w14:paraId="68EED981" w14:textId="77777777">
            <w:pPr>
              <w:spacing w:after="0" w:line="240" w:lineRule="auto"/>
              <w:jc w:val="center"/>
              <w:rPr>
                <w:color w:val="000000"/>
                <w:lang w:eastAsia="lv-LV"/>
              </w:rPr>
            </w:pPr>
            <w:r>
              <w:rPr>
                <w:color w:val="000000"/>
                <w:lang w:eastAsia="lv-LV"/>
              </w:rPr>
              <w:t>50723.19</w:t>
            </w:r>
          </w:p>
        </w:tc>
        <w:tc>
          <w:tcPr>
            <w:tcW w:w="1389" w:type="dxa"/>
            <w:vAlign w:val="center"/>
          </w:tcPr>
          <w:p w:rsidR="00D1081D" w:rsidRPr="00951B14" w:rsidP="00F80C79" w14:paraId="2E1B2A11" w14:textId="77777777">
            <w:pPr>
              <w:spacing w:after="0" w:line="240" w:lineRule="auto"/>
              <w:jc w:val="center"/>
              <w:rPr>
                <w:color w:val="000000"/>
                <w:lang w:eastAsia="lv-LV"/>
              </w:rPr>
            </w:pPr>
            <w:r>
              <w:rPr>
                <w:color w:val="000000"/>
                <w:lang w:eastAsia="lv-LV"/>
              </w:rPr>
              <w:t>72 181.00</w:t>
            </w:r>
          </w:p>
        </w:tc>
      </w:tr>
      <w:tr w14:paraId="33EC49B1" w14:textId="77777777" w:rsidTr="00F80C79">
        <w:tblPrEx>
          <w:tblW w:w="9407" w:type="dxa"/>
          <w:tblLayout w:type="fixed"/>
          <w:tblLook w:val="04A0"/>
        </w:tblPrEx>
        <w:trPr>
          <w:trHeight w:val="20"/>
        </w:trPr>
        <w:tc>
          <w:tcPr>
            <w:tcW w:w="4316" w:type="dxa"/>
            <w:noWrap/>
            <w:vAlign w:val="center"/>
            <w:hideMark/>
          </w:tcPr>
          <w:p w:rsidR="00D1081D" w:rsidRPr="00EE3B00" w:rsidP="00F80C79" w14:paraId="4EE62139" w14:textId="77777777">
            <w:pPr>
              <w:spacing w:after="0" w:line="240" w:lineRule="auto"/>
              <w:jc w:val="both"/>
              <w:rPr>
                <w:lang w:eastAsia="lv-LV"/>
              </w:rPr>
            </w:pPr>
            <w:r>
              <w:rPr>
                <w:lang w:eastAsia="lv-LV"/>
              </w:rPr>
              <w:t>Pabalsts krīzes situācijā</w:t>
            </w:r>
          </w:p>
        </w:tc>
        <w:tc>
          <w:tcPr>
            <w:tcW w:w="1234" w:type="dxa"/>
            <w:noWrap/>
            <w:vAlign w:val="center"/>
            <w:hideMark/>
          </w:tcPr>
          <w:p w:rsidR="00D1081D" w:rsidRPr="00EE3B00" w:rsidP="00F80C79" w14:paraId="6D9555EE" w14:textId="77777777">
            <w:pPr>
              <w:spacing w:after="0" w:line="240" w:lineRule="auto"/>
              <w:jc w:val="center"/>
              <w:rPr>
                <w:color w:val="000000"/>
                <w:lang w:eastAsia="lv-LV"/>
              </w:rPr>
            </w:pPr>
            <w:r>
              <w:rPr>
                <w:color w:val="000000"/>
                <w:lang w:eastAsia="lv-LV"/>
              </w:rPr>
              <w:t>111414.00</w:t>
            </w:r>
          </w:p>
        </w:tc>
        <w:tc>
          <w:tcPr>
            <w:tcW w:w="1234" w:type="dxa"/>
            <w:vAlign w:val="center"/>
          </w:tcPr>
          <w:p w:rsidR="00D1081D" w:rsidRPr="00EE3B00" w:rsidP="00F80C79" w14:paraId="150E7D94" w14:textId="77777777">
            <w:pPr>
              <w:spacing w:after="0" w:line="240" w:lineRule="auto"/>
              <w:jc w:val="center"/>
              <w:rPr>
                <w:color w:val="000000"/>
                <w:lang w:eastAsia="lv-LV"/>
              </w:rPr>
            </w:pPr>
            <w:r>
              <w:rPr>
                <w:color w:val="000000"/>
                <w:lang w:eastAsia="lv-LV"/>
              </w:rPr>
              <w:t>5220.00</w:t>
            </w:r>
          </w:p>
        </w:tc>
        <w:tc>
          <w:tcPr>
            <w:tcW w:w="1234" w:type="dxa"/>
            <w:vAlign w:val="center"/>
          </w:tcPr>
          <w:p w:rsidR="00D1081D" w:rsidRPr="004E523E" w:rsidP="00F80C79" w14:paraId="67F462D1" w14:textId="77777777">
            <w:pPr>
              <w:spacing w:after="0" w:line="240" w:lineRule="auto"/>
              <w:jc w:val="center"/>
              <w:rPr>
                <w:color w:val="000000"/>
                <w:lang w:eastAsia="lv-LV"/>
              </w:rPr>
            </w:pPr>
            <w:r>
              <w:rPr>
                <w:color w:val="000000"/>
                <w:lang w:eastAsia="lv-LV"/>
              </w:rPr>
              <w:t>14128.00</w:t>
            </w:r>
          </w:p>
        </w:tc>
        <w:tc>
          <w:tcPr>
            <w:tcW w:w="1389" w:type="dxa"/>
            <w:vAlign w:val="center"/>
          </w:tcPr>
          <w:p w:rsidR="00D1081D" w:rsidRPr="000D0937" w:rsidP="00F80C79" w14:paraId="257FD3C7" w14:textId="77777777">
            <w:pPr>
              <w:spacing w:after="0" w:line="240" w:lineRule="auto"/>
              <w:jc w:val="center"/>
              <w:rPr>
                <w:color w:val="000000"/>
                <w:lang w:eastAsia="lv-LV"/>
              </w:rPr>
            </w:pPr>
            <w:r>
              <w:rPr>
                <w:color w:val="000000"/>
                <w:lang w:eastAsia="lv-LV"/>
              </w:rPr>
              <w:t>5 807.00</w:t>
            </w:r>
          </w:p>
        </w:tc>
      </w:tr>
      <w:tr w14:paraId="5275E6D5" w14:textId="77777777" w:rsidTr="00F80C79">
        <w:tblPrEx>
          <w:tblW w:w="9407" w:type="dxa"/>
          <w:tblLayout w:type="fixed"/>
          <w:tblLook w:val="04A0"/>
        </w:tblPrEx>
        <w:trPr>
          <w:trHeight w:val="20"/>
        </w:trPr>
        <w:tc>
          <w:tcPr>
            <w:tcW w:w="4316" w:type="dxa"/>
            <w:noWrap/>
            <w:vAlign w:val="center"/>
            <w:hideMark/>
          </w:tcPr>
          <w:p w:rsidR="00D1081D" w:rsidRPr="00EE3B00" w:rsidP="00F80C79" w14:paraId="0AD3E152" w14:textId="77777777">
            <w:pPr>
              <w:spacing w:after="0" w:line="240" w:lineRule="auto"/>
              <w:jc w:val="both"/>
              <w:rPr>
                <w:lang w:eastAsia="lv-LV"/>
              </w:rPr>
            </w:pPr>
            <w:r>
              <w:rPr>
                <w:lang w:eastAsia="lv-LV"/>
              </w:rPr>
              <w:t xml:space="preserve">Mājokļa pabalsts mājsaimniecībai no Ukrainas ar īres līgumu </w:t>
            </w:r>
          </w:p>
        </w:tc>
        <w:tc>
          <w:tcPr>
            <w:tcW w:w="1234" w:type="dxa"/>
            <w:noWrap/>
            <w:vAlign w:val="center"/>
            <w:hideMark/>
          </w:tcPr>
          <w:p w:rsidR="00D1081D" w:rsidRPr="00EE3B00" w:rsidP="00F80C79" w14:paraId="7D77CE58" w14:textId="77777777">
            <w:pPr>
              <w:spacing w:after="0" w:line="240" w:lineRule="auto"/>
              <w:jc w:val="center"/>
              <w:rPr>
                <w:color w:val="000000"/>
                <w:lang w:eastAsia="lv-LV"/>
              </w:rPr>
            </w:pPr>
            <w:r>
              <w:rPr>
                <w:color w:val="000000"/>
                <w:lang w:eastAsia="lv-LV"/>
              </w:rPr>
              <w:t>11613.31</w:t>
            </w:r>
          </w:p>
        </w:tc>
        <w:tc>
          <w:tcPr>
            <w:tcW w:w="1234" w:type="dxa"/>
            <w:vAlign w:val="center"/>
          </w:tcPr>
          <w:p w:rsidR="00D1081D" w:rsidRPr="00EE3B00" w:rsidP="00F80C79" w14:paraId="7833F1B6" w14:textId="77777777">
            <w:pPr>
              <w:spacing w:after="0" w:line="240" w:lineRule="auto"/>
              <w:jc w:val="center"/>
              <w:rPr>
                <w:color w:val="000000"/>
                <w:lang w:eastAsia="lv-LV"/>
              </w:rPr>
            </w:pPr>
            <w:r>
              <w:rPr>
                <w:color w:val="000000"/>
                <w:lang w:eastAsia="lv-LV"/>
              </w:rPr>
              <w:t>51719.35</w:t>
            </w:r>
          </w:p>
        </w:tc>
        <w:tc>
          <w:tcPr>
            <w:tcW w:w="1234" w:type="dxa"/>
            <w:vAlign w:val="center"/>
          </w:tcPr>
          <w:p w:rsidR="00D1081D" w:rsidRPr="004E523E" w:rsidP="00F80C79" w14:paraId="7BCCDB1C" w14:textId="77777777">
            <w:pPr>
              <w:spacing w:after="0" w:line="240" w:lineRule="auto"/>
              <w:jc w:val="center"/>
              <w:rPr>
                <w:color w:val="000000"/>
                <w:lang w:eastAsia="lv-LV"/>
              </w:rPr>
            </w:pPr>
            <w:r>
              <w:rPr>
                <w:color w:val="000000"/>
                <w:lang w:eastAsia="lv-LV"/>
              </w:rPr>
              <w:t>39098.10</w:t>
            </w:r>
          </w:p>
        </w:tc>
        <w:tc>
          <w:tcPr>
            <w:tcW w:w="1389" w:type="dxa"/>
            <w:vAlign w:val="center"/>
          </w:tcPr>
          <w:p w:rsidR="00D1081D" w:rsidRPr="000D0937" w:rsidP="00F80C79" w14:paraId="7CFEB515" w14:textId="77777777">
            <w:pPr>
              <w:spacing w:after="0" w:line="240" w:lineRule="auto"/>
              <w:jc w:val="center"/>
              <w:rPr>
                <w:color w:val="000000"/>
                <w:lang w:eastAsia="lv-LV"/>
              </w:rPr>
            </w:pPr>
            <w:r>
              <w:rPr>
                <w:color w:val="000000"/>
                <w:lang w:eastAsia="lv-LV"/>
              </w:rPr>
              <w:t>35 792.65</w:t>
            </w:r>
          </w:p>
        </w:tc>
      </w:tr>
      <w:tr w14:paraId="79655E3F" w14:textId="77777777" w:rsidTr="00F80C79">
        <w:tblPrEx>
          <w:tblW w:w="9407" w:type="dxa"/>
          <w:tblLayout w:type="fixed"/>
          <w:tblLook w:val="04A0"/>
        </w:tblPrEx>
        <w:trPr>
          <w:trHeight w:val="20"/>
        </w:trPr>
        <w:tc>
          <w:tcPr>
            <w:tcW w:w="4316" w:type="dxa"/>
            <w:noWrap/>
            <w:vAlign w:val="center"/>
            <w:hideMark/>
          </w:tcPr>
          <w:p w:rsidR="00D1081D" w:rsidRPr="00EE3B00" w:rsidP="00F80C79" w14:paraId="10254B21" w14:textId="77777777">
            <w:pPr>
              <w:spacing w:after="0" w:line="240" w:lineRule="auto"/>
              <w:jc w:val="both"/>
              <w:rPr>
                <w:lang w:eastAsia="lv-LV"/>
              </w:rPr>
            </w:pPr>
            <w:r>
              <w:rPr>
                <w:lang w:eastAsia="lv-LV"/>
              </w:rPr>
              <w:t xml:space="preserve">Pabalsts atsevišķu izdevumu apmaksai </w:t>
            </w:r>
          </w:p>
        </w:tc>
        <w:tc>
          <w:tcPr>
            <w:tcW w:w="1234" w:type="dxa"/>
            <w:noWrap/>
            <w:vAlign w:val="center"/>
            <w:hideMark/>
          </w:tcPr>
          <w:p w:rsidR="00D1081D" w:rsidRPr="00EE3B00" w:rsidP="00F80C79" w14:paraId="01BFEAFD" w14:textId="77777777">
            <w:pPr>
              <w:spacing w:after="0" w:line="240" w:lineRule="auto"/>
              <w:jc w:val="center"/>
              <w:rPr>
                <w:color w:val="000000"/>
                <w:lang w:eastAsia="lv-LV"/>
              </w:rPr>
            </w:pPr>
            <w:r>
              <w:rPr>
                <w:color w:val="000000"/>
                <w:lang w:eastAsia="lv-LV"/>
              </w:rPr>
              <w:t>9706.30</w:t>
            </w:r>
          </w:p>
        </w:tc>
        <w:tc>
          <w:tcPr>
            <w:tcW w:w="1234" w:type="dxa"/>
            <w:vAlign w:val="center"/>
          </w:tcPr>
          <w:p w:rsidR="00D1081D" w:rsidRPr="00EE3B00" w:rsidP="00F80C79" w14:paraId="3AA68FA7" w14:textId="77777777">
            <w:pPr>
              <w:spacing w:after="0" w:line="240" w:lineRule="auto"/>
              <w:jc w:val="center"/>
              <w:rPr>
                <w:color w:val="000000"/>
                <w:lang w:eastAsia="lv-LV"/>
              </w:rPr>
            </w:pPr>
            <w:r>
              <w:rPr>
                <w:color w:val="000000"/>
                <w:lang w:eastAsia="lv-LV"/>
              </w:rPr>
              <w:t>8663.70</w:t>
            </w:r>
          </w:p>
        </w:tc>
        <w:tc>
          <w:tcPr>
            <w:tcW w:w="1234" w:type="dxa"/>
            <w:vAlign w:val="center"/>
          </w:tcPr>
          <w:p w:rsidR="00D1081D" w:rsidRPr="004E523E" w:rsidP="00F80C79" w14:paraId="22E1C5CD" w14:textId="77777777">
            <w:pPr>
              <w:spacing w:after="0" w:line="240" w:lineRule="auto"/>
              <w:jc w:val="center"/>
              <w:rPr>
                <w:color w:val="000000"/>
                <w:lang w:eastAsia="lv-LV"/>
              </w:rPr>
            </w:pPr>
            <w:r>
              <w:rPr>
                <w:color w:val="000000"/>
                <w:lang w:eastAsia="lv-LV"/>
              </w:rPr>
              <w:t>5180.27</w:t>
            </w:r>
          </w:p>
        </w:tc>
        <w:tc>
          <w:tcPr>
            <w:tcW w:w="1389" w:type="dxa"/>
            <w:vAlign w:val="center"/>
          </w:tcPr>
          <w:p w:rsidR="00D1081D" w:rsidRPr="000D0937" w:rsidP="00F80C79" w14:paraId="4A6E0291" w14:textId="77777777">
            <w:pPr>
              <w:spacing w:after="0" w:line="240" w:lineRule="auto"/>
              <w:jc w:val="center"/>
              <w:rPr>
                <w:color w:val="000000"/>
                <w:lang w:eastAsia="lv-LV"/>
              </w:rPr>
            </w:pPr>
            <w:r>
              <w:rPr>
                <w:color w:val="000000"/>
                <w:lang w:eastAsia="lv-LV"/>
              </w:rPr>
              <w:t>4 324.18</w:t>
            </w:r>
          </w:p>
        </w:tc>
      </w:tr>
      <w:tr w14:paraId="481F7371" w14:textId="77777777" w:rsidTr="00F80C79">
        <w:tblPrEx>
          <w:tblW w:w="9407" w:type="dxa"/>
          <w:tblLayout w:type="fixed"/>
          <w:tblLook w:val="04A0"/>
        </w:tblPrEx>
        <w:trPr>
          <w:trHeight w:val="20"/>
        </w:trPr>
        <w:tc>
          <w:tcPr>
            <w:tcW w:w="4316" w:type="dxa"/>
            <w:noWrap/>
            <w:vAlign w:val="center"/>
            <w:hideMark/>
          </w:tcPr>
          <w:p w:rsidR="00D1081D" w:rsidRPr="00EE3B00" w:rsidP="00F80C79" w14:paraId="40DD9478" w14:textId="77777777">
            <w:pPr>
              <w:spacing w:after="0" w:line="240" w:lineRule="auto"/>
              <w:jc w:val="both"/>
              <w:rPr>
                <w:lang w:eastAsia="lv-LV"/>
              </w:rPr>
            </w:pPr>
            <w:r>
              <w:rPr>
                <w:lang w:eastAsia="lv-LV"/>
              </w:rPr>
              <w:t xml:space="preserve">Sociālās rehabilitācijas pakalpojums vardarbībā cietušiem bērniem </w:t>
            </w:r>
          </w:p>
        </w:tc>
        <w:tc>
          <w:tcPr>
            <w:tcW w:w="1234" w:type="dxa"/>
            <w:noWrap/>
            <w:vAlign w:val="center"/>
            <w:hideMark/>
          </w:tcPr>
          <w:p w:rsidR="00D1081D" w:rsidRPr="00EE3B00" w:rsidP="00F80C79" w14:paraId="0F95838F" w14:textId="77777777">
            <w:pPr>
              <w:spacing w:after="0" w:line="240" w:lineRule="auto"/>
              <w:jc w:val="center"/>
              <w:rPr>
                <w:color w:val="000000"/>
                <w:lang w:eastAsia="lv-LV"/>
              </w:rPr>
            </w:pPr>
            <w:r>
              <w:rPr>
                <w:color w:val="000000"/>
                <w:lang w:eastAsia="lv-LV"/>
              </w:rPr>
              <w:t>755.71</w:t>
            </w:r>
          </w:p>
        </w:tc>
        <w:tc>
          <w:tcPr>
            <w:tcW w:w="1234" w:type="dxa"/>
            <w:vAlign w:val="center"/>
          </w:tcPr>
          <w:p w:rsidR="00D1081D" w:rsidRPr="00EE3B00" w:rsidP="00F80C79" w14:paraId="75E4AEC2" w14:textId="77777777">
            <w:pPr>
              <w:spacing w:after="0" w:line="240" w:lineRule="auto"/>
              <w:jc w:val="center"/>
              <w:rPr>
                <w:color w:val="000000"/>
                <w:lang w:eastAsia="lv-LV"/>
              </w:rPr>
            </w:pPr>
            <w:r>
              <w:rPr>
                <w:color w:val="000000"/>
                <w:lang w:eastAsia="lv-LV"/>
              </w:rPr>
              <w:t>0.00</w:t>
            </w:r>
          </w:p>
        </w:tc>
        <w:tc>
          <w:tcPr>
            <w:tcW w:w="1234" w:type="dxa"/>
            <w:vAlign w:val="center"/>
          </w:tcPr>
          <w:p w:rsidR="00D1081D" w:rsidP="00F80C79" w14:paraId="61112FF3" w14:textId="77777777">
            <w:pPr>
              <w:spacing w:after="0" w:line="240" w:lineRule="auto"/>
              <w:jc w:val="center"/>
              <w:rPr>
                <w:color w:val="000000"/>
                <w:lang w:eastAsia="lv-LV"/>
              </w:rPr>
            </w:pPr>
            <w:r>
              <w:rPr>
                <w:color w:val="000000"/>
                <w:lang w:eastAsia="lv-LV"/>
              </w:rPr>
              <w:t>0.00</w:t>
            </w:r>
          </w:p>
        </w:tc>
        <w:tc>
          <w:tcPr>
            <w:tcW w:w="1389" w:type="dxa"/>
            <w:vAlign w:val="center"/>
          </w:tcPr>
          <w:p w:rsidR="00D1081D" w:rsidP="00F80C79" w14:paraId="6B6977A2" w14:textId="77777777">
            <w:pPr>
              <w:spacing w:after="0" w:line="240" w:lineRule="auto"/>
              <w:jc w:val="center"/>
              <w:rPr>
                <w:color w:val="000000"/>
                <w:lang w:eastAsia="lv-LV"/>
              </w:rPr>
            </w:pPr>
            <w:r>
              <w:rPr>
                <w:color w:val="000000"/>
                <w:lang w:eastAsia="lv-LV"/>
              </w:rPr>
              <w:t>0.00</w:t>
            </w:r>
          </w:p>
        </w:tc>
      </w:tr>
      <w:tr w14:paraId="4FA25DE6" w14:textId="77777777" w:rsidTr="00F80C79">
        <w:tblPrEx>
          <w:tblW w:w="9407" w:type="dxa"/>
          <w:tblLayout w:type="fixed"/>
          <w:tblLook w:val="04A0"/>
        </w:tblPrEx>
        <w:trPr>
          <w:trHeight w:val="20"/>
        </w:trPr>
        <w:tc>
          <w:tcPr>
            <w:tcW w:w="4316" w:type="dxa"/>
            <w:noWrap/>
            <w:vAlign w:val="center"/>
            <w:hideMark/>
          </w:tcPr>
          <w:p w:rsidR="00D1081D" w:rsidRPr="00EE3B00" w:rsidP="00F80C79" w14:paraId="799C9DF9" w14:textId="77777777">
            <w:pPr>
              <w:spacing w:after="0" w:line="240" w:lineRule="auto"/>
              <w:jc w:val="both"/>
              <w:rPr>
                <w:lang w:eastAsia="lv-LV"/>
              </w:rPr>
            </w:pPr>
            <w:r>
              <w:rPr>
                <w:lang w:eastAsia="lv-LV"/>
              </w:rPr>
              <w:t xml:space="preserve">Citi pašvaldības piešķirtie sociālā atbalsta pasākumi </w:t>
            </w:r>
          </w:p>
        </w:tc>
        <w:tc>
          <w:tcPr>
            <w:tcW w:w="1234" w:type="dxa"/>
            <w:noWrap/>
            <w:vAlign w:val="center"/>
            <w:hideMark/>
          </w:tcPr>
          <w:p w:rsidR="00D1081D" w:rsidRPr="00EE3B00" w:rsidP="00F80C79" w14:paraId="08655731" w14:textId="77777777">
            <w:pPr>
              <w:spacing w:after="0" w:line="240" w:lineRule="auto"/>
              <w:jc w:val="center"/>
              <w:rPr>
                <w:color w:val="000000"/>
                <w:lang w:eastAsia="lv-LV"/>
              </w:rPr>
            </w:pPr>
            <w:r>
              <w:rPr>
                <w:color w:val="000000"/>
                <w:lang w:eastAsia="lv-LV"/>
              </w:rPr>
              <w:t>3104.89</w:t>
            </w:r>
          </w:p>
        </w:tc>
        <w:tc>
          <w:tcPr>
            <w:tcW w:w="1234" w:type="dxa"/>
            <w:vAlign w:val="center"/>
          </w:tcPr>
          <w:p w:rsidR="00D1081D" w:rsidRPr="00EE3B00" w:rsidP="00F80C79" w14:paraId="32CE9E7C" w14:textId="77777777">
            <w:pPr>
              <w:spacing w:after="0" w:line="240" w:lineRule="auto"/>
              <w:jc w:val="center"/>
              <w:rPr>
                <w:color w:val="000000"/>
                <w:lang w:eastAsia="lv-LV"/>
              </w:rPr>
            </w:pPr>
            <w:r>
              <w:rPr>
                <w:color w:val="000000"/>
                <w:lang w:eastAsia="lv-LV"/>
              </w:rPr>
              <w:t>2271.72</w:t>
            </w:r>
          </w:p>
        </w:tc>
        <w:tc>
          <w:tcPr>
            <w:tcW w:w="1234" w:type="dxa"/>
            <w:vAlign w:val="center"/>
          </w:tcPr>
          <w:p w:rsidR="00D1081D" w:rsidRPr="009D4E0F" w:rsidP="00F80C79" w14:paraId="3BA2D0EA" w14:textId="77777777">
            <w:pPr>
              <w:spacing w:after="0" w:line="240" w:lineRule="auto"/>
              <w:jc w:val="center"/>
              <w:rPr>
                <w:color w:val="000000"/>
                <w:lang w:eastAsia="lv-LV"/>
              </w:rPr>
            </w:pPr>
            <w:r>
              <w:rPr>
                <w:color w:val="000000"/>
                <w:lang w:eastAsia="lv-LV"/>
              </w:rPr>
              <w:t>3661.81</w:t>
            </w:r>
          </w:p>
        </w:tc>
        <w:tc>
          <w:tcPr>
            <w:tcW w:w="1389" w:type="dxa"/>
            <w:vAlign w:val="center"/>
          </w:tcPr>
          <w:p w:rsidR="00D1081D" w:rsidRPr="00F95912" w:rsidP="00F80C79" w14:paraId="703580FD" w14:textId="77777777">
            <w:pPr>
              <w:spacing w:after="0" w:line="240" w:lineRule="auto"/>
              <w:jc w:val="center"/>
              <w:rPr>
                <w:color w:val="000000"/>
                <w:lang w:eastAsia="lv-LV"/>
              </w:rPr>
            </w:pPr>
            <w:r>
              <w:rPr>
                <w:color w:val="000000"/>
                <w:lang w:eastAsia="lv-LV"/>
              </w:rPr>
              <w:t>2 038.67</w:t>
            </w:r>
          </w:p>
        </w:tc>
      </w:tr>
      <w:tr w14:paraId="47C19BE7" w14:textId="77777777" w:rsidTr="00F80C79">
        <w:tblPrEx>
          <w:tblW w:w="9407" w:type="dxa"/>
          <w:tblLayout w:type="fixed"/>
          <w:tblLook w:val="04A0"/>
        </w:tblPrEx>
        <w:trPr>
          <w:trHeight w:val="20"/>
        </w:trPr>
        <w:tc>
          <w:tcPr>
            <w:tcW w:w="4316" w:type="dxa"/>
            <w:noWrap/>
            <w:vAlign w:val="bottom"/>
            <w:hideMark/>
          </w:tcPr>
          <w:p w:rsidR="00D1081D" w:rsidRPr="00EE3B00" w:rsidP="00F80C79" w14:paraId="22F9214A" w14:textId="77777777">
            <w:pPr>
              <w:spacing w:after="0" w:line="240" w:lineRule="auto"/>
              <w:jc w:val="right"/>
              <w:rPr>
                <w:i/>
                <w:iCs/>
                <w:lang w:eastAsia="lv-LV"/>
              </w:rPr>
            </w:pPr>
            <w:r>
              <w:rPr>
                <w:i/>
                <w:iCs/>
                <w:lang w:eastAsia="lv-LV"/>
              </w:rPr>
              <w:t>pabalsts bērna invalīda aprūpei</w:t>
            </w:r>
          </w:p>
        </w:tc>
        <w:tc>
          <w:tcPr>
            <w:tcW w:w="1234" w:type="dxa"/>
            <w:noWrap/>
            <w:vAlign w:val="center"/>
            <w:hideMark/>
          </w:tcPr>
          <w:p w:rsidR="00D1081D" w:rsidRPr="00EE3B00" w:rsidP="00F80C79" w14:paraId="4A7EDA77" w14:textId="77777777">
            <w:pPr>
              <w:spacing w:after="0" w:line="240" w:lineRule="auto"/>
              <w:jc w:val="center"/>
              <w:rPr>
                <w:lang w:eastAsia="lv-LV"/>
              </w:rPr>
            </w:pPr>
            <w:r>
              <w:rPr>
                <w:lang w:eastAsia="lv-LV"/>
              </w:rPr>
              <w:t>300.00</w:t>
            </w:r>
          </w:p>
        </w:tc>
        <w:tc>
          <w:tcPr>
            <w:tcW w:w="1234" w:type="dxa"/>
            <w:vAlign w:val="center"/>
          </w:tcPr>
          <w:p w:rsidR="00D1081D" w:rsidRPr="00EE3B00" w:rsidP="00F80C79" w14:paraId="7F8FE51D" w14:textId="77777777">
            <w:pPr>
              <w:spacing w:after="0" w:line="240" w:lineRule="auto"/>
              <w:jc w:val="center"/>
              <w:rPr>
                <w:lang w:eastAsia="lv-LV"/>
              </w:rPr>
            </w:pPr>
            <w:r>
              <w:rPr>
                <w:lang w:eastAsia="lv-LV"/>
              </w:rPr>
              <w:t>400.00</w:t>
            </w:r>
          </w:p>
        </w:tc>
        <w:tc>
          <w:tcPr>
            <w:tcW w:w="1234" w:type="dxa"/>
            <w:vAlign w:val="center"/>
          </w:tcPr>
          <w:p w:rsidR="00D1081D" w:rsidRPr="009D4E0F" w:rsidP="00F80C79" w14:paraId="4E557A3A" w14:textId="77777777">
            <w:pPr>
              <w:spacing w:after="0" w:line="240" w:lineRule="auto"/>
              <w:jc w:val="center"/>
              <w:rPr>
                <w:lang w:eastAsia="lv-LV"/>
              </w:rPr>
            </w:pPr>
            <w:r>
              <w:rPr>
                <w:lang w:eastAsia="lv-LV"/>
              </w:rPr>
              <w:t>900.00</w:t>
            </w:r>
          </w:p>
        </w:tc>
        <w:tc>
          <w:tcPr>
            <w:tcW w:w="1389" w:type="dxa"/>
            <w:vAlign w:val="center"/>
          </w:tcPr>
          <w:p w:rsidR="00D1081D" w:rsidRPr="00F95912" w:rsidP="00F80C79" w14:paraId="403EE41A" w14:textId="77777777">
            <w:pPr>
              <w:spacing w:after="0" w:line="240" w:lineRule="auto"/>
              <w:jc w:val="center"/>
              <w:rPr>
                <w:lang w:eastAsia="lv-LV"/>
              </w:rPr>
            </w:pPr>
            <w:r>
              <w:rPr>
                <w:lang w:eastAsia="lv-LV"/>
              </w:rPr>
              <w:t>900.00</w:t>
            </w:r>
          </w:p>
        </w:tc>
      </w:tr>
      <w:tr w14:paraId="5EEB762D" w14:textId="77777777" w:rsidTr="00F80C79">
        <w:tblPrEx>
          <w:tblW w:w="9407" w:type="dxa"/>
          <w:tblLayout w:type="fixed"/>
          <w:tblLook w:val="04A0"/>
        </w:tblPrEx>
        <w:trPr>
          <w:trHeight w:val="20"/>
        </w:trPr>
        <w:tc>
          <w:tcPr>
            <w:tcW w:w="4316" w:type="dxa"/>
            <w:noWrap/>
            <w:vAlign w:val="bottom"/>
            <w:hideMark/>
          </w:tcPr>
          <w:p w:rsidR="00D1081D" w:rsidRPr="00EE3B00" w:rsidP="00F80C79" w14:paraId="6986BA51" w14:textId="77777777">
            <w:pPr>
              <w:spacing w:after="0" w:line="240" w:lineRule="auto"/>
              <w:jc w:val="right"/>
              <w:rPr>
                <w:i/>
                <w:iCs/>
                <w:lang w:eastAsia="lv-LV"/>
              </w:rPr>
            </w:pPr>
            <w:r>
              <w:rPr>
                <w:i/>
                <w:iCs/>
                <w:lang w:eastAsia="lv-LV"/>
              </w:rPr>
              <w:t>bērnudārza apmaksa (netestēts)</w:t>
            </w:r>
          </w:p>
        </w:tc>
        <w:tc>
          <w:tcPr>
            <w:tcW w:w="1234" w:type="dxa"/>
            <w:noWrap/>
            <w:vAlign w:val="center"/>
            <w:hideMark/>
          </w:tcPr>
          <w:p w:rsidR="00D1081D" w:rsidRPr="00EE3B00" w:rsidP="00F80C79" w14:paraId="70A6A79D" w14:textId="77777777">
            <w:pPr>
              <w:spacing w:after="0" w:line="240" w:lineRule="auto"/>
              <w:jc w:val="center"/>
              <w:rPr>
                <w:lang w:eastAsia="lv-LV"/>
              </w:rPr>
            </w:pPr>
            <w:r>
              <w:rPr>
                <w:lang w:eastAsia="lv-LV"/>
              </w:rPr>
              <w:t>758.93</w:t>
            </w:r>
          </w:p>
        </w:tc>
        <w:tc>
          <w:tcPr>
            <w:tcW w:w="1234" w:type="dxa"/>
            <w:vAlign w:val="center"/>
          </w:tcPr>
          <w:p w:rsidR="00D1081D" w:rsidRPr="00EE3B00" w:rsidP="00F80C79" w14:paraId="44792B58" w14:textId="77777777">
            <w:pPr>
              <w:spacing w:after="0" w:line="240" w:lineRule="auto"/>
              <w:jc w:val="center"/>
              <w:rPr>
                <w:lang w:eastAsia="lv-LV"/>
              </w:rPr>
            </w:pPr>
            <w:r>
              <w:rPr>
                <w:lang w:eastAsia="lv-LV"/>
              </w:rPr>
              <w:t>706.02</w:t>
            </w:r>
          </w:p>
        </w:tc>
        <w:tc>
          <w:tcPr>
            <w:tcW w:w="1234" w:type="dxa"/>
            <w:vAlign w:val="center"/>
          </w:tcPr>
          <w:p w:rsidR="00D1081D" w:rsidRPr="009D4E0F" w:rsidP="00F80C79" w14:paraId="7780ABCD" w14:textId="77777777">
            <w:pPr>
              <w:spacing w:after="0" w:line="240" w:lineRule="auto"/>
              <w:jc w:val="center"/>
              <w:rPr>
                <w:lang w:eastAsia="lv-LV"/>
              </w:rPr>
            </w:pPr>
            <w:r>
              <w:rPr>
                <w:lang w:eastAsia="lv-LV"/>
              </w:rPr>
              <w:t>930.49</w:t>
            </w:r>
          </w:p>
        </w:tc>
        <w:tc>
          <w:tcPr>
            <w:tcW w:w="1389" w:type="dxa"/>
            <w:vAlign w:val="center"/>
          </w:tcPr>
          <w:p w:rsidR="00D1081D" w:rsidRPr="00F95912" w:rsidP="00F80C79" w14:paraId="1E4BD9B3" w14:textId="77777777">
            <w:pPr>
              <w:spacing w:after="0" w:line="240" w:lineRule="auto"/>
              <w:jc w:val="center"/>
              <w:rPr>
                <w:lang w:eastAsia="lv-LV"/>
              </w:rPr>
            </w:pPr>
            <w:r>
              <w:rPr>
                <w:lang w:eastAsia="lv-LV"/>
              </w:rPr>
              <w:t>267.65</w:t>
            </w:r>
          </w:p>
        </w:tc>
      </w:tr>
      <w:tr w14:paraId="2A07FED5" w14:textId="77777777" w:rsidTr="00F80C79">
        <w:tblPrEx>
          <w:tblW w:w="9407" w:type="dxa"/>
          <w:tblLayout w:type="fixed"/>
          <w:tblLook w:val="04A0"/>
        </w:tblPrEx>
        <w:trPr>
          <w:trHeight w:val="20"/>
        </w:trPr>
        <w:tc>
          <w:tcPr>
            <w:tcW w:w="4316" w:type="dxa"/>
            <w:noWrap/>
            <w:vAlign w:val="bottom"/>
            <w:hideMark/>
          </w:tcPr>
          <w:p w:rsidR="00D1081D" w:rsidRPr="00EE3B00" w:rsidP="00F80C79" w14:paraId="0A218780" w14:textId="77777777">
            <w:pPr>
              <w:spacing w:after="0" w:line="240" w:lineRule="auto"/>
              <w:jc w:val="right"/>
              <w:rPr>
                <w:i/>
                <w:iCs/>
                <w:lang w:eastAsia="lv-LV"/>
              </w:rPr>
            </w:pPr>
            <w:r>
              <w:rPr>
                <w:i/>
                <w:iCs/>
                <w:lang w:eastAsia="lv-LV"/>
              </w:rPr>
              <w:t>pabalsts izglītībai uzsākot mācību gadu</w:t>
            </w:r>
          </w:p>
        </w:tc>
        <w:tc>
          <w:tcPr>
            <w:tcW w:w="1234" w:type="dxa"/>
            <w:noWrap/>
            <w:vAlign w:val="center"/>
            <w:hideMark/>
          </w:tcPr>
          <w:p w:rsidR="00D1081D" w:rsidRPr="00EE3B00" w:rsidP="00F80C79" w14:paraId="4357E33C" w14:textId="77777777">
            <w:pPr>
              <w:spacing w:after="0" w:line="240" w:lineRule="auto"/>
              <w:jc w:val="center"/>
              <w:rPr>
                <w:lang w:eastAsia="lv-LV"/>
              </w:rPr>
            </w:pPr>
            <w:r>
              <w:rPr>
                <w:lang w:eastAsia="lv-LV"/>
              </w:rPr>
              <w:t>800.00</w:t>
            </w:r>
          </w:p>
        </w:tc>
        <w:tc>
          <w:tcPr>
            <w:tcW w:w="1234" w:type="dxa"/>
            <w:vAlign w:val="center"/>
          </w:tcPr>
          <w:p w:rsidR="00D1081D" w:rsidRPr="00EE3B00" w:rsidP="00F80C79" w14:paraId="1DB5554F" w14:textId="77777777">
            <w:pPr>
              <w:spacing w:after="0" w:line="240" w:lineRule="auto"/>
              <w:jc w:val="center"/>
              <w:rPr>
                <w:lang w:eastAsia="lv-LV"/>
              </w:rPr>
            </w:pPr>
            <w:r>
              <w:rPr>
                <w:lang w:eastAsia="lv-LV"/>
              </w:rPr>
              <w:t>200.00</w:t>
            </w:r>
          </w:p>
        </w:tc>
        <w:tc>
          <w:tcPr>
            <w:tcW w:w="1234" w:type="dxa"/>
            <w:vAlign w:val="center"/>
          </w:tcPr>
          <w:p w:rsidR="00D1081D" w:rsidRPr="009D4E0F" w:rsidP="00F80C79" w14:paraId="50966960" w14:textId="77777777">
            <w:pPr>
              <w:spacing w:after="0" w:line="240" w:lineRule="auto"/>
              <w:jc w:val="center"/>
              <w:rPr>
                <w:lang w:eastAsia="lv-LV"/>
              </w:rPr>
            </w:pPr>
            <w:r>
              <w:rPr>
                <w:lang w:eastAsia="lv-LV"/>
              </w:rPr>
              <w:t>300.00</w:t>
            </w:r>
          </w:p>
        </w:tc>
        <w:tc>
          <w:tcPr>
            <w:tcW w:w="1389" w:type="dxa"/>
            <w:vAlign w:val="center"/>
          </w:tcPr>
          <w:p w:rsidR="00D1081D" w:rsidRPr="00F95912" w:rsidP="00F80C79" w14:paraId="35557220" w14:textId="77777777">
            <w:pPr>
              <w:spacing w:after="0" w:line="240" w:lineRule="auto"/>
              <w:jc w:val="center"/>
              <w:rPr>
                <w:lang w:eastAsia="lv-LV"/>
              </w:rPr>
            </w:pPr>
            <w:r>
              <w:rPr>
                <w:lang w:eastAsia="lv-LV"/>
              </w:rPr>
              <w:t>50.00</w:t>
            </w:r>
          </w:p>
        </w:tc>
      </w:tr>
      <w:tr w14:paraId="74047872" w14:textId="77777777" w:rsidTr="00F80C79">
        <w:tblPrEx>
          <w:tblW w:w="9407" w:type="dxa"/>
          <w:tblLayout w:type="fixed"/>
          <w:tblLook w:val="04A0"/>
        </w:tblPrEx>
        <w:trPr>
          <w:trHeight w:val="20"/>
        </w:trPr>
        <w:tc>
          <w:tcPr>
            <w:tcW w:w="4316" w:type="dxa"/>
            <w:noWrap/>
            <w:vAlign w:val="bottom"/>
            <w:hideMark/>
          </w:tcPr>
          <w:p w:rsidR="00D1081D" w:rsidRPr="00EE3B00" w:rsidP="00F80C79" w14:paraId="0FC7F69E" w14:textId="77777777">
            <w:pPr>
              <w:spacing w:after="0" w:line="240" w:lineRule="auto"/>
              <w:jc w:val="right"/>
              <w:rPr>
                <w:i/>
                <w:iCs/>
                <w:lang w:eastAsia="lv-LV"/>
              </w:rPr>
            </w:pPr>
            <w:r>
              <w:rPr>
                <w:i/>
                <w:iCs/>
                <w:lang w:eastAsia="lv-LV"/>
              </w:rPr>
              <w:t>ēdināšana skolā</w:t>
            </w:r>
          </w:p>
        </w:tc>
        <w:tc>
          <w:tcPr>
            <w:tcW w:w="1234" w:type="dxa"/>
            <w:noWrap/>
            <w:vAlign w:val="center"/>
            <w:hideMark/>
          </w:tcPr>
          <w:p w:rsidR="00D1081D" w:rsidRPr="00EE3B00" w:rsidP="00F80C79" w14:paraId="054CB896" w14:textId="77777777">
            <w:pPr>
              <w:spacing w:after="0" w:line="240" w:lineRule="auto"/>
              <w:jc w:val="center"/>
              <w:rPr>
                <w:lang w:eastAsia="lv-LV"/>
              </w:rPr>
            </w:pPr>
            <w:r>
              <w:rPr>
                <w:lang w:eastAsia="lv-LV"/>
              </w:rPr>
              <w:t>615.96</w:t>
            </w:r>
          </w:p>
        </w:tc>
        <w:tc>
          <w:tcPr>
            <w:tcW w:w="1234" w:type="dxa"/>
            <w:vAlign w:val="center"/>
          </w:tcPr>
          <w:p w:rsidR="00D1081D" w:rsidRPr="00EE3B00" w:rsidP="00F80C79" w14:paraId="6B51F3E8" w14:textId="77777777">
            <w:pPr>
              <w:spacing w:after="0" w:line="240" w:lineRule="auto"/>
              <w:jc w:val="center"/>
              <w:rPr>
                <w:lang w:eastAsia="lv-LV"/>
              </w:rPr>
            </w:pPr>
            <w:r>
              <w:rPr>
                <w:lang w:eastAsia="lv-LV"/>
              </w:rPr>
              <w:t>965.70</w:t>
            </w:r>
          </w:p>
        </w:tc>
        <w:tc>
          <w:tcPr>
            <w:tcW w:w="1234" w:type="dxa"/>
            <w:vAlign w:val="center"/>
          </w:tcPr>
          <w:p w:rsidR="00D1081D" w:rsidRPr="009D4E0F" w:rsidP="00F80C79" w14:paraId="42070BEF" w14:textId="77777777">
            <w:pPr>
              <w:spacing w:after="0" w:line="240" w:lineRule="auto"/>
              <w:jc w:val="center"/>
              <w:rPr>
                <w:lang w:eastAsia="lv-LV"/>
              </w:rPr>
            </w:pPr>
            <w:r>
              <w:rPr>
                <w:lang w:eastAsia="lv-LV"/>
              </w:rPr>
              <w:t>831.32</w:t>
            </w:r>
          </w:p>
        </w:tc>
        <w:tc>
          <w:tcPr>
            <w:tcW w:w="1389" w:type="dxa"/>
            <w:vAlign w:val="center"/>
          </w:tcPr>
          <w:p w:rsidR="00D1081D" w:rsidRPr="0021467D" w:rsidP="00F80C79" w14:paraId="2361A505" w14:textId="77777777">
            <w:pPr>
              <w:spacing w:after="0" w:line="240" w:lineRule="auto"/>
              <w:jc w:val="center"/>
              <w:rPr>
                <w:lang w:eastAsia="lv-LV"/>
              </w:rPr>
            </w:pPr>
            <w:r>
              <w:rPr>
                <w:lang w:eastAsia="lv-LV"/>
              </w:rPr>
              <w:t>570.26</w:t>
            </w:r>
          </w:p>
        </w:tc>
      </w:tr>
      <w:tr w14:paraId="4C23847D" w14:textId="77777777" w:rsidTr="00F80C79">
        <w:tblPrEx>
          <w:tblW w:w="9407" w:type="dxa"/>
          <w:tblLayout w:type="fixed"/>
          <w:tblLook w:val="04A0"/>
        </w:tblPrEx>
        <w:trPr>
          <w:trHeight w:val="20"/>
        </w:trPr>
        <w:tc>
          <w:tcPr>
            <w:tcW w:w="4316" w:type="dxa"/>
            <w:noWrap/>
            <w:vAlign w:val="bottom"/>
            <w:hideMark/>
          </w:tcPr>
          <w:p w:rsidR="00D1081D" w:rsidRPr="00EE3B00" w:rsidP="00F80C79" w14:paraId="6A8DA021" w14:textId="77777777">
            <w:pPr>
              <w:spacing w:after="0" w:line="240" w:lineRule="auto"/>
              <w:jc w:val="right"/>
              <w:rPr>
                <w:i/>
                <w:iCs/>
                <w:color w:val="000000"/>
                <w:lang w:eastAsia="lv-LV"/>
              </w:rPr>
            </w:pPr>
            <w:r>
              <w:rPr>
                <w:i/>
                <w:iCs/>
                <w:color w:val="000000"/>
                <w:lang w:eastAsia="lv-LV"/>
              </w:rPr>
              <w:t>psihologa konsultācijas</w:t>
            </w:r>
          </w:p>
        </w:tc>
        <w:tc>
          <w:tcPr>
            <w:tcW w:w="1234" w:type="dxa"/>
            <w:noWrap/>
            <w:vAlign w:val="center"/>
            <w:hideMark/>
          </w:tcPr>
          <w:p w:rsidR="00D1081D" w:rsidRPr="00EE3B00" w:rsidP="00F80C79" w14:paraId="5644EF6C" w14:textId="77777777">
            <w:pPr>
              <w:spacing w:after="0" w:line="240" w:lineRule="auto"/>
              <w:jc w:val="center"/>
              <w:rPr>
                <w:color w:val="000000"/>
                <w:lang w:eastAsia="lv-LV"/>
              </w:rPr>
            </w:pPr>
            <w:r>
              <w:rPr>
                <w:color w:val="000000"/>
                <w:lang w:eastAsia="lv-LV"/>
              </w:rPr>
              <w:t>630.00</w:t>
            </w:r>
          </w:p>
        </w:tc>
        <w:tc>
          <w:tcPr>
            <w:tcW w:w="1234" w:type="dxa"/>
            <w:vAlign w:val="center"/>
          </w:tcPr>
          <w:p w:rsidR="00D1081D" w:rsidRPr="00EE3B00" w:rsidP="00F80C79" w14:paraId="2DA1EF7B" w14:textId="77777777">
            <w:pPr>
              <w:spacing w:after="0" w:line="240" w:lineRule="auto"/>
              <w:jc w:val="center"/>
              <w:rPr>
                <w:color w:val="000000"/>
                <w:lang w:eastAsia="lv-LV"/>
              </w:rPr>
            </w:pPr>
            <w:r>
              <w:rPr>
                <w:color w:val="000000"/>
                <w:lang w:eastAsia="lv-LV"/>
              </w:rPr>
              <w:t>0.00</w:t>
            </w:r>
          </w:p>
        </w:tc>
        <w:tc>
          <w:tcPr>
            <w:tcW w:w="1234" w:type="dxa"/>
            <w:vAlign w:val="center"/>
          </w:tcPr>
          <w:p w:rsidR="00D1081D" w:rsidP="00F80C79" w14:paraId="386D1514" w14:textId="77777777">
            <w:pPr>
              <w:spacing w:after="0" w:line="240" w:lineRule="auto"/>
              <w:jc w:val="center"/>
              <w:rPr>
                <w:color w:val="000000"/>
                <w:lang w:eastAsia="lv-LV"/>
              </w:rPr>
            </w:pPr>
            <w:r>
              <w:rPr>
                <w:color w:val="000000"/>
                <w:lang w:eastAsia="lv-LV"/>
              </w:rPr>
              <w:t>0.00</w:t>
            </w:r>
          </w:p>
        </w:tc>
        <w:tc>
          <w:tcPr>
            <w:tcW w:w="1389" w:type="dxa"/>
            <w:vAlign w:val="center"/>
          </w:tcPr>
          <w:p w:rsidR="00D1081D" w:rsidP="00F80C79" w14:paraId="4BCE8079" w14:textId="77777777">
            <w:pPr>
              <w:spacing w:after="0" w:line="240" w:lineRule="auto"/>
              <w:jc w:val="center"/>
              <w:rPr>
                <w:color w:val="000000"/>
                <w:lang w:eastAsia="lv-LV"/>
              </w:rPr>
            </w:pPr>
            <w:r>
              <w:rPr>
                <w:color w:val="000000"/>
                <w:lang w:eastAsia="lv-LV"/>
              </w:rPr>
              <w:t>0.00</w:t>
            </w:r>
          </w:p>
        </w:tc>
      </w:tr>
      <w:tr w14:paraId="1642F116" w14:textId="77777777" w:rsidTr="00F80C79">
        <w:tblPrEx>
          <w:tblW w:w="9407" w:type="dxa"/>
          <w:tblLayout w:type="fixed"/>
          <w:tblLook w:val="04A0"/>
        </w:tblPrEx>
        <w:trPr>
          <w:trHeight w:val="20"/>
        </w:trPr>
        <w:tc>
          <w:tcPr>
            <w:tcW w:w="4316" w:type="dxa"/>
            <w:noWrap/>
            <w:vAlign w:val="bottom"/>
          </w:tcPr>
          <w:p w:rsidR="00D1081D" w:rsidRPr="00EE3B00" w:rsidP="00F80C79" w14:paraId="099E83C8" w14:textId="77777777">
            <w:pPr>
              <w:spacing w:after="0" w:line="240" w:lineRule="auto"/>
              <w:jc w:val="right"/>
              <w:rPr>
                <w:i/>
                <w:iCs/>
                <w:color w:val="000000"/>
                <w:lang w:eastAsia="lv-LV"/>
              </w:rPr>
            </w:pPr>
            <w:r>
              <w:rPr>
                <w:i/>
                <w:iCs/>
                <w:color w:val="000000"/>
                <w:lang w:eastAsia="lv-LV"/>
              </w:rPr>
              <w:t>apbedīšanas pabalsts</w:t>
            </w:r>
          </w:p>
        </w:tc>
        <w:tc>
          <w:tcPr>
            <w:tcW w:w="1234" w:type="dxa"/>
            <w:noWrap/>
            <w:vAlign w:val="center"/>
          </w:tcPr>
          <w:p w:rsidR="00D1081D" w:rsidRPr="00EE3B00" w:rsidP="00F80C79" w14:paraId="2132575D" w14:textId="77777777">
            <w:pPr>
              <w:spacing w:after="0" w:line="240" w:lineRule="auto"/>
              <w:jc w:val="center"/>
              <w:rPr>
                <w:color w:val="000000"/>
                <w:lang w:eastAsia="lv-LV"/>
              </w:rPr>
            </w:pPr>
            <w:r>
              <w:rPr>
                <w:color w:val="000000"/>
                <w:lang w:eastAsia="lv-LV"/>
              </w:rPr>
              <w:t>0.00</w:t>
            </w:r>
          </w:p>
        </w:tc>
        <w:tc>
          <w:tcPr>
            <w:tcW w:w="1234" w:type="dxa"/>
            <w:vAlign w:val="center"/>
          </w:tcPr>
          <w:p w:rsidR="00D1081D" w:rsidP="00F80C79" w14:paraId="234E5E1C" w14:textId="77777777">
            <w:pPr>
              <w:spacing w:after="0" w:line="240" w:lineRule="auto"/>
              <w:jc w:val="center"/>
              <w:rPr>
                <w:color w:val="000000"/>
                <w:lang w:eastAsia="lv-LV"/>
              </w:rPr>
            </w:pPr>
            <w:r>
              <w:rPr>
                <w:color w:val="000000"/>
                <w:lang w:eastAsia="lv-LV"/>
              </w:rPr>
              <w:t>0.00</w:t>
            </w:r>
          </w:p>
        </w:tc>
        <w:tc>
          <w:tcPr>
            <w:tcW w:w="1234" w:type="dxa"/>
            <w:vAlign w:val="center"/>
          </w:tcPr>
          <w:p w:rsidR="00D1081D" w:rsidP="00F80C79" w14:paraId="107D0B0D" w14:textId="77777777">
            <w:pPr>
              <w:spacing w:after="0" w:line="240" w:lineRule="auto"/>
              <w:jc w:val="center"/>
              <w:rPr>
                <w:color w:val="000000"/>
                <w:lang w:eastAsia="lv-LV"/>
              </w:rPr>
            </w:pPr>
            <w:r>
              <w:rPr>
                <w:color w:val="000000"/>
                <w:lang w:eastAsia="lv-LV"/>
              </w:rPr>
              <w:t>700.00</w:t>
            </w:r>
          </w:p>
        </w:tc>
        <w:tc>
          <w:tcPr>
            <w:tcW w:w="1389" w:type="dxa"/>
            <w:vAlign w:val="center"/>
          </w:tcPr>
          <w:p w:rsidR="00D1081D" w:rsidP="00F80C79" w14:paraId="281DB203" w14:textId="77777777">
            <w:pPr>
              <w:spacing w:after="0" w:line="240" w:lineRule="auto"/>
              <w:jc w:val="center"/>
              <w:rPr>
                <w:color w:val="000000"/>
                <w:lang w:eastAsia="lv-LV"/>
              </w:rPr>
            </w:pPr>
            <w:r>
              <w:rPr>
                <w:color w:val="000000"/>
                <w:lang w:eastAsia="lv-LV"/>
              </w:rPr>
              <w:t>135.76</w:t>
            </w:r>
          </w:p>
        </w:tc>
      </w:tr>
      <w:tr w14:paraId="3251F971" w14:textId="77777777" w:rsidTr="00F80C79">
        <w:tblPrEx>
          <w:tblW w:w="9407" w:type="dxa"/>
          <w:tblLayout w:type="fixed"/>
          <w:tblLook w:val="04A0"/>
        </w:tblPrEx>
        <w:trPr>
          <w:trHeight w:val="20"/>
        </w:trPr>
        <w:tc>
          <w:tcPr>
            <w:tcW w:w="4316" w:type="dxa"/>
            <w:noWrap/>
            <w:vAlign w:val="bottom"/>
          </w:tcPr>
          <w:p w:rsidR="00D1081D" w:rsidP="00F80C79" w14:paraId="2127A439" w14:textId="77777777">
            <w:pPr>
              <w:spacing w:after="0" w:line="240" w:lineRule="auto"/>
              <w:jc w:val="right"/>
              <w:rPr>
                <w:i/>
                <w:iCs/>
                <w:color w:val="000000"/>
                <w:lang w:eastAsia="lv-LV"/>
              </w:rPr>
            </w:pPr>
            <w:r>
              <w:rPr>
                <w:i/>
                <w:iCs/>
                <w:color w:val="000000"/>
                <w:lang w:eastAsia="lv-LV"/>
              </w:rPr>
              <w:t>transporta pakalpojumi</w:t>
            </w:r>
          </w:p>
        </w:tc>
        <w:tc>
          <w:tcPr>
            <w:tcW w:w="1234" w:type="dxa"/>
            <w:noWrap/>
            <w:vAlign w:val="center"/>
          </w:tcPr>
          <w:p w:rsidR="00D1081D" w:rsidP="00F80C79" w14:paraId="08D3E046" w14:textId="77777777">
            <w:pPr>
              <w:spacing w:after="0" w:line="240" w:lineRule="auto"/>
              <w:jc w:val="center"/>
              <w:rPr>
                <w:color w:val="000000"/>
                <w:lang w:eastAsia="lv-LV"/>
              </w:rPr>
            </w:pPr>
            <w:r>
              <w:rPr>
                <w:color w:val="000000"/>
                <w:lang w:eastAsia="lv-LV"/>
              </w:rPr>
              <w:t>0.00</w:t>
            </w:r>
          </w:p>
        </w:tc>
        <w:tc>
          <w:tcPr>
            <w:tcW w:w="1234" w:type="dxa"/>
            <w:vAlign w:val="center"/>
          </w:tcPr>
          <w:p w:rsidR="00D1081D" w:rsidP="00F80C79" w14:paraId="434F8E6F" w14:textId="77777777">
            <w:pPr>
              <w:spacing w:after="0" w:line="240" w:lineRule="auto"/>
              <w:jc w:val="center"/>
              <w:rPr>
                <w:color w:val="000000"/>
                <w:lang w:eastAsia="lv-LV"/>
              </w:rPr>
            </w:pPr>
            <w:r>
              <w:rPr>
                <w:color w:val="000000"/>
                <w:lang w:eastAsia="lv-LV"/>
              </w:rPr>
              <w:t>0.00</w:t>
            </w:r>
          </w:p>
        </w:tc>
        <w:tc>
          <w:tcPr>
            <w:tcW w:w="1234" w:type="dxa"/>
            <w:vAlign w:val="center"/>
          </w:tcPr>
          <w:p w:rsidR="00D1081D" w:rsidP="00F80C79" w14:paraId="5E180A38" w14:textId="77777777">
            <w:pPr>
              <w:spacing w:after="0" w:line="240" w:lineRule="auto"/>
              <w:jc w:val="center"/>
              <w:rPr>
                <w:color w:val="000000"/>
                <w:lang w:eastAsia="lv-LV"/>
              </w:rPr>
            </w:pPr>
            <w:r>
              <w:rPr>
                <w:color w:val="000000"/>
                <w:lang w:eastAsia="lv-LV"/>
              </w:rPr>
              <w:t>0.00</w:t>
            </w:r>
          </w:p>
        </w:tc>
        <w:tc>
          <w:tcPr>
            <w:tcW w:w="1389" w:type="dxa"/>
            <w:vAlign w:val="center"/>
          </w:tcPr>
          <w:p w:rsidR="00D1081D" w:rsidRPr="00377403" w:rsidP="00F80C79" w14:paraId="5B4CF4A3" w14:textId="77777777">
            <w:pPr>
              <w:spacing w:after="0" w:line="240" w:lineRule="auto"/>
              <w:jc w:val="center"/>
              <w:rPr>
                <w:color w:val="000000"/>
                <w:lang w:eastAsia="lv-LV"/>
              </w:rPr>
            </w:pPr>
            <w:r>
              <w:rPr>
                <w:color w:val="000000"/>
                <w:lang w:eastAsia="lv-LV"/>
              </w:rPr>
              <w:t>115</w:t>
            </w:r>
          </w:p>
        </w:tc>
      </w:tr>
      <w:tr w14:paraId="3AA47A45" w14:textId="77777777" w:rsidTr="00F80C79">
        <w:tblPrEx>
          <w:tblW w:w="9407" w:type="dxa"/>
          <w:tblLayout w:type="fixed"/>
          <w:tblLook w:val="04A0"/>
        </w:tblPrEx>
        <w:trPr>
          <w:trHeight w:val="20"/>
        </w:trPr>
        <w:tc>
          <w:tcPr>
            <w:tcW w:w="4316" w:type="dxa"/>
            <w:vAlign w:val="bottom"/>
            <w:hideMark/>
          </w:tcPr>
          <w:p w:rsidR="00D1081D" w:rsidRPr="00EE3B00" w:rsidP="00F80C79" w14:paraId="0DDB30EE" w14:textId="77777777">
            <w:pPr>
              <w:spacing w:after="0" w:line="240" w:lineRule="auto"/>
              <w:jc w:val="right"/>
              <w:rPr>
                <w:b/>
                <w:bCs/>
                <w:color w:val="000000"/>
                <w:lang w:eastAsia="lv-LV"/>
              </w:rPr>
            </w:pPr>
            <w:r>
              <w:rPr>
                <w:b/>
                <w:bCs/>
                <w:color w:val="000000"/>
                <w:lang w:eastAsia="lv-LV"/>
              </w:rPr>
              <w:t>Izdevumi kopā</w:t>
            </w:r>
          </w:p>
        </w:tc>
        <w:tc>
          <w:tcPr>
            <w:tcW w:w="1234" w:type="dxa"/>
            <w:noWrap/>
            <w:vAlign w:val="bottom"/>
            <w:hideMark/>
          </w:tcPr>
          <w:p w:rsidR="00D1081D" w:rsidRPr="00EE3B00" w:rsidP="00F80C79" w14:paraId="2CF0DBE0" w14:textId="77777777">
            <w:pPr>
              <w:spacing w:after="0" w:line="240" w:lineRule="auto"/>
              <w:jc w:val="center"/>
              <w:rPr>
                <w:b/>
                <w:bCs/>
                <w:color w:val="000000"/>
                <w:lang w:eastAsia="lv-LV"/>
              </w:rPr>
            </w:pPr>
            <w:r>
              <w:rPr>
                <w:b/>
                <w:bCs/>
                <w:color w:val="000000"/>
                <w:lang w:eastAsia="lv-LV"/>
              </w:rPr>
              <w:t>307919.29</w:t>
            </w:r>
          </w:p>
        </w:tc>
        <w:tc>
          <w:tcPr>
            <w:tcW w:w="1234" w:type="dxa"/>
          </w:tcPr>
          <w:p w:rsidR="00D1081D" w:rsidRPr="00EE3B00" w:rsidP="00F80C79" w14:paraId="2F2FE9CE" w14:textId="77777777">
            <w:pPr>
              <w:spacing w:after="0" w:line="240" w:lineRule="auto"/>
              <w:jc w:val="center"/>
              <w:rPr>
                <w:b/>
                <w:bCs/>
                <w:color w:val="000000"/>
                <w:lang w:eastAsia="lv-LV"/>
              </w:rPr>
            </w:pPr>
            <w:r>
              <w:rPr>
                <w:b/>
                <w:bCs/>
                <w:color w:val="000000"/>
                <w:lang w:eastAsia="lv-LV"/>
              </w:rPr>
              <w:t>117015.00</w:t>
            </w:r>
          </w:p>
        </w:tc>
        <w:tc>
          <w:tcPr>
            <w:tcW w:w="1234" w:type="dxa"/>
          </w:tcPr>
          <w:p w:rsidR="00D1081D" w:rsidRPr="00A33DB7" w:rsidP="00F80C79" w14:paraId="5C295DF9" w14:textId="77777777">
            <w:pPr>
              <w:spacing w:after="0" w:line="240" w:lineRule="auto"/>
              <w:jc w:val="center"/>
              <w:rPr>
                <w:b/>
                <w:bCs/>
                <w:color w:val="000000"/>
                <w:lang w:eastAsia="lv-LV"/>
              </w:rPr>
            </w:pPr>
            <w:r>
              <w:rPr>
                <w:b/>
                <w:bCs/>
                <w:color w:val="000000"/>
                <w:lang w:eastAsia="lv-LV"/>
              </w:rPr>
              <w:t>117976.86</w:t>
            </w:r>
          </w:p>
        </w:tc>
        <w:tc>
          <w:tcPr>
            <w:tcW w:w="1389" w:type="dxa"/>
            <w:vAlign w:val="center"/>
          </w:tcPr>
          <w:p w:rsidR="00D1081D" w:rsidRPr="0021467D" w:rsidP="00F80C79" w14:paraId="3A070701" w14:textId="77777777">
            <w:pPr>
              <w:spacing w:after="0" w:line="240" w:lineRule="auto"/>
              <w:jc w:val="center"/>
              <w:rPr>
                <w:b/>
                <w:bCs/>
                <w:color w:val="000000"/>
                <w:lang w:eastAsia="lv-LV"/>
              </w:rPr>
            </w:pPr>
            <w:r>
              <w:rPr>
                <w:b/>
                <w:bCs/>
                <w:color w:val="000000"/>
                <w:lang w:eastAsia="lv-LV"/>
              </w:rPr>
              <w:t>132 467.52</w:t>
            </w:r>
          </w:p>
        </w:tc>
      </w:tr>
    </w:tbl>
    <w:p w:rsidR="001E280F" w:rsidP="00D1081D" w14:paraId="1FEEA715" w14:textId="77777777">
      <w:pPr>
        <w:spacing w:after="0" w:line="276" w:lineRule="auto"/>
        <w:ind w:firstLine="720"/>
        <w:jc w:val="both"/>
      </w:pPr>
    </w:p>
    <w:p w:rsidR="00D1081D" w:rsidRPr="007B4C65" w:rsidP="006F3455" w14:paraId="52F378CA" w14:textId="6A51D462">
      <w:pPr>
        <w:spacing w:after="0" w:line="240" w:lineRule="auto"/>
        <w:ind w:firstLine="567"/>
        <w:jc w:val="both"/>
        <w:rPr>
          <w:highlight w:val="yellow"/>
        </w:rPr>
      </w:pPr>
      <w:r>
        <w:t>Saskaņā ar Aizkraukles novada pašvaldības attīstības programmas 2021.-2027.</w:t>
      </w:r>
      <w:r w:rsidR="006F3455">
        <w:t> </w:t>
      </w:r>
      <w:r>
        <w:t xml:space="preserve">gadam izvirzīto uzdevumu Nr. 3.3.3 Veicināt sadarbību ar NVO un uzņēmumiem sociālo pakalpojumu sniegšanā un piedāvājuma pilnveidošanā, 2025. gadā pakalpojumu Aprūpe mājās pakalpojumu Aizkraukles novadā nodrošināja </w:t>
      </w:r>
      <w:r w:rsidR="006F3455">
        <w:t>b</w:t>
      </w:r>
      <w:r>
        <w:t xml:space="preserve">iedrība “Latvijas Sarkanais Krusts”. Aprūpes mājās pakalpojumu 2025. gadā saņēma 161 persona, 2024.gadā saņēma 108 personas, 2023.gadā saņēma 136 personas. Tam 2025.gadā izlietoti 78 441 </w:t>
      </w:r>
      <w:r>
        <w:rPr>
          <w:i/>
        </w:rPr>
        <w:t>euro.</w:t>
      </w:r>
    </w:p>
    <w:p w:rsidR="00D1081D" w:rsidRPr="007B4C65" w:rsidP="006F3455" w14:paraId="616DC169" w14:textId="0F5EBD0D">
      <w:pPr>
        <w:spacing w:after="0" w:line="240" w:lineRule="auto"/>
        <w:ind w:firstLine="720"/>
        <w:jc w:val="both"/>
        <w:rPr>
          <w:highlight w:val="yellow"/>
        </w:rPr>
      </w:pPr>
      <w:r>
        <w:t>Turpinot īstenot attīstības programmas uzdevumu Nr. 3.1.5 Izveidot jaunus sociālos pakalpojumus atbilstoši iedzīvotāju vajadzībām, Sociālais dienests 2025.gadā izveidoja jaunu pakalpojumu – Kokneses specializētās darbnīcas, jo ar Aizkraukles novada domes 2024.gada 19.decembra lēmumu Nr. 911 tika nolemts ar 2025. gada 1. februāri likvidēt Kokneses Ģimenes atbalsta dienas centru un izveidot jaunu struktūrvienību Kokneses specializētās darbnīcas. Kokneses specializētās darbnīcas reģistrētas Sociālo pakalpojumu sniedzēju reģistrā 2025. gada 2</w:t>
      </w:r>
      <w:r w:rsidR="006F3455">
        <w:t>. </w:t>
      </w:r>
      <w:r>
        <w:t>septembrī ar Nr. 1972.</w:t>
      </w:r>
    </w:p>
    <w:p w:rsidR="00D1081D" w:rsidP="006F3455" w14:paraId="4AA1C5CA" w14:textId="1D7A237F">
      <w:pPr>
        <w:spacing w:after="0" w:line="240" w:lineRule="auto"/>
        <w:ind w:firstLine="567"/>
        <w:jc w:val="both"/>
      </w:pPr>
      <w:r>
        <w:t>2025.</w:t>
      </w:r>
      <w:r w:rsidR="006F3455">
        <w:t> </w:t>
      </w:r>
      <w:r>
        <w:t xml:space="preserve">gadā Aizkraukles novada Sociālais dienests iesaistījās Labklājības ministrijas īstenotajā Eiropas Savienības kohēzijas politikas programmas 2021. – 2027. gadam Eiropas Sociālā fonda Plus 4.3.5.4. pasākuma projektā “Profesionāla un mūsdienīga sociālā darba attīstība”, 4.3.5.4/1/24/I/001, kā rezultātā darbinieki piedalījās apmācībās, kā arī pašvaldība saņēma kompensāciju par sociālā darba speciālistiem nodrošinātajām supervīzijām kopumā 7 404 </w:t>
      </w:r>
      <w:r>
        <w:rPr>
          <w:i/>
          <w:iCs/>
        </w:rPr>
        <w:t xml:space="preserve">euro </w:t>
      </w:r>
      <w:r>
        <w:t>apmērā.</w:t>
      </w:r>
    </w:p>
    <w:p w:rsidR="00D1081D" w:rsidRPr="00F279E1" w:rsidP="006F3455" w14:paraId="3B2DBEC2" w14:textId="152A5E51">
      <w:pPr>
        <w:spacing w:after="0" w:line="240" w:lineRule="auto"/>
        <w:ind w:firstLine="567"/>
        <w:jc w:val="both"/>
      </w:pPr>
      <w:r>
        <w:t>2025.</w:t>
      </w:r>
      <w:r w:rsidR="006F3455">
        <w:t> </w:t>
      </w:r>
      <w:r>
        <w:t>gadā uzsākta projekta Atbalsta pasākumi cilvēkiem ar invaliditāti mājokļu vides pieejamības nodrošināšanai Aizkraukles novadā Nr. 3.1.2.1.i.0/2/24/I/CFLA/035 realizācija, kura ietvaros plānota 7 mājokļu vides pielāgošana. Vienlaikus 2025. gadā Aizkraukles novada dome ir pieņēmusi saistošos noteikumus par atbalsta pasākumiem mājokļa vides pielāgošanai personām ar funkcionēšanas ierobežojumiem Aizkraukles novadā, lai veicinātu Latvijas Nacionālais attīstības plāna 2021.-2027.</w:t>
      </w:r>
      <w:r w:rsidR="006F3455">
        <w:t> </w:t>
      </w:r>
      <w:r>
        <w:t>gadam</w:t>
      </w:r>
      <w:r>
        <w:rPr>
          <w:b/>
          <w:bCs/>
        </w:rPr>
        <w:t xml:space="preserve"> </w:t>
      </w:r>
      <w:r>
        <w:t>prioritātes "Kvalitatīva dzīves vide un teritoriju attīstība" ietvaros noteiktā rīcības virzienā "Tehnoloģiskā vide un pakalpojumi" paredzētā uzdevuma fiziskās un digitālās vides pieejamības un piekļūstamības palielināšanai, rīcības virzienā "Mājoklis" - mājokļa pieejamības uzlabošana grūtībās nonākušiem un nelabvēlīgā situācijā esošiem iedzīvotājiem, sociālo mājokļu atjaunošanai.</w:t>
      </w:r>
    </w:p>
    <w:p w:rsidR="00D1081D" w:rsidRPr="009252AF" w:rsidP="006F3455" w14:paraId="64FBF34A" w14:textId="77777777">
      <w:pPr>
        <w:spacing w:after="0" w:line="240" w:lineRule="auto"/>
        <w:ind w:firstLine="567"/>
        <w:jc w:val="both"/>
      </w:pPr>
      <w:r>
        <w:t>Sociālais dienests turpina virzīties uz 2023. gadā izvirzītajām 4 prioritātēm, iesaistot visus Sociālā dienesta darbiniekus:</w:t>
      </w:r>
    </w:p>
    <w:p w:rsidR="00D1081D" w:rsidRPr="009252AF" w:rsidP="006F3455" w14:paraId="30B13D6B" w14:textId="57A6DA78">
      <w:pPr>
        <w:pStyle w:val="ListParagraph"/>
        <w:numPr>
          <w:ilvl w:val="0"/>
          <w:numId w:val="5"/>
        </w:numPr>
        <w:spacing w:after="0" w:line="240" w:lineRule="auto"/>
        <w:ind w:left="567" w:hanging="709"/>
        <w:contextualSpacing w:val="0"/>
        <w:jc w:val="both"/>
      </w:pPr>
      <w:r>
        <w:t>c</w:t>
      </w:r>
      <w:r>
        <w:t>ilvēkresursu attīstība, rūpes par darbinieku kompetenci, profesionalitāti un labbūtību;</w:t>
      </w:r>
    </w:p>
    <w:p w:rsidR="00D1081D" w:rsidRPr="009252AF" w:rsidP="006F3455" w14:paraId="1A8DFC0D" w14:textId="7DF8B044">
      <w:pPr>
        <w:pStyle w:val="ListParagraph"/>
        <w:numPr>
          <w:ilvl w:val="0"/>
          <w:numId w:val="5"/>
        </w:numPr>
        <w:spacing w:after="0" w:line="240" w:lineRule="auto"/>
        <w:ind w:left="567" w:hanging="709"/>
        <w:contextualSpacing w:val="0"/>
        <w:jc w:val="both"/>
      </w:pPr>
      <w:r>
        <w:t>s</w:t>
      </w:r>
      <w:r>
        <w:t>kaidri, saprotami darba procesi;</w:t>
      </w:r>
    </w:p>
    <w:p w:rsidR="00D1081D" w:rsidRPr="009252AF" w:rsidP="006F3455" w14:paraId="540B51D1" w14:textId="374CE640">
      <w:pPr>
        <w:pStyle w:val="ListParagraph"/>
        <w:numPr>
          <w:ilvl w:val="0"/>
          <w:numId w:val="5"/>
        </w:numPr>
        <w:spacing w:after="0" w:line="240" w:lineRule="auto"/>
        <w:ind w:left="567" w:hanging="709"/>
        <w:contextualSpacing w:val="0"/>
        <w:jc w:val="both"/>
      </w:pPr>
      <w:r>
        <w:t>u</w:t>
      </w:r>
      <w:r>
        <w:t>z rezultātu vērsts kvalitatīvs atbalsts;</w:t>
      </w:r>
    </w:p>
    <w:p w:rsidR="00D1081D" w:rsidRPr="009252AF" w:rsidP="006F3455" w14:paraId="514EA99F" w14:textId="128AC2C3">
      <w:pPr>
        <w:pStyle w:val="ListParagraph"/>
        <w:numPr>
          <w:ilvl w:val="0"/>
          <w:numId w:val="5"/>
        </w:numPr>
        <w:spacing w:after="0" w:line="240" w:lineRule="auto"/>
        <w:ind w:left="567" w:hanging="709"/>
        <w:contextualSpacing w:val="0"/>
        <w:jc w:val="both"/>
      </w:pPr>
      <w:r>
        <w:t>f</w:t>
      </w:r>
      <w:r>
        <w:t xml:space="preserve">inansiāla stabilitāte un ilgtspēja. </w:t>
      </w:r>
    </w:p>
    <w:p w:rsidR="00945BBF" w:rsidRPr="007037B6" w:rsidP="007037B6" w14:paraId="4EB3E893" w14:textId="77777777">
      <w:pPr>
        <w:spacing w:after="60" w:line="240" w:lineRule="auto"/>
        <w:contextualSpacing/>
        <w:jc w:val="both"/>
        <w:rPr>
          <w:b/>
          <w:bCs/>
          <w:i/>
          <w:iCs/>
          <w:color w:val="0F4761" w:themeColor="accent1" w:themeShade="BF"/>
        </w:rPr>
      </w:pPr>
    </w:p>
    <w:p w:rsidR="005040FC" w:rsidRPr="007037B6" w:rsidP="00A7700D" w14:paraId="61B9FC39" w14:textId="09D921AA">
      <w:pPr>
        <w:ind w:firstLine="709"/>
        <w:jc w:val="both"/>
        <w:rPr>
          <w:b/>
          <w:bCs/>
          <w:i/>
          <w:iCs/>
          <w:sz w:val="28"/>
          <w:szCs w:val="28"/>
        </w:rPr>
      </w:pPr>
      <w:r w:rsidRPr="007037B6">
        <w:rPr>
          <w:b/>
          <w:bCs/>
          <w:i/>
          <w:iCs/>
          <w:sz w:val="28"/>
          <w:szCs w:val="28"/>
        </w:rPr>
        <w:t>8. IZGLĪTĪBA NOVADĀ</w:t>
      </w:r>
    </w:p>
    <w:p w:rsidR="005040FC" w:rsidRPr="00C131C3" w:rsidP="002E6AD8" w14:paraId="370DFFD5" w14:textId="77777777">
      <w:pPr>
        <w:spacing w:after="0" w:line="240" w:lineRule="auto"/>
        <w:ind w:firstLine="567"/>
        <w:jc w:val="both"/>
      </w:pPr>
      <w:r>
        <w:t>2025. gadā Aizkraukles novada Izglītības pārvalde turpināja darbu pie izglītības jomas pārvaldības pilnveides, izglītības iestāžu tīkla sakārtošanas, mācību vides uzlabošanas, pedagogu profesionālā atbalsta sistēmas stiprināšanas un Aizkraukles novada izglītības attīstības stratēģijas 2024. līdz 2030. gadam ieviešanas.</w:t>
      </w:r>
    </w:p>
    <w:p w:rsidR="005040FC" w:rsidP="002E6AD8" w14:paraId="2F1C6226" w14:textId="77777777">
      <w:pPr>
        <w:spacing w:after="0" w:line="240" w:lineRule="auto"/>
        <w:ind w:firstLine="567"/>
        <w:jc w:val="both"/>
      </w:pPr>
      <w:r>
        <w:t xml:space="preserve">Darba centrā bija kvalitatīvas, pieejamas un ilgtspējīgas izglītības nodrošināšana novadā. 2025. gads izglītības jomā iezīmējās kā iepriekš pieņemto lēmumu praktiskas īstenošanas posms, īpašu </w:t>
      </w:r>
      <w:r>
        <w:t>uzmanību pievēršot izglītības iestāžu pārmaiņu vadībai, resursu efektīvai izmantošanai un atbalsta pasākumu stiprināšanai izglītojamajiem.</w:t>
      </w:r>
    </w:p>
    <w:p w:rsidR="002E6AD8" w:rsidRPr="00C131C3" w:rsidP="002E6AD8" w14:paraId="74047EB8" w14:textId="77777777">
      <w:pPr>
        <w:spacing w:after="0" w:line="240" w:lineRule="auto"/>
        <w:ind w:firstLine="567"/>
        <w:jc w:val="both"/>
      </w:pPr>
    </w:p>
    <w:p w:rsidR="005040FC" w:rsidRPr="00C131C3" w:rsidP="005040FC" w14:paraId="6EEE287D" w14:textId="1E72696B">
      <w:pPr>
        <w:jc w:val="both"/>
        <w:rPr>
          <w:b/>
          <w:bCs/>
        </w:rPr>
      </w:pPr>
      <w:r>
        <w:rPr>
          <w:b/>
          <w:bCs/>
        </w:rPr>
        <w:t>Galvenie paveiktie darbi 2025. gadā</w:t>
      </w:r>
    </w:p>
    <w:p w:rsidR="005040FC" w:rsidRPr="00C131C3" w:rsidP="002E6AD8" w14:paraId="419437B3" w14:textId="77777777">
      <w:pPr>
        <w:spacing w:after="0" w:line="240" w:lineRule="auto"/>
        <w:ind w:firstLine="567"/>
        <w:jc w:val="both"/>
      </w:pPr>
      <w:r>
        <w:t xml:space="preserve">2025. gadā turpināta 2024. gadā pieņemto lēmumu īstenošana par izglītības iestāžu tīkla pakāpenisku sakārtošanu. Īpaša uzmanība pievērsta Jaunjelgavas vidusskolas, Neretas Jāņa Jaunsudrabiņa vidusskolas un Pļaviņu vidusskolas pakāpeniskās reorganizācijas procesam, kura noslēgums paredzēts 2026. gada 1. septembrī. </w:t>
      </w:r>
    </w:p>
    <w:p w:rsidR="005040FC" w:rsidRPr="00C131C3" w:rsidP="002E6AD8" w14:paraId="6E29A444" w14:textId="77777777">
      <w:pPr>
        <w:spacing w:after="0" w:line="240" w:lineRule="auto"/>
        <w:ind w:firstLine="567"/>
        <w:jc w:val="both"/>
      </w:pPr>
      <w:r>
        <w:t>Nozīmīgs darba virziens bija izglītības iestāžu infrastruktūras pilnveide un aprīkošana. Īpaša uzmanība pievērsta mācību vides uzlabošanai un STEM kabinetu aprīkošanai Eiropas Savienības Atveseļošanas fonda investīciju ietvaros.</w:t>
      </w:r>
    </w:p>
    <w:p w:rsidR="005040FC" w:rsidRPr="009176DE" w:rsidP="002E6AD8" w14:paraId="4E8FC787" w14:textId="77777777">
      <w:pPr>
        <w:spacing w:after="0" w:line="240" w:lineRule="auto"/>
        <w:ind w:firstLine="567"/>
        <w:jc w:val="both"/>
      </w:pPr>
      <w:r>
        <w:t>Pirmsskolas izglītībā turpināta vienotu pieejas principu ieviešana personālresursu nodrošināšanai, grupu komplektēšanai, atbalsta personāla un pedagoģiskā personāla plānošanai. Šis darbs bija vērsts uz pārskatāmāku, vienotāku un iekļaujošāku pirmsskolas izglītības darba organizāciju visā novadā, nodrošinot līdzsvarotāku resursu sadalījumu un atbalstu iestāžu vadības komandām ikdienas darba plānošanā.</w:t>
      </w:r>
    </w:p>
    <w:p w:rsidR="005040FC" w:rsidRPr="00C131C3" w:rsidP="002E6AD8" w14:paraId="7CE66593" w14:textId="77777777">
      <w:pPr>
        <w:spacing w:after="0" w:line="240" w:lineRule="auto"/>
        <w:ind w:firstLine="567"/>
        <w:jc w:val="both"/>
      </w:pPr>
      <w:r>
        <w:t>Īpaša uzmanība pievērsta bērnu vajadzībām atbilstoša pedagoģiskā procesa nodrošināšanai, atbalsta personāla iesaistei, efektīvai grupu komplektēšanai un savlaicīgai atbalsta pasākumu plānošanai. Vienotas pieejas ieviešana stiprina pirmsskolas izglītības kvalitāti, veicina vienlīdzīgākus nosacījumus izglītības pakalpojuma nodrošināšanā un atbalsta iekļaujošas izglītības principu īstenošanu jau pirmsskolas posmā.</w:t>
      </w:r>
    </w:p>
    <w:p w:rsidR="005040FC" w:rsidRPr="00C131C3" w:rsidP="002E6AD8" w14:paraId="2DD3A8F2" w14:textId="77777777">
      <w:pPr>
        <w:spacing w:after="0" w:line="240" w:lineRule="auto"/>
        <w:ind w:firstLine="567"/>
        <w:jc w:val="both"/>
      </w:pPr>
      <w:r>
        <w:t>Izglītības kvalitātes jomā nodrošināta metodiskā darba koordinēšana, pedagogu profesionālās pilnveides atbalsts, izglītības iestāžu vadības komandu konsultēšana un sadarbība ar valsts institūcijām.</w:t>
      </w:r>
    </w:p>
    <w:p w:rsidR="005040FC" w:rsidRPr="00C131C3" w:rsidP="002E6AD8" w14:paraId="2C051F29" w14:textId="77777777">
      <w:pPr>
        <w:spacing w:after="0" w:line="240" w:lineRule="auto"/>
        <w:ind w:firstLine="567"/>
        <w:jc w:val="both"/>
      </w:pPr>
      <w:r>
        <w:t>2025. gadā uzsākta līdzdalība Eiropas Sociālā fonda Plus projektā Nr. 4.2.2.3/1/24/I/001 “Pedagogu profesionālā atbalsta sistēmas izveide”, kas paredz vienotas profesionālā atbalsta sistēmas attīstību pedagogiem un mācību procesa kvalitātes pilnveidi.</w:t>
      </w:r>
    </w:p>
    <w:p w:rsidR="005040FC" w:rsidRPr="00C131C3" w:rsidP="002E6AD8" w14:paraId="5B893A2A" w14:textId="77777777">
      <w:pPr>
        <w:spacing w:after="0" w:line="240" w:lineRule="auto"/>
        <w:ind w:firstLine="567"/>
        <w:jc w:val="both"/>
      </w:pPr>
      <w:r>
        <w:t>Pārskata gadā īstenota kultūrizglītības programma “Latvijas skolas soma”, nodrošinot skolēniem iespēju iepazīt Latvijas mākslas un kultūras norises un papildināt mācību procesu ar kultūrizglītības pieredzi.</w:t>
      </w:r>
    </w:p>
    <w:p w:rsidR="005040FC" w:rsidP="002E6AD8" w14:paraId="3A894808" w14:textId="77777777">
      <w:pPr>
        <w:spacing w:after="0" w:line="240" w:lineRule="auto"/>
        <w:ind w:firstLine="567"/>
        <w:jc w:val="both"/>
      </w:pPr>
      <w:r>
        <w:t>Izglītības jomā turpināti vai uzsākti vairāki projekti un iniciatīvas, tostarp Eiropas Sociālā fonda Plus projekts Nr. 4.2.3.1/1/24/I/001 “Skola – kopienā”, ESF+ projekts Nr. 4.2.2.1/1/25/I/001 “STEM un pilsoniskās līdzdalības norises plašākai izglītības pieredzei un karjeras izvēlei”, kā arī Erasmus+ projekti “Patiesības kompass: dezinformācijas izaicinājums” un “Seeds of Change: Cultivating Sustainable Agriculture for Future Generations”.</w:t>
      </w:r>
    </w:p>
    <w:p w:rsidR="005040FC" w:rsidP="002E6AD8" w14:paraId="3F9D2E87" w14:textId="77777777">
      <w:pPr>
        <w:spacing w:after="0" w:line="240" w:lineRule="auto"/>
        <w:ind w:firstLine="567"/>
        <w:jc w:val="both"/>
      </w:pPr>
      <w:r>
        <w:t>Izglītības iestādes iesaistījās Jaunatnes politikas valsts programmas 2025.–2027. gadam atklātajā projektu konkursā “Atbalsts izglītības iestāžu pašpārvalžu attīstībai programmas “Kontakts” iniciatīvu projektu īstenošanai”, stiprinot skolēnu pašpārvalžu darbību, līdzdalību un sadarbības prasmes.</w:t>
      </w:r>
    </w:p>
    <w:p w:rsidR="005040FC" w:rsidP="002E6AD8" w14:paraId="0C0EBFCC" w14:textId="77777777">
      <w:pPr>
        <w:spacing w:after="0" w:line="240" w:lineRule="auto"/>
        <w:ind w:firstLine="567"/>
        <w:jc w:val="both"/>
      </w:pPr>
      <w:r>
        <w:t xml:space="preserve">Izglītība 2025. gadā saglabājās viena no nozīmīgākajām pašvaldības budžeta jomām. Sākotnējā 2025. gada budžetā izglītības jomai bija paredzēti </w:t>
      </w:r>
      <w:r>
        <w:rPr>
          <w:b/>
          <w:bCs/>
        </w:rPr>
        <w:t>24 630 034 eiro</w:t>
      </w:r>
      <w:r>
        <w:t xml:space="preserve">, bet pēc budžeta grozījumiem izglītības funkcijai paredzētais finansējums bija </w:t>
      </w:r>
      <w:r>
        <w:rPr>
          <w:b/>
          <w:bCs/>
        </w:rPr>
        <w:t>30 736 738 eiro</w:t>
      </w:r>
      <w:r>
        <w:t>.</w:t>
      </w:r>
    </w:p>
    <w:p w:rsidR="005040FC" w:rsidP="002E6AD8" w14:paraId="2CE0A4EA" w14:textId="77777777">
      <w:pPr>
        <w:spacing w:after="0" w:line="240" w:lineRule="auto"/>
        <w:ind w:firstLine="567"/>
        <w:jc w:val="both"/>
      </w:pPr>
      <w:r>
        <w:t>Būtiskākās izdevumu pozīcijas bija pedagogu atlīdzība, pirmsskolas un vispārējās izglītības iestāžu uzturēšana, profesionālās ievirzes programmu nodrošināšana, izglītības atbalsta pasākumi, ēdināšana, skolēnu pārvadājumi, interešu izglītība, jauniešu aktivitātes, materiāli tehniskās bāzes papildināšana un izglītības iestāžu remontdarbi.</w:t>
      </w:r>
    </w:p>
    <w:p w:rsidR="002E6AD8" w:rsidRPr="00C131C3" w:rsidP="002E6AD8" w14:paraId="354B05ED" w14:textId="77777777">
      <w:pPr>
        <w:spacing w:after="0" w:line="240" w:lineRule="auto"/>
        <w:ind w:firstLine="567"/>
        <w:jc w:val="both"/>
        <w:rPr>
          <w:i/>
          <w:iCs/>
          <w:color w:val="EE0000"/>
        </w:rPr>
      </w:pPr>
    </w:p>
    <w:p w:rsidR="005040FC" w:rsidRPr="00C131C3" w:rsidP="005040FC" w14:paraId="41237A80" w14:textId="2DA87CA0">
      <w:pPr>
        <w:jc w:val="both"/>
        <w:rPr>
          <w:b/>
          <w:bCs/>
        </w:rPr>
      </w:pPr>
      <w:r>
        <w:rPr>
          <w:b/>
          <w:bCs/>
        </w:rPr>
        <w:t>Pēctecība salīdzinājumā ar 2024. gadu</w:t>
      </w:r>
    </w:p>
    <w:p w:rsidR="005040FC" w:rsidRPr="00C131C3" w:rsidP="002E6AD8" w14:paraId="091F6402" w14:textId="77777777">
      <w:pPr>
        <w:spacing w:after="0" w:line="240" w:lineRule="auto"/>
        <w:ind w:firstLine="567"/>
        <w:jc w:val="both"/>
      </w:pPr>
      <w:r>
        <w:t xml:space="preserve">2025. gadā Izglītības pārvaldes darbs turpināja 2024. gadā uzsāktos nozīmīgākos izglītības nozares attīstības virzienus. Ja 2024. gadā būtisks uzsvars bija uz izglītības iestāžu tīkla sakārtošanas lēmumu pieņemšanu, izglītības attīstības stratēģijas izstrādi, pirmsskolas izglītības darba </w:t>
      </w:r>
      <w:r>
        <w:t xml:space="preserve">organizācijas principu pilnveidi un infrastruktūras attīstības plānošanu, tad 2025. gadā galvenais uzsvars tika likts uz šo virzienu praktisku īstenošanu. </w:t>
      </w:r>
    </w:p>
    <w:p w:rsidR="005040FC" w:rsidP="002E6AD8" w14:paraId="144C5C99" w14:textId="77777777">
      <w:pPr>
        <w:spacing w:after="0" w:line="240" w:lineRule="auto"/>
        <w:ind w:firstLine="567"/>
        <w:jc w:val="both"/>
      </w:pPr>
      <w:r>
        <w:t>Pārskata gads vērtējams kā pārejas un ieviešanas posms, kurā iepriekš pieņemtie lēmumi tika sasaistīti ar projektu īstenošanu, izglītības kvalitātes pārraudzību, pedagogu profesionālo atbalstu un mācību vides modernizāciju.</w:t>
      </w:r>
    </w:p>
    <w:p w:rsidR="002E6AD8" w:rsidRPr="00C131C3" w:rsidP="002E6AD8" w14:paraId="437C8C69" w14:textId="77777777">
      <w:pPr>
        <w:spacing w:after="0" w:line="240" w:lineRule="auto"/>
        <w:ind w:firstLine="567"/>
        <w:jc w:val="both"/>
      </w:pPr>
    </w:p>
    <w:p w:rsidR="005040FC" w:rsidRPr="00C131C3" w:rsidP="005040FC" w14:paraId="50891214" w14:textId="4918615B">
      <w:pPr>
        <w:jc w:val="both"/>
        <w:rPr>
          <w:b/>
          <w:bCs/>
        </w:rPr>
      </w:pPr>
      <w:r>
        <w:rPr>
          <w:b/>
          <w:bCs/>
        </w:rPr>
        <w:t>Stratēģijas ieviešana</w:t>
      </w:r>
    </w:p>
    <w:p w:rsidR="005040FC" w:rsidRPr="00C131C3" w:rsidP="002E6AD8" w14:paraId="35876175" w14:textId="32E29D7B">
      <w:pPr>
        <w:spacing w:after="0" w:line="240" w:lineRule="auto"/>
        <w:ind w:firstLine="567"/>
        <w:jc w:val="both"/>
      </w:pPr>
      <w:r>
        <w:t>Pārskata gadā turpināta Aizkraukles novada izglītības attīstības stratēģijas 2024. līdz 2030.</w:t>
      </w:r>
      <w:r w:rsidR="002E6AD8">
        <w:t> </w:t>
      </w:r>
      <w:r>
        <w:t>gadam ieviešana. Stratēģijas īstenošana bija saistīta ar izglītības kvalitātes pārraudzību, resursu efektīvu izmantošanu, datu analīzi, metodiskā darba pilnveidi, iekļaujošas izglītības stiprināšanu un mācību vides modernizāciju.</w:t>
      </w:r>
    </w:p>
    <w:p w:rsidR="005040FC" w:rsidP="002E6AD8" w14:paraId="25B29754" w14:textId="77777777">
      <w:pPr>
        <w:spacing w:after="0" w:line="240" w:lineRule="auto"/>
        <w:ind w:firstLine="567"/>
        <w:jc w:val="both"/>
      </w:pPr>
      <w:r>
        <w:t>Īpaša uzmanība pievērsta izglītības iestāžu tīkla pārmaiņu vadībai, pedagogu profesionālā atbalsta sistēmas attīstībai un vienotas pieejas stiprināšanai izglītības pakalpojumu plānošanā novadā.</w:t>
      </w:r>
    </w:p>
    <w:p w:rsidR="002E6AD8" w:rsidRPr="00C131C3" w:rsidP="002E6AD8" w14:paraId="3898C168" w14:textId="77777777">
      <w:pPr>
        <w:spacing w:after="0" w:line="240" w:lineRule="auto"/>
        <w:ind w:firstLine="567"/>
        <w:jc w:val="both"/>
      </w:pPr>
    </w:p>
    <w:p w:rsidR="005040FC" w:rsidRPr="00C131C3" w:rsidP="005040FC" w14:paraId="4F64327A" w14:textId="38DE269C">
      <w:pPr>
        <w:jc w:val="both"/>
        <w:rPr>
          <w:b/>
          <w:bCs/>
        </w:rPr>
      </w:pPr>
      <w:r>
        <w:rPr>
          <w:b/>
          <w:bCs/>
        </w:rPr>
        <w:t>2026. gada prioritātes</w:t>
      </w:r>
    </w:p>
    <w:p w:rsidR="005040FC" w:rsidRPr="00C131C3" w:rsidP="002E6AD8" w14:paraId="51F15EAA" w14:textId="77777777">
      <w:pPr>
        <w:spacing w:after="0" w:line="240" w:lineRule="auto"/>
        <w:ind w:firstLine="567"/>
        <w:jc w:val="both"/>
      </w:pPr>
      <w:r>
        <w:t>2026. gadā Izglītības pārvaldes prioritātes būs izglītības kvalitātes pārraudzības pilnveide, pedagogu profesionālā atbalsta sistēmas attīstība, izglītības iestāžu tīkla pārmaiņu vadība un Aizkraukles novada izglītības stratēģijas rīcības plāna īstenošana.</w:t>
      </w:r>
    </w:p>
    <w:p w:rsidR="005040FC" w:rsidP="002E6AD8" w14:paraId="33C992A0" w14:textId="77777777">
      <w:pPr>
        <w:spacing w:after="0" w:line="240" w:lineRule="auto"/>
        <w:ind w:firstLine="567"/>
        <w:jc w:val="both"/>
      </w:pPr>
      <w:r>
        <w:t>Turpināms darbs pie iekļaujošas izglītības stiprināšanas, interešu izglītības piedāvājuma pilnveides, mācību vides un infrastruktūras uzlabošanas, pirmsskolas izglītības darba organizācijas pilnveides, izglītojamo talantu atbalsta un datu izmantošanas lēmumu pieņemšanā.</w:t>
      </w:r>
    </w:p>
    <w:p w:rsidR="002E6AD8" w:rsidRPr="00C131C3" w:rsidP="002E6AD8" w14:paraId="47DBF02E" w14:textId="77777777">
      <w:pPr>
        <w:spacing w:after="0" w:line="240" w:lineRule="auto"/>
        <w:ind w:firstLine="567"/>
        <w:jc w:val="both"/>
      </w:pPr>
    </w:p>
    <w:p w:rsidR="005040FC" w:rsidRPr="00C131C3" w:rsidP="005040FC" w14:paraId="570AC90F" w14:textId="0F5ED69A">
      <w:pPr>
        <w:jc w:val="both"/>
        <w:rPr>
          <w:b/>
          <w:bCs/>
        </w:rPr>
      </w:pPr>
      <w:r>
        <w:rPr>
          <w:b/>
          <w:bCs/>
        </w:rPr>
        <w:t>Galvenie rādītāji</w:t>
      </w:r>
    </w:p>
    <w:tbl>
      <w:tblPr>
        <w:tblStyle w:val="TableGrid"/>
        <w:tblW w:w="0" w:type="auto"/>
        <w:jc w:val="center"/>
        <w:tblLook w:val="04A0"/>
      </w:tblPr>
      <w:tblGrid>
        <w:gridCol w:w="5312"/>
        <w:gridCol w:w="4315"/>
      </w:tblGrid>
      <w:tr w14:paraId="753620DA" w14:textId="77777777" w:rsidTr="00D97D5C">
        <w:tblPrEx>
          <w:tblW w:w="0" w:type="auto"/>
          <w:jc w:val="center"/>
          <w:tblLook w:val="04A0"/>
        </w:tblPrEx>
        <w:trPr>
          <w:jc w:val="center"/>
        </w:trPr>
        <w:tc>
          <w:tcPr>
            <w:tcW w:w="5312" w:type="dxa"/>
            <w:shd w:val="clear" w:color="auto" w:fill="D9EAF7"/>
          </w:tcPr>
          <w:p w:rsidR="005040FC" w:rsidRPr="00C131C3" w:rsidP="00F80C79" w14:paraId="53D0227C" w14:textId="77777777">
            <w:pPr>
              <w:jc w:val="both"/>
            </w:pPr>
            <w:r>
              <w:t>Rādītājs</w:t>
            </w:r>
          </w:p>
        </w:tc>
        <w:tc>
          <w:tcPr>
            <w:tcW w:w="4315" w:type="dxa"/>
            <w:shd w:val="clear" w:color="auto" w:fill="D9EAF7"/>
          </w:tcPr>
          <w:p w:rsidR="005040FC" w:rsidRPr="00C131C3" w:rsidP="00F80C79" w14:paraId="72C7C74F" w14:textId="77777777">
            <w:pPr>
              <w:jc w:val="both"/>
            </w:pPr>
            <w:r>
              <w:t>2025. gads</w:t>
            </w:r>
          </w:p>
        </w:tc>
      </w:tr>
      <w:tr w14:paraId="703A4408" w14:textId="77777777" w:rsidTr="00D97D5C">
        <w:tblPrEx>
          <w:tblW w:w="0" w:type="auto"/>
          <w:jc w:val="center"/>
          <w:tblLook w:val="04A0"/>
        </w:tblPrEx>
        <w:trPr>
          <w:jc w:val="center"/>
        </w:trPr>
        <w:tc>
          <w:tcPr>
            <w:tcW w:w="5312" w:type="dxa"/>
          </w:tcPr>
          <w:p w:rsidR="005040FC" w:rsidRPr="00C131C3" w:rsidP="00F80C79" w14:paraId="38972E7A" w14:textId="77777777">
            <w:pPr>
              <w:jc w:val="both"/>
            </w:pPr>
            <w:r>
              <w:t>Izglītības iestāžu skaits</w:t>
            </w:r>
          </w:p>
        </w:tc>
        <w:tc>
          <w:tcPr>
            <w:tcW w:w="4315" w:type="dxa"/>
          </w:tcPr>
          <w:p w:rsidR="005040FC" w:rsidRPr="00C131C3" w:rsidP="00F80C79" w14:paraId="1ADECBB9" w14:textId="77777777">
            <w:pPr>
              <w:jc w:val="both"/>
            </w:pPr>
            <w:r>
              <w:t>31</w:t>
            </w:r>
          </w:p>
        </w:tc>
      </w:tr>
      <w:tr w14:paraId="5E927FC9" w14:textId="77777777" w:rsidTr="00D97D5C">
        <w:tblPrEx>
          <w:tblW w:w="0" w:type="auto"/>
          <w:jc w:val="center"/>
          <w:tblLook w:val="04A0"/>
        </w:tblPrEx>
        <w:trPr>
          <w:jc w:val="center"/>
        </w:trPr>
        <w:tc>
          <w:tcPr>
            <w:tcW w:w="5312" w:type="dxa"/>
          </w:tcPr>
          <w:p w:rsidR="005040FC" w:rsidRPr="00D13B35" w:rsidP="00F80C79" w14:paraId="0650E038" w14:textId="77777777">
            <w:pPr>
              <w:jc w:val="both"/>
            </w:pPr>
            <w:r>
              <w:t>Izglītojamo skaits vispārējā izglītībā</w:t>
            </w:r>
          </w:p>
        </w:tc>
        <w:tc>
          <w:tcPr>
            <w:tcW w:w="4315" w:type="dxa"/>
          </w:tcPr>
          <w:p w:rsidR="005040FC" w:rsidRPr="00D13B35" w:rsidP="00F80C79" w14:paraId="67B67AD1" w14:textId="77777777">
            <w:pPr>
              <w:jc w:val="both"/>
            </w:pPr>
            <w:r>
              <w:t>3940</w:t>
            </w:r>
          </w:p>
        </w:tc>
      </w:tr>
      <w:tr w14:paraId="55F254B4" w14:textId="77777777" w:rsidTr="00D97D5C">
        <w:tblPrEx>
          <w:tblW w:w="0" w:type="auto"/>
          <w:jc w:val="center"/>
          <w:tblLook w:val="04A0"/>
        </w:tblPrEx>
        <w:trPr>
          <w:jc w:val="center"/>
        </w:trPr>
        <w:tc>
          <w:tcPr>
            <w:tcW w:w="5312" w:type="dxa"/>
          </w:tcPr>
          <w:p w:rsidR="00D97D5C" w:rsidP="00F80C79" w14:paraId="5FC394C8" w14:textId="33466836">
            <w:pPr>
              <w:jc w:val="both"/>
            </w:pPr>
            <w:r w:rsidRPr="00A06D2F">
              <w:t>Tajā skaitā Kokneses pamatskolā</w:t>
            </w:r>
            <w:r>
              <w:t xml:space="preserve"> - </w:t>
            </w:r>
            <w:r w:rsidRPr="00A06D2F">
              <w:t xml:space="preserve"> attīstības centrā</w:t>
            </w:r>
          </w:p>
        </w:tc>
        <w:tc>
          <w:tcPr>
            <w:tcW w:w="4315" w:type="dxa"/>
          </w:tcPr>
          <w:p w:rsidR="00D97D5C" w:rsidP="00F80C79" w14:paraId="6D2F984B" w14:textId="6C877072">
            <w:pPr>
              <w:jc w:val="both"/>
            </w:pPr>
            <w:r>
              <w:t>117</w:t>
            </w:r>
          </w:p>
        </w:tc>
      </w:tr>
      <w:tr w14:paraId="52E345E7" w14:textId="77777777" w:rsidTr="00D97D5C">
        <w:tblPrEx>
          <w:tblW w:w="0" w:type="auto"/>
          <w:jc w:val="center"/>
          <w:tblLook w:val="04A0"/>
        </w:tblPrEx>
        <w:trPr>
          <w:jc w:val="center"/>
        </w:trPr>
        <w:tc>
          <w:tcPr>
            <w:tcW w:w="5312" w:type="dxa"/>
          </w:tcPr>
          <w:p w:rsidR="005040FC" w:rsidRPr="00D13B35" w:rsidP="00F80C79" w14:paraId="353D3662" w14:textId="77777777">
            <w:pPr>
              <w:jc w:val="both"/>
            </w:pPr>
            <w:r>
              <w:t>Izglītojamo skaits profesionālās ievirzes izglītībā</w:t>
            </w:r>
          </w:p>
        </w:tc>
        <w:tc>
          <w:tcPr>
            <w:tcW w:w="4315" w:type="dxa"/>
          </w:tcPr>
          <w:p w:rsidR="005040FC" w:rsidRPr="00D13B35" w:rsidP="00F80C79" w14:paraId="085C2AD1" w14:textId="77777777">
            <w:pPr>
              <w:jc w:val="both"/>
            </w:pPr>
            <w:r>
              <w:t>1208</w:t>
            </w:r>
          </w:p>
        </w:tc>
      </w:tr>
      <w:tr w14:paraId="7054D4A1" w14:textId="77777777" w:rsidTr="00D97D5C">
        <w:tblPrEx>
          <w:tblW w:w="0" w:type="auto"/>
          <w:jc w:val="center"/>
          <w:tblLook w:val="04A0"/>
        </w:tblPrEx>
        <w:trPr>
          <w:jc w:val="center"/>
        </w:trPr>
        <w:tc>
          <w:tcPr>
            <w:tcW w:w="5312" w:type="dxa"/>
          </w:tcPr>
          <w:p w:rsidR="005040FC" w:rsidRPr="00F70768" w:rsidP="00F80C79" w14:paraId="73FD8EAC" w14:textId="77777777">
            <w:pPr>
              <w:jc w:val="both"/>
            </w:pPr>
            <w:r>
              <w:t>Pedagogu skaits</w:t>
            </w:r>
          </w:p>
        </w:tc>
        <w:tc>
          <w:tcPr>
            <w:tcW w:w="4315" w:type="dxa"/>
          </w:tcPr>
          <w:p w:rsidR="005040FC" w:rsidRPr="00F70768" w:rsidP="00F80C79" w14:paraId="615761EE" w14:textId="77777777">
            <w:pPr>
              <w:jc w:val="both"/>
            </w:pPr>
            <w:r>
              <w:t>763</w:t>
            </w:r>
          </w:p>
        </w:tc>
      </w:tr>
      <w:tr w14:paraId="0038FE6C" w14:textId="77777777" w:rsidTr="00D97D5C">
        <w:tblPrEx>
          <w:tblW w:w="0" w:type="auto"/>
          <w:jc w:val="center"/>
          <w:tblLook w:val="04A0"/>
        </w:tblPrEx>
        <w:trPr>
          <w:jc w:val="center"/>
        </w:trPr>
        <w:tc>
          <w:tcPr>
            <w:tcW w:w="5312" w:type="dxa"/>
          </w:tcPr>
          <w:p w:rsidR="005040FC" w:rsidRPr="00F70768" w:rsidP="00F80C79" w14:paraId="016E1748" w14:textId="77777777">
            <w:pPr>
              <w:jc w:val="both"/>
            </w:pPr>
            <w:r>
              <w:t>STEM un pilsoniskās līdzdalības norišu skaits</w:t>
            </w:r>
          </w:p>
        </w:tc>
        <w:tc>
          <w:tcPr>
            <w:tcW w:w="4315" w:type="dxa"/>
          </w:tcPr>
          <w:p w:rsidR="005040FC" w:rsidRPr="00F70768" w:rsidP="00F80C79" w14:paraId="777FE31E" w14:textId="77777777">
            <w:pPr>
              <w:jc w:val="both"/>
            </w:pPr>
            <w:r>
              <w:t>115</w:t>
            </w:r>
          </w:p>
        </w:tc>
      </w:tr>
      <w:tr w14:paraId="2B6EE22A" w14:textId="77777777" w:rsidTr="00D97D5C">
        <w:tblPrEx>
          <w:tblW w:w="0" w:type="auto"/>
          <w:jc w:val="center"/>
          <w:tblLook w:val="04A0"/>
        </w:tblPrEx>
        <w:trPr>
          <w:jc w:val="center"/>
        </w:trPr>
        <w:tc>
          <w:tcPr>
            <w:tcW w:w="5312" w:type="dxa"/>
          </w:tcPr>
          <w:p w:rsidR="005040FC" w:rsidP="00F80C79" w14:paraId="2585324E" w14:textId="77777777">
            <w:pPr>
              <w:jc w:val="both"/>
            </w:pPr>
            <w:r>
              <w:t>STEM un pilsoniskās līdzdalības norišu dalībnieku skaits</w:t>
            </w:r>
          </w:p>
        </w:tc>
        <w:tc>
          <w:tcPr>
            <w:tcW w:w="4315" w:type="dxa"/>
          </w:tcPr>
          <w:p w:rsidR="005040FC" w:rsidP="00F80C79" w14:paraId="01E78F3E" w14:textId="77777777">
            <w:pPr>
              <w:jc w:val="both"/>
            </w:pPr>
            <w:r>
              <w:t>1770</w:t>
            </w:r>
          </w:p>
        </w:tc>
      </w:tr>
      <w:tr w14:paraId="750C60BF" w14:textId="77777777" w:rsidTr="00D97D5C">
        <w:tblPrEx>
          <w:tblW w:w="0" w:type="auto"/>
          <w:jc w:val="center"/>
          <w:tblLook w:val="04A0"/>
        </w:tblPrEx>
        <w:trPr>
          <w:jc w:val="center"/>
        </w:trPr>
        <w:tc>
          <w:tcPr>
            <w:tcW w:w="5312" w:type="dxa"/>
          </w:tcPr>
          <w:p w:rsidR="005040FC" w:rsidRPr="009176DE" w:rsidP="00F80C79" w14:paraId="57E73848" w14:textId="77777777">
            <w:pPr>
              <w:jc w:val="both"/>
            </w:pPr>
            <w:r>
              <w:t>Projektā “Skola – kopienā” izstrādātie individuālie atbalsta plāni izglītojamajiem</w:t>
            </w:r>
          </w:p>
        </w:tc>
        <w:tc>
          <w:tcPr>
            <w:tcW w:w="4315" w:type="dxa"/>
          </w:tcPr>
          <w:p w:rsidR="005040FC" w:rsidP="00F80C79" w14:paraId="5C66F686" w14:textId="77777777">
            <w:pPr>
              <w:jc w:val="both"/>
            </w:pPr>
            <w:r>
              <w:t>51</w:t>
            </w:r>
          </w:p>
        </w:tc>
      </w:tr>
      <w:tr w14:paraId="034E3906" w14:textId="77777777" w:rsidTr="00D97D5C">
        <w:tblPrEx>
          <w:tblW w:w="0" w:type="auto"/>
          <w:jc w:val="center"/>
          <w:tblLook w:val="04A0"/>
        </w:tblPrEx>
        <w:trPr>
          <w:jc w:val="center"/>
        </w:trPr>
        <w:tc>
          <w:tcPr>
            <w:tcW w:w="5312" w:type="dxa"/>
          </w:tcPr>
          <w:p w:rsidR="005040FC" w:rsidRPr="00F70768" w:rsidP="00F80C79" w14:paraId="76E87911" w14:textId="77777777">
            <w:pPr>
              <w:jc w:val="both"/>
            </w:pPr>
            <w:r>
              <w:t xml:space="preserve">Organizētās olimpiādes </w:t>
            </w:r>
          </w:p>
        </w:tc>
        <w:tc>
          <w:tcPr>
            <w:tcW w:w="4315" w:type="dxa"/>
          </w:tcPr>
          <w:p w:rsidR="005040FC" w:rsidRPr="00F70768" w:rsidP="00F80C79" w14:paraId="4F7980C7" w14:textId="77777777">
            <w:pPr>
              <w:jc w:val="both"/>
            </w:pPr>
            <w:r>
              <w:t>15</w:t>
            </w:r>
          </w:p>
        </w:tc>
      </w:tr>
      <w:tr w14:paraId="287AA225" w14:textId="77777777" w:rsidTr="00D97D5C">
        <w:tblPrEx>
          <w:tblW w:w="0" w:type="auto"/>
          <w:jc w:val="center"/>
          <w:tblLook w:val="04A0"/>
        </w:tblPrEx>
        <w:trPr>
          <w:jc w:val="center"/>
        </w:trPr>
        <w:tc>
          <w:tcPr>
            <w:tcW w:w="5312" w:type="dxa"/>
          </w:tcPr>
          <w:p w:rsidR="005040FC" w:rsidRPr="00C131C3" w:rsidP="00F80C79" w14:paraId="6AEE4FC7" w14:textId="77777777">
            <w:pPr>
              <w:jc w:val="both"/>
            </w:pPr>
            <w:r>
              <w:t>“Latvijas skolas soma” norises</w:t>
            </w:r>
          </w:p>
        </w:tc>
        <w:tc>
          <w:tcPr>
            <w:tcW w:w="4315" w:type="dxa"/>
          </w:tcPr>
          <w:p w:rsidR="005040FC" w:rsidRPr="00C131C3" w:rsidP="00F80C79" w14:paraId="537772C4" w14:textId="77777777">
            <w:pPr>
              <w:jc w:val="both"/>
            </w:pPr>
            <w:r>
              <w:t>175</w:t>
            </w:r>
          </w:p>
        </w:tc>
      </w:tr>
      <w:tr w14:paraId="2E704062" w14:textId="77777777" w:rsidTr="00D97D5C">
        <w:tblPrEx>
          <w:tblW w:w="0" w:type="auto"/>
          <w:jc w:val="center"/>
          <w:tblLook w:val="04A0"/>
        </w:tblPrEx>
        <w:trPr>
          <w:jc w:val="center"/>
        </w:trPr>
        <w:tc>
          <w:tcPr>
            <w:tcW w:w="5312" w:type="dxa"/>
          </w:tcPr>
          <w:p w:rsidR="005040FC" w:rsidRPr="00954029" w:rsidP="00F80C79" w14:paraId="03AB3039" w14:textId="77777777">
            <w:pPr>
              <w:jc w:val="both"/>
            </w:pPr>
            <w:r>
              <w:t>Naudas balvu saņēmēji par augstiem sasniegumiem</w:t>
            </w:r>
          </w:p>
        </w:tc>
        <w:tc>
          <w:tcPr>
            <w:tcW w:w="4315" w:type="dxa"/>
          </w:tcPr>
          <w:p w:rsidR="005040FC" w:rsidRPr="00954029" w:rsidP="00F80C79" w14:paraId="5965B8D2" w14:textId="77777777">
            <w:pPr>
              <w:jc w:val="both"/>
            </w:pPr>
            <w:r>
              <w:t>239</w:t>
            </w:r>
          </w:p>
        </w:tc>
      </w:tr>
      <w:tr w14:paraId="7803E277" w14:textId="77777777" w:rsidTr="00D97D5C">
        <w:tblPrEx>
          <w:tblW w:w="0" w:type="auto"/>
          <w:jc w:val="center"/>
          <w:tblLook w:val="04A0"/>
        </w:tblPrEx>
        <w:trPr>
          <w:jc w:val="center"/>
        </w:trPr>
        <w:tc>
          <w:tcPr>
            <w:tcW w:w="5312" w:type="dxa"/>
          </w:tcPr>
          <w:p w:rsidR="005040FC" w:rsidRPr="00F70768" w:rsidP="00F80C79" w14:paraId="2362BF41" w14:textId="77777777">
            <w:pPr>
              <w:jc w:val="both"/>
            </w:pPr>
            <w:r>
              <w:t>Akreditācijas un vadītāju profesionālās darbības novērtēšanas</w:t>
            </w:r>
          </w:p>
        </w:tc>
        <w:tc>
          <w:tcPr>
            <w:tcW w:w="4315" w:type="dxa"/>
          </w:tcPr>
          <w:p w:rsidR="005040FC" w:rsidRPr="00F70768" w:rsidP="00F80C79" w14:paraId="1E4FD750" w14:textId="77777777">
            <w:pPr>
              <w:jc w:val="both"/>
            </w:pPr>
            <w:r>
              <w:t>5</w:t>
            </w:r>
          </w:p>
        </w:tc>
      </w:tr>
      <w:tr w14:paraId="5139E357" w14:textId="77777777" w:rsidTr="00D97D5C">
        <w:tblPrEx>
          <w:tblW w:w="0" w:type="auto"/>
          <w:jc w:val="center"/>
          <w:tblLook w:val="04A0"/>
        </w:tblPrEx>
        <w:trPr>
          <w:jc w:val="center"/>
        </w:trPr>
        <w:tc>
          <w:tcPr>
            <w:tcW w:w="5312" w:type="dxa"/>
          </w:tcPr>
          <w:p w:rsidR="005040FC" w:rsidRPr="009176DE" w:rsidP="00F80C79" w14:paraId="4813D73B" w14:textId="77777777">
            <w:pPr>
              <w:jc w:val="both"/>
            </w:pPr>
            <w:r>
              <w:t>Izglītības jomai paredzētais finansējums pēc budžeta grozījumiem</w:t>
            </w:r>
          </w:p>
        </w:tc>
        <w:tc>
          <w:tcPr>
            <w:tcW w:w="4315" w:type="dxa"/>
          </w:tcPr>
          <w:p w:rsidR="005040FC" w:rsidRPr="00A7700D" w:rsidP="00A7700D" w14:paraId="3C34D0C5" w14:textId="4EB46172">
            <w:pPr>
              <w:pStyle w:val="ListParagraph"/>
              <w:numPr>
                <w:ilvl w:val="1"/>
                <w:numId w:val="8"/>
              </w:numPr>
              <w:jc w:val="both"/>
              <w:rPr>
                <w:b/>
                <w:bCs/>
              </w:rPr>
            </w:pPr>
            <w:r w:rsidRPr="00A7700D">
              <w:rPr>
                <w:b/>
                <w:bCs/>
              </w:rPr>
              <w:t>36 738 eiro</w:t>
            </w:r>
          </w:p>
        </w:tc>
      </w:tr>
    </w:tbl>
    <w:p w:rsidR="00F23373" w:rsidRPr="007F15EB" w:rsidP="00CD3A72" w14:paraId="1AC39D0C" w14:textId="77777777">
      <w:pPr>
        <w:spacing w:after="0" w:line="240" w:lineRule="auto"/>
        <w:ind w:firstLine="709"/>
        <w:jc w:val="both"/>
      </w:pPr>
    </w:p>
    <w:p w:rsidR="00BB02CD" w:rsidP="00742DA5" w14:paraId="50DE4630" w14:textId="77777777">
      <w:pPr>
        <w:spacing w:after="0" w:line="240" w:lineRule="auto"/>
        <w:jc w:val="center"/>
        <w:textAlignment w:val="baseline"/>
        <w:rPr>
          <w:b/>
          <w:bCs/>
          <w:kern w:val="0"/>
          <w:sz w:val="28"/>
          <w:szCs w:val="28"/>
          <w:lang w:eastAsia="lv-LV"/>
          <w14:ligatures w14:val="none"/>
        </w:rPr>
      </w:pPr>
      <w:bookmarkStart w:id="4" w:name="_Toc169020671"/>
      <w:bookmarkStart w:id="5" w:name="_Toc201145441"/>
    </w:p>
    <w:p w:rsidR="00742DA5" w:rsidRPr="00AD0A91" w:rsidP="00A7700D" w14:paraId="24AF7594" w14:textId="0B1B55EF">
      <w:pPr>
        <w:pStyle w:val="ListParagraph"/>
        <w:numPr>
          <w:ilvl w:val="2"/>
          <w:numId w:val="8"/>
        </w:numPr>
        <w:tabs>
          <w:tab w:val="left" w:pos="993"/>
        </w:tabs>
        <w:spacing w:after="0" w:line="240" w:lineRule="auto"/>
        <w:ind w:left="0" w:firstLine="709"/>
        <w:textAlignment w:val="baseline"/>
        <w:rPr>
          <w:b/>
          <w:bCs/>
          <w:i/>
          <w:iCs/>
          <w:kern w:val="0"/>
          <w:lang w:eastAsia="lv-LV"/>
          <w14:ligatures w14:val="none"/>
        </w:rPr>
      </w:pPr>
      <w:r w:rsidRPr="00AD0A91">
        <w:rPr>
          <w:b/>
          <w:bCs/>
          <w:i/>
          <w:iCs/>
          <w:kern w:val="0"/>
          <w:lang w:eastAsia="lv-LV"/>
          <w14:ligatures w14:val="none"/>
        </w:rPr>
        <w:t>TERITORIJAS ATTĪSTĪBAS PLĀNU ĪSTENOŠANA</w:t>
      </w:r>
    </w:p>
    <w:p w:rsidR="00742DA5" w:rsidRPr="00E24FAB" w:rsidP="00742DA5" w14:paraId="7A3E757F" w14:textId="77777777">
      <w:pPr>
        <w:spacing w:after="0" w:line="240" w:lineRule="auto"/>
        <w:jc w:val="center"/>
        <w:textAlignment w:val="baseline"/>
        <w:rPr>
          <w:b/>
          <w:bCs/>
          <w:color w:val="1F3864"/>
          <w:kern w:val="0"/>
          <w:sz w:val="18"/>
          <w:szCs w:val="18"/>
          <w:lang w:eastAsia="lv-LV"/>
          <w14:ligatures w14:val="none"/>
        </w:rPr>
      </w:pPr>
    </w:p>
    <w:p w:rsidR="00742DA5" w:rsidRPr="008A0A30" w:rsidP="00CC1DC5" w14:paraId="492E74F5" w14:textId="77777777">
      <w:pPr>
        <w:spacing w:before="60" w:after="0" w:line="240" w:lineRule="auto"/>
        <w:ind w:firstLine="567"/>
        <w:jc w:val="both"/>
        <w:rPr>
          <w:color w:val="242424"/>
          <w:bdr w:val="none" w:sz="0" w:space="0" w:color="auto" w:frame="1"/>
        </w:rPr>
      </w:pPr>
      <w:r>
        <w:rPr>
          <w:color w:val="242424"/>
          <w:bdr w:val="none" w:sz="0" w:space="0" w:color="auto" w:frame="1"/>
        </w:rPr>
        <w:t xml:space="preserve">2025. gadā turpinājās darbs pie 2023. gadā uzsāktā novada teritorijas plānojuma, kas aptver visu sešu spēkā esošo teritorijas plānojumu izvērtējumu un jaunu risinājumu izstrādāšanu. </w:t>
      </w:r>
    </w:p>
    <w:p w:rsidR="00742DA5" w:rsidRPr="008A0A30" w:rsidP="00CC1DC5" w14:paraId="1649C388" w14:textId="77777777">
      <w:pPr>
        <w:spacing w:before="60" w:after="0" w:line="240" w:lineRule="auto"/>
        <w:ind w:firstLine="567"/>
        <w:jc w:val="both"/>
        <w:rPr>
          <w:color w:val="262626" w:themeColor="text1" w:themeTint="D9"/>
        </w:rPr>
      </w:pPr>
      <w:r>
        <w:rPr>
          <w:color w:val="242424"/>
          <w:bdr w:val="none" w:sz="0" w:space="0" w:color="auto" w:frame="1"/>
        </w:rPr>
        <w:t>Lai teritorijas plānojuma risinājumi tiktu salāgoti arī ar Aizkraukles novada ilgtspējīgas attīstības stratēģiju, 2025. gada sākumā tika nolemts uzsākt Aizkraukles novada ilgtspējīgas attīstības stratēģijas aktualizāciju. Aizkraukles novada dome lēmumu par stratēģijas aktualizāciju pieņēma</w:t>
      </w:r>
      <w:r>
        <w:rPr>
          <w:color w:val="262626" w:themeColor="text1" w:themeTint="D9"/>
        </w:rPr>
        <w:t xml:space="preserve"> </w:t>
      </w:r>
      <w:r>
        <w:rPr>
          <w:color w:val="262626" w:themeColor="text1" w:themeTint="D9"/>
        </w:rPr>
        <w:t xml:space="preserve">2025. gada 23. janvārī un, paralēli jaunā novada teritorijas plānojuma izstrādei, notika darbs arī pie šī dokumenta izstrādes. </w:t>
      </w:r>
    </w:p>
    <w:p w:rsidR="00742DA5" w:rsidP="00742DA5" w14:paraId="26DEFACB" w14:textId="77777777">
      <w:pPr>
        <w:spacing w:before="120" w:after="0" w:line="240" w:lineRule="auto"/>
        <w:jc w:val="both"/>
        <w:rPr>
          <w:color w:val="262626" w:themeColor="text1" w:themeTint="D9"/>
        </w:rPr>
      </w:pPr>
      <w:r>
        <w:rPr>
          <w:color w:val="262626" w:themeColor="text1" w:themeTint="D9"/>
        </w:rPr>
        <w:t>2025. gadā turpinājās darba grupu un tikšanās ar iedzīvotājiem organizēšana. Kopumā 2025. gadā tika noorganizētas 12 publiskas sanāksmes (detalizētāk skatīt 1. tabulā).</w:t>
      </w:r>
    </w:p>
    <w:p w:rsidR="00742DA5" w:rsidP="00742DA5" w14:paraId="53481509" w14:textId="77777777">
      <w:pPr>
        <w:spacing w:before="120" w:after="0" w:line="240" w:lineRule="auto"/>
        <w:jc w:val="both"/>
        <w:rPr>
          <w:color w:val="242424"/>
          <w:bdr w:val="none" w:sz="0" w:space="0" w:color="auto" w:frame="1"/>
        </w:rPr>
      </w:pPr>
      <w:r>
        <w:rPr>
          <w:color w:val="242424"/>
          <w:bdr w:val="none" w:sz="0" w:space="0" w:color="auto" w:frame="1"/>
        </w:rPr>
        <w:t xml:space="preserve">2025. gada rudenī, ņemot vērā spēkā esošo teritorijas plānojumu izvērtējumu, veiktās analīzes, informācijas apkopojumus un apsekošanu dabā, notika darbs jau pie teritorijas plānojuma 1. redakcijas izstrādes, risinājumu formulēšanas un visas dokumentācijas apkopošanas un tās tehniskās noformēšanas. </w:t>
      </w:r>
    </w:p>
    <w:p w:rsidR="00742DA5" w:rsidP="00742DA5" w14:paraId="0F5BEB90" w14:textId="77777777">
      <w:pPr>
        <w:spacing w:before="120" w:after="0" w:line="240" w:lineRule="auto"/>
        <w:jc w:val="both"/>
        <w:rPr>
          <w:color w:val="262626" w:themeColor="text1" w:themeTint="D9"/>
        </w:rPr>
      </w:pPr>
      <w:r>
        <w:rPr>
          <w:color w:val="242424"/>
          <w:bdr w:val="none" w:sz="0" w:space="0" w:color="auto" w:frame="1"/>
        </w:rPr>
        <w:t xml:space="preserve">2025. gada 18. decembrī Aizkraukles novada dome pieņēma lēmumu nodot publiskajai apspriešanai sagatavoto teritorijas plānojuma 1. redakciju un tās vides pārskata projektu, kā arī, reizē ar teritorijas plānojumu, sagatavoto Aizkraukles novada ilgtspējīgas attīstības stratēģiju. </w:t>
      </w:r>
    </w:p>
    <w:p w:rsidR="00742DA5" w:rsidRPr="003F2493" w:rsidP="00742DA5" w14:paraId="5468BF5D" w14:textId="77777777">
      <w:pPr>
        <w:spacing w:before="120" w:after="0" w:line="240" w:lineRule="auto"/>
        <w:jc w:val="both"/>
        <w:rPr>
          <w:color w:val="262626" w:themeColor="text1" w:themeTint="D9"/>
        </w:rPr>
      </w:pPr>
      <w:r>
        <w:rPr>
          <w:color w:val="242424"/>
          <w:bdr w:val="none" w:sz="0" w:space="0" w:color="auto" w:frame="1"/>
        </w:rPr>
        <w:t>2025. gada izskaņā līdz ar 29. decembri sākās</w:t>
      </w:r>
      <w:r>
        <w:t xml:space="preserve"> </w:t>
      </w:r>
      <w:r>
        <w:rPr>
          <w:color w:val="242424"/>
          <w:bdr w:val="none" w:sz="0" w:space="0" w:color="auto" w:frame="1"/>
        </w:rPr>
        <w:t>teritorijas plānojuma 1. redakcijas un tās vides pārskata projekta, kā arī  Aizkraukles novada ilgtspējīgas attīstības stratēģijas publiskā apspriešana, kas turpinājās līdz 2026. gada 6. februārim.</w:t>
      </w:r>
    </w:p>
    <w:p w:rsidR="00742DA5" w:rsidRPr="00F22A5A" w:rsidP="00742DA5" w14:paraId="51823AA3" w14:textId="77777777">
      <w:pPr>
        <w:jc w:val="both"/>
        <w:rPr>
          <w:sz w:val="20"/>
          <w:szCs w:val="20"/>
        </w:rPr>
      </w:pPr>
    </w:p>
    <w:p w:rsidR="00742DA5" w:rsidRPr="00465581" w:rsidP="00742DA5" w14:paraId="0C104F9E" w14:textId="77777777">
      <w:pPr>
        <w:spacing w:before="60" w:after="0" w:line="240" w:lineRule="auto"/>
        <w:jc w:val="both"/>
        <w:rPr>
          <w:b/>
          <w:bCs/>
          <w:color w:val="7F7F7F" w:themeColor="text1" w:themeTint="80"/>
          <w:sz w:val="18"/>
          <w:szCs w:val="18"/>
        </w:rPr>
      </w:pPr>
      <w:r>
        <w:rPr>
          <w:noProof/>
        </w:rPr>
        <w:drawing>
          <wp:inline distT="0" distB="0" distL="0" distR="0">
            <wp:extent cx="6120130" cy="2867540"/>
            <wp:effectExtent l="0" t="0" r="0" b="9525"/>
            <wp:docPr id="729278472" name="Attēls 30" descr="Attēls, kurā ir apģērbs, persona, vīrietis, sieviete  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78472" name="Attēls 30" descr="Attēls, kurā ir apģērbs, persona, vīrietis, sieviete  Mākslīgā intelekta ģenerēts saturs var būt nepareizs."/>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t="16775"/>
                    <a:stretch>
                      <a:fillRect/>
                    </a:stretch>
                  </pic:blipFill>
                  <pic:spPr bwMode="auto">
                    <a:xfrm>
                      <a:off x="0" y="0"/>
                      <a:ext cx="6120130" cy="286754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42DA5" w:rsidRPr="001D7323" w:rsidP="00742DA5" w14:paraId="68CB100D" w14:textId="77777777">
      <w:pPr>
        <w:spacing w:before="60" w:after="0" w:line="240" w:lineRule="auto"/>
        <w:jc w:val="both"/>
        <w:rPr>
          <w:color w:val="7F7F7F" w:themeColor="text1" w:themeTint="80"/>
          <w:sz w:val="18"/>
          <w:szCs w:val="18"/>
        </w:rPr>
        <w:sectPr w:rsidSect="00FC5FCF">
          <w:footerReference w:type="default" r:id="rId19"/>
          <w:headerReference w:type="first" r:id="rId20"/>
          <w:footerReference w:type="first" r:id="rId21"/>
          <w:pgSz w:w="11906" w:h="16838" w:code="9"/>
          <w:pgMar w:top="1134" w:right="851" w:bottom="851" w:left="1418" w:header="709" w:footer="709" w:gutter="0"/>
          <w:pgNumType w:start="0"/>
          <w:cols w:space="708"/>
          <w:titlePg/>
          <w:docGrid w:linePitch="360"/>
        </w:sectPr>
      </w:pPr>
      <w:r>
        <w:rPr>
          <w:i/>
          <w:iCs/>
        </w:rPr>
        <w:t xml:space="preserve">1.attēls.        </w:t>
      </w:r>
      <w:r>
        <w:rPr>
          <w:color w:val="7F7F7F" w:themeColor="text1" w:themeTint="80"/>
          <w:sz w:val="18"/>
          <w:szCs w:val="18"/>
        </w:rPr>
        <w:t xml:space="preserve">Tikšanās ar Lielziedu ciema iedzīvotājiem 2025. gada 20. martā, lai pārrunātu Lielziedu mobilitātes jautājumus. </w:t>
      </w:r>
    </w:p>
    <w:p w:rsidR="00742DA5" w:rsidRPr="00A7700D" w:rsidP="00A7700D" w14:paraId="5133B0A4" w14:textId="5F7D00CD">
      <w:pPr>
        <w:autoSpaceDE w:val="0"/>
        <w:autoSpaceDN w:val="0"/>
        <w:adjustRightInd w:val="0"/>
        <w:spacing w:before="120" w:after="0" w:line="240" w:lineRule="auto"/>
        <w:ind w:left="360"/>
        <w:jc w:val="center"/>
        <w:rPr>
          <w:b/>
          <w:bCs/>
          <w:color w:val="242424"/>
          <w:bdr w:val="none" w:sz="0" w:space="0" w:color="auto" w:frame="1"/>
        </w:rPr>
      </w:pPr>
      <w:r w:rsidRPr="00A7700D">
        <w:rPr>
          <w:b/>
          <w:bCs/>
          <w:color w:val="242424"/>
          <w:bdr w:val="none" w:sz="0" w:space="0" w:color="auto" w:frame="1"/>
        </w:rPr>
        <w:t>2025. gadā organizētie sabiedrības līdzdalības pasākumi</w:t>
      </w:r>
    </w:p>
    <w:p w:rsidR="00742DA5" w:rsidRPr="008A0A30" w:rsidP="00742DA5" w14:paraId="470C6F53" w14:textId="77777777">
      <w:pPr>
        <w:spacing w:after="0" w:line="240" w:lineRule="auto"/>
        <w:textAlignment w:val="baseline"/>
        <w:rPr>
          <w:lang w:eastAsia="lv-LV"/>
        </w:rPr>
      </w:pPr>
    </w:p>
    <w:tbl>
      <w:tblPr>
        <w:tblW w:w="97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93"/>
        <w:gridCol w:w="615"/>
        <w:gridCol w:w="2274"/>
        <w:gridCol w:w="3524"/>
        <w:gridCol w:w="1975"/>
      </w:tblGrid>
      <w:tr w14:paraId="4B2EC65F" w14:textId="77777777" w:rsidTr="00F80C79">
        <w:tblPrEx>
          <w:tblW w:w="97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39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742DA5" w:rsidRPr="008A0A30" w:rsidP="00F80C79" w14:paraId="4317A4A2" w14:textId="77777777">
            <w:pPr>
              <w:spacing w:after="0" w:line="240" w:lineRule="auto"/>
              <w:jc w:val="center"/>
              <w:textAlignment w:val="baseline"/>
              <w:rPr>
                <w:lang w:eastAsia="lv-LV"/>
              </w:rPr>
            </w:pPr>
            <w:r>
              <w:rPr>
                <w:lang w:eastAsia="lv-LV"/>
              </w:rPr>
              <w:t>Datums </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742DA5" w:rsidRPr="008A0A30" w:rsidP="00F80C79" w14:paraId="7D13C0C0" w14:textId="77777777">
            <w:pPr>
              <w:spacing w:after="0" w:line="240" w:lineRule="auto"/>
              <w:jc w:val="center"/>
              <w:textAlignment w:val="baseline"/>
              <w:rPr>
                <w:lang w:eastAsia="lv-LV"/>
              </w:rPr>
            </w:pPr>
            <w:r>
              <w:rPr>
                <w:lang w:eastAsia="lv-LV"/>
              </w:rPr>
              <w:t>Laiks </w:t>
            </w:r>
          </w:p>
        </w:tc>
        <w:tc>
          <w:tcPr>
            <w:tcW w:w="228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742DA5" w:rsidRPr="008A0A30" w:rsidP="00F80C79" w14:paraId="79D68726" w14:textId="77777777">
            <w:pPr>
              <w:spacing w:after="0" w:line="240" w:lineRule="auto"/>
              <w:jc w:val="center"/>
              <w:textAlignment w:val="baseline"/>
              <w:rPr>
                <w:lang w:eastAsia="lv-LV"/>
              </w:rPr>
            </w:pPr>
            <w:r>
              <w:rPr>
                <w:lang w:eastAsia="lv-LV"/>
              </w:rPr>
              <w:t>Norises vieta </w:t>
            </w:r>
          </w:p>
        </w:tc>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742DA5" w:rsidRPr="008A0A30" w:rsidP="00F80C79" w14:paraId="360BB152" w14:textId="77777777">
            <w:pPr>
              <w:spacing w:after="0" w:line="240" w:lineRule="auto"/>
              <w:jc w:val="center"/>
              <w:textAlignment w:val="baseline"/>
              <w:rPr>
                <w:lang w:eastAsia="lv-LV"/>
              </w:rPr>
            </w:pPr>
            <w:r>
              <w:rPr>
                <w:lang w:eastAsia="lv-LV"/>
              </w:rPr>
              <w:t>Apraksts / Tēma </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742DA5" w:rsidRPr="008A0A30" w:rsidP="00F80C79" w14:paraId="799E5BA5" w14:textId="77777777">
            <w:pPr>
              <w:spacing w:after="0" w:line="240" w:lineRule="auto"/>
              <w:jc w:val="center"/>
              <w:textAlignment w:val="baseline"/>
              <w:rPr>
                <w:lang w:eastAsia="lv-LV"/>
              </w:rPr>
            </w:pPr>
            <w:r>
              <w:rPr>
                <w:lang w:eastAsia="lv-LV"/>
              </w:rPr>
              <w:t>Publicitāte </w:t>
            </w:r>
          </w:p>
        </w:tc>
      </w:tr>
      <w:tr w14:paraId="49D87CF5" w14:textId="77777777" w:rsidTr="00F80C79">
        <w:tblPrEx>
          <w:tblW w:w="9781" w:type="dxa"/>
          <w:tblInd w:w="-8" w:type="dxa"/>
          <w:tblCellMar>
            <w:left w:w="0" w:type="dxa"/>
            <w:right w:w="0" w:type="dxa"/>
          </w:tblCellMar>
          <w:tblLook w:val="04A0"/>
        </w:tblPrEx>
        <w:trPr>
          <w:trHeight w:val="300"/>
        </w:trPr>
        <w:tc>
          <w:tcPr>
            <w:tcW w:w="139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5C7D070C" w14:textId="77777777">
            <w:pPr>
              <w:spacing w:after="0" w:line="240" w:lineRule="auto"/>
              <w:textAlignment w:val="baseline"/>
              <w:rPr>
                <w:lang w:eastAsia="lv-LV"/>
              </w:rPr>
            </w:pPr>
            <w:r>
              <w:rPr>
                <w:lang w:eastAsia="lv-LV"/>
              </w:rPr>
              <w:t>30. oktobris </w:t>
            </w:r>
          </w:p>
        </w:tc>
        <w:tc>
          <w:tcPr>
            <w:tcW w:w="56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43843DB6" w14:textId="77777777">
            <w:pPr>
              <w:spacing w:after="0" w:line="240" w:lineRule="auto"/>
              <w:textAlignment w:val="baseline"/>
              <w:rPr>
                <w:lang w:eastAsia="lv-LV"/>
              </w:rPr>
            </w:pPr>
            <w:r>
              <w:rPr>
                <w:lang w:eastAsia="lv-LV"/>
              </w:rPr>
              <w:t>11.00 </w:t>
            </w:r>
          </w:p>
        </w:tc>
        <w:tc>
          <w:tcPr>
            <w:tcW w:w="2289"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43404D9A" w14:textId="77777777">
            <w:pPr>
              <w:spacing w:after="0" w:line="240" w:lineRule="auto"/>
              <w:textAlignment w:val="baseline"/>
              <w:rPr>
                <w:lang w:eastAsia="lv-LV"/>
              </w:rPr>
            </w:pPr>
            <w:r>
              <w:rPr>
                <w:lang w:eastAsia="lv-LV"/>
              </w:rPr>
              <w:t>Seces kultūras nams </w:t>
            </w:r>
          </w:p>
        </w:tc>
        <w:tc>
          <w:tcPr>
            <w:tcW w:w="354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14EDE8A9" w14:textId="77777777">
            <w:pPr>
              <w:spacing w:after="0" w:line="240" w:lineRule="auto"/>
              <w:textAlignment w:val="baseline"/>
              <w:rPr>
                <w:lang w:eastAsia="lv-LV"/>
              </w:rPr>
            </w:pPr>
            <w:r>
              <w:rPr>
                <w:lang w:eastAsia="lv-LV"/>
              </w:rPr>
              <w:t>Par Ainavu teritorijām un Seces pagasta iedzīvotāju kolektīvo iesniegumu </w:t>
            </w:r>
          </w:p>
        </w:tc>
        <w:tc>
          <w:tcPr>
            <w:tcW w:w="198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06035B76" w14:textId="77777777">
            <w:pPr>
              <w:spacing w:after="0" w:line="240" w:lineRule="auto"/>
              <w:textAlignment w:val="baseline"/>
              <w:rPr>
                <w:lang w:eastAsia="lv-LV"/>
              </w:rPr>
            </w:pPr>
            <w:r>
              <w:rPr>
                <w:lang w:eastAsia="lv-LV"/>
              </w:rPr>
              <w:t>Uzaicinājums personīgi vēstulē </w:t>
            </w:r>
          </w:p>
        </w:tc>
      </w:tr>
      <w:tr w14:paraId="4655F1C8" w14:textId="77777777" w:rsidTr="00F80C79">
        <w:tblPrEx>
          <w:tblW w:w="9781" w:type="dxa"/>
          <w:tblInd w:w="-8" w:type="dxa"/>
          <w:tblCellMar>
            <w:left w:w="0" w:type="dxa"/>
            <w:right w:w="0" w:type="dxa"/>
          </w:tblCellMar>
          <w:tblLook w:val="04A0"/>
        </w:tblPrEx>
        <w:trPr>
          <w:trHeight w:val="300"/>
        </w:trPr>
        <w:tc>
          <w:tcPr>
            <w:tcW w:w="139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113E9A99" w14:textId="77777777">
            <w:pPr>
              <w:spacing w:after="0" w:line="240" w:lineRule="auto"/>
              <w:textAlignment w:val="baseline"/>
              <w:rPr>
                <w:lang w:eastAsia="lv-LV"/>
              </w:rPr>
            </w:pPr>
            <w:r>
              <w:rPr>
                <w:lang w:eastAsia="lv-LV"/>
              </w:rPr>
              <w:t>27. oktobris </w:t>
            </w:r>
          </w:p>
        </w:tc>
        <w:tc>
          <w:tcPr>
            <w:tcW w:w="56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29BDA006" w14:textId="77777777">
            <w:pPr>
              <w:spacing w:after="0" w:line="240" w:lineRule="auto"/>
              <w:textAlignment w:val="baseline"/>
              <w:rPr>
                <w:lang w:eastAsia="lv-LV"/>
              </w:rPr>
            </w:pPr>
            <w:r>
              <w:rPr>
                <w:lang w:eastAsia="lv-LV"/>
              </w:rPr>
              <w:t>17.30 </w:t>
            </w:r>
          </w:p>
        </w:tc>
        <w:tc>
          <w:tcPr>
            <w:tcW w:w="2289"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6AB0C1BF" w14:textId="77777777">
            <w:pPr>
              <w:spacing w:after="0" w:line="240" w:lineRule="auto"/>
              <w:textAlignment w:val="baseline"/>
              <w:rPr>
                <w:lang w:eastAsia="lv-LV"/>
              </w:rPr>
            </w:pPr>
            <w:r>
              <w:rPr>
                <w:lang w:eastAsia="lv-LV"/>
              </w:rPr>
              <w:t>Aiviekstes pagasta pakalpojumu centrs </w:t>
            </w:r>
          </w:p>
        </w:tc>
        <w:tc>
          <w:tcPr>
            <w:tcW w:w="354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1A05A5BD" w14:textId="77777777">
            <w:pPr>
              <w:spacing w:after="0" w:line="240" w:lineRule="auto"/>
              <w:textAlignment w:val="baseline"/>
              <w:rPr>
                <w:lang w:eastAsia="lv-LV"/>
              </w:rPr>
            </w:pPr>
            <w:r>
              <w:rPr>
                <w:lang w:eastAsia="lv-LV"/>
              </w:rPr>
              <w:t>Par Kriškalnu ciema pievienošanu Pļaviņām un Kriškalnu ciema iedzīvotāju kolektīvā iesnieguma jautājumiem </w:t>
            </w:r>
          </w:p>
        </w:tc>
        <w:tc>
          <w:tcPr>
            <w:tcW w:w="198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65B405F8" w14:textId="77777777">
            <w:pPr>
              <w:spacing w:after="0" w:line="240" w:lineRule="auto"/>
              <w:textAlignment w:val="baseline"/>
              <w:rPr>
                <w:lang w:eastAsia="lv-LV"/>
              </w:rPr>
            </w:pPr>
            <w:hyperlink r:id="rId22" w:tgtFrame="_blank" w:history="1">
              <w:r>
                <w:rPr>
                  <w:color w:val="0000FF"/>
                  <w:u w:val="single"/>
                  <w:lang w:eastAsia="lv-LV"/>
                </w:rPr>
                <w:t>Notikums</w:t>
              </w:r>
            </w:hyperlink>
            <w:r>
              <w:rPr>
                <w:lang w:eastAsia="lv-LV"/>
              </w:rPr>
              <w:t> </w:t>
            </w:r>
          </w:p>
        </w:tc>
      </w:tr>
      <w:tr w14:paraId="7596FF0C" w14:textId="77777777" w:rsidTr="00F80C79">
        <w:tblPrEx>
          <w:tblW w:w="9781" w:type="dxa"/>
          <w:tblInd w:w="-8" w:type="dxa"/>
          <w:tblCellMar>
            <w:left w:w="0" w:type="dxa"/>
            <w:right w:w="0" w:type="dxa"/>
          </w:tblCellMar>
          <w:tblLook w:val="04A0"/>
        </w:tblPrEx>
        <w:trPr>
          <w:trHeight w:val="300"/>
        </w:trPr>
        <w:tc>
          <w:tcPr>
            <w:tcW w:w="139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6A2954B4" w14:textId="77777777">
            <w:pPr>
              <w:spacing w:after="0" w:line="240" w:lineRule="auto"/>
              <w:textAlignment w:val="baseline"/>
              <w:rPr>
                <w:lang w:eastAsia="lv-LV"/>
              </w:rPr>
            </w:pPr>
            <w:r>
              <w:rPr>
                <w:lang w:eastAsia="lv-LV"/>
              </w:rPr>
              <w:t>2. oktobris </w:t>
            </w:r>
          </w:p>
        </w:tc>
        <w:tc>
          <w:tcPr>
            <w:tcW w:w="56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4EA36F6E" w14:textId="77777777">
            <w:pPr>
              <w:spacing w:after="0" w:line="240" w:lineRule="auto"/>
              <w:textAlignment w:val="baseline"/>
              <w:rPr>
                <w:lang w:eastAsia="lv-LV"/>
              </w:rPr>
            </w:pPr>
            <w:r>
              <w:rPr>
                <w:lang w:eastAsia="lv-LV"/>
              </w:rPr>
              <w:t>17.00 </w:t>
            </w:r>
          </w:p>
        </w:tc>
        <w:tc>
          <w:tcPr>
            <w:tcW w:w="2289"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6EF6BA55" w14:textId="77777777">
            <w:pPr>
              <w:spacing w:after="0" w:line="240" w:lineRule="auto"/>
              <w:textAlignment w:val="baseline"/>
              <w:rPr>
                <w:lang w:eastAsia="lv-LV"/>
              </w:rPr>
            </w:pPr>
            <w:r>
              <w:rPr>
                <w:lang w:eastAsia="lv-LV"/>
              </w:rPr>
              <w:t>Skrīveru pagasta pārvalde (Daugavas iela 59) </w:t>
            </w:r>
          </w:p>
        </w:tc>
        <w:tc>
          <w:tcPr>
            <w:tcW w:w="354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0A5733E3" w14:textId="77777777">
            <w:pPr>
              <w:spacing w:after="0" w:line="240" w:lineRule="auto"/>
              <w:textAlignment w:val="baseline"/>
              <w:rPr>
                <w:lang w:eastAsia="lv-LV"/>
              </w:rPr>
            </w:pPr>
            <w:r>
              <w:rPr>
                <w:lang w:eastAsia="lv-LV"/>
              </w:rPr>
              <w:t>Sanāksme par teritorijas plānojumu Skrīveru pagasta iedzīvotāju padomei </w:t>
            </w:r>
          </w:p>
        </w:tc>
        <w:tc>
          <w:tcPr>
            <w:tcW w:w="198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4E6E393F" w14:textId="77777777">
            <w:pPr>
              <w:spacing w:after="0" w:line="240" w:lineRule="auto"/>
              <w:textAlignment w:val="baseline"/>
              <w:rPr>
                <w:lang w:eastAsia="lv-LV"/>
              </w:rPr>
            </w:pPr>
            <w:hyperlink r:id="rId23" w:tgtFrame="_blank" w:history="1">
              <w:r>
                <w:rPr>
                  <w:color w:val="0000FF"/>
                  <w:u w:val="single"/>
                  <w:lang w:eastAsia="lv-LV"/>
                </w:rPr>
                <w:t>Sanāksme</w:t>
              </w:r>
            </w:hyperlink>
            <w:r>
              <w:rPr>
                <w:lang w:eastAsia="lv-LV"/>
              </w:rPr>
              <w:t> </w:t>
            </w:r>
          </w:p>
        </w:tc>
      </w:tr>
      <w:tr w14:paraId="1DE41743" w14:textId="77777777" w:rsidTr="00F80C79">
        <w:tblPrEx>
          <w:tblW w:w="9781" w:type="dxa"/>
          <w:tblInd w:w="-8" w:type="dxa"/>
          <w:tblCellMar>
            <w:left w:w="0" w:type="dxa"/>
            <w:right w:w="0" w:type="dxa"/>
          </w:tblCellMar>
          <w:tblLook w:val="04A0"/>
        </w:tblPrEx>
        <w:trPr>
          <w:trHeight w:val="300"/>
        </w:trPr>
        <w:tc>
          <w:tcPr>
            <w:tcW w:w="139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3CC37568" w14:textId="77777777">
            <w:pPr>
              <w:spacing w:after="0" w:line="240" w:lineRule="auto"/>
              <w:textAlignment w:val="baseline"/>
              <w:rPr>
                <w:lang w:eastAsia="lv-LV"/>
              </w:rPr>
            </w:pPr>
            <w:r>
              <w:rPr>
                <w:lang w:eastAsia="lv-LV"/>
              </w:rPr>
              <w:t>30. septembris </w:t>
            </w:r>
          </w:p>
        </w:tc>
        <w:tc>
          <w:tcPr>
            <w:tcW w:w="56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317BEEF9" w14:textId="77777777">
            <w:pPr>
              <w:spacing w:after="0" w:line="240" w:lineRule="auto"/>
              <w:textAlignment w:val="baseline"/>
              <w:rPr>
                <w:lang w:eastAsia="lv-LV"/>
              </w:rPr>
            </w:pPr>
            <w:r>
              <w:rPr>
                <w:lang w:eastAsia="lv-LV"/>
              </w:rPr>
              <w:t>17.00 </w:t>
            </w:r>
          </w:p>
        </w:tc>
        <w:tc>
          <w:tcPr>
            <w:tcW w:w="2289"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7A8B9847" w14:textId="77777777">
            <w:pPr>
              <w:spacing w:after="0" w:line="240" w:lineRule="auto"/>
              <w:textAlignment w:val="baseline"/>
              <w:rPr>
                <w:lang w:eastAsia="lv-LV"/>
              </w:rPr>
            </w:pPr>
            <w:r>
              <w:rPr>
                <w:lang w:eastAsia="lv-LV"/>
              </w:rPr>
              <w:t>Pļaviņu Kultūras centrs (Daugavas iela 49, Pļaviņas) </w:t>
            </w:r>
          </w:p>
        </w:tc>
        <w:tc>
          <w:tcPr>
            <w:tcW w:w="354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585DC31E" w14:textId="77777777">
            <w:pPr>
              <w:spacing w:after="0" w:line="240" w:lineRule="auto"/>
              <w:textAlignment w:val="baseline"/>
              <w:rPr>
                <w:lang w:eastAsia="lv-LV"/>
              </w:rPr>
            </w:pPr>
            <w:r>
              <w:rPr>
                <w:lang w:eastAsia="lv-LV"/>
              </w:rPr>
              <w:t>Sanāksme par teritorijas plānojumu Pļaviņu apvienības iedzīvotāju padomes (Aiviekstes un Vietalvas pagasta iedzīvotāju padomei) </w:t>
            </w:r>
          </w:p>
        </w:tc>
        <w:tc>
          <w:tcPr>
            <w:tcW w:w="198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20134252" w14:textId="77777777">
            <w:pPr>
              <w:spacing w:after="0" w:line="240" w:lineRule="auto"/>
              <w:textAlignment w:val="baseline"/>
              <w:rPr>
                <w:lang w:eastAsia="lv-LV"/>
              </w:rPr>
            </w:pPr>
            <w:hyperlink r:id="rId24" w:tgtFrame="_blank" w:history="1">
              <w:r>
                <w:rPr>
                  <w:color w:val="0000FF"/>
                  <w:u w:val="single"/>
                  <w:lang w:eastAsia="lv-LV"/>
                </w:rPr>
                <w:t>1</w:t>
              </w:r>
            </w:hyperlink>
            <w:r>
              <w:rPr>
                <w:lang w:eastAsia="lv-LV"/>
              </w:rPr>
              <w:t xml:space="preserve">, </w:t>
            </w:r>
            <w:hyperlink r:id="rId23" w:tgtFrame="_blank" w:history="1">
              <w:r>
                <w:rPr>
                  <w:color w:val="0000FF"/>
                  <w:u w:val="single"/>
                  <w:lang w:eastAsia="lv-LV"/>
                </w:rPr>
                <w:t>2</w:t>
              </w:r>
            </w:hyperlink>
            <w:r>
              <w:rPr>
                <w:lang w:eastAsia="lv-LV"/>
              </w:rPr>
              <w:t> </w:t>
            </w:r>
          </w:p>
        </w:tc>
      </w:tr>
      <w:tr w14:paraId="41EE06D8" w14:textId="77777777" w:rsidTr="00F80C79">
        <w:tblPrEx>
          <w:tblW w:w="9781" w:type="dxa"/>
          <w:tblInd w:w="-8" w:type="dxa"/>
          <w:tblCellMar>
            <w:left w:w="0" w:type="dxa"/>
            <w:right w:w="0" w:type="dxa"/>
          </w:tblCellMar>
          <w:tblLook w:val="04A0"/>
        </w:tblPrEx>
        <w:trPr>
          <w:trHeight w:val="300"/>
        </w:trPr>
        <w:tc>
          <w:tcPr>
            <w:tcW w:w="139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525D2627" w14:textId="77777777">
            <w:pPr>
              <w:spacing w:after="0" w:line="240" w:lineRule="auto"/>
              <w:textAlignment w:val="baseline"/>
              <w:rPr>
                <w:lang w:eastAsia="lv-LV"/>
              </w:rPr>
            </w:pPr>
            <w:r>
              <w:rPr>
                <w:lang w:eastAsia="lv-LV"/>
              </w:rPr>
              <w:t>23. septembris </w:t>
            </w:r>
          </w:p>
        </w:tc>
        <w:tc>
          <w:tcPr>
            <w:tcW w:w="56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5A8D8494" w14:textId="77777777">
            <w:pPr>
              <w:spacing w:after="0" w:line="240" w:lineRule="auto"/>
              <w:textAlignment w:val="baseline"/>
              <w:rPr>
                <w:lang w:eastAsia="lv-LV"/>
              </w:rPr>
            </w:pPr>
            <w:r>
              <w:rPr>
                <w:lang w:eastAsia="lv-LV"/>
              </w:rPr>
              <w:t>17.00 </w:t>
            </w:r>
          </w:p>
        </w:tc>
        <w:tc>
          <w:tcPr>
            <w:tcW w:w="2289"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0223F683" w14:textId="77777777">
            <w:pPr>
              <w:spacing w:after="0" w:line="240" w:lineRule="auto"/>
              <w:textAlignment w:val="baseline"/>
              <w:rPr>
                <w:lang w:eastAsia="lv-LV"/>
              </w:rPr>
            </w:pPr>
            <w:r>
              <w:rPr>
                <w:lang w:eastAsia="lv-LV"/>
              </w:rPr>
              <w:t>Jaunjelgava (Lāčplēša iela 11) </w:t>
            </w:r>
          </w:p>
        </w:tc>
        <w:tc>
          <w:tcPr>
            <w:tcW w:w="354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38B4C3C6" w14:textId="77777777">
            <w:pPr>
              <w:spacing w:after="0" w:line="240" w:lineRule="auto"/>
              <w:textAlignment w:val="baseline"/>
              <w:rPr>
                <w:lang w:eastAsia="lv-LV"/>
              </w:rPr>
            </w:pPr>
            <w:r>
              <w:rPr>
                <w:lang w:eastAsia="lv-LV"/>
              </w:rPr>
              <w:t>Sanāksme par teritorijas plānojumu Jaunjelgavas apvienības iedzīvotāju padomēm (Sērenes pagasta, Seces pagasta, Daudzeses pagasta, Staburaga pagasta un Sunākstes pagasta iedzīvotāju padomei) </w:t>
            </w:r>
          </w:p>
        </w:tc>
        <w:tc>
          <w:tcPr>
            <w:tcW w:w="198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09C76804" w14:textId="77777777">
            <w:pPr>
              <w:spacing w:after="0" w:line="240" w:lineRule="auto"/>
              <w:textAlignment w:val="baseline"/>
              <w:rPr>
                <w:lang w:eastAsia="lv-LV"/>
              </w:rPr>
            </w:pPr>
            <w:hyperlink r:id="rId25" w:tgtFrame="_blank" w:history="1">
              <w:r>
                <w:rPr>
                  <w:color w:val="0000FF"/>
                  <w:u w:val="single"/>
                  <w:lang w:eastAsia="lv-LV"/>
                </w:rPr>
                <w:t>1</w:t>
              </w:r>
            </w:hyperlink>
            <w:r>
              <w:rPr>
                <w:lang w:eastAsia="lv-LV"/>
              </w:rPr>
              <w:t xml:space="preserve">, </w:t>
            </w:r>
            <w:hyperlink r:id="rId23" w:tgtFrame="_blank" w:history="1">
              <w:r>
                <w:rPr>
                  <w:color w:val="0000FF"/>
                  <w:u w:val="single"/>
                  <w:lang w:eastAsia="lv-LV"/>
                </w:rPr>
                <w:t>2</w:t>
              </w:r>
            </w:hyperlink>
            <w:r>
              <w:rPr>
                <w:lang w:eastAsia="lv-LV"/>
              </w:rPr>
              <w:t> </w:t>
            </w:r>
          </w:p>
        </w:tc>
      </w:tr>
      <w:tr w14:paraId="317D5673" w14:textId="77777777" w:rsidTr="00F80C79">
        <w:tblPrEx>
          <w:tblW w:w="9781" w:type="dxa"/>
          <w:tblInd w:w="-8" w:type="dxa"/>
          <w:tblCellMar>
            <w:left w:w="0" w:type="dxa"/>
            <w:right w:w="0" w:type="dxa"/>
          </w:tblCellMar>
          <w:tblLook w:val="04A0"/>
        </w:tblPrEx>
        <w:trPr>
          <w:trHeight w:val="300"/>
        </w:trPr>
        <w:tc>
          <w:tcPr>
            <w:tcW w:w="139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63895872" w14:textId="77777777">
            <w:pPr>
              <w:spacing w:after="0" w:line="240" w:lineRule="auto"/>
              <w:textAlignment w:val="baseline"/>
              <w:rPr>
                <w:lang w:eastAsia="lv-LV"/>
              </w:rPr>
            </w:pPr>
            <w:r>
              <w:rPr>
                <w:lang w:eastAsia="lv-LV"/>
              </w:rPr>
              <w:t>17. septembris </w:t>
            </w:r>
          </w:p>
        </w:tc>
        <w:tc>
          <w:tcPr>
            <w:tcW w:w="56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2712EE4C" w14:textId="77777777">
            <w:pPr>
              <w:spacing w:after="0" w:line="240" w:lineRule="auto"/>
              <w:textAlignment w:val="baseline"/>
              <w:rPr>
                <w:lang w:eastAsia="lv-LV"/>
              </w:rPr>
            </w:pPr>
            <w:r>
              <w:rPr>
                <w:lang w:eastAsia="lv-LV"/>
              </w:rPr>
              <w:t>17.00 </w:t>
            </w:r>
          </w:p>
        </w:tc>
        <w:tc>
          <w:tcPr>
            <w:tcW w:w="2289"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1C4CAE22" w14:textId="77777777">
            <w:pPr>
              <w:spacing w:after="0" w:line="240" w:lineRule="auto"/>
              <w:textAlignment w:val="baseline"/>
              <w:rPr>
                <w:lang w:eastAsia="lv-LV"/>
              </w:rPr>
            </w:pPr>
            <w:r>
              <w:rPr>
                <w:lang w:eastAsia="lv-LV"/>
              </w:rPr>
              <w:t>Iršu muižas klēts-magazīna (Irši, Iršu pagasts) </w:t>
            </w:r>
          </w:p>
        </w:tc>
        <w:tc>
          <w:tcPr>
            <w:tcW w:w="354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44C0FDA2" w14:textId="77777777">
            <w:pPr>
              <w:spacing w:after="0" w:line="240" w:lineRule="auto"/>
              <w:textAlignment w:val="baseline"/>
              <w:rPr>
                <w:lang w:eastAsia="lv-LV"/>
              </w:rPr>
            </w:pPr>
            <w:r>
              <w:rPr>
                <w:lang w:eastAsia="lv-LV"/>
              </w:rPr>
              <w:t>Sanāksme par teritorijas plānojumu Kokneses apvienības iedzīvotāju padomēm (Iršu un Bebru pagasta iedzīvotāju padomei) </w:t>
            </w:r>
          </w:p>
        </w:tc>
        <w:tc>
          <w:tcPr>
            <w:tcW w:w="198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3ACEFAEE" w14:textId="77777777">
            <w:pPr>
              <w:spacing w:after="0" w:line="240" w:lineRule="auto"/>
              <w:textAlignment w:val="baseline"/>
              <w:rPr>
                <w:lang w:eastAsia="lv-LV"/>
              </w:rPr>
            </w:pPr>
            <w:hyperlink r:id="rId26" w:tgtFrame="_blank" w:history="1">
              <w:r>
                <w:rPr>
                  <w:color w:val="0000FF"/>
                  <w:u w:val="single"/>
                  <w:lang w:eastAsia="lv-LV"/>
                </w:rPr>
                <w:t>Sanāksme</w:t>
              </w:r>
            </w:hyperlink>
            <w:r>
              <w:rPr>
                <w:lang w:eastAsia="lv-LV"/>
              </w:rPr>
              <w:t> </w:t>
            </w:r>
          </w:p>
        </w:tc>
      </w:tr>
      <w:tr w14:paraId="5BE939BA" w14:textId="77777777" w:rsidTr="00F80C79">
        <w:tblPrEx>
          <w:tblW w:w="9781" w:type="dxa"/>
          <w:tblInd w:w="-8" w:type="dxa"/>
          <w:tblCellMar>
            <w:left w:w="0" w:type="dxa"/>
            <w:right w:w="0" w:type="dxa"/>
          </w:tblCellMar>
          <w:tblLook w:val="04A0"/>
        </w:tblPrEx>
        <w:trPr>
          <w:trHeight w:val="300"/>
        </w:trPr>
        <w:tc>
          <w:tcPr>
            <w:tcW w:w="139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306A5963" w14:textId="77777777">
            <w:pPr>
              <w:spacing w:after="0" w:line="240" w:lineRule="auto"/>
              <w:textAlignment w:val="baseline"/>
              <w:rPr>
                <w:lang w:eastAsia="lv-LV"/>
              </w:rPr>
            </w:pPr>
            <w:r>
              <w:rPr>
                <w:lang w:eastAsia="lv-LV"/>
              </w:rPr>
              <w:t>3. septembris </w:t>
            </w:r>
          </w:p>
        </w:tc>
        <w:tc>
          <w:tcPr>
            <w:tcW w:w="56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7AF3FC1C" w14:textId="77777777">
            <w:pPr>
              <w:spacing w:after="0" w:line="240" w:lineRule="auto"/>
              <w:textAlignment w:val="baseline"/>
              <w:rPr>
                <w:lang w:eastAsia="lv-LV"/>
              </w:rPr>
            </w:pPr>
            <w:r>
              <w:rPr>
                <w:lang w:eastAsia="lv-LV"/>
              </w:rPr>
              <w:t>17.00 </w:t>
            </w:r>
          </w:p>
        </w:tc>
        <w:tc>
          <w:tcPr>
            <w:tcW w:w="2289"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7D1BB382" w14:textId="77777777">
            <w:pPr>
              <w:spacing w:after="0" w:line="240" w:lineRule="auto"/>
              <w:textAlignment w:val="baseline"/>
              <w:rPr>
                <w:lang w:eastAsia="lv-LV"/>
              </w:rPr>
            </w:pPr>
            <w:r>
              <w:rPr>
                <w:lang w:eastAsia="lv-LV"/>
              </w:rPr>
              <w:t>Neretas apvienības pārvalde (Rīgas iela 1, Nereta) </w:t>
            </w:r>
          </w:p>
        </w:tc>
        <w:tc>
          <w:tcPr>
            <w:tcW w:w="354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2AC26D73" w14:textId="77777777">
            <w:pPr>
              <w:spacing w:after="0" w:line="240" w:lineRule="auto"/>
              <w:textAlignment w:val="baseline"/>
              <w:rPr>
                <w:lang w:eastAsia="lv-LV"/>
              </w:rPr>
            </w:pPr>
            <w:r>
              <w:rPr>
                <w:lang w:eastAsia="lv-LV"/>
              </w:rPr>
              <w:t>Sanāksme par teritorijas plānojumu  Mazzalves pagasta iedzīvotāju padomei </w:t>
            </w:r>
          </w:p>
        </w:tc>
        <w:tc>
          <w:tcPr>
            <w:tcW w:w="198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7FEDABEA" w14:textId="77777777">
            <w:pPr>
              <w:spacing w:after="0" w:line="240" w:lineRule="auto"/>
              <w:textAlignment w:val="baseline"/>
              <w:rPr>
                <w:lang w:eastAsia="lv-LV"/>
              </w:rPr>
            </w:pPr>
            <w:hyperlink r:id="rId27" w:tgtFrame="_blank" w:history="1">
              <w:r>
                <w:rPr>
                  <w:color w:val="0000FF"/>
                  <w:u w:val="single"/>
                  <w:lang w:eastAsia="lv-LV"/>
                </w:rPr>
                <w:t>Sanāksme</w:t>
              </w:r>
            </w:hyperlink>
            <w:r>
              <w:rPr>
                <w:lang w:eastAsia="lv-LV"/>
              </w:rPr>
              <w:t> </w:t>
            </w:r>
          </w:p>
        </w:tc>
      </w:tr>
      <w:tr w14:paraId="50EA7706" w14:textId="77777777" w:rsidTr="00F80C79">
        <w:tblPrEx>
          <w:tblW w:w="9781" w:type="dxa"/>
          <w:tblInd w:w="-8" w:type="dxa"/>
          <w:tblCellMar>
            <w:left w:w="0" w:type="dxa"/>
            <w:right w:w="0" w:type="dxa"/>
          </w:tblCellMar>
          <w:tblLook w:val="04A0"/>
        </w:tblPrEx>
        <w:trPr>
          <w:trHeight w:val="300"/>
        </w:trPr>
        <w:tc>
          <w:tcPr>
            <w:tcW w:w="139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1D586904" w14:textId="77777777">
            <w:pPr>
              <w:spacing w:after="0" w:line="240" w:lineRule="auto"/>
              <w:textAlignment w:val="baseline"/>
              <w:rPr>
                <w:lang w:eastAsia="lv-LV"/>
              </w:rPr>
            </w:pPr>
            <w:r>
              <w:rPr>
                <w:lang w:eastAsia="lv-LV"/>
              </w:rPr>
              <w:t>8. maijs </w:t>
            </w:r>
          </w:p>
        </w:tc>
        <w:tc>
          <w:tcPr>
            <w:tcW w:w="56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63C18D20" w14:textId="77777777">
            <w:pPr>
              <w:spacing w:after="0" w:line="240" w:lineRule="auto"/>
              <w:textAlignment w:val="baseline"/>
              <w:rPr>
                <w:lang w:eastAsia="lv-LV"/>
              </w:rPr>
            </w:pPr>
            <w:r>
              <w:rPr>
                <w:lang w:eastAsia="lv-LV"/>
              </w:rPr>
              <w:t>17.00 </w:t>
            </w:r>
          </w:p>
        </w:tc>
        <w:tc>
          <w:tcPr>
            <w:tcW w:w="2289"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134FFA31" w14:textId="77777777">
            <w:pPr>
              <w:spacing w:after="0" w:line="240" w:lineRule="auto"/>
              <w:textAlignment w:val="baseline"/>
              <w:rPr>
                <w:lang w:eastAsia="lv-LV"/>
              </w:rPr>
            </w:pPr>
            <w:r>
              <w:rPr>
                <w:lang w:eastAsia="lv-LV"/>
              </w:rPr>
              <w:t>Skrīveru kultūras centrs </w:t>
            </w:r>
          </w:p>
        </w:tc>
        <w:tc>
          <w:tcPr>
            <w:tcW w:w="354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7E3DDD0C" w14:textId="77777777">
            <w:pPr>
              <w:spacing w:after="0" w:line="240" w:lineRule="auto"/>
              <w:textAlignment w:val="baseline"/>
              <w:rPr>
                <w:lang w:eastAsia="lv-LV"/>
              </w:rPr>
            </w:pPr>
            <w:r>
              <w:rPr>
                <w:lang w:eastAsia="lv-LV"/>
              </w:rPr>
              <w:t>Sanāksme par ainaviski vērtīgām teritorijām </w:t>
            </w:r>
          </w:p>
        </w:tc>
        <w:tc>
          <w:tcPr>
            <w:tcW w:w="198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26561EDB" w14:textId="77777777">
            <w:pPr>
              <w:spacing w:after="0" w:line="240" w:lineRule="auto"/>
              <w:textAlignment w:val="baseline"/>
              <w:rPr>
                <w:lang w:eastAsia="lv-LV"/>
              </w:rPr>
            </w:pPr>
            <w:hyperlink r:id="rId28" w:tgtFrame="_blank" w:history="1">
              <w:r>
                <w:rPr>
                  <w:color w:val="0000FF"/>
                  <w:u w:val="single"/>
                  <w:lang w:eastAsia="lv-LV"/>
                </w:rPr>
                <w:t>1</w:t>
              </w:r>
            </w:hyperlink>
            <w:r>
              <w:rPr>
                <w:lang w:eastAsia="lv-LV"/>
              </w:rPr>
              <w:t xml:space="preserve">, </w:t>
            </w:r>
            <w:hyperlink r:id="rId29" w:tgtFrame="_blank" w:history="1">
              <w:r>
                <w:rPr>
                  <w:color w:val="0000FF"/>
                  <w:u w:val="single"/>
                  <w:lang w:eastAsia="lv-LV"/>
                </w:rPr>
                <w:t>2</w:t>
              </w:r>
            </w:hyperlink>
            <w:r>
              <w:rPr>
                <w:lang w:eastAsia="lv-LV"/>
              </w:rPr>
              <w:t> </w:t>
            </w:r>
          </w:p>
        </w:tc>
      </w:tr>
      <w:tr w14:paraId="3E53E4D7" w14:textId="77777777" w:rsidTr="00F80C79">
        <w:tblPrEx>
          <w:tblW w:w="9781" w:type="dxa"/>
          <w:tblInd w:w="-8" w:type="dxa"/>
          <w:tblCellMar>
            <w:left w:w="0" w:type="dxa"/>
            <w:right w:w="0" w:type="dxa"/>
          </w:tblCellMar>
          <w:tblLook w:val="04A0"/>
        </w:tblPrEx>
        <w:trPr>
          <w:trHeight w:val="300"/>
        </w:trPr>
        <w:tc>
          <w:tcPr>
            <w:tcW w:w="139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4DE4F540" w14:textId="77777777">
            <w:pPr>
              <w:spacing w:after="0" w:line="240" w:lineRule="auto"/>
              <w:textAlignment w:val="baseline"/>
              <w:rPr>
                <w:lang w:eastAsia="lv-LV"/>
              </w:rPr>
            </w:pPr>
            <w:r>
              <w:rPr>
                <w:lang w:eastAsia="lv-LV"/>
              </w:rPr>
              <w:t>27. maijs </w:t>
            </w:r>
          </w:p>
        </w:tc>
        <w:tc>
          <w:tcPr>
            <w:tcW w:w="56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63A16A72" w14:textId="77777777">
            <w:pPr>
              <w:spacing w:after="0" w:line="240" w:lineRule="auto"/>
              <w:textAlignment w:val="baseline"/>
              <w:rPr>
                <w:lang w:eastAsia="lv-LV"/>
              </w:rPr>
            </w:pPr>
            <w:r>
              <w:rPr>
                <w:lang w:eastAsia="lv-LV"/>
              </w:rPr>
              <w:t>17.30 </w:t>
            </w:r>
          </w:p>
        </w:tc>
        <w:tc>
          <w:tcPr>
            <w:tcW w:w="2289"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427D7B38" w14:textId="77777777">
            <w:pPr>
              <w:spacing w:after="0" w:line="240" w:lineRule="auto"/>
              <w:textAlignment w:val="baseline"/>
              <w:rPr>
                <w:lang w:eastAsia="lv-LV"/>
              </w:rPr>
            </w:pPr>
            <w:r>
              <w:rPr>
                <w:lang w:eastAsia="lv-LV"/>
              </w:rPr>
              <w:t>Kokneses apvienības pārvalde </w:t>
            </w:r>
          </w:p>
        </w:tc>
        <w:tc>
          <w:tcPr>
            <w:tcW w:w="354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62ECEB15" w14:textId="77777777">
            <w:pPr>
              <w:spacing w:after="0" w:line="240" w:lineRule="auto"/>
              <w:textAlignment w:val="baseline"/>
              <w:rPr>
                <w:lang w:eastAsia="lv-LV"/>
              </w:rPr>
            </w:pPr>
            <w:r>
              <w:rPr>
                <w:lang w:eastAsia="lv-LV"/>
              </w:rPr>
              <w:t>Sanāksme par ainaviski vērtīgām teritorijām </w:t>
            </w:r>
          </w:p>
        </w:tc>
        <w:tc>
          <w:tcPr>
            <w:tcW w:w="198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3603795E" w14:textId="77777777">
            <w:pPr>
              <w:spacing w:after="0" w:line="240" w:lineRule="auto"/>
              <w:textAlignment w:val="baseline"/>
              <w:rPr>
                <w:lang w:eastAsia="lv-LV"/>
              </w:rPr>
            </w:pPr>
            <w:hyperlink r:id="rId30" w:tgtFrame="_blank" w:history="1">
              <w:r>
                <w:rPr>
                  <w:color w:val="0000FF"/>
                  <w:u w:val="single"/>
                  <w:lang w:eastAsia="lv-LV"/>
                </w:rPr>
                <w:t>1</w:t>
              </w:r>
            </w:hyperlink>
            <w:r>
              <w:rPr>
                <w:lang w:eastAsia="lv-LV"/>
              </w:rPr>
              <w:t xml:space="preserve">, </w:t>
            </w:r>
            <w:hyperlink r:id="rId29" w:tgtFrame="_blank" w:history="1">
              <w:r>
                <w:rPr>
                  <w:color w:val="0000FF"/>
                  <w:u w:val="single"/>
                  <w:lang w:eastAsia="lv-LV"/>
                </w:rPr>
                <w:t>2</w:t>
              </w:r>
            </w:hyperlink>
            <w:r>
              <w:rPr>
                <w:lang w:eastAsia="lv-LV"/>
              </w:rPr>
              <w:t> </w:t>
            </w:r>
          </w:p>
        </w:tc>
      </w:tr>
      <w:tr w14:paraId="095974A6" w14:textId="77777777" w:rsidTr="00F80C79">
        <w:tblPrEx>
          <w:tblW w:w="9781" w:type="dxa"/>
          <w:tblInd w:w="-8" w:type="dxa"/>
          <w:tblCellMar>
            <w:left w:w="0" w:type="dxa"/>
            <w:right w:w="0" w:type="dxa"/>
          </w:tblCellMar>
          <w:tblLook w:val="04A0"/>
        </w:tblPrEx>
        <w:trPr>
          <w:trHeight w:val="300"/>
        </w:trPr>
        <w:tc>
          <w:tcPr>
            <w:tcW w:w="139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337ECFD7" w14:textId="77777777">
            <w:pPr>
              <w:spacing w:after="0" w:line="240" w:lineRule="auto"/>
              <w:textAlignment w:val="baseline"/>
              <w:rPr>
                <w:lang w:eastAsia="lv-LV"/>
              </w:rPr>
            </w:pPr>
            <w:r>
              <w:rPr>
                <w:lang w:eastAsia="lv-LV"/>
              </w:rPr>
              <w:t>23. aprīlis </w:t>
            </w:r>
          </w:p>
        </w:tc>
        <w:tc>
          <w:tcPr>
            <w:tcW w:w="56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22F84CBD" w14:textId="77777777">
            <w:pPr>
              <w:spacing w:after="0" w:line="240" w:lineRule="auto"/>
              <w:textAlignment w:val="baseline"/>
              <w:rPr>
                <w:lang w:eastAsia="lv-LV"/>
              </w:rPr>
            </w:pPr>
            <w:r>
              <w:rPr>
                <w:lang w:eastAsia="lv-LV"/>
              </w:rPr>
              <w:t>17.00 </w:t>
            </w:r>
          </w:p>
        </w:tc>
        <w:tc>
          <w:tcPr>
            <w:tcW w:w="2289"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2AA4BC23" w14:textId="77777777">
            <w:pPr>
              <w:spacing w:after="0" w:line="240" w:lineRule="auto"/>
              <w:textAlignment w:val="baseline"/>
              <w:rPr>
                <w:lang w:eastAsia="lv-LV"/>
              </w:rPr>
            </w:pPr>
            <w:r>
              <w:rPr>
                <w:lang w:eastAsia="lv-LV"/>
              </w:rPr>
              <w:t>Pļaviņu Kultūras centrs </w:t>
            </w:r>
          </w:p>
        </w:tc>
        <w:tc>
          <w:tcPr>
            <w:tcW w:w="354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0CD25D84" w14:textId="77777777">
            <w:pPr>
              <w:spacing w:after="0" w:line="240" w:lineRule="auto"/>
              <w:textAlignment w:val="baseline"/>
              <w:rPr>
                <w:lang w:eastAsia="lv-LV"/>
              </w:rPr>
            </w:pPr>
            <w:r>
              <w:rPr>
                <w:lang w:eastAsia="lv-LV"/>
              </w:rPr>
              <w:t>Sanāksme par ainaviski vērtīgām teritorijām </w:t>
            </w:r>
          </w:p>
        </w:tc>
        <w:tc>
          <w:tcPr>
            <w:tcW w:w="198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7D5A3969" w14:textId="77777777">
            <w:pPr>
              <w:spacing w:after="0" w:line="240" w:lineRule="auto"/>
              <w:textAlignment w:val="baseline"/>
              <w:rPr>
                <w:lang w:eastAsia="lv-LV"/>
              </w:rPr>
            </w:pPr>
            <w:hyperlink r:id="rId31" w:tgtFrame="_blank" w:history="1">
              <w:r>
                <w:rPr>
                  <w:color w:val="0000FF"/>
                  <w:u w:val="single"/>
                  <w:lang w:eastAsia="lv-LV"/>
                </w:rPr>
                <w:t>Saite</w:t>
              </w:r>
            </w:hyperlink>
            <w:r>
              <w:rPr>
                <w:lang w:eastAsia="lv-LV"/>
              </w:rPr>
              <w:t> </w:t>
            </w:r>
          </w:p>
        </w:tc>
      </w:tr>
      <w:tr w14:paraId="6F24FD66" w14:textId="77777777" w:rsidTr="00F80C79">
        <w:tblPrEx>
          <w:tblW w:w="9781" w:type="dxa"/>
          <w:tblInd w:w="-8" w:type="dxa"/>
          <w:tblCellMar>
            <w:left w:w="0" w:type="dxa"/>
            <w:right w:w="0" w:type="dxa"/>
          </w:tblCellMar>
          <w:tblLook w:val="04A0"/>
        </w:tblPrEx>
        <w:trPr>
          <w:trHeight w:val="300"/>
        </w:trPr>
        <w:tc>
          <w:tcPr>
            <w:tcW w:w="139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47DCAF63" w14:textId="77777777">
            <w:pPr>
              <w:spacing w:after="0" w:line="240" w:lineRule="auto"/>
              <w:textAlignment w:val="baseline"/>
              <w:rPr>
                <w:lang w:eastAsia="lv-LV"/>
              </w:rPr>
            </w:pPr>
            <w:r>
              <w:rPr>
                <w:lang w:eastAsia="lv-LV"/>
              </w:rPr>
              <w:t>15. aprīlis </w:t>
            </w:r>
          </w:p>
        </w:tc>
        <w:tc>
          <w:tcPr>
            <w:tcW w:w="567"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784153CF" w14:textId="77777777">
            <w:pPr>
              <w:spacing w:after="0" w:line="240" w:lineRule="auto"/>
              <w:textAlignment w:val="baseline"/>
              <w:rPr>
                <w:lang w:eastAsia="lv-LV"/>
              </w:rPr>
            </w:pPr>
            <w:r>
              <w:rPr>
                <w:lang w:eastAsia="lv-LV"/>
              </w:rPr>
              <w:t>17.00 </w:t>
            </w:r>
          </w:p>
        </w:tc>
        <w:tc>
          <w:tcPr>
            <w:tcW w:w="2289"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7D392D26" w14:textId="77777777">
            <w:pPr>
              <w:spacing w:after="0" w:line="240" w:lineRule="auto"/>
              <w:textAlignment w:val="baseline"/>
              <w:rPr>
                <w:lang w:eastAsia="lv-LV"/>
              </w:rPr>
            </w:pPr>
            <w:r>
              <w:rPr>
                <w:lang w:eastAsia="lv-LV"/>
              </w:rPr>
              <w:t>Seces Kultūras nams </w:t>
            </w:r>
          </w:p>
        </w:tc>
        <w:tc>
          <w:tcPr>
            <w:tcW w:w="354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1585FBE0" w14:textId="77777777">
            <w:pPr>
              <w:spacing w:after="0" w:line="240" w:lineRule="auto"/>
              <w:textAlignment w:val="baseline"/>
              <w:rPr>
                <w:lang w:eastAsia="lv-LV"/>
              </w:rPr>
            </w:pPr>
            <w:r>
              <w:rPr>
                <w:lang w:eastAsia="lv-LV"/>
              </w:rPr>
              <w:t>Sanāksme par ainaviski vērtīgām teritorijām </w:t>
            </w:r>
          </w:p>
        </w:tc>
        <w:tc>
          <w:tcPr>
            <w:tcW w:w="1984" w:type="dxa"/>
            <w:tcBorders>
              <w:top w:val="single" w:sz="6" w:space="0" w:color="auto"/>
              <w:left w:val="single" w:sz="6" w:space="0" w:color="auto"/>
              <w:bottom w:val="single" w:sz="6" w:space="0" w:color="auto"/>
              <w:right w:val="single" w:sz="6" w:space="0" w:color="auto"/>
            </w:tcBorders>
            <w:vAlign w:val="center"/>
            <w:hideMark/>
          </w:tcPr>
          <w:p w:rsidR="00742DA5" w:rsidRPr="008A0A30" w:rsidP="00F80C79" w14:paraId="501C7799" w14:textId="77777777">
            <w:pPr>
              <w:spacing w:after="0" w:line="240" w:lineRule="auto"/>
              <w:textAlignment w:val="baseline"/>
              <w:rPr>
                <w:lang w:eastAsia="lv-LV"/>
              </w:rPr>
            </w:pPr>
            <w:hyperlink r:id="rId32" w:tgtFrame="_blank" w:history="1">
              <w:r>
                <w:rPr>
                  <w:color w:val="0000FF"/>
                  <w:u w:val="single"/>
                  <w:lang w:eastAsia="lv-LV"/>
                </w:rPr>
                <w:t>1</w:t>
              </w:r>
            </w:hyperlink>
            <w:r>
              <w:rPr>
                <w:lang w:eastAsia="lv-LV"/>
              </w:rPr>
              <w:t xml:space="preserve">, </w:t>
            </w:r>
            <w:hyperlink r:id="rId31" w:tgtFrame="_blank" w:history="1">
              <w:r>
                <w:rPr>
                  <w:color w:val="0000FF"/>
                  <w:u w:val="single"/>
                  <w:lang w:eastAsia="lv-LV"/>
                </w:rPr>
                <w:t>2</w:t>
              </w:r>
            </w:hyperlink>
            <w:r>
              <w:rPr>
                <w:lang w:eastAsia="lv-LV"/>
              </w:rPr>
              <w:t> </w:t>
            </w:r>
          </w:p>
        </w:tc>
      </w:tr>
      <w:tr w14:paraId="2C494BE8" w14:textId="77777777" w:rsidTr="00F80C79">
        <w:tblPrEx>
          <w:tblW w:w="9781" w:type="dxa"/>
          <w:tblInd w:w="-8" w:type="dxa"/>
          <w:tblCellMar>
            <w:left w:w="0" w:type="dxa"/>
            <w:right w:w="0" w:type="dxa"/>
          </w:tblCellMar>
          <w:tblLook w:val="04A0"/>
        </w:tblPrEx>
        <w:trPr>
          <w:trHeight w:val="300"/>
        </w:trPr>
        <w:tc>
          <w:tcPr>
            <w:tcW w:w="1397" w:type="dxa"/>
            <w:tcBorders>
              <w:top w:val="single" w:sz="6" w:space="0" w:color="auto"/>
              <w:left w:val="single" w:sz="6" w:space="0" w:color="auto"/>
              <w:bottom w:val="single" w:sz="6" w:space="0" w:color="auto"/>
              <w:right w:val="single" w:sz="6" w:space="0" w:color="auto"/>
            </w:tcBorders>
            <w:vAlign w:val="center"/>
          </w:tcPr>
          <w:p w:rsidR="00742DA5" w:rsidRPr="008A0A30" w:rsidP="00F80C79" w14:paraId="791A2391" w14:textId="77777777">
            <w:pPr>
              <w:spacing w:after="0" w:line="240" w:lineRule="auto"/>
              <w:textAlignment w:val="baseline"/>
              <w:rPr>
                <w:lang w:eastAsia="lv-LV"/>
              </w:rPr>
            </w:pPr>
            <w:r>
              <w:rPr>
                <w:lang w:eastAsia="lv-LV"/>
              </w:rPr>
              <w:t>20. marts</w:t>
            </w:r>
          </w:p>
        </w:tc>
        <w:tc>
          <w:tcPr>
            <w:tcW w:w="567" w:type="dxa"/>
            <w:tcBorders>
              <w:top w:val="single" w:sz="6" w:space="0" w:color="auto"/>
              <w:left w:val="single" w:sz="6" w:space="0" w:color="auto"/>
              <w:bottom w:val="single" w:sz="6" w:space="0" w:color="auto"/>
              <w:right w:val="single" w:sz="6" w:space="0" w:color="auto"/>
            </w:tcBorders>
            <w:vAlign w:val="center"/>
          </w:tcPr>
          <w:p w:rsidR="00742DA5" w:rsidRPr="008A0A30" w:rsidP="00F80C79" w14:paraId="7AD37911" w14:textId="77777777">
            <w:pPr>
              <w:spacing w:after="0" w:line="240" w:lineRule="auto"/>
              <w:textAlignment w:val="baseline"/>
              <w:rPr>
                <w:lang w:eastAsia="lv-LV"/>
              </w:rPr>
            </w:pPr>
            <w:r>
              <w:rPr>
                <w:lang w:eastAsia="lv-LV"/>
              </w:rPr>
              <w:t>17.30</w:t>
            </w:r>
          </w:p>
        </w:tc>
        <w:tc>
          <w:tcPr>
            <w:tcW w:w="2289" w:type="dxa"/>
            <w:tcBorders>
              <w:top w:val="single" w:sz="6" w:space="0" w:color="auto"/>
              <w:left w:val="single" w:sz="6" w:space="0" w:color="auto"/>
              <w:bottom w:val="single" w:sz="6" w:space="0" w:color="auto"/>
              <w:right w:val="single" w:sz="6" w:space="0" w:color="auto"/>
            </w:tcBorders>
            <w:vAlign w:val="center"/>
          </w:tcPr>
          <w:p w:rsidR="00742DA5" w:rsidRPr="008A0A30" w:rsidP="00F80C79" w14:paraId="1DD88A12" w14:textId="77777777">
            <w:pPr>
              <w:spacing w:after="0" w:line="240" w:lineRule="auto"/>
              <w:textAlignment w:val="baseline"/>
              <w:rPr>
                <w:lang w:eastAsia="lv-LV"/>
              </w:rPr>
            </w:pPr>
            <w:r>
              <w:rPr>
                <w:lang w:eastAsia="lv-LV"/>
              </w:rPr>
              <w:t>Aizkraukles kultūras centrā Spīdolas ielā 2, Aizkrauklē</w:t>
            </w:r>
          </w:p>
        </w:tc>
        <w:tc>
          <w:tcPr>
            <w:tcW w:w="3544" w:type="dxa"/>
            <w:tcBorders>
              <w:top w:val="single" w:sz="6" w:space="0" w:color="auto"/>
              <w:left w:val="single" w:sz="6" w:space="0" w:color="auto"/>
              <w:bottom w:val="single" w:sz="6" w:space="0" w:color="auto"/>
              <w:right w:val="single" w:sz="6" w:space="0" w:color="auto"/>
            </w:tcBorders>
            <w:vAlign w:val="center"/>
          </w:tcPr>
          <w:p w:rsidR="00742DA5" w:rsidRPr="008A0A30" w:rsidP="00F80C79" w14:paraId="1735A8FC" w14:textId="77777777">
            <w:pPr>
              <w:spacing w:after="0" w:line="240" w:lineRule="auto"/>
              <w:textAlignment w:val="baseline"/>
              <w:rPr>
                <w:lang w:eastAsia="lv-LV"/>
              </w:rPr>
            </w:pPr>
            <w:r>
              <w:rPr>
                <w:lang w:eastAsia="lv-LV"/>
              </w:rPr>
              <w:t>Sanāksme ar Lielziedu ciema iedzīvotājiem un zemes īpašniekiem</w:t>
            </w:r>
          </w:p>
        </w:tc>
        <w:tc>
          <w:tcPr>
            <w:tcW w:w="1984" w:type="dxa"/>
            <w:tcBorders>
              <w:top w:val="single" w:sz="6" w:space="0" w:color="auto"/>
              <w:left w:val="single" w:sz="6" w:space="0" w:color="auto"/>
              <w:bottom w:val="single" w:sz="6" w:space="0" w:color="auto"/>
              <w:right w:val="single" w:sz="6" w:space="0" w:color="auto"/>
            </w:tcBorders>
            <w:vAlign w:val="center"/>
          </w:tcPr>
          <w:p w:rsidR="00742DA5" w:rsidRPr="008A0A30" w:rsidP="00F80C79" w14:paraId="00A09A3A" w14:textId="77777777">
            <w:pPr>
              <w:spacing w:after="0" w:line="240" w:lineRule="auto"/>
              <w:textAlignment w:val="baseline"/>
            </w:pPr>
            <w:r>
              <w:t>Izsūtītas vēstules</w:t>
            </w:r>
          </w:p>
        </w:tc>
      </w:tr>
    </w:tbl>
    <w:p w:rsidR="00742DA5" w:rsidRPr="008A0A30" w:rsidP="00742DA5" w14:paraId="12F1DCE6" w14:textId="77777777">
      <w:pPr>
        <w:spacing w:before="60" w:after="0" w:line="240" w:lineRule="auto"/>
        <w:jc w:val="both"/>
        <w:rPr>
          <w:color w:val="242424"/>
          <w:bdr w:val="none" w:sz="0" w:space="0" w:color="auto" w:frame="1"/>
        </w:rPr>
      </w:pPr>
    </w:p>
    <w:p w:rsidR="00742DA5" w:rsidRPr="00E24FAB" w:rsidP="00742DA5" w14:paraId="63B42BD2" w14:textId="77777777">
      <w:pPr>
        <w:spacing w:after="0" w:line="240" w:lineRule="auto"/>
        <w:jc w:val="both"/>
        <w:textAlignment w:val="baseline"/>
        <w:rPr>
          <w:kern w:val="0"/>
          <w:sz w:val="18"/>
          <w:szCs w:val="18"/>
          <w:lang w:eastAsia="lv-LV"/>
          <w14:ligatures w14:val="none"/>
        </w:rPr>
      </w:pPr>
      <w:r>
        <w:rPr>
          <w:color w:val="EE0000"/>
          <w:kern w:val="0"/>
          <w:lang w:eastAsia="lv-LV"/>
          <w14:ligatures w14:val="none"/>
        </w:rPr>
        <w:tab/>
      </w:r>
      <w:r>
        <w:rPr>
          <w:kern w:val="0"/>
          <w:sz w:val="21"/>
          <w:szCs w:val="21"/>
          <w:lang w:eastAsia="lv-LV"/>
          <w14:ligatures w14:val="none"/>
        </w:rPr>
        <w:tab/>
      </w:r>
      <w:r>
        <w:rPr>
          <w:color w:val="EE0000"/>
          <w:kern w:val="0"/>
          <w:lang w:eastAsia="lv-LV"/>
          <w14:ligatures w14:val="none"/>
        </w:rPr>
        <w:t>  </w:t>
      </w:r>
    </w:p>
    <w:p w:rsidR="00742DA5" w:rsidRPr="00514D05" w:rsidP="00A7700D" w14:paraId="12020BB1" w14:textId="77777777">
      <w:pPr>
        <w:spacing w:after="0" w:line="240" w:lineRule="auto"/>
        <w:textAlignment w:val="baseline"/>
        <w:rPr>
          <w:b/>
          <w:bCs/>
          <w:kern w:val="0"/>
          <w:lang w:eastAsia="lv-LV"/>
          <w14:ligatures w14:val="none"/>
        </w:rPr>
      </w:pPr>
      <w:r w:rsidRPr="00514D05">
        <w:rPr>
          <w:b/>
          <w:bCs/>
          <w:kern w:val="0"/>
          <w:lang w:eastAsia="lv-LV"/>
          <w14:ligatures w14:val="none"/>
        </w:rPr>
        <w:t>Publisko un privāto investīciju piesaiste</w:t>
      </w:r>
    </w:p>
    <w:p w:rsidR="00742DA5" w:rsidP="00742DA5" w14:paraId="738752C6" w14:textId="77777777">
      <w:pPr>
        <w:spacing w:after="0" w:line="240" w:lineRule="auto"/>
        <w:ind w:left="720"/>
        <w:jc w:val="both"/>
        <w:textAlignment w:val="baseline"/>
        <w:rPr>
          <w:b/>
          <w:bCs/>
          <w:kern w:val="0"/>
          <w:lang w:eastAsia="lv-LV"/>
          <w14:ligatures w14:val="none"/>
        </w:rPr>
      </w:pPr>
    </w:p>
    <w:p w:rsidR="00742DA5" w:rsidRPr="002C7F70" w:rsidP="00742DA5" w14:paraId="297F6F17" w14:textId="2D1700AC">
      <w:pPr>
        <w:spacing w:after="0" w:line="240" w:lineRule="auto"/>
        <w:ind w:left="720"/>
        <w:jc w:val="both"/>
        <w:textAlignment w:val="baseline"/>
        <w:rPr>
          <w:kern w:val="0"/>
          <w:u w:val="single"/>
          <w:lang w:eastAsia="lv-LV"/>
          <w14:ligatures w14:val="none"/>
        </w:rPr>
      </w:pPr>
      <w:r>
        <w:rPr>
          <w:b/>
          <w:bCs/>
          <w:kern w:val="0"/>
          <w:lang w:eastAsia="lv-LV"/>
          <w14:ligatures w14:val="none"/>
        </w:rPr>
        <w:t xml:space="preserve"> </w:t>
      </w:r>
      <w:r>
        <w:rPr>
          <w:b/>
          <w:bCs/>
          <w:kern w:val="0"/>
          <w:u w:val="single"/>
          <w:lang w:eastAsia="lv-LV"/>
          <w14:ligatures w14:val="none"/>
        </w:rPr>
        <w:t>Pašvaldībā īstenotie pasākumi un piesaistītās investīcijas 2025.</w:t>
      </w:r>
      <w:r w:rsidR="00FD61EE">
        <w:rPr>
          <w:b/>
          <w:bCs/>
          <w:kern w:val="0"/>
          <w:u w:val="single"/>
          <w:lang w:eastAsia="lv-LV"/>
          <w14:ligatures w14:val="none"/>
        </w:rPr>
        <w:t> </w:t>
      </w:r>
      <w:r>
        <w:rPr>
          <w:b/>
          <w:bCs/>
          <w:kern w:val="0"/>
          <w:u w:val="single"/>
          <w:lang w:eastAsia="lv-LV"/>
          <w14:ligatures w14:val="none"/>
        </w:rPr>
        <w:t>gadā</w:t>
      </w:r>
    </w:p>
    <w:p w:rsidR="00742DA5" w:rsidP="00742DA5" w14:paraId="18D59442" w14:textId="77777777">
      <w:pPr>
        <w:spacing w:after="0" w:line="240" w:lineRule="auto"/>
        <w:ind w:left="720"/>
        <w:jc w:val="both"/>
        <w:textAlignment w:val="baseline"/>
        <w:rPr>
          <w:kern w:val="0"/>
          <w:lang w:eastAsia="lv-LV"/>
          <w14:ligatures w14:val="none"/>
        </w:rPr>
      </w:pPr>
    </w:p>
    <w:p w:rsidR="00742DA5" w:rsidP="00742DA5" w14:paraId="54A565B7" w14:textId="77777777">
      <w:pPr>
        <w:spacing w:after="0" w:line="240" w:lineRule="auto"/>
        <w:ind w:firstLine="720"/>
        <w:jc w:val="both"/>
      </w:pPr>
      <w:r>
        <w:t xml:space="preserve">Aizkraukles novada pašvaldība turpināja mērķtiecīgu darbu pie novada ilgtspējīgas attīstības, īstenojot stratēģiski nozīmīgus projektus un pasākumus dažādās jomās – izglītībā, sociālajā un veselības jomā, infrastruktūras attīstībā, vides ilgtspējā, kā arī uzņēmējdarbības un tūrisma </w:t>
      </w:r>
      <w:r>
        <w:t>veicināšanā. Pašvaldības darbība tika balstīta uz Aizkraukles novada attīstības programmā noteiktajām prioritātēm, nodrošinot sabalansētu teritorijas attīstību un iedzīvotāju dzīves kvalitātes uzlabošanu.</w:t>
      </w:r>
    </w:p>
    <w:p w:rsidR="00742DA5" w:rsidP="00742DA5" w14:paraId="683C1118" w14:textId="77777777">
      <w:pPr>
        <w:spacing w:after="0" w:line="240" w:lineRule="auto"/>
        <w:ind w:firstLine="720"/>
        <w:jc w:val="both"/>
      </w:pPr>
      <w:r>
        <w:t>Pārskata periodā būtiska nozīme bija Eiropas Savienības fondu un citu finanšu instrumentu piesaistei, kas ļāva realizēt apjomīgus infrastruktūras projektus, pilnveidot izglītības vidi, uzlabot publisko ārtelpu un stiprināt sociālo atbalstu dažādām iedzīvotāju grupām. Vienlaikus tika īstenoti arī vairāki projekti, kas vērsti uz klimata pārmaiņu mazināšanu, energoefektivitātes paaugstināšanu un viedo risinājumu ieviešanu pašvaldības darbībā.</w:t>
      </w:r>
    </w:p>
    <w:p w:rsidR="00742DA5" w:rsidP="00742DA5" w14:paraId="6368A9F9" w14:textId="77777777">
      <w:pPr>
        <w:spacing w:after="0" w:line="240" w:lineRule="auto"/>
        <w:ind w:firstLine="720"/>
        <w:jc w:val="both"/>
      </w:pPr>
      <w:r>
        <w:t>Īpaša uzmanība tika pievērsta iedzīvotāju labklājības veicināšanai, nodrošinot pieejamus un kvalitatīvus pakalpojumus, kā arī veicinot sabiedrības iesaisti un sociālo iekļaušanu. Vienlaikus tika stiprināti civilās aizsardzības un drošības aspekti, tostarp attīstot patvertņu infrastruktūru. Tika turpināta arī mērķtiecīga investīciju piesaiste novada infrastruktūras attīstībai, sekmējot uzņēmējdarbības vides uzlabošanu un teritorijas konkurētspēju reģionālā un pārrobežu līmenī.</w:t>
      </w:r>
    </w:p>
    <w:p w:rsidR="00742DA5" w14:paraId="414D90A5" w14:textId="77777777">
      <w:pPr>
        <w:pStyle w:val="ListParagraph"/>
        <w:numPr>
          <w:ilvl w:val="0"/>
          <w:numId w:val="14"/>
        </w:numPr>
        <w:spacing w:after="0" w:line="240" w:lineRule="auto"/>
        <w:jc w:val="both"/>
        <w:rPr>
          <w:b/>
          <w:bCs/>
        </w:rPr>
      </w:pPr>
      <w:r>
        <w:rPr>
          <w:b/>
          <w:bCs/>
        </w:rPr>
        <w:t>Sociālā joma un veselība</w:t>
      </w:r>
    </w:p>
    <w:p w:rsidR="00742DA5" w:rsidP="00742DA5" w14:paraId="57B2E5F4" w14:textId="77777777">
      <w:pPr>
        <w:spacing w:after="0" w:line="240" w:lineRule="auto"/>
        <w:jc w:val="both"/>
      </w:pPr>
      <w:r>
        <w:t>2025. gadā pašvaldība īstenoja veselības veicināšanas un slimību profilakses pasākumus, kā arī uzsāka mājokļu vides pieejamības uzlabošanu personām ar invaliditāti, ar mērķi uzlabot iedzīvotāju veselību, veicināt sociālo iekļaušanu un nodrošināt pieejamu dzīves vidi:</w:t>
      </w:r>
    </w:p>
    <w:p w:rsidR="00742DA5" w:rsidP="00074E37" w14:paraId="052C9D95" w14:textId="77777777">
      <w:pPr>
        <w:pStyle w:val="ListParagraph"/>
        <w:numPr>
          <w:ilvl w:val="1"/>
          <w:numId w:val="14"/>
        </w:numPr>
        <w:spacing w:after="0" w:line="240" w:lineRule="auto"/>
        <w:ind w:left="1418" w:hanging="851"/>
        <w:jc w:val="both"/>
      </w:pPr>
      <w:r>
        <w:rPr>
          <w:shd w:val="clear" w:color="auto" w:fill="FFFFFF"/>
        </w:rPr>
        <w:t xml:space="preserve">Eiropas Sociālā fonda projekts “Veselības veicināšanas un slimību profilakses pasākumi Aizkraukles novadā”, projekta nr. 4.1.2.2/1/24/038, </w:t>
      </w:r>
      <w:bookmarkStart w:id="6" w:name="_Hlk225945354"/>
      <w:r>
        <w:rPr>
          <w:shd w:val="clear" w:color="auto" w:fill="FFFFFF"/>
        </w:rPr>
        <w:t xml:space="preserve">Projekta kopējā summa </w:t>
      </w:r>
      <w:bookmarkEnd w:id="6"/>
      <w:r>
        <w:rPr>
          <w:shd w:val="clear" w:color="auto" w:fill="FFFFFF"/>
        </w:rPr>
        <w:t>229147 euro.;</w:t>
      </w:r>
    </w:p>
    <w:p w:rsidR="00742DA5" w:rsidP="00074E37" w14:paraId="1BA60BBD" w14:textId="77777777">
      <w:pPr>
        <w:pStyle w:val="ListParagraph"/>
        <w:numPr>
          <w:ilvl w:val="1"/>
          <w:numId w:val="14"/>
        </w:numPr>
        <w:spacing w:after="0" w:line="240" w:lineRule="auto"/>
        <w:ind w:left="1418" w:hanging="851"/>
        <w:jc w:val="both"/>
      </w:pPr>
      <w:r>
        <w:t>Atveseļošanas fonda projekts “Atbalsta pasākumi cilvēkiem ar invaliditāti mājokļu vides pieejamības nodrošināšanai Aizkraukles novadā”, projekta nr. 3.1.2.1.i.0/2/24/l/CFLA/035.</w:t>
      </w:r>
      <w:r>
        <w:rPr>
          <w:shd w:val="clear" w:color="auto" w:fill="FFFFFF"/>
        </w:rPr>
        <w:t xml:space="preserve"> Projekta kopējā summa </w:t>
      </w:r>
      <w:r>
        <w:t>154992 euro;</w:t>
      </w:r>
    </w:p>
    <w:p w:rsidR="00742DA5" w:rsidP="00074E37" w14:paraId="4C1D0463" w14:textId="788A2FE2">
      <w:pPr>
        <w:pStyle w:val="ListParagraph"/>
        <w:numPr>
          <w:ilvl w:val="1"/>
          <w:numId w:val="14"/>
        </w:numPr>
        <w:spacing w:after="0" w:line="240" w:lineRule="auto"/>
        <w:ind w:left="1418" w:hanging="851"/>
        <w:jc w:val="both"/>
      </w:pPr>
      <w:r>
        <w:t>i</w:t>
      </w:r>
      <w:r>
        <w:t>esniegts uz izvērtēšanu Eiropas Reģionālā Attīstības fonds projekts “Sociālo mājokļu atjaunošana Aizkraukles novadā” ar projekta nr. 4.3.1.3/1/25/A/052.</w:t>
      </w:r>
      <w:r>
        <w:rPr>
          <w:shd w:val="clear" w:color="auto" w:fill="FFFFFF"/>
        </w:rPr>
        <w:t xml:space="preserve"> Projekta kopējā summa 648 235,30 euro.</w:t>
      </w:r>
    </w:p>
    <w:p w:rsidR="00742DA5" w14:paraId="103E22AF" w14:textId="77777777">
      <w:pPr>
        <w:pStyle w:val="ListParagraph"/>
        <w:numPr>
          <w:ilvl w:val="0"/>
          <w:numId w:val="14"/>
        </w:numPr>
        <w:spacing w:after="0" w:line="240" w:lineRule="auto"/>
        <w:jc w:val="both"/>
        <w:rPr>
          <w:b/>
          <w:bCs/>
        </w:rPr>
      </w:pPr>
      <w:r>
        <w:rPr>
          <w:b/>
          <w:bCs/>
        </w:rPr>
        <w:t>Izglītība, jaunatne un nodarbinātība</w:t>
      </w:r>
    </w:p>
    <w:p w:rsidR="00742DA5" w:rsidRPr="001D216B" w:rsidP="00742DA5" w14:paraId="3AC54973" w14:textId="77777777">
      <w:pPr>
        <w:spacing w:after="0" w:line="240" w:lineRule="auto"/>
        <w:jc w:val="both"/>
      </w:pPr>
      <w:r>
        <w:t>Pašvaldība īstenoja pasākumus izglītības kvalitātes uzlabošanai, jauniešu iesaistei un nodarbinātības veicināšanai, t.sk. kompetenču attīstībai, karjeras atbalstam un bezdarba mazināšanai, ar mērķi veicināt iedzīvotāju prasmes, sociālo aktivitāti un integrāciju darba tirgū:</w:t>
      </w:r>
    </w:p>
    <w:p w:rsidR="00742DA5" w:rsidRPr="001D216B" w:rsidP="00074E37" w14:paraId="3D9F8B42" w14:textId="77777777">
      <w:pPr>
        <w:pStyle w:val="ListParagraph"/>
        <w:numPr>
          <w:ilvl w:val="1"/>
          <w:numId w:val="14"/>
        </w:numPr>
        <w:spacing w:after="0" w:line="240" w:lineRule="auto"/>
        <w:ind w:left="1418" w:hanging="851"/>
        <w:jc w:val="both"/>
      </w:pPr>
      <w:r>
        <w:t>Eiropas Sociālā fonda projekts “PROTI un DARI”, projekta nr. 8.3.3.0/15/I/001;</w:t>
      </w:r>
      <w:r>
        <w:rPr>
          <w:shd w:val="clear" w:color="auto" w:fill="FFFFFF"/>
        </w:rPr>
        <w:t xml:space="preserve"> Projekta kopējā summa 64695.78 euro;</w:t>
      </w:r>
    </w:p>
    <w:p w:rsidR="00742DA5" w:rsidRPr="00A41994" w:rsidP="00074E37" w14:paraId="2CAE2B95" w14:textId="77777777">
      <w:pPr>
        <w:pStyle w:val="ListParagraph"/>
        <w:numPr>
          <w:ilvl w:val="1"/>
          <w:numId w:val="14"/>
        </w:numPr>
        <w:spacing w:after="0" w:line="240" w:lineRule="auto"/>
        <w:ind w:left="1418" w:hanging="851"/>
        <w:jc w:val="both"/>
      </w:pPr>
      <w:r>
        <w:t xml:space="preserve">Eiropas Sociālā fonda projekts “Latvijas Skolas soma”; </w:t>
      </w:r>
      <w:r>
        <w:rPr>
          <w:shd w:val="clear" w:color="auto" w:fill="FFFFFF"/>
        </w:rPr>
        <w:t>Projekta kopējā summa 56 00,00 euro</w:t>
      </w:r>
    </w:p>
    <w:p w:rsidR="00742DA5" w:rsidRPr="00D60D9B" w:rsidP="00074E37" w14:paraId="30CACD58" w14:textId="77777777">
      <w:pPr>
        <w:pStyle w:val="ListParagraph"/>
        <w:numPr>
          <w:ilvl w:val="1"/>
          <w:numId w:val="14"/>
        </w:numPr>
        <w:spacing w:after="0" w:line="240" w:lineRule="auto"/>
        <w:ind w:left="1418" w:hanging="851"/>
        <w:jc w:val="both"/>
      </w:pPr>
      <w:r>
        <w:t>Eiropas Sociālā fonda projekts “Atbalsts izglītojamo individuālo kompetenču attīstībai”, projekta nr. 8.3.2.2./16/I/001;</w:t>
      </w:r>
    </w:p>
    <w:p w:rsidR="00742DA5" w:rsidRPr="00A14F0C" w:rsidP="00074E37" w14:paraId="6F34771E" w14:textId="77777777">
      <w:pPr>
        <w:pStyle w:val="ListParagraph"/>
        <w:numPr>
          <w:ilvl w:val="1"/>
          <w:numId w:val="14"/>
        </w:numPr>
        <w:spacing w:after="0" w:line="240" w:lineRule="auto"/>
        <w:ind w:left="1418" w:hanging="851"/>
        <w:jc w:val="both"/>
      </w:pPr>
      <w:r>
        <w:t>Nodarbinātības valsts aģentūras īstenotais Eiropas Sociālā fonda projekts “Algotie pagaidu sabiedriskie darbi”; Projekta kopējā summa 33600,0 euro</w:t>
      </w:r>
      <w:r>
        <w:rPr>
          <w:shd w:val="clear" w:color="auto" w:fill="FFFFFF"/>
        </w:rPr>
        <w:t>;</w:t>
      </w:r>
    </w:p>
    <w:p w:rsidR="00742DA5" w:rsidRPr="001D216B" w:rsidP="00074E37" w14:paraId="4ACAA50C" w14:textId="77777777">
      <w:pPr>
        <w:pStyle w:val="ListParagraph"/>
        <w:numPr>
          <w:ilvl w:val="1"/>
          <w:numId w:val="14"/>
        </w:numPr>
        <w:spacing w:after="0" w:line="240" w:lineRule="auto"/>
        <w:ind w:left="1418" w:hanging="851"/>
        <w:jc w:val="both"/>
      </w:pPr>
      <w:r>
        <w:t>Jaunatnes starptautisko programmu aģentūras un Latvijas Atveseļošanas fonda finansēts projekts “Digitālā darba ar jaunatni sistēmas attīstība pašvaldībās”, projekta nr. 2.3.2.1.i.0/1/23/I/CFLA/002;</w:t>
      </w:r>
      <w:r>
        <w:rPr>
          <w:shd w:val="clear" w:color="auto" w:fill="FFFFFF"/>
        </w:rPr>
        <w:t xml:space="preserve"> Projekta kopējā summa 48737,83 euro;</w:t>
      </w:r>
    </w:p>
    <w:p w:rsidR="00742DA5" w:rsidP="00074E37" w14:paraId="5B2A8D9B" w14:textId="77777777">
      <w:pPr>
        <w:pStyle w:val="ListParagraph"/>
        <w:numPr>
          <w:ilvl w:val="1"/>
          <w:numId w:val="14"/>
        </w:numPr>
        <w:spacing w:after="0" w:line="240" w:lineRule="auto"/>
        <w:ind w:left="1418" w:hanging="851"/>
        <w:jc w:val="both"/>
      </w:pPr>
      <w:r>
        <w:t>Eiropas Solidaritātes korpusa projekts “ViedDaris”, projekta nr. 2024-3-LV02-ESC30-SOL-000268163;</w:t>
      </w:r>
      <w:r>
        <w:rPr>
          <w:shd w:val="clear" w:color="auto" w:fill="FFFFFF"/>
        </w:rPr>
        <w:t xml:space="preserve"> Projekta kopējā summa 10000 euro;</w:t>
      </w:r>
    </w:p>
    <w:p w:rsidR="00742DA5" w:rsidP="00074E37" w14:paraId="0A8761C2" w14:textId="77777777">
      <w:pPr>
        <w:pStyle w:val="ListParagraph"/>
        <w:numPr>
          <w:ilvl w:val="1"/>
          <w:numId w:val="14"/>
        </w:numPr>
        <w:spacing w:after="0" w:line="240" w:lineRule="auto"/>
        <w:ind w:left="1418" w:hanging="851"/>
        <w:jc w:val="both"/>
      </w:pPr>
      <w:r>
        <w:t>Eiropas Savienības Erasmus+ programmas projekts “Nacionālie koordinatori dalības pieaugušo izglītībā veicināšanai Latvijā”, projekta nr. 101144108-NCLV2024-2025-ERASMUS-EDU-2023-AL-AGENDA-IBA;</w:t>
      </w:r>
      <w:r>
        <w:rPr>
          <w:shd w:val="clear" w:color="auto" w:fill="FFFFFF"/>
        </w:rPr>
        <w:t xml:space="preserve"> Projekta kopējā summa 1500 euro;</w:t>
      </w:r>
    </w:p>
    <w:p w:rsidR="00742DA5" w:rsidP="00074E37" w14:paraId="06BDF8EA" w14:textId="77777777">
      <w:pPr>
        <w:pStyle w:val="ListParagraph"/>
        <w:numPr>
          <w:ilvl w:val="1"/>
          <w:numId w:val="14"/>
        </w:numPr>
        <w:spacing w:after="0" w:line="240" w:lineRule="auto"/>
        <w:ind w:left="1418" w:hanging="851"/>
        <w:jc w:val="both"/>
      </w:pPr>
      <w:r>
        <w:t xml:space="preserve"> Atveseļošanas un noturības mehānisma projekts “Sabiedrības digitālo prasmju attīstība”, projekta nr. 2.3.2.1.i.0/1/23/I/CFLA/001. (77,87 EUR par iedzīvotāju,jāapmāca 626 iedz.)</w:t>
      </w:r>
    </w:p>
    <w:p w:rsidR="00742DA5" w:rsidRPr="001D216B" w:rsidP="00074E37" w14:paraId="4102EDA4" w14:textId="3BD6B902">
      <w:pPr>
        <w:spacing w:after="0" w:line="240" w:lineRule="auto"/>
        <w:ind w:left="1418" w:hanging="851"/>
        <w:jc w:val="both"/>
        <w:textAlignment w:val="baseline"/>
        <w:rPr>
          <w:kern w:val="0"/>
          <w:lang w:eastAsia="lv-LV"/>
          <w14:ligatures w14:val="none"/>
        </w:rPr>
      </w:pPr>
      <w:r>
        <w:rPr>
          <w:kern w:val="0"/>
          <w:lang w:eastAsia="lv-LV"/>
          <w14:ligatures w14:val="none"/>
        </w:rPr>
        <w:t xml:space="preserve">2.9. </w:t>
      </w:r>
      <w:r w:rsidR="00074E37">
        <w:rPr>
          <w:kern w:val="0"/>
          <w:lang w:eastAsia="lv-LV"/>
          <w14:ligatures w14:val="none"/>
        </w:rPr>
        <w:tab/>
      </w:r>
      <w:r>
        <w:rPr>
          <w:kern w:val="0"/>
          <w:lang w:eastAsia="lv-LV"/>
          <w14:ligatures w14:val="none"/>
        </w:rPr>
        <w:t>VKKF “Kamermūzikas dienas Pļaviņās”, 2. projektu konkurss. Kopējās izmaksas 1950 euro;</w:t>
      </w:r>
    </w:p>
    <w:p w:rsidR="00742DA5" w:rsidRPr="001D216B" w:rsidP="00FA79A9" w14:paraId="2863951B" w14:textId="614D7194">
      <w:pPr>
        <w:ind w:left="1418" w:hanging="851"/>
        <w:rPr>
          <w:kern w:val="0"/>
          <w:lang w:eastAsia="lv-LV"/>
          <w14:ligatures w14:val="none"/>
        </w:rPr>
      </w:pPr>
      <w:r>
        <w:rPr>
          <w:kern w:val="0"/>
          <w:lang w:eastAsia="lv-LV"/>
          <w14:ligatures w14:val="none"/>
        </w:rPr>
        <w:t>2.10.</w:t>
      </w:r>
      <w:r w:rsidR="00FA79A9">
        <w:rPr>
          <w:kern w:val="0"/>
          <w:lang w:eastAsia="lv-LV"/>
          <w14:ligatures w14:val="none"/>
        </w:rPr>
        <w:tab/>
      </w:r>
      <w:r>
        <w:rPr>
          <w:kern w:val="0"/>
          <w:lang w:eastAsia="lv-LV"/>
          <w14:ligatures w14:val="none"/>
        </w:rPr>
        <w:t>VKKF un Vidzemes vēsturiskās zemes kultūra programma “Kamermūzikas dienas Pļaviņās 2025”. Kopējās izmaksas 3000 euro.</w:t>
      </w:r>
    </w:p>
    <w:p w:rsidR="00742DA5" w:rsidRPr="001D216B" w:rsidP="00742DA5" w14:paraId="0F5BEF33" w14:textId="77777777">
      <w:pPr>
        <w:spacing w:after="0" w:line="240" w:lineRule="auto"/>
        <w:ind w:left="284"/>
        <w:jc w:val="both"/>
      </w:pPr>
    </w:p>
    <w:p w:rsidR="00742DA5" w:rsidRPr="001D216B" w:rsidP="00742DA5" w14:paraId="54F42874" w14:textId="77777777">
      <w:pPr>
        <w:spacing w:after="0" w:line="240" w:lineRule="auto"/>
        <w:ind w:left="426"/>
        <w:jc w:val="both"/>
        <w:rPr>
          <w:b/>
          <w:bCs/>
        </w:rPr>
      </w:pPr>
      <w:r>
        <w:rPr>
          <w:b/>
          <w:bCs/>
        </w:rPr>
        <w:t>3.Infrastruktūra</w:t>
      </w:r>
    </w:p>
    <w:p w:rsidR="00742DA5" w:rsidRPr="001D216B" w:rsidP="00742DA5" w14:paraId="35C0DB6F" w14:textId="77777777">
      <w:pPr>
        <w:spacing w:after="0" w:line="240" w:lineRule="auto"/>
        <w:ind w:left="426"/>
        <w:jc w:val="both"/>
        <w:rPr>
          <w:b/>
          <w:bCs/>
        </w:rPr>
      </w:pPr>
    </w:p>
    <w:p w:rsidR="00742DA5" w:rsidRPr="001D216B" w:rsidP="00E52586" w14:paraId="42AEFD60" w14:textId="58A64839">
      <w:pPr>
        <w:spacing w:after="0" w:line="240" w:lineRule="auto"/>
        <w:ind w:left="567" w:hanging="567"/>
        <w:jc w:val="both"/>
        <w:rPr>
          <w:b/>
          <w:bCs/>
        </w:rPr>
      </w:pPr>
      <w:r>
        <w:rPr>
          <w:b/>
          <w:bCs/>
        </w:rPr>
        <w:t>3.1.</w:t>
      </w:r>
      <w:r w:rsidR="00E52586">
        <w:rPr>
          <w:b/>
          <w:bCs/>
        </w:rPr>
        <w:tab/>
      </w:r>
      <w:r>
        <w:rPr>
          <w:b/>
          <w:bCs/>
        </w:rPr>
        <w:t>Publiskā ārtelpa, mobilitāte un uzņēmējdarbības infrastruktūra</w:t>
      </w:r>
    </w:p>
    <w:p w:rsidR="00742DA5" w:rsidRPr="001D216B" w:rsidP="00E52586" w14:paraId="4E3B33BA" w14:textId="77777777">
      <w:pPr>
        <w:spacing w:after="0" w:line="240" w:lineRule="auto"/>
        <w:ind w:firstLine="567"/>
        <w:jc w:val="both"/>
      </w:pPr>
      <w:r>
        <w:t>Tika turpināta un uzsākta publiskās ārtelpas un transporta infrastruktūras attīstība, īstenojot projektus, kas vērsti uz mobilitātes, teritorijas pieejamības un dzīves kvalitātes uzlabošanu:</w:t>
      </w:r>
    </w:p>
    <w:p w:rsidR="00742DA5" w:rsidRPr="001D216B" w:rsidP="00E52586" w14:paraId="503C36F8" w14:textId="77777777">
      <w:pPr>
        <w:pStyle w:val="ListParagraph"/>
        <w:numPr>
          <w:ilvl w:val="2"/>
          <w:numId w:val="15"/>
        </w:numPr>
        <w:spacing w:after="0" w:line="240" w:lineRule="auto"/>
        <w:ind w:left="993" w:hanging="1003"/>
        <w:jc w:val="both"/>
      </w:pPr>
      <w:r>
        <w:t>Eiropas Reģionālā attīstības fonda projekts “Kokneses publiskās ārtelpas attīstība”, projekta nr. 5.1.1.3/1/23/A/047;</w:t>
      </w:r>
      <w:r>
        <w:rPr>
          <w:shd w:val="clear" w:color="auto" w:fill="FFFFFF"/>
        </w:rPr>
        <w:t xml:space="preserve"> Projekta kopējā summa 1004024,82 euro;</w:t>
      </w:r>
    </w:p>
    <w:p w:rsidR="00742DA5" w:rsidRPr="001D216B" w:rsidP="00E52586" w14:paraId="31159E1D" w14:textId="36F6ABB1">
      <w:pPr>
        <w:pStyle w:val="ListParagraph"/>
        <w:numPr>
          <w:ilvl w:val="2"/>
          <w:numId w:val="15"/>
        </w:numPr>
        <w:spacing w:after="0" w:line="240" w:lineRule="auto"/>
        <w:ind w:left="993" w:hanging="1003"/>
        <w:jc w:val="both"/>
      </w:pPr>
      <w:r>
        <w:t xml:space="preserve">Eiropas Reģionālā attīstības fonda projekts “Publiskās ārtelpas attīstība Pļaviņās”, projekta </w:t>
      </w:r>
      <w:r w:rsidR="00E52586">
        <w:t>N</w:t>
      </w:r>
      <w:r>
        <w:t>r. 5.1.1.3/1/23/A/049;</w:t>
      </w:r>
      <w:r>
        <w:rPr>
          <w:shd w:val="clear" w:color="auto" w:fill="FFFFFF"/>
        </w:rPr>
        <w:t xml:space="preserve"> Projekta kopējā summa 524708,04 euro;</w:t>
      </w:r>
    </w:p>
    <w:p w:rsidR="00742DA5" w:rsidRPr="001D216B" w:rsidP="00E52586" w14:paraId="255F8618" w14:textId="77777777">
      <w:pPr>
        <w:pStyle w:val="ListParagraph"/>
        <w:numPr>
          <w:ilvl w:val="2"/>
          <w:numId w:val="15"/>
        </w:numPr>
        <w:spacing w:after="0" w:line="240" w:lineRule="auto"/>
        <w:ind w:left="993" w:hanging="1003"/>
        <w:jc w:val="both"/>
      </w:pPr>
      <w:r>
        <w:t>Eiropas Reģionālā attīstības fonda projekts “Uzņēmējdarbības atbalsta veicināšana Aizkraukles novada funkcionālajā teritorijā”, projekta nr. 5.1.1.1/1/24/003;</w:t>
      </w:r>
      <w:r>
        <w:rPr>
          <w:shd w:val="clear" w:color="auto" w:fill="FFFFFF"/>
        </w:rPr>
        <w:t xml:space="preserve"> Projekta kopējā summa 6673144,82euro;</w:t>
      </w:r>
    </w:p>
    <w:p w:rsidR="00742DA5" w:rsidRPr="001D216B" w:rsidP="00E52586" w14:paraId="5CA80C1A" w14:textId="48467AF4">
      <w:pPr>
        <w:pStyle w:val="ListParagraph"/>
        <w:numPr>
          <w:ilvl w:val="2"/>
          <w:numId w:val="15"/>
        </w:numPr>
        <w:spacing w:after="0" w:line="240" w:lineRule="auto"/>
        <w:ind w:left="993" w:hanging="1003"/>
        <w:jc w:val="both"/>
      </w:pPr>
      <w:r>
        <w:t>c</w:t>
      </w:r>
      <w:r>
        <w:t>eļa posma “Skrīveri – Līči – Bolšāres – Veibēni”un “Braslas upe – Silamices” posmu seguma atjaunošana Skrīveru pagastā, Aizkraukles novadā“ būvdarbi.</w:t>
      </w:r>
      <w:r>
        <w:rPr>
          <w:shd w:val="clear" w:color="auto" w:fill="FFFFFF"/>
        </w:rPr>
        <w:t xml:space="preserve"> Projekta kopējā summa 381927euro;</w:t>
      </w:r>
    </w:p>
    <w:p w:rsidR="00742DA5" w:rsidRPr="0086503C" w:rsidP="00E52586" w14:paraId="35E522EE" w14:textId="77777777">
      <w:pPr>
        <w:pStyle w:val="ListParagraph"/>
        <w:numPr>
          <w:ilvl w:val="2"/>
          <w:numId w:val="15"/>
        </w:numPr>
        <w:spacing w:after="0" w:line="240" w:lineRule="auto"/>
        <w:ind w:left="993" w:hanging="1003"/>
        <w:jc w:val="both"/>
        <w:textAlignment w:val="baseline"/>
        <w:rPr>
          <w:color w:val="000000" w:themeColor="text1"/>
          <w:kern w:val="0"/>
          <w:lang w:eastAsia="lv-LV"/>
          <w14:ligatures w14:val="none"/>
        </w:rPr>
      </w:pPr>
      <w:r>
        <w:rPr>
          <w:color w:val="000000" w:themeColor="text1"/>
          <w:kern w:val="0"/>
          <w:lang w:eastAsia="lv-LV"/>
          <w14:ligatures w14:val="none"/>
        </w:rPr>
        <w:t>Daugavas ielas posma pārbūve no Raiņa ielas līdz Upes ielai Pļaviņās; Projekta summa 1997507,22 euro; </w:t>
      </w:r>
    </w:p>
    <w:p w:rsidR="00742DA5" w:rsidRPr="0086503C" w:rsidP="00E52586" w14:paraId="3279C400" w14:textId="1EF2426E">
      <w:pPr>
        <w:pStyle w:val="ListParagraph"/>
        <w:numPr>
          <w:ilvl w:val="2"/>
          <w:numId w:val="15"/>
        </w:numPr>
        <w:spacing w:after="0" w:line="240" w:lineRule="auto"/>
        <w:ind w:left="993" w:hanging="1003"/>
        <w:jc w:val="both"/>
        <w:textAlignment w:val="baseline"/>
        <w:rPr>
          <w:color w:val="000000" w:themeColor="text1"/>
          <w:kern w:val="0"/>
          <w:lang w:eastAsia="lv-LV"/>
          <w14:ligatures w14:val="none"/>
        </w:rPr>
      </w:pPr>
      <w:r>
        <w:rPr>
          <w:color w:val="000000" w:themeColor="text1"/>
          <w:kern w:val="0"/>
          <w:lang w:eastAsia="lv-LV"/>
          <w14:ligatures w14:val="none"/>
        </w:rPr>
        <w:t>iz</w:t>
      </w:r>
      <w:r>
        <w:rPr>
          <w:color w:val="000000" w:themeColor="text1"/>
          <w:kern w:val="0"/>
          <w:lang w:eastAsia="lv-LV"/>
          <w14:ligatures w14:val="none"/>
        </w:rPr>
        <w:t>strādāts tehniskais  projekts “Daugavas ielas posma no Upes ielas līdz Robežu ielai asfalta seguma atjaunošanas darbi Pļaviņās, Aizkraukles novadā”. Tehniskā projekta summa 14822.50 euro;</w:t>
      </w:r>
    </w:p>
    <w:p w:rsidR="00742DA5" w:rsidRPr="00D60D9B" w:rsidP="00E52586" w14:paraId="04610F0B" w14:textId="2EB2BE96">
      <w:pPr>
        <w:pStyle w:val="ListParagraph"/>
        <w:numPr>
          <w:ilvl w:val="2"/>
          <w:numId w:val="15"/>
        </w:numPr>
        <w:spacing w:after="0" w:line="240" w:lineRule="auto"/>
        <w:ind w:left="993" w:hanging="1003"/>
        <w:jc w:val="both"/>
        <w:textAlignment w:val="baseline"/>
        <w:rPr>
          <w:color w:val="000000" w:themeColor="text1"/>
          <w:kern w:val="0"/>
          <w:lang w:eastAsia="lv-LV"/>
          <w14:ligatures w14:val="none"/>
        </w:rPr>
      </w:pPr>
      <w:r>
        <w:rPr>
          <w:color w:val="000000" w:themeColor="text1"/>
          <w:kern w:val="0"/>
          <w:lang w:eastAsia="lv-LV"/>
          <w14:ligatures w14:val="none"/>
        </w:rPr>
        <w:t>i</w:t>
      </w:r>
      <w:r>
        <w:rPr>
          <w:color w:val="000000" w:themeColor="text1"/>
          <w:kern w:val="0"/>
          <w:lang w:eastAsia="lv-LV"/>
          <w14:ligatures w14:val="none"/>
        </w:rPr>
        <w:t xml:space="preserve">zstrādāts tehniskais projekts “Atvaru ielas posma no Daugavas ielas līdz Lielai Krasta ielai pārbūves darbi Pļaviņās, Aizkraukles novadā”; </w:t>
      </w:r>
      <w:r>
        <w:rPr>
          <w:shd w:val="clear" w:color="auto" w:fill="FFFFFF"/>
        </w:rPr>
        <w:t>Projekta kopējā summa</w:t>
      </w:r>
      <w:r>
        <w:rPr>
          <w:color w:val="000000" w:themeColor="text1"/>
          <w:kern w:val="0"/>
          <w:lang w:eastAsia="lv-LV"/>
          <w14:ligatures w14:val="none"/>
        </w:rPr>
        <w:t xml:space="preserve">. </w:t>
      </w:r>
    </w:p>
    <w:p w:rsidR="00742DA5" w:rsidRPr="001D216B" w:rsidP="00742DA5" w14:paraId="1A8AC0B6" w14:textId="77777777">
      <w:pPr>
        <w:tabs>
          <w:tab w:val="left" w:pos="567"/>
        </w:tabs>
        <w:spacing w:after="0" w:line="240" w:lineRule="auto"/>
        <w:ind w:left="568" w:hanging="1144"/>
        <w:jc w:val="both"/>
      </w:pPr>
    </w:p>
    <w:p w:rsidR="00742DA5" w:rsidRPr="001D216B" w14:paraId="580FC3EF" w14:textId="77777777">
      <w:pPr>
        <w:pStyle w:val="ListParagraph"/>
        <w:numPr>
          <w:ilvl w:val="0"/>
          <w:numId w:val="16"/>
        </w:numPr>
        <w:spacing w:after="0" w:line="240" w:lineRule="auto"/>
        <w:jc w:val="both"/>
        <w:rPr>
          <w:b/>
          <w:bCs/>
        </w:rPr>
      </w:pPr>
      <w:r>
        <w:rPr>
          <w:b/>
          <w:bCs/>
        </w:rPr>
        <w:t>Ēku infrastruktūra un pakalpojumi</w:t>
      </w:r>
    </w:p>
    <w:p w:rsidR="00742DA5" w:rsidRPr="001D216B" w:rsidP="000C7C50" w14:paraId="6FDC7C0B" w14:textId="77777777">
      <w:pPr>
        <w:spacing w:after="0" w:line="240" w:lineRule="auto"/>
        <w:ind w:firstLine="567"/>
        <w:jc w:val="both"/>
      </w:pPr>
      <w:r>
        <w:t>Pārskata periodā pašvaldība īstenoja un turpināja īstenot projektus izglītības, publisko pakalpojumu un inženiertehniskās infrastruktūras attīstībai, t.sk. uzlabojot mācību vidi izglītības iestādēs, veicot energoefektivitātes pasākumus, attīstot publisko pakalpojumu infrastruktūru, kā arī īstenojot ūdenssaimniecības projektus, ar mērķi nodrošināt kvalitatīvus un pieejamus pakalpojumus iedzīvotājiem:</w:t>
      </w:r>
    </w:p>
    <w:p w:rsidR="00742DA5" w:rsidP="000C7C50" w14:paraId="788F9220" w14:textId="7A0D54E3">
      <w:pPr>
        <w:spacing w:after="0" w:line="240" w:lineRule="auto"/>
        <w:ind w:left="1418" w:hanging="851"/>
        <w:jc w:val="both"/>
      </w:pPr>
      <w:r>
        <w:t xml:space="preserve">4.1. </w:t>
      </w:r>
      <w:r w:rsidR="000C7C50">
        <w:tab/>
      </w:r>
      <w:r>
        <w:t xml:space="preserve">Eiropas Reģionālā attīstības fonda projekts “Mācību vides pilnveide un infrastruktūras attīstība Kokneses pamatskolā”, nr. 4.2.1.3/1/24/010; </w:t>
      </w:r>
      <w:r>
        <w:rPr>
          <w:shd w:val="clear" w:color="auto" w:fill="FFFFFF"/>
        </w:rPr>
        <w:t>Projekta kopējā summa 518440,0 euro;</w:t>
      </w:r>
    </w:p>
    <w:p w:rsidR="00742DA5" w:rsidP="000C7C50" w14:paraId="36E5D7A0" w14:textId="77777777">
      <w:pPr>
        <w:pStyle w:val="ListParagraph"/>
        <w:numPr>
          <w:ilvl w:val="1"/>
          <w:numId w:val="17"/>
        </w:numPr>
        <w:spacing w:after="0" w:line="240" w:lineRule="auto"/>
        <w:ind w:left="1418" w:hanging="851"/>
        <w:jc w:val="both"/>
      </w:pPr>
      <w:r>
        <w:t>Atveseļošanas fonda projekts “Izglītības iestāžu infrastruktūras pilnveide un aprīkošana Aizkraukles novadā”, nr. 3.1.1.5.i.0/2/24/l/CFLA/001;</w:t>
      </w:r>
      <w:r>
        <w:rPr>
          <w:shd w:val="clear" w:color="auto" w:fill="FFFFFF"/>
        </w:rPr>
        <w:t xml:space="preserve"> Projekta kopējā summa</w:t>
      </w:r>
      <w:r>
        <w:t xml:space="preserve">  5327924,02 euro;</w:t>
      </w:r>
    </w:p>
    <w:p w:rsidR="00742DA5" w:rsidRPr="00FC444D" w:rsidP="000C7C50" w14:paraId="2A8DF4A9" w14:textId="77777777">
      <w:pPr>
        <w:pStyle w:val="ListParagraph"/>
        <w:numPr>
          <w:ilvl w:val="1"/>
          <w:numId w:val="17"/>
        </w:numPr>
        <w:spacing w:line="259" w:lineRule="auto"/>
        <w:ind w:left="1418" w:hanging="851"/>
      </w:pPr>
      <w:r>
        <w:t>Daudzfunkcionālo interaktīvo telpu izveide Mazzalves pamatskolas pirmsskolas izglītības iestādē 2025.gadā projektēšanas izmaksas 12 039.50 euro. Plānots realizēt 2026.g</w:t>
      </w:r>
    </w:p>
    <w:p w:rsidR="00742DA5" w:rsidP="000C7C50" w14:paraId="22EFC193" w14:textId="77777777">
      <w:pPr>
        <w:pStyle w:val="ListParagraph"/>
        <w:numPr>
          <w:ilvl w:val="1"/>
          <w:numId w:val="17"/>
        </w:numPr>
        <w:spacing w:after="0" w:line="240" w:lineRule="auto"/>
        <w:ind w:left="1418" w:hanging="851"/>
        <w:jc w:val="both"/>
      </w:pPr>
      <w:r>
        <w:t>Atveseļošanas fonda projekts “Pašvaldības ēku vides piekļūstamības nodrošināšanas pasākumi” projekta nr. 3.1.2.1.i.0/1/22/I/CFLA/012;</w:t>
      </w:r>
      <w:r>
        <w:rPr>
          <w:shd w:val="clear" w:color="auto" w:fill="FFFFFF"/>
        </w:rPr>
        <w:t xml:space="preserve"> Projekta kopējā summa 579613,64 euro;</w:t>
      </w:r>
      <w:r>
        <w:tab/>
      </w:r>
    </w:p>
    <w:p w:rsidR="00742DA5" w:rsidRPr="00E63701" w:rsidP="000C7C50" w14:paraId="62E1F77F" w14:textId="77777777">
      <w:pPr>
        <w:pStyle w:val="ListParagraph"/>
        <w:numPr>
          <w:ilvl w:val="1"/>
          <w:numId w:val="17"/>
        </w:numPr>
        <w:spacing w:after="0" w:line="240" w:lineRule="auto"/>
        <w:ind w:left="1418" w:hanging="851"/>
        <w:jc w:val="both"/>
      </w:pPr>
      <w:r>
        <w:t>Aizkraukles pagasta sākumskolas energoefektivitātes pasākumi;</w:t>
      </w:r>
      <w:r>
        <w:rPr>
          <w:shd w:val="clear" w:color="auto" w:fill="FFFFFF"/>
        </w:rPr>
        <w:t xml:space="preserve"> Projekta kopējā summa 110000,0 euro;</w:t>
      </w:r>
    </w:p>
    <w:p w:rsidR="00742DA5" w:rsidRPr="00153670" w:rsidP="000C7C50" w14:paraId="11E0ADD6" w14:textId="6C7E7316">
      <w:pPr>
        <w:pStyle w:val="ListParagraph"/>
        <w:numPr>
          <w:ilvl w:val="1"/>
          <w:numId w:val="17"/>
        </w:numPr>
        <w:spacing w:after="0" w:line="240" w:lineRule="auto"/>
        <w:ind w:left="1418" w:hanging="851"/>
        <w:jc w:val="both"/>
      </w:pPr>
      <w:r>
        <w:t>Neretas autoostas iekštelpu rekonstrukcija un lietošanas veida maiņa;</w:t>
      </w:r>
      <w:r>
        <w:rPr>
          <w:shd w:val="clear" w:color="auto" w:fill="FFFFFF"/>
        </w:rPr>
        <w:t xml:space="preserve"> </w:t>
      </w:r>
      <w:r>
        <w:t>Projekta kopējā summa 64 680.01 euro;.</w:t>
      </w:r>
    </w:p>
    <w:p w:rsidR="00742DA5" w:rsidRPr="00153670" w:rsidP="000C7C50" w14:paraId="7379B764" w14:textId="4A11FF1D">
      <w:pPr>
        <w:pStyle w:val="ListParagraph"/>
        <w:numPr>
          <w:ilvl w:val="1"/>
          <w:numId w:val="17"/>
        </w:numPr>
        <w:spacing w:after="0" w:line="240" w:lineRule="auto"/>
        <w:ind w:left="1418" w:hanging="851"/>
        <w:jc w:val="both"/>
      </w:pPr>
      <w:r>
        <w:t>Ūdens sagatavošanas stacijas un ūdenspiegādes tīklu izveide Neretā; Projekta kopējā summa</w:t>
      </w:r>
      <w:r>
        <w:rPr>
          <w:shd w:val="clear" w:color="auto" w:fill="FFFFFF"/>
        </w:rPr>
        <w:t xml:space="preserve"> </w:t>
      </w:r>
      <w:r>
        <w:t>174 109.30 euro;</w:t>
      </w:r>
    </w:p>
    <w:p w:rsidR="00742DA5" w:rsidRPr="00076847" w:rsidP="000C7C50" w14:paraId="1F7D7090" w14:textId="77777777">
      <w:pPr>
        <w:pStyle w:val="ListParagraph"/>
        <w:numPr>
          <w:ilvl w:val="1"/>
          <w:numId w:val="17"/>
        </w:numPr>
        <w:spacing w:after="0" w:line="240" w:lineRule="auto"/>
        <w:ind w:left="1418" w:hanging="851"/>
        <w:jc w:val="both"/>
      </w:pPr>
      <w:r>
        <w:t xml:space="preserve">Jaunjelgavas kultūras centra pārbūve Jelgavas iela 31, Jaunjelgavā; </w:t>
      </w:r>
      <w:r>
        <w:rPr>
          <w:shd w:val="clear" w:color="auto" w:fill="FFFFFF"/>
        </w:rPr>
        <w:t>Projekta kopējā summa 2 464 814.79 euro.</w:t>
      </w:r>
    </w:p>
    <w:p w:rsidR="00742DA5" w14:paraId="2A541A42" w14:textId="77777777">
      <w:pPr>
        <w:pStyle w:val="ListParagraph"/>
        <w:numPr>
          <w:ilvl w:val="0"/>
          <w:numId w:val="17"/>
        </w:numPr>
        <w:spacing w:after="0" w:line="240" w:lineRule="auto"/>
        <w:jc w:val="both"/>
        <w:rPr>
          <w:b/>
          <w:bCs/>
        </w:rPr>
      </w:pPr>
      <w:r>
        <w:rPr>
          <w:b/>
          <w:bCs/>
        </w:rPr>
        <w:t xml:space="preserve"> Klimats, vide un drošība</w:t>
      </w:r>
    </w:p>
    <w:p w:rsidR="00742DA5" w:rsidP="006D30A6" w14:paraId="77801690" w14:textId="77777777">
      <w:pPr>
        <w:spacing w:after="0" w:line="240" w:lineRule="auto"/>
        <w:ind w:firstLine="567"/>
        <w:jc w:val="both"/>
      </w:pPr>
      <w:r>
        <w:t>Pārskata periodā pašvaldība īstenoja projektus klimata pārmaiņu mazināšanas, vides ilgtspējas un civilās aizsardzības jomā, stiprinot teritorijas noturību, energoefektivitāti un iedzīvotāju drošību.</w:t>
      </w:r>
    </w:p>
    <w:p w:rsidR="00742DA5" w:rsidP="006D30A6" w14:paraId="07EE822F" w14:textId="77777777">
      <w:pPr>
        <w:spacing w:after="0" w:line="240" w:lineRule="auto"/>
        <w:ind w:left="1418" w:hanging="851"/>
        <w:jc w:val="both"/>
      </w:pPr>
      <w:r>
        <w:t>5.1..Eiropas Reģionālā attīstības fonda projekts “Klimata pāmaiņām pielāgota aktīvās atpūtas multifunkcionālā parka “PŪCES LIGZDA” izveide un labiekārtošana, projekta nr. 2.1.3.1/1/24/A/009;</w:t>
      </w:r>
      <w:r>
        <w:rPr>
          <w:shd w:val="clear" w:color="auto" w:fill="FFFFFF"/>
        </w:rPr>
        <w:t xml:space="preserve"> Projekta kopējā summa 355947,47euro;</w:t>
      </w:r>
    </w:p>
    <w:p w:rsidR="00742DA5" w:rsidP="006D30A6" w14:paraId="6404FFE4" w14:textId="77777777">
      <w:pPr>
        <w:pStyle w:val="ListParagraph"/>
        <w:numPr>
          <w:ilvl w:val="1"/>
          <w:numId w:val="17"/>
        </w:numPr>
        <w:spacing w:after="0" w:line="240" w:lineRule="auto"/>
        <w:ind w:left="1418" w:hanging="851"/>
        <w:jc w:val="both"/>
      </w:pPr>
      <w:r>
        <w:t>Interreg V‒A Latvijas–Lietuvas pārrobežu sadarbības programmas projekts “Bioloģiskās daudzveidības un dabiskās ekosistēmas saglabāšana, attīstot Biržu un Aizkraukles rekreācijas ilgtspējīgu teritoriju”, projekta nr. LL-00045;</w:t>
      </w:r>
      <w:r>
        <w:rPr>
          <w:shd w:val="clear" w:color="auto" w:fill="FFFFFF"/>
        </w:rPr>
        <w:t xml:space="preserve"> Projekta kopējā summa 270974,79 euro;</w:t>
      </w:r>
    </w:p>
    <w:p w:rsidR="00742DA5" w:rsidP="006D30A6" w14:paraId="2ED9BE39" w14:textId="77777777">
      <w:pPr>
        <w:pStyle w:val="ListParagraph"/>
        <w:numPr>
          <w:ilvl w:val="1"/>
          <w:numId w:val="17"/>
        </w:numPr>
        <w:spacing w:after="0" w:line="240" w:lineRule="auto"/>
        <w:ind w:left="1418" w:hanging="851"/>
        <w:jc w:val="both"/>
      </w:pPr>
      <w:r>
        <w:t>Interreg V‒A Latvijas–Lietuvas pārrobežu sadarbības programmas 2021.‒2027. gadam projekts "Reaģēšana uz klimata pārmaiņu riskiem un ekstremāliem laikapstākļiem, to novēršana Latvijas un Lietuvas pārrobežu reģionā", projekta nr. LL‒00077;</w:t>
      </w:r>
      <w:r>
        <w:rPr>
          <w:shd w:val="clear" w:color="auto" w:fill="FFFFFF"/>
        </w:rPr>
        <w:t xml:space="preserve"> Projekta kopējā summa 82324,08 euro;</w:t>
      </w:r>
    </w:p>
    <w:p w:rsidR="00742DA5" w:rsidP="006D30A6" w14:paraId="726355DD" w14:textId="77777777">
      <w:pPr>
        <w:pStyle w:val="ListParagraph"/>
        <w:numPr>
          <w:ilvl w:val="1"/>
          <w:numId w:val="17"/>
        </w:numPr>
        <w:spacing w:after="0" w:line="240" w:lineRule="auto"/>
        <w:ind w:left="1418" w:hanging="851"/>
        <w:jc w:val="both"/>
      </w:pPr>
      <w:r>
        <w:t>Atveseļošanas fonda projekts “Energoefektivitātes un pieejamības nodrošināšanas pasākumi Aizkraukles novada pašvaldības ēkā Lāčplēša iela 1A", projekta nr. 1.2.1.3.i.0/1/23/A/CFLA/014;</w:t>
      </w:r>
      <w:r>
        <w:rPr>
          <w:shd w:val="clear" w:color="auto" w:fill="FFFFFF"/>
        </w:rPr>
        <w:t xml:space="preserve"> Projekta kopējā summa 3451190,86 euro;</w:t>
      </w:r>
    </w:p>
    <w:p w:rsidR="00742DA5" w:rsidP="006D30A6" w14:paraId="67E1F239" w14:textId="77777777">
      <w:pPr>
        <w:pStyle w:val="ListParagraph"/>
        <w:numPr>
          <w:ilvl w:val="1"/>
          <w:numId w:val="17"/>
        </w:numPr>
        <w:spacing w:after="0" w:line="240" w:lineRule="auto"/>
        <w:ind w:left="1418" w:hanging="851"/>
        <w:jc w:val="both"/>
      </w:pPr>
      <w:r>
        <w:t>Atveseļošanas fonda projekts “Energoefektivitātes un pieejamības nodrošināšanas pasākumi Aizkraukles novada pašvaldības ēkā Lāčplēša iela 1”, projekta nr. 1.2.1.3.i.0/1/23/A/CFLA/017;</w:t>
      </w:r>
      <w:r>
        <w:rPr>
          <w:shd w:val="clear" w:color="auto" w:fill="FFFFFF"/>
        </w:rPr>
        <w:t xml:space="preserve"> Projekta kopējā summa 4820122,0 euro;</w:t>
      </w:r>
      <w:r>
        <w:t xml:space="preserve"> </w:t>
      </w:r>
    </w:p>
    <w:p w:rsidR="00742DA5" w:rsidP="006D30A6" w14:paraId="6216671F" w14:textId="77777777">
      <w:pPr>
        <w:pStyle w:val="ListParagraph"/>
        <w:numPr>
          <w:ilvl w:val="1"/>
          <w:numId w:val="17"/>
        </w:numPr>
        <w:spacing w:after="0" w:line="240" w:lineRule="auto"/>
        <w:ind w:left="1418" w:hanging="851"/>
        <w:jc w:val="both"/>
      </w:pPr>
      <w:r>
        <w:t>Eiropas Reģionālā attīstības fonda projekts “Viedo pašvaldību risinājumu ieviešana Aizkraukles, Bauskas un Jelgavas novadā”, projekta nr. 5.1.1.4/1/24/005;</w:t>
      </w:r>
      <w:r>
        <w:rPr>
          <w:shd w:val="clear" w:color="auto" w:fill="FFFFFF"/>
        </w:rPr>
        <w:t xml:space="preserve"> Projekta kopējā summa 527137,0 euro;</w:t>
      </w:r>
    </w:p>
    <w:p w:rsidR="00742DA5" w:rsidP="006D30A6" w14:paraId="107EF81E" w14:textId="77777777">
      <w:pPr>
        <w:pStyle w:val="ListParagraph"/>
        <w:numPr>
          <w:ilvl w:val="1"/>
          <w:numId w:val="17"/>
        </w:numPr>
        <w:spacing w:after="0" w:line="240" w:lineRule="auto"/>
        <w:ind w:left="1418" w:hanging="851"/>
        <w:jc w:val="both"/>
      </w:pPr>
      <w:r>
        <w:t>EKII fonda projekts “Siltumnīcefekta gāzu emisiju samazināšana Aizkraukles un Kokneses pilsētvides apgaismojuma infrastruktūrā” projekta nr. EKII-3.1/26;</w:t>
      </w:r>
      <w:r>
        <w:rPr>
          <w:shd w:val="clear" w:color="auto" w:fill="FFFFFF"/>
        </w:rPr>
        <w:t xml:space="preserve"> Projekta kopējā summa 177134,65euro;</w:t>
      </w:r>
    </w:p>
    <w:p w:rsidR="00742DA5" w:rsidRPr="00506DF7" w:rsidP="006D30A6" w14:paraId="720140EE" w14:textId="77777777">
      <w:pPr>
        <w:pStyle w:val="ListParagraph"/>
        <w:numPr>
          <w:ilvl w:val="1"/>
          <w:numId w:val="17"/>
        </w:numPr>
        <w:spacing w:after="0" w:line="240" w:lineRule="auto"/>
        <w:ind w:left="1418" w:hanging="851"/>
        <w:jc w:val="both"/>
      </w:pPr>
      <w:r>
        <w:t>Eiropas reģionālā attīstības fonda projekts “Objektu (patvertņu) pielāgošana un aprīkošana civilās aizsardzības mērķiem Aizkraukles novadā” projekta nr. 5.2.1.1/1/25/I/021;</w:t>
      </w:r>
      <w:r>
        <w:rPr>
          <w:shd w:val="clear" w:color="auto" w:fill="FFFFFF"/>
        </w:rPr>
        <w:t xml:space="preserve"> Projekta kopējā summa </w:t>
      </w:r>
      <w:r>
        <w:t>338 703.62 euro;</w:t>
      </w:r>
    </w:p>
    <w:p w:rsidR="00742DA5" w:rsidRPr="00A41994" w:rsidP="006D30A6" w14:paraId="3524E6D8" w14:textId="77777777">
      <w:pPr>
        <w:pStyle w:val="ListParagraph"/>
        <w:numPr>
          <w:ilvl w:val="1"/>
          <w:numId w:val="17"/>
        </w:numPr>
        <w:spacing w:after="0" w:line="240" w:lineRule="auto"/>
        <w:ind w:left="1418" w:hanging="851"/>
        <w:jc w:val="both"/>
      </w:pPr>
      <w:r>
        <w:t xml:space="preserve">INTERREG Baltijas jūras reģiona programmas 2021.‒2027.gadam projekts “Integrēta sistēma interaktīvai publisko dārzu attīstībai Baltijas jūras reģionā”, projekta nr. C036 ; </w:t>
      </w:r>
      <w:r>
        <w:rPr>
          <w:shd w:val="clear" w:color="auto" w:fill="FFFFFF"/>
        </w:rPr>
        <w:t>Projekta kopējā summa 56 700, 00 euro</w:t>
      </w:r>
    </w:p>
    <w:p w:rsidR="00742DA5" w:rsidP="006D30A6" w14:paraId="63B8B406" w14:textId="77777777">
      <w:pPr>
        <w:pStyle w:val="ListParagraph"/>
        <w:numPr>
          <w:ilvl w:val="1"/>
          <w:numId w:val="17"/>
        </w:numPr>
        <w:tabs>
          <w:tab w:val="left" w:pos="851"/>
        </w:tabs>
        <w:spacing w:after="0" w:line="240" w:lineRule="auto"/>
        <w:ind w:left="1418" w:hanging="851"/>
        <w:jc w:val="both"/>
        <w:textAlignment w:val="baseline"/>
        <w:rPr>
          <w:b/>
          <w:bCs/>
          <w:kern w:val="0"/>
          <w:lang w:eastAsia="lv-LV"/>
          <w14:ligatures w14:val="none"/>
        </w:rPr>
      </w:pPr>
      <w:r>
        <w:rPr>
          <w:kern w:val="0"/>
          <w:lang w:eastAsia="lv-LV"/>
          <w14:ligatures w14:val="none"/>
        </w:rPr>
        <w:t>Valsts zivju fonda projekts Nr. 25-00-S0ZF03-000023 “Zivju resursu aizsardzības pasākumi, ko veic valsts iestādes vai pašvaldības, kuru kompetencē ir zivju resursu aizsardzība (izņemot attiecīgās institūcijas kārtējos izdevumus)”</w:t>
      </w:r>
      <w:r>
        <w:t xml:space="preserve">. Projekta summa </w:t>
      </w:r>
      <w:r>
        <w:rPr>
          <w:kern w:val="0"/>
          <w:lang w:eastAsia="lv-LV"/>
          <w14:ligatures w14:val="none"/>
        </w:rPr>
        <w:t>12 984,44 eiro;</w:t>
      </w:r>
      <w:r>
        <w:rPr>
          <w:b/>
          <w:bCs/>
          <w:kern w:val="0"/>
          <w:lang w:eastAsia="lv-LV"/>
          <w14:ligatures w14:val="none"/>
        </w:rPr>
        <w:t xml:space="preserve"> </w:t>
      </w:r>
    </w:p>
    <w:p w:rsidR="00742DA5" w:rsidP="006D30A6" w14:paraId="3FDF35ED" w14:textId="77777777">
      <w:pPr>
        <w:pStyle w:val="ListParagraph"/>
        <w:numPr>
          <w:ilvl w:val="1"/>
          <w:numId w:val="17"/>
        </w:numPr>
        <w:spacing w:after="0" w:line="240" w:lineRule="auto"/>
        <w:ind w:left="1418" w:hanging="851"/>
        <w:jc w:val="both"/>
        <w:textAlignment w:val="baseline"/>
        <w:rPr>
          <w:kern w:val="0"/>
          <w:lang w:eastAsia="lv-LV"/>
          <w14:ligatures w14:val="none"/>
        </w:rPr>
      </w:pPr>
      <w:r>
        <w:rPr>
          <w:kern w:val="0"/>
          <w:lang w:eastAsia="lv-LV"/>
          <w14:ligatures w14:val="none"/>
        </w:rPr>
        <w:t xml:space="preserve">No 2024. gada līdz 2029. gadam tiek īstenots Latvijas – Šveices sadarbības programmas “Vēsturiski piesārņoto vietu sanācija” projekts “Aizkraukles vēsturiski piesārņotās teritorijas Aizkrauklē, Dzelzceļa ielā 10 sanācija”. Projektu īsteno Valsts vides dienests. Projekta ietvaros provizoriski pieejams finansējums 13,65 miljonu eiro apmērā. </w:t>
      </w:r>
    </w:p>
    <w:p w:rsidR="00742DA5" w14:paraId="7124A694" w14:textId="77777777">
      <w:pPr>
        <w:pStyle w:val="ListParagraph"/>
        <w:numPr>
          <w:ilvl w:val="0"/>
          <w:numId w:val="17"/>
        </w:numPr>
        <w:spacing w:after="0" w:line="240" w:lineRule="auto"/>
        <w:jc w:val="both"/>
        <w:rPr>
          <w:b/>
          <w:bCs/>
        </w:rPr>
      </w:pPr>
      <w:r>
        <w:rPr>
          <w:b/>
          <w:bCs/>
        </w:rPr>
        <w:t>Tūrisms un reģionālā sadarbība</w:t>
      </w:r>
    </w:p>
    <w:p w:rsidR="00742DA5" w:rsidP="006D30A6" w14:paraId="261761AC" w14:textId="77777777">
      <w:pPr>
        <w:pStyle w:val="ListParagraph"/>
        <w:numPr>
          <w:ilvl w:val="1"/>
          <w:numId w:val="17"/>
        </w:numPr>
        <w:spacing w:after="0" w:line="240" w:lineRule="auto"/>
        <w:ind w:left="1418" w:hanging="851"/>
        <w:jc w:val="both"/>
      </w:pPr>
      <w:r>
        <w:t>Interreg V‒A Latvijas–Lietuvas pārrobežu sadarbības programmas 2021.‒2027. gadam projekts “Tūrisma piedāvājuma attīstība Sēlijā”, projekta nr. LL‒00132;</w:t>
      </w:r>
      <w:r>
        <w:rPr>
          <w:kern w:val="0"/>
          <w:shd w:val="clear" w:color="auto" w:fill="FFFFFF"/>
          <w14:ligatures w14:val="none"/>
        </w:rPr>
        <w:t xml:space="preserve"> Projekta kopējā summa 96013,78 euro;</w:t>
      </w:r>
    </w:p>
    <w:p w:rsidR="00742DA5" w:rsidP="006D30A6" w14:paraId="6A0AB828" w14:textId="77777777">
      <w:pPr>
        <w:pStyle w:val="ListParagraph"/>
        <w:numPr>
          <w:ilvl w:val="1"/>
          <w:numId w:val="17"/>
        </w:numPr>
        <w:spacing w:after="0" w:line="240" w:lineRule="auto"/>
        <w:ind w:left="1418" w:hanging="851"/>
        <w:jc w:val="both"/>
      </w:pPr>
      <w:r>
        <w:t>Interreg V‒A Latvijas–Lietuvas pārrobežu sadarbības programmas 2021.‒2027. gadam projekts "Ilgtspējīga ūdens tūrisma veicināšana Lietuvas‒Latvijas pārrobežu reģionā, iesaistot vietējos uzņēmējus un kopienas", projekta nr. LL‒00134;</w:t>
      </w:r>
      <w:r>
        <w:rPr>
          <w:kern w:val="0"/>
          <w:shd w:val="clear" w:color="auto" w:fill="FFFFFF"/>
          <w14:ligatures w14:val="none"/>
        </w:rPr>
        <w:t xml:space="preserve"> Projekta kopējā summa 98321,05 euro;</w:t>
      </w:r>
    </w:p>
    <w:p w:rsidR="00742DA5" w:rsidP="006D30A6" w14:paraId="3847CAF8" w14:textId="77777777">
      <w:pPr>
        <w:pStyle w:val="ListParagraph"/>
        <w:numPr>
          <w:ilvl w:val="1"/>
          <w:numId w:val="17"/>
        </w:numPr>
        <w:spacing w:after="0" w:line="240" w:lineRule="auto"/>
        <w:ind w:left="1418" w:hanging="851"/>
        <w:jc w:val="both"/>
      </w:pPr>
      <w:r>
        <w:t>Interreg V‒A Latvijas–Lietuvas pārrobežu sadarbības programmas 2021.‒2027. gadam projekts "Digitāli pieejami un pievilcīgi zudušā kultūras mantojuma tūrisma galamērķi Zemgalē un Ziemeļlietuvā", projekta nr. LL-00061.</w:t>
      </w:r>
      <w:r>
        <w:rPr>
          <w:kern w:val="0"/>
          <w:shd w:val="clear" w:color="auto" w:fill="FFFFFF"/>
          <w14:ligatures w14:val="none"/>
        </w:rPr>
        <w:t xml:space="preserve"> Projekta kopējā summa 41380,99 euro.</w:t>
      </w:r>
    </w:p>
    <w:p w:rsidR="00742DA5" w:rsidP="00742DA5" w14:paraId="35427046" w14:textId="77777777">
      <w:pPr>
        <w:spacing w:after="0" w:line="240" w:lineRule="auto"/>
        <w:ind w:left="360"/>
        <w:jc w:val="both"/>
        <w:rPr>
          <w:b/>
          <w:bCs/>
        </w:rPr>
      </w:pPr>
    </w:p>
    <w:p w:rsidR="00742DA5" w:rsidP="00742DA5" w14:paraId="50DA01A6" w14:textId="77777777">
      <w:pPr>
        <w:spacing w:after="0" w:line="240" w:lineRule="auto"/>
        <w:jc w:val="both"/>
        <w:rPr>
          <w:b/>
          <w:bCs/>
        </w:rPr>
      </w:pPr>
    </w:p>
    <w:p w:rsidR="00742DA5" w:rsidP="00742DA5" w14:paraId="567E1D70" w14:textId="77777777">
      <w:pPr>
        <w:spacing w:after="0" w:line="240" w:lineRule="auto"/>
        <w:jc w:val="center"/>
        <w:rPr>
          <w:b/>
          <w:bCs/>
        </w:rPr>
      </w:pPr>
      <w:r>
        <w:rPr>
          <w:b/>
          <w:noProof/>
        </w:rPr>
        <w:drawing>
          <wp:inline distT="0" distB="0" distL="0" distR="0">
            <wp:extent cx="4267200" cy="4276725"/>
            <wp:effectExtent l="0" t="0" r="0" b="9525"/>
            <wp:docPr id="143394936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49362" name="Attēls 1"/>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4267200" cy="4276725"/>
                    </a:xfrm>
                    <a:prstGeom prst="rect">
                      <a:avLst/>
                    </a:prstGeom>
                    <a:noFill/>
                    <a:ln>
                      <a:noFill/>
                    </a:ln>
                  </pic:spPr>
                </pic:pic>
              </a:graphicData>
            </a:graphic>
          </wp:inline>
        </w:drawing>
      </w:r>
    </w:p>
    <w:p w:rsidR="00742DA5" w:rsidRPr="00BC2FD2" w:rsidP="00742DA5" w14:paraId="3F3C2D40" w14:textId="77777777">
      <w:pPr>
        <w:spacing w:after="0" w:line="240" w:lineRule="auto"/>
        <w:jc w:val="both"/>
        <w:rPr>
          <w:b/>
          <w:bCs/>
          <w:sz w:val="20"/>
          <w:szCs w:val="20"/>
        </w:rPr>
      </w:pPr>
      <w:r>
        <w:rPr>
          <w:i/>
          <w:iCs/>
        </w:rPr>
        <w:t xml:space="preserve">              </w:t>
      </w:r>
      <w:r>
        <w:rPr>
          <w:sz w:val="20"/>
          <w:szCs w:val="20"/>
        </w:rPr>
        <w:t>2.attēls. 2025. gadā pabeigto projektu teritoriālais izvietojums Aizkraukles novadā</w:t>
      </w:r>
    </w:p>
    <w:p w:rsidR="00742DA5" w:rsidP="00742DA5" w14:paraId="02A0C8BF" w14:textId="77777777">
      <w:pPr>
        <w:spacing w:after="0" w:line="240" w:lineRule="auto"/>
        <w:jc w:val="both"/>
        <w:rPr>
          <w:b/>
          <w:bCs/>
        </w:rPr>
      </w:pPr>
    </w:p>
    <w:p w:rsidR="00742DA5" w:rsidP="00742DA5" w14:paraId="6D41E85A" w14:textId="4DC528F0">
      <w:pPr>
        <w:pStyle w:val="ListParagraph"/>
        <w:ind w:left="0"/>
        <w:rPr>
          <w:b/>
          <w:i/>
          <w:u w:val="single"/>
        </w:rPr>
      </w:pPr>
      <w:r>
        <w:rPr>
          <w:b/>
          <w:iCs/>
          <w:u w:val="single"/>
        </w:rPr>
        <w:t>Kopējās fizisko un juridisko personu investīcijas 2025.</w:t>
      </w:r>
      <w:r w:rsidR="006D30A6">
        <w:rPr>
          <w:b/>
          <w:iCs/>
          <w:u w:val="single"/>
        </w:rPr>
        <w:t> </w:t>
      </w:r>
      <w:r>
        <w:rPr>
          <w:b/>
          <w:iCs/>
          <w:u w:val="single"/>
        </w:rPr>
        <w:t>gadā</w:t>
      </w:r>
      <w:r>
        <w:rPr>
          <w:b/>
          <w:i/>
        </w:rPr>
        <w:t xml:space="preserve"> -  13 296 957 euro</w:t>
      </w:r>
      <w:r>
        <w:rPr>
          <w:bCs/>
          <w:i/>
        </w:rPr>
        <w:t>(dati par objekta būvniecības  izmaksām ņemti no aktiem par būves pieņemšanu ekspluatācijā)</w:t>
      </w:r>
    </w:p>
    <w:p w:rsidR="00742DA5" w:rsidP="00742DA5" w14:paraId="147BC1E8" w14:textId="26F08A07">
      <w:pPr>
        <w:spacing w:after="120"/>
        <w:jc w:val="both"/>
        <w:rPr>
          <w:b/>
          <w:i/>
        </w:rPr>
      </w:pPr>
      <w:r>
        <w:rPr>
          <w:b/>
          <w:iCs/>
          <w:u w:val="single"/>
        </w:rPr>
        <w:t>Juridisko personu investīcijas 2025.</w:t>
      </w:r>
      <w:r w:rsidR="006D30A6">
        <w:rPr>
          <w:b/>
          <w:iCs/>
          <w:u w:val="single"/>
        </w:rPr>
        <w:t>  </w:t>
      </w:r>
      <w:r>
        <w:rPr>
          <w:b/>
          <w:iCs/>
          <w:u w:val="single"/>
        </w:rPr>
        <w:t>gadā</w:t>
      </w:r>
      <w:r>
        <w:rPr>
          <w:b/>
          <w:iCs/>
        </w:rPr>
        <w:t xml:space="preserve">  </w:t>
      </w:r>
      <w:r>
        <w:rPr>
          <w:b/>
          <w:i/>
        </w:rPr>
        <w:t>- 10 778 337 euro</w:t>
      </w:r>
    </w:p>
    <w:p w:rsidR="00742DA5" w:rsidP="006D30A6" w14:paraId="6ACA9966" w14:textId="77777777">
      <w:pPr>
        <w:pStyle w:val="ListParagraph"/>
        <w:ind w:left="567" w:hanging="567"/>
        <w:rPr>
          <w:b/>
          <w:i/>
        </w:rPr>
      </w:pPr>
      <w:r>
        <w:rPr>
          <w:b/>
          <w:i/>
        </w:rPr>
        <w:t xml:space="preserve">no tām lielākās investīcijas: </w:t>
      </w:r>
    </w:p>
    <w:p w:rsidR="00742DA5" w:rsidP="006D30A6" w14:paraId="796BE021" w14:textId="7418E937">
      <w:pPr>
        <w:pStyle w:val="ListParagraph"/>
        <w:numPr>
          <w:ilvl w:val="0"/>
          <w:numId w:val="18"/>
        </w:numPr>
        <w:spacing w:after="0" w:line="240" w:lineRule="auto"/>
        <w:ind w:left="567" w:hanging="567"/>
        <w:jc w:val="both"/>
        <w:rPr>
          <w:i/>
          <w:iCs/>
        </w:rPr>
      </w:pPr>
      <w:r>
        <w:t>a</w:t>
      </w:r>
      <w:r>
        <w:t xml:space="preserve">ugu izcelsmes produktu pārtikas ražošanas cehs, ”Tālavas”, Daudzeses pag.,   SIA “Tālavas” – </w:t>
      </w:r>
      <w:r>
        <w:rPr>
          <w:b/>
          <w:bCs/>
        </w:rPr>
        <w:t>899</w:t>
      </w:r>
      <w:r>
        <w:rPr>
          <w:b/>
          <w:bCs/>
        </w:rPr>
        <w:t> </w:t>
      </w:r>
      <w:r>
        <w:rPr>
          <w:b/>
          <w:bCs/>
        </w:rPr>
        <w:t>457</w:t>
      </w:r>
      <w:r>
        <w:rPr>
          <w:b/>
          <w:bCs/>
        </w:rPr>
        <w:t>,</w:t>
      </w:r>
      <w:r>
        <w:rPr>
          <w:b/>
          <w:bCs/>
        </w:rPr>
        <w:t xml:space="preserve">92  </w:t>
      </w:r>
      <w:r>
        <w:rPr>
          <w:i/>
          <w:iCs/>
        </w:rPr>
        <w:t>euro</w:t>
      </w:r>
      <w:r>
        <w:t xml:space="preserve">, t.sk. Eiropas Savienības finanšu palīdzības līdzekļi </w:t>
      </w:r>
      <w:r>
        <w:rPr>
          <w:b/>
          <w:bCs/>
        </w:rPr>
        <w:t>440</w:t>
      </w:r>
      <w:r>
        <w:rPr>
          <w:b/>
          <w:bCs/>
        </w:rPr>
        <w:t> </w:t>
      </w:r>
      <w:r>
        <w:rPr>
          <w:b/>
          <w:bCs/>
        </w:rPr>
        <w:t>734</w:t>
      </w:r>
      <w:r>
        <w:rPr>
          <w:b/>
          <w:bCs/>
        </w:rPr>
        <w:t>,</w:t>
      </w:r>
      <w:r>
        <w:rPr>
          <w:b/>
          <w:bCs/>
        </w:rPr>
        <w:t xml:space="preserve">37  </w:t>
      </w:r>
      <w:r>
        <w:rPr>
          <w:i/>
          <w:iCs/>
        </w:rPr>
        <w:t>euro</w:t>
      </w:r>
      <w:r w:rsidR="0080116E">
        <w:rPr>
          <w:b/>
          <w:bCs/>
          <w:i/>
          <w:iCs/>
        </w:rPr>
        <w:t>;</w:t>
      </w:r>
    </w:p>
    <w:p w:rsidR="00742DA5" w:rsidP="006D30A6" w14:paraId="3A82386A" w14:textId="7B99138F">
      <w:pPr>
        <w:pStyle w:val="ListParagraph"/>
        <w:numPr>
          <w:ilvl w:val="0"/>
          <w:numId w:val="18"/>
        </w:numPr>
        <w:spacing w:after="0" w:line="240" w:lineRule="auto"/>
        <w:ind w:left="567" w:hanging="567"/>
        <w:jc w:val="both"/>
        <w:rPr>
          <w:i/>
          <w:iCs/>
        </w:rPr>
      </w:pPr>
      <w:r>
        <w:t>ā</w:t>
      </w:r>
      <w:r>
        <w:t xml:space="preserve">rējā elektroapgāde Saules parks, “Grieķēni”,  Sērenes pag., SIA “EnerGrid” - </w:t>
      </w:r>
      <w:r>
        <w:rPr>
          <w:b/>
          <w:bCs/>
        </w:rPr>
        <w:t>3 200 000</w:t>
      </w:r>
      <w:r>
        <w:rPr>
          <w:i/>
          <w:iCs/>
        </w:rPr>
        <w:t xml:space="preserve"> euro</w:t>
      </w:r>
      <w:r>
        <w:t xml:space="preserve">, t.sk. Eiropas Savienības finanšu palīdzības līdzekļi </w:t>
      </w:r>
      <w:r>
        <w:rPr>
          <w:b/>
          <w:bCs/>
        </w:rPr>
        <w:t xml:space="preserve">2 050 000  </w:t>
      </w:r>
      <w:r>
        <w:rPr>
          <w:i/>
          <w:iCs/>
        </w:rPr>
        <w:t>euro</w:t>
      </w:r>
      <w:r w:rsidR="0080116E">
        <w:rPr>
          <w:i/>
          <w:iCs/>
        </w:rPr>
        <w:t>;</w:t>
      </w:r>
    </w:p>
    <w:p w:rsidR="00742DA5" w:rsidP="006D30A6" w14:paraId="30BB2009" w14:textId="6661E2CA">
      <w:pPr>
        <w:pStyle w:val="ListParagraph"/>
        <w:numPr>
          <w:ilvl w:val="0"/>
          <w:numId w:val="18"/>
        </w:numPr>
        <w:spacing w:after="0" w:line="240" w:lineRule="auto"/>
        <w:ind w:left="567" w:hanging="567"/>
        <w:jc w:val="both"/>
        <w:rPr>
          <w:i/>
          <w:iCs/>
        </w:rPr>
      </w:pPr>
      <w:r>
        <w:t xml:space="preserve">Daugavas ielas posma pārbūve no Odzienas ielas līdz Upes ielai Pļaviņās, Aizkraukles novada pašvaldība - Eiropas Savienības finanšu palīdzības līdzekļi </w:t>
      </w:r>
      <w:r>
        <w:rPr>
          <w:b/>
          <w:bCs/>
        </w:rPr>
        <w:t xml:space="preserve">831 665.11  </w:t>
      </w:r>
      <w:r>
        <w:rPr>
          <w:i/>
          <w:iCs/>
        </w:rPr>
        <w:t>eur</w:t>
      </w:r>
      <w:r w:rsidR="0080116E">
        <w:rPr>
          <w:i/>
          <w:iCs/>
        </w:rPr>
        <w:t>o;</w:t>
      </w:r>
    </w:p>
    <w:p w:rsidR="00742DA5" w:rsidP="006D30A6" w14:paraId="15C8D7D5" w14:textId="28DC858A">
      <w:pPr>
        <w:pStyle w:val="ListParagraph"/>
        <w:numPr>
          <w:ilvl w:val="0"/>
          <w:numId w:val="18"/>
        </w:numPr>
        <w:spacing w:after="0" w:line="240" w:lineRule="auto"/>
        <w:ind w:left="567" w:hanging="567"/>
        <w:jc w:val="both"/>
        <w:rPr>
          <w:i/>
          <w:iCs/>
        </w:rPr>
      </w:pPr>
      <w:r>
        <w:t xml:space="preserve">Daugavas ielas posma pārbūve no Raiņa ielas līdz Odzienas ielai Pļaviņās, Aizkraukles novada pašvaldība - Eiropas Savienības finanšu palīdzības līdzekļi </w:t>
      </w:r>
      <w:r>
        <w:rPr>
          <w:b/>
          <w:bCs/>
        </w:rPr>
        <w:t xml:space="preserve">1 264 024.85  </w:t>
      </w:r>
      <w:r w:rsidRPr="006D30A6">
        <w:rPr>
          <w:i/>
          <w:iCs/>
        </w:rPr>
        <w:t>euro</w:t>
      </w:r>
      <w:r w:rsidR="0080116E">
        <w:rPr>
          <w:i/>
          <w:iCs/>
        </w:rPr>
        <w:t>;</w:t>
      </w:r>
    </w:p>
    <w:p w:rsidR="00742DA5" w:rsidP="006D30A6" w14:paraId="550CC2B2" w14:textId="79563224">
      <w:pPr>
        <w:pStyle w:val="ListParagraph"/>
        <w:numPr>
          <w:ilvl w:val="0"/>
          <w:numId w:val="18"/>
        </w:numPr>
        <w:spacing w:after="0" w:line="240" w:lineRule="auto"/>
        <w:ind w:left="567" w:hanging="567"/>
        <w:jc w:val="both"/>
        <w:rPr>
          <w:i/>
          <w:iCs/>
        </w:rPr>
      </w:pPr>
      <w:r>
        <w:t xml:space="preserve">Liellopu izsoļu nama jaunbūve, “Rijnieki”, Mazzalves pag., SIA “Liellopu izsoļu nams”  - </w:t>
      </w:r>
      <w:r>
        <w:rPr>
          <w:b/>
          <w:bCs/>
        </w:rPr>
        <w:t>759 698,69</w:t>
      </w:r>
      <w:r>
        <w:rPr>
          <w:i/>
          <w:iCs/>
        </w:rPr>
        <w:t xml:space="preserve"> eur</w:t>
      </w:r>
      <w:r w:rsidR="0080116E">
        <w:rPr>
          <w:i/>
          <w:iCs/>
        </w:rPr>
        <w:t>o;</w:t>
      </w:r>
    </w:p>
    <w:p w:rsidR="00742DA5" w:rsidP="0080116E" w14:paraId="659608F8" w14:textId="5F02CA01">
      <w:pPr>
        <w:pStyle w:val="ListParagraph"/>
        <w:numPr>
          <w:ilvl w:val="0"/>
          <w:numId w:val="18"/>
        </w:numPr>
        <w:spacing w:after="0" w:line="240" w:lineRule="auto"/>
        <w:ind w:hanging="540"/>
        <w:jc w:val="both"/>
        <w:rPr>
          <w:i/>
          <w:iCs/>
        </w:rPr>
      </w:pPr>
      <w:r>
        <w:t>j</w:t>
      </w:r>
      <w:r>
        <w:t xml:space="preserve">aunlopu novietne, skābbarības bedre un pakaišu kūtsmēslu krātuve, “Pamati”,  Iršu pag., Iršu pagasta zemnieku saimniecība “Pamati” – </w:t>
      </w:r>
      <w:r>
        <w:rPr>
          <w:b/>
          <w:bCs/>
        </w:rPr>
        <w:t xml:space="preserve">749 847.48  </w:t>
      </w:r>
      <w:r>
        <w:rPr>
          <w:i/>
          <w:iCs/>
        </w:rPr>
        <w:t>euro</w:t>
      </w:r>
      <w:r>
        <w:t xml:space="preserve">, t.sk. Eiropas Savienības finanšu palīdzības līdzekļi </w:t>
      </w:r>
      <w:r>
        <w:rPr>
          <w:b/>
          <w:bCs/>
        </w:rPr>
        <w:t xml:space="preserve">374 923.74  </w:t>
      </w:r>
      <w:r>
        <w:rPr>
          <w:i/>
          <w:iCs/>
        </w:rPr>
        <w:t>euro</w:t>
      </w:r>
      <w:r>
        <w:rPr>
          <w:b/>
          <w:bCs/>
          <w:i/>
          <w:iCs/>
        </w:rPr>
        <w:t>.</w:t>
      </w:r>
    </w:p>
    <w:p w:rsidR="00742DA5" w:rsidRPr="0080116E" w:rsidP="0080116E" w14:paraId="47E2F7EC" w14:textId="4C4ECF1B">
      <w:pPr>
        <w:pStyle w:val="ListParagraph"/>
        <w:numPr>
          <w:ilvl w:val="0"/>
          <w:numId w:val="18"/>
        </w:numPr>
        <w:spacing w:after="0" w:line="276" w:lineRule="auto"/>
        <w:ind w:hanging="682"/>
        <w:jc w:val="both"/>
        <w:rPr>
          <w:i/>
          <w:iCs/>
        </w:rPr>
      </w:pPr>
      <w:r>
        <w:t>k</w:t>
      </w:r>
      <w:r>
        <w:t xml:space="preserve">ūtsmēslu uzglabāšanas ēka, vircas tvertnes un laukumi, “Ozoli”, Skrīveru pag., SIA “I.F.Agrar” – </w:t>
      </w:r>
      <w:r>
        <w:rPr>
          <w:b/>
          <w:bCs/>
        </w:rPr>
        <w:t xml:space="preserve">282 634.68  </w:t>
      </w:r>
      <w:r>
        <w:rPr>
          <w:i/>
          <w:iCs/>
        </w:rPr>
        <w:t>euro</w:t>
      </w:r>
      <w:r>
        <w:t xml:space="preserve">, t.sk. Eiropas Savienības finanšu palīdzības līdzekļi </w:t>
      </w:r>
      <w:r>
        <w:rPr>
          <w:b/>
          <w:bCs/>
        </w:rPr>
        <w:t xml:space="preserve">171 471.62  </w:t>
      </w:r>
      <w:r>
        <w:rPr>
          <w:i/>
          <w:iCs/>
        </w:rPr>
        <w:t>euro</w:t>
      </w:r>
      <w:r w:rsidRPr="0080116E">
        <w:rPr>
          <w:i/>
          <w:iCs/>
        </w:rPr>
        <w:t>;</w:t>
      </w:r>
    </w:p>
    <w:p w:rsidR="00742DA5" w:rsidP="0080116E" w14:paraId="694DECCD" w14:textId="24E1001B">
      <w:pPr>
        <w:pStyle w:val="ListParagraph"/>
        <w:numPr>
          <w:ilvl w:val="0"/>
          <w:numId w:val="18"/>
        </w:numPr>
        <w:spacing w:after="0" w:line="276" w:lineRule="auto"/>
        <w:ind w:hanging="682"/>
        <w:jc w:val="both"/>
        <w:rPr>
          <w:i/>
          <w:iCs/>
        </w:rPr>
      </w:pPr>
      <w:r>
        <w:t xml:space="preserve">Tehniskās apskates punkta pārbūve, Jaunceltnes iela 5B, Aizkraukle, SIA “Auteko&amp;TUV Latvija – TUV Reinholda grupa” – </w:t>
      </w:r>
      <w:r>
        <w:rPr>
          <w:b/>
          <w:bCs/>
        </w:rPr>
        <w:t>273 322.26</w:t>
      </w:r>
      <w:r>
        <w:rPr>
          <w:i/>
          <w:iCs/>
        </w:rPr>
        <w:t xml:space="preserve"> euro</w:t>
      </w:r>
      <w:r w:rsidR="0080116E">
        <w:rPr>
          <w:b/>
          <w:bCs/>
          <w:i/>
          <w:iCs/>
        </w:rPr>
        <w:t>;</w:t>
      </w:r>
    </w:p>
    <w:p w:rsidR="00742DA5" w:rsidP="0080116E" w14:paraId="6D826D08" w14:textId="0182FEEA">
      <w:pPr>
        <w:pStyle w:val="ListParagraph"/>
        <w:numPr>
          <w:ilvl w:val="0"/>
          <w:numId w:val="18"/>
        </w:numPr>
        <w:spacing w:after="0" w:line="276" w:lineRule="auto"/>
        <w:ind w:hanging="682"/>
        <w:jc w:val="both"/>
        <w:rPr>
          <w:i/>
          <w:iCs/>
        </w:rPr>
      </w:pPr>
      <w:r>
        <w:t xml:space="preserve">Elektrotīkla pievads un transformatora apakšstacijas novietošana saules paneļiem, “Ragāļi”, “Iecēni”, “Upmalas”, Kokneses pag., SIA “SP Koknese” – </w:t>
      </w:r>
      <w:r>
        <w:rPr>
          <w:b/>
          <w:bCs/>
        </w:rPr>
        <w:t>1 500 000</w:t>
      </w:r>
      <w:r>
        <w:t xml:space="preserve"> </w:t>
      </w:r>
      <w:r>
        <w:rPr>
          <w:i/>
          <w:iCs/>
        </w:rPr>
        <w:t>euro</w:t>
      </w:r>
      <w:r w:rsidRPr="0080116E" w:rsidR="0080116E">
        <w:rPr>
          <w:i/>
          <w:iCs/>
        </w:rPr>
        <w:t>;</w:t>
      </w:r>
    </w:p>
    <w:p w:rsidR="00742DA5" w:rsidRPr="0080116E" w:rsidP="0080116E" w14:paraId="3F9DAFB6" w14:textId="7B0ABC0B">
      <w:pPr>
        <w:pStyle w:val="ListParagraph"/>
        <w:numPr>
          <w:ilvl w:val="0"/>
          <w:numId w:val="18"/>
        </w:numPr>
        <w:spacing w:after="0" w:line="276" w:lineRule="auto"/>
        <w:ind w:hanging="682"/>
        <w:jc w:val="both"/>
        <w:rPr>
          <w:i/>
          <w:iCs/>
        </w:rPr>
      </w:pPr>
      <w:r>
        <w:t xml:space="preserve">Ūdens sagatavošanas stacijas un ūdensapgādes izveide Neretā, Aizkraukles novada pašvaldība - Eiropas Savienības finanšu palīdzības līdzekļi </w:t>
      </w:r>
      <w:r>
        <w:rPr>
          <w:b/>
          <w:bCs/>
        </w:rPr>
        <w:t xml:space="preserve">186 196.80  </w:t>
      </w:r>
      <w:r>
        <w:rPr>
          <w:i/>
          <w:iCs/>
        </w:rPr>
        <w:t>euro</w:t>
      </w:r>
      <w:r w:rsidRPr="0080116E" w:rsidR="0080116E">
        <w:rPr>
          <w:i/>
          <w:iCs/>
        </w:rPr>
        <w:t>;</w:t>
      </w:r>
    </w:p>
    <w:p w:rsidR="00742DA5" w:rsidP="0080116E" w14:paraId="1F6AB0DC" w14:textId="5D7E021D">
      <w:pPr>
        <w:pStyle w:val="ListParagraph"/>
        <w:numPr>
          <w:ilvl w:val="0"/>
          <w:numId w:val="18"/>
        </w:numPr>
        <w:spacing w:after="0" w:line="276" w:lineRule="auto"/>
        <w:ind w:hanging="682"/>
        <w:jc w:val="both"/>
        <w:rPr>
          <w:i/>
          <w:iCs/>
        </w:rPr>
      </w:pPr>
      <w:r>
        <w:t xml:space="preserve">Pīlādžlauka ceļa izbūve Kokneses pag., Aizkraukles novada pašvaldība - Eiropas Savienības finanšu palīdzības līdzekļi </w:t>
      </w:r>
      <w:r>
        <w:rPr>
          <w:b/>
          <w:bCs/>
        </w:rPr>
        <w:t xml:space="preserve">129 666.76  </w:t>
      </w:r>
      <w:r>
        <w:rPr>
          <w:i/>
          <w:iCs/>
        </w:rPr>
        <w:t>euro</w:t>
      </w:r>
      <w:r w:rsidR="0080116E">
        <w:rPr>
          <w:i/>
          <w:iCs/>
        </w:rPr>
        <w:t>.</w:t>
      </w:r>
    </w:p>
    <w:p w:rsidR="00742DA5" w:rsidP="00742DA5" w14:paraId="5B0FB64C" w14:textId="77777777">
      <w:pPr>
        <w:spacing w:after="0"/>
        <w:jc w:val="both"/>
      </w:pPr>
    </w:p>
    <w:p w:rsidR="00742DA5" w:rsidRPr="002A1250" w:rsidP="00742DA5" w14:paraId="04D15B4D" w14:textId="77777777">
      <w:pPr>
        <w:jc w:val="both"/>
        <w:rPr>
          <w:bCs/>
        </w:rPr>
      </w:pPr>
      <w:r w:rsidRPr="002A1250">
        <w:rPr>
          <w:bCs/>
        </w:rPr>
        <w:t>Fizisko personu būvniecības  izmaksas 2025.gadā</w:t>
      </w:r>
      <w:r w:rsidRPr="002A1250">
        <w:rPr>
          <w:bCs/>
          <w:i/>
          <w:iCs/>
        </w:rPr>
        <w:t xml:space="preserve"> – 2 518 620 euro</w:t>
      </w:r>
      <w:r w:rsidRPr="002A1250">
        <w:rPr>
          <w:bCs/>
        </w:rPr>
        <w:t>.</w:t>
      </w:r>
    </w:p>
    <w:p w:rsidR="00742DA5" w:rsidRPr="002A1250" w:rsidP="00742DA5" w14:paraId="6EA85CB5" w14:textId="77777777">
      <w:pPr>
        <w:spacing w:after="0" w:line="240" w:lineRule="auto"/>
        <w:ind w:left="270"/>
        <w:jc w:val="both"/>
        <w:textAlignment w:val="baseline"/>
        <w:rPr>
          <w:bCs/>
          <w:kern w:val="0"/>
          <w:sz w:val="18"/>
          <w:szCs w:val="18"/>
          <w:lang w:eastAsia="lv-LV"/>
          <w14:ligatures w14:val="none"/>
        </w:rPr>
      </w:pPr>
      <w:r w:rsidRPr="002A1250">
        <w:rPr>
          <w:bCs/>
          <w:kern w:val="0"/>
          <w:lang w:eastAsia="lv-LV"/>
          <w14:ligatures w14:val="none"/>
        </w:rPr>
        <w:t> </w:t>
      </w:r>
    </w:p>
    <w:p w:rsidR="00742DA5" w:rsidRPr="002A1250" w:rsidP="002A1250" w14:paraId="4BF96D63" w14:textId="77777777">
      <w:pPr>
        <w:spacing w:after="0" w:line="240" w:lineRule="auto"/>
        <w:textAlignment w:val="baseline"/>
        <w:rPr>
          <w:b/>
          <w:kern w:val="0"/>
          <w:sz w:val="18"/>
          <w:szCs w:val="18"/>
          <w:lang w:eastAsia="lv-LV"/>
          <w14:ligatures w14:val="none"/>
        </w:rPr>
      </w:pPr>
      <w:r w:rsidRPr="002A1250">
        <w:rPr>
          <w:b/>
          <w:color w:val="000000"/>
          <w:kern w:val="0"/>
          <w:lang w:eastAsia="lv-LV"/>
          <w14:ligatures w14:val="none"/>
        </w:rPr>
        <w:t>Pētniecības darbi </w:t>
      </w:r>
    </w:p>
    <w:p w:rsidR="00742DA5" w:rsidRPr="00A91812" w:rsidP="00742DA5" w14:paraId="3AE63C84" w14:textId="77777777">
      <w:pPr>
        <w:spacing w:after="0" w:line="240" w:lineRule="auto"/>
        <w:textAlignment w:val="baseline"/>
        <w:rPr>
          <w:kern w:val="0"/>
          <w:sz w:val="18"/>
          <w:szCs w:val="18"/>
          <w:lang w:eastAsia="lv-LV"/>
          <w14:ligatures w14:val="none"/>
        </w:rPr>
      </w:pPr>
    </w:p>
    <w:p w:rsidR="00742DA5" w:rsidRPr="00A91812" w:rsidP="00742DA5" w14:paraId="2DAC6DB8" w14:textId="77777777">
      <w:pPr>
        <w:spacing w:after="0" w:line="240" w:lineRule="auto"/>
        <w:ind w:firstLine="567"/>
        <w:jc w:val="both"/>
        <w:textAlignment w:val="baseline"/>
        <w:rPr>
          <w:kern w:val="0"/>
          <w:lang w:eastAsia="lv-LV"/>
          <w14:ligatures w14:val="none"/>
        </w:rPr>
      </w:pPr>
      <w:r>
        <w:rPr>
          <w:kern w:val="0"/>
          <w:lang w:eastAsia="lv-LV"/>
          <w14:ligatures w14:val="none"/>
        </w:rPr>
        <w:t>SIA “Vides konsultāciju birojs” 2025. gada augustā veica I cikla monitoringu vēsturiski piesārņotā teritorijā Dzelzceļa ielā 10, Aizkrauklē, Aizkraukles novadā, ar mērķi kontrolēt pazemes ūdens stāvokli un pazemes ūdens piesārņojuma izplatības tendences. Pazemes ūdens paraugos lauka apstākļos veikti vides reakcijas (pH), elektrovadītspējas un temperatūras mērījumi, naftas produktu u.c. parametru laboratoriskā analīze. Naftas produktu piesārņojuma ietekme šajā monitoringa ciklā konstatēta 13 urbumos, kuros novērots peldošais naftas produktu slānis.</w:t>
      </w:r>
    </w:p>
    <w:p w:rsidR="00742DA5" w:rsidRPr="00A91812" w:rsidP="00742DA5" w14:paraId="4AF9F68C" w14:textId="77777777">
      <w:pPr>
        <w:spacing w:after="0" w:line="240" w:lineRule="auto"/>
        <w:ind w:firstLine="567"/>
        <w:jc w:val="both"/>
        <w:textAlignment w:val="baseline"/>
        <w:rPr>
          <w:kern w:val="0"/>
          <w:lang w:eastAsia="lv-LV"/>
          <w14:ligatures w14:val="none"/>
        </w:rPr>
      </w:pPr>
      <w:r>
        <w:rPr>
          <w:kern w:val="0"/>
          <w:lang w:eastAsia="lv-LV"/>
          <w14:ligatures w14:val="none"/>
        </w:rPr>
        <w:t>SIA “Intergeo Baltic” 2025. gada decembrī veica II cikla monitoringu vēsturiski piesārņotā teritorijā Dzelzceļa ielā 10, Aizkrauklē, Aizkraukles novadā.</w:t>
      </w:r>
      <w:r>
        <w:t xml:space="preserve"> </w:t>
      </w:r>
      <w:r>
        <w:rPr>
          <w:kern w:val="0"/>
          <w:lang w:eastAsia="lv-LV"/>
          <w14:ligatures w14:val="none"/>
        </w:rPr>
        <w:t>Peldošo naftas produktu slānis (PNPS) tika fiksēts 13 urbumos.</w:t>
      </w:r>
      <w:r>
        <w:t xml:space="preserve"> </w:t>
      </w:r>
      <w:r>
        <w:rPr>
          <w:kern w:val="0"/>
          <w:lang w:eastAsia="lv-LV"/>
          <w14:ligatures w14:val="none"/>
        </w:rPr>
        <w:t>Testēšanas rezultāti liecina, ka Daugavas (D3dg) ūdens horizonta piesārņojums netika konstatēts. BTEX (benzols, toluols, etilbenzols un ksiloli) nepārsniedz mērķlieluma vērtību. Naftas produktu koncentrācija mainījās &lt;0,02 - 0,036 mg/l robežās, kas ir mazāk nekā robežlieluma vērtība. Pļaviņu (D3pl) ūdens horizonta paraugos piesārņojums tika fiksēts vienā paraugā no urbuma Nr.34, kur benzola, toluola, etilbenzola un ksilolu saturs pārsniedz robežlieluma vērtību. Citos urbumos noņemtajiem paraugiem BTEX (benzols, toluols, etilbenzols un ksiloli) saturs nepārsniedz mērķlieluma vērtību. Naftas produktu koncentrācija Pļaviņu (D3pl) ūdens horizonta paraugos mainījās &lt;0,02 - 0,04 mg/l robežās, kas nepārsniedz robežlieluma vērtību.</w:t>
      </w:r>
    </w:p>
    <w:p w:rsidR="00742DA5" w:rsidRPr="00A91812" w:rsidP="00742DA5" w14:paraId="7274365E" w14:textId="77777777">
      <w:pPr>
        <w:spacing w:after="0" w:line="240" w:lineRule="auto"/>
        <w:jc w:val="both"/>
        <w:textAlignment w:val="baseline"/>
        <w:rPr>
          <w:kern w:val="0"/>
          <w:lang w:eastAsia="lv-LV"/>
          <w14:ligatures w14:val="none"/>
        </w:rPr>
      </w:pPr>
    </w:p>
    <w:p w:rsidR="00742DA5" w:rsidRPr="00A91812" w:rsidP="00072CA3" w14:paraId="6F56A85C" w14:textId="77777777">
      <w:pPr>
        <w:pStyle w:val="Default"/>
        <w:ind w:firstLine="567"/>
        <w:jc w:val="both"/>
        <w:rPr>
          <w:lang w:eastAsia="lv-LV"/>
          <w14:ligatures w14:val="none"/>
        </w:rPr>
      </w:pPr>
      <w:r>
        <w:rPr>
          <w:lang w:eastAsia="lv-LV"/>
          <w14:ligatures w14:val="none"/>
        </w:rPr>
        <w:t>2025. gada nogalē SIA “Intergeo Baltic” izstrādāja Sanācijas programmu Sanācijas darbiem bitumena tvertnei Dzelzceļa ielā 13A (kadastra Nr. 32010010079), Aizkrauklē, Aizkraukles novadā. Bitumena tvertne ir atvērta tipa, dzelzsbetona pazemes inženierbūve, kurā atrodas melni, vietām tumši brūni, pēc konsistences un smakas bitumenam līdzīgi naftas produktu atkritumi, sajaukumā ar grunts masu, lapām, zariem, sūnām, kokiem un cita veida organikas piejaukumiem. Ņemot vērā, ka bitumena tvertnē esošā piesārņojuma masa ir heterogēna. Tvertnes dziļums Izpētes darbu ietvaros novērtēts aptuveni 2.5 m, bet sienu garumi sastāda aptuveni 12 x 11.5 m. Nedemontētu būvgružu tilpums, neskaitot tajā esošos naftas produktu atkritumus un to maisījumu ar apaugumu, novērtēts aptuveni 87.3 m</w:t>
      </w:r>
      <w:r>
        <w:rPr>
          <w:vertAlign w:val="superscript"/>
          <w:lang w:eastAsia="lv-LV"/>
          <w14:ligatures w14:val="none"/>
        </w:rPr>
        <w:t>3</w:t>
      </w:r>
      <w:r>
        <w:rPr>
          <w:lang w:eastAsia="lv-LV"/>
          <w14:ligatures w14:val="none"/>
        </w:rPr>
        <w:t>. Naftas produktu un grunts (t.sk. citu piemaisījumu) maisījuma atkritumu apmērs aprēķināts aptuveni 331.3 m</w:t>
      </w:r>
      <w:r>
        <w:rPr>
          <w:vertAlign w:val="superscript"/>
          <w:lang w:eastAsia="lv-LV"/>
          <w14:ligatures w14:val="none"/>
        </w:rPr>
        <w:t>3</w:t>
      </w:r>
      <w:r>
        <w:rPr>
          <w:lang w:eastAsia="lv-LV"/>
          <w14:ligatures w14:val="none"/>
        </w:rPr>
        <w:t xml:space="preserve">. Sanācijas darbu mērķis un rezultāts: panākt teritorijā esošā piesārņojuma ar naftas produktiem attīrīšanu līdz tādai pakāpei, kas nepārsniegtu Ministru kabineta 2005. gada 25. oktobra noteikumu Nr.804 „Noteikumi par augsnes un grunts kvalitātes normatīviem” 1. pielikuma piesardzības robežlielumu “B” un Ministru kabineta 2002. gada 12. martā noteikumu Nr.118 „Noteikumi par virszemes un pazemes ūdeņu kvalitāti” 10.pielikuma robežlielumu, un attiecīgo teritoriju ir iespējams izmantot noteiktai saimnieciskai darbībai. Kā piemērotākā metode sanācijas darbiem izvirzīta piesārņotā maisījuma izrakšana (ex-situ) un nogādāšana specializētā poligonā tālākai atkritumu apsaimniekošanai un ekskavētās vietas aizpildīšana ar tīru grunti. </w:t>
      </w:r>
      <w:r>
        <w:rPr>
          <w:sz w:val="23"/>
          <w:szCs w:val="23"/>
        </w:rPr>
        <w:t xml:space="preserve">Rekomendējams </w:t>
      </w:r>
      <w:r>
        <w:rPr>
          <w:sz w:val="23"/>
          <w:szCs w:val="23"/>
        </w:rPr>
        <w:t>2 (divus) gadus pēc sanācijas veikt pazemes ūdeņu paraugošanas un testēšanas darbus Daugavas ūdens horizonta urbumā Nr. 13, kas izbūvēts Izpētes ietvaros Dzelzsceļa ielā 10, Aizkrauklē, gruntsūdens plūsmas lejtecē no bitumena tvertnes.</w:t>
      </w:r>
    </w:p>
    <w:p w:rsidR="00742DA5" w:rsidRPr="00A91812" w:rsidP="00742DA5" w14:paraId="6A85C722" w14:textId="77777777">
      <w:pPr>
        <w:pStyle w:val="Default"/>
      </w:pPr>
    </w:p>
    <w:p w:rsidR="00742DA5" w:rsidRPr="00A91812" w:rsidP="00072CA3" w14:paraId="29354AFB" w14:textId="77777777">
      <w:pPr>
        <w:spacing w:after="0" w:line="240" w:lineRule="auto"/>
        <w:ind w:firstLine="567"/>
        <w:jc w:val="both"/>
        <w:textAlignment w:val="baseline"/>
      </w:pPr>
      <w:r>
        <w:t>SIA “Zaļais ezis” no 2023. gada veica Aizkraukles novada ainaviski vērtīgo teritoriju izpēti, ainavisko vērtību saglabāšanas nosacījumu izvērtēšanu spēkā esošajos Aizkraukles novada teritorijas plānojumos un priekšlikumu izstrādi noteikumiem, kas būtu iekļaujami jaunajā Aizkraukles novada teritorijas plānojumā. Tika noteiktas šādas Ainaviski vērtīgas teritorijas un objekti (īpašas nozīmes ainavu telpas un skatu punkti):</w:t>
      </w:r>
    </w:p>
    <w:p w:rsidR="00742DA5" w:rsidRPr="00A91812" w:rsidP="00072CA3" w14:paraId="7C8A3AAC" w14:textId="77777777">
      <w:pPr>
        <w:pStyle w:val="ListParagraph"/>
        <w:numPr>
          <w:ilvl w:val="1"/>
          <w:numId w:val="12"/>
        </w:numPr>
        <w:spacing w:after="0" w:line="240" w:lineRule="auto"/>
        <w:ind w:left="567" w:hanging="567"/>
        <w:jc w:val="both"/>
        <w:textAlignment w:val="baseline"/>
      </w:pPr>
      <w:r>
        <w:t>Daugavas senielejas kultūrvēsturiskās ainavas telpa;</w:t>
      </w:r>
    </w:p>
    <w:p w:rsidR="00742DA5" w:rsidRPr="00A91812" w:rsidP="00072CA3" w14:paraId="5DF9E13A" w14:textId="77777777">
      <w:pPr>
        <w:pStyle w:val="ListParagraph"/>
        <w:numPr>
          <w:ilvl w:val="1"/>
          <w:numId w:val="12"/>
        </w:numPr>
        <w:spacing w:after="0" w:line="240" w:lineRule="auto"/>
        <w:ind w:left="567" w:hanging="567"/>
        <w:jc w:val="both"/>
        <w:textAlignment w:val="baseline"/>
        <w:rPr>
          <w:kern w:val="0"/>
          <w:lang w:eastAsia="lv-LV"/>
          <w14:ligatures w14:val="none"/>
        </w:rPr>
      </w:pPr>
      <w:r>
        <w:t>Lauces upes ainavu telpa ar Lauces kraujas aizsardzības teritoriju;</w:t>
      </w:r>
    </w:p>
    <w:p w:rsidR="00742DA5" w:rsidRPr="00A91812" w:rsidP="00072CA3" w14:paraId="56425AF1" w14:textId="77777777">
      <w:pPr>
        <w:pStyle w:val="ListParagraph"/>
        <w:numPr>
          <w:ilvl w:val="1"/>
          <w:numId w:val="12"/>
        </w:numPr>
        <w:spacing w:after="0" w:line="240" w:lineRule="auto"/>
        <w:ind w:left="567" w:hanging="567"/>
        <w:jc w:val="both"/>
        <w:textAlignment w:val="baseline"/>
        <w:rPr>
          <w:kern w:val="0"/>
          <w:lang w:eastAsia="lv-LV"/>
          <w14:ligatures w14:val="none"/>
        </w:rPr>
      </w:pPr>
      <w:r>
        <w:rPr>
          <w:kern w:val="0"/>
          <w:lang w:eastAsia="lv-LV"/>
          <w14:ligatures w14:val="none"/>
        </w:rPr>
        <w:t>Zilkalnes pauguru ainavu telpa;</w:t>
      </w:r>
    </w:p>
    <w:p w:rsidR="00742DA5" w:rsidRPr="00A91812" w:rsidP="00072CA3" w14:paraId="4AA7A678" w14:textId="77777777">
      <w:pPr>
        <w:pStyle w:val="ListParagraph"/>
        <w:numPr>
          <w:ilvl w:val="1"/>
          <w:numId w:val="12"/>
        </w:numPr>
        <w:spacing w:after="0" w:line="240" w:lineRule="auto"/>
        <w:ind w:left="567" w:hanging="567"/>
        <w:jc w:val="both"/>
        <w:textAlignment w:val="baseline"/>
        <w:rPr>
          <w:kern w:val="0"/>
          <w:lang w:eastAsia="lv-LV"/>
          <w14:ligatures w14:val="none"/>
        </w:rPr>
      </w:pPr>
      <w:r>
        <w:rPr>
          <w:kern w:val="0"/>
          <w:lang w:eastAsia="lv-LV"/>
          <w14:ligatures w14:val="none"/>
        </w:rPr>
        <w:t>Grebļa kalns (skatu punkts);</w:t>
      </w:r>
    </w:p>
    <w:p w:rsidR="00742DA5" w:rsidRPr="00A91812" w:rsidP="00072CA3" w14:paraId="1CAA180C" w14:textId="77777777">
      <w:pPr>
        <w:pStyle w:val="ListParagraph"/>
        <w:numPr>
          <w:ilvl w:val="1"/>
          <w:numId w:val="12"/>
        </w:numPr>
        <w:spacing w:after="0" w:line="240" w:lineRule="auto"/>
        <w:ind w:left="567" w:hanging="567"/>
        <w:jc w:val="both"/>
        <w:textAlignment w:val="baseline"/>
        <w:rPr>
          <w:kern w:val="0"/>
          <w:lang w:eastAsia="lv-LV"/>
          <w14:ligatures w14:val="none"/>
        </w:rPr>
      </w:pPr>
      <w:r>
        <w:rPr>
          <w:kern w:val="0"/>
          <w:lang w:eastAsia="lv-LV"/>
          <w14:ligatures w14:val="none"/>
        </w:rPr>
        <w:t>Degļa kalns (skatu punkts);</w:t>
      </w:r>
    </w:p>
    <w:p w:rsidR="00742DA5" w:rsidRPr="00425D30" w:rsidP="00742DA5" w14:paraId="195D053C" w14:textId="402CFA37">
      <w:pPr>
        <w:pStyle w:val="ListParagraph"/>
        <w:numPr>
          <w:ilvl w:val="1"/>
          <w:numId w:val="12"/>
        </w:numPr>
        <w:spacing w:after="0" w:line="240" w:lineRule="auto"/>
        <w:ind w:left="567" w:hanging="567"/>
        <w:jc w:val="both"/>
        <w:textAlignment w:val="baseline"/>
        <w:rPr>
          <w:kern w:val="0"/>
          <w:lang w:eastAsia="lv-LV"/>
          <w14:ligatures w14:val="none"/>
        </w:rPr>
      </w:pPr>
      <w:r>
        <w:rPr>
          <w:kern w:val="0"/>
          <w:lang w:eastAsia="lv-LV"/>
          <w14:ligatures w14:val="none"/>
        </w:rPr>
        <w:t xml:space="preserve">Ziedānkalns jeb Vārpānu kalns (skatu punkts). </w:t>
      </w:r>
    </w:p>
    <w:p w:rsidR="00024AD0" w:rsidRPr="00425D30" w:rsidP="00514D05" w14:paraId="6E11F399" w14:textId="1949D1C8">
      <w:pPr>
        <w:pStyle w:val="Heading1"/>
        <w:numPr>
          <w:ilvl w:val="2"/>
          <w:numId w:val="8"/>
        </w:numPr>
        <w:tabs>
          <w:tab w:val="left" w:pos="1134"/>
        </w:tabs>
        <w:ind w:left="0" w:firstLine="709"/>
        <w:rPr>
          <w:i/>
          <w:iCs/>
        </w:rPr>
      </w:pPr>
      <w:r w:rsidRPr="00425D30">
        <w:rPr>
          <w:i/>
          <w:iCs/>
        </w:rPr>
        <w:t>PAMATBUDŽETA FINANSĒJUMS UN TĀ IZLIETOJUMS</w:t>
      </w:r>
      <w:bookmarkEnd w:id="4"/>
      <w:bookmarkEnd w:id="5"/>
    </w:p>
    <w:p w:rsidR="00024AD0" w:rsidRPr="0046108E" w:rsidP="00024AD0" w14:paraId="41BB3396" w14:textId="77777777">
      <w:pPr>
        <w:spacing w:line="256" w:lineRule="auto"/>
        <w:jc w:val="center"/>
        <w:rPr>
          <w:rFonts w:eastAsia="Calibri"/>
          <w:b/>
          <w:bCs/>
          <w:noProof/>
          <w:shd w:val="clear" w:color="auto" w:fill="FFFFFF"/>
        </w:rPr>
      </w:pPr>
      <w:bookmarkStart w:id="7" w:name="_Hlk104974703"/>
      <w:r>
        <w:rPr>
          <w:rFonts w:eastAsia="Calibri"/>
          <w:b/>
          <w:bCs/>
          <w:noProof/>
        </w:rPr>
        <w:t xml:space="preserve">Aizkraukles novada pašvaldības </w:t>
      </w:r>
      <w:bookmarkEnd w:id="7"/>
      <w:r>
        <w:rPr>
          <w:rFonts w:eastAsia="Calibri"/>
          <w:b/>
          <w:bCs/>
          <w:noProof/>
        </w:rPr>
        <w:t xml:space="preserve">konsolidētais </w:t>
      </w:r>
      <w:r>
        <w:rPr>
          <w:rFonts w:eastAsia="Calibri"/>
          <w:b/>
          <w:bCs/>
          <w:noProof/>
          <w:shd w:val="clear" w:color="auto" w:fill="FFFFFF"/>
        </w:rPr>
        <w:t>divos iepriekšējos gados izpildītais  pamatbudžets</w:t>
      </w:r>
    </w:p>
    <w:tbl>
      <w:tblPr>
        <w:tblW w:w="7021" w:type="dxa"/>
        <w:jc w:val="center"/>
        <w:tblLook w:val="04A0"/>
      </w:tblPr>
      <w:tblGrid>
        <w:gridCol w:w="3680"/>
        <w:gridCol w:w="1559"/>
        <w:gridCol w:w="1560"/>
        <w:gridCol w:w="222"/>
      </w:tblGrid>
      <w:tr w14:paraId="073EB22D" w14:textId="77777777" w:rsidTr="00F80C79">
        <w:tblPrEx>
          <w:tblW w:w="7021" w:type="dxa"/>
          <w:jc w:val="center"/>
          <w:tblLook w:val="04A0"/>
        </w:tblPrEx>
        <w:trPr>
          <w:gridAfter w:val="1"/>
          <w:wAfter w:w="222" w:type="dxa"/>
          <w:trHeight w:val="300"/>
          <w:jc w:val="center"/>
        </w:trPr>
        <w:tc>
          <w:tcPr>
            <w:tcW w:w="3680" w:type="dxa"/>
            <w:vMerge w:val="restart"/>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46108E" w:rsidP="00F80C79" w14:paraId="45B6D6D6" w14:textId="77777777">
            <w:pPr>
              <w:spacing w:after="0" w:line="240" w:lineRule="auto"/>
              <w:jc w:val="center"/>
              <w:rPr>
                <w:color w:val="FFFFFF" w:themeColor="background1"/>
                <w:lang w:eastAsia="lv-LV"/>
              </w:rPr>
            </w:pPr>
            <w:r>
              <w:rPr>
                <w:color w:val="FFFFFF" w:themeColor="background1"/>
                <w:lang w:eastAsia="lv-LV"/>
              </w:rPr>
              <w:t>Posteņa nosaukums</w:t>
            </w:r>
          </w:p>
        </w:tc>
        <w:tc>
          <w:tcPr>
            <w:tcW w:w="3119" w:type="dxa"/>
            <w:gridSpan w:val="2"/>
            <w:tcBorders>
              <w:top w:val="single" w:sz="4" w:space="0" w:color="000000"/>
              <w:left w:val="nil"/>
              <w:bottom w:val="single" w:sz="4" w:space="0" w:color="000000"/>
              <w:right w:val="nil"/>
            </w:tcBorders>
            <w:shd w:val="clear" w:color="auto" w:fill="0F4761" w:themeFill="accent1" w:themeFillShade="BF"/>
            <w:vAlign w:val="center"/>
            <w:hideMark/>
          </w:tcPr>
          <w:p w:rsidR="00024AD0" w:rsidRPr="0046108E" w:rsidP="00F80C79" w14:paraId="125CA550" w14:textId="77777777">
            <w:pPr>
              <w:spacing w:after="0" w:line="240" w:lineRule="auto"/>
              <w:jc w:val="center"/>
              <w:rPr>
                <w:color w:val="FFFFFF" w:themeColor="background1"/>
                <w:lang w:eastAsia="lv-LV"/>
              </w:rPr>
            </w:pPr>
            <w:r>
              <w:rPr>
                <w:color w:val="FFFFFF" w:themeColor="background1"/>
                <w:lang w:eastAsia="lv-LV"/>
              </w:rPr>
              <w:t>Budžeta izpilde</w:t>
            </w:r>
          </w:p>
        </w:tc>
      </w:tr>
      <w:tr w14:paraId="632F7A47" w14:textId="77777777" w:rsidTr="00F80C79">
        <w:tblPrEx>
          <w:tblW w:w="7021" w:type="dxa"/>
          <w:jc w:val="center"/>
          <w:tblLook w:val="04A0"/>
        </w:tblPrEx>
        <w:trPr>
          <w:gridAfter w:val="1"/>
          <w:wAfter w:w="222" w:type="dxa"/>
          <w:trHeight w:val="499"/>
          <w:jc w:val="center"/>
        </w:trPr>
        <w:tc>
          <w:tcPr>
            <w:tcW w:w="3680" w:type="dxa"/>
            <w:vMerge/>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46108E" w:rsidP="00F80C79" w14:paraId="0B462019" w14:textId="77777777">
            <w:pPr>
              <w:spacing w:after="0" w:line="240" w:lineRule="auto"/>
              <w:rPr>
                <w:color w:val="FFFFFF" w:themeColor="background1"/>
                <w:lang w:eastAsia="lv-LV"/>
              </w:rPr>
            </w:pPr>
          </w:p>
        </w:tc>
        <w:tc>
          <w:tcPr>
            <w:tcW w:w="1559" w:type="dxa"/>
            <w:vMerge w:val="restart"/>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46108E" w:rsidP="00F80C79" w14:paraId="1C4A17F5" w14:textId="77777777">
            <w:pPr>
              <w:spacing w:after="0" w:line="240" w:lineRule="auto"/>
              <w:jc w:val="center"/>
              <w:rPr>
                <w:color w:val="FFFFFF" w:themeColor="background1"/>
                <w:lang w:eastAsia="lv-LV"/>
              </w:rPr>
            </w:pPr>
            <w:r>
              <w:rPr>
                <w:color w:val="FFFFFF" w:themeColor="background1"/>
                <w:lang w:eastAsia="lv-LV"/>
              </w:rPr>
              <w:t>2024.gads</w:t>
            </w:r>
          </w:p>
        </w:tc>
        <w:tc>
          <w:tcPr>
            <w:tcW w:w="1560" w:type="dxa"/>
            <w:vMerge w:val="restart"/>
            <w:tcBorders>
              <w:top w:val="nil"/>
              <w:left w:val="single" w:sz="4" w:space="0" w:color="000000"/>
              <w:bottom w:val="nil"/>
              <w:right w:val="nil"/>
            </w:tcBorders>
            <w:shd w:val="clear" w:color="auto" w:fill="0F4761" w:themeFill="accent1" w:themeFillShade="BF"/>
            <w:vAlign w:val="center"/>
          </w:tcPr>
          <w:p w:rsidR="00024AD0" w:rsidRPr="0046108E" w:rsidP="00F80C79" w14:paraId="6185C04F" w14:textId="77777777">
            <w:pPr>
              <w:spacing w:after="0" w:line="240" w:lineRule="auto"/>
              <w:jc w:val="center"/>
              <w:rPr>
                <w:color w:val="FFFFFF" w:themeColor="background1"/>
                <w:lang w:eastAsia="lv-LV"/>
              </w:rPr>
            </w:pPr>
            <w:r>
              <w:rPr>
                <w:color w:val="FFFFFF" w:themeColor="background1"/>
                <w:lang w:eastAsia="lv-LV"/>
              </w:rPr>
              <w:t>2025.gads</w:t>
            </w:r>
          </w:p>
        </w:tc>
      </w:tr>
      <w:tr w14:paraId="52A67699" w14:textId="77777777" w:rsidTr="00F80C79">
        <w:tblPrEx>
          <w:tblW w:w="7021" w:type="dxa"/>
          <w:jc w:val="center"/>
          <w:tblLook w:val="04A0"/>
        </w:tblPrEx>
        <w:trPr>
          <w:trHeight w:val="300"/>
          <w:jc w:val="center"/>
        </w:trPr>
        <w:tc>
          <w:tcPr>
            <w:tcW w:w="3680" w:type="dxa"/>
            <w:vMerge/>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A7761" w:rsidP="00F80C79" w14:paraId="2F72DEFE" w14:textId="77777777">
            <w:pPr>
              <w:spacing w:after="0" w:line="240" w:lineRule="auto"/>
              <w:rPr>
                <w:lang w:eastAsia="lv-LV"/>
              </w:rPr>
            </w:pPr>
          </w:p>
        </w:tc>
        <w:tc>
          <w:tcPr>
            <w:tcW w:w="1559" w:type="dxa"/>
            <w:vMerge/>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A7761" w:rsidP="00F80C79" w14:paraId="64E19102" w14:textId="77777777">
            <w:pPr>
              <w:spacing w:after="0" w:line="240" w:lineRule="auto"/>
              <w:rPr>
                <w:lang w:eastAsia="lv-LV"/>
              </w:rPr>
            </w:pPr>
          </w:p>
        </w:tc>
        <w:tc>
          <w:tcPr>
            <w:tcW w:w="1560" w:type="dxa"/>
            <w:vMerge/>
            <w:tcBorders>
              <w:top w:val="nil"/>
              <w:left w:val="single" w:sz="4" w:space="0" w:color="000000"/>
              <w:bottom w:val="nil"/>
              <w:right w:val="nil"/>
            </w:tcBorders>
            <w:shd w:val="clear" w:color="auto" w:fill="0F4761" w:themeFill="accent1" w:themeFillShade="BF"/>
            <w:vAlign w:val="center"/>
          </w:tcPr>
          <w:p w:rsidR="00024AD0" w:rsidRPr="009A7761" w:rsidP="00F80C79" w14:paraId="3C84F8A8" w14:textId="77777777">
            <w:pPr>
              <w:spacing w:after="0" w:line="240" w:lineRule="auto"/>
              <w:rPr>
                <w:lang w:eastAsia="lv-LV"/>
              </w:rPr>
            </w:pPr>
          </w:p>
        </w:tc>
        <w:tc>
          <w:tcPr>
            <w:tcW w:w="222" w:type="dxa"/>
            <w:tcBorders>
              <w:top w:val="nil"/>
              <w:left w:val="nil"/>
              <w:bottom w:val="nil"/>
              <w:right w:val="nil"/>
            </w:tcBorders>
            <w:noWrap/>
            <w:vAlign w:val="bottom"/>
            <w:hideMark/>
          </w:tcPr>
          <w:p w:rsidR="00024AD0" w:rsidRPr="009A7761" w:rsidP="00F80C79" w14:paraId="54441355" w14:textId="77777777">
            <w:pPr>
              <w:spacing w:after="0" w:line="240" w:lineRule="auto"/>
              <w:jc w:val="center"/>
              <w:rPr>
                <w:color w:val="000000"/>
                <w:lang w:eastAsia="lv-LV"/>
              </w:rPr>
            </w:pPr>
          </w:p>
        </w:tc>
      </w:tr>
      <w:tr w14:paraId="72EEA43C" w14:textId="77777777" w:rsidTr="00F80C79">
        <w:tblPrEx>
          <w:tblW w:w="7021" w:type="dxa"/>
          <w:jc w:val="center"/>
          <w:tblLook w:val="04A0"/>
        </w:tblPrEx>
        <w:trPr>
          <w:trHeight w:val="300"/>
          <w:jc w:val="center"/>
        </w:trPr>
        <w:tc>
          <w:tcPr>
            <w:tcW w:w="3680" w:type="dxa"/>
            <w:tcBorders>
              <w:top w:val="nil"/>
              <w:left w:val="single" w:sz="4" w:space="0" w:color="000000"/>
              <w:bottom w:val="single" w:sz="4" w:space="0" w:color="000000"/>
              <w:right w:val="nil"/>
            </w:tcBorders>
            <w:vAlign w:val="center"/>
            <w:hideMark/>
          </w:tcPr>
          <w:p w:rsidR="00024AD0" w:rsidRPr="009A7761" w:rsidP="00F80C79" w14:paraId="5720B9CD" w14:textId="77777777">
            <w:pPr>
              <w:spacing w:after="0" w:line="240" w:lineRule="auto"/>
              <w:rPr>
                <w:b/>
                <w:bCs/>
                <w:lang w:eastAsia="lv-LV"/>
              </w:rPr>
            </w:pPr>
            <w:r>
              <w:rPr>
                <w:b/>
                <w:bCs/>
                <w:lang w:eastAsia="lv-LV"/>
              </w:rPr>
              <w:t>IEŅĒMUMI KOPĀ</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24AD0" w:rsidRPr="009A7761" w:rsidP="00F80C79" w14:paraId="1D84CEBB" w14:textId="77777777">
            <w:pPr>
              <w:spacing w:after="0" w:line="240" w:lineRule="auto"/>
              <w:jc w:val="center"/>
              <w:rPr>
                <w:b/>
                <w:bCs/>
                <w:lang w:eastAsia="lv-LV"/>
              </w:rPr>
            </w:pPr>
            <w:r>
              <w:rPr>
                <w:b/>
                <w:bCs/>
                <w:color w:val="000000"/>
                <w:lang w:eastAsia="lv-LV"/>
              </w:rPr>
              <w:t>57 802 885</w:t>
            </w:r>
          </w:p>
        </w:tc>
        <w:tc>
          <w:tcPr>
            <w:tcW w:w="1560" w:type="dxa"/>
            <w:tcBorders>
              <w:top w:val="single" w:sz="4" w:space="0" w:color="auto"/>
              <w:left w:val="nil"/>
              <w:bottom w:val="single" w:sz="4" w:space="0" w:color="auto"/>
              <w:right w:val="single" w:sz="4" w:space="0" w:color="auto"/>
            </w:tcBorders>
            <w:noWrap/>
            <w:vAlign w:val="center"/>
          </w:tcPr>
          <w:p w:rsidR="00024AD0" w:rsidRPr="009A7761" w:rsidP="00F80C79" w14:paraId="0AFBACEF" w14:textId="77777777">
            <w:pPr>
              <w:spacing w:after="0" w:line="240" w:lineRule="auto"/>
              <w:jc w:val="center"/>
              <w:rPr>
                <w:b/>
                <w:bCs/>
                <w:color w:val="000000"/>
                <w:lang w:eastAsia="lv-LV"/>
              </w:rPr>
            </w:pPr>
            <w:r>
              <w:rPr>
                <w:b/>
                <w:bCs/>
                <w:color w:val="000000"/>
                <w:lang w:eastAsia="lv-LV"/>
              </w:rPr>
              <w:t>64 331 317</w:t>
            </w:r>
          </w:p>
        </w:tc>
        <w:tc>
          <w:tcPr>
            <w:tcW w:w="222" w:type="dxa"/>
            <w:vAlign w:val="center"/>
            <w:hideMark/>
          </w:tcPr>
          <w:p w:rsidR="00024AD0" w:rsidRPr="009A7761" w:rsidP="00F80C79" w14:paraId="74260DDC" w14:textId="77777777">
            <w:pPr>
              <w:spacing w:after="0" w:line="240" w:lineRule="auto"/>
              <w:rPr>
                <w:lang w:eastAsia="lv-LV"/>
              </w:rPr>
            </w:pPr>
          </w:p>
        </w:tc>
      </w:tr>
      <w:tr w14:paraId="77676308" w14:textId="77777777" w:rsidTr="00F80C79">
        <w:tblPrEx>
          <w:tblW w:w="7021" w:type="dxa"/>
          <w:jc w:val="center"/>
          <w:tblLook w:val="04A0"/>
        </w:tblPrEx>
        <w:trPr>
          <w:trHeight w:val="300"/>
          <w:jc w:val="center"/>
        </w:trPr>
        <w:tc>
          <w:tcPr>
            <w:tcW w:w="3680" w:type="dxa"/>
            <w:tcBorders>
              <w:top w:val="nil"/>
              <w:left w:val="single" w:sz="4" w:space="0" w:color="000000"/>
              <w:bottom w:val="single" w:sz="4" w:space="0" w:color="000000"/>
              <w:right w:val="nil"/>
            </w:tcBorders>
            <w:vAlign w:val="center"/>
            <w:hideMark/>
          </w:tcPr>
          <w:p w:rsidR="00024AD0" w:rsidRPr="009A7761" w:rsidP="00F80C79" w14:paraId="481F809E" w14:textId="77777777">
            <w:pPr>
              <w:spacing w:after="0" w:line="240" w:lineRule="auto"/>
              <w:rPr>
                <w:lang w:eastAsia="lv-LV"/>
              </w:rPr>
            </w:pPr>
            <w:r>
              <w:rPr>
                <w:lang w:eastAsia="lv-LV"/>
              </w:rPr>
              <w:t>Nodokļu ieņēmumi</w:t>
            </w:r>
          </w:p>
        </w:tc>
        <w:tc>
          <w:tcPr>
            <w:tcW w:w="1559" w:type="dxa"/>
            <w:tcBorders>
              <w:top w:val="nil"/>
              <w:left w:val="single" w:sz="4" w:space="0" w:color="auto"/>
              <w:bottom w:val="single" w:sz="4" w:space="0" w:color="auto"/>
              <w:right w:val="single" w:sz="4" w:space="0" w:color="auto"/>
            </w:tcBorders>
            <w:noWrap/>
            <w:vAlign w:val="center"/>
            <w:hideMark/>
          </w:tcPr>
          <w:p w:rsidR="00024AD0" w:rsidRPr="009A7761" w:rsidP="00F80C79" w14:paraId="7B95F9BF" w14:textId="77777777">
            <w:pPr>
              <w:spacing w:after="0" w:line="240" w:lineRule="auto"/>
              <w:jc w:val="center"/>
              <w:rPr>
                <w:lang w:eastAsia="lv-LV"/>
              </w:rPr>
            </w:pPr>
            <w:r>
              <w:rPr>
                <w:color w:val="000000"/>
                <w:lang w:eastAsia="lv-LV"/>
              </w:rPr>
              <w:t>26 619 361</w:t>
            </w:r>
          </w:p>
        </w:tc>
        <w:tc>
          <w:tcPr>
            <w:tcW w:w="1560" w:type="dxa"/>
            <w:tcBorders>
              <w:top w:val="nil"/>
              <w:left w:val="nil"/>
              <w:bottom w:val="single" w:sz="4" w:space="0" w:color="auto"/>
              <w:right w:val="single" w:sz="4" w:space="0" w:color="auto"/>
            </w:tcBorders>
            <w:noWrap/>
            <w:vAlign w:val="center"/>
          </w:tcPr>
          <w:p w:rsidR="00024AD0" w:rsidRPr="009A7761" w:rsidP="00F80C79" w14:paraId="439B181C" w14:textId="77777777">
            <w:pPr>
              <w:spacing w:after="0" w:line="240" w:lineRule="auto"/>
              <w:jc w:val="center"/>
              <w:rPr>
                <w:color w:val="000000"/>
                <w:lang w:eastAsia="lv-LV"/>
              </w:rPr>
            </w:pPr>
            <w:r>
              <w:rPr>
                <w:color w:val="000000"/>
                <w:lang w:eastAsia="lv-LV"/>
              </w:rPr>
              <w:t>26 852 587</w:t>
            </w:r>
          </w:p>
        </w:tc>
        <w:tc>
          <w:tcPr>
            <w:tcW w:w="222" w:type="dxa"/>
            <w:vAlign w:val="center"/>
            <w:hideMark/>
          </w:tcPr>
          <w:p w:rsidR="00024AD0" w:rsidRPr="009A7761" w:rsidP="00F80C79" w14:paraId="2FF8D09A" w14:textId="77777777">
            <w:pPr>
              <w:spacing w:after="0" w:line="240" w:lineRule="auto"/>
              <w:rPr>
                <w:lang w:eastAsia="lv-LV"/>
              </w:rPr>
            </w:pPr>
          </w:p>
        </w:tc>
      </w:tr>
      <w:tr w14:paraId="7CDA06B0" w14:textId="77777777" w:rsidTr="00F80C79">
        <w:tblPrEx>
          <w:tblW w:w="7021" w:type="dxa"/>
          <w:jc w:val="center"/>
          <w:tblLook w:val="04A0"/>
        </w:tblPrEx>
        <w:trPr>
          <w:trHeight w:val="300"/>
          <w:jc w:val="center"/>
        </w:trPr>
        <w:tc>
          <w:tcPr>
            <w:tcW w:w="3680" w:type="dxa"/>
            <w:tcBorders>
              <w:top w:val="nil"/>
              <w:left w:val="single" w:sz="4" w:space="0" w:color="000000"/>
              <w:bottom w:val="single" w:sz="4" w:space="0" w:color="000000"/>
              <w:right w:val="nil"/>
            </w:tcBorders>
            <w:vAlign w:val="center"/>
            <w:hideMark/>
          </w:tcPr>
          <w:p w:rsidR="00024AD0" w:rsidRPr="009A7761" w:rsidP="00F80C79" w14:paraId="544F27DC" w14:textId="77777777">
            <w:pPr>
              <w:spacing w:after="0" w:line="240" w:lineRule="auto"/>
              <w:rPr>
                <w:lang w:eastAsia="lv-LV"/>
              </w:rPr>
            </w:pPr>
            <w:r>
              <w:rPr>
                <w:lang w:eastAsia="lv-LV"/>
              </w:rPr>
              <w:t>Nenodokļu ieņēmumi</w:t>
            </w:r>
          </w:p>
        </w:tc>
        <w:tc>
          <w:tcPr>
            <w:tcW w:w="1559" w:type="dxa"/>
            <w:tcBorders>
              <w:top w:val="nil"/>
              <w:left w:val="single" w:sz="4" w:space="0" w:color="auto"/>
              <w:bottom w:val="single" w:sz="4" w:space="0" w:color="auto"/>
              <w:right w:val="single" w:sz="4" w:space="0" w:color="auto"/>
            </w:tcBorders>
            <w:noWrap/>
            <w:vAlign w:val="center"/>
            <w:hideMark/>
          </w:tcPr>
          <w:p w:rsidR="00024AD0" w:rsidRPr="009A7761" w:rsidP="00F80C79" w14:paraId="7BB909CC" w14:textId="77777777">
            <w:pPr>
              <w:spacing w:after="0" w:line="240" w:lineRule="auto"/>
              <w:jc w:val="center"/>
              <w:rPr>
                <w:lang w:eastAsia="lv-LV"/>
              </w:rPr>
            </w:pPr>
            <w:r>
              <w:rPr>
                <w:color w:val="000000"/>
                <w:lang w:eastAsia="lv-LV"/>
              </w:rPr>
              <w:t>2 229 236</w:t>
            </w:r>
          </w:p>
        </w:tc>
        <w:tc>
          <w:tcPr>
            <w:tcW w:w="1560" w:type="dxa"/>
            <w:tcBorders>
              <w:top w:val="nil"/>
              <w:left w:val="nil"/>
              <w:bottom w:val="single" w:sz="4" w:space="0" w:color="auto"/>
              <w:right w:val="single" w:sz="4" w:space="0" w:color="auto"/>
            </w:tcBorders>
            <w:noWrap/>
            <w:vAlign w:val="center"/>
          </w:tcPr>
          <w:p w:rsidR="00024AD0" w:rsidRPr="009A7761" w:rsidP="00F80C79" w14:paraId="04B9C003" w14:textId="77777777">
            <w:pPr>
              <w:spacing w:after="0" w:line="240" w:lineRule="auto"/>
              <w:jc w:val="center"/>
              <w:rPr>
                <w:color w:val="000000"/>
                <w:lang w:eastAsia="lv-LV"/>
              </w:rPr>
            </w:pPr>
            <w:r>
              <w:rPr>
                <w:color w:val="000000"/>
                <w:lang w:eastAsia="lv-LV"/>
              </w:rPr>
              <w:t>1 833 503</w:t>
            </w:r>
          </w:p>
        </w:tc>
        <w:tc>
          <w:tcPr>
            <w:tcW w:w="222" w:type="dxa"/>
            <w:vAlign w:val="center"/>
            <w:hideMark/>
          </w:tcPr>
          <w:p w:rsidR="00024AD0" w:rsidRPr="009A7761" w:rsidP="00F80C79" w14:paraId="6507F1F4" w14:textId="77777777">
            <w:pPr>
              <w:spacing w:after="0" w:line="240" w:lineRule="auto"/>
              <w:rPr>
                <w:lang w:eastAsia="lv-LV"/>
              </w:rPr>
            </w:pPr>
          </w:p>
        </w:tc>
      </w:tr>
      <w:tr w14:paraId="61E1C429" w14:textId="77777777" w:rsidTr="00F80C79">
        <w:tblPrEx>
          <w:tblW w:w="7021" w:type="dxa"/>
          <w:jc w:val="center"/>
          <w:tblLook w:val="04A0"/>
        </w:tblPrEx>
        <w:trPr>
          <w:trHeight w:val="510"/>
          <w:jc w:val="center"/>
        </w:trPr>
        <w:tc>
          <w:tcPr>
            <w:tcW w:w="3680" w:type="dxa"/>
            <w:tcBorders>
              <w:top w:val="nil"/>
              <w:left w:val="single" w:sz="4" w:space="0" w:color="000000"/>
              <w:bottom w:val="single" w:sz="4" w:space="0" w:color="000000"/>
              <w:right w:val="nil"/>
            </w:tcBorders>
            <w:vAlign w:val="center"/>
            <w:hideMark/>
          </w:tcPr>
          <w:p w:rsidR="00024AD0" w:rsidRPr="009A7761" w:rsidP="00F80C79" w14:paraId="533F811A" w14:textId="77777777">
            <w:pPr>
              <w:spacing w:after="0" w:line="240" w:lineRule="auto"/>
              <w:rPr>
                <w:lang w:eastAsia="lv-LV"/>
              </w:rPr>
            </w:pPr>
            <w:r>
              <w:rPr>
                <w:lang w:eastAsia="lv-LV"/>
              </w:rPr>
              <w:t>Maksas pakalpojumi un citi pašu ieņēmumi</w:t>
            </w:r>
          </w:p>
        </w:tc>
        <w:tc>
          <w:tcPr>
            <w:tcW w:w="1559" w:type="dxa"/>
            <w:tcBorders>
              <w:top w:val="nil"/>
              <w:left w:val="single" w:sz="4" w:space="0" w:color="auto"/>
              <w:bottom w:val="single" w:sz="4" w:space="0" w:color="auto"/>
              <w:right w:val="single" w:sz="4" w:space="0" w:color="auto"/>
            </w:tcBorders>
            <w:noWrap/>
            <w:vAlign w:val="center"/>
            <w:hideMark/>
          </w:tcPr>
          <w:p w:rsidR="00024AD0" w:rsidRPr="009A7761" w:rsidP="00F80C79" w14:paraId="4648A354" w14:textId="77777777">
            <w:pPr>
              <w:spacing w:after="0" w:line="240" w:lineRule="auto"/>
              <w:jc w:val="center"/>
              <w:rPr>
                <w:lang w:eastAsia="lv-LV"/>
              </w:rPr>
            </w:pPr>
            <w:r>
              <w:rPr>
                <w:color w:val="000000"/>
                <w:lang w:eastAsia="lv-LV"/>
              </w:rPr>
              <w:t>5 691 412</w:t>
            </w:r>
          </w:p>
        </w:tc>
        <w:tc>
          <w:tcPr>
            <w:tcW w:w="1560" w:type="dxa"/>
            <w:tcBorders>
              <w:top w:val="nil"/>
              <w:left w:val="nil"/>
              <w:bottom w:val="single" w:sz="4" w:space="0" w:color="auto"/>
              <w:right w:val="single" w:sz="4" w:space="0" w:color="auto"/>
            </w:tcBorders>
            <w:noWrap/>
            <w:vAlign w:val="center"/>
          </w:tcPr>
          <w:p w:rsidR="00024AD0" w:rsidRPr="009A7761" w:rsidP="00F80C79" w14:paraId="6BAEA208" w14:textId="77777777">
            <w:pPr>
              <w:spacing w:after="0" w:line="240" w:lineRule="auto"/>
              <w:jc w:val="center"/>
              <w:rPr>
                <w:color w:val="000000"/>
                <w:lang w:eastAsia="lv-LV"/>
              </w:rPr>
            </w:pPr>
            <w:r>
              <w:rPr>
                <w:color w:val="000000"/>
                <w:lang w:eastAsia="lv-LV"/>
              </w:rPr>
              <w:t>6 102 835</w:t>
            </w:r>
          </w:p>
        </w:tc>
        <w:tc>
          <w:tcPr>
            <w:tcW w:w="222" w:type="dxa"/>
            <w:vAlign w:val="center"/>
            <w:hideMark/>
          </w:tcPr>
          <w:p w:rsidR="00024AD0" w:rsidRPr="009A7761" w:rsidP="00F80C79" w14:paraId="258B08EA" w14:textId="77777777">
            <w:pPr>
              <w:spacing w:after="0" w:line="240" w:lineRule="auto"/>
              <w:rPr>
                <w:lang w:eastAsia="lv-LV"/>
              </w:rPr>
            </w:pPr>
          </w:p>
        </w:tc>
      </w:tr>
      <w:tr w14:paraId="4C764A3D" w14:textId="77777777" w:rsidTr="00F80C79">
        <w:tblPrEx>
          <w:tblW w:w="7021" w:type="dxa"/>
          <w:jc w:val="center"/>
          <w:tblLook w:val="04A0"/>
        </w:tblPrEx>
        <w:trPr>
          <w:trHeight w:val="300"/>
          <w:jc w:val="center"/>
        </w:trPr>
        <w:tc>
          <w:tcPr>
            <w:tcW w:w="3680" w:type="dxa"/>
            <w:tcBorders>
              <w:top w:val="nil"/>
              <w:left w:val="single" w:sz="4" w:space="0" w:color="000000"/>
              <w:bottom w:val="single" w:sz="4" w:space="0" w:color="000000"/>
              <w:right w:val="nil"/>
            </w:tcBorders>
            <w:vAlign w:val="center"/>
            <w:hideMark/>
          </w:tcPr>
          <w:p w:rsidR="00024AD0" w:rsidRPr="009A7761" w:rsidP="00F80C79" w14:paraId="2D2F39DA" w14:textId="77777777">
            <w:pPr>
              <w:spacing w:after="0" w:line="240" w:lineRule="auto"/>
              <w:rPr>
                <w:lang w:eastAsia="lv-LV"/>
              </w:rPr>
            </w:pPr>
            <w:r>
              <w:rPr>
                <w:lang w:eastAsia="lv-LV"/>
              </w:rPr>
              <w:t>Transferti</w:t>
            </w:r>
          </w:p>
        </w:tc>
        <w:tc>
          <w:tcPr>
            <w:tcW w:w="1559" w:type="dxa"/>
            <w:tcBorders>
              <w:top w:val="nil"/>
              <w:left w:val="single" w:sz="4" w:space="0" w:color="auto"/>
              <w:bottom w:val="single" w:sz="4" w:space="0" w:color="auto"/>
              <w:right w:val="single" w:sz="4" w:space="0" w:color="auto"/>
            </w:tcBorders>
            <w:noWrap/>
            <w:vAlign w:val="center"/>
            <w:hideMark/>
          </w:tcPr>
          <w:p w:rsidR="00024AD0" w:rsidRPr="009A7761" w:rsidP="00F80C79" w14:paraId="07CB3BB0" w14:textId="77777777">
            <w:pPr>
              <w:spacing w:after="0" w:line="240" w:lineRule="auto"/>
              <w:jc w:val="center"/>
              <w:rPr>
                <w:lang w:eastAsia="lv-LV"/>
              </w:rPr>
            </w:pPr>
            <w:r>
              <w:rPr>
                <w:color w:val="000000"/>
                <w:lang w:eastAsia="lv-LV"/>
              </w:rPr>
              <w:t>23 262 876</w:t>
            </w:r>
          </w:p>
        </w:tc>
        <w:tc>
          <w:tcPr>
            <w:tcW w:w="1560" w:type="dxa"/>
            <w:tcBorders>
              <w:top w:val="nil"/>
              <w:left w:val="nil"/>
              <w:bottom w:val="single" w:sz="4" w:space="0" w:color="auto"/>
              <w:right w:val="single" w:sz="4" w:space="0" w:color="auto"/>
            </w:tcBorders>
            <w:noWrap/>
            <w:vAlign w:val="center"/>
          </w:tcPr>
          <w:p w:rsidR="00024AD0" w:rsidRPr="009A7761" w:rsidP="00F80C79" w14:paraId="1ABD7A19" w14:textId="77777777">
            <w:pPr>
              <w:spacing w:after="0" w:line="240" w:lineRule="auto"/>
              <w:jc w:val="center"/>
              <w:rPr>
                <w:color w:val="000000"/>
                <w:lang w:eastAsia="lv-LV"/>
              </w:rPr>
            </w:pPr>
            <w:r>
              <w:rPr>
                <w:color w:val="000000"/>
                <w:lang w:eastAsia="lv-LV"/>
              </w:rPr>
              <w:t>29 542 392</w:t>
            </w:r>
          </w:p>
        </w:tc>
        <w:tc>
          <w:tcPr>
            <w:tcW w:w="222" w:type="dxa"/>
            <w:vAlign w:val="center"/>
            <w:hideMark/>
          </w:tcPr>
          <w:p w:rsidR="00024AD0" w:rsidRPr="009A7761" w:rsidP="00F80C79" w14:paraId="7201DC88" w14:textId="77777777">
            <w:pPr>
              <w:spacing w:after="0" w:line="240" w:lineRule="auto"/>
              <w:rPr>
                <w:lang w:eastAsia="lv-LV"/>
              </w:rPr>
            </w:pPr>
          </w:p>
        </w:tc>
      </w:tr>
      <w:tr w14:paraId="13BD1E29" w14:textId="77777777" w:rsidTr="00F80C79">
        <w:tblPrEx>
          <w:tblW w:w="7021" w:type="dxa"/>
          <w:jc w:val="center"/>
          <w:tblLook w:val="04A0"/>
        </w:tblPrEx>
        <w:trPr>
          <w:trHeight w:val="300"/>
          <w:jc w:val="center"/>
        </w:trPr>
        <w:tc>
          <w:tcPr>
            <w:tcW w:w="3680" w:type="dxa"/>
            <w:tcBorders>
              <w:top w:val="nil"/>
              <w:left w:val="single" w:sz="4" w:space="0" w:color="000000"/>
              <w:bottom w:val="nil"/>
              <w:right w:val="nil"/>
            </w:tcBorders>
            <w:vAlign w:val="center"/>
            <w:hideMark/>
          </w:tcPr>
          <w:p w:rsidR="00024AD0" w:rsidRPr="009A7761" w:rsidP="00F80C79" w14:paraId="710AD150" w14:textId="77777777">
            <w:pPr>
              <w:spacing w:after="0" w:line="240" w:lineRule="auto"/>
              <w:rPr>
                <w:b/>
                <w:bCs/>
                <w:lang w:eastAsia="lv-LV"/>
              </w:rPr>
            </w:pPr>
            <w:r>
              <w:rPr>
                <w:b/>
                <w:bCs/>
                <w:lang w:eastAsia="lv-LV"/>
              </w:rPr>
              <w:t>IZDEVUMI KOPĀ</w:t>
            </w:r>
          </w:p>
        </w:tc>
        <w:tc>
          <w:tcPr>
            <w:tcW w:w="1559" w:type="dxa"/>
            <w:tcBorders>
              <w:top w:val="nil"/>
              <w:left w:val="single" w:sz="4" w:space="0" w:color="auto"/>
              <w:bottom w:val="single" w:sz="4" w:space="0" w:color="auto"/>
              <w:right w:val="single" w:sz="4" w:space="0" w:color="auto"/>
            </w:tcBorders>
            <w:noWrap/>
            <w:vAlign w:val="center"/>
            <w:hideMark/>
          </w:tcPr>
          <w:p w:rsidR="00024AD0" w:rsidRPr="009A7761" w:rsidP="00F80C79" w14:paraId="470CCB05" w14:textId="77777777">
            <w:pPr>
              <w:spacing w:after="0" w:line="240" w:lineRule="auto"/>
              <w:jc w:val="center"/>
              <w:rPr>
                <w:b/>
                <w:bCs/>
                <w:lang w:eastAsia="lv-LV"/>
              </w:rPr>
            </w:pPr>
            <w:r>
              <w:rPr>
                <w:b/>
                <w:bCs/>
                <w:color w:val="000000"/>
                <w:lang w:eastAsia="lv-LV"/>
              </w:rPr>
              <w:t>58 604 642</w:t>
            </w:r>
          </w:p>
        </w:tc>
        <w:tc>
          <w:tcPr>
            <w:tcW w:w="1560" w:type="dxa"/>
            <w:tcBorders>
              <w:top w:val="nil"/>
              <w:left w:val="nil"/>
              <w:bottom w:val="single" w:sz="4" w:space="0" w:color="auto"/>
              <w:right w:val="single" w:sz="4" w:space="0" w:color="auto"/>
            </w:tcBorders>
            <w:noWrap/>
            <w:vAlign w:val="center"/>
          </w:tcPr>
          <w:p w:rsidR="00024AD0" w:rsidRPr="009A7761" w:rsidP="00F80C79" w14:paraId="50D55A74" w14:textId="77777777">
            <w:pPr>
              <w:spacing w:after="0" w:line="240" w:lineRule="auto"/>
              <w:jc w:val="center"/>
              <w:rPr>
                <w:b/>
                <w:bCs/>
                <w:color w:val="000000"/>
                <w:lang w:eastAsia="lv-LV"/>
              </w:rPr>
            </w:pPr>
            <w:r>
              <w:rPr>
                <w:b/>
                <w:bCs/>
                <w:color w:val="000000"/>
                <w:lang w:eastAsia="lv-LV"/>
              </w:rPr>
              <w:t>66 724 833</w:t>
            </w:r>
          </w:p>
        </w:tc>
        <w:tc>
          <w:tcPr>
            <w:tcW w:w="222" w:type="dxa"/>
            <w:vAlign w:val="center"/>
            <w:hideMark/>
          </w:tcPr>
          <w:p w:rsidR="00024AD0" w:rsidRPr="009A7761" w:rsidP="00F80C79" w14:paraId="23FBF39A" w14:textId="77777777">
            <w:pPr>
              <w:spacing w:after="0" w:line="240" w:lineRule="auto"/>
              <w:rPr>
                <w:lang w:eastAsia="lv-LV"/>
              </w:rPr>
            </w:pPr>
          </w:p>
        </w:tc>
      </w:tr>
      <w:tr w14:paraId="17448158" w14:textId="77777777" w:rsidTr="00F80C79">
        <w:tblPrEx>
          <w:tblW w:w="7021" w:type="dxa"/>
          <w:jc w:val="center"/>
          <w:tblLook w:val="04A0"/>
        </w:tblPrEx>
        <w:trPr>
          <w:trHeight w:val="300"/>
          <w:jc w:val="center"/>
        </w:trPr>
        <w:tc>
          <w:tcPr>
            <w:tcW w:w="3680" w:type="dxa"/>
            <w:tcBorders>
              <w:top w:val="single" w:sz="4" w:space="0" w:color="000000"/>
              <w:left w:val="single" w:sz="4" w:space="0" w:color="000000"/>
              <w:bottom w:val="nil"/>
              <w:right w:val="nil"/>
            </w:tcBorders>
            <w:vAlign w:val="center"/>
            <w:hideMark/>
          </w:tcPr>
          <w:p w:rsidR="00024AD0" w:rsidRPr="009A7761" w:rsidP="00F80C79" w14:paraId="593ABBBF" w14:textId="77777777">
            <w:pPr>
              <w:spacing w:after="0" w:line="240" w:lineRule="auto"/>
              <w:ind w:firstLine="240" w:firstLineChars="100"/>
              <w:rPr>
                <w:lang w:eastAsia="lv-LV"/>
              </w:rPr>
            </w:pPr>
            <w:r>
              <w:rPr>
                <w:lang w:eastAsia="lv-LV"/>
              </w:rPr>
              <w:t>Uzturēšanas izdevumi</w:t>
            </w:r>
          </w:p>
        </w:tc>
        <w:tc>
          <w:tcPr>
            <w:tcW w:w="1559" w:type="dxa"/>
            <w:tcBorders>
              <w:top w:val="nil"/>
              <w:left w:val="single" w:sz="4" w:space="0" w:color="auto"/>
              <w:bottom w:val="single" w:sz="4" w:space="0" w:color="auto"/>
              <w:right w:val="single" w:sz="4" w:space="0" w:color="auto"/>
            </w:tcBorders>
            <w:noWrap/>
            <w:vAlign w:val="center"/>
            <w:hideMark/>
          </w:tcPr>
          <w:p w:rsidR="00024AD0" w:rsidRPr="009A7761" w:rsidP="00F80C79" w14:paraId="3D4178B6" w14:textId="77777777">
            <w:pPr>
              <w:spacing w:after="0" w:line="240" w:lineRule="auto"/>
              <w:jc w:val="center"/>
              <w:rPr>
                <w:lang w:eastAsia="lv-LV"/>
              </w:rPr>
            </w:pPr>
            <w:r>
              <w:rPr>
                <w:color w:val="000000"/>
                <w:lang w:eastAsia="lv-LV"/>
              </w:rPr>
              <w:t>53 337 220</w:t>
            </w:r>
          </w:p>
        </w:tc>
        <w:tc>
          <w:tcPr>
            <w:tcW w:w="1560" w:type="dxa"/>
            <w:tcBorders>
              <w:top w:val="nil"/>
              <w:left w:val="nil"/>
              <w:bottom w:val="single" w:sz="4" w:space="0" w:color="auto"/>
              <w:right w:val="single" w:sz="4" w:space="0" w:color="auto"/>
            </w:tcBorders>
            <w:noWrap/>
            <w:vAlign w:val="center"/>
          </w:tcPr>
          <w:p w:rsidR="00024AD0" w:rsidRPr="009A7761" w:rsidP="00F80C79" w14:paraId="13C0AE4B" w14:textId="77777777">
            <w:pPr>
              <w:spacing w:after="0" w:line="240" w:lineRule="auto"/>
              <w:jc w:val="center"/>
              <w:rPr>
                <w:color w:val="000000"/>
                <w:lang w:eastAsia="lv-LV"/>
              </w:rPr>
            </w:pPr>
            <w:r>
              <w:rPr>
                <w:color w:val="000000"/>
                <w:lang w:eastAsia="lv-LV"/>
              </w:rPr>
              <w:t>55 437 385</w:t>
            </w:r>
          </w:p>
        </w:tc>
        <w:tc>
          <w:tcPr>
            <w:tcW w:w="222" w:type="dxa"/>
            <w:vAlign w:val="center"/>
            <w:hideMark/>
          </w:tcPr>
          <w:p w:rsidR="00024AD0" w:rsidRPr="009A7761" w:rsidP="00F80C79" w14:paraId="61EB345B" w14:textId="77777777">
            <w:pPr>
              <w:spacing w:after="0" w:line="240" w:lineRule="auto"/>
              <w:rPr>
                <w:lang w:eastAsia="lv-LV"/>
              </w:rPr>
            </w:pPr>
          </w:p>
        </w:tc>
      </w:tr>
      <w:tr w14:paraId="561DBC6C" w14:textId="77777777" w:rsidTr="00F80C79">
        <w:tblPrEx>
          <w:tblW w:w="7021" w:type="dxa"/>
          <w:jc w:val="center"/>
          <w:tblLook w:val="04A0"/>
        </w:tblPrEx>
        <w:trPr>
          <w:trHeight w:val="300"/>
          <w:jc w:val="center"/>
        </w:trPr>
        <w:tc>
          <w:tcPr>
            <w:tcW w:w="3680" w:type="dxa"/>
            <w:tcBorders>
              <w:top w:val="single" w:sz="4" w:space="0" w:color="000000"/>
              <w:left w:val="single" w:sz="4" w:space="0" w:color="000000"/>
              <w:bottom w:val="single" w:sz="4" w:space="0" w:color="000000"/>
              <w:right w:val="nil"/>
            </w:tcBorders>
            <w:vAlign w:val="center"/>
            <w:hideMark/>
          </w:tcPr>
          <w:p w:rsidR="00024AD0" w:rsidRPr="009A7761" w:rsidP="00F80C79" w14:paraId="3A22D13B" w14:textId="77777777">
            <w:pPr>
              <w:spacing w:after="0" w:line="240" w:lineRule="auto"/>
              <w:ind w:firstLine="240" w:firstLineChars="100"/>
              <w:jc w:val="right"/>
              <w:rPr>
                <w:i/>
                <w:iCs/>
                <w:lang w:eastAsia="lv-LV"/>
              </w:rPr>
            </w:pPr>
            <w:r>
              <w:rPr>
                <w:i/>
                <w:iCs/>
                <w:lang w:eastAsia="lv-LV"/>
              </w:rPr>
              <w:t>Kārtējie izdevumi</w:t>
            </w:r>
          </w:p>
        </w:tc>
        <w:tc>
          <w:tcPr>
            <w:tcW w:w="1559" w:type="dxa"/>
            <w:tcBorders>
              <w:top w:val="nil"/>
              <w:left w:val="single" w:sz="4" w:space="0" w:color="auto"/>
              <w:bottom w:val="single" w:sz="4" w:space="0" w:color="000000"/>
              <w:right w:val="single" w:sz="4" w:space="0" w:color="auto"/>
            </w:tcBorders>
            <w:noWrap/>
            <w:vAlign w:val="center"/>
            <w:hideMark/>
          </w:tcPr>
          <w:p w:rsidR="00024AD0" w:rsidRPr="009A7761" w:rsidP="00F80C79" w14:paraId="64C18A1D" w14:textId="77777777">
            <w:pPr>
              <w:spacing w:after="0" w:line="240" w:lineRule="auto"/>
              <w:jc w:val="center"/>
              <w:rPr>
                <w:i/>
                <w:iCs/>
                <w:lang w:eastAsia="lv-LV"/>
              </w:rPr>
            </w:pPr>
            <w:r>
              <w:rPr>
                <w:i/>
                <w:iCs/>
                <w:color w:val="000000"/>
                <w:lang w:eastAsia="lv-LV"/>
              </w:rPr>
              <w:t>47 702 152</w:t>
            </w:r>
          </w:p>
        </w:tc>
        <w:tc>
          <w:tcPr>
            <w:tcW w:w="1560" w:type="dxa"/>
            <w:tcBorders>
              <w:top w:val="nil"/>
              <w:left w:val="nil"/>
              <w:bottom w:val="single" w:sz="4" w:space="0" w:color="000000"/>
              <w:right w:val="single" w:sz="4" w:space="0" w:color="auto"/>
            </w:tcBorders>
            <w:noWrap/>
            <w:vAlign w:val="center"/>
          </w:tcPr>
          <w:p w:rsidR="00024AD0" w:rsidRPr="009A7761" w:rsidP="00F80C79" w14:paraId="6FDC77E3" w14:textId="77777777">
            <w:pPr>
              <w:spacing w:after="0" w:line="240" w:lineRule="auto"/>
              <w:jc w:val="center"/>
              <w:rPr>
                <w:i/>
                <w:iCs/>
                <w:color w:val="000000"/>
                <w:lang w:eastAsia="lv-LV"/>
              </w:rPr>
            </w:pPr>
            <w:r>
              <w:rPr>
                <w:i/>
                <w:iCs/>
                <w:color w:val="000000"/>
                <w:lang w:eastAsia="lv-LV"/>
              </w:rPr>
              <w:t>49 543 575</w:t>
            </w:r>
          </w:p>
        </w:tc>
        <w:tc>
          <w:tcPr>
            <w:tcW w:w="222" w:type="dxa"/>
            <w:vAlign w:val="center"/>
            <w:hideMark/>
          </w:tcPr>
          <w:p w:rsidR="00024AD0" w:rsidRPr="009A7761" w:rsidP="00F80C79" w14:paraId="77F03B3E" w14:textId="77777777">
            <w:pPr>
              <w:spacing w:after="0" w:line="240" w:lineRule="auto"/>
              <w:rPr>
                <w:lang w:eastAsia="lv-LV"/>
              </w:rPr>
            </w:pPr>
          </w:p>
        </w:tc>
      </w:tr>
      <w:tr w14:paraId="16B3BE34" w14:textId="77777777" w:rsidTr="00F80C79">
        <w:tblPrEx>
          <w:tblW w:w="7021" w:type="dxa"/>
          <w:jc w:val="center"/>
          <w:tblLook w:val="04A0"/>
        </w:tblPrEx>
        <w:trPr>
          <w:trHeight w:val="300"/>
          <w:jc w:val="center"/>
        </w:trPr>
        <w:tc>
          <w:tcPr>
            <w:tcW w:w="3680" w:type="dxa"/>
            <w:tcBorders>
              <w:top w:val="single" w:sz="4" w:space="0" w:color="000000"/>
              <w:left w:val="single" w:sz="4" w:space="0" w:color="000000"/>
              <w:bottom w:val="single" w:sz="4" w:space="0" w:color="000000"/>
              <w:right w:val="single" w:sz="4" w:space="0" w:color="000000"/>
            </w:tcBorders>
            <w:vAlign w:val="center"/>
            <w:hideMark/>
          </w:tcPr>
          <w:p w:rsidR="00024AD0" w:rsidRPr="009A7761" w:rsidP="00F80C79" w14:paraId="4DD261A9" w14:textId="77777777">
            <w:pPr>
              <w:spacing w:after="0" w:line="240" w:lineRule="auto"/>
              <w:ind w:firstLine="240" w:firstLineChars="100"/>
              <w:jc w:val="right"/>
              <w:rPr>
                <w:i/>
                <w:iCs/>
                <w:lang w:eastAsia="lv-LV"/>
              </w:rPr>
            </w:pPr>
            <w:r>
              <w:rPr>
                <w:i/>
                <w:iCs/>
                <w:lang w:eastAsia="lv-LV"/>
              </w:rPr>
              <w:t>Procentu izdevumi</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024AD0" w:rsidRPr="009A7761" w:rsidP="00F80C79" w14:paraId="1AF975DA" w14:textId="77777777">
            <w:pPr>
              <w:spacing w:after="0" w:line="240" w:lineRule="auto"/>
              <w:jc w:val="center"/>
              <w:rPr>
                <w:i/>
                <w:iCs/>
                <w:lang w:eastAsia="lv-LV"/>
              </w:rPr>
            </w:pPr>
            <w:r>
              <w:rPr>
                <w:i/>
                <w:iCs/>
                <w:color w:val="000000"/>
                <w:lang w:eastAsia="lv-LV"/>
              </w:rPr>
              <w:t>1 124 520</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024AD0" w:rsidRPr="009A7761" w:rsidP="00F80C79" w14:paraId="6F2ADD6C" w14:textId="77777777">
            <w:pPr>
              <w:spacing w:after="0" w:line="240" w:lineRule="auto"/>
              <w:jc w:val="center"/>
              <w:rPr>
                <w:i/>
                <w:iCs/>
                <w:color w:val="000000"/>
                <w:lang w:eastAsia="lv-LV"/>
              </w:rPr>
            </w:pPr>
            <w:r>
              <w:rPr>
                <w:i/>
                <w:iCs/>
                <w:color w:val="000000"/>
                <w:lang w:eastAsia="lv-LV"/>
              </w:rPr>
              <w:t>965 889</w:t>
            </w:r>
          </w:p>
        </w:tc>
        <w:tc>
          <w:tcPr>
            <w:tcW w:w="222" w:type="dxa"/>
            <w:vAlign w:val="center"/>
            <w:hideMark/>
          </w:tcPr>
          <w:p w:rsidR="00024AD0" w:rsidRPr="009A7761" w:rsidP="00F80C79" w14:paraId="5A7D5F09" w14:textId="77777777">
            <w:pPr>
              <w:spacing w:after="0" w:line="240" w:lineRule="auto"/>
              <w:rPr>
                <w:lang w:eastAsia="lv-LV"/>
              </w:rPr>
            </w:pPr>
          </w:p>
        </w:tc>
      </w:tr>
      <w:tr w14:paraId="49A456E6" w14:textId="77777777" w:rsidTr="00F80C79">
        <w:tblPrEx>
          <w:tblW w:w="7021" w:type="dxa"/>
          <w:jc w:val="center"/>
          <w:tblLook w:val="04A0"/>
        </w:tblPrEx>
        <w:trPr>
          <w:trHeight w:val="510"/>
          <w:jc w:val="center"/>
        </w:trPr>
        <w:tc>
          <w:tcPr>
            <w:tcW w:w="3680" w:type="dxa"/>
            <w:tcBorders>
              <w:top w:val="single" w:sz="4" w:space="0" w:color="000000"/>
              <w:left w:val="single" w:sz="4" w:space="0" w:color="000000"/>
              <w:bottom w:val="single" w:sz="4" w:space="0" w:color="000000"/>
              <w:right w:val="single" w:sz="4" w:space="0" w:color="000000"/>
            </w:tcBorders>
            <w:vAlign w:val="center"/>
            <w:hideMark/>
          </w:tcPr>
          <w:p w:rsidR="00024AD0" w:rsidRPr="009A7761" w:rsidP="00F80C79" w14:paraId="089493E1" w14:textId="77777777">
            <w:pPr>
              <w:spacing w:after="0" w:line="240" w:lineRule="auto"/>
              <w:ind w:firstLine="240" w:firstLineChars="100"/>
              <w:jc w:val="right"/>
              <w:rPr>
                <w:i/>
                <w:iCs/>
                <w:lang w:eastAsia="lv-LV"/>
              </w:rPr>
            </w:pPr>
            <w:r>
              <w:rPr>
                <w:i/>
                <w:iCs/>
                <w:lang w:eastAsia="lv-LV"/>
              </w:rPr>
              <w:t>Subsīdijas, dotācijas un sociālie pabalsti</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024AD0" w:rsidRPr="009A7761" w:rsidP="00F80C79" w14:paraId="46F9E10D" w14:textId="77777777">
            <w:pPr>
              <w:spacing w:after="0" w:line="240" w:lineRule="auto"/>
              <w:jc w:val="center"/>
              <w:rPr>
                <w:i/>
                <w:iCs/>
                <w:lang w:eastAsia="lv-LV"/>
              </w:rPr>
            </w:pPr>
            <w:r>
              <w:rPr>
                <w:i/>
                <w:iCs/>
                <w:color w:val="000000"/>
                <w:lang w:eastAsia="lv-LV"/>
              </w:rPr>
              <w:t>3 655 472</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024AD0" w:rsidRPr="009A7761" w:rsidP="00F80C79" w14:paraId="7B3B800B" w14:textId="77777777">
            <w:pPr>
              <w:spacing w:after="0" w:line="240" w:lineRule="auto"/>
              <w:jc w:val="center"/>
              <w:rPr>
                <w:i/>
                <w:iCs/>
                <w:color w:val="000000"/>
                <w:lang w:eastAsia="lv-LV"/>
              </w:rPr>
            </w:pPr>
            <w:r>
              <w:rPr>
                <w:i/>
                <w:iCs/>
                <w:color w:val="000000"/>
                <w:lang w:eastAsia="lv-LV"/>
              </w:rPr>
              <w:t>3 969 552</w:t>
            </w:r>
          </w:p>
        </w:tc>
        <w:tc>
          <w:tcPr>
            <w:tcW w:w="222" w:type="dxa"/>
            <w:tcBorders>
              <w:left w:val="single" w:sz="4" w:space="0" w:color="000000"/>
            </w:tcBorders>
            <w:vAlign w:val="center"/>
            <w:hideMark/>
          </w:tcPr>
          <w:p w:rsidR="00024AD0" w:rsidRPr="009A7761" w:rsidP="00F80C79" w14:paraId="34AC1B69" w14:textId="77777777">
            <w:pPr>
              <w:spacing w:after="0" w:line="240" w:lineRule="auto"/>
              <w:rPr>
                <w:lang w:eastAsia="lv-LV"/>
              </w:rPr>
            </w:pPr>
          </w:p>
        </w:tc>
      </w:tr>
      <w:tr w14:paraId="38E55FE4" w14:textId="77777777" w:rsidTr="00F80C79">
        <w:tblPrEx>
          <w:tblW w:w="7021" w:type="dxa"/>
          <w:jc w:val="center"/>
          <w:tblLook w:val="04A0"/>
        </w:tblPrEx>
        <w:trPr>
          <w:trHeight w:val="1020"/>
          <w:jc w:val="center"/>
        </w:trPr>
        <w:tc>
          <w:tcPr>
            <w:tcW w:w="3680" w:type="dxa"/>
            <w:tcBorders>
              <w:top w:val="single" w:sz="4" w:space="0" w:color="000000"/>
              <w:left w:val="single" w:sz="4" w:space="0" w:color="000000"/>
              <w:bottom w:val="single" w:sz="4" w:space="0" w:color="000000"/>
              <w:right w:val="single" w:sz="4" w:space="0" w:color="000000"/>
            </w:tcBorders>
            <w:vAlign w:val="center"/>
            <w:hideMark/>
          </w:tcPr>
          <w:p w:rsidR="00024AD0" w:rsidRPr="009A7761" w:rsidP="00F80C79" w14:paraId="40A68188" w14:textId="77777777">
            <w:pPr>
              <w:spacing w:after="0" w:line="240" w:lineRule="auto"/>
              <w:ind w:firstLine="240" w:firstLineChars="100"/>
              <w:jc w:val="right"/>
              <w:rPr>
                <w:i/>
                <w:iCs/>
                <w:lang w:eastAsia="lv-LV"/>
              </w:rPr>
            </w:pPr>
            <w:r>
              <w:rPr>
                <w:i/>
                <w:iCs/>
                <w:lang w:eastAsia="lv-LV"/>
              </w:rPr>
              <w:t>Transferti viena budžeta veida ietvaros un uzturēšanas izdevumu transferti starp budžeta veidiem</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024AD0" w:rsidRPr="009A7761" w:rsidP="00F80C79" w14:paraId="4EC41F4A" w14:textId="77777777">
            <w:pPr>
              <w:spacing w:after="0" w:line="240" w:lineRule="auto"/>
              <w:jc w:val="center"/>
              <w:rPr>
                <w:i/>
                <w:iCs/>
                <w:lang w:eastAsia="lv-LV"/>
              </w:rPr>
            </w:pPr>
            <w:r>
              <w:rPr>
                <w:i/>
                <w:iCs/>
                <w:color w:val="000000"/>
                <w:lang w:eastAsia="lv-LV"/>
              </w:rPr>
              <w:t>855 076</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024AD0" w:rsidRPr="009A7761" w:rsidP="00F80C79" w14:paraId="54F12E67" w14:textId="77777777">
            <w:pPr>
              <w:spacing w:after="0" w:line="240" w:lineRule="auto"/>
              <w:jc w:val="center"/>
              <w:rPr>
                <w:i/>
                <w:iCs/>
                <w:color w:val="000000"/>
                <w:lang w:eastAsia="lv-LV"/>
              </w:rPr>
            </w:pPr>
            <w:r>
              <w:rPr>
                <w:i/>
                <w:iCs/>
                <w:color w:val="000000"/>
                <w:lang w:eastAsia="lv-LV"/>
              </w:rPr>
              <w:t>958 369</w:t>
            </w:r>
          </w:p>
        </w:tc>
        <w:tc>
          <w:tcPr>
            <w:tcW w:w="222" w:type="dxa"/>
            <w:tcBorders>
              <w:left w:val="single" w:sz="4" w:space="0" w:color="000000"/>
            </w:tcBorders>
            <w:vAlign w:val="center"/>
            <w:hideMark/>
          </w:tcPr>
          <w:p w:rsidR="00024AD0" w:rsidRPr="009A7761" w:rsidP="00F80C79" w14:paraId="438DFB10" w14:textId="77777777">
            <w:pPr>
              <w:spacing w:after="0" w:line="240" w:lineRule="auto"/>
              <w:rPr>
                <w:lang w:eastAsia="lv-LV"/>
              </w:rPr>
            </w:pPr>
          </w:p>
        </w:tc>
      </w:tr>
      <w:tr w14:paraId="6CD68D0A" w14:textId="77777777" w:rsidTr="00F80C79">
        <w:tblPrEx>
          <w:tblW w:w="7021" w:type="dxa"/>
          <w:jc w:val="center"/>
          <w:tblLook w:val="04A0"/>
        </w:tblPrEx>
        <w:trPr>
          <w:trHeight w:val="300"/>
          <w:jc w:val="center"/>
        </w:trPr>
        <w:tc>
          <w:tcPr>
            <w:tcW w:w="3680" w:type="dxa"/>
            <w:tcBorders>
              <w:top w:val="single" w:sz="4" w:space="0" w:color="000000"/>
              <w:left w:val="single" w:sz="4" w:space="0" w:color="000000"/>
              <w:bottom w:val="single" w:sz="4" w:space="0" w:color="000000"/>
              <w:right w:val="single" w:sz="4" w:space="0" w:color="000000"/>
            </w:tcBorders>
            <w:vAlign w:val="center"/>
            <w:hideMark/>
          </w:tcPr>
          <w:p w:rsidR="00024AD0" w:rsidRPr="009A7761" w:rsidP="00F80C79" w14:paraId="529C87D1" w14:textId="77777777">
            <w:pPr>
              <w:spacing w:after="0" w:line="240" w:lineRule="auto"/>
              <w:ind w:firstLine="240" w:firstLineChars="100"/>
              <w:rPr>
                <w:lang w:eastAsia="lv-LV"/>
              </w:rPr>
            </w:pPr>
            <w:r>
              <w:rPr>
                <w:lang w:eastAsia="lv-LV"/>
              </w:rPr>
              <w:t>Kapitālie izdevumi</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024AD0" w:rsidRPr="009A7761" w:rsidP="00F80C79" w14:paraId="5A133C88" w14:textId="77777777">
            <w:pPr>
              <w:spacing w:after="0" w:line="240" w:lineRule="auto"/>
              <w:jc w:val="center"/>
              <w:rPr>
                <w:lang w:eastAsia="lv-LV"/>
              </w:rPr>
            </w:pPr>
            <w:r>
              <w:rPr>
                <w:color w:val="000000"/>
                <w:lang w:eastAsia="lv-LV"/>
              </w:rPr>
              <w:t>5 267 422</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024AD0" w:rsidRPr="009A7761" w:rsidP="00F80C79" w14:paraId="2F0624EB" w14:textId="77777777">
            <w:pPr>
              <w:spacing w:after="0" w:line="240" w:lineRule="auto"/>
              <w:jc w:val="center"/>
              <w:rPr>
                <w:color w:val="000000"/>
                <w:lang w:eastAsia="lv-LV"/>
              </w:rPr>
            </w:pPr>
            <w:r>
              <w:rPr>
                <w:color w:val="000000"/>
                <w:lang w:eastAsia="lv-LV"/>
              </w:rPr>
              <w:t>11 287 448</w:t>
            </w:r>
          </w:p>
        </w:tc>
        <w:tc>
          <w:tcPr>
            <w:tcW w:w="222" w:type="dxa"/>
            <w:tcBorders>
              <w:left w:val="single" w:sz="4" w:space="0" w:color="000000"/>
            </w:tcBorders>
            <w:vAlign w:val="center"/>
            <w:hideMark/>
          </w:tcPr>
          <w:p w:rsidR="00024AD0" w:rsidRPr="009A7761" w:rsidP="00F80C79" w14:paraId="19C31A59" w14:textId="77777777">
            <w:pPr>
              <w:spacing w:after="0" w:line="240" w:lineRule="auto"/>
              <w:rPr>
                <w:lang w:eastAsia="lv-LV"/>
              </w:rPr>
            </w:pPr>
          </w:p>
        </w:tc>
      </w:tr>
      <w:tr w14:paraId="52B11E03" w14:textId="77777777" w:rsidTr="00F80C79">
        <w:tblPrEx>
          <w:tblW w:w="7021" w:type="dxa"/>
          <w:jc w:val="center"/>
          <w:tblLook w:val="04A0"/>
        </w:tblPrEx>
        <w:trPr>
          <w:trHeight w:val="300"/>
          <w:jc w:val="center"/>
        </w:trPr>
        <w:tc>
          <w:tcPr>
            <w:tcW w:w="3680" w:type="dxa"/>
            <w:tcBorders>
              <w:top w:val="single" w:sz="4" w:space="0" w:color="000000"/>
              <w:left w:val="single" w:sz="4" w:space="0" w:color="000000"/>
              <w:bottom w:val="single" w:sz="4" w:space="0" w:color="000000"/>
              <w:right w:val="single" w:sz="4" w:space="0" w:color="000000"/>
            </w:tcBorders>
            <w:vAlign w:val="center"/>
            <w:hideMark/>
          </w:tcPr>
          <w:p w:rsidR="00024AD0" w:rsidRPr="009A7761" w:rsidP="00F80C79" w14:paraId="7DEDA81F" w14:textId="77777777">
            <w:pPr>
              <w:spacing w:after="0" w:line="240" w:lineRule="auto"/>
              <w:rPr>
                <w:b/>
                <w:bCs/>
                <w:color w:val="000000"/>
                <w:lang w:eastAsia="lv-LV"/>
              </w:rPr>
            </w:pPr>
            <w:r>
              <w:rPr>
                <w:b/>
                <w:bCs/>
                <w:color w:val="000000"/>
                <w:lang w:eastAsia="lv-LV"/>
              </w:rPr>
              <w:t>FINANSĒŠANA</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024AD0" w:rsidRPr="009A7761" w:rsidP="00F80C79" w14:paraId="2157B842" w14:textId="77777777">
            <w:pPr>
              <w:spacing w:after="0" w:line="240" w:lineRule="auto"/>
              <w:jc w:val="center"/>
              <w:rPr>
                <w:b/>
                <w:bCs/>
                <w:color w:val="000000"/>
                <w:lang w:eastAsia="lv-LV"/>
              </w:rPr>
            </w:pPr>
            <w:r>
              <w:rPr>
                <w:b/>
                <w:bCs/>
                <w:color w:val="000000"/>
                <w:lang w:eastAsia="lv-LV"/>
              </w:rPr>
              <w:t>801 704</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024AD0" w:rsidRPr="009A7761" w:rsidP="00F80C79" w14:paraId="3D446D5B" w14:textId="77777777">
            <w:pPr>
              <w:spacing w:after="0" w:line="240" w:lineRule="auto"/>
              <w:jc w:val="center"/>
              <w:rPr>
                <w:b/>
                <w:bCs/>
                <w:color w:val="000000"/>
                <w:lang w:eastAsia="lv-LV"/>
              </w:rPr>
            </w:pPr>
            <w:r>
              <w:rPr>
                <w:b/>
                <w:bCs/>
                <w:color w:val="000000"/>
                <w:lang w:eastAsia="lv-LV"/>
              </w:rPr>
              <w:t xml:space="preserve"> 2 393 516</w:t>
            </w:r>
          </w:p>
        </w:tc>
        <w:tc>
          <w:tcPr>
            <w:tcW w:w="222" w:type="dxa"/>
            <w:tcBorders>
              <w:left w:val="single" w:sz="4" w:space="0" w:color="000000"/>
            </w:tcBorders>
            <w:vAlign w:val="center"/>
            <w:hideMark/>
          </w:tcPr>
          <w:p w:rsidR="00024AD0" w:rsidRPr="009A7761" w:rsidP="00F80C79" w14:paraId="05240A70" w14:textId="77777777">
            <w:pPr>
              <w:spacing w:after="0" w:line="240" w:lineRule="auto"/>
              <w:rPr>
                <w:lang w:eastAsia="lv-LV"/>
              </w:rPr>
            </w:pPr>
          </w:p>
        </w:tc>
      </w:tr>
      <w:tr w14:paraId="05847DD7" w14:textId="77777777" w:rsidTr="00F80C79">
        <w:tblPrEx>
          <w:tblW w:w="7021" w:type="dxa"/>
          <w:jc w:val="center"/>
          <w:tblLook w:val="04A0"/>
        </w:tblPrEx>
        <w:trPr>
          <w:trHeight w:val="510"/>
          <w:jc w:val="center"/>
        </w:trPr>
        <w:tc>
          <w:tcPr>
            <w:tcW w:w="3680" w:type="dxa"/>
            <w:tcBorders>
              <w:top w:val="single" w:sz="4" w:space="0" w:color="000000"/>
              <w:left w:val="single" w:sz="4" w:space="0" w:color="000000"/>
              <w:bottom w:val="single" w:sz="4" w:space="0" w:color="000000"/>
              <w:right w:val="single" w:sz="4" w:space="0" w:color="000000"/>
            </w:tcBorders>
            <w:vAlign w:val="center"/>
            <w:hideMark/>
          </w:tcPr>
          <w:p w:rsidR="00024AD0" w:rsidRPr="009A7761" w:rsidP="00F80C79" w14:paraId="6FD94330" w14:textId="77777777">
            <w:pPr>
              <w:spacing w:after="0" w:line="240" w:lineRule="auto"/>
              <w:rPr>
                <w:color w:val="000000"/>
                <w:lang w:eastAsia="lv-LV"/>
              </w:rPr>
            </w:pPr>
            <w:r>
              <w:rPr>
                <w:color w:val="000000"/>
                <w:lang w:eastAsia="lv-LV"/>
              </w:rPr>
              <w:t>Naudas līdzekļi un noguldījumi (bilances aktīvā)</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024AD0" w:rsidRPr="009A7761" w:rsidP="00F80C79" w14:paraId="7CF36A11" w14:textId="77777777">
            <w:pPr>
              <w:spacing w:after="0" w:line="240" w:lineRule="auto"/>
              <w:jc w:val="center"/>
              <w:rPr>
                <w:color w:val="000000"/>
                <w:lang w:eastAsia="lv-LV"/>
              </w:rPr>
            </w:pPr>
            <w:r>
              <w:rPr>
                <w:color w:val="000000"/>
                <w:lang w:eastAsia="lv-LV"/>
              </w:rPr>
              <w:t>675 210</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024AD0" w:rsidRPr="009A7761" w:rsidP="00F80C79" w14:paraId="21390218" w14:textId="77777777">
            <w:pPr>
              <w:spacing w:after="0" w:line="240" w:lineRule="auto"/>
              <w:jc w:val="center"/>
              <w:rPr>
                <w:color w:val="000000"/>
                <w:lang w:eastAsia="lv-LV"/>
              </w:rPr>
            </w:pPr>
            <w:r>
              <w:rPr>
                <w:color w:val="000000"/>
                <w:lang w:eastAsia="lv-LV"/>
              </w:rPr>
              <w:t>-79 595</w:t>
            </w:r>
          </w:p>
        </w:tc>
        <w:tc>
          <w:tcPr>
            <w:tcW w:w="222" w:type="dxa"/>
            <w:tcBorders>
              <w:left w:val="single" w:sz="4" w:space="0" w:color="000000"/>
            </w:tcBorders>
            <w:vAlign w:val="center"/>
            <w:hideMark/>
          </w:tcPr>
          <w:p w:rsidR="00024AD0" w:rsidRPr="009A7761" w:rsidP="00F80C79" w14:paraId="23120632" w14:textId="77777777">
            <w:pPr>
              <w:spacing w:after="0" w:line="240" w:lineRule="auto"/>
              <w:rPr>
                <w:lang w:eastAsia="lv-LV"/>
              </w:rPr>
            </w:pPr>
          </w:p>
        </w:tc>
      </w:tr>
      <w:tr w14:paraId="4D984321" w14:textId="77777777" w:rsidTr="00F80C79">
        <w:tblPrEx>
          <w:tblW w:w="7021" w:type="dxa"/>
          <w:jc w:val="center"/>
          <w:tblLook w:val="04A0"/>
        </w:tblPrEx>
        <w:trPr>
          <w:trHeight w:val="300"/>
          <w:jc w:val="center"/>
        </w:trPr>
        <w:tc>
          <w:tcPr>
            <w:tcW w:w="3680" w:type="dxa"/>
            <w:tcBorders>
              <w:top w:val="single" w:sz="4" w:space="0" w:color="000000"/>
              <w:left w:val="single" w:sz="4" w:space="0" w:color="000000"/>
              <w:bottom w:val="single" w:sz="4" w:space="0" w:color="000000"/>
              <w:right w:val="single" w:sz="4" w:space="0" w:color="000000"/>
            </w:tcBorders>
            <w:vAlign w:val="center"/>
            <w:hideMark/>
          </w:tcPr>
          <w:p w:rsidR="00024AD0" w:rsidRPr="009A7761" w:rsidP="00F80C79" w14:paraId="46DC5422" w14:textId="77777777">
            <w:pPr>
              <w:spacing w:after="0" w:line="240" w:lineRule="auto"/>
              <w:ind w:firstLine="240" w:firstLineChars="100"/>
              <w:rPr>
                <w:color w:val="000000"/>
                <w:lang w:eastAsia="lv-LV"/>
              </w:rPr>
            </w:pPr>
            <w:r>
              <w:rPr>
                <w:color w:val="000000"/>
                <w:lang w:eastAsia="lv-LV"/>
              </w:rPr>
              <w:t>Saņemtie aizņēmumi</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024AD0" w:rsidRPr="009A7761" w:rsidP="00F80C79" w14:paraId="0D946A95" w14:textId="77777777">
            <w:pPr>
              <w:spacing w:after="0" w:line="240" w:lineRule="auto"/>
              <w:jc w:val="center"/>
              <w:rPr>
                <w:color w:val="000000"/>
                <w:lang w:eastAsia="lv-LV"/>
              </w:rPr>
            </w:pPr>
            <w:r>
              <w:rPr>
                <w:color w:val="000000"/>
                <w:lang w:eastAsia="lv-LV"/>
              </w:rPr>
              <w:t>2 724 960</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024AD0" w:rsidRPr="009A7761" w:rsidP="00F80C79" w14:paraId="11C97B85" w14:textId="77777777">
            <w:pPr>
              <w:spacing w:after="0" w:line="240" w:lineRule="auto"/>
              <w:jc w:val="center"/>
              <w:rPr>
                <w:color w:val="000000"/>
                <w:lang w:eastAsia="lv-LV"/>
              </w:rPr>
            </w:pPr>
            <w:r>
              <w:rPr>
                <w:color w:val="000000"/>
                <w:lang w:eastAsia="lv-LV"/>
              </w:rPr>
              <w:t>4 958 136</w:t>
            </w:r>
          </w:p>
        </w:tc>
        <w:tc>
          <w:tcPr>
            <w:tcW w:w="222" w:type="dxa"/>
            <w:tcBorders>
              <w:left w:val="single" w:sz="4" w:space="0" w:color="000000"/>
            </w:tcBorders>
            <w:vAlign w:val="center"/>
            <w:hideMark/>
          </w:tcPr>
          <w:p w:rsidR="00024AD0" w:rsidRPr="009A7761" w:rsidP="00F80C79" w14:paraId="7994694A" w14:textId="77777777">
            <w:pPr>
              <w:spacing w:after="0" w:line="240" w:lineRule="auto"/>
              <w:rPr>
                <w:lang w:eastAsia="lv-LV"/>
              </w:rPr>
            </w:pPr>
          </w:p>
        </w:tc>
      </w:tr>
      <w:tr w14:paraId="088D261A" w14:textId="77777777" w:rsidTr="00F80C79">
        <w:tblPrEx>
          <w:tblW w:w="7021" w:type="dxa"/>
          <w:jc w:val="center"/>
          <w:tblLook w:val="04A0"/>
        </w:tblPrEx>
        <w:trPr>
          <w:trHeight w:val="300"/>
          <w:jc w:val="center"/>
        </w:trPr>
        <w:tc>
          <w:tcPr>
            <w:tcW w:w="3680" w:type="dxa"/>
            <w:tcBorders>
              <w:top w:val="single" w:sz="4" w:space="0" w:color="000000"/>
              <w:left w:val="single" w:sz="4" w:space="0" w:color="000000"/>
              <w:bottom w:val="single" w:sz="4" w:space="0" w:color="000000"/>
              <w:right w:val="single" w:sz="4" w:space="0" w:color="000000"/>
            </w:tcBorders>
            <w:vAlign w:val="center"/>
            <w:hideMark/>
          </w:tcPr>
          <w:p w:rsidR="00024AD0" w:rsidRPr="009A7761" w:rsidP="00F80C79" w14:paraId="65541D95" w14:textId="77777777">
            <w:pPr>
              <w:spacing w:after="0" w:line="240" w:lineRule="auto"/>
              <w:ind w:firstLine="240" w:firstLineChars="100"/>
              <w:rPr>
                <w:color w:val="000000"/>
                <w:lang w:eastAsia="lv-LV"/>
              </w:rPr>
            </w:pPr>
            <w:r>
              <w:rPr>
                <w:color w:val="000000"/>
                <w:lang w:eastAsia="lv-LV"/>
              </w:rPr>
              <w:t>Saņemto aizņēmumu atmaksa</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024AD0" w:rsidRPr="009A7761" w:rsidP="00F80C79" w14:paraId="66FFB9BD" w14:textId="77777777">
            <w:pPr>
              <w:spacing w:after="0" w:line="240" w:lineRule="auto"/>
              <w:jc w:val="center"/>
              <w:rPr>
                <w:color w:val="000000"/>
                <w:lang w:eastAsia="lv-LV"/>
              </w:rPr>
            </w:pPr>
            <w:r>
              <w:rPr>
                <w:color w:val="000000"/>
                <w:lang w:eastAsia="lv-LV"/>
              </w:rPr>
              <w:t>-2 393 466</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024AD0" w:rsidRPr="009A7761" w:rsidP="00F80C79" w14:paraId="7B8574FA" w14:textId="77777777">
            <w:pPr>
              <w:spacing w:after="0" w:line="240" w:lineRule="auto"/>
              <w:jc w:val="center"/>
              <w:rPr>
                <w:color w:val="000000"/>
                <w:lang w:eastAsia="lv-LV"/>
              </w:rPr>
            </w:pPr>
            <w:r>
              <w:rPr>
                <w:color w:val="000000"/>
                <w:lang w:eastAsia="lv-LV"/>
              </w:rPr>
              <w:t>-2 485 025</w:t>
            </w:r>
          </w:p>
        </w:tc>
        <w:tc>
          <w:tcPr>
            <w:tcW w:w="222" w:type="dxa"/>
            <w:tcBorders>
              <w:left w:val="single" w:sz="4" w:space="0" w:color="000000"/>
            </w:tcBorders>
            <w:vAlign w:val="center"/>
            <w:hideMark/>
          </w:tcPr>
          <w:p w:rsidR="00024AD0" w:rsidRPr="009A7761" w:rsidP="00F80C79" w14:paraId="49E59B8C" w14:textId="77777777">
            <w:pPr>
              <w:spacing w:after="0" w:line="240" w:lineRule="auto"/>
              <w:rPr>
                <w:lang w:eastAsia="lv-LV"/>
              </w:rPr>
            </w:pPr>
          </w:p>
        </w:tc>
      </w:tr>
      <w:tr w14:paraId="31AFD2CD" w14:textId="77777777" w:rsidTr="00F80C79">
        <w:tblPrEx>
          <w:tblW w:w="7021" w:type="dxa"/>
          <w:jc w:val="center"/>
          <w:tblLook w:val="04A0"/>
        </w:tblPrEx>
        <w:trPr>
          <w:trHeight w:val="300"/>
          <w:jc w:val="center"/>
        </w:trPr>
        <w:tc>
          <w:tcPr>
            <w:tcW w:w="3680" w:type="dxa"/>
            <w:tcBorders>
              <w:top w:val="single" w:sz="4" w:space="0" w:color="000000"/>
              <w:left w:val="single" w:sz="4" w:space="0" w:color="000000"/>
              <w:bottom w:val="single" w:sz="4" w:space="0" w:color="000000"/>
              <w:right w:val="single" w:sz="4" w:space="0" w:color="000000"/>
            </w:tcBorders>
            <w:vAlign w:val="center"/>
          </w:tcPr>
          <w:p w:rsidR="00024AD0" w:rsidRPr="009A7761" w:rsidP="00F80C79" w14:paraId="29FB5790" w14:textId="77777777">
            <w:pPr>
              <w:spacing w:after="0" w:line="240" w:lineRule="auto"/>
              <w:ind w:firstLine="240" w:firstLineChars="100"/>
              <w:rPr>
                <w:color w:val="000000"/>
                <w:lang w:eastAsia="lv-LV"/>
              </w:rPr>
            </w:pPr>
            <w:r>
              <w:rPr>
                <w:color w:val="000000"/>
                <w:lang w:eastAsia="lv-LV"/>
              </w:rPr>
              <w:t>Akcijas un cita līdzdalība komersantu pašu kapitālā</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024AD0" w:rsidRPr="009A7761" w:rsidP="00F80C79" w14:paraId="2A5AF7EB" w14:textId="77777777">
            <w:pPr>
              <w:spacing w:after="0" w:line="240" w:lineRule="auto"/>
              <w:jc w:val="center"/>
              <w:rPr>
                <w:color w:val="000000"/>
                <w:lang w:eastAsia="lv-LV"/>
              </w:rPr>
            </w:pPr>
            <w:r>
              <w:rPr>
                <w:color w:val="000000"/>
                <w:lang w:eastAsia="lv-LV"/>
              </w:rPr>
              <w:t>-205 000</w:t>
            </w: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024AD0" w:rsidRPr="009A7761" w:rsidP="00F80C79" w14:paraId="7EE5CC95" w14:textId="77777777">
            <w:pPr>
              <w:spacing w:after="0" w:line="240" w:lineRule="auto"/>
              <w:jc w:val="center"/>
              <w:rPr>
                <w:color w:val="000000"/>
                <w:lang w:eastAsia="lv-LV"/>
              </w:rPr>
            </w:pPr>
          </w:p>
        </w:tc>
        <w:tc>
          <w:tcPr>
            <w:tcW w:w="222" w:type="dxa"/>
            <w:tcBorders>
              <w:left w:val="single" w:sz="4" w:space="0" w:color="000000"/>
            </w:tcBorders>
            <w:vAlign w:val="center"/>
          </w:tcPr>
          <w:p w:rsidR="00024AD0" w:rsidRPr="009A7761" w:rsidP="00F80C79" w14:paraId="50E664A4" w14:textId="77777777">
            <w:pPr>
              <w:spacing w:after="0" w:line="240" w:lineRule="auto"/>
              <w:rPr>
                <w:lang w:eastAsia="lv-LV"/>
              </w:rPr>
            </w:pPr>
          </w:p>
        </w:tc>
      </w:tr>
    </w:tbl>
    <w:p w:rsidR="00024AD0" w:rsidRPr="009A7761" w:rsidP="00024AD0" w14:paraId="4136D98A" w14:textId="77777777">
      <w:pPr>
        <w:spacing w:after="0" w:line="240" w:lineRule="auto"/>
        <w:rPr>
          <w:rFonts w:eastAsia="Calibri"/>
          <w:b/>
          <w:bCs/>
          <w:shd w:val="clear" w:color="auto" w:fill="FFFFFF"/>
        </w:rPr>
      </w:pPr>
    </w:p>
    <w:p w:rsidR="00024AD0" w:rsidRPr="009A7761" w:rsidP="00024AD0" w14:paraId="70445F84" w14:textId="77777777">
      <w:pPr>
        <w:spacing w:after="0" w:line="240" w:lineRule="auto"/>
        <w:ind w:firstLine="567"/>
        <w:jc w:val="both"/>
        <w:rPr>
          <w:rFonts w:eastAsia="Calibri"/>
        </w:rPr>
      </w:pPr>
      <w:r>
        <w:rPr>
          <w:rFonts w:eastAsia="Calibri"/>
        </w:rPr>
        <w:t xml:space="preserve">Aizkraukles novada pašvaldības 2025. gada kopējie budžeta ieņēmumi ir 64 331 317 EUR, kas ir par 11 % lielāki nekā 2024. gadā. </w:t>
      </w:r>
    </w:p>
    <w:p w:rsidR="00024AD0" w:rsidRPr="009A7761" w:rsidP="00024AD0" w14:paraId="0A1149BC" w14:textId="77777777">
      <w:pPr>
        <w:spacing w:after="0" w:line="240" w:lineRule="auto"/>
        <w:ind w:firstLine="567"/>
        <w:jc w:val="both"/>
        <w:rPr>
          <w:rFonts w:eastAsia="Calibri"/>
        </w:rPr>
      </w:pPr>
      <w:r>
        <w:rPr>
          <w:rFonts w:eastAsia="Calibri"/>
        </w:rPr>
        <w:t xml:space="preserve">Nodokļu ieņēmumi pārskata gadā palielinājušies par 233 226 euro, kas ir Iedzīvotāju ienākuma nodokļa ieņēmumu palielinājums. </w:t>
      </w:r>
    </w:p>
    <w:p w:rsidR="00024AD0" w:rsidRPr="009A7761" w:rsidP="00024AD0" w14:paraId="544671A9" w14:textId="77777777">
      <w:pPr>
        <w:spacing w:after="0" w:line="240" w:lineRule="auto"/>
        <w:ind w:firstLine="567"/>
        <w:jc w:val="both"/>
        <w:rPr>
          <w:rFonts w:eastAsia="Calibri"/>
        </w:rPr>
      </w:pPr>
      <w:r>
        <w:rPr>
          <w:rFonts w:eastAsia="Calibri"/>
        </w:rPr>
        <w:t>Nenodokļu ieņēmumi 2025. gadā, salīdzinot ar 2024. gadu, ir samazinājušies par 395 733 euro, kas saistīts ar ieņēmumu palielinājumu no zemes, meža īpašumu pārdošanas. 2025. gadā plānoti būtiski mazāki nenodokļu ieņēmumi – ieņēmumi no īpašumu pārdošanas plānoti mazākā apjomā, kas gada griezumā varētu pieaugt.</w:t>
      </w:r>
    </w:p>
    <w:p w:rsidR="00024AD0" w:rsidRPr="009A7761" w:rsidP="00024AD0" w14:paraId="2D833B5C" w14:textId="77777777">
      <w:pPr>
        <w:spacing w:after="0" w:line="240" w:lineRule="auto"/>
        <w:ind w:firstLine="567"/>
        <w:jc w:val="both"/>
        <w:rPr>
          <w:rFonts w:eastAsia="Calibri"/>
        </w:rPr>
      </w:pPr>
      <w:r>
        <w:rPr>
          <w:rFonts w:eastAsia="Calibri"/>
        </w:rPr>
        <w:t>Transfertu ieņēmumi 2025. gadā ir pieauguši par 6,3 milj. EUR. Palielinājušies saņemtie transferti Eiropas Savienības politiku instrumentu un pārējās ārvalstu finanšu palīdzības līdzfinansētajiem projektiem( Energoefektivitātes un pieejamības nodrošināšanas pasākumi Aizkraukles novada pašvaldības ēkā Lāčplēša 1 A un 1).</w:t>
      </w:r>
    </w:p>
    <w:p w:rsidR="00024AD0" w:rsidRPr="009A7761" w:rsidP="00024AD0" w14:paraId="1E88FF88" w14:textId="77777777">
      <w:pPr>
        <w:spacing w:after="0" w:line="240" w:lineRule="auto"/>
        <w:ind w:firstLine="567"/>
        <w:jc w:val="both"/>
        <w:rPr>
          <w:rFonts w:eastAsia="Calibri"/>
          <w:bCs/>
        </w:rPr>
      </w:pPr>
      <w:r>
        <w:rPr>
          <w:rFonts w:eastAsia="Calibri"/>
        </w:rPr>
        <w:t xml:space="preserve">Aizkraukles novada pašvaldības 2025. gada kopējie budžeta izdevumi ir 66 724 833 EUR, kas, salīdzinot ar 2024. gadu, ir par 13 % lielāki. Uzturēšanas izdevumi palielinājušies par 3 %, kapitālie izdevumi par 39 % palielinājušies. Kapitālo izdevumu palielinājums saistīts ar projektu realizāciju. </w:t>
      </w:r>
    </w:p>
    <w:p w:rsidR="00024AD0" w:rsidRPr="009A7761" w:rsidP="00024AD0" w14:paraId="08BFC659" w14:textId="77777777">
      <w:pPr>
        <w:spacing w:after="0" w:line="240" w:lineRule="auto"/>
        <w:ind w:firstLine="567"/>
        <w:jc w:val="both"/>
        <w:rPr>
          <w:rFonts w:eastAsia="Calibri"/>
        </w:rPr>
      </w:pPr>
      <w:r>
        <w:rPr>
          <w:rFonts w:eastAsia="Calibri"/>
        </w:rPr>
        <w:t>Salīdzinot izdevumu īpatsvaru pa funkcijām no kopējiem izdevumiem, 2025. gadā visvairāk – 42 % esam tērējuši izglītības funkcijai, otri lielākie izdevumi – 17% teritoriju un mājokļu apsaimniekošanai. Funkcijai “Ekonomiskā darbība” – 10 %. “Sociālā aizsardzība” – 15 %,  “Vispārējie valdības dienesti” – 8 % un “Atpūta, kultūra un reliģija” esam tērējuši 8 % no kopējiem 2025. gada izdevumiem.</w:t>
      </w:r>
    </w:p>
    <w:p w:rsidR="00024AD0" w:rsidRPr="009A7761" w:rsidP="00024AD0" w14:paraId="4028F1D0" w14:textId="77777777">
      <w:pPr>
        <w:spacing w:after="0" w:line="256" w:lineRule="auto"/>
        <w:jc w:val="center"/>
        <w:rPr>
          <w:rFonts w:eastAsia="Calibri"/>
          <w:noProof/>
        </w:rPr>
      </w:pPr>
      <w:r>
        <w:rPr>
          <w:rFonts w:eastAsia="Calibri"/>
          <w:noProof/>
        </w:rPr>
        <w:drawing>
          <wp:inline distT="0" distB="0" distL="0" distR="0">
            <wp:extent cx="5591175" cy="3962400"/>
            <wp:effectExtent l="0" t="0" r="9525" b="0"/>
            <wp:docPr id="98156011" name="Diagramma 1">
              <a:extLst xmlns:a="http://schemas.openxmlformats.org/drawingml/2006/main">
                <a:ext xmlns:a="http://schemas.openxmlformats.org/drawingml/2006/main" uri="{FF2B5EF4-FFF2-40B4-BE49-F238E27FC236}">
                  <a16:creationId xmlns:a16="http://schemas.microsoft.com/office/drawing/2014/main" id="{BE563701-8D78-12C4-1BC7-7F94A9ECE9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24AD0" w:rsidRPr="009A7761" w:rsidP="00024AD0" w14:paraId="7DD19C37" w14:textId="77777777">
      <w:pPr>
        <w:spacing w:after="0" w:line="276" w:lineRule="auto"/>
        <w:ind w:firstLine="567"/>
        <w:jc w:val="both"/>
        <w:rPr>
          <w:rFonts w:eastAsia="Calibri"/>
        </w:rPr>
      </w:pPr>
    </w:p>
    <w:p w:rsidR="00024AD0" w:rsidRPr="009A7761" w:rsidP="00024AD0" w14:paraId="6D62DA25" w14:textId="5CD9E592">
      <w:pPr>
        <w:spacing w:after="0" w:line="240" w:lineRule="auto"/>
        <w:ind w:firstLine="567"/>
        <w:jc w:val="both"/>
        <w:rPr>
          <w:rFonts w:eastAsia="Calibri"/>
        </w:rPr>
      </w:pPr>
      <w:r>
        <w:rPr>
          <w:rFonts w:eastAsia="Calibri"/>
        </w:rPr>
        <w:t>Funkcijai “Vispārējie valdības dienesti”, kas ietver Centrālās pārvaldes, pagastu un apvienību pārvaldes, grāmatvedības, pašvaldības komisiju darbību, atlīdzību deputātiem, salīdzinot ar 2024. gadu, izdevumi 2025.gadā ir palielinājušies vien par 62 tūkstošiem euro.</w:t>
      </w:r>
    </w:p>
    <w:p w:rsidR="00024AD0" w:rsidRPr="009A7761" w:rsidP="00024AD0" w14:paraId="0457BA80" w14:textId="77777777">
      <w:pPr>
        <w:spacing w:after="0" w:line="240" w:lineRule="auto"/>
        <w:ind w:firstLine="567"/>
        <w:jc w:val="both"/>
        <w:rPr>
          <w:rFonts w:eastAsia="Calibri"/>
        </w:rPr>
      </w:pPr>
      <w:r>
        <w:rPr>
          <w:rFonts w:eastAsia="Calibri"/>
        </w:rPr>
        <w:t>2025. gadā pašvaldības izdevumu palielinājums funkcijā “Teritorijas un mājokļu apsaimniekošana” saistīts ar realizētajiem projektiem Lāčplēša ielā 1 un 1A  Aizkrauklē.</w:t>
      </w:r>
    </w:p>
    <w:p w:rsidR="00024AD0" w:rsidRPr="009A7761" w:rsidP="00024AD0" w14:paraId="349A7A1F" w14:textId="77777777">
      <w:pPr>
        <w:spacing w:after="0" w:line="240" w:lineRule="auto"/>
        <w:ind w:firstLine="567"/>
        <w:jc w:val="both"/>
        <w:rPr>
          <w:rFonts w:eastAsia="Calibri"/>
          <w:bCs/>
        </w:rPr>
      </w:pPr>
      <w:r>
        <w:rPr>
          <w:rFonts w:eastAsia="Calibri"/>
        </w:rPr>
        <w:t xml:space="preserve">Funkcijai “Atpūta, kultūra un reliģija”, kas ietver </w:t>
      </w:r>
      <w:r>
        <w:rPr>
          <w:rFonts w:eastAsia="Calibri"/>
          <w:bCs/>
        </w:rPr>
        <w:t>kultūras namu, bibliotēku un muzeju uzturēšanu un pasākumus, izdevumi 2025. gadā bija par 7 % lielāki nekā 2024. gadā, kas skaidrojams ar Jaunjelgavas kultūras centra pārbūves darbiem.</w:t>
      </w:r>
    </w:p>
    <w:p w:rsidR="00024AD0" w:rsidRPr="009A7761" w:rsidP="00024AD0" w14:paraId="254BC4E4" w14:textId="77777777">
      <w:pPr>
        <w:spacing w:after="0" w:line="240" w:lineRule="auto"/>
        <w:ind w:firstLine="567"/>
        <w:jc w:val="both"/>
        <w:rPr>
          <w:rFonts w:eastAsia="Calibri"/>
        </w:rPr>
      </w:pPr>
      <w:r>
        <w:rPr>
          <w:rFonts w:eastAsia="Calibri"/>
        </w:rPr>
        <w:t>Funkcijai “Izglītība”, kas ietver pirmsskolas izglītības iestādes, sākumskolas un pamatskolas, vidusskolas, profesionālās ievirzes skolas, kā arī  izglītības atbalsta pasākumu izdevumus, 2025. gadā, salīdzinot ar 2024.gadu, izdevumi palielinājušies par 7 %. Pieaugums skaidrojams ar projektu realizāciju - Izglītības iestāžu infrastruktūras pilnveide un aprīkošana Aizkraukles novadā. Nr.3.1.1.5.i.0/2/24/I/CFLA/001.</w:t>
      </w:r>
    </w:p>
    <w:p w:rsidR="00024AD0" w:rsidRPr="009A7761" w:rsidP="00024AD0" w14:paraId="66CD1932" w14:textId="77777777">
      <w:pPr>
        <w:spacing w:after="0" w:line="240" w:lineRule="auto"/>
        <w:ind w:firstLine="567"/>
        <w:jc w:val="both"/>
        <w:rPr>
          <w:rFonts w:eastAsia="Calibri"/>
        </w:rPr>
      </w:pPr>
      <w:r>
        <w:rPr>
          <w:rFonts w:eastAsia="Calibri"/>
        </w:rPr>
        <w:t>Funkcijai “Sociālā aizsardzība” izdevumi pārskata gadā palielinājās par 13 %, salīdzinot ar 2024.gadu. Tas saistīts ar izmaiņām normatīvajos aktos par sociālo pabalstu un pakalpojumu sniegšanu, kā arī ar kopējām tendencēm sociālajā jomā palielinoties atbalsta saņēmēju skaitam. Tāpat būtiska ietekme 2025. gadā (turpinās arī 2026. gadā) ir atbalsta sniegšana Ukrainas civiliedzīvotājiem.</w:t>
      </w:r>
    </w:p>
    <w:p w:rsidR="00024AD0" w:rsidRPr="009A7761" w:rsidP="00024AD0" w14:paraId="654C801C" w14:textId="6C0280FF">
      <w:pPr>
        <w:pStyle w:val="Heading1"/>
        <w:ind w:left="720"/>
        <w:rPr>
          <w:rFonts w:eastAsia="Calibri"/>
          <w:sz w:val="24"/>
          <w:szCs w:val="24"/>
        </w:rPr>
      </w:pPr>
      <w:bookmarkStart w:id="8" w:name="_Toc169020672"/>
      <w:bookmarkStart w:id="9" w:name="_Toc201145442"/>
      <w:r>
        <w:rPr>
          <w:rFonts w:eastAsia="Calibri"/>
          <w:sz w:val="24"/>
          <w:szCs w:val="24"/>
        </w:rPr>
        <w:t>S</w:t>
      </w:r>
      <w:r w:rsidR="00514D05">
        <w:rPr>
          <w:rFonts w:eastAsia="Calibri"/>
          <w:sz w:val="24"/>
          <w:szCs w:val="24"/>
        </w:rPr>
        <w:t xml:space="preserve">aņemtie ziedojumi un dāvinājumi </w:t>
      </w:r>
      <w:bookmarkEnd w:id="8"/>
      <w:bookmarkEnd w:id="9"/>
    </w:p>
    <w:p w:rsidR="00024AD0" w:rsidRPr="009A7761" w:rsidP="00024AD0" w14:paraId="42DB900F" w14:textId="77777777">
      <w:pPr>
        <w:spacing w:line="276" w:lineRule="auto"/>
        <w:ind w:firstLine="720"/>
        <w:jc w:val="both"/>
        <w:rPr>
          <w:rFonts w:eastAsia="Calibri"/>
        </w:rPr>
      </w:pPr>
      <w:r>
        <w:rPr>
          <w:rFonts w:eastAsia="Calibri"/>
        </w:rPr>
        <w:t>Aizkraukles novada pašvaldībā 2025. gadā tika saņemti naudas līdzekļu ziedojumi par kopējo summu 2 980 EUR, t.sk.:</w:t>
      </w:r>
    </w:p>
    <w:tbl>
      <w:tblPr>
        <w:tblW w:w="8926" w:type="dxa"/>
        <w:tblInd w:w="113" w:type="dxa"/>
        <w:tblLook w:val="04A0"/>
      </w:tblPr>
      <w:tblGrid>
        <w:gridCol w:w="2760"/>
        <w:gridCol w:w="1913"/>
        <w:gridCol w:w="2410"/>
        <w:gridCol w:w="1843"/>
      </w:tblGrid>
      <w:tr w14:paraId="1E514E9F" w14:textId="77777777" w:rsidTr="00F80C79">
        <w:tblPrEx>
          <w:tblW w:w="8926" w:type="dxa"/>
          <w:tblInd w:w="113" w:type="dxa"/>
          <w:tblLook w:val="04A0"/>
        </w:tblPrEx>
        <w:trPr>
          <w:trHeight w:val="300"/>
        </w:trPr>
        <w:tc>
          <w:tcPr>
            <w:tcW w:w="2760"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bottom"/>
            <w:hideMark/>
          </w:tcPr>
          <w:p w:rsidR="00024AD0" w:rsidRPr="00810DEB" w:rsidP="00F80C79" w14:paraId="7C3259C6" w14:textId="77777777">
            <w:pPr>
              <w:spacing w:after="0" w:line="240" w:lineRule="auto"/>
              <w:rPr>
                <w:b/>
                <w:bCs/>
                <w:color w:val="FFFFFF" w:themeColor="background1"/>
                <w:lang w:eastAsia="lv-LV"/>
              </w:rPr>
            </w:pPr>
            <w:r>
              <w:rPr>
                <w:b/>
                <w:bCs/>
                <w:color w:val="FFFFFF" w:themeColor="background1"/>
                <w:lang w:eastAsia="lv-LV"/>
              </w:rPr>
              <w:t>Ziedojuma mērķis</w:t>
            </w:r>
          </w:p>
        </w:tc>
        <w:tc>
          <w:tcPr>
            <w:tcW w:w="1913" w:type="dxa"/>
            <w:tcBorders>
              <w:top w:val="single" w:sz="4" w:space="0" w:color="auto"/>
              <w:left w:val="nil"/>
              <w:bottom w:val="single" w:sz="4" w:space="0" w:color="auto"/>
              <w:right w:val="single" w:sz="4" w:space="0" w:color="auto"/>
            </w:tcBorders>
            <w:shd w:val="clear" w:color="auto" w:fill="0F4761" w:themeFill="accent1" w:themeFillShade="BF"/>
            <w:vAlign w:val="bottom"/>
            <w:hideMark/>
          </w:tcPr>
          <w:p w:rsidR="00024AD0" w:rsidRPr="00810DEB" w:rsidP="00F80C79" w14:paraId="32AB0854" w14:textId="77777777">
            <w:pPr>
              <w:spacing w:after="0" w:line="240" w:lineRule="auto"/>
              <w:rPr>
                <w:b/>
                <w:bCs/>
                <w:color w:val="FFFFFF" w:themeColor="background1"/>
                <w:lang w:eastAsia="lv-LV"/>
              </w:rPr>
            </w:pPr>
            <w:r>
              <w:rPr>
                <w:b/>
                <w:bCs/>
                <w:color w:val="FFFFFF" w:themeColor="background1"/>
                <w:lang w:eastAsia="lv-LV"/>
              </w:rPr>
              <w:t xml:space="preserve"> Ziedotājs</w:t>
            </w:r>
          </w:p>
        </w:tc>
        <w:tc>
          <w:tcPr>
            <w:tcW w:w="2410" w:type="dxa"/>
            <w:tcBorders>
              <w:top w:val="single" w:sz="4" w:space="0" w:color="auto"/>
              <w:left w:val="nil"/>
              <w:bottom w:val="single" w:sz="4" w:space="0" w:color="auto"/>
              <w:right w:val="single" w:sz="4" w:space="0" w:color="auto"/>
            </w:tcBorders>
            <w:shd w:val="clear" w:color="auto" w:fill="0F4761" w:themeFill="accent1" w:themeFillShade="BF"/>
            <w:vAlign w:val="bottom"/>
            <w:hideMark/>
          </w:tcPr>
          <w:p w:rsidR="00024AD0" w:rsidRPr="00810DEB" w:rsidP="00F80C79" w14:paraId="666B3AAE" w14:textId="77777777">
            <w:pPr>
              <w:spacing w:after="0" w:line="240" w:lineRule="auto"/>
              <w:rPr>
                <w:b/>
                <w:bCs/>
                <w:color w:val="FFFFFF" w:themeColor="background1"/>
                <w:lang w:eastAsia="lv-LV"/>
              </w:rPr>
            </w:pPr>
            <w:r>
              <w:rPr>
                <w:b/>
                <w:bCs/>
                <w:color w:val="FFFFFF" w:themeColor="background1"/>
                <w:lang w:eastAsia="lv-LV"/>
              </w:rPr>
              <w:t xml:space="preserve">Ziedojuma saņēmējs </w:t>
            </w:r>
          </w:p>
        </w:tc>
        <w:tc>
          <w:tcPr>
            <w:tcW w:w="1843" w:type="dxa"/>
            <w:tcBorders>
              <w:top w:val="single" w:sz="4" w:space="0" w:color="auto"/>
              <w:left w:val="nil"/>
              <w:bottom w:val="single" w:sz="4" w:space="0" w:color="auto"/>
              <w:right w:val="single" w:sz="4" w:space="0" w:color="auto"/>
            </w:tcBorders>
            <w:shd w:val="clear" w:color="auto" w:fill="0F4761" w:themeFill="accent1" w:themeFillShade="BF"/>
            <w:vAlign w:val="bottom"/>
            <w:hideMark/>
          </w:tcPr>
          <w:p w:rsidR="00024AD0" w:rsidRPr="00810DEB" w:rsidP="00F80C79" w14:paraId="3AB71FF2" w14:textId="77777777">
            <w:pPr>
              <w:spacing w:after="0" w:line="240" w:lineRule="auto"/>
              <w:rPr>
                <w:b/>
                <w:bCs/>
                <w:color w:val="FFFFFF" w:themeColor="background1"/>
                <w:lang w:eastAsia="lv-LV"/>
              </w:rPr>
            </w:pPr>
            <w:r>
              <w:rPr>
                <w:b/>
                <w:bCs/>
                <w:color w:val="FFFFFF" w:themeColor="background1"/>
                <w:lang w:eastAsia="lv-LV"/>
              </w:rPr>
              <w:t>Ziedojums, EUR</w:t>
            </w:r>
          </w:p>
        </w:tc>
      </w:tr>
      <w:tr w14:paraId="0548C411" w14:textId="77777777" w:rsidTr="00F80C79">
        <w:tblPrEx>
          <w:tblW w:w="8926" w:type="dxa"/>
          <w:tblInd w:w="113" w:type="dxa"/>
          <w:tblLook w:val="04A0"/>
        </w:tblPrEx>
        <w:trPr>
          <w:trHeight w:val="300"/>
        </w:trPr>
        <w:tc>
          <w:tcPr>
            <w:tcW w:w="2760" w:type="dxa"/>
            <w:tcBorders>
              <w:top w:val="nil"/>
              <w:left w:val="single" w:sz="4" w:space="0" w:color="auto"/>
              <w:bottom w:val="single" w:sz="4" w:space="0" w:color="auto"/>
              <w:right w:val="single" w:sz="4" w:space="0" w:color="auto"/>
            </w:tcBorders>
            <w:vAlign w:val="center"/>
            <w:hideMark/>
          </w:tcPr>
          <w:p w:rsidR="00024AD0" w:rsidRPr="009A7761" w:rsidP="00F80C79" w14:paraId="3041FD15" w14:textId="77777777">
            <w:pPr>
              <w:spacing w:after="0" w:line="240" w:lineRule="auto"/>
              <w:rPr>
                <w:color w:val="000000"/>
                <w:lang w:eastAsia="lv-LV"/>
              </w:rPr>
            </w:pPr>
            <w:r>
              <w:rPr>
                <w:color w:val="000000"/>
                <w:lang w:eastAsia="lv-LV"/>
              </w:rPr>
              <w:t>Iršu muižas klēts- magazīnas uzturēšanai</w:t>
            </w:r>
          </w:p>
        </w:tc>
        <w:tc>
          <w:tcPr>
            <w:tcW w:w="1913" w:type="dxa"/>
            <w:tcBorders>
              <w:top w:val="nil"/>
              <w:left w:val="nil"/>
              <w:bottom w:val="single" w:sz="4" w:space="0" w:color="auto"/>
              <w:right w:val="single" w:sz="4" w:space="0" w:color="auto"/>
            </w:tcBorders>
            <w:vAlign w:val="center"/>
            <w:hideMark/>
          </w:tcPr>
          <w:p w:rsidR="00024AD0" w:rsidRPr="009A7761" w:rsidP="00F80C79" w14:paraId="6E96E7DE" w14:textId="77777777">
            <w:pPr>
              <w:spacing w:after="0" w:line="240" w:lineRule="auto"/>
              <w:rPr>
                <w:color w:val="000000"/>
                <w:lang w:eastAsia="lv-LV"/>
              </w:rPr>
            </w:pPr>
            <w:r>
              <w:rPr>
                <w:color w:val="000000"/>
                <w:lang w:eastAsia="lv-LV"/>
              </w:rPr>
              <w:t>Biedrība Hiršenhofas mantojums</w:t>
            </w:r>
          </w:p>
        </w:tc>
        <w:tc>
          <w:tcPr>
            <w:tcW w:w="2410" w:type="dxa"/>
            <w:tcBorders>
              <w:top w:val="nil"/>
              <w:left w:val="nil"/>
              <w:bottom w:val="single" w:sz="4" w:space="0" w:color="auto"/>
              <w:right w:val="single" w:sz="4" w:space="0" w:color="auto"/>
            </w:tcBorders>
            <w:vAlign w:val="center"/>
            <w:hideMark/>
          </w:tcPr>
          <w:p w:rsidR="00024AD0" w:rsidRPr="009A7761" w:rsidP="00F80C79" w14:paraId="2E4A164D" w14:textId="77777777">
            <w:pPr>
              <w:spacing w:after="0" w:line="240" w:lineRule="auto"/>
              <w:jc w:val="center"/>
              <w:rPr>
                <w:color w:val="000000"/>
                <w:lang w:eastAsia="lv-LV"/>
              </w:rPr>
            </w:pPr>
            <w:r>
              <w:rPr>
                <w:color w:val="000000"/>
                <w:lang w:eastAsia="lv-LV"/>
              </w:rPr>
              <w:t>Iršu muižas klēts - magazīna</w:t>
            </w:r>
          </w:p>
        </w:tc>
        <w:tc>
          <w:tcPr>
            <w:tcW w:w="1843" w:type="dxa"/>
            <w:tcBorders>
              <w:top w:val="nil"/>
              <w:left w:val="nil"/>
              <w:bottom w:val="single" w:sz="4" w:space="0" w:color="auto"/>
              <w:right w:val="single" w:sz="4" w:space="0" w:color="auto"/>
            </w:tcBorders>
            <w:vAlign w:val="center"/>
            <w:hideMark/>
          </w:tcPr>
          <w:p w:rsidR="00024AD0" w:rsidRPr="009A7761" w:rsidP="00F80C79" w14:paraId="6B465C1D" w14:textId="77777777">
            <w:pPr>
              <w:spacing w:after="0" w:line="240" w:lineRule="auto"/>
              <w:jc w:val="center"/>
              <w:rPr>
                <w:color w:val="000000"/>
                <w:lang w:eastAsia="lv-LV"/>
              </w:rPr>
            </w:pPr>
            <w:r>
              <w:rPr>
                <w:color w:val="000000"/>
                <w:lang w:eastAsia="lv-LV"/>
              </w:rPr>
              <w:t>600.00</w:t>
            </w:r>
          </w:p>
        </w:tc>
      </w:tr>
      <w:tr w14:paraId="6954388E" w14:textId="77777777" w:rsidTr="00F80C79">
        <w:tblPrEx>
          <w:tblW w:w="8926" w:type="dxa"/>
          <w:tblInd w:w="113" w:type="dxa"/>
          <w:tblLook w:val="04A0"/>
        </w:tblPrEx>
        <w:trPr>
          <w:trHeight w:val="900"/>
        </w:trPr>
        <w:tc>
          <w:tcPr>
            <w:tcW w:w="2760" w:type="dxa"/>
            <w:tcBorders>
              <w:top w:val="nil"/>
              <w:left w:val="single" w:sz="4" w:space="0" w:color="auto"/>
              <w:bottom w:val="single" w:sz="4" w:space="0" w:color="auto"/>
              <w:right w:val="single" w:sz="4" w:space="0" w:color="auto"/>
            </w:tcBorders>
            <w:vAlign w:val="center"/>
            <w:hideMark/>
          </w:tcPr>
          <w:p w:rsidR="00024AD0" w:rsidRPr="009A7761" w:rsidP="00F80C79" w14:paraId="539679A5" w14:textId="77777777">
            <w:pPr>
              <w:spacing w:after="0" w:line="240" w:lineRule="auto"/>
              <w:rPr>
                <w:color w:val="000000"/>
                <w:lang w:eastAsia="lv-LV"/>
              </w:rPr>
            </w:pPr>
            <w:r>
              <w:rPr>
                <w:color w:val="000000"/>
                <w:lang w:eastAsia="lv-LV"/>
              </w:rPr>
              <w:t>Pasākuma “Klusie ūdeņi” organizēšanas izmaksām</w:t>
            </w:r>
          </w:p>
        </w:tc>
        <w:tc>
          <w:tcPr>
            <w:tcW w:w="1913" w:type="dxa"/>
            <w:tcBorders>
              <w:top w:val="nil"/>
              <w:left w:val="nil"/>
              <w:bottom w:val="single" w:sz="4" w:space="0" w:color="auto"/>
              <w:right w:val="single" w:sz="4" w:space="0" w:color="auto"/>
            </w:tcBorders>
            <w:vAlign w:val="center"/>
            <w:hideMark/>
          </w:tcPr>
          <w:p w:rsidR="00024AD0" w:rsidRPr="009A7761" w:rsidP="00F80C79" w14:paraId="4EC594FE" w14:textId="77777777">
            <w:pPr>
              <w:spacing w:after="0" w:line="240" w:lineRule="auto"/>
              <w:rPr>
                <w:color w:val="000000"/>
                <w:lang w:eastAsia="lv-LV"/>
              </w:rPr>
            </w:pPr>
            <w:r>
              <w:rPr>
                <w:color w:val="000000"/>
                <w:lang w:eastAsia="lv-LV"/>
              </w:rPr>
              <w:t>SIA RSSC</w:t>
            </w:r>
          </w:p>
        </w:tc>
        <w:tc>
          <w:tcPr>
            <w:tcW w:w="2410" w:type="dxa"/>
            <w:tcBorders>
              <w:top w:val="nil"/>
              <w:left w:val="nil"/>
              <w:bottom w:val="single" w:sz="4" w:space="0" w:color="auto"/>
              <w:right w:val="single" w:sz="4" w:space="0" w:color="auto"/>
            </w:tcBorders>
            <w:vAlign w:val="center"/>
            <w:hideMark/>
          </w:tcPr>
          <w:p w:rsidR="00024AD0" w:rsidRPr="009A7761" w:rsidP="00F80C79" w14:paraId="0CF1BD40" w14:textId="77777777">
            <w:pPr>
              <w:spacing w:after="0" w:line="240" w:lineRule="auto"/>
              <w:jc w:val="center"/>
              <w:rPr>
                <w:color w:val="000000"/>
                <w:lang w:eastAsia="lv-LV"/>
              </w:rPr>
            </w:pPr>
            <w:r>
              <w:rPr>
                <w:color w:val="000000"/>
                <w:lang w:eastAsia="lv-LV"/>
              </w:rPr>
              <w:t>Aizkraukles kultūras centrs</w:t>
            </w:r>
          </w:p>
        </w:tc>
        <w:tc>
          <w:tcPr>
            <w:tcW w:w="1843" w:type="dxa"/>
            <w:tcBorders>
              <w:top w:val="nil"/>
              <w:left w:val="nil"/>
              <w:bottom w:val="single" w:sz="4" w:space="0" w:color="auto"/>
              <w:right w:val="single" w:sz="4" w:space="0" w:color="auto"/>
            </w:tcBorders>
            <w:vAlign w:val="center"/>
            <w:hideMark/>
          </w:tcPr>
          <w:p w:rsidR="00024AD0" w:rsidRPr="009A7761" w:rsidP="00F80C79" w14:paraId="30F60616" w14:textId="77777777">
            <w:pPr>
              <w:spacing w:after="0" w:line="240" w:lineRule="auto"/>
              <w:jc w:val="center"/>
              <w:rPr>
                <w:color w:val="000000"/>
                <w:lang w:eastAsia="lv-LV"/>
              </w:rPr>
            </w:pPr>
            <w:r>
              <w:rPr>
                <w:color w:val="000000"/>
                <w:lang w:eastAsia="lv-LV"/>
              </w:rPr>
              <w:t>300.00</w:t>
            </w:r>
          </w:p>
        </w:tc>
      </w:tr>
      <w:tr w14:paraId="6C5CDB40" w14:textId="77777777" w:rsidTr="00F80C79">
        <w:tblPrEx>
          <w:tblW w:w="8926" w:type="dxa"/>
          <w:tblInd w:w="113" w:type="dxa"/>
          <w:tblLook w:val="04A0"/>
        </w:tblPrEx>
        <w:trPr>
          <w:trHeight w:val="900"/>
        </w:trPr>
        <w:tc>
          <w:tcPr>
            <w:tcW w:w="2760" w:type="dxa"/>
            <w:tcBorders>
              <w:top w:val="single" w:sz="4" w:space="0" w:color="auto"/>
              <w:left w:val="single" w:sz="4" w:space="0" w:color="auto"/>
              <w:bottom w:val="single" w:sz="4" w:space="0" w:color="auto"/>
              <w:right w:val="single" w:sz="4" w:space="0" w:color="auto"/>
            </w:tcBorders>
            <w:vAlign w:val="center"/>
            <w:hideMark/>
          </w:tcPr>
          <w:p w:rsidR="00024AD0" w:rsidRPr="009A7761" w:rsidP="00F80C79" w14:paraId="5F0A9320" w14:textId="77777777">
            <w:pPr>
              <w:spacing w:after="0" w:line="240" w:lineRule="auto"/>
              <w:rPr>
                <w:color w:val="000000"/>
                <w:lang w:eastAsia="lv-LV"/>
              </w:rPr>
            </w:pPr>
            <w:r>
              <w:rPr>
                <w:color w:val="000000"/>
                <w:lang w:eastAsia="lv-LV"/>
              </w:rPr>
              <w:t>Stipendiju piešķiršanai pedagogiem un skolēniem</w:t>
            </w:r>
          </w:p>
        </w:tc>
        <w:tc>
          <w:tcPr>
            <w:tcW w:w="1913" w:type="dxa"/>
            <w:tcBorders>
              <w:top w:val="single" w:sz="4" w:space="0" w:color="auto"/>
              <w:left w:val="nil"/>
              <w:bottom w:val="single" w:sz="4" w:space="0" w:color="auto"/>
              <w:right w:val="single" w:sz="4" w:space="0" w:color="auto"/>
            </w:tcBorders>
            <w:vAlign w:val="center"/>
            <w:hideMark/>
          </w:tcPr>
          <w:p w:rsidR="00024AD0" w:rsidRPr="009A7761" w:rsidP="00F80C79" w14:paraId="33BB0FE9" w14:textId="77777777">
            <w:pPr>
              <w:spacing w:after="0" w:line="240" w:lineRule="auto"/>
              <w:rPr>
                <w:color w:val="000000"/>
                <w:lang w:eastAsia="lv-LV"/>
              </w:rPr>
            </w:pPr>
            <w:r>
              <w:rPr>
                <w:color w:val="000000"/>
                <w:lang w:eastAsia="lv-LV"/>
              </w:rPr>
              <w:t>Z/S Pilslejas SIA</w:t>
            </w:r>
          </w:p>
        </w:tc>
        <w:tc>
          <w:tcPr>
            <w:tcW w:w="2410" w:type="dxa"/>
            <w:tcBorders>
              <w:top w:val="single" w:sz="4" w:space="0" w:color="auto"/>
              <w:left w:val="nil"/>
              <w:bottom w:val="single" w:sz="4" w:space="0" w:color="auto"/>
              <w:right w:val="single" w:sz="4" w:space="0" w:color="auto"/>
            </w:tcBorders>
            <w:vAlign w:val="center"/>
            <w:hideMark/>
          </w:tcPr>
          <w:p w:rsidR="00024AD0" w:rsidRPr="009A7761" w:rsidP="00F80C79" w14:paraId="2A5E3CF4" w14:textId="77777777">
            <w:pPr>
              <w:spacing w:after="0" w:line="240" w:lineRule="auto"/>
              <w:jc w:val="center"/>
              <w:rPr>
                <w:color w:val="000000"/>
                <w:lang w:eastAsia="lv-LV"/>
              </w:rPr>
            </w:pPr>
            <w:r>
              <w:rPr>
                <w:color w:val="000000"/>
                <w:lang w:eastAsia="lv-LV"/>
              </w:rPr>
              <w:t>Bebru pamatskola</w:t>
            </w:r>
          </w:p>
        </w:tc>
        <w:tc>
          <w:tcPr>
            <w:tcW w:w="1843" w:type="dxa"/>
            <w:tcBorders>
              <w:top w:val="single" w:sz="4" w:space="0" w:color="auto"/>
              <w:left w:val="nil"/>
              <w:bottom w:val="single" w:sz="4" w:space="0" w:color="auto"/>
              <w:right w:val="single" w:sz="4" w:space="0" w:color="auto"/>
            </w:tcBorders>
            <w:vAlign w:val="center"/>
            <w:hideMark/>
          </w:tcPr>
          <w:p w:rsidR="00024AD0" w:rsidRPr="009A7761" w:rsidP="00F80C79" w14:paraId="7C553846" w14:textId="77777777">
            <w:pPr>
              <w:spacing w:after="0" w:line="240" w:lineRule="auto"/>
              <w:jc w:val="center"/>
              <w:rPr>
                <w:color w:val="000000"/>
                <w:lang w:eastAsia="lv-LV"/>
              </w:rPr>
            </w:pPr>
            <w:r>
              <w:rPr>
                <w:color w:val="000000"/>
                <w:lang w:eastAsia="lv-LV"/>
              </w:rPr>
              <w:t>310.00</w:t>
            </w:r>
          </w:p>
        </w:tc>
      </w:tr>
      <w:tr w14:paraId="78D04CFA" w14:textId="77777777" w:rsidTr="00F80C79">
        <w:tblPrEx>
          <w:tblW w:w="8926" w:type="dxa"/>
          <w:tblInd w:w="113" w:type="dxa"/>
          <w:tblLook w:val="04A0"/>
        </w:tblPrEx>
        <w:trPr>
          <w:trHeight w:val="900"/>
        </w:trPr>
        <w:tc>
          <w:tcPr>
            <w:tcW w:w="2760" w:type="dxa"/>
            <w:tcBorders>
              <w:top w:val="single" w:sz="4" w:space="0" w:color="auto"/>
              <w:left w:val="single" w:sz="4" w:space="0" w:color="auto"/>
              <w:bottom w:val="single" w:sz="4" w:space="0" w:color="auto"/>
              <w:right w:val="single" w:sz="4" w:space="0" w:color="auto"/>
            </w:tcBorders>
            <w:vAlign w:val="center"/>
          </w:tcPr>
          <w:p w:rsidR="00024AD0" w:rsidRPr="009A7761" w:rsidP="00F80C79" w14:paraId="41540FF9" w14:textId="77777777">
            <w:pPr>
              <w:spacing w:after="0" w:line="240" w:lineRule="auto"/>
              <w:rPr>
                <w:color w:val="000000"/>
                <w:lang w:eastAsia="lv-LV"/>
              </w:rPr>
            </w:pPr>
            <w:r>
              <w:rPr>
                <w:color w:val="000000"/>
                <w:lang w:eastAsia="lv-LV"/>
              </w:rPr>
              <w:t>PII Auseklītis āra laukuma labiekārtošanai</w:t>
            </w:r>
          </w:p>
        </w:tc>
        <w:tc>
          <w:tcPr>
            <w:tcW w:w="1913" w:type="dxa"/>
            <w:tcBorders>
              <w:top w:val="single" w:sz="4" w:space="0" w:color="auto"/>
              <w:left w:val="nil"/>
              <w:bottom w:val="single" w:sz="4" w:space="0" w:color="auto"/>
              <w:right w:val="single" w:sz="4" w:space="0" w:color="auto"/>
            </w:tcBorders>
            <w:vAlign w:val="center"/>
          </w:tcPr>
          <w:p w:rsidR="00024AD0" w:rsidRPr="009A7761" w:rsidP="00F80C79" w14:paraId="50F5A8AF" w14:textId="77777777">
            <w:pPr>
              <w:spacing w:after="0" w:line="240" w:lineRule="auto"/>
              <w:rPr>
                <w:color w:val="000000"/>
                <w:lang w:eastAsia="lv-LV"/>
              </w:rPr>
            </w:pPr>
            <w:r>
              <w:rPr>
                <w:color w:val="000000"/>
                <w:lang w:eastAsia="lv-LV"/>
              </w:rPr>
              <w:t>Skrīveru sēklkopības sabiedrība SIA</w:t>
            </w:r>
          </w:p>
        </w:tc>
        <w:tc>
          <w:tcPr>
            <w:tcW w:w="2410" w:type="dxa"/>
            <w:tcBorders>
              <w:top w:val="single" w:sz="4" w:space="0" w:color="auto"/>
              <w:left w:val="nil"/>
              <w:bottom w:val="single" w:sz="4" w:space="0" w:color="auto"/>
              <w:right w:val="single" w:sz="4" w:space="0" w:color="auto"/>
            </w:tcBorders>
            <w:vAlign w:val="center"/>
          </w:tcPr>
          <w:p w:rsidR="00024AD0" w:rsidRPr="009A7761" w:rsidP="00F80C79" w14:paraId="7B552A9F" w14:textId="77777777">
            <w:pPr>
              <w:spacing w:after="0" w:line="240" w:lineRule="auto"/>
              <w:jc w:val="center"/>
              <w:rPr>
                <w:color w:val="000000"/>
                <w:lang w:eastAsia="lv-LV"/>
              </w:rPr>
            </w:pPr>
            <w:r>
              <w:rPr>
                <w:color w:val="000000"/>
                <w:lang w:eastAsia="lv-LV"/>
              </w:rPr>
              <w:t>PII Auseklītis</w:t>
            </w:r>
          </w:p>
        </w:tc>
        <w:tc>
          <w:tcPr>
            <w:tcW w:w="1843" w:type="dxa"/>
            <w:tcBorders>
              <w:top w:val="single" w:sz="4" w:space="0" w:color="auto"/>
              <w:left w:val="nil"/>
              <w:bottom w:val="single" w:sz="4" w:space="0" w:color="auto"/>
              <w:right w:val="single" w:sz="4" w:space="0" w:color="auto"/>
            </w:tcBorders>
            <w:vAlign w:val="center"/>
          </w:tcPr>
          <w:p w:rsidR="00024AD0" w:rsidRPr="009A7761" w:rsidP="00F80C79" w14:paraId="0D5108EE" w14:textId="77777777">
            <w:pPr>
              <w:spacing w:after="0" w:line="240" w:lineRule="auto"/>
              <w:jc w:val="center"/>
              <w:rPr>
                <w:color w:val="000000"/>
                <w:lang w:eastAsia="lv-LV"/>
              </w:rPr>
            </w:pPr>
            <w:r>
              <w:rPr>
                <w:color w:val="000000"/>
                <w:lang w:eastAsia="lv-LV"/>
              </w:rPr>
              <w:t>1000.00</w:t>
            </w:r>
          </w:p>
        </w:tc>
      </w:tr>
      <w:tr w14:paraId="38358566" w14:textId="77777777" w:rsidTr="00F80C79">
        <w:tblPrEx>
          <w:tblW w:w="8926" w:type="dxa"/>
          <w:tblInd w:w="113" w:type="dxa"/>
          <w:tblLook w:val="04A0"/>
        </w:tblPrEx>
        <w:trPr>
          <w:trHeight w:val="900"/>
        </w:trPr>
        <w:tc>
          <w:tcPr>
            <w:tcW w:w="2760" w:type="dxa"/>
            <w:tcBorders>
              <w:top w:val="single" w:sz="4" w:space="0" w:color="auto"/>
              <w:left w:val="single" w:sz="4" w:space="0" w:color="auto"/>
              <w:bottom w:val="single" w:sz="4" w:space="0" w:color="auto"/>
              <w:right w:val="single" w:sz="4" w:space="0" w:color="auto"/>
            </w:tcBorders>
            <w:vAlign w:val="center"/>
          </w:tcPr>
          <w:p w:rsidR="00024AD0" w:rsidRPr="009A7761" w:rsidP="00F80C79" w14:paraId="6A260DB3" w14:textId="77777777">
            <w:pPr>
              <w:spacing w:after="0" w:line="240" w:lineRule="auto"/>
              <w:rPr>
                <w:color w:val="000000"/>
                <w:lang w:eastAsia="lv-LV"/>
              </w:rPr>
            </w:pPr>
            <w:r>
              <w:rPr>
                <w:color w:val="000000"/>
                <w:lang w:eastAsia="lv-LV"/>
              </w:rPr>
              <w:t>Pasākuma organizēšanai</w:t>
            </w:r>
          </w:p>
        </w:tc>
        <w:tc>
          <w:tcPr>
            <w:tcW w:w="1913" w:type="dxa"/>
            <w:tcBorders>
              <w:top w:val="single" w:sz="4" w:space="0" w:color="auto"/>
              <w:left w:val="nil"/>
              <w:bottom w:val="single" w:sz="4" w:space="0" w:color="auto"/>
              <w:right w:val="single" w:sz="4" w:space="0" w:color="auto"/>
            </w:tcBorders>
            <w:vAlign w:val="center"/>
          </w:tcPr>
          <w:p w:rsidR="00024AD0" w:rsidRPr="009A7761" w:rsidP="00F80C79" w14:paraId="50E88808" w14:textId="77777777">
            <w:pPr>
              <w:spacing w:after="0" w:line="240" w:lineRule="auto"/>
              <w:rPr>
                <w:color w:val="000000"/>
                <w:lang w:eastAsia="lv-LV"/>
              </w:rPr>
            </w:pPr>
            <w:r>
              <w:rPr>
                <w:color w:val="000000"/>
                <w:lang w:eastAsia="lv-LV"/>
              </w:rPr>
              <w:t>Biedrība Eņģeļa sirds</w:t>
            </w:r>
          </w:p>
        </w:tc>
        <w:tc>
          <w:tcPr>
            <w:tcW w:w="2410" w:type="dxa"/>
            <w:tcBorders>
              <w:top w:val="single" w:sz="4" w:space="0" w:color="auto"/>
              <w:left w:val="nil"/>
              <w:bottom w:val="single" w:sz="4" w:space="0" w:color="auto"/>
              <w:right w:val="single" w:sz="4" w:space="0" w:color="auto"/>
            </w:tcBorders>
            <w:vAlign w:val="center"/>
          </w:tcPr>
          <w:p w:rsidR="00024AD0" w:rsidRPr="009A7761" w:rsidP="00F80C79" w14:paraId="03B78C5A" w14:textId="77777777">
            <w:pPr>
              <w:spacing w:after="0" w:line="240" w:lineRule="auto"/>
              <w:jc w:val="center"/>
              <w:rPr>
                <w:color w:val="000000"/>
                <w:lang w:eastAsia="lv-LV"/>
              </w:rPr>
            </w:pPr>
            <w:r>
              <w:rPr>
                <w:color w:val="000000"/>
                <w:lang w:eastAsia="lv-LV"/>
              </w:rPr>
              <w:t>Daudzeses pamatskola</w:t>
            </w:r>
          </w:p>
        </w:tc>
        <w:tc>
          <w:tcPr>
            <w:tcW w:w="1843" w:type="dxa"/>
            <w:tcBorders>
              <w:top w:val="single" w:sz="4" w:space="0" w:color="auto"/>
              <w:left w:val="nil"/>
              <w:bottom w:val="single" w:sz="4" w:space="0" w:color="auto"/>
              <w:right w:val="single" w:sz="4" w:space="0" w:color="auto"/>
            </w:tcBorders>
            <w:vAlign w:val="center"/>
          </w:tcPr>
          <w:p w:rsidR="00024AD0" w:rsidRPr="009A7761" w:rsidP="00F80C79" w14:paraId="33900C52" w14:textId="77777777">
            <w:pPr>
              <w:spacing w:after="0" w:line="240" w:lineRule="auto"/>
              <w:jc w:val="center"/>
              <w:rPr>
                <w:color w:val="000000"/>
                <w:lang w:eastAsia="lv-LV"/>
              </w:rPr>
            </w:pPr>
            <w:r>
              <w:rPr>
                <w:color w:val="000000"/>
                <w:lang w:eastAsia="lv-LV"/>
              </w:rPr>
              <w:t>100.00</w:t>
            </w:r>
          </w:p>
        </w:tc>
      </w:tr>
      <w:tr w14:paraId="745A5B04" w14:textId="77777777" w:rsidTr="00F80C79">
        <w:tblPrEx>
          <w:tblW w:w="8926" w:type="dxa"/>
          <w:tblInd w:w="113" w:type="dxa"/>
          <w:tblLook w:val="04A0"/>
        </w:tblPrEx>
        <w:trPr>
          <w:trHeight w:val="900"/>
        </w:trPr>
        <w:tc>
          <w:tcPr>
            <w:tcW w:w="2760" w:type="dxa"/>
            <w:tcBorders>
              <w:top w:val="single" w:sz="4" w:space="0" w:color="auto"/>
              <w:left w:val="single" w:sz="4" w:space="0" w:color="auto"/>
              <w:bottom w:val="single" w:sz="4" w:space="0" w:color="auto"/>
              <w:right w:val="single" w:sz="4" w:space="0" w:color="auto"/>
            </w:tcBorders>
            <w:vAlign w:val="center"/>
          </w:tcPr>
          <w:p w:rsidR="00024AD0" w:rsidP="00F80C79" w14:paraId="784B6B33" w14:textId="77777777">
            <w:pPr>
              <w:spacing w:after="0" w:line="240" w:lineRule="auto"/>
              <w:rPr>
                <w:color w:val="000000"/>
                <w:lang w:eastAsia="lv-LV"/>
              </w:rPr>
            </w:pPr>
            <w:r>
              <w:rPr>
                <w:color w:val="000000"/>
                <w:lang w:eastAsia="lv-LV"/>
              </w:rPr>
              <w:t>V.Jākobsona memoriālās mājas uzturēšanai, Bebru pamatskolas jaunrades konkursam</w:t>
            </w:r>
          </w:p>
        </w:tc>
        <w:tc>
          <w:tcPr>
            <w:tcW w:w="1913" w:type="dxa"/>
            <w:tcBorders>
              <w:top w:val="single" w:sz="4" w:space="0" w:color="auto"/>
              <w:left w:val="nil"/>
              <w:bottom w:val="single" w:sz="4" w:space="0" w:color="auto"/>
              <w:right w:val="single" w:sz="4" w:space="0" w:color="auto"/>
            </w:tcBorders>
            <w:vAlign w:val="center"/>
          </w:tcPr>
          <w:p w:rsidR="00024AD0" w:rsidP="00F80C79" w14:paraId="005C78DF" w14:textId="77777777">
            <w:pPr>
              <w:spacing w:after="0" w:line="240" w:lineRule="auto"/>
              <w:rPr>
                <w:color w:val="000000"/>
                <w:lang w:eastAsia="lv-LV"/>
              </w:rPr>
            </w:pPr>
            <w:r>
              <w:rPr>
                <w:color w:val="000000"/>
                <w:lang w:eastAsia="lv-LV"/>
              </w:rPr>
              <w:t>Andris Kristons</w:t>
            </w:r>
          </w:p>
        </w:tc>
        <w:tc>
          <w:tcPr>
            <w:tcW w:w="2410" w:type="dxa"/>
            <w:tcBorders>
              <w:top w:val="single" w:sz="4" w:space="0" w:color="auto"/>
              <w:left w:val="nil"/>
              <w:bottom w:val="single" w:sz="4" w:space="0" w:color="auto"/>
              <w:right w:val="single" w:sz="4" w:space="0" w:color="auto"/>
            </w:tcBorders>
            <w:vAlign w:val="center"/>
          </w:tcPr>
          <w:p w:rsidR="00024AD0" w:rsidP="00F80C79" w14:paraId="7695A181" w14:textId="77777777">
            <w:pPr>
              <w:spacing w:after="0" w:line="240" w:lineRule="auto"/>
              <w:jc w:val="center"/>
              <w:rPr>
                <w:color w:val="000000"/>
                <w:lang w:eastAsia="lv-LV"/>
              </w:rPr>
            </w:pPr>
            <w:r>
              <w:rPr>
                <w:color w:val="000000"/>
                <w:lang w:eastAsia="lv-LV"/>
              </w:rPr>
              <w:t>V. Jākobsona memoriālā māja, Bebru pamatskola</w:t>
            </w:r>
          </w:p>
        </w:tc>
        <w:tc>
          <w:tcPr>
            <w:tcW w:w="1843" w:type="dxa"/>
            <w:tcBorders>
              <w:top w:val="single" w:sz="4" w:space="0" w:color="auto"/>
              <w:left w:val="nil"/>
              <w:bottom w:val="single" w:sz="4" w:space="0" w:color="auto"/>
              <w:right w:val="single" w:sz="4" w:space="0" w:color="auto"/>
            </w:tcBorders>
            <w:vAlign w:val="center"/>
          </w:tcPr>
          <w:p w:rsidR="00024AD0" w:rsidRPr="009A7761" w:rsidP="00F80C79" w14:paraId="6561CF4B" w14:textId="77777777">
            <w:pPr>
              <w:spacing w:after="0" w:line="240" w:lineRule="auto"/>
              <w:jc w:val="center"/>
              <w:rPr>
                <w:color w:val="000000"/>
                <w:lang w:eastAsia="lv-LV"/>
              </w:rPr>
            </w:pPr>
            <w:r>
              <w:rPr>
                <w:color w:val="000000"/>
                <w:lang w:eastAsia="lv-LV"/>
              </w:rPr>
              <w:t>210.00</w:t>
            </w:r>
          </w:p>
        </w:tc>
      </w:tr>
      <w:tr w14:paraId="3E95C43A" w14:textId="77777777" w:rsidTr="00F80C79">
        <w:tblPrEx>
          <w:tblW w:w="8926" w:type="dxa"/>
          <w:tblInd w:w="113" w:type="dxa"/>
          <w:tblLook w:val="04A0"/>
        </w:tblPrEx>
        <w:trPr>
          <w:trHeight w:val="900"/>
        </w:trPr>
        <w:tc>
          <w:tcPr>
            <w:tcW w:w="2760" w:type="dxa"/>
            <w:tcBorders>
              <w:top w:val="single" w:sz="4" w:space="0" w:color="auto"/>
              <w:left w:val="single" w:sz="4" w:space="0" w:color="auto"/>
              <w:bottom w:val="single" w:sz="4" w:space="0" w:color="auto"/>
              <w:right w:val="single" w:sz="4" w:space="0" w:color="auto"/>
            </w:tcBorders>
            <w:vAlign w:val="center"/>
          </w:tcPr>
          <w:p w:rsidR="00024AD0" w:rsidP="00F80C79" w14:paraId="4962A270" w14:textId="77777777">
            <w:pPr>
              <w:spacing w:after="0" w:line="240" w:lineRule="auto"/>
              <w:rPr>
                <w:color w:val="000000"/>
                <w:lang w:eastAsia="lv-LV"/>
              </w:rPr>
            </w:pPr>
            <w:r>
              <w:rPr>
                <w:color w:val="000000"/>
                <w:lang w:eastAsia="lv-LV"/>
              </w:rPr>
              <w:t>Pasākumu organizēšanai</w:t>
            </w:r>
          </w:p>
        </w:tc>
        <w:tc>
          <w:tcPr>
            <w:tcW w:w="1913" w:type="dxa"/>
            <w:tcBorders>
              <w:top w:val="single" w:sz="4" w:space="0" w:color="auto"/>
              <w:left w:val="nil"/>
              <w:bottom w:val="single" w:sz="4" w:space="0" w:color="auto"/>
              <w:right w:val="single" w:sz="4" w:space="0" w:color="auto"/>
            </w:tcBorders>
            <w:vAlign w:val="center"/>
          </w:tcPr>
          <w:p w:rsidR="00024AD0" w:rsidP="00F80C79" w14:paraId="67FE716F" w14:textId="77777777">
            <w:pPr>
              <w:spacing w:after="0" w:line="240" w:lineRule="auto"/>
              <w:rPr>
                <w:color w:val="000000"/>
                <w:lang w:eastAsia="lv-LV"/>
              </w:rPr>
            </w:pPr>
            <w:r>
              <w:rPr>
                <w:color w:val="000000"/>
                <w:lang w:eastAsia="lv-LV"/>
              </w:rPr>
              <w:t>Aigars Smeilis</w:t>
            </w:r>
          </w:p>
        </w:tc>
        <w:tc>
          <w:tcPr>
            <w:tcW w:w="2410" w:type="dxa"/>
            <w:tcBorders>
              <w:top w:val="single" w:sz="4" w:space="0" w:color="auto"/>
              <w:left w:val="nil"/>
              <w:bottom w:val="single" w:sz="4" w:space="0" w:color="auto"/>
              <w:right w:val="single" w:sz="4" w:space="0" w:color="auto"/>
            </w:tcBorders>
            <w:vAlign w:val="center"/>
          </w:tcPr>
          <w:p w:rsidR="00024AD0" w:rsidP="00F80C79" w14:paraId="2752ABDB" w14:textId="77777777">
            <w:pPr>
              <w:spacing w:after="0" w:line="240" w:lineRule="auto"/>
              <w:jc w:val="center"/>
              <w:rPr>
                <w:color w:val="000000"/>
                <w:lang w:eastAsia="lv-LV"/>
              </w:rPr>
            </w:pPr>
            <w:r>
              <w:rPr>
                <w:color w:val="000000"/>
                <w:lang w:eastAsia="lv-LV"/>
              </w:rPr>
              <w:t>SAC Ziedugravas</w:t>
            </w:r>
          </w:p>
        </w:tc>
        <w:tc>
          <w:tcPr>
            <w:tcW w:w="1843" w:type="dxa"/>
            <w:tcBorders>
              <w:top w:val="single" w:sz="4" w:space="0" w:color="auto"/>
              <w:left w:val="nil"/>
              <w:bottom w:val="single" w:sz="4" w:space="0" w:color="auto"/>
              <w:right w:val="single" w:sz="4" w:space="0" w:color="auto"/>
            </w:tcBorders>
            <w:vAlign w:val="center"/>
          </w:tcPr>
          <w:p w:rsidR="00024AD0" w:rsidP="00F80C79" w14:paraId="2997C60E" w14:textId="77777777">
            <w:pPr>
              <w:spacing w:after="0" w:line="240" w:lineRule="auto"/>
              <w:jc w:val="center"/>
              <w:rPr>
                <w:color w:val="000000"/>
                <w:lang w:eastAsia="lv-LV"/>
              </w:rPr>
            </w:pPr>
            <w:r>
              <w:rPr>
                <w:color w:val="000000"/>
                <w:lang w:eastAsia="lv-LV"/>
              </w:rPr>
              <w:t>460.00</w:t>
            </w:r>
          </w:p>
        </w:tc>
      </w:tr>
    </w:tbl>
    <w:p w:rsidR="00024AD0" w:rsidRPr="009A7761" w:rsidP="00024AD0" w14:paraId="1295C74E" w14:textId="1FE14CC5">
      <w:pPr>
        <w:pStyle w:val="Heading1"/>
        <w:ind w:left="720"/>
        <w:rPr>
          <w:rFonts w:eastAsia="Calibri"/>
          <w:sz w:val="24"/>
          <w:szCs w:val="24"/>
          <w:shd w:val="clear" w:color="auto" w:fill="FFFFFF"/>
        </w:rPr>
      </w:pPr>
      <w:bookmarkStart w:id="10" w:name="_Toc169020673"/>
      <w:bookmarkStart w:id="11" w:name="_Toc201145443"/>
      <w:r>
        <w:rPr>
          <w:rFonts w:eastAsia="Calibri"/>
          <w:sz w:val="24"/>
          <w:szCs w:val="24"/>
          <w:shd w:val="clear" w:color="auto" w:fill="FFFFFF"/>
        </w:rPr>
        <w:t>S</w:t>
      </w:r>
      <w:r w:rsidR="00514D05">
        <w:rPr>
          <w:rFonts w:eastAsia="Calibri"/>
          <w:sz w:val="24"/>
          <w:szCs w:val="24"/>
          <w:shd w:val="clear" w:color="auto" w:fill="FFFFFF"/>
        </w:rPr>
        <w:t xml:space="preserve">aistību un garantiju apjomi </w:t>
      </w:r>
      <w:bookmarkEnd w:id="10"/>
      <w:bookmarkEnd w:id="11"/>
    </w:p>
    <w:p w:rsidR="00024AD0" w:rsidRPr="009A7761" w:rsidP="00024AD0" w14:paraId="170BB3D6" w14:textId="77777777">
      <w:pPr>
        <w:spacing w:after="0" w:line="240" w:lineRule="auto"/>
        <w:ind w:firstLine="720"/>
        <w:jc w:val="both"/>
        <w:rPr>
          <w:rFonts w:eastAsia="Calibri"/>
        </w:rPr>
      </w:pPr>
      <w:r>
        <w:rPr>
          <w:rFonts w:eastAsia="Calibri"/>
        </w:rPr>
        <w:t xml:space="preserve">2025. gadā pašvaldība ir noslēgusi sešus jaunus aizņēmumu līgumus ar Valsts kasi par kopējo summu 6 867 971 EUR, daži līgumi ir slēgti ar apgūšanas termiņu uz diviem gadiem. Kopējā summa, ko pašvaldība 2025. gadā saņēma aizdevumos ir 4 958 136 EUR. </w:t>
      </w:r>
    </w:p>
    <w:p w:rsidR="00024AD0" w:rsidRPr="009A7761" w:rsidP="00024AD0" w14:paraId="36FECA92" w14:textId="77777777">
      <w:pPr>
        <w:spacing w:after="0" w:line="240" w:lineRule="auto"/>
        <w:ind w:firstLine="720"/>
        <w:jc w:val="both"/>
        <w:rPr>
          <w:rFonts w:eastAsia="Calibri"/>
        </w:rPr>
      </w:pPr>
      <w:r>
        <w:rPr>
          <w:rFonts w:eastAsia="Calibri"/>
        </w:rPr>
        <w:t>Pārskata gadā pašvaldība, ievērojot līgumu nosacījumus, ir veikusi aizņēmumu pamatsummas atmaksu Valsts kasei 2 485 026 EUR apmērā.</w:t>
      </w:r>
    </w:p>
    <w:p w:rsidR="00024AD0" w:rsidRPr="009A7761" w:rsidP="00024AD0" w14:paraId="67AE14DC" w14:textId="77777777">
      <w:pPr>
        <w:spacing w:after="0" w:line="240" w:lineRule="auto"/>
        <w:ind w:firstLine="720"/>
        <w:jc w:val="both"/>
        <w:rPr>
          <w:rFonts w:eastAsia="Calibri"/>
        </w:rPr>
      </w:pPr>
      <w:r>
        <w:rPr>
          <w:rFonts w:eastAsia="Calibri"/>
        </w:rPr>
        <w:t>Kopumā pašvaldībai ir aktīvi 111 aizdevuma līgumi, un kopējā parāda summa uz pārskata gada beigām bija 27 981 335 EUR un septiņi galvojumu līgumi par 2 050 799 EUR.</w:t>
      </w:r>
    </w:p>
    <w:p w:rsidR="00024AD0" w:rsidRPr="009A7761" w:rsidP="00024AD0" w14:paraId="1C632340" w14:textId="77777777">
      <w:pPr>
        <w:spacing w:after="0" w:line="240" w:lineRule="auto"/>
        <w:ind w:firstLine="720"/>
        <w:jc w:val="both"/>
        <w:rPr>
          <w:rFonts w:eastAsia="Calibri"/>
        </w:rPr>
      </w:pPr>
      <w:r>
        <w:rPr>
          <w:rFonts w:eastAsia="Calibri"/>
        </w:rPr>
        <w:t>Saistību apjoms 2025. gadā bija 9.13 % no plānotajiem pamatbudžeta ieņēmumiem.</w:t>
      </w:r>
    </w:p>
    <w:p w:rsidR="00024AD0" w:rsidRPr="009A7761" w:rsidP="00024AD0" w14:paraId="224C143C" w14:textId="77777777">
      <w:pPr>
        <w:pStyle w:val="ManiVirsraksti"/>
        <w:rPr>
          <w:rFonts w:eastAsia="Calibri"/>
          <w:sz w:val="24"/>
          <w:szCs w:val="24"/>
        </w:rPr>
      </w:pPr>
      <w:r>
        <w:rPr>
          <w:rFonts w:eastAsia="Calibri"/>
          <w:sz w:val="24"/>
          <w:szCs w:val="24"/>
        </w:rPr>
        <w:drawing>
          <wp:inline distT="0" distB="0" distL="0" distR="0">
            <wp:extent cx="5610225" cy="3943350"/>
            <wp:effectExtent l="0" t="0" r="9525" b="0"/>
            <wp:docPr id="1579842374" name="Diagramma 1">
              <a:extLst xmlns:a="http://schemas.openxmlformats.org/drawingml/2006/main">
                <a:ext xmlns:a="http://schemas.openxmlformats.org/drawingml/2006/main" uri="{FF2B5EF4-FFF2-40B4-BE49-F238E27FC236}">
                  <a16:creationId xmlns:a16="http://schemas.microsoft.com/office/drawing/2014/main" id="{236CAE9C-20C5-92EC-CBED-2FD1DCD729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24AD0" w:rsidRPr="009A7761" w:rsidP="00024AD0" w14:paraId="5BB10E4C" w14:textId="77777777">
      <w:pPr>
        <w:spacing w:line="256" w:lineRule="auto"/>
        <w:rPr>
          <w:rFonts w:eastAsia="Calibri"/>
          <w:noProof/>
        </w:rPr>
      </w:pPr>
      <w:r>
        <w:rPr>
          <w:rFonts w:eastAsia="Calibri"/>
          <w:noProof/>
        </w:rPr>
        <w:t>*Saistību apmērs = gada pamatsumma + procenti + aizdevuma apkalpošana</w:t>
      </w:r>
    </w:p>
    <w:p w:rsidR="00024AD0" w:rsidRPr="009A7761" w:rsidP="00024AD0" w14:paraId="327E64E8" w14:textId="77777777">
      <w:pPr>
        <w:pStyle w:val="ManiVirsraksti"/>
        <w:ind w:firstLine="709"/>
        <w:jc w:val="both"/>
        <w:rPr>
          <w:sz w:val="24"/>
          <w:szCs w:val="24"/>
          <w:lang w:eastAsia="lv-LV"/>
        </w:rPr>
      </w:pPr>
    </w:p>
    <w:p w:rsidR="00024AD0" w:rsidRPr="009A7761" w:rsidP="00024AD0" w14:paraId="35F1F651" w14:textId="7F54B85F">
      <w:pPr>
        <w:pStyle w:val="Heading1"/>
        <w:ind w:left="720"/>
        <w:rPr>
          <w:sz w:val="24"/>
          <w:szCs w:val="24"/>
          <w:lang w:eastAsia="lv-LV"/>
        </w:rPr>
      </w:pPr>
      <w:bookmarkStart w:id="12" w:name="_Toc169020674"/>
      <w:bookmarkStart w:id="13" w:name="_Toc201145444"/>
      <w:r>
        <w:rPr>
          <w:sz w:val="24"/>
          <w:szCs w:val="24"/>
          <w:lang w:eastAsia="lv-LV"/>
        </w:rPr>
        <w:t>N</w:t>
      </w:r>
      <w:r w:rsidR="00514D05">
        <w:rPr>
          <w:sz w:val="24"/>
          <w:szCs w:val="24"/>
          <w:lang w:eastAsia="lv-LV"/>
        </w:rPr>
        <w:t xml:space="preserve">ekustamā īpašuma novērtējums divos iepriekšējos gados </w:t>
      </w:r>
      <w:bookmarkEnd w:id="12"/>
      <w:bookmarkEnd w:id="13"/>
    </w:p>
    <w:tbl>
      <w:tblPr>
        <w:tblW w:w="7645" w:type="dxa"/>
        <w:jc w:val="center"/>
        <w:tblLook w:val="04A0"/>
      </w:tblPr>
      <w:tblGrid>
        <w:gridCol w:w="960"/>
        <w:gridCol w:w="2900"/>
        <w:gridCol w:w="2080"/>
        <w:gridCol w:w="1705"/>
      </w:tblGrid>
      <w:tr w14:paraId="42988277" w14:textId="77777777" w:rsidTr="00F80C79">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shd w:val="clear" w:color="auto" w:fill="0F4761" w:themeFill="accent1" w:themeFillShade="BF"/>
            <w:vAlign w:val="center"/>
            <w:hideMark/>
          </w:tcPr>
          <w:p w:rsidR="00024AD0" w:rsidRPr="00AE216B" w:rsidP="00F80C79" w14:paraId="1E8359B2" w14:textId="77777777">
            <w:pPr>
              <w:spacing w:after="0" w:line="240" w:lineRule="auto"/>
              <w:jc w:val="center"/>
              <w:rPr>
                <w:color w:val="FFFFFF" w:themeColor="background1"/>
                <w:lang w:eastAsia="lv-LV"/>
              </w:rPr>
            </w:pPr>
            <w:r>
              <w:rPr>
                <w:color w:val="FFFFFF" w:themeColor="background1"/>
                <w:lang w:eastAsia="lv-LV"/>
              </w:rPr>
              <w:t>Nr.p.k</w:t>
            </w:r>
          </w:p>
        </w:tc>
        <w:tc>
          <w:tcPr>
            <w:tcW w:w="2900" w:type="dxa"/>
            <w:tcBorders>
              <w:top w:val="single" w:sz="8" w:space="0" w:color="auto"/>
              <w:left w:val="nil"/>
              <w:bottom w:val="single" w:sz="8" w:space="0" w:color="auto"/>
              <w:right w:val="single" w:sz="8" w:space="0" w:color="auto"/>
            </w:tcBorders>
            <w:shd w:val="clear" w:color="auto" w:fill="0F4761" w:themeFill="accent1" w:themeFillShade="BF"/>
            <w:vAlign w:val="center"/>
            <w:hideMark/>
          </w:tcPr>
          <w:p w:rsidR="00024AD0" w:rsidRPr="00AE216B" w:rsidP="00F80C79" w14:paraId="3014B418" w14:textId="77777777">
            <w:pPr>
              <w:spacing w:after="0" w:line="240" w:lineRule="auto"/>
              <w:jc w:val="center"/>
              <w:rPr>
                <w:color w:val="FFFFFF" w:themeColor="background1"/>
                <w:lang w:eastAsia="lv-LV"/>
              </w:rPr>
            </w:pPr>
            <w:r>
              <w:rPr>
                <w:color w:val="FFFFFF" w:themeColor="background1"/>
                <w:lang w:eastAsia="lv-LV"/>
              </w:rPr>
              <w:t>Posteņa nosaukums</w:t>
            </w:r>
          </w:p>
        </w:tc>
        <w:tc>
          <w:tcPr>
            <w:tcW w:w="2080" w:type="dxa"/>
            <w:tcBorders>
              <w:top w:val="single" w:sz="8" w:space="0" w:color="auto"/>
              <w:left w:val="nil"/>
              <w:bottom w:val="single" w:sz="8" w:space="0" w:color="auto"/>
              <w:right w:val="single" w:sz="8" w:space="0" w:color="auto"/>
            </w:tcBorders>
            <w:shd w:val="clear" w:color="auto" w:fill="0F4761" w:themeFill="accent1" w:themeFillShade="BF"/>
            <w:vAlign w:val="center"/>
            <w:hideMark/>
          </w:tcPr>
          <w:p w:rsidR="00024AD0" w:rsidRPr="00AE216B" w:rsidP="00F80C79" w14:paraId="254DB990" w14:textId="77777777">
            <w:pPr>
              <w:spacing w:after="0" w:line="240" w:lineRule="auto"/>
              <w:jc w:val="center"/>
              <w:rPr>
                <w:color w:val="FFFFFF" w:themeColor="background1"/>
                <w:lang w:eastAsia="lv-LV"/>
              </w:rPr>
            </w:pPr>
            <w:r>
              <w:rPr>
                <w:color w:val="FFFFFF" w:themeColor="background1"/>
                <w:lang w:eastAsia="lv-LV"/>
              </w:rPr>
              <w:t>2025. gada bilances dati</w:t>
            </w:r>
          </w:p>
        </w:tc>
        <w:tc>
          <w:tcPr>
            <w:tcW w:w="1705" w:type="dxa"/>
            <w:tcBorders>
              <w:top w:val="single" w:sz="8" w:space="0" w:color="auto"/>
              <w:left w:val="nil"/>
              <w:bottom w:val="single" w:sz="8" w:space="0" w:color="auto"/>
              <w:right w:val="single" w:sz="8" w:space="0" w:color="auto"/>
            </w:tcBorders>
            <w:shd w:val="clear" w:color="auto" w:fill="0F4761" w:themeFill="accent1" w:themeFillShade="BF"/>
            <w:vAlign w:val="center"/>
            <w:hideMark/>
          </w:tcPr>
          <w:p w:rsidR="00024AD0" w:rsidRPr="00AE216B" w:rsidP="00F80C79" w14:paraId="31D48FAC" w14:textId="77777777">
            <w:pPr>
              <w:spacing w:after="0" w:line="240" w:lineRule="auto"/>
              <w:jc w:val="center"/>
              <w:rPr>
                <w:color w:val="FFFFFF" w:themeColor="background1"/>
                <w:lang w:eastAsia="lv-LV"/>
              </w:rPr>
            </w:pPr>
            <w:r>
              <w:rPr>
                <w:color w:val="FFFFFF" w:themeColor="background1"/>
                <w:lang w:eastAsia="lv-LV"/>
              </w:rPr>
              <w:t>2024. gada bilances dati</w:t>
            </w:r>
          </w:p>
        </w:tc>
      </w:tr>
      <w:tr w14:paraId="24567EE6" w14:textId="77777777" w:rsidTr="00F80C79">
        <w:tblPrEx>
          <w:tblW w:w="7645" w:type="dxa"/>
          <w:jc w:val="center"/>
          <w:tblLook w:val="04A0"/>
        </w:tblPrEx>
        <w:trPr>
          <w:trHeight w:val="645"/>
          <w:jc w:val="center"/>
        </w:trPr>
        <w:tc>
          <w:tcPr>
            <w:tcW w:w="960" w:type="dxa"/>
            <w:tcBorders>
              <w:top w:val="nil"/>
              <w:left w:val="single" w:sz="8" w:space="0" w:color="auto"/>
              <w:bottom w:val="single" w:sz="8" w:space="0" w:color="auto"/>
              <w:right w:val="single" w:sz="8" w:space="0" w:color="auto"/>
            </w:tcBorders>
            <w:vAlign w:val="center"/>
            <w:hideMark/>
          </w:tcPr>
          <w:p w:rsidR="00024AD0" w:rsidRPr="009A7761" w:rsidP="00F80C79" w14:paraId="6FD1E5EB" w14:textId="77777777">
            <w:pPr>
              <w:spacing w:after="0" w:line="240" w:lineRule="auto"/>
              <w:rPr>
                <w:b/>
                <w:bCs/>
                <w:color w:val="000000"/>
                <w:lang w:eastAsia="lv-LV"/>
              </w:rPr>
            </w:pPr>
            <w:r>
              <w:rPr>
                <w:b/>
                <w:bCs/>
                <w:color w:val="000000"/>
                <w:lang w:eastAsia="lv-LV"/>
              </w:rPr>
              <w:t>I</w:t>
            </w:r>
          </w:p>
        </w:tc>
        <w:tc>
          <w:tcPr>
            <w:tcW w:w="2900" w:type="dxa"/>
            <w:tcBorders>
              <w:top w:val="nil"/>
              <w:left w:val="nil"/>
              <w:bottom w:val="single" w:sz="8" w:space="0" w:color="auto"/>
              <w:right w:val="single" w:sz="8" w:space="0" w:color="auto"/>
            </w:tcBorders>
            <w:vAlign w:val="center"/>
            <w:hideMark/>
          </w:tcPr>
          <w:p w:rsidR="00024AD0" w:rsidRPr="009A7761" w:rsidP="00F80C79" w14:paraId="626E6EA4" w14:textId="77777777">
            <w:pPr>
              <w:spacing w:after="0" w:line="240" w:lineRule="auto"/>
              <w:rPr>
                <w:b/>
                <w:bCs/>
                <w:color w:val="000000"/>
                <w:lang w:eastAsia="lv-LV"/>
              </w:rPr>
            </w:pPr>
            <w:r>
              <w:rPr>
                <w:b/>
                <w:bCs/>
                <w:color w:val="000000"/>
                <w:lang w:eastAsia="lv-LV"/>
              </w:rPr>
              <w:t>Nemateriālie ieguldījumi,</w:t>
            </w:r>
            <w:r>
              <w:rPr>
                <w:b/>
                <w:bCs/>
                <w:i/>
                <w:iCs/>
                <w:color w:val="000000"/>
                <w:lang w:eastAsia="lv-LV"/>
              </w:rPr>
              <w:t xml:space="preserve"> t.sk</w:t>
            </w:r>
            <w:r>
              <w:rPr>
                <w:b/>
                <w:bCs/>
                <w:color w:val="000000"/>
                <w:lang w:eastAsia="lv-LV"/>
              </w:rPr>
              <w:t>.:</w:t>
            </w:r>
          </w:p>
        </w:tc>
        <w:tc>
          <w:tcPr>
            <w:tcW w:w="2080" w:type="dxa"/>
            <w:tcBorders>
              <w:top w:val="nil"/>
              <w:left w:val="nil"/>
              <w:bottom w:val="single" w:sz="8" w:space="0" w:color="auto"/>
              <w:right w:val="single" w:sz="8" w:space="0" w:color="auto"/>
            </w:tcBorders>
            <w:vAlign w:val="center"/>
            <w:hideMark/>
          </w:tcPr>
          <w:p w:rsidR="00024AD0" w:rsidRPr="009A7761" w:rsidP="00F80C79" w14:paraId="41977699" w14:textId="77777777">
            <w:pPr>
              <w:spacing w:after="0" w:line="240" w:lineRule="auto"/>
              <w:jc w:val="right"/>
              <w:rPr>
                <w:b/>
                <w:bCs/>
                <w:color w:val="000000"/>
                <w:lang w:eastAsia="lv-LV"/>
              </w:rPr>
            </w:pPr>
            <w:r>
              <w:rPr>
                <w:b/>
                <w:bCs/>
                <w:color w:val="000000"/>
                <w:lang w:eastAsia="lv-LV"/>
              </w:rPr>
              <w:t>243 818</w:t>
            </w:r>
          </w:p>
        </w:tc>
        <w:tc>
          <w:tcPr>
            <w:tcW w:w="1705" w:type="dxa"/>
            <w:tcBorders>
              <w:top w:val="nil"/>
              <w:left w:val="nil"/>
              <w:bottom w:val="single" w:sz="8" w:space="0" w:color="auto"/>
              <w:right w:val="single" w:sz="8" w:space="0" w:color="auto"/>
            </w:tcBorders>
            <w:vAlign w:val="center"/>
            <w:hideMark/>
          </w:tcPr>
          <w:p w:rsidR="00024AD0" w:rsidRPr="009A7761" w:rsidP="00F80C79" w14:paraId="6AADB06F" w14:textId="77777777">
            <w:pPr>
              <w:spacing w:after="0" w:line="240" w:lineRule="auto"/>
              <w:jc w:val="right"/>
              <w:rPr>
                <w:b/>
                <w:bCs/>
                <w:color w:val="000000"/>
                <w:lang w:eastAsia="lv-LV"/>
              </w:rPr>
            </w:pPr>
            <w:r>
              <w:rPr>
                <w:b/>
                <w:bCs/>
                <w:color w:val="000000"/>
                <w:lang w:eastAsia="lv-LV"/>
              </w:rPr>
              <w:t>176 820</w:t>
            </w:r>
          </w:p>
        </w:tc>
      </w:tr>
      <w:tr w14:paraId="5B36467F" w14:textId="77777777" w:rsidTr="00F80C79">
        <w:tblPrEx>
          <w:tblW w:w="7645" w:type="dxa"/>
          <w:jc w:val="center"/>
          <w:tblLook w:val="04A0"/>
        </w:tblPrEx>
        <w:trPr>
          <w:trHeight w:val="645"/>
          <w:jc w:val="center"/>
        </w:trPr>
        <w:tc>
          <w:tcPr>
            <w:tcW w:w="960" w:type="dxa"/>
            <w:tcBorders>
              <w:top w:val="nil"/>
              <w:left w:val="single" w:sz="8" w:space="0" w:color="auto"/>
              <w:bottom w:val="single" w:sz="8" w:space="0" w:color="auto"/>
              <w:right w:val="single" w:sz="8" w:space="0" w:color="auto"/>
            </w:tcBorders>
            <w:vAlign w:val="center"/>
            <w:hideMark/>
          </w:tcPr>
          <w:p w:rsidR="00024AD0" w:rsidRPr="009A7761" w:rsidP="00F80C79" w14:paraId="254EF89A" w14:textId="77777777">
            <w:pPr>
              <w:spacing w:after="0" w:line="240" w:lineRule="auto"/>
              <w:jc w:val="right"/>
              <w:rPr>
                <w:color w:val="000000"/>
                <w:lang w:eastAsia="lv-LV"/>
              </w:rPr>
            </w:pPr>
            <w:r>
              <w:rPr>
                <w:color w:val="000000"/>
                <w:lang w:eastAsia="lv-LV"/>
              </w:rPr>
              <w:t> </w:t>
            </w:r>
          </w:p>
        </w:tc>
        <w:tc>
          <w:tcPr>
            <w:tcW w:w="2900" w:type="dxa"/>
            <w:tcBorders>
              <w:top w:val="nil"/>
              <w:left w:val="nil"/>
              <w:bottom w:val="single" w:sz="8" w:space="0" w:color="auto"/>
              <w:right w:val="single" w:sz="8" w:space="0" w:color="auto"/>
            </w:tcBorders>
            <w:vAlign w:val="center"/>
            <w:hideMark/>
          </w:tcPr>
          <w:p w:rsidR="00024AD0" w:rsidRPr="009A7761" w:rsidP="00F80C79" w14:paraId="61A3E484" w14:textId="77777777">
            <w:pPr>
              <w:spacing w:after="0" w:line="240" w:lineRule="auto"/>
              <w:jc w:val="right"/>
              <w:rPr>
                <w:i/>
                <w:iCs/>
                <w:color w:val="000000"/>
                <w:lang w:eastAsia="lv-LV"/>
              </w:rPr>
            </w:pPr>
            <w:r>
              <w:rPr>
                <w:i/>
                <w:iCs/>
                <w:color w:val="000000"/>
                <w:lang w:eastAsia="lv-LV"/>
              </w:rPr>
              <w:t>attīstības pasākumi un programmas</w:t>
            </w:r>
          </w:p>
        </w:tc>
        <w:tc>
          <w:tcPr>
            <w:tcW w:w="2080" w:type="dxa"/>
            <w:tcBorders>
              <w:top w:val="nil"/>
              <w:left w:val="nil"/>
              <w:bottom w:val="single" w:sz="8" w:space="0" w:color="auto"/>
              <w:right w:val="single" w:sz="8" w:space="0" w:color="auto"/>
            </w:tcBorders>
            <w:vAlign w:val="center"/>
            <w:hideMark/>
          </w:tcPr>
          <w:p w:rsidR="00024AD0" w:rsidRPr="009A7761" w:rsidP="00F80C79" w14:paraId="67827B1C" w14:textId="77777777">
            <w:pPr>
              <w:spacing w:after="0" w:line="240" w:lineRule="auto"/>
              <w:jc w:val="right"/>
              <w:rPr>
                <w:color w:val="000000"/>
                <w:lang w:eastAsia="lv-LV"/>
              </w:rPr>
            </w:pPr>
            <w:r>
              <w:rPr>
                <w:color w:val="000000"/>
                <w:lang w:eastAsia="lv-LV"/>
              </w:rPr>
              <w:t>63 013</w:t>
            </w:r>
          </w:p>
        </w:tc>
        <w:tc>
          <w:tcPr>
            <w:tcW w:w="1705" w:type="dxa"/>
            <w:tcBorders>
              <w:top w:val="nil"/>
              <w:left w:val="nil"/>
              <w:bottom w:val="single" w:sz="8" w:space="0" w:color="auto"/>
              <w:right w:val="single" w:sz="8" w:space="0" w:color="auto"/>
            </w:tcBorders>
            <w:vAlign w:val="center"/>
            <w:hideMark/>
          </w:tcPr>
          <w:p w:rsidR="00024AD0" w:rsidRPr="009A7761" w:rsidP="00F80C79" w14:paraId="13B9D53D" w14:textId="77777777">
            <w:pPr>
              <w:spacing w:after="0" w:line="240" w:lineRule="auto"/>
              <w:jc w:val="right"/>
              <w:rPr>
                <w:color w:val="000000"/>
                <w:lang w:eastAsia="lv-LV"/>
              </w:rPr>
            </w:pPr>
            <w:r>
              <w:rPr>
                <w:color w:val="000000"/>
                <w:lang w:eastAsia="lv-LV"/>
              </w:rPr>
              <w:t>79 091</w:t>
            </w:r>
          </w:p>
        </w:tc>
      </w:tr>
      <w:tr w14:paraId="53D67199" w14:textId="77777777" w:rsidTr="00F80C79">
        <w:tblPrEx>
          <w:tblW w:w="7645" w:type="dxa"/>
          <w:jc w:val="center"/>
          <w:tblLook w:val="04A0"/>
        </w:tblPrEx>
        <w:trPr>
          <w:trHeight w:val="645"/>
          <w:jc w:val="center"/>
        </w:trPr>
        <w:tc>
          <w:tcPr>
            <w:tcW w:w="960" w:type="dxa"/>
            <w:tcBorders>
              <w:top w:val="nil"/>
              <w:left w:val="single" w:sz="8" w:space="0" w:color="auto"/>
              <w:bottom w:val="single" w:sz="8" w:space="0" w:color="auto"/>
              <w:right w:val="single" w:sz="8" w:space="0" w:color="auto"/>
            </w:tcBorders>
            <w:vAlign w:val="center"/>
            <w:hideMark/>
          </w:tcPr>
          <w:p w:rsidR="00024AD0" w:rsidRPr="009A7761" w:rsidP="00F80C79" w14:paraId="4C3B5EF6" w14:textId="77777777">
            <w:pPr>
              <w:spacing w:after="0" w:line="240" w:lineRule="auto"/>
              <w:jc w:val="right"/>
              <w:rPr>
                <w:color w:val="000000"/>
                <w:lang w:eastAsia="lv-LV"/>
              </w:rPr>
            </w:pPr>
            <w:r>
              <w:rPr>
                <w:color w:val="000000"/>
                <w:lang w:eastAsia="lv-LV"/>
              </w:rPr>
              <w:t> </w:t>
            </w:r>
          </w:p>
        </w:tc>
        <w:tc>
          <w:tcPr>
            <w:tcW w:w="2900" w:type="dxa"/>
            <w:tcBorders>
              <w:top w:val="nil"/>
              <w:left w:val="nil"/>
              <w:bottom w:val="single" w:sz="8" w:space="0" w:color="auto"/>
              <w:right w:val="single" w:sz="8" w:space="0" w:color="auto"/>
            </w:tcBorders>
            <w:vAlign w:val="center"/>
            <w:hideMark/>
          </w:tcPr>
          <w:p w:rsidR="00024AD0" w:rsidRPr="009A7761" w:rsidP="00F80C79" w14:paraId="1CB6E1A1" w14:textId="77777777">
            <w:pPr>
              <w:spacing w:after="0" w:line="240" w:lineRule="auto"/>
              <w:jc w:val="right"/>
              <w:rPr>
                <w:i/>
                <w:iCs/>
                <w:color w:val="000000"/>
                <w:lang w:eastAsia="lv-LV"/>
              </w:rPr>
            </w:pPr>
            <w:r>
              <w:rPr>
                <w:i/>
                <w:iCs/>
                <w:color w:val="000000"/>
                <w:lang w:eastAsia="lv-LV"/>
              </w:rPr>
              <w:t>licences, koncesijas un patenti</w:t>
            </w:r>
          </w:p>
        </w:tc>
        <w:tc>
          <w:tcPr>
            <w:tcW w:w="2080" w:type="dxa"/>
            <w:tcBorders>
              <w:top w:val="nil"/>
              <w:left w:val="nil"/>
              <w:bottom w:val="single" w:sz="8" w:space="0" w:color="auto"/>
              <w:right w:val="single" w:sz="8" w:space="0" w:color="auto"/>
            </w:tcBorders>
            <w:vAlign w:val="center"/>
            <w:hideMark/>
          </w:tcPr>
          <w:p w:rsidR="00024AD0" w:rsidRPr="009A7761" w:rsidP="00F80C79" w14:paraId="2EFAA44C" w14:textId="77777777">
            <w:pPr>
              <w:spacing w:after="0" w:line="240" w:lineRule="auto"/>
              <w:jc w:val="right"/>
              <w:rPr>
                <w:color w:val="000000"/>
                <w:lang w:eastAsia="lv-LV"/>
              </w:rPr>
            </w:pPr>
            <w:r>
              <w:rPr>
                <w:color w:val="000000"/>
                <w:lang w:eastAsia="lv-LV"/>
              </w:rPr>
              <w:t>16 316</w:t>
            </w:r>
          </w:p>
        </w:tc>
        <w:tc>
          <w:tcPr>
            <w:tcW w:w="1705" w:type="dxa"/>
            <w:tcBorders>
              <w:top w:val="nil"/>
              <w:left w:val="nil"/>
              <w:bottom w:val="single" w:sz="8" w:space="0" w:color="auto"/>
              <w:right w:val="single" w:sz="8" w:space="0" w:color="auto"/>
            </w:tcBorders>
            <w:vAlign w:val="center"/>
            <w:hideMark/>
          </w:tcPr>
          <w:p w:rsidR="00024AD0" w:rsidRPr="009A7761" w:rsidP="00F80C79" w14:paraId="607DC409" w14:textId="77777777">
            <w:pPr>
              <w:spacing w:after="0" w:line="240" w:lineRule="auto"/>
              <w:jc w:val="right"/>
              <w:rPr>
                <w:color w:val="000000"/>
                <w:lang w:eastAsia="lv-LV"/>
              </w:rPr>
            </w:pPr>
            <w:r>
              <w:rPr>
                <w:color w:val="000000"/>
                <w:lang w:eastAsia="lv-LV"/>
              </w:rPr>
              <w:t>19 906</w:t>
            </w:r>
          </w:p>
        </w:tc>
      </w:tr>
      <w:tr w14:paraId="378690D4" w14:textId="77777777" w:rsidTr="00F80C79">
        <w:tblPrEx>
          <w:tblW w:w="7645" w:type="dxa"/>
          <w:jc w:val="center"/>
          <w:tblLook w:val="04A0"/>
        </w:tblPrEx>
        <w:trPr>
          <w:trHeight w:val="645"/>
          <w:jc w:val="center"/>
        </w:trPr>
        <w:tc>
          <w:tcPr>
            <w:tcW w:w="960" w:type="dxa"/>
            <w:tcBorders>
              <w:top w:val="nil"/>
              <w:left w:val="single" w:sz="8" w:space="0" w:color="auto"/>
              <w:bottom w:val="single" w:sz="8" w:space="0" w:color="auto"/>
              <w:right w:val="single" w:sz="8" w:space="0" w:color="auto"/>
            </w:tcBorders>
            <w:vAlign w:val="center"/>
            <w:hideMark/>
          </w:tcPr>
          <w:p w:rsidR="00024AD0" w:rsidRPr="009A7761" w:rsidP="00F80C79" w14:paraId="64D0DCBC" w14:textId="77777777">
            <w:pPr>
              <w:spacing w:after="0" w:line="240" w:lineRule="auto"/>
              <w:rPr>
                <w:b/>
                <w:bCs/>
                <w:color w:val="000000"/>
                <w:lang w:eastAsia="lv-LV"/>
              </w:rPr>
            </w:pPr>
            <w:r>
              <w:rPr>
                <w:b/>
                <w:bCs/>
                <w:color w:val="000000"/>
                <w:lang w:eastAsia="lv-LV"/>
              </w:rPr>
              <w:t> </w:t>
            </w:r>
          </w:p>
        </w:tc>
        <w:tc>
          <w:tcPr>
            <w:tcW w:w="2900" w:type="dxa"/>
            <w:tcBorders>
              <w:top w:val="nil"/>
              <w:left w:val="nil"/>
              <w:bottom w:val="single" w:sz="8" w:space="0" w:color="auto"/>
              <w:right w:val="single" w:sz="8" w:space="0" w:color="auto"/>
            </w:tcBorders>
            <w:vAlign w:val="center"/>
            <w:hideMark/>
          </w:tcPr>
          <w:p w:rsidR="00024AD0" w:rsidRPr="009A7761" w:rsidP="00F80C79" w14:paraId="3BB1168D" w14:textId="77777777">
            <w:pPr>
              <w:spacing w:after="0" w:line="240" w:lineRule="auto"/>
              <w:jc w:val="right"/>
              <w:rPr>
                <w:i/>
                <w:iCs/>
                <w:color w:val="000000"/>
                <w:lang w:eastAsia="lv-LV"/>
              </w:rPr>
            </w:pPr>
            <w:r>
              <w:rPr>
                <w:i/>
                <w:iCs/>
                <w:color w:val="000000"/>
                <w:lang w:eastAsia="lv-LV"/>
              </w:rPr>
              <w:t>pārējie nemateriālie ieguldījumi</w:t>
            </w:r>
          </w:p>
        </w:tc>
        <w:tc>
          <w:tcPr>
            <w:tcW w:w="2080" w:type="dxa"/>
            <w:tcBorders>
              <w:top w:val="nil"/>
              <w:left w:val="nil"/>
              <w:bottom w:val="single" w:sz="8" w:space="0" w:color="auto"/>
              <w:right w:val="single" w:sz="8" w:space="0" w:color="auto"/>
            </w:tcBorders>
            <w:vAlign w:val="center"/>
            <w:hideMark/>
          </w:tcPr>
          <w:p w:rsidR="00024AD0" w:rsidRPr="009A7761" w:rsidP="00F80C79" w14:paraId="13BAFB8A" w14:textId="77777777">
            <w:pPr>
              <w:spacing w:after="0" w:line="240" w:lineRule="auto"/>
              <w:jc w:val="right"/>
              <w:rPr>
                <w:color w:val="000000"/>
                <w:lang w:eastAsia="lv-LV"/>
              </w:rPr>
            </w:pPr>
            <w:r>
              <w:rPr>
                <w:color w:val="000000"/>
                <w:lang w:eastAsia="lv-LV"/>
              </w:rPr>
              <w:t>102 210</w:t>
            </w:r>
          </w:p>
        </w:tc>
        <w:tc>
          <w:tcPr>
            <w:tcW w:w="1705" w:type="dxa"/>
            <w:tcBorders>
              <w:top w:val="nil"/>
              <w:left w:val="nil"/>
              <w:bottom w:val="single" w:sz="8" w:space="0" w:color="auto"/>
              <w:right w:val="single" w:sz="8" w:space="0" w:color="auto"/>
            </w:tcBorders>
            <w:vAlign w:val="center"/>
            <w:hideMark/>
          </w:tcPr>
          <w:p w:rsidR="00024AD0" w:rsidRPr="009A7761" w:rsidP="00F80C79" w14:paraId="07508838" w14:textId="77777777">
            <w:pPr>
              <w:spacing w:after="0" w:line="240" w:lineRule="auto"/>
              <w:jc w:val="right"/>
              <w:rPr>
                <w:color w:val="000000"/>
                <w:lang w:eastAsia="lv-LV"/>
              </w:rPr>
            </w:pPr>
            <w:r>
              <w:rPr>
                <w:color w:val="000000"/>
                <w:lang w:eastAsia="lv-LV"/>
              </w:rPr>
              <w:t>54 270</w:t>
            </w:r>
          </w:p>
        </w:tc>
      </w:tr>
      <w:tr w14:paraId="702AB60C" w14:textId="77777777" w:rsidTr="00F80C79">
        <w:tblPrEx>
          <w:tblW w:w="7645" w:type="dxa"/>
          <w:jc w:val="center"/>
          <w:tblLook w:val="04A0"/>
        </w:tblPrEx>
        <w:trPr>
          <w:trHeight w:val="645"/>
          <w:jc w:val="center"/>
        </w:trPr>
        <w:tc>
          <w:tcPr>
            <w:tcW w:w="960" w:type="dxa"/>
            <w:tcBorders>
              <w:top w:val="nil"/>
              <w:left w:val="single" w:sz="8" w:space="0" w:color="auto"/>
              <w:bottom w:val="single" w:sz="8" w:space="0" w:color="auto"/>
              <w:right w:val="single" w:sz="8" w:space="0" w:color="auto"/>
            </w:tcBorders>
            <w:vAlign w:val="center"/>
            <w:hideMark/>
          </w:tcPr>
          <w:p w:rsidR="00024AD0" w:rsidRPr="009A7761" w:rsidP="00F80C79" w14:paraId="406EEF9B" w14:textId="77777777">
            <w:pPr>
              <w:spacing w:after="0" w:line="240" w:lineRule="auto"/>
              <w:rPr>
                <w:b/>
                <w:bCs/>
                <w:color w:val="000000"/>
                <w:lang w:eastAsia="lv-LV"/>
              </w:rPr>
            </w:pPr>
            <w:r>
              <w:rPr>
                <w:b/>
                <w:bCs/>
                <w:color w:val="000000"/>
                <w:lang w:eastAsia="lv-LV"/>
              </w:rPr>
              <w:t> </w:t>
            </w:r>
          </w:p>
        </w:tc>
        <w:tc>
          <w:tcPr>
            <w:tcW w:w="2900" w:type="dxa"/>
            <w:tcBorders>
              <w:top w:val="nil"/>
              <w:left w:val="nil"/>
              <w:bottom w:val="single" w:sz="8" w:space="0" w:color="auto"/>
              <w:right w:val="single" w:sz="8" w:space="0" w:color="auto"/>
            </w:tcBorders>
            <w:vAlign w:val="center"/>
            <w:hideMark/>
          </w:tcPr>
          <w:p w:rsidR="00024AD0" w:rsidRPr="009A7761" w:rsidP="00F80C79" w14:paraId="7AEAD7EF" w14:textId="77777777">
            <w:pPr>
              <w:spacing w:after="0" w:line="240" w:lineRule="auto"/>
              <w:jc w:val="right"/>
              <w:rPr>
                <w:i/>
                <w:iCs/>
                <w:color w:val="000000"/>
                <w:lang w:eastAsia="lv-LV"/>
              </w:rPr>
            </w:pPr>
            <w:r>
              <w:rPr>
                <w:i/>
                <w:iCs/>
                <w:color w:val="000000"/>
                <w:lang w:eastAsia="lv-LV"/>
              </w:rPr>
              <w:t>nemateriālo ieguldījumu izveidošana</w:t>
            </w:r>
          </w:p>
        </w:tc>
        <w:tc>
          <w:tcPr>
            <w:tcW w:w="2080" w:type="dxa"/>
            <w:tcBorders>
              <w:top w:val="nil"/>
              <w:left w:val="nil"/>
              <w:bottom w:val="single" w:sz="8" w:space="0" w:color="auto"/>
              <w:right w:val="single" w:sz="8" w:space="0" w:color="auto"/>
            </w:tcBorders>
            <w:vAlign w:val="center"/>
            <w:hideMark/>
          </w:tcPr>
          <w:p w:rsidR="00024AD0" w:rsidRPr="009A7761" w:rsidP="00F80C79" w14:paraId="1E6AE8BB" w14:textId="77777777">
            <w:pPr>
              <w:spacing w:after="0" w:line="240" w:lineRule="auto"/>
              <w:jc w:val="right"/>
              <w:rPr>
                <w:color w:val="000000"/>
                <w:lang w:eastAsia="lv-LV"/>
              </w:rPr>
            </w:pPr>
            <w:r>
              <w:rPr>
                <w:color w:val="000000"/>
                <w:lang w:eastAsia="lv-LV"/>
              </w:rPr>
              <w:t>55 124</w:t>
            </w:r>
          </w:p>
        </w:tc>
        <w:tc>
          <w:tcPr>
            <w:tcW w:w="1705" w:type="dxa"/>
            <w:tcBorders>
              <w:top w:val="nil"/>
              <w:left w:val="nil"/>
              <w:bottom w:val="single" w:sz="8" w:space="0" w:color="auto"/>
              <w:right w:val="single" w:sz="8" w:space="0" w:color="auto"/>
            </w:tcBorders>
            <w:vAlign w:val="center"/>
            <w:hideMark/>
          </w:tcPr>
          <w:p w:rsidR="00024AD0" w:rsidRPr="009A7761" w:rsidP="00F80C79" w14:paraId="066F1FFC" w14:textId="77777777">
            <w:pPr>
              <w:spacing w:after="0" w:line="240" w:lineRule="auto"/>
              <w:jc w:val="right"/>
              <w:rPr>
                <w:color w:val="000000"/>
                <w:lang w:eastAsia="lv-LV"/>
              </w:rPr>
            </w:pPr>
            <w:r>
              <w:rPr>
                <w:color w:val="000000"/>
                <w:lang w:eastAsia="lv-LV"/>
              </w:rPr>
              <w:t>16 398</w:t>
            </w:r>
          </w:p>
        </w:tc>
      </w:tr>
      <w:tr w14:paraId="11BB0AB9" w14:textId="77777777" w:rsidTr="00F80C79">
        <w:tblPrEx>
          <w:tblW w:w="7645" w:type="dxa"/>
          <w:jc w:val="center"/>
          <w:tblLook w:val="04A0"/>
        </w:tblPrEx>
        <w:trPr>
          <w:trHeight w:val="645"/>
          <w:jc w:val="center"/>
        </w:trPr>
        <w:tc>
          <w:tcPr>
            <w:tcW w:w="960" w:type="dxa"/>
            <w:tcBorders>
              <w:top w:val="nil"/>
              <w:left w:val="single" w:sz="8" w:space="0" w:color="auto"/>
              <w:bottom w:val="single" w:sz="8" w:space="0" w:color="auto"/>
              <w:right w:val="single" w:sz="8" w:space="0" w:color="auto"/>
            </w:tcBorders>
            <w:vAlign w:val="center"/>
          </w:tcPr>
          <w:p w:rsidR="00024AD0" w:rsidRPr="009A7761" w:rsidP="00F80C79" w14:paraId="3196F0B5" w14:textId="77777777">
            <w:pPr>
              <w:spacing w:after="0" w:line="240" w:lineRule="auto"/>
              <w:rPr>
                <w:b/>
                <w:bCs/>
                <w:color w:val="000000"/>
                <w:lang w:eastAsia="lv-LV"/>
              </w:rPr>
            </w:pPr>
          </w:p>
        </w:tc>
        <w:tc>
          <w:tcPr>
            <w:tcW w:w="2900" w:type="dxa"/>
            <w:tcBorders>
              <w:top w:val="nil"/>
              <w:left w:val="nil"/>
              <w:bottom w:val="single" w:sz="8" w:space="0" w:color="auto"/>
              <w:right w:val="single" w:sz="8" w:space="0" w:color="auto"/>
            </w:tcBorders>
            <w:vAlign w:val="center"/>
          </w:tcPr>
          <w:p w:rsidR="00024AD0" w:rsidRPr="009A7761" w:rsidP="00F80C79" w14:paraId="069D1D75" w14:textId="77777777">
            <w:pPr>
              <w:spacing w:after="0" w:line="240" w:lineRule="auto"/>
              <w:jc w:val="right"/>
              <w:rPr>
                <w:i/>
                <w:iCs/>
                <w:color w:val="000000"/>
                <w:lang w:eastAsia="lv-LV"/>
              </w:rPr>
            </w:pPr>
            <w:r>
              <w:rPr>
                <w:i/>
                <w:iCs/>
                <w:color w:val="000000"/>
                <w:lang w:eastAsia="lv-LV"/>
              </w:rPr>
              <w:t>Avansa maksājumi par nemateriālajiem ieguldījumiem</w:t>
            </w:r>
          </w:p>
        </w:tc>
        <w:tc>
          <w:tcPr>
            <w:tcW w:w="2080" w:type="dxa"/>
            <w:tcBorders>
              <w:top w:val="nil"/>
              <w:left w:val="nil"/>
              <w:bottom w:val="single" w:sz="8" w:space="0" w:color="auto"/>
              <w:right w:val="single" w:sz="8" w:space="0" w:color="auto"/>
            </w:tcBorders>
            <w:vAlign w:val="center"/>
          </w:tcPr>
          <w:p w:rsidR="00024AD0" w:rsidRPr="009A7761" w:rsidP="00F80C79" w14:paraId="547FD2D7" w14:textId="77777777">
            <w:pPr>
              <w:spacing w:after="0" w:line="240" w:lineRule="auto"/>
              <w:jc w:val="right"/>
              <w:rPr>
                <w:color w:val="000000"/>
                <w:lang w:eastAsia="lv-LV"/>
              </w:rPr>
            </w:pPr>
            <w:r>
              <w:rPr>
                <w:color w:val="000000"/>
                <w:lang w:eastAsia="lv-LV"/>
              </w:rPr>
              <w:t>7 155</w:t>
            </w:r>
          </w:p>
        </w:tc>
        <w:tc>
          <w:tcPr>
            <w:tcW w:w="1705" w:type="dxa"/>
            <w:tcBorders>
              <w:top w:val="nil"/>
              <w:left w:val="nil"/>
              <w:bottom w:val="single" w:sz="8" w:space="0" w:color="auto"/>
              <w:right w:val="single" w:sz="8" w:space="0" w:color="auto"/>
            </w:tcBorders>
            <w:vAlign w:val="center"/>
          </w:tcPr>
          <w:p w:rsidR="00024AD0" w:rsidRPr="009A7761" w:rsidP="00F80C79" w14:paraId="46C86AEE" w14:textId="77777777">
            <w:pPr>
              <w:spacing w:after="0" w:line="240" w:lineRule="auto"/>
              <w:jc w:val="right"/>
              <w:rPr>
                <w:color w:val="000000"/>
                <w:lang w:eastAsia="lv-LV"/>
              </w:rPr>
            </w:pPr>
            <w:r>
              <w:rPr>
                <w:color w:val="000000"/>
                <w:lang w:eastAsia="lv-LV"/>
              </w:rPr>
              <w:t>7 155</w:t>
            </w:r>
          </w:p>
        </w:tc>
      </w:tr>
      <w:tr w14:paraId="250BA1A4" w14:textId="77777777" w:rsidTr="00F80C79">
        <w:tblPrEx>
          <w:tblW w:w="7645" w:type="dxa"/>
          <w:jc w:val="center"/>
          <w:tblLook w:val="04A0"/>
        </w:tblPrEx>
        <w:trPr>
          <w:trHeight w:val="330"/>
          <w:jc w:val="center"/>
        </w:trPr>
        <w:tc>
          <w:tcPr>
            <w:tcW w:w="960" w:type="dxa"/>
            <w:tcBorders>
              <w:top w:val="nil"/>
              <w:left w:val="single" w:sz="8" w:space="0" w:color="auto"/>
              <w:bottom w:val="single" w:sz="8" w:space="0" w:color="auto"/>
              <w:right w:val="single" w:sz="8" w:space="0" w:color="auto"/>
            </w:tcBorders>
            <w:vAlign w:val="center"/>
            <w:hideMark/>
          </w:tcPr>
          <w:p w:rsidR="00024AD0" w:rsidRPr="009A7761" w:rsidP="00F80C79" w14:paraId="4F972203" w14:textId="77777777">
            <w:pPr>
              <w:spacing w:after="0" w:line="240" w:lineRule="auto"/>
              <w:rPr>
                <w:b/>
                <w:bCs/>
                <w:color w:val="000000"/>
                <w:lang w:eastAsia="lv-LV"/>
              </w:rPr>
            </w:pPr>
            <w:r>
              <w:rPr>
                <w:b/>
                <w:bCs/>
                <w:color w:val="000000"/>
                <w:lang w:eastAsia="lv-LV"/>
              </w:rPr>
              <w:t>II</w:t>
            </w:r>
          </w:p>
        </w:tc>
        <w:tc>
          <w:tcPr>
            <w:tcW w:w="2900" w:type="dxa"/>
            <w:tcBorders>
              <w:top w:val="nil"/>
              <w:left w:val="nil"/>
              <w:bottom w:val="single" w:sz="8" w:space="0" w:color="auto"/>
              <w:right w:val="single" w:sz="8" w:space="0" w:color="auto"/>
            </w:tcBorders>
            <w:vAlign w:val="center"/>
            <w:hideMark/>
          </w:tcPr>
          <w:p w:rsidR="00024AD0" w:rsidRPr="009A7761" w:rsidP="00F80C79" w14:paraId="7400BFE1" w14:textId="77777777">
            <w:pPr>
              <w:spacing w:after="0" w:line="240" w:lineRule="auto"/>
              <w:rPr>
                <w:b/>
                <w:bCs/>
                <w:color w:val="000000"/>
                <w:lang w:eastAsia="lv-LV"/>
              </w:rPr>
            </w:pPr>
            <w:r>
              <w:rPr>
                <w:b/>
                <w:bCs/>
                <w:color w:val="000000"/>
                <w:lang w:eastAsia="lv-LV"/>
              </w:rPr>
              <w:t xml:space="preserve">Pamatlīdzekļi, </w:t>
            </w:r>
            <w:r>
              <w:rPr>
                <w:b/>
                <w:bCs/>
                <w:i/>
                <w:iCs/>
                <w:color w:val="000000"/>
                <w:lang w:eastAsia="lv-LV"/>
              </w:rPr>
              <w:t>t.sk</w:t>
            </w:r>
            <w:r>
              <w:rPr>
                <w:b/>
                <w:bCs/>
                <w:color w:val="000000"/>
                <w:lang w:eastAsia="lv-LV"/>
              </w:rPr>
              <w:t>.:</w:t>
            </w:r>
          </w:p>
        </w:tc>
        <w:tc>
          <w:tcPr>
            <w:tcW w:w="2080" w:type="dxa"/>
            <w:tcBorders>
              <w:top w:val="nil"/>
              <w:left w:val="nil"/>
              <w:bottom w:val="single" w:sz="8" w:space="0" w:color="auto"/>
              <w:right w:val="single" w:sz="8" w:space="0" w:color="auto"/>
            </w:tcBorders>
            <w:vAlign w:val="center"/>
          </w:tcPr>
          <w:p w:rsidR="00024AD0" w:rsidRPr="009A7761" w:rsidP="00F80C79" w14:paraId="5BCDFF11" w14:textId="77777777">
            <w:pPr>
              <w:spacing w:after="0" w:line="240" w:lineRule="auto"/>
              <w:jc w:val="right"/>
              <w:rPr>
                <w:b/>
                <w:bCs/>
                <w:color w:val="000000"/>
                <w:lang w:eastAsia="lv-LV"/>
              </w:rPr>
            </w:pPr>
            <w:r>
              <w:rPr>
                <w:b/>
                <w:bCs/>
                <w:color w:val="000000"/>
                <w:lang w:eastAsia="lv-LV"/>
              </w:rPr>
              <w:t>112 164 029</w:t>
            </w:r>
          </w:p>
        </w:tc>
        <w:tc>
          <w:tcPr>
            <w:tcW w:w="1705" w:type="dxa"/>
            <w:tcBorders>
              <w:top w:val="nil"/>
              <w:left w:val="nil"/>
              <w:bottom w:val="single" w:sz="8" w:space="0" w:color="auto"/>
              <w:right w:val="single" w:sz="8" w:space="0" w:color="auto"/>
            </w:tcBorders>
            <w:vAlign w:val="center"/>
            <w:hideMark/>
          </w:tcPr>
          <w:p w:rsidR="00024AD0" w:rsidRPr="009A7761" w:rsidP="00F80C79" w14:paraId="08BF1169" w14:textId="77777777">
            <w:pPr>
              <w:spacing w:after="0" w:line="240" w:lineRule="auto"/>
              <w:jc w:val="right"/>
              <w:rPr>
                <w:b/>
                <w:bCs/>
                <w:color w:val="000000"/>
                <w:lang w:eastAsia="lv-LV"/>
              </w:rPr>
            </w:pPr>
            <w:r>
              <w:rPr>
                <w:b/>
                <w:bCs/>
                <w:color w:val="000000"/>
                <w:lang w:eastAsia="lv-LV"/>
              </w:rPr>
              <w:t>107 193 551</w:t>
            </w:r>
          </w:p>
        </w:tc>
      </w:tr>
      <w:tr w14:paraId="75F63AEF" w14:textId="77777777" w:rsidTr="00F80C79">
        <w:tblPrEx>
          <w:tblW w:w="7645" w:type="dxa"/>
          <w:jc w:val="center"/>
          <w:tblLook w:val="04A0"/>
        </w:tblPrEx>
        <w:trPr>
          <w:trHeight w:val="330"/>
          <w:jc w:val="center"/>
        </w:trPr>
        <w:tc>
          <w:tcPr>
            <w:tcW w:w="960" w:type="dxa"/>
            <w:tcBorders>
              <w:top w:val="nil"/>
              <w:left w:val="single" w:sz="8" w:space="0" w:color="auto"/>
              <w:bottom w:val="single" w:sz="8" w:space="0" w:color="auto"/>
              <w:right w:val="single" w:sz="8" w:space="0" w:color="auto"/>
            </w:tcBorders>
            <w:vAlign w:val="center"/>
            <w:hideMark/>
          </w:tcPr>
          <w:p w:rsidR="00024AD0" w:rsidRPr="009A7761" w:rsidP="00F80C79" w14:paraId="4A44E8C5" w14:textId="77777777">
            <w:pPr>
              <w:spacing w:after="0" w:line="240" w:lineRule="auto"/>
              <w:jc w:val="right"/>
              <w:rPr>
                <w:color w:val="000000"/>
                <w:lang w:eastAsia="lv-LV"/>
              </w:rPr>
            </w:pPr>
            <w:r>
              <w:rPr>
                <w:color w:val="000000"/>
                <w:lang w:eastAsia="lv-LV"/>
              </w:rPr>
              <w:t> </w:t>
            </w:r>
          </w:p>
        </w:tc>
        <w:tc>
          <w:tcPr>
            <w:tcW w:w="2900" w:type="dxa"/>
            <w:tcBorders>
              <w:top w:val="nil"/>
              <w:left w:val="nil"/>
              <w:bottom w:val="single" w:sz="8" w:space="0" w:color="auto"/>
              <w:right w:val="single" w:sz="8" w:space="0" w:color="auto"/>
            </w:tcBorders>
            <w:vAlign w:val="center"/>
            <w:hideMark/>
          </w:tcPr>
          <w:p w:rsidR="00024AD0" w:rsidRPr="009A7761" w:rsidP="00F80C79" w14:paraId="50A29F63" w14:textId="77777777">
            <w:pPr>
              <w:spacing w:after="0" w:line="240" w:lineRule="auto"/>
              <w:jc w:val="right"/>
              <w:rPr>
                <w:i/>
                <w:iCs/>
                <w:color w:val="000000"/>
                <w:lang w:eastAsia="lv-LV"/>
              </w:rPr>
            </w:pPr>
            <w:r>
              <w:rPr>
                <w:i/>
                <w:iCs/>
                <w:color w:val="000000"/>
                <w:lang w:eastAsia="lv-LV"/>
              </w:rPr>
              <w:t>zeme un būves</w:t>
            </w:r>
          </w:p>
        </w:tc>
        <w:tc>
          <w:tcPr>
            <w:tcW w:w="2080" w:type="dxa"/>
            <w:tcBorders>
              <w:top w:val="nil"/>
              <w:left w:val="nil"/>
              <w:bottom w:val="single" w:sz="8" w:space="0" w:color="auto"/>
              <w:right w:val="single" w:sz="8" w:space="0" w:color="auto"/>
            </w:tcBorders>
            <w:vAlign w:val="center"/>
          </w:tcPr>
          <w:p w:rsidR="00024AD0" w:rsidRPr="009A7761" w:rsidP="00F80C79" w14:paraId="09C9804B" w14:textId="77777777">
            <w:pPr>
              <w:spacing w:after="0" w:line="240" w:lineRule="auto"/>
              <w:jc w:val="right"/>
              <w:rPr>
                <w:color w:val="000000"/>
                <w:lang w:eastAsia="lv-LV"/>
              </w:rPr>
            </w:pPr>
            <w:r>
              <w:rPr>
                <w:color w:val="000000"/>
                <w:lang w:eastAsia="lv-LV"/>
              </w:rPr>
              <w:t>92 792 763</w:t>
            </w:r>
          </w:p>
        </w:tc>
        <w:tc>
          <w:tcPr>
            <w:tcW w:w="1705" w:type="dxa"/>
            <w:tcBorders>
              <w:top w:val="nil"/>
              <w:left w:val="nil"/>
              <w:bottom w:val="single" w:sz="8" w:space="0" w:color="auto"/>
              <w:right w:val="single" w:sz="8" w:space="0" w:color="auto"/>
            </w:tcBorders>
            <w:vAlign w:val="center"/>
            <w:hideMark/>
          </w:tcPr>
          <w:p w:rsidR="00024AD0" w:rsidRPr="009A7761" w:rsidP="00F80C79" w14:paraId="124B833B" w14:textId="77777777">
            <w:pPr>
              <w:spacing w:after="0" w:line="240" w:lineRule="auto"/>
              <w:jc w:val="right"/>
              <w:rPr>
                <w:color w:val="000000"/>
                <w:lang w:eastAsia="lv-LV"/>
              </w:rPr>
            </w:pPr>
            <w:r>
              <w:rPr>
                <w:color w:val="000000"/>
                <w:lang w:eastAsia="lv-LV"/>
              </w:rPr>
              <w:t>94 530 888</w:t>
            </w:r>
          </w:p>
        </w:tc>
      </w:tr>
      <w:tr w14:paraId="015C38C4" w14:textId="77777777" w:rsidTr="00F80C79">
        <w:tblPrEx>
          <w:tblW w:w="7645" w:type="dxa"/>
          <w:jc w:val="center"/>
          <w:tblLook w:val="04A0"/>
        </w:tblPrEx>
        <w:trPr>
          <w:trHeight w:val="330"/>
          <w:jc w:val="center"/>
        </w:trPr>
        <w:tc>
          <w:tcPr>
            <w:tcW w:w="960" w:type="dxa"/>
            <w:tcBorders>
              <w:top w:val="nil"/>
              <w:left w:val="single" w:sz="8" w:space="0" w:color="auto"/>
              <w:bottom w:val="single" w:sz="8" w:space="0" w:color="auto"/>
              <w:right w:val="single" w:sz="8" w:space="0" w:color="auto"/>
            </w:tcBorders>
            <w:vAlign w:val="center"/>
            <w:hideMark/>
          </w:tcPr>
          <w:p w:rsidR="00024AD0" w:rsidRPr="009A7761" w:rsidP="00F80C79" w14:paraId="023FCE20" w14:textId="77777777">
            <w:pPr>
              <w:spacing w:after="0" w:line="240" w:lineRule="auto"/>
              <w:jc w:val="right"/>
              <w:rPr>
                <w:color w:val="000000"/>
                <w:lang w:eastAsia="lv-LV"/>
              </w:rPr>
            </w:pPr>
            <w:r>
              <w:rPr>
                <w:color w:val="000000"/>
                <w:lang w:eastAsia="lv-LV"/>
              </w:rPr>
              <w:t> </w:t>
            </w:r>
          </w:p>
        </w:tc>
        <w:tc>
          <w:tcPr>
            <w:tcW w:w="2900" w:type="dxa"/>
            <w:tcBorders>
              <w:top w:val="nil"/>
              <w:left w:val="nil"/>
              <w:bottom w:val="single" w:sz="8" w:space="0" w:color="auto"/>
              <w:right w:val="single" w:sz="8" w:space="0" w:color="auto"/>
            </w:tcBorders>
            <w:vAlign w:val="center"/>
            <w:hideMark/>
          </w:tcPr>
          <w:p w:rsidR="00024AD0" w:rsidRPr="009A7761" w:rsidP="00F80C79" w14:paraId="64D3594B" w14:textId="77777777">
            <w:pPr>
              <w:spacing w:after="0" w:line="240" w:lineRule="auto"/>
              <w:jc w:val="right"/>
              <w:rPr>
                <w:i/>
                <w:iCs/>
                <w:color w:val="000000"/>
                <w:lang w:eastAsia="lv-LV"/>
              </w:rPr>
            </w:pPr>
            <w:r>
              <w:rPr>
                <w:i/>
                <w:iCs/>
                <w:color w:val="000000"/>
                <w:lang w:eastAsia="lv-LV"/>
              </w:rPr>
              <w:t>tehnoloģiskās iekārtas un mašīnas</w:t>
            </w:r>
          </w:p>
        </w:tc>
        <w:tc>
          <w:tcPr>
            <w:tcW w:w="2080" w:type="dxa"/>
            <w:tcBorders>
              <w:top w:val="nil"/>
              <w:left w:val="nil"/>
              <w:bottom w:val="single" w:sz="8" w:space="0" w:color="auto"/>
              <w:right w:val="single" w:sz="8" w:space="0" w:color="auto"/>
            </w:tcBorders>
            <w:vAlign w:val="center"/>
          </w:tcPr>
          <w:p w:rsidR="00024AD0" w:rsidRPr="009A7761" w:rsidP="00F80C79" w14:paraId="1B1590E1" w14:textId="77777777">
            <w:pPr>
              <w:spacing w:after="0" w:line="240" w:lineRule="auto"/>
              <w:jc w:val="right"/>
              <w:rPr>
                <w:color w:val="000000"/>
                <w:lang w:eastAsia="lv-LV"/>
              </w:rPr>
            </w:pPr>
            <w:r>
              <w:rPr>
                <w:color w:val="000000"/>
                <w:lang w:eastAsia="lv-LV"/>
              </w:rPr>
              <w:t>271 190</w:t>
            </w:r>
          </w:p>
        </w:tc>
        <w:tc>
          <w:tcPr>
            <w:tcW w:w="1705" w:type="dxa"/>
            <w:tcBorders>
              <w:top w:val="nil"/>
              <w:left w:val="nil"/>
              <w:bottom w:val="single" w:sz="8" w:space="0" w:color="auto"/>
              <w:right w:val="single" w:sz="8" w:space="0" w:color="auto"/>
            </w:tcBorders>
            <w:vAlign w:val="center"/>
            <w:hideMark/>
          </w:tcPr>
          <w:p w:rsidR="00024AD0" w:rsidRPr="009A7761" w:rsidP="00F80C79" w14:paraId="2563D12C" w14:textId="77777777">
            <w:pPr>
              <w:spacing w:after="0" w:line="240" w:lineRule="auto"/>
              <w:jc w:val="right"/>
              <w:rPr>
                <w:color w:val="000000"/>
                <w:lang w:eastAsia="lv-LV"/>
              </w:rPr>
            </w:pPr>
            <w:r>
              <w:rPr>
                <w:color w:val="000000"/>
                <w:lang w:eastAsia="lv-LV"/>
              </w:rPr>
              <w:t>265 761</w:t>
            </w:r>
          </w:p>
        </w:tc>
      </w:tr>
      <w:tr w14:paraId="39153725" w14:textId="77777777" w:rsidTr="00F80C79">
        <w:tblPrEx>
          <w:tblW w:w="7645" w:type="dxa"/>
          <w:jc w:val="center"/>
          <w:tblLook w:val="04A0"/>
        </w:tblPrEx>
        <w:trPr>
          <w:trHeight w:val="330"/>
          <w:jc w:val="center"/>
        </w:trPr>
        <w:tc>
          <w:tcPr>
            <w:tcW w:w="960" w:type="dxa"/>
            <w:tcBorders>
              <w:top w:val="nil"/>
              <w:left w:val="single" w:sz="8" w:space="0" w:color="auto"/>
              <w:bottom w:val="single" w:sz="8" w:space="0" w:color="auto"/>
              <w:right w:val="single" w:sz="8" w:space="0" w:color="auto"/>
            </w:tcBorders>
            <w:vAlign w:val="center"/>
            <w:hideMark/>
          </w:tcPr>
          <w:p w:rsidR="00024AD0" w:rsidRPr="009A7761" w:rsidP="00F80C79" w14:paraId="49FA5805" w14:textId="77777777">
            <w:pPr>
              <w:spacing w:after="0" w:line="240" w:lineRule="auto"/>
              <w:jc w:val="right"/>
              <w:rPr>
                <w:color w:val="000000"/>
                <w:lang w:eastAsia="lv-LV"/>
              </w:rPr>
            </w:pPr>
            <w:r>
              <w:rPr>
                <w:color w:val="000000"/>
                <w:lang w:eastAsia="lv-LV"/>
              </w:rPr>
              <w:t> </w:t>
            </w:r>
          </w:p>
        </w:tc>
        <w:tc>
          <w:tcPr>
            <w:tcW w:w="2900" w:type="dxa"/>
            <w:tcBorders>
              <w:top w:val="nil"/>
              <w:left w:val="nil"/>
              <w:bottom w:val="single" w:sz="8" w:space="0" w:color="auto"/>
              <w:right w:val="single" w:sz="8" w:space="0" w:color="auto"/>
            </w:tcBorders>
            <w:vAlign w:val="center"/>
            <w:hideMark/>
          </w:tcPr>
          <w:p w:rsidR="00024AD0" w:rsidRPr="009A7761" w:rsidP="00F80C79" w14:paraId="240FA717" w14:textId="77777777">
            <w:pPr>
              <w:spacing w:after="0" w:line="240" w:lineRule="auto"/>
              <w:jc w:val="right"/>
              <w:rPr>
                <w:i/>
                <w:iCs/>
                <w:color w:val="000000"/>
                <w:lang w:eastAsia="lv-LV"/>
              </w:rPr>
            </w:pPr>
            <w:r>
              <w:rPr>
                <w:i/>
                <w:iCs/>
                <w:color w:val="000000"/>
                <w:lang w:eastAsia="lv-LV"/>
              </w:rPr>
              <w:t>pārējie pamatlīdzekļi</w:t>
            </w:r>
          </w:p>
        </w:tc>
        <w:tc>
          <w:tcPr>
            <w:tcW w:w="2080" w:type="dxa"/>
            <w:tcBorders>
              <w:top w:val="nil"/>
              <w:left w:val="nil"/>
              <w:bottom w:val="single" w:sz="8" w:space="0" w:color="auto"/>
              <w:right w:val="single" w:sz="8" w:space="0" w:color="auto"/>
            </w:tcBorders>
            <w:vAlign w:val="center"/>
          </w:tcPr>
          <w:p w:rsidR="00024AD0" w:rsidRPr="009A7761" w:rsidP="00F80C79" w14:paraId="0789D22F" w14:textId="77777777">
            <w:pPr>
              <w:spacing w:after="0" w:line="240" w:lineRule="auto"/>
              <w:jc w:val="right"/>
              <w:rPr>
                <w:color w:val="000000"/>
                <w:lang w:eastAsia="lv-LV"/>
              </w:rPr>
            </w:pPr>
            <w:r>
              <w:rPr>
                <w:color w:val="000000"/>
                <w:lang w:eastAsia="lv-LV"/>
              </w:rPr>
              <w:t>6 412 704</w:t>
            </w:r>
          </w:p>
        </w:tc>
        <w:tc>
          <w:tcPr>
            <w:tcW w:w="1705" w:type="dxa"/>
            <w:tcBorders>
              <w:top w:val="nil"/>
              <w:left w:val="nil"/>
              <w:bottom w:val="single" w:sz="8" w:space="0" w:color="auto"/>
              <w:right w:val="single" w:sz="8" w:space="0" w:color="auto"/>
            </w:tcBorders>
            <w:vAlign w:val="center"/>
            <w:hideMark/>
          </w:tcPr>
          <w:p w:rsidR="00024AD0" w:rsidRPr="009A7761" w:rsidP="00F80C79" w14:paraId="4D510AB9" w14:textId="77777777">
            <w:pPr>
              <w:spacing w:after="0" w:line="240" w:lineRule="auto"/>
              <w:jc w:val="right"/>
              <w:rPr>
                <w:color w:val="000000"/>
                <w:lang w:eastAsia="lv-LV"/>
              </w:rPr>
            </w:pPr>
            <w:r>
              <w:rPr>
                <w:color w:val="000000"/>
                <w:lang w:eastAsia="lv-LV"/>
              </w:rPr>
              <w:t>5 620 291</w:t>
            </w:r>
          </w:p>
        </w:tc>
      </w:tr>
      <w:tr w14:paraId="3C909C63" w14:textId="77777777" w:rsidTr="00F80C79">
        <w:tblPrEx>
          <w:tblW w:w="7645" w:type="dxa"/>
          <w:jc w:val="center"/>
          <w:tblLook w:val="04A0"/>
        </w:tblPrEx>
        <w:trPr>
          <w:trHeight w:val="330"/>
          <w:jc w:val="center"/>
        </w:trPr>
        <w:tc>
          <w:tcPr>
            <w:tcW w:w="960" w:type="dxa"/>
            <w:tcBorders>
              <w:top w:val="nil"/>
              <w:left w:val="single" w:sz="8" w:space="0" w:color="auto"/>
              <w:bottom w:val="single" w:sz="8" w:space="0" w:color="auto"/>
              <w:right w:val="single" w:sz="8" w:space="0" w:color="auto"/>
            </w:tcBorders>
            <w:vAlign w:val="center"/>
            <w:hideMark/>
          </w:tcPr>
          <w:p w:rsidR="00024AD0" w:rsidRPr="009A7761" w:rsidP="00F80C79" w14:paraId="7DF15B68" w14:textId="77777777">
            <w:pPr>
              <w:spacing w:after="0" w:line="240" w:lineRule="auto"/>
              <w:jc w:val="right"/>
              <w:rPr>
                <w:color w:val="000000"/>
                <w:lang w:eastAsia="lv-LV"/>
              </w:rPr>
            </w:pPr>
            <w:r>
              <w:rPr>
                <w:color w:val="000000"/>
                <w:lang w:eastAsia="lv-LV"/>
              </w:rPr>
              <w:t> </w:t>
            </w:r>
          </w:p>
        </w:tc>
        <w:tc>
          <w:tcPr>
            <w:tcW w:w="2900" w:type="dxa"/>
            <w:tcBorders>
              <w:top w:val="nil"/>
              <w:left w:val="nil"/>
              <w:bottom w:val="single" w:sz="8" w:space="0" w:color="auto"/>
              <w:right w:val="single" w:sz="8" w:space="0" w:color="auto"/>
            </w:tcBorders>
            <w:vAlign w:val="center"/>
            <w:hideMark/>
          </w:tcPr>
          <w:p w:rsidR="00024AD0" w:rsidRPr="009A7761" w:rsidP="00F80C79" w14:paraId="2F4CA43C" w14:textId="77777777">
            <w:pPr>
              <w:spacing w:after="0" w:line="240" w:lineRule="auto"/>
              <w:jc w:val="right"/>
              <w:rPr>
                <w:i/>
                <w:iCs/>
                <w:color w:val="000000"/>
                <w:lang w:eastAsia="lv-LV"/>
              </w:rPr>
            </w:pPr>
            <w:r>
              <w:rPr>
                <w:i/>
                <w:iCs/>
                <w:color w:val="000000"/>
                <w:lang w:eastAsia="lv-LV"/>
              </w:rPr>
              <w:t>pamatlīdzekļu izveidošana un nepabeigtā būvniecība</w:t>
            </w:r>
          </w:p>
        </w:tc>
        <w:tc>
          <w:tcPr>
            <w:tcW w:w="2080" w:type="dxa"/>
            <w:tcBorders>
              <w:top w:val="nil"/>
              <w:left w:val="nil"/>
              <w:bottom w:val="single" w:sz="8" w:space="0" w:color="auto"/>
              <w:right w:val="single" w:sz="8" w:space="0" w:color="auto"/>
            </w:tcBorders>
            <w:vAlign w:val="center"/>
          </w:tcPr>
          <w:p w:rsidR="00024AD0" w:rsidRPr="009A7761" w:rsidP="00F80C79" w14:paraId="2A456A97" w14:textId="77777777">
            <w:pPr>
              <w:spacing w:after="0" w:line="240" w:lineRule="auto"/>
              <w:jc w:val="right"/>
              <w:rPr>
                <w:color w:val="000000"/>
                <w:lang w:eastAsia="lv-LV"/>
              </w:rPr>
            </w:pPr>
            <w:r>
              <w:rPr>
                <w:color w:val="000000"/>
                <w:lang w:eastAsia="lv-LV"/>
              </w:rPr>
              <w:t>9 312 631</w:t>
            </w:r>
          </w:p>
        </w:tc>
        <w:tc>
          <w:tcPr>
            <w:tcW w:w="1705" w:type="dxa"/>
            <w:tcBorders>
              <w:top w:val="nil"/>
              <w:left w:val="nil"/>
              <w:bottom w:val="single" w:sz="8" w:space="0" w:color="auto"/>
              <w:right w:val="single" w:sz="8" w:space="0" w:color="auto"/>
            </w:tcBorders>
            <w:vAlign w:val="center"/>
            <w:hideMark/>
          </w:tcPr>
          <w:p w:rsidR="00024AD0" w:rsidRPr="009A7761" w:rsidP="00F80C79" w14:paraId="4416DFB3" w14:textId="77777777">
            <w:pPr>
              <w:spacing w:after="0" w:line="240" w:lineRule="auto"/>
              <w:jc w:val="right"/>
              <w:rPr>
                <w:color w:val="000000"/>
                <w:lang w:eastAsia="lv-LV"/>
              </w:rPr>
            </w:pPr>
            <w:r>
              <w:rPr>
                <w:color w:val="000000"/>
                <w:lang w:eastAsia="lv-LV"/>
              </w:rPr>
              <w:t>3 373 961</w:t>
            </w:r>
          </w:p>
        </w:tc>
      </w:tr>
      <w:tr w14:paraId="0F7DD9DB" w14:textId="77777777" w:rsidTr="00F80C79">
        <w:tblPrEx>
          <w:tblW w:w="7645" w:type="dxa"/>
          <w:jc w:val="center"/>
          <w:tblLook w:val="04A0"/>
        </w:tblPrEx>
        <w:trPr>
          <w:trHeight w:val="330"/>
          <w:jc w:val="center"/>
        </w:trPr>
        <w:tc>
          <w:tcPr>
            <w:tcW w:w="960" w:type="dxa"/>
            <w:tcBorders>
              <w:top w:val="nil"/>
              <w:left w:val="single" w:sz="8" w:space="0" w:color="auto"/>
              <w:bottom w:val="single" w:sz="8" w:space="0" w:color="auto"/>
              <w:right w:val="single" w:sz="8" w:space="0" w:color="auto"/>
            </w:tcBorders>
            <w:vAlign w:val="center"/>
            <w:hideMark/>
          </w:tcPr>
          <w:p w:rsidR="00024AD0" w:rsidRPr="009A7761" w:rsidP="00F80C79" w14:paraId="12CC4AF3" w14:textId="77777777">
            <w:pPr>
              <w:spacing w:after="0" w:line="240" w:lineRule="auto"/>
              <w:jc w:val="right"/>
              <w:rPr>
                <w:color w:val="000000"/>
                <w:lang w:eastAsia="lv-LV"/>
              </w:rPr>
            </w:pPr>
            <w:r>
              <w:rPr>
                <w:color w:val="000000"/>
                <w:lang w:eastAsia="lv-LV"/>
              </w:rPr>
              <w:t> </w:t>
            </w:r>
          </w:p>
        </w:tc>
        <w:tc>
          <w:tcPr>
            <w:tcW w:w="2900" w:type="dxa"/>
            <w:tcBorders>
              <w:top w:val="nil"/>
              <w:left w:val="nil"/>
              <w:bottom w:val="single" w:sz="8" w:space="0" w:color="auto"/>
              <w:right w:val="single" w:sz="8" w:space="0" w:color="auto"/>
            </w:tcBorders>
            <w:vAlign w:val="center"/>
            <w:hideMark/>
          </w:tcPr>
          <w:p w:rsidR="00024AD0" w:rsidRPr="009A7761" w:rsidP="00F80C79" w14:paraId="4263FC9B" w14:textId="77777777">
            <w:pPr>
              <w:spacing w:after="0" w:line="240" w:lineRule="auto"/>
              <w:jc w:val="right"/>
              <w:rPr>
                <w:i/>
                <w:iCs/>
                <w:color w:val="000000"/>
                <w:lang w:eastAsia="lv-LV"/>
              </w:rPr>
            </w:pPr>
            <w:r>
              <w:rPr>
                <w:i/>
                <w:iCs/>
                <w:color w:val="000000"/>
                <w:lang w:eastAsia="lv-LV"/>
              </w:rPr>
              <w:t>turējumā nodotie valsts un pašvaldību īpašumi</w:t>
            </w:r>
          </w:p>
        </w:tc>
        <w:tc>
          <w:tcPr>
            <w:tcW w:w="2080" w:type="dxa"/>
            <w:tcBorders>
              <w:top w:val="nil"/>
              <w:left w:val="nil"/>
              <w:bottom w:val="single" w:sz="8" w:space="0" w:color="auto"/>
              <w:right w:val="single" w:sz="8" w:space="0" w:color="auto"/>
            </w:tcBorders>
            <w:vAlign w:val="center"/>
          </w:tcPr>
          <w:p w:rsidR="00024AD0" w:rsidRPr="009A7761" w:rsidP="00F80C79" w14:paraId="10DEA638" w14:textId="77777777">
            <w:pPr>
              <w:spacing w:after="0" w:line="240" w:lineRule="auto"/>
              <w:jc w:val="right"/>
              <w:rPr>
                <w:color w:val="000000"/>
                <w:lang w:eastAsia="lv-LV"/>
              </w:rPr>
            </w:pPr>
            <w:r>
              <w:rPr>
                <w:color w:val="000000"/>
                <w:lang w:eastAsia="lv-LV"/>
              </w:rPr>
              <w:t>2 047 128</w:t>
            </w:r>
          </w:p>
        </w:tc>
        <w:tc>
          <w:tcPr>
            <w:tcW w:w="1705" w:type="dxa"/>
            <w:tcBorders>
              <w:top w:val="nil"/>
              <w:left w:val="nil"/>
              <w:bottom w:val="single" w:sz="8" w:space="0" w:color="auto"/>
              <w:right w:val="single" w:sz="8" w:space="0" w:color="auto"/>
            </w:tcBorders>
            <w:vAlign w:val="center"/>
            <w:hideMark/>
          </w:tcPr>
          <w:p w:rsidR="00024AD0" w:rsidRPr="009A7761" w:rsidP="00F80C79" w14:paraId="489B7900" w14:textId="77777777">
            <w:pPr>
              <w:spacing w:after="0" w:line="240" w:lineRule="auto"/>
              <w:jc w:val="right"/>
              <w:rPr>
                <w:color w:val="000000"/>
                <w:lang w:eastAsia="lv-LV"/>
              </w:rPr>
            </w:pPr>
            <w:r>
              <w:rPr>
                <w:color w:val="000000"/>
                <w:lang w:eastAsia="lv-LV"/>
              </w:rPr>
              <w:t>2 181 346</w:t>
            </w:r>
          </w:p>
        </w:tc>
      </w:tr>
      <w:tr w14:paraId="5894C14B" w14:textId="77777777" w:rsidTr="00F80C79">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vAlign w:val="center"/>
            <w:hideMark/>
          </w:tcPr>
          <w:p w:rsidR="00024AD0" w:rsidRPr="009A7761" w:rsidP="00F80C79" w14:paraId="6A1B6CC4" w14:textId="77777777">
            <w:pPr>
              <w:spacing w:after="0" w:line="240" w:lineRule="auto"/>
              <w:jc w:val="right"/>
              <w:rPr>
                <w:color w:val="000000"/>
                <w:lang w:eastAsia="lv-LV"/>
              </w:rPr>
            </w:pPr>
            <w:r>
              <w:rPr>
                <w:color w:val="000000"/>
                <w:lang w:eastAsia="lv-LV"/>
              </w:rPr>
              <w:t> </w:t>
            </w:r>
          </w:p>
        </w:tc>
        <w:tc>
          <w:tcPr>
            <w:tcW w:w="2900" w:type="dxa"/>
            <w:tcBorders>
              <w:top w:val="single" w:sz="8" w:space="0" w:color="auto"/>
              <w:left w:val="nil"/>
              <w:bottom w:val="single" w:sz="8" w:space="0" w:color="auto"/>
              <w:right w:val="single" w:sz="8" w:space="0" w:color="auto"/>
            </w:tcBorders>
            <w:vAlign w:val="center"/>
            <w:hideMark/>
          </w:tcPr>
          <w:p w:rsidR="00024AD0" w:rsidRPr="009A7761" w:rsidP="00F80C79" w14:paraId="39287C9C" w14:textId="77777777">
            <w:pPr>
              <w:spacing w:after="0" w:line="240" w:lineRule="auto"/>
              <w:jc w:val="right"/>
              <w:rPr>
                <w:i/>
                <w:iCs/>
                <w:color w:val="000000"/>
                <w:lang w:eastAsia="lv-LV"/>
              </w:rPr>
            </w:pPr>
            <w:r>
              <w:rPr>
                <w:i/>
                <w:iCs/>
                <w:color w:val="000000"/>
                <w:lang w:eastAsia="lv-LV"/>
              </w:rPr>
              <w:t>bioloģiskie un pazemes aktīvi</w:t>
            </w:r>
          </w:p>
        </w:tc>
        <w:tc>
          <w:tcPr>
            <w:tcW w:w="2080" w:type="dxa"/>
            <w:tcBorders>
              <w:top w:val="single" w:sz="8" w:space="0" w:color="auto"/>
              <w:left w:val="nil"/>
              <w:bottom w:val="single" w:sz="8" w:space="0" w:color="auto"/>
              <w:right w:val="single" w:sz="8" w:space="0" w:color="auto"/>
            </w:tcBorders>
            <w:vAlign w:val="center"/>
          </w:tcPr>
          <w:p w:rsidR="00024AD0" w:rsidRPr="009A7761" w:rsidP="00F80C79" w14:paraId="61414B9B" w14:textId="77777777">
            <w:pPr>
              <w:spacing w:after="0" w:line="240" w:lineRule="auto"/>
              <w:jc w:val="right"/>
              <w:rPr>
                <w:color w:val="000000"/>
                <w:lang w:eastAsia="lv-LV"/>
              </w:rPr>
            </w:pPr>
            <w:r>
              <w:rPr>
                <w:color w:val="000000"/>
                <w:lang w:eastAsia="lv-LV"/>
              </w:rPr>
              <w:t>1 062 393</w:t>
            </w:r>
          </w:p>
        </w:tc>
        <w:tc>
          <w:tcPr>
            <w:tcW w:w="1705" w:type="dxa"/>
            <w:tcBorders>
              <w:top w:val="single" w:sz="8" w:space="0" w:color="auto"/>
              <w:left w:val="nil"/>
              <w:bottom w:val="single" w:sz="8" w:space="0" w:color="auto"/>
              <w:right w:val="single" w:sz="8" w:space="0" w:color="auto"/>
            </w:tcBorders>
            <w:vAlign w:val="center"/>
            <w:hideMark/>
          </w:tcPr>
          <w:p w:rsidR="00024AD0" w:rsidRPr="009A7761" w:rsidP="00F80C79" w14:paraId="20FE5878" w14:textId="77777777">
            <w:pPr>
              <w:spacing w:after="0" w:line="240" w:lineRule="auto"/>
              <w:jc w:val="right"/>
              <w:rPr>
                <w:color w:val="000000"/>
                <w:lang w:eastAsia="lv-LV"/>
              </w:rPr>
            </w:pPr>
            <w:r>
              <w:rPr>
                <w:color w:val="000000"/>
                <w:lang w:eastAsia="lv-LV"/>
              </w:rPr>
              <w:t>1 010 436</w:t>
            </w:r>
          </w:p>
        </w:tc>
      </w:tr>
      <w:tr w14:paraId="25B751ED" w14:textId="77777777" w:rsidTr="00F80C79">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vAlign w:val="center"/>
          </w:tcPr>
          <w:p w:rsidR="00024AD0" w:rsidRPr="009A7761" w:rsidP="00F80C79" w14:paraId="5DC841F2" w14:textId="77777777">
            <w:pPr>
              <w:spacing w:after="0" w:line="240" w:lineRule="auto"/>
              <w:jc w:val="right"/>
              <w:rPr>
                <w:color w:val="000000"/>
                <w:lang w:eastAsia="lv-LV"/>
              </w:rPr>
            </w:pPr>
          </w:p>
        </w:tc>
        <w:tc>
          <w:tcPr>
            <w:tcW w:w="2900" w:type="dxa"/>
            <w:tcBorders>
              <w:top w:val="single" w:sz="8" w:space="0" w:color="auto"/>
              <w:left w:val="nil"/>
              <w:bottom w:val="single" w:sz="8" w:space="0" w:color="auto"/>
              <w:right w:val="single" w:sz="8" w:space="0" w:color="auto"/>
            </w:tcBorders>
            <w:vAlign w:val="center"/>
          </w:tcPr>
          <w:p w:rsidR="00024AD0" w:rsidRPr="009A7761" w:rsidP="00F80C79" w14:paraId="6696C9BD" w14:textId="77777777">
            <w:pPr>
              <w:spacing w:after="0" w:line="240" w:lineRule="auto"/>
              <w:jc w:val="right"/>
              <w:rPr>
                <w:i/>
                <w:iCs/>
                <w:color w:val="000000"/>
                <w:lang w:eastAsia="lv-LV"/>
              </w:rPr>
            </w:pPr>
            <w:r>
              <w:rPr>
                <w:i/>
                <w:iCs/>
                <w:color w:val="000000"/>
                <w:lang w:eastAsia="lv-LV"/>
              </w:rPr>
              <w:t>ilgtermiņa ieguldījumi nomātajos pamatlīdzekļos</w:t>
            </w:r>
          </w:p>
        </w:tc>
        <w:tc>
          <w:tcPr>
            <w:tcW w:w="2080" w:type="dxa"/>
            <w:tcBorders>
              <w:top w:val="single" w:sz="8" w:space="0" w:color="auto"/>
              <w:left w:val="nil"/>
              <w:bottom w:val="single" w:sz="8" w:space="0" w:color="auto"/>
              <w:right w:val="single" w:sz="8" w:space="0" w:color="auto"/>
            </w:tcBorders>
            <w:vAlign w:val="center"/>
          </w:tcPr>
          <w:p w:rsidR="00024AD0" w:rsidRPr="009A7761" w:rsidP="00F80C79" w14:paraId="41C635EC" w14:textId="77777777">
            <w:pPr>
              <w:spacing w:after="0" w:line="240" w:lineRule="auto"/>
              <w:jc w:val="right"/>
              <w:rPr>
                <w:color w:val="000000"/>
                <w:lang w:eastAsia="lv-LV"/>
              </w:rPr>
            </w:pPr>
            <w:r>
              <w:rPr>
                <w:color w:val="000000"/>
                <w:lang w:eastAsia="lv-LV"/>
              </w:rPr>
              <w:t>50 688</w:t>
            </w:r>
          </w:p>
        </w:tc>
        <w:tc>
          <w:tcPr>
            <w:tcW w:w="1705" w:type="dxa"/>
            <w:tcBorders>
              <w:top w:val="single" w:sz="8" w:space="0" w:color="auto"/>
              <w:left w:val="nil"/>
              <w:bottom w:val="single" w:sz="8" w:space="0" w:color="auto"/>
              <w:right w:val="single" w:sz="8" w:space="0" w:color="auto"/>
            </w:tcBorders>
            <w:vAlign w:val="center"/>
          </w:tcPr>
          <w:p w:rsidR="00024AD0" w:rsidRPr="009A7761" w:rsidP="00F80C79" w14:paraId="6C0F658A" w14:textId="77777777">
            <w:pPr>
              <w:spacing w:after="0" w:line="240" w:lineRule="auto"/>
              <w:jc w:val="right"/>
              <w:rPr>
                <w:color w:val="000000"/>
                <w:lang w:eastAsia="lv-LV"/>
              </w:rPr>
            </w:pPr>
            <w:r>
              <w:rPr>
                <w:color w:val="000000"/>
                <w:lang w:eastAsia="lv-LV"/>
              </w:rPr>
              <w:t>60 998</w:t>
            </w:r>
          </w:p>
        </w:tc>
      </w:tr>
      <w:tr w14:paraId="7515975E" w14:textId="77777777" w:rsidTr="00F80C79">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vAlign w:val="center"/>
            <w:hideMark/>
          </w:tcPr>
          <w:p w:rsidR="00024AD0" w:rsidRPr="009A7761" w:rsidP="00F80C79" w14:paraId="04CEAF11" w14:textId="77777777">
            <w:pPr>
              <w:spacing w:after="0" w:line="240" w:lineRule="auto"/>
              <w:jc w:val="right"/>
              <w:rPr>
                <w:color w:val="000000"/>
                <w:lang w:eastAsia="lv-LV"/>
              </w:rPr>
            </w:pPr>
            <w:r>
              <w:rPr>
                <w:color w:val="000000"/>
                <w:lang w:eastAsia="lv-LV"/>
              </w:rPr>
              <w:t> </w:t>
            </w:r>
          </w:p>
        </w:tc>
        <w:tc>
          <w:tcPr>
            <w:tcW w:w="2900" w:type="dxa"/>
            <w:tcBorders>
              <w:top w:val="single" w:sz="8" w:space="0" w:color="auto"/>
              <w:left w:val="nil"/>
              <w:bottom w:val="single" w:sz="8" w:space="0" w:color="auto"/>
              <w:right w:val="single" w:sz="8" w:space="0" w:color="auto"/>
            </w:tcBorders>
            <w:vAlign w:val="center"/>
            <w:hideMark/>
          </w:tcPr>
          <w:p w:rsidR="00024AD0" w:rsidRPr="009A7761" w:rsidP="00F80C79" w14:paraId="081EDAF9" w14:textId="77777777">
            <w:pPr>
              <w:spacing w:after="0" w:line="240" w:lineRule="auto"/>
              <w:jc w:val="right"/>
              <w:rPr>
                <w:i/>
                <w:iCs/>
                <w:color w:val="000000"/>
                <w:lang w:eastAsia="lv-LV"/>
              </w:rPr>
            </w:pPr>
            <w:r>
              <w:rPr>
                <w:i/>
                <w:iCs/>
                <w:color w:val="000000"/>
                <w:lang w:eastAsia="lv-LV"/>
              </w:rPr>
              <w:t>avansa maksājumi par pamatlīdzekļiem</w:t>
            </w:r>
          </w:p>
        </w:tc>
        <w:tc>
          <w:tcPr>
            <w:tcW w:w="2080" w:type="dxa"/>
            <w:tcBorders>
              <w:top w:val="single" w:sz="8" w:space="0" w:color="auto"/>
              <w:left w:val="nil"/>
              <w:bottom w:val="single" w:sz="8" w:space="0" w:color="auto"/>
              <w:right w:val="single" w:sz="8" w:space="0" w:color="auto"/>
            </w:tcBorders>
            <w:vAlign w:val="center"/>
          </w:tcPr>
          <w:p w:rsidR="00024AD0" w:rsidRPr="009A7761" w:rsidP="00F80C79" w14:paraId="22C333FD" w14:textId="77777777">
            <w:pPr>
              <w:spacing w:after="0" w:line="240" w:lineRule="auto"/>
              <w:jc w:val="right"/>
              <w:rPr>
                <w:color w:val="000000"/>
                <w:lang w:eastAsia="lv-LV"/>
              </w:rPr>
            </w:pPr>
            <w:r>
              <w:rPr>
                <w:color w:val="000000"/>
                <w:lang w:eastAsia="lv-LV"/>
              </w:rPr>
              <w:t>214 532</w:t>
            </w:r>
          </w:p>
        </w:tc>
        <w:tc>
          <w:tcPr>
            <w:tcW w:w="1705" w:type="dxa"/>
            <w:tcBorders>
              <w:top w:val="single" w:sz="8" w:space="0" w:color="auto"/>
              <w:left w:val="nil"/>
              <w:bottom w:val="single" w:sz="8" w:space="0" w:color="auto"/>
              <w:right w:val="single" w:sz="8" w:space="0" w:color="auto"/>
            </w:tcBorders>
            <w:vAlign w:val="center"/>
            <w:hideMark/>
          </w:tcPr>
          <w:p w:rsidR="00024AD0" w:rsidRPr="009A7761" w:rsidP="00F80C79" w14:paraId="35AE26DC" w14:textId="77777777">
            <w:pPr>
              <w:spacing w:after="0" w:line="240" w:lineRule="auto"/>
              <w:jc w:val="right"/>
              <w:rPr>
                <w:color w:val="000000"/>
                <w:lang w:eastAsia="lv-LV"/>
              </w:rPr>
            </w:pPr>
            <w:r>
              <w:rPr>
                <w:color w:val="000000"/>
                <w:lang w:eastAsia="lv-LV"/>
              </w:rPr>
              <w:t>149 870</w:t>
            </w:r>
          </w:p>
        </w:tc>
      </w:tr>
      <w:tr w14:paraId="171F2B29" w14:textId="77777777" w:rsidTr="00F80C79">
        <w:tblPrEx>
          <w:tblW w:w="7645" w:type="dxa"/>
          <w:jc w:val="center"/>
          <w:tblLook w:val="04A0"/>
        </w:tblPrEx>
        <w:trPr>
          <w:trHeight w:val="330"/>
          <w:jc w:val="center"/>
        </w:trPr>
        <w:tc>
          <w:tcPr>
            <w:tcW w:w="960" w:type="dxa"/>
            <w:tcBorders>
              <w:top w:val="single" w:sz="8" w:space="0" w:color="auto"/>
              <w:left w:val="single" w:sz="8" w:space="0" w:color="auto"/>
              <w:bottom w:val="single" w:sz="8" w:space="0" w:color="auto"/>
              <w:right w:val="single" w:sz="8" w:space="0" w:color="auto"/>
            </w:tcBorders>
            <w:vAlign w:val="center"/>
            <w:hideMark/>
          </w:tcPr>
          <w:p w:rsidR="00024AD0" w:rsidRPr="009A7761" w:rsidP="00F80C79" w14:paraId="585CDBFF" w14:textId="77777777">
            <w:pPr>
              <w:spacing w:after="0" w:line="240" w:lineRule="auto"/>
              <w:jc w:val="right"/>
              <w:rPr>
                <w:b/>
                <w:bCs/>
                <w:color w:val="000000"/>
                <w:lang w:eastAsia="lv-LV"/>
              </w:rPr>
            </w:pPr>
            <w:r>
              <w:rPr>
                <w:b/>
                <w:bCs/>
                <w:color w:val="000000"/>
                <w:lang w:eastAsia="lv-LV"/>
              </w:rPr>
              <w:t>III</w:t>
            </w:r>
          </w:p>
        </w:tc>
        <w:tc>
          <w:tcPr>
            <w:tcW w:w="2900" w:type="dxa"/>
            <w:tcBorders>
              <w:top w:val="single" w:sz="8" w:space="0" w:color="auto"/>
              <w:left w:val="nil"/>
              <w:bottom w:val="single" w:sz="8" w:space="0" w:color="auto"/>
              <w:right w:val="single" w:sz="8" w:space="0" w:color="auto"/>
            </w:tcBorders>
            <w:vAlign w:val="center"/>
            <w:hideMark/>
          </w:tcPr>
          <w:p w:rsidR="00024AD0" w:rsidRPr="009A7761" w:rsidP="00F80C79" w14:paraId="7D70A05F" w14:textId="77777777">
            <w:pPr>
              <w:spacing w:after="0" w:line="240" w:lineRule="auto"/>
              <w:jc w:val="right"/>
              <w:rPr>
                <w:b/>
                <w:bCs/>
                <w:color w:val="000000"/>
                <w:lang w:eastAsia="lv-LV"/>
              </w:rPr>
            </w:pPr>
            <w:r>
              <w:rPr>
                <w:b/>
                <w:bCs/>
                <w:color w:val="000000"/>
                <w:lang w:eastAsia="lv-LV"/>
              </w:rPr>
              <w:t xml:space="preserve">Ieguldījuma īpašumi, </w:t>
            </w:r>
            <w:r>
              <w:rPr>
                <w:b/>
                <w:bCs/>
                <w:i/>
                <w:iCs/>
                <w:color w:val="000000"/>
                <w:lang w:eastAsia="lv-LV"/>
              </w:rPr>
              <w:t>t.sk</w:t>
            </w:r>
            <w:r>
              <w:rPr>
                <w:b/>
                <w:bCs/>
                <w:color w:val="000000"/>
                <w:lang w:eastAsia="lv-LV"/>
              </w:rPr>
              <w:t>.:</w:t>
            </w:r>
          </w:p>
        </w:tc>
        <w:tc>
          <w:tcPr>
            <w:tcW w:w="2080" w:type="dxa"/>
            <w:tcBorders>
              <w:top w:val="single" w:sz="8" w:space="0" w:color="auto"/>
              <w:left w:val="nil"/>
              <w:bottom w:val="single" w:sz="8" w:space="0" w:color="auto"/>
              <w:right w:val="single" w:sz="8" w:space="0" w:color="auto"/>
            </w:tcBorders>
            <w:vAlign w:val="center"/>
            <w:hideMark/>
          </w:tcPr>
          <w:p w:rsidR="00024AD0" w:rsidRPr="009A7761" w:rsidP="00F80C79" w14:paraId="64C55B70" w14:textId="77777777">
            <w:pPr>
              <w:spacing w:after="0" w:line="240" w:lineRule="auto"/>
              <w:jc w:val="right"/>
              <w:rPr>
                <w:b/>
                <w:bCs/>
                <w:color w:val="000000"/>
                <w:lang w:eastAsia="lv-LV"/>
              </w:rPr>
            </w:pPr>
            <w:r>
              <w:rPr>
                <w:b/>
                <w:bCs/>
                <w:color w:val="000000"/>
                <w:lang w:eastAsia="lv-LV"/>
              </w:rPr>
              <w:t>5 066 143</w:t>
            </w:r>
          </w:p>
        </w:tc>
        <w:tc>
          <w:tcPr>
            <w:tcW w:w="1705" w:type="dxa"/>
            <w:tcBorders>
              <w:top w:val="single" w:sz="8" w:space="0" w:color="auto"/>
              <w:left w:val="nil"/>
              <w:bottom w:val="single" w:sz="8" w:space="0" w:color="auto"/>
              <w:right w:val="single" w:sz="8" w:space="0" w:color="auto"/>
            </w:tcBorders>
            <w:vAlign w:val="center"/>
            <w:hideMark/>
          </w:tcPr>
          <w:p w:rsidR="00024AD0" w:rsidRPr="009A7761" w:rsidP="00F80C79" w14:paraId="0251CC81" w14:textId="77777777">
            <w:pPr>
              <w:spacing w:after="0" w:line="240" w:lineRule="auto"/>
              <w:jc w:val="right"/>
              <w:rPr>
                <w:b/>
                <w:bCs/>
                <w:color w:val="000000"/>
                <w:lang w:eastAsia="lv-LV"/>
              </w:rPr>
            </w:pPr>
            <w:r>
              <w:rPr>
                <w:b/>
                <w:bCs/>
                <w:color w:val="000000"/>
                <w:lang w:eastAsia="lv-LV"/>
              </w:rPr>
              <w:t>5 245 269</w:t>
            </w:r>
          </w:p>
        </w:tc>
      </w:tr>
      <w:tr w14:paraId="1EE63407" w14:textId="77777777" w:rsidTr="00F80C79">
        <w:tblPrEx>
          <w:tblW w:w="7645" w:type="dxa"/>
          <w:jc w:val="center"/>
          <w:tblLook w:val="04A0"/>
        </w:tblPrEx>
        <w:trPr>
          <w:trHeight w:val="645"/>
          <w:jc w:val="center"/>
        </w:trPr>
        <w:tc>
          <w:tcPr>
            <w:tcW w:w="960" w:type="dxa"/>
            <w:tcBorders>
              <w:top w:val="single" w:sz="8" w:space="0" w:color="auto"/>
              <w:left w:val="single" w:sz="8" w:space="0" w:color="auto"/>
              <w:bottom w:val="single" w:sz="8" w:space="0" w:color="auto"/>
              <w:right w:val="single" w:sz="8" w:space="0" w:color="auto"/>
            </w:tcBorders>
            <w:noWrap/>
            <w:vAlign w:val="center"/>
            <w:hideMark/>
          </w:tcPr>
          <w:p w:rsidR="00024AD0" w:rsidRPr="009A7761" w:rsidP="00F80C79" w14:paraId="21C78383" w14:textId="77777777">
            <w:pPr>
              <w:spacing w:after="0" w:line="240" w:lineRule="auto"/>
              <w:rPr>
                <w:color w:val="000000"/>
                <w:lang w:eastAsia="lv-LV"/>
              </w:rPr>
            </w:pPr>
            <w:r>
              <w:rPr>
                <w:color w:val="000000"/>
                <w:lang w:eastAsia="lv-LV"/>
              </w:rPr>
              <w:t> </w:t>
            </w:r>
          </w:p>
        </w:tc>
        <w:tc>
          <w:tcPr>
            <w:tcW w:w="2900" w:type="dxa"/>
            <w:tcBorders>
              <w:top w:val="single" w:sz="8" w:space="0" w:color="auto"/>
              <w:left w:val="nil"/>
              <w:bottom w:val="single" w:sz="8" w:space="0" w:color="auto"/>
              <w:right w:val="single" w:sz="8" w:space="0" w:color="auto"/>
            </w:tcBorders>
            <w:vAlign w:val="center"/>
            <w:hideMark/>
          </w:tcPr>
          <w:p w:rsidR="00024AD0" w:rsidRPr="009A7761" w:rsidP="00F80C79" w14:paraId="7E0D0B3B" w14:textId="77777777">
            <w:pPr>
              <w:spacing w:after="0" w:line="240" w:lineRule="auto"/>
              <w:jc w:val="right"/>
              <w:rPr>
                <w:i/>
                <w:iCs/>
                <w:color w:val="000000"/>
                <w:lang w:eastAsia="lv-LV"/>
              </w:rPr>
            </w:pPr>
            <w:r>
              <w:rPr>
                <w:i/>
                <w:iCs/>
                <w:color w:val="000000"/>
                <w:lang w:eastAsia="lv-LV"/>
              </w:rPr>
              <w:t>turējumā nodoti ieguldījuma īpašumi</w:t>
            </w:r>
          </w:p>
        </w:tc>
        <w:tc>
          <w:tcPr>
            <w:tcW w:w="2080" w:type="dxa"/>
            <w:tcBorders>
              <w:top w:val="single" w:sz="8" w:space="0" w:color="auto"/>
              <w:left w:val="nil"/>
              <w:bottom w:val="single" w:sz="8" w:space="0" w:color="auto"/>
              <w:right w:val="single" w:sz="8" w:space="0" w:color="auto"/>
            </w:tcBorders>
            <w:noWrap/>
            <w:vAlign w:val="center"/>
            <w:hideMark/>
          </w:tcPr>
          <w:p w:rsidR="00024AD0" w:rsidRPr="009A7761" w:rsidP="00F80C79" w14:paraId="5574E40C" w14:textId="77777777">
            <w:pPr>
              <w:spacing w:after="0" w:line="240" w:lineRule="auto"/>
              <w:jc w:val="right"/>
              <w:rPr>
                <w:color w:val="000000"/>
                <w:lang w:eastAsia="lv-LV"/>
              </w:rPr>
            </w:pPr>
            <w:r>
              <w:rPr>
                <w:color w:val="000000"/>
                <w:lang w:eastAsia="lv-LV"/>
              </w:rPr>
              <w:t>462 942</w:t>
            </w:r>
          </w:p>
        </w:tc>
        <w:tc>
          <w:tcPr>
            <w:tcW w:w="1705" w:type="dxa"/>
            <w:tcBorders>
              <w:top w:val="single" w:sz="8" w:space="0" w:color="auto"/>
              <w:left w:val="nil"/>
              <w:bottom w:val="single" w:sz="8" w:space="0" w:color="auto"/>
              <w:right w:val="single" w:sz="8" w:space="0" w:color="auto"/>
            </w:tcBorders>
            <w:noWrap/>
            <w:vAlign w:val="center"/>
            <w:hideMark/>
          </w:tcPr>
          <w:p w:rsidR="00024AD0" w:rsidRPr="009A7761" w:rsidP="00F80C79" w14:paraId="005D85E4" w14:textId="77777777">
            <w:pPr>
              <w:spacing w:after="0" w:line="240" w:lineRule="auto"/>
              <w:jc w:val="right"/>
              <w:rPr>
                <w:color w:val="000000"/>
                <w:lang w:eastAsia="lv-LV"/>
              </w:rPr>
            </w:pPr>
            <w:r>
              <w:rPr>
                <w:color w:val="000000"/>
                <w:lang w:eastAsia="lv-LV"/>
              </w:rPr>
              <w:t>575 453</w:t>
            </w:r>
          </w:p>
        </w:tc>
      </w:tr>
      <w:tr w14:paraId="44C86D4B" w14:textId="77777777" w:rsidTr="00F80C79">
        <w:tblPrEx>
          <w:tblW w:w="7645" w:type="dxa"/>
          <w:jc w:val="center"/>
          <w:tblLook w:val="04A0"/>
        </w:tblPrEx>
        <w:trPr>
          <w:trHeight w:val="330"/>
          <w:jc w:val="center"/>
        </w:trPr>
        <w:tc>
          <w:tcPr>
            <w:tcW w:w="960" w:type="dxa"/>
            <w:tcBorders>
              <w:top w:val="single" w:sz="8" w:space="0" w:color="auto"/>
              <w:left w:val="single" w:sz="8" w:space="0" w:color="auto"/>
              <w:bottom w:val="single" w:sz="8" w:space="0" w:color="auto"/>
              <w:right w:val="single" w:sz="8" w:space="0" w:color="auto"/>
            </w:tcBorders>
            <w:noWrap/>
            <w:vAlign w:val="center"/>
            <w:hideMark/>
          </w:tcPr>
          <w:p w:rsidR="00024AD0" w:rsidRPr="009A7761" w:rsidP="00F80C79" w14:paraId="0066ACDE" w14:textId="77777777">
            <w:pPr>
              <w:spacing w:after="0" w:line="240" w:lineRule="auto"/>
              <w:rPr>
                <w:color w:val="000000"/>
                <w:lang w:eastAsia="lv-LV"/>
              </w:rPr>
            </w:pPr>
            <w:r>
              <w:rPr>
                <w:color w:val="000000"/>
                <w:lang w:eastAsia="lv-LV"/>
              </w:rPr>
              <w:t> </w:t>
            </w:r>
          </w:p>
        </w:tc>
        <w:tc>
          <w:tcPr>
            <w:tcW w:w="2900" w:type="dxa"/>
            <w:tcBorders>
              <w:top w:val="single" w:sz="8" w:space="0" w:color="auto"/>
              <w:left w:val="nil"/>
              <w:bottom w:val="single" w:sz="8" w:space="0" w:color="auto"/>
              <w:right w:val="single" w:sz="8" w:space="0" w:color="auto"/>
            </w:tcBorders>
            <w:vAlign w:val="center"/>
            <w:hideMark/>
          </w:tcPr>
          <w:p w:rsidR="00024AD0" w:rsidRPr="009A7761" w:rsidP="00F80C79" w14:paraId="7E02649C" w14:textId="77777777">
            <w:pPr>
              <w:spacing w:after="0" w:line="240" w:lineRule="auto"/>
              <w:jc w:val="right"/>
              <w:rPr>
                <w:i/>
                <w:iCs/>
                <w:color w:val="000000"/>
                <w:lang w:eastAsia="lv-LV"/>
              </w:rPr>
            </w:pPr>
            <w:r>
              <w:rPr>
                <w:i/>
                <w:iCs/>
                <w:color w:val="000000"/>
                <w:lang w:eastAsia="lv-LV"/>
              </w:rPr>
              <w:t xml:space="preserve"> ieguldījuma īpašumi</w:t>
            </w:r>
          </w:p>
        </w:tc>
        <w:tc>
          <w:tcPr>
            <w:tcW w:w="2080" w:type="dxa"/>
            <w:tcBorders>
              <w:top w:val="single" w:sz="8" w:space="0" w:color="auto"/>
              <w:left w:val="nil"/>
              <w:bottom w:val="single" w:sz="8" w:space="0" w:color="auto"/>
              <w:right w:val="single" w:sz="8" w:space="0" w:color="auto"/>
            </w:tcBorders>
            <w:noWrap/>
            <w:vAlign w:val="center"/>
            <w:hideMark/>
          </w:tcPr>
          <w:p w:rsidR="00024AD0" w:rsidRPr="009A7761" w:rsidP="00F80C79" w14:paraId="3CDABC12" w14:textId="77777777">
            <w:pPr>
              <w:spacing w:after="0" w:line="240" w:lineRule="auto"/>
              <w:jc w:val="right"/>
              <w:rPr>
                <w:color w:val="000000"/>
                <w:lang w:eastAsia="lv-LV"/>
              </w:rPr>
            </w:pPr>
            <w:r>
              <w:rPr>
                <w:color w:val="000000"/>
                <w:lang w:eastAsia="lv-LV"/>
              </w:rPr>
              <w:t>4 603 201</w:t>
            </w:r>
          </w:p>
        </w:tc>
        <w:tc>
          <w:tcPr>
            <w:tcW w:w="1705" w:type="dxa"/>
            <w:tcBorders>
              <w:top w:val="single" w:sz="8" w:space="0" w:color="auto"/>
              <w:left w:val="nil"/>
              <w:bottom w:val="single" w:sz="8" w:space="0" w:color="auto"/>
              <w:right w:val="single" w:sz="8" w:space="0" w:color="auto"/>
            </w:tcBorders>
            <w:noWrap/>
            <w:vAlign w:val="center"/>
            <w:hideMark/>
          </w:tcPr>
          <w:p w:rsidR="00024AD0" w:rsidRPr="009A7761" w:rsidP="00F80C79" w14:paraId="2E6DC918" w14:textId="77777777">
            <w:pPr>
              <w:spacing w:after="0" w:line="240" w:lineRule="auto"/>
              <w:jc w:val="right"/>
              <w:rPr>
                <w:color w:val="000000"/>
                <w:lang w:eastAsia="lv-LV"/>
              </w:rPr>
            </w:pPr>
            <w:r>
              <w:rPr>
                <w:color w:val="000000"/>
                <w:lang w:eastAsia="lv-LV"/>
              </w:rPr>
              <w:t>4 669 816</w:t>
            </w:r>
          </w:p>
        </w:tc>
      </w:tr>
    </w:tbl>
    <w:p w:rsidR="00024AD0" w:rsidRPr="009A7761" w:rsidP="00024AD0" w14:paraId="5815AC56" w14:textId="77777777">
      <w:pPr>
        <w:pStyle w:val="ManiVirsraksti"/>
        <w:jc w:val="both"/>
        <w:rPr>
          <w:sz w:val="24"/>
          <w:szCs w:val="24"/>
          <w:lang w:eastAsia="lv-LV"/>
        </w:rPr>
      </w:pPr>
    </w:p>
    <w:p w:rsidR="00024AD0" w:rsidRPr="009A7761" w:rsidP="00024AD0" w14:paraId="52815421" w14:textId="39714AF2">
      <w:pPr>
        <w:pStyle w:val="Heading1"/>
        <w:ind w:left="720"/>
        <w:rPr>
          <w:sz w:val="24"/>
          <w:szCs w:val="24"/>
          <w:lang w:eastAsia="lv-LV"/>
        </w:rPr>
      </w:pPr>
      <w:bookmarkStart w:id="14" w:name="_Toc169020675"/>
      <w:bookmarkStart w:id="15" w:name="_Toc201145445"/>
      <w:r>
        <w:rPr>
          <w:sz w:val="24"/>
          <w:szCs w:val="24"/>
          <w:lang w:eastAsia="lv-LV"/>
        </w:rPr>
        <w:t>K</w:t>
      </w:r>
      <w:r w:rsidR="00514D05">
        <w:rPr>
          <w:sz w:val="24"/>
          <w:szCs w:val="24"/>
          <w:lang w:eastAsia="lv-LV"/>
        </w:rPr>
        <w:t>apitāla vērtība un tā izmaiņas</w:t>
      </w:r>
      <w:bookmarkEnd w:id="14"/>
      <w:bookmarkEnd w:id="15"/>
    </w:p>
    <w:tbl>
      <w:tblPr>
        <w:tblW w:w="11197" w:type="dxa"/>
        <w:tblInd w:w="108" w:type="dxa"/>
        <w:tblLook w:val="04A0"/>
      </w:tblPr>
      <w:tblGrid>
        <w:gridCol w:w="9601"/>
        <w:gridCol w:w="1620"/>
      </w:tblGrid>
      <w:tr w14:paraId="09A3E596" w14:textId="77777777" w:rsidTr="00F80C79">
        <w:tblPrEx>
          <w:tblW w:w="11197" w:type="dxa"/>
          <w:tblInd w:w="108" w:type="dxa"/>
          <w:tblLook w:val="04A0"/>
        </w:tblPrEx>
        <w:trPr>
          <w:trHeight w:val="2977"/>
        </w:trPr>
        <w:tc>
          <w:tcPr>
            <w:tcW w:w="9577" w:type="dxa"/>
            <w:tcBorders>
              <w:top w:val="nil"/>
              <w:left w:val="nil"/>
              <w:bottom w:val="nil"/>
              <w:right w:val="nil"/>
            </w:tcBorders>
            <w:noWrap/>
            <w:vAlign w:val="center"/>
            <w:hideMark/>
          </w:tcPr>
          <w:p w:rsidR="00024AD0" w:rsidRPr="009A7761" w:rsidP="00F80C79" w14:paraId="46855D9D" w14:textId="77777777">
            <w:pPr>
              <w:spacing w:after="0" w:line="240" w:lineRule="auto"/>
              <w:rPr>
                <w:noProof/>
                <w:color w:val="000000"/>
                <w:lang w:eastAsia="lv-LV"/>
              </w:rPr>
            </w:pPr>
            <w:r>
              <w:rPr>
                <w:noProof/>
                <w:color w:val="000000"/>
                <w:lang w:eastAsia="lv-LV"/>
              </w:rPr>
              <w:t>Līdzdalības radniecīgo kapitālsabiedrību kapitālā uz 31.12.2025. (EUR):</w:t>
            </w:r>
          </w:p>
          <w:p w:rsidR="00024AD0" w:rsidRPr="009A7761" w:rsidP="00F80C79" w14:paraId="056531E5" w14:textId="77777777">
            <w:pPr>
              <w:spacing w:after="0" w:line="240" w:lineRule="auto"/>
              <w:rPr>
                <w:noProof/>
                <w:color w:val="000000"/>
                <w:lang w:eastAsia="lv-LV"/>
              </w:rPr>
            </w:pPr>
          </w:p>
          <w:tbl>
            <w:tblPr>
              <w:tblW w:w="9375" w:type="dxa"/>
              <w:tblLook w:val="04A0"/>
            </w:tblPr>
            <w:tblGrid>
              <w:gridCol w:w="928"/>
              <w:gridCol w:w="2685"/>
              <w:gridCol w:w="1178"/>
              <w:gridCol w:w="1090"/>
              <w:gridCol w:w="1275"/>
              <w:gridCol w:w="1276"/>
              <w:gridCol w:w="943"/>
            </w:tblGrid>
            <w:tr w14:paraId="2CFEA322" w14:textId="77777777" w:rsidTr="00F80C79">
              <w:tblPrEx>
                <w:tblW w:w="9375" w:type="dxa"/>
                <w:tblLook w:val="04A0"/>
              </w:tblPrEx>
              <w:trPr>
                <w:gridAfter w:val="1"/>
                <w:wAfter w:w="943" w:type="dxa"/>
                <w:trHeight w:val="300"/>
              </w:trPr>
              <w:tc>
                <w:tcPr>
                  <w:tcW w:w="928" w:type="dxa"/>
                  <w:vMerge w:val="restart"/>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1637DA36" w14:textId="77777777">
                  <w:pPr>
                    <w:spacing w:after="0" w:line="240" w:lineRule="auto"/>
                    <w:jc w:val="center"/>
                    <w:rPr>
                      <w:color w:val="FFFFFF" w:themeColor="background1"/>
                      <w:lang w:eastAsia="lv-LV"/>
                    </w:rPr>
                  </w:pPr>
                  <w:r>
                    <w:rPr>
                      <w:color w:val="FFFFFF" w:themeColor="background1"/>
                      <w:lang w:eastAsia="lv-LV"/>
                    </w:rPr>
                    <w:t>Konta Nr.</w:t>
                  </w:r>
                </w:p>
              </w:tc>
              <w:tc>
                <w:tcPr>
                  <w:tcW w:w="2685" w:type="dxa"/>
                  <w:vMerge w:val="restart"/>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77BB100C" w14:textId="77777777">
                  <w:pPr>
                    <w:spacing w:after="0" w:line="240" w:lineRule="auto"/>
                    <w:jc w:val="center"/>
                    <w:rPr>
                      <w:color w:val="FFFFFF" w:themeColor="background1"/>
                      <w:lang w:eastAsia="lv-LV"/>
                    </w:rPr>
                  </w:pPr>
                  <w:r>
                    <w:rPr>
                      <w:color w:val="FFFFFF" w:themeColor="background1"/>
                      <w:lang w:eastAsia="lv-LV"/>
                    </w:rPr>
                    <w:t>Kapitālsabiedrības nosaukums</w:t>
                  </w:r>
                </w:p>
              </w:tc>
              <w:tc>
                <w:tcPr>
                  <w:tcW w:w="4819" w:type="dxa"/>
                  <w:gridSpan w:val="4"/>
                  <w:tcBorders>
                    <w:top w:val="single" w:sz="4" w:space="0" w:color="000000"/>
                    <w:left w:val="nil"/>
                    <w:bottom w:val="single" w:sz="4" w:space="0" w:color="000000"/>
                    <w:right w:val="single" w:sz="4" w:space="0" w:color="000000"/>
                  </w:tcBorders>
                  <w:shd w:val="clear" w:color="auto" w:fill="0F4761" w:themeFill="accent1" w:themeFillShade="BF"/>
                  <w:vAlign w:val="center"/>
                  <w:hideMark/>
                </w:tcPr>
                <w:p w:rsidR="00024AD0" w:rsidRPr="00972618" w:rsidP="00F80C79" w14:paraId="5E6392AB" w14:textId="77777777">
                  <w:pPr>
                    <w:spacing w:after="0" w:line="240" w:lineRule="auto"/>
                    <w:jc w:val="center"/>
                    <w:rPr>
                      <w:color w:val="FFFFFF" w:themeColor="background1"/>
                      <w:lang w:eastAsia="lv-LV"/>
                    </w:rPr>
                  </w:pPr>
                  <w:r>
                    <w:rPr>
                      <w:color w:val="FFFFFF" w:themeColor="background1"/>
                      <w:lang w:eastAsia="lv-LV"/>
                    </w:rPr>
                    <w:t>Pārskata periodā</w:t>
                  </w:r>
                </w:p>
              </w:tc>
            </w:tr>
            <w:tr w14:paraId="7002EA98" w14:textId="77777777" w:rsidTr="00F80C79">
              <w:tblPrEx>
                <w:tblW w:w="9375" w:type="dxa"/>
                <w:tblLook w:val="04A0"/>
              </w:tblPrEx>
              <w:trPr>
                <w:gridAfter w:val="1"/>
                <w:wAfter w:w="943" w:type="dxa"/>
                <w:trHeight w:val="510"/>
              </w:trPr>
              <w:tc>
                <w:tcPr>
                  <w:tcW w:w="928" w:type="dxa"/>
                  <w:vMerge/>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3FC5103D" w14:textId="77777777">
                  <w:pPr>
                    <w:spacing w:after="0" w:line="240" w:lineRule="auto"/>
                    <w:rPr>
                      <w:color w:val="FFFFFF" w:themeColor="background1"/>
                      <w:lang w:eastAsia="lv-LV"/>
                    </w:rPr>
                  </w:pPr>
                </w:p>
              </w:tc>
              <w:tc>
                <w:tcPr>
                  <w:tcW w:w="2685" w:type="dxa"/>
                  <w:vMerge/>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060CD98B" w14:textId="77777777">
                  <w:pPr>
                    <w:spacing w:after="0" w:line="240" w:lineRule="auto"/>
                    <w:rPr>
                      <w:color w:val="FFFFFF" w:themeColor="background1"/>
                      <w:lang w:eastAsia="lv-LV"/>
                    </w:rPr>
                  </w:pPr>
                </w:p>
              </w:tc>
              <w:tc>
                <w:tcPr>
                  <w:tcW w:w="1178" w:type="dxa"/>
                  <w:vMerge w:val="restart"/>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360253C2" w14:textId="77777777">
                  <w:pPr>
                    <w:spacing w:after="0" w:line="240" w:lineRule="auto"/>
                    <w:jc w:val="center"/>
                    <w:rPr>
                      <w:color w:val="FFFFFF" w:themeColor="background1"/>
                      <w:lang w:eastAsia="lv-LV"/>
                    </w:rPr>
                  </w:pPr>
                  <w:r>
                    <w:rPr>
                      <w:color w:val="FFFFFF" w:themeColor="background1"/>
                      <w:lang w:eastAsia="lv-LV"/>
                    </w:rPr>
                    <w:t>perioda sākumā</w:t>
                  </w:r>
                </w:p>
              </w:tc>
              <w:tc>
                <w:tcPr>
                  <w:tcW w:w="1090" w:type="dxa"/>
                  <w:vMerge w:val="restart"/>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1253FE0A" w14:textId="77777777">
                  <w:pPr>
                    <w:spacing w:after="0" w:line="240" w:lineRule="auto"/>
                    <w:jc w:val="center"/>
                    <w:rPr>
                      <w:color w:val="FFFFFF" w:themeColor="background1"/>
                      <w:lang w:eastAsia="lv-LV"/>
                    </w:rPr>
                  </w:pPr>
                  <w:r>
                    <w:rPr>
                      <w:color w:val="FFFFFF" w:themeColor="background1"/>
                      <w:lang w:eastAsia="lv-LV"/>
                    </w:rPr>
                    <w:t>Izmaiņas (+ vai -)</w:t>
                  </w:r>
                </w:p>
              </w:tc>
              <w:tc>
                <w:tcPr>
                  <w:tcW w:w="1275" w:type="dxa"/>
                  <w:vMerge w:val="restart"/>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3B4580D4" w14:textId="77777777">
                  <w:pPr>
                    <w:spacing w:after="0" w:line="240" w:lineRule="auto"/>
                    <w:jc w:val="center"/>
                    <w:rPr>
                      <w:color w:val="FFFFFF" w:themeColor="background1"/>
                      <w:lang w:eastAsia="lv-LV"/>
                    </w:rPr>
                  </w:pPr>
                  <w:r>
                    <w:rPr>
                      <w:color w:val="FFFFFF" w:themeColor="background1"/>
                      <w:lang w:eastAsia="lv-LV"/>
                    </w:rPr>
                    <w:t xml:space="preserve">perioda beigās </w:t>
                  </w:r>
                </w:p>
              </w:tc>
              <w:tc>
                <w:tcPr>
                  <w:tcW w:w="1276" w:type="dxa"/>
                  <w:vMerge w:val="restart"/>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746C0B85" w14:textId="77777777">
                  <w:pPr>
                    <w:spacing w:after="0" w:line="240" w:lineRule="auto"/>
                    <w:jc w:val="center"/>
                    <w:rPr>
                      <w:color w:val="FFFFFF" w:themeColor="background1"/>
                      <w:lang w:eastAsia="lv-LV"/>
                    </w:rPr>
                  </w:pPr>
                  <w:r>
                    <w:rPr>
                      <w:color w:val="FFFFFF" w:themeColor="background1"/>
                      <w:lang w:eastAsia="lv-LV"/>
                    </w:rPr>
                    <w:t xml:space="preserve">līdzdalība (%) </w:t>
                  </w:r>
                </w:p>
              </w:tc>
            </w:tr>
            <w:tr w14:paraId="58B6C9D9" w14:textId="77777777" w:rsidTr="00F80C79">
              <w:tblPrEx>
                <w:tblW w:w="9375" w:type="dxa"/>
                <w:tblLook w:val="04A0"/>
              </w:tblPrEx>
              <w:trPr>
                <w:trHeight w:val="276"/>
              </w:trPr>
              <w:tc>
                <w:tcPr>
                  <w:tcW w:w="928" w:type="dxa"/>
                  <w:vMerge/>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A7761" w:rsidP="00F80C79" w14:paraId="3AEEBE08" w14:textId="77777777">
                  <w:pPr>
                    <w:spacing w:after="0" w:line="240" w:lineRule="auto"/>
                    <w:rPr>
                      <w:color w:val="000000"/>
                      <w:lang w:eastAsia="lv-LV"/>
                    </w:rPr>
                  </w:pPr>
                </w:p>
              </w:tc>
              <w:tc>
                <w:tcPr>
                  <w:tcW w:w="2685" w:type="dxa"/>
                  <w:vMerge/>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A7761" w:rsidP="00F80C79" w14:paraId="73FD19A3" w14:textId="77777777">
                  <w:pPr>
                    <w:spacing w:after="0" w:line="240" w:lineRule="auto"/>
                    <w:rPr>
                      <w:color w:val="000000"/>
                      <w:lang w:eastAsia="lv-LV"/>
                    </w:rPr>
                  </w:pPr>
                </w:p>
              </w:tc>
              <w:tc>
                <w:tcPr>
                  <w:tcW w:w="1178" w:type="dxa"/>
                  <w:vMerge/>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A7761" w:rsidP="00F80C79" w14:paraId="4FCD6F29" w14:textId="77777777">
                  <w:pPr>
                    <w:spacing w:after="0" w:line="240" w:lineRule="auto"/>
                    <w:rPr>
                      <w:color w:val="000000"/>
                      <w:lang w:eastAsia="lv-LV"/>
                    </w:rPr>
                  </w:pPr>
                </w:p>
              </w:tc>
              <w:tc>
                <w:tcPr>
                  <w:tcW w:w="1090" w:type="dxa"/>
                  <w:vMerge/>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A7761" w:rsidP="00F80C79" w14:paraId="172E55EF" w14:textId="77777777">
                  <w:pPr>
                    <w:spacing w:after="0" w:line="240" w:lineRule="auto"/>
                    <w:rPr>
                      <w:color w:val="000000"/>
                      <w:lang w:eastAsia="lv-LV"/>
                    </w:rPr>
                  </w:pPr>
                </w:p>
              </w:tc>
              <w:tc>
                <w:tcPr>
                  <w:tcW w:w="1275" w:type="dxa"/>
                  <w:vMerge/>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A7761" w:rsidP="00F80C79" w14:paraId="67A363B9" w14:textId="77777777">
                  <w:pPr>
                    <w:spacing w:after="0" w:line="240" w:lineRule="auto"/>
                    <w:rPr>
                      <w:color w:val="000000"/>
                      <w:lang w:eastAsia="lv-LV"/>
                    </w:rPr>
                  </w:pPr>
                </w:p>
              </w:tc>
              <w:tc>
                <w:tcPr>
                  <w:tcW w:w="1276" w:type="dxa"/>
                  <w:vMerge/>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A7761" w:rsidP="00F80C79" w14:paraId="0235AF5D" w14:textId="77777777">
                  <w:pPr>
                    <w:spacing w:after="0" w:line="240" w:lineRule="auto"/>
                    <w:rPr>
                      <w:color w:val="000000"/>
                      <w:lang w:eastAsia="lv-LV"/>
                    </w:rPr>
                  </w:pPr>
                </w:p>
              </w:tc>
              <w:tc>
                <w:tcPr>
                  <w:tcW w:w="943" w:type="dxa"/>
                  <w:tcBorders>
                    <w:top w:val="nil"/>
                    <w:left w:val="nil"/>
                    <w:bottom w:val="nil"/>
                    <w:right w:val="nil"/>
                  </w:tcBorders>
                  <w:noWrap/>
                  <w:vAlign w:val="bottom"/>
                  <w:hideMark/>
                </w:tcPr>
                <w:p w:rsidR="00024AD0" w:rsidRPr="009A7761" w:rsidP="00F80C79" w14:paraId="60953FA0" w14:textId="77777777">
                  <w:pPr>
                    <w:spacing w:after="0" w:line="240" w:lineRule="auto"/>
                    <w:jc w:val="center"/>
                    <w:rPr>
                      <w:color w:val="000000"/>
                      <w:lang w:eastAsia="lv-LV"/>
                    </w:rPr>
                  </w:pPr>
                </w:p>
              </w:tc>
            </w:tr>
            <w:tr w14:paraId="6771D235" w14:textId="77777777" w:rsidTr="00F80C79">
              <w:tblPrEx>
                <w:tblW w:w="9375" w:type="dxa"/>
                <w:tblLook w:val="04A0"/>
              </w:tblPrEx>
              <w:trPr>
                <w:trHeight w:val="528"/>
              </w:trPr>
              <w:tc>
                <w:tcPr>
                  <w:tcW w:w="928" w:type="dxa"/>
                  <w:tcBorders>
                    <w:top w:val="nil"/>
                    <w:left w:val="single" w:sz="4" w:space="0" w:color="000000"/>
                    <w:bottom w:val="single" w:sz="4" w:space="0" w:color="000000"/>
                    <w:right w:val="single" w:sz="4" w:space="0" w:color="000000"/>
                  </w:tcBorders>
                  <w:noWrap/>
                  <w:vAlign w:val="center"/>
                  <w:hideMark/>
                </w:tcPr>
                <w:p w:rsidR="00024AD0" w:rsidRPr="009A7761" w:rsidP="00F80C79" w14:paraId="776A69D0" w14:textId="77777777">
                  <w:pPr>
                    <w:spacing w:after="0" w:line="240" w:lineRule="auto"/>
                    <w:ind w:firstLine="240" w:firstLineChars="100"/>
                    <w:jc w:val="right"/>
                    <w:rPr>
                      <w:lang w:eastAsia="lv-LV"/>
                    </w:rPr>
                  </w:pPr>
                  <w:r>
                    <w:rPr>
                      <w:lang w:eastAsia="lv-LV"/>
                    </w:rPr>
                    <w:t>1311</w:t>
                  </w:r>
                </w:p>
              </w:tc>
              <w:tc>
                <w:tcPr>
                  <w:tcW w:w="2685" w:type="dxa"/>
                  <w:tcBorders>
                    <w:top w:val="nil"/>
                    <w:left w:val="nil"/>
                    <w:bottom w:val="single" w:sz="4" w:space="0" w:color="000000"/>
                    <w:right w:val="single" w:sz="4" w:space="0" w:color="000000"/>
                  </w:tcBorders>
                  <w:vAlign w:val="center"/>
                  <w:hideMark/>
                </w:tcPr>
                <w:p w:rsidR="00024AD0" w:rsidRPr="009A7761" w:rsidP="00F80C79" w14:paraId="486A448D" w14:textId="77777777">
                  <w:pPr>
                    <w:spacing w:after="0" w:line="240" w:lineRule="auto"/>
                    <w:rPr>
                      <w:lang w:eastAsia="lv-LV"/>
                    </w:rPr>
                  </w:pPr>
                  <w:r>
                    <w:rPr>
                      <w:lang w:eastAsia="lv-LV"/>
                    </w:rPr>
                    <w:t>Aizkraukles novada pašvaldības SIA "Aizkraukles siltums"</w:t>
                  </w:r>
                </w:p>
              </w:tc>
              <w:tc>
                <w:tcPr>
                  <w:tcW w:w="1178" w:type="dxa"/>
                  <w:tcBorders>
                    <w:top w:val="nil"/>
                    <w:left w:val="nil"/>
                    <w:bottom w:val="single" w:sz="4" w:space="0" w:color="000000"/>
                    <w:right w:val="single" w:sz="4" w:space="0" w:color="000000"/>
                  </w:tcBorders>
                  <w:vAlign w:val="center"/>
                  <w:hideMark/>
                </w:tcPr>
                <w:p w:rsidR="00024AD0" w:rsidRPr="009A7761" w:rsidP="00F80C79" w14:paraId="2FD4B5F5" w14:textId="77777777">
                  <w:pPr>
                    <w:spacing w:after="0" w:line="240" w:lineRule="auto"/>
                    <w:jc w:val="right"/>
                    <w:rPr>
                      <w:lang w:eastAsia="lv-LV"/>
                    </w:rPr>
                  </w:pPr>
                  <w:r>
                    <w:rPr>
                      <w:lang w:eastAsia="lv-LV"/>
                    </w:rPr>
                    <w:t>1 927 658</w:t>
                  </w:r>
                </w:p>
              </w:tc>
              <w:tc>
                <w:tcPr>
                  <w:tcW w:w="1090" w:type="dxa"/>
                  <w:tcBorders>
                    <w:top w:val="nil"/>
                    <w:left w:val="nil"/>
                    <w:bottom w:val="single" w:sz="4" w:space="0" w:color="000000"/>
                    <w:right w:val="single" w:sz="4" w:space="0" w:color="000000"/>
                  </w:tcBorders>
                  <w:noWrap/>
                  <w:vAlign w:val="center"/>
                </w:tcPr>
                <w:p w:rsidR="00024AD0" w:rsidRPr="009A7761" w:rsidP="00F80C79" w14:paraId="0E553E97" w14:textId="77777777">
                  <w:pPr>
                    <w:spacing w:after="0" w:line="240" w:lineRule="auto"/>
                    <w:jc w:val="right"/>
                    <w:rPr>
                      <w:lang w:eastAsia="lv-LV"/>
                    </w:rPr>
                  </w:pPr>
                  <w:r>
                    <w:rPr>
                      <w:lang w:eastAsia="lv-LV"/>
                    </w:rPr>
                    <w:t>+35 666</w:t>
                  </w:r>
                </w:p>
              </w:tc>
              <w:tc>
                <w:tcPr>
                  <w:tcW w:w="1275" w:type="dxa"/>
                  <w:tcBorders>
                    <w:top w:val="nil"/>
                    <w:left w:val="nil"/>
                    <w:bottom w:val="single" w:sz="4" w:space="0" w:color="000000"/>
                    <w:right w:val="single" w:sz="4" w:space="0" w:color="000000"/>
                  </w:tcBorders>
                  <w:noWrap/>
                  <w:vAlign w:val="center"/>
                </w:tcPr>
                <w:p w:rsidR="00024AD0" w:rsidRPr="009A7761" w:rsidP="00F80C79" w14:paraId="774EDE60" w14:textId="77777777">
                  <w:pPr>
                    <w:spacing w:after="0" w:line="240" w:lineRule="auto"/>
                    <w:jc w:val="right"/>
                    <w:rPr>
                      <w:lang w:eastAsia="lv-LV"/>
                    </w:rPr>
                  </w:pPr>
                  <w:r>
                    <w:rPr>
                      <w:lang w:eastAsia="lv-LV"/>
                    </w:rPr>
                    <w:t>1 963 324</w:t>
                  </w:r>
                </w:p>
              </w:tc>
              <w:tc>
                <w:tcPr>
                  <w:tcW w:w="1276" w:type="dxa"/>
                  <w:tcBorders>
                    <w:top w:val="nil"/>
                    <w:left w:val="nil"/>
                    <w:bottom w:val="single" w:sz="4" w:space="0" w:color="000000"/>
                    <w:right w:val="single" w:sz="4" w:space="0" w:color="000000"/>
                  </w:tcBorders>
                  <w:noWrap/>
                  <w:vAlign w:val="center"/>
                  <w:hideMark/>
                </w:tcPr>
                <w:p w:rsidR="00024AD0" w:rsidRPr="009A7761" w:rsidP="00F80C79" w14:paraId="27B5F992" w14:textId="77777777">
                  <w:pPr>
                    <w:spacing w:after="0" w:line="240" w:lineRule="auto"/>
                    <w:jc w:val="right"/>
                    <w:rPr>
                      <w:lang w:eastAsia="lv-LV"/>
                    </w:rPr>
                  </w:pPr>
                  <w:r>
                    <w:rPr>
                      <w:lang w:eastAsia="lv-LV"/>
                    </w:rPr>
                    <w:t>100.000</w:t>
                  </w:r>
                </w:p>
              </w:tc>
              <w:tc>
                <w:tcPr>
                  <w:tcW w:w="943" w:type="dxa"/>
                  <w:vAlign w:val="center"/>
                  <w:hideMark/>
                </w:tcPr>
                <w:p w:rsidR="00024AD0" w:rsidRPr="009A7761" w:rsidP="00F80C79" w14:paraId="0B3410B6" w14:textId="77777777">
                  <w:pPr>
                    <w:spacing w:after="0" w:line="240" w:lineRule="auto"/>
                    <w:rPr>
                      <w:lang w:eastAsia="lv-LV"/>
                    </w:rPr>
                  </w:pPr>
                </w:p>
              </w:tc>
            </w:tr>
            <w:tr w14:paraId="74E6DF22" w14:textId="77777777" w:rsidTr="00F80C79">
              <w:tblPrEx>
                <w:tblW w:w="9375" w:type="dxa"/>
                <w:tblLook w:val="04A0"/>
              </w:tblPrEx>
              <w:trPr>
                <w:trHeight w:val="528"/>
              </w:trPr>
              <w:tc>
                <w:tcPr>
                  <w:tcW w:w="928" w:type="dxa"/>
                  <w:tcBorders>
                    <w:top w:val="nil"/>
                    <w:left w:val="single" w:sz="4" w:space="0" w:color="000000"/>
                    <w:bottom w:val="single" w:sz="4" w:space="0" w:color="000000"/>
                    <w:right w:val="single" w:sz="4" w:space="0" w:color="000000"/>
                  </w:tcBorders>
                  <w:noWrap/>
                  <w:vAlign w:val="center"/>
                  <w:hideMark/>
                </w:tcPr>
                <w:p w:rsidR="00024AD0" w:rsidRPr="009A7761" w:rsidP="00F80C79" w14:paraId="149A2F05" w14:textId="77777777">
                  <w:pPr>
                    <w:spacing w:after="0" w:line="240" w:lineRule="auto"/>
                    <w:ind w:firstLine="240" w:firstLineChars="100"/>
                    <w:jc w:val="right"/>
                    <w:rPr>
                      <w:lang w:eastAsia="lv-LV"/>
                    </w:rPr>
                  </w:pPr>
                  <w:r>
                    <w:rPr>
                      <w:lang w:eastAsia="lv-LV"/>
                    </w:rPr>
                    <w:t>1311</w:t>
                  </w:r>
                </w:p>
              </w:tc>
              <w:tc>
                <w:tcPr>
                  <w:tcW w:w="2685" w:type="dxa"/>
                  <w:tcBorders>
                    <w:top w:val="nil"/>
                    <w:left w:val="nil"/>
                    <w:bottom w:val="single" w:sz="4" w:space="0" w:color="000000"/>
                    <w:right w:val="single" w:sz="4" w:space="0" w:color="000000"/>
                  </w:tcBorders>
                  <w:vAlign w:val="center"/>
                  <w:hideMark/>
                </w:tcPr>
                <w:p w:rsidR="00024AD0" w:rsidRPr="009A7761" w:rsidP="00F80C79" w14:paraId="7A0A9EA4" w14:textId="77777777">
                  <w:pPr>
                    <w:spacing w:after="0" w:line="240" w:lineRule="auto"/>
                    <w:rPr>
                      <w:lang w:eastAsia="lv-LV"/>
                    </w:rPr>
                  </w:pPr>
                  <w:r>
                    <w:rPr>
                      <w:lang w:eastAsia="lv-LV"/>
                    </w:rPr>
                    <w:t>Aizkraukles novada SIA "Aizkraukles ūdens"</w:t>
                  </w:r>
                </w:p>
              </w:tc>
              <w:tc>
                <w:tcPr>
                  <w:tcW w:w="1178" w:type="dxa"/>
                  <w:tcBorders>
                    <w:top w:val="nil"/>
                    <w:left w:val="nil"/>
                    <w:bottom w:val="single" w:sz="4" w:space="0" w:color="000000"/>
                    <w:right w:val="single" w:sz="4" w:space="0" w:color="000000"/>
                  </w:tcBorders>
                  <w:vAlign w:val="center"/>
                  <w:hideMark/>
                </w:tcPr>
                <w:p w:rsidR="00024AD0" w:rsidRPr="009A7761" w:rsidP="00F80C79" w14:paraId="0474F2E4" w14:textId="77777777">
                  <w:pPr>
                    <w:spacing w:after="0" w:line="240" w:lineRule="auto"/>
                    <w:jc w:val="right"/>
                    <w:rPr>
                      <w:lang w:eastAsia="lv-LV"/>
                    </w:rPr>
                  </w:pPr>
                  <w:r>
                    <w:rPr>
                      <w:lang w:eastAsia="lv-LV"/>
                    </w:rPr>
                    <w:t>1 512 455</w:t>
                  </w:r>
                </w:p>
              </w:tc>
              <w:tc>
                <w:tcPr>
                  <w:tcW w:w="1090" w:type="dxa"/>
                  <w:tcBorders>
                    <w:top w:val="nil"/>
                    <w:left w:val="nil"/>
                    <w:bottom w:val="single" w:sz="4" w:space="0" w:color="000000"/>
                    <w:right w:val="single" w:sz="4" w:space="0" w:color="000000"/>
                  </w:tcBorders>
                  <w:noWrap/>
                  <w:vAlign w:val="center"/>
                </w:tcPr>
                <w:p w:rsidR="00024AD0" w:rsidRPr="009A7761" w:rsidP="00F80C79" w14:paraId="1596CB4E" w14:textId="77777777">
                  <w:pPr>
                    <w:spacing w:after="0" w:line="240" w:lineRule="auto"/>
                    <w:jc w:val="right"/>
                    <w:rPr>
                      <w:lang w:eastAsia="lv-LV"/>
                    </w:rPr>
                  </w:pPr>
                  <w:r>
                    <w:rPr>
                      <w:lang w:eastAsia="lv-LV"/>
                    </w:rPr>
                    <w:t>+23 478</w:t>
                  </w:r>
                </w:p>
              </w:tc>
              <w:tc>
                <w:tcPr>
                  <w:tcW w:w="1275" w:type="dxa"/>
                  <w:tcBorders>
                    <w:top w:val="nil"/>
                    <w:left w:val="nil"/>
                    <w:bottom w:val="single" w:sz="4" w:space="0" w:color="000000"/>
                    <w:right w:val="single" w:sz="4" w:space="0" w:color="000000"/>
                  </w:tcBorders>
                  <w:noWrap/>
                  <w:vAlign w:val="center"/>
                </w:tcPr>
                <w:p w:rsidR="00024AD0" w:rsidRPr="009A7761" w:rsidP="00F80C79" w14:paraId="550224D5" w14:textId="77777777">
                  <w:pPr>
                    <w:spacing w:after="0" w:line="240" w:lineRule="auto"/>
                    <w:jc w:val="right"/>
                    <w:rPr>
                      <w:lang w:eastAsia="lv-LV"/>
                    </w:rPr>
                  </w:pPr>
                  <w:r>
                    <w:rPr>
                      <w:lang w:eastAsia="lv-LV"/>
                    </w:rPr>
                    <w:t>1 535 933</w:t>
                  </w:r>
                </w:p>
              </w:tc>
              <w:tc>
                <w:tcPr>
                  <w:tcW w:w="1276" w:type="dxa"/>
                  <w:tcBorders>
                    <w:top w:val="nil"/>
                    <w:left w:val="nil"/>
                    <w:bottom w:val="single" w:sz="4" w:space="0" w:color="000000"/>
                    <w:right w:val="single" w:sz="4" w:space="0" w:color="000000"/>
                  </w:tcBorders>
                  <w:noWrap/>
                  <w:vAlign w:val="center"/>
                  <w:hideMark/>
                </w:tcPr>
                <w:p w:rsidR="00024AD0" w:rsidRPr="009A7761" w:rsidP="00F80C79" w14:paraId="4E4BF3BE" w14:textId="77777777">
                  <w:pPr>
                    <w:spacing w:after="0" w:line="240" w:lineRule="auto"/>
                    <w:jc w:val="right"/>
                    <w:rPr>
                      <w:lang w:eastAsia="lv-LV"/>
                    </w:rPr>
                  </w:pPr>
                  <w:r>
                    <w:rPr>
                      <w:lang w:eastAsia="lv-LV"/>
                    </w:rPr>
                    <w:t>100.000</w:t>
                  </w:r>
                </w:p>
              </w:tc>
              <w:tc>
                <w:tcPr>
                  <w:tcW w:w="943" w:type="dxa"/>
                  <w:vAlign w:val="center"/>
                  <w:hideMark/>
                </w:tcPr>
                <w:p w:rsidR="00024AD0" w:rsidRPr="009A7761" w:rsidP="00F80C79" w14:paraId="52D29D3C" w14:textId="77777777">
                  <w:pPr>
                    <w:spacing w:after="0" w:line="240" w:lineRule="auto"/>
                    <w:rPr>
                      <w:lang w:eastAsia="lv-LV"/>
                    </w:rPr>
                  </w:pPr>
                </w:p>
              </w:tc>
            </w:tr>
            <w:tr w14:paraId="255A1F4A" w14:textId="77777777" w:rsidTr="00F80C79">
              <w:tblPrEx>
                <w:tblW w:w="9375" w:type="dxa"/>
                <w:tblLook w:val="04A0"/>
              </w:tblPrEx>
              <w:trPr>
                <w:trHeight w:val="528"/>
              </w:trPr>
              <w:tc>
                <w:tcPr>
                  <w:tcW w:w="928" w:type="dxa"/>
                  <w:tcBorders>
                    <w:top w:val="nil"/>
                    <w:left w:val="single" w:sz="4" w:space="0" w:color="000000"/>
                    <w:bottom w:val="single" w:sz="4" w:space="0" w:color="000000"/>
                    <w:right w:val="single" w:sz="4" w:space="0" w:color="000000"/>
                  </w:tcBorders>
                  <w:noWrap/>
                  <w:vAlign w:val="center"/>
                  <w:hideMark/>
                </w:tcPr>
                <w:p w:rsidR="00024AD0" w:rsidRPr="009A7761" w:rsidP="00F80C79" w14:paraId="580B2179" w14:textId="77777777">
                  <w:pPr>
                    <w:spacing w:after="0" w:line="240" w:lineRule="auto"/>
                    <w:ind w:firstLine="240" w:firstLineChars="100"/>
                    <w:jc w:val="right"/>
                    <w:rPr>
                      <w:lang w:eastAsia="lv-LV"/>
                    </w:rPr>
                  </w:pPr>
                  <w:r>
                    <w:rPr>
                      <w:lang w:eastAsia="lv-LV"/>
                    </w:rPr>
                    <w:t>1311</w:t>
                  </w:r>
                </w:p>
              </w:tc>
              <w:tc>
                <w:tcPr>
                  <w:tcW w:w="2685" w:type="dxa"/>
                  <w:tcBorders>
                    <w:top w:val="nil"/>
                    <w:left w:val="nil"/>
                    <w:bottom w:val="single" w:sz="4" w:space="0" w:color="000000"/>
                    <w:right w:val="single" w:sz="4" w:space="0" w:color="000000"/>
                  </w:tcBorders>
                  <w:vAlign w:val="center"/>
                  <w:hideMark/>
                </w:tcPr>
                <w:p w:rsidR="00024AD0" w:rsidRPr="009A7761" w:rsidP="00F80C79" w14:paraId="3E0FFE31" w14:textId="77777777">
                  <w:pPr>
                    <w:spacing w:after="0" w:line="240" w:lineRule="auto"/>
                    <w:rPr>
                      <w:lang w:eastAsia="lv-LV"/>
                    </w:rPr>
                  </w:pPr>
                  <w:r>
                    <w:rPr>
                      <w:lang w:eastAsia="lv-LV"/>
                    </w:rPr>
                    <w:t>Aizkraukles novada SIA "Lauma A"</w:t>
                  </w:r>
                </w:p>
              </w:tc>
              <w:tc>
                <w:tcPr>
                  <w:tcW w:w="1178" w:type="dxa"/>
                  <w:tcBorders>
                    <w:top w:val="nil"/>
                    <w:left w:val="nil"/>
                    <w:bottom w:val="single" w:sz="4" w:space="0" w:color="000000"/>
                    <w:right w:val="single" w:sz="4" w:space="0" w:color="000000"/>
                  </w:tcBorders>
                  <w:vAlign w:val="center"/>
                  <w:hideMark/>
                </w:tcPr>
                <w:p w:rsidR="00024AD0" w:rsidRPr="009A7761" w:rsidP="00F80C79" w14:paraId="06977279" w14:textId="77777777">
                  <w:pPr>
                    <w:spacing w:after="0" w:line="240" w:lineRule="auto"/>
                    <w:jc w:val="right"/>
                    <w:rPr>
                      <w:lang w:eastAsia="lv-LV"/>
                    </w:rPr>
                  </w:pPr>
                  <w:r>
                    <w:rPr>
                      <w:lang w:eastAsia="lv-LV"/>
                    </w:rPr>
                    <w:t>257 862</w:t>
                  </w:r>
                </w:p>
              </w:tc>
              <w:tc>
                <w:tcPr>
                  <w:tcW w:w="1090" w:type="dxa"/>
                  <w:tcBorders>
                    <w:top w:val="nil"/>
                    <w:left w:val="nil"/>
                    <w:bottom w:val="single" w:sz="4" w:space="0" w:color="000000"/>
                    <w:right w:val="single" w:sz="4" w:space="0" w:color="000000"/>
                  </w:tcBorders>
                  <w:noWrap/>
                  <w:vAlign w:val="center"/>
                </w:tcPr>
                <w:p w:rsidR="00024AD0" w:rsidRPr="009A7761" w:rsidP="00F80C79" w14:paraId="7B0F492C" w14:textId="77777777">
                  <w:pPr>
                    <w:spacing w:after="0" w:line="240" w:lineRule="auto"/>
                    <w:jc w:val="right"/>
                    <w:rPr>
                      <w:lang w:eastAsia="lv-LV"/>
                    </w:rPr>
                  </w:pPr>
                  <w:r>
                    <w:rPr>
                      <w:lang w:eastAsia="lv-LV"/>
                    </w:rPr>
                    <w:t>+23 059</w:t>
                  </w:r>
                </w:p>
              </w:tc>
              <w:tc>
                <w:tcPr>
                  <w:tcW w:w="1275" w:type="dxa"/>
                  <w:tcBorders>
                    <w:top w:val="nil"/>
                    <w:left w:val="nil"/>
                    <w:bottom w:val="single" w:sz="4" w:space="0" w:color="000000"/>
                    <w:right w:val="single" w:sz="4" w:space="0" w:color="000000"/>
                  </w:tcBorders>
                  <w:noWrap/>
                  <w:vAlign w:val="center"/>
                </w:tcPr>
                <w:p w:rsidR="00024AD0" w:rsidRPr="009A7761" w:rsidP="00F80C79" w14:paraId="14770630" w14:textId="77777777">
                  <w:pPr>
                    <w:spacing w:after="0" w:line="240" w:lineRule="auto"/>
                    <w:jc w:val="right"/>
                    <w:rPr>
                      <w:lang w:eastAsia="lv-LV"/>
                    </w:rPr>
                  </w:pPr>
                  <w:r>
                    <w:rPr>
                      <w:lang w:eastAsia="lv-LV"/>
                    </w:rPr>
                    <w:t>280 921</w:t>
                  </w:r>
                </w:p>
              </w:tc>
              <w:tc>
                <w:tcPr>
                  <w:tcW w:w="1276" w:type="dxa"/>
                  <w:tcBorders>
                    <w:top w:val="nil"/>
                    <w:left w:val="nil"/>
                    <w:bottom w:val="single" w:sz="4" w:space="0" w:color="000000"/>
                    <w:right w:val="single" w:sz="4" w:space="0" w:color="000000"/>
                  </w:tcBorders>
                  <w:noWrap/>
                  <w:vAlign w:val="center"/>
                  <w:hideMark/>
                </w:tcPr>
                <w:p w:rsidR="00024AD0" w:rsidRPr="009A7761" w:rsidP="00F80C79" w14:paraId="353513D0" w14:textId="77777777">
                  <w:pPr>
                    <w:spacing w:after="0" w:line="240" w:lineRule="auto"/>
                    <w:jc w:val="right"/>
                    <w:rPr>
                      <w:lang w:eastAsia="lv-LV"/>
                    </w:rPr>
                  </w:pPr>
                  <w:r>
                    <w:rPr>
                      <w:lang w:eastAsia="lv-LV"/>
                    </w:rPr>
                    <w:t>100.000</w:t>
                  </w:r>
                </w:p>
              </w:tc>
              <w:tc>
                <w:tcPr>
                  <w:tcW w:w="943" w:type="dxa"/>
                  <w:vAlign w:val="center"/>
                  <w:hideMark/>
                </w:tcPr>
                <w:p w:rsidR="00024AD0" w:rsidRPr="009A7761" w:rsidP="00F80C79" w14:paraId="5045EB21" w14:textId="77777777">
                  <w:pPr>
                    <w:spacing w:after="0" w:line="240" w:lineRule="auto"/>
                    <w:rPr>
                      <w:lang w:eastAsia="lv-LV"/>
                    </w:rPr>
                  </w:pPr>
                </w:p>
              </w:tc>
            </w:tr>
            <w:tr w14:paraId="74F6059F" w14:textId="77777777" w:rsidTr="00F80C79">
              <w:tblPrEx>
                <w:tblW w:w="9375" w:type="dxa"/>
                <w:tblLook w:val="04A0"/>
              </w:tblPrEx>
              <w:trPr>
                <w:trHeight w:val="276"/>
              </w:trPr>
              <w:tc>
                <w:tcPr>
                  <w:tcW w:w="928" w:type="dxa"/>
                  <w:tcBorders>
                    <w:top w:val="nil"/>
                    <w:left w:val="single" w:sz="4" w:space="0" w:color="000000"/>
                    <w:bottom w:val="single" w:sz="4" w:space="0" w:color="000000"/>
                    <w:right w:val="single" w:sz="4" w:space="0" w:color="000000"/>
                  </w:tcBorders>
                  <w:noWrap/>
                  <w:vAlign w:val="center"/>
                  <w:hideMark/>
                </w:tcPr>
                <w:p w:rsidR="00024AD0" w:rsidRPr="009A7761" w:rsidP="00F80C79" w14:paraId="0D6F2C9B" w14:textId="77777777">
                  <w:pPr>
                    <w:spacing w:after="0" w:line="240" w:lineRule="auto"/>
                    <w:ind w:firstLine="240" w:firstLineChars="100"/>
                    <w:jc w:val="right"/>
                    <w:rPr>
                      <w:lang w:eastAsia="lv-LV"/>
                    </w:rPr>
                  </w:pPr>
                  <w:r>
                    <w:rPr>
                      <w:lang w:eastAsia="lv-LV"/>
                    </w:rPr>
                    <w:t>1311</w:t>
                  </w:r>
                </w:p>
              </w:tc>
              <w:tc>
                <w:tcPr>
                  <w:tcW w:w="2685" w:type="dxa"/>
                  <w:tcBorders>
                    <w:top w:val="nil"/>
                    <w:left w:val="nil"/>
                    <w:bottom w:val="single" w:sz="4" w:space="0" w:color="000000"/>
                    <w:right w:val="single" w:sz="4" w:space="0" w:color="000000"/>
                  </w:tcBorders>
                  <w:vAlign w:val="center"/>
                  <w:hideMark/>
                </w:tcPr>
                <w:p w:rsidR="00024AD0" w:rsidRPr="009A7761" w:rsidP="00F80C79" w14:paraId="7D0EFE29" w14:textId="77777777">
                  <w:pPr>
                    <w:spacing w:after="0" w:line="240" w:lineRule="auto"/>
                    <w:rPr>
                      <w:lang w:eastAsia="lv-LV"/>
                    </w:rPr>
                  </w:pPr>
                  <w:r>
                    <w:rPr>
                      <w:lang w:eastAsia="lv-LV"/>
                    </w:rPr>
                    <w:t>SIA "Aizkraukles KUK"</w:t>
                  </w:r>
                </w:p>
              </w:tc>
              <w:tc>
                <w:tcPr>
                  <w:tcW w:w="1178" w:type="dxa"/>
                  <w:tcBorders>
                    <w:top w:val="nil"/>
                    <w:left w:val="nil"/>
                    <w:bottom w:val="single" w:sz="4" w:space="0" w:color="000000"/>
                    <w:right w:val="single" w:sz="4" w:space="0" w:color="000000"/>
                  </w:tcBorders>
                  <w:vAlign w:val="center"/>
                  <w:hideMark/>
                </w:tcPr>
                <w:p w:rsidR="00024AD0" w:rsidRPr="009A7761" w:rsidP="00F80C79" w14:paraId="43397284" w14:textId="77777777">
                  <w:pPr>
                    <w:spacing w:after="0" w:line="240" w:lineRule="auto"/>
                    <w:jc w:val="right"/>
                    <w:rPr>
                      <w:lang w:eastAsia="lv-LV"/>
                    </w:rPr>
                  </w:pPr>
                  <w:r>
                    <w:rPr>
                      <w:lang w:eastAsia="lv-LV"/>
                    </w:rPr>
                    <w:t>248 953</w:t>
                  </w:r>
                </w:p>
              </w:tc>
              <w:tc>
                <w:tcPr>
                  <w:tcW w:w="1090" w:type="dxa"/>
                  <w:tcBorders>
                    <w:top w:val="nil"/>
                    <w:left w:val="nil"/>
                    <w:bottom w:val="single" w:sz="4" w:space="0" w:color="000000"/>
                    <w:right w:val="single" w:sz="4" w:space="0" w:color="000000"/>
                  </w:tcBorders>
                  <w:noWrap/>
                  <w:vAlign w:val="center"/>
                </w:tcPr>
                <w:p w:rsidR="00024AD0" w:rsidRPr="009A7761" w:rsidP="00F80C79" w14:paraId="0DEB031B" w14:textId="77777777">
                  <w:pPr>
                    <w:spacing w:after="0" w:line="240" w:lineRule="auto"/>
                    <w:jc w:val="right"/>
                    <w:rPr>
                      <w:lang w:eastAsia="lv-LV"/>
                    </w:rPr>
                  </w:pPr>
                  <w:r>
                    <w:rPr>
                      <w:lang w:eastAsia="lv-LV"/>
                    </w:rPr>
                    <w:t>+28 176</w:t>
                  </w:r>
                </w:p>
              </w:tc>
              <w:tc>
                <w:tcPr>
                  <w:tcW w:w="1275" w:type="dxa"/>
                  <w:tcBorders>
                    <w:top w:val="nil"/>
                    <w:left w:val="nil"/>
                    <w:bottom w:val="single" w:sz="4" w:space="0" w:color="000000"/>
                    <w:right w:val="single" w:sz="4" w:space="0" w:color="000000"/>
                  </w:tcBorders>
                  <w:noWrap/>
                  <w:vAlign w:val="center"/>
                </w:tcPr>
                <w:p w:rsidR="00024AD0" w:rsidRPr="009A7761" w:rsidP="00F80C79" w14:paraId="0BE2CB6C" w14:textId="77777777">
                  <w:pPr>
                    <w:spacing w:after="0" w:line="240" w:lineRule="auto"/>
                    <w:jc w:val="right"/>
                    <w:rPr>
                      <w:lang w:eastAsia="lv-LV"/>
                    </w:rPr>
                  </w:pPr>
                  <w:r>
                    <w:rPr>
                      <w:lang w:eastAsia="lv-LV"/>
                    </w:rPr>
                    <w:t>277 129</w:t>
                  </w:r>
                </w:p>
              </w:tc>
              <w:tc>
                <w:tcPr>
                  <w:tcW w:w="1276" w:type="dxa"/>
                  <w:tcBorders>
                    <w:top w:val="nil"/>
                    <w:left w:val="nil"/>
                    <w:bottom w:val="single" w:sz="4" w:space="0" w:color="000000"/>
                    <w:right w:val="single" w:sz="4" w:space="0" w:color="000000"/>
                  </w:tcBorders>
                  <w:noWrap/>
                  <w:vAlign w:val="center"/>
                  <w:hideMark/>
                </w:tcPr>
                <w:p w:rsidR="00024AD0" w:rsidRPr="009A7761" w:rsidP="00F80C79" w14:paraId="16A2B2F2" w14:textId="77777777">
                  <w:pPr>
                    <w:spacing w:after="0" w:line="240" w:lineRule="auto"/>
                    <w:jc w:val="right"/>
                    <w:rPr>
                      <w:lang w:eastAsia="lv-LV"/>
                    </w:rPr>
                  </w:pPr>
                  <w:r>
                    <w:rPr>
                      <w:lang w:eastAsia="lv-LV"/>
                    </w:rPr>
                    <w:t>100.000</w:t>
                  </w:r>
                </w:p>
              </w:tc>
              <w:tc>
                <w:tcPr>
                  <w:tcW w:w="943" w:type="dxa"/>
                  <w:vAlign w:val="center"/>
                  <w:hideMark/>
                </w:tcPr>
                <w:p w:rsidR="00024AD0" w:rsidRPr="009A7761" w:rsidP="00F80C79" w14:paraId="7AB7B70A" w14:textId="77777777">
                  <w:pPr>
                    <w:spacing w:after="0" w:line="240" w:lineRule="auto"/>
                    <w:rPr>
                      <w:lang w:eastAsia="lv-LV"/>
                    </w:rPr>
                  </w:pPr>
                </w:p>
              </w:tc>
            </w:tr>
            <w:tr w14:paraId="212DC4FA" w14:textId="77777777" w:rsidTr="00F80C79">
              <w:tblPrEx>
                <w:tblW w:w="9375" w:type="dxa"/>
                <w:tblLook w:val="04A0"/>
              </w:tblPrEx>
              <w:trPr>
                <w:trHeight w:val="276"/>
              </w:trPr>
              <w:tc>
                <w:tcPr>
                  <w:tcW w:w="928" w:type="dxa"/>
                  <w:tcBorders>
                    <w:top w:val="nil"/>
                    <w:left w:val="single" w:sz="4" w:space="0" w:color="000000"/>
                    <w:bottom w:val="single" w:sz="4" w:space="0" w:color="000000"/>
                    <w:right w:val="single" w:sz="4" w:space="0" w:color="000000"/>
                  </w:tcBorders>
                  <w:noWrap/>
                  <w:vAlign w:val="center"/>
                  <w:hideMark/>
                </w:tcPr>
                <w:p w:rsidR="00024AD0" w:rsidRPr="009A7761" w:rsidP="00F80C79" w14:paraId="1D42A2DE" w14:textId="77777777">
                  <w:pPr>
                    <w:spacing w:after="0" w:line="240" w:lineRule="auto"/>
                    <w:ind w:firstLine="240" w:firstLineChars="100"/>
                    <w:jc w:val="right"/>
                    <w:rPr>
                      <w:lang w:eastAsia="lv-LV"/>
                    </w:rPr>
                  </w:pPr>
                  <w:r>
                    <w:rPr>
                      <w:lang w:eastAsia="lv-LV"/>
                    </w:rPr>
                    <w:t>1311</w:t>
                  </w:r>
                </w:p>
              </w:tc>
              <w:tc>
                <w:tcPr>
                  <w:tcW w:w="2685" w:type="dxa"/>
                  <w:tcBorders>
                    <w:top w:val="nil"/>
                    <w:left w:val="nil"/>
                    <w:bottom w:val="single" w:sz="4" w:space="0" w:color="000000"/>
                    <w:right w:val="single" w:sz="4" w:space="0" w:color="000000"/>
                  </w:tcBorders>
                  <w:vAlign w:val="center"/>
                  <w:hideMark/>
                </w:tcPr>
                <w:p w:rsidR="00024AD0" w:rsidRPr="009A7761" w:rsidP="00F80C79" w14:paraId="206EED1A" w14:textId="77777777">
                  <w:pPr>
                    <w:spacing w:after="0" w:line="240" w:lineRule="auto"/>
                    <w:rPr>
                      <w:lang w:eastAsia="lv-LV"/>
                    </w:rPr>
                  </w:pPr>
                  <w:r>
                    <w:rPr>
                      <w:lang w:eastAsia="lv-LV"/>
                    </w:rPr>
                    <w:t>SIA "Aizkraukles klīnika"</w:t>
                  </w:r>
                </w:p>
              </w:tc>
              <w:tc>
                <w:tcPr>
                  <w:tcW w:w="1178" w:type="dxa"/>
                  <w:tcBorders>
                    <w:top w:val="nil"/>
                    <w:left w:val="nil"/>
                    <w:bottom w:val="single" w:sz="4" w:space="0" w:color="000000"/>
                    <w:right w:val="single" w:sz="4" w:space="0" w:color="000000"/>
                  </w:tcBorders>
                  <w:vAlign w:val="center"/>
                  <w:hideMark/>
                </w:tcPr>
                <w:p w:rsidR="00024AD0" w:rsidRPr="009A7761" w:rsidP="00F80C79" w14:paraId="5A8AB8BD" w14:textId="77777777">
                  <w:pPr>
                    <w:spacing w:after="0" w:line="240" w:lineRule="auto"/>
                    <w:jc w:val="right"/>
                    <w:rPr>
                      <w:lang w:eastAsia="lv-LV"/>
                    </w:rPr>
                  </w:pPr>
                  <w:r>
                    <w:rPr>
                      <w:lang w:eastAsia="lv-LV"/>
                    </w:rPr>
                    <w:t>1 888 532</w:t>
                  </w:r>
                </w:p>
              </w:tc>
              <w:tc>
                <w:tcPr>
                  <w:tcW w:w="1090" w:type="dxa"/>
                  <w:tcBorders>
                    <w:top w:val="nil"/>
                    <w:left w:val="nil"/>
                    <w:bottom w:val="single" w:sz="4" w:space="0" w:color="000000"/>
                    <w:right w:val="single" w:sz="4" w:space="0" w:color="000000"/>
                  </w:tcBorders>
                  <w:noWrap/>
                  <w:vAlign w:val="center"/>
                </w:tcPr>
                <w:p w:rsidR="00024AD0" w:rsidRPr="009A7761" w:rsidP="00F80C79" w14:paraId="16DE10A4" w14:textId="77777777">
                  <w:pPr>
                    <w:spacing w:after="0" w:line="240" w:lineRule="auto"/>
                    <w:jc w:val="right"/>
                    <w:rPr>
                      <w:lang w:eastAsia="lv-LV"/>
                    </w:rPr>
                  </w:pPr>
                  <w:r>
                    <w:rPr>
                      <w:lang w:eastAsia="lv-LV"/>
                    </w:rPr>
                    <w:t>+59 525</w:t>
                  </w:r>
                </w:p>
              </w:tc>
              <w:tc>
                <w:tcPr>
                  <w:tcW w:w="1275" w:type="dxa"/>
                  <w:tcBorders>
                    <w:top w:val="nil"/>
                    <w:left w:val="nil"/>
                    <w:bottom w:val="single" w:sz="4" w:space="0" w:color="000000"/>
                    <w:right w:val="single" w:sz="4" w:space="0" w:color="000000"/>
                  </w:tcBorders>
                  <w:noWrap/>
                  <w:vAlign w:val="center"/>
                </w:tcPr>
                <w:p w:rsidR="00024AD0" w:rsidRPr="009A7761" w:rsidP="00F80C79" w14:paraId="60311F38" w14:textId="77777777">
                  <w:pPr>
                    <w:spacing w:after="0" w:line="240" w:lineRule="auto"/>
                    <w:jc w:val="right"/>
                    <w:rPr>
                      <w:lang w:eastAsia="lv-LV"/>
                    </w:rPr>
                  </w:pPr>
                  <w:r>
                    <w:rPr>
                      <w:lang w:eastAsia="lv-LV"/>
                    </w:rPr>
                    <w:t>1 948 057</w:t>
                  </w:r>
                </w:p>
              </w:tc>
              <w:tc>
                <w:tcPr>
                  <w:tcW w:w="1276" w:type="dxa"/>
                  <w:tcBorders>
                    <w:top w:val="nil"/>
                    <w:left w:val="nil"/>
                    <w:bottom w:val="single" w:sz="4" w:space="0" w:color="000000"/>
                    <w:right w:val="single" w:sz="4" w:space="0" w:color="000000"/>
                  </w:tcBorders>
                  <w:noWrap/>
                  <w:vAlign w:val="center"/>
                  <w:hideMark/>
                </w:tcPr>
                <w:p w:rsidR="00024AD0" w:rsidRPr="009A7761" w:rsidP="00F80C79" w14:paraId="578797A9" w14:textId="77777777">
                  <w:pPr>
                    <w:spacing w:after="0" w:line="240" w:lineRule="auto"/>
                    <w:jc w:val="right"/>
                    <w:rPr>
                      <w:lang w:eastAsia="lv-LV"/>
                    </w:rPr>
                  </w:pPr>
                  <w:r>
                    <w:rPr>
                      <w:lang w:eastAsia="lv-LV"/>
                    </w:rPr>
                    <w:t>71.042</w:t>
                  </w:r>
                </w:p>
              </w:tc>
              <w:tc>
                <w:tcPr>
                  <w:tcW w:w="943" w:type="dxa"/>
                  <w:vAlign w:val="center"/>
                  <w:hideMark/>
                </w:tcPr>
                <w:p w:rsidR="00024AD0" w:rsidRPr="009A7761" w:rsidP="00F80C79" w14:paraId="07D212F4" w14:textId="77777777">
                  <w:pPr>
                    <w:spacing w:after="0" w:line="240" w:lineRule="auto"/>
                    <w:rPr>
                      <w:lang w:eastAsia="lv-LV"/>
                    </w:rPr>
                  </w:pPr>
                </w:p>
              </w:tc>
            </w:tr>
            <w:tr w14:paraId="6EEA1557" w14:textId="77777777" w:rsidTr="00F80C79">
              <w:tblPrEx>
                <w:tblW w:w="9375" w:type="dxa"/>
                <w:tblLook w:val="04A0"/>
              </w:tblPrEx>
              <w:trPr>
                <w:trHeight w:val="528"/>
              </w:trPr>
              <w:tc>
                <w:tcPr>
                  <w:tcW w:w="928" w:type="dxa"/>
                  <w:tcBorders>
                    <w:top w:val="nil"/>
                    <w:left w:val="single" w:sz="4" w:space="0" w:color="000000"/>
                    <w:bottom w:val="single" w:sz="4" w:space="0" w:color="000000"/>
                    <w:right w:val="single" w:sz="4" w:space="0" w:color="000000"/>
                  </w:tcBorders>
                  <w:noWrap/>
                  <w:vAlign w:val="center"/>
                  <w:hideMark/>
                </w:tcPr>
                <w:p w:rsidR="00024AD0" w:rsidRPr="009A7761" w:rsidP="00F80C79" w14:paraId="73EA7658" w14:textId="77777777">
                  <w:pPr>
                    <w:spacing w:after="0" w:line="240" w:lineRule="auto"/>
                    <w:ind w:firstLine="240" w:firstLineChars="100"/>
                    <w:jc w:val="right"/>
                    <w:rPr>
                      <w:lang w:eastAsia="lv-LV"/>
                    </w:rPr>
                  </w:pPr>
                  <w:r>
                    <w:rPr>
                      <w:lang w:eastAsia="lv-LV"/>
                    </w:rPr>
                    <w:t>1311</w:t>
                  </w:r>
                </w:p>
              </w:tc>
              <w:tc>
                <w:tcPr>
                  <w:tcW w:w="2685" w:type="dxa"/>
                  <w:tcBorders>
                    <w:top w:val="nil"/>
                    <w:left w:val="nil"/>
                    <w:bottom w:val="single" w:sz="4" w:space="0" w:color="000000"/>
                    <w:right w:val="single" w:sz="4" w:space="0" w:color="000000"/>
                  </w:tcBorders>
                  <w:vAlign w:val="center"/>
                  <w:hideMark/>
                </w:tcPr>
                <w:p w:rsidR="00024AD0" w:rsidRPr="009A7761" w:rsidP="00F80C79" w14:paraId="04CB11C6" w14:textId="77777777">
                  <w:pPr>
                    <w:spacing w:after="0" w:line="240" w:lineRule="auto"/>
                    <w:rPr>
                      <w:lang w:eastAsia="lv-LV"/>
                    </w:rPr>
                  </w:pPr>
                  <w:r>
                    <w:rPr>
                      <w:lang w:eastAsia="lv-LV"/>
                    </w:rPr>
                    <w:t>SIA Kokneses komunālie pakalpojumi</w:t>
                  </w:r>
                </w:p>
              </w:tc>
              <w:tc>
                <w:tcPr>
                  <w:tcW w:w="1178" w:type="dxa"/>
                  <w:tcBorders>
                    <w:top w:val="nil"/>
                    <w:left w:val="nil"/>
                    <w:bottom w:val="single" w:sz="4" w:space="0" w:color="000000"/>
                    <w:right w:val="single" w:sz="4" w:space="0" w:color="000000"/>
                  </w:tcBorders>
                  <w:vAlign w:val="center"/>
                  <w:hideMark/>
                </w:tcPr>
                <w:p w:rsidR="00024AD0" w:rsidRPr="009A7761" w:rsidP="00F80C79" w14:paraId="7D757985" w14:textId="77777777">
                  <w:pPr>
                    <w:spacing w:after="0" w:line="240" w:lineRule="auto"/>
                    <w:jc w:val="right"/>
                    <w:rPr>
                      <w:lang w:eastAsia="lv-LV"/>
                    </w:rPr>
                  </w:pPr>
                  <w:r>
                    <w:rPr>
                      <w:lang w:eastAsia="lv-LV"/>
                    </w:rPr>
                    <w:t>523 309</w:t>
                  </w:r>
                </w:p>
              </w:tc>
              <w:tc>
                <w:tcPr>
                  <w:tcW w:w="1090" w:type="dxa"/>
                  <w:tcBorders>
                    <w:top w:val="nil"/>
                    <w:left w:val="nil"/>
                    <w:bottom w:val="single" w:sz="4" w:space="0" w:color="000000"/>
                    <w:right w:val="single" w:sz="4" w:space="0" w:color="000000"/>
                  </w:tcBorders>
                  <w:noWrap/>
                  <w:vAlign w:val="center"/>
                </w:tcPr>
                <w:p w:rsidR="00024AD0" w:rsidRPr="009A7761" w:rsidP="00F80C79" w14:paraId="1EC3E40C" w14:textId="77777777">
                  <w:pPr>
                    <w:spacing w:after="0" w:line="240" w:lineRule="auto"/>
                    <w:jc w:val="right"/>
                    <w:rPr>
                      <w:lang w:eastAsia="lv-LV"/>
                    </w:rPr>
                  </w:pPr>
                  <w:r>
                    <w:rPr>
                      <w:lang w:eastAsia="lv-LV"/>
                    </w:rPr>
                    <w:t>-523 309</w:t>
                  </w:r>
                </w:p>
              </w:tc>
              <w:tc>
                <w:tcPr>
                  <w:tcW w:w="1275" w:type="dxa"/>
                  <w:tcBorders>
                    <w:top w:val="nil"/>
                    <w:left w:val="nil"/>
                    <w:bottom w:val="single" w:sz="4" w:space="0" w:color="000000"/>
                    <w:right w:val="single" w:sz="4" w:space="0" w:color="000000"/>
                  </w:tcBorders>
                  <w:noWrap/>
                  <w:vAlign w:val="center"/>
                </w:tcPr>
                <w:p w:rsidR="00024AD0" w:rsidRPr="009A7761" w:rsidP="00F80C79" w14:paraId="5C10563B" w14:textId="77777777">
                  <w:pPr>
                    <w:spacing w:after="0" w:line="240" w:lineRule="auto"/>
                    <w:jc w:val="right"/>
                    <w:rPr>
                      <w:lang w:eastAsia="lv-LV"/>
                    </w:rPr>
                  </w:pPr>
                  <w:r>
                    <w:rPr>
                      <w:lang w:eastAsia="lv-LV"/>
                    </w:rPr>
                    <w:t>0.00</w:t>
                  </w:r>
                </w:p>
              </w:tc>
              <w:tc>
                <w:tcPr>
                  <w:tcW w:w="1276" w:type="dxa"/>
                  <w:tcBorders>
                    <w:top w:val="nil"/>
                    <w:left w:val="nil"/>
                    <w:bottom w:val="single" w:sz="4" w:space="0" w:color="000000"/>
                    <w:right w:val="single" w:sz="4" w:space="0" w:color="000000"/>
                  </w:tcBorders>
                  <w:noWrap/>
                  <w:vAlign w:val="center"/>
                  <w:hideMark/>
                </w:tcPr>
                <w:p w:rsidR="00024AD0" w:rsidRPr="009A7761" w:rsidP="00F80C79" w14:paraId="79C90646" w14:textId="77777777">
                  <w:pPr>
                    <w:spacing w:after="0" w:line="240" w:lineRule="auto"/>
                    <w:jc w:val="right"/>
                    <w:rPr>
                      <w:lang w:eastAsia="lv-LV"/>
                    </w:rPr>
                  </w:pPr>
                  <w:r>
                    <w:rPr>
                      <w:lang w:eastAsia="lv-LV"/>
                    </w:rPr>
                    <w:t>100.000</w:t>
                  </w:r>
                </w:p>
              </w:tc>
              <w:tc>
                <w:tcPr>
                  <w:tcW w:w="943" w:type="dxa"/>
                  <w:vAlign w:val="center"/>
                  <w:hideMark/>
                </w:tcPr>
                <w:p w:rsidR="00024AD0" w:rsidRPr="009A7761" w:rsidP="00F80C79" w14:paraId="30029A66" w14:textId="77777777">
                  <w:pPr>
                    <w:spacing w:after="0" w:line="240" w:lineRule="auto"/>
                    <w:rPr>
                      <w:lang w:eastAsia="lv-LV"/>
                    </w:rPr>
                  </w:pPr>
                </w:p>
              </w:tc>
            </w:tr>
            <w:tr w14:paraId="41B0632D" w14:textId="77777777" w:rsidTr="00F80C79">
              <w:tblPrEx>
                <w:tblW w:w="9375" w:type="dxa"/>
                <w:tblLook w:val="04A0"/>
              </w:tblPrEx>
              <w:trPr>
                <w:trHeight w:val="528"/>
              </w:trPr>
              <w:tc>
                <w:tcPr>
                  <w:tcW w:w="928" w:type="dxa"/>
                  <w:tcBorders>
                    <w:top w:val="nil"/>
                    <w:left w:val="single" w:sz="4" w:space="0" w:color="000000"/>
                    <w:bottom w:val="single" w:sz="4" w:space="0" w:color="000000"/>
                    <w:right w:val="single" w:sz="4" w:space="0" w:color="000000"/>
                  </w:tcBorders>
                  <w:noWrap/>
                  <w:vAlign w:val="center"/>
                  <w:hideMark/>
                </w:tcPr>
                <w:p w:rsidR="00024AD0" w:rsidRPr="009A7761" w:rsidP="00F80C79" w14:paraId="2541A617" w14:textId="77777777">
                  <w:pPr>
                    <w:spacing w:after="0" w:line="240" w:lineRule="auto"/>
                    <w:ind w:firstLine="240" w:firstLineChars="100"/>
                    <w:jc w:val="right"/>
                    <w:rPr>
                      <w:lang w:eastAsia="lv-LV"/>
                    </w:rPr>
                  </w:pPr>
                  <w:r>
                    <w:rPr>
                      <w:lang w:eastAsia="lv-LV"/>
                    </w:rPr>
                    <w:t>1311</w:t>
                  </w:r>
                </w:p>
              </w:tc>
              <w:tc>
                <w:tcPr>
                  <w:tcW w:w="2685" w:type="dxa"/>
                  <w:tcBorders>
                    <w:top w:val="nil"/>
                    <w:left w:val="nil"/>
                    <w:bottom w:val="single" w:sz="4" w:space="0" w:color="000000"/>
                    <w:right w:val="single" w:sz="4" w:space="0" w:color="000000"/>
                  </w:tcBorders>
                  <w:vAlign w:val="center"/>
                  <w:hideMark/>
                </w:tcPr>
                <w:p w:rsidR="00024AD0" w:rsidRPr="009A7761" w:rsidP="00F80C79" w14:paraId="628D8104" w14:textId="77777777">
                  <w:pPr>
                    <w:spacing w:after="0" w:line="240" w:lineRule="auto"/>
                    <w:rPr>
                      <w:lang w:eastAsia="lv-LV"/>
                    </w:rPr>
                  </w:pPr>
                  <w:r>
                    <w:rPr>
                      <w:lang w:eastAsia="lv-LV"/>
                    </w:rPr>
                    <w:t>SIA "LK Komunālie pakalpojumi"</w:t>
                  </w:r>
                </w:p>
              </w:tc>
              <w:tc>
                <w:tcPr>
                  <w:tcW w:w="1178" w:type="dxa"/>
                  <w:tcBorders>
                    <w:top w:val="nil"/>
                    <w:left w:val="nil"/>
                    <w:bottom w:val="single" w:sz="4" w:space="0" w:color="000000"/>
                    <w:right w:val="single" w:sz="4" w:space="0" w:color="000000"/>
                  </w:tcBorders>
                  <w:vAlign w:val="center"/>
                  <w:hideMark/>
                </w:tcPr>
                <w:p w:rsidR="00024AD0" w:rsidRPr="009A7761" w:rsidP="00F80C79" w14:paraId="699B6D4A" w14:textId="77777777">
                  <w:pPr>
                    <w:spacing w:after="0" w:line="240" w:lineRule="auto"/>
                    <w:jc w:val="right"/>
                    <w:rPr>
                      <w:lang w:eastAsia="lv-LV"/>
                    </w:rPr>
                  </w:pPr>
                  <w:r>
                    <w:rPr>
                      <w:lang w:eastAsia="lv-LV"/>
                    </w:rPr>
                    <w:t>1 476 614</w:t>
                  </w:r>
                </w:p>
              </w:tc>
              <w:tc>
                <w:tcPr>
                  <w:tcW w:w="1090" w:type="dxa"/>
                  <w:tcBorders>
                    <w:top w:val="nil"/>
                    <w:left w:val="nil"/>
                    <w:bottom w:val="single" w:sz="4" w:space="0" w:color="000000"/>
                    <w:right w:val="single" w:sz="4" w:space="0" w:color="000000"/>
                  </w:tcBorders>
                  <w:noWrap/>
                  <w:vAlign w:val="center"/>
                </w:tcPr>
                <w:p w:rsidR="00024AD0" w:rsidRPr="009A7761" w:rsidP="00F80C79" w14:paraId="0ABC8CDF" w14:textId="77777777">
                  <w:pPr>
                    <w:spacing w:after="0" w:line="240" w:lineRule="auto"/>
                    <w:jc w:val="right"/>
                    <w:rPr>
                      <w:lang w:eastAsia="lv-LV"/>
                    </w:rPr>
                  </w:pPr>
                  <w:r>
                    <w:rPr>
                      <w:lang w:eastAsia="lv-LV"/>
                    </w:rPr>
                    <w:t>+1 741 422</w:t>
                  </w:r>
                </w:p>
              </w:tc>
              <w:tc>
                <w:tcPr>
                  <w:tcW w:w="1275" w:type="dxa"/>
                  <w:tcBorders>
                    <w:top w:val="nil"/>
                    <w:left w:val="nil"/>
                    <w:bottom w:val="single" w:sz="4" w:space="0" w:color="000000"/>
                    <w:right w:val="single" w:sz="4" w:space="0" w:color="000000"/>
                  </w:tcBorders>
                  <w:noWrap/>
                  <w:vAlign w:val="center"/>
                </w:tcPr>
                <w:p w:rsidR="00024AD0" w:rsidRPr="009A7761" w:rsidP="00F80C79" w14:paraId="7E750A72" w14:textId="77777777">
                  <w:pPr>
                    <w:spacing w:after="0" w:line="240" w:lineRule="auto"/>
                    <w:jc w:val="right"/>
                    <w:rPr>
                      <w:lang w:eastAsia="lv-LV"/>
                    </w:rPr>
                  </w:pPr>
                  <w:r>
                    <w:rPr>
                      <w:lang w:eastAsia="lv-LV"/>
                    </w:rPr>
                    <w:t>3 218 036</w:t>
                  </w:r>
                </w:p>
              </w:tc>
              <w:tc>
                <w:tcPr>
                  <w:tcW w:w="1276" w:type="dxa"/>
                  <w:tcBorders>
                    <w:top w:val="nil"/>
                    <w:left w:val="nil"/>
                    <w:bottom w:val="single" w:sz="4" w:space="0" w:color="000000"/>
                    <w:right w:val="single" w:sz="4" w:space="0" w:color="000000"/>
                  </w:tcBorders>
                  <w:noWrap/>
                  <w:vAlign w:val="center"/>
                  <w:hideMark/>
                </w:tcPr>
                <w:p w:rsidR="00024AD0" w:rsidRPr="009A7761" w:rsidP="00F80C79" w14:paraId="6B1EA389" w14:textId="77777777">
                  <w:pPr>
                    <w:spacing w:after="0" w:line="240" w:lineRule="auto"/>
                    <w:jc w:val="right"/>
                    <w:rPr>
                      <w:lang w:eastAsia="lv-LV"/>
                    </w:rPr>
                  </w:pPr>
                  <w:r>
                    <w:rPr>
                      <w:lang w:eastAsia="lv-LV"/>
                    </w:rPr>
                    <w:t>100.000</w:t>
                  </w:r>
                </w:p>
              </w:tc>
              <w:tc>
                <w:tcPr>
                  <w:tcW w:w="943" w:type="dxa"/>
                  <w:vAlign w:val="center"/>
                  <w:hideMark/>
                </w:tcPr>
                <w:p w:rsidR="00024AD0" w:rsidRPr="009A7761" w:rsidP="00F80C79" w14:paraId="11749CCF" w14:textId="77777777">
                  <w:pPr>
                    <w:spacing w:after="0" w:line="240" w:lineRule="auto"/>
                    <w:rPr>
                      <w:lang w:eastAsia="lv-LV"/>
                    </w:rPr>
                  </w:pPr>
                </w:p>
              </w:tc>
            </w:tr>
            <w:tr w14:paraId="1ECF1945" w14:textId="77777777" w:rsidTr="00F80C79">
              <w:tblPrEx>
                <w:tblW w:w="9375" w:type="dxa"/>
                <w:tblLook w:val="04A0"/>
              </w:tblPrEx>
              <w:trPr>
                <w:trHeight w:val="276"/>
              </w:trPr>
              <w:tc>
                <w:tcPr>
                  <w:tcW w:w="928" w:type="dxa"/>
                  <w:tcBorders>
                    <w:top w:val="nil"/>
                    <w:left w:val="single" w:sz="4" w:space="0" w:color="000000"/>
                    <w:bottom w:val="single" w:sz="4" w:space="0" w:color="000000"/>
                    <w:right w:val="single" w:sz="4" w:space="0" w:color="000000"/>
                  </w:tcBorders>
                  <w:noWrap/>
                  <w:vAlign w:val="center"/>
                  <w:hideMark/>
                </w:tcPr>
                <w:p w:rsidR="00024AD0" w:rsidRPr="009A7761" w:rsidP="00F80C79" w14:paraId="26D9951C" w14:textId="77777777">
                  <w:pPr>
                    <w:spacing w:after="0" w:line="240" w:lineRule="auto"/>
                    <w:ind w:firstLine="240" w:firstLineChars="100"/>
                    <w:jc w:val="right"/>
                    <w:rPr>
                      <w:lang w:eastAsia="lv-LV"/>
                    </w:rPr>
                  </w:pPr>
                  <w:r>
                    <w:rPr>
                      <w:lang w:eastAsia="lv-LV"/>
                    </w:rPr>
                    <w:t>1311</w:t>
                  </w:r>
                </w:p>
              </w:tc>
              <w:tc>
                <w:tcPr>
                  <w:tcW w:w="2685" w:type="dxa"/>
                  <w:tcBorders>
                    <w:top w:val="nil"/>
                    <w:left w:val="nil"/>
                    <w:bottom w:val="single" w:sz="4" w:space="0" w:color="000000"/>
                    <w:right w:val="single" w:sz="4" w:space="0" w:color="000000"/>
                  </w:tcBorders>
                  <w:vAlign w:val="center"/>
                  <w:hideMark/>
                </w:tcPr>
                <w:p w:rsidR="00024AD0" w:rsidRPr="009A7761" w:rsidP="00F80C79" w14:paraId="043A0BE6" w14:textId="77777777">
                  <w:pPr>
                    <w:spacing w:after="0" w:line="240" w:lineRule="auto"/>
                    <w:rPr>
                      <w:lang w:eastAsia="lv-LV"/>
                    </w:rPr>
                  </w:pPr>
                  <w:r>
                    <w:rPr>
                      <w:lang w:eastAsia="lv-LV"/>
                    </w:rPr>
                    <w:t>SIA Skrīveru saimnieks</w:t>
                  </w:r>
                </w:p>
              </w:tc>
              <w:tc>
                <w:tcPr>
                  <w:tcW w:w="1178" w:type="dxa"/>
                  <w:tcBorders>
                    <w:top w:val="nil"/>
                    <w:left w:val="nil"/>
                    <w:bottom w:val="single" w:sz="4" w:space="0" w:color="000000"/>
                    <w:right w:val="single" w:sz="4" w:space="0" w:color="000000"/>
                  </w:tcBorders>
                  <w:vAlign w:val="center"/>
                  <w:hideMark/>
                </w:tcPr>
                <w:p w:rsidR="00024AD0" w:rsidRPr="009A7761" w:rsidP="00F80C79" w14:paraId="41E716ED" w14:textId="77777777">
                  <w:pPr>
                    <w:spacing w:after="0" w:line="240" w:lineRule="auto"/>
                    <w:jc w:val="right"/>
                    <w:rPr>
                      <w:lang w:eastAsia="lv-LV"/>
                    </w:rPr>
                  </w:pPr>
                  <w:r>
                    <w:rPr>
                      <w:lang w:eastAsia="lv-LV"/>
                    </w:rPr>
                    <w:t>1 067 805</w:t>
                  </w:r>
                </w:p>
              </w:tc>
              <w:tc>
                <w:tcPr>
                  <w:tcW w:w="1090" w:type="dxa"/>
                  <w:tcBorders>
                    <w:top w:val="nil"/>
                    <w:left w:val="nil"/>
                    <w:bottom w:val="single" w:sz="4" w:space="0" w:color="000000"/>
                    <w:right w:val="single" w:sz="4" w:space="0" w:color="000000"/>
                  </w:tcBorders>
                  <w:noWrap/>
                  <w:vAlign w:val="center"/>
                </w:tcPr>
                <w:p w:rsidR="00024AD0" w:rsidRPr="009A7761" w:rsidP="00F80C79" w14:paraId="5967478E" w14:textId="77777777">
                  <w:pPr>
                    <w:spacing w:after="0" w:line="240" w:lineRule="auto"/>
                    <w:jc w:val="right"/>
                    <w:rPr>
                      <w:lang w:eastAsia="lv-LV"/>
                    </w:rPr>
                  </w:pPr>
                  <w:r>
                    <w:rPr>
                      <w:lang w:eastAsia="lv-LV"/>
                    </w:rPr>
                    <w:t>-1 067 805</w:t>
                  </w:r>
                </w:p>
              </w:tc>
              <w:tc>
                <w:tcPr>
                  <w:tcW w:w="1275" w:type="dxa"/>
                  <w:tcBorders>
                    <w:top w:val="nil"/>
                    <w:left w:val="nil"/>
                    <w:bottom w:val="single" w:sz="4" w:space="0" w:color="000000"/>
                    <w:right w:val="single" w:sz="4" w:space="0" w:color="000000"/>
                  </w:tcBorders>
                  <w:noWrap/>
                  <w:vAlign w:val="center"/>
                </w:tcPr>
                <w:p w:rsidR="00024AD0" w:rsidRPr="009A7761" w:rsidP="00F80C79" w14:paraId="6A30FB09" w14:textId="77777777">
                  <w:pPr>
                    <w:spacing w:after="0" w:line="240" w:lineRule="auto"/>
                    <w:jc w:val="right"/>
                    <w:rPr>
                      <w:lang w:eastAsia="lv-LV"/>
                    </w:rPr>
                  </w:pPr>
                  <w:r>
                    <w:rPr>
                      <w:lang w:eastAsia="lv-LV"/>
                    </w:rPr>
                    <w:t>0.00</w:t>
                  </w:r>
                </w:p>
              </w:tc>
              <w:tc>
                <w:tcPr>
                  <w:tcW w:w="1276" w:type="dxa"/>
                  <w:tcBorders>
                    <w:top w:val="nil"/>
                    <w:left w:val="nil"/>
                    <w:bottom w:val="single" w:sz="4" w:space="0" w:color="000000"/>
                    <w:right w:val="single" w:sz="4" w:space="0" w:color="000000"/>
                  </w:tcBorders>
                  <w:noWrap/>
                  <w:vAlign w:val="center"/>
                  <w:hideMark/>
                </w:tcPr>
                <w:p w:rsidR="00024AD0" w:rsidRPr="009A7761" w:rsidP="00F80C79" w14:paraId="741B6A0C" w14:textId="77777777">
                  <w:pPr>
                    <w:spacing w:after="0" w:line="240" w:lineRule="auto"/>
                    <w:jc w:val="right"/>
                    <w:rPr>
                      <w:lang w:eastAsia="lv-LV"/>
                    </w:rPr>
                  </w:pPr>
                  <w:r>
                    <w:rPr>
                      <w:lang w:eastAsia="lv-LV"/>
                    </w:rPr>
                    <w:t>100.000</w:t>
                  </w:r>
                </w:p>
              </w:tc>
              <w:tc>
                <w:tcPr>
                  <w:tcW w:w="943" w:type="dxa"/>
                  <w:vAlign w:val="center"/>
                  <w:hideMark/>
                </w:tcPr>
                <w:p w:rsidR="00024AD0" w:rsidRPr="009A7761" w:rsidP="00F80C79" w14:paraId="5AC05022" w14:textId="77777777">
                  <w:pPr>
                    <w:spacing w:after="0" w:line="240" w:lineRule="auto"/>
                    <w:rPr>
                      <w:lang w:eastAsia="lv-LV"/>
                    </w:rPr>
                  </w:pPr>
                </w:p>
              </w:tc>
            </w:tr>
            <w:tr w14:paraId="02F4925C" w14:textId="77777777" w:rsidTr="00F80C79">
              <w:tblPrEx>
                <w:tblW w:w="9375" w:type="dxa"/>
                <w:tblLook w:val="04A0"/>
              </w:tblPrEx>
              <w:trPr>
                <w:trHeight w:val="276"/>
              </w:trPr>
              <w:tc>
                <w:tcPr>
                  <w:tcW w:w="3613" w:type="dxa"/>
                  <w:gridSpan w:val="2"/>
                  <w:tcBorders>
                    <w:top w:val="single" w:sz="4" w:space="0" w:color="000000"/>
                    <w:left w:val="single" w:sz="4" w:space="0" w:color="000000"/>
                    <w:bottom w:val="single" w:sz="4" w:space="0" w:color="000000"/>
                    <w:right w:val="single" w:sz="4" w:space="0" w:color="000000"/>
                  </w:tcBorders>
                  <w:noWrap/>
                  <w:vAlign w:val="center"/>
                  <w:hideMark/>
                </w:tcPr>
                <w:p w:rsidR="00024AD0" w:rsidRPr="009A7761" w:rsidP="00F80C79" w14:paraId="0A093BA5" w14:textId="77777777">
                  <w:pPr>
                    <w:spacing w:after="0" w:line="240" w:lineRule="auto"/>
                    <w:jc w:val="center"/>
                    <w:rPr>
                      <w:b/>
                      <w:bCs/>
                      <w:lang w:eastAsia="lv-LV"/>
                    </w:rPr>
                  </w:pPr>
                  <w:r>
                    <w:rPr>
                      <w:b/>
                      <w:bCs/>
                      <w:lang w:eastAsia="lv-LV"/>
                    </w:rPr>
                    <w:t xml:space="preserve">Kopā </w:t>
                  </w:r>
                </w:p>
              </w:tc>
              <w:tc>
                <w:tcPr>
                  <w:tcW w:w="1178" w:type="dxa"/>
                  <w:tcBorders>
                    <w:top w:val="nil"/>
                    <w:left w:val="nil"/>
                    <w:bottom w:val="single" w:sz="4" w:space="0" w:color="000000"/>
                    <w:right w:val="single" w:sz="4" w:space="0" w:color="000000"/>
                  </w:tcBorders>
                  <w:vAlign w:val="center"/>
                  <w:hideMark/>
                </w:tcPr>
                <w:p w:rsidR="00024AD0" w:rsidRPr="009A7761" w:rsidP="00F80C79" w14:paraId="1F41D8AC" w14:textId="77777777">
                  <w:pPr>
                    <w:spacing w:after="0" w:line="240" w:lineRule="auto"/>
                    <w:jc w:val="right"/>
                    <w:rPr>
                      <w:b/>
                      <w:bCs/>
                      <w:lang w:eastAsia="lv-LV"/>
                    </w:rPr>
                  </w:pPr>
                  <w:r>
                    <w:rPr>
                      <w:b/>
                      <w:bCs/>
                      <w:lang w:eastAsia="lv-LV"/>
                    </w:rPr>
                    <w:t>8 903 190</w:t>
                  </w:r>
                </w:p>
              </w:tc>
              <w:tc>
                <w:tcPr>
                  <w:tcW w:w="1090" w:type="dxa"/>
                  <w:tcBorders>
                    <w:top w:val="nil"/>
                    <w:left w:val="nil"/>
                    <w:bottom w:val="single" w:sz="4" w:space="0" w:color="000000"/>
                    <w:right w:val="single" w:sz="4" w:space="0" w:color="000000"/>
                  </w:tcBorders>
                  <w:vAlign w:val="center"/>
                </w:tcPr>
                <w:p w:rsidR="00024AD0" w:rsidRPr="009A7761" w:rsidP="00F80C79" w14:paraId="3C220D03" w14:textId="77777777">
                  <w:pPr>
                    <w:spacing w:after="0" w:line="240" w:lineRule="auto"/>
                    <w:jc w:val="right"/>
                    <w:rPr>
                      <w:b/>
                      <w:bCs/>
                      <w:lang w:eastAsia="lv-LV"/>
                    </w:rPr>
                  </w:pPr>
                  <w:r>
                    <w:rPr>
                      <w:b/>
                      <w:bCs/>
                      <w:lang w:eastAsia="lv-LV"/>
                    </w:rPr>
                    <w:t>320 210</w:t>
                  </w:r>
                </w:p>
              </w:tc>
              <w:tc>
                <w:tcPr>
                  <w:tcW w:w="1275" w:type="dxa"/>
                  <w:tcBorders>
                    <w:top w:val="nil"/>
                    <w:left w:val="nil"/>
                    <w:bottom w:val="single" w:sz="4" w:space="0" w:color="000000"/>
                    <w:right w:val="single" w:sz="4" w:space="0" w:color="000000"/>
                  </w:tcBorders>
                  <w:vAlign w:val="center"/>
                </w:tcPr>
                <w:p w:rsidR="00024AD0" w:rsidRPr="009A7761" w:rsidP="00F80C79" w14:paraId="0159ED5B" w14:textId="77777777">
                  <w:pPr>
                    <w:spacing w:after="0" w:line="240" w:lineRule="auto"/>
                    <w:jc w:val="right"/>
                    <w:rPr>
                      <w:b/>
                      <w:bCs/>
                      <w:lang w:eastAsia="lv-LV"/>
                    </w:rPr>
                  </w:pPr>
                  <w:r>
                    <w:rPr>
                      <w:b/>
                      <w:bCs/>
                      <w:lang w:eastAsia="lv-LV"/>
                    </w:rPr>
                    <w:t>9 223 400</w:t>
                  </w:r>
                </w:p>
              </w:tc>
              <w:tc>
                <w:tcPr>
                  <w:tcW w:w="1276" w:type="dxa"/>
                  <w:tcBorders>
                    <w:top w:val="nil"/>
                    <w:left w:val="nil"/>
                    <w:bottom w:val="single" w:sz="4" w:space="0" w:color="000000"/>
                    <w:right w:val="single" w:sz="4" w:space="0" w:color="000000"/>
                  </w:tcBorders>
                  <w:noWrap/>
                  <w:vAlign w:val="center"/>
                  <w:hideMark/>
                </w:tcPr>
                <w:p w:rsidR="00024AD0" w:rsidRPr="009A7761" w:rsidP="00F80C79" w14:paraId="71F3778D" w14:textId="77777777">
                  <w:pPr>
                    <w:spacing w:after="0" w:line="240" w:lineRule="auto"/>
                    <w:jc w:val="right"/>
                    <w:rPr>
                      <w:b/>
                      <w:bCs/>
                      <w:lang w:eastAsia="lv-LV"/>
                    </w:rPr>
                  </w:pPr>
                  <w:r>
                    <w:rPr>
                      <w:b/>
                      <w:bCs/>
                      <w:lang w:eastAsia="lv-LV"/>
                    </w:rPr>
                    <w:t>x</w:t>
                  </w:r>
                </w:p>
              </w:tc>
              <w:tc>
                <w:tcPr>
                  <w:tcW w:w="943" w:type="dxa"/>
                  <w:vAlign w:val="center"/>
                  <w:hideMark/>
                </w:tcPr>
                <w:p w:rsidR="00024AD0" w:rsidRPr="009A7761" w:rsidP="00F80C79" w14:paraId="243E3E9B" w14:textId="77777777">
                  <w:pPr>
                    <w:spacing w:after="0" w:line="240" w:lineRule="auto"/>
                    <w:rPr>
                      <w:lang w:eastAsia="lv-LV"/>
                    </w:rPr>
                  </w:pPr>
                </w:p>
              </w:tc>
            </w:tr>
          </w:tbl>
          <w:p w:rsidR="00024AD0" w:rsidRPr="009A7761" w:rsidP="00F80C79" w14:paraId="7B9F82EC" w14:textId="77777777">
            <w:pPr>
              <w:spacing w:after="0" w:line="240" w:lineRule="auto"/>
              <w:rPr>
                <w:noProof/>
                <w:color w:val="000000"/>
                <w:lang w:eastAsia="lv-LV"/>
              </w:rPr>
            </w:pPr>
          </w:p>
          <w:p w:rsidR="00024AD0" w:rsidP="00F80C79" w14:paraId="316E9E16" w14:textId="77777777">
            <w:pPr>
              <w:spacing w:after="0" w:line="240" w:lineRule="auto"/>
              <w:ind w:firstLine="638"/>
              <w:jc w:val="both"/>
              <w:rPr>
                <w:b/>
                <w:bCs/>
                <w:noProof/>
                <w:color w:val="0A2F41" w:themeColor="accent1" w:themeShade="80"/>
                <w:lang w:eastAsia="lv-LV"/>
              </w:rPr>
            </w:pPr>
          </w:p>
          <w:p w:rsidR="00024AD0" w:rsidP="00F80C79" w14:paraId="7BB37041" w14:textId="77777777">
            <w:pPr>
              <w:spacing w:after="0" w:line="240" w:lineRule="auto"/>
              <w:ind w:firstLine="638"/>
              <w:jc w:val="both"/>
              <w:rPr>
                <w:b/>
                <w:bCs/>
                <w:noProof/>
                <w:color w:val="0A2F41" w:themeColor="accent1" w:themeShade="80"/>
                <w:lang w:eastAsia="lv-LV"/>
              </w:rPr>
            </w:pPr>
          </w:p>
          <w:p w:rsidR="00024AD0" w:rsidP="00F80C79" w14:paraId="2DE66BA5" w14:textId="77777777">
            <w:pPr>
              <w:spacing w:after="0" w:line="240" w:lineRule="auto"/>
              <w:ind w:firstLine="638"/>
              <w:jc w:val="both"/>
              <w:rPr>
                <w:b/>
                <w:bCs/>
                <w:noProof/>
                <w:color w:val="0A2F41" w:themeColor="accent1" w:themeShade="80"/>
                <w:lang w:eastAsia="lv-LV"/>
              </w:rPr>
            </w:pPr>
          </w:p>
          <w:p w:rsidR="00024AD0" w:rsidP="00F80C79" w14:paraId="7BBC607F" w14:textId="77777777">
            <w:pPr>
              <w:spacing w:after="0" w:line="240" w:lineRule="auto"/>
              <w:ind w:firstLine="638"/>
              <w:jc w:val="both"/>
              <w:rPr>
                <w:b/>
                <w:bCs/>
                <w:noProof/>
                <w:color w:val="0A2F41" w:themeColor="accent1" w:themeShade="80"/>
                <w:lang w:eastAsia="lv-LV"/>
              </w:rPr>
            </w:pPr>
          </w:p>
          <w:p w:rsidR="00024AD0" w:rsidP="00F80C79" w14:paraId="04CED3E3" w14:textId="77777777">
            <w:pPr>
              <w:spacing w:after="0" w:line="240" w:lineRule="auto"/>
              <w:ind w:firstLine="638"/>
              <w:jc w:val="both"/>
              <w:rPr>
                <w:b/>
                <w:bCs/>
                <w:noProof/>
                <w:color w:val="0A2F41" w:themeColor="accent1" w:themeShade="80"/>
                <w:lang w:eastAsia="lv-LV"/>
              </w:rPr>
            </w:pPr>
          </w:p>
          <w:p w:rsidR="00024AD0" w:rsidP="00F80C79" w14:paraId="0DA366BD" w14:textId="77777777">
            <w:pPr>
              <w:spacing w:after="0" w:line="240" w:lineRule="auto"/>
              <w:ind w:firstLine="638"/>
              <w:jc w:val="both"/>
              <w:rPr>
                <w:b/>
                <w:bCs/>
                <w:noProof/>
                <w:color w:val="0A2F41" w:themeColor="accent1" w:themeShade="80"/>
                <w:lang w:eastAsia="lv-LV"/>
              </w:rPr>
            </w:pPr>
          </w:p>
          <w:p w:rsidR="00024AD0" w:rsidRPr="009A7761" w:rsidP="00F80C79" w14:paraId="50A907C6" w14:textId="77777777">
            <w:pPr>
              <w:spacing w:after="0" w:line="240" w:lineRule="auto"/>
              <w:ind w:firstLine="638"/>
              <w:jc w:val="both"/>
              <w:rPr>
                <w:b/>
                <w:bCs/>
                <w:noProof/>
                <w:color w:val="0A2F41" w:themeColor="accent1" w:themeShade="80"/>
                <w:lang w:eastAsia="lv-LV"/>
              </w:rPr>
            </w:pPr>
            <w:r>
              <w:rPr>
                <w:b/>
                <w:bCs/>
                <w:noProof/>
                <w:color w:val="0A2F41" w:themeColor="accent1" w:themeShade="80"/>
                <w:lang w:eastAsia="lv-LV"/>
              </w:rPr>
              <w:t>Līdzdalība asociēto kapitālsabiedrību kapitālā uz 31.12.2025. (EUR):</w:t>
            </w:r>
          </w:p>
          <w:p w:rsidR="00024AD0" w:rsidRPr="009A7761" w:rsidP="00F80C79" w14:paraId="7F9C09B9" w14:textId="77777777">
            <w:pPr>
              <w:spacing w:after="0" w:line="240" w:lineRule="auto"/>
              <w:rPr>
                <w:noProof/>
                <w:color w:val="000000"/>
                <w:lang w:eastAsia="lv-LV"/>
              </w:rPr>
            </w:pPr>
          </w:p>
          <w:tbl>
            <w:tblPr>
              <w:tblW w:w="9160" w:type="dxa"/>
              <w:tblLook w:val="04A0"/>
            </w:tblPr>
            <w:tblGrid>
              <w:gridCol w:w="936"/>
              <w:gridCol w:w="2654"/>
              <w:gridCol w:w="1157"/>
              <w:gridCol w:w="1134"/>
              <w:gridCol w:w="1275"/>
              <w:gridCol w:w="1276"/>
              <w:gridCol w:w="728"/>
            </w:tblGrid>
            <w:tr w14:paraId="1D8E2DD9" w14:textId="77777777" w:rsidTr="00F80C79">
              <w:tblPrEx>
                <w:tblW w:w="9160" w:type="dxa"/>
                <w:tblLook w:val="04A0"/>
              </w:tblPrEx>
              <w:trPr>
                <w:gridAfter w:val="1"/>
                <w:wAfter w:w="728" w:type="dxa"/>
                <w:trHeight w:val="276"/>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202DF366" w14:textId="77777777">
                  <w:pPr>
                    <w:spacing w:after="0" w:line="240" w:lineRule="auto"/>
                    <w:jc w:val="center"/>
                    <w:rPr>
                      <w:color w:val="FFFFFF" w:themeColor="background1"/>
                      <w:lang w:eastAsia="lv-LV"/>
                    </w:rPr>
                  </w:pPr>
                  <w:r>
                    <w:rPr>
                      <w:color w:val="FFFFFF" w:themeColor="background1"/>
                      <w:lang w:eastAsia="lv-LV"/>
                    </w:rPr>
                    <w:t>Konta Nr.</w:t>
                  </w:r>
                </w:p>
              </w:tc>
              <w:tc>
                <w:tcPr>
                  <w:tcW w:w="2745" w:type="dxa"/>
                  <w:vMerge w:val="restart"/>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1DDF46D4" w14:textId="77777777">
                  <w:pPr>
                    <w:spacing w:after="0" w:line="240" w:lineRule="auto"/>
                    <w:jc w:val="center"/>
                    <w:rPr>
                      <w:color w:val="FFFFFF" w:themeColor="background1"/>
                      <w:lang w:eastAsia="lv-LV"/>
                    </w:rPr>
                  </w:pPr>
                  <w:r>
                    <w:rPr>
                      <w:color w:val="FFFFFF" w:themeColor="background1"/>
                      <w:lang w:eastAsia="lv-LV"/>
                    </w:rPr>
                    <w:t>Kapitālsabiedrības nosaukums</w:t>
                  </w:r>
                </w:p>
              </w:tc>
              <w:tc>
                <w:tcPr>
                  <w:tcW w:w="4871" w:type="dxa"/>
                  <w:gridSpan w:val="4"/>
                  <w:tcBorders>
                    <w:top w:val="single" w:sz="4" w:space="0" w:color="000000"/>
                    <w:left w:val="nil"/>
                    <w:bottom w:val="single" w:sz="4" w:space="0" w:color="000000"/>
                    <w:right w:val="single" w:sz="4" w:space="0" w:color="000000"/>
                  </w:tcBorders>
                  <w:shd w:val="clear" w:color="auto" w:fill="0F4761" w:themeFill="accent1" w:themeFillShade="BF"/>
                  <w:vAlign w:val="center"/>
                  <w:hideMark/>
                </w:tcPr>
                <w:p w:rsidR="00024AD0" w:rsidRPr="00972618" w:rsidP="00F80C79" w14:paraId="19AD0464" w14:textId="77777777">
                  <w:pPr>
                    <w:spacing w:after="0" w:line="240" w:lineRule="auto"/>
                    <w:jc w:val="center"/>
                    <w:rPr>
                      <w:color w:val="FFFFFF" w:themeColor="background1"/>
                      <w:lang w:eastAsia="lv-LV"/>
                    </w:rPr>
                  </w:pPr>
                  <w:r>
                    <w:rPr>
                      <w:color w:val="FFFFFF" w:themeColor="background1"/>
                      <w:lang w:eastAsia="lv-LV"/>
                    </w:rPr>
                    <w:t>Pārskata periodā</w:t>
                  </w:r>
                </w:p>
              </w:tc>
            </w:tr>
            <w:tr w14:paraId="5CC75A92" w14:textId="77777777" w:rsidTr="00F80C79">
              <w:tblPrEx>
                <w:tblW w:w="9160" w:type="dxa"/>
                <w:tblLook w:val="04A0"/>
              </w:tblPrEx>
              <w:trPr>
                <w:gridAfter w:val="1"/>
                <w:wAfter w:w="728" w:type="dxa"/>
                <w:trHeight w:val="499"/>
              </w:trPr>
              <w:tc>
                <w:tcPr>
                  <w:tcW w:w="816" w:type="dxa"/>
                  <w:vMerge/>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7281962D" w14:textId="77777777">
                  <w:pPr>
                    <w:spacing w:after="0" w:line="240" w:lineRule="auto"/>
                    <w:rPr>
                      <w:color w:val="FFFFFF" w:themeColor="background1"/>
                      <w:lang w:eastAsia="lv-LV"/>
                    </w:rPr>
                  </w:pPr>
                </w:p>
              </w:tc>
              <w:tc>
                <w:tcPr>
                  <w:tcW w:w="2745" w:type="dxa"/>
                  <w:vMerge/>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706B2CF6" w14:textId="77777777">
                  <w:pPr>
                    <w:spacing w:after="0" w:line="240" w:lineRule="auto"/>
                    <w:rPr>
                      <w:color w:val="FFFFFF" w:themeColor="background1"/>
                      <w:lang w:eastAsia="lv-LV"/>
                    </w:rPr>
                  </w:pPr>
                </w:p>
              </w:tc>
              <w:tc>
                <w:tcPr>
                  <w:tcW w:w="1186" w:type="dxa"/>
                  <w:vMerge w:val="restart"/>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5AA8D9DE" w14:textId="77777777">
                  <w:pPr>
                    <w:spacing w:after="0" w:line="240" w:lineRule="auto"/>
                    <w:jc w:val="center"/>
                    <w:rPr>
                      <w:color w:val="FFFFFF" w:themeColor="background1"/>
                      <w:lang w:eastAsia="lv-LV"/>
                    </w:rPr>
                  </w:pPr>
                  <w:r>
                    <w:rPr>
                      <w:color w:val="FFFFFF" w:themeColor="background1"/>
                      <w:lang w:eastAsia="lv-LV"/>
                    </w:rPr>
                    <w:t>perioda sākumā</w:t>
                  </w:r>
                </w:p>
              </w:tc>
              <w:tc>
                <w:tcPr>
                  <w:tcW w:w="1134" w:type="dxa"/>
                  <w:vMerge w:val="restart"/>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1ABB0745" w14:textId="77777777">
                  <w:pPr>
                    <w:spacing w:after="0" w:line="240" w:lineRule="auto"/>
                    <w:jc w:val="center"/>
                    <w:rPr>
                      <w:color w:val="FFFFFF" w:themeColor="background1"/>
                      <w:lang w:eastAsia="lv-LV"/>
                    </w:rPr>
                  </w:pPr>
                  <w:r>
                    <w:rPr>
                      <w:color w:val="FFFFFF" w:themeColor="background1"/>
                      <w:lang w:eastAsia="lv-LV"/>
                    </w:rPr>
                    <w:t>Izmaiņas (+ vai -)</w:t>
                  </w:r>
                </w:p>
              </w:tc>
              <w:tc>
                <w:tcPr>
                  <w:tcW w:w="1275" w:type="dxa"/>
                  <w:vMerge w:val="restart"/>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1412B1F1" w14:textId="77777777">
                  <w:pPr>
                    <w:spacing w:after="0" w:line="240" w:lineRule="auto"/>
                    <w:jc w:val="center"/>
                    <w:rPr>
                      <w:color w:val="FFFFFF" w:themeColor="background1"/>
                      <w:lang w:eastAsia="lv-LV"/>
                    </w:rPr>
                  </w:pPr>
                  <w:r>
                    <w:rPr>
                      <w:color w:val="FFFFFF" w:themeColor="background1"/>
                      <w:lang w:eastAsia="lv-LV"/>
                    </w:rPr>
                    <w:t xml:space="preserve">perioda beigās </w:t>
                  </w:r>
                </w:p>
              </w:tc>
              <w:tc>
                <w:tcPr>
                  <w:tcW w:w="1276" w:type="dxa"/>
                  <w:vMerge w:val="restart"/>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72618" w:rsidP="00F80C79" w14:paraId="2C413628" w14:textId="77777777">
                  <w:pPr>
                    <w:spacing w:after="0" w:line="240" w:lineRule="auto"/>
                    <w:jc w:val="center"/>
                    <w:rPr>
                      <w:color w:val="FFFFFF" w:themeColor="background1"/>
                      <w:lang w:eastAsia="lv-LV"/>
                    </w:rPr>
                  </w:pPr>
                  <w:r>
                    <w:rPr>
                      <w:color w:val="FFFFFF" w:themeColor="background1"/>
                      <w:lang w:eastAsia="lv-LV"/>
                    </w:rPr>
                    <w:t xml:space="preserve">līdzdalība (%) </w:t>
                  </w:r>
                </w:p>
              </w:tc>
            </w:tr>
            <w:tr w14:paraId="6CC2572C" w14:textId="77777777" w:rsidTr="00F80C79">
              <w:tblPrEx>
                <w:tblW w:w="9160" w:type="dxa"/>
                <w:tblLook w:val="04A0"/>
              </w:tblPrEx>
              <w:trPr>
                <w:trHeight w:val="276"/>
              </w:trPr>
              <w:tc>
                <w:tcPr>
                  <w:tcW w:w="816" w:type="dxa"/>
                  <w:vMerge/>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A7761" w:rsidP="00F80C79" w14:paraId="66EA7C29" w14:textId="77777777">
                  <w:pPr>
                    <w:spacing w:after="0" w:line="240" w:lineRule="auto"/>
                    <w:rPr>
                      <w:color w:val="000000"/>
                      <w:lang w:eastAsia="lv-LV"/>
                    </w:rPr>
                  </w:pPr>
                </w:p>
              </w:tc>
              <w:tc>
                <w:tcPr>
                  <w:tcW w:w="2745" w:type="dxa"/>
                  <w:vMerge/>
                  <w:tcBorders>
                    <w:top w:val="single" w:sz="4" w:space="0" w:color="000000"/>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A7761" w:rsidP="00F80C79" w14:paraId="4CAA2B07" w14:textId="77777777">
                  <w:pPr>
                    <w:spacing w:after="0" w:line="240" w:lineRule="auto"/>
                    <w:rPr>
                      <w:color w:val="000000"/>
                      <w:lang w:eastAsia="lv-LV"/>
                    </w:rPr>
                  </w:pPr>
                </w:p>
              </w:tc>
              <w:tc>
                <w:tcPr>
                  <w:tcW w:w="1186" w:type="dxa"/>
                  <w:vMerge/>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A7761" w:rsidP="00F80C79" w14:paraId="3741883B" w14:textId="77777777">
                  <w:pPr>
                    <w:spacing w:after="0" w:line="240" w:lineRule="auto"/>
                    <w:rPr>
                      <w:color w:val="000000"/>
                      <w:lang w:eastAsia="lv-LV"/>
                    </w:rPr>
                  </w:pPr>
                </w:p>
              </w:tc>
              <w:tc>
                <w:tcPr>
                  <w:tcW w:w="1134" w:type="dxa"/>
                  <w:vMerge/>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A7761" w:rsidP="00F80C79" w14:paraId="68140D5B" w14:textId="77777777">
                  <w:pPr>
                    <w:spacing w:after="0" w:line="240" w:lineRule="auto"/>
                    <w:rPr>
                      <w:color w:val="000000"/>
                      <w:lang w:eastAsia="lv-LV"/>
                    </w:rPr>
                  </w:pPr>
                </w:p>
              </w:tc>
              <w:tc>
                <w:tcPr>
                  <w:tcW w:w="1275" w:type="dxa"/>
                  <w:vMerge/>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A7761" w:rsidP="00F80C79" w14:paraId="645158AA" w14:textId="77777777">
                  <w:pPr>
                    <w:spacing w:after="0" w:line="240" w:lineRule="auto"/>
                    <w:rPr>
                      <w:color w:val="000000"/>
                      <w:lang w:eastAsia="lv-LV"/>
                    </w:rPr>
                  </w:pPr>
                </w:p>
              </w:tc>
              <w:tc>
                <w:tcPr>
                  <w:tcW w:w="1276" w:type="dxa"/>
                  <w:vMerge/>
                  <w:tcBorders>
                    <w:top w:val="nil"/>
                    <w:left w:val="single" w:sz="4" w:space="0" w:color="000000"/>
                    <w:bottom w:val="single" w:sz="4" w:space="0" w:color="000000"/>
                    <w:right w:val="single" w:sz="4" w:space="0" w:color="000000"/>
                  </w:tcBorders>
                  <w:shd w:val="clear" w:color="auto" w:fill="0F4761" w:themeFill="accent1" w:themeFillShade="BF"/>
                  <w:vAlign w:val="center"/>
                  <w:hideMark/>
                </w:tcPr>
                <w:p w:rsidR="00024AD0" w:rsidRPr="009A7761" w:rsidP="00F80C79" w14:paraId="1FC34E39" w14:textId="77777777">
                  <w:pPr>
                    <w:spacing w:after="0" w:line="240" w:lineRule="auto"/>
                    <w:rPr>
                      <w:color w:val="000000"/>
                      <w:lang w:eastAsia="lv-LV"/>
                    </w:rPr>
                  </w:pPr>
                </w:p>
              </w:tc>
              <w:tc>
                <w:tcPr>
                  <w:tcW w:w="728" w:type="dxa"/>
                  <w:tcBorders>
                    <w:top w:val="nil"/>
                    <w:left w:val="nil"/>
                    <w:bottom w:val="nil"/>
                    <w:right w:val="nil"/>
                  </w:tcBorders>
                  <w:noWrap/>
                  <w:vAlign w:val="bottom"/>
                  <w:hideMark/>
                </w:tcPr>
                <w:p w:rsidR="00024AD0" w:rsidRPr="009A7761" w:rsidP="00F80C79" w14:paraId="229C99BB" w14:textId="77777777">
                  <w:pPr>
                    <w:spacing w:after="0" w:line="240" w:lineRule="auto"/>
                    <w:jc w:val="center"/>
                    <w:rPr>
                      <w:color w:val="000000"/>
                      <w:lang w:eastAsia="lv-LV"/>
                    </w:rPr>
                  </w:pPr>
                </w:p>
              </w:tc>
            </w:tr>
            <w:tr w14:paraId="25D7B5DE" w14:textId="77777777" w:rsidTr="00F80C79">
              <w:tblPrEx>
                <w:tblW w:w="9160" w:type="dxa"/>
                <w:tblLook w:val="04A0"/>
              </w:tblPrEx>
              <w:trPr>
                <w:trHeight w:val="276"/>
              </w:trPr>
              <w:tc>
                <w:tcPr>
                  <w:tcW w:w="816" w:type="dxa"/>
                  <w:tcBorders>
                    <w:top w:val="nil"/>
                    <w:left w:val="single" w:sz="4" w:space="0" w:color="000000"/>
                    <w:bottom w:val="single" w:sz="4" w:space="0" w:color="000000"/>
                    <w:right w:val="single" w:sz="4" w:space="0" w:color="000000"/>
                  </w:tcBorders>
                  <w:noWrap/>
                  <w:vAlign w:val="center"/>
                  <w:hideMark/>
                </w:tcPr>
                <w:p w:rsidR="00024AD0" w:rsidRPr="009A7761" w:rsidP="00F80C79" w14:paraId="769734AF" w14:textId="77777777">
                  <w:pPr>
                    <w:spacing w:after="0" w:line="240" w:lineRule="auto"/>
                    <w:ind w:firstLine="240" w:firstLineChars="100"/>
                    <w:jc w:val="right"/>
                    <w:rPr>
                      <w:lang w:eastAsia="lv-LV"/>
                    </w:rPr>
                  </w:pPr>
                  <w:r>
                    <w:rPr>
                      <w:lang w:eastAsia="lv-LV"/>
                    </w:rPr>
                    <w:t>1321</w:t>
                  </w:r>
                </w:p>
              </w:tc>
              <w:tc>
                <w:tcPr>
                  <w:tcW w:w="2745" w:type="dxa"/>
                  <w:tcBorders>
                    <w:top w:val="nil"/>
                    <w:left w:val="nil"/>
                    <w:bottom w:val="single" w:sz="4" w:space="0" w:color="000000"/>
                    <w:right w:val="single" w:sz="4" w:space="0" w:color="000000"/>
                  </w:tcBorders>
                  <w:vAlign w:val="center"/>
                  <w:hideMark/>
                </w:tcPr>
                <w:p w:rsidR="00024AD0" w:rsidRPr="009A7761" w:rsidP="00F80C79" w14:paraId="21CD079A" w14:textId="77777777">
                  <w:pPr>
                    <w:spacing w:after="0" w:line="240" w:lineRule="auto"/>
                    <w:rPr>
                      <w:lang w:eastAsia="lv-LV"/>
                    </w:rPr>
                  </w:pPr>
                  <w:r>
                    <w:rPr>
                      <w:lang w:eastAsia="lv-LV"/>
                    </w:rPr>
                    <w:t>SIA "Vidusdaugavas SPAAO"</w:t>
                  </w:r>
                </w:p>
              </w:tc>
              <w:tc>
                <w:tcPr>
                  <w:tcW w:w="1186" w:type="dxa"/>
                  <w:tcBorders>
                    <w:top w:val="nil"/>
                    <w:left w:val="nil"/>
                    <w:bottom w:val="single" w:sz="4" w:space="0" w:color="000000"/>
                    <w:right w:val="single" w:sz="4" w:space="0" w:color="000000"/>
                  </w:tcBorders>
                  <w:vAlign w:val="center"/>
                  <w:hideMark/>
                </w:tcPr>
                <w:p w:rsidR="00024AD0" w:rsidRPr="009A7761" w:rsidP="00F80C79" w14:paraId="51A95352" w14:textId="77777777">
                  <w:pPr>
                    <w:spacing w:after="0" w:line="240" w:lineRule="auto"/>
                    <w:jc w:val="right"/>
                    <w:rPr>
                      <w:lang w:eastAsia="lv-LV"/>
                    </w:rPr>
                  </w:pPr>
                  <w:r>
                    <w:rPr>
                      <w:lang w:eastAsia="lv-LV"/>
                    </w:rPr>
                    <w:t>0</w:t>
                  </w:r>
                </w:p>
              </w:tc>
              <w:tc>
                <w:tcPr>
                  <w:tcW w:w="1134" w:type="dxa"/>
                  <w:tcBorders>
                    <w:top w:val="nil"/>
                    <w:left w:val="nil"/>
                    <w:bottom w:val="single" w:sz="4" w:space="0" w:color="000000"/>
                    <w:right w:val="single" w:sz="4" w:space="0" w:color="000000"/>
                  </w:tcBorders>
                  <w:noWrap/>
                  <w:vAlign w:val="center"/>
                  <w:hideMark/>
                </w:tcPr>
                <w:p w:rsidR="00024AD0" w:rsidRPr="009A7761" w:rsidP="00F80C79" w14:paraId="67EE495A" w14:textId="77777777">
                  <w:pPr>
                    <w:spacing w:after="0" w:line="240" w:lineRule="auto"/>
                    <w:jc w:val="right"/>
                    <w:rPr>
                      <w:lang w:eastAsia="lv-LV"/>
                    </w:rPr>
                  </w:pPr>
                  <w:r>
                    <w:rPr>
                      <w:lang w:eastAsia="lv-LV"/>
                    </w:rPr>
                    <w:t>207 245</w:t>
                  </w:r>
                </w:p>
              </w:tc>
              <w:tc>
                <w:tcPr>
                  <w:tcW w:w="1275" w:type="dxa"/>
                  <w:tcBorders>
                    <w:top w:val="nil"/>
                    <w:left w:val="nil"/>
                    <w:bottom w:val="single" w:sz="4" w:space="0" w:color="000000"/>
                    <w:right w:val="single" w:sz="4" w:space="0" w:color="000000"/>
                  </w:tcBorders>
                  <w:noWrap/>
                  <w:vAlign w:val="center"/>
                  <w:hideMark/>
                </w:tcPr>
                <w:p w:rsidR="00024AD0" w:rsidRPr="009A7761" w:rsidP="00F80C79" w14:paraId="3B80F65C" w14:textId="77777777">
                  <w:pPr>
                    <w:spacing w:after="0" w:line="240" w:lineRule="auto"/>
                    <w:jc w:val="right"/>
                    <w:rPr>
                      <w:lang w:eastAsia="lv-LV"/>
                    </w:rPr>
                  </w:pPr>
                  <w:r>
                    <w:rPr>
                      <w:lang w:eastAsia="lv-LV"/>
                    </w:rPr>
                    <w:t>207 245</w:t>
                  </w:r>
                </w:p>
              </w:tc>
              <w:tc>
                <w:tcPr>
                  <w:tcW w:w="1276" w:type="dxa"/>
                  <w:tcBorders>
                    <w:top w:val="nil"/>
                    <w:left w:val="nil"/>
                    <w:bottom w:val="single" w:sz="4" w:space="0" w:color="000000"/>
                    <w:right w:val="single" w:sz="4" w:space="0" w:color="000000"/>
                  </w:tcBorders>
                  <w:noWrap/>
                  <w:vAlign w:val="center"/>
                  <w:hideMark/>
                </w:tcPr>
                <w:p w:rsidR="00024AD0" w:rsidRPr="009A7761" w:rsidP="00F80C79" w14:paraId="5D77FA24" w14:textId="77777777">
                  <w:pPr>
                    <w:spacing w:after="0" w:line="240" w:lineRule="auto"/>
                    <w:jc w:val="right"/>
                    <w:rPr>
                      <w:lang w:eastAsia="lv-LV"/>
                    </w:rPr>
                  </w:pPr>
                  <w:r>
                    <w:rPr>
                      <w:lang w:eastAsia="lv-LV"/>
                    </w:rPr>
                    <w:t>30.668</w:t>
                  </w:r>
                </w:p>
              </w:tc>
              <w:tc>
                <w:tcPr>
                  <w:tcW w:w="728" w:type="dxa"/>
                  <w:vAlign w:val="center"/>
                  <w:hideMark/>
                </w:tcPr>
                <w:p w:rsidR="00024AD0" w:rsidRPr="009A7761" w:rsidP="00F80C79" w14:paraId="5EC4254C" w14:textId="77777777">
                  <w:pPr>
                    <w:spacing w:after="0" w:line="240" w:lineRule="auto"/>
                    <w:rPr>
                      <w:lang w:eastAsia="lv-LV"/>
                    </w:rPr>
                  </w:pPr>
                </w:p>
              </w:tc>
            </w:tr>
            <w:tr w14:paraId="2F06D93A" w14:textId="77777777" w:rsidTr="00F80C79">
              <w:tblPrEx>
                <w:tblW w:w="9160" w:type="dxa"/>
                <w:tblLook w:val="04A0"/>
              </w:tblPrEx>
              <w:trPr>
                <w:trHeight w:val="300"/>
              </w:trPr>
              <w:tc>
                <w:tcPr>
                  <w:tcW w:w="3561" w:type="dxa"/>
                  <w:gridSpan w:val="2"/>
                  <w:tcBorders>
                    <w:top w:val="single" w:sz="4" w:space="0" w:color="000000"/>
                    <w:left w:val="single" w:sz="4" w:space="0" w:color="000000"/>
                    <w:bottom w:val="single" w:sz="4" w:space="0" w:color="000000"/>
                    <w:right w:val="single" w:sz="4" w:space="0" w:color="000000"/>
                  </w:tcBorders>
                  <w:vAlign w:val="center"/>
                  <w:hideMark/>
                </w:tcPr>
                <w:p w:rsidR="00024AD0" w:rsidRPr="009A7761" w:rsidP="00F80C79" w14:paraId="5F68D6A5" w14:textId="77777777">
                  <w:pPr>
                    <w:spacing w:after="0" w:line="240" w:lineRule="auto"/>
                    <w:jc w:val="right"/>
                    <w:rPr>
                      <w:b/>
                      <w:bCs/>
                      <w:lang w:eastAsia="lv-LV"/>
                    </w:rPr>
                  </w:pPr>
                  <w:r>
                    <w:rPr>
                      <w:b/>
                      <w:bCs/>
                      <w:lang w:eastAsia="lv-LV"/>
                    </w:rPr>
                    <w:t>Kopā</w:t>
                  </w:r>
                </w:p>
              </w:tc>
              <w:tc>
                <w:tcPr>
                  <w:tcW w:w="1186" w:type="dxa"/>
                  <w:tcBorders>
                    <w:top w:val="nil"/>
                    <w:left w:val="nil"/>
                    <w:bottom w:val="single" w:sz="4" w:space="0" w:color="000000"/>
                    <w:right w:val="single" w:sz="4" w:space="0" w:color="000000"/>
                  </w:tcBorders>
                  <w:vAlign w:val="center"/>
                  <w:hideMark/>
                </w:tcPr>
                <w:p w:rsidR="00024AD0" w:rsidRPr="009A7761" w:rsidP="00F80C79" w14:paraId="53FF5F57" w14:textId="77777777">
                  <w:pPr>
                    <w:spacing w:after="0" w:line="240" w:lineRule="auto"/>
                    <w:jc w:val="right"/>
                    <w:rPr>
                      <w:b/>
                      <w:bCs/>
                      <w:lang w:eastAsia="lv-LV"/>
                    </w:rPr>
                  </w:pPr>
                  <w:r>
                    <w:rPr>
                      <w:b/>
                      <w:bCs/>
                      <w:lang w:eastAsia="lv-LV"/>
                    </w:rPr>
                    <w:t>0</w:t>
                  </w:r>
                </w:p>
              </w:tc>
              <w:tc>
                <w:tcPr>
                  <w:tcW w:w="1134" w:type="dxa"/>
                  <w:tcBorders>
                    <w:top w:val="nil"/>
                    <w:left w:val="nil"/>
                    <w:bottom w:val="single" w:sz="4" w:space="0" w:color="000000"/>
                    <w:right w:val="single" w:sz="4" w:space="0" w:color="000000"/>
                  </w:tcBorders>
                  <w:vAlign w:val="center"/>
                  <w:hideMark/>
                </w:tcPr>
                <w:p w:rsidR="00024AD0" w:rsidRPr="009A7761" w:rsidP="00F80C79" w14:paraId="06F97FED" w14:textId="77777777">
                  <w:pPr>
                    <w:spacing w:after="0" w:line="240" w:lineRule="auto"/>
                    <w:jc w:val="right"/>
                    <w:rPr>
                      <w:b/>
                      <w:bCs/>
                      <w:lang w:eastAsia="lv-LV"/>
                    </w:rPr>
                  </w:pPr>
                  <w:r>
                    <w:rPr>
                      <w:b/>
                      <w:bCs/>
                      <w:lang w:eastAsia="lv-LV"/>
                    </w:rPr>
                    <w:t>207 245</w:t>
                  </w:r>
                </w:p>
              </w:tc>
              <w:tc>
                <w:tcPr>
                  <w:tcW w:w="1275" w:type="dxa"/>
                  <w:tcBorders>
                    <w:top w:val="nil"/>
                    <w:left w:val="nil"/>
                    <w:bottom w:val="single" w:sz="4" w:space="0" w:color="000000"/>
                    <w:right w:val="single" w:sz="4" w:space="0" w:color="000000"/>
                  </w:tcBorders>
                  <w:vAlign w:val="center"/>
                  <w:hideMark/>
                </w:tcPr>
                <w:p w:rsidR="00024AD0" w:rsidRPr="009A7761" w:rsidP="00F80C79" w14:paraId="2CAD491E" w14:textId="77777777">
                  <w:pPr>
                    <w:spacing w:after="0" w:line="240" w:lineRule="auto"/>
                    <w:jc w:val="right"/>
                    <w:rPr>
                      <w:b/>
                      <w:bCs/>
                      <w:lang w:eastAsia="lv-LV"/>
                    </w:rPr>
                  </w:pPr>
                  <w:r>
                    <w:rPr>
                      <w:b/>
                      <w:bCs/>
                      <w:lang w:eastAsia="lv-LV"/>
                    </w:rPr>
                    <w:t>207 245</w:t>
                  </w:r>
                </w:p>
              </w:tc>
              <w:tc>
                <w:tcPr>
                  <w:tcW w:w="1276" w:type="dxa"/>
                  <w:tcBorders>
                    <w:top w:val="nil"/>
                    <w:left w:val="nil"/>
                    <w:bottom w:val="single" w:sz="4" w:space="0" w:color="000000"/>
                    <w:right w:val="single" w:sz="4" w:space="0" w:color="000000"/>
                  </w:tcBorders>
                  <w:noWrap/>
                  <w:vAlign w:val="center"/>
                  <w:hideMark/>
                </w:tcPr>
                <w:p w:rsidR="00024AD0" w:rsidRPr="009A7761" w:rsidP="00F80C79" w14:paraId="0EDAC936" w14:textId="77777777">
                  <w:pPr>
                    <w:spacing w:after="0" w:line="240" w:lineRule="auto"/>
                    <w:jc w:val="right"/>
                    <w:rPr>
                      <w:b/>
                      <w:bCs/>
                      <w:lang w:eastAsia="lv-LV"/>
                    </w:rPr>
                  </w:pPr>
                  <w:r>
                    <w:rPr>
                      <w:b/>
                      <w:bCs/>
                      <w:lang w:eastAsia="lv-LV"/>
                    </w:rPr>
                    <w:t>x</w:t>
                  </w:r>
                </w:p>
              </w:tc>
              <w:tc>
                <w:tcPr>
                  <w:tcW w:w="728" w:type="dxa"/>
                  <w:vAlign w:val="center"/>
                  <w:hideMark/>
                </w:tcPr>
                <w:p w:rsidR="00024AD0" w:rsidRPr="009A7761" w:rsidP="00F80C79" w14:paraId="7A65D0C4" w14:textId="77777777">
                  <w:pPr>
                    <w:spacing w:after="0" w:line="240" w:lineRule="auto"/>
                    <w:rPr>
                      <w:lang w:eastAsia="lv-LV"/>
                    </w:rPr>
                  </w:pPr>
                </w:p>
              </w:tc>
            </w:tr>
          </w:tbl>
          <w:p w:rsidR="00024AD0" w:rsidRPr="009A7761" w:rsidP="00F80C79" w14:paraId="34C860CF" w14:textId="77777777">
            <w:pPr>
              <w:spacing w:after="0" w:line="240" w:lineRule="auto"/>
              <w:rPr>
                <w:noProof/>
                <w:color w:val="000000"/>
                <w:lang w:eastAsia="lv-LV"/>
              </w:rPr>
            </w:pPr>
          </w:p>
        </w:tc>
        <w:tc>
          <w:tcPr>
            <w:tcW w:w="1620" w:type="dxa"/>
            <w:tcBorders>
              <w:top w:val="nil"/>
              <w:left w:val="nil"/>
              <w:bottom w:val="nil"/>
              <w:right w:val="nil"/>
            </w:tcBorders>
            <w:noWrap/>
            <w:vAlign w:val="bottom"/>
            <w:hideMark/>
          </w:tcPr>
          <w:p w:rsidR="00024AD0" w:rsidRPr="009A7761" w:rsidP="00F80C79" w14:paraId="0636BDC5" w14:textId="77777777">
            <w:pPr>
              <w:spacing w:after="0" w:line="240" w:lineRule="auto"/>
              <w:rPr>
                <w:noProof/>
                <w:color w:val="000000"/>
                <w:lang w:eastAsia="lv-LV"/>
              </w:rPr>
            </w:pPr>
          </w:p>
          <w:p w:rsidR="00024AD0" w:rsidRPr="009A7761" w:rsidP="00F80C79" w14:paraId="7D1AD680" w14:textId="77777777">
            <w:pPr>
              <w:spacing w:after="0" w:line="240" w:lineRule="auto"/>
              <w:rPr>
                <w:noProof/>
                <w:color w:val="000000"/>
                <w:lang w:eastAsia="lv-LV"/>
              </w:rPr>
            </w:pPr>
          </w:p>
        </w:tc>
      </w:tr>
    </w:tbl>
    <w:p w:rsidR="00024AD0" w:rsidRPr="009A7761" w:rsidP="00024AD0" w14:paraId="6FAB7359" w14:textId="77777777"/>
    <w:p w:rsidR="00024AD0" w:rsidRPr="00C8690E" w:rsidP="00024AD0" w14:paraId="1F74FE97" w14:textId="65331BCE">
      <w:pPr>
        <w:pStyle w:val="Heading1"/>
        <w:rPr>
          <w:i/>
          <w:iCs/>
          <w:sz w:val="22"/>
          <w:szCs w:val="22"/>
        </w:rPr>
      </w:pPr>
      <w:bookmarkStart w:id="16" w:name="_Toc169020676"/>
      <w:bookmarkStart w:id="17" w:name="_Toc201145446"/>
      <w:r>
        <w:rPr>
          <w:i/>
          <w:iCs/>
          <w:sz w:val="22"/>
          <w:szCs w:val="22"/>
        </w:rPr>
        <w:t>R</w:t>
      </w:r>
      <w:r w:rsidR="00514D05">
        <w:rPr>
          <w:i/>
          <w:iCs/>
          <w:sz w:val="22"/>
          <w:szCs w:val="22"/>
        </w:rPr>
        <w:t xml:space="preserve">evidenta atzinums par pašvaldības saimniecisko darbību un gada pārskatu </w:t>
      </w:r>
      <w:bookmarkEnd w:id="16"/>
      <w:bookmarkEnd w:id="17"/>
    </w:p>
    <w:p w:rsidR="00024AD0" w:rsidP="00C76B74" w14:paraId="6657B800" w14:textId="77777777">
      <w:pPr>
        <w:pStyle w:val="BodyText"/>
        <w:spacing w:before="0" w:after="0"/>
        <w:ind w:firstLine="567"/>
        <w:rPr>
          <w:rFonts w:ascii="Times New Roman" w:hAnsi="Times New Roman"/>
          <w:bCs/>
          <w:sz w:val="24"/>
          <w:szCs w:val="24"/>
        </w:rPr>
      </w:pPr>
      <w:r>
        <w:rPr>
          <w:rFonts w:ascii="Times New Roman" w:hAnsi="Times New Roman"/>
          <w:bCs/>
          <w:noProof/>
          <w:sz w:val="24"/>
          <w:szCs w:val="24"/>
        </w:rPr>
        <w:t xml:space="preserve">Zvērinātu revidentu komercsabiedrība SIA “AUDITORFIRMA PADOMS” savā 31.03.2026. neatkarīgu revidentu ziņojumā Nr.14/2026 atzina, ka </w:t>
      </w:r>
      <w:r>
        <w:rPr>
          <w:rFonts w:ascii="Times New Roman" w:hAnsi="Times New Roman"/>
          <w:bCs/>
          <w:noProof/>
          <w:color w:val="000000" w:themeColor="text1"/>
          <w:sz w:val="24"/>
          <w:szCs w:val="24"/>
        </w:rPr>
        <w:t>Aizkraukles novada Pašvaldības</w:t>
      </w:r>
      <w:r>
        <w:rPr>
          <w:rFonts w:ascii="Times New Roman" w:hAnsi="Times New Roman"/>
          <w:bCs/>
          <w:noProof/>
          <w:sz w:val="24"/>
          <w:szCs w:val="24"/>
        </w:rPr>
        <w:t xml:space="preserve"> konsolidētais finanšu pārskats </w:t>
      </w:r>
      <w:r>
        <w:rPr>
          <w:rFonts w:ascii="Times New Roman" w:hAnsi="Times New Roman"/>
          <w:bCs/>
          <w:sz w:val="24"/>
          <w:szCs w:val="24"/>
        </w:rPr>
        <w:t xml:space="preserve">sniedz patiesu un skaidru priekšstatu par </w:t>
      </w:r>
      <w:r>
        <w:rPr>
          <w:rFonts w:ascii="Times New Roman" w:hAnsi="Times New Roman"/>
          <w:sz w:val="24"/>
          <w:szCs w:val="24"/>
        </w:rPr>
        <w:t xml:space="preserve">Aizkraukles novada pašvaldības </w:t>
      </w:r>
      <w:r>
        <w:rPr>
          <w:rFonts w:ascii="Times New Roman" w:hAnsi="Times New Roman"/>
          <w:bCs/>
          <w:sz w:val="24"/>
          <w:szCs w:val="24"/>
        </w:rPr>
        <w:t>konsolidēto finansiālo stāvokli 2025. gada 31. decembrī un par tās konsolidētajiem darbības finanšu rezultātiem un konsolidēto naudas plūsmu gadā, kas noslēdzās 2025. gada 31. decembrī, saskaņā ar Ministru Kabineta 2025. gada 1. jūlija noteikumiem Nr. 400 „Gada pārskata sagatavošanas kārtība”</w:t>
      </w:r>
    </w:p>
    <w:p w:rsidR="00024AD0" w:rsidRPr="009A7761" w:rsidP="00024AD0" w14:paraId="4E3ACD56" w14:textId="5A599F23">
      <w:pPr>
        <w:pStyle w:val="Heading1"/>
        <w:rPr>
          <w:sz w:val="24"/>
          <w:szCs w:val="24"/>
        </w:rPr>
      </w:pPr>
      <w:bookmarkStart w:id="18" w:name="_Toc169020677"/>
      <w:bookmarkStart w:id="19" w:name="_Toc201145447"/>
      <w:r>
        <w:rPr>
          <w:sz w:val="24"/>
          <w:szCs w:val="24"/>
        </w:rPr>
        <w:t>D</w:t>
      </w:r>
      <w:r w:rsidR="00514D05">
        <w:rPr>
          <w:sz w:val="24"/>
          <w:szCs w:val="24"/>
        </w:rPr>
        <w:t xml:space="preserve">omes lēmums par iepriekšējā saimnieciskā gada pārskatu </w:t>
      </w:r>
      <w:bookmarkEnd w:id="18"/>
      <w:bookmarkEnd w:id="19"/>
    </w:p>
    <w:p w:rsidR="00024AD0" w:rsidRPr="009A7761" w:rsidP="00024AD0" w14:paraId="40E44751" w14:textId="56B0E04D">
      <w:pPr>
        <w:spacing w:after="0" w:line="240" w:lineRule="auto"/>
        <w:ind w:firstLine="641"/>
        <w:jc w:val="both"/>
        <w:rPr>
          <w:noProof/>
        </w:rPr>
      </w:pPr>
      <w:r>
        <w:rPr>
          <w:noProof/>
        </w:rPr>
        <w:t>Ar domes 30.04.2026. lēmumu Nr.</w:t>
      </w:r>
      <w:r w:rsidR="00C76B74">
        <w:rPr>
          <w:noProof/>
        </w:rPr>
        <w:t xml:space="preserve"> </w:t>
      </w:r>
      <w:r>
        <w:rPr>
          <w:noProof/>
        </w:rPr>
        <w:t>2026/276 “Par Aizkraukles novada pašvaldības 2025. gada konsolidētā finanšu pārskata apstiprināšanu” (sēdes protokols Nr.</w:t>
      </w:r>
      <w:r w:rsidR="00C76B74">
        <w:rPr>
          <w:noProof/>
        </w:rPr>
        <w:t> </w:t>
      </w:r>
      <w:r>
        <w:rPr>
          <w:noProof/>
        </w:rPr>
        <w:t>6., 4.</w:t>
      </w:r>
      <w:r w:rsidR="00C76B74">
        <w:rPr>
          <w:noProof/>
        </w:rPr>
        <w:t> </w:t>
      </w:r>
      <w:r>
        <w:rPr>
          <w:noProof/>
        </w:rPr>
        <w:t>p.) tika apstiprināts pašvaldības 2025. gada konsolidētais finanšu pārskats.</w:t>
      </w:r>
    </w:p>
    <w:p w:rsidR="00024AD0" w:rsidRPr="009A7761" w:rsidP="00024AD0" w14:paraId="1090B78F" w14:textId="77777777">
      <w:pPr>
        <w:spacing w:after="0" w:line="276" w:lineRule="auto"/>
        <w:jc w:val="both"/>
        <w:rPr>
          <w:b/>
          <w:bCs/>
          <w:noProof/>
        </w:rPr>
      </w:pPr>
    </w:p>
    <w:p w:rsidR="00024AD0" w:rsidRPr="009A7761" w:rsidP="00024AD0" w14:paraId="1ADEA738" w14:textId="77777777">
      <w:pPr>
        <w:jc w:val="both"/>
        <w:rPr>
          <w:b/>
          <w:color w:val="0A2F41" w:themeColor="accent1" w:themeShade="80"/>
        </w:rPr>
      </w:pPr>
    </w:p>
    <w:p w:rsidR="00024AD0" w:rsidP="00024AD0" w14:paraId="6AC1C0A5" w14:textId="77777777"/>
    <w:p w:rsidR="002D71E0" w:rsidRPr="009A7761" w:rsidP="00024AD0" w14:paraId="5331EA2E" w14:textId="77777777">
      <w:pPr>
        <w:pStyle w:val="Heading1"/>
      </w:pPr>
    </w:p>
    <w:sectPr w:rsidSect="008E615C">
      <w:headerReference w:type="default" r:id="rId3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swiss"/>
    <w:pitch w:val="variable"/>
    <w:sig w:usb0="00000003" w:usb1="00000000" w:usb2="00000000" w:usb3="00000000" w:csb0="00000001" w:csb1="00000000"/>
  </w:font>
  <w:font w:name="Univers for KPMG Light">
    <w:altName w:val="Corbel"/>
    <w:charset w:val="00"/>
    <w:family w:val="swiss"/>
    <w:pitch w:val="variable"/>
    <w:sig w:usb0="00000001" w:usb1="5000204A" w:usb2="00000000" w:usb3="00000000" w:csb0="0000009F" w:csb1="00000000"/>
  </w:font>
  <w:font w:name="Averta CY">
    <w:altName w:val="Calibri"/>
    <w:charset w:val="00"/>
    <w:family w:val="auto"/>
    <w:pitch w:val="variable"/>
    <w:sig w:usb0="20000207" w:usb1="00000001"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51AD" w:rsidP="00392E97" w14:paraId="0F1F8831" w14:textId="77777777">
      <w:pPr>
        <w:spacing w:after="0" w:line="240" w:lineRule="auto"/>
      </w:pPr>
      <w:r>
        <w:separator/>
      </w:r>
    </w:p>
  </w:footnote>
  <w:footnote w:type="continuationSeparator" w:id="1">
    <w:p w:rsidR="00A051AD" w:rsidP="00392E97" w14:paraId="0AA9B6C7" w14:textId="77777777">
      <w:pPr>
        <w:spacing w:after="0" w:line="240" w:lineRule="auto"/>
      </w:pPr>
      <w:r>
        <w:continuationSeparator/>
      </w:r>
    </w:p>
  </w:footnote>
  <w:footnote w:id="2">
    <w:p w:rsidR="007D4E17" w14:paraId="70DD900B" w14:textId="67688D26">
      <w:pPr>
        <w:pStyle w:val="FootnoteText"/>
      </w:pPr>
      <w:r>
        <w:rPr>
          <w:rStyle w:val="FootnoteReference"/>
        </w:rPr>
        <w:footnoteRef/>
      </w:r>
      <w:r>
        <w:t xml:space="preserve"> Avots: Pilsonības un migrācijas lietu pārvalde</w:t>
      </w:r>
      <w:r w:rsidR="00DE0D02">
        <w:t>s publicētā statistika uz 01.07.2023. un 01.07.2024.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DA5" w:rsidRPr="00260C92" w:rsidP="00260C92" w14:paraId="37BF219D" w14:textId="77777777">
    <w:pPr>
      <w:pStyle w:val="Header"/>
      <w:jc w:val="right"/>
      <w:rPr>
        <w:rFonts w:ascii="Averta CY" w:hAnsi="Averta CY"/>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15C" w:rsidP="008E615C" w14:paraId="2B09E10C" w14:textId="5E121736">
    <w:pPr>
      <w:pStyle w:val="Header"/>
      <w:rPr>
        <w:noProof/>
      </w:rPr>
    </w:pPr>
  </w:p>
  <w:p w:rsidR="008E615C" w:rsidRPr="008E615C" w:rsidP="008E615C" w14:paraId="576980ED" w14:textId="0AC09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965B1"/>
    <w:multiLevelType w:val="hybridMultilevel"/>
    <w:tmpl w:val="DF5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271688"/>
    <w:multiLevelType w:val="multilevel"/>
    <w:tmpl w:val="4936E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A5331"/>
    <w:multiLevelType w:val="multilevel"/>
    <w:tmpl w:val="68E0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AD4621"/>
    <w:multiLevelType w:val="hybridMultilevel"/>
    <w:tmpl w:val="58C01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F10689"/>
    <w:multiLevelType w:val="hybridMultilevel"/>
    <w:tmpl w:val="B0260F92"/>
    <w:lvl w:ilvl="0">
      <w:start w:val="1"/>
      <w:numFmt w:val="bullet"/>
      <w:lvlText w:val=""/>
      <w:lvlJc w:val="left"/>
      <w:pPr>
        <w:ind w:left="780" w:hanging="360"/>
      </w:pPr>
      <w:rPr>
        <w:rFonts w:ascii="Wingdings" w:hAnsi="Wingding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26181F2E"/>
    <w:multiLevelType w:val="hybridMultilevel"/>
    <w:tmpl w:val="C5807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044384"/>
    <w:multiLevelType w:val="hybridMultilevel"/>
    <w:tmpl w:val="BCBABD6C"/>
    <w:lvl w:ilvl="0">
      <w:start w:val="1"/>
      <w:numFmt w:val="decimal"/>
      <w:lvlText w:val="%1."/>
      <w:lvlJc w:val="left"/>
      <w:pPr>
        <w:ind w:left="540" w:hanging="360"/>
      </w:pPr>
      <w:rPr>
        <w:i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7">
    <w:nsid w:val="29067376"/>
    <w:multiLevelType w:val="multilevel"/>
    <w:tmpl w:val="A4722100"/>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582A01"/>
    <w:multiLevelType w:val="multilevel"/>
    <w:tmpl w:val="87AC6E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3222E0F"/>
    <w:multiLevelType w:val="hybridMultilevel"/>
    <w:tmpl w:val="C5807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52F5AC3"/>
    <w:multiLevelType w:val="hybridMultilevel"/>
    <w:tmpl w:val="909A042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9934157"/>
    <w:multiLevelType w:val="hybridMultilevel"/>
    <w:tmpl w:val="AF8643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A463482"/>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A531395"/>
    <w:multiLevelType w:val="hybridMultilevel"/>
    <w:tmpl w:val="44D8A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8911B8"/>
    <w:multiLevelType w:val="hybridMultilevel"/>
    <w:tmpl w:val="E8BAB5E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5">
    <w:nsid w:val="52000A30"/>
    <w:multiLevelType w:val="hybridMultilevel"/>
    <w:tmpl w:val="1502575E"/>
    <w:lvl w:ilvl="0">
      <w:start w:val="2024"/>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47D0292"/>
    <w:multiLevelType w:val="hybridMultilevel"/>
    <w:tmpl w:val="923226CE"/>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17">
    <w:nsid w:val="548B21D9"/>
    <w:multiLevelType w:val="multilevel"/>
    <w:tmpl w:val="98B4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146AFB"/>
    <w:multiLevelType w:val="hybridMultilevel"/>
    <w:tmpl w:val="DABAA780"/>
    <w:lvl w:ilvl="0">
      <w:start w:val="1"/>
      <w:numFmt w:val="bullet"/>
      <w:lvlText w:val=""/>
      <w:lvlJc w:val="left"/>
      <w:pPr>
        <w:ind w:left="720" w:hanging="360"/>
      </w:pPr>
      <w:rPr>
        <w:rFonts w:ascii="Symbol" w:hAnsi="Symbol" w:hint="default"/>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lowerRoman"/>
      <w:lvlText w:val="%3."/>
      <w:lvlJc w:val="left"/>
      <w:pPr>
        <w:ind w:left="21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lowerRoman"/>
      <w:lvlText w:val="%6."/>
      <w:lvlJc w:val="left"/>
      <w:pPr>
        <w:ind w:left="43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lowerRoman"/>
      <w:lvlText w:val="%9."/>
      <w:lvlJc w:val="left"/>
      <w:pPr>
        <w:ind w:left="648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nsid w:val="5A2327A2"/>
    <w:multiLevelType w:val="multilevel"/>
    <w:tmpl w:val="3236D006"/>
    <w:lvl w:ilvl="0">
      <w:start w:val="3"/>
      <w:numFmt w:val="decimal"/>
      <w:lvlText w:val="%1."/>
      <w:lvlJc w:val="left"/>
      <w:pPr>
        <w:ind w:left="540" w:hanging="540"/>
      </w:pPr>
    </w:lvl>
    <w:lvl w:ilvl="1">
      <w:start w:val="1"/>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0">
    <w:nsid w:val="617E6345"/>
    <w:multiLevelType w:val="multilevel"/>
    <w:tmpl w:val="D2DCC080"/>
    <w:lvl w:ilvl="0">
      <w:start w:val="4"/>
      <w:numFmt w:val="decimal"/>
      <w:lvlText w:val="%1."/>
      <w:lvlJc w:val="left"/>
      <w:pPr>
        <w:ind w:left="360" w:hanging="360"/>
      </w:pPr>
    </w:lvl>
    <w:lvl w:ilvl="1">
      <w:start w:val="2"/>
      <w:numFmt w:val="decimal"/>
      <w:lvlText w:val="%1.%2."/>
      <w:lvlJc w:val="left"/>
      <w:pPr>
        <w:ind w:left="502" w:hanging="360"/>
      </w:pPr>
      <w:rPr>
        <w:b w:val="0"/>
        <w:bCs w:val="0"/>
      </w:rPr>
    </w:lvl>
    <w:lvl w:ilvl="2">
      <w:start w:val="1"/>
      <w:numFmt w:val="decimal"/>
      <w:lvlText w:val="%1.%2.%3."/>
      <w:lvlJc w:val="left"/>
      <w:pPr>
        <w:ind w:left="4690" w:hanging="720"/>
      </w:pPr>
    </w:lvl>
    <w:lvl w:ilvl="3">
      <w:start w:val="1"/>
      <w:numFmt w:val="decimal"/>
      <w:lvlText w:val="%1.%2.%3.%4."/>
      <w:lvlJc w:val="left"/>
      <w:pPr>
        <w:ind w:left="6675" w:hanging="720"/>
      </w:pPr>
    </w:lvl>
    <w:lvl w:ilvl="4">
      <w:start w:val="1"/>
      <w:numFmt w:val="decimal"/>
      <w:lvlText w:val="%1.%2.%3.%4.%5."/>
      <w:lvlJc w:val="left"/>
      <w:pPr>
        <w:ind w:left="9020" w:hanging="1080"/>
      </w:pPr>
    </w:lvl>
    <w:lvl w:ilvl="5">
      <w:start w:val="1"/>
      <w:numFmt w:val="decimal"/>
      <w:lvlText w:val="%1.%2.%3.%4.%5.%6."/>
      <w:lvlJc w:val="left"/>
      <w:pPr>
        <w:ind w:left="11005" w:hanging="1080"/>
      </w:pPr>
    </w:lvl>
    <w:lvl w:ilvl="6">
      <w:start w:val="1"/>
      <w:numFmt w:val="decimal"/>
      <w:lvlText w:val="%1.%2.%3.%4.%5.%6.%7."/>
      <w:lvlJc w:val="left"/>
      <w:pPr>
        <w:ind w:left="13350" w:hanging="1440"/>
      </w:pPr>
    </w:lvl>
    <w:lvl w:ilvl="7">
      <w:start w:val="1"/>
      <w:numFmt w:val="decimal"/>
      <w:lvlText w:val="%1.%2.%3.%4.%5.%6.%7.%8."/>
      <w:lvlJc w:val="left"/>
      <w:pPr>
        <w:ind w:left="15335" w:hanging="1440"/>
      </w:pPr>
    </w:lvl>
    <w:lvl w:ilvl="8">
      <w:start w:val="1"/>
      <w:numFmt w:val="decimal"/>
      <w:lvlText w:val="%1.%2.%3.%4.%5.%6.%7.%8.%9."/>
      <w:lvlJc w:val="left"/>
      <w:pPr>
        <w:ind w:left="17680" w:hanging="1800"/>
      </w:pPr>
    </w:lvl>
  </w:abstractNum>
  <w:abstractNum w:abstractNumId="21">
    <w:nsid w:val="62412846"/>
    <w:multiLevelType w:val="multilevel"/>
    <w:tmpl w:val="6F90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8D68D2"/>
    <w:multiLevelType w:val="hybridMultilevel"/>
    <w:tmpl w:val="9058F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3A57166"/>
    <w:multiLevelType w:val="hybridMultilevel"/>
    <w:tmpl w:val="3904D37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8787EC3"/>
    <w:multiLevelType w:val="multilevel"/>
    <w:tmpl w:val="35DCA9E8"/>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rPr>
    </w:lvl>
    <w:lvl w:ilvl="2">
      <w:start w:val="9"/>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4A0368"/>
    <w:multiLevelType w:val="multilevel"/>
    <w:tmpl w:val="0D7EDB1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BF15562"/>
    <w:multiLevelType w:val="multilevel"/>
    <w:tmpl w:val="4370AEB2"/>
    <w:lvl w:ilvl="0">
      <w:start w:val="21"/>
      <w:numFmt w:val="decimal"/>
      <w:lvlText w:val="%1."/>
      <w:lvlJc w:val="left"/>
      <w:pPr>
        <w:tabs>
          <w:tab w:val="num" w:pos="720"/>
        </w:tabs>
        <w:ind w:left="720" w:hanging="360"/>
      </w:pPr>
    </w:lvl>
    <w:lvl w:ilvl="1">
      <w:start w:val="33"/>
      <w:numFmt w:val="bullet"/>
      <w:lvlText w:val="-"/>
      <w:lvlJc w:val="left"/>
      <w:pPr>
        <w:ind w:left="1440" w:hanging="360"/>
      </w:pPr>
      <w:rPr>
        <w:rFonts w:ascii="Times New Roman" w:hAnsi="Times New Roman" w:eastAsiaTheme="minorHAnsi"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0C391A"/>
    <w:multiLevelType w:val="hybridMultilevel"/>
    <w:tmpl w:val="CF6C14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5871CA9"/>
    <w:multiLevelType w:val="hybridMultilevel"/>
    <w:tmpl w:val="C29A39C0"/>
    <w:lvl w:ilvl="0">
      <w:start w:val="2025"/>
      <w:numFmt w:val="decimal"/>
      <w:lvlText w:val="%1."/>
      <w:lvlJc w:val="left"/>
      <w:pPr>
        <w:ind w:left="1533" w:hanging="540"/>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9">
    <w:nsid w:val="77FB3395"/>
    <w:multiLevelType w:val="multilevel"/>
    <w:tmpl w:val="2D766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072E6E"/>
    <w:multiLevelType w:val="hybridMultilevel"/>
    <w:tmpl w:val="F618B1E0"/>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326592536">
    <w:abstractNumId w:val="8"/>
  </w:num>
  <w:num w:numId="2" w16cid:durableId="1798059786">
    <w:abstractNumId w:val="11"/>
  </w:num>
  <w:num w:numId="3" w16cid:durableId="2031712709">
    <w:abstractNumId w:val="15"/>
  </w:num>
  <w:num w:numId="4" w16cid:durableId="1953631097">
    <w:abstractNumId w:val="16"/>
  </w:num>
  <w:num w:numId="5" w16cid:durableId="749042765">
    <w:abstractNumId w:val="23"/>
  </w:num>
  <w:num w:numId="6" w16cid:durableId="1367634030">
    <w:abstractNumId w:val="25"/>
  </w:num>
  <w:num w:numId="7" w16cid:durableId="1124497469">
    <w:abstractNumId w:val="4"/>
  </w:num>
  <w:num w:numId="8" w16cid:durableId="340471791">
    <w:abstractNumId w:val="24"/>
  </w:num>
  <w:num w:numId="9" w16cid:durableId="1405106048">
    <w:abstractNumId w:val="1"/>
  </w:num>
  <w:num w:numId="10" w16cid:durableId="1896888017">
    <w:abstractNumId w:val="21"/>
  </w:num>
  <w:num w:numId="11" w16cid:durableId="1904634072">
    <w:abstractNumId w:val="30"/>
  </w:num>
  <w:num w:numId="12" w16cid:durableId="1064330309">
    <w:abstractNumId w:val="26"/>
  </w:num>
  <w:num w:numId="13" w16cid:durableId="1929608984">
    <w:abstractNumId w:val="13"/>
  </w:num>
  <w:num w:numId="14" w16cid:durableId="1341658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926684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510940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9350861">
    <w:abstractNumId w:val="2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7115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4536961">
    <w:abstractNumId w:val="2"/>
  </w:num>
  <w:num w:numId="20" w16cid:durableId="557592994">
    <w:abstractNumId w:val="7"/>
  </w:num>
  <w:num w:numId="21" w16cid:durableId="573201443">
    <w:abstractNumId w:val="28"/>
  </w:num>
  <w:num w:numId="22" w16cid:durableId="1152989254">
    <w:abstractNumId w:val="3"/>
  </w:num>
  <w:num w:numId="23" w16cid:durableId="326833328">
    <w:abstractNumId w:val="29"/>
  </w:num>
  <w:num w:numId="24" w16cid:durableId="1839541549">
    <w:abstractNumId w:val="17"/>
  </w:num>
  <w:num w:numId="25" w16cid:durableId="83160589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9181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9966162">
    <w:abstractNumId w:val="27"/>
  </w:num>
  <w:num w:numId="28" w16cid:durableId="62872530">
    <w:abstractNumId w:val="0"/>
  </w:num>
  <w:num w:numId="29" w16cid:durableId="1410730873">
    <w:abstractNumId w:val="22"/>
  </w:num>
  <w:num w:numId="30" w16cid:durableId="505678315">
    <w:abstractNumId w:val="5"/>
  </w:num>
  <w:num w:numId="31" w16cid:durableId="39624921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97"/>
    <w:rsid w:val="00001E39"/>
    <w:rsid w:val="000038B8"/>
    <w:rsid w:val="0000501F"/>
    <w:rsid w:val="0000537F"/>
    <w:rsid w:val="00005C59"/>
    <w:rsid w:val="00013C7C"/>
    <w:rsid w:val="00014639"/>
    <w:rsid w:val="000153E3"/>
    <w:rsid w:val="00016987"/>
    <w:rsid w:val="00021DE3"/>
    <w:rsid w:val="00023FBA"/>
    <w:rsid w:val="00024AD0"/>
    <w:rsid w:val="00024BB8"/>
    <w:rsid w:val="000250C5"/>
    <w:rsid w:val="00030806"/>
    <w:rsid w:val="000325D5"/>
    <w:rsid w:val="000334C9"/>
    <w:rsid w:val="00034AB5"/>
    <w:rsid w:val="0004150D"/>
    <w:rsid w:val="000434CD"/>
    <w:rsid w:val="00045BFC"/>
    <w:rsid w:val="0005334D"/>
    <w:rsid w:val="00053383"/>
    <w:rsid w:val="0005372A"/>
    <w:rsid w:val="00055C53"/>
    <w:rsid w:val="000606E9"/>
    <w:rsid w:val="00067929"/>
    <w:rsid w:val="00071051"/>
    <w:rsid w:val="000720FB"/>
    <w:rsid w:val="00072534"/>
    <w:rsid w:val="00072CA3"/>
    <w:rsid w:val="00072E89"/>
    <w:rsid w:val="00074E37"/>
    <w:rsid w:val="00076847"/>
    <w:rsid w:val="000820DB"/>
    <w:rsid w:val="00083D74"/>
    <w:rsid w:val="000844E5"/>
    <w:rsid w:val="00087D38"/>
    <w:rsid w:val="00090E0B"/>
    <w:rsid w:val="000973EC"/>
    <w:rsid w:val="00097A6A"/>
    <w:rsid w:val="000A2811"/>
    <w:rsid w:val="000A2E02"/>
    <w:rsid w:val="000A7462"/>
    <w:rsid w:val="000A756E"/>
    <w:rsid w:val="000B3976"/>
    <w:rsid w:val="000B4808"/>
    <w:rsid w:val="000C069B"/>
    <w:rsid w:val="000C6944"/>
    <w:rsid w:val="000C7C50"/>
    <w:rsid w:val="000D0937"/>
    <w:rsid w:val="000D161B"/>
    <w:rsid w:val="000D1E76"/>
    <w:rsid w:val="000D5CDB"/>
    <w:rsid w:val="000E4820"/>
    <w:rsid w:val="000E50BC"/>
    <w:rsid w:val="000E7000"/>
    <w:rsid w:val="000F1EA7"/>
    <w:rsid w:val="000F3B03"/>
    <w:rsid w:val="000F400F"/>
    <w:rsid w:val="000F4025"/>
    <w:rsid w:val="000F731D"/>
    <w:rsid w:val="00101F91"/>
    <w:rsid w:val="00107484"/>
    <w:rsid w:val="00111583"/>
    <w:rsid w:val="001128CC"/>
    <w:rsid w:val="00113CFB"/>
    <w:rsid w:val="0011517E"/>
    <w:rsid w:val="00122FAE"/>
    <w:rsid w:val="001259E9"/>
    <w:rsid w:val="00130D08"/>
    <w:rsid w:val="00131087"/>
    <w:rsid w:val="00131962"/>
    <w:rsid w:val="0013221D"/>
    <w:rsid w:val="001358D3"/>
    <w:rsid w:val="00136207"/>
    <w:rsid w:val="0013703B"/>
    <w:rsid w:val="00142AA1"/>
    <w:rsid w:val="001434A9"/>
    <w:rsid w:val="001446D5"/>
    <w:rsid w:val="00153670"/>
    <w:rsid w:val="001544CB"/>
    <w:rsid w:val="001546CB"/>
    <w:rsid w:val="001556CC"/>
    <w:rsid w:val="00155F3F"/>
    <w:rsid w:val="00157BCF"/>
    <w:rsid w:val="0016131F"/>
    <w:rsid w:val="00161651"/>
    <w:rsid w:val="0016199E"/>
    <w:rsid w:val="001621C6"/>
    <w:rsid w:val="00163F02"/>
    <w:rsid w:val="00163F25"/>
    <w:rsid w:val="00163F7C"/>
    <w:rsid w:val="00174142"/>
    <w:rsid w:val="0018003A"/>
    <w:rsid w:val="0018483A"/>
    <w:rsid w:val="00185475"/>
    <w:rsid w:val="0019087D"/>
    <w:rsid w:val="00193BE8"/>
    <w:rsid w:val="00194918"/>
    <w:rsid w:val="00195606"/>
    <w:rsid w:val="001958C0"/>
    <w:rsid w:val="001A06A0"/>
    <w:rsid w:val="001A2044"/>
    <w:rsid w:val="001A4DD6"/>
    <w:rsid w:val="001A4F46"/>
    <w:rsid w:val="001A5F7A"/>
    <w:rsid w:val="001A675E"/>
    <w:rsid w:val="001A6AAE"/>
    <w:rsid w:val="001A72FA"/>
    <w:rsid w:val="001B215B"/>
    <w:rsid w:val="001B6C5E"/>
    <w:rsid w:val="001B72D9"/>
    <w:rsid w:val="001B7BDC"/>
    <w:rsid w:val="001C364F"/>
    <w:rsid w:val="001C4A9D"/>
    <w:rsid w:val="001C5EA1"/>
    <w:rsid w:val="001D0DEB"/>
    <w:rsid w:val="001D1256"/>
    <w:rsid w:val="001D216B"/>
    <w:rsid w:val="001D2408"/>
    <w:rsid w:val="001D69BA"/>
    <w:rsid w:val="001D7323"/>
    <w:rsid w:val="001E0207"/>
    <w:rsid w:val="001E13F8"/>
    <w:rsid w:val="001E280F"/>
    <w:rsid w:val="001E35DD"/>
    <w:rsid w:val="001E3938"/>
    <w:rsid w:val="001E5C6A"/>
    <w:rsid w:val="001E766E"/>
    <w:rsid w:val="001F1A4A"/>
    <w:rsid w:val="001F2105"/>
    <w:rsid w:val="001F4EDD"/>
    <w:rsid w:val="001F75F5"/>
    <w:rsid w:val="002003CD"/>
    <w:rsid w:val="002056E9"/>
    <w:rsid w:val="00205FD6"/>
    <w:rsid w:val="00206104"/>
    <w:rsid w:val="00211B20"/>
    <w:rsid w:val="00213A1D"/>
    <w:rsid w:val="0021467D"/>
    <w:rsid w:val="00214DF8"/>
    <w:rsid w:val="002159C9"/>
    <w:rsid w:val="00217DE0"/>
    <w:rsid w:val="002201C5"/>
    <w:rsid w:val="00221DA5"/>
    <w:rsid w:val="002233ED"/>
    <w:rsid w:val="0022361C"/>
    <w:rsid w:val="00223BE4"/>
    <w:rsid w:val="0023058B"/>
    <w:rsid w:val="00236166"/>
    <w:rsid w:val="00237BA4"/>
    <w:rsid w:val="002405D8"/>
    <w:rsid w:val="00241798"/>
    <w:rsid w:val="0024304F"/>
    <w:rsid w:val="00243877"/>
    <w:rsid w:val="00254E78"/>
    <w:rsid w:val="00255B58"/>
    <w:rsid w:val="00256441"/>
    <w:rsid w:val="00260C92"/>
    <w:rsid w:val="00261495"/>
    <w:rsid w:val="002654F3"/>
    <w:rsid w:val="00265906"/>
    <w:rsid w:val="00265EBA"/>
    <w:rsid w:val="002663BB"/>
    <w:rsid w:val="00271E29"/>
    <w:rsid w:val="00273265"/>
    <w:rsid w:val="002750D6"/>
    <w:rsid w:val="00276E78"/>
    <w:rsid w:val="00285551"/>
    <w:rsid w:val="00290C71"/>
    <w:rsid w:val="002943F6"/>
    <w:rsid w:val="00296995"/>
    <w:rsid w:val="00297081"/>
    <w:rsid w:val="002A0266"/>
    <w:rsid w:val="002A060D"/>
    <w:rsid w:val="002A0D1C"/>
    <w:rsid w:val="002A1250"/>
    <w:rsid w:val="002A13FE"/>
    <w:rsid w:val="002A159F"/>
    <w:rsid w:val="002A468A"/>
    <w:rsid w:val="002A5FC8"/>
    <w:rsid w:val="002A64FE"/>
    <w:rsid w:val="002B1CB1"/>
    <w:rsid w:val="002B1DD5"/>
    <w:rsid w:val="002B3077"/>
    <w:rsid w:val="002B51D1"/>
    <w:rsid w:val="002C1F26"/>
    <w:rsid w:val="002C2774"/>
    <w:rsid w:val="002C2FFB"/>
    <w:rsid w:val="002C6EB7"/>
    <w:rsid w:val="002C7794"/>
    <w:rsid w:val="002C7C36"/>
    <w:rsid w:val="002C7F70"/>
    <w:rsid w:val="002C7F9A"/>
    <w:rsid w:val="002D0AF4"/>
    <w:rsid w:val="002D2860"/>
    <w:rsid w:val="002D2ACD"/>
    <w:rsid w:val="002D52F1"/>
    <w:rsid w:val="002D6A79"/>
    <w:rsid w:val="002D6CE9"/>
    <w:rsid w:val="002D71E0"/>
    <w:rsid w:val="002E3BA0"/>
    <w:rsid w:val="002E56B6"/>
    <w:rsid w:val="002E6AD8"/>
    <w:rsid w:val="002F048C"/>
    <w:rsid w:val="002F6511"/>
    <w:rsid w:val="002F739E"/>
    <w:rsid w:val="00302111"/>
    <w:rsid w:val="00302F50"/>
    <w:rsid w:val="003057B7"/>
    <w:rsid w:val="003072C2"/>
    <w:rsid w:val="003128EC"/>
    <w:rsid w:val="003129B7"/>
    <w:rsid w:val="00312D49"/>
    <w:rsid w:val="00314E0E"/>
    <w:rsid w:val="00315D9F"/>
    <w:rsid w:val="003169A9"/>
    <w:rsid w:val="00322B0C"/>
    <w:rsid w:val="00326490"/>
    <w:rsid w:val="00326D25"/>
    <w:rsid w:val="00330CA6"/>
    <w:rsid w:val="003320DC"/>
    <w:rsid w:val="003325FA"/>
    <w:rsid w:val="00332696"/>
    <w:rsid w:val="0033381E"/>
    <w:rsid w:val="00333879"/>
    <w:rsid w:val="003341BB"/>
    <w:rsid w:val="00340EB4"/>
    <w:rsid w:val="003415A8"/>
    <w:rsid w:val="00341FE3"/>
    <w:rsid w:val="00342782"/>
    <w:rsid w:val="00343661"/>
    <w:rsid w:val="003463A1"/>
    <w:rsid w:val="00347306"/>
    <w:rsid w:val="003521E7"/>
    <w:rsid w:val="00371285"/>
    <w:rsid w:val="0037396C"/>
    <w:rsid w:val="00374D04"/>
    <w:rsid w:val="00377403"/>
    <w:rsid w:val="0038058A"/>
    <w:rsid w:val="00381477"/>
    <w:rsid w:val="00383922"/>
    <w:rsid w:val="00384BF3"/>
    <w:rsid w:val="00387B3E"/>
    <w:rsid w:val="00390C39"/>
    <w:rsid w:val="00391487"/>
    <w:rsid w:val="00392E97"/>
    <w:rsid w:val="003941A7"/>
    <w:rsid w:val="003A4F2C"/>
    <w:rsid w:val="003A6641"/>
    <w:rsid w:val="003B067C"/>
    <w:rsid w:val="003B438F"/>
    <w:rsid w:val="003C007E"/>
    <w:rsid w:val="003C1F07"/>
    <w:rsid w:val="003C7EAA"/>
    <w:rsid w:val="003D1D2E"/>
    <w:rsid w:val="003D21E1"/>
    <w:rsid w:val="003D2826"/>
    <w:rsid w:val="003D2DCD"/>
    <w:rsid w:val="003D3B46"/>
    <w:rsid w:val="003D48F2"/>
    <w:rsid w:val="003D563C"/>
    <w:rsid w:val="003E08CB"/>
    <w:rsid w:val="003E1DC9"/>
    <w:rsid w:val="003E3633"/>
    <w:rsid w:val="003E4EF1"/>
    <w:rsid w:val="003E52AE"/>
    <w:rsid w:val="003E60F0"/>
    <w:rsid w:val="003E7B95"/>
    <w:rsid w:val="003F2493"/>
    <w:rsid w:val="003F3414"/>
    <w:rsid w:val="003F4B8D"/>
    <w:rsid w:val="003F7B5F"/>
    <w:rsid w:val="004001D6"/>
    <w:rsid w:val="00401EE9"/>
    <w:rsid w:val="00403B25"/>
    <w:rsid w:val="00403C73"/>
    <w:rsid w:val="00407A2F"/>
    <w:rsid w:val="00411489"/>
    <w:rsid w:val="004140B2"/>
    <w:rsid w:val="00415531"/>
    <w:rsid w:val="00425D30"/>
    <w:rsid w:val="004316E2"/>
    <w:rsid w:val="00433159"/>
    <w:rsid w:val="00434433"/>
    <w:rsid w:val="00440FF3"/>
    <w:rsid w:val="0044367A"/>
    <w:rsid w:val="0044545B"/>
    <w:rsid w:val="004512F0"/>
    <w:rsid w:val="00455694"/>
    <w:rsid w:val="00455938"/>
    <w:rsid w:val="00456B81"/>
    <w:rsid w:val="0046108E"/>
    <w:rsid w:val="004618EB"/>
    <w:rsid w:val="00464957"/>
    <w:rsid w:val="00465581"/>
    <w:rsid w:val="0047173A"/>
    <w:rsid w:val="00472AED"/>
    <w:rsid w:val="00473624"/>
    <w:rsid w:val="00476045"/>
    <w:rsid w:val="004762F5"/>
    <w:rsid w:val="00480F35"/>
    <w:rsid w:val="004810BD"/>
    <w:rsid w:val="00486478"/>
    <w:rsid w:val="00493169"/>
    <w:rsid w:val="00493690"/>
    <w:rsid w:val="004948ED"/>
    <w:rsid w:val="00494D50"/>
    <w:rsid w:val="0049587A"/>
    <w:rsid w:val="00496015"/>
    <w:rsid w:val="00496C67"/>
    <w:rsid w:val="004A0109"/>
    <w:rsid w:val="004A7B63"/>
    <w:rsid w:val="004B3957"/>
    <w:rsid w:val="004B4364"/>
    <w:rsid w:val="004B5815"/>
    <w:rsid w:val="004B61F6"/>
    <w:rsid w:val="004B7401"/>
    <w:rsid w:val="004C0770"/>
    <w:rsid w:val="004C371F"/>
    <w:rsid w:val="004C6FBD"/>
    <w:rsid w:val="004E0CA8"/>
    <w:rsid w:val="004E523E"/>
    <w:rsid w:val="004E5540"/>
    <w:rsid w:val="004F45E9"/>
    <w:rsid w:val="00503CD3"/>
    <w:rsid w:val="005040FC"/>
    <w:rsid w:val="00505362"/>
    <w:rsid w:val="00506DF7"/>
    <w:rsid w:val="005071E4"/>
    <w:rsid w:val="00507B77"/>
    <w:rsid w:val="005129A9"/>
    <w:rsid w:val="00513872"/>
    <w:rsid w:val="00514D05"/>
    <w:rsid w:val="005174D5"/>
    <w:rsid w:val="00521D1B"/>
    <w:rsid w:val="005323C1"/>
    <w:rsid w:val="005408C8"/>
    <w:rsid w:val="00541C9E"/>
    <w:rsid w:val="005430AC"/>
    <w:rsid w:val="00544DEB"/>
    <w:rsid w:val="00545445"/>
    <w:rsid w:val="00550563"/>
    <w:rsid w:val="00556924"/>
    <w:rsid w:val="00565114"/>
    <w:rsid w:val="00566002"/>
    <w:rsid w:val="005667C3"/>
    <w:rsid w:val="00573D50"/>
    <w:rsid w:val="00573FBD"/>
    <w:rsid w:val="00577751"/>
    <w:rsid w:val="00580377"/>
    <w:rsid w:val="00584145"/>
    <w:rsid w:val="00586DC6"/>
    <w:rsid w:val="00592CB8"/>
    <w:rsid w:val="00594784"/>
    <w:rsid w:val="0059592D"/>
    <w:rsid w:val="005962AC"/>
    <w:rsid w:val="0059759D"/>
    <w:rsid w:val="005A0845"/>
    <w:rsid w:val="005A0D6B"/>
    <w:rsid w:val="005A10EC"/>
    <w:rsid w:val="005A3600"/>
    <w:rsid w:val="005A3D2C"/>
    <w:rsid w:val="005A3D9A"/>
    <w:rsid w:val="005A3F0D"/>
    <w:rsid w:val="005A4A6C"/>
    <w:rsid w:val="005A5624"/>
    <w:rsid w:val="005B2068"/>
    <w:rsid w:val="005B67F8"/>
    <w:rsid w:val="005C36E4"/>
    <w:rsid w:val="005C4A4A"/>
    <w:rsid w:val="005C5467"/>
    <w:rsid w:val="005C6C7F"/>
    <w:rsid w:val="005D14E4"/>
    <w:rsid w:val="005D1F15"/>
    <w:rsid w:val="005D2E4D"/>
    <w:rsid w:val="005D4509"/>
    <w:rsid w:val="005E0D5E"/>
    <w:rsid w:val="005E2A57"/>
    <w:rsid w:val="005E6DAF"/>
    <w:rsid w:val="005E7237"/>
    <w:rsid w:val="005E7A5F"/>
    <w:rsid w:val="005F18F2"/>
    <w:rsid w:val="005F1CD1"/>
    <w:rsid w:val="005F43F9"/>
    <w:rsid w:val="005F5F96"/>
    <w:rsid w:val="0060327C"/>
    <w:rsid w:val="00604FF6"/>
    <w:rsid w:val="0061051F"/>
    <w:rsid w:val="006119BE"/>
    <w:rsid w:val="00613794"/>
    <w:rsid w:val="00613F13"/>
    <w:rsid w:val="006148AC"/>
    <w:rsid w:val="00621E3F"/>
    <w:rsid w:val="00621F93"/>
    <w:rsid w:val="006239A4"/>
    <w:rsid w:val="006247EC"/>
    <w:rsid w:val="00627C0E"/>
    <w:rsid w:val="00630F03"/>
    <w:rsid w:val="0063170B"/>
    <w:rsid w:val="00635BCC"/>
    <w:rsid w:val="00635FCA"/>
    <w:rsid w:val="00637C80"/>
    <w:rsid w:val="00641859"/>
    <w:rsid w:val="00641D10"/>
    <w:rsid w:val="00643A09"/>
    <w:rsid w:val="0064423A"/>
    <w:rsid w:val="00646BD9"/>
    <w:rsid w:val="00652CF8"/>
    <w:rsid w:val="006560C1"/>
    <w:rsid w:val="00657F45"/>
    <w:rsid w:val="006654D4"/>
    <w:rsid w:val="00673F62"/>
    <w:rsid w:val="0067680A"/>
    <w:rsid w:val="00676D5E"/>
    <w:rsid w:val="00681CD8"/>
    <w:rsid w:val="00687A5B"/>
    <w:rsid w:val="00692461"/>
    <w:rsid w:val="00694154"/>
    <w:rsid w:val="00694729"/>
    <w:rsid w:val="0069713D"/>
    <w:rsid w:val="006A41A7"/>
    <w:rsid w:val="006A4887"/>
    <w:rsid w:val="006A7049"/>
    <w:rsid w:val="006B094E"/>
    <w:rsid w:val="006B234A"/>
    <w:rsid w:val="006B293F"/>
    <w:rsid w:val="006B3CA5"/>
    <w:rsid w:val="006B44A8"/>
    <w:rsid w:val="006B59E7"/>
    <w:rsid w:val="006C4AEC"/>
    <w:rsid w:val="006C5517"/>
    <w:rsid w:val="006C6E52"/>
    <w:rsid w:val="006D1B95"/>
    <w:rsid w:val="006D2412"/>
    <w:rsid w:val="006D2581"/>
    <w:rsid w:val="006D30A6"/>
    <w:rsid w:val="006D3A44"/>
    <w:rsid w:val="006D4BB3"/>
    <w:rsid w:val="006D58D0"/>
    <w:rsid w:val="006D6C76"/>
    <w:rsid w:val="006E047D"/>
    <w:rsid w:val="006E7777"/>
    <w:rsid w:val="006F1E2A"/>
    <w:rsid w:val="006F3455"/>
    <w:rsid w:val="006F70F8"/>
    <w:rsid w:val="006F7B04"/>
    <w:rsid w:val="007037B6"/>
    <w:rsid w:val="007040B2"/>
    <w:rsid w:val="00704F1D"/>
    <w:rsid w:val="0071310D"/>
    <w:rsid w:val="00713F24"/>
    <w:rsid w:val="0071536B"/>
    <w:rsid w:val="0072085F"/>
    <w:rsid w:val="00732326"/>
    <w:rsid w:val="00740114"/>
    <w:rsid w:val="007413A6"/>
    <w:rsid w:val="00741658"/>
    <w:rsid w:val="00742DA5"/>
    <w:rsid w:val="0074612B"/>
    <w:rsid w:val="0075038F"/>
    <w:rsid w:val="00751D7C"/>
    <w:rsid w:val="00757089"/>
    <w:rsid w:val="0076003B"/>
    <w:rsid w:val="0076242A"/>
    <w:rsid w:val="00762E9E"/>
    <w:rsid w:val="00765A1E"/>
    <w:rsid w:val="00766AE2"/>
    <w:rsid w:val="00772D7B"/>
    <w:rsid w:val="007746C1"/>
    <w:rsid w:val="00774953"/>
    <w:rsid w:val="007750FE"/>
    <w:rsid w:val="00776AF3"/>
    <w:rsid w:val="007805C0"/>
    <w:rsid w:val="00783B9B"/>
    <w:rsid w:val="00786478"/>
    <w:rsid w:val="00786DF8"/>
    <w:rsid w:val="00790C7D"/>
    <w:rsid w:val="00791DC0"/>
    <w:rsid w:val="00793C8C"/>
    <w:rsid w:val="00796875"/>
    <w:rsid w:val="00797B83"/>
    <w:rsid w:val="007A19B9"/>
    <w:rsid w:val="007A1D2F"/>
    <w:rsid w:val="007A5554"/>
    <w:rsid w:val="007B0370"/>
    <w:rsid w:val="007B1023"/>
    <w:rsid w:val="007B2227"/>
    <w:rsid w:val="007B4063"/>
    <w:rsid w:val="007B4C65"/>
    <w:rsid w:val="007B4D98"/>
    <w:rsid w:val="007B508F"/>
    <w:rsid w:val="007B5315"/>
    <w:rsid w:val="007B5DAB"/>
    <w:rsid w:val="007C092D"/>
    <w:rsid w:val="007C1995"/>
    <w:rsid w:val="007C2270"/>
    <w:rsid w:val="007C22CC"/>
    <w:rsid w:val="007C3A84"/>
    <w:rsid w:val="007C591C"/>
    <w:rsid w:val="007C76AF"/>
    <w:rsid w:val="007D4E17"/>
    <w:rsid w:val="007E0335"/>
    <w:rsid w:val="007E1123"/>
    <w:rsid w:val="007E2283"/>
    <w:rsid w:val="007E459C"/>
    <w:rsid w:val="007E5A32"/>
    <w:rsid w:val="007E68EB"/>
    <w:rsid w:val="007E6A9C"/>
    <w:rsid w:val="007F00BD"/>
    <w:rsid w:val="007F03BA"/>
    <w:rsid w:val="007F15EB"/>
    <w:rsid w:val="007F2675"/>
    <w:rsid w:val="007F296F"/>
    <w:rsid w:val="007F2AF3"/>
    <w:rsid w:val="007F5DAF"/>
    <w:rsid w:val="007F7309"/>
    <w:rsid w:val="0080116E"/>
    <w:rsid w:val="008055A7"/>
    <w:rsid w:val="00810DEB"/>
    <w:rsid w:val="008159F5"/>
    <w:rsid w:val="00815B43"/>
    <w:rsid w:val="0081659D"/>
    <w:rsid w:val="0082186D"/>
    <w:rsid w:val="00822712"/>
    <w:rsid w:val="008253C1"/>
    <w:rsid w:val="00826C7C"/>
    <w:rsid w:val="00832FD3"/>
    <w:rsid w:val="00834BB7"/>
    <w:rsid w:val="008355C0"/>
    <w:rsid w:val="0083672E"/>
    <w:rsid w:val="00842626"/>
    <w:rsid w:val="0084299F"/>
    <w:rsid w:val="00842E9E"/>
    <w:rsid w:val="008432AE"/>
    <w:rsid w:val="008450DF"/>
    <w:rsid w:val="008470C3"/>
    <w:rsid w:val="00850163"/>
    <w:rsid w:val="00851265"/>
    <w:rsid w:val="00855D19"/>
    <w:rsid w:val="00862CBD"/>
    <w:rsid w:val="008635A9"/>
    <w:rsid w:val="0086503C"/>
    <w:rsid w:val="00867BA4"/>
    <w:rsid w:val="008709B0"/>
    <w:rsid w:val="008710EC"/>
    <w:rsid w:val="00874B32"/>
    <w:rsid w:val="00874B7E"/>
    <w:rsid w:val="00880103"/>
    <w:rsid w:val="00883146"/>
    <w:rsid w:val="00884950"/>
    <w:rsid w:val="00884B35"/>
    <w:rsid w:val="0089056E"/>
    <w:rsid w:val="00894595"/>
    <w:rsid w:val="00895753"/>
    <w:rsid w:val="008A0372"/>
    <w:rsid w:val="008A0A30"/>
    <w:rsid w:val="008A16C0"/>
    <w:rsid w:val="008A2A45"/>
    <w:rsid w:val="008A3381"/>
    <w:rsid w:val="008A6A5D"/>
    <w:rsid w:val="008B09D6"/>
    <w:rsid w:val="008B1D12"/>
    <w:rsid w:val="008B1F56"/>
    <w:rsid w:val="008B504B"/>
    <w:rsid w:val="008B53F9"/>
    <w:rsid w:val="008C086B"/>
    <w:rsid w:val="008C6B60"/>
    <w:rsid w:val="008D03EC"/>
    <w:rsid w:val="008D5943"/>
    <w:rsid w:val="008E1922"/>
    <w:rsid w:val="008E2E74"/>
    <w:rsid w:val="008E615C"/>
    <w:rsid w:val="008E6493"/>
    <w:rsid w:val="008E668E"/>
    <w:rsid w:val="008E7002"/>
    <w:rsid w:val="008E73D6"/>
    <w:rsid w:val="008F0174"/>
    <w:rsid w:val="008F290B"/>
    <w:rsid w:val="008F44C2"/>
    <w:rsid w:val="008F4D77"/>
    <w:rsid w:val="008F65F4"/>
    <w:rsid w:val="008F680F"/>
    <w:rsid w:val="009030FB"/>
    <w:rsid w:val="009038E9"/>
    <w:rsid w:val="0090791C"/>
    <w:rsid w:val="00911229"/>
    <w:rsid w:val="009152BF"/>
    <w:rsid w:val="009175E9"/>
    <w:rsid w:val="009176DE"/>
    <w:rsid w:val="0091789F"/>
    <w:rsid w:val="009252AF"/>
    <w:rsid w:val="00932145"/>
    <w:rsid w:val="00935264"/>
    <w:rsid w:val="00936D30"/>
    <w:rsid w:val="00942FD3"/>
    <w:rsid w:val="00944E53"/>
    <w:rsid w:val="00945BBF"/>
    <w:rsid w:val="0094630E"/>
    <w:rsid w:val="00946BB5"/>
    <w:rsid w:val="009505BE"/>
    <w:rsid w:val="00951060"/>
    <w:rsid w:val="00951B14"/>
    <w:rsid w:val="0095286A"/>
    <w:rsid w:val="00953A58"/>
    <w:rsid w:val="00953FBD"/>
    <w:rsid w:val="00954029"/>
    <w:rsid w:val="00955C80"/>
    <w:rsid w:val="009563E5"/>
    <w:rsid w:val="00957EFA"/>
    <w:rsid w:val="00960963"/>
    <w:rsid w:val="00963305"/>
    <w:rsid w:val="00963459"/>
    <w:rsid w:val="00964769"/>
    <w:rsid w:val="00971DD5"/>
    <w:rsid w:val="00972117"/>
    <w:rsid w:val="00972618"/>
    <w:rsid w:val="00972EDE"/>
    <w:rsid w:val="00973034"/>
    <w:rsid w:val="009735C6"/>
    <w:rsid w:val="00973A9E"/>
    <w:rsid w:val="009772F6"/>
    <w:rsid w:val="00980074"/>
    <w:rsid w:val="009815C0"/>
    <w:rsid w:val="00983220"/>
    <w:rsid w:val="00986239"/>
    <w:rsid w:val="009868B6"/>
    <w:rsid w:val="00987341"/>
    <w:rsid w:val="00990AFF"/>
    <w:rsid w:val="00991F0C"/>
    <w:rsid w:val="00994D01"/>
    <w:rsid w:val="009A17F1"/>
    <w:rsid w:val="009A419E"/>
    <w:rsid w:val="009A4FDD"/>
    <w:rsid w:val="009A7761"/>
    <w:rsid w:val="009B0CE2"/>
    <w:rsid w:val="009B191D"/>
    <w:rsid w:val="009B556D"/>
    <w:rsid w:val="009B5E3D"/>
    <w:rsid w:val="009B644E"/>
    <w:rsid w:val="009B65E5"/>
    <w:rsid w:val="009C2A2F"/>
    <w:rsid w:val="009C6E24"/>
    <w:rsid w:val="009C7DAA"/>
    <w:rsid w:val="009D26DF"/>
    <w:rsid w:val="009D4E0F"/>
    <w:rsid w:val="009E2B11"/>
    <w:rsid w:val="009E39C2"/>
    <w:rsid w:val="009E5EAD"/>
    <w:rsid w:val="009F5A3F"/>
    <w:rsid w:val="009F5C5A"/>
    <w:rsid w:val="009F6693"/>
    <w:rsid w:val="00A00227"/>
    <w:rsid w:val="00A021E5"/>
    <w:rsid w:val="00A051AD"/>
    <w:rsid w:val="00A06D2F"/>
    <w:rsid w:val="00A07ED3"/>
    <w:rsid w:val="00A107B2"/>
    <w:rsid w:val="00A1211F"/>
    <w:rsid w:val="00A143E7"/>
    <w:rsid w:val="00A14F0C"/>
    <w:rsid w:val="00A157BB"/>
    <w:rsid w:val="00A16F10"/>
    <w:rsid w:val="00A17C74"/>
    <w:rsid w:val="00A20CCB"/>
    <w:rsid w:val="00A22B04"/>
    <w:rsid w:val="00A249E0"/>
    <w:rsid w:val="00A24E56"/>
    <w:rsid w:val="00A24F5B"/>
    <w:rsid w:val="00A263DE"/>
    <w:rsid w:val="00A300CF"/>
    <w:rsid w:val="00A30200"/>
    <w:rsid w:val="00A3184A"/>
    <w:rsid w:val="00A32AA7"/>
    <w:rsid w:val="00A33DB7"/>
    <w:rsid w:val="00A40633"/>
    <w:rsid w:val="00A40F18"/>
    <w:rsid w:val="00A41994"/>
    <w:rsid w:val="00A45C50"/>
    <w:rsid w:val="00A47BEF"/>
    <w:rsid w:val="00A55130"/>
    <w:rsid w:val="00A73BB0"/>
    <w:rsid w:val="00A7535D"/>
    <w:rsid w:val="00A7700D"/>
    <w:rsid w:val="00A8366C"/>
    <w:rsid w:val="00A83E0E"/>
    <w:rsid w:val="00A9033C"/>
    <w:rsid w:val="00A90FE6"/>
    <w:rsid w:val="00A917C1"/>
    <w:rsid w:val="00A91812"/>
    <w:rsid w:val="00A921F0"/>
    <w:rsid w:val="00A92731"/>
    <w:rsid w:val="00A9561D"/>
    <w:rsid w:val="00A95A6D"/>
    <w:rsid w:val="00A95B9E"/>
    <w:rsid w:val="00A96DCD"/>
    <w:rsid w:val="00AA1899"/>
    <w:rsid w:val="00AA32B0"/>
    <w:rsid w:val="00AA432C"/>
    <w:rsid w:val="00AB01F2"/>
    <w:rsid w:val="00AB081D"/>
    <w:rsid w:val="00AB4BB9"/>
    <w:rsid w:val="00AC0826"/>
    <w:rsid w:val="00AC2E64"/>
    <w:rsid w:val="00AC4173"/>
    <w:rsid w:val="00AD0A91"/>
    <w:rsid w:val="00AD1012"/>
    <w:rsid w:val="00AD5BF1"/>
    <w:rsid w:val="00AD69E8"/>
    <w:rsid w:val="00AD6D2B"/>
    <w:rsid w:val="00AD72AB"/>
    <w:rsid w:val="00AE00BC"/>
    <w:rsid w:val="00AE0562"/>
    <w:rsid w:val="00AE1985"/>
    <w:rsid w:val="00AE216B"/>
    <w:rsid w:val="00AE2E61"/>
    <w:rsid w:val="00AE43DD"/>
    <w:rsid w:val="00AE6750"/>
    <w:rsid w:val="00AE70D8"/>
    <w:rsid w:val="00AE7860"/>
    <w:rsid w:val="00AF3081"/>
    <w:rsid w:val="00AF3816"/>
    <w:rsid w:val="00AF41C4"/>
    <w:rsid w:val="00B010A3"/>
    <w:rsid w:val="00B0380E"/>
    <w:rsid w:val="00B101C6"/>
    <w:rsid w:val="00B133E3"/>
    <w:rsid w:val="00B14848"/>
    <w:rsid w:val="00B1592C"/>
    <w:rsid w:val="00B16E28"/>
    <w:rsid w:val="00B22821"/>
    <w:rsid w:val="00B23CBA"/>
    <w:rsid w:val="00B24204"/>
    <w:rsid w:val="00B25ED3"/>
    <w:rsid w:val="00B342FF"/>
    <w:rsid w:val="00B378F2"/>
    <w:rsid w:val="00B37ADB"/>
    <w:rsid w:val="00B434C5"/>
    <w:rsid w:val="00B4552D"/>
    <w:rsid w:val="00B5307F"/>
    <w:rsid w:val="00B5337C"/>
    <w:rsid w:val="00B53B2B"/>
    <w:rsid w:val="00B54278"/>
    <w:rsid w:val="00B57067"/>
    <w:rsid w:val="00B634E5"/>
    <w:rsid w:val="00B63751"/>
    <w:rsid w:val="00B649DD"/>
    <w:rsid w:val="00B66719"/>
    <w:rsid w:val="00B670A8"/>
    <w:rsid w:val="00B70913"/>
    <w:rsid w:val="00B72EDB"/>
    <w:rsid w:val="00B73224"/>
    <w:rsid w:val="00B7491F"/>
    <w:rsid w:val="00B7798B"/>
    <w:rsid w:val="00B830F0"/>
    <w:rsid w:val="00B84168"/>
    <w:rsid w:val="00B845C9"/>
    <w:rsid w:val="00B85CA3"/>
    <w:rsid w:val="00B86360"/>
    <w:rsid w:val="00B86F31"/>
    <w:rsid w:val="00B94DBB"/>
    <w:rsid w:val="00B957D3"/>
    <w:rsid w:val="00B95AF8"/>
    <w:rsid w:val="00B96593"/>
    <w:rsid w:val="00BA040D"/>
    <w:rsid w:val="00BA2DA1"/>
    <w:rsid w:val="00BA32CE"/>
    <w:rsid w:val="00BA4128"/>
    <w:rsid w:val="00BA4BB9"/>
    <w:rsid w:val="00BA4F07"/>
    <w:rsid w:val="00BA7E7B"/>
    <w:rsid w:val="00BB02CD"/>
    <w:rsid w:val="00BB04AA"/>
    <w:rsid w:val="00BB1EE0"/>
    <w:rsid w:val="00BB487F"/>
    <w:rsid w:val="00BB500C"/>
    <w:rsid w:val="00BB6E94"/>
    <w:rsid w:val="00BC2FD2"/>
    <w:rsid w:val="00BC30EE"/>
    <w:rsid w:val="00BC7ACE"/>
    <w:rsid w:val="00BC7F81"/>
    <w:rsid w:val="00BD1AB4"/>
    <w:rsid w:val="00BD7F01"/>
    <w:rsid w:val="00BE1F24"/>
    <w:rsid w:val="00BE2B52"/>
    <w:rsid w:val="00BE5433"/>
    <w:rsid w:val="00BE6D90"/>
    <w:rsid w:val="00BF08F6"/>
    <w:rsid w:val="00BF0C30"/>
    <w:rsid w:val="00BF1DA4"/>
    <w:rsid w:val="00BF278B"/>
    <w:rsid w:val="00BF3659"/>
    <w:rsid w:val="00BF6914"/>
    <w:rsid w:val="00BF7769"/>
    <w:rsid w:val="00C00CFB"/>
    <w:rsid w:val="00C027A7"/>
    <w:rsid w:val="00C06A67"/>
    <w:rsid w:val="00C06D2C"/>
    <w:rsid w:val="00C06D4C"/>
    <w:rsid w:val="00C070B3"/>
    <w:rsid w:val="00C131C3"/>
    <w:rsid w:val="00C165AF"/>
    <w:rsid w:val="00C167BE"/>
    <w:rsid w:val="00C21162"/>
    <w:rsid w:val="00C21E11"/>
    <w:rsid w:val="00C25465"/>
    <w:rsid w:val="00C25B31"/>
    <w:rsid w:val="00C324C3"/>
    <w:rsid w:val="00C33D3E"/>
    <w:rsid w:val="00C40B31"/>
    <w:rsid w:val="00C40C5B"/>
    <w:rsid w:val="00C43C2F"/>
    <w:rsid w:val="00C445DD"/>
    <w:rsid w:val="00C44A3B"/>
    <w:rsid w:val="00C468CF"/>
    <w:rsid w:val="00C54363"/>
    <w:rsid w:val="00C56291"/>
    <w:rsid w:val="00C63B77"/>
    <w:rsid w:val="00C66AEC"/>
    <w:rsid w:val="00C678BE"/>
    <w:rsid w:val="00C7017C"/>
    <w:rsid w:val="00C748AD"/>
    <w:rsid w:val="00C76B74"/>
    <w:rsid w:val="00C8009F"/>
    <w:rsid w:val="00C80BA6"/>
    <w:rsid w:val="00C83CEC"/>
    <w:rsid w:val="00C84F15"/>
    <w:rsid w:val="00C8690E"/>
    <w:rsid w:val="00C93308"/>
    <w:rsid w:val="00C96702"/>
    <w:rsid w:val="00CA23D0"/>
    <w:rsid w:val="00CA4726"/>
    <w:rsid w:val="00CA6C96"/>
    <w:rsid w:val="00CA6CCA"/>
    <w:rsid w:val="00CA77BE"/>
    <w:rsid w:val="00CB492C"/>
    <w:rsid w:val="00CB6B16"/>
    <w:rsid w:val="00CC0FD9"/>
    <w:rsid w:val="00CC1DC5"/>
    <w:rsid w:val="00CC3BCC"/>
    <w:rsid w:val="00CC3CFB"/>
    <w:rsid w:val="00CC4350"/>
    <w:rsid w:val="00CC4C37"/>
    <w:rsid w:val="00CC6354"/>
    <w:rsid w:val="00CC7653"/>
    <w:rsid w:val="00CD2086"/>
    <w:rsid w:val="00CD3A72"/>
    <w:rsid w:val="00CE3B4F"/>
    <w:rsid w:val="00CE439B"/>
    <w:rsid w:val="00CE5041"/>
    <w:rsid w:val="00CE5796"/>
    <w:rsid w:val="00CE5976"/>
    <w:rsid w:val="00CE6C29"/>
    <w:rsid w:val="00CE7CDB"/>
    <w:rsid w:val="00CF0685"/>
    <w:rsid w:val="00CF2452"/>
    <w:rsid w:val="00CF5CB2"/>
    <w:rsid w:val="00CF5F48"/>
    <w:rsid w:val="00D00A7D"/>
    <w:rsid w:val="00D02CAB"/>
    <w:rsid w:val="00D031A3"/>
    <w:rsid w:val="00D07156"/>
    <w:rsid w:val="00D1081D"/>
    <w:rsid w:val="00D115C3"/>
    <w:rsid w:val="00D13B35"/>
    <w:rsid w:val="00D16FF8"/>
    <w:rsid w:val="00D17FA5"/>
    <w:rsid w:val="00D207BB"/>
    <w:rsid w:val="00D221C5"/>
    <w:rsid w:val="00D32423"/>
    <w:rsid w:val="00D33921"/>
    <w:rsid w:val="00D37645"/>
    <w:rsid w:val="00D404DE"/>
    <w:rsid w:val="00D41FE7"/>
    <w:rsid w:val="00D5796D"/>
    <w:rsid w:val="00D60649"/>
    <w:rsid w:val="00D60D9B"/>
    <w:rsid w:val="00D6103A"/>
    <w:rsid w:val="00D65B89"/>
    <w:rsid w:val="00D730E8"/>
    <w:rsid w:val="00D76146"/>
    <w:rsid w:val="00D82C4A"/>
    <w:rsid w:val="00D90E8E"/>
    <w:rsid w:val="00D92098"/>
    <w:rsid w:val="00D952C9"/>
    <w:rsid w:val="00D95960"/>
    <w:rsid w:val="00D97D5C"/>
    <w:rsid w:val="00DA2339"/>
    <w:rsid w:val="00DA314E"/>
    <w:rsid w:val="00DA37F1"/>
    <w:rsid w:val="00DA79E8"/>
    <w:rsid w:val="00DB0649"/>
    <w:rsid w:val="00DB1045"/>
    <w:rsid w:val="00DB2699"/>
    <w:rsid w:val="00DB2FA4"/>
    <w:rsid w:val="00DB30FB"/>
    <w:rsid w:val="00DB54EE"/>
    <w:rsid w:val="00DB5FF5"/>
    <w:rsid w:val="00DB6635"/>
    <w:rsid w:val="00DC39C7"/>
    <w:rsid w:val="00DC609B"/>
    <w:rsid w:val="00DD4300"/>
    <w:rsid w:val="00DE01ED"/>
    <w:rsid w:val="00DE0D02"/>
    <w:rsid w:val="00DE3A82"/>
    <w:rsid w:val="00DE55AF"/>
    <w:rsid w:val="00DE64AF"/>
    <w:rsid w:val="00DF0582"/>
    <w:rsid w:val="00DF2EDA"/>
    <w:rsid w:val="00DF4679"/>
    <w:rsid w:val="00DF7D0F"/>
    <w:rsid w:val="00E01272"/>
    <w:rsid w:val="00E06582"/>
    <w:rsid w:val="00E070F8"/>
    <w:rsid w:val="00E116A8"/>
    <w:rsid w:val="00E11D4D"/>
    <w:rsid w:val="00E12184"/>
    <w:rsid w:val="00E12FEF"/>
    <w:rsid w:val="00E1732F"/>
    <w:rsid w:val="00E17EA5"/>
    <w:rsid w:val="00E213C9"/>
    <w:rsid w:val="00E22723"/>
    <w:rsid w:val="00E23E84"/>
    <w:rsid w:val="00E24ECC"/>
    <w:rsid w:val="00E24FAB"/>
    <w:rsid w:val="00E27147"/>
    <w:rsid w:val="00E33F67"/>
    <w:rsid w:val="00E40613"/>
    <w:rsid w:val="00E517B8"/>
    <w:rsid w:val="00E52586"/>
    <w:rsid w:val="00E530E6"/>
    <w:rsid w:val="00E558EB"/>
    <w:rsid w:val="00E56DDD"/>
    <w:rsid w:val="00E60268"/>
    <w:rsid w:val="00E60D46"/>
    <w:rsid w:val="00E6292B"/>
    <w:rsid w:val="00E62C3C"/>
    <w:rsid w:val="00E6343E"/>
    <w:rsid w:val="00E63701"/>
    <w:rsid w:val="00E6496D"/>
    <w:rsid w:val="00E71354"/>
    <w:rsid w:val="00E72FEF"/>
    <w:rsid w:val="00E752CB"/>
    <w:rsid w:val="00E75F44"/>
    <w:rsid w:val="00E76E89"/>
    <w:rsid w:val="00E809F9"/>
    <w:rsid w:val="00E844F9"/>
    <w:rsid w:val="00E850E1"/>
    <w:rsid w:val="00E8651C"/>
    <w:rsid w:val="00E911C5"/>
    <w:rsid w:val="00E9131D"/>
    <w:rsid w:val="00E9424A"/>
    <w:rsid w:val="00E942AB"/>
    <w:rsid w:val="00E96C56"/>
    <w:rsid w:val="00E97075"/>
    <w:rsid w:val="00EA01A3"/>
    <w:rsid w:val="00EA5BE8"/>
    <w:rsid w:val="00EA64F9"/>
    <w:rsid w:val="00EA7DD0"/>
    <w:rsid w:val="00EB265F"/>
    <w:rsid w:val="00EB3BA8"/>
    <w:rsid w:val="00EB702F"/>
    <w:rsid w:val="00EC0234"/>
    <w:rsid w:val="00EC2D95"/>
    <w:rsid w:val="00EC53B9"/>
    <w:rsid w:val="00EC6711"/>
    <w:rsid w:val="00EC7BE8"/>
    <w:rsid w:val="00EC7FD5"/>
    <w:rsid w:val="00ED03A1"/>
    <w:rsid w:val="00ED4077"/>
    <w:rsid w:val="00ED5DD3"/>
    <w:rsid w:val="00ED6190"/>
    <w:rsid w:val="00EE27D5"/>
    <w:rsid w:val="00EE3B00"/>
    <w:rsid w:val="00EE4650"/>
    <w:rsid w:val="00EE6381"/>
    <w:rsid w:val="00EF15CC"/>
    <w:rsid w:val="00EF203D"/>
    <w:rsid w:val="00F00344"/>
    <w:rsid w:val="00F0414F"/>
    <w:rsid w:val="00F074A4"/>
    <w:rsid w:val="00F17078"/>
    <w:rsid w:val="00F22A5A"/>
    <w:rsid w:val="00F23373"/>
    <w:rsid w:val="00F279E1"/>
    <w:rsid w:val="00F30F2C"/>
    <w:rsid w:val="00F368B7"/>
    <w:rsid w:val="00F43D95"/>
    <w:rsid w:val="00F44BB3"/>
    <w:rsid w:val="00F512C5"/>
    <w:rsid w:val="00F5616C"/>
    <w:rsid w:val="00F60907"/>
    <w:rsid w:val="00F61454"/>
    <w:rsid w:val="00F62801"/>
    <w:rsid w:val="00F64814"/>
    <w:rsid w:val="00F6668C"/>
    <w:rsid w:val="00F6747D"/>
    <w:rsid w:val="00F7000B"/>
    <w:rsid w:val="00F70768"/>
    <w:rsid w:val="00F732FA"/>
    <w:rsid w:val="00F76878"/>
    <w:rsid w:val="00F80C79"/>
    <w:rsid w:val="00F82E56"/>
    <w:rsid w:val="00F830FC"/>
    <w:rsid w:val="00F83D4F"/>
    <w:rsid w:val="00F861D3"/>
    <w:rsid w:val="00F90B61"/>
    <w:rsid w:val="00F92A7F"/>
    <w:rsid w:val="00F93270"/>
    <w:rsid w:val="00F95912"/>
    <w:rsid w:val="00FA09A7"/>
    <w:rsid w:val="00FA5150"/>
    <w:rsid w:val="00FA68C0"/>
    <w:rsid w:val="00FA79A9"/>
    <w:rsid w:val="00FB7FDF"/>
    <w:rsid w:val="00FC085D"/>
    <w:rsid w:val="00FC31F1"/>
    <w:rsid w:val="00FC444D"/>
    <w:rsid w:val="00FC5FCF"/>
    <w:rsid w:val="00FC6807"/>
    <w:rsid w:val="00FC7773"/>
    <w:rsid w:val="00FD114A"/>
    <w:rsid w:val="00FD1C2C"/>
    <w:rsid w:val="00FD282F"/>
    <w:rsid w:val="00FD5935"/>
    <w:rsid w:val="00FD61EE"/>
    <w:rsid w:val="00FD7463"/>
    <w:rsid w:val="00FE0606"/>
    <w:rsid w:val="00FE2993"/>
    <w:rsid w:val="00FE737B"/>
    <w:rsid w:val="00FE738C"/>
    <w:rsid w:val="00FF1DEF"/>
    <w:rsid w:val="00FF7A4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D9017F9"/>
  <w15:chartTrackingRefBased/>
  <w15:docId w15:val="{2C0C60BF-DBE0-4F87-8B0B-F1557761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Virsraksts1Rakstz"/>
    <w:uiPriority w:val="9"/>
    <w:qFormat/>
    <w:rsid w:val="00392E97"/>
    <w:pPr>
      <w:keepNext/>
      <w:keepLines/>
      <w:spacing w:before="360"/>
      <w:outlineLvl w:val="0"/>
    </w:pPr>
    <w:rPr>
      <w:b/>
      <w:sz w:val="28"/>
      <w:szCs w:val="28"/>
    </w:rPr>
  </w:style>
  <w:style w:type="paragraph" w:styleId="Heading2">
    <w:name w:val="heading 2"/>
    <w:basedOn w:val="Normal"/>
    <w:next w:val="Normal"/>
    <w:link w:val="Virsraksts2Rakstz"/>
    <w:uiPriority w:val="9"/>
    <w:unhideWhenUsed/>
    <w:qFormat/>
    <w:rsid w:val="00392E97"/>
    <w:pPr>
      <w:keepNext/>
      <w:keepLines/>
      <w:spacing w:before="240" w:after="120"/>
      <w:outlineLvl w:val="1"/>
    </w:pPr>
    <w:rPr>
      <w:b/>
      <w:i/>
    </w:rPr>
  </w:style>
  <w:style w:type="paragraph" w:styleId="Heading3">
    <w:name w:val="heading 3"/>
    <w:basedOn w:val="Normal"/>
    <w:next w:val="Normal"/>
    <w:link w:val="Virsraksts3Rakstz"/>
    <w:uiPriority w:val="9"/>
    <w:semiHidden/>
    <w:unhideWhenUsed/>
    <w:qFormat/>
    <w:rsid w:val="00392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Virsraksts4Rakstz"/>
    <w:uiPriority w:val="9"/>
    <w:semiHidden/>
    <w:unhideWhenUsed/>
    <w:qFormat/>
    <w:rsid w:val="00392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392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Virsraksts6Rakstz"/>
    <w:uiPriority w:val="9"/>
    <w:semiHidden/>
    <w:unhideWhenUsed/>
    <w:qFormat/>
    <w:rsid w:val="00392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392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392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392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392E9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rsid w:val="00392E97"/>
    <w:rPr>
      <w:rFonts w:ascii="Times" w:hAnsi="Times" w:eastAsiaTheme="majorEastAsia" w:cstheme="majorBidi"/>
      <w:b/>
      <w:color w:val="0F4761" w:themeColor="accent1" w:themeShade="BF"/>
      <w:sz w:val="28"/>
      <w:szCs w:val="32"/>
    </w:rPr>
  </w:style>
  <w:style w:type="character" w:customStyle="1" w:styleId="Virsraksts3Rakstz">
    <w:name w:val="Virsraksts 3 Rakstz."/>
    <w:basedOn w:val="DefaultParagraphFont"/>
    <w:link w:val="Heading3"/>
    <w:uiPriority w:val="9"/>
    <w:semiHidden/>
    <w:rsid w:val="00392E97"/>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392E97"/>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392E97"/>
    <w:rPr>
      <w:rFonts w:eastAsiaTheme="majorEastAsia" w:cstheme="majorBidi"/>
      <w:color w:val="0F4761" w:themeColor="accent1" w:themeShade="BF"/>
    </w:rPr>
  </w:style>
  <w:style w:type="character" w:customStyle="1" w:styleId="Virsraksts6Rakstz">
    <w:name w:val="Virsraksts 6 Rakstz."/>
    <w:basedOn w:val="DefaultParagraphFont"/>
    <w:link w:val="Heading6"/>
    <w:uiPriority w:val="9"/>
    <w:semiHidden/>
    <w:rsid w:val="00392E97"/>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392E97"/>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392E97"/>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392E97"/>
    <w:rPr>
      <w:rFonts w:eastAsiaTheme="majorEastAsia" w:cstheme="majorBidi"/>
      <w:color w:val="272727" w:themeColor="text1" w:themeTint="D8"/>
    </w:rPr>
  </w:style>
  <w:style w:type="paragraph" w:styleId="Title">
    <w:name w:val="Title"/>
    <w:basedOn w:val="Normal"/>
    <w:next w:val="Normal"/>
    <w:link w:val="NosaukumsRakstz"/>
    <w:uiPriority w:val="10"/>
    <w:qFormat/>
    <w:rsid w:val="00392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392E97"/>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392E9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392E97"/>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392E97"/>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392E97"/>
    <w:rPr>
      <w:i/>
      <w:iCs/>
      <w:color w:val="404040" w:themeColor="text1" w:themeTint="BF"/>
    </w:rPr>
  </w:style>
  <w:style w:type="paragraph" w:styleId="ListParagraph">
    <w:name w:val="List Paragraph"/>
    <w:aliases w:val="H&amp;P List Paragraph,H&amp;P List ParagraphCxSpLast"/>
    <w:basedOn w:val="Normal"/>
    <w:link w:val="SarakstarindkopaRakstz"/>
    <w:qFormat/>
    <w:rsid w:val="00392E97"/>
    <w:pPr>
      <w:ind w:left="720"/>
      <w:contextualSpacing/>
    </w:pPr>
  </w:style>
  <w:style w:type="character" w:styleId="IntenseEmphasis">
    <w:name w:val="Intense Emphasis"/>
    <w:basedOn w:val="DefaultParagraphFont"/>
    <w:uiPriority w:val="21"/>
    <w:qFormat/>
    <w:rsid w:val="00392E97"/>
    <w:rPr>
      <w:i/>
      <w:iCs/>
      <w:color w:val="0F4761" w:themeColor="accent1" w:themeShade="BF"/>
    </w:rPr>
  </w:style>
  <w:style w:type="paragraph" w:styleId="IntenseQuote">
    <w:name w:val="Intense Quote"/>
    <w:basedOn w:val="Normal"/>
    <w:next w:val="Normal"/>
    <w:link w:val="IntensvscittsRakstz"/>
    <w:uiPriority w:val="30"/>
    <w:qFormat/>
    <w:rsid w:val="00392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392E97"/>
    <w:rPr>
      <w:i/>
      <w:iCs/>
      <w:color w:val="0F4761" w:themeColor="accent1" w:themeShade="BF"/>
    </w:rPr>
  </w:style>
  <w:style w:type="character" w:styleId="IntenseReference">
    <w:name w:val="Intense Reference"/>
    <w:basedOn w:val="DefaultParagraphFont"/>
    <w:uiPriority w:val="32"/>
    <w:qFormat/>
    <w:rsid w:val="00392E97"/>
    <w:rPr>
      <w:b/>
      <w:bCs/>
      <w:smallCaps/>
      <w:color w:val="0F4761" w:themeColor="accent1" w:themeShade="BF"/>
      <w:spacing w:val="5"/>
    </w:rPr>
  </w:style>
  <w:style w:type="paragraph" w:styleId="TOCHeading">
    <w:name w:val="TOC Heading"/>
    <w:basedOn w:val="Heading1"/>
    <w:next w:val="Normal"/>
    <w:uiPriority w:val="39"/>
    <w:unhideWhenUsed/>
    <w:qFormat/>
    <w:rsid w:val="00392E97"/>
    <w:pPr>
      <w:spacing w:before="240" w:after="0" w:line="259" w:lineRule="auto"/>
      <w:outlineLvl w:val="9"/>
    </w:pPr>
    <w:rPr>
      <w:kern w:val="0"/>
      <w:sz w:val="32"/>
      <w:szCs w:val="32"/>
      <w:lang w:eastAsia="lv-LV"/>
      <w14:ligatures w14:val="none"/>
    </w:rPr>
  </w:style>
  <w:style w:type="paragraph" w:styleId="TOC2">
    <w:name w:val="toc 2"/>
    <w:basedOn w:val="Normal"/>
    <w:next w:val="Normal"/>
    <w:autoRedefine/>
    <w:uiPriority w:val="39"/>
    <w:unhideWhenUsed/>
    <w:rsid w:val="00392E97"/>
    <w:pPr>
      <w:spacing w:after="100"/>
      <w:ind w:left="240"/>
    </w:pPr>
  </w:style>
  <w:style w:type="character" w:styleId="Hyperlink">
    <w:name w:val="Hyperlink"/>
    <w:basedOn w:val="DefaultParagraphFont"/>
    <w:uiPriority w:val="99"/>
    <w:unhideWhenUsed/>
    <w:rsid w:val="00392E97"/>
    <w:rPr>
      <w:color w:val="467886" w:themeColor="hyperlink"/>
      <w:u w:val="single"/>
    </w:rPr>
  </w:style>
  <w:style w:type="paragraph" w:styleId="Header">
    <w:name w:val="header"/>
    <w:basedOn w:val="Normal"/>
    <w:link w:val="GalveneRakstz"/>
    <w:unhideWhenUsed/>
    <w:rsid w:val="00392E97"/>
    <w:pPr>
      <w:tabs>
        <w:tab w:val="center" w:pos="4153"/>
        <w:tab w:val="right" w:pos="8306"/>
      </w:tabs>
      <w:spacing w:after="0" w:line="240" w:lineRule="auto"/>
    </w:pPr>
  </w:style>
  <w:style w:type="character" w:customStyle="1" w:styleId="GalveneRakstz">
    <w:name w:val="Galvene Rakstz."/>
    <w:basedOn w:val="DefaultParagraphFont"/>
    <w:link w:val="Header"/>
    <w:rsid w:val="00392E97"/>
  </w:style>
  <w:style w:type="paragraph" w:styleId="Footer">
    <w:name w:val="footer"/>
    <w:basedOn w:val="Normal"/>
    <w:link w:val="KjeneRakstz"/>
    <w:uiPriority w:val="99"/>
    <w:unhideWhenUsed/>
    <w:rsid w:val="00392E97"/>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392E97"/>
  </w:style>
  <w:style w:type="table" w:styleId="TableGrid">
    <w:name w:val="Table Grid"/>
    <w:basedOn w:val="TableNormal"/>
    <w:uiPriority w:val="59"/>
    <w:rsid w:val="002C1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VrestekstsRakstz"/>
    <w:uiPriority w:val="99"/>
    <w:semiHidden/>
    <w:unhideWhenUsed/>
    <w:rsid w:val="00E213C9"/>
    <w:pPr>
      <w:spacing w:after="0" w:line="240" w:lineRule="auto"/>
    </w:pPr>
    <w:rPr>
      <w:sz w:val="20"/>
      <w:szCs w:val="20"/>
    </w:rPr>
  </w:style>
  <w:style w:type="character" w:customStyle="1" w:styleId="VrestekstsRakstz">
    <w:name w:val="Vēres teksts Rakstz."/>
    <w:basedOn w:val="DefaultParagraphFont"/>
    <w:link w:val="FootnoteText"/>
    <w:uiPriority w:val="99"/>
    <w:semiHidden/>
    <w:rsid w:val="00E213C9"/>
    <w:rPr>
      <w:sz w:val="20"/>
      <w:szCs w:val="20"/>
    </w:rPr>
  </w:style>
  <w:style w:type="character" w:styleId="FootnoteReference">
    <w:name w:val="footnote reference"/>
    <w:basedOn w:val="DefaultParagraphFont"/>
    <w:uiPriority w:val="99"/>
    <w:semiHidden/>
    <w:unhideWhenUsed/>
    <w:rsid w:val="00E213C9"/>
    <w:rPr>
      <w:vertAlign w:val="superscript"/>
    </w:rPr>
  </w:style>
  <w:style w:type="character" w:styleId="UnresolvedMention">
    <w:name w:val="Unresolved Mention"/>
    <w:basedOn w:val="DefaultParagraphFont"/>
    <w:uiPriority w:val="99"/>
    <w:semiHidden/>
    <w:unhideWhenUsed/>
    <w:rsid w:val="00DA2339"/>
    <w:rPr>
      <w:color w:val="605E5C"/>
      <w:shd w:val="clear" w:color="auto" w:fill="E1DFDD"/>
    </w:rPr>
  </w:style>
  <w:style w:type="paragraph" w:customStyle="1" w:styleId="ManiVirsraksti">
    <w:name w:val="ManiVirsraksti"/>
    <w:basedOn w:val="Normal"/>
    <w:qFormat/>
    <w:rsid w:val="009A7761"/>
    <w:pPr>
      <w:spacing w:after="120" w:line="264" w:lineRule="auto"/>
      <w:jc w:val="center"/>
    </w:pPr>
    <w:rPr>
      <w:b/>
      <w:bCs/>
      <w:noProof/>
      <w:color w:val="0A2F41" w:themeColor="accent1" w:themeShade="80"/>
      <w:kern w:val="0"/>
      <w:sz w:val="28"/>
      <w:szCs w:val="32"/>
      <w14:ligatures w14:val="none"/>
    </w:rPr>
  </w:style>
  <w:style w:type="paragraph" w:styleId="BodyText">
    <w:name w:val="Body Text"/>
    <w:basedOn w:val="Normal"/>
    <w:link w:val="PamattekstsRakstz"/>
    <w:qFormat/>
    <w:rsid w:val="009A7761"/>
    <w:pPr>
      <w:spacing w:before="120" w:after="120" w:line="240" w:lineRule="auto"/>
      <w:jc w:val="both"/>
    </w:pPr>
    <w:rPr>
      <w:rFonts w:ascii="Univers for KPMG Light" w:hAnsi="Univers for KPMG Light"/>
      <w:kern w:val="0"/>
      <w:sz w:val="20"/>
      <w:szCs w:val="20"/>
      <w14:ligatures w14:val="none"/>
    </w:rPr>
  </w:style>
  <w:style w:type="character" w:customStyle="1" w:styleId="PamattekstsRakstz">
    <w:name w:val="Pamatteksts Rakstz."/>
    <w:basedOn w:val="DefaultParagraphFont"/>
    <w:link w:val="BodyText"/>
    <w:rsid w:val="009A7761"/>
    <w:rPr>
      <w:rFonts w:ascii="Univers for KPMG Light" w:eastAsia="Times New Roman" w:hAnsi="Univers for KPMG Light" w:cs="Times New Roman"/>
      <w:kern w:val="0"/>
      <w:sz w:val="20"/>
      <w:szCs w:val="20"/>
      <w14:ligatures w14:val="none"/>
    </w:rPr>
  </w:style>
  <w:style w:type="paragraph" w:styleId="TOC1">
    <w:name w:val="toc 1"/>
    <w:basedOn w:val="Normal"/>
    <w:next w:val="Normal"/>
    <w:autoRedefine/>
    <w:uiPriority w:val="39"/>
    <w:unhideWhenUsed/>
    <w:rsid w:val="00F0414F"/>
    <w:pPr>
      <w:tabs>
        <w:tab w:val="right" w:leader="dot" w:pos="9628"/>
      </w:tabs>
      <w:spacing w:after="100"/>
    </w:pPr>
    <w:rPr>
      <w:noProof/>
    </w:rPr>
  </w:style>
  <w:style w:type="paragraph" w:customStyle="1" w:styleId="paragraph">
    <w:name w:val="paragraph"/>
    <w:basedOn w:val="Normal"/>
    <w:rsid w:val="008253C1"/>
    <w:pPr>
      <w:spacing w:before="100" w:beforeAutospacing="1" w:after="100" w:afterAutospacing="1" w:line="240" w:lineRule="auto"/>
    </w:pPr>
    <w:rPr>
      <w:kern w:val="0"/>
      <w:lang w:eastAsia="lv-LV"/>
      <w14:ligatures w14:val="none"/>
    </w:rPr>
  </w:style>
  <w:style w:type="character" w:customStyle="1" w:styleId="normaltextrun">
    <w:name w:val="normaltextrun"/>
    <w:basedOn w:val="DefaultParagraphFont"/>
    <w:rsid w:val="008253C1"/>
  </w:style>
  <w:style w:type="character" w:customStyle="1" w:styleId="eop">
    <w:name w:val="eop"/>
    <w:basedOn w:val="DefaultParagraphFont"/>
    <w:rsid w:val="008253C1"/>
  </w:style>
  <w:style w:type="paragraph" w:customStyle="1" w:styleId="Default">
    <w:name w:val="Default"/>
    <w:rsid w:val="00742DA5"/>
    <w:pPr>
      <w:autoSpaceDE w:val="0"/>
      <w:autoSpaceDN w:val="0"/>
      <w:adjustRightInd w:val="0"/>
      <w:spacing w:after="0" w:line="240" w:lineRule="auto"/>
    </w:pPr>
    <w:rPr>
      <w:color w:val="000000"/>
      <w:kern w:val="0"/>
    </w:rPr>
  </w:style>
  <w:style w:type="character" w:customStyle="1" w:styleId="SarakstarindkopaRakstz">
    <w:name w:val="Saraksta rindkopa Rakstz."/>
    <w:aliases w:val="H&amp;P List Paragraph Rakstz.,H&amp;P List ParagraphCxSpLast Rakstz."/>
    <w:link w:val="ListParagraph"/>
    <w:locked/>
    <w:rsid w:val="00742DA5"/>
  </w:style>
  <w:style w:type="paragraph" w:styleId="NormalWeb">
    <w:name w:val="Normal (Web)"/>
    <w:basedOn w:val="Normal"/>
    <w:uiPriority w:val="99"/>
    <w:semiHidden/>
    <w:unhideWhenUsed/>
    <w:rsid w:val="00C8690E"/>
    <w:pPr>
      <w:spacing w:before="100" w:beforeAutospacing="1" w:after="100" w:afterAutospacing="1" w:line="240" w:lineRule="auto"/>
    </w:pPr>
    <w:rPr>
      <w:kern w:val="0"/>
      <w:lang w:eastAsia="lv-LV"/>
      <w14:ligatures w14:val="none"/>
    </w:rPr>
  </w:style>
  <w:style w:type="paragraph" w:styleId="NoSpacing">
    <w:name w:val="No Spacing"/>
    <w:link w:val="BezatstarpmRakstz"/>
    <w:uiPriority w:val="1"/>
    <w:qFormat/>
    <w:rsid w:val="00FC5FCF"/>
    <w:pPr>
      <w:spacing w:after="0" w:line="240" w:lineRule="auto"/>
    </w:pPr>
    <w:rPr>
      <w:rFonts w:asciiTheme="minorHAnsi" w:eastAsiaTheme="minorEastAsia" w:hAnsiTheme="minorHAnsi" w:cstheme="minorBidi"/>
      <w:kern w:val="0"/>
      <w:sz w:val="22"/>
      <w:szCs w:val="22"/>
      <w:lang w:eastAsia="lv-LV"/>
      <w14:ligatures w14:val="none"/>
    </w:rPr>
  </w:style>
  <w:style w:type="character" w:customStyle="1" w:styleId="BezatstarpmRakstz">
    <w:name w:val="Bez atstarpēm Rakstz."/>
    <w:basedOn w:val="DefaultParagraphFont"/>
    <w:link w:val="NoSpacing"/>
    <w:uiPriority w:val="1"/>
    <w:rsid w:val="00FC5FCF"/>
    <w:rPr>
      <w:rFonts w:asciiTheme="minorHAnsi" w:eastAsiaTheme="minorEastAsia" w:hAnsiTheme="minorHAnsi" w:cstheme="minorBidi"/>
      <w:kern w:val="0"/>
      <w:sz w:val="22"/>
      <w:szCs w:val="22"/>
      <w:lang w:eastAsia="lv-LV"/>
      <w14:ligatures w14:val="none"/>
    </w:rPr>
  </w:style>
  <w:style w:type="paragraph" w:customStyle="1" w:styleId="Body">
    <w:name w:val="Body"/>
    <w:rsid w:val="002A1250"/>
    <w:pPr>
      <w:spacing w:after="0" w:line="240" w:lineRule="auto"/>
    </w:pPr>
    <w:rPr>
      <w:rFonts w:ascii="Calibri" w:eastAsia="Arial Unicode MS" w:hAnsi="Calibri" w:cs="Arial Unicode MS"/>
      <w:color w:val="000000"/>
      <w:kern w:val="0"/>
      <w:u w:color="000000"/>
      <w:lang w:eastAsia="en-GB"/>
      <w14:textOutline w14:w="0">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hart" Target="charts/chart5.xml" /><Relationship Id="rId11" Type="http://schemas.openxmlformats.org/officeDocument/2006/relationships/chart" Target="charts/chart6.xml" /><Relationship Id="rId12" Type="http://schemas.openxmlformats.org/officeDocument/2006/relationships/chart" Target="charts/chart7.xml" /><Relationship Id="rId13" Type="http://schemas.openxmlformats.org/officeDocument/2006/relationships/chart" Target="charts/chart8.xml" /><Relationship Id="rId14" Type="http://schemas.openxmlformats.org/officeDocument/2006/relationships/chart" Target="charts/chart9.xml" /><Relationship Id="rId15" Type="http://schemas.openxmlformats.org/officeDocument/2006/relationships/chart" Target="charts/chart10.xml" /><Relationship Id="rId16" Type="http://schemas.openxmlformats.org/officeDocument/2006/relationships/chart" Target="charts/chart11.xml" /><Relationship Id="rId17" Type="http://schemas.openxmlformats.org/officeDocument/2006/relationships/chart" Target="charts/chart12.xml" /><Relationship Id="rId18" Type="http://schemas.openxmlformats.org/officeDocument/2006/relationships/image" Target="media/image1.jpeg"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footer" Target="footer2.xml" /><Relationship Id="rId22" Type="http://schemas.openxmlformats.org/officeDocument/2006/relationships/hyperlink" Target="https://www.aizkraukle.lv/lv/notikums/tiksanas-ar-iedzivotajiem-aiviekstes-pagasta-0?date=0" TargetMode="External" /><Relationship Id="rId23" Type="http://schemas.openxmlformats.org/officeDocument/2006/relationships/hyperlink" Target="https://www.aizkraukle.lv/lv/notikums/sanaksme-par-teritorijas-planojumu-3" TargetMode="External" /><Relationship Id="rId24" Type="http://schemas.openxmlformats.org/officeDocument/2006/relationships/hyperlink" Target="https://www.aizkraukle.lv/lv/notikums/sanaksme-par-teritorijas-planojumu-2" TargetMode="External" /><Relationship Id="rId25" Type="http://schemas.openxmlformats.org/officeDocument/2006/relationships/hyperlink" Target="https://www.aizkraukle.lv/lv/notikums/sanaksme-par-teritorijas-planojumu-1" TargetMode="External" /><Relationship Id="rId26" Type="http://schemas.openxmlformats.org/officeDocument/2006/relationships/hyperlink" Target="https://www.aizkraukle.lv/lv/notikums/sanaksme-par-teritorijas-planojumu-0" TargetMode="External" /><Relationship Id="rId27" Type="http://schemas.openxmlformats.org/officeDocument/2006/relationships/hyperlink" Target="https://www.aizkraukle.lv/lv/notikums/sanaksme-par-teritorijas-planojumu" TargetMode="External" /><Relationship Id="rId28" Type="http://schemas.openxmlformats.org/officeDocument/2006/relationships/hyperlink" Target="https://www.aizkraukle.lv/lv/notikums/sanaksme-par-ainaviski-vertigam-teritorijam-2" TargetMode="External" /><Relationship Id="rId29" Type="http://schemas.openxmlformats.org/officeDocument/2006/relationships/hyperlink" Target="https://www.aizkraukle.lv/lv/jaunums/sanaksmes-par-ainaviski-vertigam-teritorijam" TargetMode="External" /><Relationship Id="rId3" Type="http://schemas.openxmlformats.org/officeDocument/2006/relationships/webSettings" Target="webSettings.xml" /><Relationship Id="rId30" Type="http://schemas.openxmlformats.org/officeDocument/2006/relationships/hyperlink" Target="https://www.aizkraukle.lv/lv/notikums/sanaksme-par-ainaviski-vertigam-teritorijam-3" TargetMode="External" /><Relationship Id="rId31" Type="http://schemas.openxmlformats.org/officeDocument/2006/relationships/hyperlink" Target="https://www.aizkraukle.lv/lv/jaunums/notiks-sanaksmes-par-ainaviski-vertigam-teritorijam" TargetMode="External" /><Relationship Id="rId32" Type="http://schemas.openxmlformats.org/officeDocument/2006/relationships/hyperlink" Target="https://www.aizkraukle.lv/lv/notikums/sanaksme-par-ainaviski-vertigam-teritorijam-0" TargetMode="External" /><Relationship Id="rId33" Type="http://schemas.openxmlformats.org/officeDocument/2006/relationships/image" Target="media/image2.png" /><Relationship Id="rId34" Type="http://schemas.openxmlformats.org/officeDocument/2006/relationships/chart" Target="charts/chart13.xml" /><Relationship Id="rId35" Type="http://schemas.openxmlformats.org/officeDocument/2006/relationships/chart" Target="charts/chart14.xml" /><Relationship Id="rId36" Type="http://schemas.openxmlformats.org/officeDocument/2006/relationships/header" Target="header2.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chart" Target="charts/chart3.xml" /><Relationship Id="rId9" Type="http://schemas.openxmlformats.org/officeDocument/2006/relationships/chart" Target="charts/chart4.xm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_rels/chart10.xml.rels><?xml version="1.0" encoding="utf-8" standalone="yes"?><Relationships xmlns="http://schemas.openxmlformats.org/package/2006/relationships"><Relationship Id="rId1" Type="http://schemas.openxmlformats.org/officeDocument/2006/relationships/oleObject" Target="file:///C:\Users\anta.teivane\Downloads\kulturas_atskaite_2025%20(1).xlsx" TargetMode="External" /><Relationship Id="rId2" Type="http://schemas.microsoft.com/office/2011/relationships/chartColorStyle" Target="chart/colors10.xml" /><Relationship Id="rId3" Type="http://schemas.microsoft.com/office/2011/relationships/chartStyle" Target="chart/style10.xml" /></Relationships>
</file>

<file path=word/charts/_rels/chart11.xml.rels><?xml version="1.0" encoding="utf-8" standalone="yes"?><Relationships xmlns="http://schemas.openxmlformats.org/package/2006/relationships"><Relationship Id="rId1" Type="http://schemas.openxmlformats.org/officeDocument/2006/relationships/oleObject" Target="Darbgr&#257;mata1" TargetMode="External" /><Relationship Id="rId2" Type="http://schemas.microsoft.com/office/2011/relationships/chartColorStyle" Target="chart/colors11.xml" /><Relationship Id="rId3" Type="http://schemas.microsoft.com/office/2011/relationships/chartStyle" Target="chart/style11.xml" /></Relationships>
</file>

<file path=word/charts/_rels/chart12.xml.rels><?xml version="1.0" encoding="utf-8" standalone="yes"?><Relationships xmlns="http://schemas.openxmlformats.org/package/2006/relationships"><Relationship Id="rId1" Type="http://schemas.openxmlformats.org/officeDocument/2006/relationships/oleObject" Target="Darbgr&#257;mata1" TargetMode="External" /><Relationship Id="rId2" Type="http://schemas.microsoft.com/office/2011/relationships/chartColorStyle" Target="chart/colors12.xml" /><Relationship Id="rId3" Type="http://schemas.microsoft.com/office/2011/relationships/chartStyle" Target="chart/style12.xml" /></Relationships>
</file>

<file path=word/charts/_rels/chart13.xml.rels><?xml version="1.0" encoding="utf-8" standalone="yes"?><Relationships xmlns="http://schemas.openxmlformats.org/package/2006/relationships"><Relationship Id="rId1" Type="http://schemas.openxmlformats.org/officeDocument/2006/relationships/package" Target="../embeddings/Microsoft_Excel_Worksheet4.xlsx" /><Relationship Id="rId2" Type="http://schemas.microsoft.com/office/2011/relationships/chartColorStyle" Target="chart/colors13.xml" /><Relationship Id="rId3" Type="http://schemas.microsoft.com/office/2011/relationships/chartStyle" Target="chart/style13.xml" /></Relationships>
</file>

<file path=word/charts/_rels/chart14.xml.rels><?xml version="1.0" encoding="utf-8" standalone="yes"?><Relationships xmlns="http://schemas.openxmlformats.org/package/2006/relationships"><Relationship Id="rId1" Type="http://schemas.openxmlformats.org/officeDocument/2006/relationships/package" Target="../embeddings/Microsoft_Excel_Worksheet5.xlsx" /><Relationship Id="rId2" Type="http://schemas.microsoft.com/office/2011/relationships/chartColorStyle" Target="chart/colors14.xml" /><Relationship Id="rId3" Type="http://schemas.microsoft.com/office/2011/relationships/chartStyle" Target="chart/style14.xml" /></Relationships>
</file>

<file path=word/charts/_rels/chart2.xml.rels><?xml version="1.0" encoding="utf-8" standalone="yes"?><Relationships xmlns="http://schemas.openxmlformats.org/package/2006/relationships"><Relationship Id="rId1" Type="http://schemas.openxmlformats.org/officeDocument/2006/relationships/package" Target="../embeddings/Microsoft_Excel_Worksheet2.xlsx" /><Relationship Id="rId2" Type="http://schemas.microsoft.com/office/2011/relationships/chartColorStyle" Target="chart/colors2.xml" /><Relationship Id="rId3"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package" Target="../embeddings/Microsoft_Excel_Worksheet3.xlsx" /><Relationship Id="rId2" Type="http://schemas.microsoft.com/office/2011/relationships/chartColorStyle" Target="chart/colors3.xml" /><Relationship Id="rId3"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Users\indra\Documents\Indras%20darbi\Aizkraukles%20novads%202026.xlsx" TargetMode="External" /><Relationship Id="rId2" Type="http://schemas.microsoft.com/office/2011/relationships/chartColorStyle" Target="chart/colors4.xml" /><Relationship Id="rId3"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file:///C:\Users\indra\Documents\Indras%20darbi\Aizkraukles%20novads%202026.xlsx" TargetMode="External" /><Relationship Id="rId2" Type="http://schemas.microsoft.com/office/2011/relationships/chartColorStyle" Target="chart/colors5.xml" /><Relationship Id="rId3" Type="http://schemas.microsoft.com/office/2011/relationships/chartStyle" Target="chart/style5.xml" /></Relationships>
</file>

<file path=word/charts/_rels/chart6.xml.rels><?xml version="1.0" encoding="utf-8" standalone="yes"?><Relationships xmlns="http://schemas.openxmlformats.org/package/2006/relationships"><Relationship Id="rId1" Type="http://schemas.openxmlformats.org/officeDocument/2006/relationships/oleObject" Target="file:///C:\Users\indra\Documents\Indras%20darbi\Aizkraukles%20novads%202026.xlsx" TargetMode="External" /><Relationship Id="rId2" Type="http://schemas.microsoft.com/office/2011/relationships/chartColorStyle" Target="chart/colors6.xml" /><Relationship Id="rId3" Type="http://schemas.microsoft.com/office/2011/relationships/chartStyle" Target="chart/style6.xml" /></Relationships>
</file>

<file path=word/charts/_rels/chart7.xml.rels><?xml version="1.0" encoding="utf-8" standalone="yes"?><Relationships xmlns="http://schemas.openxmlformats.org/package/2006/relationships"><Relationship Id="rId1" Type="http://schemas.openxmlformats.org/officeDocument/2006/relationships/oleObject" Target="file:///C:\Users\indra\Documents\Indras%20darbi\Aizkraukles%20novads%202026.xlsx" TargetMode="External" /><Relationship Id="rId2" Type="http://schemas.microsoft.com/office/2011/relationships/chartColorStyle" Target="chart/colors7.xml" /><Relationship Id="rId3" Type="http://schemas.microsoft.com/office/2011/relationships/chartStyle" Target="chart/style7.xml" /></Relationships>
</file>

<file path=word/charts/_rels/chart8.xml.rels><?xml version="1.0" encoding="utf-8" standalone="yes"?><Relationships xmlns="http://schemas.openxmlformats.org/package/2006/relationships"><Relationship Id="rId1" Type="http://schemas.openxmlformats.org/officeDocument/2006/relationships/oleObject" Target="file:///C:\Users\indra\Documents\Indras%20darbi\Aizkraukles%20novads%202026.xlsx" TargetMode="External" /><Relationship Id="rId2" Type="http://schemas.microsoft.com/office/2011/relationships/chartColorStyle" Target="chart/colors8.xml" /><Relationship Id="rId3" Type="http://schemas.microsoft.com/office/2011/relationships/chartStyle" Target="chart/style8.xml" /></Relationships>
</file>

<file path=word/charts/_rels/chart9.xml.rels><?xml version="1.0" encoding="utf-8" standalone="yes"?><Relationships xmlns="http://schemas.openxmlformats.org/package/2006/relationships"><Relationship Id="rId1" Type="http://schemas.openxmlformats.org/officeDocument/2006/relationships/oleObject" Target="file:///C:\Users\anta.teivane\Downloads\kulturas_atskaite_2025%20(1).xlsx" TargetMode="External" /><Relationship Id="rId2" Type="http://schemas.microsoft.com/office/2011/relationships/chartColorStyle" Target="chart/colors9.xml" /><Relationship Id="rId3" Type="http://schemas.microsoft.com/office/2011/relationships/chartStyle" Target="chart/style9.xml" /></Relationships>
</file>

<file path=word/charts/chart/colors1.xml><?xml version="1.0" encoding="utf-8"?>
<cs:colorStyle xmlns:cs="http://schemas.microsoft.com/office/drawing/2012/chartStyle" xmlns:a="http://schemas.openxmlformats.org/drawingml/2006/main" meth="withinLinear" id="14">
  <a:schemeClr val="accent1"/>
</cs:colorStyle>
</file>

<file path=word/charts/chart/colors10.xml><?xml version="1.0" encoding="utf-8"?>
<cs:colorStyle xmlns:cs="http://schemas.microsoft.com/office/drawing/2012/chartStyle" xmlns:a="http://schemas.openxmlformats.org/drawingml/2006/main" meth="withinLinearReversed" id="21">
  <a:schemeClr val="accent1"/>
</cs:colorStyle>
</file>

<file path=word/charts/chart/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3.xml><?xml version="1.0" encoding="utf-8"?>
<cs:colorStyle xmlns:cs="http://schemas.microsoft.com/office/drawing/2012/chartStyle" xmlns:a="http://schemas.openxmlformats.org/drawingml/2006/main" meth="withinLinear" id="14">
  <a:schemeClr val="accent1"/>
</cs:colorStyle>
</file>

<file path=word/charts/chart/colors14.xml><?xml version="1.0" encoding="utf-8"?>
<cs:colorStyle xmlns:cs="http://schemas.microsoft.com/office/drawing/2012/chartStyle" xmlns:a="http://schemas.openxmlformats.org/drawingml/2006/main" meth="withinLinear" id="14">
  <a:schemeClr val="accent1"/>
</cs:colorStyle>
</file>

<file path=word/charts/chart/colors2.xml><?xml version="1.0" encoding="utf-8"?>
<cs:colorStyle xmlns:cs="http://schemas.microsoft.com/office/drawing/2012/chartStyle" xmlns:a="http://schemas.openxmlformats.org/drawingml/2006/main" meth="withinLinear" id="14">
  <a:schemeClr val="accent1"/>
</cs:colorStyle>
</file>

<file path=word/charts/chart/colors3.xml><?xml version="1.0" encoding="utf-8"?>
<cs:colorStyle xmlns:cs="http://schemas.microsoft.com/office/drawing/2012/chartStyle" xmlns:a="http://schemas.openxmlformats.org/drawingml/2006/main" meth="withinLinear" id="14">
  <a:schemeClr val="accent1"/>
</cs:colorStyle>
</file>

<file path=word/charts/chart/colors4.xml><?xml version="1.0" encoding="utf-8"?>
<cs:colorStyle xmlns:cs="http://schemas.microsoft.com/office/drawing/2012/chartStyle" xmlns:a="http://schemas.openxmlformats.org/drawingml/2006/main" meth="withinLinear" id="14">
  <a:schemeClr val="accent1"/>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9.xml><?xml version="1.0" encoding="utf-8"?>
<cs:colorStyle xmlns:cs="http://schemas.microsoft.com/office/drawing/2012/chartStyle" xmlns:a="http://schemas.openxmlformats.org/drawingml/2006/main" meth="withinLinearReversed" id="21">
  <a:schemeClr val="accent1"/>
</cs:colorStyle>
</file>

<file path=word/charts/chart/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rotWithShape="1">
        <a:gsLst>
          <a:gs pos="0">
            <a:schemeClr val="lt1"/>
          </a:gs>
          <a:gs pos="39000">
            <a:schemeClr val="lt1"/>
          </a:gs>
          <a:gs pos="100000">
            <a:schemeClr val="lt1">
              <a:lumMod val="75000"/>
            </a:schemeClr>
          </a:gs>
        </a:gsLst>
        <a:path path="circle">
          <a:fillToRect l="50000" t="-80000" r="50000" b="180000"/>
        </a:path>
      </a:gradFill>
      <a:ln w="9525">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sx="100000" sy="100000" kx="0" ky="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sx="100000" sy="100000" kx="0" ky="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dist="0" dir="0" sx="102000" sy="102000" kx="0" ky="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dist="0" dir="0" sx="102000" sy="102000" kx="0" ky="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rotWithShape="1">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chart/style10.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w="9525">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chart/style1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Lapa1!$B$1</c:f>
              <c:strCache>
                <c:ptCount val="1"/>
                <c:pt idx="0">
                  <c:v>Kolonna2</c:v>
                </c:pt>
              </c:strCache>
            </c:strRef>
          </c:tx>
          <c:dPt>
            <c:idx val="0"/>
            <c:bubble3D val="0"/>
            <c:spPr>
              <a:solidFill>
                <a:schemeClr val="accent1">
                  <a:shade val="45000"/>
                </a:schemeClr>
              </a:solidFill>
              <a:ln>
                <a:noFill/>
              </a:ln>
              <a:effectLst>
                <a:outerShdw blurRad="254000" dist="0" dir="0" sx="102000" sy="102000" kx="0" ky="0" algn="ctr" rotWithShape="0">
                  <a:prstClr val="black">
                    <a:alpha val="20000"/>
                  </a:prstClr>
                </a:outerShdw>
              </a:effectLst>
            </c:spPr>
            <c:extLst>
              <c:ext xmlns:c16="http://schemas.microsoft.com/office/drawing/2014/chart" uri="{C3380CC4-5D6E-409C-BE32-E72D297353CC}">
                <c16:uniqueId val="{00000001-DF89-4D07-816C-C02170AAA225}"/>
              </c:ext>
            </c:extLst>
          </c:dPt>
          <c:dPt>
            <c:idx val="1"/>
            <c:bubble3D val="0"/>
            <c:spPr>
              <a:solidFill>
                <a:schemeClr val="accent1">
                  <a:shade val="61000"/>
                </a:schemeClr>
              </a:solidFill>
              <a:ln>
                <a:noFill/>
              </a:ln>
              <a:effectLst>
                <a:outerShdw blurRad="254000" dist="0" dir="0" sx="102000" sy="102000" kx="0" ky="0" algn="ctr" rotWithShape="0">
                  <a:prstClr val="black">
                    <a:alpha val="20000"/>
                  </a:prstClr>
                </a:outerShdw>
              </a:effectLst>
            </c:spPr>
            <c:extLst>
              <c:ext xmlns:c16="http://schemas.microsoft.com/office/drawing/2014/chart" uri="{C3380CC4-5D6E-409C-BE32-E72D297353CC}">
                <c16:uniqueId val="{00000003-DF89-4D07-816C-C02170AAA225}"/>
              </c:ext>
            </c:extLst>
          </c:dPt>
          <c:dPt>
            <c:idx val="2"/>
            <c:bubble3D val="0"/>
            <c:spPr>
              <a:solidFill>
                <a:schemeClr val="accent1">
                  <a:shade val="76000"/>
                </a:schemeClr>
              </a:solidFill>
              <a:ln>
                <a:noFill/>
              </a:ln>
              <a:effectLst>
                <a:outerShdw blurRad="254000" dist="0" dir="0" sx="102000" sy="102000" kx="0" ky="0" algn="ctr" rotWithShape="0">
                  <a:prstClr val="black">
                    <a:alpha val="20000"/>
                  </a:prstClr>
                </a:outerShdw>
              </a:effectLst>
            </c:spPr>
            <c:extLst>
              <c:ext xmlns:c16="http://schemas.microsoft.com/office/drawing/2014/chart" uri="{C3380CC4-5D6E-409C-BE32-E72D297353CC}">
                <c16:uniqueId val="{00000005-DF89-4D07-816C-C02170AAA225}"/>
              </c:ext>
            </c:extLst>
          </c:dPt>
          <c:dPt>
            <c:idx val="3"/>
            <c:bubble3D val="0"/>
            <c:spPr>
              <a:solidFill>
                <a:schemeClr val="accent1">
                  <a:shade val="92000"/>
                </a:schemeClr>
              </a:solidFill>
              <a:ln>
                <a:noFill/>
              </a:ln>
              <a:effectLst>
                <a:outerShdw blurRad="254000" dist="0" dir="0" sx="102000" sy="102000" kx="0" ky="0" algn="ctr" rotWithShape="0">
                  <a:prstClr val="black">
                    <a:alpha val="20000"/>
                  </a:prstClr>
                </a:outerShdw>
              </a:effectLst>
            </c:spPr>
            <c:extLst>
              <c:ext xmlns:c16="http://schemas.microsoft.com/office/drawing/2014/chart" uri="{C3380CC4-5D6E-409C-BE32-E72D297353CC}">
                <c16:uniqueId val="{00000007-DF89-4D07-816C-C02170AAA225}"/>
              </c:ext>
            </c:extLst>
          </c:dPt>
          <c:dPt>
            <c:idx val="4"/>
            <c:bubble3D val="0"/>
            <c:spPr>
              <a:solidFill>
                <a:schemeClr val="accent1">
                  <a:tint val="93000"/>
                </a:schemeClr>
              </a:solidFill>
              <a:ln>
                <a:noFill/>
              </a:ln>
              <a:effectLst>
                <a:outerShdw blurRad="254000" dist="0" dir="0" sx="102000" sy="102000" kx="0" ky="0" algn="ctr" rotWithShape="0">
                  <a:prstClr val="black">
                    <a:alpha val="20000"/>
                  </a:prstClr>
                </a:outerShdw>
              </a:effectLst>
            </c:spPr>
            <c:extLst>
              <c:ext xmlns:c16="http://schemas.microsoft.com/office/drawing/2014/chart" uri="{C3380CC4-5D6E-409C-BE32-E72D297353CC}">
                <c16:uniqueId val="{00000009-DF89-4D07-816C-C02170AAA225}"/>
              </c:ext>
            </c:extLst>
          </c:dPt>
          <c:dPt>
            <c:idx val="5"/>
            <c:bubble3D val="0"/>
            <c:spPr>
              <a:solidFill>
                <a:schemeClr val="accent1">
                  <a:tint val="77000"/>
                </a:schemeClr>
              </a:solidFill>
              <a:ln>
                <a:noFill/>
              </a:ln>
              <a:effectLst>
                <a:outerShdw blurRad="254000" dist="0" dir="0" sx="102000" sy="102000" kx="0" ky="0" algn="ctr" rotWithShape="0">
                  <a:prstClr val="black">
                    <a:alpha val="20000"/>
                  </a:prstClr>
                </a:outerShdw>
              </a:effectLst>
            </c:spPr>
            <c:extLst>
              <c:ext xmlns:c16="http://schemas.microsoft.com/office/drawing/2014/chart" uri="{C3380CC4-5D6E-409C-BE32-E72D297353CC}">
                <c16:uniqueId val="{0000000B-DF89-4D07-816C-C02170AAA225}"/>
              </c:ext>
            </c:extLst>
          </c:dPt>
          <c:dPt>
            <c:idx val="6"/>
            <c:bubble3D val="0"/>
            <c:spPr>
              <a:solidFill>
                <a:schemeClr val="accent1">
                  <a:tint val="62000"/>
                </a:schemeClr>
              </a:solidFill>
              <a:ln>
                <a:noFill/>
              </a:ln>
              <a:effectLst>
                <a:outerShdw blurRad="254000" dist="0" dir="0" sx="102000" sy="102000" kx="0" ky="0" algn="ctr" rotWithShape="0">
                  <a:prstClr val="black">
                    <a:alpha val="20000"/>
                  </a:prstClr>
                </a:outerShdw>
              </a:effectLst>
            </c:spPr>
            <c:extLst>
              <c:ext xmlns:c16="http://schemas.microsoft.com/office/drawing/2014/chart" uri="{C3380CC4-5D6E-409C-BE32-E72D297353CC}">
                <c16:uniqueId val="{0000000D-DF89-4D07-816C-C02170AAA225}"/>
              </c:ext>
            </c:extLst>
          </c:dPt>
          <c:dPt>
            <c:idx val="7"/>
            <c:bubble3D val="0"/>
            <c:spPr>
              <a:solidFill>
                <a:schemeClr val="accent1">
                  <a:tint val="46000"/>
                </a:schemeClr>
              </a:solidFill>
              <a:ln>
                <a:noFill/>
              </a:ln>
              <a:effectLst>
                <a:outerShdw blurRad="254000" dist="0" dir="0" sx="102000" sy="102000" kx="0" ky="0" algn="ctr" rotWithShape="0">
                  <a:prstClr val="black">
                    <a:alpha val="20000"/>
                  </a:prstClr>
                </a:outerShdw>
              </a:effectLst>
            </c:spPr>
            <c:extLst>
              <c:ext xmlns:c16="http://schemas.microsoft.com/office/drawing/2014/chart" uri="{C3380CC4-5D6E-409C-BE32-E72D297353CC}">
                <c16:uniqueId val="{0000000F-DF89-4D07-816C-C02170AAA22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sx="100000" sy="100000" kx="0" ky="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Lapa1!$A$2:$A$9</c:f>
              <c:strCache>
                <c:ptCount val="8"/>
                <c:pt idx="0">
                  <c:v>Lauksaimniecībā izmantojamā zeme</c:v>
                </c:pt>
                <c:pt idx="1">
                  <c:v>Mežs</c:v>
                </c:pt>
                <c:pt idx="2">
                  <c:v>Krūmājs</c:v>
                </c:pt>
                <c:pt idx="3">
                  <c:v>Purvs</c:v>
                </c:pt>
                <c:pt idx="4">
                  <c:v>Ūdens objektu zeme</c:v>
                </c:pt>
                <c:pt idx="5">
                  <c:v>Zeme zem ēkām un pagalmiem</c:v>
                </c:pt>
                <c:pt idx="6">
                  <c:v>Zeme zem ceļiem</c:v>
                </c:pt>
                <c:pt idx="7">
                  <c:v>Pārējās zemes</c:v>
                </c:pt>
              </c:strCache>
            </c:strRef>
          </c:cat>
          <c:val>
            <c:numRef>
              <c:f>Lapa1!$B$2:$B$9</c:f>
              <c:numCache>
                <c:formatCode>General</c:formatCode>
                <c:ptCount val="8"/>
                <c:pt idx="0">
                  <c:v>65153</c:v>
                </c:pt>
                <c:pt idx="1">
                  <c:v>130402</c:v>
                </c:pt>
                <c:pt idx="2">
                  <c:v>3566</c:v>
                </c:pt>
                <c:pt idx="3">
                  <c:v>4284</c:v>
                </c:pt>
                <c:pt idx="4">
                  <c:v>9294</c:v>
                </c:pt>
                <c:pt idx="5">
                  <c:v>2967</c:v>
                </c:pt>
                <c:pt idx="6">
                  <c:v>4707</c:v>
                </c:pt>
                <c:pt idx="7">
                  <c:v>6643</c:v>
                </c:pt>
              </c:numCache>
            </c:numRef>
          </c:val>
          <c:extLst>
            <c:ext xmlns:c16="http://schemas.microsoft.com/office/drawing/2014/chart" uri="{C3380CC4-5D6E-409C-BE32-E72D297353CC}">
              <c16:uniqueId val="{00000000-B641-423A-9CA2-BAB7D6EA9BB7}"/>
            </c:ext>
          </c:extLst>
        </c:ser>
        <c:dLbls>
          <c:dLblPos val="ctr"/>
          <c:showLegendKey val="0"/>
          <c:showVal val="1"/>
          <c:showCatName val="1"/>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noFill/>
    <a:ln w="9525">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lv-LV" sz="1400"/>
              <a:t>Kultūras pasākumu skaits 2025</a:t>
            </a:r>
            <a:endParaRPr lang="en-US" sz="1400"/>
          </a:p>
        </c:rich>
      </c:tx>
      <c:layout>
        <c:manualLayout>
          <c:xMode val="edge"/>
          <c:yMode val="edge"/>
          <c:x val="0.24698622047244095"/>
          <c:y val="0.027777777777777776"/>
        </c:manualLayout>
      </c:layout>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Kopsavilkums!$C$3</c:f>
              <c:strCache>
                <c:ptCount val="1"/>
                <c:pt idx="0">
                  <c:v>Norises
pavisam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Kopsavilkums!$B$4:$B$16</c:f>
              <c:strCache>
                <c:ptCount val="13"/>
                <c:pt idx="0">
                  <c:v>Aizkraukles kultūras centrs</c:v>
                </c:pt>
                <c:pt idx="1">
                  <c:v>Kultūras pārvalde</c:v>
                </c:pt>
                <c:pt idx="2">
                  <c:v>Daudzevas saieta nams</c:v>
                </c:pt>
                <c:pt idx="3">
                  <c:v>Jaunjelgavas kultūras centrs</c:v>
                </c:pt>
                <c:pt idx="4">
                  <c:v>Kokneses kultūras centrs</c:v>
                </c:pt>
                <c:pt idx="5">
                  <c:v>Mazzalves saieta nams</c:v>
                </c:pt>
                <c:pt idx="6">
                  <c:v>Neretas kultūras centrs</c:v>
                </c:pt>
                <c:pt idx="7">
                  <c:v>Pļaviņu kultūras centrs</c:v>
                </c:pt>
                <c:pt idx="8">
                  <c:v>Seces kultūras nams</c:v>
                </c:pt>
                <c:pt idx="9">
                  <c:v>Sērenes tautas nams</c:v>
                </c:pt>
                <c:pt idx="10">
                  <c:v>Skrīveru kultūras centrs</c:v>
                </c:pt>
                <c:pt idx="11">
                  <c:v>Staburaga saieta nams</c:v>
                </c:pt>
                <c:pt idx="12">
                  <c:v>Sunākstes pagasta Saieta nams "Saulrieši"</c:v>
                </c:pt>
              </c:strCache>
            </c:strRef>
          </c:cat>
          <c:val>
            <c:numRef>
              <c:f>Kopsavilkums!$C$4:$C$16</c:f>
              <c:numCache>
                <c:formatCode>General</c:formatCode>
                <c:ptCount val="13"/>
                <c:pt idx="0">
                  <c:v>193</c:v>
                </c:pt>
                <c:pt idx="1">
                  <c:v>56</c:v>
                </c:pt>
                <c:pt idx="2">
                  <c:v>39</c:v>
                </c:pt>
                <c:pt idx="3">
                  <c:v>31</c:v>
                </c:pt>
                <c:pt idx="4">
                  <c:v>85</c:v>
                </c:pt>
                <c:pt idx="5">
                  <c:v>89</c:v>
                </c:pt>
                <c:pt idx="6">
                  <c:v>94</c:v>
                </c:pt>
                <c:pt idx="7">
                  <c:v>87</c:v>
                </c:pt>
                <c:pt idx="8">
                  <c:v>46</c:v>
                </c:pt>
                <c:pt idx="9">
                  <c:v>28</c:v>
                </c:pt>
                <c:pt idx="10">
                  <c:v>87</c:v>
                </c:pt>
                <c:pt idx="11">
                  <c:v>27</c:v>
                </c:pt>
                <c:pt idx="12">
                  <c:v>56</c:v>
                </c:pt>
              </c:numCache>
            </c:numRef>
          </c:val>
          <c:extLst>
            <c:ext xmlns:c16="http://schemas.microsoft.com/office/drawing/2014/chart" uri="{C3380CC4-5D6E-409C-BE32-E72D297353CC}">
              <c16:uniqueId val="{00000000-59C0-4F10-A313-1FD72CB9C044}"/>
            </c:ext>
          </c:extLst>
        </c:ser>
        <c:dLbls>
          <c:dLblPos val="outEnd"/>
          <c:showLegendKey val="0"/>
          <c:showVal val="1"/>
          <c:showCatName val="0"/>
          <c:showSerName val="0"/>
          <c:showPercent val="0"/>
          <c:showBubbleSize val="0"/>
        </c:dLbls>
        <c:gapWidth val="199"/>
        <c:axId val="1504114623"/>
        <c:axId val="1504126623"/>
      </c:barChart>
      <c:catAx>
        <c:axId val="1504114623"/>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v-LV"/>
          </a:p>
        </c:txPr>
        <c:crossAx val="1504126623"/>
        <c:crosses val="autoZero"/>
        <c:auto val="1"/>
        <c:lblAlgn val="ctr"/>
        <c:lblOffset val="100"/>
        <c:noMultiLvlLbl val="0"/>
      </c:catAx>
      <c:valAx>
        <c:axId val="1504126623"/>
        <c:scaling>
          <c:orientation val="minMax"/>
        </c:scaling>
        <c:delete val="0"/>
        <c:axPos val="l"/>
        <c:majorGridlines>
          <c:spPr>
            <a:ln w="9525">
              <a:solidFill>
                <a:schemeClr val="tx1">
                  <a:lumMod val="15000"/>
                  <a:lumOff val="85000"/>
                </a:schemeClr>
              </a:solidFill>
              <a:round/>
            </a:ln>
            <a:effectLst/>
          </c:spPr>
        </c:majorGridlines>
        <c:minorGridlines>
          <c:spPr>
            <a:ln w="9525">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04114623"/>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pivotSource>
    <c:name>[Darbgrāmata1]Lapa3!Rakurstabula5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a:t>
            </a:r>
            <a:r>
              <a:rPr lang="lv-LV"/>
              <a:t>lātienes</a:t>
            </a:r>
            <a:r>
              <a:rPr lang="lv-LV" baseline="0"/>
              <a:t> apmeklējums bibliotēkās 2025</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08730584157749513"/>
          <c:y val="0.12708062418725619"/>
          <c:w val="0.75126943266707047"/>
          <c:h val="0.59002462549788559"/>
        </c:manualLayout>
      </c:layout>
      <c:barChart>
        <c:barDir val="col"/>
        <c:grouping val="clustered"/>
        <c:varyColors val="0"/>
        <c:ser>
          <c:idx val="0"/>
          <c:order val="0"/>
          <c:tx>
            <c:strRef>
              <c:f>Lapa3!$B$1</c:f>
              <c:strCache>
                <c:ptCount val="1"/>
                <c:pt idx="0">
                  <c:v>Kopsumma</c:v>
                </c:pt>
              </c:strCache>
            </c:strRef>
          </c:tx>
          <c:spPr>
            <a:solidFill>
              <a:schemeClr val="accent1"/>
            </a:solidFill>
            <a:ln>
              <a:noFill/>
            </a:ln>
            <a:effectLst/>
          </c:spPr>
          <c:invertIfNegative val="0"/>
          <c:dLbls>
            <c:dLbl>
              <c:idx val="2"/>
              <c:layout>
                <c:manualLayout>
                  <c:x val="-0.0021367521367521565"/>
                  <c:y val="-0.04226267880364108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B9-417F-8DD5-0F7F5B4E54BE}"/>
                </c:ext>
              </c:extLst>
            </c:dLbl>
            <c:dLbl>
              <c:idx val="10"/>
              <c:layout>
                <c:manualLayout>
                  <c:x val="0"/>
                  <c:y val="-0.03901170351105331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B9-417F-8DD5-0F7F5B4E54BE}"/>
                </c:ext>
              </c:extLst>
            </c:dLbl>
            <c:dLbl>
              <c:idx val="12"/>
              <c:layout>
                <c:manualLayout>
                  <c:x val="0"/>
                  <c:y val="-0.02925877763328998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B9-417F-8DD5-0F7F5B4E54BE}"/>
                </c:ext>
              </c:extLst>
            </c:dLbl>
            <c:dLbl>
              <c:idx val="20"/>
              <c:layout>
                <c:manualLayout>
                  <c:x val="-0.010086293847360752"/>
                  <c:y val="-0.055856880401919121"/>
                </c:manualLayout>
              </c:layout>
              <c:spPr>
                <a:noFill/>
                <a:ln>
                  <a:noFill/>
                </a:ln>
                <a:effectLst/>
              </c:spPr>
              <c:txPr>
                <a:bodyPr rot="0" spcFirstLastPara="1" vertOverflow="ellipsis" vert="horz" wrap="square" lIns="38100" tIns="19050" rIns="38100" bIns="19050" anchor="ctr" anchorCtr="1"/>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layout>
                    <c:manualLayout>
                      <c:w val="0.096518154887705043"/>
                      <c:h val="0.070999595366570231"/>
                    </c:manualLayout>
                  </c15:layout>
                </c:ext>
                <c:ext xmlns:c16="http://schemas.microsoft.com/office/drawing/2014/chart" uri="{C3380CC4-5D6E-409C-BE32-E72D297353CC}">
                  <c16:uniqueId val="{00000003-DAB9-417F-8DD5-0F7F5B4E54B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Lapa3!$A$2:$A$25</c:f>
              <c:strCache>
                <c:ptCount val="23"/>
                <c:pt idx="0">
                  <c:v>Aizkraukle</c:v>
                </c:pt>
                <c:pt idx="1">
                  <c:v>Aizkraukles pagasts</c:v>
                </c:pt>
                <c:pt idx="2">
                  <c:v>Bebri</c:v>
                </c:pt>
                <c:pt idx="3">
                  <c:v>Daudzese</c:v>
                </c:pt>
                <c:pt idx="4">
                  <c:v>Gostiņi</c:v>
                </c:pt>
                <c:pt idx="5">
                  <c:v>Irši</c:v>
                </c:pt>
                <c:pt idx="6">
                  <c:v>Jaunjelgava</c:v>
                </c:pt>
                <c:pt idx="7">
                  <c:v>Klintaine</c:v>
                </c:pt>
                <c:pt idx="8">
                  <c:v>Koknese</c:v>
                </c:pt>
                <c:pt idx="9">
                  <c:v>Mazzalve</c:v>
                </c:pt>
                <c:pt idx="10">
                  <c:v>Nereta</c:v>
                </c:pt>
                <c:pt idx="11">
                  <c:v>Neretas bērnu</c:v>
                </c:pt>
                <c:pt idx="12">
                  <c:v>Pilskalne</c:v>
                </c:pt>
                <c:pt idx="13">
                  <c:v>Pļaviņas</c:v>
                </c:pt>
                <c:pt idx="14">
                  <c:v>Sece</c:v>
                </c:pt>
                <c:pt idx="15">
                  <c:v>Sērene</c:v>
                </c:pt>
                <c:pt idx="16">
                  <c:v>Skrīveri</c:v>
                </c:pt>
                <c:pt idx="17">
                  <c:v>Skrīveru bērnu</c:v>
                </c:pt>
                <c:pt idx="18">
                  <c:v>Sproģi</c:v>
                </c:pt>
                <c:pt idx="19">
                  <c:v>Staburags</c:v>
                </c:pt>
                <c:pt idx="20">
                  <c:v>Sunākste</c:v>
                </c:pt>
                <c:pt idx="21">
                  <c:v>Vietalva</c:v>
                </c:pt>
                <c:pt idx="22">
                  <c:v>Zalve</c:v>
                </c:pt>
              </c:strCache>
            </c:strRef>
          </c:cat>
          <c:val>
            <c:numRef>
              <c:f>Lapa3!$B$2:$B$25</c:f>
              <c:numCache>
                <c:formatCode>General</c:formatCode>
                <c:ptCount val="23"/>
                <c:pt idx="0">
                  <c:v>18516</c:v>
                </c:pt>
                <c:pt idx="1">
                  <c:v>1858</c:v>
                </c:pt>
                <c:pt idx="2">
                  <c:v>1606</c:v>
                </c:pt>
                <c:pt idx="3">
                  <c:v>1051</c:v>
                </c:pt>
                <c:pt idx="4">
                  <c:v>3028</c:v>
                </c:pt>
                <c:pt idx="5">
                  <c:v>2046</c:v>
                </c:pt>
                <c:pt idx="6">
                  <c:v>7222</c:v>
                </c:pt>
                <c:pt idx="7">
                  <c:v>2677</c:v>
                </c:pt>
                <c:pt idx="8">
                  <c:v>8504</c:v>
                </c:pt>
                <c:pt idx="9">
                  <c:v>3259</c:v>
                </c:pt>
                <c:pt idx="10">
                  <c:v>3115</c:v>
                </c:pt>
                <c:pt idx="11">
                  <c:v>3147</c:v>
                </c:pt>
                <c:pt idx="12">
                  <c:v>3245</c:v>
                </c:pt>
                <c:pt idx="13">
                  <c:v>16376</c:v>
                </c:pt>
                <c:pt idx="14">
                  <c:v>3205</c:v>
                </c:pt>
                <c:pt idx="15">
                  <c:v>1454</c:v>
                </c:pt>
                <c:pt idx="16">
                  <c:v>4608</c:v>
                </c:pt>
                <c:pt idx="17">
                  <c:v>3278</c:v>
                </c:pt>
                <c:pt idx="18">
                  <c:v>1949</c:v>
                </c:pt>
                <c:pt idx="19">
                  <c:v>1182</c:v>
                </c:pt>
                <c:pt idx="20">
                  <c:v>1700</c:v>
                </c:pt>
                <c:pt idx="21">
                  <c:v>3030</c:v>
                </c:pt>
                <c:pt idx="22">
                  <c:v>1980</c:v>
                </c:pt>
              </c:numCache>
            </c:numRef>
          </c:val>
          <c:extLst>
            <c:ext xmlns:c16="http://schemas.microsoft.com/office/drawing/2014/chart" uri="{C3380CC4-5D6E-409C-BE32-E72D297353CC}">
              <c16:uniqueId val="{00000004-DAB9-417F-8DD5-0F7F5B4E54BE}"/>
            </c:ext>
          </c:extLst>
        </c:ser>
        <c:dLbls>
          <c:dLblPos val="outEnd"/>
          <c:showLegendKey val="0"/>
          <c:showVal val="1"/>
          <c:showCatName val="0"/>
          <c:showSerName val="0"/>
          <c:showPercent val="0"/>
          <c:showBubbleSize val="0"/>
        </c:dLbls>
        <c:gapWidth val="219"/>
        <c:overlap val="-27"/>
        <c:axId val="298065919"/>
        <c:axId val="298064479"/>
      </c:barChart>
      <c:catAx>
        <c:axId val="29806591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98064479"/>
        <c:crosses val="autoZero"/>
        <c:auto val="1"/>
        <c:lblAlgn val="ctr"/>
        <c:lblOffset val="100"/>
        <c:noMultiLvlLbl val="0"/>
      </c:catAx>
      <c:valAx>
        <c:axId val="298064479"/>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98065919"/>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extLst>
    <c:ext xmlns:c="http://schemas.openxmlformats.org/drawingml/2006/chart" xmlns:c14="http://schemas.microsoft.com/office/drawing/2007/8/2/chart" uri="{781A3756-C4B2-4CAC-9D66-4F8BD8637D16}">
      <c14:pivotOptions>
        <c14:dropZoneFilter val="1"/>
        <c14:dropZoneCategories val="1"/>
        <c14:dropZoneData val="1"/>
        <c14:dropZonesVisible val="1"/>
      </c14:pivotOptions>
    </c:ext>
    <c:ext xmlns:c="http://schemas.openxmlformats.org/drawingml/2006/char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pivotSource>
    <c:name>[Darbgrāmata1]Lapa3!Rakurstabula5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Izsniegumu</a:t>
            </a:r>
            <a:r>
              <a:rPr lang="lv-LV" baseline="0"/>
              <a:t> skaits bibliotēkās 2025</a:t>
            </a:r>
            <a:endParaRPr lang="lv-LV"/>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0922665135608049"/>
          <c:y val="0.030084395167962949"/>
          <c:w val="0.7305418853893263"/>
          <c:h val="0.58262973623415393"/>
        </c:manualLayout>
      </c:layout>
      <c:barChart>
        <c:barDir val="col"/>
        <c:grouping val="clustered"/>
        <c:varyColors val="0"/>
        <c:ser>
          <c:idx val="0"/>
          <c:order val="0"/>
          <c:tx>
            <c:strRef>
              <c:f>Lapa3!$B$1</c:f>
              <c:strCache>
                <c:ptCount val="1"/>
                <c:pt idx="0">
                  <c:v>Kopsumma</c:v>
                </c:pt>
              </c:strCache>
            </c:strRef>
          </c:tx>
          <c:spPr>
            <a:solidFill>
              <a:schemeClr val="accent1"/>
            </a:solidFill>
            <a:ln>
              <a:noFill/>
            </a:ln>
            <a:effectLst/>
          </c:spPr>
          <c:invertIfNegative val="0"/>
          <c:dLbls>
            <c:dLbl>
              <c:idx val="2"/>
              <c:layout>
                <c:manualLayout>
                  <c:x val="-0.0023148148148148147"/>
                  <c:y val="-0.05295383087870269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61-4BDD-91D5-ED611D6B547D}"/>
                </c:ext>
              </c:extLst>
            </c:dLbl>
            <c:dLbl>
              <c:idx val="10"/>
              <c:layout>
                <c:manualLayout>
                  <c:x val="0.0069444444444444441"/>
                  <c:y val="-0.05626344530862154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61-4BDD-91D5-ED611D6B547D}"/>
                </c:ext>
              </c:extLst>
            </c:dLbl>
            <c:dLbl>
              <c:idx val="11"/>
              <c:layout>
                <c:manualLayout>
                  <c:x val="0.019583843329253364"/>
                  <c:y val="-0.1090973077599859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61-4BDD-91D5-ED611D6B547D}"/>
                </c:ext>
              </c:extLst>
            </c:dLbl>
            <c:dLbl>
              <c:idx val="14"/>
              <c:layout>
                <c:manualLayout>
                  <c:x val="0.00231481481481473"/>
                  <c:y val="-0.02978652986927023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61-4BDD-91D5-ED611D6B547D}"/>
                </c:ext>
              </c:extLst>
            </c:dLbl>
            <c:dLbl>
              <c:idx val="19"/>
              <c:layout>
                <c:manualLayout>
                  <c:x val="-8.4875562720133283E-17"/>
                  <c:y val="-0.04302498758894588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661-4BDD-91D5-ED611D6B547D}"/>
                </c:ext>
              </c:extLst>
            </c:dLbl>
            <c:dLbl>
              <c:idx val="21"/>
              <c:layout>
                <c:manualLayout>
                  <c:x val="-0.0023148148148148147"/>
                  <c:y val="-0.06950190302829732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661-4BDD-91D5-ED611D6B54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Lapa3!$A$2:$A$25</c:f>
              <c:strCache>
                <c:ptCount val="23"/>
                <c:pt idx="0">
                  <c:v>Aizkraukle</c:v>
                </c:pt>
                <c:pt idx="1">
                  <c:v>Aizkraukles pagasts</c:v>
                </c:pt>
                <c:pt idx="2">
                  <c:v>Bebri</c:v>
                </c:pt>
                <c:pt idx="3">
                  <c:v>Daudzese</c:v>
                </c:pt>
                <c:pt idx="4">
                  <c:v>Gostiņi</c:v>
                </c:pt>
                <c:pt idx="5">
                  <c:v>Irši</c:v>
                </c:pt>
                <c:pt idx="6">
                  <c:v>Jaunjelgava</c:v>
                </c:pt>
                <c:pt idx="7">
                  <c:v>Klintaine</c:v>
                </c:pt>
                <c:pt idx="8">
                  <c:v>Koknese</c:v>
                </c:pt>
                <c:pt idx="9">
                  <c:v>Mazzalve</c:v>
                </c:pt>
                <c:pt idx="10">
                  <c:v>Nereta</c:v>
                </c:pt>
                <c:pt idx="11">
                  <c:v>Neretas bērnu</c:v>
                </c:pt>
                <c:pt idx="12">
                  <c:v>Pilskalne</c:v>
                </c:pt>
                <c:pt idx="13">
                  <c:v>Pļaviņas</c:v>
                </c:pt>
                <c:pt idx="14">
                  <c:v>Sece</c:v>
                </c:pt>
                <c:pt idx="15">
                  <c:v>Sērene</c:v>
                </c:pt>
                <c:pt idx="16">
                  <c:v>Skrīveri</c:v>
                </c:pt>
                <c:pt idx="17">
                  <c:v>Skrīveru bērnu</c:v>
                </c:pt>
                <c:pt idx="18">
                  <c:v>Sproģi</c:v>
                </c:pt>
                <c:pt idx="19">
                  <c:v>Staburags</c:v>
                </c:pt>
                <c:pt idx="20">
                  <c:v>Sunākste</c:v>
                </c:pt>
                <c:pt idx="21">
                  <c:v>Vietalva</c:v>
                </c:pt>
                <c:pt idx="22">
                  <c:v>Zalve</c:v>
                </c:pt>
              </c:strCache>
            </c:strRef>
          </c:cat>
          <c:val>
            <c:numRef>
              <c:f>Lapa3!$B$2:$B$25</c:f>
              <c:numCache>
                <c:formatCode>General</c:formatCode>
                <c:ptCount val="23"/>
                <c:pt idx="0">
                  <c:v>18516</c:v>
                </c:pt>
                <c:pt idx="1">
                  <c:v>1858</c:v>
                </c:pt>
                <c:pt idx="2">
                  <c:v>1606</c:v>
                </c:pt>
                <c:pt idx="3">
                  <c:v>1051</c:v>
                </c:pt>
                <c:pt idx="4">
                  <c:v>3028</c:v>
                </c:pt>
                <c:pt idx="5">
                  <c:v>2046</c:v>
                </c:pt>
                <c:pt idx="6">
                  <c:v>7222</c:v>
                </c:pt>
                <c:pt idx="7">
                  <c:v>2677</c:v>
                </c:pt>
                <c:pt idx="8">
                  <c:v>8504</c:v>
                </c:pt>
                <c:pt idx="9">
                  <c:v>3259</c:v>
                </c:pt>
                <c:pt idx="10">
                  <c:v>3115</c:v>
                </c:pt>
                <c:pt idx="11">
                  <c:v>3147</c:v>
                </c:pt>
                <c:pt idx="12">
                  <c:v>3245</c:v>
                </c:pt>
                <c:pt idx="13">
                  <c:v>16376</c:v>
                </c:pt>
                <c:pt idx="14">
                  <c:v>3205</c:v>
                </c:pt>
                <c:pt idx="15">
                  <c:v>1454</c:v>
                </c:pt>
                <c:pt idx="16">
                  <c:v>4608</c:v>
                </c:pt>
                <c:pt idx="17">
                  <c:v>3278</c:v>
                </c:pt>
                <c:pt idx="18">
                  <c:v>1949</c:v>
                </c:pt>
                <c:pt idx="19">
                  <c:v>1182</c:v>
                </c:pt>
                <c:pt idx="20">
                  <c:v>1700</c:v>
                </c:pt>
                <c:pt idx="21">
                  <c:v>3030</c:v>
                </c:pt>
                <c:pt idx="22">
                  <c:v>1980</c:v>
                </c:pt>
              </c:numCache>
            </c:numRef>
          </c:val>
          <c:extLst>
            <c:ext xmlns:c16="http://schemas.microsoft.com/office/drawing/2014/chart" uri="{C3380CC4-5D6E-409C-BE32-E72D297353CC}">
              <c16:uniqueId val="{00000006-B661-4BDD-91D5-ED611D6B547D}"/>
            </c:ext>
          </c:extLst>
        </c:ser>
        <c:dLbls>
          <c:dLblPos val="outEnd"/>
          <c:showLegendKey val="0"/>
          <c:showVal val="1"/>
          <c:showCatName val="0"/>
          <c:showSerName val="0"/>
          <c:showPercent val="0"/>
          <c:showBubbleSize val="0"/>
        </c:dLbls>
        <c:gapWidth val="219"/>
        <c:overlap val="-27"/>
        <c:axId val="298065919"/>
        <c:axId val="298064479"/>
      </c:barChart>
      <c:catAx>
        <c:axId val="29806591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98064479"/>
        <c:crosses val="autoZero"/>
        <c:auto val="1"/>
        <c:lblAlgn val="ctr"/>
        <c:lblOffset val="100"/>
        <c:noMultiLvlLbl val="0"/>
      </c:catAx>
      <c:valAx>
        <c:axId val="298064479"/>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98065919"/>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extLst>
    <c:ext xmlns:c="http://schemas.openxmlformats.org/drawingml/2006/chart" xmlns:c14="http://schemas.microsoft.com/office/drawing/2007/8/2/chart" uri="{781A3756-C4B2-4CAC-9D66-4F8BD8637D16}">
      <c14:pivotOptions>
        <c14:dropZoneFilter val="1"/>
        <c14:dropZoneCategories val="1"/>
        <c14:dropZoneData val="1"/>
        <c14:dropZonesVisible val="1"/>
      </c14:pivotOptions>
    </c:ext>
    <c:ext xmlns:c="http://schemas.openxmlformats.org/drawingml/2006/char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lv-LV" sz="1200" dirty="0">
                <a:solidFill>
                  <a:schemeClr val="accent1">
                    <a:lumMod val="50000"/>
                  </a:schemeClr>
                </a:solidFill>
              </a:rPr>
              <a:t>Aizkraukles novada pašvaldības izdevumi pēc funkcionālajām kategorijām, 2024.-2025.gads, EUR</a:t>
            </a:r>
          </a:p>
        </c:rich>
      </c:tx>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2025.gads</c:v>
                </c:pt>
              </c:strCache>
            </c:strRef>
          </c:tx>
          <c:spPr>
            <a:solidFill>
              <a:schemeClr val="accent1">
                <a:shade val="76000"/>
              </a:schemeClr>
            </a:solidFill>
            <a:ln>
              <a:noFill/>
            </a:ln>
            <a:effectLst/>
          </c:spPr>
          <c:invertIfNegative val="0"/>
          <c:cat>
            <c:strRef>
              <c:f>Lapa1!$A$2:$A$12</c:f>
              <c:strCache>
                <c:ptCount val="10"/>
                <c:pt idx="0">
                  <c:v>Vispārējie valdības dienesti</c:v>
                </c:pt>
                <c:pt idx="1">
                  <c:v>Aizsardzība</c:v>
                </c:pt>
                <c:pt idx="2">
                  <c:v>Sabiedriskā kārtība un drošība</c:v>
                </c:pt>
                <c:pt idx="3">
                  <c:v>Ekonomiskā darbība</c:v>
                </c:pt>
                <c:pt idx="4">
                  <c:v>Vides aizsardzība</c:v>
                </c:pt>
                <c:pt idx="5">
                  <c:v>Teritoriju un mājokļu apsaimniekošana</c:v>
                </c:pt>
                <c:pt idx="6">
                  <c:v>Veselība</c:v>
                </c:pt>
                <c:pt idx="7">
                  <c:v>Atpūta, kultūra, reliģija</c:v>
                </c:pt>
                <c:pt idx="8">
                  <c:v>Izglītība</c:v>
                </c:pt>
                <c:pt idx="9">
                  <c:v>Sociālā aizsardzība</c:v>
                </c:pt>
              </c:strCache>
            </c:strRef>
          </c:cat>
          <c:val>
            <c:numRef>
              <c:f>Lapa1!$B$2:$B$12</c:f>
              <c:numCache>
                <c:formatCode>General</c:formatCode>
                <c:ptCount val="11"/>
                <c:pt idx="0">
                  <c:v>5001167</c:v>
                </c:pt>
                <c:pt idx="1">
                  <c:v>56581</c:v>
                </c:pt>
                <c:pt idx="2">
                  <c:v>439544</c:v>
                </c:pt>
                <c:pt idx="3">
                  <c:v>6768863</c:v>
                </c:pt>
                <c:pt idx="4">
                  <c:v>240353</c:v>
                </c:pt>
                <c:pt idx="5">
                  <c:v>11075007</c:v>
                </c:pt>
                <c:pt idx="6">
                  <c:v>39218</c:v>
                </c:pt>
                <c:pt idx="7">
                  <c:v>5549617</c:v>
                </c:pt>
                <c:pt idx="8">
                  <c:v>27702111</c:v>
                </c:pt>
                <c:pt idx="9">
                  <c:v>9852371</c:v>
                </c:pt>
              </c:numCache>
            </c:numRef>
          </c:val>
          <c:extLst>
            <c:ext xmlns:c16="http://schemas.microsoft.com/office/drawing/2014/chart" uri="{C3380CC4-5D6E-409C-BE32-E72D297353CC}">
              <c16:uniqueId val="{00000000-4B44-4C69-94D5-6056B9360A6C}"/>
            </c:ext>
          </c:extLst>
        </c:ser>
        <c:ser>
          <c:idx val="1"/>
          <c:order val="1"/>
          <c:tx>
            <c:strRef>
              <c:f>Lapa1!$C$1</c:f>
              <c:strCache>
                <c:ptCount val="1"/>
                <c:pt idx="0">
                  <c:v>2024.gads</c:v>
                </c:pt>
              </c:strCache>
            </c:strRef>
          </c:tx>
          <c:spPr>
            <a:solidFill>
              <a:schemeClr val="accent1">
                <a:tint val="77000"/>
              </a:schemeClr>
            </a:solidFill>
            <a:ln>
              <a:noFill/>
            </a:ln>
            <a:effectLst/>
          </c:spPr>
          <c:invertIfNegative val="0"/>
          <c:dLbls>
            <c:dLbl>
              <c:idx val="1"/>
              <c:layout>
                <c:manualLayout>
                  <c:x val="-0.0068143100511073255"/>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44-4C69-94D5-6056B9360A6C}"/>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Lapa1!$A$2:$A$12</c:f>
              <c:strCache>
                <c:ptCount val="10"/>
                <c:pt idx="0">
                  <c:v>Vispārējie valdības dienesti</c:v>
                </c:pt>
                <c:pt idx="1">
                  <c:v>Aizsardzība</c:v>
                </c:pt>
                <c:pt idx="2">
                  <c:v>Sabiedriskā kārtība un drošība</c:v>
                </c:pt>
                <c:pt idx="3">
                  <c:v>Ekonomiskā darbība</c:v>
                </c:pt>
                <c:pt idx="4">
                  <c:v>Vides aizsardzība</c:v>
                </c:pt>
                <c:pt idx="5">
                  <c:v>Teritoriju un mājokļu apsaimniekošana</c:v>
                </c:pt>
                <c:pt idx="6">
                  <c:v>Veselība</c:v>
                </c:pt>
                <c:pt idx="7">
                  <c:v>Atpūta, kultūra, reliģija</c:v>
                </c:pt>
                <c:pt idx="8">
                  <c:v>Izglītība</c:v>
                </c:pt>
                <c:pt idx="9">
                  <c:v>Sociālā aizsardzība</c:v>
                </c:pt>
              </c:strCache>
            </c:strRef>
          </c:cat>
          <c:val>
            <c:numRef>
              <c:f>Lapa1!$C$2:$C$12</c:f>
              <c:numCache>
                <c:formatCode>General</c:formatCode>
                <c:ptCount val="11"/>
                <c:pt idx="0">
                  <c:v>4938207</c:v>
                </c:pt>
                <c:pt idx="1">
                  <c:v>1210</c:v>
                </c:pt>
                <c:pt idx="2">
                  <c:v>394087</c:v>
                </c:pt>
                <c:pt idx="3">
                  <c:v>6742280</c:v>
                </c:pt>
                <c:pt idx="4">
                  <c:v>274870</c:v>
                </c:pt>
                <c:pt idx="5">
                  <c:v>5724632</c:v>
                </c:pt>
                <c:pt idx="6">
                  <c:v>19960</c:v>
                </c:pt>
                <c:pt idx="7">
                  <c:v>5156624</c:v>
                </c:pt>
                <c:pt idx="8">
                  <c:v>25650635</c:v>
                </c:pt>
                <c:pt idx="9">
                  <c:v>8647510</c:v>
                </c:pt>
              </c:numCache>
            </c:numRef>
          </c:val>
          <c:extLst>
            <c:ext xmlns:c16="http://schemas.microsoft.com/office/drawing/2014/chart" uri="{C3380CC4-5D6E-409C-BE32-E72D297353CC}">
              <c16:uniqueId val="{00000002-4B44-4C69-94D5-6056B9360A6C}"/>
            </c:ext>
          </c:extLst>
        </c:ser>
        <c:dLbls>
          <c:showLegendKey val="0"/>
          <c:showVal val="0"/>
          <c:showCatName val="0"/>
          <c:showSerName val="0"/>
          <c:showPercent val="0"/>
          <c:showBubbleSize val="0"/>
        </c:dLbls>
        <c:gapWidth val="219"/>
        <c:overlap val="-27"/>
        <c:axId val="525305151"/>
        <c:axId val="525303711"/>
      </c:barChart>
      <c:catAx>
        <c:axId val="525305151"/>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v-LV"/>
          </a:p>
        </c:txPr>
        <c:crossAx val="525303711"/>
        <c:crosses val="autoZero"/>
        <c:auto val="1"/>
        <c:lblAlgn val="ctr"/>
        <c:lblOffset val="100"/>
        <c:noMultiLvlLbl val="0"/>
      </c:catAx>
      <c:valAx>
        <c:axId val="525303711"/>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v-LV"/>
          </a:p>
        </c:txPr>
        <c:crossAx val="52530515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Saistību apmērs* 2025.-2031.gadam, EUR (dati uz 2025.gada 31.decembri)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stacked"/>
        <c:varyColors val="0"/>
        <c:ser>
          <c:idx val="0"/>
          <c:order val="0"/>
          <c:tx>
            <c:strRef>
              <c:f>Lapa1!$B$1</c:f>
              <c:strCache>
                <c:ptCount val="1"/>
                <c:pt idx="0">
                  <c:v>Saistību apmērs par saņemtajiem aizņēmumiem, EUR</c:v>
                </c:pt>
              </c:strCache>
            </c:strRef>
          </c:tx>
          <c:spPr>
            <a:solidFill>
              <a:schemeClr val="accent1">
                <a:shade val="65000"/>
              </a:schemeClr>
            </a:solidFill>
            <a:ln>
              <a:noFill/>
            </a:ln>
            <a:effectLst/>
          </c:spPr>
          <c:invertIfNegative val="0"/>
          <c:cat>
            <c:numRef>
              <c:f>Lapa1!$A$2:$A$8</c:f>
              <c:numCache>
                <c:formatCode>General</c:formatCode>
                <c:ptCount val="7"/>
                <c:pt idx="0">
                  <c:v>2025</c:v>
                </c:pt>
                <c:pt idx="1">
                  <c:v>2026</c:v>
                </c:pt>
                <c:pt idx="2">
                  <c:v>2027</c:v>
                </c:pt>
                <c:pt idx="3">
                  <c:v>2028</c:v>
                </c:pt>
                <c:pt idx="4">
                  <c:v>2029</c:v>
                </c:pt>
                <c:pt idx="5">
                  <c:v>2030</c:v>
                </c:pt>
                <c:pt idx="6">
                  <c:v>2031</c:v>
                </c:pt>
              </c:numCache>
            </c:numRef>
          </c:cat>
          <c:val>
            <c:numRef>
              <c:f>Lapa1!$B$2:$B$8</c:f>
              <c:numCache>
                <c:formatCode>General</c:formatCode>
                <c:ptCount val="7"/>
                <c:pt idx="0">
                  <c:v>3566996</c:v>
                </c:pt>
                <c:pt idx="1">
                  <c:v>3374108</c:v>
                </c:pt>
                <c:pt idx="2">
                  <c:v>3189701</c:v>
                </c:pt>
                <c:pt idx="3">
                  <c:v>3079810</c:v>
                </c:pt>
                <c:pt idx="4">
                  <c:v>2910248</c:v>
                </c:pt>
                <c:pt idx="5">
                  <c:v>2754509</c:v>
                </c:pt>
                <c:pt idx="6">
                  <c:v>2634719</c:v>
                </c:pt>
              </c:numCache>
            </c:numRef>
          </c:val>
          <c:extLst>
            <c:ext xmlns:c16="http://schemas.microsoft.com/office/drawing/2014/chart" uri="{C3380CC4-5D6E-409C-BE32-E72D297353CC}">
              <c16:uniqueId val="{00000000-6C50-40A2-8B92-846ADFDD0B29}"/>
            </c:ext>
          </c:extLst>
        </c:ser>
        <c:ser>
          <c:idx val="1"/>
          <c:order val="1"/>
          <c:tx>
            <c:strRef>
              <c:f>Lapa1!$C$1</c:f>
              <c:strCache>
                <c:ptCount val="1"/>
                <c:pt idx="0">
                  <c:v>Saistību apmērs par sniegtajiem galvojumiem, EUR</c:v>
                </c:pt>
              </c:strCache>
            </c:strRef>
          </c:tx>
          <c:spPr>
            <a:solidFill>
              <a:schemeClr val="accent1"/>
            </a:solidFill>
            <a:ln>
              <a:noFill/>
            </a:ln>
            <a:effectLst/>
          </c:spPr>
          <c:invertIfNegative val="0"/>
          <c:cat>
            <c:numRef>
              <c:f>Lapa1!$A$2:$A$8</c:f>
              <c:numCache>
                <c:formatCode>General</c:formatCode>
                <c:ptCount val="7"/>
                <c:pt idx="0">
                  <c:v>2025</c:v>
                </c:pt>
                <c:pt idx="1">
                  <c:v>2026</c:v>
                </c:pt>
                <c:pt idx="2">
                  <c:v>2027</c:v>
                </c:pt>
                <c:pt idx="3">
                  <c:v>2028</c:v>
                </c:pt>
                <c:pt idx="4">
                  <c:v>2029</c:v>
                </c:pt>
                <c:pt idx="5">
                  <c:v>2030</c:v>
                </c:pt>
                <c:pt idx="6">
                  <c:v>2031</c:v>
                </c:pt>
              </c:numCache>
            </c:numRef>
          </c:cat>
          <c:val>
            <c:numRef>
              <c:f>Lapa1!$C$2:$C$8</c:f>
              <c:numCache>
                <c:formatCode>General</c:formatCode>
                <c:ptCount val="7"/>
                <c:pt idx="0">
                  <c:v>217906</c:v>
                </c:pt>
                <c:pt idx="1">
                  <c:v>113497</c:v>
                </c:pt>
                <c:pt idx="2">
                  <c:v>85987</c:v>
                </c:pt>
                <c:pt idx="3">
                  <c:v>59578</c:v>
                </c:pt>
                <c:pt idx="4">
                  <c:v>58563</c:v>
                </c:pt>
                <c:pt idx="5">
                  <c:v>57561</c:v>
                </c:pt>
                <c:pt idx="6">
                  <c:v>47722</c:v>
                </c:pt>
              </c:numCache>
            </c:numRef>
          </c:val>
          <c:extLst>
            <c:ext xmlns:c16="http://schemas.microsoft.com/office/drawing/2014/chart" uri="{C3380CC4-5D6E-409C-BE32-E72D297353CC}">
              <c16:uniqueId val="{00000001-6C50-40A2-8B92-846ADFDD0B29}"/>
            </c:ext>
          </c:extLst>
        </c:ser>
        <c:dLbls>
          <c:showLegendKey val="0"/>
          <c:showVal val="0"/>
          <c:showCatName val="0"/>
          <c:showSerName val="0"/>
          <c:showPercent val="0"/>
          <c:showBubbleSize val="0"/>
        </c:dLbls>
        <c:gapWidth val="150"/>
        <c:overlap val="100"/>
        <c:axId val="1986617103"/>
        <c:axId val="1986607023"/>
      </c:barChart>
      <c:lineChart>
        <c:grouping val="standard"/>
        <c:varyColors val="0"/>
        <c:ser>
          <c:idx val="2"/>
          <c:order val="2"/>
          <c:tx>
            <c:strRef>
              <c:f>Lapa1!$D$1</c:f>
              <c:strCache>
                <c:ptCount val="1"/>
                <c:pt idx="0">
                  <c:v>Saistību apjoms % pret pašvaldības ieņēmumiem (bez transfertiem, %</c:v>
                </c:pt>
              </c:strCache>
            </c:strRef>
          </c:tx>
          <c:spPr>
            <a:ln w="28575" cap="rnd">
              <a:solidFill>
                <a:schemeClr val="accent1">
                  <a:tint val="65000"/>
                </a:schemeClr>
              </a:solidFill>
              <a:round/>
            </a:ln>
            <a:effectLst/>
          </c:spPr>
          <c:marker>
            <c:symbol val="none"/>
          </c:marker>
          <c:dLbls>
            <c:dLbl>
              <c:idx val="0"/>
              <c:layout>
                <c:manualLayout>
                  <c:x val="-0.0022637238256932655"/>
                  <c:y val="-0.0289855072463768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50-40A2-8B92-846ADFDD0B29}"/>
                </c:ext>
              </c:extLst>
            </c:dLbl>
            <c:dLbl>
              <c:idx val="1"/>
              <c:layout>
                <c:manualLayout>
                  <c:x val="0"/>
                  <c:y val="-0.028985507246376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50-40A2-8B92-846ADFDD0B29}"/>
                </c:ext>
              </c:extLst>
            </c:dLbl>
            <c:dLbl>
              <c:idx val="2"/>
              <c:layout>
                <c:manualLayout>
                  <c:x val="-0.0022637238256932655"/>
                  <c:y val="-0.028985507246376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50-40A2-8B92-846ADFDD0B29}"/>
                </c:ext>
              </c:extLst>
            </c:dLbl>
            <c:dLbl>
              <c:idx val="3"/>
              <c:layout>
                <c:manualLayout>
                  <c:x val="-0.011318619128466326"/>
                  <c:y val="-0.0450885668276972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50-40A2-8B92-846ADFDD0B29}"/>
                </c:ext>
              </c:extLst>
            </c:dLbl>
            <c:dLbl>
              <c:idx val="4"/>
              <c:layout>
                <c:manualLayout>
                  <c:x val="0"/>
                  <c:y val="-0.0515297906602254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C50-40A2-8B92-846ADFDD0B29}"/>
                </c:ext>
              </c:extLst>
            </c:dLbl>
            <c:dLbl>
              <c:idx val="5"/>
              <c:layout>
                <c:manualLayout>
                  <c:x val="-0.0045274476513865311"/>
                  <c:y val="-0.0386473429951691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50-40A2-8B92-846ADFDD0B29}"/>
                </c:ext>
              </c:extLst>
            </c:dLbl>
            <c:dLbl>
              <c:idx val="6"/>
              <c:layout>
                <c:manualLayout>
                  <c:x val="-0.013582342954159592"/>
                  <c:y val="-0.038647342995169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C50-40A2-8B92-846ADFDD0B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Lapa1!$A$2:$A$8</c:f>
              <c:numCache>
                <c:formatCode>General</c:formatCode>
                <c:ptCount val="7"/>
                <c:pt idx="0">
                  <c:v>2025</c:v>
                </c:pt>
                <c:pt idx="1">
                  <c:v>2026</c:v>
                </c:pt>
                <c:pt idx="2">
                  <c:v>2027</c:v>
                </c:pt>
                <c:pt idx="3">
                  <c:v>2028</c:v>
                </c:pt>
                <c:pt idx="4">
                  <c:v>2029</c:v>
                </c:pt>
                <c:pt idx="5">
                  <c:v>2030</c:v>
                </c:pt>
                <c:pt idx="6">
                  <c:v>2031</c:v>
                </c:pt>
              </c:numCache>
            </c:numRef>
          </c:cat>
          <c:val>
            <c:numRef>
              <c:f>Lapa1!$D$2:$D$8</c:f>
              <c:numCache>
                <c:formatCode>General</c:formatCode>
                <c:ptCount val="7"/>
                <c:pt idx="0">
                  <c:v>9.13</c:v>
                </c:pt>
                <c:pt idx="1">
                  <c:v>8.42</c:v>
                </c:pt>
                <c:pt idx="2">
                  <c:v>7.9</c:v>
                </c:pt>
                <c:pt idx="3">
                  <c:v>7.58</c:v>
                </c:pt>
                <c:pt idx="4">
                  <c:v>7.16</c:v>
                </c:pt>
                <c:pt idx="5">
                  <c:v>6.79</c:v>
                </c:pt>
                <c:pt idx="6">
                  <c:v>6.47</c:v>
                </c:pt>
              </c:numCache>
            </c:numRef>
          </c:val>
          <c:smooth val="0"/>
          <c:extLst>
            <c:ext xmlns:c16="http://schemas.microsoft.com/office/drawing/2014/chart" uri="{C3380CC4-5D6E-409C-BE32-E72D297353CC}">
              <c16:uniqueId val="{00000009-6C50-40A2-8B92-846ADFDD0B29}"/>
            </c:ext>
          </c:extLst>
        </c:ser>
        <c:dLbls>
          <c:showLegendKey val="0"/>
          <c:showVal val="0"/>
          <c:showCatName val="0"/>
          <c:showSerName val="0"/>
          <c:showPercent val="0"/>
          <c:showBubbleSize val="0"/>
        </c:dLbls>
        <c:marker val="1"/>
        <c:smooth val="0"/>
        <c:axId val="463425183"/>
        <c:axId val="463400703"/>
      </c:lineChart>
      <c:catAx>
        <c:axId val="1986617103"/>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86607023"/>
        <c:crosses val="autoZero"/>
        <c:auto val="1"/>
        <c:lblAlgn val="ctr"/>
        <c:lblOffset val="100"/>
        <c:noMultiLvlLbl val="0"/>
      </c:catAx>
      <c:valAx>
        <c:axId val="1986607023"/>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86617103"/>
        <c:crosses val="autoZero"/>
        <c:crossBetween val="between"/>
      </c:valAx>
      <c:valAx>
        <c:axId val="463400703"/>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63425183"/>
        <c:crosses val="max"/>
        <c:crossBetween val="between"/>
      </c:valAx>
      <c:catAx>
        <c:axId val="463425183"/>
        <c:scaling>
          <c:orientation val="minMax"/>
        </c:scaling>
        <c:delete val="1"/>
        <c:axPos val="b"/>
        <c:numFmt formatCode="General" sourceLinked="1"/>
        <c:majorTickMark val="none"/>
        <c:minorTickMark val="none"/>
        <c:tickLblPos val="nextTo"/>
        <c:crossAx val="463400703"/>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Lapa1!$B$1</c:f>
              <c:strCache>
                <c:ptCount val="1"/>
                <c:pt idx="0">
                  <c:v>lauksaimniecībā izmantojamā zeme</c:v>
                </c:pt>
              </c:strCache>
            </c:strRef>
          </c:tx>
          <c:spPr>
            <a:solidFill>
              <a:schemeClr val="accent1">
                <a:shade val="45000"/>
              </a:schemeClr>
            </a:solidFill>
            <a:ln>
              <a:noFill/>
            </a:ln>
            <a:effectLst/>
          </c:spPr>
          <c:invertIfNegative val="0"/>
          <c:cat>
            <c:strRef>
              <c:f>Lapa1!$A$2:$A$7</c:f>
              <c:strCache>
                <c:ptCount val="6"/>
                <c:pt idx="0">
                  <c:v>Aizkraukles novads</c:v>
                </c:pt>
                <c:pt idx="1">
                  <c:v>Jaunjelgavas novads</c:v>
                </c:pt>
                <c:pt idx="2">
                  <c:v>Pļaviņu novads</c:v>
                </c:pt>
                <c:pt idx="3">
                  <c:v>Kokneses novads</c:v>
                </c:pt>
                <c:pt idx="4">
                  <c:v>Neretas novads</c:v>
                </c:pt>
                <c:pt idx="5">
                  <c:v>Skrīveru novads</c:v>
                </c:pt>
              </c:strCache>
            </c:strRef>
          </c:cat>
          <c:val>
            <c:numRef>
              <c:f>Lapa1!$B$2:$B$7</c:f>
              <c:numCache>
                <c:formatCode>General</c:formatCode>
                <c:ptCount val="6"/>
                <c:pt idx="0">
                  <c:v>3383</c:v>
                </c:pt>
                <c:pt idx="1">
                  <c:v>15092</c:v>
                </c:pt>
                <c:pt idx="2">
                  <c:v>11269</c:v>
                </c:pt>
                <c:pt idx="3">
                  <c:v>13296</c:v>
                </c:pt>
                <c:pt idx="4">
                  <c:v>17211</c:v>
                </c:pt>
                <c:pt idx="5">
                  <c:v>4902</c:v>
                </c:pt>
              </c:numCache>
            </c:numRef>
          </c:val>
          <c:extLst>
            <c:ext xmlns:c16="http://schemas.microsoft.com/office/drawing/2014/chart" uri="{C3380CC4-5D6E-409C-BE32-E72D297353CC}">
              <c16:uniqueId val="{00000000-EA5B-4BE7-88C1-0AFBC93CB5B7}"/>
            </c:ext>
          </c:extLst>
        </c:ser>
        <c:ser>
          <c:idx val="1"/>
          <c:order val="1"/>
          <c:tx>
            <c:strRef>
              <c:f>Lapa1!$C$1</c:f>
              <c:strCache>
                <c:ptCount val="1"/>
                <c:pt idx="0">
                  <c:v>mežs</c:v>
                </c:pt>
              </c:strCache>
            </c:strRef>
          </c:tx>
          <c:spPr>
            <a:solidFill>
              <a:schemeClr val="accent1">
                <a:shade val="61000"/>
              </a:schemeClr>
            </a:solidFill>
            <a:ln>
              <a:noFill/>
            </a:ln>
            <a:effectLst/>
          </c:spPr>
          <c:invertIfNegative val="0"/>
          <c:cat>
            <c:strRef>
              <c:f>Lapa1!$A$2:$A$7</c:f>
              <c:strCache>
                <c:ptCount val="6"/>
                <c:pt idx="0">
                  <c:v>Aizkraukles novads</c:v>
                </c:pt>
                <c:pt idx="1">
                  <c:v>Jaunjelgavas novads</c:v>
                </c:pt>
                <c:pt idx="2">
                  <c:v>Pļaviņu novads</c:v>
                </c:pt>
                <c:pt idx="3">
                  <c:v>Kokneses novads</c:v>
                </c:pt>
                <c:pt idx="4">
                  <c:v>Neretas novads</c:v>
                </c:pt>
                <c:pt idx="5">
                  <c:v>Skrīveru novads</c:v>
                </c:pt>
              </c:strCache>
            </c:strRef>
          </c:cat>
          <c:val>
            <c:numRef>
              <c:f>Lapa1!$C$2:$C$7</c:f>
              <c:numCache>
                <c:formatCode>General</c:formatCode>
                <c:ptCount val="6"/>
                <c:pt idx="0">
                  <c:v>3370</c:v>
                </c:pt>
                <c:pt idx="1">
                  <c:v>43855</c:v>
                </c:pt>
                <c:pt idx="2">
                  <c:v>20331</c:v>
                </c:pt>
                <c:pt idx="3">
                  <c:v>17551</c:v>
                </c:pt>
                <c:pt idx="4">
                  <c:v>40945</c:v>
                </c:pt>
                <c:pt idx="5">
                  <c:v>4350</c:v>
                </c:pt>
              </c:numCache>
            </c:numRef>
          </c:val>
          <c:extLst>
            <c:ext xmlns:c16="http://schemas.microsoft.com/office/drawing/2014/chart" uri="{C3380CC4-5D6E-409C-BE32-E72D297353CC}">
              <c16:uniqueId val="{00000001-EA5B-4BE7-88C1-0AFBC93CB5B7}"/>
            </c:ext>
          </c:extLst>
        </c:ser>
        <c:ser>
          <c:idx val="2"/>
          <c:order val="2"/>
          <c:tx>
            <c:strRef>
              <c:f>Lapa1!$D$1</c:f>
              <c:strCache>
                <c:ptCount val="1"/>
                <c:pt idx="0">
                  <c:v>krūmājs</c:v>
                </c:pt>
              </c:strCache>
            </c:strRef>
          </c:tx>
          <c:spPr>
            <a:solidFill>
              <a:schemeClr val="accent1">
                <a:shade val="76000"/>
              </a:schemeClr>
            </a:solidFill>
            <a:ln>
              <a:noFill/>
            </a:ln>
            <a:effectLst/>
          </c:spPr>
          <c:invertIfNegative val="0"/>
          <c:cat>
            <c:strRef>
              <c:f>Lapa1!$A$2:$A$7</c:f>
              <c:strCache>
                <c:ptCount val="6"/>
                <c:pt idx="0">
                  <c:v>Aizkraukles novads</c:v>
                </c:pt>
                <c:pt idx="1">
                  <c:v>Jaunjelgavas novads</c:v>
                </c:pt>
                <c:pt idx="2">
                  <c:v>Pļaviņu novads</c:v>
                </c:pt>
                <c:pt idx="3">
                  <c:v>Kokneses novads</c:v>
                </c:pt>
                <c:pt idx="4">
                  <c:v>Neretas novads</c:v>
                </c:pt>
                <c:pt idx="5">
                  <c:v>Skrīveru novads</c:v>
                </c:pt>
              </c:strCache>
            </c:strRef>
          </c:cat>
          <c:val>
            <c:numRef>
              <c:f>Lapa1!$D$2:$D$7</c:f>
              <c:numCache>
                <c:formatCode>General</c:formatCode>
                <c:ptCount val="6"/>
                <c:pt idx="0">
                  <c:v>110</c:v>
                </c:pt>
                <c:pt idx="1">
                  <c:v>1086</c:v>
                </c:pt>
                <c:pt idx="2">
                  <c:v>694</c:v>
                </c:pt>
                <c:pt idx="3">
                  <c:v>555</c:v>
                </c:pt>
                <c:pt idx="4">
                  <c:v>1017</c:v>
                </c:pt>
                <c:pt idx="5">
                  <c:v>104</c:v>
                </c:pt>
              </c:numCache>
            </c:numRef>
          </c:val>
          <c:extLst>
            <c:ext xmlns:c16="http://schemas.microsoft.com/office/drawing/2014/chart" uri="{C3380CC4-5D6E-409C-BE32-E72D297353CC}">
              <c16:uniqueId val="{00000002-EA5B-4BE7-88C1-0AFBC93CB5B7}"/>
            </c:ext>
          </c:extLst>
        </c:ser>
        <c:ser>
          <c:idx val="3"/>
          <c:order val="3"/>
          <c:tx>
            <c:strRef>
              <c:f>Lapa1!$E$1</c:f>
              <c:strCache>
                <c:ptCount val="1"/>
                <c:pt idx="0">
                  <c:v>purvs</c:v>
                </c:pt>
              </c:strCache>
            </c:strRef>
          </c:tx>
          <c:spPr>
            <a:solidFill>
              <a:schemeClr val="accent1">
                <a:shade val="92000"/>
              </a:schemeClr>
            </a:solidFill>
            <a:ln>
              <a:noFill/>
            </a:ln>
            <a:effectLst/>
          </c:spPr>
          <c:invertIfNegative val="0"/>
          <c:cat>
            <c:strRef>
              <c:f>Lapa1!$A$2:$A$7</c:f>
              <c:strCache>
                <c:ptCount val="6"/>
                <c:pt idx="0">
                  <c:v>Aizkraukles novads</c:v>
                </c:pt>
                <c:pt idx="1">
                  <c:v>Jaunjelgavas novads</c:v>
                </c:pt>
                <c:pt idx="2">
                  <c:v>Pļaviņu novads</c:v>
                </c:pt>
                <c:pt idx="3">
                  <c:v>Kokneses novads</c:v>
                </c:pt>
                <c:pt idx="4">
                  <c:v>Neretas novads</c:v>
                </c:pt>
                <c:pt idx="5">
                  <c:v>Skrīveru novads</c:v>
                </c:pt>
              </c:strCache>
            </c:strRef>
          </c:cat>
          <c:val>
            <c:numRef>
              <c:f>Lapa1!$E$2:$E$7</c:f>
              <c:numCache>
                <c:formatCode>General</c:formatCode>
                <c:ptCount val="6"/>
                <c:pt idx="0">
                  <c:v>974</c:v>
                </c:pt>
                <c:pt idx="1">
                  <c:v>1226</c:v>
                </c:pt>
                <c:pt idx="2">
                  <c:v>472</c:v>
                </c:pt>
                <c:pt idx="3">
                  <c:v>976</c:v>
                </c:pt>
                <c:pt idx="4">
                  <c:v>633</c:v>
                </c:pt>
                <c:pt idx="5">
                  <c:v>3</c:v>
                </c:pt>
              </c:numCache>
            </c:numRef>
          </c:val>
          <c:extLst>
            <c:ext xmlns:c16="http://schemas.microsoft.com/office/drawing/2014/chart" uri="{C3380CC4-5D6E-409C-BE32-E72D297353CC}">
              <c16:uniqueId val="{00000003-EA5B-4BE7-88C1-0AFBC93CB5B7}"/>
            </c:ext>
          </c:extLst>
        </c:ser>
        <c:ser>
          <c:idx val="4"/>
          <c:order val="4"/>
          <c:tx>
            <c:strRef>
              <c:f>Lapa1!$F$1</c:f>
              <c:strCache>
                <c:ptCount val="1"/>
                <c:pt idx="0">
                  <c:v>ūdens objektu zeme</c:v>
                </c:pt>
              </c:strCache>
            </c:strRef>
          </c:tx>
          <c:spPr>
            <a:solidFill>
              <a:schemeClr val="accent1">
                <a:tint val="93000"/>
              </a:schemeClr>
            </a:solidFill>
            <a:ln>
              <a:noFill/>
            </a:ln>
            <a:effectLst/>
          </c:spPr>
          <c:invertIfNegative val="0"/>
          <c:cat>
            <c:strRef>
              <c:f>Lapa1!$A$2:$A$7</c:f>
              <c:strCache>
                <c:ptCount val="6"/>
                <c:pt idx="0">
                  <c:v>Aizkraukles novads</c:v>
                </c:pt>
                <c:pt idx="1">
                  <c:v>Jaunjelgavas novads</c:v>
                </c:pt>
                <c:pt idx="2">
                  <c:v>Pļaviņu novads</c:v>
                </c:pt>
                <c:pt idx="3">
                  <c:v>Kokneses novads</c:v>
                </c:pt>
                <c:pt idx="4">
                  <c:v>Neretas novads</c:v>
                </c:pt>
                <c:pt idx="5">
                  <c:v>Skrīveru novads</c:v>
                </c:pt>
              </c:strCache>
            </c:strRef>
          </c:cat>
          <c:val>
            <c:numRef>
              <c:f>Lapa1!$F$2:$F$7</c:f>
              <c:numCache>
                <c:formatCode>General</c:formatCode>
                <c:ptCount val="6"/>
                <c:pt idx="0">
                  <c:v>919</c:v>
                </c:pt>
                <c:pt idx="1">
                  <c:v>2751</c:v>
                </c:pt>
                <c:pt idx="2">
                  <c:v>1889</c:v>
                </c:pt>
                <c:pt idx="3">
                  <c:v>1614</c:v>
                </c:pt>
                <c:pt idx="4">
                  <c:v>1743</c:v>
                </c:pt>
                <c:pt idx="5">
                  <c:v>378</c:v>
                </c:pt>
              </c:numCache>
            </c:numRef>
          </c:val>
          <c:extLst>
            <c:ext xmlns:c16="http://schemas.microsoft.com/office/drawing/2014/chart" uri="{C3380CC4-5D6E-409C-BE32-E72D297353CC}">
              <c16:uniqueId val="{00000004-EA5B-4BE7-88C1-0AFBC93CB5B7}"/>
            </c:ext>
          </c:extLst>
        </c:ser>
        <c:ser>
          <c:idx val="5"/>
          <c:order val="5"/>
          <c:tx>
            <c:strRef>
              <c:f>Lapa1!$G$1</c:f>
              <c:strCache>
                <c:ptCount val="1"/>
                <c:pt idx="0">
                  <c:v>zeme zem ēkām un pagalmiem</c:v>
                </c:pt>
              </c:strCache>
            </c:strRef>
          </c:tx>
          <c:spPr>
            <a:solidFill>
              <a:schemeClr val="accent1">
                <a:tint val="77000"/>
              </a:schemeClr>
            </a:solidFill>
            <a:ln>
              <a:noFill/>
            </a:ln>
            <a:effectLst/>
          </c:spPr>
          <c:invertIfNegative val="0"/>
          <c:cat>
            <c:strRef>
              <c:f>Lapa1!$A$2:$A$7</c:f>
              <c:strCache>
                <c:ptCount val="6"/>
                <c:pt idx="0">
                  <c:v>Aizkraukles novads</c:v>
                </c:pt>
                <c:pt idx="1">
                  <c:v>Jaunjelgavas novads</c:v>
                </c:pt>
                <c:pt idx="2">
                  <c:v>Pļaviņu novads</c:v>
                </c:pt>
                <c:pt idx="3">
                  <c:v>Kokneses novads</c:v>
                </c:pt>
                <c:pt idx="4">
                  <c:v>Neretas novads</c:v>
                </c:pt>
                <c:pt idx="5">
                  <c:v>Skrīveru novads</c:v>
                </c:pt>
              </c:strCache>
            </c:strRef>
          </c:cat>
          <c:val>
            <c:numRef>
              <c:f>Lapa1!$G$2:$G$7</c:f>
              <c:numCache>
                <c:formatCode>General</c:formatCode>
                <c:ptCount val="6"/>
                <c:pt idx="0">
                  <c:v>405</c:v>
                </c:pt>
                <c:pt idx="1">
                  <c:v>683</c:v>
                </c:pt>
                <c:pt idx="2">
                  <c:v>557</c:v>
                </c:pt>
                <c:pt idx="3">
                  <c:v>527</c:v>
                </c:pt>
                <c:pt idx="4">
                  <c:v>451</c:v>
                </c:pt>
                <c:pt idx="5">
                  <c:v>344</c:v>
                </c:pt>
              </c:numCache>
            </c:numRef>
          </c:val>
          <c:extLst>
            <c:ext xmlns:c16="http://schemas.microsoft.com/office/drawing/2014/chart" uri="{C3380CC4-5D6E-409C-BE32-E72D297353CC}">
              <c16:uniqueId val="{00000005-EA5B-4BE7-88C1-0AFBC93CB5B7}"/>
            </c:ext>
          </c:extLst>
        </c:ser>
        <c:ser>
          <c:idx val="6"/>
          <c:order val="6"/>
          <c:tx>
            <c:strRef>
              <c:f>Lapa1!$H$1</c:f>
              <c:strCache>
                <c:ptCount val="1"/>
                <c:pt idx="0">
                  <c:v>zeme zem ceļiem</c:v>
                </c:pt>
              </c:strCache>
            </c:strRef>
          </c:tx>
          <c:spPr>
            <a:solidFill>
              <a:schemeClr val="accent1">
                <a:tint val="62000"/>
              </a:schemeClr>
            </a:solidFill>
            <a:ln>
              <a:noFill/>
            </a:ln>
            <a:effectLst/>
          </c:spPr>
          <c:invertIfNegative val="0"/>
          <c:cat>
            <c:strRef>
              <c:f>Lapa1!$A$2:$A$7</c:f>
              <c:strCache>
                <c:ptCount val="6"/>
                <c:pt idx="0">
                  <c:v>Aizkraukles novads</c:v>
                </c:pt>
                <c:pt idx="1">
                  <c:v>Jaunjelgavas novads</c:v>
                </c:pt>
                <c:pt idx="2">
                  <c:v>Pļaviņu novads</c:v>
                </c:pt>
                <c:pt idx="3">
                  <c:v>Kokneses novads</c:v>
                </c:pt>
                <c:pt idx="4">
                  <c:v>Neretas novads</c:v>
                </c:pt>
                <c:pt idx="5">
                  <c:v>Skrīveru novads</c:v>
                </c:pt>
              </c:strCache>
            </c:strRef>
          </c:cat>
          <c:val>
            <c:numRef>
              <c:f>Lapa1!$H$2:$H$7</c:f>
              <c:numCache>
                <c:formatCode>General</c:formatCode>
                <c:ptCount val="6"/>
                <c:pt idx="0">
                  <c:v>239</c:v>
                </c:pt>
                <c:pt idx="1">
                  <c:v>1322</c:v>
                </c:pt>
                <c:pt idx="2">
                  <c:v>1026</c:v>
                </c:pt>
                <c:pt idx="3">
                  <c:v>711</c:v>
                </c:pt>
                <c:pt idx="4">
                  <c:v>1099</c:v>
                </c:pt>
                <c:pt idx="5">
                  <c:v>310</c:v>
                </c:pt>
              </c:numCache>
            </c:numRef>
          </c:val>
          <c:extLst>
            <c:ext xmlns:c16="http://schemas.microsoft.com/office/drawing/2014/chart" uri="{C3380CC4-5D6E-409C-BE32-E72D297353CC}">
              <c16:uniqueId val="{00000006-EA5B-4BE7-88C1-0AFBC93CB5B7}"/>
            </c:ext>
          </c:extLst>
        </c:ser>
        <c:ser>
          <c:idx val="7"/>
          <c:order val="7"/>
          <c:tx>
            <c:strRef>
              <c:f>Lapa1!$I$1</c:f>
              <c:strCache>
                <c:ptCount val="1"/>
                <c:pt idx="0">
                  <c:v>pārējās zemes</c:v>
                </c:pt>
              </c:strCache>
            </c:strRef>
          </c:tx>
          <c:spPr>
            <a:solidFill>
              <a:schemeClr val="accent1">
                <a:tint val="46000"/>
              </a:schemeClr>
            </a:solidFill>
            <a:ln>
              <a:noFill/>
            </a:ln>
            <a:effectLst/>
          </c:spPr>
          <c:invertIfNegative val="0"/>
          <c:cat>
            <c:strRef>
              <c:f>Lapa1!$A$2:$A$7</c:f>
              <c:strCache>
                <c:ptCount val="6"/>
                <c:pt idx="0">
                  <c:v>Aizkraukles novads</c:v>
                </c:pt>
                <c:pt idx="1">
                  <c:v>Jaunjelgavas novads</c:v>
                </c:pt>
                <c:pt idx="2">
                  <c:v>Pļaviņu novads</c:v>
                </c:pt>
                <c:pt idx="3">
                  <c:v>Kokneses novads</c:v>
                </c:pt>
                <c:pt idx="4">
                  <c:v>Neretas novads</c:v>
                </c:pt>
                <c:pt idx="5">
                  <c:v>Skrīveru novads</c:v>
                </c:pt>
              </c:strCache>
            </c:strRef>
          </c:cat>
          <c:val>
            <c:numRef>
              <c:f>Lapa1!$I$2:$I$7</c:f>
              <c:numCache>
                <c:formatCode>General</c:formatCode>
                <c:ptCount val="6"/>
                <c:pt idx="0">
                  <c:v>813</c:v>
                </c:pt>
                <c:pt idx="1">
                  <c:v>2355</c:v>
                </c:pt>
                <c:pt idx="2">
                  <c:v>1259</c:v>
                </c:pt>
                <c:pt idx="3">
                  <c:v>810</c:v>
                </c:pt>
                <c:pt idx="4">
                  <c:v>1256</c:v>
                </c:pt>
                <c:pt idx="5">
                  <c:v>150</c:v>
                </c:pt>
              </c:numCache>
            </c:numRef>
          </c:val>
          <c:extLst>
            <c:ext xmlns:c16="http://schemas.microsoft.com/office/drawing/2014/chart" uri="{C3380CC4-5D6E-409C-BE32-E72D297353CC}">
              <c16:uniqueId val="{00000007-EA5B-4BE7-88C1-0AFBC93CB5B7}"/>
            </c:ext>
          </c:extLst>
        </c:ser>
        <c:dLbls>
          <c:showLegendKey val="0"/>
          <c:showVal val="0"/>
          <c:showCatName val="0"/>
          <c:showSerName val="0"/>
          <c:showPercent val="0"/>
          <c:showBubbleSize val="0"/>
        </c:dLbls>
        <c:gapWidth val="219"/>
        <c:overlap val="-27"/>
        <c:axId val="566020528"/>
        <c:axId val="566021488"/>
      </c:barChart>
      <c:catAx>
        <c:axId val="56602052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6021488"/>
        <c:crosses val="autoZero"/>
        <c:auto val="1"/>
        <c:lblAlgn val="ctr"/>
        <c:lblOffset val="100"/>
        <c:noMultiLvlLbl val="0"/>
      </c:catAx>
      <c:valAx>
        <c:axId val="56602148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60205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percentStacked"/>
        <c:varyColors val="0"/>
        <c:ser>
          <c:idx val="0"/>
          <c:order val="0"/>
          <c:tx>
            <c:strRef>
              <c:f>Lapa1!$B$1</c:f>
              <c:strCache>
                <c:ptCount val="1"/>
                <c:pt idx="0">
                  <c:v>Līdz darbspējas vecumam (līdz 14)</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Lapa1!$A$2:$A$10</c:f>
              <c:strCache>
                <c:ptCount val="9"/>
                <c:pt idx="0">
                  <c:v>Aizkraukle un pagasts</c:v>
                </c:pt>
                <c:pt idx="1">
                  <c:v>Jaunjelgavas apvienība</c:v>
                </c:pt>
                <c:pt idx="2">
                  <c:v>Jaunjelgava</c:v>
                </c:pt>
                <c:pt idx="3">
                  <c:v>Kokneses apvienība</c:v>
                </c:pt>
                <c:pt idx="4">
                  <c:v>Koknese</c:v>
                </c:pt>
                <c:pt idx="5">
                  <c:v>Neretas apvienība</c:v>
                </c:pt>
                <c:pt idx="6">
                  <c:v>Pļaviņu apvienība</c:v>
                </c:pt>
                <c:pt idx="7">
                  <c:v>Pļaviņas</c:v>
                </c:pt>
                <c:pt idx="8">
                  <c:v>Skrīveru pagasts</c:v>
                </c:pt>
              </c:strCache>
            </c:strRef>
          </c:cat>
          <c:val>
            <c:numRef>
              <c:f>Lapa1!$B$2:$B$10</c:f>
              <c:numCache>
                <c:formatCode>General</c:formatCode>
                <c:ptCount val="9"/>
                <c:pt idx="0">
                  <c:v>1113</c:v>
                </c:pt>
                <c:pt idx="1">
                  <c:v>742</c:v>
                </c:pt>
                <c:pt idx="2">
                  <c:v>266</c:v>
                </c:pt>
                <c:pt idx="3">
                  <c:v>777</c:v>
                </c:pt>
                <c:pt idx="4">
                  <c:v>374</c:v>
                </c:pt>
                <c:pt idx="5">
                  <c:v>326</c:v>
                </c:pt>
                <c:pt idx="6">
                  <c:v>606</c:v>
                </c:pt>
                <c:pt idx="7">
                  <c:v>382</c:v>
                </c:pt>
                <c:pt idx="8">
                  <c:v>504</c:v>
                </c:pt>
              </c:numCache>
            </c:numRef>
          </c:val>
          <c:extLst>
            <c:ext xmlns:c16="http://schemas.microsoft.com/office/drawing/2014/chart" uri="{C3380CC4-5D6E-409C-BE32-E72D297353CC}">
              <c16:uniqueId val="{00000000-22A4-4832-94EC-705ADAB89C51}"/>
            </c:ext>
          </c:extLst>
        </c:ser>
        <c:ser>
          <c:idx val="1"/>
          <c:order val="1"/>
          <c:tx>
            <c:strRef>
              <c:f>Lapa1!$C$1</c:f>
              <c:strCache>
                <c:ptCount val="1"/>
                <c:pt idx="0">
                  <c:v>Darbspējas vecumā (15–64)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Lapa1!$A$2:$A$10</c:f>
              <c:strCache>
                <c:ptCount val="9"/>
                <c:pt idx="0">
                  <c:v>Aizkraukle un pagasts</c:v>
                </c:pt>
                <c:pt idx="1">
                  <c:v>Jaunjelgavas apvienība</c:v>
                </c:pt>
                <c:pt idx="2">
                  <c:v>Jaunjelgava</c:v>
                </c:pt>
                <c:pt idx="3">
                  <c:v>Kokneses apvienība</c:v>
                </c:pt>
                <c:pt idx="4">
                  <c:v>Koknese</c:v>
                </c:pt>
                <c:pt idx="5">
                  <c:v>Neretas apvienība</c:v>
                </c:pt>
                <c:pt idx="6">
                  <c:v>Pļaviņu apvienība</c:v>
                </c:pt>
                <c:pt idx="7">
                  <c:v>Pļaviņas</c:v>
                </c:pt>
                <c:pt idx="8">
                  <c:v>Skrīveru pagasts</c:v>
                </c:pt>
              </c:strCache>
            </c:strRef>
          </c:cat>
          <c:val>
            <c:numRef>
              <c:f>Lapa1!$C$2:$C$10</c:f>
              <c:numCache>
                <c:formatCode>General</c:formatCode>
                <c:ptCount val="9"/>
                <c:pt idx="0">
                  <c:v>5020</c:v>
                </c:pt>
                <c:pt idx="1">
                  <c:v>3306</c:v>
                </c:pt>
                <c:pt idx="2">
                  <c:v>1100</c:v>
                </c:pt>
                <c:pt idx="3">
                  <c:v>3221</c:v>
                </c:pt>
                <c:pt idx="4">
                  <c:v>1553</c:v>
                </c:pt>
                <c:pt idx="5">
                  <c:v>2068</c:v>
                </c:pt>
                <c:pt idx="6">
                  <c:v>3076</c:v>
                </c:pt>
                <c:pt idx="7">
                  <c:v>1897</c:v>
                </c:pt>
                <c:pt idx="8">
                  <c:v>2073</c:v>
                </c:pt>
              </c:numCache>
            </c:numRef>
          </c:val>
          <c:extLst>
            <c:ext xmlns:c16="http://schemas.microsoft.com/office/drawing/2014/chart" uri="{C3380CC4-5D6E-409C-BE32-E72D297353CC}">
              <c16:uniqueId val="{00000001-22A4-4832-94EC-705ADAB89C51}"/>
            </c:ext>
          </c:extLst>
        </c:ser>
        <c:ser>
          <c:idx val="2"/>
          <c:order val="2"/>
          <c:tx>
            <c:strRef>
              <c:f>Lapa1!$D$1</c:f>
              <c:strCache>
                <c:ptCount val="1"/>
                <c:pt idx="0">
                  <c:v>Pēc darbspējas vecuma (no 65)</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Lapa1!$A$2:$A$10</c:f>
              <c:strCache>
                <c:ptCount val="9"/>
                <c:pt idx="0">
                  <c:v>Aizkraukle un pagasts</c:v>
                </c:pt>
                <c:pt idx="1">
                  <c:v>Jaunjelgavas apvienība</c:v>
                </c:pt>
                <c:pt idx="2">
                  <c:v>Jaunjelgava</c:v>
                </c:pt>
                <c:pt idx="3">
                  <c:v>Kokneses apvienība</c:v>
                </c:pt>
                <c:pt idx="4">
                  <c:v>Koknese</c:v>
                </c:pt>
                <c:pt idx="5">
                  <c:v>Neretas apvienība</c:v>
                </c:pt>
                <c:pt idx="6">
                  <c:v>Pļaviņu apvienība</c:v>
                </c:pt>
                <c:pt idx="7">
                  <c:v>Pļaviņas</c:v>
                </c:pt>
                <c:pt idx="8">
                  <c:v>Skrīveru pagasts</c:v>
                </c:pt>
              </c:strCache>
            </c:strRef>
          </c:cat>
          <c:val>
            <c:numRef>
              <c:f>Lapa1!$D$2:$D$10</c:f>
              <c:numCache>
                <c:formatCode>General</c:formatCode>
                <c:ptCount val="9"/>
                <c:pt idx="0">
                  <c:v>1944</c:v>
                </c:pt>
                <c:pt idx="1">
                  <c:v>1139</c:v>
                </c:pt>
                <c:pt idx="2">
                  <c:v>442</c:v>
                </c:pt>
                <c:pt idx="3">
                  <c:v>1101</c:v>
                </c:pt>
                <c:pt idx="4">
                  <c:v>606</c:v>
                </c:pt>
                <c:pt idx="5">
                  <c:v>724</c:v>
                </c:pt>
                <c:pt idx="6">
                  <c:v>1113</c:v>
                </c:pt>
                <c:pt idx="7">
                  <c:v>661</c:v>
                </c:pt>
                <c:pt idx="8">
                  <c:v>794</c:v>
                </c:pt>
              </c:numCache>
            </c:numRef>
          </c:val>
          <c:extLst>
            <c:ext xmlns:c16="http://schemas.microsoft.com/office/drawing/2014/chart" uri="{C3380CC4-5D6E-409C-BE32-E72D297353CC}">
              <c16:uniqueId val="{00000002-22A4-4832-94EC-705ADAB89C51}"/>
            </c:ext>
          </c:extLst>
        </c:ser>
        <c:dLbls>
          <c:dLblPos val="ctr"/>
          <c:showLegendKey val="0"/>
          <c:showVal val="1"/>
          <c:showCatName val="0"/>
          <c:showSerName val="0"/>
          <c:showPercent val="0"/>
          <c:showBubbleSize val="0"/>
        </c:dLbls>
        <c:gapWidth val="95"/>
        <c:overlap val="100"/>
        <c:axId val="656856176"/>
        <c:axId val="656857616"/>
      </c:barChart>
      <c:catAx>
        <c:axId val="6568561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56857616"/>
        <c:crosses val="autoZero"/>
        <c:auto val="1"/>
        <c:lblAlgn val="ctr"/>
        <c:lblOffset val="100"/>
        <c:noMultiLvlLbl val="0"/>
      </c:catAx>
      <c:valAx>
        <c:axId val="656857616"/>
        <c:scaling>
          <c:orientation val="minMax"/>
        </c:scaling>
        <c:delete val="1"/>
        <c:axPos val="l"/>
        <c:majorGridlines>
          <c:spPr>
            <a:ln w="9525">
              <a:solidFill>
                <a:schemeClr val="tx1">
                  <a:lumMod val="15000"/>
                  <a:lumOff val="85000"/>
                </a:schemeClr>
              </a:solidFill>
              <a:round/>
            </a:ln>
            <a:effectLst/>
          </c:spPr>
        </c:majorGridlines>
        <c:numFmt formatCode="0%" sourceLinked="1"/>
        <c:majorTickMark val="none"/>
        <c:minorTickMark val="none"/>
        <c:tickLblPos val="nextTo"/>
        <c:crossAx val="656856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Uzņēmumu</a:t>
            </a:r>
            <a:r>
              <a:rPr lang="en-US" baseline="0"/>
              <a:t> reģistrēšanas un likvidēšanas dinamika Aizkraukles novadā</a:t>
            </a:r>
            <a:endParaRPr lang="en-US"/>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grafiki!$B$1</c:f>
              <c:strCache>
                <c:ptCount val="1"/>
                <c:pt idx="0">
                  <c:v>Jauni uzņēmumi</c:v>
                </c:pt>
              </c:strCache>
            </c:strRef>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grafiki!$A$2:$A$12</c:f>
              <c:strCache>
                <c:ptCount val="11"/>
                <c:pt idx="0">
                  <c:v>2016</c:v>
                </c:pt>
                <c:pt idx="1">
                  <c:v>2017</c:v>
                </c:pt>
                <c:pt idx="2">
                  <c:v>2018</c:v>
                </c:pt>
                <c:pt idx="3">
                  <c:v>2019</c:v>
                </c:pt>
                <c:pt idx="4">
                  <c:v>2020</c:v>
                </c:pt>
                <c:pt idx="5">
                  <c:v>2021</c:v>
                </c:pt>
                <c:pt idx="6">
                  <c:v>2022</c:v>
                </c:pt>
                <c:pt idx="7">
                  <c:v>2023</c:v>
                </c:pt>
                <c:pt idx="8">
                  <c:v>2024</c:v>
                </c:pt>
                <c:pt idx="9">
                  <c:v>2025</c:v>
                </c:pt>
                <c:pt idx="10">
                  <c:v>2026*</c:v>
                </c:pt>
              </c:strCache>
            </c:strRef>
          </c:cat>
          <c:val>
            <c:numRef>
              <c:f>grafiki!$B$2:$B$12</c:f>
              <c:numCache>
                <c:formatCode>General</c:formatCode>
                <c:ptCount val="11"/>
                <c:pt idx="0">
                  <c:v>91</c:v>
                </c:pt>
                <c:pt idx="1">
                  <c:v>82</c:v>
                </c:pt>
                <c:pt idx="2">
                  <c:v>99</c:v>
                </c:pt>
                <c:pt idx="3">
                  <c:v>107</c:v>
                </c:pt>
                <c:pt idx="4">
                  <c:v>101</c:v>
                </c:pt>
                <c:pt idx="5">
                  <c:v>82</c:v>
                </c:pt>
                <c:pt idx="6">
                  <c:v>85</c:v>
                </c:pt>
                <c:pt idx="7">
                  <c:v>84</c:v>
                </c:pt>
                <c:pt idx="8">
                  <c:v>94</c:v>
                </c:pt>
                <c:pt idx="9">
                  <c:v>78</c:v>
                </c:pt>
                <c:pt idx="10">
                  <c:v>45</c:v>
                </c:pt>
              </c:numCache>
            </c:numRef>
          </c:val>
          <c:extLst>
            <c:ext xmlns:c16="http://schemas.microsoft.com/office/drawing/2014/chart" uri="{C3380CC4-5D6E-409C-BE32-E72D297353CC}">
              <c16:uniqueId val="{00000000-2A9E-434E-9383-487D9154FF51}"/>
            </c:ext>
          </c:extLst>
        </c:ser>
        <c:ser>
          <c:idx val="1"/>
          <c:order val="1"/>
          <c:tx>
            <c:strRef>
              <c:f>grafiki!$C$1</c:f>
              <c:strCache>
                <c:ptCount val="1"/>
                <c:pt idx="0">
                  <c:v>Likvidēti uzņēmumi</c:v>
                </c:pt>
              </c:strCache>
            </c:strRef>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grafiki!$A$2:$A$12</c:f>
              <c:strCache>
                <c:ptCount val="11"/>
                <c:pt idx="0">
                  <c:v>2016</c:v>
                </c:pt>
                <c:pt idx="1">
                  <c:v>2017</c:v>
                </c:pt>
                <c:pt idx="2">
                  <c:v>2018</c:v>
                </c:pt>
                <c:pt idx="3">
                  <c:v>2019</c:v>
                </c:pt>
                <c:pt idx="4">
                  <c:v>2020</c:v>
                </c:pt>
                <c:pt idx="5">
                  <c:v>2021</c:v>
                </c:pt>
                <c:pt idx="6">
                  <c:v>2022</c:v>
                </c:pt>
                <c:pt idx="7">
                  <c:v>2023</c:v>
                </c:pt>
                <c:pt idx="8">
                  <c:v>2024</c:v>
                </c:pt>
                <c:pt idx="9">
                  <c:v>2025</c:v>
                </c:pt>
                <c:pt idx="10">
                  <c:v>2026*</c:v>
                </c:pt>
              </c:strCache>
            </c:strRef>
          </c:cat>
          <c:val>
            <c:numRef>
              <c:f>grafiki!$C$2:$C$12</c:f>
              <c:numCache>
                <c:formatCode>General</c:formatCode>
                <c:ptCount val="11"/>
                <c:pt idx="0">
                  <c:v>141</c:v>
                </c:pt>
                <c:pt idx="1">
                  <c:v>190</c:v>
                </c:pt>
                <c:pt idx="2">
                  <c:v>108</c:v>
                </c:pt>
                <c:pt idx="3">
                  <c:v>101</c:v>
                </c:pt>
                <c:pt idx="4">
                  <c:v>111</c:v>
                </c:pt>
                <c:pt idx="5">
                  <c:v>147</c:v>
                </c:pt>
                <c:pt idx="6">
                  <c:v>118</c:v>
                </c:pt>
                <c:pt idx="7">
                  <c:v>73</c:v>
                </c:pt>
                <c:pt idx="8">
                  <c:v>90</c:v>
                </c:pt>
                <c:pt idx="9">
                  <c:v>62</c:v>
                </c:pt>
                <c:pt idx="10">
                  <c:v>26</c:v>
                </c:pt>
              </c:numCache>
            </c:numRef>
          </c:val>
          <c:extLst>
            <c:ext xmlns:c16="http://schemas.microsoft.com/office/drawing/2014/chart" uri="{C3380CC4-5D6E-409C-BE32-E72D297353CC}">
              <c16:uniqueId val="{00000001-2A9E-434E-9383-487D9154FF51}"/>
            </c:ext>
          </c:extLst>
        </c:ser>
        <c:dLbls>
          <c:showLegendKey val="0"/>
          <c:showVal val="0"/>
          <c:showCatName val="0"/>
          <c:showSerName val="0"/>
          <c:showPercent val="0"/>
          <c:showBubbleSize val="0"/>
        </c:dLbls>
        <c:gapWidth val="100"/>
        <c:overlap val="-24"/>
        <c:axId val="-1206264240"/>
        <c:axId val="-1206276208"/>
      </c:barChart>
      <c:catAx>
        <c:axId val="-1206264240"/>
        <c:scaling>
          <c:orientation val="minMax"/>
        </c:scaling>
        <c:delete val="0"/>
        <c:axPos val="b"/>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06276208"/>
        <c:crosses val="autoZero"/>
        <c:auto val="1"/>
        <c:lblAlgn val="ctr"/>
        <c:lblOffset val="100"/>
        <c:noMultiLvlLbl val="0"/>
      </c:catAx>
      <c:valAx>
        <c:axId val="-1206276208"/>
        <c:scaling>
          <c:orientation val="minMax"/>
        </c:scaling>
        <c:delete val="0"/>
        <c:axPos val="l"/>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06264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latin typeface="Times New Roman" panose="02020603050405020304" pitchFamily="18" charset="0"/>
                <a:cs typeface="Times New Roman" panose="02020603050405020304" pitchFamily="18" charset="0"/>
              </a:rPr>
              <a:t>Aizkraukles novadā reģistrēto uzņēmumu apgrozījuma dinamika</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grafiki!$B$16</c:f>
              <c:strCache>
                <c:ptCount val="1"/>
                <c:pt idx="0">
                  <c:v>Kopējais apgrozījums, milj. EUR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grafiki!$A$17:$A$20</c:f>
              <c:strCache>
                <c:ptCount val="4"/>
                <c:pt idx="0">
                  <c:v>2022</c:v>
                </c:pt>
                <c:pt idx="1">
                  <c:v>2023</c:v>
                </c:pt>
                <c:pt idx="2">
                  <c:v>2024</c:v>
                </c:pt>
                <c:pt idx="3">
                  <c:v>2025*</c:v>
                </c:pt>
              </c:strCache>
            </c:strRef>
          </c:cat>
          <c:val>
            <c:numRef>
              <c:f>grafiki!$B$17:$B$20</c:f>
              <c:numCache>
                <c:formatCode>General</c:formatCode>
                <c:ptCount val="4"/>
                <c:pt idx="0">
                  <c:v>1112.5</c:v>
                </c:pt>
                <c:pt idx="1">
                  <c:v>1031.34</c:v>
                </c:pt>
                <c:pt idx="2">
                  <c:v>1099.74</c:v>
                </c:pt>
                <c:pt idx="3">
                  <c:v>589.92</c:v>
                </c:pt>
              </c:numCache>
            </c:numRef>
          </c:val>
          <c:extLst>
            <c:ext xmlns:c16="http://schemas.microsoft.com/office/drawing/2014/chart" uri="{C3380CC4-5D6E-409C-BE32-E72D297353CC}">
              <c16:uniqueId val="{00000000-DE14-49E7-BFF7-C10431EE0EC8}"/>
            </c:ext>
          </c:extLst>
        </c:ser>
        <c:dLbls>
          <c:showLegendKey val="0"/>
          <c:showVal val="0"/>
          <c:showCatName val="0"/>
          <c:showSerName val="0"/>
          <c:showPercent val="0"/>
          <c:showBubbleSize val="0"/>
        </c:dLbls>
        <c:gapWidth val="100"/>
        <c:axId val="-1206274576"/>
        <c:axId val="-1206273488"/>
      </c:barChart>
      <c:lineChart>
        <c:grouping val="standard"/>
        <c:varyColors val="0"/>
        <c:ser>
          <c:idx val="1"/>
          <c:order val="1"/>
          <c:tx>
            <c:strRef>
              <c:f>grafiki!$C$16</c:f>
              <c:strCache>
                <c:ptCount val="1"/>
                <c:pt idx="0">
                  <c:v>Vidējais apgrozījums uz 1 uzņēmumu, tūkst. EUR</c:v>
                </c:pt>
              </c:strCache>
            </c:strRef>
          </c:tx>
          <c:spPr>
            <a:ln w="3175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grafiki!$A$17:$A$20</c:f>
              <c:strCache>
                <c:ptCount val="4"/>
                <c:pt idx="0">
                  <c:v>2022</c:v>
                </c:pt>
                <c:pt idx="1">
                  <c:v>2023</c:v>
                </c:pt>
                <c:pt idx="2">
                  <c:v>2024</c:v>
                </c:pt>
                <c:pt idx="3">
                  <c:v>2025*</c:v>
                </c:pt>
              </c:strCache>
            </c:strRef>
          </c:cat>
          <c:val>
            <c:numRef>
              <c:f>grafiki!$C$17:$C$20</c:f>
              <c:numCache>
                <c:formatCode>General</c:formatCode>
                <c:ptCount val="4"/>
                <c:pt idx="0">
                  <c:v>34.53</c:v>
                </c:pt>
                <c:pt idx="1">
                  <c:v>35.37</c:v>
                </c:pt>
                <c:pt idx="2">
                  <c:v>37.32</c:v>
                </c:pt>
                <c:pt idx="3">
                  <c:v>40.87</c:v>
                </c:pt>
              </c:numCache>
            </c:numRef>
          </c:val>
          <c:smooth val="0"/>
          <c:extLst>
            <c:ext xmlns:c16="http://schemas.microsoft.com/office/drawing/2014/chart" uri="{C3380CC4-5D6E-409C-BE32-E72D297353CC}">
              <c16:uniqueId val="{00000001-DE14-49E7-BFF7-C10431EE0EC8}"/>
            </c:ext>
          </c:extLst>
        </c:ser>
        <c:dLbls>
          <c:showLegendKey val="0"/>
          <c:showVal val="0"/>
          <c:showCatName val="0"/>
          <c:showSerName val="0"/>
          <c:showPercent val="0"/>
          <c:showBubbleSize val="0"/>
        </c:dLbls>
        <c:marker val="1"/>
        <c:smooth val="0"/>
        <c:axId val="-1080456864"/>
        <c:axId val="-1080460128"/>
      </c:lineChart>
      <c:catAx>
        <c:axId val="-1206274576"/>
        <c:scaling>
          <c:orientation val="minMax"/>
        </c:scaling>
        <c:delete val="0"/>
        <c:axPos val="b"/>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06273488"/>
        <c:crosses val="autoZero"/>
        <c:auto val="1"/>
        <c:lblAlgn val="ctr"/>
        <c:lblOffset val="100"/>
        <c:noMultiLvlLbl val="0"/>
      </c:catAx>
      <c:valAx>
        <c:axId val="-1206273488"/>
        <c:scaling>
          <c:orientation val="minMax"/>
        </c:scaling>
        <c:delete val="0"/>
        <c:axPos val="l"/>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06274576"/>
        <c:crosses val="autoZero"/>
        <c:crossBetween val="between"/>
      </c:valAx>
      <c:valAx>
        <c:axId val="-108046012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80456864"/>
        <c:crosses val="max"/>
        <c:crossBetween val="between"/>
      </c:valAx>
      <c:catAx>
        <c:axId val="-1080456864"/>
        <c:scaling>
          <c:orientation val="minMax"/>
        </c:scaling>
        <c:delete val="1"/>
        <c:axPos val="b"/>
        <c:numFmt formatCode="General" sourceLinked="1"/>
        <c:majorTickMark val="out"/>
        <c:minorTickMark val="none"/>
        <c:tickLblPos val="nextTo"/>
        <c:crossAx val="-1080460128"/>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2"/>
                </a:solidFill>
                <a:latin typeface="+mn-lt"/>
                <a:ea typeface="+mn-ea"/>
                <a:cs typeface="+mn-cs"/>
              </a:defRPr>
            </a:pPr>
            <a:r>
              <a:rPr lang="en-US" sz="1200">
                <a:latin typeface="Times New Roman" panose="02020603050405020304" pitchFamily="18" charset="0"/>
                <a:cs typeface="Times New Roman" panose="02020603050405020304" pitchFamily="18" charset="0"/>
              </a:rPr>
              <a:t>Aizkraukles novadā reģistrēto</a:t>
            </a:r>
            <a:r>
              <a:rPr lang="en-US" sz="1200" baseline="0">
                <a:latin typeface="Times New Roman" panose="02020603050405020304" pitchFamily="18" charset="0"/>
                <a:cs typeface="Times New Roman" panose="02020603050405020304" pitchFamily="18" charset="0"/>
              </a:rPr>
              <a:t> uzņēmumu peļņas dinamika</a:t>
            </a:r>
            <a:endParaRPr lang="en-US"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grafiki!$B$22</c:f>
              <c:strCache>
                <c:ptCount val="1"/>
                <c:pt idx="0">
                  <c:v>Kopējā peļņa, milj. EUR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grafiki!$A$23:$A$26</c:f>
              <c:strCache>
                <c:ptCount val="4"/>
                <c:pt idx="0">
                  <c:v>2022</c:v>
                </c:pt>
                <c:pt idx="1">
                  <c:v>2023</c:v>
                </c:pt>
                <c:pt idx="2">
                  <c:v>2024</c:v>
                </c:pt>
                <c:pt idx="3">
                  <c:v>2025*</c:v>
                </c:pt>
              </c:strCache>
            </c:strRef>
          </c:cat>
          <c:val>
            <c:numRef>
              <c:f>grafiki!$B$23:$B$26</c:f>
              <c:numCache>
                <c:formatCode>General</c:formatCode>
                <c:ptCount val="4"/>
                <c:pt idx="0">
                  <c:v>84.43</c:v>
                </c:pt>
                <c:pt idx="1">
                  <c:v>5.6</c:v>
                </c:pt>
                <c:pt idx="2">
                  <c:v>63.7</c:v>
                </c:pt>
                <c:pt idx="3">
                  <c:v>42.08</c:v>
                </c:pt>
              </c:numCache>
            </c:numRef>
          </c:val>
          <c:extLst>
            <c:ext xmlns:c16="http://schemas.microsoft.com/office/drawing/2014/chart" uri="{C3380CC4-5D6E-409C-BE32-E72D297353CC}">
              <c16:uniqueId val="{00000000-DB9C-47A8-961E-9CE8F0504FBB}"/>
            </c:ext>
          </c:extLst>
        </c:ser>
        <c:dLbls>
          <c:showLegendKey val="0"/>
          <c:showVal val="0"/>
          <c:showCatName val="0"/>
          <c:showSerName val="0"/>
          <c:showPercent val="0"/>
          <c:showBubbleSize val="0"/>
        </c:dLbls>
        <c:gapWidth val="100"/>
        <c:axId val="-1080466656"/>
        <c:axId val="-1080465024"/>
      </c:barChart>
      <c:lineChart>
        <c:grouping val="standard"/>
        <c:varyColors val="0"/>
        <c:ser>
          <c:idx val="1"/>
          <c:order val="1"/>
          <c:tx>
            <c:strRef>
              <c:f>grafiki!$C$22</c:f>
              <c:strCache>
                <c:ptCount val="1"/>
                <c:pt idx="0">
                  <c:v>Vidējā peļņa uz 1 uzņēmumu, EUR</c:v>
                </c:pt>
              </c:strCache>
            </c:strRef>
          </c:tx>
          <c:spPr>
            <a:ln w="3175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grafiki!$C$23:$C$26</c:f>
              <c:numCache>
                <c:formatCode>General</c:formatCode>
                <c:ptCount val="4"/>
                <c:pt idx="0">
                  <c:v>106</c:v>
                </c:pt>
                <c:pt idx="1">
                  <c:v>124</c:v>
                </c:pt>
                <c:pt idx="2">
                  <c:v>59</c:v>
                </c:pt>
                <c:pt idx="3">
                  <c:v>613</c:v>
                </c:pt>
              </c:numCache>
            </c:numRef>
          </c:val>
          <c:smooth val="0"/>
          <c:extLst>
            <c:ext xmlns:c16="http://schemas.microsoft.com/office/drawing/2014/chart" uri="{C3380CC4-5D6E-409C-BE32-E72D297353CC}">
              <c16:uniqueId val="{00000001-DB9C-47A8-961E-9CE8F0504FBB}"/>
            </c:ext>
          </c:extLst>
        </c:ser>
        <c:dLbls>
          <c:showLegendKey val="0"/>
          <c:showVal val="0"/>
          <c:showCatName val="0"/>
          <c:showSerName val="0"/>
          <c:showPercent val="0"/>
          <c:showBubbleSize val="0"/>
        </c:dLbls>
        <c:marker val="1"/>
        <c:smooth val="0"/>
        <c:axId val="-1080465568"/>
        <c:axId val="-1080459040"/>
      </c:lineChart>
      <c:catAx>
        <c:axId val="-1080466656"/>
        <c:scaling>
          <c:orientation val="minMax"/>
        </c:scaling>
        <c:delete val="0"/>
        <c:axPos val="b"/>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80465024"/>
        <c:crosses val="autoZero"/>
        <c:auto val="1"/>
        <c:lblAlgn val="ctr"/>
        <c:lblOffset val="100"/>
        <c:noMultiLvlLbl val="0"/>
      </c:catAx>
      <c:valAx>
        <c:axId val="-1080465024"/>
        <c:scaling>
          <c:orientation val="minMax"/>
        </c:scaling>
        <c:delete val="0"/>
        <c:axPos val="l"/>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80466656"/>
        <c:crosses val="autoZero"/>
        <c:crossBetween val="between"/>
      </c:valAx>
      <c:valAx>
        <c:axId val="-108045904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80465568"/>
        <c:crosses val="max"/>
        <c:crossBetween val="between"/>
      </c:valAx>
      <c:catAx>
        <c:axId val="-1080465568"/>
        <c:scaling>
          <c:orientation val="minMax"/>
        </c:scaling>
        <c:delete val="1"/>
        <c:axPos val="b"/>
        <c:majorTickMark val="out"/>
        <c:minorTickMark val="none"/>
        <c:tickLblPos val="nextTo"/>
        <c:crossAx val="-1080459040"/>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a:latin typeface="Times New Roman" panose="02020603050405020304" pitchFamily="18" charset="0"/>
                <a:cs typeface="Times New Roman" panose="02020603050405020304" pitchFamily="18" charset="0"/>
              </a:rPr>
              <a:t>Kopējais nodarbināto skaits Aizkraukles novadā</a:t>
            </a:r>
            <a:r>
              <a:rPr lang="en-US" sz="1200" baseline="0">
                <a:latin typeface="Times New Roman" panose="02020603050405020304" pitchFamily="18" charset="0"/>
                <a:cs typeface="Times New Roman" panose="02020603050405020304" pitchFamily="18" charset="0"/>
              </a:rPr>
              <a:t> reģistrētajos uzņēmumos</a:t>
            </a:r>
            <a:endParaRPr lang="en-US"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grafiki!$A$29:$A$32</c:f>
              <c:numCache>
                <c:formatCode>General</c:formatCode>
                <c:ptCount val="4"/>
                <c:pt idx="0">
                  <c:v>2022</c:v>
                </c:pt>
                <c:pt idx="1">
                  <c:v>2023</c:v>
                </c:pt>
                <c:pt idx="2">
                  <c:v>2024</c:v>
                </c:pt>
                <c:pt idx="3">
                  <c:v>2025</c:v>
                </c:pt>
              </c:numCache>
            </c:numRef>
          </c:cat>
          <c:val>
            <c:numRef>
              <c:f>grafiki!$B$29:$B$32</c:f>
              <c:numCache>
                <c:formatCode>General</c:formatCode>
                <c:ptCount val="4"/>
                <c:pt idx="0">
                  <c:v>5375</c:v>
                </c:pt>
                <c:pt idx="1">
                  <c:v>5375</c:v>
                </c:pt>
                <c:pt idx="2">
                  <c:v>5333</c:v>
                </c:pt>
                <c:pt idx="3">
                  <c:v>5303</c:v>
                </c:pt>
              </c:numCache>
            </c:numRef>
          </c:val>
          <c:extLst>
            <c:ext xmlns:c16="http://schemas.microsoft.com/office/drawing/2014/chart" uri="{C3380CC4-5D6E-409C-BE32-E72D297353CC}">
              <c16:uniqueId val="{00000000-87C7-4FAB-B762-3D1598C28F64}"/>
            </c:ext>
          </c:extLst>
        </c:ser>
        <c:dLbls>
          <c:showLegendKey val="0"/>
          <c:showVal val="0"/>
          <c:showCatName val="0"/>
          <c:showSerName val="0"/>
          <c:showPercent val="0"/>
          <c:showBubbleSize val="0"/>
        </c:dLbls>
        <c:gapWidth val="100"/>
        <c:overlap val="-24"/>
        <c:axId val="-1080455232"/>
        <c:axId val="-1080454144"/>
      </c:barChart>
      <c:catAx>
        <c:axId val="-1080455232"/>
        <c:scaling>
          <c:orientation val="minMax"/>
        </c:scaling>
        <c:delete val="0"/>
        <c:axPos val="b"/>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80454144"/>
        <c:crosses val="autoZero"/>
        <c:auto val="1"/>
        <c:lblAlgn val="ctr"/>
        <c:lblOffset val="100"/>
        <c:noMultiLvlLbl val="0"/>
      </c:catAx>
      <c:valAx>
        <c:axId val="-1080454144"/>
        <c:scaling>
          <c:orientation val="minMax"/>
        </c:scaling>
        <c:delete val="0"/>
        <c:axPos val="l"/>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80455232"/>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latin typeface="Times New Roman" panose="02020603050405020304" pitchFamily="18" charset="0"/>
                <a:cs typeface="Times New Roman" panose="02020603050405020304" pitchFamily="18" charset="0"/>
              </a:rPr>
              <a:t>Aizkraukles novadā reģistrēto uzņēmumu kopējie nodokļu maksājumi valsts kopbudžetā, milj. EUR</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grafiki!$A$35:$A$38</c:f>
              <c:numCache>
                <c:formatCode>General</c:formatCode>
                <c:ptCount val="4"/>
                <c:pt idx="0">
                  <c:v>2022</c:v>
                </c:pt>
                <c:pt idx="1">
                  <c:v>2023</c:v>
                </c:pt>
                <c:pt idx="2">
                  <c:v>2024</c:v>
                </c:pt>
                <c:pt idx="3">
                  <c:v>2025</c:v>
                </c:pt>
              </c:numCache>
            </c:numRef>
          </c:cat>
          <c:val>
            <c:numRef>
              <c:f>grafiki!$B$35:$B$38</c:f>
              <c:numCache>
                <c:formatCode>General</c:formatCode>
                <c:ptCount val="4"/>
                <c:pt idx="0">
                  <c:v>86.84</c:v>
                </c:pt>
                <c:pt idx="1">
                  <c:v>91.18</c:v>
                </c:pt>
                <c:pt idx="2">
                  <c:v>131.9</c:v>
                </c:pt>
                <c:pt idx="3">
                  <c:v>151.13</c:v>
                </c:pt>
              </c:numCache>
            </c:numRef>
          </c:val>
          <c:extLst>
            <c:ext xmlns:c16="http://schemas.microsoft.com/office/drawing/2014/chart" uri="{C3380CC4-5D6E-409C-BE32-E72D297353CC}">
              <c16:uniqueId val="{00000000-69A9-452A-A58E-465454CCDC38}"/>
            </c:ext>
          </c:extLst>
        </c:ser>
        <c:dLbls>
          <c:showLegendKey val="0"/>
          <c:showVal val="0"/>
          <c:showCatName val="0"/>
          <c:showSerName val="0"/>
          <c:showPercent val="0"/>
          <c:showBubbleSize val="0"/>
        </c:dLbls>
        <c:gapWidth val="100"/>
        <c:overlap val="-24"/>
        <c:axId val="-1080453600"/>
        <c:axId val="-1080464480"/>
      </c:barChart>
      <c:catAx>
        <c:axId val="-1080453600"/>
        <c:scaling>
          <c:orientation val="minMax"/>
        </c:scaling>
        <c:delete val="0"/>
        <c:axPos val="b"/>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80464480"/>
        <c:crosses val="autoZero"/>
        <c:auto val="1"/>
        <c:lblAlgn val="ctr"/>
        <c:lblOffset val="100"/>
        <c:noMultiLvlLbl val="0"/>
      </c:catAx>
      <c:valAx>
        <c:axId val="-1080464480"/>
        <c:scaling>
          <c:orientation val="minMax"/>
        </c:scaling>
        <c:delete val="0"/>
        <c:axPos val="l"/>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80453600"/>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0"/>
              <a:t>Apmeklētāju skaits kultūras</a:t>
            </a:r>
            <a:r>
              <a:rPr lang="lv-LV" b="0" baseline="0"/>
              <a:t> pasākumos </a:t>
            </a:r>
            <a:r>
              <a:rPr lang="lv-LV" b="0"/>
              <a:t>2025</a:t>
            </a:r>
            <a:endParaRPr lang="en-US" b="0"/>
          </a:p>
        </c:rich>
      </c:tx>
      <c:layout>
        <c:manualLayout>
          <c:xMode val="edge"/>
          <c:yMode val="edge"/>
          <c:x val="0.12750000000000003"/>
          <c:y val="0.03703703703703703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3"/>
          <c:order val="3"/>
          <c:tx>
            <c:strRef>
              <c:f>Kopsavilkums!$F$3</c:f>
              <c:strCache>
                <c:ptCount val="1"/>
                <c:pt idx="0">
                  <c:v>Apmeklējumi
pavisam</c:v>
                </c:pt>
              </c:strCache>
            </c:strRef>
          </c:tx>
          <c:spPr>
            <a:solidFill>
              <a:schemeClr val="accent1">
                <a:shade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Kopsavilkums!$B$4:$B$16</c:f>
              <c:strCache>
                <c:ptCount val="13"/>
                <c:pt idx="0">
                  <c:v>Aizkraukles kultūras centrs</c:v>
                </c:pt>
                <c:pt idx="1">
                  <c:v>Kultūras pārvalde</c:v>
                </c:pt>
                <c:pt idx="2">
                  <c:v>Daudzevas saieta nams</c:v>
                </c:pt>
                <c:pt idx="3">
                  <c:v>Jaunjelgavas kultūras centrs</c:v>
                </c:pt>
                <c:pt idx="4">
                  <c:v>Kokneses kultūras centrs</c:v>
                </c:pt>
                <c:pt idx="5">
                  <c:v>Mazzalves saieta nams</c:v>
                </c:pt>
                <c:pt idx="6">
                  <c:v>Neretas kultūras centrs</c:v>
                </c:pt>
                <c:pt idx="7">
                  <c:v>Pļaviņu kultūras centrs</c:v>
                </c:pt>
                <c:pt idx="8">
                  <c:v>Seces kultūras nams</c:v>
                </c:pt>
                <c:pt idx="9">
                  <c:v>Sērenes tautas nams</c:v>
                </c:pt>
                <c:pt idx="10">
                  <c:v>Skrīveru kultūras centrs</c:v>
                </c:pt>
                <c:pt idx="11">
                  <c:v>Staburaga saieta nams</c:v>
                </c:pt>
                <c:pt idx="12">
                  <c:v>Sunākstes pagasta Saieta nams "Saulrieši"</c:v>
                </c:pt>
              </c:strCache>
            </c:strRef>
          </c:cat>
          <c:val>
            <c:numRef>
              <c:f>Kopsavilkums!$F$4:$F$16</c:f>
              <c:numCache>
                <c:formatCode>General</c:formatCode>
                <c:ptCount val="13"/>
                <c:pt idx="0">
                  <c:v>34071</c:v>
                </c:pt>
                <c:pt idx="1">
                  <c:v>3455</c:v>
                </c:pt>
                <c:pt idx="2">
                  <c:v>1685</c:v>
                </c:pt>
                <c:pt idx="3">
                  <c:v>3660</c:v>
                </c:pt>
                <c:pt idx="4">
                  <c:v>7839</c:v>
                </c:pt>
                <c:pt idx="5">
                  <c:v>3542</c:v>
                </c:pt>
                <c:pt idx="6">
                  <c:v>7180</c:v>
                </c:pt>
                <c:pt idx="7">
                  <c:v>7960</c:v>
                </c:pt>
                <c:pt idx="8">
                  <c:v>2585</c:v>
                </c:pt>
                <c:pt idx="9">
                  <c:v>1174</c:v>
                </c:pt>
                <c:pt idx="10">
                  <c:v>13282</c:v>
                </c:pt>
                <c:pt idx="11">
                  <c:v>1277</c:v>
                </c:pt>
                <c:pt idx="12">
                  <c:v>2258</c:v>
                </c:pt>
              </c:numCache>
            </c:numRef>
          </c:val>
          <c:extLst>
            <c:ext xmlns:c16="http://schemas.microsoft.com/office/drawing/2014/chart" uri="{C3380CC4-5D6E-409C-BE32-E72D297353CC}">
              <c16:uniqueId val="{00000000-E874-4070-ADB4-372F853F3F7A}"/>
            </c:ext>
          </c:extLst>
        </c:ser>
        <c:dLbls>
          <c:showLegendKey val="0"/>
          <c:showVal val="1"/>
          <c:showCatName val="0"/>
          <c:showSerName val="0"/>
          <c:showPercent val="0"/>
          <c:showBubbleSize val="0"/>
        </c:dLbls>
        <c:gapWidth val="219"/>
        <c:overlap val="-27"/>
        <c:axId val="1287955919"/>
        <c:axId val="1287962639"/>
        <c:extLst>
          <c:ext xmlns:c="http://schemas.openxmlformats.org/drawingml/2006/chart" xmlns:c15="http://schemas.microsoft.com/office/drawing/2012/chart" uri="{02D57815-91ED-43cb-92C2-25804820EDAC}">
            <c15:filteredBarSeries>
              <c15:ser>
                <c:idx val="0"/>
                <c:order val="0"/>
                <c:tx>
                  <c:strRef>
                    <c:extLst>
                      <c:ext uri="{02D57815-91ED-43cb-92C2-25804820EDAC}">
                        <c15:formulaRef>
                          <c15:sqref>Kopsavilkums!$C$3</c15:sqref>
                        </c15:formulaRef>
                      </c:ext>
                    </c:extLst>
                    <c:strCache>
                      <c:ptCount val="1"/>
                      <c:pt idx="0">
                        <c:v>Norises
pavisam</c:v>
                      </c:pt>
                    </c:strCache>
                  </c:strRef>
                </c:tx>
                <c:spPr>
                  <a:solidFill xmlns:a="http://schemas.openxmlformats.org/drawingml/2006/main">
                    <a:schemeClr val="accent1">
                      <a:tint val="50000"/>
                    </a:schemeClr>
                  </a:solidFill>
                  <a:ln xmlns:a="http://schemas.openxmlformats.org/drawingml/2006/main">
                    <a:noFill/>
                  </a:ln>
                  <a:effectLst xmlns:a="http://schemas.openxmlformats.org/drawingml/2006/main"/>
                </c:spPr>
                <c:invertIfNegative val="0"/>
                <c:dLbls>
                  <c:spPr>
                    <a:noFill xmlns:a="http://schemas.openxmlformats.org/drawingml/2006/main"/>
                    <a:ln xmlns:a="http://schemas.openxmlformats.org/drawingml/2006/main">
                      <a:noFill/>
                    </a:ln>
                    <a:effectLst xmlns:a="http://schemas.openxmlformats.org/drawingml/2006/main"/>
                  </c:spPr>
                  <c:txPr>
                    <a:bodyPr xmlns:a="http://schemas.openxmlformats.org/drawingml/2006/main" anchor="ctr" anchorCtr="1" bIns="19050" lIns="38100" rIns="38100" rot="0" spcFirstLastPara="1" tIns="19050" vert="horz" vertOverflow="ellipsis" wrap="square">
                      <a:spAutoFit/>
                    </a:bodyPr>
                    <a:lstStyle xmlns:a="http://schemas.openxmlformats.org/drawingml/2006/main"/>
                    <a:p xmlns:a="http://schemas.openxmlformats.org/drawingml/2006/main">
                      <a:pPr>
                        <a:defRPr b="0" baseline="0" i="0" kern="1200" strike="noStrike" sz="900" u="none">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extLst>
                      <c:ext uri="{02D57815-91ED-43cb-92C2-25804820EDAC}">
                        <c15:formulaRef>
                          <c15:sqref>Kopsavilkums!$B$4:$B$16</c15:sqref>
                        </c15:formulaRef>
                      </c:ext>
                    </c:extLst>
                    <c:strCache>
                      <c:ptCount val="13"/>
                      <c:pt idx="0">
                        <c:v>Aizkraukles kultūras centrs</c:v>
                      </c:pt>
                      <c:pt idx="1">
                        <c:v>Kultūras pārvalde</c:v>
                      </c:pt>
                      <c:pt idx="2">
                        <c:v>Daudzevas saieta nams</c:v>
                      </c:pt>
                      <c:pt idx="3">
                        <c:v>Jaunjelgavas kultūras centrs</c:v>
                      </c:pt>
                      <c:pt idx="4">
                        <c:v>Kokneses kultūras centrs</c:v>
                      </c:pt>
                      <c:pt idx="5">
                        <c:v>Mazzalves saieta nams</c:v>
                      </c:pt>
                      <c:pt idx="6">
                        <c:v>Neretas kultūras centrs</c:v>
                      </c:pt>
                      <c:pt idx="7">
                        <c:v>Pļaviņu kultūras centrs</c:v>
                      </c:pt>
                      <c:pt idx="8">
                        <c:v>Seces kultūras nams</c:v>
                      </c:pt>
                      <c:pt idx="9">
                        <c:v>Sērenes tautas nams</c:v>
                      </c:pt>
                      <c:pt idx="10">
                        <c:v>Skrīveru kultūras centrs</c:v>
                      </c:pt>
                      <c:pt idx="11">
                        <c:v>Staburaga saieta nams</c:v>
                      </c:pt>
                      <c:pt idx="12">
                        <c:v>Sunākstes pagasta Saieta nams "Saulrieši"</c:v>
                      </c:pt>
                    </c:strCache>
                  </c:strRef>
                </c:cat>
                <c:val>
                  <c:numRef>
                    <c:extLst>
                      <c:ext uri="{02D57815-91ED-43cb-92C2-25804820EDAC}">
                        <c15:formulaRef>
                          <c15:sqref>Kopsavilkums!$C$4:$C$16</c15:sqref>
                        </c15:formulaRef>
                      </c:ext>
                    </c:extLst>
                    <c:numCache>
                      <c:formatCode>General</c:formatCode>
                      <c:ptCount val="13"/>
                      <c:pt idx="0">
                        <c:v>193</c:v>
                      </c:pt>
                      <c:pt idx="1">
                        <c:v>56</c:v>
                      </c:pt>
                      <c:pt idx="2">
                        <c:v>39</c:v>
                      </c:pt>
                      <c:pt idx="3">
                        <c:v>31</c:v>
                      </c:pt>
                      <c:pt idx="4">
                        <c:v>85</c:v>
                      </c:pt>
                      <c:pt idx="5">
                        <c:v>89</c:v>
                      </c:pt>
                      <c:pt idx="6">
                        <c:v>94</c:v>
                      </c:pt>
                      <c:pt idx="7">
                        <c:v>87</c:v>
                      </c:pt>
                      <c:pt idx="8">
                        <c:v>46</c:v>
                      </c:pt>
                      <c:pt idx="9">
                        <c:v>28</c:v>
                      </c:pt>
                      <c:pt idx="10">
                        <c:v>87</c:v>
                      </c:pt>
                      <c:pt idx="11">
                        <c:v>27</c:v>
                      </c:pt>
                      <c:pt idx="12">
                        <c:v>56</c:v>
                      </c:pt>
                    </c:numCache>
                  </c:numRef>
                </c:val>
                <c:extLst>
                  <c:ext xmlns:c16="http://schemas.microsoft.com/office/drawing/2014/chart" uri="{C3380CC4-5D6E-409C-BE32-E72D297353CC}">
                    <c16:uniqueId val="{00000001-E874-4070-ADB4-372F853F3F7A}"/>
                  </c:ext>
                </c:extLst>
              </c15:ser>
            </c15:filteredBarSeries>
            <c15:filteredBarSeries>
              <c15:ser>
                <c:idx val="1"/>
                <c:order val="1"/>
                <c:tx>
                  <c:strRef>
                    <c:extLst>
                      <c:ext uri="{02D57815-91ED-43cb-92C2-25804820EDAC}">
                        <c15:formulaRef>
                          <c15:sqref>Kopsavilkums!$D$3</c15:sqref>
                        </c15:formulaRef>
                      </c:ext>
                    </c:extLst>
                    <c:strCache>
                      <c:ptCount val="1"/>
                      <c:pt idx="0">
                        <c:v>Maksas
norises</c:v>
                      </c:pt>
                    </c:strCache>
                  </c:strRef>
                </c:tx>
                <c:spPr>
                  <a:solidFill xmlns:a="http://schemas.openxmlformats.org/drawingml/2006/main">
                    <a:schemeClr val="accent1">
                      <a:tint val="70000"/>
                    </a:schemeClr>
                  </a:solidFill>
                  <a:ln xmlns:a="http://schemas.openxmlformats.org/drawingml/2006/main">
                    <a:noFill/>
                  </a:ln>
                  <a:effectLst xmlns:a="http://schemas.openxmlformats.org/drawingml/2006/main"/>
                </c:spPr>
                <c:invertIfNegative val="0"/>
                <c:dLbls>
                  <c:spPr>
                    <a:noFill xmlns:a="http://schemas.openxmlformats.org/drawingml/2006/main"/>
                    <a:ln xmlns:a="http://schemas.openxmlformats.org/drawingml/2006/main">
                      <a:noFill/>
                    </a:ln>
                    <a:effectLst xmlns:a="http://schemas.openxmlformats.org/drawingml/2006/main"/>
                  </c:spPr>
                  <c:txPr>
                    <a:bodyPr xmlns:a="http://schemas.openxmlformats.org/drawingml/2006/main" anchor="ctr" anchorCtr="1" bIns="19050" lIns="38100" rIns="38100" rot="0" spcFirstLastPara="1" tIns="19050" vert="horz" vertOverflow="ellipsis" wrap="square">
                      <a:spAutoFit/>
                    </a:bodyPr>
                    <a:lstStyle xmlns:a="http://schemas.openxmlformats.org/drawingml/2006/main"/>
                    <a:p xmlns:a="http://schemas.openxmlformats.org/drawingml/2006/main">
                      <a:pPr>
                        <a:defRPr b="0" baseline="0" i="0" kern="1200" strike="noStrike" sz="900" u="none">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extLst>
                      <c:ext uri="{02D57815-91ED-43cb-92C2-25804820EDAC}">
                        <c15:formulaRef>
                          <c15:sqref>Kopsavilkums!$B$4:$B$16</c15:sqref>
                        </c15:formulaRef>
                      </c:ext>
                    </c:extLst>
                    <c:strCache>
                      <c:ptCount val="13"/>
                      <c:pt idx="0">
                        <c:v>Aizkraukles kultūras centrs</c:v>
                      </c:pt>
                      <c:pt idx="1">
                        <c:v>Kultūras pārvalde</c:v>
                      </c:pt>
                      <c:pt idx="2">
                        <c:v>Daudzevas saieta nams</c:v>
                      </c:pt>
                      <c:pt idx="3">
                        <c:v>Jaunjelgavas kultūras centrs</c:v>
                      </c:pt>
                      <c:pt idx="4">
                        <c:v>Kokneses kultūras centrs</c:v>
                      </c:pt>
                      <c:pt idx="5">
                        <c:v>Mazzalves saieta nams</c:v>
                      </c:pt>
                      <c:pt idx="6">
                        <c:v>Neretas kultūras centrs</c:v>
                      </c:pt>
                      <c:pt idx="7">
                        <c:v>Pļaviņu kultūras centrs</c:v>
                      </c:pt>
                      <c:pt idx="8">
                        <c:v>Seces kultūras nams</c:v>
                      </c:pt>
                      <c:pt idx="9">
                        <c:v>Sērenes tautas nams</c:v>
                      </c:pt>
                      <c:pt idx="10">
                        <c:v>Skrīveru kultūras centrs</c:v>
                      </c:pt>
                      <c:pt idx="11">
                        <c:v>Staburaga saieta nams</c:v>
                      </c:pt>
                      <c:pt idx="12">
                        <c:v>Sunākstes pagasta Saieta nams "Saulrieši"</c:v>
                      </c:pt>
                    </c:strCache>
                  </c:strRef>
                </c:cat>
                <c:val>
                  <c:numRef>
                    <c:extLst>
                      <c:ext uri="{02D57815-91ED-43cb-92C2-25804820EDAC}">
                        <c15:formulaRef>
                          <c15:sqref>Kopsavilkums!$D$4:$D$16</c15:sqref>
                        </c15:formulaRef>
                      </c:ext>
                    </c:extLst>
                    <c:numCache>
                      <c:formatCode>General</c:formatCode>
                      <c:ptCount val="13"/>
                      <c:pt idx="0">
                        <c:v>45</c:v>
                      </c:pt>
                      <c:pt idx="2">
                        <c:v>25</c:v>
                      </c:pt>
                      <c:pt idx="3">
                        <c:v>6</c:v>
                      </c:pt>
                      <c:pt idx="4">
                        <c:v>40</c:v>
                      </c:pt>
                      <c:pt idx="5">
                        <c:v>34</c:v>
                      </c:pt>
                      <c:pt idx="6">
                        <c:v>32</c:v>
                      </c:pt>
                      <c:pt idx="7">
                        <c:v>29</c:v>
                      </c:pt>
                      <c:pt idx="9">
                        <c:v>3</c:v>
                      </c:pt>
                      <c:pt idx="10">
                        <c:v>19</c:v>
                      </c:pt>
                      <c:pt idx="11">
                        <c:v>10</c:v>
                      </c:pt>
                      <c:pt idx="12">
                        <c:v>14</c:v>
                      </c:pt>
                    </c:numCache>
                  </c:numRef>
                </c:val>
                <c:extLst>
                  <c:ext xmlns:c16="http://schemas.microsoft.com/office/drawing/2014/chart" uri="{C3380CC4-5D6E-409C-BE32-E72D297353CC}">
                    <c16:uniqueId val="{00000002-E874-4070-ADB4-372F853F3F7A}"/>
                  </c:ext>
                </c:extLst>
              </c15:ser>
            </c15:filteredBarSeries>
            <c15:filteredBarSeries>
              <c15:ser>
                <c:idx val="2"/>
                <c:order val="2"/>
                <c:tx>
                  <c:strRef>
                    <c:extLst>
                      <c:ext uri="{02D57815-91ED-43cb-92C2-25804820EDAC}">
                        <c15:formulaRef>
                          <c15:sqref>Kopsavilkums!$E$3</c15:sqref>
                        </c15:formulaRef>
                      </c:ext>
                    </c:extLst>
                    <c:strCache>
                      <c:ptCount val="1"/>
                      <c:pt idx="0">
                        <c:v>Bezmaksas
norises</c:v>
                      </c:pt>
                    </c:strCache>
                  </c:strRef>
                </c:tx>
                <c:spPr>
                  <a:solidFill xmlns:a="http://schemas.openxmlformats.org/drawingml/2006/main">
                    <a:schemeClr val="accent1">
                      <a:tint val="90000"/>
                    </a:schemeClr>
                  </a:solidFill>
                  <a:ln xmlns:a="http://schemas.openxmlformats.org/drawingml/2006/main">
                    <a:noFill/>
                  </a:ln>
                  <a:effectLst xmlns:a="http://schemas.openxmlformats.org/drawingml/2006/main"/>
                </c:spPr>
                <c:invertIfNegative val="0"/>
                <c:dLbls>
                  <c:spPr>
                    <a:noFill xmlns:a="http://schemas.openxmlformats.org/drawingml/2006/main"/>
                    <a:ln xmlns:a="http://schemas.openxmlformats.org/drawingml/2006/main">
                      <a:noFill/>
                    </a:ln>
                    <a:effectLst xmlns:a="http://schemas.openxmlformats.org/drawingml/2006/main"/>
                  </c:spPr>
                  <c:txPr>
                    <a:bodyPr xmlns:a="http://schemas.openxmlformats.org/drawingml/2006/main" anchor="ctr" anchorCtr="1" bIns="19050" lIns="38100" rIns="38100" rot="0" spcFirstLastPara="1" tIns="19050" vert="horz" vertOverflow="ellipsis" wrap="square">
                      <a:spAutoFit/>
                    </a:bodyPr>
                    <a:lstStyle xmlns:a="http://schemas.openxmlformats.org/drawingml/2006/main"/>
                    <a:p xmlns:a="http://schemas.openxmlformats.org/drawingml/2006/main">
                      <a:pPr>
                        <a:defRPr b="0" baseline="0" i="0" kern="1200" strike="noStrike" sz="900" u="none">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extLst>
                      <c:ext uri="{02D57815-91ED-43cb-92C2-25804820EDAC}">
                        <c15:formulaRef>
                          <c15:sqref>Kopsavilkums!$B$4:$B$16</c15:sqref>
                        </c15:formulaRef>
                      </c:ext>
                    </c:extLst>
                    <c:strCache>
                      <c:ptCount val="13"/>
                      <c:pt idx="0">
                        <c:v>Aizkraukles kultūras centrs</c:v>
                      </c:pt>
                      <c:pt idx="1">
                        <c:v>Kultūras pārvalde</c:v>
                      </c:pt>
                      <c:pt idx="2">
                        <c:v>Daudzevas saieta nams</c:v>
                      </c:pt>
                      <c:pt idx="3">
                        <c:v>Jaunjelgavas kultūras centrs</c:v>
                      </c:pt>
                      <c:pt idx="4">
                        <c:v>Kokneses kultūras centrs</c:v>
                      </c:pt>
                      <c:pt idx="5">
                        <c:v>Mazzalves saieta nams</c:v>
                      </c:pt>
                      <c:pt idx="6">
                        <c:v>Neretas kultūras centrs</c:v>
                      </c:pt>
                      <c:pt idx="7">
                        <c:v>Pļaviņu kultūras centrs</c:v>
                      </c:pt>
                      <c:pt idx="8">
                        <c:v>Seces kultūras nams</c:v>
                      </c:pt>
                      <c:pt idx="9">
                        <c:v>Sērenes tautas nams</c:v>
                      </c:pt>
                      <c:pt idx="10">
                        <c:v>Skrīveru kultūras centrs</c:v>
                      </c:pt>
                      <c:pt idx="11">
                        <c:v>Staburaga saieta nams</c:v>
                      </c:pt>
                      <c:pt idx="12">
                        <c:v>Sunākstes pagasta Saieta nams "Saulrieši"</c:v>
                      </c:pt>
                    </c:strCache>
                  </c:strRef>
                </c:cat>
                <c:val>
                  <c:numRef>
                    <c:extLst>
                      <c:ext uri="{02D57815-91ED-43cb-92C2-25804820EDAC}">
                        <c15:formulaRef>
                          <c15:sqref>Kopsavilkums!$E$4:$E$16</c15:sqref>
                        </c15:formulaRef>
                      </c:ext>
                    </c:extLst>
                    <c:numCache>
                      <c:formatCode>General</c:formatCode>
                      <c:ptCount val="13"/>
                      <c:pt idx="0">
                        <c:v>148</c:v>
                      </c:pt>
                      <c:pt idx="2">
                        <c:v>14</c:v>
                      </c:pt>
                      <c:pt idx="3">
                        <c:v>25</c:v>
                      </c:pt>
                      <c:pt idx="4">
                        <c:v>45</c:v>
                      </c:pt>
                      <c:pt idx="5">
                        <c:v>55</c:v>
                      </c:pt>
                      <c:pt idx="6">
                        <c:v>62</c:v>
                      </c:pt>
                      <c:pt idx="7">
                        <c:v>58</c:v>
                      </c:pt>
                      <c:pt idx="9">
                        <c:v>25</c:v>
                      </c:pt>
                      <c:pt idx="10">
                        <c:v>68</c:v>
                      </c:pt>
                      <c:pt idx="11">
                        <c:v>17</c:v>
                      </c:pt>
                      <c:pt idx="12">
                        <c:v>42</c:v>
                      </c:pt>
                    </c:numCache>
                  </c:numRef>
                </c:val>
                <c:extLst>
                  <c:ext xmlns:c16="http://schemas.microsoft.com/office/drawing/2014/chart" uri="{C3380CC4-5D6E-409C-BE32-E72D297353CC}">
                    <c16:uniqueId val="{00000003-E874-4070-ADB4-372F853F3F7A}"/>
                  </c:ext>
                </c:extLst>
              </c15:ser>
            </c15:filteredBarSeries>
            <c15:filteredBarSeries>
              <c15:ser>
                <c:idx val="4"/>
                <c:order val="4"/>
                <c:tx>
                  <c:strRef>
                    <c:extLst>
                      <c:ext uri="{02D57815-91ED-43cb-92C2-25804820EDAC}">
                        <c15:formulaRef>
                          <c15:sqref>Kopsavilkums!$G$3</c15:sqref>
                        </c15:formulaRef>
                      </c:ext>
                    </c:extLst>
                    <c:strCache>
                      <c:ptCount val="1"/>
                      <c:pt idx="0">
                        <c:v>Maksas
apmeklējumi</c:v>
                      </c:pt>
                    </c:strCache>
                  </c:strRef>
                </c:tx>
                <c:spPr>
                  <a:solidFill xmlns:a="http://schemas.openxmlformats.org/drawingml/2006/main">
                    <a:schemeClr val="accent1">
                      <a:shade val="70000"/>
                    </a:schemeClr>
                  </a:solidFill>
                  <a:ln xmlns:a="http://schemas.openxmlformats.org/drawingml/2006/main">
                    <a:noFill/>
                  </a:ln>
                  <a:effectLst xmlns:a="http://schemas.openxmlformats.org/drawingml/2006/main"/>
                </c:spPr>
                <c:invertIfNegative val="0"/>
                <c:dLbls>
                  <c:spPr>
                    <a:noFill xmlns:a="http://schemas.openxmlformats.org/drawingml/2006/main"/>
                    <a:ln xmlns:a="http://schemas.openxmlformats.org/drawingml/2006/main">
                      <a:noFill/>
                    </a:ln>
                    <a:effectLst xmlns:a="http://schemas.openxmlformats.org/drawingml/2006/main"/>
                  </c:spPr>
                  <c:txPr>
                    <a:bodyPr xmlns:a="http://schemas.openxmlformats.org/drawingml/2006/main" anchor="ctr" anchorCtr="1" bIns="19050" lIns="38100" rIns="38100" rot="0" spcFirstLastPara="1" tIns="19050" vert="horz" vertOverflow="ellipsis" wrap="square">
                      <a:spAutoFit/>
                    </a:bodyPr>
                    <a:lstStyle xmlns:a="http://schemas.openxmlformats.org/drawingml/2006/main"/>
                    <a:p xmlns:a="http://schemas.openxmlformats.org/drawingml/2006/main">
                      <a:pPr>
                        <a:defRPr b="0" baseline="0" i="0" kern="1200" strike="noStrike" sz="900" u="none">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extLst>
                      <c:ext uri="{02D57815-91ED-43cb-92C2-25804820EDAC}">
                        <c15:formulaRef>
                          <c15:sqref>Kopsavilkums!$B$4:$B$16</c15:sqref>
                        </c15:formulaRef>
                      </c:ext>
                    </c:extLst>
                    <c:strCache>
                      <c:ptCount val="13"/>
                      <c:pt idx="0">
                        <c:v>Aizkraukles kultūras centrs</c:v>
                      </c:pt>
                      <c:pt idx="1">
                        <c:v>Kultūras pārvalde</c:v>
                      </c:pt>
                      <c:pt idx="2">
                        <c:v>Daudzevas saieta nams</c:v>
                      </c:pt>
                      <c:pt idx="3">
                        <c:v>Jaunjelgavas kultūras centrs</c:v>
                      </c:pt>
                      <c:pt idx="4">
                        <c:v>Kokneses kultūras centrs</c:v>
                      </c:pt>
                      <c:pt idx="5">
                        <c:v>Mazzalves saieta nams</c:v>
                      </c:pt>
                      <c:pt idx="6">
                        <c:v>Neretas kultūras centrs</c:v>
                      </c:pt>
                      <c:pt idx="7">
                        <c:v>Pļaviņu kultūras centrs</c:v>
                      </c:pt>
                      <c:pt idx="8">
                        <c:v>Seces kultūras nams</c:v>
                      </c:pt>
                      <c:pt idx="9">
                        <c:v>Sērenes tautas nams</c:v>
                      </c:pt>
                      <c:pt idx="10">
                        <c:v>Skrīveru kultūras centrs</c:v>
                      </c:pt>
                      <c:pt idx="11">
                        <c:v>Staburaga saieta nams</c:v>
                      </c:pt>
                      <c:pt idx="12">
                        <c:v>Sunākstes pagasta Saieta nams "Saulrieši"</c:v>
                      </c:pt>
                    </c:strCache>
                  </c:strRef>
                </c:cat>
                <c:val>
                  <c:numRef>
                    <c:extLst>
                      <c:ext uri="{02D57815-91ED-43cb-92C2-25804820EDAC}">
                        <c15:formulaRef>
                          <c15:sqref>Kopsavilkums!$G$4:$G$16</c15:sqref>
                        </c15:formulaRef>
                      </c:ext>
                    </c:extLst>
                    <c:numCache>
                      <c:formatCode>General</c:formatCode>
                      <c:ptCount val="13"/>
                      <c:pt idx="0">
                        <c:v>13712</c:v>
                      </c:pt>
                      <c:pt idx="2">
                        <c:v>835</c:v>
                      </c:pt>
                      <c:pt idx="3">
                        <c:v>480</c:v>
                      </c:pt>
                      <c:pt idx="4">
                        <c:v>3409</c:v>
                      </c:pt>
                      <c:pt idx="5">
                        <c:v>1053</c:v>
                      </c:pt>
                      <c:pt idx="6">
                        <c:v>1780</c:v>
                      </c:pt>
                      <c:pt idx="7">
                        <c:v>2540</c:v>
                      </c:pt>
                      <c:pt idx="9">
                        <c:v>260</c:v>
                      </c:pt>
                      <c:pt idx="10">
                        <c:v>3062</c:v>
                      </c:pt>
                      <c:pt idx="11">
                        <c:v>455</c:v>
                      </c:pt>
                      <c:pt idx="12">
                        <c:v>336</c:v>
                      </c:pt>
                    </c:numCache>
                  </c:numRef>
                </c:val>
                <c:extLst>
                  <c:ext xmlns:c16="http://schemas.microsoft.com/office/drawing/2014/chart" uri="{C3380CC4-5D6E-409C-BE32-E72D297353CC}">
                    <c16:uniqueId val="{00000004-E874-4070-ADB4-372F853F3F7A}"/>
                  </c:ext>
                </c:extLst>
              </c15:ser>
            </c15:filteredBarSeries>
            <c15:filteredBarSeries>
              <c15:ser>
                <c:idx val="5"/>
                <c:order val="5"/>
                <c:tx>
                  <c:strRef>
                    <c:extLst>
                      <c:ext uri="{02D57815-91ED-43cb-92C2-25804820EDAC}">
                        <c15:formulaRef>
                          <c15:sqref>Kopsavilkums!$H$3</c15:sqref>
                        </c15:formulaRef>
                      </c:ext>
                    </c:extLst>
                    <c:strCache>
                      <c:ptCount val="1"/>
                      <c:pt idx="0">
                        <c:v>Bezmaksas
apmeklējumi</c:v>
                      </c:pt>
                    </c:strCache>
                  </c:strRef>
                </c:tx>
                <c:spPr>
                  <a:solidFill xmlns:a="http://schemas.openxmlformats.org/drawingml/2006/main">
                    <a:schemeClr val="accent1">
                      <a:shade val="50000"/>
                    </a:schemeClr>
                  </a:solidFill>
                  <a:ln xmlns:a="http://schemas.openxmlformats.org/drawingml/2006/main">
                    <a:noFill/>
                  </a:ln>
                  <a:effectLst xmlns:a="http://schemas.openxmlformats.org/drawingml/2006/main"/>
                </c:spPr>
                <c:invertIfNegative val="0"/>
                <c:dLbls>
                  <c:spPr>
                    <a:noFill xmlns:a="http://schemas.openxmlformats.org/drawingml/2006/main"/>
                    <a:ln xmlns:a="http://schemas.openxmlformats.org/drawingml/2006/main">
                      <a:noFill/>
                    </a:ln>
                    <a:effectLst xmlns:a="http://schemas.openxmlformats.org/drawingml/2006/main"/>
                  </c:spPr>
                  <c:txPr>
                    <a:bodyPr xmlns:a="http://schemas.openxmlformats.org/drawingml/2006/main" anchor="ctr" anchorCtr="1" bIns="19050" lIns="38100" rIns="38100" rot="0" spcFirstLastPara="1" tIns="19050" vert="horz" vertOverflow="ellipsis" wrap="square">
                      <a:spAutoFit/>
                    </a:bodyPr>
                    <a:lstStyle xmlns:a="http://schemas.openxmlformats.org/drawingml/2006/main"/>
                    <a:p xmlns:a="http://schemas.openxmlformats.org/drawingml/2006/main">
                      <a:pPr>
                        <a:defRPr b="0" baseline="0" i="0" kern="1200" strike="noStrike" sz="900" u="none">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extLst>
                      <c:ext uri="{02D57815-91ED-43cb-92C2-25804820EDAC}">
                        <c15:formulaRef>
                          <c15:sqref>Kopsavilkums!$B$4:$B$16</c15:sqref>
                        </c15:formulaRef>
                      </c:ext>
                    </c:extLst>
                    <c:strCache>
                      <c:ptCount val="13"/>
                      <c:pt idx="0">
                        <c:v>Aizkraukles kultūras centrs</c:v>
                      </c:pt>
                      <c:pt idx="1">
                        <c:v>Kultūras pārvalde</c:v>
                      </c:pt>
                      <c:pt idx="2">
                        <c:v>Daudzevas saieta nams</c:v>
                      </c:pt>
                      <c:pt idx="3">
                        <c:v>Jaunjelgavas kultūras centrs</c:v>
                      </c:pt>
                      <c:pt idx="4">
                        <c:v>Kokneses kultūras centrs</c:v>
                      </c:pt>
                      <c:pt idx="5">
                        <c:v>Mazzalves saieta nams</c:v>
                      </c:pt>
                      <c:pt idx="6">
                        <c:v>Neretas kultūras centrs</c:v>
                      </c:pt>
                      <c:pt idx="7">
                        <c:v>Pļaviņu kultūras centrs</c:v>
                      </c:pt>
                      <c:pt idx="8">
                        <c:v>Seces kultūras nams</c:v>
                      </c:pt>
                      <c:pt idx="9">
                        <c:v>Sērenes tautas nams</c:v>
                      </c:pt>
                      <c:pt idx="10">
                        <c:v>Skrīveru kultūras centrs</c:v>
                      </c:pt>
                      <c:pt idx="11">
                        <c:v>Staburaga saieta nams</c:v>
                      </c:pt>
                      <c:pt idx="12">
                        <c:v>Sunākstes pagasta Saieta nams "Saulrieši"</c:v>
                      </c:pt>
                    </c:strCache>
                  </c:strRef>
                </c:cat>
                <c:val>
                  <c:numRef>
                    <c:extLst>
                      <c:ext uri="{02D57815-91ED-43cb-92C2-25804820EDAC}">
                        <c15:formulaRef>
                          <c15:sqref>Kopsavilkums!$H$4:$H$16</c15:sqref>
                        </c15:formulaRef>
                      </c:ext>
                    </c:extLst>
                    <c:numCache>
                      <c:formatCode>General</c:formatCode>
                      <c:ptCount val="13"/>
                      <c:pt idx="0">
                        <c:v>20359</c:v>
                      </c:pt>
                      <c:pt idx="2">
                        <c:v>850</c:v>
                      </c:pt>
                      <c:pt idx="3">
                        <c:v>3180</c:v>
                      </c:pt>
                      <c:pt idx="4">
                        <c:v>4430</c:v>
                      </c:pt>
                      <c:pt idx="5">
                        <c:v>2489</c:v>
                      </c:pt>
                      <c:pt idx="6">
                        <c:v>5400</c:v>
                      </c:pt>
                      <c:pt idx="7">
                        <c:v>5420</c:v>
                      </c:pt>
                      <c:pt idx="9">
                        <c:v>914</c:v>
                      </c:pt>
                      <c:pt idx="10">
                        <c:v>10220</c:v>
                      </c:pt>
                      <c:pt idx="11">
                        <c:v>822</c:v>
                      </c:pt>
                      <c:pt idx="12">
                        <c:v>1922</c:v>
                      </c:pt>
                    </c:numCache>
                  </c:numRef>
                </c:val>
                <c:extLst>
                  <c:ext xmlns:c16="http://schemas.microsoft.com/office/drawing/2014/chart" uri="{C3380CC4-5D6E-409C-BE32-E72D297353CC}">
                    <c16:uniqueId val="{00000005-E874-4070-ADB4-372F853F3F7A}"/>
                  </c:ext>
                </c:extLst>
              </c15:ser>
            </c15:filteredBarSeries>
          </c:ext>
        </c:extLst>
      </c:barChart>
      <c:catAx>
        <c:axId val="128795591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87962639"/>
        <c:crosses val="autoZero"/>
        <c:auto val="1"/>
        <c:lblAlgn val="ctr"/>
        <c:lblOffset val="100"/>
        <c:noMultiLvlLbl val="0"/>
      </c:catAx>
      <c:valAx>
        <c:axId val="1287962639"/>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8795591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BC5C-63EA-4124-B319-4AD47136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86234</Words>
  <Characters>49154</Characters>
  <Application>Microsoft Office Word</Application>
  <DocSecurity>0</DocSecurity>
  <Lines>409</Lines>
  <Paragraphs>270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Aizkraukles novada publiskais pārskats 2025</dc:title>
  <dc:creator>Daiga Naroga</dc:creator>
  <cp:lastModifiedBy>Daiga Naroga</cp:lastModifiedBy>
  <cp:revision>3</cp:revision>
  <dcterms:created xsi:type="dcterms:W3CDTF">2026-06-19T11:10:00Z</dcterms:created>
  <dcterms:modified xsi:type="dcterms:W3CDTF">2026-06-19T11:11:00Z</dcterms:modified>
</cp:coreProperties>
</file>