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ED5A" w14:textId="201BFC3C" w:rsidR="00384852" w:rsidRPr="004B6EFD" w:rsidRDefault="00822B98" w:rsidP="00783A2A">
      <w:pPr>
        <w:pStyle w:val="NormalWeb"/>
        <w:spacing w:before="120" w:beforeAutospacing="0" w:after="0" w:afterAutospacing="0"/>
        <w:ind w:left="22" w:right="55" w:hanging="1"/>
        <w:jc w:val="center"/>
        <w:rPr>
          <w:b/>
          <w:bCs/>
          <w:color w:val="00B050"/>
          <w:sz w:val="28"/>
          <w:szCs w:val="28"/>
          <w:shd w:val="clear" w:color="auto" w:fill="FFFFFF"/>
        </w:rPr>
      </w:pPr>
      <w:r w:rsidRPr="004B6EFD">
        <w:rPr>
          <w:b/>
          <w:bCs/>
          <w:color w:val="00B050"/>
          <w:sz w:val="28"/>
          <w:szCs w:val="28"/>
        </w:rPr>
        <w:t>Vadlīnijas saistošo noteikumu izstrāde</w:t>
      </w:r>
      <w:r w:rsidR="009C6EDC" w:rsidRPr="004B6EFD">
        <w:rPr>
          <w:b/>
          <w:bCs/>
          <w:color w:val="00B050"/>
          <w:sz w:val="28"/>
          <w:szCs w:val="28"/>
        </w:rPr>
        <w:t>i p</w:t>
      </w:r>
      <w:r w:rsidR="00314A75" w:rsidRPr="004B6EFD">
        <w:rPr>
          <w:b/>
          <w:bCs/>
          <w:color w:val="00B050"/>
          <w:sz w:val="28"/>
          <w:szCs w:val="28"/>
          <w:shd w:val="clear" w:color="auto" w:fill="FFFFFF"/>
        </w:rPr>
        <w:t>ar teritoriju un būvju uzturēšanu</w:t>
      </w:r>
    </w:p>
    <w:p w14:paraId="76EA1EAE" w14:textId="24C88BDB" w:rsidR="003F5290" w:rsidRPr="004B6EFD" w:rsidRDefault="003F5290" w:rsidP="00783A2A">
      <w:pPr>
        <w:pStyle w:val="tv213"/>
        <w:shd w:val="clear" w:color="auto" w:fill="FFFFFF"/>
        <w:spacing w:before="120" w:beforeAutospacing="0" w:after="0" w:afterAutospacing="0"/>
        <w:jc w:val="both"/>
        <w:rPr>
          <w:b/>
          <w:bCs/>
        </w:rPr>
      </w:pPr>
      <w:r w:rsidRPr="004B6EFD">
        <w:rPr>
          <w:b/>
          <w:bCs/>
        </w:rPr>
        <w:t xml:space="preserve">Saskaņā ar Pašvaldību likuma 47. panta </w:t>
      </w:r>
      <w:r w:rsidR="00F42E7F" w:rsidRPr="004B6EFD">
        <w:rPr>
          <w:b/>
          <w:bCs/>
        </w:rPr>
        <w:t>otro</w:t>
      </w:r>
      <w:r w:rsidRPr="004B6EFD">
        <w:rPr>
          <w:b/>
          <w:bCs/>
        </w:rPr>
        <w:t xml:space="preserve"> daļu</w:t>
      </w:r>
      <w:r w:rsidR="000D2B1D" w:rsidRPr="004B6EFD">
        <w:rPr>
          <w:rStyle w:val="FootnoteReference"/>
          <w:rFonts w:eastAsia="Calibri"/>
          <w:b/>
          <w:bCs/>
        </w:rPr>
        <w:footnoteReference w:id="1"/>
      </w:r>
      <w:r w:rsidRPr="004B6EFD">
        <w:rPr>
          <w:b/>
          <w:bCs/>
        </w:rPr>
        <w:t xml:space="preserve"> saistošie noteikumi</w:t>
      </w:r>
      <w:r w:rsidR="000D2B1D" w:rsidRPr="004B6EFD">
        <w:rPr>
          <w:b/>
          <w:bCs/>
        </w:rPr>
        <w:t xml:space="preserve"> par teritoriju un būvju uzturēšanu, ciktāl tas saistīts ar sabiedrības drošību, sanitārās tīrības uzturēšanu un pilsētvides ainavas saglabāšanu</w:t>
      </w:r>
      <w:r w:rsidRPr="004B6EFD">
        <w:rPr>
          <w:b/>
          <w:bCs/>
        </w:rPr>
        <w:t xml:space="preserve"> nosūtāmi </w:t>
      </w:r>
      <w:r w:rsidR="004B452F" w:rsidRPr="004B6EFD">
        <w:rPr>
          <w:b/>
          <w:bCs/>
        </w:rPr>
        <w:t>Viedās administrācijas un reģionālās attīstības ministrijai (turpmāk – </w:t>
      </w:r>
      <w:r w:rsidRPr="004B6EFD">
        <w:rPr>
          <w:b/>
          <w:bCs/>
        </w:rPr>
        <w:t>VARAM</w:t>
      </w:r>
      <w:r w:rsidR="004B452F" w:rsidRPr="004B6EFD">
        <w:rPr>
          <w:b/>
          <w:bCs/>
        </w:rPr>
        <w:t>)</w:t>
      </w:r>
      <w:r w:rsidRPr="004B6EFD">
        <w:rPr>
          <w:b/>
          <w:bCs/>
        </w:rPr>
        <w:t xml:space="preserve"> izvērtēšanai un atzinuma sniegšanai.</w:t>
      </w:r>
    </w:p>
    <w:p w14:paraId="581AFD3B" w14:textId="77777777" w:rsidR="00265BCA" w:rsidRPr="004B6EFD" w:rsidRDefault="00B05BE4" w:rsidP="00783A2A">
      <w:pPr>
        <w:pStyle w:val="NormalWeb"/>
        <w:spacing w:before="120" w:beforeAutospacing="0" w:after="0" w:afterAutospacing="0"/>
        <w:ind w:right="-6"/>
        <w:jc w:val="both"/>
      </w:pPr>
      <w:r w:rsidRPr="004B6EFD">
        <w:rPr>
          <w:shd w:val="clear" w:color="auto" w:fill="FFFFFF"/>
        </w:rPr>
        <w:t>Saistošo noteikumu izdošanas tiesiskais pamatojums</w:t>
      </w:r>
      <w:r w:rsidRPr="004B6EFD">
        <w:rPr>
          <w:rStyle w:val="FootnoteReference"/>
          <w:shd w:val="clear" w:color="auto" w:fill="FFFFFF"/>
        </w:rPr>
        <w:footnoteReference w:id="2"/>
      </w:r>
      <w:r w:rsidRPr="004B6EFD">
        <w:rPr>
          <w:shd w:val="clear" w:color="auto" w:fill="FFFFFF"/>
        </w:rPr>
        <w:t xml:space="preserve"> ir </w:t>
      </w:r>
      <w:r w:rsidR="00E8255C" w:rsidRPr="004B6EFD">
        <w:t xml:space="preserve">Pašvaldību likuma </w:t>
      </w:r>
      <w:r w:rsidR="002D742C" w:rsidRPr="004B6EFD">
        <w:t>45.</w:t>
      </w:r>
      <w:r w:rsidR="00443067" w:rsidRPr="004B6EFD">
        <w:t> </w:t>
      </w:r>
      <w:r w:rsidR="002D742C" w:rsidRPr="004B6EFD">
        <w:t>panta pirmās daļas 3. punkts</w:t>
      </w:r>
      <w:r w:rsidRPr="004B6EFD">
        <w:t xml:space="preserve">, kas </w:t>
      </w:r>
      <w:r w:rsidR="00E4353F" w:rsidRPr="004B6EFD">
        <w:t xml:space="preserve">noteic, ka </w:t>
      </w:r>
      <w:r w:rsidR="00BF364C" w:rsidRPr="004B6EFD">
        <w:t>dome ir tiesīga izdot saistošos noteikumus un paredzēt administratīvo atbildību par to pārkāpšanu, nosakot administratīvos pārkāpumus un par tiem piemērojamos administratīvos sodus, ja likumos nav noteikts citādi,</w:t>
      </w:r>
      <w:r w:rsidR="00E4353F" w:rsidRPr="004B6EFD">
        <w:t xml:space="preserve"> </w:t>
      </w:r>
      <w:r w:rsidR="000D2B1D" w:rsidRPr="004B6EFD">
        <w:t>par teritoriju un būvju uzturēšanu, ciktāl tas saistīts ar sabiedrības drošību, sanitārās tīrības uzturēšanu un pilsētvides ainavas saglabāšanu.</w:t>
      </w:r>
      <w:r w:rsidR="00E4353F" w:rsidRPr="004B6EFD">
        <w:t xml:space="preserve"> Izstrādājot saistošo</w:t>
      </w:r>
      <w:r w:rsidR="00822B98" w:rsidRPr="004B6EFD">
        <w:t xml:space="preserve">s noteikumus saskaņā ar </w:t>
      </w:r>
      <w:r w:rsidR="00821D41" w:rsidRPr="004B6EFD">
        <w:t>Pašvaldību likuma</w:t>
      </w:r>
      <w:r w:rsidR="00E4353F" w:rsidRPr="004B6EFD">
        <w:t xml:space="preserve"> 4</w:t>
      </w:r>
      <w:r w:rsidR="005362E7" w:rsidRPr="004B6EFD">
        <w:t>5</w:t>
      </w:r>
      <w:r w:rsidR="00E4353F" w:rsidRPr="004B6EFD">
        <w:t>.</w:t>
      </w:r>
      <w:r w:rsidR="005362E7" w:rsidRPr="004B6EFD">
        <w:t> </w:t>
      </w:r>
      <w:r w:rsidR="00E4353F" w:rsidRPr="004B6EFD">
        <w:t xml:space="preserve">panta pirmās daļas </w:t>
      </w:r>
      <w:r w:rsidR="005362E7" w:rsidRPr="004B6EFD">
        <w:t>3</w:t>
      </w:r>
      <w:r w:rsidR="00E4353F" w:rsidRPr="004B6EFD">
        <w:t>.</w:t>
      </w:r>
      <w:r w:rsidR="0003582E" w:rsidRPr="004B6EFD">
        <w:t> </w:t>
      </w:r>
      <w:r w:rsidR="00E4353F" w:rsidRPr="004B6EFD">
        <w:t>punkt</w:t>
      </w:r>
      <w:r w:rsidR="00CF7468" w:rsidRPr="004B6EFD">
        <w:t>u</w:t>
      </w:r>
      <w:r w:rsidR="00E4353F" w:rsidRPr="004B6EFD">
        <w:t>, ir nepieciešams ņemt vērā sekojošo.</w:t>
      </w:r>
    </w:p>
    <w:p w14:paraId="3A66C414" w14:textId="6139F5D8" w:rsidR="00E4353F" w:rsidRPr="004B6EFD" w:rsidRDefault="00265BCA" w:rsidP="00783A2A">
      <w:pPr>
        <w:pStyle w:val="NormalWeb"/>
        <w:spacing w:before="120" w:beforeAutospacing="0" w:after="0" w:afterAutospacing="0"/>
        <w:ind w:right="-6"/>
        <w:jc w:val="both"/>
      </w:pPr>
      <w:r w:rsidRPr="004B6EFD">
        <w:t>Vēršam uzmanību, ka Pašvaldību likuma 45. 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 pantā noteiktās tiesības ikvienam zināt savas tiesības.</w:t>
      </w:r>
    </w:p>
    <w:p w14:paraId="137CFA9A" w14:textId="59949AC2" w:rsidR="00E4353F" w:rsidRPr="004B6EFD" w:rsidRDefault="00DD5738" w:rsidP="00783A2A">
      <w:pPr>
        <w:pStyle w:val="NormalWeb"/>
        <w:spacing w:before="120" w:beforeAutospacing="0" w:after="0" w:afterAutospacing="0"/>
        <w:ind w:left="20" w:right="-6" w:firstLine="1"/>
        <w:jc w:val="center"/>
        <w:rPr>
          <w:b/>
          <w:bCs/>
        </w:rPr>
      </w:pPr>
      <w:r w:rsidRPr="004B6EFD">
        <w:rPr>
          <w:b/>
          <w:bCs/>
        </w:rPr>
        <w:t>K</w:t>
      </w:r>
      <w:r w:rsidR="00E4353F" w:rsidRPr="004B6EFD">
        <w:rPr>
          <w:b/>
          <w:bCs/>
        </w:rPr>
        <w:t>as jā</w:t>
      </w:r>
      <w:r w:rsidRPr="004B6EFD">
        <w:rPr>
          <w:b/>
          <w:bCs/>
        </w:rPr>
        <w:t>ņem vērā</w:t>
      </w:r>
      <w:r w:rsidR="00822B98" w:rsidRPr="004B6EFD">
        <w:rPr>
          <w:b/>
          <w:bCs/>
        </w:rPr>
        <w:t>,</w:t>
      </w:r>
      <w:r w:rsidR="00E4353F" w:rsidRPr="004B6EFD">
        <w:rPr>
          <w:b/>
          <w:bCs/>
        </w:rPr>
        <w:t xml:space="preserve"> izstrādājot saistošos noteikumus</w:t>
      </w:r>
    </w:p>
    <w:p w14:paraId="5E517105" w14:textId="4EC72B7B" w:rsidR="006E1839" w:rsidRPr="004B6EFD" w:rsidRDefault="006E1839" w:rsidP="00783A2A">
      <w:pPr>
        <w:pStyle w:val="NormalWeb"/>
        <w:numPr>
          <w:ilvl w:val="0"/>
          <w:numId w:val="7"/>
        </w:numPr>
        <w:spacing w:before="120" w:beforeAutospacing="0" w:after="0" w:afterAutospacing="0"/>
        <w:ind w:left="0" w:firstLine="0"/>
        <w:jc w:val="both"/>
      </w:pPr>
      <w:bookmarkStart w:id="0" w:name="_Hlk215228290"/>
      <w:r w:rsidRPr="004B6EFD">
        <w:t>Izstrādājot saistošos noteikumus, jāņem vērā Ministru kabineta 2009. gada 3. februāra noteikumi Nr. 108 “Normatīvo aktu projektu sagatavošanas noteikumi”.</w:t>
      </w:r>
      <w:bookmarkEnd w:id="0"/>
    </w:p>
    <w:p w14:paraId="6A51804C" w14:textId="0F268C0A" w:rsidR="0047578F" w:rsidRPr="004B6EFD" w:rsidRDefault="00E4353F" w:rsidP="00783A2A">
      <w:pPr>
        <w:pStyle w:val="NormalWeb"/>
        <w:numPr>
          <w:ilvl w:val="0"/>
          <w:numId w:val="7"/>
        </w:numPr>
        <w:spacing w:before="120" w:beforeAutospacing="0" w:after="0" w:afterAutospacing="0"/>
        <w:ind w:left="0" w:firstLine="0"/>
        <w:jc w:val="both"/>
      </w:pPr>
      <w:r w:rsidRPr="004B6EFD">
        <w:t>Satversmes tiesa ir atzinusi, ka īpašuma tiesības var ierobežot, ja ierobežojumi ir attaisnojami, proti, ja tie ir noteikti saskaņā ar likumu, tiem ir leģitīms mērķis un tie ir samērīgi</w:t>
      </w:r>
      <w:r w:rsidR="00632173" w:rsidRPr="004B6EFD">
        <w:rPr>
          <w:rStyle w:val="FootnoteReference"/>
        </w:rPr>
        <w:footnoteReference w:id="3"/>
      </w:r>
      <w:r w:rsidR="002C015C" w:rsidRPr="004B6EFD">
        <w:t xml:space="preserve">. </w:t>
      </w:r>
      <w:r w:rsidRPr="004B6EFD">
        <w:t>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w:t>
      </w:r>
      <w:r w:rsidR="002C015C" w:rsidRPr="004B6EFD">
        <w:rPr>
          <w:rStyle w:val="FootnoteReference"/>
        </w:rPr>
        <w:footnoteReference w:id="4"/>
      </w:r>
      <w:r w:rsidRPr="004B6EFD">
        <w:t>.</w:t>
      </w:r>
    </w:p>
    <w:p w14:paraId="7165FACD" w14:textId="30BDE9CB" w:rsidR="001D7F0B" w:rsidRPr="004B6EFD" w:rsidRDefault="00B25E51" w:rsidP="00783A2A">
      <w:pPr>
        <w:pStyle w:val="NormalWeb"/>
        <w:spacing w:before="120" w:beforeAutospacing="0" w:after="0" w:afterAutospacing="0"/>
        <w:ind w:left="20"/>
        <w:jc w:val="both"/>
        <w:rPr>
          <w:i/>
          <w:iCs/>
        </w:rPr>
      </w:pPr>
      <w:r w:rsidRPr="004B6EFD">
        <w:rPr>
          <w:i/>
          <w:iCs/>
        </w:rPr>
        <w:t>Ņemot vērā minēto</w:t>
      </w:r>
      <w:r w:rsidR="00E11435" w:rsidRPr="004B6EFD">
        <w:rPr>
          <w:i/>
          <w:iCs/>
        </w:rPr>
        <w:t>,</w:t>
      </w:r>
      <w:r w:rsidR="00E93BAB" w:rsidRPr="004B6EFD">
        <w:rPr>
          <w:i/>
          <w:iCs/>
        </w:rPr>
        <w:t xml:space="preserve"> iekļaujot saistošajos noteikumos prasības, kas ierobežo </w:t>
      </w:r>
      <w:r w:rsidR="00E11435" w:rsidRPr="004B6EFD">
        <w:rPr>
          <w:i/>
          <w:iCs/>
        </w:rPr>
        <w:t>privātpersonu īpašuma tiesības</w:t>
      </w:r>
      <w:r w:rsidR="008E37F3" w:rsidRPr="004B6EFD">
        <w:rPr>
          <w:i/>
          <w:iCs/>
        </w:rPr>
        <w:t xml:space="preserve">, </w:t>
      </w:r>
      <w:r w:rsidR="000925E9" w:rsidRPr="004B6EFD">
        <w:rPr>
          <w:i/>
          <w:iCs/>
        </w:rPr>
        <w:t xml:space="preserve">tām jāatbilst </w:t>
      </w:r>
      <w:r w:rsidR="00EE189A" w:rsidRPr="004B6EFD">
        <w:rPr>
          <w:i/>
          <w:iCs/>
        </w:rPr>
        <w:t xml:space="preserve">samērīguma principam un attiecīgi </w:t>
      </w:r>
      <w:r w:rsidR="008E37F3" w:rsidRPr="004B6EFD">
        <w:rPr>
          <w:i/>
          <w:iCs/>
        </w:rPr>
        <w:t xml:space="preserve">saistošo noteikumu paskaidrojuma rakstā </w:t>
      </w:r>
      <w:r w:rsidR="00691C5B" w:rsidRPr="004B6EFD">
        <w:rPr>
          <w:i/>
          <w:iCs/>
        </w:rPr>
        <w:t xml:space="preserve">jānorāda </w:t>
      </w:r>
      <w:r w:rsidR="00EE189A" w:rsidRPr="004B6EFD">
        <w:rPr>
          <w:i/>
          <w:iCs/>
        </w:rPr>
        <w:t>katras</w:t>
      </w:r>
      <w:r w:rsidR="00691C5B" w:rsidRPr="004B6EFD">
        <w:rPr>
          <w:i/>
          <w:iCs/>
        </w:rPr>
        <w:t xml:space="preserve"> prasības </w:t>
      </w:r>
      <w:r w:rsidR="00EE189A" w:rsidRPr="004B6EFD">
        <w:rPr>
          <w:i/>
          <w:iCs/>
        </w:rPr>
        <w:t>atbilstība</w:t>
      </w:r>
      <w:r w:rsidR="000925E9" w:rsidRPr="004B6EFD">
        <w:rPr>
          <w:i/>
          <w:iCs/>
        </w:rPr>
        <w:t xml:space="preserve"> </w:t>
      </w:r>
      <w:r w:rsidR="00EE189A" w:rsidRPr="004B6EFD">
        <w:rPr>
          <w:i/>
          <w:iCs/>
        </w:rPr>
        <w:t>šim principam.</w:t>
      </w:r>
    </w:p>
    <w:p w14:paraId="64870F93" w14:textId="2E884822" w:rsidR="00B93854" w:rsidRPr="004B6EFD" w:rsidRDefault="00B93854" w:rsidP="00783A2A">
      <w:pPr>
        <w:pStyle w:val="NormalWeb"/>
        <w:numPr>
          <w:ilvl w:val="0"/>
          <w:numId w:val="7"/>
        </w:numPr>
        <w:spacing w:before="120" w:beforeAutospacing="0" w:after="0" w:afterAutospacing="0"/>
        <w:ind w:left="0" w:firstLine="0"/>
        <w:jc w:val="both"/>
      </w:pPr>
      <w:r w:rsidRPr="004B6EFD">
        <w:t>Paredzot saistošajos noteikumos administratīvo atbildību par noteiktu pārkāpumu, ir jāievēro Tieslietu ministrijas vēstulē</w:t>
      </w:r>
      <w:r w:rsidRPr="004B6EFD">
        <w:rPr>
          <w:rStyle w:val="FootnoteReference"/>
        </w:rPr>
        <w:footnoteReference w:id="5"/>
      </w:r>
      <w:r w:rsidRPr="004B6EFD">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4B6EFD">
        <w:t>aizvietotājizpildi</w:t>
      </w:r>
      <w:proofErr w:type="spellEnd"/>
      <w:r w:rsidRPr="004B6EFD">
        <w:t>).</w:t>
      </w:r>
    </w:p>
    <w:p w14:paraId="2C6D78BC"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lastRenderedPageBreak/>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4B6EFD">
        <w:rPr>
          <w:rStyle w:val="FootnoteReference"/>
        </w:rPr>
        <w:footnoteReference w:id="6"/>
      </w:r>
    </w:p>
    <w:p w14:paraId="7EBD8136"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4712E84E"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4B6EFD">
        <w:rPr>
          <w:rStyle w:val="FootnoteReference"/>
        </w:rPr>
        <w:footnoteReference w:id="7"/>
      </w:r>
    </w:p>
    <w:p w14:paraId="3B66E38F" w14:textId="77777777" w:rsidR="00B93854" w:rsidRPr="004B6EFD" w:rsidRDefault="00B93854" w:rsidP="00783A2A">
      <w:pPr>
        <w:pStyle w:val="NormalWeb"/>
        <w:numPr>
          <w:ilvl w:val="0"/>
          <w:numId w:val="7"/>
        </w:numPr>
        <w:spacing w:before="120" w:beforeAutospacing="0" w:after="0" w:afterAutospacing="0"/>
        <w:ind w:left="0" w:firstLine="0"/>
        <w:jc w:val="both"/>
      </w:pPr>
      <w:r w:rsidRPr="004B6EFD">
        <w:t xml:space="preserve">Administratīvās atbildības jomā nav atbalstāma </w:t>
      </w:r>
      <w:proofErr w:type="spellStart"/>
      <w:r w:rsidRPr="004B6EFD">
        <w:t>blanketu</w:t>
      </w:r>
      <w:proofErr w:type="spellEnd"/>
      <w:r w:rsidRPr="004B6EFD">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7534BC03" w14:textId="77777777" w:rsidR="00B93854" w:rsidRPr="004B6EFD" w:rsidRDefault="00B93854" w:rsidP="00783A2A">
      <w:pPr>
        <w:pStyle w:val="NormalWeb"/>
        <w:spacing w:before="120" w:beforeAutospacing="0" w:after="0" w:afterAutospacing="0"/>
        <w:jc w:val="both"/>
        <w:rPr>
          <w:i/>
          <w:iCs/>
        </w:rPr>
      </w:pPr>
      <w:r w:rsidRPr="004B6EFD">
        <w:rPr>
          <w:i/>
          <w:iCs/>
        </w:rPr>
        <w:t>Nav atbalstāma administratīvo pārkāpumu sastāvu veidošana, atsaucoties tikai uz saistošo noteikumu punktiem vai pat veselām nodaļām, neidentificējot darbības vai bezdarbības izpausmes par kurām personu paredzēts sodīt.</w:t>
      </w:r>
    </w:p>
    <w:p w14:paraId="031DC1D8" w14:textId="77777777" w:rsidR="00B93854" w:rsidRPr="004B6EFD" w:rsidRDefault="00B93854" w:rsidP="00783A2A">
      <w:pPr>
        <w:pStyle w:val="NormalWeb"/>
        <w:spacing w:before="120" w:beforeAutospacing="0" w:after="0" w:afterAutospacing="0"/>
        <w:jc w:val="both"/>
        <w:rPr>
          <w:i/>
          <w:iCs/>
        </w:rPr>
      </w:pPr>
      <w:r w:rsidRPr="004B6EFD">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27A22D99" w14:textId="77777777" w:rsidR="00B93854" w:rsidRPr="004B6EFD" w:rsidRDefault="00B93854" w:rsidP="00783A2A">
      <w:pPr>
        <w:spacing w:before="120" w:after="0" w:line="240" w:lineRule="auto"/>
        <w:jc w:val="both"/>
        <w:rPr>
          <w:rFonts w:ascii="Times New Roman" w:hAnsi="Times New Roman" w:cs="Times New Roman"/>
          <w:sz w:val="24"/>
          <w:szCs w:val="24"/>
        </w:rPr>
      </w:pPr>
      <w:r w:rsidRPr="004B6EFD">
        <w:rPr>
          <w:rFonts w:ascii="Times New Roman" w:hAnsi="Times New Roman" w:cs="Times New Roman"/>
          <w:sz w:val="24"/>
          <w:szCs w:val="24"/>
        </w:rPr>
        <w:t>Piemēram:</w:t>
      </w:r>
    </w:p>
    <w:p w14:paraId="13BC0DEB" w14:textId="77777777" w:rsidR="00B93854" w:rsidRPr="004B6EFD" w:rsidRDefault="00B93854" w:rsidP="00783A2A">
      <w:pPr>
        <w:pStyle w:val="ListParagraph"/>
        <w:numPr>
          <w:ilvl w:val="0"/>
          <w:numId w:val="5"/>
        </w:numPr>
        <w:suppressAutoHyphens w:val="0"/>
        <w:autoSpaceDN/>
        <w:spacing w:before="120"/>
        <w:ind w:left="0" w:firstLine="709"/>
        <w:contextualSpacing/>
        <w:jc w:val="both"/>
        <w:textAlignment w:val="auto"/>
        <w:rPr>
          <w:i/>
          <w:iCs/>
          <w:sz w:val="24"/>
          <w:szCs w:val="24"/>
        </w:rPr>
      </w:pPr>
      <w:r w:rsidRPr="004B6EFD">
        <w:rPr>
          <w:i/>
          <w:iCs/>
          <w:sz w:val="24"/>
          <w:szCs w:val="24"/>
        </w:rPr>
        <w:t>Naudas soda vienības sankcijā norāda vārdiem, nevis cipariem.</w:t>
      </w:r>
    </w:p>
    <w:p w14:paraId="306EB7DB" w14:textId="77777777" w:rsidR="00B93854" w:rsidRPr="004B6EFD" w:rsidRDefault="00B93854" w:rsidP="00783A2A">
      <w:pPr>
        <w:pStyle w:val="ListParagraph"/>
        <w:numPr>
          <w:ilvl w:val="0"/>
          <w:numId w:val="5"/>
        </w:numPr>
        <w:suppressAutoHyphens w:val="0"/>
        <w:autoSpaceDN/>
        <w:spacing w:before="120"/>
        <w:ind w:left="0" w:firstLine="709"/>
        <w:contextualSpacing/>
        <w:jc w:val="both"/>
        <w:textAlignment w:val="auto"/>
        <w:rPr>
          <w:i/>
          <w:iCs/>
          <w:sz w:val="24"/>
          <w:szCs w:val="24"/>
        </w:rPr>
      </w:pPr>
      <w:r w:rsidRPr="004B6EFD">
        <w:rPr>
          <w:i/>
          <w:iCs/>
          <w:sz w:val="24"/>
          <w:szCs w:val="24"/>
        </w:rPr>
        <w:t>Saskaņā ar Administratīvās atbildības likumu sodus “piemēro”, nevis “izsaka” vai “uzliek”.</w:t>
      </w:r>
    </w:p>
    <w:p w14:paraId="22900AFA" w14:textId="77777777" w:rsidR="00B93854" w:rsidRPr="004B6EFD" w:rsidRDefault="00B93854" w:rsidP="00783A2A">
      <w:pPr>
        <w:pStyle w:val="ListParagraph"/>
        <w:numPr>
          <w:ilvl w:val="0"/>
          <w:numId w:val="5"/>
        </w:numPr>
        <w:suppressAutoHyphens w:val="0"/>
        <w:autoSpaceDN/>
        <w:spacing w:before="120"/>
        <w:ind w:left="0" w:firstLine="709"/>
        <w:jc w:val="both"/>
        <w:textAlignment w:val="auto"/>
        <w:rPr>
          <w:i/>
          <w:iCs/>
          <w:sz w:val="24"/>
          <w:szCs w:val="24"/>
        </w:rPr>
      </w:pPr>
      <w:r w:rsidRPr="004B6EFD">
        <w:rPr>
          <w:i/>
          <w:iCs/>
          <w:sz w:val="24"/>
          <w:szCs w:val="24"/>
        </w:rPr>
        <w:t>Administratīvās atbildības reformas</w:t>
      </w:r>
      <w:r w:rsidRPr="004B6EFD">
        <w:rPr>
          <w:rStyle w:val="apple-converted-space"/>
          <w:i/>
          <w:iCs/>
          <w:sz w:val="24"/>
          <w:szCs w:val="24"/>
        </w:rPr>
        <w:t xml:space="preserve"> </w:t>
      </w:r>
      <w:r w:rsidRPr="004B6EFD">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4B6EFD">
        <w:rPr>
          <w:rStyle w:val="apple-converted-space"/>
          <w:i/>
          <w:iCs/>
          <w:sz w:val="24"/>
          <w:szCs w:val="24"/>
        </w:rPr>
        <w:t xml:space="preserve"> vainas</w:t>
      </w:r>
      <w:r w:rsidRPr="004B6EFD">
        <w:rPr>
          <w:i/>
          <w:iCs/>
          <w:sz w:val="24"/>
          <w:szCs w:val="24"/>
        </w:rPr>
        <w:t xml:space="preserve"> formas.</w:t>
      </w:r>
      <w:r w:rsidRPr="004B6EFD">
        <w:rPr>
          <w:sz w:val="24"/>
          <w:szCs w:val="24"/>
        </w:rPr>
        <w:t xml:space="preserve"> </w:t>
      </w:r>
      <w:r w:rsidRPr="004B6EFD">
        <w:rPr>
          <w:i/>
          <w:iCs/>
          <w:sz w:val="24"/>
          <w:szCs w:val="24"/>
        </w:rPr>
        <w:t>Attiecīgi saistošajos noteikumos nav lietojams arī termins “vainīgā persona”.</w:t>
      </w:r>
    </w:p>
    <w:p w14:paraId="0B01D810" w14:textId="77777777" w:rsidR="00B93854" w:rsidRPr="004B6EFD" w:rsidRDefault="00B93854" w:rsidP="00783A2A">
      <w:pPr>
        <w:pStyle w:val="ListParagraph"/>
        <w:numPr>
          <w:ilvl w:val="0"/>
          <w:numId w:val="7"/>
        </w:numPr>
        <w:suppressAutoHyphens w:val="0"/>
        <w:autoSpaceDN/>
        <w:spacing w:before="120"/>
        <w:ind w:left="0" w:firstLine="0"/>
        <w:jc w:val="both"/>
        <w:textAlignment w:val="auto"/>
        <w:rPr>
          <w:i/>
          <w:iCs/>
          <w:sz w:val="24"/>
          <w:szCs w:val="24"/>
        </w:rPr>
      </w:pPr>
      <w:r w:rsidRPr="004B6EFD">
        <w:rPr>
          <w:sz w:val="24"/>
          <w:szCs w:val="24"/>
        </w:rPr>
        <w:t>Attiecībā uz naudas sodu noteikšanu par administratīvo pārkāpumu, norādām, ka pastāv divas metodes:</w:t>
      </w:r>
    </w:p>
    <w:p w14:paraId="60CA9CFA" w14:textId="77777777" w:rsidR="00B93854" w:rsidRPr="004B6EFD" w:rsidRDefault="00B93854" w:rsidP="00783A2A">
      <w:pPr>
        <w:pStyle w:val="ListParagraph"/>
        <w:numPr>
          <w:ilvl w:val="0"/>
          <w:numId w:val="12"/>
        </w:numPr>
        <w:spacing w:before="120"/>
        <w:ind w:left="0" w:firstLine="709"/>
        <w:contextualSpacing/>
        <w:jc w:val="both"/>
        <w:rPr>
          <w:i/>
          <w:iCs/>
          <w:sz w:val="24"/>
          <w:szCs w:val="24"/>
        </w:rPr>
      </w:pPr>
      <w:r w:rsidRPr="004B6EFD">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57F50161" w14:textId="77777777" w:rsidR="00B93854" w:rsidRPr="004B6EFD" w:rsidRDefault="00B93854" w:rsidP="00783A2A">
      <w:pPr>
        <w:spacing w:before="120" w:after="0" w:line="240" w:lineRule="auto"/>
        <w:contextualSpacing/>
        <w:jc w:val="both"/>
        <w:rPr>
          <w:rFonts w:ascii="Times New Roman" w:hAnsi="Times New Roman" w:cs="Times New Roman"/>
          <w:i/>
          <w:iCs/>
          <w:sz w:val="24"/>
          <w:szCs w:val="24"/>
        </w:rPr>
      </w:pPr>
      <w:r w:rsidRPr="004B6EFD">
        <w:rPr>
          <w:rFonts w:ascii="Times New Roman" w:hAnsi="Times New Roman" w:cs="Times New Roman"/>
          <w:i/>
          <w:iCs/>
          <w:sz w:val="24"/>
          <w:szCs w:val="24"/>
        </w:rPr>
        <w:lastRenderedPageBreak/>
        <w:t>Vēršam uzmanību, ka administratīvā soda apmēra noteikšanā pašvaldībām jāņem vērā Administratīvās atbildības likuma 16. panta trešā un septītā daļa;</w:t>
      </w:r>
    </w:p>
    <w:p w14:paraId="6D42C8EB" w14:textId="77777777" w:rsidR="00B93854" w:rsidRPr="004B6EFD" w:rsidRDefault="00B93854" w:rsidP="00783A2A">
      <w:pPr>
        <w:pStyle w:val="ListParagraph"/>
        <w:numPr>
          <w:ilvl w:val="0"/>
          <w:numId w:val="12"/>
        </w:numPr>
        <w:spacing w:before="120"/>
        <w:ind w:left="0" w:firstLine="709"/>
        <w:contextualSpacing/>
        <w:jc w:val="both"/>
        <w:rPr>
          <w:i/>
          <w:iCs/>
          <w:sz w:val="24"/>
          <w:szCs w:val="24"/>
        </w:rPr>
      </w:pPr>
      <w:r w:rsidRPr="004B6EFD">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4B6EFD">
        <w:rPr>
          <w:rStyle w:val="FootnoteReference"/>
          <w:sz w:val="24"/>
          <w:szCs w:val="24"/>
        </w:rPr>
        <w:footnoteReference w:id="8"/>
      </w:r>
    </w:p>
    <w:p w14:paraId="3622C1AE" w14:textId="77777777" w:rsidR="00B93854" w:rsidRPr="004B6EFD" w:rsidRDefault="00B93854" w:rsidP="00783A2A">
      <w:pPr>
        <w:spacing w:before="120" w:after="0" w:line="240" w:lineRule="auto"/>
        <w:contextualSpacing/>
        <w:jc w:val="both"/>
        <w:rPr>
          <w:rFonts w:ascii="Times New Roman" w:hAnsi="Times New Roman" w:cs="Times New Roman"/>
          <w:i/>
          <w:iCs/>
          <w:sz w:val="24"/>
          <w:szCs w:val="24"/>
        </w:rPr>
      </w:pPr>
      <w:r w:rsidRPr="004B6EFD">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3FB0D9BB" w14:textId="7C324B0D" w:rsidR="003662DB" w:rsidRPr="004B6EFD" w:rsidRDefault="00784764" w:rsidP="00783A2A">
      <w:pPr>
        <w:pStyle w:val="ListParagraph"/>
        <w:numPr>
          <w:ilvl w:val="0"/>
          <w:numId w:val="7"/>
        </w:numPr>
        <w:spacing w:before="120"/>
        <w:ind w:left="0" w:firstLine="0"/>
        <w:jc w:val="both"/>
        <w:rPr>
          <w:sz w:val="24"/>
          <w:szCs w:val="24"/>
        </w:rPr>
      </w:pPr>
      <w:r w:rsidRPr="009B38F3">
        <w:rPr>
          <w:b/>
          <w:bCs/>
          <w:sz w:val="24"/>
          <w:szCs w:val="24"/>
        </w:rPr>
        <w:t>Par dzīvojam</w:t>
      </w:r>
      <w:r w:rsidR="00275E56" w:rsidRPr="009B38F3">
        <w:rPr>
          <w:b/>
          <w:bCs/>
          <w:sz w:val="24"/>
          <w:szCs w:val="24"/>
        </w:rPr>
        <w:t>o māju teritoriju kopšanu</w:t>
      </w:r>
      <w:r w:rsidR="00275E56">
        <w:rPr>
          <w:sz w:val="24"/>
          <w:szCs w:val="24"/>
        </w:rPr>
        <w:t>:</w:t>
      </w:r>
      <w:r w:rsidR="009B38F3">
        <w:rPr>
          <w:sz w:val="24"/>
          <w:szCs w:val="24"/>
        </w:rPr>
        <w:t xml:space="preserve"> a</w:t>
      </w:r>
      <w:r w:rsidR="00E4353F" w:rsidRPr="004B6EFD">
        <w:rPr>
          <w:sz w:val="24"/>
          <w:szCs w:val="24"/>
        </w:rPr>
        <w:t>tbilstoši Dzīvojamo māju pārvaldīšanas likuma 1.</w:t>
      </w:r>
      <w:r w:rsidR="004D305C" w:rsidRPr="004B6EFD">
        <w:rPr>
          <w:sz w:val="24"/>
          <w:szCs w:val="24"/>
        </w:rPr>
        <w:t> </w:t>
      </w:r>
      <w:r w:rsidR="00E4353F" w:rsidRPr="004B6EFD">
        <w:rPr>
          <w:sz w:val="24"/>
          <w:szCs w:val="24"/>
        </w:rPr>
        <w:t>panta 1.</w:t>
      </w:r>
      <w:r w:rsidR="004D305C" w:rsidRPr="004B6EFD">
        <w:rPr>
          <w:sz w:val="24"/>
          <w:szCs w:val="24"/>
        </w:rPr>
        <w:t> </w:t>
      </w:r>
      <w:r w:rsidR="00E4353F" w:rsidRPr="004B6EFD">
        <w:rPr>
          <w:sz w:val="24"/>
          <w:szCs w:val="24"/>
        </w:rPr>
        <w:t>punktam dzīvojamā māja ir ne vien ēka, bet arī tai piederīgās ēkas (būves) un zeme, uz kuras tās atrodas. Dzīvojamo māju pārvaldīšanas likuma 6.</w:t>
      </w:r>
      <w:r w:rsidR="004D305C" w:rsidRPr="004B6EFD">
        <w:rPr>
          <w:sz w:val="24"/>
          <w:szCs w:val="24"/>
        </w:rPr>
        <w:t> </w:t>
      </w:r>
      <w:r w:rsidR="00E4353F" w:rsidRPr="004B6EFD">
        <w:rPr>
          <w:sz w:val="24"/>
          <w:szCs w:val="24"/>
        </w:rPr>
        <w:t>panta piektā daļa noteic, ka Ministru kabinets izdod noteikumus par šā panta otrās daļas 1.</w:t>
      </w:r>
      <w:r w:rsidR="004D305C" w:rsidRPr="004B6EFD">
        <w:rPr>
          <w:sz w:val="24"/>
          <w:szCs w:val="24"/>
        </w:rPr>
        <w:t> </w:t>
      </w:r>
      <w:r w:rsidR="00E4353F" w:rsidRPr="004B6EFD">
        <w:rPr>
          <w:sz w:val="24"/>
          <w:szCs w:val="24"/>
        </w:rPr>
        <w:t>punkta “a”, “c” un “e” apakšpunktā minētajām obligāti veicamajām dzīvojamās mājas pārvaldīšanas darbībām, kā arī par kārtību, kādā tiek plānotas un organizētas ar dzīvojamās mājas renovāciju un rekonstrukciju saistītās darbības.</w:t>
      </w:r>
    </w:p>
    <w:p w14:paraId="752C4384" w14:textId="77777777" w:rsidR="004B6EFD" w:rsidRDefault="003B1C06"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sz w:val="24"/>
          <w:szCs w:val="24"/>
        </w:rPr>
        <w:t>Dzīvojamo māju pārvaldīšanas likuma 6. panta otrā daļa nosaka obligāti veicamās pārvaldīšanas darbības kā daudzdzīvokļu mājām, tā arī viendzīvokļa mājām.</w:t>
      </w:r>
      <w:r w:rsidRPr="004B6EFD">
        <w:rPr>
          <w:rFonts w:ascii="Times New Roman" w:hAnsi="Times New Roman" w:cs="Times New Roman"/>
          <w:sz w:val="24"/>
          <w:szCs w:val="24"/>
          <w:vertAlign w:val="superscript"/>
        </w:rPr>
        <w:footnoteReference w:id="9"/>
      </w:r>
      <w:r w:rsidR="00E6735D" w:rsidRPr="004B6EFD">
        <w:rPr>
          <w:rFonts w:ascii="Times New Roman" w:hAnsi="Times New Roman" w:cs="Times New Roman"/>
          <w:sz w:val="24"/>
          <w:szCs w:val="24"/>
        </w:rPr>
        <w:t xml:space="preserve"> Vienlaikus jāņem vērā, ka vienādu prasību noteikšana attiecībā uz daudzdzīvokļu mājām un viendzīvokļa mājām nav uzskatāma par samērīgu.</w:t>
      </w:r>
      <w:r w:rsidR="00E6735D" w:rsidRPr="004B6EFD">
        <w:rPr>
          <w:rStyle w:val="FootnoteReference"/>
          <w:rFonts w:ascii="Times New Roman" w:hAnsi="Times New Roman" w:cs="Times New Roman"/>
          <w:sz w:val="24"/>
          <w:szCs w:val="24"/>
        </w:rPr>
        <w:footnoteReference w:id="10"/>
      </w:r>
      <w:r w:rsidR="00E6735D" w:rsidRPr="004B6EFD">
        <w:rPr>
          <w:rFonts w:ascii="Times New Roman" w:hAnsi="Times New Roman" w:cs="Times New Roman"/>
          <w:sz w:val="24"/>
          <w:szCs w:val="24"/>
        </w:rPr>
        <w:t xml:space="preserve"> Ievērojot minēto, </w:t>
      </w:r>
      <w:r w:rsidR="0079139D" w:rsidRPr="004B6EFD">
        <w:rPr>
          <w:rFonts w:ascii="Times New Roman" w:hAnsi="Times New Roman" w:cs="Times New Roman"/>
          <w:sz w:val="24"/>
          <w:szCs w:val="24"/>
        </w:rPr>
        <w:t xml:space="preserve">Dzīvojamo māju </w:t>
      </w:r>
      <w:r w:rsidR="00E6735D" w:rsidRPr="004B6EFD">
        <w:rPr>
          <w:rFonts w:ascii="Times New Roman" w:hAnsi="Times New Roman" w:cs="Times New Roman"/>
          <w:sz w:val="24"/>
          <w:szCs w:val="24"/>
        </w:rPr>
        <w:t>pārvaldīšanas likuma 29. pantā noteiktā administratīvā atbildība vispārīgi attiecas uz visām dzīvojamām mājām. Taču ir jāvērtē, vai konkrētie normās ietvertie pienākumi ir attiecināmi uz dzīvojamām mājām, kas nav daudzdzīvokļu dzīvojamā māja.</w:t>
      </w:r>
      <w:r w:rsidR="00E6735D" w:rsidRPr="004B6EFD">
        <w:rPr>
          <w:rStyle w:val="FootnoteReference"/>
          <w:rFonts w:ascii="Times New Roman" w:hAnsi="Times New Roman" w:cs="Times New Roman"/>
          <w:sz w:val="24"/>
          <w:szCs w:val="24"/>
        </w:rPr>
        <w:footnoteReference w:id="11"/>
      </w:r>
      <w:r w:rsidR="004B6EFD" w:rsidRPr="004B6EFD">
        <w:rPr>
          <w:rFonts w:ascii="Times New Roman" w:hAnsi="Times New Roman" w:cs="Times New Roman"/>
          <w:sz w:val="24"/>
          <w:szCs w:val="24"/>
        </w:rPr>
        <w:t xml:space="preserve"> </w:t>
      </w:r>
      <w:r w:rsidR="00E6735D" w:rsidRPr="004B6EFD">
        <w:rPr>
          <w:rFonts w:ascii="Times New Roman" w:hAnsi="Times New Roman" w:cs="Times New Roman"/>
          <w:sz w:val="24"/>
          <w:szCs w:val="24"/>
        </w:rPr>
        <w:t>Ievērojot minēto, nepieciešams atsevišķi noteikt kārtību, kādā veicami daudzdzīvokļu dzīvojamo māju teritorijas sakopšanas darbi, un prasības nedzīvojamo namu un to teritoriju un būvju uzturēšanai.</w:t>
      </w:r>
    </w:p>
    <w:p w14:paraId="45D4AA8E" w14:textId="77777777" w:rsidR="004B6EFD" w:rsidRDefault="00526CDE"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sz w:val="24"/>
          <w:szCs w:val="24"/>
        </w:rPr>
        <w:t>Pašvaldība</w:t>
      </w:r>
      <w:r w:rsidR="004B6EFD" w:rsidRPr="004B6EFD">
        <w:rPr>
          <w:rFonts w:ascii="Times New Roman" w:hAnsi="Times New Roman" w:cs="Times New Roman"/>
          <w:sz w:val="24"/>
          <w:szCs w:val="24"/>
        </w:rPr>
        <w:t xml:space="preserve"> saskaņā ar </w:t>
      </w:r>
      <w:r w:rsidR="00E6735D" w:rsidRPr="004B6EFD">
        <w:rPr>
          <w:rFonts w:ascii="Times New Roman" w:hAnsi="Times New Roman" w:cs="Times New Roman"/>
          <w:sz w:val="24"/>
          <w:szCs w:val="24"/>
        </w:rPr>
        <w:t>Ministru kabineta 2010. gada 28. septembra noteikumu Nr. 906</w:t>
      </w:r>
      <w:r w:rsidR="00E6735D" w:rsidRPr="004B6EFD">
        <w:rPr>
          <w:rFonts w:ascii="Times New Roman" w:hAnsi="Times New Roman" w:cs="Times New Roman"/>
          <w:spacing w:val="-35"/>
          <w:sz w:val="24"/>
          <w:szCs w:val="24"/>
        </w:rPr>
        <w:t xml:space="preserve"> </w:t>
      </w:r>
      <w:r w:rsidR="00E6735D" w:rsidRPr="004B6EFD">
        <w:rPr>
          <w:rFonts w:ascii="Times New Roman" w:hAnsi="Times New Roman" w:cs="Times New Roman"/>
          <w:sz w:val="24"/>
          <w:szCs w:val="24"/>
        </w:rPr>
        <w:t>“Dzīvojamās mājas sanitārās apkopes noteikumi” (turpmāk – MK noteikumi Nr. 906)</w:t>
      </w:r>
      <w:r w:rsidR="002617AC" w:rsidRPr="004B6EFD">
        <w:rPr>
          <w:rFonts w:ascii="Times New Roman" w:hAnsi="Times New Roman" w:cs="Times New Roman"/>
          <w:sz w:val="24"/>
          <w:szCs w:val="24"/>
        </w:rPr>
        <w:t xml:space="preserve"> </w:t>
      </w:r>
      <w:r w:rsidR="004B6EFD" w:rsidRPr="004B6EFD">
        <w:rPr>
          <w:rFonts w:ascii="Times New Roman" w:hAnsi="Times New Roman" w:cs="Times New Roman"/>
          <w:sz w:val="24"/>
          <w:szCs w:val="24"/>
        </w:rPr>
        <w:t xml:space="preserve">4. punktu </w:t>
      </w:r>
      <w:r w:rsidR="00554C47" w:rsidRPr="004B6EFD">
        <w:rPr>
          <w:rFonts w:ascii="Times New Roman" w:hAnsi="Times New Roman" w:cs="Times New Roman"/>
          <w:sz w:val="24"/>
          <w:szCs w:val="24"/>
        </w:rPr>
        <w:t xml:space="preserve">var </w:t>
      </w:r>
      <w:r w:rsidR="00E6735D" w:rsidRPr="004B6EFD">
        <w:rPr>
          <w:rFonts w:ascii="Times New Roman" w:hAnsi="Times New Roman" w:cs="Times New Roman"/>
          <w:sz w:val="24"/>
          <w:szCs w:val="24"/>
        </w:rPr>
        <w:t>noteikt kārtību</w:t>
      </w:r>
      <w:r w:rsidR="00554C47" w:rsidRPr="004B6EFD">
        <w:rPr>
          <w:rFonts w:ascii="Times New Roman" w:hAnsi="Times New Roman" w:cs="Times New Roman"/>
          <w:sz w:val="24"/>
          <w:szCs w:val="24"/>
        </w:rPr>
        <w:t xml:space="preserve"> </w:t>
      </w:r>
      <w:r w:rsidR="00E6735D" w:rsidRPr="004B6EFD">
        <w:rPr>
          <w:rFonts w:ascii="Times New Roman" w:hAnsi="Times New Roman" w:cs="Times New Roman"/>
          <w:sz w:val="24"/>
          <w:szCs w:val="24"/>
        </w:rPr>
        <w:t xml:space="preserve">kādā veicami </w:t>
      </w:r>
      <w:r w:rsidR="008D60F0" w:rsidRPr="004B6EFD">
        <w:rPr>
          <w:rFonts w:ascii="Times New Roman" w:hAnsi="Times New Roman" w:cs="Times New Roman"/>
          <w:sz w:val="24"/>
          <w:szCs w:val="24"/>
        </w:rPr>
        <w:t>MK noteikumos Nr. 906</w:t>
      </w:r>
      <w:r w:rsidR="00E6735D" w:rsidRPr="004B6EFD">
        <w:rPr>
          <w:rFonts w:ascii="Times New Roman" w:hAnsi="Times New Roman" w:cs="Times New Roman"/>
          <w:sz w:val="24"/>
          <w:szCs w:val="24"/>
        </w:rPr>
        <w:t xml:space="preserve"> noteiktie teritorijas sakopšanas darbi. MK noteikumi Nr. 906 nav attiecināmi uz viendzīvokļa mājām</w:t>
      </w:r>
      <w:r w:rsidR="004B6EFD" w:rsidRPr="004B6EFD">
        <w:rPr>
          <w:rFonts w:ascii="Times New Roman" w:hAnsi="Times New Roman" w:cs="Times New Roman"/>
          <w:sz w:val="24"/>
          <w:szCs w:val="24"/>
        </w:rPr>
        <w:t xml:space="preserve">. Vienlaikus pilnvarojums attiecināms arī uz saistošajos noteikumos noteiktām prasībām teritorijām pie daudzdzīvokļu dzīvojamajām mājām, un </w:t>
      </w:r>
      <w:r w:rsidR="004B6EFD" w:rsidRPr="004B6EFD">
        <w:rPr>
          <w:rFonts w:ascii="Times New Roman" w:hAnsi="Times New Roman" w:cs="Times New Roman"/>
          <w:sz w:val="24"/>
          <w:szCs w:val="24"/>
          <w:shd w:val="clear" w:color="auto" w:fill="FFFFFF"/>
        </w:rPr>
        <w:t>Ministru kabineta 2010. gada 28. septembra noteikumu Nr. 906 “Dzīvojamās mājas sanitārās apkopes noteikumi” 4.</w:t>
      </w:r>
      <w:r w:rsidR="004B6EFD" w:rsidRPr="004B6EFD">
        <w:rPr>
          <w:rFonts w:ascii="Times New Roman" w:hAnsi="Times New Roman" w:cs="Times New Roman"/>
          <w:sz w:val="24"/>
          <w:szCs w:val="24"/>
        </w:rPr>
        <w:t> </w:t>
      </w:r>
      <w:r w:rsidR="004B6EFD" w:rsidRPr="004B6EFD">
        <w:rPr>
          <w:rFonts w:ascii="Times New Roman" w:hAnsi="Times New Roman" w:cs="Times New Roman"/>
          <w:sz w:val="24"/>
          <w:szCs w:val="24"/>
          <w:shd w:val="clear" w:color="auto" w:fill="FFFFFF"/>
        </w:rPr>
        <w:t xml:space="preserve">punkts </w:t>
      </w:r>
      <w:r w:rsidR="004B6EFD" w:rsidRPr="004B6EFD">
        <w:rPr>
          <w:rFonts w:ascii="Times New Roman" w:hAnsi="Times New Roman" w:cs="Times New Roman"/>
          <w:b/>
          <w:bCs/>
          <w:sz w:val="24"/>
          <w:szCs w:val="24"/>
          <w:shd w:val="clear" w:color="auto" w:fill="FFFFFF"/>
        </w:rPr>
        <w:t xml:space="preserve">nesatur </w:t>
      </w:r>
      <w:r w:rsidR="004B6EFD" w:rsidRPr="004B6EFD">
        <w:rPr>
          <w:rFonts w:ascii="Times New Roman" w:hAnsi="Times New Roman" w:cs="Times New Roman"/>
          <w:sz w:val="24"/>
          <w:szCs w:val="24"/>
          <w:shd w:val="clear" w:color="auto" w:fill="FFFFFF"/>
        </w:rPr>
        <w:t xml:space="preserve">papildu pilnvarojumu saistošo noteikumu izdošanai, proti, </w:t>
      </w:r>
      <w:r w:rsidR="004B6EFD" w:rsidRPr="004B6EFD">
        <w:rPr>
          <w:rFonts w:ascii="Times New Roman" w:hAnsi="Times New Roman" w:cs="Times New Roman"/>
          <w:sz w:val="24"/>
          <w:szCs w:val="24"/>
        </w:rPr>
        <w:t>tas nav norādāms saistošo noteikumu izdošanas tiesiskajā pamatojumā.</w:t>
      </w:r>
    </w:p>
    <w:p w14:paraId="75DA87D3" w14:textId="5BF0F430" w:rsidR="003B1C06" w:rsidRPr="004B6EFD" w:rsidRDefault="004B6EFD" w:rsidP="00783A2A">
      <w:pPr>
        <w:pStyle w:val="xmsonormal"/>
        <w:widowControl w:val="0"/>
        <w:numPr>
          <w:ilvl w:val="0"/>
          <w:numId w:val="13"/>
        </w:numPr>
        <w:pBdr>
          <w:top w:val="nil"/>
          <w:left w:val="nil"/>
          <w:bottom w:val="nil"/>
          <w:right w:val="nil"/>
          <w:between w:val="nil"/>
          <w:bar w:val="nil"/>
        </w:pBdr>
        <w:shd w:val="clear" w:color="auto" w:fill="FFFFFF"/>
        <w:spacing w:before="120"/>
        <w:ind w:left="0" w:firstLine="709"/>
        <w:jc w:val="both"/>
        <w:rPr>
          <w:rFonts w:ascii="Times New Roman" w:hAnsi="Times New Roman" w:cs="Times New Roman"/>
          <w:sz w:val="24"/>
          <w:szCs w:val="24"/>
        </w:rPr>
      </w:pPr>
      <w:r w:rsidRPr="004B6EFD">
        <w:rPr>
          <w:rFonts w:ascii="Times New Roman" w:hAnsi="Times New Roman" w:cs="Times New Roman"/>
          <w:bCs/>
          <w:sz w:val="24"/>
          <w:szCs w:val="24"/>
        </w:rPr>
        <w:t xml:space="preserve">Vēršam uzmanību, ka </w:t>
      </w:r>
      <w:r w:rsidR="00E6735D" w:rsidRPr="004B6EFD">
        <w:rPr>
          <w:rFonts w:ascii="Times New Roman" w:hAnsi="Times New Roman" w:cs="Times New Roman"/>
          <w:bCs/>
          <w:sz w:val="24"/>
          <w:szCs w:val="24"/>
        </w:rPr>
        <w:t xml:space="preserve">MK noteikumi Nr. 906 5. punkts paredz </w:t>
      </w:r>
      <w:r w:rsidR="00E6735D" w:rsidRPr="004B6EFD">
        <w:rPr>
          <w:rFonts w:ascii="Times New Roman" w:hAnsi="Times New Roman" w:cs="Times New Roman"/>
          <w:bCs/>
          <w:sz w:val="24"/>
          <w:szCs w:val="24"/>
          <w:shd w:val="clear" w:color="auto" w:fill="FFFFFF"/>
        </w:rPr>
        <w:t xml:space="preserve">daudzdzīvokļu dzīvojamā mājas teritorijas (dzīvojamai mājai piederīgās zemes vai piesaistītā zemesgabala) apkopes regulāri veicamo teritorijas sakopšanas darbus. Savukārt </w:t>
      </w:r>
      <w:r w:rsidR="00E6735D" w:rsidRPr="004B6EFD">
        <w:rPr>
          <w:rFonts w:ascii="Times New Roman" w:hAnsi="Times New Roman" w:cs="Times New Roman"/>
          <w:bCs/>
          <w:sz w:val="24"/>
          <w:szCs w:val="24"/>
        </w:rPr>
        <w:t>MK noteikumi Nr. 906 6. punkts nosaka z</w:t>
      </w:r>
      <w:r w:rsidR="00E6735D" w:rsidRPr="004B6EFD">
        <w:rPr>
          <w:rFonts w:ascii="Times New Roman" w:hAnsi="Times New Roman" w:cs="Times New Roman"/>
          <w:bCs/>
          <w:sz w:val="24"/>
          <w:szCs w:val="24"/>
          <w:shd w:val="clear" w:color="auto" w:fill="FFFFFF"/>
        </w:rPr>
        <w:t>iemas periodā papildu regulāri veicamos teritorijas sakopšanas darb</w:t>
      </w:r>
      <w:r w:rsidR="00E6735D" w:rsidRPr="004B6EFD">
        <w:rPr>
          <w:rFonts w:ascii="Times New Roman" w:hAnsi="Times New Roman" w:cs="Times New Roman"/>
          <w:bCs/>
          <w:sz w:val="24"/>
          <w:szCs w:val="24"/>
        </w:rPr>
        <w:t>us.</w:t>
      </w:r>
      <w:r w:rsidRPr="004B6EFD">
        <w:rPr>
          <w:rFonts w:ascii="Times New Roman" w:hAnsi="Times New Roman" w:cs="Times New Roman"/>
          <w:bCs/>
          <w:sz w:val="24"/>
          <w:szCs w:val="24"/>
        </w:rPr>
        <w:t xml:space="preserve"> </w:t>
      </w:r>
      <w:r w:rsidR="008D60F0" w:rsidRPr="004B6EFD">
        <w:rPr>
          <w:rFonts w:ascii="Times New Roman" w:hAnsi="Times New Roman" w:cs="Times New Roman"/>
          <w:sz w:val="24"/>
          <w:szCs w:val="24"/>
        </w:rPr>
        <w:t xml:space="preserve">Par </w:t>
      </w:r>
      <w:r w:rsidR="00E6735D" w:rsidRPr="004B6EFD">
        <w:rPr>
          <w:rFonts w:ascii="Times New Roman" w:hAnsi="Times New Roman" w:cs="Times New Roman"/>
          <w:sz w:val="24"/>
          <w:szCs w:val="24"/>
        </w:rPr>
        <w:t>MK noteikum</w:t>
      </w:r>
      <w:r w:rsidR="008D60F0" w:rsidRPr="004B6EFD">
        <w:rPr>
          <w:rFonts w:ascii="Times New Roman" w:hAnsi="Times New Roman" w:cs="Times New Roman"/>
          <w:sz w:val="24"/>
          <w:szCs w:val="24"/>
        </w:rPr>
        <w:t>os</w:t>
      </w:r>
      <w:r w:rsidR="00E6735D" w:rsidRPr="004B6EFD">
        <w:rPr>
          <w:rFonts w:ascii="Times New Roman" w:hAnsi="Times New Roman" w:cs="Times New Roman"/>
          <w:sz w:val="24"/>
          <w:szCs w:val="24"/>
        </w:rPr>
        <w:t xml:space="preserve"> Nr. 906 5. un 6. punktā noteikto </w:t>
      </w:r>
      <w:r w:rsidR="00E6735D" w:rsidRPr="004B6EFD">
        <w:rPr>
          <w:rStyle w:val="normaltextrun"/>
          <w:rFonts w:ascii="Times New Roman" w:hAnsi="Times New Roman" w:cs="Times New Roman"/>
          <w:sz w:val="24"/>
          <w:szCs w:val="24"/>
        </w:rPr>
        <w:t xml:space="preserve">administratīvā atbildība dzīvojamo māju </w:t>
      </w:r>
      <w:r w:rsidR="00E6735D" w:rsidRPr="004B6EFD">
        <w:rPr>
          <w:rStyle w:val="normaltextrun"/>
          <w:rFonts w:ascii="Times New Roman" w:hAnsi="Times New Roman" w:cs="Times New Roman"/>
          <w:sz w:val="24"/>
          <w:szCs w:val="24"/>
        </w:rPr>
        <w:lastRenderedPageBreak/>
        <w:t xml:space="preserve">pārvaldniekiem ir noteikta ar </w:t>
      </w:r>
      <w:r w:rsidR="00E6735D" w:rsidRPr="004B6EFD">
        <w:rPr>
          <w:rFonts w:ascii="Times New Roman" w:hAnsi="Times New Roman" w:cs="Times New Roman"/>
          <w:sz w:val="24"/>
          <w:szCs w:val="24"/>
        </w:rPr>
        <w:t xml:space="preserve">pārvaldīšanas likumu. </w:t>
      </w:r>
      <w:r w:rsidR="00E6735D" w:rsidRPr="004B6EFD">
        <w:rPr>
          <w:rStyle w:val="normaltextrun"/>
          <w:rFonts w:ascii="Times New Roman" w:hAnsi="Times New Roman" w:cs="Times New Roman"/>
          <w:sz w:val="24"/>
          <w:szCs w:val="24"/>
        </w:rPr>
        <w:t>Tādējādi dzīvojamās mājas pārvaldniekam pašvaldības saistošajos noteikumos nevar tikt noteikti papildu pienākumi, par kuru neievērošanu tiek paredzēta administratīvā atbildība.</w:t>
      </w:r>
      <w:r w:rsidR="00E6735D" w:rsidRPr="004B6EFD">
        <w:rPr>
          <w:rFonts w:ascii="Times New Roman" w:hAnsi="Times New Roman" w:cs="Times New Roman"/>
          <w:sz w:val="24"/>
          <w:szCs w:val="24"/>
          <w:vertAlign w:val="superscript"/>
        </w:rPr>
        <w:footnoteReference w:id="12"/>
      </w:r>
    </w:p>
    <w:p w14:paraId="07008D27" w14:textId="604435B6" w:rsidR="00784764" w:rsidRDefault="009B38F3" w:rsidP="00783A2A">
      <w:pPr>
        <w:pStyle w:val="NormalWeb"/>
        <w:numPr>
          <w:ilvl w:val="0"/>
          <w:numId w:val="7"/>
        </w:numPr>
        <w:spacing w:before="120" w:beforeAutospacing="0" w:after="0" w:afterAutospacing="0"/>
        <w:ind w:left="0" w:right="-6" w:firstLine="0"/>
        <w:jc w:val="both"/>
      </w:pPr>
      <w:r w:rsidRPr="009B38F3">
        <w:rPr>
          <w:b/>
          <w:bCs/>
        </w:rPr>
        <w:t>Par būvju uzturēšanu, kas ir pilnīgi vai daļēji sagruvušas, bīstamas vai bojā ainavu</w:t>
      </w:r>
      <w:r>
        <w:t>:</w:t>
      </w:r>
      <w:r w:rsidRPr="004B6EFD">
        <w:t xml:space="preserve"> </w:t>
      </w:r>
      <w:r w:rsidR="00CD4E40" w:rsidRPr="004B6EFD">
        <w:t>Būvniecības likuma 5. panta pirmās daļas “h” apakšpunkts noteic, ka likuma izpildei Ministru kabinets izdod vispārīgos būvnoteikumus, kuros nosaka principus un dokumentus, uz kuru pamata pieņemams lēmums par tādas būves sakārtošanu vai nojaukšanu, kura ir pilnīgi vai daļēji sagruvusi, bīstama vai bojā ainavu.</w:t>
      </w:r>
    </w:p>
    <w:p w14:paraId="46CB6FD5" w14:textId="77777777" w:rsidR="0086013E" w:rsidRDefault="0044204A" w:rsidP="00783A2A">
      <w:pPr>
        <w:pStyle w:val="NormalWeb"/>
        <w:numPr>
          <w:ilvl w:val="0"/>
          <w:numId w:val="14"/>
        </w:numPr>
        <w:spacing w:before="120" w:beforeAutospacing="0" w:after="0" w:afterAutospacing="0"/>
        <w:ind w:left="0" w:right="-6" w:firstLine="709"/>
        <w:jc w:val="both"/>
      </w:pPr>
      <w:r w:rsidRPr="00784764">
        <w:rPr>
          <w:iCs/>
        </w:rPr>
        <w:t xml:space="preserve">Būvniecības likuma 7. panta pirmās daļas 2. punkts nosaka, ka </w:t>
      </w:r>
      <w:r w:rsidR="00E11A60" w:rsidRPr="00784764">
        <w:rPr>
          <w:iCs/>
        </w:rPr>
        <w:t xml:space="preserve">šā </w:t>
      </w:r>
      <w:r w:rsidR="00241CE4" w:rsidRPr="00784764">
        <w:rPr>
          <w:iCs/>
        </w:rPr>
        <w:t xml:space="preserve">likuma izpildei vietējā pašvaldība </w:t>
      </w:r>
      <w:r w:rsidR="00EC23B8" w:rsidRPr="004B6EFD">
        <w:t>pieņem lēmumus par turpmāko rīcību ar tās teritorijā esošām būvēm, kuras ir pilnīgi vai daļēji sagruvušas vai nonākušas tādā stāvoklī, ka to lietošana ir bīstama vai tās bojā ainavu</w:t>
      </w:r>
      <w:r w:rsidR="00241CE4" w:rsidRPr="004B6EFD">
        <w:t>.</w:t>
      </w:r>
      <w:r w:rsidR="008705D8" w:rsidRPr="004B6EFD">
        <w:t xml:space="preserve"> </w:t>
      </w:r>
      <w:r w:rsidR="008705D8" w:rsidRPr="00784764">
        <w:rPr>
          <w:iCs/>
        </w:rPr>
        <w:t>Līdz ar to pašvaldībai jāveic izvērtēšana, lai klasificētu būvi kā vidi degradējošu.</w:t>
      </w:r>
    </w:p>
    <w:p w14:paraId="046D1C69" w14:textId="77777777" w:rsidR="0086013E" w:rsidRDefault="00CF34FD" w:rsidP="00783A2A">
      <w:pPr>
        <w:pStyle w:val="NormalWeb"/>
        <w:numPr>
          <w:ilvl w:val="0"/>
          <w:numId w:val="14"/>
        </w:numPr>
        <w:spacing w:before="120" w:beforeAutospacing="0" w:after="0" w:afterAutospacing="0"/>
        <w:ind w:left="0" w:right="-6" w:firstLine="709"/>
        <w:jc w:val="both"/>
      </w:pPr>
      <w:r w:rsidRPr="004B6EFD">
        <w:t>Būvniecības likuma 21. panta devītā daļa paredz, 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w:t>
      </w:r>
    </w:p>
    <w:p w14:paraId="46EA3FD8" w14:textId="77777777" w:rsidR="0086013E" w:rsidRDefault="0013534F" w:rsidP="00783A2A">
      <w:pPr>
        <w:pStyle w:val="NormalWeb"/>
        <w:numPr>
          <w:ilvl w:val="0"/>
          <w:numId w:val="14"/>
        </w:numPr>
        <w:spacing w:before="120" w:beforeAutospacing="0" w:after="0" w:afterAutospacing="0"/>
        <w:ind w:left="0" w:right="-6" w:firstLine="709"/>
        <w:jc w:val="both"/>
      </w:pPr>
      <w:r w:rsidRPr="0086013E">
        <w:rPr>
          <w:iCs/>
        </w:rPr>
        <w:t>Būvniecības likuma 28. panta trešā daļa paredz administratīvo atbildību par būves vai tās daļas lietošanu vai pieļaušanu lietot, ja būve vai tās daļa ir tādā stāvoklī, ka tās lietošana ir bīstama.</w:t>
      </w:r>
    </w:p>
    <w:p w14:paraId="72D24CAC" w14:textId="77777777" w:rsidR="0036227F" w:rsidRDefault="002E4D6E" w:rsidP="00783A2A">
      <w:pPr>
        <w:pStyle w:val="NormalWeb"/>
        <w:numPr>
          <w:ilvl w:val="0"/>
          <w:numId w:val="14"/>
        </w:numPr>
        <w:spacing w:before="120" w:beforeAutospacing="0" w:after="0" w:afterAutospacing="0"/>
        <w:ind w:left="0" w:right="-6" w:firstLine="709"/>
        <w:jc w:val="both"/>
      </w:pPr>
      <w:r w:rsidRPr="004B6EFD">
        <w:t>Saskaņā ar Ministru kabineta 2014. gada 19. augusta noteikumu Nr. 500 “Vispārīgie būvnoteikumi” (turpmāk - MK noteikumi Nr. 500) 1.7. apakšpunktu MK noteikumi Nr. 500 nosaka principus un dokumentus, uz kuru pamata pieņemams lēmums par tādas būves sakārtošanu vai nojaukšanu, kura ir pilnīgi vai daļēji sagruvusi, bīstama vai bojā ainavu.</w:t>
      </w:r>
    </w:p>
    <w:p w14:paraId="404C796F" w14:textId="56A0D32D" w:rsidR="00E4353F" w:rsidRPr="004B6EFD" w:rsidRDefault="00486986" w:rsidP="00783A2A">
      <w:pPr>
        <w:pStyle w:val="NormalWeb"/>
        <w:numPr>
          <w:ilvl w:val="0"/>
          <w:numId w:val="14"/>
        </w:numPr>
        <w:spacing w:before="120" w:beforeAutospacing="0" w:after="0" w:afterAutospacing="0"/>
        <w:ind w:left="0" w:right="-6" w:firstLine="709"/>
        <w:jc w:val="both"/>
      </w:pPr>
      <w:r w:rsidRPr="004B6EFD">
        <w:t xml:space="preserve">MK noteikumu Nr. 500 </w:t>
      </w:r>
      <w:r w:rsidR="00E4353F" w:rsidRPr="004B6EFD">
        <w:t>158.2.</w:t>
      </w:r>
      <w:r w:rsidR="003516CA" w:rsidRPr="004B6EFD">
        <w:t> </w:t>
      </w:r>
      <w:r w:rsidR="00E4353F" w:rsidRPr="004B6EFD">
        <w:t xml:space="preserve">apakšpunkts noteic, ka 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 </w:t>
      </w:r>
      <w:r w:rsidR="00E4353F" w:rsidRPr="0036227F">
        <w:t xml:space="preserve">Līdz ar to </w:t>
      </w:r>
      <w:r w:rsidR="00E4353F" w:rsidRPr="0036227F">
        <w:rPr>
          <w:b/>
          <w:bCs/>
        </w:rPr>
        <w:t>saistošajos noteikumos</w:t>
      </w:r>
      <w:r w:rsidR="00822B98" w:rsidRPr="0036227F">
        <w:t xml:space="preserve">, kas izdoti saskaņā ar </w:t>
      </w:r>
      <w:r w:rsidR="001005EC" w:rsidRPr="0036227F">
        <w:t>Pašvaldību likuma</w:t>
      </w:r>
      <w:r w:rsidR="00E4353F" w:rsidRPr="0036227F">
        <w:t xml:space="preserve"> 4</w:t>
      </w:r>
      <w:r w:rsidR="001005EC" w:rsidRPr="0036227F">
        <w:t>5</w:t>
      </w:r>
      <w:r w:rsidR="00E4353F" w:rsidRPr="0036227F">
        <w:t>.</w:t>
      </w:r>
      <w:r w:rsidR="00F72F32" w:rsidRPr="0036227F">
        <w:t> </w:t>
      </w:r>
      <w:r w:rsidR="00E4353F" w:rsidRPr="0036227F">
        <w:t xml:space="preserve">panta pirmās daļas </w:t>
      </w:r>
      <w:r w:rsidR="001005EC" w:rsidRPr="0036227F">
        <w:t>3</w:t>
      </w:r>
      <w:r w:rsidR="00E4353F" w:rsidRPr="0036227F">
        <w:t>.</w:t>
      </w:r>
      <w:r w:rsidR="00F72F32" w:rsidRPr="0036227F">
        <w:t> </w:t>
      </w:r>
      <w:r w:rsidR="00E4353F" w:rsidRPr="0036227F">
        <w:t xml:space="preserve">punktu, </w:t>
      </w:r>
      <w:r w:rsidR="00E4353F" w:rsidRPr="0036227F">
        <w:rPr>
          <w:b/>
          <w:bCs/>
        </w:rPr>
        <w:t>var noteikt prasības</w:t>
      </w:r>
      <w:r w:rsidR="00876998" w:rsidRPr="0036227F">
        <w:t xml:space="preserve"> (vizuālās, kas nav saistītas </w:t>
      </w:r>
      <w:r w:rsidR="00AB128C" w:rsidRPr="0036227F">
        <w:rPr>
          <w:iCs/>
        </w:rPr>
        <w:t xml:space="preserve">Būvniecības likuma </w:t>
      </w:r>
      <w:hyperlink r:id="rId8" w:anchor="p9" w:history="1">
        <w:r w:rsidR="00AB128C" w:rsidRPr="0036227F">
          <w:rPr>
            <w:rStyle w:val="Hyperlink"/>
            <w:iCs/>
            <w:color w:val="auto"/>
            <w:u w:val="none"/>
          </w:rPr>
          <w:t>9. pantā</w:t>
        </w:r>
      </w:hyperlink>
      <w:r w:rsidR="00AB128C" w:rsidRPr="0036227F">
        <w:rPr>
          <w:iCs/>
        </w:rPr>
        <w:t xml:space="preserve"> būvei noteiktajām būtiskām prasībām</w:t>
      </w:r>
      <w:r w:rsidR="004E4DB6" w:rsidRPr="0036227F">
        <w:rPr>
          <w:iCs/>
        </w:rPr>
        <w:t xml:space="preserve">) </w:t>
      </w:r>
      <w:r w:rsidR="00E4353F" w:rsidRPr="0036227F">
        <w:rPr>
          <w:b/>
          <w:bCs/>
        </w:rPr>
        <w:t>būves fasādei un citu ārējo konstrukciju tehniskajam stāvoklim vai ārējam izskatam pilsētvides ainavas vai ainaviski vērtīgās teritorijās</w:t>
      </w:r>
      <w:r w:rsidR="00E4353F" w:rsidRPr="0036227F">
        <w:t>.</w:t>
      </w:r>
    </w:p>
    <w:p w14:paraId="2D687118" w14:textId="77777777" w:rsidR="008A7AFD" w:rsidRPr="004B6EFD" w:rsidRDefault="008A7AFD" w:rsidP="00783A2A">
      <w:pPr>
        <w:pStyle w:val="NormalWeb"/>
        <w:spacing w:before="0" w:beforeAutospacing="0" w:after="0" w:afterAutospacing="0"/>
        <w:ind w:left="22" w:right="55" w:hanging="1"/>
        <w:rPr>
          <w:b/>
          <w:bCs/>
        </w:rPr>
      </w:pPr>
    </w:p>
    <w:p w14:paraId="33D8D98B" w14:textId="77777777" w:rsidR="00283DC2" w:rsidRPr="004B6EFD" w:rsidRDefault="00283DC2" w:rsidP="00783A2A">
      <w:pPr>
        <w:pStyle w:val="NormalWeb"/>
        <w:spacing w:before="0" w:beforeAutospacing="0" w:after="0" w:afterAutospacing="0"/>
        <w:ind w:left="22" w:right="55" w:hanging="1"/>
        <w:rPr>
          <w:b/>
          <w:bCs/>
        </w:rPr>
      </w:pPr>
    </w:p>
    <w:p w14:paraId="3F0EE72B" w14:textId="06B1E569" w:rsidR="00C550BF" w:rsidRPr="00C57DEE" w:rsidRDefault="00C550BF" w:rsidP="00783A2A">
      <w:pPr>
        <w:pStyle w:val="ListParagraph"/>
        <w:ind w:left="0"/>
        <w:jc w:val="both"/>
        <w:rPr>
          <w:sz w:val="20"/>
          <w:szCs w:val="20"/>
        </w:rPr>
      </w:pPr>
      <w:r w:rsidRPr="00C57DEE">
        <w:rPr>
          <w:sz w:val="20"/>
          <w:szCs w:val="20"/>
        </w:rPr>
        <w:t xml:space="preserve">Vadlīnijas aktualizētas </w:t>
      </w:r>
      <w:r w:rsidR="00783A2A" w:rsidRPr="00C57DEE">
        <w:rPr>
          <w:sz w:val="20"/>
          <w:szCs w:val="20"/>
        </w:rPr>
        <w:t>1</w:t>
      </w:r>
      <w:r w:rsidR="008005AE">
        <w:rPr>
          <w:sz w:val="20"/>
          <w:szCs w:val="20"/>
        </w:rPr>
        <w:t>7</w:t>
      </w:r>
      <w:r w:rsidR="006B2296" w:rsidRPr="00C57DEE">
        <w:rPr>
          <w:sz w:val="20"/>
          <w:szCs w:val="20"/>
        </w:rPr>
        <w:t>.12.2025.</w:t>
      </w:r>
    </w:p>
    <w:p w14:paraId="10B3CC62" w14:textId="77777777" w:rsidR="00283DC2" w:rsidRPr="00C57DEE" w:rsidRDefault="00283DC2" w:rsidP="00783A2A">
      <w:pPr>
        <w:spacing w:after="0" w:line="240" w:lineRule="auto"/>
        <w:jc w:val="both"/>
        <w:rPr>
          <w:rFonts w:ascii="Times New Roman" w:hAnsi="Times New Roman" w:cs="Times New Roman"/>
          <w:sz w:val="20"/>
          <w:szCs w:val="20"/>
        </w:rPr>
      </w:pPr>
    </w:p>
    <w:p w14:paraId="3F70EA8F" w14:textId="0B84482A" w:rsidR="006B2296" w:rsidRPr="00C57DEE" w:rsidRDefault="00283DC2" w:rsidP="00283DC2">
      <w:pPr>
        <w:pStyle w:val="xxmsonormal"/>
        <w:shd w:val="clear" w:color="auto" w:fill="FFFFFF"/>
        <w:rPr>
          <w:sz w:val="20"/>
          <w:szCs w:val="20"/>
        </w:rPr>
      </w:pPr>
      <w:r w:rsidRPr="00C57DEE">
        <w:rPr>
          <w:sz w:val="20"/>
          <w:szCs w:val="20"/>
        </w:rPr>
        <w:t>Kontaktinformācija:</w:t>
      </w:r>
    </w:p>
    <w:p w14:paraId="57513DE8" w14:textId="77777777" w:rsidR="006B2296" w:rsidRPr="00C57DEE" w:rsidRDefault="006B2296" w:rsidP="006B2296">
      <w:pPr>
        <w:pStyle w:val="xxmsonormal"/>
        <w:shd w:val="clear" w:color="auto" w:fill="FFFFFF"/>
        <w:rPr>
          <w:sz w:val="20"/>
          <w:szCs w:val="20"/>
        </w:rPr>
      </w:pPr>
      <w:r w:rsidRPr="00C57DEE">
        <w:rPr>
          <w:sz w:val="20"/>
          <w:szCs w:val="20"/>
        </w:rPr>
        <w:t xml:space="preserve">Agris </w:t>
      </w:r>
      <w:proofErr w:type="spellStart"/>
      <w:r w:rsidRPr="00C57DEE">
        <w:rPr>
          <w:sz w:val="20"/>
          <w:szCs w:val="20"/>
        </w:rPr>
        <w:t>Buzēns</w:t>
      </w:r>
      <w:proofErr w:type="spellEnd"/>
      <w:r w:rsidRPr="00C57DEE">
        <w:rPr>
          <w:sz w:val="20"/>
          <w:szCs w:val="20"/>
        </w:rPr>
        <w:t>, Pašvaldību departamenta Pašvaldību pārraudzības nodaļas vecākais eksperts</w:t>
      </w:r>
    </w:p>
    <w:p w14:paraId="62C0E191" w14:textId="77777777" w:rsidR="006B2296" w:rsidRPr="00C57DEE" w:rsidRDefault="006B2296" w:rsidP="006B2296">
      <w:pPr>
        <w:spacing w:after="0" w:line="240" w:lineRule="auto"/>
        <w:jc w:val="both"/>
        <w:rPr>
          <w:rFonts w:ascii="Times New Roman" w:hAnsi="Times New Roman" w:cs="Times New Roman"/>
          <w:sz w:val="20"/>
          <w:szCs w:val="20"/>
          <w:shd w:val="clear" w:color="auto" w:fill="FFFFFF"/>
        </w:rPr>
      </w:pPr>
      <w:hyperlink r:id="rId9" w:history="1">
        <w:r w:rsidRPr="00C57DEE">
          <w:rPr>
            <w:rStyle w:val="Hyperlink"/>
            <w:rFonts w:ascii="Times New Roman" w:hAnsi="Times New Roman" w:cs="Times New Roman"/>
            <w:color w:val="auto"/>
            <w:sz w:val="20"/>
            <w:szCs w:val="20"/>
            <w:u w:val="none"/>
            <w:shd w:val="clear" w:color="auto" w:fill="FFFFFF"/>
          </w:rPr>
          <w:t>agris.buzens@varam.gov.lv</w:t>
        </w:r>
      </w:hyperlink>
      <w:r w:rsidRPr="00C57DEE">
        <w:rPr>
          <w:rStyle w:val="Hyperlink"/>
          <w:rFonts w:ascii="Times New Roman" w:hAnsi="Times New Roman" w:cs="Times New Roman"/>
          <w:color w:val="auto"/>
          <w:sz w:val="20"/>
          <w:szCs w:val="20"/>
          <w:u w:val="none"/>
          <w:shd w:val="clear" w:color="auto" w:fill="FFFFFF"/>
        </w:rPr>
        <w:t xml:space="preserve">, </w:t>
      </w:r>
      <w:r w:rsidRPr="00C57DEE">
        <w:rPr>
          <w:rFonts w:ascii="Times New Roman" w:hAnsi="Times New Roman" w:cs="Times New Roman"/>
          <w:sz w:val="20"/>
          <w:szCs w:val="20"/>
        </w:rPr>
        <w:t>tālr. </w:t>
      </w:r>
      <w:r w:rsidRPr="00C57DEE">
        <w:rPr>
          <w:rFonts w:ascii="Times New Roman" w:hAnsi="Times New Roman" w:cs="Times New Roman"/>
          <w:sz w:val="20"/>
          <w:szCs w:val="20"/>
          <w:shd w:val="clear" w:color="auto" w:fill="FFFFFF"/>
        </w:rPr>
        <w:t>66016719</w:t>
      </w:r>
    </w:p>
    <w:p w14:paraId="1B041411" w14:textId="77777777" w:rsidR="00283DC2" w:rsidRPr="00C57DEE" w:rsidRDefault="00283DC2" w:rsidP="00283DC2">
      <w:pPr>
        <w:pStyle w:val="xxmsonormal"/>
        <w:shd w:val="clear" w:color="auto" w:fill="FFFFFF"/>
        <w:rPr>
          <w:sz w:val="20"/>
          <w:szCs w:val="20"/>
        </w:rPr>
      </w:pPr>
      <w:r w:rsidRPr="00C57DEE">
        <w:rPr>
          <w:sz w:val="20"/>
          <w:szCs w:val="20"/>
        </w:rPr>
        <w:t xml:space="preserve">Aigars </w:t>
      </w:r>
      <w:proofErr w:type="spellStart"/>
      <w:r w:rsidRPr="00C57DEE">
        <w:rPr>
          <w:sz w:val="20"/>
          <w:szCs w:val="20"/>
        </w:rPr>
        <w:t>Cibuļskis</w:t>
      </w:r>
      <w:proofErr w:type="spellEnd"/>
      <w:r w:rsidRPr="00C57DEE">
        <w:rPr>
          <w:sz w:val="20"/>
          <w:szCs w:val="20"/>
        </w:rPr>
        <w:t>, Pašvaldību departamenta Pašvaldību pārraudzības nodaļas vecākais eksperts</w:t>
      </w:r>
    </w:p>
    <w:p w14:paraId="278F0676" w14:textId="28E4C5E8" w:rsidR="00283DC2" w:rsidRPr="00C57DEE" w:rsidRDefault="00283DC2" w:rsidP="00283DC2">
      <w:pPr>
        <w:shd w:val="clear" w:color="auto" w:fill="FFFFFF"/>
        <w:spacing w:after="0" w:line="240" w:lineRule="auto"/>
        <w:rPr>
          <w:rFonts w:ascii="Times New Roman" w:hAnsi="Times New Roman" w:cs="Times New Roman"/>
          <w:sz w:val="20"/>
          <w:szCs w:val="20"/>
        </w:rPr>
      </w:pPr>
      <w:hyperlink r:id="rId10" w:history="1">
        <w:r w:rsidRPr="00C57DEE">
          <w:rPr>
            <w:rStyle w:val="Hyperlink"/>
            <w:rFonts w:ascii="Times New Roman" w:hAnsi="Times New Roman" w:cs="Times New Roman"/>
            <w:color w:val="auto"/>
            <w:sz w:val="20"/>
            <w:szCs w:val="20"/>
            <w:u w:val="none"/>
          </w:rPr>
          <w:t>aigars.cibulskis@varam.gov.lv</w:t>
        </w:r>
      </w:hyperlink>
      <w:r w:rsidRPr="00C57DEE">
        <w:rPr>
          <w:rFonts w:ascii="Times New Roman" w:hAnsi="Times New Roman" w:cs="Times New Roman"/>
          <w:sz w:val="20"/>
          <w:szCs w:val="20"/>
        </w:rPr>
        <w:t>, tālr. 67026919</w:t>
      </w:r>
    </w:p>
    <w:sectPr w:rsidR="00283DC2" w:rsidRPr="00C57DEE" w:rsidSect="00283DC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7030" w14:textId="77777777" w:rsidR="00502E5E" w:rsidRDefault="00502E5E" w:rsidP="00051606">
      <w:pPr>
        <w:spacing w:after="0" w:line="240" w:lineRule="auto"/>
      </w:pPr>
      <w:r>
        <w:separator/>
      </w:r>
    </w:p>
  </w:endnote>
  <w:endnote w:type="continuationSeparator" w:id="0">
    <w:p w14:paraId="754D4BA2" w14:textId="77777777" w:rsidR="00502E5E" w:rsidRDefault="00502E5E"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59C0" w14:textId="77777777" w:rsidR="00502E5E" w:rsidRDefault="00502E5E" w:rsidP="00051606">
      <w:pPr>
        <w:spacing w:after="0" w:line="240" w:lineRule="auto"/>
      </w:pPr>
      <w:r>
        <w:separator/>
      </w:r>
    </w:p>
  </w:footnote>
  <w:footnote w:type="continuationSeparator" w:id="0">
    <w:p w14:paraId="2FB8F014" w14:textId="77777777" w:rsidR="00502E5E" w:rsidRDefault="00502E5E" w:rsidP="00051606">
      <w:pPr>
        <w:spacing w:after="0" w:line="240" w:lineRule="auto"/>
      </w:pPr>
      <w:r>
        <w:continuationSeparator/>
      </w:r>
    </w:p>
  </w:footnote>
  <w:footnote w:id="1">
    <w:p w14:paraId="3636E81A" w14:textId="751C24FB" w:rsidR="000D2B1D" w:rsidRPr="00C57DEE" w:rsidRDefault="000D2B1D"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00783A2A" w:rsidRPr="00C57DEE">
        <w:rPr>
          <w:rFonts w:ascii="Times New Roman" w:hAnsi="Times New Roman" w:cs="Times New Roman"/>
        </w:rPr>
        <w:t>p</w:t>
      </w:r>
      <w:r w:rsidRPr="00C57DEE">
        <w:rPr>
          <w:rFonts w:ascii="Times New Roman" w:hAnsi="Times New Roman" w:cs="Times New Roman"/>
        </w:rPr>
        <w:t xml:space="preserve">ašvaldības dome triju darbdienu laikā pēc parakstīšanas </w:t>
      </w:r>
      <w:proofErr w:type="spellStart"/>
      <w:r w:rsidRPr="00C57DEE">
        <w:rPr>
          <w:rFonts w:ascii="Times New Roman" w:hAnsi="Times New Roman" w:cs="Times New Roman"/>
        </w:rPr>
        <w:t>rakstveidā</w:t>
      </w:r>
      <w:proofErr w:type="spellEnd"/>
      <w:r w:rsidRPr="00C57DEE">
        <w:rPr>
          <w:rFonts w:ascii="Times New Roman" w:hAnsi="Times New Roman" w:cs="Times New Roman"/>
        </w:rPr>
        <w:t xml:space="preserve"> </w:t>
      </w:r>
      <w:proofErr w:type="spellStart"/>
      <w:r w:rsidRPr="00C57DEE">
        <w:rPr>
          <w:rFonts w:ascii="Times New Roman" w:hAnsi="Times New Roman" w:cs="Times New Roman"/>
        </w:rPr>
        <w:t>nosūta</w:t>
      </w:r>
      <w:proofErr w:type="spellEnd"/>
      <w:r w:rsidRPr="00C57DEE">
        <w:rPr>
          <w:rFonts w:ascii="Times New Roman" w:hAnsi="Times New Roman" w:cs="Times New Roman"/>
        </w:rPr>
        <w:t xml:space="preserve"> atzinuma sniegšanai </w:t>
      </w:r>
      <w:r w:rsidR="00783A2A" w:rsidRPr="00C57DEE">
        <w:rPr>
          <w:rFonts w:ascii="Times New Roman" w:hAnsi="Times New Roman" w:cs="Times New Roman"/>
        </w:rPr>
        <w:t>VARAM</w:t>
      </w:r>
      <w:r w:rsidRPr="00C57DEE">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p>
  </w:footnote>
  <w:footnote w:id="2">
    <w:p w14:paraId="65CE5C15" w14:textId="77777777" w:rsidR="00B05BE4" w:rsidRPr="00C57DEE" w:rsidRDefault="00B05BE4" w:rsidP="00B05BE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skat. ministrijas metodisko materiālu “</w:t>
      </w:r>
      <w:hyperlink r:id="rId1" w:tooltip="Pašvaldības saistošo noteikumu izdošanas pilnvarojums" w:history="1">
        <w:r w:rsidRPr="00C57DEE">
          <w:rPr>
            <w:rStyle w:val="Hyperlink"/>
            <w:rFonts w:ascii="Times New Roman" w:hAnsi="Times New Roman" w:cs="Times New Roman"/>
          </w:rPr>
          <w:t>Pašvaldības saistošo noteikumu izdošanas pilnvarojums</w:t>
        </w:r>
      </w:hyperlink>
      <w:r w:rsidRPr="00C57DEE">
        <w:rPr>
          <w:rFonts w:ascii="Times New Roman" w:hAnsi="Times New Roman" w:cs="Times New Roman"/>
        </w:rPr>
        <w:t xml:space="preserve">”, pieejams šeit: </w:t>
      </w:r>
      <w:hyperlink r:id="rId2" w:history="1">
        <w:r w:rsidRPr="00C57DEE">
          <w:rPr>
            <w:rStyle w:val="Hyperlink"/>
            <w:rFonts w:ascii="Times New Roman" w:hAnsi="Times New Roman" w:cs="Times New Roman"/>
          </w:rPr>
          <w:t>https://www.varam.gov.lv/lv/saistoso-noteikumu-izstrade</w:t>
        </w:r>
      </w:hyperlink>
      <w:r w:rsidRPr="00C57DEE">
        <w:rPr>
          <w:rStyle w:val="Hyperlink"/>
          <w:rFonts w:ascii="Times New Roman" w:hAnsi="Times New Roman" w:cs="Times New Roman"/>
        </w:rPr>
        <w:t>;</w:t>
      </w:r>
    </w:p>
  </w:footnote>
  <w:footnote w:id="3">
    <w:p w14:paraId="50319EDC" w14:textId="483CB2AA" w:rsidR="00632173" w:rsidRPr="00C57DEE" w:rsidRDefault="00632173"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00C0793C" w:rsidRPr="00C57DEE">
        <w:rPr>
          <w:rFonts w:ascii="Times New Roman" w:hAnsi="Times New Roman" w:cs="Times New Roman"/>
        </w:rPr>
        <w:t> </w:t>
      </w:r>
      <w:r w:rsidRPr="00C57DEE">
        <w:rPr>
          <w:rFonts w:ascii="Times New Roman" w:hAnsi="Times New Roman" w:cs="Times New Roman"/>
          <w:color w:val="000000"/>
        </w:rPr>
        <w:t>Satversmes tiesas 2008. gada 22. decembra spriedum</w:t>
      </w:r>
      <w:r w:rsidR="00783A2A" w:rsidRPr="00C57DEE">
        <w:rPr>
          <w:rFonts w:ascii="Times New Roman" w:hAnsi="Times New Roman" w:cs="Times New Roman"/>
          <w:color w:val="000000"/>
        </w:rPr>
        <w:t>s</w:t>
      </w:r>
      <w:r w:rsidRPr="00C57DEE">
        <w:rPr>
          <w:rFonts w:ascii="Times New Roman" w:hAnsi="Times New Roman" w:cs="Times New Roman"/>
          <w:color w:val="000000"/>
        </w:rPr>
        <w:t xml:space="preserve"> lietā Nr. 2008-11- 01</w:t>
      </w:r>
      <w:r w:rsidR="00783A2A" w:rsidRPr="00C57DEE">
        <w:rPr>
          <w:rFonts w:ascii="Times New Roman" w:hAnsi="Times New Roman" w:cs="Times New Roman"/>
          <w:color w:val="000000"/>
        </w:rPr>
        <w:t>,</w:t>
      </w:r>
      <w:r w:rsidRPr="00C57DEE">
        <w:rPr>
          <w:rFonts w:ascii="Times New Roman" w:hAnsi="Times New Roman" w:cs="Times New Roman"/>
          <w:color w:val="000000"/>
        </w:rPr>
        <w:t xml:space="preserve"> 9.</w:t>
      </w:r>
      <w:r w:rsidR="00783A2A" w:rsidRPr="00C57DEE">
        <w:rPr>
          <w:rFonts w:ascii="Times New Roman" w:hAnsi="Times New Roman" w:cs="Times New Roman"/>
          <w:color w:val="000000"/>
        </w:rPr>
        <w:t> </w:t>
      </w:r>
      <w:r w:rsidRPr="00C57DEE">
        <w:rPr>
          <w:rFonts w:ascii="Times New Roman" w:hAnsi="Times New Roman" w:cs="Times New Roman"/>
          <w:color w:val="000000"/>
        </w:rPr>
        <w:t>punkt</w:t>
      </w:r>
      <w:r w:rsidR="002C015C" w:rsidRPr="00C57DEE">
        <w:rPr>
          <w:rFonts w:ascii="Times New Roman" w:hAnsi="Times New Roman" w:cs="Times New Roman"/>
          <w:color w:val="000000"/>
        </w:rPr>
        <w:t>s</w:t>
      </w:r>
      <w:r w:rsidR="00783A2A" w:rsidRPr="00C57DEE">
        <w:rPr>
          <w:rFonts w:ascii="Times New Roman" w:hAnsi="Times New Roman" w:cs="Times New Roman"/>
          <w:color w:val="000000"/>
        </w:rPr>
        <w:t>;</w:t>
      </w:r>
    </w:p>
  </w:footnote>
  <w:footnote w:id="4">
    <w:p w14:paraId="5099BD04" w14:textId="7CD86F3C" w:rsidR="002C015C" w:rsidRPr="00C57DEE" w:rsidRDefault="002C015C" w:rsidP="0059040F">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00C0793C" w:rsidRPr="00C57DEE">
        <w:rPr>
          <w:rFonts w:ascii="Times New Roman" w:hAnsi="Times New Roman" w:cs="Times New Roman"/>
        </w:rPr>
        <w:t> </w:t>
      </w:r>
      <w:r w:rsidR="00C0793C" w:rsidRPr="00C57DEE">
        <w:rPr>
          <w:rFonts w:ascii="Times New Roman" w:hAnsi="Times New Roman" w:cs="Times New Roman"/>
        </w:rPr>
        <w:t>t</w:t>
      </w:r>
      <w:r w:rsidRPr="00C57DEE">
        <w:rPr>
          <w:rFonts w:ascii="Times New Roman" w:hAnsi="Times New Roman" w:cs="Times New Roman"/>
          <w:color w:val="000000"/>
        </w:rPr>
        <w:t>urpat</w:t>
      </w:r>
      <w:r w:rsidR="006E5A6A" w:rsidRPr="00C57DEE">
        <w:rPr>
          <w:rFonts w:ascii="Times New Roman" w:hAnsi="Times New Roman" w:cs="Times New Roman"/>
          <w:color w:val="000000"/>
        </w:rPr>
        <w:t>,</w:t>
      </w:r>
      <w:r w:rsidRPr="00C57DEE">
        <w:rPr>
          <w:rFonts w:ascii="Times New Roman" w:hAnsi="Times New Roman" w:cs="Times New Roman"/>
          <w:color w:val="000000"/>
        </w:rPr>
        <w:t xml:space="preserve"> 19.</w:t>
      </w:r>
      <w:r w:rsidR="00783A2A" w:rsidRPr="00C57DEE">
        <w:rPr>
          <w:rFonts w:ascii="Times New Roman" w:hAnsi="Times New Roman" w:cs="Times New Roman"/>
          <w:color w:val="000000"/>
        </w:rPr>
        <w:t> </w:t>
      </w:r>
      <w:r w:rsidRPr="00C57DEE">
        <w:rPr>
          <w:rFonts w:ascii="Times New Roman" w:hAnsi="Times New Roman" w:cs="Times New Roman"/>
          <w:color w:val="000000"/>
        </w:rPr>
        <w:t>punkts</w:t>
      </w:r>
      <w:r w:rsidR="00783A2A" w:rsidRPr="00C57DEE">
        <w:rPr>
          <w:rFonts w:ascii="Times New Roman" w:hAnsi="Times New Roman" w:cs="Times New Roman"/>
          <w:color w:val="000000"/>
        </w:rPr>
        <w:t>;</w:t>
      </w:r>
    </w:p>
  </w:footnote>
  <w:footnote w:id="5">
    <w:p w14:paraId="643393EA" w14:textId="77777777" w:rsidR="00B93854" w:rsidRPr="000523BC" w:rsidRDefault="00B93854" w:rsidP="00B9385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viedoklis pausts Tieslietu ministrijas 2023. gada 1. februāra vēstulē Nr. 1-17/356, kas nosūtīta visām pašvaldībām;</w:t>
      </w:r>
    </w:p>
  </w:footnote>
  <w:footnote w:id="6">
    <w:p w14:paraId="29BE70B8" w14:textId="77777777" w:rsidR="00B93854" w:rsidRPr="008C7080" w:rsidRDefault="00B93854" w:rsidP="00B93854">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 xml:space="preserve">utoru kolektīvs. E. </w:t>
      </w:r>
      <w:proofErr w:type="spellStart"/>
      <w:r w:rsidRPr="000523BC">
        <w:rPr>
          <w:rFonts w:ascii="Times New Roman" w:hAnsi="Times New Roman" w:cs="Times New Roman"/>
        </w:rPr>
        <w:t>Danovska</w:t>
      </w:r>
      <w:proofErr w:type="spellEnd"/>
      <w:r w:rsidRPr="000523BC">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7">
    <w:p w14:paraId="09F70E3A" w14:textId="77777777" w:rsidR="00B93854" w:rsidRPr="008C7080" w:rsidRDefault="00B93854" w:rsidP="00B93854">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w:t>
      </w:r>
      <w:r w:rsidRPr="008C7080">
        <w:rPr>
          <w:rFonts w:ascii="Times New Roman" w:hAnsi="Times New Roman" w:cs="Times New Roman"/>
        </w:rPr>
        <w:t>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8">
    <w:p w14:paraId="65E97034" w14:textId="77777777" w:rsidR="00B93854" w:rsidRPr="00C57DEE" w:rsidRDefault="00B93854" w:rsidP="00B93854">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Administratīvo pārkāpumu tiesības. Administratīvās atbildības likuma skaidrojumi. Sagatavojis autoru kolektīvs. E. </w:t>
      </w:r>
      <w:proofErr w:type="spellStart"/>
      <w:r w:rsidRPr="00C57DEE">
        <w:rPr>
          <w:rFonts w:ascii="Times New Roman" w:hAnsi="Times New Roman" w:cs="Times New Roman"/>
        </w:rPr>
        <w:t>Danovska</w:t>
      </w:r>
      <w:proofErr w:type="spellEnd"/>
      <w:r w:rsidRPr="00C57DEE">
        <w:rPr>
          <w:rFonts w:ascii="Times New Roman" w:hAnsi="Times New Roman" w:cs="Times New Roman"/>
        </w:rPr>
        <w:t xml:space="preserve"> un G. Kūtra zinātniskajā redakcijā. Rīga: Tiesu namu aģentūra, 2020, 60.-61. lpp.;</w:t>
      </w:r>
    </w:p>
  </w:footnote>
  <w:footnote w:id="9">
    <w:p w14:paraId="7025AEBA" w14:textId="77777777" w:rsidR="003B1C06" w:rsidRPr="00C57DEE" w:rsidRDefault="003B1C06" w:rsidP="003B1C06">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 xml:space="preserve">Ar izņēmumu, ka uz </w:t>
      </w:r>
      <w:proofErr w:type="spellStart"/>
      <w:r w:rsidRPr="00C57DEE">
        <w:rPr>
          <w:rFonts w:ascii="Times New Roman" w:hAnsi="Times New Roman" w:cs="Times New Roman"/>
        </w:rPr>
        <w:t>viendzīvokļu</w:t>
      </w:r>
      <w:proofErr w:type="spellEnd"/>
      <w:r w:rsidRPr="00C57DEE">
        <w:rPr>
          <w:rFonts w:ascii="Times New Roman" w:hAnsi="Times New Roman" w:cs="Times New Roman"/>
        </w:rPr>
        <w:t xml:space="preserve"> mājām neattiecas MK noteikumi Nr. 906;</w:t>
      </w:r>
    </w:p>
  </w:footnote>
  <w:footnote w:id="10">
    <w:p w14:paraId="32833F0C" w14:textId="77777777" w:rsidR="00E6735D" w:rsidRPr="00C57DEE" w:rsidRDefault="00E6735D" w:rsidP="00E6735D">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Latvijas Republikas Satversmes tiesas 2010. gada 18. februāra spriedums lietā Nr. 2009-74-01;</w:t>
      </w:r>
    </w:p>
  </w:footnote>
  <w:footnote w:id="11">
    <w:p w14:paraId="6FD1B52F" w14:textId="163048E9" w:rsidR="00E6735D" w:rsidRPr="00AF0EE2" w:rsidRDefault="00E6735D" w:rsidP="00E6735D">
      <w:pPr>
        <w:pStyle w:val="FootnoteText"/>
        <w:jc w:val="both"/>
        <w:rPr>
          <w:rFonts w:ascii="Times New Roman" w:hAnsi="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Tieslietu ministrija 2024. gada 20. marta vēstule Nr. 1-17/927</w:t>
      </w:r>
      <w:r w:rsidR="00783A2A" w:rsidRPr="00C57DEE">
        <w:rPr>
          <w:rFonts w:ascii="Times New Roman" w:hAnsi="Times New Roman" w:cs="Times New Roman"/>
        </w:rPr>
        <w:t>;</w:t>
      </w:r>
    </w:p>
  </w:footnote>
  <w:footnote w:id="12">
    <w:p w14:paraId="2D58F43E" w14:textId="56DF598D" w:rsidR="00E6735D" w:rsidRPr="00C57DEE" w:rsidRDefault="00E6735D" w:rsidP="00E6735D">
      <w:pPr>
        <w:pStyle w:val="FootnoteText"/>
        <w:jc w:val="both"/>
        <w:rPr>
          <w:rFonts w:ascii="Times New Roman" w:hAnsi="Times New Roman" w:cs="Times New Roman"/>
        </w:rPr>
      </w:pPr>
      <w:r w:rsidRPr="00C57DEE">
        <w:rPr>
          <w:rStyle w:val="FootnoteReference"/>
          <w:rFonts w:ascii="Times New Roman" w:hAnsi="Times New Roman" w:cs="Times New Roman"/>
        </w:rPr>
        <w:footnoteRef/>
      </w:r>
      <w:r w:rsidRPr="00C57DEE">
        <w:rPr>
          <w:rFonts w:ascii="Times New Roman" w:hAnsi="Times New Roman" w:cs="Times New Roman"/>
        </w:rPr>
        <w:t> </w:t>
      </w:r>
      <w:r w:rsidRPr="00C57DEE">
        <w:rPr>
          <w:rFonts w:ascii="Times New Roman" w:hAnsi="Times New Roman" w:cs="Times New Roman"/>
        </w:rPr>
        <w:t>pašvaldības nav tiesīgas izdot saistošos noteikumus, kas paredz administratīvo atbildību par sanitārās apkopes prasību neievērošanu, jo administratīvā atbildība jau ir paredzēta pārvaldīšanas likuma 29. pantā</w:t>
      </w:r>
      <w:r w:rsidR="00783A2A" w:rsidRPr="00C57DE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E63"/>
    <w:multiLevelType w:val="hybridMultilevel"/>
    <w:tmpl w:val="5F62C42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3" w15:restartNumberingAfterBreak="0">
    <w:nsid w:val="251C4B9C"/>
    <w:multiLevelType w:val="hybridMultilevel"/>
    <w:tmpl w:val="C200F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041E2B"/>
    <w:multiLevelType w:val="hybridMultilevel"/>
    <w:tmpl w:val="BAC80C1A"/>
    <w:lvl w:ilvl="0" w:tplc="B456EB08">
      <w:start w:val="1"/>
      <w:numFmt w:val="decimal"/>
      <w:lvlText w:val="%1."/>
      <w:lvlJc w:val="left"/>
      <w:pPr>
        <w:ind w:left="1500" w:hanging="360"/>
      </w:pPr>
      <w:rPr>
        <w:b w:val="0"/>
        <w:bCs w:val="0"/>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F8D7A9A"/>
    <w:multiLevelType w:val="multilevel"/>
    <w:tmpl w:val="8BEEA43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A24219"/>
    <w:multiLevelType w:val="hybridMultilevel"/>
    <w:tmpl w:val="06FE95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10"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EF7679"/>
    <w:multiLevelType w:val="multilevel"/>
    <w:tmpl w:val="E26AAF9E"/>
    <w:lvl w:ilvl="0">
      <w:start w:val="1"/>
      <w:numFmt w:val="decimal"/>
      <w:lvlText w:val="%1."/>
      <w:lvlJc w:val="left"/>
      <w:pPr>
        <w:ind w:left="741" w:hanging="360"/>
      </w:pPr>
      <w:rPr>
        <w:b/>
        <w:bCs/>
      </w:rPr>
    </w:lvl>
    <w:lvl w:ilvl="1">
      <w:start w:val="1"/>
      <w:numFmt w:val="decimal"/>
      <w:isLgl/>
      <w:lvlText w:val="%1.%2."/>
      <w:lvlJc w:val="left"/>
      <w:pPr>
        <w:ind w:left="861" w:hanging="480"/>
      </w:pPr>
      <w:rPr>
        <w:rFonts w:hint="default"/>
      </w:rPr>
    </w:lvl>
    <w:lvl w:ilvl="2">
      <w:start w:val="1"/>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13"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2"/>
  </w:num>
  <w:num w:numId="2" w16cid:durableId="1708293381">
    <w:abstractNumId w:val="13"/>
  </w:num>
  <w:num w:numId="3" w16cid:durableId="2087725828">
    <w:abstractNumId w:val="1"/>
  </w:num>
  <w:num w:numId="4" w16cid:durableId="929312318">
    <w:abstractNumId w:val="10"/>
  </w:num>
  <w:num w:numId="5" w16cid:durableId="606544934">
    <w:abstractNumId w:val="7"/>
  </w:num>
  <w:num w:numId="6" w16cid:durableId="202064613">
    <w:abstractNumId w:val="6"/>
  </w:num>
  <w:num w:numId="7" w16cid:durableId="1831871147">
    <w:abstractNumId w:val="12"/>
  </w:num>
  <w:num w:numId="8" w16cid:durableId="274292069">
    <w:abstractNumId w:val="3"/>
  </w:num>
  <w:num w:numId="9" w16cid:durableId="1987053168">
    <w:abstractNumId w:val="5"/>
  </w:num>
  <w:num w:numId="10" w16cid:durableId="2019457987">
    <w:abstractNumId w:val="4"/>
  </w:num>
  <w:num w:numId="11" w16cid:durableId="504125093">
    <w:abstractNumId w:val="9"/>
  </w:num>
  <w:num w:numId="12" w16cid:durableId="1325471539">
    <w:abstractNumId w:val="11"/>
  </w:num>
  <w:num w:numId="13" w16cid:durableId="729351385">
    <w:abstractNumId w:val="8"/>
  </w:num>
  <w:num w:numId="14" w16cid:durableId="15349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582E"/>
    <w:rsid w:val="00042A5D"/>
    <w:rsid w:val="00042E3C"/>
    <w:rsid w:val="00051606"/>
    <w:rsid w:val="000815EC"/>
    <w:rsid w:val="000925E9"/>
    <w:rsid w:val="00094285"/>
    <w:rsid w:val="000D2B1D"/>
    <w:rsid w:val="000F5714"/>
    <w:rsid w:val="001005EC"/>
    <w:rsid w:val="001306F0"/>
    <w:rsid w:val="0013534F"/>
    <w:rsid w:val="0018719E"/>
    <w:rsid w:val="001A6401"/>
    <w:rsid w:val="001B47EB"/>
    <w:rsid w:val="001C234C"/>
    <w:rsid w:val="001D7F0B"/>
    <w:rsid w:val="00241CE4"/>
    <w:rsid w:val="002617AC"/>
    <w:rsid w:val="00263610"/>
    <w:rsid w:val="00265BCA"/>
    <w:rsid w:val="002717F0"/>
    <w:rsid w:val="00273CB4"/>
    <w:rsid w:val="00275E56"/>
    <w:rsid w:val="00275F23"/>
    <w:rsid w:val="00283DC2"/>
    <w:rsid w:val="0028619B"/>
    <w:rsid w:val="00287F7A"/>
    <w:rsid w:val="002968CB"/>
    <w:rsid w:val="002A1936"/>
    <w:rsid w:val="002B42D6"/>
    <w:rsid w:val="002B7897"/>
    <w:rsid w:val="002C015C"/>
    <w:rsid w:val="002C1605"/>
    <w:rsid w:val="002C2847"/>
    <w:rsid w:val="002C7189"/>
    <w:rsid w:val="002D083E"/>
    <w:rsid w:val="002D2B4E"/>
    <w:rsid w:val="002D742C"/>
    <w:rsid w:val="002E2BB2"/>
    <w:rsid w:val="002E4D6E"/>
    <w:rsid w:val="00305E08"/>
    <w:rsid w:val="00314A75"/>
    <w:rsid w:val="00321CB1"/>
    <w:rsid w:val="00351009"/>
    <w:rsid w:val="003516CA"/>
    <w:rsid w:val="0036227F"/>
    <w:rsid w:val="003662DB"/>
    <w:rsid w:val="00380FA2"/>
    <w:rsid w:val="00384852"/>
    <w:rsid w:val="003A67B8"/>
    <w:rsid w:val="003B1C06"/>
    <w:rsid w:val="003D32EA"/>
    <w:rsid w:val="003F2BD7"/>
    <w:rsid w:val="003F3BA5"/>
    <w:rsid w:val="003F5290"/>
    <w:rsid w:val="003F65B3"/>
    <w:rsid w:val="004057BD"/>
    <w:rsid w:val="00412213"/>
    <w:rsid w:val="00420A89"/>
    <w:rsid w:val="00436D15"/>
    <w:rsid w:val="0044204A"/>
    <w:rsid w:val="00443067"/>
    <w:rsid w:val="00446E06"/>
    <w:rsid w:val="00456425"/>
    <w:rsid w:val="00463A6B"/>
    <w:rsid w:val="00470848"/>
    <w:rsid w:val="00470DA9"/>
    <w:rsid w:val="0047578F"/>
    <w:rsid w:val="00483C97"/>
    <w:rsid w:val="00484534"/>
    <w:rsid w:val="00486986"/>
    <w:rsid w:val="00487A21"/>
    <w:rsid w:val="00497600"/>
    <w:rsid w:val="004A424C"/>
    <w:rsid w:val="004A51DE"/>
    <w:rsid w:val="004B452F"/>
    <w:rsid w:val="004B6497"/>
    <w:rsid w:val="004B6EFD"/>
    <w:rsid w:val="004D305C"/>
    <w:rsid w:val="004E4DB6"/>
    <w:rsid w:val="004E760C"/>
    <w:rsid w:val="00501228"/>
    <w:rsid w:val="00502E5E"/>
    <w:rsid w:val="00504039"/>
    <w:rsid w:val="00512B34"/>
    <w:rsid w:val="00526CDE"/>
    <w:rsid w:val="005362E7"/>
    <w:rsid w:val="00554C47"/>
    <w:rsid w:val="0055581F"/>
    <w:rsid w:val="00557E35"/>
    <w:rsid w:val="0057797D"/>
    <w:rsid w:val="0059040F"/>
    <w:rsid w:val="005C348D"/>
    <w:rsid w:val="005D0066"/>
    <w:rsid w:val="005E0BB0"/>
    <w:rsid w:val="006013FB"/>
    <w:rsid w:val="006137E6"/>
    <w:rsid w:val="00632173"/>
    <w:rsid w:val="00637B33"/>
    <w:rsid w:val="00661DFF"/>
    <w:rsid w:val="00691C5B"/>
    <w:rsid w:val="006A6683"/>
    <w:rsid w:val="006B2296"/>
    <w:rsid w:val="006D4F8D"/>
    <w:rsid w:val="006E1839"/>
    <w:rsid w:val="006E5A6A"/>
    <w:rsid w:val="0070343F"/>
    <w:rsid w:val="00706689"/>
    <w:rsid w:val="007404BC"/>
    <w:rsid w:val="00746540"/>
    <w:rsid w:val="0075204E"/>
    <w:rsid w:val="007651A3"/>
    <w:rsid w:val="00783A2A"/>
    <w:rsid w:val="00784764"/>
    <w:rsid w:val="0079139D"/>
    <w:rsid w:val="007C1083"/>
    <w:rsid w:val="007C5C07"/>
    <w:rsid w:val="007F1E7F"/>
    <w:rsid w:val="007F2E7B"/>
    <w:rsid w:val="007F5F46"/>
    <w:rsid w:val="008005AE"/>
    <w:rsid w:val="00800B31"/>
    <w:rsid w:val="00821D41"/>
    <w:rsid w:val="00822B98"/>
    <w:rsid w:val="00825983"/>
    <w:rsid w:val="0084587C"/>
    <w:rsid w:val="00845CB4"/>
    <w:rsid w:val="00846FF0"/>
    <w:rsid w:val="0086013E"/>
    <w:rsid w:val="008705D8"/>
    <w:rsid w:val="00873241"/>
    <w:rsid w:val="0087650A"/>
    <w:rsid w:val="00876998"/>
    <w:rsid w:val="00891428"/>
    <w:rsid w:val="008A3B3C"/>
    <w:rsid w:val="008A7AFD"/>
    <w:rsid w:val="008B26E8"/>
    <w:rsid w:val="008D229B"/>
    <w:rsid w:val="008D4E12"/>
    <w:rsid w:val="008D60F0"/>
    <w:rsid w:val="008E37F3"/>
    <w:rsid w:val="008E3912"/>
    <w:rsid w:val="008E504D"/>
    <w:rsid w:val="00901932"/>
    <w:rsid w:val="0092352A"/>
    <w:rsid w:val="00931771"/>
    <w:rsid w:val="00937D39"/>
    <w:rsid w:val="0095629F"/>
    <w:rsid w:val="00967B64"/>
    <w:rsid w:val="00976BBD"/>
    <w:rsid w:val="00983056"/>
    <w:rsid w:val="00983766"/>
    <w:rsid w:val="009900B9"/>
    <w:rsid w:val="009B1240"/>
    <w:rsid w:val="009B38F3"/>
    <w:rsid w:val="009C33B7"/>
    <w:rsid w:val="009C6EDC"/>
    <w:rsid w:val="009D0797"/>
    <w:rsid w:val="009E1E1D"/>
    <w:rsid w:val="009E4F4C"/>
    <w:rsid w:val="009E77B8"/>
    <w:rsid w:val="009F30F0"/>
    <w:rsid w:val="00A06348"/>
    <w:rsid w:val="00A16CF7"/>
    <w:rsid w:val="00A177C9"/>
    <w:rsid w:val="00A30205"/>
    <w:rsid w:val="00A5055C"/>
    <w:rsid w:val="00A53BF5"/>
    <w:rsid w:val="00A85BA5"/>
    <w:rsid w:val="00A87354"/>
    <w:rsid w:val="00AA37A3"/>
    <w:rsid w:val="00AB128C"/>
    <w:rsid w:val="00AC7462"/>
    <w:rsid w:val="00AD577A"/>
    <w:rsid w:val="00AE7D83"/>
    <w:rsid w:val="00B01953"/>
    <w:rsid w:val="00B05BE4"/>
    <w:rsid w:val="00B22527"/>
    <w:rsid w:val="00B25E51"/>
    <w:rsid w:val="00B30E5B"/>
    <w:rsid w:val="00B36E19"/>
    <w:rsid w:val="00B765F4"/>
    <w:rsid w:val="00B85DCC"/>
    <w:rsid w:val="00B872D2"/>
    <w:rsid w:val="00B93854"/>
    <w:rsid w:val="00BA7A8D"/>
    <w:rsid w:val="00BF1984"/>
    <w:rsid w:val="00BF364C"/>
    <w:rsid w:val="00BF4DF2"/>
    <w:rsid w:val="00C02C77"/>
    <w:rsid w:val="00C0793C"/>
    <w:rsid w:val="00C15DA3"/>
    <w:rsid w:val="00C23714"/>
    <w:rsid w:val="00C24F19"/>
    <w:rsid w:val="00C345AF"/>
    <w:rsid w:val="00C356B2"/>
    <w:rsid w:val="00C54603"/>
    <w:rsid w:val="00C550BF"/>
    <w:rsid w:val="00C57DEE"/>
    <w:rsid w:val="00CA434C"/>
    <w:rsid w:val="00CB677D"/>
    <w:rsid w:val="00CD4E40"/>
    <w:rsid w:val="00CE37E5"/>
    <w:rsid w:val="00CE63D1"/>
    <w:rsid w:val="00CE71A8"/>
    <w:rsid w:val="00CF34FD"/>
    <w:rsid w:val="00CF7468"/>
    <w:rsid w:val="00D0576A"/>
    <w:rsid w:val="00D4138A"/>
    <w:rsid w:val="00D42859"/>
    <w:rsid w:val="00D4610E"/>
    <w:rsid w:val="00D57741"/>
    <w:rsid w:val="00D65147"/>
    <w:rsid w:val="00D87C80"/>
    <w:rsid w:val="00DA5C5D"/>
    <w:rsid w:val="00DC48A8"/>
    <w:rsid w:val="00DD1F93"/>
    <w:rsid w:val="00DD5738"/>
    <w:rsid w:val="00DE31AC"/>
    <w:rsid w:val="00DF5610"/>
    <w:rsid w:val="00DF7FE6"/>
    <w:rsid w:val="00E11435"/>
    <w:rsid w:val="00E11A60"/>
    <w:rsid w:val="00E16E9A"/>
    <w:rsid w:val="00E213A2"/>
    <w:rsid w:val="00E43368"/>
    <w:rsid w:val="00E4353F"/>
    <w:rsid w:val="00E6735D"/>
    <w:rsid w:val="00E8255C"/>
    <w:rsid w:val="00E91C2C"/>
    <w:rsid w:val="00E93BAB"/>
    <w:rsid w:val="00EB7F04"/>
    <w:rsid w:val="00EC23B8"/>
    <w:rsid w:val="00ED4A4A"/>
    <w:rsid w:val="00EE189A"/>
    <w:rsid w:val="00F20268"/>
    <w:rsid w:val="00F34787"/>
    <w:rsid w:val="00F35F9C"/>
    <w:rsid w:val="00F41DC0"/>
    <w:rsid w:val="00F41E41"/>
    <w:rsid w:val="00F42E7F"/>
    <w:rsid w:val="00F47AB4"/>
    <w:rsid w:val="00F63D8A"/>
    <w:rsid w:val="00F71639"/>
    <w:rsid w:val="00F728FA"/>
    <w:rsid w:val="00F72F32"/>
    <w:rsid w:val="00F87C42"/>
    <w:rsid w:val="00F933DA"/>
    <w:rsid w:val="00FA1CA7"/>
    <w:rsid w:val="00FC643A"/>
    <w:rsid w:val="00FD3AD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Bullet "/>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FT,Footnote1,Footnote2,Footnote3,Footnote4,Footnote5,Footnote6,Footnote7,Footnote8,Footnote9,Fußnote,Schriftart: 10 pt,Schriftart: 8 pt,Schriftart: 9 pt,WB-Fußnotentext,fn,stile 1,Char,f,ft"/>
    <w:basedOn w:val="Normal"/>
    <w:link w:val="FootnoteTextChar"/>
    <w:uiPriority w:val="99"/>
    <w:unhideWhenUsed/>
    <w:qFormat/>
    <w:rsid w:val="009900B9"/>
    <w:pPr>
      <w:spacing w:after="0" w:line="240" w:lineRule="auto"/>
    </w:pPr>
    <w:rPr>
      <w:sz w:val="20"/>
      <w:szCs w:val="20"/>
    </w:rPr>
  </w:style>
  <w:style w:type="character" w:customStyle="1" w:styleId="FootnoteTextChar">
    <w:name w:val="Footnote Text Char"/>
    <w:aliases w:val="Char Char Char Char1,Footnote Text1 Char1,Footnote Text1 Char Char,FT Char,Footnote1 Char,Footnote2 Char,Footnote3 Char,Footnote4 Char,Footnote5 Char,Footnote6 Char,Footnote7 Char,Footnote8 Char,Footnote9 Char,Fußnote Char,fn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E,Ref"/>
    <w:basedOn w:val="DefaultParagraphFont"/>
    <w:link w:val="CharCharCharChar"/>
    <w:uiPriority w:val="99"/>
    <w:unhideWhenUsed/>
    <w:qFormat/>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3F52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6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 w:id="1839152599">
      <w:bodyDiv w:val="1"/>
      <w:marLeft w:val="0"/>
      <w:marRight w:val="0"/>
      <w:marTop w:val="0"/>
      <w:marBottom w:val="0"/>
      <w:divBdr>
        <w:top w:val="none" w:sz="0" w:space="0" w:color="auto"/>
        <w:left w:val="none" w:sz="0" w:space="0" w:color="auto"/>
        <w:bottom w:val="none" w:sz="0" w:space="0" w:color="auto"/>
        <w:right w:val="none" w:sz="0" w:space="0" w:color="auto"/>
      </w:divBdr>
      <w:divsChild>
        <w:div w:id="1238318722">
          <w:marLeft w:val="0"/>
          <w:marRight w:val="0"/>
          <w:marTop w:val="0"/>
          <w:marBottom w:val="0"/>
          <w:divBdr>
            <w:top w:val="none" w:sz="0" w:space="0" w:color="auto"/>
            <w:left w:val="none" w:sz="0" w:space="0" w:color="auto"/>
            <w:bottom w:val="none" w:sz="0" w:space="0" w:color="auto"/>
            <w:right w:val="none" w:sz="0" w:space="0" w:color="auto"/>
          </w:divBdr>
          <w:divsChild>
            <w:div w:id="564296363">
              <w:marLeft w:val="0"/>
              <w:marRight w:val="0"/>
              <w:marTop w:val="0"/>
              <w:marBottom w:val="567"/>
              <w:divBdr>
                <w:top w:val="none" w:sz="0" w:space="0" w:color="auto"/>
                <w:left w:val="none" w:sz="0" w:space="0" w:color="auto"/>
                <w:bottom w:val="none" w:sz="0" w:space="0" w:color="auto"/>
                <w:right w:val="none" w:sz="0" w:space="0" w:color="auto"/>
              </w:divBdr>
            </w:div>
            <w:div w:id="798576140">
              <w:marLeft w:val="0"/>
              <w:marRight w:val="0"/>
              <w:marTop w:val="0"/>
              <w:marBottom w:val="0"/>
              <w:divBdr>
                <w:top w:val="none" w:sz="0" w:space="0" w:color="auto"/>
                <w:left w:val="none" w:sz="0" w:space="0" w:color="auto"/>
                <w:bottom w:val="none" w:sz="0" w:space="0" w:color="auto"/>
                <w:right w:val="none" w:sz="0" w:space="0" w:color="auto"/>
              </w:divBdr>
            </w:div>
            <w:div w:id="964778094">
              <w:marLeft w:val="0"/>
              <w:marRight w:val="0"/>
              <w:marTop w:val="0"/>
              <w:marBottom w:val="0"/>
              <w:divBdr>
                <w:top w:val="none" w:sz="0" w:space="0" w:color="auto"/>
                <w:left w:val="none" w:sz="0" w:space="0" w:color="auto"/>
                <w:bottom w:val="none" w:sz="0" w:space="0" w:color="auto"/>
                <w:right w:val="none" w:sz="0" w:space="0" w:color="auto"/>
              </w:divBdr>
            </w:div>
            <w:div w:id="358285742">
              <w:marLeft w:val="0"/>
              <w:marRight w:val="0"/>
              <w:marTop w:val="0"/>
              <w:marBottom w:val="0"/>
              <w:divBdr>
                <w:top w:val="none" w:sz="0" w:space="0" w:color="auto"/>
                <w:left w:val="none" w:sz="0" w:space="0" w:color="auto"/>
                <w:bottom w:val="none" w:sz="0" w:space="0" w:color="auto"/>
                <w:right w:val="none" w:sz="0" w:space="0" w:color="auto"/>
              </w:divBdr>
            </w:div>
            <w:div w:id="2121491704">
              <w:marLeft w:val="0"/>
              <w:marRight w:val="0"/>
              <w:marTop w:val="0"/>
              <w:marBottom w:val="0"/>
              <w:divBdr>
                <w:top w:val="none" w:sz="0" w:space="0" w:color="auto"/>
                <w:left w:val="none" w:sz="0" w:space="0" w:color="auto"/>
                <w:bottom w:val="none" w:sz="0" w:space="0" w:color="auto"/>
                <w:right w:val="none" w:sz="0" w:space="0" w:color="auto"/>
              </w:divBdr>
            </w:div>
            <w:div w:id="426269024">
              <w:marLeft w:val="0"/>
              <w:marRight w:val="0"/>
              <w:marTop w:val="0"/>
              <w:marBottom w:val="0"/>
              <w:divBdr>
                <w:top w:val="none" w:sz="0" w:space="0" w:color="auto"/>
                <w:left w:val="none" w:sz="0" w:space="0" w:color="auto"/>
                <w:bottom w:val="none" w:sz="0" w:space="0" w:color="auto"/>
                <w:right w:val="none" w:sz="0" w:space="0" w:color="auto"/>
              </w:divBdr>
            </w:div>
            <w:div w:id="1289509223">
              <w:marLeft w:val="0"/>
              <w:marRight w:val="0"/>
              <w:marTop w:val="0"/>
              <w:marBottom w:val="0"/>
              <w:divBdr>
                <w:top w:val="none" w:sz="0" w:space="0" w:color="auto"/>
                <w:left w:val="none" w:sz="0" w:space="0" w:color="auto"/>
                <w:bottom w:val="none" w:sz="0" w:space="0" w:color="auto"/>
                <w:right w:val="none" w:sz="0" w:space="0" w:color="auto"/>
              </w:divBdr>
            </w:div>
            <w:div w:id="2035769136">
              <w:marLeft w:val="0"/>
              <w:marRight w:val="0"/>
              <w:marTop w:val="0"/>
              <w:marBottom w:val="0"/>
              <w:divBdr>
                <w:top w:val="none" w:sz="0" w:space="0" w:color="auto"/>
                <w:left w:val="none" w:sz="0" w:space="0" w:color="auto"/>
                <w:bottom w:val="none" w:sz="0" w:space="0" w:color="auto"/>
                <w:right w:val="none" w:sz="0" w:space="0" w:color="auto"/>
              </w:divBdr>
            </w:div>
            <w:div w:id="1634479175">
              <w:marLeft w:val="0"/>
              <w:marRight w:val="0"/>
              <w:marTop w:val="0"/>
              <w:marBottom w:val="0"/>
              <w:divBdr>
                <w:top w:val="none" w:sz="0" w:space="0" w:color="auto"/>
                <w:left w:val="none" w:sz="0" w:space="0" w:color="auto"/>
                <w:bottom w:val="none" w:sz="0" w:space="0" w:color="auto"/>
                <w:right w:val="none" w:sz="0" w:space="0" w:color="auto"/>
              </w:divBdr>
            </w:div>
            <w:div w:id="925461004">
              <w:marLeft w:val="0"/>
              <w:marRight w:val="0"/>
              <w:marTop w:val="0"/>
              <w:marBottom w:val="0"/>
              <w:divBdr>
                <w:top w:val="none" w:sz="0" w:space="0" w:color="auto"/>
                <w:left w:val="none" w:sz="0" w:space="0" w:color="auto"/>
                <w:bottom w:val="none" w:sz="0" w:space="0" w:color="auto"/>
                <w:right w:val="none" w:sz="0" w:space="0" w:color="auto"/>
              </w:divBdr>
            </w:div>
            <w:div w:id="1676611646">
              <w:marLeft w:val="0"/>
              <w:marRight w:val="0"/>
              <w:marTop w:val="0"/>
              <w:marBottom w:val="0"/>
              <w:divBdr>
                <w:top w:val="none" w:sz="0" w:space="0" w:color="auto"/>
                <w:left w:val="none" w:sz="0" w:space="0" w:color="auto"/>
                <w:bottom w:val="none" w:sz="0" w:space="0" w:color="auto"/>
                <w:right w:val="none" w:sz="0" w:space="0" w:color="auto"/>
              </w:divBdr>
            </w:div>
            <w:div w:id="845485228">
              <w:marLeft w:val="0"/>
              <w:marRight w:val="0"/>
              <w:marTop w:val="0"/>
              <w:marBottom w:val="0"/>
              <w:divBdr>
                <w:top w:val="none" w:sz="0" w:space="0" w:color="auto"/>
                <w:left w:val="none" w:sz="0" w:space="0" w:color="auto"/>
                <w:bottom w:val="none" w:sz="0" w:space="0" w:color="auto"/>
                <w:right w:val="none" w:sz="0" w:space="0" w:color="auto"/>
              </w:divBdr>
            </w:div>
            <w:div w:id="502085817">
              <w:marLeft w:val="0"/>
              <w:marRight w:val="0"/>
              <w:marTop w:val="0"/>
              <w:marBottom w:val="0"/>
              <w:divBdr>
                <w:top w:val="none" w:sz="0" w:space="0" w:color="auto"/>
                <w:left w:val="none" w:sz="0" w:space="0" w:color="auto"/>
                <w:bottom w:val="none" w:sz="0" w:space="0" w:color="auto"/>
                <w:right w:val="none" w:sz="0" w:space="0" w:color="auto"/>
              </w:divBdr>
            </w:div>
            <w:div w:id="810751078">
              <w:marLeft w:val="0"/>
              <w:marRight w:val="0"/>
              <w:marTop w:val="0"/>
              <w:marBottom w:val="0"/>
              <w:divBdr>
                <w:top w:val="none" w:sz="0" w:space="0" w:color="auto"/>
                <w:left w:val="none" w:sz="0" w:space="0" w:color="auto"/>
                <w:bottom w:val="none" w:sz="0" w:space="0" w:color="auto"/>
                <w:right w:val="none" w:sz="0" w:space="0" w:color="auto"/>
              </w:divBdr>
            </w:div>
            <w:div w:id="330640090">
              <w:marLeft w:val="0"/>
              <w:marRight w:val="0"/>
              <w:marTop w:val="0"/>
              <w:marBottom w:val="0"/>
              <w:divBdr>
                <w:top w:val="none" w:sz="0" w:space="0" w:color="auto"/>
                <w:left w:val="none" w:sz="0" w:space="0" w:color="auto"/>
                <w:bottom w:val="none" w:sz="0" w:space="0" w:color="auto"/>
                <w:right w:val="none" w:sz="0" w:space="0" w:color="auto"/>
              </w:divBdr>
            </w:div>
            <w:div w:id="43990856">
              <w:marLeft w:val="0"/>
              <w:marRight w:val="0"/>
              <w:marTop w:val="0"/>
              <w:marBottom w:val="0"/>
              <w:divBdr>
                <w:top w:val="none" w:sz="0" w:space="0" w:color="auto"/>
                <w:left w:val="none" w:sz="0" w:space="0" w:color="auto"/>
                <w:bottom w:val="none" w:sz="0" w:space="0" w:color="auto"/>
                <w:right w:val="none" w:sz="0" w:space="0" w:color="auto"/>
              </w:divBdr>
            </w:div>
            <w:div w:id="1394964112">
              <w:marLeft w:val="0"/>
              <w:marRight w:val="0"/>
              <w:marTop w:val="0"/>
              <w:marBottom w:val="0"/>
              <w:divBdr>
                <w:top w:val="none" w:sz="0" w:space="0" w:color="auto"/>
                <w:left w:val="none" w:sz="0" w:space="0" w:color="auto"/>
                <w:bottom w:val="none" w:sz="0" w:space="0" w:color="auto"/>
                <w:right w:val="none" w:sz="0" w:space="0" w:color="auto"/>
              </w:divBdr>
            </w:div>
            <w:div w:id="268007091">
              <w:marLeft w:val="0"/>
              <w:marRight w:val="0"/>
              <w:marTop w:val="0"/>
              <w:marBottom w:val="0"/>
              <w:divBdr>
                <w:top w:val="none" w:sz="0" w:space="0" w:color="auto"/>
                <w:left w:val="none" w:sz="0" w:space="0" w:color="auto"/>
                <w:bottom w:val="none" w:sz="0" w:space="0" w:color="auto"/>
                <w:right w:val="none" w:sz="0" w:space="0" w:color="auto"/>
              </w:divBdr>
            </w:div>
            <w:div w:id="1556038688">
              <w:marLeft w:val="0"/>
              <w:marRight w:val="0"/>
              <w:marTop w:val="0"/>
              <w:marBottom w:val="0"/>
              <w:divBdr>
                <w:top w:val="none" w:sz="0" w:space="0" w:color="auto"/>
                <w:left w:val="none" w:sz="0" w:space="0" w:color="auto"/>
                <w:bottom w:val="none" w:sz="0" w:space="0" w:color="auto"/>
                <w:right w:val="none" w:sz="0" w:space="0" w:color="auto"/>
              </w:divBdr>
            </w:div>
            <w:div w:id="499539884">
              <w:marLeft w:val="0"/>
              <w:marRight w:val="0"/>
              <w:marTop w:val="0"/>
              <w:marBottom w:val="0"/>
              <w:divBdr>
                <w:top w:val="none" w:sz="0" w:space="0" w:color="auto"/>
                <w:left w:val="none" w:sz="0" w:space="0" w:color="auto"/>
                <w:bottom w:val="none" w:sz="0" w:space="0" w:color="auto"/>
                <w:right w:val="none" w:sz="0" w:space="0" w:color="auto"/>
              </w:divBdr>
            </w:div>
            <w:div w:id="18910652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04698346">
      <w:bodyDiv w:val="1"/>
      <w:marLeft w:val="0"/>
      <w:marRight w:val="0"/>
      <w:marTop w:val="0"/>
      <w:marBottom w:val="0"/>
      <w:divBdr>
        <w:top w:val="none" w:sz="0" w:space="0" w:color="auto"/>
        <w:left w:val="none" w:sz="0" w:space="0" w:color="auto"/>
        <w:bottom w:val="none" w:sz="0" w:space="0" w:color="auto"/>
        <w:right w:val="none" w:sz="0" w:space="0" w:color="auto"/>
      </w:divBdr>
      <w:divsChild>
        <w:div w:id="559829779">
          <w:marLeft w:val="0"/>
          <w:marRight w:val="0"/>
          <w:marTop w:val="0"/>
          <w:marBottom w:val="0"/>
          <w:divBdr>
            <w:top w:val="none" w:sz="0" w:space="0" w:color="auto"/>
            <w:left w:val="none" w:sz="0" w:space="0" w:color="auto"/>
            <w:bottom w:val="none" w:sz="0" w:space="0" w:color="auto"/>
            <w:right w:val="none" w:sz="0" w:space="0" w:color="auto"/>
          </w:divBdr>
          <w:divsChild>
            <w:div w:id="501509191">
              <w:marLeft w:val="0"/>
              <w:marRight w:val="0"/>
              <w:marTop w:val="0"/>
              <w:marBottom w:val="567"/>
              <w:divBdr>
                <w:top w:val="none" w:sz="0" w:space="0" w:color="auto"/>
                <w:left w:val="none" w:sz="0" w:space="0" w:color="auto"/>
                <w:bottom w:val="none" w:sz="0" w:space="0" w:color="auto"/>
                <w:right w:val="none" w:sz="0" w:space="0" w:color="auto"/>
              </w:divBdr>
            </w:div>
            <w:div w:id="139008910">
              <w:marLeft w:val="0"/>
              <w:marRight w:val="0"/>
              <w:marTop w:val="0"/>
              <w:marBottom w:val="0"/>
              <w:divBdr>
                <w:top w:val="none" w:sz="0" w:space="0" w:color="auto"/>
                <w:left w:val="none" w:sz="0" w:space="0" w:color="auto"/>
                <w:bottom w:val="none" w:sz="0" w:space="0" w:color="auto"/>
                <w:right w:val="none" w:sz="0" w:space="0" w:color="auto"/>
              </w:divBdr>
            </w:div>
            <w:div w:id="616789859">
              <w:marLeft w:val="0"/>
              <w:marRight w:val="0"/>
              <w:marTop w:val="0"/>
              <w:marBottom w:val="0"/>
              <w:divBdr>
                <w:top w:val="none" w:sz="0" w:space="0" w:color="auto"/>
                <w:left w:val="none" w:sz="0" w:space="0" w:color="auto"/>
                <w:bottom w:val="none" w:sz="0" w:space="0" w:color="auto"/>
                <w:right w:val="none" w:sz="0" w:space="0" w:color="auto"/>
              </w:divBdr>
            </w:div>
            <w:div w:id="1331254355">
              <w:marLeft w:val="0"/>
              <w:marRight w:val="0"/>
              <w:marTop w:val="0"/>
              <w:marBottom w:val="0"/>
              <w:divBdr>
                <w:top w:val="none" w:sz="0" w:space="0" w:color="auto"/>
                <w:left w:val="none" w:sz="0" w:space="0" w:color="auto"/>
                <w:bottom w:val="none" w:sz="0" w:space="0" w:color="auto"/>
                <w:right w:val="none" w:sz="0" w:space="0" w:color="auto"/>
              </w:divBdr>
            </w:div>
            <w:div w:id="64114714">
              <w:marLeft w:val="0"/>
              <w:marRight w:val="0"/>
              <w:marTop w:val="0"/>
              <w:marBottom w:val="0"/>
              <w:divBdr>
                <w:top w:val="none" w:sz="0" w:space="0" w:color="auto"/>
                <w:left w:val="none" w:sz="0" w:space="0" w:color="auto"/>
                <w:bottom w:val="none" w:sz="0" w:space="0" w:color="auto"/>
                <w:right w:val="none" w:sz="0" w:space="0" w:color="auto"/>
              </w:divBdr>
            </w:div>
            <w:div w:id="334192703">
              <w:marLeft w:val="0"/>
              <w:marRight w:val="0"/>
              <w:marTop w:val="0"/>
              <w:marBottom w:val="0"/>
              <w:divBdr>
                <w:top w:val="none" w:sz="0" w:space="0" w:color="auto"/>
                <w:left w:val="none" w:sz="0" w:space="0" w:color="auto"/>
                <w:bottom w:val="none" w:sz="0" w:space="0" w:color="auto"/>
                <w:right w:val="none" w:sz="0" w:space="0" w:color="auto"/>
              </w:divBdr>
            </w:div>
            <w:div w:id="1984112900">
              <w:marLeft w:val="0"/>
              <w:marRight w:val="0"/>
              <w:marTop w:val="0"/>
              <w:marBottom w:val="0"/>
              <w:divBdr>
                <w:top w:val="none" w:sz="0" w:space="0" w:color="auto"/>
                <w:left w:val="none" w:sz="0" w:space="0" w:color="auto"/>
                <w:bottom w:val="none" w:sz="0" w:space="0" w:color="auto"/>
                <w:right w:val="none" w:sz="0" w:space="0" w:color="auto"/>
              </w:divBdr>
            </w:div>
            <w:div w:id="581987948">
              <w:marLeft w:val="0"/>
              <w:marRight w:val="0"/>
              <w:marTop w:val="0"/>
              <w:marBottom w:val="0"/>
              <w:divBdr>
                <w:top w:val="none" w:sz="0" w:space="0" w:color="auto"/>
                <w:left w:val="none" w:sz="0" w:space="0" w:color="auto"/>
                <w:bottom w:val="none" w:sz="0" w:space="0" w:color="auto"/>
                <w:right w:val="none" w:sz="0" w:space="0" w:color="auto"/>
              </w:divBdr>
            </w:div>
            <w:div w:id="1338194467">
              <w:marLeft w:val="0"/>
              <w:marRight w:val="0"/>
              <w:marTop w:val="0"/>
              <w:marBottom w:val="0"/>
              <w:divBdr>
                <w:top w:val="none" w:sz="0" w:space="0" w:color="auto"/>
                <w:left w:val="none" w:sz="0" w:space="0" w:color="auto"/>
                <w:bottom w:val="none" w:sz="0" w:space="0" w:color="auto"/>
                <w:right w:val="none" w:sz="0" w:space="0" w:color="auto"/>
              </w:divBdr>
            </w:div>
            <w:div w:id="2074427406">
              <w:marLeft w:val="0"/>
              <w:marRight w:val="0"/>
              <w:marTop w:val="0"/>
              <w:marBottom w:val="0"/>
              <w:divBdr>
                <w:top w:val="none" w:sz="0" w:space="0" w:color="auto"/>
                <w:left w:val="none" w:sz="0" w:space="0" w:color="auto"/>
                <w:bottom w:val="none" w:sz="0" w:space="0" w:color="auto"/>
                <w:right w:val="none" w:sz="0" w:space="0" w:color="auto"/>
              </w:divBdr>
            </w:div>
            <w:div w:id="35592743">
              <w:marLeft w:val="0"/>
              <w:marRight w:val="0"/>
              <w:marTop w:val="0"/>
              <w:marBottom w:val="0"/>
              <w:divBdr>
                <w:top w:val="none" w:sz="0" w:space="0" w:color="auto"/>
                <w:left w:val="none" w:sz="0" w:space="0" w:color="auto"/>
                <w:bottom w:val="none" w:sz="0" w:space="0" w:color="auto"/>
                <w:right w:val="none" w:sz="0" w:space="0" w:color="auto"/>
              </w:divBdr>
            </w:div>
            <w:div w:id="1290893994">
              <w:marLeft w:val="0"/>
              <w:marRight w:val="0"/>
              <w:marTop w:val="0"/>
              <w:marBottom w:val="0"/>
              <w:divBdr>
                <w:top w:val="none" w:sz="0" w:space="0" w:color="auto"/>
                <w:left w:val="none" w:sz="0" w:space="0" w:color="auto"/>
                <w:bottom w:val="none" w:sz="0" w:space="0" w:color="auto"/>
                <w:right w:val="none" w:sz="0" w:space="0" w:color="auto"/>
              </w:divBdr>
            </w:div>
            <w:div w:id="1757676175">
              <w:marLeft w:val="0"/>
              <w:marRight w:val="0"/>
              <w:marTop w:val="0"/>
              <w:marBottom w:val="0"/>
              <w:divBdr>
                <w:top w:val="none" w:sz="0" w:space="0" w:color="auto"/>
                <w:left w:val="none" w:sz="0" w:space="0" w:color="auto"/>
                <w:bottom w:val="none" w:sz="0" w:space="0" w:color="auto"/>
                <w:right w:val="none" w:sz="0" w:space="0" w:color="auto"/>
              </w:divBdr>
            </w:div>
            <w:div w:id="1041124693">
              <w:marLeft w:val="0"/>
              <w:marRight w:val="0"/>
              <w:marTop w:val="0"/>
              <w:marBottom w:val="0"/>
              <w:divBdr>
                <w:top w:val="none" w:sz="0" w:space="0" w:color="auto"/>
                <w:left w:val="none" w:sz="0" w:space="0" w:color="auto"/>
                <w:bottom w:val="none" w:sz="0" w:space="0" w:color="auto"/>
                <w:right w:val="none" w:sz="0" w:space="0" w:color="auto"/>
              </w:divBdr>
            </w:div>
            <w:div w:id="1669402673">
              <w:marLeft w:val="0"/>
              <w:marRight w:val="0"/>
              <w:marTop w:val="0"/>
              <w:marBottom w:val="0"/>
              <w:divBdr>
                <w:top w:val="none" w:sz="0" w:space="0" w:color="auto"/>
                <w:left w:val="none" w:sz="0" w:space="0" w:color="auto"/>
                <w:bottom w:val="none" w:sz="0" w:space="0" w:color="auto"/>
                <w:right w:val="none" w:sz="0" w:space="0" w:color="auto"/>
              </w:divBdr>
            </w:div>
            <w:div w:id="895050353">
              <w:marLeft w:val="0"/>
              <w:marRight w:val="0"/>
              <w:marTop w:val="0"/>
              <w:marBottom w:val="0"/>
              <w:divBdr>
                <w:top w:val="none" w:sz="0" w:space="0" w:color="auto"/>
                <w:left w:val="none" w:sz="0" w:space="0" w:color="auto"/>
                <w:bottom w:val="none" w:sz="0" w:space="0" w:color="auto"/>
                <w:right w:val="none" w:sz="0" w:space="0" w:color="auto"/>
              </w:divBdr>
            </w:div>
            <w:div w:id="584076233">
              <w:marLeft w:val="0"/>
              <w:marRight w:val="0"/>
              <w:marTop w:val="0"/>
              <w:marBottom w:val="0"/>
              <w:divBdr>
                <w:top w:val="none" w:sz="0" w:space="0" w:color="auto"/>
                <w:left w:val="none" w:sz="0" w:space="0" w:color="auto"/>
                <w:bottom w:val="none" w:sz="0" w:space="0" w:color="auto"/>
                <w:right w:val="none" w:sz="0" w:space="0" w:color="auto"/>
              </w:divBdr>
            </w:div>
            <w:div w:id="1869639465">
              <w:marLeft w:val="0"/>
              <w:marRight w:val="0"/>
              <w:marTop w:val="0"/>
              <w:marBottom w:val="0"/>
              <w:divBdr>
                <w:top w:val="none" w:sz="0" w:space="0" w:color="auto"/>
                <w:left w:val="none" w:sz="0" w:space="0" w:color="auto"/>
                <w:bottom w:val="none" w:sz="0" w:space="0" w:color="auto"/>
                <w:right w:val="none" w:sz="0" w:space="0" w:color="auto"/>
              </w:divBdr>
            </w:div>
            <w:div w:id="722488082">
              <w:marLeft w:val="0"/>
              <w:marRight w:val="0"/>
              <w:marTop w:val="0"/>
              <w:marBottom w:val="0"/>
              <w:divBdr>
                <w:top w:val="none" w:sz="0" w:space="0" w:color="auto"/>
                <w:left w:val="none" w:sz="0" w:space="0" w:color="auto"/>
                <w:bottom w:val="none" w:sz="0" w:space="0" w:color="auto"/>
                <w:right w:val="none" w:sz="0" w:space="0" w:color="auto"/>
              </w:divBdr>
            </w:div>
            <w:div w:id="452014986">
              <w:marLeft w:val="0"/>
              <w:marRight w:val="0"/>
              <w:marTop w:val="0"/>
              <w:marBottom w:val="0"/>
              <w:divBdr>
                <w:top w:val="none" w:sz="0" w:space="0" w:color="auto"/>
                <w:left w:val="none" w:sz="0" w:space="0" w:color="auto"/>
                <w:bottom w:val="none" w:sz="0" w:space="0" w:color="auto"/>
                <w:right w:val="none" w:sz="0" w:space="0" w:color="auto"/>
              </w:divBdr>
            </w:div>
            <w:div w:id="13638946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gars.cibulskis@varam.gov.lv" TargetMode="Externa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8692</Words>
  <Characters>4956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Lita Trakina</cp:lastModifiedBy>
  <cp:revision>2</cp:revision>
  <dcterms:created xsi:type="dcterms:W3CDTF">2026-07-09T08:17:00Z</dcterms:created>
  <dcterms:modified xsi:type="dcterms:W3CDTF">2026-07-09T08:17:00Z</dcterms:modified>
</cp:coreProperties>
</file>