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B0329" w14:textId="316D1A58" w:rsidR="00A37AF1" w:rsidRPr="00201144" w:rsidRDefault="001660F1" w:rsidP="002B23C5">
      <w:pPr>
        <w:pStyle w:val="NormalWeb"/>
        <w:tabs>
          <w:tab w:val="left" w:pos="851"/>
        </w:tabs>
        <w:spacing w:before="120" w:beforeAutospacing="0" w:after="0" w:afterAutospacing="0"/>
        <w:ind w:left="22" w:right="55" w:hanging="1"/>
        <w:jc w:val="center"/>
        <w:rPr>
          <w:b/>
          <w:bCs/>
          <w:color w:val="00B050"/>
          <w:sz w:val="28"/>
          <w:szCs w:val="28"/>
        </w:rPr>
      </w:pPr>
      <w:r w:rsidRPr="002B23C5">
        <w:rPr>
          <w:b/>
          <w:bCs/>
          <w:color w:val="00B050"/>
          <w:sz w:val="28"/>
          <w:szCs w:val="28"/>
        </w:rPr>
        <w:t>Vadl</w:t>
      </w:r>
      <w:r w:rsidRPr="00201144">
        <w:rPr>
          <w:b/>
          <w:bCs/>
          <w:color w:val="00B050"/>
          <w:sz w:val="28"/>
          <w:szCs w:val="28"/>
        </w:rPr>
        <w:t>īnijas</w:t>
      </w:r>
      <w:r w:rsidR="008848E6" w:rsidRPr="00201144">
        <w:rPr>
          <w:b/>
          <w:bCs/>
          <w:color w:val="00B050"/>
          <w:sz w:val="28"/>
          <w:szCs w:val="28"/>
        </w:rPr>
        <w:t xml:space="preserve"> saistošo noteikumu izstrādei</w:t>
      </w:r>
      <w:r w:rsidR="00533304" w:rsidRPr="00201144">
        <w:rPr>
          <w:b/>
          <w:bCs/>
          <w:color w:val="00B050"/>
          <w:sz w:val="28"/>
          <w:szCs w:val="28"/>
        </w:rPr>
        <w:t xml:space="preserve"> </w:t>
      </w:r>
      <w:r w:rsidRPr="00201144">
        <w:rPr>
          <w:b/>
          <w:bCs/>
          <w:color w:val="00B050"/>
          <w:sz w:val="28"/>
          <w:szCs w:val="28"/>
        </w:rPr>
        <w:t>par sabiedrisko kārtību</w:t>
      </w:r>
    </w:p>
    <w:p w14:paraId="2107E9FC" w14:textId="22AF96AD" w:rsidR="00CD1133" w:rsidRPr="00201144" w:rsidRDefault="00CD1133" w:rsidP="002B23C5">
      <w:pPr>
        <w:pStyle w:val="tv213"/>
        <w:shd w:val="clear" w:color="auto" w:fill="FFFFFF"/>
        <w:tabs>
          <w:tab w:val="left" w:pos="851"/>
        </w:tabs>
        <w:spacing w:before="120" w:beforeAutospacing="0" w:after="0" w:afterAutospacing="0"/>
        <w:jc w:val="both"/>
        <w:rPr>
          <w:b/>
          <w:bCs/>
        </w:rPr>
      </w:pPr>
      <w:r w:rsidRPr="00201144">
        <w:rPr>
          <w:b/>
          <w:bCs/>
        </w:rPr>
        <w:t xml:space="preserve">Saskaņā ar Pašvaldību likuma 47. panta </w:t>
      </w:r>
      <w:r w:rsidR="00FB0CE9" w:rsidRPr="00201144">
        <w:rPr>
          <w:b/>
          <w:bCs/>
        </w:rPr>
        <w:t>otro</w:t>
      </w:r>
      <w:r w:rsidRPr="00201144">
        <w:rPr>
          <w:b/>
          <w:bCs/>
        </w:rPr>
        <w:t xml:space="preserve"> daļu</w:t>
      </w:r>
      <w:r w:rsidR="00B458C2" w:rsidRPr="00201144">
        <w:rPr>
          <w:rStyle w:val="FootnoteReference"/>
          <w:b/>
          <w:bCs/>
        </w:rPr>
        <w:footnoteReference w:id="2"/>
      </w:r>
      <w:r w:rsidRPr="00201144">
        <w:rPr>
          <w:b/>
          <w:bCs/>
        </w:rPr>
        <w:t xml:space="preserve"> saistošie noteikumi </w:t>
      </w:r>
      <w:r w:rsidRPr="00201144">
        <w:rPr>
          <w:b/>
          <w:bCs/>
          <w:shd w:val="clear" w:color="auto" w:fill="FFFFFF"/>
        </w:rPr>
        <w:t>par sabiedriskās kārtības nodrošināšanu publiskās vietās</w:t>
      </w:r>
      <w:r w:rsidRPr="00201144">
        <w:rPr>
          <w:b/>
          <w:bCs/>
        </w:rPr>
        <w:t xml:space="preserve"> </w:t>
      </w:r>
      <w:r w:rsidR="00783B4F" w:rsidRPr="00201144">
        <w:rPr>
          <w:b/>
          <w:bCs/>
        </w:rPr>
        <w:t>nosūtāmi</w:t>
      </w:r>
      <w:r w:rsidRPr="00201144">
        <w:rPr>
          <w:b/>
          <w:bCs/>
        </w:rPr>
        <w:t xml:space="preserve"> </w:t>
      </w:r>
      <w:r w:rsidR="009A4FF7" w:rsidRPr="00201144">
        <w:rPr>
          <w:b/>
          <w:bCs/>
        </w:rPr>
        <w:t>Viedās administrācijas un reģionālās attīstības ministrija (turpmāk – </w:t>
      </w:r>
      <w:r w:rsidRPr="00201144">
        <w:rPr>
          <w:b/>
          <w:bCs/>
        </w:rPr>
        <w:t>VARAM</w:t>
      </w:r>
      <w:r w:rsidR="009A4FF7" w:rsidRPr="00201144">
        <w:rPr>
          <w:b/>
          <w:bCs/>
        </w:rPr>
        <w:t>)</w:t>
      </w:r>
      <w:r w:rsidRPr="00201144">
        <w:rPr>
          <w:b/>
          <w:bCs/>
        </w:rPr>
        <w:t xml:space="preserve"> izvērtēšanai un atzinuma sniegšanai.</w:t>
      </w:r>
    </w:p>
    <w:p w14:paraId="39DD8B34" w14:textId="4184BF52" w:rsidR="00112F6C" w:rsidRPr="00201144" w:rsidRDefault="00F80DD9" w:rsidP="002B23C5">
      <w:pPr>
        <w:pStyle w:val="xmsonormal"/>
        <w:tabs>
          <w:tab w:val="left" w:pos="851"/>
        </w:tabs>
        <w:spacing w:before="120"/>
        <w:jc w:val="both"/>
        <w:rPr>
          <w:rFonts w:ascii="Times New Roman" w:hAnsi="Times New Roman" w:cs="Times New Roman"/>
          <w:sz w:val="24"/>
          <w:szCs w:val="24"/>
        </w:rPr>
      </w:pPr>
      <w:r w:rsidRPr="00201144">
        <w:rPr>
          <w:rFonts w:ascii="Times New Roman" w:hAnsi="Times New Roman" w:cs="Times New Roman"/>
          <w:sz w:val="24"/>
          <w:szCs w:val="24"/>
          <w:shd w:val="clear" w:color="auto" w:fill="FFFFFF"/>
        </w:rPr>
        <w:t>Saistošo noteikumu izdošanas tiesiskais pamatojums</w:t>
      </w:r>
      <w:r w:rsidRPr="00201144">
        <w:rPr>
          <w:rStyle w:val="FootnoteReference"/>
          <w:rFonts w:ascii="Times New Roman" w:hAnsi="Times New Roman" w:cs="Times New Roman"/>
          <w:sz w:val="24"/>
          <w:szCs w:val="24"/>
          <w:shd w:val="clear" w:color="auto" w:fill="FFFFFF"/>
        </w:rPr>
        <w:footnoteReference w:id="3"/>
      </w:r>
      <w:r w:rsidRPr="00201144">
        <w:rPr>
          <w:rFonts w:ascii="Times New Roman" w:hAnsi="Times New Roman" w:cs="Times New Roman"/>
          <w:sz w:val="24"/>
          <w:szCs w:val="24"/>
          <w:shd w:val="clear" w:color="auto" w:fill="FFFFFF"/>
        </w:rPr>
        <w:t xml:space="preserve"> </w:t>
      </w:r>
      <w:r w:rsidR="00112F6C" w:rsidRPr="00201144">
        <w:rPr>
          <w:rFonts w:ascii="Times New Roman" w:hAnsi="Times New Roman" w:cs="Times New Roman"/>
          <w:sz w:val="24"/>
          <w:szCs w:val="24"/>
        </w:rPr>
        <w:t>ir Pašvaldību likuma 45. panta pirmās daļas 1. punkts, kas paredz, ka dome ir tiesīga izdot saistošos noteikumus un paredzēt administratīvo atbildību par to pārkāpšanu, nosakot administratīvos pārkāpumus un par tiem piemērojamos administratīvos sodus, ja likumos nav noteikts citādi, par sabiedriskās kārtības nodrošināšanu publiskās vietās.</w:t>
      </w:r>
    </w:p>
    <w:p w14:paraId="31B5D7E3" w14:textId="5AC3DFCB" w:rsidR="008C7080" w:rsidRPr="00201144" w:rsidRDefault="00840ADC" w:rsidP="002B23C5">
      <w:pPr>
        <w:pStyle w:val="xmsonormal"/>
        <w:tabs>
          <w:tab w:val="left" w:pos="851"/>
        </w:tabs>
        <w:spacing w:before="120"/>
        <w:jc w:val="center"/>
        <w:rPr>
          <w:rFonts w:ascii="Times New Roman" w:hAnsi="Times New Roman" w:cs="Times New Roman"/>
          <w:b/>
          <w:bCs/>
          <w:sz w:val="24"/>
          <w:szCs w:val="24"/>
        </w:rPr>
      </w:pPr>
      <w:r w:rsidRPr="00201144">
        <w:rPr>
          <w:rFonts w:ascii="Times New Roman" w:hAnsi="Times New Roman" w:cs="Times New Roman"/>
          <w:b/>
          <w:bCs/>
          <w:sz w:val="24"/>
          <w:szCs w:val="24"/>
        </w:rPr>
        <w:t>Kas jāņem vērā,</w:t>
      </w:r>
      <w:r w:rsidR="008C7080" w:rsidRPr="00201144">
        <w:rPr>
          <w:rFonts w:ascii="Times New Roman" w:hAnsi="Times New Roman" w:cs="Times New Roman"/>
          <w:b/>
          <w:bCs/>
          <w:sz w:val="24"/>
          <w:szCs w:val="24"/>
        </w:rPr>
        <w:t xml:space="preserve"> izstrādājot saistošos noteikumus</w:t>
      </w:r>
    </w:p>
    <w:p w14:paraId="65DBBA16" w14:textId="6C025262" w:rsidR="00A77163" w:rsidRPr="00201144" w:rsidRDefault="00A77163" w:rsidP="002B23C5">
      <w:pPr>
        <w:pStyle w:val="NormalWeb"/>
        <w:numPr>
          <w:ilvl w:val="0"/>
          <w:numId w:val="5"/>
        </w:numPr>
        <w:tabs>
          <w:tab w:val="left" w:pos="851"/>
        </w:tabs>
        <w:spacing w:before="120" w:beforeAutospacing="0" w:after="0" w:afterAutospacing="0"/>
        <w:ind w:left="0" w:firstLine="0"/>
        <w:jc w:val="both"/>
      </w:pPr>
      <w:bookmarkStart w:id="0" w:name="_Hlk215228290"/>
      <w:r w:rsidRPr="00201144">
        <w:t>Izstrādājot saistošos noteikumus, jāņem vērā Ministru kabineta 2009. gada 3. februāra noteikumi Nr. 108 “Normatīvo aktu projektu sagatavošanas noteikumi”.</w:t>
      </w:r>
      <w:bookmarkEnd w:id="0"/>
    </w:p>
    <w:p w14:paraId="1632F948" w14:textId="77777777" w:rsidR="00790644" w:rsidRPr="00201144" w:rsidRDefault="00A93B7B" w:rsidP="00790644">
      <w:pPr>
        <w:pStyle w:val="NormalWeb"/>
        <w:numPr>
          <w:ilvl w:val="0"/>
          <w:numId w:val="5"/>
        </w:numPr>
        <w:tabs>
          <w:tab w:val="left" w:pos="851"/>
        </w:tabs>
        <w:spacing w:before="120" w:beforeAutospacing="0" w:after="0" w:afterAutospacing="0"/>
        <w:ind w:left="0" w:firstLine="0"/>
        <w:jc w:val="both"/>
      </w:pPr>
      <w:r w:rsidRPr="00201144">
        <w:t xml:space="preserve">Pašvaldību likuma 45. panta pirmā un otrā daļa noteic jautājumu loku, kuros dome ir tiesīga izdot saistošos noteikumus, paredzot administratīvo atbildību par to pārkāpšanu, ja likumos nav noteikts citādi. Kā viena no šādām jomām ir sabiedriskās kārtības nodrošināšana publiskās vietās. </w:t>
      </w:r>
      <w:r w:rsidRPr="00201144">
        <w:rPr>
          <w:b/>
          <w:bCs/>
        </w:rPr>
        <w:t>Tomēr pašvaldības nevarētu regulēt jautājumus, kas attiecas uz sabiedrisko kārtību valstiskā līmenī, sabiedrības interesēm un drošību kopumā. Tas nozīmē, ka katrā konkrētajā gadījumā pašvaldības saistošajos noteikumos paredzētā rīcība, kas vērsta uz sabiedriskās kārtības jomā ietilpstošas tiesiskās intereses aizsardzību, analizējama kopsakarā ar nozaru likumos esošo regulējumu.</w:t>
      </w:r>
      <w:r w:rsidRPr="00201144">
        <w:rPr>
          <w:rStyle w:val="FootnoteReference"/>
          <w:b/>
          <w:bCs/>
        </w:rPr>
        <w:footnoteReference w:id="4"/>
      </w:r>
    </w:p>
    <w:p w14:paraId="01872819" w14:textId="77777777" w:rsidR="009C63C0" w:rsidRDefault="00001DD3" w:rsidP="009C63C0">
      <w:pPr>
        <w:pStyle w:val="NormalWeb"/>
        <w:numPr>
          <w:ilvl w:val="0"/>
          <w:numId w:val="5"/>
        </w:numPr>
        <w:tabs>
          <w:tab w:val="left" w:pos="851"/>
        </w:tabs>
        <w:spacing w:before="120" w:beforeAutospacing="0" w:after="0" w:afterAutospacing="0"/>
        <w:ind w:left="0" w:firstLine="0"/>
        <w:jc w:val="both"/>
      </w:pPr>
      <w:r w:rsidRPr="00201144">
        <w:t>Sabiedriskās kārtības jomu regulē Administratīvo sodu likums par pārkāpumiem pārvaldes, sabiedriskās kārtības un valsts valodas lietošanas jomā (turpmāk </w:t>
      </w:r>
      <w:r w:rsidR="00866E0C">
        <w:t>–</w:t>
      </w:r>
      <w:r w:rsidRPr="00201144">
        <w:t> </w:t>
      </w:r>
      <w:r w:rsidR="00866E0C">
        <w:t>a</w:t>
      </w:r>
      <w:r w:rsidRPr="00201144">
        <w:t>dministratīvo sodu likums), kurā noteikta atbildība par tādiem pārkāpumiem sabiedriskās kārtības jomā kā, piemēram, aizlieguma atrasties uz ūdenstilpes ledus pārkāpšana (9. pants), alkoholisko dzērienu vai citu apreibinošo vielu lietošana publiskā vietā vai atrašanās publiskā vietā reibuma stāvoklī (10. pants), sīkais huligānisms (11. pants), maznozīmīga miesas bojājuma nodarīšana (12. pants). Attiecīgi nav pamata uzskatīt, ka likumdevējs nav paredzējis izsmeļošu regulējumu šajā jautājumā – pašvaldību saistošajos noteikumos nav pieļaujams paredzēt administratīvo atbildību par rīcību, ko aptver likumā ietvertie pārkāpumi sabiedriskās kārtības jomā.</w:t>
      </w:r>
    </w:p>
    <w:p w14:paraId="6943077A" w14:textId="06FBB624" w:rsidR="00866E0C" w:rsidRPr="009C63C0" w:rsidRDefault="00765DBE" w:rsidP="009C63C0">
      <w:pPr>
        <w:pStyle w:val="NormalWeb"/>
        <w:numPr>
          <w:ilvl w:val="0"/>
          <w:numId w:val="5"/>
        </w:numPr>
        <w:tabs>
          <w:tab w:val="left" w:pos="851"/>
        </w:tabs>
        <w:spacing w:before="120" w:beforeAutospacing="0" w:after="0" w:afterAutospacing="0"/>
        <w:ind w:left="0" w:firstLine="0"/>
        <w:jc w:val="both"/>
      </w:pPr>
      <w:r>
        <w:t xml:space="preserve">Ar 2023. gada 15. jūnija grozījumiem </w:t>
      </w:r>
      <w:r w:rsidR="009C63C0">
        <w:t xml:space="preserve">par </w:t>
      </w:r>
      <w:r w:rsidR="00866E0C" w:rsidRPr="00201144">
        <w:t>Administratīvo sodu likuma 11. panta pirm</w:t>
      </w:r>
      <w:r w:rsidR="009C63C0">
        <w:t xml:space="preserve">ās daļas pārkāpšanu administratīvā atbildība ir paredzēta ne vien </w:t>
      </w:r>
      <w:r w:rsidR="00866E0C" w:rsidRPr="00201144">
        <w:t>fiziskajām</w:t>
      </w:r>
      <w:r w:rsidR="009C63C0">
        <w:t xml:space="preserve">, bet arī </w:t>
      </w:r>
      <w:r w:rsidR="00866E0C" w:rsidRPr="00201144">
        <w:t>juridiskajām personām</w:t>
      </w:r>
      <w:r w:rsidR="00866E0C">
        <w:t>.</w:t>
      </w:r>
    </w:p>
    <w:p w14:paraId="5E9C5F62" w14:textId="77777777" w:rsidR="00790644" w:rsidRPr="00201144" w:rsidRDefault="00937850" w:rsidP="00790644">
      <w:pPr>
        <w:pStyle w:val="NormalWeb"/>
        <w:numPr>
          <w:ilvl w:val="0"/>
          <w:numId w:val="5"/>
        </w:numPr>
        <w:tabs>
          <w:tab w:val="left" w:pos="851"/>
        </w:tabs>
        <w:spacing w:before="120" w:beforeAutospacing="0" w:after="0" w:afterAutospacing="0"/>
        <w:ind w:left="0" w:firstLine="0"/>
        <w:jc w:val="both"/>
      </w:pPr>
      <w:r w:rsidRPr="00201144">
        <w:lastRenderedPageBreak/>
        <w:t>Paredzot saistošajos noteikumos administratīvo atbildību par noteiktu pārkāpumu, ir jāievēro Tieslietu ministrijas vēstulē</w:t>
      </w:r>
      <w:r w:rsidRPr="00201144">
        <w:rPr>
          <w:rStyle w:val="FootnoteReference"/>
        </w:rPr>
        <w:footnoteReference w:id="5"/>
      </w:r>
      <w:r w:rsidRPr="00201144">
        <w:t xml:space="preserve"> paustais viedoklis, piemēram, pašvaldībām ir jāatturas no administratīvās atbildības noteikšanas ne tikai gadījumos, kad minētais pārkāpums paredzēts attiecīgo nozaru regulējošajos likumos, bet arī tad, kad likumdevējs apzināti ir atteicies paredzēt administratīvo atbildību kādā jautājumā. Piemēram, likumdevējs par normatīvo aktu pienākumu nepildīšanu kādā jomā paredzējis izmantot alternatīvus līdzekļus - administratīvā akta un tā nosacījumu (uzdevumu) piespiedu izpildi (piemēram, piespiedu naudu vai </w:t>
      </w:r>
      <w:proofErr w:type="spellStart"/>
      <w:r w:rsidRPr="00201144">
        <w:t>aizvietotājizpildi</w:t>
      </w:r>
      <w:proofErr w:type="spellEnd"/>
      <w:r w:rsidRPr="00201144">
        <w:t>).</w:t>
      </w:r>
    </w:p>
    <w:p w14:paraId="7909030A" w14:textId="77777777" w:rsidR="00790644" w:rsidRPr="00201144" w:rsidRDefault="00937850" w:rsidP="00790644">
      <w:pPr>
        <w:pStyle w:val="NormalWeb"/>
        <w:numPr>
          <w:ilvl w:val="0"/>
          <w:numId w:val="5"/>
        </w:numPr>
        <w:tabs>
          <w:tab w:val="left" w:pos="851"/>
        </w:tabs>
        <w:spacing w:before="120" w:beforeAutospacing="0" w:after="0" w:afterAutospacing="0"/>
        <w:ind w:left="0" w:firstLine="0"/>
        <w:jc w:val="both"/>
      </w:pPr>
      <w:r w:rsidRPr="00201144">
        <w:t>Pašvaldība saistošajos noteikumos, iekļaujot normas, kuras dublē likumā vai Ministru kabineta noteikumos ietverto regulējumu, pārkāpj pilnvarojuma robežas un ir prettiesiskas. Attiecīgi pašvaldībai, izvērtējot administratīvās atbildības noteikšanas pamatu būtu jāvērtē, vai likumā jau ir paredzēts “ar administratīvo atbildību aizsargājams objekts”. Tādā gadījumā pašvaldībai nav tiesību attiecīgajā jautājumā paredzēt administratīvo atbildību, “pat ja likumā un saistošajos noteikumos paredzētie pārkāpumu sastāvi pārklājas tikai daļēji.</w:t>
      </w:r>
      <w:r w:rsidRPr="00201144">
        <w:rPr>
          <w:rStyle w:val="FootnoteReference"/>
        </w:rPr>
        <w:footnoteReference w:id="6"/>
      </w:r>
    </w:p>
    <w:p w14:paraId="0189B707" w14:textId="77777777" w:rsidR="00790644" w:rsidRPr="00201144" w:rsidRDefault="00937850" w:rsidP="00790644">
      <w:pPr>
        <w:pStyle w:val="NormalWeb"/>
        <w:numPr>
          <w:ilvl w:val="0"/>
          <w:numId w:val="5"/>
        </w:numPr>
        <w:tabs>
          <w:tab w:val="left" w:pos="851"/>
        </w:tabs>
        <w:spacing w:before="120" w:beforeAutospacing="0" w:after="0" w:afterAutospacing="0"/>
        <w:ind w:left="0" w:firstLine="0"/>
        <w:jc w:val="both"/>
      </w:pPr>
      <w:r w:rsidRPr="00201144">
        <w:t>Administratīvās atbildības likuma 115. panta trešā daļa noteic, ka pašvaldības saistošajos noteikumos paredzēto sodu piemērošanai administratīvā pārkāpuma procesu veic šā panta pirmajā daļā minēto pašvaldību iestāžu amatpersonas, kā arī citas pašvaldības saistošajos noteikumos pilnvarotās pašvaldību iestāžu amatpersonas. Līdz ar to saistošajos noteikumos ir jānoteic pašvaldības amatpersonas, kuras ir tiesīgas veikt administratīvā pārkāpuma procesu.</w:t>
      </w:r>
    </w:p>
    <w:p w14:paraId="7DC302F2" w14:textId="77777777" w:rsidR="00790644" w:rsidRPr="00201144" w:rsidRDefault="00937850" w:rsidP="00790644">
      <w:pPr>
        <w:pStyle w:val="NormalWeb"/>
        <w:numPr>
          <w:ilvl w:val="0"/>
          <w:numId w:val="5"/>
        </w:numPr>
        <w:tabs>
          <w:tab w:val="left" w:pos="851"/>
        </w:tabs>
        <w:spacing w:before="120" w:beforeAutospacing="0" w:after="0" w:afterAutospacing="0"/>
        <w:ind w:left="0" w:firstLine="0"/>
        <w:jc w:val="both"/>
      </w:pPr>
      <w:r w:rsidRPr="00201144">
        <w:t>No likumības principa izriet, ka normatīvais akts nedrīkst saturēt pārlieku neskaidras tiesību normas. Attiecīgi saistošo noteikumu punktā, kas paredz noteikt administratīvo atbildību, ir jābūt ietvertām skaidrām darbības vai bezdarbības izpausmēm par kurām personu paredzēts sodīt. Ir pietiekoši, ja persona no attiecīgā normas formulējuma var secināt, kāda rīcība veidos viņa atbildību.</w:t>
      </w:r>
      <w:r w:rsidRPr="00201144">
        <w:rPr>
          <w:rStyle w:val="FootnoteReference"/>
        </w:rPr>
        <w:footnoteReference w:id="7"/>
      </w:r>
    </w:p>
    <w:p w14:paraId="2D0E0BEB" w14:textId="08ECC15F" w:rsidR="00937850" w:rsidRPr="00201144" w:rsidRDefault="00937850" w:rsidP="00790644">
      <w:pPr>
        <w:pStyle w:val="NormalWeb"/>
        <w:numPr>
          <w:ilvl w:val="0"/>
          <w:numId w:val="5"/>
        </w:numPr>
        <w:tabs>
          <w:tab w:val="left" w:pos="851"/>
        </w:tabs>
        <w:spacing w:before="120" w:beforeAutospacing="0" w:after="0" w:afterAutospacing="0"/>
        <w:ind w:left="0" w:firstLine="0"/>
        <w:jc w:val="both"/>
      </w:pPr>
      <w:r w:rsidRPr="00201144">
        <w:t xml:space="preserve">Administratīvās atbildības jomā nav atbalstāma </w:t>
      </w:r>
      <w:proofErr w:type="spellStart"/>
      <w:r w:rsidRPr="00201144">
        <w:t>blanketu</w:t>
      </w:r>
      <w:proofErr w:type="spellEnd"/>
      <w:r w:rsidRPr="00201144">
        <w:t xml:space="preserve"> tiesību normu (tiesību normu, kas neformulē patstāvīgu pārkāpumu, bet atsauces uz citām noteikumu normām), ciktāl tās skaidri neļauj saskatīt, uz ko attiecas norāde un kādā mērā tā attiecas uz atbildības piemērošanas nosacījumiem, veidošana. Gadījumā, kad pārkāpumu ir iespējams definēt, tiesību normas izdevējam ir pienākums pieņemt tādas normas, kurās ir skaidri definēti priekšnoteikumi personas sodīšanai.</w:t>
      </w:r>
    </w:p>
    <w:p w14:paraId="0EEBF2B1" w14:textId="77777777" w:rsidR="00937850" w:rsidRPr="00201144" w:rsidRDefault="00937850" w:rsidP="00937850">
      <w:pPr>
        <w:pStyle w:val="NormalWeb"/>
        <w:spacing w:before="120" w:beforeAutospacing="0" w:after="0" w:afterAutospacing="0"/>
        <w:jc w:val="both"/>
        <w:rPr>
          <w:i/>
          <w:iCs/>
        </w:rPr>
      </w:pPr>
      <w:r w:rsidRPr="00201144">
        <w:rPr>
          <w:i/>
          <w:iCs/>
        </w:rPr>
        <w:t>Nav atbalstāma administratīvo pārkāpumu sastāvu veidošana, atsaucoties tikai uz saistošo noteikumu punktiem vai pat veselām nodaļām, neidentificējot darbības vai bezdarbības izpausmes par kurām personu paredzēts sodīt.</w:t>
      </w:r>
    </w:p>
    <w:p w14:paraId="0CCA2C3F" w14:textId="77777777" w:rsidR="00937850" w:rsidRPr="00201144" w:rsidRDefault="00937850" w:rsidP="00937850">
      <w:pPr>
        <w:pStyle w:val="NormalWeb"/>
        <w:spacing w:before="120" w:beforeAutospacing="0" w:after="0" w:afterAutospacing="0"/>
        <w:jc w:val="both"/>
        <w:rPr>
          <w:i/>
          <w:iCs/>
        </w:rPr>
      </w:pPr>
      <w:r w:rsidRPr="00201144">
        <w:t>Veidojot administratīvo pārkāpumu sastāvus, uzmanība pievēršama arī juridiskās tehnikas prasību ievērošanai atbilstoši pieņemtajai likumdevēja praksei administratīvās atbildības jomā, kā arī Administratīvās atbildības likumā nostiprinātajai terminoloģijai.</w:t>
      </w:r>
    </w:p>
    <w:p w14:paraId="43102C5A" w14:textId="77777777" w:rsidR="00937850" w:rsidRPr="00201144" w:rsidRDefault="00937850" w:rsidP="00937850">
      <w:pPr>
        <w:spacing w:before="120"/>
        <w:jc w:val="both"/>
        <w:rPr>
          <w:rFonts w:ascii="Times New Roman" w:hAnsi="Times New Roman" w:cs="Times New Roman"/>
          <w:sz w:val="24"/>
          <w:szCs w:val="24"/>
        </w:rPr>
      </w:pPr>
      <w:r w:rsidRPr="00201144">
        <w:rPr>
          <w:rFonts w:ascii="Times New Roman" w:hAnsi="Times New Roman" w:cs="Times New Roman"/>
          <w:sz w:val="24"/>
          <w:szCs w:val="24"/>
        </w:rPr>
        <w:t>Piemēram:</w:t>
      </w:r>
    </w:p>
    <w:p w14:paraId="5E824CC3" w14:textId="77777777" w:rsidR="00937850" w:rsidRPr="00201144" w:rsidRDefault="00937850" w:rsidP="00001DD3">
      <w:pPr>
        <w:pStyle w:val="ListParagraph"/>
        <w:numPr>
          <w:ilvl w:val="0"/>
          <w:numId w:val="7"/>
        </w:numPr>
        <w:suppressAutoHyphens w:val="0"/>
        <w:autoSpaceDN/>
        <w:spacing w:before="120"/>
        <w:ind w:left="0" w:firstLine="709"/>
        <w:contextualSpacing/>
        <w:jc w:val="both"/>
        <w:textAlignment w:val="auto"/>
        <w:rPr>
          <w:i/>
          <w:iCs/>
          <w:sz w:val="24"/>
          <w:szCs w:val="24"/>
        </w:rPr>
      </w:pPr>
      <w:r w:rsidRPr="00201144">
        <w:rPr>
          <w:i/>
          <w:iCs/>
          <w:sz w:val="24"/>
          <w:szCs w:val="24"/>
        </w:rPr>
        <w:t>Naudas soda vienības sankcijā norāda vārdiem, nevis cipariem.</w:t>
      </w:r>
    </w:p>
    <w:p w14:paraId="47C7CD66" w14:textId="77777777" w:rsidR="00937850" w:rsidRPr="00201144" w:rsidRDefault="00937850" w:rsidP="00001DD3">
      <w:pPr>
        <w:pStyle w:val="ListParagraph"/>
        <w:numPr>
          <w:ilvl w:val="0"/>
          <w:numId w:val="7"/>
        </w:numPr>
        <w:suppressAutoHyphens w:val="0"/>
        <w:autoSpaceDN/>
        <w:spacing w:before="120"/>
        <w:ind w:left="0" w:firstLine="709"/>
        <w:contextualSpacing/>
        <w:jc w:val="both"/>
        <w:textAlignment w:val="auto"/>
        <w:rPr>
          <w:i/>
          <w:iCs/>
          <w:sz w:val="24"/>
          <w:szCs w:val="24"/>
        </w:rPr>
      </w:pPr>
      <w:r w:rsidRPr="00201144">
        <w:rPr>
          <w:i/>
          <w:iCs/>
          <w:sz w:val="24"/>
          <w:szCs w:val="24"/>
        </w:rPr>
        <w:lastRenderedPageBreak/>
        <w:t>Saskaņā ar Administratīvās atbildības likumu sodus “piemēro”, nevis “izsaka” vai “uzliek”.</w:t>
      </w:r>
    </w:p>
    <w:p w14:paraId="571FA5DC" w14:textId="77777777" w:rsidR="00937850" w:rsidRPr="00201144" w:rsidRDefault="00937850" w:rsidP="00001DD3">
      <w:pPr>
        <w:pStyle w:val="ListParagraph"/>
        <w:numPr>
          <w:ilvl w:val="0"/>
          <w:numId w:val="7"/>
        </w:numPr>
        <w:suppressAutoHyphens w:val="0"/>
        <w:autoSpaceDN/>
        <w:spacing w:before="120"/>
        <w:ind w:left="0" w:firstLine="709"/>
        <w:jc w:val="both"/>
        <w:textAlignment w:val="auto"/>
        <w:rPr>
          <w:i/>
          <w:iCs/>
          <w:sz w:val="24"/>
          <w:szCs w:val="24"/>
        </w:rPr>
      </w:pPr>
      <w:r w:rsidRPr="00201144">
        <w:rPr>
          <w:i/>
          <w:iCs/>
          <w:sz w:val="24"/>
          <w:szCs w:val="24"/>
        </w:rPr>
        <w:t>Administratīvās atbildības reformas</w:t>
      </w:r>
      <w:r w:rsidRPr="00201144">
        <w:rPr>
          <w:rStyle w:val="apple-converted-space"/>
          <w:i/>
          <w:iCs/>
          <w:sz w:val="24"/>
          <w:szCs w:val="24"/>
        </w:rPr>
        <w:t xml:space="preserve"> </w:t>
      </w:r>
      <w:r w:rsidRPr="00201144">
        <w:rPr>
          <w:i/>
          <w:iCs/>
          <w:sz w:val="24"/>
          <w:szCs w:val="24"/>
        </w:rPr>
        <w:t>rezultātā tika atzīts, ka vainas formām administratīvo pārkāpumu tiesībās nav praktiskas nozīmes. Tas nozīmē, ka tiesību normā, kas paredz administratīvo atbildību, nav paredzēta tāda tiesiskā sastāva pazīme kā tiešs nodoms vai neuzmanība, tapāt arī piemērojamais sods nav atkarīgs no</w:t>
      </w:r>
      <w:r w:rsidRPr="00201144">
        <w:rPr>
          <w:rStyle w:val="apple-converted-space"/>
          <w:i/>
          <w:iCs/>
          <w:sz w:val="24"/>
          <w:szCs w:val="24"/>
        </w:rPr>
        <w:t xml:space="preserve"> vainas</w:t>
      </w:r>
      <w:r w:rsidRPr="00201144">
        <w:rPr>
          <w:i/>
          <w:iCs/>
          <w:sz w:val="24"/>
          <w:szCs w:val="24"/>
        </w:rPr>
        <w:t xml:space="preserve"> formas.</w:t>
      </w:r>
      <w:r w:rsidRPr="00201144">
        <w:rPr>
          <w:sz w:val="24"/>
          <w:szCs w:val="24"/>
        </w:rPr>
        <w:t xml:space="preserve"> </w:t>
      </w:r>
      <w:r w:rsidRPr="00201144">
        <w:rPr>
          <w:i/>
          <w:iCs/>
          <w:sz w:val="24"/>
          <w:szCs w:val="24"/>
        </w:rPr>
        <w:t>Attiecīgi saistošajos noteikumos nav lietojams arī termins “vainīgā persona”.</w:t>
      </w:r>
    </w:p>
    <w:p w14:paraId="742AC0A9" w14:textId="641471B7" w:rsidR="00937850" w:rsidRPr="00201144" w:rsidRDefault="00937850" w:rsidP="00790644">
      <w:pPr>
        <w:pStyle w:val="ListParagraph"/>
        <w:numPr>
          <w:ilvl w:val="0"/>
          <w:numId w:val="5"/>
        </w:numPr>
        <w:suppressAutoHyphens w:val="0"/>
        <w:autoSpaceDN/>
        <w:spacing w:before="120"/>
        <w:ind w:left="0" w:firstLine="0"/>
        <w:jc w:val="both"/>
        <w:textAlignment w:val="auto"/>
        <w:rPr>
          <w:i/>
          <w:iCs/>
          <w:sz w:val="24"/>
          <w:szCs w:val="24"/>
        </w:rPr>
      </w:pPr>
      <w:r w:rsidRPr="00201144">
        <w:rPr>
          <w:sz w:val="24"/>
          <w:szCs w:val="24"/>
        </w:rPr>
        <w:t>Attiecībā uz naudas sodu noteikšanu par administratīvo pārkāpumu, norādām, ka pastāv divas metodes:</w:t>
      </w:r>
    </w:p>
    <w:p w14:paraId="272E0822" w14:textId="77777777" w:rsidR="00937850" w:rsidRPr="00201144" w:rsidRDefault="00937850" w:rsidP="00937850">
      <w:pPr>
        <w:pStyle w:val="ListParagraph"/>
        <w:numPr>
          <w:ilvl w:val="0"/>
          <w:numId w:val="11"/>
        </w:numPr>
        <w:spacing w:before="120"/>
        <w:ind w:left="0" w:firstLine="709"/>
        <w:contextualSpacing/>
        <w:jc w:val="both"/>
        <w:rPr>
          <w:i/>
          <w:iCs/>
          <w:sz w:val="24"/>
          <w:szCs w:val="24"/>
        </w:rPr>
      </w:pPr>
      <w:r w:rsidRPr="00201144">
        <w:rPr>
          <w:sz w:val="24"/>
          <w:szCs w:val="24"/>
        </w:rPr>
        <w:t>pirmā, kas ir visbiežāk sastopamā metode ir noteikt minimālo un maksimālo naudas sodu par konkrētu pārkāpumu, tādējādi tiesību piemērotājam, vadoties no lietas apstākļiem un pārkāpēja personības, katrā konkrētā lietā jānosaka naudas sods tiesību normā paredzētajās robežās.</w:t>
      </w:r>
    </w:p>
    <w:p w14:paraId="2BFADA31" w14:textId="77777777" w:rsidR="00937850" w:rsidRPr="00201144" w:rsidRDefault="00937850" w:rsidP="00937850">
      <w:pPr>
        <w:spacing w:before="120"/>
        <w:contextualSpacing/>
        <w:jc w:val="both"/>
        <w:rPr>
          <w:rFonts w:ascii="Times New Roman" w:hAnsi="Times New Roman" w:cs="Times New Roman"/>
          <w:i/>
          <w:iCs/>
          <w:sz w:val="24"/>
          <w:szCs w:val="24"/>
        </w:rPr>
      </w:pPr>
      <w:r w:rsidRPr="00201144">
        <w:rPr>
          <w:rFonts w:ascii="Times New Roman" w:hAnsi="Times New Roman" w:cs="Times New Roman"/>
          <w:i/>
          <w:iCs/>
          <w:sz w:val="24"/>
          <w:szCs w:val="24"/>
        </w:rPr>
        <w:t>Vēršam uzmanību, ka administratīvā soda apmēra noteikšanā pašvaldībām jāņem vērā Administratīvās atbildības likuma 16. panta trešā un septītā daļa;</w:t>
      </w:r>
    </w:p>
    <w:p w14:paraId="51915B79" w14:textId="77777777" w:rsidR="00937850" w:rsidRPr="00201144" w:rsidRDefault="00937850" w:rsidP="00937850">
      <w:pPr>
        <w:pStyle w:val="ListParagraph"/>
        <w:numPr>
          <w:ilvl w:val="0"/>
          <w:numId w:val="11"/>
        </w:numPr>
        <w:spacing w:before="120"/>
        <w:ind w:left="0" w:firstLine="709"/>
        <w:contextualSpacing/>
        <w:jc w:val="both"/>
        <w:rPr>
          <w:i/>
          <w:iCs/>
          <w:sz w:val="24"/>
          <w:szCs w:val="24"/>
        </w:rPr>
      </w:pPr>
      <w:r w:rsidRPr="00201144">
        <w:rPr>
          <w:sz w:val="24"/>
          <w:szCs w:val="24"/>
        </w:rPr>
        <w:t>otrā metode ir tāda, ka tiesību normas izdevējs paredz tā dēvētos fiksētos sodus. Tas, vai izvēlēties vienu vai otru metodi, ir lietderības apsvērums. Tomēr jāņem vērā, ka, izvēloties otro metodi, pārkāpuma raksturam jābūt tādam, kurā ir maz izvērtējamo elementu un ir paredzams, ka pārkāpumu izdarīšanas faktiskie apstākļi būs salīdzināmi. Turklāt ir jāievēro Administratīvās atbildības likuma 16. pantā paredzētais naudas soda regulējums.</w:t>
      </w:r>
      <w:r w:rsidRPr="00201144">
        <w:rPr>
          <w:rStyle w:val="FootnoteReference"/>
          <w:sz w:val="24"/>
          <w:szCs w:val="24"/>
        </w:rPr>
        <w:footnoteReference w:id="8"/>
      </w:r>
    </w:p>
    <w:p w14:paraId="506F0A59" w14:textId="77777777" w:rsidR="00937850" w:rsidRPr="00201144" w:rsidRDefault="00937850" w:rsidP="00937850">
      <w:pPr>
        <w:spacing w:before="120"/>
        <w:contextualSpacing/>
        <w:jc w:val="both"/>
        <w:rPr>
          <w:rFonts w:ascii="Times New Roman" w:hAnsi="Times New Roman" w:cs="Times New Roman"/>
          <w:i/>
          <w:iCs/>
          <w:sz w:val="24"/>
          <w:szCs w:val="24"/>
        </w:rPr>
      </w:pPr>
      <w:r w:rsidRPr="00201144">
        <w:rPr>
          <w:rFonts w:ascii="Times New Roman" w:hAnsi="Times New Roman" w:cs="Times New Roman"/>
          <w:i/>
          <w:iCs/>
          <w:sz w:val="24"/>
          <w:szCs w:val="24"/>
        </w:rPr>
        <w:t>Vēršam uzmanību, ka otrās metodes pielietošana ir izņēmuma gadījums, nevis standarta situācija nosakot naudas sodu. Paredzot soda apmēra robežas, uzmanība jāpievērš sankcijas efektivitātei (tostarp, lai sods būtu efektīvs, tam ir jābūt samērīgam arī ar personas ienākumiem). Norādām, ka soda mērķa sasniegšanai labāk atbilst situācijas, kad tiesību normas izdevējs sankcijā paredzējis dažādas individuālas sekas fiziskai personai un juridiskajai personai, ievērojot, ka potenciālā nodarījuma sekas var būtiski atšķirties. Lai gan tas neizslēdz iespēju, ka salīdzināmos apstākļos esošai fiziskai un juridiskai personai tiktu piemērots vienāda apmēra naudas sods, tomēr minētais jautājums būtu izvērtējams pie katra administratīvā atbildības pamata noteikšanas.</w:t>
      </w:r>
    </w:p>
    <w:p w14:paraId="048DD798" w14:textId="6CEBF565" w:rsidR="0011091D" w:rsidRPr="00201144" w:rsidRDefault="0011091D" w:rsidP="002B23C5">
      <w:pPr>
        <w:pStyle w:val="NormalWeb"/>
        <w:numPr>
          <w:ilvl w:val="0"/>
          <w:numId w:val="5"/>
        </w:numPr>
        <w:tabs>
          <w:tab w:val="left" w:pos="851"/>
        </w:tabs>
        <w:spacing w:before="120" w:beforeAutospacing="0" w:after="0" w:afterAutospacing="0"/>
        <w:ind w:left="0" w:firstLine="0"/>
        <w:jc w:val="both"/>
      </w:pPr>
      <w:r w:rsidRPr="00201144">
        <w:t>Sabiedriskās kārtības prasības var noteikt attiecībā uz sabiedriski pieejamām vietām. Savukārt privātpersonām piederošu īpašumu lietošanu nosaka tās īpašnieks. Tādejādi pašvaldība nav tiesīga noteikt prasības un kārtību, kādā lietojams privātīpašums. Satversmes tiesa ir atzinusi, ka īpašuma tiesības var ierobežot, ja ierobežojumi ir attaisnojami, proti, ja tie ir noteikti saskaņā ar likumu, tiem ir leģitīms mērķis un tie ir samērīgi.</w:t>
      </w:r>
      <w:r w:rsidRPr="00201144">
        <w:rPr>
          <w:rStyle w:val="FootnoteReference"/>
        </w:rPr>
        <w:footnoteReference w:id="9"/>
      </w:r>
      <w:r w:rsidRPr="00201144">
        <w:t xml:space="preserve"> Attiecīgajam likumam, kas paredz tiesības noteikt īpašuma tiesību ierobežojumus, ir pietiekami skaidri jānosaka kompetentajai institūcijai piešķirto pilnvaru apjoms un to īstenošanas veids, ņemot vērā noteiktā līdzekļa leģitīmo mērķi, lai sniegtu indivīdam adekvātu aizsardzību pret patvaļīgu iejaukšanos. Leģitīma mērķa esamība liecina par to, ka īpašuma tiesību ierobežojums ir noteikts sabiedrības interesēs.</w:t>
      </w:r>
      <w:r w:rsidRPr="00201144">
        <w:rPr>
          <w:rStyle w:val="FootnoteReference"/>
        </w:rPr>
        <w:footnoteReference w:id="10"/>
      </w:r>
    </w:p>
    <w:p w14:paraId="170693A3" w14:textId="77777777" w:rsidR="00C35C7B" w:rsidRPr="00201144" w:rsidRDefault="002D3846" w:rsidP="002B23C5">
      <w:pPr>
        <w:pStyle w:val="NormalWeb"/>
        <w:numPr>
          <w:ilvl w:val="0"/>
          <w:numId w:val="5"/>
        </w:numPr>
        <w:tabs>
          <w:tab w:val="left" w:pos="851"/>
        </w:tabs>
        <w:spacing w:before="120" w:beforeAutospacing="0" w:after="0" w:afterAutospacing="0"/>
        <w:ind w:left="0" w:firstLine="0"/>
        <w:jc w:val="both"/>
        <w:rPr>
          <w:i/>
          <w:iCs/>
        </w:rPr>
      </w:pPr>
      <w:r w:rsidRPr="00201144">
        <w:lastRenderedPageBreak/>
        <w:t xml:space="preserve">Pašvaldībai jāizvērtē sabiedriskās kārtības mērķa sasniegšanas efektivitāte un to, vai administratīvais sods spēs mazināt konstatēto </w:t>
      </w:r>
      <w:proofErr w:type="spellStart"/>
      <w:r w:rsidRPr="00201144">
        <w:t>problēmsituāciju</w:t>
      </w:r>
      <w:proofErr w:type="spellEnd"/>
      <w:r w:rsidRPr="00201144">
        <w:t xml:space="preserve"> skaitu, apmēru un izplatību sabiedrībā, kā arī, vai ar administratīvā pārkāpuma procesā esošajiem līdzekļiem būs iespējams šādas situācijas konstatēt, izmeklēt un pierādīt.</w:t>
      </w:r>
      <w:r w:rsidRPr="00201144">
        <w:rPr>
          <w:rStyle w:val="FootnoteReference"/>
        </w:rPr>
        <w:footnoteReference w:id="11"/>
      </w:r>
    </w:p>
    <w:p w14:paraId="36614279" w14:textId="5A6CB272" w:rsidR="00581CB6" w:rsidRPr="00201144" w:rsidRDefault="002D3846" w:rsidP="00C35C7B">
      <w:pPr>
        <w:pStyle w:val="NormalWeb"/>
        <w:tabs>
          <w:tab w:val="left" w:pos="851"/>
        </w:tabs>
        <w:spacing w:before="120" w:beforeAutospacing="0" w:after="0" w:afterAutospacing="0"/>
        <w:jc w:val="both"/>
        <w:rPr>
          <w:i/>
          <w:iCs/>
        </w:rPr>
      </w:pPr>
      <w:r w:rsidRPr="00201144">
        <w:rPr>
          <w:i/>
          <w:iCs/>
        </w:rPr>
        <w:t>Piemēram, nosakot administratīvo atbildību par pelnu kaisīšanu no māju balkoniem jāņem vērā un objektīvi jāizvērtē, vai pašvaldībai būs iespējams veikt procesuālās darbības (konstatēt likumpārkāpumu) un vai ir iespējams pārtraukt likumpārkāpumu, ņemot vērā, ka darbība tiek veikta personas īpašumā.</w:t>
      </w:r>
    </w:p>
    <w:p w14:paraId="564082D0" w14:textId="77777777" w:rsidR="00C35C7B" w:rsidRPr="00201144" w:rsidRDefault="002D3846" w:rsidP="002B23C5">
      <w:pPr>
        <w:pStyle w:val="NormalWeb"/>
        <w:numPr>
          <w:ilvl w:val="0"/>
          <w:numId w:val="5"/>
        </w:numPr>
        <w:tabs>
          <w:tab w:val="left" w:pos="851"/>
        </w:tabs>
        <w:spacing w:before="120" w:beforeAutospacing="0" w:after="0" w:afterAutospacing="0"/>
        <w:ind w:left="0" w:firstLine="0"/>
        <w:jc w:val="both"/>
        <w:rPr>
          <w:i/>
          <w:iCs/>
        </w:rPr>
      </w:pPr>
      <w:r w:rsidRPr="00201144">
        <w:t xml:space="preserve">Nav atbalstāma prakse paredzēt administratīvo atbildību par tādiem pārkāpumiem kā sabiedriskās lietošanas objektu bojāšana, tostarp, kas saistīta ar ēku, publisko labiekārtojuma elementu apzīmēšanu, skrāpēšanu, griešanu, dedzināšanu u.tml. Pēdējie minētie pārkāpumi ir apšaubāmi ne tikai administratīvās atbildības jomas normatīvo aktu aspektā, bet arī Krimināllikumā noteiktā huligānisma un mantas bojāšanas aspektā, kad sveša manta tīši iznīcināta vai bojāta aiz huligāniskām tieksmēm ar dedzināšanu vai citādā </w:t>
      </w:r>
      <w:proofErr w:type="spellStart"/>
      <w:r w:rsidRPr="00201144">
        <w:t>vispārbīstamā</w:t>
      </w:r>
      <w:proofErr w:type="spellEnd"/>
      <w:r w:rsidRPr="00201144">
        <w:t xml:space="preserve"> veidā.</w:t>
      </w:r>
    </w:p>
    <w:p w14:paraId="286CB602" w14:textId="1705D81D" w:rsidR="00581CB6" w:rsidRPr="00201144" w:rsidRDefault="002D3846" w:rsidP="00C35C7B">
      <w:pPr>
        <w:pStyle w:val="NormalWeb"/>
        <w:tabs>
          <w:tab w:val="left" w:pos="851"/>
        </w:tabs>
        <w:spacing w:before="120" w:beforeAutospacing="0" w:after="0" w:afterAutospacing="0"/>
        <w:jc w:val="both"/>
        <w:rPr>
          <w:i/>
          <w:iCs/>
        </w:rPr>
      </w:pPr>
      <w:r w:rsidRPr="00201144">
        <w:rPr>
          <w:i/>
          <w:iCs/>
        </w:rPr>
        <w:t>Piemēram, pašvaldību saistošajos noteikumos sabiedriskās kārtības jomā nav pieļaujams paredzēt administratīvo atbildību par rīcību, ko aptver administratīvo sodu likuma 11. panta pirmajā daļā paredzētais sīkais huligānisms (piemēram, par trokšņošanu, ja tā traucē apkārtējo personu mieru vai sabiedrisko kārtību, lamāšanos publiskā vietā, skaļas mūzikas klausīšanos pašvaldībā esošajā parkā, kultūras vai sporta pasākumu norises traucēšanu, spļaušanu un dabisko vajadzību nokārtošanu tam neparedzētā publiskā vietā). Turklāt pašvaldībai nav tiesību noteikt administratīvo atbildību ne tikai par rīcību, kas pilnībā atbilst sīkā huligānisma pazīmēm, bet arī par rīcību, kam piemīt tikai daļa šo pazīmju (t.i., paredzēt stingrāku vai mazāk stingrāku regulējumu). Tādējādi pašvaldība nevar paredzēt administratīvo atbildību, piemēram, tikai par vispārpieņemto uzvedības normu pārkāpšanu vai nepieklājīgu uzvedību kā tādu.</w:t>
      </w:r>
    </w:p>
    <w:p w14:paraId="34D2AE7E" w14:textId="77777777" w:rsidR="00020338" w:rsidRPr="005624DE" w:rsidRDefault="002C7F59" w:rsidP="002B23C5">
      <w:pPr>
        <w:pStyle w:val="NormalWeb"/>
        <w:numPr>
          <w:ilvl w:val="0"/>
          <w:numId w:val="5"/>
        </w:numPr>
        <w:tabs>
          <w:tab w:val="left" w:pos="851"/>
        </w:tabs>
        <w:spacing w:before="120" w:beforeAutospacing="0" w:after="0" w:afterAutospacing="0"/>
        <w:ind w:left="0" w:firstLine="0"/>
        <w:jc w:val="both"/>
        <w:rPr>
          <w:i/>
          <w:iCs/>
        </w:rPr>
      </w:pPr>
      <w:r w:rsidRPr="00201144">
        <w:rPr>
          <w:iCs/>
        </w:rPr>
        <w:t>Tieslietu ministrija ir paudusi viedokli</w:t>
      </w:r>
      <w:r w:rsidRPr="00201144">
        <w:rPr>
          <w:rStyle w:val="FootnoteReference"/>
          <w:iCs/>
        </w:rPr>
        <w:footnoteReference w:id="12"/>
      </w:r>
      <w:r w:rsidRPr="00201144">
        <w:rPr>
          <w:iCs/>
        </w:rPr>
        <w:t>, ka</w:t>
      </w:r>
      <w:r w:rsidRPr="00201144">
        <w:t xml:space="preserve"> nakšņošana vai gulēšana tam neparedzētā, publiskā lietošanā nodotā pašvaldības teritorijā un objektos, tostarp par telts vai tai līdzīgas konstrukcijas nakšņošanai uzstādīšanu, var tikt vērtēta visai atšķirīgi atkarībā no konkrētā izpausmes veida. Piemēram, ja gulēšana vai telts uzstādīšana traucē citu personu mieru vai institūciju darbību, tad tā varētu būt sīkā huligānisma izpausme. Citos gadījumos tas varētu būt jautājums par publiskā lietošanā nodotu pašvaldības teritoriju izmantošanu (</w:t>
      </w:r>
      <w:r w:rsidRPr="00020338">
        <w:rPr>
          <w:i/>
          <w:iCs/>
        </w:rPr>
        <w:t>Pašvaldību likuma 45. panta pirmās daļas 2. punkts</w:t>
      </w:r>
      <w:r w:rsidRPr="00201144">
        <w:t>). Tad administratīvā atbildība vērtējama kopsakarā ar konkrētās teritorijas izmantošanas regulējumu.</w:t>
      </w:r>
    </w:p>
    <w:p w14:paraId="10114015" w14:textId="3567CB4A" w:rsidR="005624DE" w:rsidRPr="002B44BA" w:rsidRDefault="002B44BA" w:rsidP="002B44BA">
      <w:pPr>
        <w:pStyle w:val="NormalWeb"/>
        <w:tabs>
          <w:tab w:val="left" w:pos="851"/>
        </w:tabs>
        <w:spacing w:before="120" w:beforeAutospacing="0" w:after="0" w:afterAutospacing="0"/>
        <w:jc w:val="center"/>
        <w:rPr>
          <w:b/>
          <w:bCs/>
          <w:i/>
          <w:iCs/>
        </w:rPr>
      </w:pPr>
      <w:r w:rsidRPr="002B44BA">
        <w:rPr>
          <w:b/>
          <w:bCs/>
        </w:rPr>
        <w:t>Par administratīvās atbildības regulējumu, kas saistīts ar sabiedrisko kārtību, citos nozares normatīvajos aktos</w:t>
      </w:r>
    </w:p>
    <w:p w14:paraId="6911ADF3" w14:textId="63C4F4A0" w:rsidR="002B44BA" w:rsidRPr="00504315" w:rsidRDefault="002B44BA" w:rsidP="002B44BA">
      <w:pPr>
        <w:pStyle w:val="NormalWeb"/>
        <w:numPr>
          <w:ilvl w:val="0"/>
          <w:numId w:val="12"/>
        </w:numPr>
        <w:tabs>
          <w:tab w:val="left" w:pos="851"/>
        </w:tabs>
        <w:spacing w:before="120" w:beforeAutospacing="0" w:after="0" w:afterAutospacing="0"/>
        <w:ind w:left="0" w:firstLine="709"/>
        <w:jc w:val="both"/>
        <w:rPr>
          <w:i/>
          <w:iCs/>
        </w:rPr>
      </w:pPr>
      <w:r>
        <w:rPr>
          <w:iCs/>
        </w:rPr>
        <w:t xml:space="preserve">Par ugunskuru kurināšanu publiskās vietās </w:t>
      </w:r>
      <w:r w:rsidR="00020338" w:rsidRPr="00201144">
        <w:rPr>
          <w:iCs/>
        </w:rPr>
        <w:t>Tieslietu ministrija ir paudusi viedokli</w:t>
      </w:r>
      <w:r w:rsidR="00020338" w:rsidRPr="00201144">
        <w:rPr>
          <w:rStyle w:val="FootnoteReference"/>
          <w:iCs/>
        </w:rPr>
        <w:footnoteReference w:id="13"/>
      </w:r>
      <w:r w:rsidR="0085146C">
        <w:rPr>
          <w:iCs/>
        </w:rPr>
        <w:t xml:space="preserve">, ka </w:t>
      </w:r>
      <w:r w:rsidR="0085146C" w:rsidRPr="00201144">
        <w:t>pašvaldībai</w:t>
      </w:r>
      <w:r>
        <w:t xml:space="preserve"> </w:t>
      </w:r>
      <w:r w:rsidR="0085146C">
        <w:t xml:space="preserve">būtu jāvērtē, vai </w:t>
      </w:r>
      <w:r w:rsidR="0085146C" w:rsidRPr="00201144">
        <w:t>regulējums par ugunskuru kurināšanas aizliegumu publiskās vietās nedublē Ugunsdrošības un ugunsdzēsības likumu un Ministru kabineta 2016. gada 19. aprīļa noteikumus Nr. 238 “Ugunsdrošības noteikumi”.</w:t>
      </w:r>
    </w:p>
    <w:p w14:paraId="77DE528F" w14:textId="1D757FC5" w:rsidR="00504315" w:rsidRDefault="00504315" w:rsidP="002B44BA">
      <w:pPr>
        <w:pStyle w:val="NormalWeb"/>
        <w:numPr>
          <w:ilvl w:val="0"/>
          <w:numId w:val="12"/>
        </w:numPr>
        <w:tabs>
          <w:tab w:val="left" w:pos="851"/>
        </w:tabs>
        <w:spacing w:before="120" w:beforeAutospacing="0" w:after="0" w:afterAutospacing="0"/>
        <w:ind w:left="0" w:firstLine="709"/>
        <w:jc w:val="both"/>
        <w:rPr>
          <w:i/>
          <w:iCs/>
        </w:rPr>
      </w:pPr>
      <w:r>
        <w:lastRenderedPageBreak/>
        <w:t xml:space="preserve">Nosakot prasības, kas saistītas ar vides piesārņojumu aicinām ņemt vērā, ka </w:t>
      </w:r>
      <w:r>
        <w:rPr>
          <w:lang w:eastAsia="ar-SA"/>
        </w:rPr>
        <w:t>l</w:t>
      </w:r>
      <w:r w:rsidRPr="00201144">
        <w:rPr>
          <w:lang w:eastAsia="ar-SA"/>
        </w:rPr>
        <w:t>ikums “</w:t>
      </w:r>
      <w:r w:rsidRPr="002B44BA">
        <w:rPr>
          <w:shd w:val="clear" w:color="auto" w:fill="FFFFFF"/>
        </w:rPr>
        <w:t>Par piesārņojumu” paredz pienākumus, prasības un administratīvo atbildību attiecībā uz vides piesārņošanu</w:t>
      </w:r>
      <w:r w:rsidR="00CE2734">
        <w:rPr>
          <w:shd w:val="clear" w:color="auto" w:fill="FFFFFF"/>
        </w:rPr>
        <w:t>.</w:t>
      </w:r>
    </w:p>
    <w:p w14:paraId="4415BF95" w14:textId="77777777" w:rsidR="00A76DA4" w:rsidRDefault="0023169A" w:rsidP="00392AF6">
      <w:pPr>
        <w:pStyle w:val="NormalWeb"/>
        <w:numPr>
          <w:ilvl w:val="0"/>
          <w:numId w:val="12"/>
        </w:numPr>
        <w:tabs>
          <w:tab w:val="left" w:pos="851"/>
        </w:tabs>
        <w:spacing w:before="120" w:beforeAutospacing="0" w:after="0" w:afterAutospacing="0"/>
        <w:ind w:left="0" w:firstLine="709"/>
        <w:jc w:val="both"/>
        <w:rPr>
          <w:i/>
          <w:iCs/>
        </w:rPr>
      </w:pPr>
      <w:r w:rsidRPr="00201144">
        <w:t>Administratīvie pārkāpumi publisku izklaides un svētku pasākumu rīkošanā un norisē ir noteikti Publisku izklaides un svētku pasākumu drošības likumā</w:t>
      </w:r>
      <w:r w:rsidR="006B69A9">
        <w:t>.</w:t>
      </w:r>
    </w:p>
    <w:p w14:paraId="5723EF52" w14:textId="77777777" w:rsidR="00392AF6" w:rsidRDefault="008C049E" w:rsidP="00392AF6">
      <w:pPr>
        <w:pStyle w:val="NormalWeb"/>
        <w:numPr>
          <w:ilvl w:val="0"/>
          <w:numId w:val="12"/>
        </w:numPr>
        <w:tabs>
          <w:tab w:val="left" w:pos="851"/>
        </w:tabs>
        <w:spacing w:before="120" w:beforeAutospacing="0" w:after="0" w:afterAutospacing="0"/>
        <w:ind w:left="0" w:firstLine="709"/>
        <w:jc w:val="both"/>
        <w:rPr>
          <w:kern w:val="2"/>
          <w14:ligatures w14:val="standardContextual"/>
        </w:rPr>
      </w:pPr>
      <w:r>
        <w:rPr>
          <w:rFonts w:eastAsiaTheme="minorHAnsi"/>
          <w:kern w:val="2"/>
          <w14:ligatures w14:val="standardContextual"/>
        </w:rPr>
        <w:t xml:space="preserve">Zemkopības ministrija </w:t>
      </w:r>
      <w:r w:rsidR="00B1025F">
        <w:rPr>
          <w:rFonts w:eastAsiaTheme="minorHAnsi"/>
          <w:kern w:val="2"/>
          <w14:ligatures w14:val="standardContextual"/>
        </w:rPr>
        <w:t>2025. gada 23. oktobrī ir izsūtījusi elektroniskā pasta vēstuli visām pašvaldībām un informējusi, ka, ņ</w:t>
      </w:r>
      <w:r w:rsidR="00B1025F" w:rsidRPr="00B1025F">
        <w:rPr>
          <w:kern w:val="2"/>
          <w14:ligatures w14:val="standardContextual"/>
        </w:rPr>
        <w:t>emot vērā 2025.</w:t>
      </w:r>
      <w:r w:rsidR="00B1025F">
        <w:rPr>
          <w:kern w:val="2"/>
          <w14:ligatures w14:val="standardContextual"/>
        </w:rPr>
        <w:t> </w:t>
      </w:r>
      <w:r w:rsidR="00B1025F" w:rsidRPr="00B1025F">
        <w:rPr>
          <w:kern w:val="2"/>
          <w14:ligatures w14:val="standardContextual"/>
        </w:rPr>
        <w:t>gada 1.</w:t>
      </w:r>
      <w:r w:rsidR="00B1025F">
        <w:rPr>
          <w:kern w:val="2"/>
          <w14:ligatures w14:val="standardContextual"/>
        </w:rPr>
        <w:t> </w:t>
      </w:r>
      <w:r w:rsidR="00B1025F" w:rsidRPr="00B1025F">
        <w:rPr>
          <w:kern w:val="2"/>
          <w14:ligatures w14:val="standardContextual"/>
        </w:rPr>
        <w:t xml:space="preserve">augusta Latvijas Republikas </w:t>
      </w:r>
      <w:proofErr w:type="spellStart"/>
      <w:r w:rsidR="00B1025F" w:rsidRPr="00B1025F">
        <w:rPr>
          <w:kern w:val="2"/>
          <w14:ligatures w14:val="standardContextual"/>
        </w:rPr>
        <w:t>Tiesībsarga</w:t>
      </w:r>
      <w:proofErr w:type="spellEnd"/>
      <w:r w:rsidR="00B1025F" w:rsidRPr="00B1025F">
        <w:rPr>
          <w:kern w:val="2"/>
          <w14:ligatures w14:val="standardContextual"/>
        </w:rPr>
        <w:t xml:space="preserve"> atzinumu pārbaudes lietā Nr.</w:t>
      </w:r>
      <w:r w:rsidR="00B1025F">
        <w:rPr>
          <w:kern w:val="2"/>
          <w14:ligatures w14:val="standardContextual"/>
        </w:rPr>
        <w:t> </w:t>
      </w:r>
      <w:r w:rsidR="00B1025F" w:rsidRPr="00B1025F">
        <w:rPr>
          <w:kern w:val="2"/>
          <w14:ligatures w14:val="standardContextual"/>
        </w:rPr>
        <w:t>2024-71-22F Nr.</w:t>
      </w:r>
      <w:r w:rsidR="00B1025F">
        <w:rPr>
          <w:kern w:val="2"/>
          <w14:ligatures w14:val="standardContextual"/>
        </w:rPr>
        <w:t> </w:t>
      </w:r>
      <w:r w:rsidR="00B1025F" w:rsidRPr="00B1025F">
        <w:rPr>
          <w:kern w:val="2"/>
          <w14:ligatures w14:val="standardContextual"/>
        </w:rPr>
        <w:t xml:space="preserve">6-6/37, kurā </w:t>
      </w:r>
      <w:r w:rsidR="00B1025F" w:rsidRPr="00392AF6">
        <w:rPr>
          <w:kern w:val="2"/>
          <w14:ligatures w14:val="standardContextual"/>
        </w:rPr>
        <w:t>Zemkopības ministrijai ir sniegtas rekomendācijas, kas pasargātu iedzīvotāju tiesības uz labvēlīgu vidi gadījumos, kad dzīvnieka īpašnieks vai turētājs nepilda pienākumu nodrošināt, lai tam piederošais vai turējumā esošais dzīvnieks netraucētu citus cilvēkus un dzīvniekus (</w:t>
      </w:r>
      <w:r w:rsidR="00B1025F" w:rsidRPr="00392AF6">
        <w:rPr>
          <w:i/>
          <w:iCs/>
          <w:kern w:val="2"/>
          <w14:ligatures w14:val="standardContextual"/>
        </w:rPr>
        <w:t xml:space="preserve">Dzīvnieku aizsardzības likuma </w:t>
      </w:r>
      <w:hyperlink r:id="rId8" w:anchor=":~:text=sp%C4%93k%C4%81%2004.05.2010.)-,5.,-pants.%20(1" w:history="1">
        <w:r w:rsidR="00B1025F" w:rsidRPr="00392AF6">
          <w:rPr>
            <w:rStyle w:val="Hyperlink"/>
            <w:i/>
            <w:iCs/>
            <w:color w:val="auto"/>
            <w:kern w:val="2"/>
            <w:u w:val="none"/>
            <w14:ligatures w14:val="standardContextual"/>
          </w:rPr>
          <w:t>5.</w:t>
        </w:r>
      </w:hyperlink>
      <w:r w:rsidR="002A752A" w:rsidRPr="00392AF6">
        <w:rPr>
          <w:i/>
          <w:iCs/>
          <w:kern w:val="2"/>
          <w14:ligatures w14:val="standardContextual"/>
        </w:rPr>
        <w:t> </w:t>
      </w:r>
      <w:r w:rsidR="00B1025F" w:rsidRPr="00392AF6">
        <w:rPr>
          <w:i/>
          <w:iCs/>
          <w:kern w:val="2"/>
          <w14:ligatures w14:val="standardContextual"/>
        </w:rPr>
        <w:t>panta otrās daļas 3.</w:t>
      </w:r>
      <w:r w:rsidR="002A752A" w:rsidRPr="00392AF6">
        <w:rPr>
          <w:i/>
          <w:iCs/>
          <w:kern w:val="2"/>
          <w14:ligatures w14:val="standardContextual"/>
        </w:rPr>
        <w:t> </w:t>
      </w:r>
      <w:r w:rsidR="00B1025F" w:rsidRPr="00392AF6">
        <w:rPr>
          <w:i/>
          <w:iCs/>
          <w:kern w:val="2"/>
          <w14:ligatures w14:val="standardContextual"/>
        </w:rPr>
        <w:t>punkts</w:t>
      </w:r>
      <w:r w:rsidR="00B1025F" w:rsidRPr="00392AF6">
        <w:rPr>
          <w:kern w:val="2"/>
          <w14:ligatures w14:val="standardContextual"/>
        </w:rPr>
        <w:t>), ja traucējums nav saistīts ar dzīvnieka labturības prasību neievērošanu.</w:t>
      </w:r>
      <w:r w:rsidR="002A752A" w:rsidRPr="00392AF6">
        <w:rPr>
          <w:kern w:val="2"/>
          <w14:ligatures w14:val="standardContextual"/>
        </w:rPr>
        <w:t xml:space="preserve"> Diskusiju rezultātā </w:t>
      </w:r>
      <w:r w:rsidR="00B1025F" w:rsidRPr="00B1025F">
        <w:rPr>
          <w:kern w:val="2"/>
          <w14:ligatures w14:val="standardContextual"/>
        </w:rPr>
        <w:t>secināts, ka dzīvnieku īpašniekam ir pienākumi un atbildība par dzīvnieka radīto sabiedriskās kārtības traucējumu.</w:t>
      </w:r>
      <w:r w:rsidR="002A752A" w:rsidRPr="00392AF6">
        <w:rPr>
          <w:kern w:val="2"/>
          <w14:ligatures w14:val="standardContextual"/>
        </w:rPr>
        <w:t xml:space="preserve"> </w:t>
      </w:r>
      <w:r w:rsidR="00B1025F" w:rsidRPr="00B1025F">
        <w:rPr>
          <w:kern w:val="2"/>
          <w14:ligatures w14:val="standardContextual"/>
        </w:rPr>
        <w:t>Gadījumos, kad dzīvnieka riešana, dziedāšana, ņaudēšana vai cita trokšņa radīšana traucē apkārtējo mieru, pašvaldības policijai ir jāizvērtē visi lietas apstākļi par sabiedriskās kārtības traucēšanu, kas pārkāpj vispārpieņemtās uzvedības normas, un nepieciešamības gadījumā</w:t>
      </w:r>
      <w:r w:rsidR="00392AF6" w:rsidRPr="00392AF6">
        <w:rPr>
          <w:kern w:val="2"/>
          <w14:ligatures w14:val="standardContextual"/>
        </w:rPr>
        <w:t xml:space="preserve"> jāpiemēro</w:t>
      </w:r>
      <w:r w:rsidR="00B1025F" w:rsidRPr="00B1025F">
        <w:rPr>
          <w:kern w:val="2"/>
          <w14:ligatures w14:val="standardContextual"/>
        </w:rPr>
        <w:t xml:space="preserve"> administratīvo atbildību saskaņā ar Administratīvā sodu likuma par pārkāpumiem pārvaldes, sabiedriskās kārtības un valsts valodas lietošanas </w:t>
      </w:r>
      <w:hyperlink r:id="rId9" w:anchor=":~:text=naudas%20soda%20vien%C4%ABb%C4%81m.-,11.%20pants,-.%20Sabiedrisk%C4%81s%20k%C4%81rt%C4%ABbas%20trauc%C4%93%C5%A1ana" w:history="1">
        <w:r w:rsidR="00B1025F" w:rsidRPr="00B1025F">
          <w:rPr>
            <w:rStyle w:val="Hyperlink"/>
            <w:color w:val="auto"/>
            <w:kern w:val="2"/>
            <w:u w:val="none"/>
            <w14:ligatures w14:val="standardContextual"/>
          </w:rPr>
          <w:t>11.</w:t>
        </w:r>
        <w:r w:rsidR="00392AF6" w:rsidRPr="00392AF6">
          <w:rPr>
            <w:rStyle w:val="Hyperlink"/>
            <w:color w:val="auto"/>
            <w:kern w:val="2"/>
            <w:u w:val="none"/>
            <w14:ligatures w14:val="standardContextual"/>
          </w:rPr>
          <w:t> </w:t>
        </w:r>
        <w:r w:rsidR="00B1025F" w:rsidRPr="00B1025F">
          <w:rPr>
            <w:rStyle w:val="Hyperlink"/>
            <w:color w:val="auto"/>
            <w:kern w:val="2"/>
            <w:u w:val="none"/>
            <w14:ligatures w14:val="standardContextual"/>
          </w:rPr>
          <w:t>panta pirmo daļu</w:t>
        </w:r>
      </w:hyperlink>
      <w:r w:rsidR="00392AF6" w:rsidRPr="00392AF6">
        <w:rPr>
          <w:kern w:val="2"/>
          <w14:ligatures w14:val="standardContextual"/>
        </w:rPr>
        <w:t>.</w:t>
      </w:r>
    </w:p>
    <w:p w14:paraId="467F04AF" w14:textId="7585E344" w:rsidR="004C5D51" w:rsidRPr="0095733B" w:rsidRDefault="004E702E" w:rsidP="00551CD0">
      <w:pPr>
        <w:pStyle w:val="NormalWeb"/>
        <w:numPr>
          <w:ilvl w:val="0"/>
          <w:numId w:val="12"/>
        </w:numPr>
        <w:tabs>
          <w:tab w:val="left" w:pos="851"/>
        </w:tabs>
        <w:spacing w:before="120" w:beforeAutospacing="0" w:after="0" w:afterAutospacing="0"/>
        <w:ind w:left="0" w:firstLine="709"/>
        <w:jc w:val="both"/>
        <w:rPr>
          <w:sz w:val="20"/>
          <w:szCs w:val="20"/>
        </w:rPr>
      </w:pPr>
      <w:r w:rsidRPr="0095733B">
        <w:t>Pirotehnisko izstrādājumu izmantošanas aizliegumi un ierobežojumi ir noteikti Pirotehnisko izstrādājumu aprites likuma 17. panta pirmajā, otrajā, trešajā un ceturtajā daļā. Papildus šā panta piektā daļa pilnvaro pašvaldību noteikt papildu prasības attiecībā uz pirotehnisko izstrādājumu izmantošanas vietu un laiku, proti, at</w:t>
      </w:r>
      <w:r w:rsidRPr="0095733B">
        <w:rPr>
          <w:shd w:val="clear" w:color="auto" w:fill="FFFFFF"/>
        </w:rPr>
        <w:t>tiecīgā pašvaldība, izdodot saistošos noteikumus, ir tiesīga ierobežot uguņošanas ierīču un skatuves pirotehnisko izstrādājumu izmantošanas vietu un laiku. Administratīvā atbildība par Pirotehnisko izstrādājumu aprites likuma pārkāpumiem ir paredzēta šā likuma IX</w:t>
      </w:r>
      <w:r w:rsidR="0095733B" w:rsidRPr="0095733B">
        <w:rPr>
          <w:shd w:val="clear" w:color="auto" w:fill="FFFFFF"/>
        </w:rPr>
        <w:t>. </w:t>
      </w:r>
      <w:r w:rsidRPr="0095733B">
        <w:rPr>
          <w:shd w:val="clear" w:color="auto" w:fill="FFFFFF"/>
        </w:rPr>
        <w:t>nodaļā “Administratīvie pārkāpumi pirotehnisko izstrādājumu aprites jomā un kompetence administratīvo pārkāpumu procesā”, tostarp 27. panta pirmā daļa paredz administratīvo atbildību par pirotehnisko izstrādājumu aprites noteikumu pārkāpšanu.</w:t>
      </w:r>
    </w:p>
    <w:p w14:paraId="0FC3161E" w14:textId="77777777" w:rsidR="002B23C5" w:rsidRDefault="002B23C5" w:rsidP="002B23C5">
      <w:pPr>
        <w:tabs>
          <w:tab w:val="left" w:pos="851"/>
        </w:tabs>
        <w:spacing w:after="0" w:line="240" w:lineRule="auto"/>
        <w:jc w:val="both"/>
        <w:rPr>
          <w:rFonts w:ascii="Times New Roman" w:hAnsi="Times New Roman" w:cs="Times New Roman"/>
          <w:sz w:val="20"/>
          <w:szCs w:val="20"/>
        </w:rPr>
      </w:pPr>
    </w:p>
    <w:p w14:paraId="5D3EDA60" w14:textId="77777777" w:rsidR="0095733B" w:rsidRPr="002B23C5" w:rsidRDefault="0095733B" w:rsidP="002B23C5">
      <w:pPr>
        <w:tabs>
          <w:tab w:val="left" w:pos="851"/>
        </w:tabs>
        <w:spacing w:after="0" w:line="240" w:lineRule="auto"/>
        <w:jc w:val="both"/>
        <w:rPr>
          <w:rFonts w:ascii="Times New Roman" w:hAnsi="Times New Roman" w:cs="Times New Roman"/>
          <w:sz w:val="20"/>
          <w:szCs w:val="20"/>
        </w:rPr>
      </w:pPr>
    </w:p>
    <w:p w14:paraId="5213B97D" w14:textId="0710550E" w:rsidR="004C5D51" w:rsidRPr="00D10E8F" w:rsidRDefault="004C5D51" w:rsidP="002B23C5">
      <w:pPr>
        <w:pStyle w:val="ListParagraph"/>
        <w:tabs>
          <w:tab w:val="left" w:pos="851"/>
        </w:tabs>
        <w:ind w:left="0"/>
        <w:jc w:val="both"/>
        <w:rPr>
          <w:sz w:val="20"/>
          <w:szCs w:val="20"/>
        </w:rPr>
      </w:pPr>
      <w:r w:rsidRPr="00D10E8F">
        <w:rPr>
          <w:sz w:val="20"/>
          <w:szCs w:val="20"/>
        </w:rPr>
        <w:t xml:space="preserve">Vadlīnijas aktualizētas </w:t>
      </w:r>
      <w:r w:rsidR="005F312E">
        <w:rPr>
          <w:sz w:val="20"/>
          <w:szCs w:val="20"/>
        </w:rPr>
        <w:t>17</w:t>
      </w:r>
      <w:r w:rsidR="00965246" w:rsidRPr="00D10E8F">
        <w:rPr>
          <w:sz w:val="20"/>
          <w:szCs w:val="20"/>
        </w:rPr>
        <w:t>.12.2025.</w:t>
      </w:r>
    </w:p>
    <w:p w14:paraId="59BFD87C" w14:textId="77777777" w:rsidR="004C5D51" w:rsidRPr="00D10E8F" w:rsidRDefault="004C5D51" w:rsidP="002B23C5">
      <w:pPr>
        <w:tabs>
          <w:tab w:val="left" w:pos="851"/>
        </w:tabs>
        <w:spacing w:after="0" w:line="240" w:lineRule="auto"/>
        <w:jc w:val="both"/>
        <w:rPr>
          <w:rFonts w:ascii="Times New Roman" w:hAnsi="Times New Roman" w:cs="Times New Roman"/>
          <w:sz w:val="20"/>
          <w:szCs w:val="20"/>
        </w:rPr>
      </w:pPr>
    </w:p>
    <w:p w14:paraId="2FE0F25A" w14:textId="77777777" w:rsidR="004C5D51" w:rsidRPr="00D10E8F" w:rsidRDefault="004C5D51" w:rsidP="002B23C5">
      <w:pPr>
        <w:pStyle w:val="xxmsonormal"/>
        <w:shd w:val="clear" w:color="auto" w:fill="FFFFFF"/>
        <w:tabs>
          <w:tab w:val="left" w:pos="851"/>
        </w:tabs>
        <w:rPr>
          <w:color w:val="000000"/>
          <w:sz w:val="20"/>
          <w:szCs w:val="20"/>
        </w:rPr>
      </w:pPr>
      <w:r w:rsidRPr="00D10E8F">
        <w:rPr>
          <w:color w:val="000000"/>
          <w:sz w:val="20"/>
          <w:szCs w:val="20"/>
        </w:rPr>
        <w:t>Kontaktinformācija:</w:t>
      </w:r>
    </w:p>
    <w:p w14:paraId="63BE3059" w14:textId="77777777" w:rsidR="004C5D51" w:rsidRPr="00D10E8F" w:rsidRDefault="004C5D51" w:rsidP="002B23C5">
      <w:pPr>
        <w:pStyle w:val="xxmsonormal"/>
        <w:shd w:val="clear" w:color="auto" w:fill="FFFFFF"/>
        <w:tabs>
          <w:tab w:val="left" w:pos="851"/>
        </w:tabs>
        <w:rPr>
          <w:color w:val="000000"/>
          <w:sz w:val="20"/>
          <w:szCs w:val="20"/>
        </w:rPr>
      </w:pPr>
      <w:r w:rsidRPr="00D10E8F">
        <w:rPr>
          <w:color w:val="000000"/>
          <w:sz w:val="20"/>
          <w:szCs w:val="20"/>
        </w:rPr>
        <w:t xml:space="preserve">Agris </w:t>
      </w:r>
      <w:proofErr w:type="spellStart"/>
      <w:r w:rsidRPr="00D10E8F">
        <w:rPr>
          <w:color w:val="000000"/>
          <w:sz w:val="20"/>
          <w:szCs w:val="20"/>
        </w:rPr>
        <w:t>Buzēns</w:t>
      </w:r>
      <w:proofErr w:type="spellEnd"/>
      <w:r w:rsidRPr="00D10E8F">
        <w:rPr>
          <w:color w:val="000000"/>
          <w:sz w:val="20"/>
          <w:szCs w:val="20"/>
        </w:rPr>
        <w:t>, Pašvaldību departamenta Pašvaldību pārraudzības nodaļas vecākais eksperts</w:t>
      </w:r>
    </w:p>
    <w:p w14:paraId="1251B561" w14:textId="77777777" w:rsidR="004C5D51" w:rsidRPr="00D10E8F" w:rsidRDefault="004C5D51" w:rsidP="002B23C5">
      <w:pPr>
        <w:tabs>
          <w:tab w:val="left" w:pos="851"/>
        </w:tabs>
        <w:spacing w:after="0" w:line="240" w:lineRule="auto"/>
        <w:jc w:val="both"/>
        <w:rPr>
          <w:rFonts w:ascii="Times New Roman" w:hAnsi="Times New Roman" w:cs="Times New Roman"/>
          <w:sz w:val="20"/>
          <w:szCs w:val="20"/>
          <w:shd w:val="clear" w:color="auto" w:fill="FFFFFF"/>
        </w:rPr>
      </w:pPr>
      <w:hyperlink r:id="rId10" w:history="1">
        <w:r w:rsidRPr="00D10E8F">
          <w:rPr>
            <w:rStyle w:val="Hyperlink"/>
            <w:rFonts w:ascii="Times New Roman" w:hAnsi="Times New Roman" w:cs="Times New Roman"/>
            <w:sz w:val="20"/>
            <w:szCs w:val="20"/>
            <w:shd w:val="clear" w:color="auto" w:fill="FFFFFF"/>
          </w:rPr>
          <w:t>agris.buzens@varam.gov.lv</w:t>
        </w:r>
      </w:hyperlink>
      <w:r w:rsidRPr="00D10E8F">
        <w:rPr>
          <w:rStyle w:val="Hyperlink"/>
          <w:rFonts w:ascii="Times New Roman" w:hAnsi="Times New Roman" w:cs="Times New Roman"/>
          <w:sz w:val="20"/>
          <w:szCs w:val="20"/>
          <w:shd w:val="clear" w:color="auto" w:fill="FFFFFF"/>
        </w:rPr>
        <w:t xml:space="preserve">, </w:t>
      </w:r>
      <w:r w:rsidRPr="00D10E8F">
        <w:rPr>
          <w:rFonts w:ascii="Times New Roman" w:hAnsi="Times New Roman" w:cs="Times New Roman"/>
          <w:color w:val="000000"/>
          <w:sz w:val="20"/>
          <w:szCs w:val="20"/>
        </w:rPr>
        <w:t>tālr. </w:t>
      </w:r>
      <w:r w:rsidRPr="00D10E8F">
        <w:rPr>
          <w:rFonts w:ascii="Times New Roman" w:hAnsi="Times New Roman" w:cs="Times New Roman"/>
          <w:sz w:val="20"/>
          <w:szCs w:val="20"/>
          <w:shd w:val="clear" w:color="auto" w:fill="FFFFFF"/>
        </w:rPr>
        <w:t>66016719</w:t>
      </w:r>
    </w:p>
    <w:p w14:paraId="3FD6DA7B" w14:textId="77777777" w:rsidR="004C5D51" w:rsidRPr="00D10E8F" w:rsidRDefault="004C5D51" w:rsidP="002B23C5">
      <w:pPr>
        <w:pStyle w:val="xxmsonormal"/>
        <w:shd w:val="clear" w:color="auto" w:fill="FFFFFF"/>
        <w:tabs>
          <w:tab w:val="left" w:pos="851"/>
        </w:tabs>
        <w:rPr>
          <w:color w:val="000000"/>
          <w:sz w:val="20"/>
          <w:szCs w:val="20"/>
        </w:rPr>
      </w:pPr>
      <w:r w:rsidRPr="00D10E8F">
        <w:rPr>
          <w:color w:val="000000"/>
          <w:sz w:val="20"/>
          <w:szCs w:val="20"/>
        </w:rPr>
        <w:t xml:space="preserve">Aigars </w:t>
      </w:r>
      <w:proofErr w:type="spellStart"/>
      <w:r w:rsidRPr="00D10E8F">
        <w:rPr>
          <w:color w:val="000000"/>
          <w:sz w:val="20"/>
          <w:szCs w:val="20"/>
        </w:rPr>
        <w:t>Cibuļskis</w:t>
      </w:r>
      <w:proofErr w:type="spellEnd"/>
      <w:r w:rsidRPr="00D10E8F">
        <w:rPr>
          <w:color w:val="000000"/>
          <w:sz w:val="20"/>
          <w:szCs w:val="20"/>
        </w:rPr>
        <w:t>, Pašvaldību departamenta Pašvaldību pārraudzības nodaļas vecākais eksperts</w:t>
      </w:r>
    </w:p>
    <w:p w14:paraId="36466ECA" w14:textId="4F459AC8" w:rsidR="008C2A60" w:rsidRPr="00D10E8F" w:rsidRDefault="004C5D51" w:rsidP="002B23C5">
      <w:pPr>
        <w:shd w:val="clear" w:color="auto" w:fill="FFFFFF"/>
        <w:tabs>
          <w:tab w:val="left" w:pos="851"/>
        </w:tabs>
        <w:spacing w:after="0" w:line="240" w:lineRule="auto"/>
        <w:rPr>
          <w:rFonts w:ascii="Times New Roman" w:hAnsi="Times New Roman" w:cs="Times New Roman"/>
          <w:color w:val="0563C1"/>
          <w:sz w:val="20"/>
          <w:szCs w:val="20"/>
          <w:u w:val="single"/>
        </w:rPr>
      </w:pPr>
      <w:hyperlink r:id="rId11" w:history="1">
        <w:r w:rsidRPr="00D10E8F">
          <w:rPr>
            <w:rStyle w:val="Hyperlink"/>
            <w:rFonts w:ascii="Times New Roman" w:hAnsi="Times New Roman" w:cs="Times New Roman"/>
            <w:sz w:val="20"/>
            <w:szCs w:val="20"/>
          </w:rPr>
          <w:t>aigars.cibulskis@varam.gov.lv</w:t>
        </w:r>
      </w:hyperlink>
      <w:r w:rsidRPr="00D10E8F">
        <w:rPr>
          <w:rFonts w:ascii="Times New Roman" w:hAnsi="Times New Roman" w:cs="Times New Roman"/>
          <w:color w:val="212529"/>
          <w:sz w:val="20"/>
          <w:szCs w:val="20"/>
        </w:rPr>
        <w:t>, tālr. 6702691</w:t>
      </w:r>
      <w:r w:rsidR="0069110D" w:rsidRPr="00D10E8F">
        <w:rPr>
          <w:rFonts w:ascii="Times New Roman" w:hAnsi="Times New Roman" w:cs="Times New Roman"/>
          <w:color w:val="212529"/>
          <w:sz w:val="20"/>
          <w:szCs w:val="20"/>
        </w:rPr>
        <w:t>9</w:t>
      </w:r>
    </w:p>
    <w:sectPr w:rsidR="008C2A60" w:rsidRPr="00D10E8F" w:rsidSect="00EC3AF1">
      <w:pgSz w:w="11906" w:h="16838"/>
      <w:pgMar w:top="1440" w:right="141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FC44E4" w14:textId="77777777" w:rsidR="00D17FE1" w:rsidRDefault="00D17FE1" w:rsidP="00374951">
      <w:pPr>
        <w:spacing w:after="0" w:line="240" w:lineRule="auto"/>
      </w:pPr>
      <w:r>
        <w:separator/>
      </w:r>
    </w:p>
  </w:endnote>
  <w:endnote w:type="continuationSeparator" w:id="0">
    <w:p w14:paraId="276843CB" w14:textId="77777777" w:rsidR="00D17FE1" w:rsidRDefault="00D17FE1" w:rsidP="00374951">
      <w:pPr>
        <w:spacing w:after="0" w:line="240" w:lineRule="auto"/>
      </w:pPr>
      <w:r>
        <w:continuationSeparator/>
      </w:r>
    </w:p>
  </w:endnote>
  <w:endnote w:type="continuationNotice" w:id="1">
    <w:p w14:paraId="4B7BAE89" w14:textId="77777777" w:rsidR="00D17FE1" w:rsidRDefault="00D17FE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440E1C" w14:textId="77777777" w:rsidR="00D17FE1" w:rsidRDefault="00D17FE1" w:rsidP="00374951">
      <w:pPr>
        <w:spacing w:after="0" w:line="240" w:lineRule="auto"/>
      </w:pPr>
      <w:r>
        <w:separator/>
      </w:r>
    </w:p>
  </w:footnote>
  <w:footnote w:type="continuationSeparator" w:id="0">
    <w:p w14:paraId="20698C24" w14:textId="77777777" w:rsidR="00D17FE1" w:rsidRDefault="00D17FE1" w:rsidP="00374951">
      <w:pPr>
        <w:spacing w:after="0" w:line="240" w:lineRule="auto"/>
      </w:pPr>
      <w:r>
        <w:continuationSeparator/>
      </w:r>
    </w:p>
  </w:footnote>
  <w:footnote w:type="continuationNotice" w:id="1">
    <w:p w14:paraId="767C71DB" w14:textId="77777777" w:rsidR="00D17FE1" w:rsidRDefault="00D17FE1">
      <w:pPr>
        <w:spacing w:after="0" w:line="240" w:lineRule="auto"/>
      </w:pPr>
    </w:p>
  </w:footnote>
  <w:footnote w:id="2">
    <w:p w14:paraId="453435C7" w14:textId="3371C830" w:rsidR="00B458C2" w:rsidRPr="00D10E8F" w:rsidRDefault="00B458C2" w:rsidP="0054428F">
      <w:pPr>
        <w:pStyle w:val="FootnoteText"/>
        <w:jc w:val="both"/>
        <w:rPr>
          <w:rFonts w:ascii="Times New Roman" w:hAnsi="Times New Roman" w:cs="Times New Roman"/>
        </w:rPr>
      </w:pPr>
      <w:r w:rsidRPr="00D10E8F">
        <w:rPr>
          <w:rStyle w:val="FootnoteReference"/>
          <w:rFonts w:ascii="Times New Roman" w:hAnsi="Times New Roman" w:cs="Times New Roman"/>
        </w:rPr>
        <w:footnoteRef/>
      </w:r>
      <w:r w:rsidRPr="00D10E8F">
        <w:rPr>
          <w:rFonts w:ascii="Times New Roman" w:hAnsi="Times New Roman" w:cs="Times New Roman"/>
        </w:rPr>
        <w:t xml:space="preserve"> Pašvaldības dome triju darbdienu laikā pēc parakstīšanas </w:t>
      </w:r>
      <w:proofErr w:type="spellStart"/>
      <w:r w:rsidRPr="00D10E8F">
        <w:rPr>
          <w:rFonts w:ascii="Times New Roman" w:hAnsi="Times New Roman" w:cs="Times New Roman"/>
        </w:rPr>
        <w:t>rakstveidā</w:t>
      </w:r>
      <w:proofErr w:type="spellEnd"/>
      <w:r w:rsidRPr="00D10E8F">
        <w:rPr>
          <w:rFonts w:ascii="Times New Roman" w:hAnsi="Times New Roman" w:cs="Times New Roman"/>
        </w:rPr>
        <w:t xml:space="preserve"> </w:t>
      </w:r>
      <w:proofErr w:type="spellStart"/>
      <w:r w:rsidRPr="00D10E8F">
        <w:rPr>
          <w:rFonts w:ascii="Times New Roman" w:hAnsi="Times New Roman" w:cs="Times New Roman"/>
        </w:rPr>
        <w:t>nosūta</w:t>
      </w:r>
      <w:proofErr w:type="spellEnd"/>
      <w:r w:rsidRPr="00D10E8F">
        <w:rPr>
          <w:rFonts w:ascii="Times New Roman" w:hAnsi="Times New Roman" w:cs="Times New Roman"/>
        </w:rPr>
        <w:t xml:space="preserve"> atzinuma sniegšanai </w:t>
      </w:r>
      <w:r w:rsidR="00D10E8F">
        <w:rPr>
          <w:rFonts w:ascii="Times New Roman" w:hAnsi="Times New Roman" w:cs="Times New Roman"/>
        </w:rPr>
        <w:t>VARAM</w:t>
      </w:r>
      <w:r w:rsidRPr="00D10E8F">
        <w:rPr>
          <w:rFonts w:ascii="Times New Roman" w:hAnsi="Times New Roman" w:cs="Times New Roman"/>
        </w:rPr>
        <w:t xml:space="preserve"> Pašvaldību likuma 45. pantā minētos saistošos noteikumus, kā arī saistošos noteikumus sociālās drošības un bērnu tiesību aizsardzības jautājumos un par pašvaldības nodevu un nodokļu likmēm un to paskaidrojuma rakstu vai citā likumā noteiktus saistošos noteikumus un to paskaidrojuma rakstu – attiecīgajā likumā noteiktajai ministrijai</w:t>
      </w:r>
      <w:r w:rsidR="00D10E8F">
        <w:rPr>
          <w:rFonts w:ascii="Times New Roman" w:hAnsi="Times New Roman" w:cs="Times New Roman"/>
        </w:rPr>
        <w:t>;</w:t>
      </w:r>
    </w:p>
  </w:footnote>
  <w:footnote w:id="3">
    <w:p w14:paraId="11DFB12E" w14:textId="77777777" w:rsidR="00F80DD9" w:rsidRPr="00D10E8F" w:rsidRDefault="00F80DD9" w:rsidP="00F80DD9">
      <w:pPr>
        <w:pStyle w:val="FootnoteText"/>
        <w:rPr>
          <w:rFonts w:ascii="Times New Roman" w:hAnsi="Times New Roman" w:cs="Times New Roman"/>
        </w:rPr>
      </w:pPr>
      <w:r w:rsidRPr="00D10E8F">
        <w:rPr>
          <w:rStyle w:val="FootnoteReference"/>
          <w:rFonts w:ascii="Times New Roman" w:hAnsi="Times New Roman" w:cs="Times New Roman"/>
        </w:rPr>
        <w:footnoteRef/>
      </w:r>
      <w:r w:rsidRPr="00D10E8F">
        <w:rPr>
          <w:rFonts w:ascii="Times New Roman" w:hAnsi="Times New Roman" w:cs="Times New Roman"/>
        </w:rPr>
        <w:t> </w:t>
      </w:r>
      <w:r w:rsidRPr="00D10E8F">
        <w:rPr>
          <w:rFonts w:ascii="Times New Roman" w:hAnsi="Times New Roman" w:cs="Times New Roman"/>
        </w:rPr>
        <w:t>Skat. ministrijas metodisko materiālu “</w:t>
      </w:r>
      <w:hyperlink r:id="rId1" w:tooltip="Pašvaldības saistošo noteikumu izdošanas pilnvarojums" w:history="1">
        <w:r w:rsidRPr="00D10E8F">
          <w:rPr>
            <w:rStyle w:val="Hyperlink"/>
            <w:rFonts w:ascii="Times New Roman" w:hAnsi="Times New Roman" w:cs="Times New Roman"/>
          </w:rPr>
          <w:t>Pašvaldības saistošo noteikumu izdošanas pilnvarojums</w:t>
        </w:r>
      </w:hyperlink>
      <w:r w:rsidRPr="00D10E8F">
        <w:rPr>
          <w:rFonts w:ascii="Times New Roman" w:hAnsi="Times New Roman" w:cs="Times New Roman"/>
        </w:rPr>
        <w:t xml:space="preserve">”, pieejams šeit: </w:t>
      </w:r>
      <w:hyperlink r:id="rId2" w:history="1">
        <w:r w:rsidRPr="00D10E8F">
          <w:rPr>
            <w:rStyle w:val="Hyperlink"/>
            <w:rFonts w:ascii="Times New Roman" w:hAnsi="Times New Roman" w:cs="Times New Roman"/>
          </w:rPr>
          <w:t>https://www.varam.gov.lv/lv/saistoso-noteikumu-izstrade</w:t>
        </w:r>
      </w:hyperlink>
      <w:r w:rsidRPr="00D10E8F">
        <w:rPr>
          <w:rStyle w:val="Hyperlink"/>
          <w:rFonts w:ascii="Times New Roman" w:hAnsi="Times New Roman" w:cs="Times New Roman"/>
        </w:rPr>
        <w:t>;</w:t>
      </w:r>
    </w:p>
  </w:footnote>
  <w:footnote w:id="4">
    <w:p w14:paraId="3F334AAE" w14:textId="2EDBB4D7" w:rsidR="00A93B7B" w:rsidRPr="0054428F" w:rsidRDefault="00A93B7B" w:rsidP="00A93B7B">
      <w:pPr>
        <w:pStyle w:val="FootnoteText"/>
        <w:jc w:val="both"/>
        <w:rPr>
          <w:rFonts w:ascii="Times New Roman" w:hAnsi="Times New Roman" w:cs="Times New Roman"/>
        </w:rPr>
      </w:pPr>
      <w:r w:rsidRPr="00D10E8F">
        <w:rPr>
          <w:rStyle w:val="FootnoteReference"/>
          <w:rFonts w:ascii="Times New Roman" w:hAnsi="Times New Roman" w:cs="Times New Roman"/>
        </w:rPr>
        <w:footnoteRef/>
      </w:r>
      <w:r w:rsidRPr="00D10E8F">
        <w:rPr>
          <w:rFonts w:ascii="Times New Roman" w:hAnsi="Times New Roman" w:cs="Times New Roman"/>
        </w:rPr>
        <w:t> </w:t>
      </w:r>
      <w:r w:rsidRPr="00D10E8F">
        <w:rPr>
          <w:rFonts w:ascii="Times New Roman" w:hAnsi="Times New Roman" w:cs="Times New Roman"/>
        </w:rPr>
        <w:t>Autoru kolektīvs. E. </w:t>
      </w:r>
      <w:proofErr w:type="spellStart"/>
      <w:r w:rsidRPr="00D10E8F">
        <w:rPr>
          <w:rFonts w:ascii="Times New Roman" w:hAnsi="Times New Roman" w:cs="Times New Roman"/>
        </w:rPr>
        <w:t>Danovska</w:t>
      </w:r>
      <w:proofErr w:type="spellEnd"/>
      <w:r w:rsidRPr="00D10E8F">
        <w:rPr>
          <w:rFonts w:ascii="Times New Roman" w:hAnsi="Times New Roman" w:cs="Times New Roman"/>
        </w:rPr>
        <w:t xml:space="preserve"> un G. Kūtra zinātniskajā redakcijā. Administratīvo pārkāpumu tiesības. Administratīvās atbildības likuma skaidrojumi. Rīga: Tiesu namu aģentūra, 2020, 74. lpp</w:t>
      </w:r>
      <w:r w:rsidR="00D10E8F">
        <w:rPr>
          <w:rFonts w:ascii="Times New Roman" w:hAnsi="Times New Roman" w:cs="Times New Roman"/>
        </w:rPr>
        <w:t>.;</w:t>
      </w:r>
    </w:p>
  </w:footnote>
  <w:footnote w:id="5">
    <w:p w14:paraId="4EECC68E" w14:textId="77777777" w:rsidR="00937850" w:rsidRPr="000523BC" w:rsidRDefault="00937850" w:rsidP="00937850">
      <w:pPr>
        <w:pStyle w:val="FootnoteText"/>
        <w:jc w:val="both"/>
        <w:rPr>
          <w:rFonts w:ascii="Times New Roman" w:hAnsi="Times New Roman" w:cs="Times New Roman"/>
        </w:rPr>
      </w:pPr>
      <w:r w:rsidRPr="000523BC">
        <w:rPr>
          <w:rStyle w:val="FootnoteReference"/>
          <w:rFonts w:ascii="Times New Roman" w:hAnsi="Times New Roman" w:cs="Times New Roman"/>
        </w:rPr>
        <w:footnoteRef/>
      </w:r>
      <w:r w:rsidRPr="000523BC">
        <w:rPr>
          <w:rFonts w:ascii="Times New Roman" w:hAnsi="Times New Roman" w:cs="Times New Roman"/>
        </w:rPr>
        <w:t> </w:t>
      </w:r>
      <w:r>
        <w:rPr>
          <w:rFonts w:ascii="Times New Roman" w:hAnsi="Times New Roman" w:cs="Times New Roman"/>
        </w:rPr>
        <w:t>v</w:t>
      </w:r>
      <w:r w:rsidRPr="000523BC">
        <w:rPr>
          <w:rFonts w:ascii="Times New Roman" w:hAnsi="Times New Roman" w:cs="Times New Roman"/>
        </w:rPr>
        <w:t>iedoklis pausts Tieslietu ministrijas 2023. gada 1. februāra vēstulē Nr. 1-17/356, kas nosūtīta visām pašvaldībām</w:t>
      </w:r>
      <w:r>
        <w:rPr>
          <w:rFonts w:ascii="Times New Roman" w:hAnsi="Times New Roman" w:cs="Times New Roman"/>
        </w:rPr>
        <w:t>;</w:t>
      </w:r>
    </w:p>
  </w:footnote>
  <w:footnote w:id="6">
    <w:p w14:paraId="6C8A27B3" w14:textId="77777777" w:rsidR="00937850" w:rsidRPr="008C7080" w:rsidRDefault="00937850" w:rsidP="00937850">
      <w:pPr>
        <w:pStyle w:val="FootnoteText"/>
        <w:jc w:val="both"/>
        <w:rPr>
          <w:rFonts w:ascii="Times New Roman" w:hAnsi="Times New Roman" w:cs="Times New Roman"/>
          <w:i/>
          <w:iCs/>
        </w:rPr>
      </w:pPr>
      <w:r w:rsidRPr="000523BC">
        <w:rPr>
          <w:rStyle w:val="FootnoteReference"/>
          <w:rFonts w:ascii="Times New Roman" w:hAnsi="Times New Roman" w:cs="Times New Roman"/>
        </w:rPr>
        <w:footnoteRef/>
      </w:r>
      <w:r w:rsidRPr="000523BC">
        <w:rPr>
          <w:rFonts w:ascii="Times New Roman" w:hAnsi="Times New Roman" w:cs="Times New Roman"/>
        </w:rPr>
        <w:t> </w:t>
      </w:r>
      <w:r>
        <w:rPr>
          <w:rFonts w:ascii="Times New Roman" w:hAnsi="Times New Roman" w:cs="Times New Roman"/>
        </w:rPr>
        <w:t>a</w:t>
      </w:r>
      <w:r w:rsidRPr="000523BC">
        <w:rPr>
          <w:rFonts w:ascii="Times New Roman" w:hAnsi="Times New Roman" w:cs="Times New Roman"/>
        </w:rPr>
        <w:t xml:space="preserve">utoru kolektīvs. E. </w:t>
      </w:r>
      <w:proofErr w:type="spellStart"/>
      <w:r w:rsidRPr="000523BC">
        <w:rPr>
          <w:rFonts w:ascii="Times New Roman" w:hAnsi="Times New Roman" w:cs="Times New Roman"/>
        </w:rPr>
        <w:t>Danovska</w:t>
      </w:r>
      <w:proofErr w:type="spellEnd"/>
      <w:r w:rsidRPr="000523BC">
        <w:rPr>
          <w:rFonts w:ascii="Times New Roman" w:hAnsi="Times New Roman" w:cs="Times New Roman"/>
        </w:rPr>
        <w:t xml:space="preserve"> un G. Kūtra zinātniskajā redakcijā. Administratīvo pārkāpumu tiesības. Administratīvās atbildības likuma skaidrojumi. Rīga: Tiesu namu aģentūra, 2020, 69., 70. lpp.</w:t>
      </w:r>
      <w:r>
        <w:rPr>
          <w:rFonts w:ascii="Times New Roman" w:hAnsi="Times New Roman" w:cs="Times New Roman"/>
        </w:rPr>
        <w:t>;</w:t>
      </w:r>
    </w:p>
  </w:footnote>
  <w:footnote w:id="7">
    <w:p w14:paraId="0B21F05F" w14:textId="77777777" w:rsidR="00937850" w:rsidRPr="008C7080" w:rsidRDefault="00937850" w:rsidP="00937850">
      <w:pPr>
        <w:pStyle w:val="FootnoteText"/>
        <w:jc w:val="both"/>
        <w:rPr>
          <w:rFonts w:ascii="Times New Roman" w:hAnsi="Times New Roman" w:cs="Times New Roman"/>
        </w:rPr>
      </w:pPr>
      <w:r w:rsidRPr="008C7080">
        <w:rPr>
          <w:rStyle w:val="FootnoteReference"/>
          <w:rFonts w:ascii="Times New Roman" w:hAnsi="Times New Roman" w:cs="Times New Roman"/>
        </w:rPr>
        <w:footnoteRef/>
      </w:r>
      <w:r w:rsidRPr="008C7080">
        <w:rPr>
          <w:rFonts w:ascii="Times New Roman" w:hAnsi="Times New Roman" w:cs="Times New Roman"/>
        </w:rPr>
        <w:t> </w:t>
      </w:r>
      <w:r w:rsidRPr="008C7080">
        <w:rPr>
          <w:rFonts w:ascii="Times New Roman" w:hAnsi="Times New Roman" w:cs="Times New Roman"/>
        </w:rPr>
        <w:t>M</w:t>
      </w:r>
      <w:r>
        <w:rPr>
          <w:rFonts w:ascii="Times New Roman" w:hAnsi="Times New Roman" w:cs="Times New Roman"/>
        </w:rPr>
        <w:t>. </w:t>
      </w:r>
      <w:r w:rsidRPr="008C7080">
        <w:rPr>
          <w:rFonts w:ascii="Times New Roman" w:hAnsi="Times New Roman" w:cs="Times New Roman"/>
        </w:rPr>
        <w:t>Leja Krimināltiesību aktuālie jautājumi un to risinājumi Latvijā, Austrijā, Šveicē, Vācijā. Noziedzīga nodarījuma uzbūve; cēloņsakarība; vaina; krimināltiesību normu interpretācija un spēks laikā. I daļa. Rīga: Tiesu namu aģentūra, 2019, 79. lpp.</w:t>
      </w:r>
      <w:r>
        <w:rPr>
          <w:rFonts w:ascii="Times New Roman" w:hAnsi="Times New Roman" w:cs="Times New Roman"/>
        </w:rPr>
        <w:t>;</w:t>
      </w:r>
    </w:p>
  </w:footnote>
  <w:footnote w:id="8">
    <w:p w14:paraId="300F272F" w14:textId="77777777" w:rsidR="00937850" w:rsidRPr="000F2CC8" w:rsidRDefault="00937850" w:rsidP="00937850">
      <w:pPr>
        <w:pStyle w:val="FootnoteText"/>
        <w:jc w:val="both"/>
        <w:rPr>
          <w:rFonts w:ascii="Times New Roman" w:hAnsi="Times New Roman" w:cs="Times New Roman"/>
        </w:rPr>
      </w:pPr>
      <w:r w:rsidRPr="000F2CC8">
        <w:rPr>
          <w:rStyle w:val="FootnoteReference"/>
          <w:rFonts w:ascii="Times New Roman" w:hAnsi="Times New Roman" w:cs="Times New Roman"/>
        </w:rPr>
        <w:footnoteRef/>
      </w:r>
      <w:r w:rsidRPr="000F2CC8">
        <w:rPr>
          <w:rFonts w:ascii="Times New Roman" w:hAnsi="Times New Roman" w:cs="Times New Roman"/>
        </w:rPr>
        <w:t> </w:t>
      </w:r>
      <w:r w:rsidRPr="000F2CC8">
        <w:rPr>
          <w:rFonts w:ascii="Times New Roman" w:hAnsi="Times New Roman" w:cs="Times New Roman"/>
        </w:rPr>
        <w:t>Administratīvo pārkāpumu tiesības. Administratīvās atbildības likuma skaidrojumi. Sagatavojis autoru kolektīvs. E. </w:t>
      </w:r>
      <w:proofErr w:type="spellStart"/>
      <w:r w:rsidRPr="000F2CC8">
        <w:rPr>
          <w:rFonts w:ascii="Times New Roman" w:hAnsi="Times New Roman" w:cs="Times New Roman"/>
        </w:rPr>
        <w:t>Danovska</w:t>
      </w:r>
      <w:proofErr w:type="spellEnd"/>
      <w:r w:rsidRPr="000F2CC8">
        <w:rPr>
          <w:rFonts w:ascii="Times New Roman" w:hAnsi="Times New Roman" w:cs="Times New Roman"/>
        </w:rPr>
        <w:t xml:space="preserve"> un G. Kūtra zinātniskajā redakcijā. Rīga: Tiesu namu aģentūra, 2020, 60.-61. lpp</w:t>
      </w:r>
      <w:r>
        <w:rPr>
          <w:rFonts w:ascii="Times New Roman" w:hAnsi="Times New Roman" w:cs="Times New Roman"/>
        </w:rPr>
        <w:t>.</w:t>
      </w:r>
      <w:r w:rsidRPr="000F2CC8">
        <w:rPr>
          <w:rFonts w:ascii="Times New Roman" w:hAnsi="Times New Roman" w:cs="Times New Roman"/>
        </w:rPr>
        <w:t>;</w:t>
      </w:r>
    </w:p>
  </w:footnote>
  <w:footnote w:id="9">
    <w:p w14:paraId="7C23FE4B" w14:textId="647680B9" w:rsidR="0011091D" w:rsidRPr="0054428F" w:rsidRDefault="0011091D" w:rsidP="0011091D">
      <w:pPr>
        <w:pStyle w:val="FootnoteText"/>
        <w:jc w:val="both"/>
        <w:rPr>
          <w:rFonts w:ascii="Times New Roman" w:hAnsi="Times New Roman" w:cs="Times New Roman"/>
        </w:rPr>
      </w:pPr>
      <w:r w:rsidRPr="0054428F">
        <w:rPr>
          <w:rStyle w:val="FootnoteReference"/>
          <w:rFonts w:ascii="Times New Roman" w:hAnsi="Times New Roman" w:cs="Times New Roman"/>
        </w:rPr>
        <w:footnoteRef/>
      </w:r>
      <w:r w:rsidRPr="0054428F">
        <w:rPr>
          <w:rFonts w:ascii="Times New Roman" w:hAnsi="Times New Roman" w:cs="Times New Roman"/>
        </w:rPr>
        <w:t> </w:t>
      </w:r>
      <w:r w:rsidRPr="0054428F">
        <w:rPr>
          <w:rFonts w:ascii="Times New Roman" w:hAnsi="Times New Roman" w:cs="Times New Roman"/>
        </w:rPr>
        <w:t>Satversmes tiesas 2008. gada 22. decembra spriedum</w:t>
      </w:r>
      <w:r w:rsidR="00D10E8F">
        <w:rPr>
          <w:rFonts w:ascii="Times New Roman" w:hAnsi="Times New Roman" w:cs="Times New Roman"/>
        </w:rPr>
        <w:t>s</w:t>
      </w:r>
      <w:r w:rsidRPr="0054428F">
        <w:rPr>
          <w:rFonts w:ascii="Times New Roman" w:hAnsi="Times New Roman" w:cs="Times New Roman"/>
        </w:rPr>
        <w:t xml:space="preserve"> lietā Nr.2008-11- 01</w:t>
      </w:r>
      <w:r w:rsidR="00D10E8F">
        <w:rPr>
          <w:rFonts w:ascii="Times New Roman" w:hAnsi="Times New Roman" w:cs="Times New Roman"/>
        </w:rPr>
        <w:t>,</w:t>
      </w:r>
      <w:r w:rsidRPr="0054428F">
        <w:rPr>
          <w:rFonts w:ascii="Times New Roman" w:hAnsi="Times New Roman" w:cs="Times New Roman"/>
        </w:rPr>
        <w:t xml:space="preserve"> 9. punkts</w:t>
      </w:r>
      <w:r w:rsidR="00D10E8F">
        <w:rPr>
          <w:rFonts w:ascii="Times New Roman" w:hAnsi="Times New Roman" w:cs="Times New Roman"/>
        </w:rPr>
        <w:t>;</w:t>
      </w:r>
    </w:p>
  </w:footnote>
  <w:footnote w:id="10">
    <w:p w14:paraId="0BDF8D91" w14:textId="7D2E5ACF" w:rsidR="0011091D" w:rsidRPr="005A1A5E" w:rsidRDefault="0011091D" w:rsidP="0011091D">
      <w:pPr>
        <w:pStyle w:val="FootnoteText"/>
        <w:jc w:val="both"/>
        <w:rPr>
          <w:rFonts w:ascii="Times New Roman" w:hAnsi="Times New Roman" w:cs="Times New Roman"/>
        </w:rPr>
      </w:pPr>
      <w:r w:rsidRPr="0054428F">
        <w:rPr>
          <w:rStyle w:val="FootnoteReference"/>
          <w:rFonts w:ascii="Times New Roman" w:hAnsi="Times New Roman" w:cs="Times New Roman"/>
        </w:rPr>
        <w:footnoteRef/>
      </w:r>
      <w:r w:rsidRPr="0054428F">
        <w:rPr>
          <w:rFonts w:ascii="Times New Roman" w:hAnsi="Times New Roman" w:cs="Times New Roman"/>
        </w:rPr>
        <w:t> </w:t>
      </w:r>
      <w:r w:rsidRPr="0054428F">
        <w:rPr>
          <w:rFonts w:ascii="Times New Roman" w:hAnsi="Times New Roman" w:cs="Times New Roman"/>
        </w:rPr>
        <w:t>Satversmes tiesas 2009. gada 13. februāra spriedum</w:t>
      </w:r>
      <w:r w:rsidR="00D10E8F">
        <w:rPr>
          <w:rFonts w:ascii="Times New Roman" w:hAnsi="Times New Roman" w:cs="Times New Roman"/>
        </w:rPr>
        <w:t>s</w:t>
      </w:r>
      <w:r w:rsidRPr="0054428F">
        <w:rPr>
          <w:rFonts w:ascii="Times New Roman" w:hAnsi="Times New Roman" w:cs="Times New Roman"/>
        </w:rPr>
        <w:t xml:space="preserve"> lietā Nr. 2008-34-01</w:t>
      </w:r>
      <w:r w:rsidR="00D10E8F">
        <w:rPr>
          <w:rFonts w:ascii="Times New Roman" w:hAnsi="Times New Roman" w:cs="Times New Roman"/>
        </w:rPr>
        <w:t>,</w:t>
      </w:r>
      <w:r w:rsidRPr="0054428F">
        <w:rPr>
          <w:rFonts w:ascii="Times New Roman" w:hAnsi="Times New Roman" w:cs="Times New Roman"/>
        </w:rPr>
        <w:t xml:space="preserve"> 19. punkt</w:t>
      </w:r>
      <w:r w:rsidR="00D10E8F">
        <w:rPr>
          <w:rFonts w:ascii="Times New Roman" w:hAnsi="Times New Roman" w:cs="Times New Roman"/>
        </w:rPr>
        <w:t>s;</w:t>
      </w:r>
    </w:p>
  </w:footnote>
  <w:footnote w:id="11">
    <w:p w14:paraId="083C47D8" w14:textId="29EB44F6" w:rsidR="002D3846" w:rsidRPr="0054428F" w:rsidRDefault="002D3846" w:rsidP="0054428F">
      <w:pPr>
        <w:pStyle w:val="FootnoteText"/>
        <w:jc w:val="both"/>
        <w:rPr>
          <w:rFonts w:ascii="Times New Roman" w:hAnsi="Times New Roman" w:cs="Times New Roman"/>
        </w:rPr>
      </w:pPr>
      <w:r w:rsidRPr="0054428F">
        <w:rPr>
          <w:rStyle w:val="FootnoteReference"/>
          <w:rFonts w:ascii="Times New Roman" w:hAnsi="Times New Roman" w:cs="Times New Roman"/>
        </w:rPr>
        <w:footnoteRef/>
      </w:r>
      <w:r w:rsidRPr="0054428F">
        <w:rPr>
          <w:rFonts w:ascii="Times New Roman" w:hAnsi="Times New Roman" w:cs="Times New Roman"/>
        </w:rPr>
        <w:t> </w:t>
      </w:r>
      <w:r w:rsidRPr="0054428F">
        <w:rPr>
          <w:rFonts w:ascii="Times New Roman" w:hAnsi="Times New Roman" w:cs="Times New Roman"/>
        </w:rPr>
        <w:t>Autoru kolektīvs. E. </w:t>
      </w:r>
      <w:proofErr w:type="spellStart"/>
      <w:r w:rsidRPr="0054428F">
        <w:rPr>
          <w:rFonts w:ascii="Times New Roman" w:hAnsi="Times New Roman" w:cs="Times New Roman"/>
        </w:rPr>
        <w:t>Danovska</w:t>
      </w:r>
      <w:proofErr w:type="spellEnd"/>
      <w:r w:rsidRPr="0054428F">
        <w:rPr>
          <w:rFonts w:ascii="Times New Roman" w:hAnsi="Times New Roman" w:cs="Times New Roman"/>
        </w:rPr>
        <w:t xml:space="preserve"> un G. Kūtra zinātniskajā redakcijā. Administratīvo pārkāpumu tiesības. Administratīvās atbildības likuma skaidrojumi. Rīga: Tiesu namu aģentūra, 2020, 55. lpp.</w:t>
      </w:r>
      <w:r w:rsidR="00D10E8F">
        <w:rPr>
          <w:rFonts w:ascii="Times New Roman" w:hAnsi="Times New Roman" w:cs="Times New Roman"/>
        </w:rPr>
        <w:t>;</w:t>
      </w:r>
    </w:p>
  </w:footnote>
  <w:footnote w:id="12">
    <w:p w14:paraId="227F9891" w14:textId="77777777" w:rsidR="002C7F59" w:rsidRPr="00DB111C" w:rsidRDefault="002C7F59" w:rsidP="002C7F59">
      <w:pPr>
        <w:pStyle w:val="FootnoteText"/>
        <w:rPr>
          <w:rFonts w:ascii="Times New Roman" w:hAnsi="Times New Roman" w:cs="Times New Roman"/>
          <w:lang w:val="pt-BR"/>
        </w:rPr>
      </w:pPr>
      <w:r w:rsidRPr="001100B4">
        <w:rPr>
          <w:rStyle w:val="FootnoteReference"/>
          <w:rFonts w:ascii="Times New Roman" w:hAnsi="Times New Roman" w:cs="Times New Roman"/>
        </w:rPr>
        <w:footnoteRef/>
      </w:r>
      <w:r w:rsidRPr="001100B4">
        <w:rPr>
          <w:rFonts w:ascii="Times New Roman" w:hAnsi="Times New Roman" w:cs="Times New Roman"/>
        </w:rPr>
        <w:t> </w:t>
      </w:r>
      <w:r w:rsidRPr="001100B4">
        <w:rPr>
          <w:rFonts w:ascii="Times New Roman" w:hAnsi="Times New Roman" w:cs="Times New Roman"/>
          <w:iCs/>
        </w:rPr>
        <w:t>Tieslietu ministrijas 2023. gada 26. maija vēstule ministrijai Nr. </w:t>
      </w:r>
      <w:r w:rsidRPr="001100B4">
        <w:rPr>
          <w:rFonts w:ascii="Times New Roman" w:hAnsi="Times New Roman" w:cs="Times New Roman"/>
          <w:shd w:val="clear" w:color="auto" w:fill="FFFFFF"/>
        </w:rPr>
        <w:t>1-13.10/1707;</w:t>
      </w:r>
    </w:p>
  </w:footnote>
  <w:footnote w:id="13">
    <w:p w14:paraId="6CFEF42E" w14:textId="501F1625" w:rsidR="00020338" w:rsidRPr="001100B4" w:rsidRDefault="00020338" w:rsidP="00020338">
      <w:pPr>
        <w:pStyle w:val="FootnoteText"/>
        <w:rPr>
          <w:rFonts w:ascii="Times New Roman" w:hAnsi="Times New Roman" w:cs="Times New Roman"/>
          <w:lang w:val="en-US"/>
        </w:rPr>
      </w:pPr>
      <w:r w:rsidRPr="001100B4">
        <w:rPr>
          <w:rStyle w:val="FootnoteReference"/>
          <w:rFonts w:ascii="Times New Roman" w:hAnsi="Times New Roman" w:cs="Times New Roman"/>
        </w:rPr>
        <w:footnoteRef/>
      </w:r>
      <w:r w:rsidRPr="001100B4">
        <w:rPr>
          <w:rFonts w:ascii="Times New Roman" w:hAnsi="Times New Roman" w:cs="Times New Roman"/>
        </w:rPr>
        <w:t> </w:t>
      </w:r>
      <w:r w:rsidR="00D10E8F">
        <w:rPr>
          <w:rFonts w:ascii="Times New Roman" w:hAnsi="Times New Roman" w:cs="Times New Roman"/>
          <w:iCs/>
        </w:rPr>
        <w:t>t</w:t>
      </w:r>
      <w:r w:rsidR="002063BF">
        <w:rPr>
          <w:rFonts w:ascii="Times New Roman" w:hAnsi="Times New Roman" w:cs="Times New Roman"/>
          <w:iCs/>
        </w:rPr>
        <w:t>urpat</w:t>
      </w:r>
      <w:r w:rsidR="00D10E8F">
        <w:rPr>
          <w:rFonts w:ascii="Times New Roman" w:hAnsi="Times New Roman" w:cs="Times New Roman"/>
          <w:iC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C0BAD"/>
    <w:multiLevelType w:val="hybridMultilevel"/>
    <w:tmpl w:val="4E58FA5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A7D6D66"/>
    <w:multiLevelType w:val="multilevel"/>
    <w:tmpl w:val="FBB4F302"/>
    <w:lvl w:ilvl="0">
      <w:start w:val="1"/>
      <w:numFmt w:val="decimal"/>
      <w:lvlText w:val="%1."/>
      <w:lvlJc w:val="left"/>
      <w:pPr>
        <w:ind w:left="420" w:hanging="420"/>
      </w:pPr>
      <w:rPr>
        <w:rFonts w:hint="default"/>
        <w:b/>
        <w:bCs/>
        <w:i w:val="0"/>
        <w:iCs w:val="0"/>
      </w:rPr>
    </w:lvl>
    <w:lvl w:ilvl="1">
      <w:start w:val="1"/>
      <w:numFmt w:val="decimal"/>
      <w:lvlText w:val="%2."/>
      <w:lvlJc w:val="left"/>
      <w:pPr>
        <w:ind w:left="360" w:hanging="360"/>
      </w:pPr>
      <w:rPr>
        <w:b/>
        <w:bCs/>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AC52CC0"/>
    <w:multiLevelType w:val="hybridMultilevel"/>
    <w:tmpl w:val="DA94EE12"/>
    <w:lvl w:ilvl="0" w:tplc="04260017">
      <w:start w:val="1"/>
      <w:numFmt w:val="lowerLetter"/>
      <w:lvlText w:val="%1)"/>
      <w:lvlJc w:val="left"/>
      <w:pPr>
        <w:ind w:left="743" w:hanging="360"/>
      </w:pPr>
    </w:lvl>
    <w:lvl w:ilvl="1" w:tplc="04260019" w:tentative="1">
      <w:start w:val="1"/>
      <w:numFmt w:val="lowerLetter"/>
      <w:lvlText w:val="%2."/>
      <w:lvlJc w:val="left"/>
      <w:pPr>
        <w:ind w:left="1463" w:hanging="360"/>
      </w:pPr>
    </w:lvl>
    <w:lvl w:ilvl="2" w:tplc="0426001B" w:tentative="1">
      <w:start w:val="1"/>
      <w:numFmt w:val="lowerRoman"/>
      <w:lvlText w:val="%3."/>
      <w:lvlJc w:val="right"/>
      <w:pPr>
        <w:ind w:left="2183" w:hanging="180"/>
      </w:pPr>
    </w:lvl>
    <w:lvl w:ilvl="3" w:tplc="0426000F" w:tentative="1">
      <w:start w:val="1"/>
      <w:numFmt w:val="decimal"/>
      <w:lvlText w:val="%4."/>
      <w:lvlJc w:val="left"/>
      <w:pPr>
        <w:ind w:left="2903" w:hanging="360"/>
      </w:pPr>
    </w:lvl>
    <w:lvl w:ilvl="4" w:tplc="04260019" w:tentative="1">
      <w:start w:val="1"/>
      <w:numFmt w:val="lowerLetter"/>
      <w:lvlText w:val="%5."/>
      <w:lvlJc w:val="left"/>
      <w:pPr>
        <w:ind w:left="3623" w:hanging="360"/>
      </w:pPr>
    </w:lvl>
    <w:lvl w:ilvl="5" w:tplc="0426001B" w:tentative="1">
      <w:start w:val="1"/>
      <w:numFmt w:val="lowerRoman"/>
      <w:lvlText w:val="%6."/>
      <w:lvlJc w:val="right"/>
      <w:pPr>
        <w:ind w:left="4343" w:hanging="180"/>
      </w:pPr>
    </w:lvl>
    <w:lvl w:ilvl="6" w:tplc="0426000F" w:tentative="1">
      <w:start w:val="1"/>
      <w:numFmt w:val="decimal"/>
      <w:lvlText w:val="%7."/>
      <w:lvlJc w:val="left"/>
      <w:pPr>
        <w:ind w:left="5063" w:hanging="360"/>
      </w:pPr>
    </w:lvl>
    <w:lvl w:ilvl="7" w:tplc="04260019" w:tentative="1">
      <w:start w:val="1"/>
      <w:numFmt w:val="lowerLetter"/>
      <w:lvlText w:val="%8."/>
      <w:lvlJc w:val="left"/>
      <w:pPr>
        <w:ind w:left="5783" w:hanging="360"/>
      </w:pPr>
    </w:lvl>
    <w:lvl w:ilvl="8" w:tplc="0426001B" w:tentative="1">
      <w:start w:val="1"/>
      <w:numFmt w:val="lowerRoman"/>
      <w:lvlText w:val="%9."/>
      <w:lvlJc w:val="right"/>
      <w:pPr>
        <w:ind w:left="6503" w:hanging="180"/>
      </w:pPr>
    </w:lvl>
  </w:abstractNum>
  <w:abstractNum w:abstractNumId="3" w15:restartNumberingAfterBreak="0">
    <w:nsid w:val="252E087F"/>
    <w:multiLevelType w:val="hybridMultilevel"/>
    <w:tmpl w:val="891C61FA"/>
    <w:lvl w:ilvl="0" w:tplc="0426000F">
      <w:start w:val="1"/>
      <w:numFmt w:val="decimal"/>
      <w:lvlText w:val="%1."/>
      <w:lvlJc w:val="left"/>
      <w:pPr>
        <w:ind w:left="740" w:hanging="360"/>
      </w:pPr>
    </w:lvl>
    <w:lvl w:ilvl="1" w:tplc="04260019" w:tentative="1">
      <w:start w:val="1"/>
      <w:numFmt w:val="lowerLetter"/>
      <w:lvlText w:val="%2."/>
      <w:lvlJc w:val="left"/>
      <w:pPr>
        <w:ind w:left="1460" w:hanging="360"/>
      </w:pPr>
    </w:lvl>
    <w:lvl w:ilvl="2" w:tplc="0426001B" w:tentative="1">
      <w:start w:val="1"/>
      <w:numFmt w:val="lowerRoman"/>
      <w:lvlText w:val="%3."/>
      <w:lvlJc w:val="right"/>
      <w:pPr>
        <w:ind w:left="2180" w:hanging="180"/>
      </w:pPr>
    </w:lvl>
    <w:lvl w:ilvl="3" w:tplc="0A800BA2">
      <w:start w:val="1"/>
      <w:numFmt w:val="decimal"/>
      <w:lvlText w:val="%4."/>
      <w:lvlJc w:val="left"/>
      <w:pPr>
        <w:ind w:left="2900" w:hanging="360"/>
      </w:pPr>
      <w:rPr>
        <w:b/>
        <w:bCs/>
        <w:i w:val="0"/>
        <w:iCs w:val="0"/>
      </w:rPr>
    </w:lvl>
    <w:lvl w:ilvl="4" w:tplc="04260019" w:tentative="1">
      <w:start w:val="1"/>
      <w:numFmt w:val="lowerLetter"/>
      <w:lvlText w:val="%5."/>
      <w:lvlJc w:val="left"/>
      <w:pPr>
        <w:ind w:left="3620" w:hanging="360"/>
      </w:pPr>
    </w:lvl>
    <w:lvl w:ilvl="5" w:tplc="0426001B" w:tentative="1">
      <w:start w:val="1"/>
      <w:numFmt w:val="lowerRoman"/>
      <w:lvlText w:val="%6."/>
      <w:lvlJc w:val="right"/>
      <w:pPr>
        <w:ind w:left="4340" w:hanging="180"/>
      </w:pPr>
    </w:lvl>
    <w:lvl w:ilvl="6" w:tplc="0426000F" w:tentative="1">
      <w:start w:val="1"/>
      <w:numFmt w:val="decimal"/>
      <w:lvlText w:val="%7."/>
      <w:lvlJc w:val="left"/>
      <w:pPr>
        <w:ind w:left="5060" w:hanging="360"/>
      </w:pPr>
    </w:lvl>
    <w:lvl w:ilvl="7" w:tplc="04260019" w:tentative="1">
      <w:start w:val="1"/>
      <w:numFmt w:val="lowerLetter"/>
      <w:lvlText w:val="%8."/>
      <w:lvlJc w:val="left"/>
      <w:pPr>
        <w:ind w:left="5780" w:hanging="360"/>
      </w:pPr>
    </w:lvl>
    <w:lvl w:ilvl="8" w:tplc="0426001B" w:tentative="1">
      <w:start w:val="1"/>
      <w:numFmt w:val="lowerRoman"/>
      <w:lvlText w:val="%9."/>
      <w:lvlJc w:val="right"/>
      <w:pPr>
        <w:ind w:left="6500" w:hanging="180"/>
      </w:pPr>
    </w:lvl>
  </w:abstractNum>
  <w:abstractNum w:abstractNumId="4" w15:restartNumberingAfterBreak="0">
    <w:nsid w:val="326F7A52"/>
    <w:multiLevelType w:val="hybridMultilevel"/>
    <w:tmpl w:val="FF8097D6"/>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5" w15:restartNumberingAfterBreak="0">
    <w:nsid w:val="37DB15B1"/>
    <w:multiLevelType w:val="hybridMultilevel"/>
    <w:tmpl w:val="CDC0E826"/>
    <w:lvl w:ilvl="0" w:tplc="93FCA396">
      <w:start w:val="1"/>
      <w:numFmt w:val="decimal"/>
      <w:lvlText w:val="%1."/>
      <w:lvlJc w:val="left"/>
      <w:pPr>
        <w:ind w:left="741" w:hanging="360"/>
      </w:pPr>
      <w:rPr>
        <w:b/>
        <w:bCs/>
        <w:i w:val="0"/>
        <w:iCs w:val="0"/>
      </w:rPr>
    </w:lvl>
    <w:lvl w:ilvl="1" w:tplc="04260019" w:tentative="1">
      <w:start w:val="1"/>
      <w:numFmt w:val="lowerLetter"/>
      <w:lvlText w:val="%2."/>
      <w:lvlJc w:val="left"/>
      <w:pPr>
        <w:ind w:left="1461" w:hanging="360"/>
      </w:pPr>
    </w:lvl>
    <w:lvl w:ilvl="2" w:tplc="0426001B" w:tentative="1">
      <w:start w:val="1"/>
      <w:numFmt w:val="lowerRoman"/>
      <w:lvlText w:val="%3."/>
      <w:lvlJc w:val="right"/>
      <w:pPr>
        <w:ind w:left="2181" w:hanging="180"/>
      </w:pPr>
    </w:lvl>
    <w:lvl w:ilvl="3" w:tplc="0426000F" w:tentative="1">
      <w:start w:val="1"/>
      <w:numFmt w:val="decimal"/>
      <w:lvlText w:val="%4."/>
      <w:lvlJc w:val="left"/>
      <w:pPr>
        <w:ind w:left="2901" w:hanging="360"/>
      </w:pPr>
    </w:lvl>
    <w:lvl w:ilvl="4" w:tplc="04260019" w:tentative="1">
      <w:start w:val="1"/>
      <w:numFmt w:val="lowerLetter"/>
      <w:lvlText w:val="%5."/>
      <w:lvlJc w:val="left"/>
      <w:pPr>
        <w:ind w:left="3621" w:hanging="360"/>
      </w:pPr>
    </w:lvl>
    <w:lvl w:ilvl="5" w:tplc="0426001B" w:tentative="1">
      <w:start w:val="1"/>
      <w:numFmt w:val="lowerRoman"/>
      <w:lvlText w:val="%6."/>
      <w:lvlJc w:val="right"/>
      <w:pPr>
        <w:ind w:left="4341" w:hanging="180"/>
      </w:pPr>
    </w:lvl>
    <w:lvl w:ilvl="6" w:tplc="0426000F" w:tentative="1">
      <w:start w:val="1"/>
      <w:numFmt w:val="decimal"/>
      <w:lvlText w:val="%7."/>
      <w:lvlJc w:val="left"/>
      <w:pPr>
        <w:ind w:left="5061" w:hanging="360"/>
      </w:pPr>
    </w:lvl>
    <w:lvl w:ilvl="7" w:tplc="04260019" w:tentative="1">
      <w:start w:val="1"/>
      <w:numFmt w:val="lowerLetter"/>
      <w:lvlText w:val="%8."/>
      <w:lvlJc w:val="left"/>
      <w:pPr>
        <w:ind w:left="5781" w:hanging="360"/>
      </w:pPr>
    </w:lvl>
    <w:lvl w:ilvl="8" w:tplc="0426001B" w:tentative="1">
      <w:start w:val="1"/>
      <w:numFmt w:val="lowerRoman"/>
      <w:lvlText w:val="%9."/>
      <w:lvlJc w:val="right"/>
      <w:pPr>
        <w:ind w:left="6501" w:hanging="180"/>
      </w:pPr>
    </w:lvl>
  </w:abstractNum>
  <w:abstractNum w:abstractNumId="6" w15:restartNumberingAfterBreak="0">
    <w:nsid w:val="3A0812B0"/>
    <w:multiLevelType w:val="hybridMultilevel"/>
    <w:tmpl w:val="3E2815C2"/>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429458DE"/>
    <w:multiLevelType w:val="hybridMultilevel"/>
    <w:tmpl w:val="6DC0EBF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4C8F5A4D"/>
    <w:multiLevelType w:val="hybridMultilevel"/>
    <w:tmpl w:val="F808E050"/>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4D1431CA"/>
    <w:multiLevelType w:val="multilevel"/>
    <w:tmpl w:val="A31E3D20"/>
    <w:lvl w:ilvl="0">
      <w:start w:val="4"/>
      <w:numFmt w:val="decimal"/>
      <w:lvlText w:val="%1."/>
      <w:lvlJc w:val="left"/>
      <w:pPr>
        <w:ind w:left="380" w:hanging="380"/>
      </w:pPr>
      <w:rPr>
        <w:rFonts w:hint="default"/>
        <w:b/>
        <w:bCs/>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59A38C4"/>
    <w:multiLevelType w:val="hybridMultilevel"/>
    <w:tmpl w:val="47AE42F4"/>
    <w:lvl w:ilvl="0" w:tplc="EDF20AA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6D645E83"/>
    <w:multiLevelType w:val="multilevel"/>
    <w:tmpl w:val="06985C5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D4232EE"/>
    <w:multiLevelType w:val="hybridMultilevel"/>
    <w:tmpl w:val="6A00D95E"/>
    <w:lvl w:ilvl="0" w:tplc="FB4410CA">
      <w:start w:val="2"/>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2099013039">
    <w:abstractNumId w:val="2"/>
  </w:num>
  <w:num w:numId="2" w16cid:durableId="2004159878">
    <w:abstractNumId w:val="10"/>
  </w:num>
  <w:num w:numId="3" w16cid:durableId="573274553">
    <w:abstractNumId w:val="12"/>
  </w:num>
  <w:num w:numId="4" w16cid:durableId="1023478428">
    <w:abstractNumId w:val="11"/>
  </w:num>
  <w:num w:numId="5" w16cid:durableId="790629963">
    <w:abstractNumId w:val="1"/>
  </w:num>
  <w:num w:numId="6" w16cid:durableId="194001059">
    <w:abstractNumId w:val="0"/>
  </w:num>
  <w:num w:numId="7" w16cid:durableId="2089495605">
    <w:abstractNumId w:val="4"/>
  </w:num>
  <w:num w:numId="8" w16cid:durableId="504125093">
    <w:abstractNumId w:val="5"/>
  </w:num>
  <w:num w:numId="9" w16cid:durableId="1134372272">
    <w:abstractNumId w:val="9"/>
  </w:num>
  <w:num w:numId="10" w16cid:durableId="1820876149">
    <w:abstractNumId w:val="3"/>
  </w:num>
  <w:num w:numId="11" w16cid:durableId="1325471539">
    <w:abstractNumId w:val="7"/>
  </w:num>
  <w:num w:numId="12" w16cid:durableId="788932227">
    <w:abstractNumId w:val="6"/>
  </w:num>
  <w:num w:numId="13" w16cid:durableId="151017637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48E6"/>
    <w:rsid w:val="00001979"/>
    <w:rsid w:val="00001DD3"/>
    <w:rsid w:val="00020338"/>
    <w:rsid w:val="00030B70"/>
    <w:rsid w:val="00083798"/>
    <w:rsid w:val="00084394"/>
    <w:rsid w:val="00086837"/>
    <w:rsid w:val="000A06A3"/>
    <w:rsid w:val="000B0282"/>
    <w:rsid w:val="000D271C"/>
    <w:rsid w:val="000D3504"/>
    <w:rsid w:val="00102865"/>
    <w:rsid w:val="0011091D"/>
    <w:rsid w:val="00112F6C"/>
    <w:rsid w:val="0012799E"/>
    <w:rsid w:val="001453CB"/>
    <w:rsid w:val="001660F1"/>
    <w:rsid w:val="00191AEA"/>
    <w:rsid w:val="001A25ED"/>
    <w:rsid w:val="001C3B60"/>
    <w:rsid w:val="00201144"/>
    <w:rsid w:val="00203C7B"/>
    <w:rsid w:val="002063BF"/>
    <w:rsid w:val="0023169A"/>
    <w:rsid w:val="002615B2"/>
    <w:rsid w:val="0026304A"/>
    <w:rsid w:val="00273B22"/>
    <w:rsid w:val="002A752A"/>
    <w:rsid w:val="002B23C5"/>
    <w:rsid w:val="002B44BA"/>
    <w:rsid w:val="002C7F59"/>
    <w:rsid w:val="002D0A3D"/>
    <w:rsid w:val="002D3846"/>
    <w:rsid w:val="002E6590"/>
    <w:rsid w:val="002F5CAA"/>
    <w:rsid w:val="002F781C"/>
    <w:rsid w:val="003058F8"/>
    <w:rsid w:val="0034323A"/>
    <w:rsid w:val="00362C68"/>
    <w:rsid w:val="00366F05"/>
    <w:rsid w:val="0036730A"/>
    <w:rsid w:val="00374951"/>
    <w:rsid w:val="00386568"/>
    <w:rsid w:val="00392AF6"/>
    <w:rsid w:val="00396816"/>
    <w:rsid w:val="0042584C"/>
    <w:rsid w:val="004304B6"/>
    <w:rsid w:val="00482561"/>
    <w:rsid w:val="004920A8"/>
    <w:rsid w:val="004A0609"/>
    <w:rsid w:val="004B5725"/>
    <w:rsid w:val="004C076E"/>
    <w:rsid w:val="004C5D51"/>
    <w:rsid w:val="004E702E"/>
    <w:rsid w:val="00504315"/>
    <w:rsid w:val="00510150"/>
    <w:rsid w:val="00527306"/>
    <w:rsid w:val="00533304"/>
    <w:rsid w:val="0054428F"/>
    <w:rsid w:val="00550CDF"/>
    <w:rsid w:val="00557E35"/>
    <w:rsid w:val="005624DE"/>
    <w:rsid w:val="005648A3"/>
    <w:rsid w:val="00581CB6"/>
    <w:rsid w:val="005831D4"/>
    <w:rsid w:val="005A00D9"/>
    <w:rsid w:val="005A1A5E"/>
    <w:rsid w:val="005C69F4"/>
    <w:rsid w:val="005F312E"/>
    <w:rsid w:val="00620FA0"/>
    <w:rsid w:val="00644FCF"/>
    <w:rsid w:val="00646E6B"/>
    <w:rsid w:val="0069110D"/>
    <w:rsid w:val="006B69A9"/>
    <w:rsid w:val="006D6A57"/>
    <w:rsid w:val="00757309"/>
    <w:rsid w:val="00761BA1"/>
    <w:rsid w:val="00765DBE"/>
    <w:rsid w:val="007718C1"/>
    <w:rsid w:val="00775E71"/>
    <w:rsid w:val="0078046B"/>
    <w:rsid w:val="00783B4F"/>
    <w:rsid w:val="00790644"/>
    <w:rsid w:val="00791645"/>
    <w:rsid w:val="00794B04"/>
    <w:rsid w:val="007C05BF"/>
    <w:rsid w:val="007D24AF"/>
    <w:rsid w:val="007D51C6"/>
    <w:rsid w:val="007E17AC"/>
    <w:rsid w:val="007F7EED"/>
    <w:rsid w:val="008166A9"/>
    <w:rsid w:val="00840ADC"/>
    <w:rsid w:val="0085146C"/>
    <w:rsid w:val="00866E0C"/>
    <w:rsid w:val="008848E6"/>
    <w:rsid w:val="008871E1"/>
    <w:rsid w:val="008B6831"/>
    <w:rsid w:val="008C049E"/>
    <w:rsid w:val="008C2A60"/>
    <w:rsid w:val="008C7080"/>
    <w:rsid w:val="008D2854"/>
    <w:rsid w:val="008E441E"/>
    <w:rsid w:val="009151A3"/>
    <w:rsid w:val="00937850"/>
    <w:rsid w:val="00940D96"/>
    <w:rsid w:val="0095733B"/>
    <w:rsid w:val="00965246"/>
    <w:rsid w:val="009725D3"/>
    <w:rsid w:val="009835D1"/>
    <w:rsid w:val="00983ABE"/>
    <w:rsid w:val="00987221"/>
    <w:rsid w:val="009A4FF7"/>
    <w:rsid w:val="009C63C0"/>
    <w:rsid w:val="009C7FE2"/>
    <w:rsid w:val="009E6E84"/>
    <w:rsid w:val="009F3930"/>
    <w:rsid w:val="00A37AF1"/>
    <w:rsid w:val="00A76832"/>
    <w:rsid w:val="00A76DA4"/>
    <w:rsid w:val="00A77163"/>
    <w:rsid w:val="00A80D3F"/>
    <w:rsid w:val="00A93B7B"/>
    <w:rsid w:val="00AB5A1D"/>
    <w:rsid w:val="00AB7BC8"/>
    <w:rsid w:val="00B1025F"/>
    <w:rsid w:val="00B306D8"/>
    <w:rsid w:val="00B41C92"/>
    <w:rsid w:val="00B458C2"/>
    <w:rsid w:val="00B460C7"/>
    <w:rsid w:val="00B64BCA"/>
    <w:rsid w:val="00B73826"/>
    <w:rsid w:val="00B804A5"/>
    <w:rsid w:val="00C229D5"/>
    <w:rsid w:val="00C3097D"/>
    <w:rsid w:val="00C35C7B"/>
    <w:rsid w:val="00C35CE5"/>
    <w:rsid w:val="00C41C97"/>
    <w:rsid w:val="00C8531C"/>
    <w:rsid w:val="00C925F1"/>
    <w:rsid w:val="00CC3F15"/>
    <w:rsid w:val="00CD1133"/>
    <w:rsid w:val="00CE02D0"/>
    <w:rsid w:val="00CE2734"/>
    <w:rsid w:val="00CE2EDB"/>
    <w:rsid w:val="00CE5A31"/>
    <w:rsid w:val="00D10E8F"/>
    <w:rsid w:val="00D17FE1"/>
    <w:rsid w:val="00D4138A"/>
    <w:rsid w:val="00D664BF"/>
    <w:rsid w:val="00D729CD"/>
    <w:rsid w:val="00D7341D"/>
    <w:rsid w:val="00DB111C"/>
    <w:rsid w:val="00E33119"/>
    <w:rsid w:val="00E34C11"/>
    <w:rsid w:val="00E71D64"/>
    <w:rsid w:val="00E73F32"/>
    <w:rsid w:val="00E81495"/>
    <w:rsid w:val="00EC3AF1"/>
    <w:rsid w:val="00ED53D3"/>
    <w:rsid w:val="00F0203E"/>
    <w:rsid w:val="00F477FE"/>
    <w:rsid w:val="00F6377B"/>
    <w:rsid w:val="00F80DD9"/>
    <w:rsid w:val="00FA6536"/>
    <w:rsid w:val="00FB0CE9"/>
    <w:rsid w:val="00FB0F48"/>
    <w:rsid w:val="00FB55AA"/>
    <w:rsid w:val="00FD3ADA"/>
    <w:rsid w:val="00FF64A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8F477"/>
  <w15:docId w15:val="{2F1038FE-A37E-4F58-AEB4-25255FEBB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30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848E6"/>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ListParagraph">
    <w:name w:val="List Paragraph"/>
    <w:aliases w:val="2,Bullet list,Colorful List - Accent 12,H&amp;P List Paragraph,List Paragraph1,Normal bullet 2,Saraksta rindkopa1,Strip,virsraksts3,Numbered Para 1,Dot pt,No Spacing1,List Paragraph Char Char Char,Indicator Text,Bullet 1,Bullet Points,Bulle"/>
    <w:basedOn w:val="Normal"/>
    <w:link w:val="ListParagraphChar"/>
    <w:qFormat/>
    <w:rsid w:val="001660F1"/>
    <w:pPr>
      <w:suppressAutoHyphens/>
      <w:autoSpaceDN w:val="0"/>
      <w:spacing w:after="0" w:line="240" w:lineRule="auto"/>
      <w:ind w:left="720"/>
      <w:textAlignment w:val="baseline"/>
    </w:pPr>
    <w:rPr>
      <w:rFonts w:ascii="Times New Roman" w:eastAsia="Times New Roman" w:hAnsi="Times New Roman" w:cs="Times New Roman"/>
      <w:lang w:eastAsia="lv-LV"/>
    </w:rPr>
  </w:style>
  <w:style w:type="character" w:styleId="Hyperlink">
    <w:name w:val="Hyperlink"/>
    <w:rsid w:val="001660F1"/>
    <w:rPr>
      <w:color w:val="0563C1"/>
      <w:u w:val="single"/>
    </w:rPr>
  </w:style>
  <w:style w:type="paragraph" w:customStyle="1" w:styleId="xxmsonormal">
    <w:name w:val="x_x_msonormal"/>
    <w:basedOn w:val="Normal"/>
    <w:rsid w:val="001660F1"/>
    <w:pPr>
      <w:spacing w:after="0" w:line="240" w:lineRule="auto"/>
    </w:pPr>
    <w:rPr>
      <w:rFonts w:ascii="Times New Roman" w:eastAsia="Calibri" w:hAnsi="Times New Roman" w:cs="Times New Roman"/>
      <w:sz w:val="24"/>
      <w:szCs w:val="24"/>
      <w:lang w:eastAsia="lv-LV"/>
    </w:rPr>
  </w:style>
  <w:style w:type="character" w:customStyle="1" w:styleId="xxmsohyperlink">
    <w:name w:val="x_x_msohyperlink"/>
    <w:rsid w:val="001660F1"/>
  </w:style>
  <w:style w:type="paragraph" w:styleId="FootnoteText">
    <w:name w:val="footnote text"/>
    <w:aliases w:val="Char Char Char,Footnote Text1,Footnote Text1 Char,Char,Footnote Text Char Char Char Char,Footnote Text Char Char Char Char Char Char,Footnote Text Char1 Char Char Char Char,Footnote Text Char1 Char2 Char,Footnote Text Char2 Char,f,o"/>
    <w:basedOn w:val="Normal"/>
    <w:link w:val="FootnoteTextChar"/>
    <w:uiPriority w:val="99"/>
    <w:unhideWhenUsed/>
    <w:qFormat/>
    <w:rsid w:val="00374951"/>
    <w:pPr>
      <w:spacing w:after="0" w:line="240" w:lineRule="auto"/>
    </w:pPr>
    <w:rPr>
      <w:sz w:val="20"/>
      <w:szCs w:val="20"/>
    </w:rPr>
  </w:style>
  <w:style w:type="character" w:customStyle="1" w:styleId="FootnoteTextChar">
    <w:name w:val="Footnote Text Char"/>
    <w:aliases w:val="Char Char Char Char1,Footnote Text1 Char1,Footnote Text1 Char Char,Char Char,Footnote Text Char Char Char Char Char,Footnote Text Char Char Char Char Char Char Char,Footnote Text Char1 Char Char Char Char Char,f Char,o Char"/>
    <w:basedOn w:val="DefaultParagraphFont"/>
    <w:link w:val="FootnoteText"/>
    <w:uiPriority w:val="99"/>
    <w:rsid w:val="00374951"/>
    <w:rPr>
      <w:sz w:val="20"/>
      <w:szCs w:val="20"/>
    </w:rPr>
  </w:style>
  <w:style w:type="character" w:styleId="FootnoteReference">
    <w:name w:val="footnote reference"/>
    <w:aliases w:val="BVI fnr,Footnote Reference Superscript,SUPERS,Footnote symbol,Footnote,(Footnote Reference),Footnote reference number,note TESI,EN Footnote Reference,Voetnootverwijzing,Times 10 Point,Exposant 3 Point,Appel note de bas de,ftref,E,E FN"/>
    <w:basedOn w:val="DefaultParagraphFont"/>
    <w:link w:val="CharCharCharChar"/>
    <w:uiPriority w:val="99"/>
    <w:unhideWhenUsed/>
    <w:qFormat/>
    <w:rsid w:val="00374951"/>
    <w:rPr>
      <w:vertAlign w:val="superscript"/>
    </w:rPr>
  </w:style>
  <w:style w:type="paragraph" w:customStyle="1" w:styleId="xmsonormal">
    <w:name w:val="x_msonormal"/>
    <w:basedOn w:val="Normal"/>
    <w:rsid w:val="00A37AF1"/>
    <w:pPr>
      <w:spacing w:after="0" w:line="240" w:lineRule="auto"/>
    </w:pPr>
    <w:rPr>
      <w:rFonts w:ascii="Calibri" w:hAnsi="Calibri" w:cs="Calibri"/>
      <w:lang w:eastAsia="lv-LV"/>
    </w:rPr>
  </w:style>
  <w:style w:type="paragraph" w:customStyle="1" w:styleId="CharCharCharChar">
    <w:name w:val="Char Char Char Char"/>
    <w:aliases w:val="Char2"/>
    <w:basedOn w:val="Normal"/>
    <w:next w:val="Normal"/>
    <w:link w:val="FootnoteReference"/>
    <w:uiPriority w:val="99"/>
    <w:rsid w:val="00A37AF1"/>
    <w:pPr>
      <w:spacing w:line="240" w:lineRule="exact"/>
      <w:jc w:val="both"/>
      <w:textAlignment w:val="baseline"/>
    </w:pPr>
    <w:rPr>
      <w:vertAlign w:val="superscript"/>
    </w:rPr>
  </w:style>
  <w:style w:type="paragraph" w:customStyle="1" w:styleId="tv213">
    <w:name w:val="tv213"/>
    <w:basedOn w:val="Normal"/>
    <w:rsid w:val="00A37AF1"/>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basedOn w:val="DefaultParagraphFont"/>
    <w:rsid w:val="00A37AF1"/>
  </w:style>
  <w:style w:type="character" w:styleId="UnresolvedMention">
    <w:name w:val="Unresolved Mention"/>
    <w:basedOn w:val="DefaultParagraphFont"/>
    <w:uiPriority w:val="99"/>
    <w:semiHidden/>
    <w:unhideWhenUsed/>
    <w:rsid w:val="00B306D8"/>
    <w:rPr>
      <w:color w:val="605E5C"/>
      <w:shd w:val="clear" w:color="auto" w:fill="E1DFDD"/>
    </w:rPr>
  </w:style>
  <w:style w:type="character" w:customStyle="1" w:styleId="ListParagraphChar">
    <w:name w:val="List Paragraph Char"/>
    <w:aliases w:val="2 Char,Bullet list Char,Colorful List - Accent 12 Char,H&amp;P List Paragraph Char,List Paragraph1 Char,Normal bullet 2 Char,Saraksta rindkopa1 Char,Strip Char,virsraksts3 Char,Numbered Para 1 Char,Dot pt Char,No Spacing1 Char,Bulle Char"/>
    <w:link w:val="ListParagraph"/>
    <w:qFormat/>
    <w:locked/>
    <w:rsid w:val="004C5D51"/>
    <w:rPr>
      <w:rFonts w:ascii="Times New Roman" w:eastAsia="Times New Roman" w:hAnsi="Times New Roman" w:cs="Times New Roman"/>
      <w:lang w:eastAsia="lv-LV"/>
    </w:rPr>
  </w:style>
  <w:style w:type="paragraph" w:styleId="Header">
    <w:name w:val="header"/>
    <w:basedOn w:val="Normal"/>
    <w:link w:val="HeaderChar"/>
    <w:uiPriority w:val="99"/>
    <w:semiHidden/>
    <w:unhideWhenUsed/>
    <w:rsid w:val="00620FA0"/>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620FA0"/>
  </w:style>
  <w:style w:type="paragraph" w:styleId="Footer">
    <w:name w:val="footer"/>
    <w:basedOn w:val="Normal"/>
    <w:link w:val="FooterChar"/>
    <w:uiPriority w:val="99"/>
    <w:semiHidden/>
    <w:unhideWhenUsed/>
    <w:rsid w:val="00620FA0"/>
    <w:pPr>
      <w:tabs>
        <w:tab w:val="center" w:pos="4153"/>
        <w:tab w:val="right" w:pos="8306"/>
      </w:tabs>
      <w:spacing w:after="0" w:line="240" w:lineRule="auto"/>
    </w:pPr>
  </w:style>
  <w:style w:type="character" w:customStyle="1" w:styleId="FooterChar">
    <w:name w:val="Footer Char"/>
    <w:basedOn w:val="DefaultParagraphFont"/>
    <w:link w:val="Footer"/>
    <w:uiPriority w:val="99"/>
    <w:semiHidden/>
    <w:rsid w:val="00620FA0"/>
  </w:style>
  <w:style w:type="character" w:styleId="FollowedHyperlink">
    <w:name w:val="FollowedHyperlink"/>
    <w:basedOn w:val="DefaultParagraphFont"/>
    <w:uiPriority w:val="99"/>
    <w:semiHidden/>
    <w:unhideWhenUsed/>
    <w:rsid w:val="008166A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543418">
      <w:bodyDiv w:val="1"/>
      <w:marLeft w:val="0"/>
      <w:marRight w:val="0"/>
      <w:marTop w:val="0"/>
      <w:marBottom w:val="0"/>
      <w:divBdr>
        <w:top w:val="none" w:sz="0" w:space="0" w:color="auto"/>
        <w:left w:val="none" w:sz="0" w:space="0" w:color="auto"/>
        <w:bottom w:val="none" w:sz="0" w:space="0" w:color="auto"/>
        <w:right w:val="none" w:sz="0" w:space="0" w:color="auto"/>
      </w:divBdr>
    </w:div>
    <w:div w:id="642657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14940-dzivnieku-aizsardzibas-likum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igars.cibulskis@varam.gov.lv" TargetMode="External"/><Relationship Id="rId5" Type="http://schemas.openxmlformats.org/officeDocument/2006/relationships/webSettings" Target="webSettings.xml"/><Relationship Id="rId10" Type="http://schemas.openxmlformats.org/officeDocument/2006/relationships/hyperlink" Target="mailto:agris.buzens@varam.gov.lv" TargetMode="External"/><Relationship Id="rId4" Type="http://schemas.openxmlformats.org/officeDocument/2006/relationships/settings" Target="settings.xml"/><Relationship Id="rId9" Type="http://schemas.openxmlformats.org/officeDocument/2006/relationships/hyperlink" Target="https://likumi.lv/ta/id/314808-administrativo-sodu-likums-par-parkapumiem-parvaldes-sabiedriskas-kartibas-un-valsts-valodas-lietosanas-joma"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varam.gov.lv/lv/saistoso-noteikumu-izstrade" TargetMode="External"/><Relationship Id="rId1" Type="http://schemas.openxmlformats.org/officeDocument/2006/relationships/hyperlink" Target="https://www.varam.gov.lv/lv/media/47702/download?attach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62B5E0-D7DB-44CE-8847-56F89C0E18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9664</Words>
  <Characters>5510</Characters>
  <Application>Microsoft Office Word</Application>
  <DocSecurity>0</DocSecurity>
  <Lines>45</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15144</CharactersWithSpaces>
  <SharedDoc>false</SharedDoc>
  <HLinks>
    <vt:vector size="24" baseType="variant">
      <vt:variant>
        <vt:i4>6750288</vt:i4>
      </vt:variant>
      <vt:variant>
        <vt:i4>3</vt:i4>
      </vt:variant>
      <vt:variant>
        <vt:i4>0</vt:i4>
      </vt:variant>
      <vt:variant>
        <vt:i4>5</vt:i4>
      </vt:variant>
      <vt:variant>
        <vt:lpwstr>mailto:aigars.cibulskis@varam.gov.lv</vt:lpwstr>
      </vt:variant>
      <vt:variant>
        <vt:lpwstr/>
      </vt:variant>
      <vt:variant>
        <vt:i4>2949149</vt:i4>
      </vt:variant>
      <vt:variant>
        <vt:i4>0</vt:i4>
      </vt:variant>
      <vt:variant>
        <vt:i4>0</vt:i4>
      </vt:variant>
      <vt:variant>
        <vt:i4>5</vt:i4>
      </vt:variant>
      <vt:variant>
        <vt:lpwstr>mailto:agris.buzens@varam.gov.lv</vt:lpwstr>
      </vt:variant>
      <vt:variant>
        <vt:lpwstr/>
      </vt:variant>
      <vt:variant>
        <vt:i4>1703957</vt:i4>
      </vt:variant>
      <vt:variant>
        <vt:i4>3</vt:i4>
      </vt:variant>
      <vt:variant>
        <vt:i4>0</vt:i4>
      </vt:variant>
      <vt:variant>
        <vt:i4>5</vt:i4>
      </vt:variant>
      <vt:variant>
        <vt:lpwstr>http://tap.mk.gov.lv/lv/mk/tap/?pid=40404107</vt:lpwstr>
      </vt:variant>
      <vt:variant>
        <vt:lpwstr/>
      </vt:variant>
      <vt:variant>
        <vt:i4>524301</vt:i4>
      </vt:variant>
      <vt:variant>
        <vt:i4>0</vt:i4>
      </vt:variant>
      <vt:variant>
        <vt:i4>0</vt:i4>
      </vt:variant>
      <vt:variant>
        <vt:i4>5</vt:i4>
      </vt:variant>
      <vt:variant>
        <vt:lpwstr>https://likumi.lv/ta/id/336956</vt:lpwstr>
      </vt:variant>
      <vt:variant>
        <vt:lpwstr>p45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Matiss</dc:creator>
  <cp:keywords/>
  <cp:lastModifiedBy>Lita Trakina</cp:lastModifiedBy>
  <cp:revision>2</cp:revision>
  <dcterms:created xsi:type="dcterms:W3CDTF">2026-07-09T08:57:00Z</dcterms:created>
  <dcterms:modified xsi:type="dcterms:W3CDTF">2026-07-09T08:57:00Z</dcterms:modified>
</cp:coreProperties>
</file>