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Balvi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DF4DEB8">
                <wp:simplePos x="0" y="0"/>
                <wp:positionH relativeFrom="margin">
                  <wp:posOffset>3430336</wp:posOffset>
                </wp:positionH>
                <wp:positionV relativeFrom="paragraph">
                  <wp:posOffset>46866</wp:posOffset>
                </wp:positionV>
                <wp:extent cx="2691765" cy="8621486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214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Balvi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$12 732, below the Latvian median of $22 838. Employment is 49%, below the Latvian median of 52%. The enterprise creation rate, based on the most recent three years available, is -0.17%,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423 per 1 000 inhabitants, below the Latvian median of 1 098. Foreign tourists account for 2.9% of stays, below the Latvian median of 27%. Enterprise creation in arts and recreation, based on the most recent three years available, is 2.0%,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54E86986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Balvi combines low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1.2% of built-up area (100-year return period), below the Latvian median of 8%. The house price index is 128 (2021=100), below the Latvian median of 136, a more favourable result. Yearly HPI change is 6%, equal to the Latvian median of 6%. Land burned is 0%, equal to the Latvian</w:t>
                            </w:r>
                            <w:r w:rsidR="00FA6B77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median.</w:t>
                            </w:r>
                          </w:p>
                          <w:p w14:paraId="068D0919" w14:textId="627B0290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18A0B4C2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Balvi combines education and school-access constraints with comparatively low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22%, below the Latvian median of 23%. Primary education travel time is 6 minutes, above the Latvian median of 5 minutes</w:t>
                            </w:r>
                            <w:r w:rsidR="00C70F95" w:rsidRPr="00C70F95">
                              <w:t xml:space="preserve"> </w:t>
                            </w:r>
                            <w:r w:rsidR="00C70F95" w:rsidRPr="00C70F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while travel time to healthcare services is notably longer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8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Balvi combines strong fixed broadband with mixed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85 Mbps, above the Latvian median of 78 Mbps. Paved roads represent 61% of the network, above the Latvian median of 59%. Cycleway density is less than 0.001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658389AE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Balvi has mixed renewable-energy and forest outcomes,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C70F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79% of land, above the Latvian median of 77%, and has grown by 22% since 2000, below the Latvian median of 25%. Protected areas cover 12%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678.8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Balvi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$12 732, below the Latvian median of $22 838. Employment is 49%, below the Latvian median of 52%. The enterprise creation rate, based on the most recent three years available, is -0.17%,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423 per 1 000 inhabitants, below the Latvian median of 1 098. Foreign tourists account for 2.9% of stays, below the Latvian median of 27%. Enterprise creation in arts and recreation, based on the most recent three years available, is 2.0%,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54E86986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Balvi combines low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1.2% of built-up area (100-year return period), below the Latvian median of 8%. The house price index is 128 (2021=100), below the Latvian median of 136, a more favourable result. Yearly HPI change is 6%, equal to the Latvian median of 6%. Land burned is 0%, equal to the Latvian</w:t>
                      </w:r>
                      <w:r w:rsidR="00FA6B77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median.</w:t>
                      </w:r>
                    </w:p>
                    <w:p w14:paraId="068D0919" w14:textId="627B0290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18A0B4C2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Balvi combines education and school-access constraints with comparatively low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22%, below the Latvian median of 23%. Primary education travel time is 6 minutes, above the Latvian median of 5 minutes</w:t>
                      </w:r>
                      <w:r w:rsidR="00C70F95" w:rsidRPr="00C70F95">
                        <w:t xml:space="preserve"> </w:t>
                      </w:r>
                      <w:r w:rsidR="00C70F95" w:rsidRPr="00C70F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while travel time to healthcare services is notably longer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8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Balvi combines strong fixed broadband with mixed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85 Mbps, above the Latvian median of 78 Mbps. Paved roads represent 61% of the network, above the Latvian median of 59%. Cycleway density is less than 0.001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658389AE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Balvi has mixed renewable-energy and forest outcomes,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C70F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79% of land, above the Latvian median of 77%, and has grown by 22% since 2000, below the Latvian median of 25%. Protected areas cover 12%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3252D97" wp14:editId="7452F9FB">
            <wp:extent cx="3060000" cy="2135419"/>
            <wp:effectExtent l="0" t="0" r="0" b="0"/>
            <wp:docPr id="1334153961" name="Balv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Balv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12 732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11 195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-0.17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ABFC2" w14:textId="77777777" w:rsidR="00487F68" w:rsidRDefault="00487F68" w:rsidP="00CC3749"/>
  </w:endnote>
  <w:endnote w:type="continuationSeparator" w:id="0">
    <w:p w14:paraId="5A062DFE" w14:textId="77777777" w:rsidR="00487F68" w:rsidRPr="00CF4424" w:rsidRDefault="00487F68" w:rsidP="00CF4424">
      <w:pPr>
        <w:pStyle w:val="Footer"/>
        <w:jc w:val="both"/>
      </w:pPr>
    </w:p>
  </w:endnote>
  <w:endnote w:type="continuationNotice" w:id="1">
    <w:p w14:paraId="5F807D20" w14:textId="77777777" w:rsidR="00487F68" w:rsidRDefault="00487F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2FAE" w14:textId="77777777" w:rsidR="00487F68" w:rsidRDefault="00487F68" w:rsidP="00CC3749">
      <w:r>
        <w:separator/>
      </w:r>
    </w:p>
  </w:footnote>
  <w:footnote w:type="continuationSeparator" w:id="0">
    <w:p w14:paraId="4F01E792" w14:textId="77777777" w:rsidR="00487F68" w:rsidRDefault="00487F68" w:rsidP="00CC3749">
      <w:r>
        <w:continuationSeparator/>
      </w:r>
    </w:p>
  </w:footnote>
  <w:footnote w:type="continuationNotice" w:id="1">
    <w:p w14:paraId="68A2382A" w14:textId="77777777" w:rsidR="00487F68" w:rsidRDefault="00487F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487F68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487F68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87F6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8D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0F95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AAE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3F5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6B77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3050CE-A893-47CC-BDDA-470532C2D103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1616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92</cp:revision>
  <dcterms:created xsi:type="dcterms:W3CDTF">2025-11-27T15:04:00Z</dcterms:created>
  <dcterms:modified xsi:type="dcterms:W3CDTF">2026-07-27T09:43:00Z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