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18AD95F2" w:rsidR="00E92600" w:rsidRPr="00457A28" w:rsidRDefault="0079326F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361FBC7D">
                <wp:simplePos x="0" y="0"/>
                <wp:positionH relativeFrom="margin">
                  <wp:posOffset>3425825</wp:posOffset>
                </wp:positionH>
                <wp:positionV relativeFrom="paragraph">
                  <wp:posOffset>-45042</wp:posOffset>
                </wp:positionV>
                <wp:extent cx="2691765" cy="9219157"/>
                <wp:effectExtent l="0" t="0" r="0" b="127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921915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645EC20D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Jēkabpils combines comparatively low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$22 665, </w:t>
                            </w:r>
                            <w:r w:rsidR="0079326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marginally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below the Latvian median of $22 838. Employment is 51%, </w:t>
                            </w:r>
                            <w:r w:rsidR="0079326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slightly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below the Latvian median of 52%. The enterprise creation rate, based on the most recent three years available, is 1.0%,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9326F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>Notably, all these indicators are well below the EU benchmark.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limited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907 per 1 000 inhabitants, below the Latvian median of 1 098. Foreign tourists account for 5% of stays, below the Latvian median of 27%. Enterprise creation in arts and recreation, based on the most recent three years available, is 2.5%,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1DB84D1C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Jēkabpils combines high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38% of built-up area (100-year return period), above the Latvian median of 8%. The </w:t>
                            </w:r>
                            <w:r w:rsidR="00D44F4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H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ouse </w:t>
                            </w:r>
                            <w:r w:rsidR="00D44F4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rice </w:t>
                            </w:r>
                            <w:r w:rsidR="00D44F4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ndex</w:t>
                            </w:r>
                            <w:r w:rsidR="00D44F4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(HPI)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is 144 (2021=100), above the Latvian median of 136, </w:t>
                            </w:r>
                            <w:r w:rsidR="00D44F4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indicating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a less favourable result. Yearly HPI change is 6%, equal to the Latvian median</w:t>
                            </w:r>
                            <w:r w:rsidR="0079326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Recorded l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and burned is 0%</w:t>
                            </w:r>
                            <w:r w:rsidR="0079326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68D0919" w14:textId="1D2F5453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180CD8E1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Jēkabpils combines mixed education and school-access outcomes with comparatively low air pollution.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21%, below the Latvian median of 23%. Primary education travel time is 4.9 minutes, below the Latvian median of 5 minutes</w:t>
                            </w:r>
                            <w:r w:rsidR="00D301CF" w:rsidRPr="00D301C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while travel time to healthcare services is notably longer</w:t>
                            </w:r>
                            <w:r w:rsidR="0079326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and well above the EU benchmark</w:t>
                            </w:r>
                            <w:r w:rsidR="00D301C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PM2.5 exposure is 9 µg/m³, below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3A7196DA" w:rsidR="009F6770" w:rsidRPr="007F14F9" w:rsidRDefault="009959D1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959D1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Jēkabpils</w:t>
                            </w:r>
                            <w:proofErr w:type="spellEnd"/>
                            <w:r w:rsidRPr="009959D1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9326F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exhibits mixed results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99 Mbps, above the Latvian median of 78 Mbps</w:t>
                            </w:r>
                            <w:r w:rsidR="0079326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but well below the EU median, at 136 Mbps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Paved roads represent 46% of the network, below the Latvian median of 59%. Cycleway density is 0.008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3AF13283" w14:textId="2EEB6BDB" w:rsidR="00E92600" w:rsidRPr="00EC4BCD" w:rsidRDefault="00EC4BCD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EC4BCD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Jēkabpils</w:t>
                            </w:r>
                            <w:proofErr w:type="spellEnd"/>
                            <w:r w:rsidRPr="00EC4BCD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a fully renewable electricity mix and relatively broad land protection with tree cover slightly below the national median</w:t>
                            </w:r>
                            <w:r w:rsidRPr="00EC4BC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Renewable sources account for 100% of electricity generation, equal to the Latvian median</w:t>
                            </w:r>
                            <w:r w:rsidR="00F50E75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and well above the EU benchmark</w:t>
                            </w:r>
                            <w:r w:rsidRPr="00EC4BC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Tree cover extends across 74% of land, below the Latvian median of 77%, and has expanded by 25% since 2000, equal to the Latvian median. Protected areas cover 10% of land, slightly above the Latvian median of 9%.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9.75pt;margin-top:-3.55pt;width:211.95pt;height:725.9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645EC20D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Jēkabpils combines comparatively low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$22 665, </w:t>
                      </w:r>
                      <w:r w:rsidR="0079326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marginally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below the Latvian median of $22 838. Employment is 51%, </w:t>
                      </w:r>
                      <w:r w:rsidR="0079326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slightly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below the Latvian median of 52%. The enterprise creation rate, based on the most recent three years available, is 1.0%,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9326F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>Notably, all these indicators are well below the EU benchmark.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limited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907 per 1 000 inhabitants, below the Latvian median of 1 098. Foreign tourists account for 5% of stays, below the Latvian median of 27%. Enterprise creation in arts and recreation, based on the most recent three years available, is 2.5%,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1DB84D1C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Jēkabpils combines high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38% of built-up area (100-year return period), above the Latvian median of 8%. The </w:t>
                      </w:r>
                      <w:r w:rsidR="00D44F4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H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ouse </w:t>
                      </w:r>
                      <w:r w:rsidR="00D44F4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rice </w:t>
                      </w:r>
                      <w:r w:rsidR="00D44F4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ndex</w:t>
                      </w:r>
                      <w:r w:rsidR="00D44F4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(HPI)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is 144 (2021=100), above the Latvian median of 136, </w:t>
                      </w:r>
                      <w:r w:rsidR="00D44F4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indicating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a less favourable result. Yearly HPI change is 6%, equal to the Latvian median</w:t>
                      </w:r>
                      <w:r w:rsidR="0079326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Recorded l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and burned is 0%</w:t>
                      </w:r>
                      <w:r w:rsidR="0079326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</w:p>
                    <w:p w14:paraId="068D0919" w14:textId="1D2F5453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180CD8E1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Jēkabpils combines mixed education and school-access outcomes with comparatively low air pollution.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21%, below the Latvian median of 23%. Primary education travel time is 4.9 minutes, below the Latvian median of 5 minutes</w:t>
                      </w:r>
                      <w:r w:rsidR="00D301CF" w:rsidRPr="00D301C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while travel time to healthcare services is notably longer</w:t>
                      </w:r>
                      <w:r w:rsidR="0079326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and well above the EU benchmark</w:t>
                      </w:r>
                      <w:r w:rsidR="00D301C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PM2.5 exposure is 9 µg/m³, below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3A7196DA" w:rsidR="009F6770" w:rsidRPr="007F14F9" w:rsidRDefault="009959D1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9959D1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Jēkabpils</w:t>
                      </w:r>
                      <w:proofErr w:type="spellEnd"/>
                      <w:r w:rsidRPr="009959D1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9326F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exhibits mixed results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99 Mbps, above the Latvian median of 78 Mbps</w:t>
                      </w:r>
                      <w:r w:rsidR="0079326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but well below the EU median, at 136 Mbps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Paved roads represent 46% of the network, below the Latvian median of 59%. Cycleway density is 0.008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3AF13283" w14:textId="2EEB6BDB" w:rsidR="00E92600" w:rsidRPr="00EC4BCD" w:rsidRDefault="00EC4BCD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proofErr w:type="spellStart"/>
                      <w:r w:rsidRPr="00EC4BCD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Jēkabpils</w:t>
                      </w:r>
                      <w:proofErr w:type="spellEnd"/>
                      <w:r w:rsidRPr="00EC4BCD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a fully renewable electricity mix and relatively broad land protection with tree cover slightly below the national median</w:t>
                      </w:r>
                      <w:r w:rsidRPr="00EC4BC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Renewable sources account for 100% of electricity generation, equal to the Latvian median</w:t>
                      </w:r>
                      <w:r w:rsidR="00F50E75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and well above the EU benchmark</w:t>
                      </w:r>
                      <w:r w:rsidRPr="00EC4BC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Tree cover extends across 74% of land, below the Latvian median of 77%, and has expanded by 25% since 2000, equal to the Latvian median. Protected areas cover 10% of land, slightly above the Latvian median of 9%.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spellStart"/>
      <w:r w:rsidR="007D1AFE">
        <w:rPr>
          <w:sz w:val="24"/>
          <w:szCs w:val="28"/>
        </w:rPr>
        <w:t>Jēkabpils</w:t>
      </w:r>
      <w:proofErr w:type="spellEnd"/>
      <w:r w:rsidR="007D1AFE">
        <w:rPr>
          <w:sz w:val="24"/>
          <w:szCs w:val="28"/>
        </w:rPr>
        <w:t xml:space="preserve"> Municipality</w:t>
      </w:r>
    </w:p>
    <w:p w14:paraId="154BFAEF" w14:textId="1AA074CD" w:rsidR="00E92600" w:rsidRPr="00F97105" w:rsidRDefault="00F5197D" w:rsidP="00F97105">
      <w:pPr>
        <w:pStyle w:val="Para0"/>
        <w:spacing w:before="360"/>
      </w:pPr>
      <w:r>
        <w:rPr>
          <w:noProof/>
        </w:rPr>
        <w:drawing>
          <wp:inline distT="0" distB="0" distL="0" distR="0" wp14:anchorId="6F68AD43" wp14:editId="1DCBE68B">
            <wp:extent cx="3060000" cy="2135419"/>
            <wp:effectExtent l="0" t="0" r="0" b="0"/>
            <wp:docPr id="1334153961" name="Jēkabpils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Jēkabpils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22 665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19 929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891FD" w14:textId="77777777" w:rsidR="005208FC" w:rsidRDefault="005208FC" w:rsidP="00CC3749"/>
  </w:endnote>
  <w:endnote w:type="continuationSeparator" w:id="0">
    <w:p w14:paraId="0B7CDFCC" w14:textId="77777777" w:rsidR="005208FC" w:rsidRPr="00CF4424" w:rsidRDefault="005208FC" w:rsidP="00CF4424">
      <w:pPr>
        <w:pStyle w:val="Footer"/>
        <w:jc w:val="both"/>
      </w:pPr>
    </w:p>
  </w:endnote>
  <w:endnote w:type="continuationNotice" w:id="1">
    <w:p w14:paraId="7AC4EB4F" w14:textId="77777777" w:rsidR="005208FC" w:rsidRDefault="005208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EndPr/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EndPr/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EndPr/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EndPr/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77F04" w14:textId="77777777" w:rsidR="005208FC" w:rsidRDefault="005208FC" w:rsidP="00CC3749">
      <w:r>
        <w:separator/>
      </w:r>
    </w:p>
  </w:footnote>
  <w:footnote w:type="continuationSeparator" w:id="0">
    <w:p w14:paraId="49A4DFDB" w14:textId="77777777" w:rsidR="005208FC" w:rsidRDefault="005208FC" w:rsidP="00CC3749">
      <w:r>
        <w:continuationSeparator/>
      </w:r>
    </w:p>
  </w:footnote>
  <w:footnote w:type="continuationNotice" w:id="1">
    <w:p w14:paraId="2EF7678C" w14:textId="77777777" w:rsidR="005208FC" w:rsidRDefault="005208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5208FC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5208FC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08FC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26F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57C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59D1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6FBC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1F48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479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1CF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49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79B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BCD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0E75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7BED3A-1F09-42D7-92C2-4E5A87869250}"/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164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1626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97</cp:revision>
  <dcterms:created xsi:type="dcterms:W3CDTF">2025-11-27T15:04:00Z</dcterms:created>
  <dcterms:modified xsi:type="dcterms:W3CDTF">2026-07-27T14:23:00Z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