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Krāslava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5D8EF992">
                <wp:simplePos x="0" y="0"/>
                <wp:positionH relativeFrom="margin">
                  <wp:posOffset>3428328</wp:posOffset>
                </wp:positionH>
                <wp:positionV relativeFrom="paragraph">
                  <wp:posOffset>46430</wp:posOffset>
                </wp:positionV>
                <wp:extent cx="2691765" cy="845820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5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588599A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Krāslava combines comparatively low</w:t>
                            </w:r>
                            <w:r w:rsidR="00595AC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economic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$11 715, below the Latvian median of $22 838. Employment is 45%, below the Latvian median of 52%. The enterprise creation rate, based on the most recent three years available, is 0.26%,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3A564F0A" w:rsidR="009F6770" w:rsidRPr="007F14F9" w:rsidRDefault="00DA3B0F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DA3B0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and international reach with strong dynamism in the arts and recreation sector</w:t>
                            </w:r>
                            <w:r w:rsidR="00D7737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D7737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638 per 1 000 inhabitants, below the Latvian median of 1 098. Foreign tourists account for 7% of stays, below the Latvian median of 27%. </w:t>
                            </w:r>
                            <w:r w:rsidR="00595AC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Nevertheless, annual e</w:t>
                            </w:r>
                            <w:r w:rsidR="00D7737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5FD0A774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Krāslava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4.0% of built-up area (100-year return period), below the Latvian median of 8%. The </w:t>
                            </w:r>
                            <w:r w:rsidR="007A6F0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7A6F0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7A6F0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ndex </w:t>
                            </w:r>
                            <w:r w:rsidR="007A6F0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(HPI)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131 (2021=100), below the Latvian median of 136</w:t>
                            </w:r>
                            <w:r w:rsidR="007A6F03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y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early HPI change is 5%, below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71E59456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8C60770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Krāslava combines education and school-access constraints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18%, below the Latvian median of 23%. Primary education travel time is 7 minutes, above the Latvian median of 5 minutes.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1CB53B25" w:rsidR="009F6770" w:rsidRPr="007F14F9" w:rsidRDefault="00222381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22238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Krāslava combines above-median broadband speeds with substantial gaps in road surfacing and cycleway provision.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97 Mbps, above the Latvian median of 78 Mbps. Paved roads represent 33% of the network, below the Latvian median of 59%. Cycleway density is less than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0036B3D8" w:rsidR="009F6770" w:rsidRPr="007F14F9" w:rsidRDefault="00252B64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252B64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Krāslava combines renewable electricity and forest indicators below national benchmarks with comparatively broad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84% of electricity generation, below the Latvian median of 100%. Tree cover reaches 76% of land, below the Latvian median of 77%, and has grown by 20% since 2000, below the Latvian median of 25%. Protected areas cover 23%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9.95pt;margin-top:3.65pt;width:211.95pt;height:666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588599A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Krāslava combines comparatively low</w:t>
                      </w:r>
                      <w:r w:rsidR="00595AC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economic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$11 715, below the Latvian median of $22 838. Employment is 45%, below the Latvian median of 52%. The enterprise creation rate, based on the most recent three years available, is 0.26%,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3A564F0A" w:rsidR="009F6770" w:rsidRPr="007F14F9" w:rsidRDefault="00DA3B0F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DA3B0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and international reach with strong dynamism in the arts and recreation sector</w:t>
                      </w:r>
                      <w:r w:rsidR="00D7737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D7737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638 per 1 000 inhabitants, below the Latvian median of 1 098. Foreign tourists account for 7% of stays, below the Latvian median of 27%. </w:t>
                      </w:r>
                      <w:r w:rsidR="00595AC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Nevertheless, annual e</w:t>
                      </w:r>
                      <w:r w:rsidR="00D7737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5FD0A774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Krāslava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4.0% of built-up area (100-year return period), below the Latvian median of 8%. The </w:t>
                      </w:r>
                      <w:r w:rsidR="007A6F0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7A6F0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7A6F0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ndex </w:t>
                      </w:r>
                      <w:r w:rsidR="007A6F0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(HPI)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131 (2021=100), below the Latvian median of 136</w:t>
                      </w:r>
                      <w:r w:rsidR="007A6F03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y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early HPI change is 5%, below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71E59456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8C60770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Krāslava combines education and school-access constraints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18%, below the Latvian median of 23%. Primary education travel time is 7 minutes, above the Latvian median of 5 minutes.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1CB53B25" w:rsidR="009F6770" w:rsidRPr="007F14F9" w:rsidRDefault="00222381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22238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Krāslava combines above-median broadband speeds with substantial gaps in road surfacing and cycleway provision.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97 Mbps, above the Latvian median of 78 Mbps. Paved roads represent 33% of the network, below the Latvian median of 59%. Cycleway density is less than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0036B3D8" w:rsidR="009F6770" w:rsidRPr="007F14F9" w:rsidRDefault="00252B64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252B64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Krāslava combines renewable electricity and forest indicators below national benchmarks with comparatively broad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84% of electricity generation, below the Latvian median of 100%. Tree cover reaches 76% of land, below the Latvian median of 77%, and has grown by 20% since 2000, below the Latvian median of 25%. Protected areas cover 23%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1E466DE" wp14:editId="124B2C7E">
            <wp:extent cx="3060000" cy="2135419"/>
            <wp:effectExtent l="0" t="0" r="0" b="0"/>
            <wp:docPr id="1334153961" name="Krāslav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Krāslav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11 715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10 301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EABF" w14:textId="77777777" w:rsidR="003F3639" w:rsidRDefault="003F3639" w:rsidP="00CC3749"/>
  </w:endnote>
  <w:endnote w:type="continuationSeparator" w:id="0">
    <w:p w14:paraId="54B3467D" w14:textId="77777777" w:rsidR="003F3639" w:rsidRPr="00CF4424" w:rsidRDefault="003F3639" w:rsidP="00CF4424">
      <w:pPr>
        <w:pStyle w:val="Footer"/>
        <w:jc w:val="both"/>
      </w:pPr>
    </w:p>
  </w:endnote>
  <w:endnote w:type="continuationNotice" w:id="1">
    <w:p w14:paraId="3ECF3560" w14:textId="77777777" w:rsidR="003F3639" w:rsidRDefault="003F36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66BE2" w14:textId="77777777" w:rsidR="003F3639" w:rsidRDefault="003F3639" w:rsidP="00CC3749">
      <w:r>
        <w:separator/>
      </w:r>
    </w:p>
  </w:footnote>
  <w:footnote w:type="continuationSeparator" w:id="0">
    <w:p w14:paraId="06B26D6F" w14:textId="77777777" w:rsidR="003F3639" w:rsidRDefault="003F3639" w:rsidP="00CC3749">
      <w:r>
        <w:continuationSeparator/>
      </w:r>
    </w:p>
  </w:footnote>
  <w:footnote w:type="continuationNotice" w:id="1">
    <w:p w14:paraId="1DF6AC2D" w14:textId="77777777" w:rsidR="003F3639" w:rsidRDefault="003F36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381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2B64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639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AC0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3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972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0F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56ADE055-A672-4CAB-A02F-DE7C6F91DB05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1624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