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Ludza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2EA1AAB" wp14:editId="42D09A5C">
                <wp:simplePos x="0" y="0"/>
                <wp:positionH relativeFrom="margin">
                  <wp:align>right</wp:align>
                </wp:positionH>
                <wp:positionV relativeFrom="paragraph">
                  <wp:posOffset>51752</wp:posOffset>
                </wp:positionV>
                <wp:extent cx="2691765" cy="8624887"/>
                <wp:effectExtent l="0" t="0" r="0" b="508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6248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Ludza combines comparatively low output with limited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$15 810, below the Latvian median of $22 838. Employment is 44%, below the Latvian median of 52%. The enterprise creation rate, based on the most recent three years available, is -0.49%,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limited visitor demand with mixed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806 per 1 000 inhabitants, below the Latvian median of 1 098. Foreign tourists account for 21% of stays, below the Latvian median of 27%. Enterprise creation in arts and recreation, based on the most recent three years available, is 4.6%,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3FBED420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Ludza combines low flood exposure with elevated house-price pressures.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1.9% of built-up area (100-year return period), below the Latvian median of 8%. The house price index is 178 (2021=100), above the Latvian median of 136. Yearly HPI change is 23%, above the Latvian median of 6%. Land burned is 0%, equal to the Latvian median.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28BA3DEF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6F41BFCF" w:rsidR="009F6770" w:rsidRPr="0017279C" w:rsidRDefault="0017279C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17279C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Ludza</w:t>
                            </w:r>
                            <w:proofErr w:type="spellEnd"/>
                            <w:r w:rsidRPr="0017279C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combines low tertiary educational attainment with longer travel times to primary education and comparatively low air pollution.</w:t>
                            </w: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Tertiary attainment is 21%, below the Latvian median of 23%. Primary education travel time is 6 minutes, above the Latvian median of 5 minutes. PM2.5 exposure is 9 µg/m³, below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Ludza combines limited fixed broadband with gaps in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56 Mbps, below the Latvian median of 78 Mbps. Paved roads represent 40% of the network, below the Latvian median of 59%. Cycleway density is 0 km/km², below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0470430A" w:rsidR="009F6770" w:rsidRPr="00D576B4" w:rsidRDefault="00D576B4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D576B4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Ludza</w:t>
                            </w:r>
                            <w:proofErr w:type="spellEnd"/>
                            <w:r w:rsidRPr="00D576B4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combines a fully renewable electricity mix and comparatively high tree cover with limited forest expansion and protected land below the national median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</w:t>
                            </w:r>
                            <w:r w:rsidR="00B01C3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Tree cover reaches 78% of land, above the Latvian median of 77%, and has grown by 20% since 2000, below the Latvian median of 25%. Protected areas cover 6% of land, below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0.75pt;margin-top:4.05pt;width:211.95pt;height:679.1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Ludza combines comparatively low output with limited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$15 810, below the Latvian median of $22 838. Employment is 44%, below the Latvian median of 52%. The enterprise creation rate, based on the most recent three years available, is -0.49%,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limited visitor demand with mixed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806 per 1 000 inhabitants, below the Latvian median of 1 098. Foreign tourists account for 21% of stays, below the Latvian median of 27%. Enterprise creation in arts and recreation, based on the most recent three years available, is 4.6%,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3FBED420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Ludza combines low flood exposure with elevated house-price pressures.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1.9% of built-up area (100-year return period), below the Latvian median of 8%. The house price index is 178 (2021=100), above the Latvian median of 136. Yearly HPI change is 23%, above the Latvian median of 6%. Land burned is 0%, equal to the Latvian median.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28BA3DEF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6F41BFCF" w:rsidR="009F6770" w:rsidRPr="0017279C" w:rsidRDefault="0017279C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17279C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Ludza</w:t>
                      </w:r>
                      <w:proofErr w:type="spellEnd"/>
                      <w:r w:rsidRPr="0017279C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combines low tertiary educational attainment with longer travel times to primary education and comparatively low air pollution.</w:t>
                      </w: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Tertiary attainment is 21%, below the Latvian median of 23%. Primary education travel time is 6 minutes, above the Latvian median of 5 minutes. PM2.5 exposure is 9 µg/m³, below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Ludza combines limited fixed broadband with gaps in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56 Mbps, below the Latvian median of 78 Mbps. Paved roads represent 40% of the network, below the Latvian median of 59%. Cycleway density is 0 km/km², below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0470430A" w:rsidR="009F6770" w:rsidRPr="00D576B4" w:rsidRDefault="00D576B4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D576B4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Ludza</w:t>
                      </w:r>
                      <w:proofErr w:type="spellEnd"/>
                      <w:r w:rsidRPr="00D576B4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combines a fully renewable electricity mix and comparatively high tree cover with limited forest expansion and protected land below the national median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</w:t>
                      </w:r>
                      <w:r w:rsidR="00B01C3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Tree cover reaches 78% of land, above the Latvian median of 77%, and has grown by 20% since 2000, below the Latvian median of 25%. Protected areas cover 6% of land, below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4CB6D66" wp14:editId="07777777">
            <wp:extent cx="3060000" cy="2135419"/>
            <wp:effectExtent l="0" t="0" r="0" b="0"/>
            <wp:docPr id="1334153961" name="Ludza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Ludza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15 810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13 902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-0.49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-3.0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D1B5B" w14:textId="77777777" w:rsidR="00DB57EF" w:rsidRDefault="00DB57EF" w:rsidP="00CC3749"/>
  </w:endnote>
  <w:endnote w:type="continuationSeparator" w:id="0">
    <w:p w14:paraId="73C248E3" w14:textId="77777777" w:rsidR="00DB57EF" w:rsidRPr="00CF4424" w:rsidRDefault="00DB57EF" w:rsidP="00CF4424">
      <w:pPr>
        <w:pStyle w:val="Footer"/>
        <w:jc w:val="both"/>
      </w:pPr>
    </w:p>
  </w:endnote>
  <w:endnote w:type="continuationNotice" w:id="1">
    <w:p w14:paraId="7ECAC1C8" w14:textId="77777777" w:rsidR="00DB57EF" w:rsidRDefault="00DB57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2A00C" w14:textId="77777777" w:rsidR="00DB57EF" w:rsidRDefault="00DB57EF" w:rsidP="00CC3749">
      <w:r>
        <w:separator/>
      </w:r>
    </w:p>
  </w:footnote>
  <w:footnote w:type="continuationSeparator" w:id="0">
    <w:p w14:paraId="0768C9B5" w14:textId="77777777" w:rsidR="00DB57EF" w:rsidRDefault="00DB57EF" w:rsidP="00CC3749">
      <w:r>
        <w:continuationSeparator/>
      </w:r>
    </w:p>
  </w:footnote>
  <w:footnote w:type="continuationNotice" w:id="1">
    <w:p w14:paraId="075917CC" w14:textId="77777777" w:rsidR="00DB57EF" w:rsidRDefault="00DB57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6E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2F3F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1B64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75B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79C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AFC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B19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8B1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4A65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0207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22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3F0F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0941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929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1C8F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BF2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292B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8E6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29A6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C63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6AF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C35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B7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30B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5039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6B4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7EF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06A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AC2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3CE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  <w:rsid w:val="04E9A6A9"/>
    <w:rsid w:val="0F35081B"/>
    <w:rsid w:val="1B2B7521"/>
    <w:rsid w:val="2D46DF35"/>
    <w:rsid w:val="5229CB77"/>
    <w:rsid w:val="6A9620E7"/>
    <w:rsid w:val="74218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6\Workgroup%20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Props1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3.xml><?xml version="1.0" encoding="utf-8"?>
<ds:datastoreItem xmlns:ds="http://schemas.openxmlformats.org/officeDocument/2006/customXml" ds:itemID="{4CF8BF27-4CBE-44D4-85B9-C9B1B3FF652C}"/>
</file>

<file path=customXml/itemProps4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10</TotalTime>
  <Pages>1</Pages>
  <Words>242</Words>
  <Characters>1384</Characters>
  <Application>Microsoft Office Word</Application>
  <DocSecurity>0</DocSecurity>
  <Lines>11</Lines>
  <Paragraphs>3</Paragraphs>
  <ScaleCrop>false</ScaleCrop>
  <Company>OECD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106</cp:revision>
  <dcterms:created xsi:type="dcterms:W3CDTF">2025-11-27T15:04:00Z</dcterms:created>
  <dcterms:modified xsi:type="dcterms:W3CDTF">2026-07-27T11:49:00Z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