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15E505AC" w:rsidR="00E92600" w:rsidRPr="00457A28" w:rsidRDefault="00C90AF1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EA1AAB" wp14:editId="37796CDA">
                <wp:simplePos x="0" y="0"/>
                <wp:positionH relativeFrom="margin">
                  <wp:posOffset>3431419</wp:posOffset>
                </wp:positionH>
                <wp:positionV relativeFrom="paragraph">
                  <wp:posOffset>188011</wp:posOffset>
                </wp:positionV>
                <wp:extent cx="2691765" cy="8910394"/>
                <wp:effectExtent l="0" t="0" r="0" b="508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9103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6F0F57E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Riga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$58 986, above the Latvian </w:t>
                            </w:r>
                            <w:r w:rsidR="002D158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$22 838</w:t>
                            </w:r>
                            <w:r w:rsidR="002D158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($</w:t>
                            </w:r>
                            <w:r w:rsidR="002D1583" w:rsidRPr="002D158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38 714</w:t>
                            </w:r>
                            <w:r w:rsidR="002D158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Employment is 57%, above the Latvian median of 52%. The enterprise creation rate, based on the most recent three years available, is 1.8%,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4 650 per 1 000 inhabitants, above the Latvian median of 1 098. Foreign tourists account for 80% of stays, above the Latvian median of 27%. Enterprise creation in arts and recreation, based on the most recent three years available, is 5.0%,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327AE5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Riga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24% of built-up area (100-year return period), above the Latvian median of 8%. The house price index is 107 (2021=100), below the Latvian median of 136. Yearly HPI change is -0.33%, below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6CFE1443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</w:t>
                            </w:r>
                            <w:r w:rsidR="007E3C4E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 xml:space="preserve"> Well-being</w:t>
                            </w:r>
                          </w:p>
                          <w:p w14:paraId="6BA2A799" w14:textId="717C59BB" w:rsidR="009F6770" w:rsidRPr="004803F6" w:rsidRDefault="004803F6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803F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Riga combines high tertiary educational attainment and good access to primary education with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40%, above the Latvian median of 23%. Primary education travel time is 2.6 minutes, below the Latvian median of 5 minutes</w:t>
                            </w:r>
                            <w:r w:rsidR="00EF44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while </w:t>
                            </w:r>
                            <w:r w:rsidR="00C90AF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travel time to healthcare services is 9 minutes, slightly below the EU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15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74D627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Riga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179 Mbps, above the Latvian </w:t>
                            </w:r>
                            <w:r w:rsidR="007474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78 Mbps</w:t>
                            </w:r>
                            <w:r w:rsidR="007474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</w:t>
                            </w:r>
                            <w:r w:rsidR="0038748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136</w:t>
                            </w:r>
                            <w:r w:rsidR="007474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Mbps)</w:t>
                            </w:r>
                            <w:r w:rsidR="0038748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92% of the network, above the Latvian median of 59%. Cycleway density is 0.47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16217DE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Riga has limited renewable-energy and forest outcomes,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5% of electricity generation, below the Latvian </w:t>
                            </w:r>
                            <w:r w:rsidR="00220CD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100%</w:t>
                            </w:r>
                            <w:r w:rsidR="00220CD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</w:t>
                            </w:r>
                            <w:r w:rsidR="007474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39%) </w:t>
                            </w:r>
                            <w:r w:rsidR="0038748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reaches 55% of land, below the Latvian median of 77%, and has grown by 6% since 2000, below the Latvian median of 25%. Protected areas cover 8%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2pt;margin-top:14.8pt;width:211.95pt;height:701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6F0F57E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Riga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$58 986, above the Latvian </w:t>
                      </w:r>
                      <w:r w:rsidR="002D158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$22 838</w:t>
                      </w:r>
                      <w:r w:rsidR="002D158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($</w:t>
                      </w:r>
                      <w:r w:rsidR="002D1583" w:rsidRPr="002D158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38 714</w:t>
                      </w:r>
                      <w:r w:rsidR="002D158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Employment is 57%, above the Latvian median of 52%. The enterprise creation rate, based on the most recent three years available, is 1.8%,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4 650 per 1 000 inhabitants, above the Latvian median of 1 098. Foreign tourists account for 80% of stays, above the Latvian median of 27%. Enterprise creation in arts and recreation, based on the most recent three years available, is 5.0%,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327AE5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Riga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24% of built-up area (100-year return period), above the Latvian median of 8%. The house price index is 107 (2021=100), below the Latvian median of 136. Yearly HPI change is -0.33%, below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6CFE1443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</w:t>
                      </w:r>
                      <w:r w:rsidR="007E3C4E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t</w:t>
                      </w: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Well-being</w:t>
                      </w:r>
                    </w:p>
                    <w:p w14:paraId="6BA2A799" w14:textId="717C59BB" w:rsidR="009F6770" w:rsidRPr="004803F6" w:rsidRDefault="004803F6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803F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Riga combines high tertiary educational attainment and good access to primary education with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40%, above the Latvian median of 23%. Primary education travel time is 2.6 minutes, below the Latvian median of 5 minutes</w:t>
                      </w:r>
                      <w:r w:rsidR="00EF44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while </w:t>
                      </w:r>
                      <w:r w:rsidR="00C90AF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travel time to healthcare services is 9 minutes, slightly below the EU benchmark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15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74D627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Riga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179 Mbps, above the Latvian </w:t>
                      </w:r>
                      <w:r w:rsidR="007474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78 Mbps</w:t>
                      </w:r>
                      <w:r w:rsidR="007474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</w:t>
                      </w:r>
                      <w:r w:rsidR="0038748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136</w:t>
                      </w:r>
                      <w:r w:rsidR="007474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Mbps)</w:t>
                      </w:r>
                      <w:r w:rsidR="0038748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92% of the network, above the Latvian median of 59%. Cycleway density is 0.47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16217DE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Riga has limited renewable-energy and forest outcomes,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5% of electricity generation, below the Latvian </w:t>
                      </w:r>
                      <w:r w:rsidR="00220CD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100%</w:t>
                      </w:r>
                      <w:r w:rsidR="00220CD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</w:t>
                      </w:r>
                      <w:r w:rsidR="007474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39%) </w:t>
                      </w:r>
                      <w:r w:rsidR="0038748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reaches 55% of land, below the Latvian median of 77%, and has grown by 6% since 2000, below the Latvian median of 25%. Protected areas cover 8%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Riga State City</w:t>
      </w:r>
    </w:p>
    <w:p w14:paraId="154BFAEF" w14:textId="6FAE89B0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251AE2A9" wp14:editId="13764091">
            <wp:extent cx="3060000" cy="2135419"/>
            <wp:effectExtent l="0" t="0" r="0" b="0"/>
            <wp:docPr id="1334153961" name="R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Rig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8A706D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8A706D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58 986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51 865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4 650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EBA7" w14:textId="77777777" w:rsidR="003240F9" w:rsidRDefault="003240F9" w:rsidP="00CC3749"/>
  </w:endnote>
  <w:endnote w:type="continuationSeparator" w:id="0">
    <w:p w14:paraId="1A806A02" w14:textId="77777777" w:rsidR="003240F9" w:rsidRPr="00CF4424" w:rsidRDefault="003240F9" w:rsidP="00CF4424">
      <w:pPr>
        <w:pStyle w:val="Footer"/>
        <w:jc w:val="both"/>
      </w:pPr>
    </w:p>
  </w:endnote>
  <w:endnote w:type="continuationNotice" w:id="1">
    <w:p w14:paraId="12D6D48E" w14:textId="77777777" w:rsidR="003240F9" w:rsidRDefault="00324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3C74D" w14:textId="77777777" w:rsidR="003240F9" w:rsidRDefault="003240F9" w:rsidP="00CC3749">
      <w:r>
        <w:separator/>
      </w:r>
    </w:p>
  </w:footnote>
  <w:footnote w:type="continuationSeparator" w:id="0">
    <w:p w14:paraId="1FBD5781" w14:textId="77777777" w:rsidR="003240F9" w:rsidRDefault="003240F9" w:rsidP="00CC3749">
      <w:r>
        <w:continuationSeparator/>
      </w:r>
    </w:p>
  </w:footnote>
  <w:footnote w:type="continuationNotice" w:id="1">
    <w:p w14:paraId="57E1CEF8" w14:textId="77777777" w:rsidR="003240F9" w:rsidRDefault="00324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8A706D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8A706D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1D0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ACF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3C7B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CDC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1583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265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0F9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48A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309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25E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3F6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19D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70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3C4E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06D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83A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2DDC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37E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0AF1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4FA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30A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2624AA49-EEAE-4A96-854A-31C6FBD1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A8F88-09C2-425D-9020-6EFEFC6F9E8C}"/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163</TotalTime>
  <Pages>1</Pages>
  <Words>242</Words>
  <Characters>1384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100</cp:revision>
  <dcterms:created xsi:type="dcterms:W3CDTF">2025-11-28T00:04:00Z</dcterms:created>
  <dcterms:modified xsi:type="dcterms:W3CDTF">2026-07-27T14:17:00Z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