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Sigulda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26A95FEC">
                <wp:simplePos x="0" y="0"/>
                <wp:positionH relativeFrom="margin">
                  <wp:posOffset>3429635</wp:posOffset>
                </wp:positionH>
                <wp:positionV relativeFrom="paragraph">
                  <wp:posOffset>49530</wp:posOffset>
                </wp:positionV>
                <wp:extent cx="2691765" cy="819785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197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Sigulda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$21 767, below the Latvian median of $22 838. Employment is 59%, above the Latvian median of 52%. The enterprise creation rate, based on the most recent three years available, is 3.9%,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2 828 per 1 000 inhabitants, above the Latvian median of 1 098. Foreign tourists account for 53% of stays, above the Latvian median of 27%. Enterprise creation in arts and recreation, based on the most recent three years available, is 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44B2BF5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Sigulda combines low flood exposure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1.7% of built-up area (100-year return period), below the Latvian median of 8%. The house price index is 128 (2021=100), below the Latvian median of 136. Yearly HPI change is 9%,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2423288A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1C8D13B6" w:rsidR="009F6770" w:rsidRPr="00DA2501" w:rsidRDefault="00DA2501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A250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Sigulda combines high tertiary educational attainment with school access at the Latvian median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32%, above the Latvian median of 23%. Primary education travel time is 5 minutes, equal to the Latvian median. 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04690EE1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Sigulda combines limited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74 Mbps, below the Latvian median of 78 Mbps. Paved roads represent 59% of the network, equal to the Latvian median. Cycleway density is 0.03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427A31A6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Sigulda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79% of land, above the Latvian median of 77%, and has grown by 27% since 2000, above the Latvian median of 25%. Protected areas cover 21%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05pt;margin-top:3.9pt;width:211.95pt;height:645.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Sigulda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$21 767, below the Latvian median of $22 838. Employment is 59%, above the Latvian median of 52%. The enterprise creation rate, based on the most recent three years available, is 3.9%,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2 828 per 1 000 inhabitants, above the Latvian median of 1 098. Foreign tourists account for 53% of stays, above the Latvian median of 27%. Enterprise creation in arts and recreation, based on the most recent three years available, is 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44B2BF5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Sigulda combines low flood exposure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1.7% of built-up area (100-year return period), below the Latvian median of 8%. The house price index is 128 (2021=100), below the Latvian median of 136. Yearly HPI change is 9%,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2423288A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1C8D13B6" w:rsidR="009F6770" w:rsidRPr="00DA2501" w:rsidRDefault="00DA2501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A250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Sigulda combines high tertiary educational attainment with school access at the Latvian median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32%, above the Latvian median of 23%. Primary education travel time is 5 minutes, equal to the Latvian median. 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04690EE1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Sigulda combines limited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74 Mbps, below the Latvian median of 78 Mbps. Paved roads represent 59% of the network, equal to the Latvian median. Cycleway density is 0.03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427A31A6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Sigulda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79% of land, above the Latvian median of 77%, and has grown by 27% since 2000, above the Latvian median of 25%. Protected areas cover 21%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1BFA426" wp14:editId="20091335">
            <wp:extent cx="3060000" cy="2135419"/>
            <wp:effectExtent l="0" t="0" r="0" b="0"/>
            <wp:docPr id="1334153961" name="Siguld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Siguld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21 767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19 140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2 828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3612" w14:textId="77777777" w:rsidR="0039017C" w:rsidRDefault="0039017C" w:rsidP="00CC3749"/>
  </w:endnote>
  <w:endnote w:type="continuationSeparator" w:id="0">
    <w:p w14:paraId="71CA2CE3" w14:textId="77777777" w:rsidR="0039017C" w:rsidRPr="00CF4424" w:rsidRDefault="0039017C" w:rsidP="00CF4424">
      <w:pPr>
        <w:pStyle w:val="Footer"/>
        <w:jc w:val="both"/>
      </w:pPr>
    </w:p>
  </w:endnote>
  <w:endnote w:type="continuationNotice" w:id="1">
    <w:p w14:paraId="6322B358" w14:textId="77777777" w:rsidR="0039017C" w:rsidRDefault="003901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4549" w14:textId="77777777" w:rsidR="0039017C" w:rsidRDefault="0039017C" w:rsidP="00CC3749">
      <w:r>
        <w:separator/>
      </w:r>
    </w:p>
  </w:footnote>
  <w:footnote w:type="continuationSeparator" w:id="0">
    <w:p w14:paraId="65D38B94" w14:textId="77777777" w:rsidR="0039017C" w:rsidRDefault="0039017C" w:rsidP="00CC3749">
      <w:r>
        <w:continuationSeparator/>
      </w:r>
    </w:p>
  </w:footnote>
  <w:footnote w:type="continuationNotice" w:id="1">
    <w:p w14:paraId="03421015" w14:textId="77777777" w:rsidR="0039017C" w:rsidRDefault="003901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7C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C1A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501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19C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DBEA3FB8-684C-4379-ADEE-5CED8FC56726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1628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