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8599C0" w14:textId="77777777" w:rsidR="00786A58" w:rsidRDefault="004F3C30">
      <w:pPr>
        <w:pStyle w:val="Subtitle"/>
      </w:pPr>
      <w:r>
        <w:t xml:space="preserve">VIDES KONSULTATĪVĀ PADOME </w:t>
      </w:r>
    </w:p>
    <w:p w14:paraId="5B8599C1" w14:textId="77777777" w:rsidR="00786A58" w:rsidRDefault="004F3C30">
      <w:pPr>
        <w:jc w:val="center"/>
        <w:rPr>
          <w:sz w:val="20"/>
          <w:highlight w:val="white"/>
        </w:rPr>
      </w:pPr>
      <w:r>
        <w:rPr>
          <w:sz w:val="20"/>
          <w:highlight w:val="white"/>
        </w:rPr>
        <w:t>Nodibinājumi: „Latvijas Dabas fonds”,  „Pasaules Dabas fonds”, „Ķemeru Nacionālā parka fonds”, „Teiču dabas fonds”, „</w:t>
      </w:r>
      <w:proofErr w:type="spellStart"/>
      <w:r>
        <w:rPr>
          <w:sz w:val="20"/>
          <w:highlight w:val="white"/>
        </w:rPr>
        <w:t>RīgasZoo</w:t>
      </w:r>
      <w:proofErr w:type="spellEnd"/>
      <w:r>
        <w:rPr>
          <w:sz w:val="20"/>
          <w:highlight w:val="white"/>
        </w:rPr>
        <w:t xml:space="preserve"> fonds”, biedrības: „Latvijas Ornitoloģijas biedrība”, „Vides fakti”, „Vides aizsardzības klubs”,  „Latvijas Makšķernieku asociācija”,  „Zaļā brīvība”, „Latvijas Botāniķu biedrība” „Latvijas Atkritumu saimniecības asociācija”, „Baltijas krasti”, „Zero Waste Latvija”, „Latvijas Vides pārvaldības asociācija”, „Baltijas Vides forums”, „Latvijas Permakultūras biedrība”, „Ekodizaina kompetences centrs”, „Latvijas </w:t>
      </w:r>
      <w:r w:rsidR="00E73944">
        <w:rPr>
          <w:sz w:val="20"/>
          <w:highlight w:val="white"/>
        </w:rPr>
        <w:t>Bioloģiskās</w:t>
      </w:r>
      <w:r>
        <w:rPr>
          <w:sz w:val="20"/>
          <w:highlight w:val="white"/>
        </w:rPr>
        <w:t xml:space="preserve"> lauksaimniecības asociācija”, „Puse Latvijas” </w:t>
      </w:r>
    </w:p>
    <w:p w14:paraId="5B8599C2" w14:textId="77777777" w:rsidR="00786A58" w:rsidRDefault="00786A58">
      <w:pPr>
        <w:pBdr>
          <w:bottom w:val="single" w:sz="12" w:space="1" w:color="00000A"/>
        </w:pBdr>
        <w:jc w:val="center"/>
        <w:rPr>
          <w:b/>
          <w:bCs/>
          <w:sz w:val="22"/>
          <w:szCs w:val="22"/>
        </w:rPr>
      </w:pPr>
    </w:p>
    <w:p w14:paraId="5B8599C5" w14:textId="5217E8CF" w:rsidR="00786A58" w:rsidRPr="002659B8" w:rsidRDefault="004F3C30" w:rsidP="002659B8">
      <w:pPr>
        <w:pBdr>
          <w:bottom w:val="single" w:sz="12" w:space="1" w:color="00000A"/>
        </w:pBdr>
        <w:jc w:val="center"/>
        <w:rPr>
          <w:b/>
          <w:bCs/>
          <w:sz w:val="22"/>
          <w:szCs w:val="22"/>
        </w:rPr>
      </w:pPr>
      <w:r>
        <w:rPr>
          <w:b/>
          <w:bCs/>
          <w:sz w:val="22"/>
          <w:szCs w:val="22"/>
        </w:rPr>
        <w:t>Rīga, Peldu iela 26/28, LV-1494</w:t>
      </w:r>
    </w:p>
    <w:p w14:paraId="5B8599C6" w14:textId="5C7AA03D" w:rsidR="00786A58" w:rsidRDefault="00576E98">
      <w:pPr>
        <w:jc w:val="both"/>
      </w:pPr>
      <w:r>
        <w:t>Nr.</w:t>
      </w:r>
      <w:r w:rsidR="00915735">
        <w:t>1-</w:t>
      </w:r>
      <w:r w:rsidR="008C5462">
        <w:t>11</w:t>
      </w:r>
    </w:p>
    <w:p w14:paraId="2BEE81A0" w14:textId="42ECA935" w:rsidR="0090530D" w:rsidRDefault="008C5462">
      <w:pPr>
        <w:jc w:val="both"/>
      </w:pPr>
      <w:r>
        <w:t>26</w:t>
      </w:r>
      <w:r w:rsidR="0090530D">
        <w:t>.0</w:t>
      </w:r>
      <w:r w:rsidR="006F0ECA">
        <w:t>8</w:t>
      </w:r>
      <w:r w:rsidR="0090530D">
        <w:t>.2026.</w:t>
      </w:r>
    </w:p>
    <w:p w14:paraId="132B07B4" w14:textId="1E1A4BC6" w:rsidR="00915735" w:rsidRPr="00576E98" w:rsidRDefault="00915735" w:rsidP="00915735">
      <w:pPr>
        <w:jc w:val="right"/>
        <w:rPr>
          <w:b/>
          <w:bCs/>
          <w:szCs w:val="24"/>
        </w:rPr>
      </w:pPr>
      <w:r w:rsidRPr="00576E98">
        <w:rPr>
          <w:b/>
          <w:bCs/>
          <w:szCs w:val="24"/>
        </w:rPr>
        <w:br/>
      </w:r>
    </w:p>
    <w:p w14:paraId="56A3519E" w14:textId="77777777" w:rsidR="008C5462" w:rsidRPr="00E8122E" w:rsidRDefault="008C5462" w:rsidP="008C5462">
      <w:pPr>
        <w:spacing w:after="160" w:line="278" w:lineRule="auto"/>
        <w:jc w:val="right"/>
        <w:rPr>
          <w:rFonts w:eastAsia="Aptos"/>
          <w:b/>
          <w:bCs/>
          <w:szCs w:val="24"/>
          <w:lang w:val="lv" w:eastAsia="en-GB" w:bidi="hi-IN"/>
        </w:rPr>
      </w:pPr>
      <w:r w:rsidRPr="00E8122E">
        <w:rPr>
          <w:rFonts w:eastAsia="Aptos"/>
          <w:b/>
          <w:bCs/>
          <w:szCs w:val="24"/>
          <w:lang w:val="lv" w:eastAsia="en-GB" w:bidi="hi-IN"/>
        </w:rPr>
        <w:t>Latvijas Republikas 14. Saeimas deputātiem</w:t>
      </w:r>
    </w:p>
    <w:p w14:paraId="527EF12A" w14:textId="77777777" w:rsidR="008C5462" w:rsidRPr="00E8122E" w:rsidRDefault="008C5462" w:rsidP="008C5462">
      <w:pPr>
        <w:spacing w:after="160" w:line="278" w:lineRule="auto"/>
        <w:jc w:val="right"/>
        <w:rPr>
          <w:rFonts w:eastAsia="Aptos"/>
          <w:b/>
          <w:bCs/>
          <w:szCs w:val="24"/>
          <w:lang w:val="lv" w:eastAsia="en-GB" w:bidi="hi-IN"/>
        </w:rPr>
      </w:pPr>
      <w:r w:rsidRPr="00E8122E">
        <w:rPr>
          <w:rFonts w:eastAsia="Aptos"/>
          <w:b/>
          <w:bCs/>
          <w:szCs w:val="24"/>
          <w:lang w:val="lv" w:eastAsia="en-GB" w:bidi="hi-IN"/>
        </w:rPr>
        <w:t>Latvijas Republikas Saeimas Juridiskajai komisijai</w:t>
      </w:r>
    </w:p>
    <w:p w14:paraId="6AF6BF22" w14:textId="77777777" w:rsidR="008C5462" w:rsidRPr="00E8122E" w:rsidRDefault="008C5462" w:rsidP="008C5462">
      <w:pPr>
        <w:spacing w:after="160" w:line="278" w:lineRule="auto"/>
        <w:jc w:val="right"/>
        <w:rPr>
          <w:rFonts w:eastAsia="Aptos"/>
          <w:b/>
          <w:bCs/>
          <w:color w:val="004F88"/>
          <w:szCs w:val="24"/>
          <w:lang w:val="lv" w:eastAsia="en-GB" w:bidi="hi-IN"/>
        </w:rPr>
      </w:pPr>
      <w:hyperlink r:id="rId10">
        <w:r w:rsidRPr="00E8122E">
          <w:rPr>
            <w:rFonts w:eastAsia="Aptos"/>
            <w:b/>
            <w:bCs/>
            <w:color w:val="004F88"/>
            <w:szCs w:val="24"/>
            <w:u w:val="single"/>
            <w:lang w:val="lv" w:eastAsia="en-GB" w:bidi="hi-IN"/>
          </w:rPr>
          <w:t>juridiska.komisija@saeima.lv</w:t>
        </w:r>
      </w:hyperlink>
    </w:p>
    <w:p w14:paraId="06D80A42" w14:textId="77777777" w:rsidR="008C5462" w:rsidRPr="00E8122E" w:rsidRDefault="008C5462" w:rsidP="008C5462">
      <w:pPr>
        <w:spacing w:after="160" w:line="278" w:lineRule="auto"/>
        <w:jc w:val="right"/>
        <w:rPr>
          <w:rFonts w:eastAsia="Aptos"/>
          <w:b/>
          <w:bCs/>
          <w:szCs w:val="24"/>
          <w:lang w:val="lv" w:eastAsia="en-GB" w:bidi="hi-IN"/>
        </w:rPr>
      </w:pPr>
      <w:r w:rsidRPr="00E8122E">
        <w:rPr>
          <w:rFonts w:eastAsia="Aptos"/>
          <w:b/>
          <w:bCs/>
          <w:szCs w:val="24"/>
          <w:lang w:val="lv" w:eastAsia="en-GB" w:bidi="hi-IN"/>
        </w:rPr>
        <w:t xml:space="preserve">Zināšanai: Tieslietu ministrijai </w:t>
      </w:r>
    </w:p>
    <w:p w14:paraId="7DC5BF2F" w14:textId="75FA7D25" w:rsidR="00E8122E" w:rsidRPr="00E8122E" w:rsidRDefault="008C5462" w:rsidP="00E8122E">
      <w:pPr>
        <w:spacing w:after="160" w:line="278" w:lineRule="auto"/>
        <w:jc w:val="right"/>
        <w:rPr>
          <w:rFonts w:eastAsia="Aptos"/>
          <w:b/>
          <w:bCs/>
          <w:color w:val="004F88"/>
          <w:szCs w:val="24"/>
          <w:u w:val="single"/>
          <w:lang w:val="lv" w:eastAsia="en-GB" w:bidi="hi-IN"/>
        </w:rPr>
      </w:pPr>
      <w:hyperlink r:id="rId11" w:history="1">
        <w:r w:rsidRPr="00E8122E">
          <w:rPr>
            <w:rStyle w:val="Hyperlink"/>
            <w:rFonts w:eastAsia="Aptos"/>
            <w:b/>
            <w:bCs/>
            <w:color w:val="004F88"/>
            <w:szCs w:val="24"/>
            <w:lang w:val="lv" w:eastAsia="en-GB" w:bidi="hi-IN"/>
          </w:rPr>
          <w:t>pasts@tm.gov.lv</w:t>
        </w:r>
      </w:hyperlink>
    </w:p>
    <w:p w14:paraId="5C9BC15E" w14:textId="7D9F4500" w:rsidR="008C5462" w:rsidRPr="00E8122E" w:rsidRDefault="008C5462" w:rsidP="007C00E0">
      <w:pPr>
        <w:spacing w:after="160" w:line="278" w:lineRule="auto"/>
        <w:jc w:val="both"/>
        <w:rPr>
          <w:rFonts w:eastAsia="Aptos"/>
          <w:i/>
          <w:iCs/>
          <w:szCs w:val="24"/>
          <w:lang w:val="lv" w:eastAsia="en-GB" w:bidi="hi-IN"/>
        </w:rPr>
      </w:pPr>
      <w:r w:rsidRPr="00E8122E">
        <w:rPr>
          <w:rFonts w:eastAsia="Aptos"/>
          <w:i/>
          <w:iCs/>
          <w:szCs w:val="24"/>
          <w:lang w:val="lv" w:eastAsia="en-GB" w:bidi="hi-IN"/>
        </w:rPr>
        <w:t xml:space="preserve">Par likumprojektu “Grozījumi Krimināllikumā” (1325/Lp14) un tajā iekļauto problemātisko </w:t>
      </w:r>
      <w:r w:rsidRPr="00E8122E">
        <w:rPr>
          <w:rFonts w:eastAsia="Arial"/>
          <w:i/>
          <w:iCs/>
          <w:szCs w:val="24"/>
          <w:lang w:val="lv" w:eastAsia="en-GB" w:bidi="hi-IN"/>
        </w:rPr>
        <w:t>115.</w:t>
      </w:r>
      <w:r w:rsidRPr="00E8122E">
        <w:rPr>
          <w:rFonts w:eastAsia="Arial"/>
          <w:i/>
          <w:iCs/>
          <w:szCs w:val="24"/>
          <w:vertAlign w:val="superscript"/>
          <w:lang w:val="lv" w:eastAsia="en-GB" w:bidi="hi-IN"/>
        </w:rPr>
        <w:t xml:space="preserve">2 </w:t>
      </w:r>
      <w:r w:rsidRPr="00E8122E">
        <w:rPr>
          <w:rFonts w:eastAsia="Arial"/>
          <w:i/>
          <w:iCs/>
          <w:szCs w:val="24"/>
          <w:lang w:val="lv" w:eastAsia="en-GB" w:bidi="hi-IN"/>
        </w:rPr>
        <w:t>pantu</w:t>
      </w:r>
    </w:p>
    <w:p w14:paraId="5E562650" w14:textId="77777777" w:rsidR="008C5462" w:rsidRPr="008C5462" w:rsidRDefault="008C5462" w:rsidP="008C5462">
      <w:pPr>
        <w:spacing w:after="160" w:line="278" w:lineRule="auto"/>
        <w:rPr>
          <w:rFonts w:eastAsia="Aptos"/>
          <w:b/>
          <w:bCs/>
          <w:szCs w:val="24"/>
          <w:lang w:val="lv" w:eastAsia="en-GB" w:bidi="hi-IN"/>
        </w:rPr>
      </w:pPr>
      <w:r w:rsidRPr="008C5462">
        <w:rPr>
          <w:rFonts w:eastAsia="Aptos"/>
          <w:b/>
          <w:bCs/>
          <w:szCs w:val="24"/>
          <w:lang w:val="lv" w:eastAsia="en-GB" w:bidi="hi-IN"/>
        </w:rPr>
        <w:t>Kopsavilkums</w:t>
      </w:r>
    </w:p>
    <w:p w14:paraId="2A08ABDF" w14:textId="2E2B48E7" w:rsidR="008C5462" w:rsidRPr="008C5462" w:rsidRDefault="008C5462" w:rsidP="008C5462">
      <w:pPr>
        <w:spacing w:after="160" w:line="278" w:lineRule="auto"/>
        <w:ind w:firstLine="720"/>
        <w:jc w:val="both"/>
        <w:rPr>
          <w:rFonts w:eastAsia="Aptos"/>
          <w:szCs w:val="24"/>
          <w:lang w:val="lv" w:eastAsia="en-GB" w:bidi="hi-IN"/>
        </w:rPr>
      </w:pPr>
      <w:r w:rsidRPr="008C5462">
        <w:rPr>
          <w:rFonts w:eastAsia="Aptos"/>
          <w:szCs w:val="24"/>
          <w:lang w:val="lv" w:eastAsia="en-GB" w:bidi="hi-IN"/>
        </w:rPr>
        <w:t>Mēs, Vides konsultatīvā padomes</w:t>
      </w:r>
      <w:r w:rsidR="00C70C9D">
        <w:rPr>
          <w:rFonts w:eastAsia="Aptos"/>
          <w:szCs w:val="24"/>
          <w:lang w:val="lv" w:eastAsia="en-GB" w:bidi="hi-IN"/>
        </w:rPr>
        <w:t xml:space="preserve"> (VKP)</w:t>
      </w:r>
      <w:r w:rsidRPr="008C5462">
        <w:rPr>
          <w:rFonts w:eastAsia="Aptos"/>
          <w:szCs w:val="24"/>
          <w:lang w:val="lv" w:eastAsia="en-GB" w:bidi="hi-IN"/>
        </w:rPr>
        <w:t xml:space="preserve"> sastāvā esošās vides organizācijas, lūdzam Saeimas deputātus neatbalstīt likumprojekta “Grozījumi Krimināllikumā” (1325/Lp14) (turpmāk – likumprojekts) </w:t>
      </w:r>
      <w:r w:rsidRPr="008C5462">
        <w:rPr>
          <w:rFonts w:eastAsia="Arial"/>
          <w:szCs w:val="24"/>
          <w:lang w:val="lv" w:eastAsia="en-GB" w:bidi="hi-IN"/>
        </w:rPr>
        <w:t>115.</w:t>
      </w:r>
      <w:r w:rsidRPr="008C5462">
        <w:rPr>
          <w:rFonts w:eastAsia="Arial"/>
          <w:szCs w:val="24"/>
          <w:vertAlign w:val="superscript"/>
          <w:lang w:val="lv" w:eastAsia="en-GB" w:bidi="hi-IN"/>
        </w:rPr>
        <w:t>2</w:t>
      </w:r>
      <w:r w:rsidRPr="008C5462">
        <w:rPr>
          <w:rFonts w:eastAsia="Arial"/>
          <w:szCs w:val="24"/>
          <w:lang w:val="lv" w:eastAsia="en-GB" w:bidi="hi-IN"/>
        </w:rPr>
        <w:t xml:space="preserve"> pantu pašreizējā redakcijā</w:t>
      </w:r>
      <w:r w:rsidRPr="008C5462">
        <w:rPr>
          <w:rFonts w:eastAsia="Aptos"/>
          <w:szCs w:val="24"/>
          <w:lang w:val="lv" w:eastAsia="en-GB" w:bidi="hi-IN"/>
        </w:rPr>
        <w:t>, kas pieņemts 20.08.2026 Saeimas sēdē, 2. lasījumā.</w:t>
      </w:r>
      <w:r w:rsidRPr="008C5462">
        <w:rPr>
          <w:rFonts w:eastAsia="Aptos"/>
          <w:szCs w:val="24"/>
          <w:vertAlign w:val="superscript"/>
          <w:lang w:val="lv" w:eastAsia="en-GB" w:bidi="hi-IN"/>
        </w:rPr>
        <w:footnoteReference w:id="1"/>
      </w:r>
      <w:r w:rsidRPr="008C5462">
        <w:rPr>
          <w:rFonts w:eastAsia="Aptos"/>
          <w:szCs w:val="24"/>
          <w:lang w:val="lv" w:eastAsia="en-GB" w:bidi="hi-IN"/>
        </w:rPr>
        <w:t xml:space="preserve">  Pašreizējā redakcija paredzētu atbrīvot personu no kriminālatbildības par īpaši aizsargājamu dabas vērtību iznīcināšanu gadījumos, kad kaitējums radīts, veicot normatīvajos aktos atļautu saimniecisko darbību. Mūsu ieskatā šāda </w:t>
      </w:r>
      <w:r w:rsidRPr="008C5462">
        <w:rPr>
          <w:rFonts w:eastAsia="Aptos"/>
          <w:b/>
          <w:bCs/>
          <w:szCs w:val="24"/>
          <w:lang w:val="lv" w:eastAsia="en-GB" w:bidi="hi-IN"/>
        </w:rPr>
        <w:t>jauna vispārēja nosacījuma ieviešana</w:t>
      </w:r>
      <w:r w:rsidRPr="008C5462">
        <w:rPr>
          <w:rFonts w:eastAsia="Aptos"/>
          <w:szCs w:val="24"/>
          <w:lang w:val="lv" w:eastAsia="en-GB" w:bidi="hi-IN"/>
        </w:rPr>
        <w:t xml:space="preserve"> neatbilst Krimināllikuma būtībai, ES vides tiesību prasībām un var būtiski vājināt īpaši aizsargājamo sugu un biotopu aizsardzību. Ierosinātā panta nepieciešamība ir būtiski pārspīlēta, tā nav pierādīta ar faktiem vai līdzšinējo kriminālatbildības piemērošanas praksi, un ierosinātais pants pēc būtības nerisina eksistējošu, reālu problēmu. Kriminālatbildības piemērošana par videi nodarīto kaitējumu Latvijā nenotiek automātiski, to piemēro tiesas rūpīgi vērtējot katru individuālo gadījumu. Lai pārkāpums kvalificētos par krimināli sodāmu, ir nepieciešams tiesā pierādīt nodomu, pārkāpumā nodarītā kaitējuma būtiskumu un citas kvalificējošas pazīmes. Praksē Latvijā ir vien daži gadījumi, kur par dabas vērtību iznīcību, balstoties uz 115. pantu, ir tikusi piemērota kriminālatbildība, un tā </w:t>
      </w:r>
      <w:r w:rsidRPr="008C5462">
        <w:rPr>
          <w:rFonts w:eastAsia="Aptos"/>
          <w:b/>
          <w:bCs/>
          <w:szCs w:val="24"/>
          <w:lang w:val="lv" w:eastAsia="en-GB" w:bidi="hi-IN"/>
        </w:rPr>
        <w:t xml:space="preserve">nekad </w:t>
      </w:r>
      <w:r w:rsidRPr="008C5462">
        <w:rPr>
          <w:rFonts w:eastAsia="Aptos"/>
          <w:szCs w:val="24"/>
          <w:lang w:val="lv" w:eastAsia="en-GB" w:bidi="hi-IN"/>
        </w:rPr>
        <w:t xml:space="preserve">nav tikusi piemērota gadījumos, kur pārkāpums noticis nejauši.  Ņemot vērā, ka Saeima jau 2. lasījumā lēma neatbalstīt iepriekš Juridiskajā komisijā atbalstīto J. </w:t>
      </w:r>
      <w:proofErr w:type="spellStart"/>
      <w:r w:rsidRPr="008C5462">
        <w:rPr>
          <w:rFonts w:eastAsia="Aptos"/>
          <w:szCs w:val="24"/>
          <w:lang w:val="lv" w:eastAsia="en-GB" w:bidi="hi-IN"/>
        </w:rPr>
        <w:t>Simanovskas</w:t>
      </w:r>
      <w:proofErr w:type="spellEnd"/>
      <w:r w:rsidRPr="008C5462">
        <w:rPr>
          <w:rFonts w:eastAsia="Aptos"/>
          <w:szCs w:val="24"/>
          <w:lang w:val="lv" w:eastAsia="en-GB" w:bidi="hi-IN"/>
        </w:rPr>
        <w:t xml:space="preserve"> un L. Gāteres </w:t>
      </w:r>
      <w:proofErr w:type="spellStart"/>
      <w:r w:rsidRPr="008C5462">
        <w:rPr>
          <w:rFonts w:eastAsia="Aptos"/>
          <w:szCs w:val="24"/>
          <w:lang w:val="lv" w:eastAsia="en-GB" w:bidi="hi-IN"/>
        </w:rPr>
        <w:t>priekšlikumu,kas</w:t>
      </w:r>
      <w:proofErr w:type="spellEnd"/>
      <w:r w:rsidRPr="008C5462">
        <w:rPr>
          <w:rFonts w:eastAsia="Aptos"/>
          <w:szCs w:val="24"/>
          <w:lang w:val="lv" w:eastAsia="en-GB" w:bidi="hi-IN"/>
        </w:rPr>
        <w:t xml:space="preserve"> izslēgtu šo pantu no likumprojekta pilnībā, aicinām deputātiem virzīt </w:t>
      </w:r>
      <w:r w:rsidRPr="008C5462">
        <w:rPr>
          <w:rFonts w:eastAsia="Arial"/>
          <w:szCs w:val="24"/>
          <w:lang w:val="lv" w:eastAsia="en-GB" w:bidi="hi-IN"/>
        </w:rPr>
        <w:t>115.</w:t>
      </w:r>
      <w:r w:rsidRPr="008C5462">
        <w:rPr>
          <w:rFonts w:eastAsia="Arial"/>
          <w:szCs w:val="24"/>
          <w:vertAlign w:val="superscript"/>
          <w:lang w:val="lv" w:eastAsia="en-GB" w:bidi="hi-IN"/>
        </w:rPr>
        <w:t xml:space="preserve">2 </w:t>
      </w:r>
      <w:r w:rsidRPr="008C5462">
        <w:rPr>
          <w:rFonts w:eastAsia="Arial"/>
          <w:szCs w:val="24"/>
          <w:lang w:val="lv" w:eastAsia="en-GB" w:bidi="hi-IN"/>
        </w:rPr>
        <w:t>pantu</w:t>
      </w:r>
      <w:r w:rsidRPr="008C5462">
        <w:rPr>
          <w:rFonts w:eastAsia="Aptos"/>
          <w:szCs w:val="24"/>
          <w:lang w:val="lv" w:eastAsia="en-GB" w:bidi="hi-IN"/>
        </w:rPr>
        <w:t xml:space="preserve"> šādā redakcijā: </w:t>
      </w:r>
    </w:p>
    <w:p w14:paraId="29B65790" w14:textId="77777777" w:rsidR="008C5462" w:rsidRPr="008C5462" w:rsidRDefault="008C5462" w:rsidP="008C5462">
      <w:pPr>
        <w:spacing w:after="160" w:line="278" w:lineRule="auto"/>
        <w:jc w:val="both"/>
        <w:rPr>
          <w:rFonts w:eastAsia="Aptos"/>
          <w:szCs w:val="24"/>
          <w:lang w:val="lv" w:eastAsia="en-GB" w:bidi="hi-IN"/>
        </w:rPr>
      </w:pPr>
      <w:r w:rsidRPr="008C5462">
        <w:rPr>
          <w:rFonts w:eastAsia="Aptos"/>
          <w:szCs w:val="24"/>
          <w:lang w:val="lv" w:eastAsia="en-GB" w:bidi="hi-IN"/>
        </w:rPr>
        <w:lastRenderedPageBreak/>
        <w:t>“</w:t>
      </w:r>
      <w:r w:rsidRPr="008C5462">
        <w:rPr>
          <w:rFonts w:eastAsia="Arial"/>
          <w:szCs w:val="24"/>
          <w:lang w:val="lv" w:eastAsia="en-GB" w:bidi="hi-IN"/>
        </w:rPr>
        <w:t>115.</w:t>
      </w:r>
      <w:r w:rsidRPr="008C5462">
        <w:rPr>
          <w:rFonts w:eastAsia="Arial"/>
          <w:szCs w:val="24"/>
          <w:vertAlign w:val="superscript"/>
          <w:lang w:val="lv" w:eastAsia="en-GB" w:bidi="hi-IN"/>
        </w:rPr>
        <w:t xml:space="preserve">2 </w:t>
      </w:r>
      <w:r w:rsidRPr="008C5462">
        <w:rPr>
          <w:rFonts w:eastAsia="Arial"/>
          <w:szCs w:val="24"/>
          <w:lang w:val="lv" w:eastAsia="en-GB" w:bidi="hi-IN"/>
        </w:rPr>
        <w:t>pants</w:t>
      </w:r>
      <w:r w:rsidRPr="008C5462">
        <w:rPr>
          <w:rFonts w:eastAsia="Aptos"/>
          <w:szCs w:val="24"/>
          <w:lang w:val="lv" w:eastAsia="en-GB" w:bidi="hi-IN"/>
        </w:rPr>
        <w:t xml:space="preserve">. Personas atbrīvošana no kriminālatbildības par īpaši aizsargājamo dzīvnieku, biotopu un augu sugu iznīcināšanu un bojāšanu </w:t>
      </w:r>
    </w:p>
    <w:p w14:paraId="534A0913" w14:textId="32C650FB" w:rsidR="008C5462" w:rsidRPr="008C5462" w:rsidRDefault="008C5462" w:rsidP="008C5462">
      <w:pPr>
        <w:spacing w:after="160" w:line="278" w:lineRule="auto"/>
        <w:jc w:val="both"/>
        <w:rPr>
          <w:rFonts w:eastAsia="Aptos"/>
          <w:szCs w:val="24"/>
          <w:lang w:val="lv" w:eastAsia="en-GB" w:bidi="hi-IN"/>
        </w:rPr>
      </w:pPr>
      <w:r w:rsidRPr="008C5462">
        <w:rPr>
          <w:rFonts w:eastAsia="Aptos"/>
          <w:szCs w:val="24"/>
          <w:lang w:val="lv" w:eastAsia="en-GB" w:bidi="hi-IN"/>
        </w:rPr>
        <w:t xml:space="preserve">Personu atbrīvo no kriminālatbildības par  īpaši aizsargājamo sugu dzīvotnes vai biotopu, īpaši aizsargājamo sugu augu, sēņu, ķērpju, dzīvnieku nonāvēšanu, bojāšanu vai iznīcināšanu, ja persona veikusi normatīvajos aktos atļautu saimniecisko darbību un </w:t>
      </w:r>
      <w:sdt>
        <w:sdtPr>
          <w:rPr>
            <w:rFonts w:eastAsia="Aptos"/>
            <w:szCs w:val="24"/>
            <w:lang w:val="lv" w:eastAsia="en-GB" w:bidi="hi-IN"/>
          </w:rPr>
          <w:tag w:val="goog_rdk_0"/>
          <w:id w:val="-2133218489"/>
        </w:sdtPr>
        <w:sdtContent/>
      </w:sdt>
      <w:sdt>
        <w:sdtPr>
          <w:rPr>
            <w:rFonts w:eastAsia="Aptos"/>
            <w:szCs w:val="24"/>
            <w:lang w:val="lv" w:eastAsia="en-GB" w:bidi="hi-IN"/>
          </w:rPr>
          <w:tag w:val="goog_rdk_1"/>
          <w:id w:val="-104928829"/>
        </w:sdtPr>
        <w:sdtContent/>
      </w:sdt>
      <w:sdt>
        <w:sdtPr>
          <w:rPr>
            <w:rFonts w:eastAsia="Aptos"/>
            <w:szCs w:val="24"/>
            <w:lang w:val="lv" w:eastAsia="en-GB" w:bidi="hi-IN"/>
          </w:rPr>
          <w:tag w:val="goog_rdk_2"/>
          <w:id w:val="721985805"/>
        </w:sdtPr>
        <w:sdtContent/>
      </w:sdt>
      <w:sdt>
        <w:sdtPr>
          <w:rPr>
            <w:rFonts w:eastAsia="Aptos"/>
            <w:szCs w:val="24"/>
            <w:lang w:val="lv" w:eastAsia="en-GB" w:bidi="hi-IN"/>
          </w:rPr>
          <w:tag w:val="goog_rdk_3"/>
          <w:id w:val="-1402651241"/>
        </w:sdtPr>
        <w:sdtContent/>
      </w:sdt>
      <w:sdt>
        <w:sdtPr>
          <w:rPr>
            <w:rFonts w:eastAsia="Aptos"/>
            <w:szCs w:val="24"/>
            <w:lang w:val="lv" w:eastAsia="en-GB" w:bidi="hi-IN"/>
          </w:rPr>
          <w:tag w:val="goog_rdk_4"/>
          <w:id w:val="874868641"/>
        </w:sdtPr>
        <w:sdtContent/>
      </w:sdt>
      <w:sdt>
        <w:sdtPr>
          <w:rPr>
            <w:rFonts w:eastAsia="Aptos"/>
            <w:szCs w:val="24"/>
            <w:lang w:val="lv" w:eastAsia="en-GB" w:bidi="hi-IN"/>
          </w:rPr>
          <w:tag w:val="goog_rdk_5"/>
          <w:id w:val="-594713371"/>
        </w:sdtPr>
        <w:sdtContent/>
      </w:sdt>
      <w:r w:rsidRPr="008C5462">
        <w:rPr>
          <w:rFonts w:eastAsia="Aptos"/>
          <w:szCs w:val="24"/>
          <w:lang w:val="lv" w:eastAsia="en-GB" w:bidi="hi-IN"/>
        </w:rPr>
        <w:t>ja ar tās veikto darbību nav radīts būtisks kaitējums."</w:t>
      </w:r>
    </w:p>
    <w:p w14:paraId="5A4B0EF8" w14:textId="77777777" w:rsidR="008C5462" w:rsidRPr="008C5462" w:rsidRDefault="008C5462" w:rsidP="008C5462">
      <w:pPr>
        <w:spacing w:after="160" w:line="278" w:lineRule="auto"/>
        <w:jc w:val="both"/>
        <w:rPr>
          <w:rFonts w:eastAsia="Aptos"/>
          <w:szCs w:val="24"/>
          <w:lang w:val="lv" w:eastAsia="en-GB" w:bidi="hi-IN"/>
        </w:rPr>
      </w:pPr>
    </w:p>
    <w:p w14:paraId="0C8A1D9C" w14:textId="77777777" w:rsidR="008C5462" w:rsidRPr="008C5462" w:rsidRDefault="008C5462" w:rsidP="008C5462">
      <w:pPr>
        <w:spacing w:after="160" w:line="278" w:lineRule="auto"/>
        <w:rPr>
          <w:rFonts w:eastAsia="Aptos"/>
          <w:b/>
          <w:bCs/>
          <w:szCs w:val="24"/>
          <w:lang w:val="lv" w:eastAsia="en-GB" w:bidi="hi-IN"/>
        </w:rPr>
      </w:pPr>
      <w:r w:rsidRPr="008C5462">
        <w:rPr>
          <w:rFonts w:eastAsia="Aptos"/>
          <w:b/>
          <w:bCs/>
          <w:szCs w:val="24"/>
          <w:lang w:val="lv" w:eastAsia="en-GB" w:bidi="hi-IN"/>
        </w:rPr>
        <w:br w:type="page"/>
      </w:r>
    </w:p>
    <w:p w14:paraId="299E9129" w14:textId="77777777" w:rsidR="008C5462" w:rsidRPr="008C5462" w:rsidRDefault="008C5462" w:rsidP="008C5462">
      <w:pPr>
        <w:spacing w:after="160" w:line="278" w:lineRule="auto"/>
        <w:rPr>
          <w:rFonts w:eastAsia="Aptos"/>
          <w:b/>
          <w:bCs/>
          <w:szCs w:val="24"/>
          <w:lang w:val="lv" w:eastAsia="en-GB" w:bidi="hi-IN"/>
        </w:rPr>
      </w:pPr>
      <w:r w:rsidRPr="008C5462">
        <w:rPr>
          <w:rFonts w:eastAsia="Aptos"/>
          <w:b/>
          <w:bCs/>
          <w:szCs w:val="24"/>
          <w:lang w:val="lv" w:eastAsia="en-GB" w:bidi="hi-IN"/>
        </w:rPr>
        <w:lastRenderedPageBreak/>
        <w:t>Izvērsts skaidrojums</w:t>
      </w:r>
    </w:p>
    <w:p w14:paraId="4333A12B" w14:textId="77777777" w:rsidR="008C5462" w:rsidRPr="008C5462" w:rsidRDefault="008C5462" w:rsidP="00E8122E">
      <w:pPr>
        <w:spacing w:after="160" w:line="278" w:lineRule="auto"/>
        <w:ind w:firstLine="720"/>
        <w:jc w:val="both"/>
        <w:rPr>
          <w:rFonts w:eastAsia="Aptos"/>
          <w:szCs w:val="24"/>
          <w:lang w:val="lv" w:eastAsia="en-GB" w:bidi="hi-IN"/>
        </w:rPr>
      </w:pPr>
      <w:r w:rsidRPr="008C5462">
        <w:rPr>
          <w:rFonts w:eastAsia="Aptos"/>
          <w:szCs w:val="24"/>
          <w:lang w:val="lv" w:eastAsia="en-GB" w:bidi="hi-IN"/>
        </w:rPr>
        <w:t xml:space="preserve">Likumprojekta mērķis ir Latvijas tiesību aktos ieviest Eiropas Parlamenta un Padomes Direktīvu (ES) 2024/1203 (2024. gada 11. aprīlis), kas paredz noteikumus par vides krimināltiesisko aizsardzību un aizstāj Direktīvas 2008/99/EK un 2009/123/EK (turpmāk – Direktīva), ar mērķi </w:t>
      </w:r>
      <w:r w:rsidRPr="008C5462">
        <w:rPr>
          <w:rFonts w:eastAsia="Aptos"/>
          <w:b/>
          <w:bCs/>
          <w:szCs w:val="24"/>
          <w:lang w:val="lv" w:eastAsia="en-GB" w:bidi="hi-IN"/>
        </w:rPr>
        <w:t>samazināt</w:t>
      </w:r>
      <w:r w:rsidRPr="008C5462">
        <w:rPr>
          <w:rFonts w:eastAsia="Aptos"/>
          <w:szCs w:val="24"/>
          <w:lang w:val="lv" w:eastAsia="en-GB" w:bidi="hi-IN"/>
        </w:rPr>
        <w:t xml:space="preserve"> pret dabu un vidi izdarītu noziedzīgu </w:t>
      </w:r>
      <w:r w:rsidRPr="008C5462">
        <w:rPr>
          <w:rFonts w:eastAsia="Aptos"/>
          <w:b/>
          <w:bCs/>
          <w:szCs w:val="24"/>
          <w:lang w:val="lv" w:eastAsia="en-GB" w:bidi="hi-IN"/>
        </w:rPr>
        <w:t>nodarījumu skaitu un to radītās negatīvās sekas</w:t>
      </w:r>
      <w:r w:rsidRPr="008C5462">
        <w:rPr>
          <w:rFonts w:eastAsia="Aptos"/>
          <w:szCs w:val="24"/>
          <w:lang w:val="lv" w:eastAsia="en-GB" w:bidi="hi-IN"/>
        </w:rPr>
        <w:t xml:space="preserve">. Likumprojekta </w:t>
      </w:r>
      <w:r w:rsidRPr="008C5462">
        <w:rPr>
          <w:rFonts w:eastAsia="Aptos"/>
          <w:b/>
          <w:bCs/>
          <w:szCs w:val="24"/>
          <w:lang w:val="lv" w:eastAsia="en-GB" w:bidi="hi-IN"/>
        </w:rPr>
        <w:t>115.</w:t>
      </w:r>
      <w:r w:rsidRPr="008C5462">
        <w:rPr>
          <w:rFonts w:eastAsia="Aptos"/>
          <w:b/>
          <w:bCs/>
          <w:szCs w:val="24"/>
          <w:vertAlign w:val="superscript"/>
          <w:lang w:val="lv" w:eastAsia="en-GB" w:bidi="hi-IN"/>
        </w:rPr>
        <w:t>2</w:t>
      </w:r>
      <w:r w:rsidRPr="008C5462">
        <w:rPr>
          <w:rFonts w:eastAsia="Aptos"/>
          <w:b/>
          <w:bCs/>
          <w:szCs w:val="24"/>
          <w:lang w:val="lv" w:eastAsia="en-GB" w:bidi="hi-IN"/>
        </w:rPr>
        <w:t xml:space="preserve"> pants, kas tika apstiprināts 2. lasījumā,</w:t>
      </w:r>
      <w:r w:rsidRPr="008C5462">
        <w:rPr>
          <w:rFonts w:eastAsia="Aptos"/>
          <w:szCs w:val="24"/>
          <w:lang w:val="lv" w:eastAsia="en-GB" w:bidi="hi-IN"/>
        </w:rPr>
        <w:t xml:space="preserve"> paredz, ka </w:t>
      </w:r>
      <w:r w:rsidRPr="008C5462">
        <w:rPr>
          <w:rFonts w:eastAsia="Aptos"/>
          <w:b/>
          <w:bCs/>
          <w:szCs w:val="24"/>
          <w:lang w:val="lv" w:eastAsia="en-GB" w:bidi="hi-IN"/>
        </w:rPr>
        <w:t>persona tiek atbrīvota no kriminālatbildības</w:t>
      </w:r>
      <w:r w:rsidRPr="008C5462">
        <w:rPr>
          <w:rFonts w:eastAsia="Aptos"/>
          <w:szCs w:val="24"/>
          <w:lang w:val="lv" w:eastAsia="en-GB" w:bidi="hi-IN"/>
        </w:rPr>
        <w:t xml:space="preserve"> par īpaši aizsargājamo sugu dzīvnieku, augu, sēņu, ķērpju vai īpaši aizsargājamo sugu dzīvotnes vai biotopu nonāvēšanu, bojāšanu vai iznīcināšanu, </w:t>
      </w:r>
      <w:r w:rsidRPr="008C5462">
        <w:rPr>
          <w:rFonts w:eastAsia="Aptos"/>
          <w:b/>
          <w:bCs/>
          <w:szCs w:val="24"/>
          <w:lang w:val="lv" w:eastAsia="en-GB" w:bidi="hi-IN"/>
        </w:rPr>
        <w:t>ja persona veikusi normatīvajos aktos atļautu saimniecisko darbību</w:t>
      </w:r>
      <w:r w:rsidRPr="008C5462">
        <w:rPr>
          <w:rFonts w:eastAsia="Aptos"/>
          <w:szCs w:val="24"/>
          <w:lang w:val="lv" w:eastAsia="en-GB" w:bidi="hi-IN"/>
        </w:rPr>
        <w:t xml:space="preserve">. </w:t>
      </w:r>
    </w:p>
    <w:p w14:paraId="2EBACF34" w14:textId="77777777" w:rsidR="008C5462" w:rsidRPr="008C5462" w:rsidRDefault="008C5462" w:rsidP="008C5462">
      <w:pPr>
        <w:spacing w:after="160" w:line="278" w:lineRule="auto"/>
        <w:jc w:val="both"/>
        <w:rPr>
          <w:rFonts w:eastAsia="Aptos"/>
          <w:szCs w:val="24"/>
          <w:lang w:val="lv" w:eastAsia="en-GB" w:bidi="hi-IN"/>
        </w:rPr>
      </w:pPr>
      <w:r w:rsidRPr="008C5462">
        <w:rPr>
          <w:rFonts w:eastAsia="Aptos"/>
          <w:szCs w:val="24"/>
          <w:lang w:val="lv" w:eastAsia="en-GB" w:bidi="hi-IN"/>
        </w:rPr>
        <w:t xml:space="preserve">Lai gan iepriekš Saeimas Juridiskajā komisijā šis pants tika izslēgts, atbalstot J. </w:t>
      </w:r>
      <w:proofErr w:type="spellStart"/>
      <w:r w:rsidRPr="008C5462">
        <w:rPr>
          <w:rFonts w:eastAsia="Aptos"/>
          <w:szCs w:val="24"/>
          <w:lang w:val="lv" w:eastAsia="en-GB" w:bidi="hi-IN"/>
        </w:rPr>
        <w:t>Simanovskas</w:t>
      </w:r>
      <w:proofErr w:type="spellEnd"/>
      <w:r w:rsidRPr="008C5462">
        <w:rPr>
          <w:rFonts w:eastAsia="Aptos"/>
          <w:szCs w:val="24"/>
          <w:lang w:val="lv" w:eastAsia="en-GB" w:bidi="hi-IN"/>
        </w:rPr>
        <w:t xml:space="preserve"> un L. Gāteres priekšlikumu un balstoties uz Saeimas Juridiskā biroja viedokli, Saeimas sēdē deputāti nobalsoja pretēji, saglabājot šo pantu virzīšanai uz 3. lasījumu.</w:t>
      </w:r>
    </w:p>
    <w:p w14:paraId="4FABDCE6" w14:textId="77777777" w:rsidR="008C5462" w:rsidRPr="008C5462" w:rsidRDefault="008C5462" w:rsidP="008C5462">
      <w:pPr>
        <w:spacing w:after="160" w:line="278" w:lineRule="auto"/>
        <w:jc w:val="both"/>
        <w:rPr>
          <w:rFonts w:eastAsia="Aptos"/>
          <w:szCs w:val="24"/>
          <w:lang w:val="lv" w:eastAsia="en-GB" w:bidi="hi-IN"/>
        </w:rPr>
      </w:pPr>
      <w:r w:rsidRPr="008C5462">
        <w:rPr>
          <w:rFonts w:eastAsia="Aptos"/>
          <w:szCs w:val="24"/>
          <w:lang w:val="lv" w:eastAsia="en-GB" w:bidi="hi-IN"/>
        </w:rPr>
        <w:t xml:space="preserve">Otrajā lasījumā atbalstītais Krimināllikuma </w:t>
      </w:r>
      <w:r w:rsidRPr="008C5462">
        <w:rPr>
          <w:rFonts w:eastAsia="Aptos"/>
          <w:b/>
          <w:bCs/>
          <w:szCs w:val="24"/>
          <w:lang w:val="lv" w:eastAsia="en-GB" w:bidi="hi-IN"/>
        </w:rPr>
        <w:t xml:space="preserve">115.² pants mūsu ieskatā var būtiski vājināt atbildību par īpaši aizsargājamo sugu un biotopu iznīcināšanu </w:t>
      </w:r>
      <w:r w:rsidRPr="008C5462">
        <w:rPr>
          <w:rFonts w:eastAsia="Aptos"/>
          <w:szCs w:val="24"/>
          <w:lang w:val="lv" w:eastAsia="en-GB" w:bidi="hi-IN"/>
        </w:rPr>
        <w:t>un ar šo normu</w:t>
      </w:r>
      <w:r w:rsidRPr="008C5462">
        <w:rPr>
          <w:rFonts w:eastAsia="Aptos"/>
          <w:b/>
          <w:bCs/>
          <w:szCs w:val="24"/>
          <w:lang w:val="lv" w:eastAsia="en-GB" w:bidi="hi-IN"/>
        </w:rPr>
        <w:t xml:space="preserve"> </w:t>
      </w:r>
      <w:r w:rsidRPr="008C5462">
        <w:rPr>
          <w:rFonts w:eastAsia="Aptos"/>
          <w:szCs w:val="24"/>
          <w:lang w:val="lv" w:eastAsia="en-GB" w:bidi="hi-IN"/>
        </w:rPr>
        <w:t xml:space="preserve">faktiski </w:t>
      </w:r>
      <w:r w:rsidRPr="008C5462">
        <w:rPr>
          <w:rFonts w:eastAsia="Aptos"/>
          <w:b/>
          <w:bCs/>
          <w:szCs w:val="24"/>
          <w:lang w:val="lv" w:eastAsia="en-GB" w:bidi="hi-IN"/>
        </w:rPr>
        <w:t xml:space="preserve">var </w:t>
      </w:r>
      <w:proofErr w:type="spellStart"/>
      <w:r w:rsidRPr="008C5462">
        <w:rPr>
          <w:rFonts w:eastAsia="Aptos"/>
          <w:b/>
          <w:bCs/>
          <w:szCs w:val="24"/>
          <w:lang w:val="lv" w:eastAsia="en-GB" w:bidi="hi-IN"/>
        </w:rPr>
        <w:t>leģitimizēt</w:t>
      </w:r>
      <w:proofErr w:type="spellEnd"/>
      <w:r w:rsidRPr="008C5462">
        <w:rPr>
          <w:rFonts w:eastAsia="Aptos"/>
          <w:szCs w:val="24"/>
          <w:lang w:val="lv" w:eastAsia="en-GB" w:bidi="hi-IN"/>
        </w:rPr>
        <w:t xml:space="preserve"> īpaši aizsargājamo sugu un biotopu </w:t>
      </w:r>
      <w:r w:rsidRPr="008C5462">
        <w:rPr>
          <w:rFonts w:eastAsia="Aptos"/>
          <w:b/>
          <w:bCs/>
          <w:szCs w:val="24"/>
          <w:lang w:val="lv" w:eastAsia="en-GB" w:bidi="hi-IN"/>
        </w:rPr>
        <w:t>iznīcināšanu</w:t>
      </w:r>
      <w:r w:rsidRPr="008C5462">
        <w:rPr>
          <w:rFonts w:eastAsia="Aptos"/>
          <w:szCs w:val="24"/>
          <w:lang w:val="lv" w:eastAsia="en-GB" w:bidi="hi-IN"/>
        </w:rPr>
        <w:t xml:space="preserve"> </w:t>
      </w:r>
      <w:r w:rsidRPr="008C5462">
        <w:rPr>
          <w:rFonts w:eastAsia="Aptos"/>
          <w:b/>
          <w:bCs/>
          <w:szCs w:val="24"/>
          <w:lang w:val="lv" w:eastAsia="en-GB" w:bidi="hi-IN"/>
        </w:rPr>
        <w:t xml:space="preserve">visur tur, kur atļauta </w:t>
      </w:r>
      <w:r w:rsidRPr="008C5462">
        <w:rPr>
          <w:rFonts w:eastAsia="Aptos"/>
          <w:b/>
          <w:bCs/>
          <w:szCs w:val="24"/>
          <w:u w:val="single"/>
          <w:lang w:val="lv" w:eastAsia="en-GB" w:bidi="hi-IN"/>
        </w:rPr>
        <w:t>jebkāda veida</w:t>
      </w:r>
      <w:r w:rsidRPr="008C5462">
        <w:rPr>
          <w:rFonts w:eastAsia="Aptos"/>
          <w:b/>
          <w:bCs/>
          <w:szCs w:val="24"/>
          <w:lang w:val="lv" w:eastAsia="en-GB" w:bidi="hi-IN"/>
        </w:rPr>
        <w:t xml:space="preserve"> saimnieciskā darbība</w:t>
      </w:r>
      <w:r w:rsidRPr="008C5462">
        <w:rPr>
          <w:rFonts w:eastAsia="Aptos"/>
          <w:szCs w:val="24"/>
          <w:lang w:val="lv" w:eastAsia="en-GB" w:bidi="hi-IN"/>
        </w:rPr>
        <w:t xml:space="preserve">, kas ir pretrunā Direktīvas mērķiem. </w:t>
      </w:r>
    </w:p>
    <w:p w14:paraId="0F4649AF" w14:textId="77777777" w:rsidR="008C5462" w:rsidRPr="008C5462" w:rsidRDefault="008C5462" w:rsidP="008C5462">
      <w:pPr>
        <w:spacing w:after="160" w:line="278" w:lineRule="auto"/>
        <w:jc w:val="both"/>
        <w:rPr>
          <w:rFonts w:eastAsia="Aptos"/>
          <w:szCs w:val="24"/>
          <w:lang w:val="lv" w:eastAsia="en-GB" w:bidi="hi-IN"/>
        </w:rPr>
      </w:pPr>
      <w:r w:rsidRPr="008C5462">
        <w:rPr>
          <w:rFonts w:eastAsia="Aptos"/>
          <w:b/>
          <w:bCs/>
          <w:szCs w:val="24"/>
          <w:lang w:val="lv" w:eastAsia="en-GB" w:bidi="hi-IN"/>
        </w:rPr>
        <w:t>Uzsveram, ka likumprojektā sākotnēji ietvertais 115.</w:t>
      </w:r>
      <w:r w:rsidRPr="008C5462">
        <w:rPr>
          <w:rFonts w:eastAsia="Aptos"/>
          <w:b/>
          <w:bCs/>
          <w:szCs w:val="24"/>
          <w:vertAlign w:val="superscript"/>
          <w:lang w:val="lv" w:eastAsia="en-GB" w:bidi="hi-IN"/>
        </w:rPr>
        <w:t>2</w:t>
      </w:r>
      <w:r w:rsidRPr="008C5462">
        <w:rPr>
          <w:rFonts w:eastAsia="Aptos"/>
          <w:b/>
          <w:bCs/>
          <w:szCs w:val="24"/>
          <w:lang w:val="lv" w:eastAsia="en-GB" w:bidi="hi-IN"/>
        </w:rPr>
        <w:t xml:space="preserve">. pants ir </w:t>
      </w:r>
      <w:r w:rsidRPr="008C5462">
        <w:rPr>
          <w:rFonts w:eastAsia="Aptos"/>
          <w:b/>
          <w:bCs/>
          <w:szCs w:val="24"/>
          <w:u w:val="single"/>
          <w:lang w:val="lv" w:eastAsia="en-GB" w:bidi="hi-IN"/>
        </w:rPr>
        <w:t>jauns papildinājums Krimināllikumam</w:t>
      </w:r>
      <w:r w:rsidRPr="008C5462">
        <w:rPr>
          <w:rFonts w:eastAsia="Aptos"/>
          <w:b/>
          <w:bCs/>
          <w:szCs w:val="24"/>
          <w:lang w:val="lv" w:eastAsia="en-GB" w:bidi="hi-IN"/>
        </w:rPr>
        <w:t xml:space="preserve">, nevis eksistējoša norma, un Direktīvas pārņemšanas procesā šādi faktiski tiek ieviests pašai Direktīvai neatbilstošs regulējums.  </w:t>
      </w:r>
      <w:r w:rsidRPr="008C5462">
        <w:rPr>
          <w:rFonts w:eastAsia="Aptos"/>
          <w:szCs w:val="24"/>
          <w:lang w:val="lv" w:eastAsia="en-GB" w:bidi="hi-IN"/>
        </w:rPr>
        <w:t>Direktīvas 3. pants noteic, ka rīcība ir prettiesiska arī tad,</w:t>
      </w:r>
      <w:r w:rsidRPr="008C5462">
        <w:rPr>
          <w:rFonts w:eastAsia="Aptos"/>
          <w:b/>
          <w:bCs/>
          <w:szCs w:val="24"/>
          <w:lang w:val="lv" w:eastAsia="en-GB" w:bidi="hi-IN"/>
        </w:rPr>
        <w:t xml:space="preserve"> ja tā ir veikta ar kompetentas iestādes izsniegtu atļauju</w:t>
      </w:r>
      <w:r w:rsidRPr="008C5462">
        <w:rPr>
          <w:rFonts w:eastAsia="Aptos"/>
          <w:szCs w:val="24"/>
          <w:lang w:val="lv" w:eastAsia="en-GB" w:bidi="hi-IN"/>
        </w:rPr>
        <w:t xml:space="preserve">, ja šī </w:t>
      </w:r>
      <w:r w:rsidRPr="008C5462">
        <w:rPr>
          <w:rFonts w:eastAsia="Aptos"/>
          <w:b/>
          <w:bCs/>
          <w:szCs w:val="24"/>
          <w:lang w:val="lv" w:eastAsia="en-GB" w:bidi="hi-IN"/>
        </w:rPr>
        <w:t>atļauja acīmredzami neatbilst attiecīgajām materiālajām juridiskajām prasībām</w:t>
      </w:r>
      <w:r w:rsidRPr="008C5462">
        <w:rPr>
          <w:rFonts w:eastAsia="Aptos"/>
          <w:szCs w:val="24"/>
          <w:lang w:val="lv" w:eastAsia="en-GB" w:bidi="hi-IN"/>
        </w:rPr>
        <w:t xml:space="preserve"> – tātad, ja, izsniedzot atļauju, nav ņemtas vērā dabas aizsardzības prasības.</w:t>
      </w:r>
    </w:p>
    <w:p w14:paraId="16858828" w14:textId="77777777" w:rsidR="008C5462" w:rsidRPr="008C5462" w:rsidRDefault="008C5462" w:rsidP="008C5462">
      <w:pPr>
        <w:spacing w:after="160" w:line="278" w:lineRule="auto"/>
        <w:jc w:val="both"/>
        <w:rPr>
          <w:rFonts w:eastAsia="Aptos"/>
          <w:szCs w:val="24"/>
          <w:lang w:val="lv" w:eastAsia="en-GB" w:bidi="hi-IN"/>
        </w:rPr>
      </w:pPr>
      <w:r w:rsidRPr="008C5462">
        <w:rPr>
          <w:rFonts w:eastAsia="Aptos"/>
          <w:szCs w:val="24"/>
          <w:lang w:val="lv" w:eastAsia="en-GB" w:bidi="hi-IN"/>
        </w:rPr>
        <w:t>Likumprojekta</w:t>
      </w:r>
      <w:r w:rsidRPr="008C5462">
        <w:rPr>
          <w:rFonts w:eastAsia="Aptos"/>
          <w:b/>
          <w:bCs/>
          <w:szCs w:val="24"/>
          <w:lang w:val="lv" w:eastAsia="en-GB" w:bidi="hi-IN"/>
        </w:rPr>
        <w:t xml:space="preserve"> anotācijā</w:t>
      </w:r>
      <w:r w:rsidRPr="008C5462">
        <w:rPr>
          <w:rFonts w:eastAsia="Aptos"/>
          <w:szCs w:val="24"/>
          <w:lang w:val="lv" w:eastAsia="en-GB" w:bidi="hi-IN"/>
        </w:rPr>
        <w:t xml:space="preserve"> šīs normas nepieciešamība ir pamatota ar to, ka nav samērīgi paredzēt kriminālatbildību, ja persona </w:t>
      </w:r>
      <w:r w:rsidRPr="008C5462">
        <w:rPr>
          <w:rFonts w:eastAsia="Aptos"/>
          <w:b/>
          <w:bCs/>
          <w:szCs w:val="24"/>
          <w:lang w:val="lv" w:eastAsia="en-GB" w:bidi="hi-IN"/>
        </w:rPr>
        <w:t xml:space="preserve">neapzināti </w:t>
      </w:r>
      <w:r w:rsidRPr="008C5462">
        <w:rPr>
          <w:rFonts w:eastAsia="Aptos"/>
          <w:szCs w:val="24"/>
          <w:lang w:val="lv" w:eastAsia="en-GB" w:bidi="hi-IN"/>
        </w:rPr>
        <w:t xml:space="preserve">ir nodarījusi kaitējumu kādai vides vērtībai vai dzīvotnei, veicot, piemēram, mežsaimniecisko darbību, taču jāuzsver, </w:t>
      </w:r>
      <w:r w:rsidRPr="008C5462">
        <w:rPr>
          <w:rFonts w:eastAsia="Aptos"/>
          <w:b/>
          <w:bCs/>
          <w:szCs w:val="24"/>
          <w:lang w:val="lv" w:eastAsia="en-GB" w:bidi="hi-IN"/>
        </w:rPr>
        <w:t xml:space="preserve">ka Kriminālatbildību par kaitējumu videi piemēro tiesas pēc ļoti rūpīga </w:t>
      </w:r>
      <w:proofErr w:type="spellStart"/>
      <w:r w:rsidRPr="008C5462">
        <w:rPr>
          <w:rFonts w:eastAsia="Aptos"/>
          <w:b/>
          <w:bCs/>
          <w:szCs w:val="24"/>
          <w:lang w:val="lv" w:eastAsia="en-GB" w:bidi="hi-IN"/>
        </w:rPr>
        <w:t>izvērtējuma</w:t>
      </w:r>
      <w:proofErr w:type="spellEnd"/>
      <w:r w:rsidRPr="008C5462">
        <w:rPr>
          <w:rFonts w:eastAsia="Aptos"/>
          <w:szCs w:val="24"/>
          <w:lang w:val="lv" w:eastAsia="en-GB" w:bidi="hi-IN"/>
        </w:rPr>
        <w:t xml:space="preserve">, kā arī praksē ir maz šādu ierosinātu krimināllietu. Šobrīd saskaņā ar Krimināllikuma 10. panta ceturto </w:t>
      </w:r>
      <w:r w:rsidRPr="008C5462">
        <w:rPr>
          <w:rFonts w:eastAsia="Aptos"/>
          <w:b/>
          <w:bCs/>
          <w:szCs w:val="24"/>
          <w:lang w:val="lv" w:eastAsia="en-GB" w:bidi="hi-IN"/>
        </w:rPr>
        <w:t xml:space="preserve">daļu paredzētais nodarījums nav krimināli sodāms, ja persona neparedzēja, tai nevajadzēja un tā nevarēja paredzēt savas darbības vai bezdarbības kaitīgo seku iestāšanos. </w:t>
      </w:r>
      <w:r w:rsidRPr="008C5462">
        <w:rPr>
          <w:rFonts w:eastAsia="Aptos"/>
          <w:szCs w:val="24"/>
          <w:lang w:val="lv" w:eastAsia="en-GB" w:bidi="hi-IN"/>
        </w:rPr>
        <w:t xml:space="preserve">Tātad Krimināllikumā jau ir ietverta šāda atruna, un personas netiek sauktas pie kriminālatbildības. </w:t>
      </w:r>
    </w:p>
    <w:p w14:paraId="1BC5283F" w14:textId="77777777" w:rsidR="008C5462" w:rsidRPr="008C5462" w:rsidRDefault="008C5462" w:rsidP="008C5462">
      <w:pPr>
        <w:spacing w:after="160" w:line="278" w:lineRule="auto"/>
        <w:jc w:val="both"/>
        <w:rPr>
          <w:rFonts w:eastAsia="Aptos"/>
          <w:szCs w:val="24"/>
          <w:lang w:val="lv" w:eastAsia="en-GB" w:bidi="hi-IN"/>
        </w:rPr>
      </w:pPr>
      <w:r w:rsidRPr="008C5462">
        <w:rPr>
          <w:rFonts w:eastAsia="Aptos"/>
          <w:szCs w:val="24"/>
          <w:lang w:val="lv" w:eastAsia="en-GB" w:bidi="hi-IN"/>
        </w:rPr>
        <w:t xml:space="preserve">Piemēram, ja saimnieciskās darbības vietā īpaši aizsargājams plēsīgais putns uzbūvējis sev ligzdu, tad konkrētajā vietā ligzdošanas vietas iznīcināšana, veicot saimniecisko darbību, nevar būt atļauta atbilstoši Sugu un biotopu aizsardzības likuma regulējumam, kas aizliedz bojāt vai iznīcināt īpaši aizsargājamas sugas. Šajā gadījumā izsniegtā ciršanas atļauja nedod tiesības saimnieciskās darbības veicējam pārkāpt Sugu un biotopu aizsardzības likumu.  Kriminālatbildības iestāšanos šajā gadījumā vērtētu tiesa, vērtējot pārkāpuma nodomu, kaitējuma būtiskumu sugas aizsardzībai un citus faktorus, taču šādā gadījumā </w:t>
      </w:r>
      <w:r w:rsidRPr="008C5462">
        <w:rPr>
          <w:rFonts w:eastAsia="Aptos"/>
          <w:b/>
          <w:bCs/>
          <w:szCs w:val="24"/>
          <w:lang w:val="lv" w:eastAsia="en-GB" w:bidi="hi-IN"/>
        </w:rPr>
        <w:t>nedrīkst</w:t>
      </w:r>
      <w:r w:rsidRPr="008C5462">
        <w:rPr>
          <w:rFonts w:eastAsia="Aptos"/>
          <w:szCs w:val="24"/>
          <w:lang w:val="lv" w:eastAsia="en-GB" w:bidi="hi-IN"/>
        </w:rPr>
        <w:t xml:space="preserve"> piemērot automātisku atbrīvošanu no kriminālatbildības, jo tas var neatbilst pārkāpuma būtībai.</w:t>
      </w:r>
    </w:p>
    <w:p w14:paraId="75A5B7D3" w14:textId="77777777" w:rsidR="008C5462" w:rsidRPr="008C5462" w:rsidRDefault="008C5462" w:rsidP="008C5462">
      <w:pPr>
        <w:spacing w:after="160" w:line="278" w:lineRule="auto"/>
        <w:jc w:val="both"/>
        <w:rPr>
          <w:rFonts w:eastAsia="Aptos"/>
          <w:szCs w:val="24"/>
          <w:lang w:val="lv" w:eastAsia="en-GB" w:bidi="hi-IN"/>
        </w:rPr>
      </w:pPr>
      <w:r w:rsidRPr="008C5462">
        <w:rPr>
          <w:rFonts w:eastAsia="Aptos"/>
          <w:szCs w:val="24"/>
          <w:lang w:val="lv" w:eastAsia="en-GB" w:bidi="hi-IN"/>
        </w:rPr>
        <w:t xml:space="preserve">Kriminālatbildība iestājas tikai, </w:t>
      </w:r>
      <w:r w:rsidRPr="008C5462">
        <w:rPr>
          <w:rFonts w:eastAsia="Aptos"/>
          <w:b/>
          <w:bCs/>
          <w:szCs w:val="24"/>
          <w:lang w:val="lv" w:eastAsia="en-GB" w:bidi="hi-IN"/>
        </w:rPr>
        <w:t>ja ar īpaši aizsargājamo sugu vai īpaši aizsargājamo biotopu iznīcināšanu vai bojāšanu ir radīts būtisks kaitējums</w:t>
      </w:r>
      <w:r w:rsidRPr="008C5462">
        <w:rPr>
          <w:rFonts w:eastAsia="Aptos"/>
          <w:szCs w:val="24"/>
          <w:lang w:val="lv" w:eastAsia="en-GB" w:bidi="hi-IN"/>
        </w:rPr>
        <w:t xml:space="preserve">, </w:t>
      </w:r>
      <w:r w:rsidRPr="008C5462">
        <w:rPr>
          <w:rFonts w:eastAsia="Aptos"/>
          <w:b/>
          <w:bCs/>
          <w:szCs w:val="24"/>
          <w:lang w:val="lv" w:eastAsia="en-GB" w:bidi="hi-IN"/>
        </w:rPr>
        <w:t>ko jau paredz</w:t>
      </w:r>
      <w:r w:rsidRPr="008C5462">
        <w:rPr>
          <w:rFonts w:eastAsia="Aptos"/>
          <w:szCs w:val="24"/>
          <w:lang w:val="lv" w:eastAsia="en-GB" w:bidi="hi-IN"/>
        </w:rPr>
        <w:t xml:space="preserve"> Krimināllikuma</w:t>
      </w:r>
      <w:r w:rsidRPr="008C5462">
        <w:rPr>
          <w:rFonts w:eastAsia="Aptos"/>
          <w:b/>
          <w:bCs/>
          <w:szCs w:val="24"/>
          <w:lang w:val="lv" w:eastAsia="en-GB" w:bidi="hi-IN"/>
        </w:rPr>
        <w:t xml:space="preserve"> 115. pants</w:t>
      </w:r>
      <w:r w:rsidRPr="008C5462">
        <w:rPr>
          <w:rFonts w:eastAsia="Aptos"/>
          <w:szCs w:val="24"/>
          <w:lang w:val="lv" w:eastAsia="en-GB" w:bidi="hi-IN"/>
        </w:rPr>
        <w:t xml:space="preserve">. Vienlaikus </w:t>
      </w:r>
      <w:r w:rsidRPr="008C5462">
        <w:rPr>
          <w:rFonts w:eastAsia="Aptos"/>
          <w:b/>
          <w:bCs/>
          <w:szCs w:val="24"/>
          <w:lang w:val="lv" w:eastAsia="en-GB" w:bidi="hi-IN"/>
        </w:rPr>
        <w:t>Sugu un biotopu aizsardzības likums</w:t>
      </w:r>
      <w:r w:rsidRPr="008C5462">
        <w:rPr>
          <w:rFonts w:eastAsia="Aptos"/>
          <w:szCs w:val="24"/>
          <w:lang w:val="lv" w:eastAsia="en-GB" w:bidi="hi-IN"/>
        </w:rPr>
        <w:t xml:space="preserve"> jau šobrīd </w:t>
      </w:r>
      <w:r w:rsidRPr="008C5462">
        <w:rPr>
          <w:rFonts w:eastAsia="Aptos"/>
          <w:b/>
          <w:bCs/>
          <w:szCs w:val="24"/>
          <w:lang w:val="lv" w:eastAsia="en-GB" w:bidi="hi-IN"/>
        </w:rPr>
        <w:t>piejauj atkāpi</w:t>
      </w:r>
      <w:r w:rsidRPr="008C5462">
        <w:rPr>
          <w:rFonts w:eastAsia="Aptos"/>
          <w:szCs w:val="24"/>
          <w:lang w:val="lv" w:eastAsia="en-GB" w:bidi="hi-IN"/>
        </w:rPr>
        <w:t xml:space="preserve"> noteiktos </w:t>
      </w:r>
      <w:r w:rsidRPr="008C5462">
        <w:rPr>
          <w:rFonts w:eastAsia="Aptos"/>
          <w:szCs w:val="24"/>
          <w:lang w:val="lv" w:eastAsia="en-GB" w:bidi="hi-IN"/>
        </w:rPr>
        <w:lastRenderedPageBreak/>
        <w:t>gadījumos ietekmēt – iznīcināt īpaši aizsargājams sugas dzīvotni ar Dabas aizsardzības pārvaldes atļauju.</w:t>
      </w:r>
    </w:p>
    <w:p w14:paraId="718A09AB" w14:textId="77777777" w:rsidR="008C5462" w:rsidRPr="008C5462" w:rsidRDefault="008C5462" w:rsidP="008C5462">
      <w:pPr>
        <w:spacing w:after="160" w:line="278" w:lineRule="auto"/>
        <w:jc w:val="both"/>
        <w:rPr>
          <w:rFonts w:eastAsia="Aptos"/>
          <w:szCs w:val="24"/>
          <w:lang w:val="lv" w:eastAsia="en-GB" w:bidi="hi-IN"/>
        </w:rPr>
      </w:pPr>
      <w:r w:rsidRPr="008C5462">
        <w:rPr>
          <w:rFonts w:eastAsia="Aptos"/>
          <w:szCs w:val="24"/>
          <w:lang w:val="lv" w:eastAsia="en-GB" w:bidi="hi-IN"/>
        </w:rPr>
        <w:t>Atbilstoši publiski pieejamajai informācijai uz doto brīdi Latvijas tiesu judikatūrā ir redzami trīs spriedumi, kur kriminālatbildība ir stājusies spēkā, jo ir pārkāpts Krimināllikuma 115. pants.</w:t>
      </w:r>
      <w:r w:rsidRPr="008C5462">
        <w:rPr>
          <w:rFonts w:eastAsia="Aptos"/>
          <w:szCs w:val="24"/>
          <w:vertAlign w:val="superscript"/>
          <w:lang w:val="lv" w:eastAsia="en-GB" w:bidi="hi-IN"/>
        </w:rPr>
        <w:footnoteReference w:id="2"/>
      </w:r>
      <w:r w:rsidRPr="008C5462">
        <w:rPr>
          <w:rFonts w:eastAsia="Aptos"/>
          <w:szCs w:val="24"/>
          <w:lang w:val="lv" w:eastAsia="en-GB" w:bidi="hi-IN"/>
        </w:rPr>
        <w:t xml:space="preserve">  Tikai divi no tiem ir saistīti ar īpaši aizsargājamo  dabas vērtību iznīcināšanu (trešais – ar apdraudēto savvaļas dzīvnieku tirdzniecības noteikumu pārkāpšanu). Vienā gadījumā persona sodīta par baltā stārķa ligzdas mērķtiecīgu iznīcināšanu, otrā gadījumā -  mērķtiecīgu lielā ķīra olu iznīcināšanu, aizpeldot līdz salai, kurā ligzdojuši lielie ķīri, un mērķtiecīgi iznīcinot to olas. </w:t>
      </w:r>
      <w:r w:rsidRPr="008C5462">
        <w:rPr>
          <w:rFonts w:eastAsia="Arial"/>
          <w:szCs w:val="24"/>
          <w:lang w:val="lv" w:eastAsia="en-GB" w:bidi="hi-IN"/>
        </w:rPr>
        <w:t>No Dabas aizsardzības pārvaldes sniegtās informācijas zināms, ka šobrīd norit tiesas process krimināllietā par lielā ķīra īpatņu apzinātu nogalināšanu, tos nositot. Tādējādi praksē kriminālatbildība par īpaši aizsargājamo biotopu iznīcināšanu vai bojāšanu vispār nav tikusi piemērota, bet tikusi piemērota par īpaši aizsargājamo sugu iznīcināšanu tikai atsevišķos, pamatotos gadījumos. Praksē nav piemēru, kas apliecinātu, ka pie kriminālatbildības tiek sauktas labticīgas personas, kas veic saimniecisko darbību atbilstoši normatīvajos aktos noteiktajām prasībām. Līdz ar to nav saskatāms pamats šādas vispārīgas normas ietveršanai Krimināllikumā.</w:t>
      </w:r>
      <w:r w:rsidRPr="008C5462">
        <w:rPr>
          <w:rFonts w:eastAsia="Aptos"/>
          <w:szCs w:val="24"/>
          <w:lang w:val="lv" w:eastAsia="en-GB" w:bidi="hi-IN"/>
        </w:rPr>
        <w:t xml:space="preserve"> </w:t>
      </w:r>
    </w:p>
    <w:p w14:paraId="57A1D43D" w14:textId="33039CD5" w:rsidR="008C5462" w:rsidRPr="008C5462" w:rsidRDefault="008C5462" w:rsidP="00882882">
      <w:pPr>
        <w:spacing w:after="160" w:line="278" w:lineRule="auto"/>
        <w:jc w:val="both"/>
        <w:rPr>
          <w:rFonts w:eastAsia="Aptos"/>
          <w:szCs w:val="24"/>
          <w:lang w:val="lv" w:eastAsia="en-GB" w:bidi="hi-IN"/>
        </w:rPr>
      </w:pPr>
      <w:r w:rsidRPr="008C5462">
        <w:rPr>
          <w:rFonts w:eastAsia="Aptos"/>
          <w:szCs w:val="24"/>
          <w:lang w:val="lv" w:eastAsia="en-GB" w:bidi="hi-IN"/>
        </w:rPr>
        <w:t>Savukārt, atbilstoši Dabas aizsardzības pārvaldes sniegtajai informāc</w:t>
      </w:r>
      <w:r w:rsidR="00882882">
        <w:rPr>
          <w:rFonts w:eastAsia="Aptos"/>
          <w:szCs w:val="24"/>
          <w:lang w:val="lv" w:eastAsia="en-GB" w:bidi="hi-IN"/>
        </w:rPr>
        <w:t>i</w:t>
      </w:r>
      <w:r w:rsidRPr="008C5462">
        <w:rPr>
          <w:rFonts w:eastAsia="Aptos"/>
          <w:szCs w:val="24"/>
          <w:lang w:val="lv" w:eastAsia="en-GB" w:bidi="hi-IN"/>
        </w:rPr>
        <w:t>jai, lielākajā daļā gadījumu par īpaši aizsargājamo sugu, to dzīvotnes vai īpaši aizsargājamo biotopu bojāšanu vai iznīcināšanu tiek piemērota</w:t>
      </w:r>
      <w:r w:rsidRPr="008C5462">
        <w:rPr>
          <w:rFonts w:eastAsia="Aptos"/>
          <w:b/>
          <w:bCs/>
          <w:szCs w:val="24"/>
          <w:lang w:val="lv" w:eastAsia="en-GB" w:bidi="hi-IN"/>
        </w:rPr>
        <w:t xml:space="preserve"> administratīvā atbildība, jo ar darbību nav radīts būtisks kaitējums</w:t>
      </w:r>
      <w:r w:rsidRPr="008C5462">
        <w:rPr>
          <w:rFonts w:eastAsia="Aptos"/>
          <w:szCs w:val="24"/>
          <w:lang w:val="lv" w:eastAsia="en-GB" w:bidi="hi-IN"/>
        </w:rPr>
        <w:t>:</w:t>
      </w:r>
    </w:p>
    <w:tbl>
      <w:tblPr>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61"/>
        <w:gridCol w:w="1198"/>
        <w:gridCol w:w="1212"/>
        <w:gridCol w:w="1275"/>
        <w:gridCol w:w="2468"/>
      </w:tblGrid>
      <w:tr w:rsidR="008C5462" w:rsidRPr="008C5462" w14:paraId="3D9E5D30" w14:textId="77777777" w:rsidTr="00882882">
        <w:tc>
          <w:tcPr>
            <w:tcW w:w="3061" w:type="dxa"/>
            <w:tcBorders>
              <w:top w:val="single" w:sz="4" w:space="0" w:color="000000"/>
              <w:left w:val="single" w:sz="4" w:space="0" w:color="000000"/>
              <w:bottom w:val="single" w:sz="4" w:space="0" w:color="000000"/>
              <w:right w:val="single" w:sz="4" w:space="0" w:color="000000"/>
            </w:tcBorders>
          </w:tcPr>
          <w:p w14:paraId="76581062" w14:textId="77777777" w:rsidR="008C5462" w:rsidRPr="008C5462" w:rsidRDefault="008C5462" w:rsidP="00882882">
            <w:pPr>
              <w:spacing w:after="160" w:line="278" w:lineRule="auto"/>
              <w:jc w:val="center"/>
              <w:rPr>
                <w:rFonts w:eastAsia="Aptos"/>
                <w:i/>
                <w:iCs/>
                <w:szCs w:val="24"/>
                <w:lang w:val="lv" w:eastAsia="en-GB" w:bidi="hi-IN"/>
              </w:rPr>
            </w:pPr>
            <w:r w:rsidRPr="008C5462">
              <w:rPr>
                <w:rFonts w:eastAsia="Aptos"/>
                <w:i/>
                <w:iCs/>
                <w:szCs w:val="24"/>
                <w:lang w:val="lv" w:eastAsia="en-GB" w:bidi="hi-IN"/>
              </w:rPr>
              <w:t>Gads</w:t>
            </w:r>
          </w:p>
        </w:tc>
        <w:tc>
          <w:tcPr>
            <w:tcW w:w="1198" w:type="dxa"/>
            <w:tcBorders>
              <w:top w:val="single" w:sz="4" w:space="0" w:color="000000"/>
              <w:left w:val="single" w:sz="4" w:space="0" w:color="000000"/>
              <w:bottom w:val="single" w:sz="4" w:space="0" w:color="000000"/>
              <w:right w:val="single" w:sz="4" w:space="0" w:color="000000"/>
            </w:tcBorders>
          </w:tcPr>
          <w:p w14:paraId="2B7972D8" w14:textId="77777777" w:rsidR="008C5462" w:rsidRPr="008C5462" w:rsidRDefault="008C5462" w:rsidP="00882882">
            <w:pPr>
              <w:spacing w:after="160" w:line="278" w:lineRule="auto"/>
              <w:jc w:val="center"/>
              <w:rPr>
                <w:rFonts w:eastAsia="Aptos"/>
                <w:i/>
                <w:iCs/>
                <w:szCs w:val="24"/>
                <w:lang w:val="lv" w:eastAsia="en-GB" w:bidi="hi-IN"/>
              </w:rPr>
            </w:pPr>
            <w:r w:rsidRPr="008C5462">
              <w:rPr>
                <w:rFonts w:eastAsia="Aptos"/>
                <w:i/>
                <w:iCs/>
                <w:szCs w:val="24"/>
                <w:lang w:val="lv" w:eastAsia="en-GB" w:bidi="hi-IN"/>
              </w:rPr>
              <w:t>2023.</w:t>
            </w:r>
          </w:p>
        </w:tc>
        <w:tc>
          <w:tcPr>
            <w:tcW w:w="1212" w:type="dxa"/>
            <w:tcBorders>
              <w:top w:val="single" w:sz="4" w:space="0" w:color="000000"/>
              <w:left w:val="single" w:sz="4" w:space="0" w:color="000000"/>
              <w:bottom w:val="single" w:sz="4" w:space="0" w:color="000000"/>
              <w:right w:val="single" w:sz="4" w:space="0" w:color="000000"/>
            </w:tcBorders>
          </w:tcPr>
          <w:p w14:paraId="6D378A07" w14:textId="77777777" w:rsidR="008C5462" w:rsidRPr="008C5462" w:rsidRDefault="008C5462" w:rsidP="00882882">
            <w:pPr>
              <w:spacing w:after="160" w:line="278" w:lineRule="auto"/>
              <w:jc w:val="center"/>
              <w:rPr>
                <w:rFonts w:eastAsia="Aptos"/>
                <w:i/>
                <w:iCs/>
                <w:szCs w:val="24"/>
                <w:lang w:val="lv" w:eastAsia="en-GB" w:bidi="hi-IN"/>
              </w:rPr>
            </w:pPr>
            <w:r w:rsidRPr="008C5462">
              <w:rPr>
                <w:rFonts w:eastAsia="Aptos"/>
                <w:i/>
                <w:iCs/>
                <w:szCs w:val="24"/>
                <w:lang w:val="lv" w:eastAsia="en-GB" w:bidi="hi-IN"/>
              </w:rPr>
              <w:t>2024.</w:t>
            </w:r>
          </w:p>
        </w:tc>
        <w:tc>
          <w:tcPr>
            <w:tcW w:w="1275" w:type="dxa"/>
            <w:tcBorders>
              <w:top w:val="single" w:sz="4" w:space="0" w:color="000000"/>
              <w:left w:val="single" w:sz="4" w:space="0" w:color="000000"/>
              <w:bottom w:val="single" w:sz="4" w:space="0" w:color="000000"/>
              <w:right w:val="single" w:sz="4" w:space="0" w:color="000000"/>
            </w:tcBorders>
          </w:tcPr>
          <w:p w14:paraId="06B72C47" w14:textId="77777777" w:rsidR="008C5462" w:rsidRPr="008C5462" w:rsidRDefault="008C5462" w:rsidP="00882882">
            <w:pPr>
              <w:spacing w:after="160" w:line="278" w:lineRule="auto"/>
              <w:jc w:val="center"/>
              <w:rPr>
                <w:rFonts w:eastAsia="Aptos"/>
                <w:i/>
                <w:iCs/>
                <w:szCs w:val="24"/>
                <w:lang w:val="lv" w:eastAsia="en-GB" w:bidi="hi-IN"/>
              </w:rPr>
            </w:pPr>
            <w:r w:rsidRPr="008C5462">
              <w:rPr>
                <w:rFonts w:eastAsia="Aptos"/>
                <w:i/>
                <w:iCs/>
                <w:szCs w:val="24"/>
                <w:lang w:val="lv" w:eastAsia="en-GB" w:bidi="hi-IN"/>
              </w:rPr>
              <w:t>2025.</w:t>
            </w:r>
          </w:p>
        </w:tc>
        <w:tc>
          <w:tcPr>
            <w:tcW w:w="2468" w:type="dxa"/>
            <w:tcBorders>
              <w:top w:val="single" w:sz="4" w:space="0" w:color="000000"/>
              <w:left w:val="single" w:sz="4" w:space="0" w:color="000000"/>
              <w:bottom w:val="single" w:sz="4" w:space="0" w:color="000000"/>
              <w:right w:val="single" w:sz="4" w:space="0" w:color="000000"/>
            </w:tcBorders>
          </w:tcPr>
          <w:p w14:paraId="3C2A4B7A" w14:textId="77777777" w:rsidR="008C5462" w:rsidRPr="008C5462" w:rsidRDefault="008C5462" w:rsidP="00882882">
            <w:pPr>
              <w:spacing w:after="160" w:line="278" w:lineRule="auto"/>
              <w:jc w:val="center"/>
              <w:rPr>
                <w:rFonts w:eastAsia="Aptos"/>
                <w:i/>
                <w:iCs/>
                <w:szCs w:val="24"/>
                <w:lang w:val="lv" w:eastAsia="en-GB" w:bidi="hi-IN"/>
              </w:rPr>
            </w:pPr>
            <w:r w:rsidRPr="008C5462">
              <w:rPr>
                <w:rFonts w:eastAsia="Aptos"/>
                <w:i/>
                <w:iCs/>
                <w:szCs w:val="24"/>
                <w:lang w:val="lv" w:eastAsia="en-GB" w:bidi="hi-IN"/>
              </w:rPr>
              <w:t>2026. līdz šim brīdim</w:t>
            </w:r>
          </w:p>
        </w:tc>
      </w:tr>
      <w:tr w:rsidR="008C5462" w:rsidRPr="008C5462" w14:paraId="0A3D0D11" w14:textId="77777777" w:rsidTr="00882882">
        <w:tc>
          <w:tcPr>
            <w:tcW w:w="3061" w:type="dxa"/>
            <w:tcBorders>
              <w:top w:val="single" w:sz="4" w:space="0" w:color="000000"/>
              <w:left w:val="single" w:sz="4" w:space="0" w:color="000000"/>
              <w:bottom w:val="single" w:sz="4" w:space="0" w:color="000000"/>
              <w:right w:val="single" w:sz="4" w:space="0" w:color="000000"/>
            </w:tcBorders>
          </w:tcPr>
          <w:p w14:paraId="7F69DA6B" w14:textId="77777777" w:rsidR="008C5462" w:rsidRPr="008C5462" w:rsidRDefault="008C5462" w:rsidP="00882882">
            <w:pPr>
              <w:spacing w:after="160" w:line="278" w:lineRule="auto"/>
              <w:jc w:val="center"/>
              <w:rPr>
                <w:rFonts w:eastAsia="Aptos"/>
                <w:i/>
                <w:iCs/>
                <w:szCs w:val="24"/>
                <w:lang w:val="lv" w:eastAsia="en-GB" w:bidi="hi-IN"/>
              </w:rPr>
            </w:pPr>
            <w:r w:rsidRPr="008C5462">
              <w:rPr>
                <w:rFonts w:eastAsia="Aptos"/>
                <w:i/>
                <w:iCs/>
                <w:szCs w:val="24"/>
                <w:lang w:val="lv" w:eastAsia="en-GB" w:bidi="hi-IN"/>
              </w:rPr>
              <w:t>Administratīvā pārkāpuma lietas, skaits</w:t>
            </w:r>
          </w:p>
        </w:tc>
        <w:tc>
          <w:tcPr>
            <w:tcW w:w="1198" w:type="dxa"/>
            <w:tcBorders>
              <w:top w:val="single" w:sz="4" w:space="0" w:color="000000"/>
              <w:left w:val="single" w:sz="4" w:space="0" w:color="000000"/>
              <w:bottom w:val="single" w:sz="4" w:space="0" w:color="000000"/>
              <w:right w:val="single" w:sz="4" w:space="0" w:color="000000"/>
            </w:tcBorders>
          </w:tcPr>
          <w:p w14:paraId="1AED2EDD" w14:textId="77777777" w:rsidR="008C5462" w:rsidRPr="008C5462" w:rsidRDefault="008C5462" w:rsidP="00882882">
            <w:pPr>
              <w:spacing w:after="160" w:line="278" w:lineRule="auto"/>
              <w:jc w:val="center"/>
              <w:rPr>
                <w:rFonts w:eastAsia="Aptos"/>
                <w:i/>
                <w:iCs/>
                <w:szCs w:val="24"/>
                <w:lang w:val="lv" w:eastAsia="en-GB" w:bidi="hi-IN"/>
              </w:rPr>
            </w:pPr>
            <w:r w:rsidRPr="008C5462">
              <w:rPr>
                <w:rFonts w:eastAsia="Aptos"/>
                <w:i/>
                <w:iCs/>
                <w:szCs w:val="24"/>
                <w:lang w:val="lv" w:eastAsia="en-GB" w:bidi="hi-IN"/>
              </w:rPr>
              <w:t>14</w:t>
            </w:r>
          </w:p>
        </w:tc>
        <w:tc>
          <w:tcPr>
            <w:tcW w:w="1212" w:type="dxa"/>
            <w:tcBorders>
              <w:top w:val="single" w:sz="4" w:space="0" w:color="000000"/>
              <w:left w:val="single" w:sz="4" w:space="0" w:color="000000"/>
              <w:bottom w:val="single" w:sz="4" w:space="0" w:color="000000"/>
              <w:right w:val="single" w:sz="4" w:space="0" w:color="000000"/>
            </w:tcBorders>
          </w:tcPr>
          <w:p w14:paraId="182B8EA8" w14:textId="77777777" w:rsidR="008C5462" w:rsidRPr="008C5462" w:rsidRDefault="008C5462" w:rsidP="00882882">
            <w:pPr>
              <w:spacing w:after="160" w:line="278" w:lineRule="auto"/>
              <w:jc w:val="center"/>
              <w:rPr>
                <w:rFonts w:eastAsia="Aptos"/>
                <w:i/>
                <w:iCs/>
                <w:szCs w:val="24"/>
                <w:lang w:val="lv" w:eastAsia="en-GB" w:bidi="hi-IN"/>
              </w:rPr>
            </w:pPr>
            <w:r w:rsidRPr="008C5462">
              <w:rPr>
                <w:rFonts w:eastAsia="Aptos"/>
                <w:i/>
                <w:iCs/>
                <w:szCs w:val="24"/>
                <w:lang w:val="lv" w:eastAsia="en-GB" w:bidi="hi-IN"/>
              </w:rPr>
              <w:t>13</w:t>
            </w:r>
          </w:p>
        </w:tc>
        <w:tc>
          <w:tcPr>
            <w:tcW w:w="1275" w:type="dxa"/>
            <w:tcBorders>
              <w:top w:val="single" w:sz="4" w:space="0" w:color="000000"/>
              <w:left w:val="single" w:sz="4" w:space="0" w:color="000000"/>
              <w:bottom w:val="single" w:sz="4" w:space="0" w:color="000000"/>
              <w:right w:val="single" w:sz="4" w:space="0" w:color="000000"/>
            </w:tcBorders>
          </w:tcPr>
          <w:p w14:paraId="5A0C899D" w14:textId="77777777" w:rsidR="008C5462" w:rsidRPr="008C5462" w:rsidRDefault="008C5462" w:rsidP="00882882">
            <w:pPr>
              <w:spacing w:after="160" w:line="278" w:lineRule="auto"/>
              <w:jc w:val="center"/>
              <w:rPr>
                <w:rFonts w:eastAsia="Aptos"/>
                <w:i/>
                <w:iCs/>
                <w:szCs w:val="24"/>
                <w:lang w:val="lv" w:eastAsia="en-GB" w:bidi="hi-IN"/>
              </w:rPr>
            </w:pPr>
            <w:r w:rsidRPr="008C5462">
              <w:rPr>
                <w:rFonts w:eastAsia="Aptos"/>
                <w:i/>
                <w:iCs/>
                <w:szCs w:val="24"/>
                <w:lang w:val="lv" w:eastAsia="en-GB" w:bidi="hi-IN"/>
              </w:rPr>
              <w:t>21</w:t>
            </w:r>
          </w:p>
        </w:tc>
        <w:tc>
          <w:tcPr>
            <w:tcW w:w="2468" w:type="dxa"/>
            <w:tcBorders>
              <w:top w:val="single" w:sz="4" w:space="0" w:color="000000"/>
              <w:left w:val="single" w:sz="4" w:space="0" w:color="000000"/>
              <w:bottom w:val="single" w:sz="4" w:space="0" w:color="000000"/>
              <w:right w:val="single" w:sz="4" w:space="0" w:color="000000"/>
            </w:tcBorders>
          </w:tcPr>
          <w:p w14:paraId="2E0829EC" w14:textId="77777777" w:rsidR="008C5462" w:rsidRPr="008C5462" w:rsidRDefault="008C5462" w:rsidP="00882882">
            <w:pPr>
              <w:spacing w:after="160" w:line="278" w:lineRule="auto"/>
              <w:jc w:val="center"/>
              <w:rPr>
                <w:rFonts w:eastAsia="Aptos"/>
                <w:i/>
                <w:iCs/>
                <w:szCs w:val="24"/>
                <w:lang w:val="lv" w:eastAsia="en-GB" w:bidi="hi-IN"/>
              </w:rPr>
            </w:pPr>
            <w:r w:rsidRPr="008C5462">
              <w:rPr>
                <w:rFonts w:eastAsia="Aptos"/>
                <w:i/>
                <w:iCs/>
                <w:szCs w:val="24"/>
                <w:lang w:val="lv" w:eastAsia="en-GB" w:bidi="hi-IN"/>
              </w:rPr>
              <w:t>11</w:t>
            </w:r>
          </w:p>
        </w:tc>
      </w:tr>
    </w:tbl>
    <w:p w14:paraId="632AFFD8" w14:textId="77777777" w:rsidR="008C5462" w:rsidRPr="008C5462" w:rsidRDefault="008C5462" w:rsidP="008C5462">
      <w:pPr>
        <w:spacing w:after="160" w:line="278" w:lineRule="auto"/>
        <w:rPr>
          <w:rFonts w:eastAsia="Aptos"/>
          <w:i/>
          <w:iCs/>
          <w:szCs w:val="24"/>
          <w:lang w:val="lv" w:eastAsia="en-GB" w:bidi="hi-IN"/>
        </w:rPr>
      </w:pPr>
    </w:p>
    <w:p w14:paraId="03A5E3EE" w14:textId="77777777" w:rsidR="008C5462" w:rsidRPr="008C5462" w:rsidRDefault="008C5462" w:rsidP="008C5462">
      <w:pPr>
        <w:spacing w:after="160" w:line="278" w:lineRule="auto"/>
        <w:jc w:val="both"/>
        <w:rPr>
          <w:rFonts w:eastAsia="Aptos"/>
          <w:szCs w:val="24"/>
          <w:lang w:val="lv" w:eastAsia="en-GB" w:bidi="hi-IN"/>
        </w:rPr>
      </w:pPr>
      <w:r w:rsidRPr="008C5462">
        <w:rPr>
          <w:rFonts w:eastAsia="Aptos"/>
          <w:szCs w:val="24"/>
          <w:lang w:val="lv" w:eastAsia="en-GB" w:bidi="hi-IN"/>
        </w:rPr>
        <w:t xml:space="preserve">Mūsu mērķis nav </w:t>
      </w:r>
      <w:proofErr w:type="spellStart"/>
      <w:r w:rsidRPr="008C5462">
        <w:rPr>
          <w:rFonts w:eastAsia="Aptos"/>
          <w:szCs w:val="24"/>
          <w:lang w:val="lv" w:eastAsia="en-GB" w:bidi="hi-IN"/>
        </w:rPr>
        <w:t>kriminalizēt</w:t>
      </w:r>
      <w:proofErr w:type="spellEnd"/>
      <w:r w:rsidRPr="008C5462">
        <w:rPr>
          <w:rFonts w:eastAsia="Aptos"/>
          <w:szCs w:val="24"/>
          <w:lang w:val="lv" w:eastAsia="en-GB" w:bidi="hi-IN"/>
        </w:rPr>
        <w:t xml:space="preserve"> godprātīgu mežsaimnieku, lauksaimnieku, zemes īpašnieku vai uzņēmēju rīcību. Tieši pretēji – Krimināllikumam ir skaidri jānošķir neapzināta rīcība no gadījumiem, kad persona zina vai tai būtu jāzina par dabas aizsardzības prasībām un aizsargājamām vērtībām, tomēr tās neievēro un rezultātā rada būtisku kaitējumu. Augstāk minētais apliecina, ka šo nošķīrumu spēkā esošais regulējums jau nodrošina. Papildu, plaši formulēts izņēmums nav nepieciešams.</w:t>
      </w:r>
    </w:p>
    <w:p w14:paraId="0E25C880" w14:textId="77777777" w:rsidR="008C5462" w:rsidRPr="008C5462" w:rsidRDefault="008C5462" w:rsidP="008C5462">
      <w:pPr>
        <w:spacing w:after="160" w:line="278" w:lineRule="auto"/>
        <w:jc w:val="both"/>
        <w:rPr>
          <w:rFonts w:eastAsia="Aptos"/>
          <w:szCs w:val="24"/>
          <w:lang w:val="lv" w:eastAsia="en-GB" w:bidi="hi-IN"/>
        </w:rPr>
      </w:pPr>
      <w:r w:rsidRPr="008C5462">
        <w:rPr>
          <w:rFonts w:eastAsia="Aptos"/>
          <w:szCs w:val="24"/>
          <w:lang w:val="lv" w:eastAsia="en-GB" w:bidi="hi-IN"/>
        </w:rPr>
        <w:t xml:space="preserve">Ja likumdevējs nostiprina principu, ka normatīvajos aktos atļautas saimnieciskās darbības veikšana pati par sevi var būt pamats atbrīvošanai no kriminālatbildības arī gadījumā, kad tās rezultātā nodarīts būtisks kaitējums īpaši aizsargājamām dabas vērtībām, nākotnē var rasties iniciatīva līdzīgu pieeju attiecināt arī uz citām vides aizsardzības jomām. Tādējādi vides aizsardzības līmenis kļūtu arvien vairāk atkarīgs no nozaru regulējuma izmaiņām, bet Krimināllikums zaudētu savu funkciju kā galējais aizsardzības mehānisms pret smagākajiem un sabiedriski kaitīgākajiem pārkāpumiem. </w:t>
      </w:r>
    </w:p>
    <w:p w14:paraId="5A89A253" w14:textId="5D70804C" w:rsidR="008C5462" w:rsidRPr="008C5462" w:rsidRDefault="008C5462" w:rsidP="00882882">
      <w:pPr>
        <w:spacing w:after="160" w:line="278" w:lineRule="auto"/>
        <w:ind w:firstLine="720"/>
        <w:jc w:val="both"/>
        <w:rPr>
          <w:rFonts w:eastAsia="Aptos"/>
          <w:b/>
          <w:bCs/>
          <w:szCs w:val="24"/>
          <w:lang w:val="lv" w:eastAsia="en-GB" w:bidi="hi-IN"/>
        </w:rPr>
      </w:pPr>
      <w:r w:rsidRPr="008C5462">
        <w:rPr>
          <w:rFonts w:eastAsia="Aptos"/>
          <w:b/>
          <w:bCs/>
          <w:szCs w:val="24"/>
          <w:lang w:val="lv" w:eastAsia="en-GB" w:bidi="hi-IN"/>
        </w:rPr>
        <w:lastRenderedPageBreak/>
        <w:t xml:space="preserve">Tādēļ </w:t>
      </w:r>
      <w:r w:rsidR="007147BF">
        <w:rPr>
          <w:rFonts w:eastAsia="Aptos"/>
          <w:b/>
          <w:bCs/>
          <w:szCs w:val="24"/>
          <w:lang w:val="lv" w:eastAsia="en-GB" w:bidi="hi-IN"/>
        </w:rPr>
        <w:t xml:space="preserve">VKP </w:t>
      </w:r>
      <w:r w:rsidRPr="008C5462">
        <w:rPr>
          <w:rFonts w:eastAsia="Aptos"/>
          <w:b/>
          <w:bCs/>
          <w:szCs w:val="24"/>
          <w:lang w:val="lv" w:eastAsia="en-GB" w:bidi="hi-IN"/>
        </w:rPr>
        <w:t>aicina Saeimas deputātus neakceptēt 115.² panta pašreizējo redakciju, bet uz Saeimas 3. lasījumu izvirzīt priekšlikumu izteikt 115.² pantu šādā redakcijā un atbalstīt to:</w:t>
      </w:r>
    </w:p>
    <w:p w14:paraId="6D254375" w14:textId="77777777" w:rsidR="008C5462" w:rsidRPr="008C5462" w:rsidRDefault="008C5462" w:rsidP="008C5462">
      <w:pPr>
        <w:spacing w:after="160" w:line="278" w:lineRule="auto"/>
        <w:jc w:val="both"/>
        <w:rPr>
          <w:rFonts w:eastAsia="Aptos"/>
          <w:szCs w:val="24"/>
          <w:lang w:val="lv" w:eastAsia="en-GB" w:bidi="hi-IN"/>
        </w:rPr>
      </w:pPr>
      <w:r w:rsidRPr="008C5462">
        <w:rPr>
          <w:rFonts w:eastAsia="Aptos"/>
          <w:szCs w:val="24"/>
          <w:lang w:val="lv" w:eastAsia="en-GB" w:bidi="hi-IN"/>
        </w:rPr>
        <w:t>“</w:t>
      </w:r>
      <w:r w:rsidRPr="008C5462">
        <w:rPr>
          <w:rFonts w:eastAsia="Arial"/>
          <w:szCs w:val="24"/>
          <w:lang w:val="lv" w:eastAsia="en-GB" w:bidi="hi-IN"/>
        </w:rPr>
        <w:t>115.</w:t>
      </w:r>
      <w:r w:rsidRPr="008C5462">
        <w:rPr>
          <w:rFonts w:eastAsia="Arial"/>
          <w:szCs w:val="24"/>
          <w:vertAlign w:val="superscript"/>
          <w:lang w:val="lv" w:eastAsia="en-GB" w:bidi="hi-IN"/>
        </w:rPr>
        <w:t xml:space="preserve">2 </w:t>
      </w:r>
      <w:r w:rsidRPr="008C5462">
        <w:rPr>
          <w:rFonts w:eastAsia="Arial"/>
          <w:szCs w:val="24"/>
          <w:lang w:val="lv" w:eastAsia="en-GB" w:bidi="hi-IN"/>
        </w:rPr>
        <w:t>pants</w:t>
      </w:r>
      <w:r w:rsidRPr="008C5462">
        <w:rPr>
          <w:rFonts w:eastAsia="Aptos"/>
          <w:szCs w:val="24"/>
          <w:lang w:val="lv" w:eastAsia="en-GB" w:bidi="hi-IN"/>
        </w:rPr>
        <w:t xml:space="preserve">. Personas atbrīvošana no kriminālatbildības par īpaši aizsargājamo dzīvnieku, biotopu un augu sugu iznīcināšanu un bojāšanu. </w:t>
      </w:r>
    </w:p>
    <w:p w14:paraId="4999E2A1" w14:textId="3FF6DC05" w:rsidR="008C5462" w:rsidRPr="008C5462" w:rsidRDefault="008C5462" w:rsidP="008C5462">
      <w:pPr>
        <w:spacing w:after="160" w:line="278" w:lineRule="auto"/>
        <w:jc w:val="both"/>
        <w:rPr>
          <w:rFonts w:eastAsia="Aptos"/>
          <w:szCs w:val="24"/>
          <w:lang w:val="lv" w:eastAsia="en-GB" w:bidi="hi-IN"/>
        </w:rPr>
      </w:pPr>
      <w:r w:rsidRPr="008C5462">
        <w:rPr>
          <w:rFonts w:eastAsia="Aptos"/>
          <w:szCs w:val="24"/>
          <w:lang w:val="lv" w:eastAsia="en-GB" w:bidi="hi-IN"/>
        </w:rPr>
        <w:t xml:space="preserve">Personu atbrīvo no kriminālatbildības par  īpaši aizsargājamo sugu dzīvotnes vai biotopu, īpaši aizsargājamo sugu augu, sēņu, ķērpju, dzīvnieku nonāvēšanu, bojāšanu vai iznīcināšanu, ja persona veikusi normatīvajos aktos atļautu saimniecisko darbību un </w:t>
      </w:r>
      <w:sdt>
        <w:sdtPr>
          <w:rPr>
            <w:rFonts w:eastAsia="Aptos"/>
            <w:szCs w:val="24"/>
            <w:lang w:val="lv" w:eastAsia="en-GB" w:bidi="hi-IN"/>
          </w:rPr>
          <w:tag w:val="goog_rdk_6"/>
          <w:id w:val="981391991"/>
        </w:sdtPr>
        <w:sdtContent/>
      </w:sdt>
      <w:sdt>
        <w:sdtPr>
          <w:rPr>
            <w:rFonts w:eastAsia="Aptos"/>
            <w:szCs w:val="24"/>
            <w:lang w:val="lv" w:eastAsia="en-GB" w:bidi="hi-IN"/>
          </w:rPr>
          <w:tag w:val="goog_rdk_7"/>
          <w:id w:val="-1496437651"/>
        </w:sdtPr>
        <w:sdtContent/>
      </w:sdt>
      <w:sdt>
        <w:sdtPr>
          <w:rPr>
            <w:rFonts w:eastAsia="Aptos"/>
            <w:szCs w:val="24"/>
            <w:lang w:val="lv" w:eastAsia="en-GB" w:bidi="hi-IN"/>
          </w:rPr>
          <w:tag w:val="goog_rdk_8"/>
          <w:id w:val="1436323797"/>
        </w:sdtPr>
        <w:sdtContent/>
      </w:sdt>
      <w:sdt>
        <w:sdtPr>
          <w:rPr>
            <w:rFonts w:eastAsia="Aptos"/>
            <w:szCs w:val="24"/>
            <w:lang w:val="lv" w:eastAsia="en-GB" w:bidi="hi-IN"/>
          </w:rPr>
          <w:tag w:val="goog_rdk_9"/>
          <w:id w:val="-331548223"/>
        </w:sdtPr>
        <w:sdtContent/>
      </w:sdt>
      <w:sdt>
        <w:sdtPr>
          <w:rPr>
            <w:rFonts w:eastAsia="Aptos"/>
            <w:szCs w:val="24"/>
            <w:lang w:val="lv" w:eastAsia="en-GB" w:bidi="hi-IN"/>
          </w:rPr>
          <w:tag w:val="goog_rdk_10"/>
          <w:id w:val="1588317268"/>
        </w:sdtPr>
        <w:sdtContent/>
      </w:sdt>
      <w:sdt>
        <w:sdtPr>
          <w:rPr>
            <w:rFonts w:eastAsia="Aptos"/>
            <w:szCs w:val="24"/>
            <w:lang w:val="lv" w:eastAsia="en-GB" w:bidi="hi-IN"/>
          </w:rPr>
          <w:tag w:val="goog_rdk_11"/>
          <w:id w:val="2094757867"/>
        </w:sdtPr>
        <w:sdtContent/>
      </w:sdt>
      <w:r w:rsidRPr="008C5462">
        <w:rPr>
          <w:rFonts w:eastAsia="Aptos"/>
          <w:szCs w:val="24"/>
          <w:lang w:val="lv" w:eastAsia="en-GB" w:bidi="hi-IN"/>
        </w:rPr>
        <w:t>ja ar tās veikto darbību nav radīts būtisks kaitējums."</w:t>
      </w:r>
    </w:p>
    <w:p w14:paraId="2F980F89" w14:textId="77777777" w:rsidR="008C5462" w:rsidRPr="008C5462" w:rsidRDefault="008C5462" w:rsidP="008C5462">
      <w:pPr>
        <w:spacing w:after="160" w:line="278" w:lineRule="auto"/>
        <w:jc w:val="both"/>
        <w:rPr>
          <w:rFonts w:eastAsia="Aptos"/>
          <w:szCs w:val="24"/>
          <w:lang w:val="lv" w:eastAsia="en-GB" w:bidi="hi-IN"/>
        </w:rPr>
      </w:pPr>
      <w:r w:rsidRPr="008C5462">
        <w:rPr>
          <w:rFonts w:eastAsia="Aptos"/>
          <w:szCs w:val="24"/>
          <w:lang w:val="lv" w:eastAsia="en-GB" w:bidi="hi-IN"/>
        </w:rPr>
        <w:t>Šāds lēmums novērstu juridisku neskaidrību, saglabātu efektīvu aizsardzību pret smagiem pārkāpumiem, vienlaikus nepakļaujot kriminālatbildībai personas par neparedzētu un objektīvi nenovēršamu kaitējumu, kā arī nodrošinātu Latvijas regulējuma atbilstību Direktīvas (ES) 2024/1203 mērķim – efektīvi aizsargāt dabu un vidi pret būtisku un prettiesisku kaitējumu.</w:t>
      </w:r>
    </w:p>
    <w:p w14:paraId="7798B476" w14:textId="77777777" w:rsidR="008C5462" w:rsidRPr="008C5462" w:rsidRDefault="008C5462" w:rsidP="008C5462">
      <w:pPr>
        <w:spacing w:after="160" w:line="278" w:lineRule="auto"/>
        <w:jc w:val="both"/>
        <w:rPr>
          <w:rFonts w:eastAsia="Aptos"/>
          <w:i/>
          <w:iCs/>
          <w:szCs w:val="24"/>
          <w:lang w:val="lv" w:eastAsia="en-GB" w:bidi="hi-IN"/>
        </w:rPr>
      </w:pPr>
    </w:p>
    <w:p w14:paraId="1B3365E8" w14:textId="77777777" w:rsidR="007B3535" w:rsidRPr="008C5462" w:rsidRDefault="007B3535" w:rsidP="007F4FD9">
      <w:pPr>
        <w:jc w:val="right"/>
        <w:rPr>
          <w:b/>
          <w:bCs/>
          <w:szCs w:val="24"/>
          <w:lang w:val="lv"/>
        </w:rPr>
      </w:pPr>
    </w:p>
    <w:p w14:paraId="6637EB57" w14:textId="5758926D" w:rsidR="0004304C" w:rsidRPr="0004304C" w:rsidRDefault="0004304C" w:rsidP="0004304C">
      <w:pPr>
        <w:spacing w:line="276" w:lineRule="auto"/>
        <w:jc w:val="both"/>
        <w:rPr>
          <w:szCs w:val="24"/>
        </w:rPr>
      </w:pPr>
      <w:r>
        <w:rPr>
          <w:szCs w:val="24"/>
        </w:rPr>
        <w:t>Valts Vilnītis</w:t>
      </w:r>
      <w:r w:rsidRPr="0004304C">
        <w:rPr>
          <w:szCs w:val="24"/>
        </w:rPr>
        <w:t>,</w:t>
      </w:r>
    </w:p>
    <w:p w14:paraId="0A4C4871" w14:textId="77777777" w:rsidR="0004304C" w:rsidRPr="0004304C" w:rsidRDefault="0004304C" w:rsidP="0004304C">
      <w:pPr>
        <w:spacing w:line="276" w:lineRule="auto"/>
        <w:jc w:val="both"/>
        <w:rPr>
          <w:szCs w:val="24"/>
        </w:rPr>
      </w:pPr>
      <w:r w:rsidRPr="0004304C">
        <w:rPr>
          <w:szCs w:val="24"/>
        </w:rPr>
        <w:t xml:space="preserve">Vides konsultatīvās padomes priekšsēdētāja </w:t>
      </w:r>
      <w:proofErr w:type="spellStart"/>
      <w:r w:rsidRPr="0004304C">
        <w:rPr>
          <w:szCs w:val="24"/>
        </w:rPr>
        <w:t>p.i</w:t>
      </w:r>
      <w:proofErr w:type="spellEnd"/>
      <w:r w:rsidRPr="0004304C">
        <w:rPr>
          <w:szCs w:val="24"/>
        </w:rPr>
        <w:t>.</w:t>
      </w:r>
    </w:p>
    <w:p w14:paraId="1A1C2ABE" w14:textId="77777777" w:rsidR="0027475D" w:rsidRDefault="0027475D"/>
    <w:p w14:paraId="1072F690" w14:textId="77777777" w:rsidR="007147BF" w:rsidRDefault="007147BF"/>
    <w:p w14:paraId="5F385D01" w14:textId="77777777" w:rsidR="007147BF" w:rsidRDefault="007147BF"/>
    <w:p w14:paraId="3731D0DF" w14:textId="77777777" w:rsidR="0027475D" w:rsidRDefault="0027475D"/>
    <w:p w14:paraId="5B8599CA" w14:textId="77777777" w:rsidR="00786A58" w:rsidRDefault="00786A58">
      <w:pPr>
        <w:rPr>
          <w:sz w:val="18"/>
          <w:szCs w:val="18"/>
        </w:rPr>
      </w:pPr>
    </w:p>
    <w:p w14:paraId="1DD57273" w14:textId="77777777" w:rsidR="00882882" w:rsidRDefault="00882882">
      <w:pPr>
        <w:rPr>
          <w:sz w:val="18"/>
          <w:szCs w:val="18"/>
        </w:rPr>
      </w:pPr>
    </w:p>
    <w:p w14:paraId="7602E65A" w14:textId="77777777" w:rsidR="00882882" w:rsidRDefault="00882882">
      <w:pPr>
        <w:rPr>
          <w:sz w:val="18"/>
          <w:szCs w:val="18"/>
        </w:rPr>
      </w:pPr>
    </w:p>
    <w:p w14:paraId="5B8599CB" w14:textId="77777777" w:rsidR="00786A58" w:rsidRDefault="004F3C30">
      <w:pPr>
        <w:ind w:left="720"/>
        <w:jc w:val="center"/>
        <w:rPr>
          <w:sz w:val="20"/>
        </w:rPr>
      </w:pPr>
      <w:r>
        <w:rPr>
          <w:sz w:val="20"/>
        </w:rPr>
        <w:t>ŠIS DOKUMENTS IR PARAKSTĪTS AR DROŠU ELEKTRONISKO PARAKSTU UN SATUR LAIKA ZĪMOGU</w:t>
      </w:r>
    </w:p>
    <w:sectPr w:rsidR="00786A58">
      <w:footerReference w:type="default" r:id="rId12"/>
      <w:pgSz w:w="11906" w:h="16838"/>
      <w:pgMar w:top="1134" w:right="1274" w:bottom="851" w:left="1418"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84FE04" w14:textId="77777777" w:rsidR="00A631AC" w:rsidRDefault="00A631AC">
      <w:r>
        <w:separator/>
      </w:r>
    </w:p>
  </w:endnote>
  <w:endnote w:type="continuationSeparator" w:id="0">
    <w:p w14:paraId="582C98DE" w14:textId="77777777" w:rsidR="00A631AC" w:rsidRDefault="00A631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embedRegular r:id="rId1" w:fontKey="{326B24DC-5670-4711-BBA5-18F89BE260C6}"/>
    <w:embedItalic r:id="rId2" w:fontKey="{11B22C43-7044-4D11-9BEB-735825C6F4A7}"/>
  </w:font>
  <w:font w:name="Tahoma">
    <w:panose1 w:val="020B0604030504040204"/>
    <w:charset w:val="BA"/>
    <w:family w:val="swiss"/>
    <w:pitch w:val="variable"/>
    <w:sig w:usb0="E1002EFF" w:usb1="C000605B" w:usb2="00000029" w:usb3="00000000" w:csb0="000101FF" w:csb1="00000000"/>
    <w:embedRegular r:id="rId3" w:fontKey="{FB2DB378-D0BD-4CFC-9B80-A856A470D7F2}"/>
  </w:font>
  <w:font w:name="Consolas">
    <w:panose1 w:val="020B0609020204030204"/>
    <w:charset w:val="BA"/>
    <w:family w:val="modern"/>
    <w:pitch w:val="fixed"/>
    <w:sig w:usb0="E00006FF" w:usb1="0000FCFF" w:usb2="00000001" w:usb3="00000000" w:csb0="0000019F" w:csb1="00000000"/>
    <w:embedRegular r:id="rId4" w:fontKey="{BCAADF98-82A9-445E-BFB0-8880812970AD}"/>
  </w:font>
  <w:font w:name="Aptos">
    <w:charset w:val="00"/>
    <w:family w:val="swiss"/>
    <w:pitch w:val="variable"/>
    <w:sig w:usb0="20000287" w:usb1="00000003" w:usb2="00000000" w:usb3="00000000" w:csb0="0000019F" w:csb1="00000000"/>
    <w:embedRegular r:id="rId5" w:fontKey="{E439893D-BDD4-489D-A3AA-A9DA90F70678}"/>
    <w:embedBold r:id="rId6" w:fontKey="{155F26FB-16E1-4C61-9531-74F79D520D2E}"/>
    <w:embedItalic r:id="rId7" w:fontKey="{AC325F88-082A-4317-94E1-4A74F53F584D}"/>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embedRegular r:id="rId8" w:fontKey="{64507584-1163-4A6D-82D9-96EA30C007B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599D0" w14:textId="77777777" w:rsidR="00786A58" w:rsidRDefault="004F3C30">
    <w:pPr>
      <w:pBdr>
        <w:top w:val="nil"/>
        <w:left w:val="nil"/>
        <w:bottom w:val="nil"/>
        <w:right w:val="nil"/>
        <w:between w:val="nil"/>
      </w:pBdr>
      <w:tabs>
        <w:tab w:val="center" w:pos="4153"/>
        <w:tab w:val="right" w:pos="8306"/>
      </w:tabs>
      <w:jc w:val="right"/>
      <w:rPr>
        <w:color w:val="000000"/>
        <w:szCs w:val="24"/>
      </w:rPr>
    </w:pPr>
    <w:r>
      <w:rPr>
        <w:color w:val="000000"/>
        <w:szCs w:val="24"/>
      </w:rPr>
      <w:fldChar w:fldCharType="begin"/>
    </w:r>
    <w:r>
      <w:rPr>
        <w:color w:val="000000"/>
        <w:szCs w:val="24"/>
      </w:rPr>
      <w:instrText>PAGE</w:instrText>
    </w:r>
    <w:r>
      <w:rPr>
        <w:color w:val="000000"/>
        <w:szCs w:val="24"/>
      </w:rPr>
      <w:fldChar w:fldCharType="separate"/>
    </w:r>
    <w:r w:rsidR="00E73944">
      <w:rPr>
        <w:noProof/>
        <w:color w:val="000000"/>
        <w:szCs w:val="24"/>
      </w:rPr>
      <w:t>1</w:t>
    </w:r>
    <w:r>
      <w:rPr>
        <w:color w:val="000000"/>
        <w:szCs w:val="24"/>
      </w:rPr>
      <w:fldChar w:fldCharType="end"/>
    </w:r>
  </w:p>
  <w:p w14:paraId="5B8599D1" w14:textId="77777777" w:rsidR="00786A58" w:rsidRDefault="00786A58">
    <w:pPr>
      <w:pBdr>
        <w:top w:val="nil"/>
        <w:left w:val="nil"/>
        <w:bottom w:val="nil"/>
        <w:right w:val="nil"/>
        <w:between w:val="nil"/>
      </w:pBdr>
      <w:tabs>
        <w:tab w:val="center" w:pos="4153"/>
        <w:tab w:val="right" w:pos="8306"/>
      </w:tabs>
      <w:ind w:right="360"/>
      <w:rPr>
        <w:color w:val="000000"/>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81BABA" w14:textId="77777777" w:rsidR="00A631AC" w:rsidRDefault="00A631AC">
      <w:r>
        <w:separator/>
      </w:r>
    </w:p>
  </w:footnote>
  <w:footnote w:type="continuationSeparator" w:id="0">
    <w:p w14:paraId="56A1CBC8" w14:textId="77777777" w:rsidR="00A631AC" w:rsidRDefault="00A631AC">
      <w:r>
        <w:continuationSeparator/>
      </w:r>
    </w:p>
  </w:footnote>
  <w:footnote w:id="1">
    <w:p w14:paraId="38500DD3" w14:textId="77777777" w:rsidR="008C5462" w:rsidRDefault="008C5462" w:rsidP="008C5462">
      <w:pPr>
        <w:pBdr>
          <w:top w:val="nil"/>
          <w:left w:val="nil"/>
          <w:bottom w:val="nil"/>
          <w:right w:val="nil"/>
          <w:between w:val="nil"/>
        </w:pBdr>
        <w:rPr>
          <w:color w:val="000000"/>
          <w:sz w:val="20"/>
        </w:rPr>
      </w:pPr>
      <w:r>
        <w:rPr>
          <w:rStyle w:val="FootnoteReference"/>
        </w:rPr>
        <w:footnoteRef/>
      </w:r>
      <w:r>
        <w:rPr>
          <w:color w:val="000000"/>
          <w:sz w:val="20"/>
        </w:rPr>
        <w:t xml:space="preserve"> https://titania.saeima.lv/LIVS14/saeimalivs14.nsf/webSasaiste?OpenView&amp;restricttocategory=1325/Lp14</w:t>
      </w:r>
    </w:p>
  </w:footnote>
  <w:footnote w:id="2">
    <w:p w14:paraId="722F3456" w14:textId="77777777" w:rsidR="008C5462" w:rsidRDefault="008C5462" w:rsidP="008C5462">
      <w:pPr>
        <w:pBdr>
          <w:top w:val="nil"/>
          <w:left w:val="nil"/>
          <w:bottom w:val="nil"/>
          <w:right w:val="nil"/>
          <w:between w:val="nil"/>
        </w:pBdr>
        <w:rPr>
          <w:color w:val="000000"/>
          <w:sz w:val="20"/>
        </w:rPr>
      </w:pPr>
      <w:r>
        <w:rPr>
          <w:rStyle w:val="FootnoteReference"/>
        </w:rPr>
        <w:footnoteRef/>
      </w:r>
      <w:r>
        <w:rPr>
          <w:color w:val="000000"/>
          <w:sz w:val="20"/>
        </w:rPr>
        <w:t xml:space="preserve"> </w:t>
      </w:r>
      <w:r>
        <w:rPr>
          <w:color w:val="000000"/>
          <w:sz w:val="20"/>
        </w:rPr>
        <w:t xml:space="preserve">Informācija iegūta, meklējot </w:t>
      </w:r>
      <w:hyperlink r:id="rId1">
        <w:r>
          <w:rPr>
            <w:color w:val="467886"/>
            <w:sz w:val="20"/>
            <w:u w:val="single"/>
          </w:rPr>
          <w:t>Latvijas tiesu portāla e-pakalpojumu vietnē</w:t>
        </w:r>
      </w:hyperlink>
      <w:r>
        <w:rPr>
          <w:color w:val="000000"/>
          <w:sz w:val="20"/>
        </w:rPr>
        <w:t xml:space="preserve"> </w:t>
      </w:r>
      <w:proofErr w:type="spellStart"/>
      <w:r>
        <w:rPr>
          <w:color w:val="000000"/>
          <w:sz w:val="20"/>
        </w:rPr>
        <w:t>anonimizēto</w:t>
      </w:r>
      <w:proofErr w:type="spellEnd"/>
      <w:r>
        <w:rPr>
          <w:color w:val="000000"/>
          <w:sz w:val="20"/>
        </w:rPr>
        <w:t xml:space="preserve"> tiesu nolēmumus pēc 115. panta.</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6A58"/>
    <w:rsid w:val="0002461D"/>
    <w:rsid w:val="0004304C"/>
    <w:rsid w:val="000744B5"/>
    <w:rsid w:val="000861EA"/>
    <w:rsid w:val="001072D3"/>
    <w:rsid w:val="001467EB"/>
    <w:rsid w:val="002659B8"/>
    <w:rsid w:val="0027475D"/>
    <w:rsid w:val="002F6D10"/>
    <w:rsid w:val="00402005"/>
    <w:rsid w:val="004F3C30"/>
    <w:rsid w:val="00525899"/>
    <w:rsid w:val="00576E98"/>
    <w:rsid w:val="005B6656"/>
    <w:rsid w:val="0061233B"/>
    <w:rsid w:val="006F0ECA"/>
    <w:rsid w:val="007147BF"/>
    <w:rsid w:val="00761869"/>
    <w:rsid w:val="00784805"/>
    <w:rsid w:val="00786A58"/>
    <w:rsid w:val="007B3535"/>
    <w:rsid w:val="007B69FC"/>
    <w:rsid w:val="007C00E0"/>
    <w:rsid w:val="007F4FD9"/>
    <w:rsid w:val="00882882"/>
    <w:rsid w:val="008C5462"/>
    <w:rsid w:val="008D27DC"/>
    <w:rsid w:val="008D6B53"/>
    <w:rsid w:val="0090530D"/>
    <w:rsid w:val="00911B43"/>
    <w:rsid w:val="00915735"/>
    <w:rsid w:val="00946F08"/>
    <w:rsid w:val="00951E31"/>
    <w:rsid w:val="00967A3D"/>
    <w:rsid w:val="009701EC"/>
    <w:rsid w:val="00A631AC"/>
    <w:rsid w:val="00B55D1C"/>
    <w:rsid w:val="00B7257A"/>
    <w:rsid w:val="00C17A3C"/>
    <w:rsid w:val="00C40B3A"/>
    <w:rsid w:val="00C70C9D"/>
    <w:rsid w:val="00C75F8A"/>
    <w:rsid w:val="00C82A93"/>
    <w:rsid w:val="00D34806"/>
    <w:rsid w:val="00DC41B8"/>
    <w:rsid w:val="00E37386"/>
    <w:rsid w:val="00E7358A"/>
    <w:rsid w:val="00E73944"/>
    <w:rsid w:val="00E8122E"/>
    <w:rsid w:val="00FF23F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599C0"/>
  <w15:docId w15:val="{CFF1D39C-0C35-4F02-8CDD-17CD7C576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2EEA"/>
    <w:rPr>
      <w:szCs w:val="20"/>
    </w:rPr>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customStyle="1" w:styleId="SubtitleChar">
    <w:name w:val="Subtitle Char"/>
    <w:basedOn w:val="DefaultParagraphFont"/>
    <w:link w:val="Subtitle"/>
    <w:qFormat/>
    <w:rsid w:val="00522EEA"/>
    <w:rPr>
      <w:rFonts w:ascii="Times New Roman" w:eastAsia="Times New Roman" w:hAnsi="Times New Roman" w:cs="Times New Roman"/>
      <w:b/>
      <w:i/>
      <w:sz w:val="48"/>
      <w:szCs w:val="20"/>
      <w:lang w:eastAsia="lv-LV"/>
    </w:rPr>
  </w:style>
  <w:style w:type="character" w:customStyle="1" w:styleId="FooterChar">
    <w:name w:val="Footer Char"/>
    <w:basedOn w:val="DefaultParagraphFont"/>
    <w:link w:val="Footer"/>
    <w:uiPriority w:val="99"/>
    <w:qFormat/>
    <w:rsid w:val="00522EEA"/>
    <w:rPr>
      <w:rFonts w:ascii="Times New Roman" w:eastAsia="Times New Roman" w:hAnsi="Times New Roman" w:cs="Times New Roman"/>
      <w:sz w:val="24"/>
      <w:szCs w:val="20"/>
      <w:lang w:eastAsia="lv-LV"/>
    </w:rPr>
  </w:style>
  <w:style w:type="paragraph" w:styleId="Subtitle">
    <w:name w:val="Subtitle"/>
    <w:basedOn w:val="Normal"/>
    <w:next w:val="Normal"/>
    <w:link w:val="SubtitleChar"/>
    <w:uiPriority w:val="11"/>
    <w:qFormat/>
    <w:pPr>
      <w:jc w:val="center"/>
    </w:pPr>
    <w:rPr>
      <w:b/>
      <w:bCs/>
      <w:i/>
      <w:iCs/>
      <w:sz w:val="48"/>
      <w:szCs w:val="48"/>
    </w:rPr>
  </w:style>
  <w:style w:type="character" w:customStyle="1" w:styleId="SubtitleChar1">
    <w:name w:val="Subtitle Char1"/>
    <w:basedOn w:val="DefaultParagraphFont"/>
    <w:uiPriority w:val="11"/>
    <w:rsid w:val="00522EEA"/>
    <w:rPr>
      <w:rFonts w:asciiTheme="majorHAnsi" w:eastAsiaTheme="majorEastAsia" w:hAnsiTheme="majorHAnsi" w:cstheme="majorBidi"/>
      <w:i/>
      <w:iCs/>
      <w:color w:val="4F81BD" w:themeColor="accent1"/>
      <w:spacing w:val="15"/>
      <w:sz w:val="24"/>
      <w:szCs w:val="24"/>
      <w:lang w:eastAsia="lv-LV"/>
    </w:rPr>
  </w:style>
  <w:style w:type="paragraph" w:styleId="Footer">
    <w:name w:val="footer"/>
    <w:basedOn w:val="Normal"/>
    <w:link w:val="FooterChar"/>
    <w:uiPriority w:val="99"/>
    <w:rsid w:val="00522EEA"/>
    <w:pPr>
      <w:tabs>
        <w:tab w:val="center" w:pos="4153"/>
        <w:tab w:val="right" w:pos="8306"/>
      </w:tabs>
    </w:pPr>
  </w:style>
  <w:style w:type="character" w:customStyle="1" w:styleId="FooterChar1">
    <w:name w:val="Footer Char1"/>
    <w:basedOn w:val="DefaultParagraphFont"/>
    <w:uiPriority w:val="99"/>
    <w:semiHidden/>
    <w:rsid w:val="00522EEA"/>
    <w:rPr>
      <w:rFonts w:ascii="Times New Roman" w:eastAsia="Times New Roman" w:hAnsi="Times New Roman" w:cs="Times New Roman"/>
      <w:sz w:val="24"/>
      <w:szCs w:val="20"/>
      <w:lang w:eastAsia="lv-LV"/>
    </w:rPr>
  </w:style>
  <w:style w:type="character" w:styleId="CommentReference">
    <w:name w:val="annotation reference"/>
    <w:basedOn w:val="DefaultParagraphFont"/>
    <w:uiPriority w:val="99"/>
    <w:semiHidden/>
    <w:unhideWhenUsed/>
    <w:rsid w:val="00991C16"/>
    <w:rPr>
      <w:sz w:val="16"/>
      <w:szCs w:val="16"/>
    </w:rPr>
  </w:style>
  <w:style w:type="paragraph" w:styleId="CommentText">
    <w:name w:val="annotation text"/>
    <w:basedOn w:val="Normal"/>
    <w:link w:val="CommentTextChar"/>
    <w:uiPriority w:val="99"/>
    <w:semiHidden/>
    <w:unhideWhenUsed/>
    <w:rsid w:val="00991C16"/>
    <w:rPr>
      <w:sz w:val="20"/>
    </w:rPr>
  </w:style>
  <w:style w:type="character" w:customStyle="1" w:styleId="CommentTextChar">
    <w:name w:val="Comment Text Char"/>
    <w:basedOn w:val="DefaultParagraphFont"/>
    <w:link w:val="CommentText"/>
    <w:uiPriority w:val="99"/>
    <w:semiHidden/>
    <w:rsid w:val="00991C16"/>
    <w:rPr>
      <w:rFonts w:ascii="Times New Roman" w:eastAsia="Times New Roman" w:hAnsi="Times New Roman" w:cs="Times New Roman"/>
      <w:sz w:val="20"/>
      <w:szCs w:val="20"/>
      <w:lang w:eastAsia="lv-LV"/>
    </w:rPr>
  </w:style>
  <w:style w:type="paragraph" w:styleId="CommentSubject">
    <w:name w:val="annotation subject"/>
    <w:basedOn w:val="CommentText"/>
    <w:next w:val="CommentText"/>
    <w:link w:val="CommentSubjectChar"/>
    <w:uiPriority w:val="99"/>
    <w:semiHidden/>
    <w:unhideWhenUsed/>
    <w:rsid w:val="00991C16"/>
    <w:rPr>
      <w:b/>
      <w:bCs/>
    </w:rPr>
  </w:style>
  <w:style w:type="character" w:customStyle="1" w:styleId="CommentSubjectChar">
    <w:name w:val="Comment Subject Char"/>
    <w:basedOn w:val="CommentTextChar"/>
    <w:link w:val="CommentSubject"/>
    <w:uiPriority w:val="99"/>
    <w:semiHidden/>
    <w:rsid w:val="00991C16"/>
    <w:rPr>
      <w:rFonts w:ascii="Times New Roman" w:eastAsia="Times New Roman" w:hAnsi="Times New Roman" w:cs="Times New Roman"/>
      <w:b/>
      <w:bCs/>
      <w:sz w:val="20"/>
      <w:szCs w:val="20"/>
      <w:lang w:eastAsia="lv-LV"/>
    </w:rPr>
  </w:style>
  <w:style w:type="paragraph" w:styleId="BalloonText">
    <w:name w:val="Balloon Text"/>
    <w:basedOn w:val="Normal"/>
    <w:link w:val="BalloonTextChar"/>
    <w:uiPriority w:val="99"/>
    <w:semiHidden/>
    <w:unhideWhenUsed/>
    <w:rsid w:val="00991C16"/>
    <w:rPr>
      <w:rFonts w:ascii="Tahoma" w:hAnsi="Tahoma" w:cs="Tahoma"/>
      <w:sz w:val="16"/>
      <w:szCs w:val="16"/>
    </w:rPr>
  </w:style>
  <w:style w:type="character" w:customStyle="1" w:styleId="BalloonTextChar">
    <w:name w:val="Balloon Text Char"/>
    <w:basedOn w:val="DefaultParagraphFont"/>
    <w:link w:val="BalloonText"/>
    <w:uiPriority w:val="99"/>
    <w:semiHidden/>
    <w:rsid w:val="00991C16"/>
    <w:rPr>
      <w:rFonts w:ascii="Tahoma" w:eastAsia="Times New Roman" w:hAnsi="Tahoma" w:cs="Tahoma"/>
      <w:sz w:val="16"/>
      <w:szCs w:val="16"/>
      <w:lang w:eastAsia="lv-LV"/>
    </w:rPr>
  </w:style>
  <w:style w:type="paragraph" w:styleId="ListParagraph">
    <w:name w:val="List Paragraph"/>
    <w:basedOn w:val="Normal"/>
    <w:uiPriority w:val="34"/>
    <w:qFormat/>
    <w:rsid w:val="00991C16"/>
    <w:pPr>
      <w:ind w:left="720"/>
      <w:contextualSpacing/>
    </w:pPr>
  </w:style>
  <w:style w:type="character" w:styleId="Hyperlink">
    <w:name w:val="Hyperlink"/>
    <w:basedOn w:val="DefaultParagraphFont"/>
    <w:uiPriority w:val="99"/>
    <w:unhideWhenUsed/>
    <w:rsid w:val="00F0330B"/>
    <w:rPr>
      <w:color w:val="0000FF" w:themeColor="hyperlink"/>
      <w:u w:val="single"/>
    </w:rPr>
  </w:style>
  <w:style w:type="paragraph" w:styleId="PlainText">
    <w:name w:val="Plain Text"/>
    <w:basedOn w:val="Normal"/>
    <w:link w:val="PlainTextChar"/>
    <w:uiPriority w:val="99"/>
    <w:semiHidden/>
    <w:unhideWhenUsed/>
    <w:rsid w:val="0054191F"/>
    <w:rPr>
      <w:rFonts w:ascii="Consolas" w:hAnsi="Consolas" w:cs="Consolas"/>
      <w:sz w:val="21"/>
      <w:szCs w:val="21"/>
    </w:rPr>
  </w:style>
  <w:style w:type="character" w:customStyle="1" w:styleId="PlainTextChar">
    <w:name w:val="Plain Text Char"/>
    <w:basedOn w:val="DefaultParagraphFont"/>
    <w:link w:val="PlainText"/>
    <w:uiPriority w:val="99"/>
    <w:semiHidden/>
    <w:rsid w:val="0054191F"/>
    <w:rPr>
      <w:rFonts w:ascii="Consolas" w:eastAsia="Times New Roman" w:hAnsi="Consolas" w:cs="Consolas"/>
      <w:sz w:val="21"/>
      <w:lang w:eastAsia="lv-LV"/>
    </w:rPr>
  </w:style>
  <w:style w:type="paragraph" w:styleId="FootnoteText">
    <w:name w:val="footnote text"/>
    <w:basedOn w:val="Normal"/>
    <w:link w:val="FootnoteTextChar"/>
    <w:uiPriority w:val="99"/>
    <w:semiHidden/>
    <w:unhideWhenUsed/>
    <w:rsid w:val="00A70573"/>
    <w:rPr>
      <w:sz w:val="20"/>
    </w:rPr>
  </w:style>
  <w:style w:type="character" w:customStyle="1" w:styleId="FootnoteTextChar">
    <w:name w:val="Footnote Text Char"/>
    <w:basedOn w:val="DefaultParagraphFont"/>
    <w:link w:val="FootnoteText"/>
    <w:uiPriority w:val="99"/>
    <w:semiHidden/>
    <w:rsid w:val="00A70573"/>
    <w:rPr>
      <w:rFonts w:ascii="Times New Roman" w:eastAsia="Times New Roman" w:hAnsi="Times New Roman" w:cs="Times New Roman"/>
      <w:sz w:val="20"/>
      <w:szCs w:val="20"/>
      <w:lang w:eastAsia="lv-LV"/>
    </w:rPr>
  </w:style>
  <w:style w:type="character" w:styleId="FootnoteReference">
    <w:name w:val="footnote reference"/>
    <w:basedOn w:val="DefaultParagraphFont"/>
    <w:uiPriority w:val="99"/>
    <w:unhideWhenUsed/>
    <w:rsid w:val="00A70573"/>
    <w:rPr>
      <w:vertAlign w:val="superscript"/>
    </w:rPr>
  </w:style>
  <w:style w:type="paragraph" w:styleId="Header">
    <w:name w:val="header"/>
    <w:basedOn w:val="Normal"/>
    <w:link w:val="HeaderChar"/>
    <w:uiPriority w:val="99"/>
    <w:unhideWhenUsed/>
    <w:rsid w:val="00E76FF0"/>
    <w:pPr>
      <w:tabs>
        <w:tab w:val="center" w:pos="4153"/>
        <w:tab w:val="right" w:pos="8306"/>
      </w:tabs>
    </w:pPr>
  </w:style>
  <w:style w:type="character" w:customStyle="1" w:styleId="HeaderChar">
    <w:name w:val="Header Char"/>
    <w:basedOn w:val="DefaultParagraphFont"/>
    <w:link w:val="Header"/>
    <w:uiPriority w:val="99"/>
    <w:rsid w:val="00E76FF0"/>
    <w:rPr>
      <w:rFonts w:ascii="Times New Roman" w:eastAsia="Times New Roman" w:hAnsi="Times New Roman" w:cs="Times New Roman"/>
      <w:sz w:val="24"/>
      <w:szCs w:val="20"/>
      <w:lang w:eastAsia="lv-LV"/>
    </w:rPr>
  </w:style>
  <w:style w:type="paragraph" w:customStyle="1" w:styleId="paragraph">
    <w:name w:val="paragraph"/>
    <w:basedOn w:val="Normal"/>
    <w:rsid w:val="00DC501D"/>
    <w:pPr>
      <w:spacing w:before="100" w:beforeAutospacing="1" w:after="100" w:afterAutospacing="1"/>
    </w:pPr>
    <w:rPr>
      <w:szCs w:val="24"/>
    </w:rPr>
  </w:style>
  <w:style w:type="character" w:customStyle="1" w:styleId="normaltextrun">
    <w:name w:val="normaltextrun"/>
    <w:basedOn w:val="DefaultParagraphFont"/>
    <w:rsid w:val="00DC501D"/>
  </w:style>
  <w:style w:type="character" w:customStyle="1" w:styleId="eop">
    <w:name w:val="eop"/>
    <w:basedOn w:val="DefaultParagraphFont"/>
    <w:rsid w:val="00DC501D"/>
  </w:style>
  <w:style w:type="character" w:styleId="UnresolvedMention">
    <w:name w:val="Unresolved Mention"/>
    <w:basedOn w:val="DefaultParagraphFont"/>
    <w:uiPriority w:val="99"/>
    <w:semiHidden/>
    <w:unhideWhenUsed/>
    <w:rsid w:val="009149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asts@tm.gov.lv" TargetMode="External"/><Relationship Id="rId5" Type="http://schemas.openxmlformats.org/officeDocument/2006/relationships/styles" Target="styles.xml"/><Relationship Id="rId10" Type="http://schemas.openxmlformats.org/officeDocument/2006/relationships/hyperlink" Target="mailto:juridiska.komisija@saeima.lv"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1" Type="http://schemas.openxmlformats.org/officeDocument/2006/relationships/hyperlink" Target="https://manas.tiesas.lv/eTiesasMvc/lv/nolemu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F62256131EA082498DC868E3AF956C40" ma:contentTypeVersion="18" ma:contentTypeDescription="Izveidot jaunu dokumentu." ma:contentTypeScope="" ma:versionID="df15819a45397d6da2b6526cb9199946">
  <xsd:schema xmlns:xsd="http://www.w3.org/2001/XMLSchema" xmlns:xs="http://www.w3.org/2001/XMLSchema" xmlns:p="http://schemas.microsoft.com/office/2006/metadata/properties" xmlns:ns3="ace8e44c-fa88-44c0-8590-dfda63664a63" xmlns:ns4="122e0e09-afb4-4bf9-abab-ecc4519bc6eb" targetNamespace="http://schemas.microsoft.com/office/2006/metadata/properties" ma:root="true" ma:fieldsID="2cecc2298e97805abec387b50d71d9ff" ns3:_="" ns4:_="">
    <xsd:import namespace="ace8e44c-fa88-44c0-8590-dfda63664a63"/>
    <xsd:import namespace="122e0e09-afb4-4bf9-abab-ecc4519bc6e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e8e44c-fa88-44c0-8590-dfda63664a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22e0e09-afb4-4bf9-abab-ecc4519bc6eb"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SharingHintHash" ma:index="12" nillable="true" ma:displayName="Koplietošanas norādes jaucējkod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07quPNPjnPoEZSuS7h+JdV+Sqag==">CgMxLjA4AHIhMXR5aEFpdkNVYUhKa2swN1VIazcxTnBJSHlkS3ZjQTVm</go:docsCustomData>
</go:gDocsCustomXmlDataStorage>
</file>

<file path=customXml/item3.xml><?xml version="1.0" encoding="utf-8"?>
<p:properties xmlns:p="http://schemas.microsoft.com/office/2006/metadata/properties" xmlns:xsi="http://www.w3.org/2001/XMLSchema-instance" xmlns:pc="http://schemas.microsoft.com/office/infopath/2007/PartnerControls">
  <documentManagement>
    <_activity xmlns="ace8e44c-fa88-44c0-8590-dfda63664a6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DC60880-E34E-4283-8170-F08FB4C3B6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e8e44c-fa88-44c0-8590-dfda63664a63"/>
    <ds:schemaRef ds:uri="122e0e09-afb4-4bf9-abab-ecc4519bc6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95403285-EAFF-4BF2-8A31-3B35E33177A6}">
  <ds:schemaRefs>
    <ds:schemaRef ds:uri="http://schemas.microsoft.com/office/2006/metadata/properties"/>
    <ds:schemaRef ds:uri="http://schemas.microsoft.com/office/infopath/2007/PartnerControls"/>
    <ds:schemaRef ds:uri="ace8e44c-fa88-44c0-8590-dfda63664a63"/>
  </ds:schemaRefs>
</ds:datastoreItem>
</file>

<file path=customXml/itemProps4.xml><?xml version="1.0" encoding="utf-8"?>
<ds:datastoreItem xmlns:ds="http://schemas.openxmlformats.org/officeDocument/2006/customXml" ds:itemID="{4316CF44-1C06-4703-8E7B-400CAA75FE97}">
  <ds:schemaRefs>
    <ds:schemaRef ds:uri="http://schemas.microsoft.com/sharepoint/v3/contenttype/forms"/>
  </ds:schemaRefs>
</ds:datastoreItem>
</file>

<file path=docMetadata/LabelInfo.xml><?xml version="1.0" encoding="utf-8"?>
<clbl:labelList xmlns:clbl="http://schemas.microsoft.com/office/2020/mipLabelMetadata">
  <clbl:label id="{a2d593ad-f07d-4c55-87c8-106c26d6ba08}" enabled="0" method="" siteId="{a2d593ad-f07d-4c55-87c8-106c26d6ba08}" removed="1"/>
</clbl:labelList>
</file>

<file path=docProps/app.xml><?xml version="1.0" encoding="utf-8"?>
<Properties xmlns="http://schemas.openxmlformats.org/officeDocument/2006/extended-properties" xmlns:vt="http://schemas.openxmlformats.org/officeDocument/2006/docPropsVTypes">
  <Template>Normal</Template>
  <TotalTime>9</TotalTime>
  <Pages>5</Pages>
  <Words>6788</Words>
  <Characters>3870</Characters>
  <Application>Microsoft Office Word</Application>
  <DocSecurity>0</DocSecurity>
  <Lines>32</Lines>
  <Paragraphs>21</Paragraphs>
  <ScaleCrop>false</ScaleCrop>
  <Company/>
  <LinksUpToDate>false</LinksUpToDate>
  <CharactersWithSpaces>10637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Lelde Eņģele;Viesturs Kerus</dc:creator>
  <cp:lastModifiedBy>Ilze Trušinska</cp:lastModifiedBy>
  <cp:revision>9</cp:revision>
  <dcterms:created xsi:type="dcterms:W3CDTF">2026-08-26T11:21:00Z</dcterms:created>
  <dcterms:modified xsi:type="dcterms:W3CDTF">2026-08-26T11:29:00Z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0x010100F62256131EA082498DC868E3AF956C40</vt:lpwstr>
  </property>
</Properties>
</file>