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B3201" w14:textId="77777777" w:rsidR="001660F1" w:rsidRPr="001660F1" w:rsidRDefault="001660F1" w:rsidP="001660F1">
      <w:pPr>
        <w:pStyle w:val="NormalWeb"/>
        <w:spacing w:before="0" w:beforeAutospacing="0" w:after="0" w:afterAutospacing="0"/>
        <w:ind w:left="22" w:right="55" w:hanging="1"/>
        <w:jc w:val="center"/>
        <w:rPr>
          <w:rFonts w:ascii="Times" w:hAnsi="Times" w:cs="Times"/>
          <w:b/>
          <w:bCs/>
          <w:color w:val="000000"/>
          <w:sz w:val="28"/>
          <w:szCs w:val="28"/>
        </w:rPr>
      </w:pPr>
      <w:r w:rsidRPr="001660F1">
        <w:rPr>
          <w:rFonts w:ascii="Times" w:hAnsi="Times" w:cs="Times"/>
          <w:b/>
          <w:bCs/>
          <w:color w:val="000000"/>
          <w:sz w:val="28"/>
          <w:szCs w:val="28"/>
        </w:rPr>
        <w:t>Vadlīnijas</w:t>
      </w:r>
      <w:r w:rsidR="008848E6" w:rsidRPr="001660F1">
        <w:rPr>
          <w:rFonts w:ascii="Times" w:hAnsi="Times" w:cs="Times"/>
          <w:b/>
          <w:bCs/>
          <w:color w:val="000000"/>
          <w:sz w:val="28"/>
          <w:szCs w:val="28"/>
        </w:rPr>
        <w:t xml:space="preserve"> saistošo noteikumu izstrādei</w:t>
      </w:r>
    </w:p>
    <w:p w14:paraId="7DBA21BB" w14:textId="77777777" w:rsidR="001660F1" w:rsidRPr="001660F1" w:rsidRDefault="001660F1" w:rsidP="001660F1">
      <w:pPr>
        <w:pStyle w:val="NormalWeb"/>
        <w:spacing w:before="0" w:beforeAutospacing="0" w:after="0" w:afterAutospacing="0"/>
        <w:ind w:left="22" w:right="55" w:hanging="1"/>
        <w:jc w:val="center"/>
        <w:rPr>
          <w:rFonts w:ascii="Times" w:hAnsi="Times" w:cs="Times"/>
          <w:b/>
          <w:bCs/>
          <w:color w:val="000000"/>
          <w:sz w:val="28"/>
          <w:szCs w:val="28"/>
        </w:rPr>
      </w:pPr>
    </w:p>
    <w:p w14:paraId="68AD0D2D" w14:textId="77777777" w:rsidR="008848E6" w:rsidRPr="001660F1" w:rsidRDefault="001660F1" w:rsidP="001660F1">
      <w:pPr>
        <w:pStyle w:val="NormalWeb"/>
        <w:spacing w:before="0" w:beforeAutospacing="0" w:after="0" w:afterAutospacing="0"/>
        <w:ind w:left="22" w:right="55" w:hanging="1"/>
        <w:jc w:val="center"/>
        <w:rPr>
          <w:rFonts w:ascii="Times" w:hAnsi="Times" w:cs="Times"/>
          <w:b/>
          <w:bCs/>
          <w:color w:val="000000"/>
          <w:sz w:val="28"/>
          <w:szCs w:val="28"/>
        </w:rPr>
      </w:pPr>
      <w:r w:rsidRPr="001660F1">
        <w:rPr>
          <w:rFonts w:ascii="Times" w:hAnsi="Times" w:cs="Times"/>
          <w:b/>
          <w:bCs/>
          <w:color w:val="000000"/>
          <w:sz w:val="28"/>
          <w:szCs w:val="28"/>
        </w:rPr>
        <w:t>par sabiedrisko kārtību</w:t>
      </w:r>
    </w:p>
    <w:p w14:paraId="51DF5622" w14:textId="77777777" w:rsidR="008848E6" w:rsidRPr="00EC3AF1" w:rsidRDefault="001660F1" w:rsidP="008848E6">
      <w:pPr>
        <w:pStyle w:val="NormalWeb"/>
        <w:spacing w:before="277" w:beforeAutospacing="0" w:after="0" w:afterAutospacing="0"/>
        <w:ind w:left="21" w:right="-6" w:hanging="4"/>
        <w:jc w:val="both"/>
        <w:rPr>
          <w:rFonts w:ascii="Times" w:hAnsi="Times" w:cs="Times"/>
        </w:rPr>
      </w:pPr>
      <w:r w:rsidRPr="00EC3AF1">
        <w:rPr>
          <w:rFonts w:ascii="Times" w:hAnsi="Times" w:cs="Times"/>
        </w:rPr>
        <w:t>Likuma “</w:t>
      </w:r>
      <w:r w:rsidR="008848E6" w:rsidRPr="00EC3AF1">
        <w:rPr>
          <w:rFonts w:ascii="Times" w:hAnsi="Times" w:cs="Times"/>
        </w:rPr>
        <w:t>Par pašvaldībām” 43.panta pirmās daļas 4.punkts noteic, ka dome ir tiesīga izdot saistošus noteikumus, paredzot administratīvo atbildību par to pārkāpšanu, par sabiedrisko kārtību. </w:t>
      </w:r>
    </w:p>
    <w:p w14:paraId="7FF82792" w14:textId="77777777" w:rsidR="008848E6" w:rsidRPr="00EC3AF1" w:rsidRDefault="008848E6" w:rsidP="008848E6">
      <w:pPr>
        <w:pStyle w:val="NormalWeb"/>
        <w:spacing w:before="277" w:after="0"/>
        <w:ind w:left="20" w:right="-6" w:firstLine="1"/>
        <w:jc w:val="both"/>
        <w:rPr>
          <w:rFonts w:ascii="Times" w:hAnsi="Times" w:cs="Times"/>
        </w:rPr>
      </w:pPr>
      <w:r w:rsidRPr="00EC3AF1">
        <w:rPr>
          <w:rFonts w:ascii="Times" w:hAnsi="Times" w:cs="Times"/>
          <w:b/>
        </w:rPr>
        <w:t>1.</w:t>
      </w:r>
      <w:r w:rsidRPr="00EC3AF1">
        <w:rPr>
          <w:rFonts w:ascii="Times" w:hAnsi="Times" w:cs="Times"/>
        </w:rPr>
        <w:t>Vispārīgie noteikumi, kas jāievēro izstrādājot saistošos noteikumus.</w:t>
      </w:r>
    </w:p>
    <w:p w14:paraId="6E130858" w14:textId="77777777" w:rsidR="008848E6" w:rsidRPr="00EC3AF1" w:rsidRDefault="008848E6" w:rsidP="008848E6">
      <w:pPr>
        <w:pStyle w:val="NormalWeb"/>
        <w:spacing w:before="277" w:after="0"/>
        <w:ind w:left="20" w:right="-6" w:firstLine="1"/>
        <w:jc w:val="both"/>
        <w:rPr>
          <w:rFonts w:ascii="Times" w:hAnsi="Times" w:cs="Times"/>
        </w:rPr>
      </w:pPr>
      <w:r w:rsidRPr="00EC3AF1">
        <w:rPr>
          <w:rFonts w:ascii="Times" w:hAnsi="Times" w:cs="Times"/>
          <w:b/>
        </w:rPr>
        <w:t>1.1.</w:t>
      </w:r>
      <w:r w:rsidRPr="00EC3AF1">
        <w:rPr>
          <w:rFonts w:ascii="Times" w:hAnsi="Times" w:cs="Times"/>
        </w:rPr>
        <w:t xml:space="preserve"> Likuma “Par pašvaldībām” 43.pantā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90.pantā noteiktās tiesības ikvienam zināt savas tiesības.</w:t>
      </w:r>
    </w:p>
    <w:p w14:paraId="6B33FEFE" w14:textId="77777777" w:rsidR="008848E6" w:rsidRPr="00EC3AF1" w:rsidRDefault="008848E6" w:rsidP="008848E6">
      <w:pPr>
        <w:pStyle w:val="NormalWeb"/>
        <w:spacing w:before="277" w:after="0"/>
        <w:ind w:left="20" w:right="-6" w:firstLine="1"/>
        <w:jc w:val="both"/>
        <w:rPr>
          <w:rFonts w:ascii="Times" w:hAnsi="Times" w:cs="Times"/>
        </w:rPr>
      </w:pPr>
      <w:r w:rsidRPr="00EC3AF1">
        <w:rPr>
          <w:rFonts w:ascii="Times" w:hAnsi="Times" w:cs="Times"/>
          <w:b/>
        </w:rPr>
        <w:t xml:space="preserve">1.2. </w:t>
      </w:r>
      <w:r w:rsidRPr="00EC3AF1">
        <w:rPr>
          <w:rFonts w:ascii="Times" w:hAnsi="Times" w:cs="Times"/>
        </w:rPr>
        <w:t xml:space="preserve">Ministru kabineta 2009.gada 3.februāra noteikumu Nr.108 “Normatīvo aktu  projektu sagatavošanas noteikumi” 121.punkts noteic, ka noteikumu projektā terminus  skaidro, lai konkretizētu terminā izteiktā jēdziena izpratnes robežas, ja termins nav skaidrots vai lietots augstāka juridiskā spēka normatīvajā aktā. Līdz ar to, pirmkārt, terminus skaidro, nevis ar tiem regulē noteiktus jautājumus, otrkārt, neskaidro tādus  terminus, kas skaidroti vai lietoti augstāka juridiskā spēka normatīvajā aktā, kā arī  neievieš jaunus terminus, kas pēc būtības atbilst augstāka juridiskā spēka normatīvajā  aktā skaidrotajam vai lietotajam terminam. Ja pašvaldība vēlas samazināt, kāda  augstāka juridiskā spēka normatīvajā aktā skaidrota vai lietota termina izpratni, tad  vēlams saistošo noteikumu pamattekstā attiecīgi norādīt izņēmumus. </w:t>
      </w:r>
    </w:p>
    <w:p w14:paraId="44CA4D2F" w14:textId="77777777" w:rsidR="008848E6" w:rsidRDefault="008848E6" w:rsidP="008848E6">
      <w:pPr>
        <w:pStyle w:val="NormalWeb"/>
        <w:spacing w:before="277" w:beforeAutospacing="0" w:after="0" w:afterAutospacing="0"/>
        <w:ind w:left="20" w:right="-6" w:firstLine="1"/>
        <w:jc w:val="both"/>
        <w:rPr>
          <w:rFonts w:ascii="Times" w:hAnsi="Times" w:cs="Times"/>
        </w:rPr>
      </w:pPr>
      <w:r w:rsidRPr="00EC3AF1">
        <w:rPr>
          <w:rFonts w:ascii="Times" w:hAnsi="Times" w:cs="Times"/>
          <w:b/>
        </w:rPr>
        <w:t>1.3.</w:t>
      </w:r>
      <w:r w:rsidRPr="00EC3AF1">
        <w:rPr>
          <w:rFonts w:ascii="Times" w:hAnsi="Times" w:cs="Times"/>
        </w:rPr>
        <w:t xml:space="preserve"> Satversmes tiesa ir atzinusi, ka īpašuma tiesības var ierobežot, ja ierobežojumi ir  attaisnojami, proti, ja tie ir noteikti saskaņā ar likumu, tiem ir leģitīms mērķis un tie ir  samērīgi (sk. Satversmes tiesas 2008.gada 22.decembra sprieduma lietā Nr.2008-11- 01 9.punktu). 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 Leģitīma  mērķa esamība liecina par to, ka īpašuma tiesību ierobežojums ir noteikts sabiedrības  interesēs (sk. Satversmes tiesas 2009.gada 13.februāra sprieduma lietā Nr.2008-34-01  19.punktu). Ja īpašuma tiesību ierobežojumam nav leģitīma mērķa vai tas neatbilst  samērīguma principam, tad tiesību norma, kurā ierobežojums noteikts, ir prettiesiska  un neatbilst Satversmes 105.pantam. Tiesību norma, kurā noteikts īpašuma tiesību  ierobežojums, atbilst samērīguma principam, ja ir ievēroti trīs kritēriji: 1) izmantotais  līdzeklis ir piemērots leģitīmā mērķa sasniegšanai; 2) leģitīmo mērķi nav iespējams  sasniegt ar citiem, indivīda tiesības mazāk ierobežojošiem līdzekļiem; 3) labums, ko  sabiedrība iegūst no ierobežojuma, ir lielāks par personai nodarīto zaudējumu (sk.  Satversmes tiesas 2009.gada 13.februāra sprieduma lietā Nr.2008-34-01 20.punktu).</w:t>
      </w:r>
    </w:p>
    <w:p w14:paraId="1FFFE81B" w14:textId="77777777" w:rsidR="00EC3AF1" w:rsidRPr="00EC3AF1" w:rsidRDefault="00EC3AF1" w:rsidP="008848E6">
      <w:pPr>
        <w:pStyle w:val="NormalWeb"/>
        <w:spacing w:before="277" w:beforeAutospacing="0" w:after="0" w:afterAutospacing="0"/>
        <w:ind w:left="20" w:right="-6" w:firstLine="1"/>
        <w:jc w:val="both"/>
        <w:rPr>
          <w:rFonts w:ascii="Times" w:hAnsi="Times" w:cs="Times"/>
        </w:rPr>
      </w:pPr>
    </w:p>
    <w:p w14:paraId="37781A18" w14:textId="77777777" w:rsidR="008848E6" w:rsidRPr="00EC3AF1" w:rsidRDefault="008848E6" w:rsidP="008848E6">
      <w:pPr>
        <w:pStyle w:val="NormalWeb"/>
        <w:spacing w:before="277" w:after="0"/>
        <w:ind w:left="20" w:right="-6" w:firstLine="1"/>
        <w:jc w:val="both"/>
        <w:rPr>
          <w:rFonts w:ascii="Times" w:hAnsi="Times" w:cs="Times"/>
        </w:rPr>
      </w:pPr>
      <w:r w:rsidRPr="00EC3AF1">
        <w:rPr>
          <w:rFonts w:ascii="Times" w:hAnsi="Times" w:cs="Times"/>
          <w:b/>
        </w:rPr>
        <w:lastRenderedPageBreak/>
        <w:t>2.</w:t>
      </w:r>
      <w:r w:rsidRPr="00EC3AF1">
        <w:rPr>
          <w:rFonts w:ascii="Times" w:hAnsi="Times" w:cs="Times"/>
        </w:rPr>
        <w:t xml:space="preserve"> Speciālie noteikumi, kas jāievēro izstrādājot saistošos noteikumus.</w:t>
      </w:r>
    </w:p>
    <w:p w14:paraId="158DCCBC" w14:textId="77777777" w:rsidR="008848E6" w:rsidRPr="00EC3AF1" w:rsidRDefault="008848E6" w:rsidP="008848E6">
      <w:pPr>
        <w:pStyle w:val="NormalWeb"/>
        <w:spacing w:before="0" w:beforeAutospacing="0" w:after="0" w:afterAutospacing="0"/>
        <w:ind w:left="18" w:right="-5" w:firstLine="5"/>
        <w:jc w:val="both"/>
        <w:rPr>
          <w:rFonts w:ascii="Times" w:hAnsi="Times" w:cs="Times"/>
        </w:rPr>
      </w:pPr>
      <w:r w:rsidRPr="00EC3AF1">
        <w:rPr>
          <w:rFonts w:ascii="Times" w:hAnsi="Times" w:cs="Times"/>
          <w:b/>
          <w:bCs/>
        </w:rPr>
        <w:t xml:space="preserve">2.1. </w:t>
      </w:r>
      <w:r w:rsidRPr="00EC3AF1">
        <w:rPr>
          <w:rFonts w:ascii="Times" w:hAnsi="Times" w:cs="Times"/>
        </w:rPr>
        <w:t>Sabiedriskās kārtības prasības var noteikt attiecībā uz sabiedriski pieejamām  vietām. Savukārt privātpersonām piederošu īpašumu lietošanu nosaka tās īpašnieks. Tādejādi pašvaldība nav tiesīga noteikt prasības un kārtību, kādā lietojams  privātīpašums, neatkarīgi no tā, ka īpašums ir pieejams sabiedrībai. </w:t>
      </w:r>
    </w:p>
    <w:p w14:paraId="7BF3FCBE" w14:textId="77777777" w:rsidR="008848E6" w:rsidRPr="00EC3AF1" w:rsidRDefault="008848E6" w:rsidP="008848E6">
      <w:pPr>
        <w:pStyle w:val="NormalWeb"/>
        <w:spacing w:before="0" w:beforeAutospacing="0" w:after="0" w:afterAutospacing="0"/>
        <w:ind w:left="18" w:right="-5" w:firstLine="5"/>
        <w:jc w:val="both"/>
        <w:rPr>
          <w:rFonts w:ascii="Times" w:hAnsi="Times" w:cs="Times"/>
        </w:rPr>
      </w:pPr>
    </w:p>
    <w:p w14:paraId="5A340AEB" w14:textId="77777777" w:rsidR="008848E6" w:rsidRPr="00EC3AF1" w:rsidRDefault="008848E6" w:rsidP="008848E6">
      <w:pPr>
        <w:pStyle w:val="NormalWeb"/>
        <w:spacing w:before="0" w:beforeAutospacing="0" w:after="0" w:afterAutospacing="0"/>
        <w:ind w:left="20" w:right="-6" w:firstLine="3"/>
        <w:jc w:val="both"/>
        <w:rPr>
          <w:rFonts w:ascii="Times" w:hAnsi="Times" w:cs="Times"/>
        </w:rPr>
      </w:pPr>
      <w:r w:rsidRPr="00EC3AF1">
        <w:rPr>
          <w:rFonts w:ascii="Times" w:hAnsi="Times" w:cs="Times"/>
          <w:b/>
          <w:bCs/>
        </w:rPr>
        <w:t xml:space="preserve">2.2. </w:t>
      </w:r>
      <w:r w:rsidRPr="00EC3AF1">
        <w:rPr>
          <w:rFonts w:ascii="Times" w:hAnsi="Times" w:cs="Times"/>
        </w:rPr>
        <w:t>Saska</w:t>
      </w:r>
      <w:r w:rsidR="00102865" w:rsidRPr="00EC3AF1">
        <w:rPr>
          <w:rFonts w:ascii="Times" w:hAnsi="Times" w:cs="Times"/>
        </w:rPr>
        <w:t>ņā ar Administratīvo sodu likuma</w:t>
      </w:r>
      <w:r w:rsidRPr="00EC3AF1">
        <w:rPr>
          <w:rFonts w:ascii="Times" w:hAnsi="Times" w:cs="Times"/>
        </w:rPr>
        <w:t xml:space="preserve"> par pārkāpumiem pārvaldes, sabiedriskās kārtības un valsts valodas lietošanas jomā 11.panta pirmo daļu par sabiedriskās kārtības traucēšanu, pārkāpjot vispārpieņemtās uzvedības normas un traucējot personu mieru, iestāžu, komersantu vai citu institūciju darbu vai apdraudot savu vai citu personu drošību (sīkais huligānisms), piemēro naudas sodu no četrpadsmit līdz simt naudas soda vienībām. Ievērojot minēto, saistošajos noteikumos var noteikt administratīvo atbildību par vispārpieņemto uzvedības normu (nerakstītu) neievērošanu, ja nav traucēts personu miers, iestāžu, komersantu vai citu institūciju darbs vai apdraudēta pašas personas vai citu personu drošība. Vispārpieņemtas uzvedības normas lūdzam neregulēt, jo tās ir vispārpieņemtas.</w:t>
      </w:r>
    </w:p>
    <w:p w14:paraId="1993C9FE" w14:textId="77777777" w:rsidR="008848E6" w:rsidRPr="00EC3AF1" w:rsidRDefault="008848E6" w:rsidP="008848E6">
      <w:pPr>
        <w:pStyle w:val="NormalWeb"/>
        <w:spacing w:before="0" w:beforeAutospacing="0" w:after="0" w:afterAutospacing="0"/>
        <w:ind w:left="20" w:right="-6" w:firstLine="3"/>
        <w:jc w:val="both"/>
        <w:rPr>
          <w:rFonts w:ascii="Times" w:hAnsi="Times" w:cs="Times"/>
        </w:rPr>
      </w:pPr>
    </w:p>
    <w:p w14:paraId="55B8C8F9" w14:textId="77777777" w:rsidR="008848E6" w:rsidRPr="00EC3AF1" w:rsidRDefault="008848E6" w:rsidP="008848E6">
      <w:pPr>
        <w:pStyle w:val="NormalWeb"/>
        <w:spacing w:before="0" w:beforeAutospacing="0" w:after="0" w:afterAutospacing="0"/>
        <w:ind w:left="18" w:right="-6" w:firstLine="5"/>
        <w:jc w:val="both"/>
        <w:rPr>
          <w:rFonts w:ascii="Times" w:hAnsi="Times" w:cs="Times"/>
        </w:rPr>
      </w:pPr>
      <w:r w:rsidRPr="00EC3AF1">
        <w:rPr>
          <w:rFonts w:ascii="Times" w:hAnsi="Times" w:cs="Times"/>
          <w:b/>
          <w:bCs/>
        </w:rPr>
        <w:t xml:space="preserve">2.3. </w:t>
      </w:r>
      <w:r w:rsidRPr="00EC3AF1">
        <w:rPr>
          <w:rFonts w:ascii="Times" w:hAnsi="Times" w:cs="Times"/>
        </w:rPr>
        <w:t>Administratīvās atbildības likuma 5.panta trešā daļa noteic, ka administratīvā atbildība par likumā vai pašvaldību saistošajos noteikumos paredzētajiem pārkāpumiem iestājas, ja par šiem pārkāpumiem nav paredzēta kriminālatbildība. Ievērojot minēto un likuma “Par pašvaldībām” 41.panta otro daļu, saistošajos noteikumos nav tiesiska pamata paredzēt administratīvo atbildību par mantas bojāšanu, jo pamatā atbildība par mantas bojāšanu ir paredzēta Krimināllikuma 185., 186.pantā. Turklāt Krimināllikuma 231.panta otrā daļa paredz atbildību par huligānismu, ja tas saistīts ar mantas bojāšanu vai iznīcināšanu.</w:t>
      </w:r>
    </w:p>
    <w:p w14:paraId="2D02DF09" w14:textId="77777777" w:rsidR="008848E6" w:rsidRPr="00EC3AF1" w:rsidRDefault="008848E6" w:rsidP="008848E6">
      <w:pPr>
        <w:pStyle w:val="NormalWeb"/>
        <w:spacing w:before="0" w:beforeAutospacing="0" w:after="0" w:afterAutospacing="0"/>
        <w:ind w:left="18" w:right="-6" w:firstLine="5"/>
        <w:jc w:val="both"/>
        <w:rPr>
          <w:rFonts w:ascii="Times" w:hAnsi="Times" w:cs="Times"/>
        </w:rPr>
      </w:pPr>
    </w:p>
    <w:p w14:paraId="6233294B" w14:textId="77777777" w:rsidR="008848E6" w:rsidRPr="00EC3AF1" w:rsidRDefault="008848E6" w:rsidP="008848E6">
      <w:pPr>
        <w:pStyle w:val="NormalWeb"/>
        <w:spacing w:before="0" w:beforeAutospacing="0" w:after="0" w:afterAutospacing="0"/>
        <w:ind w:left="18" w:right="-6" w:firstLine="5"/>
        <w:jc w:val="both"/>
        <w:rPr>
          <w:rFonts w:ascii="Times" w:hAnsi="Times" w:cs="Times"/>
        </w:rPr>
      </w:pPr>
      <w:r w:rsidRPr="00EC3AF1">
        <w:rPr>
          <w:rFonts w:ascii="Times" w:hAnsi="Times" w:cs="Times"/>
          <w:b/>
          <w:bCs/>
        </w:rPr>
        <w:t xml:space="preserve">2.4. </w:t>
      </w:r>
      <w:r w:rsidRPr="00EC3AF1">
        <w:rPr>
          <w:rFonts w:ascii="Times" w:hAnsi="Times" w:cs="Times"/>
        </w:rPr>
        <w:t xml:space="preserve">Sabiedriskās kārtības prasības un administratīvos pārkāpumus par to pārkāpšanu  nepieciešams noteikt atsevišķās normās, ievērojot likuma “Par pašvaldībām” 43.panta pirmo daļu. </w:t>
      </w:r>
    </w:p>
    <w:p w14:paraId="5FC417F5" w14:textId="77777777" w:rsidR="008848E6" w:rsidRPr="00EC3AF1" w:rsidRDefault="008848E6" w:rsidP="008848E6">
      <w:pPr>
        <w:pStyle w:val="NormalWeb"/>
        <w:spacing w:before="0" w:beforeAutospacing="0" w:after="0" w:afterAutospacing="0"/>
        <w:ind w:left="18" w:right="-6" w:firstLine="5"/>
        <w:jc w:val="both"/>
        <w:rPr>
          <w:rFonts w:ascii="Times" w:hAnsi="Times" w:cs="Times"/>
        </w:rPr>
      </w:pPr>
    </w:p>
    <w:p w14:paraId="00D7F98F" w14:textId="77777777" w:rsidR="008848E6" w:rsidRPr="00EC3AF1" w:rsidRDefault="008848E6" w:rsidP="008848E6">
      <w:pPr>
        <w:pStyle w:val="NormalWeb"/>
        <w:spacing w:before="0" w:beforeAutospacing="0" w:after="0" w:afterAutospacing="0"/>
        <w:ind w:left="17" w:right="-6" w:firstLine="6"/>
        <w:jc w:val="both"/>
        <w:rPr>
          <w:rFonts w:ascii="Times" w:hAnsi="Times" w:cs="Times"/>
        </w:rPr>
      </w:pPr>
      <w:r w:rsidRPr="00EC3AF1">
        <w:rPr>
          <w:rFonts w:ascii="Times" w:hAnsi="Times" w:cs="Times"/>
          <w:b/>
        </w:rPr>
        <w:t>2.5.</w:t>
      </w:r>
      <w:r w:rsidRPr="00EC3AF1">
        <w:rPr>
          <w:rFonts w:ascii="Times" w:hAnsi="Times" w:cs="Times"/>
        </w:rPr>
        <w:t xml:space="preserve"> Administratīvās atbildības likuma 115.panta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var pilnvarot tikai pašvaldību iestāžu amatpersonas veikt administratīvā pārkāpuma procesu.</w:t>
      </w:r>
    </w:p>
    <w:p w14:paraId="788D9779" w14:textId="77777777" w:rsidR="008848E6" w:rsidRPr="00EC3AF1" w:rsidRDefault="008848E6" w:rsidP="008848E6">
      <w:pPr>
        <w:pStyle w:val="NormalWeb"/>
        <w:spacing w:before="0" w:beforeAutospacing="0" w:after="0" w:afterAutospacing="0"/>
        <w:ind w:left="17" w:right="-5" w:firstLine="6"/>
        <w:jc w:val="both"/>
        <w:rPr>
          <w:rFonts w:ascii="Times" w:hAnsi="Times" w:cs="Times"/>
        </w:rPr>
      </w:pPr>
    </w:p>
    <w:p w14:paraId="6AF8E375" w14:textId="77777777" w:rsidR="008848E6" w:rsidRDefault="008848E6" w:rsidP="008848E6">
      <w:pPr>
        <w:pStyle w:val="NormalWeb"/>
        <w:spacing w:before="0" w:beforeAutospacing="0" w:after="0" w:afterAutospacing="0"/>
        <w:ind w:left="17" w:right="-6" w:firstLine="6"/>
        <w:jc w:val="both"/>
        <w:rPr>
          <w:rFonts w:ascii="Times" w:hAnsi="Times" w:cs="Times"/>
          <w:color w:val="000000"/>
        </w:rPr>
      </w:pPr>
      <w:r w:rsidRPr="00EC3AF1">
        <w:rPr>
          <w:rFonts w:ascii="Times" w:hAnsi="Times" w:cs="Times"/>
          <w:b/>
          <w:bCs/>
        </w:rPr>
        <w:t xml:space="preserve">2.6. </w:t>
      </w:r>
      <w:r w:rsidRPr="00EC3AF1">
        <w:rPr>
          <w:rFonts w:ascii="Times" w:hAnsi="Times" w:cs="Times"/>
        </w:rPr>
        <w:t xml:space="preserve">Pašvaldībai ir pienākums, izvērtējot saistošajos noteikumos noteiktās prasības, </w:t>
      </w:r>
      <w:r>
        <w:rPr>
          <w:rFonts w:ascii="Times" w:hAnsi="Times" w:cs="Times"/>
          <w:color w:val="000000"/>
        </w:rPr>
        <w:t>noteikt atbilstošus administratīvos pārkāpumus un administratīvajam  pārkāpumam samērīgu administratīvo sodu.</w:t>
      </w:r>
    </w:p>
    <w:p w14:paraId="693AF776" w14:textId="77777777" w:rsidR="00557E35" w:rsidRDefault="00557E35"/>
    <w:p w14:paraId="163462BB" w14:textId="77777777" w:rsidR="001660F1" w:rsidRDefault="001660F1"/>
    <w:p w14:paraId="72BC52E2" w14:textId="77777777" w:rsidR="001660F1" w:rsidRDefault="001660F1" w:rsidP="001660F1">
      <w:pPr>
        <w:pStyle w:val="ListParagraph"/>
        <w:spacing w:after="120"/>
        <w:ind w:left="0"/>
        <w:jc w:val="both"/>
        <w:rPr>
          <w:sz w:val="20"/>
          <w:szCs w:val="20"/>
        </w:rPr>
      </w:pPr>
      <w:r>
        <w:rPr>
          <w:sz w:val="20"/>
          <w:szCs w:val="20"/>
        </w:rPr>
        <w:t>Vadlīnijas aktualizētas 12.2020.</w:t>
      </w:r>
    </w:p>
    <w:p w14:paraId="3DC495B9" w14:textId="77777777" w:rsidR="001660F1" w:rsidRDefault="001660F1" w:rsidP="001660F1">
      <w:pPr>
        <w:pStyle w:val="xxmsonormal"/>
        <w:shd w:val="clear" w:color="auto" w:fill="FFFFFF"/>
        <w:rPr>
          <w:color w:val="000000"/>
          <w:sz w:val="20"/>
          <w:szCs w:val="20"/>
        </w:rPr>
      </w:pPr>
      <w:r>
        <w:rPr>
          <w:color w:val="000000"/>
          <w:sz w:val="20"/>
          <w:szCs w:val="20"/>
        </w:rPr>
        <w:t>Kontaktinformācija:</w:t>
      </w:r>
    </w:p>
    <w:p w14:paraId="39B0AA28" w14:textId="77777777" w:rsidR="001660F1" w:rsidRDefault="001660F1" w:rsidP="001660F1">
      <w:pPr>
        <w:pStyle w:val="xxmsonormal"/>
        <w:shd w:val="clear" w:color="auto" w:fill="FFFFFF"/>
        <w:rPr>
          <w:rFonts w:ascii="Calibri" w:hAnsi="Calibri" w:cs="Calibri"/>
          <w:color w:val="000000"/>
          <w:sz w:val="22"/>
          <w:szCs w:val="22"/>
        </w:rPr>
      </w:pPr>
      <w:r>
        <w:rPr>
          <w:color w:val="000000"/>
          <w:sz w:val="20"/>
          <w:szCs w:val="20"/>
        </w:rPr>
        <w:t>Matīss Ķeķers, Pašvaldību departamenta Pašvaldību darbības tiesiskā nodrošinājuma nodaļas vecākais eksperts</w:t>
      </w:r>
    </w:p>
    <w:p w14:paraId="497C931A" w14:textId="77777777" w:rsidR="001660F1" w:rsidRDefault="003058F8" w:rsidP="001660F1">
      <w:pPr>
        <w:pStyle w:val="ListParagraph"/>
        <w:spacing w:after="120"/>
        <w:ind w:left="0"/>
        <w:jc w:val="both"/>
        <w:rPr>
          <w:color w:val="000000"/>
          <w:sz w:val="20"/>
          <w:szCs w:val="20"/>
        </w:rPr>
      </w:pPr>
      <w:hyperlink r:id="rId4" w:history="1">
        <w:r w:rsidR="001660F1" w:rsidRPr="00AD4A0F">
          <w:rPr>
            <w:rStyle w:val="Hyperlink"/>
            <w:sz w:val="20"/>
            <w:szCs w:val="20"/>
          </w:rPr>
          <w:t>matiss.kekers@varam.gov.lv</w:t>
        </w:r>
      </w:hyperlink>
      <w:r w:rsidR="001660F1">
        <w:rPr>
          <w:color w:val="000000"/>
          <w:sz w:val="20"/>
          <w:szCs w:val="20"/>
        </w:rPr>
        <w:t>, tālr. 67026928</w:t>
      </w:r>
    </w:p>
    <w:p w14:paraId="4B242CBA" w14:textId="77777777" w:rsidR="001660F1" w:rsidRDefault="001660F1" w:rsidP="001660F1">
      <w:pPr>
        <w:pStyle w:val="xxmsonormal"/>
        <w:shd w:val="clear" w:color="auto" w:fill="FFFFFF"/>
        <w:rPr>
          <w:rFonts w:ascii="Calibri" w:hAnsi="Calibri" w:cs="Calibri"/>
          <w:color w:val="000000"/>
          <w:sz w:val="22"/>
          <w:szCs w:val="22"/>
        </w:rPr>
      </w:pPr>
      <w:r>
        <w:rPr>
          <w:color w:val="000000"/>
          <w:sz w:val="20"/>
          <w:szCs w:val="20"/>
        </w:rPr>
        <w:t>Aigars Cibuļskis, Pašvaldību departamenta Pašvaldību pārraudzības nodaļas vecākais eksperts</w:t>
      </w:r>
    </w:p>
    <w:p w14:paraId="45D4C512" w14:textId="77777777" w:rsidR="001660F1" w:rsidRDefault="003058F8" w:rsidP="001660F1">
      <w:pPr>
        <w:pStyle w:val="ListParagraph"/>
        <w:spacing w:after="120"/>
        <w:ind w:left="0"/>
        <w:jc w:val="both"/>
      </w:pPr>
      <w:hyperlink r:id="rId5" w:history="1">
        <w:r w:rsidR="001660F1" w:rsidRPr="00AD4A0F">
          <w:rPr>
            <w:rStyle w:val="Hyperlink"/>
            <w:sz w:val="20"/>
            <w:szCs w:val="20"/>
          </w:rPr>
          <w:t>aigars.cibulskis@varam.gov.lv</w:t>
        </w:r>
      </w:hyperlink>
      <w:r w:rsidR="001660F1">
        <w:rPr>
          <w:color w:val="000000"/>
          <w:sz w:val="20"/>
          <w:szCs w:val="20"/>
        </w:rPr>
        <w:t>, tālr. 67026919</w:t>
      </w:r>
    </w:p>
    <w:sectPr w:rsidR="001660F1" w:rsidSect="00EC3AF1">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E6"/>
    <w:rsid w:val="00102865"/>
    <w:rsid w:val="001660F1"/>
    <w:rsid w:val="0026304A"/>
    <w:rsid w:val="003058F8"/>
    <w:rsid w:val="00557E35"/>
    <w:rsid w:val="007718C1"/>
    <w:rsid w:val="008848E6"/>
    <w:rsid w:val="00B460C7"/>
    <w:rsid w:val="00EC3A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477"/>
  <w15:docId w15:val="{A1380115-2B97-46CA-80F4-4852CF66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rsid w:val="001660F1"/>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1660F1"/>
    <w:rPr>
      <w:color w:val="0563C1"/>
      <w:u w:val="single"/>
    </w:rPr>
  </w:style>
  <w:style w:type="paragraph" w:customStyle="1" w:styleId="xxmsonormal">
    <w:name w:val="x_x_msonormal"/>
    <w:basedOn w:val="Normal"/>
    <w:rsid w:val="001660F1"/>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16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gars.cibulskis@varam.gov.lv" TargetMode="External"/><Relationship Id="rId4" Type="http://schemas.openxmlformats.org/officeDocument/2006/relationships/hyperlink" Target="mailto:matiss.kekers@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4036</Words>
  <Characters>2301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Lita Trakina</cp:lastModifiedBy>
  <cp:revision>2</cp:revision>
  <dcterms:created xsi:type="dcterms:W3CDTF">2020-12-23T11:39:00Z</dcterms:created>
  <dcterms:modified xsi:type="dcterms:W3CDTF">2020-12-23T11:39:00Z</dcterms:modified>
</cp:coreProperties>
</file>