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25E2D" w14:textId="77777777" w:rsidR="000F4927" w:rsidRDefault="000D2588">
      <w:pPr>
        <w:rPr>
          <w:b/>
          <w:szCs w:val="24"/>
        </w:rPr>
      </w:pPr>
      <w:bookmarkStart w:id="0" w:name="_GoBack"/>
      <w:bookmarkEnd w:id="0"/>
      <w:r>
        <w:rPr>
          <w:b/>
          <w:noProof/>
          <w:szCs w:val="24"/>
          <w:lang w:eastAsia="lv-LV"/>
        </w:rPr>
        <w:pict w14:anchorId="469AB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46.75pt;margin-top:.75pt;width:192.75pt;height:56.7pt;z-index:251658240">
            <v:imagedata r:id="rId8" o:title=""/>
          </v:shape>
        </w:pict>
      </w:r>
    </w:p>
    <w:p w14:paraId="43A3B6EB" w14:textId="77777777" w:rsidR="000F4927" w:rsidRDefault="000F4927">
      <w:pPr>
        <w:rPr>
          <w:b/>
          <w:szCs w:val="24"/>
        </w:rPr>
      </w:pPr>
    </w:p>
    <w:p w14:paraId="7AAD35A7" w14:textId="77777777" w:rsidR="000F4927" w:rsidRDefault="000F4927">
      <w:pPr>
        <w:rPr>
          <w:b/>
          <w:szCs w:val="24"/>
        </w:rPr>
      </w:pPr>
    </w:p>
    <w:p w14:paraId="61F0312A" w14:textId="77777777" w:rsidR="000F4927" w:rsidRDefault="000F4927">
      <w:pPr>
        <w:rPr>
          <w:b/>
          <w:szCs w:val="24"/>
        </w:rPr>
      </w:pPr>
    </w:p>
    <w:p w14:paraId="569B0EDE" w14:textId="77777777" w:rsidR="000F4927" w:rsidRDefault="000F4927">
      <w:pPr>
        <w:rPr>
          <w:b/>
          <w:szCs w:val="24"/>
        </w:rPr>
      </w:pPr>
    </w:p>
    <w:p w14:paraId="15964918" w14:textId="77777777" w:rsidR="008642B4" w:rsidRDefault="008642B4">
      <w:pPr>
        <w:rPr>
          <w:b/>
          <w:szCs w:val="24"/>
        </w:rPr>
      </w:pPr>
    </w:p>
    <w:p w14:paraId="417EED85" w14:textId="77777777" w:rsidR="000F4927" w:rsidRDefault="000F4927">
      <w:pPr>
        <w:rPr>
          <w:b/>
          <w:szCs w:val="24"/>
        </w:rPr>
      </w:pPr>
    </w:p>
    <w:p w14:paraId="3D6ACBF4" w14:textId="77777777" w:rsidR="00F67EF5" w:rsidRDefault="00F67EF5" w:rsidP="008642B4">
      <w:pPr>
        <w:pStyle w:val="Title"/>
        <w:jc w:val="center"/>
      </w:pPr>
      <w:r>
        <w:t>PĀRSKATS</w:t>
      </w:r>
    </w:p>
    <w:p w14:paraId="451F11CD" w14:textId="77777777" w:rsidR="00147B49" w:rsidRDefault="00F67EF5" w:rsidP="008642B4">
      <w:pPr>
        <w:pStyle w:val="Title"/>
        <w:jc w:val="center"/>
      </w:pPr>
      <w:r>
        <w:t xml:space="preserve">PAR </w:t>
      </w:r>
      <w:r w:rsidR="00AB70AF" w:rsidRPr="00AB70AF">
        <w:t>PAZE</w:t>
      </w:r>
      <w:r w:rsidR="00AB70AF">
        <w:t xml:space="preserve">MES ŪDEŅU KVALITĀTES NORMATĪVU </w:t>
      </w:r>
      <w:r w:rsidR="00AB70AF" w:rsidRPr="00AB70AF">
        <w:t xml:space="preserve">UN PRASĪBU PAZEMES ŪDEŅU ATTĪRĪŠANAI </w:t>
      </w:r>
      <w:r w:rsidR="00AB70AF">
        <w:t>PIESĀRŅOTĀS VIETĀS AKTUALIZĀCIJU</w:t>
      </w:r>
    </w:p>
    <w:p w14:paraId="53FACE39" w14:textId="77777777" w:rsidR="008642B4" w:rsidRDefault="008642B4" w:rsidP="008642B4"/>
    <w:p w14:paraId="57C637FF" w14:textId="77777777" w:rsidR="008642B4" w:rsidRDefault="008642B4" w:rsidP="008642B4"/>
    <w:p w14:paraId="6A5F22ED" w14:textId="77777777" w:rsidR="00D82FAD" w:rsidRDefault="00D82FAD" w:rsidP="008642B4"/>
    <w:p w14:paraId="5ECBD083" w14:textId="77777777" w:rsidR="008642B4" w:rsidRDefault="008642B4" w:rsidP="008642B4"/>
    <w:p w14:paraId="4C0B1971" w14:textId="77777777" w:rsidR="008642B4" w:rsidRPr="008642B4" w:rsidRDefault="008642B4" w:rsidP="008642B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642B4" w14:paraId="6FBAFAAA" w14:textId="77777777" w:rsidTr="008642B4">
        <w:tc>
          <w:tcPr>
            <w:tcW w:w="4814" w:type="dxa"/>
            <w:vAlign w:val="bottom"/>
          </w:tcPr>
          <w:p w14:paraId="60DBD472" w14:textId="77777777" w:rsidR="008642B4" w:rsidRPr="008642B4" w:rsidRDefault="008642B4" w:rsidP="008642B4">
            <w:pPr>
              <w:rPr>
                <w:rFonts w:asciiTheme="majorHAnsi" w:hAnsiTheme="majorHAnsi" w:cstheme="majorHAnsi"/>
                <w:b/>
                <w:sz w:val="28"/>
                <w:szCs w:val="28"/>
              </w:rPr>
            </w:pPr>
            <w:r w:rsidRPr="005372D0">
              <w:rPr>
                <w:rFonts w:asciiTheme="majorHAnsi" w:hAnsiTheme="majorHAnsi" w:cstheme="majorHAnsi"/>
                <w:b/>
                <w:sz w:val="28"/>
                <w:szCs w:val="28"/>
              </w:rPr>
              <w:t xml:space="preserve">Pasūtītājs: </w:t>
            </w:r>
          </w:p>
        </w:tc>
        <w:tc>
          <w:tcPr>
            <w:tcW w:w="4814" w:type="dxa"/>
            <w:vAlign w:val="bottom"/>
          </w:tcPr>
          <w:p w14:paraId="6C7215CB" w14:textId="77777777" w:rsidR="008642B4" w:rsidRDefault="008642B4" w:rsidP="008642B4">
            <w:pPr>
              <w:rPr>
                <w:rFonts w:asciiTheme="majorHAnsi" w:hAnsiTheme="majorHAnsi" w:cstheme="majorHAnsi"/>
                <w:b/>
                <w:sz w:val="32"/>
                <w:szCs w:val="32"/>
              </w:rPr>
            </w:pPr>
            <w:r>
              <w:rPr>
                <w:rFonts w:asciiTheme="majorHAnsi" w:hAnsiTheme="majorHAnsi" w:cstheme="majorHAnsi"/>
                <w:b/>
                <w:sz w:val="28"/>
                <w:szCs w:val="28"/>
              </w:rPr>
              <w:t>Projekta finansētājs</w:t>
            </w:r>
            <w:r w:rsidRPr="005372D0">
              <w:rPr>
                <w:rFonts w:asciiTheme="majorHAnsi" w:hAnsiTheme="majorHAnsi" w:cstheme="majorHAnsi"/>
                <w:b/>
                <w:sz w:val="28"/>
                <w:szCs w:val="28"/>
              </w:rPr>
              <w:t>:</w:t>
            </w:r>
          </w:p>
        </w:tc>
      </w:tr>
      <w:tr w:rsidR="008642B4" w14:paraId="00C82CB6" w14:textId="77777777" w:rsidTr="008642B4">
        <w:tc>
          <w:tcPr>
            <w:tcW w:w="4814" w:type="dxa"/>
            <w:vAlign w:val="center"/>
          </w:tcPr>
          <w:p w14:paraId="732F3794" w14:textId="77777777" w:rsidR="008642B4" w:rsidRDefault="008642B4" w:rsidP="008642B4">
            <w:pPr>
              <w:jc w:val="center"/>
              <w:rPr>
                <w:rFonts w:asciiTheme="majorHAnsi" w:hAnsiTheme="majorHAnsi" w:cstheme="majorHAnsi"/>
                <w:b/>
                <w:sz w:val="32"/>
                <w:szCs w:val="32"/>
              </w:rPr>
            </w:pPr>
            <w:r w:rsidRPr="005372D0">
              <w:rPr>
                <w:b/>
                <w:noProof/>
                <w:sz w:val="28"/>
                <w:szCs w:val="28"/>
                <w:lang w:eastAsia="lv-LV"/>
              </w:rPr>
              <w:drawing>
                <wp:inline distT="0" distB="0" distL="0" distR="0" wp14:anchorId="38754481" wp14:editId="05D1E76D">
                  <wp:extent cx="1531692" cy="1541721"/>
                  <wp:effectExtent l="0" t="0" r="0" b="1905"/>
                  <wp:docPr id="3" name="Picture 3" descr="Vides aizsardzības un reģionālās attīstība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des aizsardzības un reģionālās attīstības ministri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92" cy="1541721"/>
                          </a:xfrm>
                          <a:prstGeom prst="rect">
                            <a:avLst/>
                          </a:prstGeom>
                          <a:noFill/>
                          <a:ln>
                            <a:noFill/>
                          </a:ln>
                        </pic:spPr>
                      </pic:pic>
                    </a:graphicData>
                  </a:graphic>
                </wp:inline>
              </w:drawing>
            </w:r>
          </w:p>
        </w:tc>
        <w:tc>
          <w:tcPr>
            <w:tcW w:w="4814" w:type="dxa"/>
            <w:vAlign w:val="center"/>
          </w:tcPr>
          <w:p w14:paraId="7574114A" w14:textId="77777777" w:rsidR="008642B4" w:rsidRDefault="008642B4" w:rsidP="008642B4">
            <w:pPr>
              <w:jc w:val="center"/>
              <w:rPr>
                <w:rFonts w:asciiTheme="majorHAnsi" w:hAnsiTheme="majorHAnsi" w:cstheme="majorHAnsi"/>
                <w:b/>
                <w:sz w:val="32"/>
                <w:szCs w:val="32"/>
              </w:rPr>
            </w:pPr>
            <w:r>
              <w:rPr>
                <w:noProof/>
                <w:lang w:eastAsia="lv-LV"/>
              </w:rPr>
              <w:drawing>
                <wp:inline distT="0" distB="0" distL="0" distR="0" wp14:anchorId="60A7FCEA" wp14:editId="279E7F51">
                  <wp:extent cx="2303780" cy="913130"/>
                  <wp:effectExtent l="0" t="0" r="1270" b="1270"/>
                  <wp:docPr id="2" name="Picture 2" descr="C:\Users\Edgars.VENTA\AppData\Local\Microsoft\Windows\INetCache\Content.Wor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gars.VENTA\AppData\Local\Microsoft\Windows\INetCache\Content.Word\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3780" cy="913130"/>
                          </a:xfrm>
                          <a:prstGeom prst="rect">
                            <a:avLst/>
                          </a:prstGeom>
                          <a:noFill/>
                          <a:ln>
                            <a:noFill/>
                          </a:ln>
                        </pic:spPr>
                      </pic:pic>
                    </a:graphicData>
                  </a:graphic>
                </wp:inline>
              </w:drawing>
            </w:r>
          </w:p>
        </w:tc>
      </w:tr>
    </w:tbl>
    <w:p w14:paraId="1A67FA17" w14:textId="77777777" w:rsidR="005372D0" w:rsidRPr="008642B4" w:rsidRDefault="005372D0" w:rsidP="008642B4">
      <w:pPr>
        <w:spacing w:after="0" w:line="240" w:lineRule="auto"/>
        <w:jc w:val="center"/>
        <w:rPr>
          <w:rFonts w:asciiTheme="majorHAnsi" w:hAnsiTheme="majorHAnsi" w:cstheme="majorHAnsi"/>
          <w:sz w:val="32"/>
          <w:szCs w:val="32"/>
        </w:rPr>
      </w:pPr>
    </w:p>
    <w:p w14:paraId="21F21222" w14:textId="77777777" w:rsidR="008642B4" w:rsidRPr="008642B4" w:rsidRDefault="008642B4" w:rsidP="008642B4">
      <w:pPr>
        <w:spacing w:after="0" w:line="240" w:lineRule="auto"/>
        <w:jc w:val="center"/>
        <w:rPr>
          <w:rFonts w:asciiTheme="majorHAnsi" w:hAnsiTheme="majorHAnsi" w:cstheme="majorHAnsi"/>
          <w:sz w:val="32"/>
          <w:szCs w:val="32"/>
        </w:rPr>
      </w:pPr>
    </w:p>
    <w:p w14:paraId="5EAE7628" w14:textId="77777777" w:rsidR="00D82FAD" w:rsidRPr="008642B4" w:rsidRDefault="00D82FAD" w:rsidP="008642B4">
      <w:pPr>
        <w:spacing w:after="0" w:line="240" w:lineRule="auto"/>
        <w:jc w:val="center"/>
        <w:rPr>
          <w:rFonts w:asciiTheme="majorHAnsi" w:hAnsiTheme="majorHAnsi" w:cstheme="majorHAnsi"/>
          <w:sz w:val="32"/>
          <w:szCs w:val="32"/>
        </w:rPr>
      </w:pPr>
    </w:p>
    <w:p w14:paraId="65F7CFE2" w14:textId="77777777" w:rsidR="008642B4" w:rsidRPr="008642B4" w:rsidRDefault="008642B4" w:rsidP="008642B4">
      <w:pPr>
        <w:spacing w:after="0" w:line="240" w:lineRule="auto"/>
        <w:jc w:val="center"/>
        <w:rPr>
          <w:rFonts w:asciiTheme="majorHAnsi" w:hAnsiTheme="majorHAnsi" w:cstheme="majorHAnsi"/>
          <w:sz w:val="32"/>
          <w:szCs w:val="32"/>
        </w:rPr>
      </w:pPr>
    </w:p>
    <w:p w14:paraId="6EEEF01C" w14:textId="77777777" w:rsidR="008642B4" w:rsidRPr="008642B4" w:rsidRDefault="008642B4" w:rsidP="008642B4">
      <w:pPr>
        <w:spacing w:after="0" w:line="240" w:lineRule="auto"/>
        <w:jc w:val="center"/>
        <w:rPr>
          <w:rFonts w:asciiTheme="majorHAnsi" w:hAnsiTheme="majorHAnsi" w:cstheme="majorHAnsi"/>
          <w:sz w:val="32"/>
          <w:szCs w:val="32"/>
        </w:rPr>
      </w:pPr>
    </w:p>
    <w:p w14:paraId="5F7E484C" w14:textId="77777777" w:rsidR="000F4927" w:rsidRPr="000F4927" w:rsidRDefault="000F4927" w:rsidP="008642B4">
      <w:pPr>
        <w:spacing w:after="0"/>
        <w:jc w:val="center"/>
        <w:rPr>
          <w:rFonts w:asciiTheme="majorHAnsi" w:hAnsiTheme="majorHAnsi" w:cstheme="majorHAnsi"/>
          <w:b/>
          <w:sz w:val="24"/>
          <w:szCs w:val="24"/>
        </w:rPr>
      </w:pPr>
      <w:r w:rsidRPr="000F4927">
        <w:rPr>
          <w:rFonts w:asciiTheme="majorHAnsi" w:hAnsiTheme="majorHAnsi" w:cstheme="majorHAnsi"/>
          <w:b/>
          <w:sz w:val="24"/>
          <w:szCs w:val="24"/>
        </w:rPr>
        <w:t xml:space="preserve">AS </w:t>
      </w:r>
      <w:proofErr w:type="spellStart"/>
      <w:r w:rsidRPr="000F4927">
        <w:rPr>
          <w:rFonts w:asciiTheme="majorHAnsi" w:hAnsiTheme="majorHAnsi" w:cstheme="majorHAnsi"/>
          <w:b/>
          <w:sz w:val="24"/>
          <w:szCs w:val="24"/>
        </w:rPr>
        <w:t>VentEko</w:t>
      </w:r>
      <w:proofErr w:type="spellEnd"/>
    </w:p>
    <w:p w14:paraId="0AA87BA1" w14:textId="77777777" w:rsidR="00D43F1A" w:rsidRDefault="000F4927" w:rsidP="008642B4">
      <w:pPr>
        <w:spacing w:after="0"/>
        <w:jc w:val="center"/>
        <w:rPr>
          <w:szCs w:val="24"/>
        </w:rPr>
      </w:pPr>
      <w:r w:rsidRPr="000F4927">
        <w:rPr>
          <w:rFonts w:asciiTheme="majorHAnsi" w:hAnsiTheme="majorHAnsi" w:cstheme="majorHAnsi"/>
          <w:b/>
          <w:sz w:val="24"/>
          <w:szCs w:val="24"/>
        </w:rPr>
        <w:t>Rīga, 2020</w:t>
      </w:r>
    </w:p>
    <w:p w14:paraId="7C9B982A" w14:textId="77777777" w:rsidR="00D43F1A" w:rsidRDefault="00D43F1A" w:rsidP="008642B4">
      <w:pPr>
        <w:spacing w:after="0"/>
        <w:jc w:val="center"/>
        <w:rPr>
          <w:szCs w:val="24"/>
        </w:rPr>
        <w:sectPr w:rsidR="00D43F1A" w:rsidSect="000F4927">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8" w:footer="708" w:gutter="0"/>
          <w:cols w:space="708"/>
          <w:docGrid w:linePitch="360"/>
        </w:sectPr>
      </w:pPr>
    </w:p>
    <w:p w14:paraId="78298ACD" w14:textId="77777777" w:rsidR="00777608" w:rsidRDefault="00777608">
      <w:pPr>
        <w:rPr>
          <w:szCs w:val="24"/>
        </w:rPr>
      </w:pPr>
    </w:p>
    <w:p w14:paraId="6CBECAF0" w14:textId="77777777" w:rsidR="00F515E5" w:rsidRPr="00F12D88" w:rsidRDefault="00777608">
      <w:pPr>
        <w:pStyle w:val="TOCHeading"/>
        <w:rPr>
          <w:rFonts w:asciiTheme="minorHAnsi" w:eastAsiaTheme="minorHAnsi" w:hAnsiTheme="minorHAnsi" w:cstheme="minorBidi"/>
          <w:color w:val="auto"/>
          <w:sz w:val="22"/>
          <w:szCs w:val="22"/>
          <w:lang w:val="lv-LV"/>
        </w:rPr>
      </w:pPr>
      <w:r w:rsidRPr="00F12D88">
        <w:t>SATURS</w:t>
      </w:r>
      <w:r w:rsidRPr="00F12D88">
        <w:br/>
      </w:r>
    </w:p>
    <w:sdt>
      <w:sdtPr>
        <w:rPr>
          <w:rFonts w:asciiTheme="minorHAnsi" w:eastAsiaTheme="minorHAnsi" w:hAnsiTheme="minorHAnsi" w:cstheme="minorBidi"/>
          <w:color w:val="auto"/>
          <w:sz w:val="22"/>
          <w:szCs w:val="22"/>
        </w:rPr>
        <w:id w:val="-1846092942"/>
        <w:docPartObj>
          <w:docPartGallery w:val="Table of Contents"/>
          <w:docPartUnique/>
        </w:docPartObj>
      </w:sdtPr>
      <w:sdtEndPr>
        <w:rPr>
          <w:b/>
          <w:bCs/>
          <w:noProof/>
        </w:rPr>
      </w:sdtEndPr>
      <w:sdtContent>
        <w:p w14:paraId="6E7C4BC0" w14:textId="77777777" w:rsidR="00511AFA" w:rsidRPr="00F12D88" w:rsidRDefault="00511AFA" w:rsidP="00F515E5">
          <w:pPr>
            <w:pStyle w:val="Heading1"/>
          </w:pPr>
        </w:p>
        <w:p w14:paraId="3172FA9D" w14:textId="77777777" w:rsidR="001C0AB1" w:rsidRDefault="00511AFA">
          <w:pPr>
            <w:pStyle w:val="TOC1"/>
            <w:tabs>
              <w:tab w:val="right" w:leader="dot" w:pos="9628"/>
            </w:tabs>
            <w:rPr>
              <w:rFonts w:eastAsiaTheme="minorEastAsia"/>
              <w:noProof/>
              <w:lang w:eastAsia="lv-LV"/>
            </w:rPr>
          </w:pPr>
          <w:r w:rsidRPr="00F12D88">
            <w:rPr>
              <w:b/>
              <w:bCs/>
              <w:noProof/>
            </w:rPr>
            <w:fldChar w:fldCharType="begin"/>
          </w:r>
          <w:r w:rsidRPr="00F12D88">
            <w:rPr>
              <w:b/>
              <w:bCs/>
              <w:noProof/>
            </w:rPr>
            <w:instrText xml:space="preserve"> TOC \o "1-3" \h \z \u </w:instrText>
          </w:r>
          <w:r w:rsidRPr="00F12D88">
            <w:rPr>
              <w:b/>
              <w:bCs/>
              <w:noProof/>
            </w:rPr>
            <w:fldChar w:fldCharType="separate"/>
          </w:r>
          <w:hyperlink w:anchor="_Toc59326482" w:history="1">
            <w:r w:rsidR="001C0AB1" w:rsidRPr="008523D3">
              <w:rPr>
                <w:rStyle w:val="Hyperlink"/>
                <w:noProof/>
              </w:rPr>
              <w:t>IEVADS</w:t>
            </w:r>
            <w:r w:rsidR="001C0AB1">
              <w:rPr>
                <w:noProof/>
                <w:webHidden/>
              </w:rPr>
              <w:tab/>
            </w:r>
            <w:r w:rsidR="001C0AB1">
              <w:rPr>
                <w:noProof/>
                <w:webHidden/>
              </w:rPr>
              <w:fldChar w:fldCharType="begin"/>
            </w:r>
            <w:r w:rsidR="001C0AB1">
              <w:rPr>
                <w:noProof/>
                <w:webHidden/>
              </w:rPr>
              <w:instrText xml:space="preserve"> PAGEREF _Toc59326482 \h </w:instrText>
            </w:r>
            <w:r w:rsidR="001C0AB1">
              <w:rPr>
                <w:noProof/>
                <w:webHidden/>
              </w:rPr>
            </w:r>
            <w:r w:rsidR="001C0AB1">
              <w:rPr>
                <w:noProof/>
                <w:webHidden/>
              </w:rPr>
              <w:fldChar w:fldCharType="separate"/>
            </w:r>
            <w:r w:rsidR="005C2926">
              <w:rPr>
                <w:noProof/>
                <w:webHidden/>
              </w:rPr>
              <w:t>3</w:t>
            </w:r>
            <w:r w:rsidR="001C0AB1">
              <w:rPr>
                <w:noProof/>
                <w:webHidden/>
              </w:rPr>
              <w:fldChar w:fldCharType="end"/>
            </w:r>
          </w:hyperlink>
        </w:p>
        <w:p w14:paraId="2305283D" w14:textId="77777777" w:rsidR="001C0AB1" w:rsidRDefault="000D2588">
          <w:pPr>
            <w:pStyle w:val="TOC2"/>
            <w:tabs>
              <w:tab w:val="right" w:leader="dot" w:pos="9628"/>
            </w:tabs>
            <w:rPr>
              <w:rFonts w:eastAsiaTheme="minorEastAsia"/>
              <w:noProof/>
              <w:lang w:eastAsia="lv-LV"/>
            </w:rPr>
          </w:pPr>
          <w:hyperlink w:anchor="_Toc59326483" w:history="1">
            <w:r w:rsidR="001C0AB1" w:rsidRPr="008523D3">
              <w:rPr>
                <w:rStyle w:val="Hyperlink"/>
                <w:noProof/>
              </w:rPr>
              <w:t>Projekta mērķis</w:t>
            </w:r>
            <w:r w:rsidR="001C0AB1">
              <w:rPr>
                <w:noProof/>
                <w:webHidden/>
              </w:rPr>
              <w:tab/>
            </w:r>
            <w:r w:rsidR="001C0AB1">
              <w:rPr>
                <w:noProof/>
                <w:webHidden/>
              </w:rPr>
              <w:fldChar w:fldCharType="begin"/>
            </w:r>
            <w:r w:rsidR="001C0AB1">
              <w:rPr>
                <w:noProof/>
                <w:webHidden/>
              </w:rPr>
              <w:instrText xml:space="preserve"> PAGEREF _Toc59326483 \h </w:instrText>
            </w:r>
            <w:r w:rsidR="001C0AB1">
              <w:rPr>
                <w:noProof/>
                <w:webHidden/>
              </w:rPr>
            </w:r>
            <w:r w:rsidR="001C0AB1">
              <w:rPr>
                <w:noProof/>
                <w:webHidden/>
              </w:rPr>
              <w:fldChar w:fldCharType="separate"/>
            </w:r>
            <w:r w:rsidR="005C2926">
              <w:rPr>
                <w:noProof/>
                <w:webHidden/>
              </w:rPr>
              <w:t>3</w:t>
            </w:r>
            <w:r w:rsidR="001C0AB1">
              <w:rPr>
                <w:noProof/>
                <w:webHidden/>
              </w:rPr>
              <w:fldChar w:fldCharType="end"/>
            </w:r>
          </w:hyperlink>
        </w:p>
        <w:p w14:paraId="17E55F6A" w14:textId="77777777" w:rsidR="001C0AB1" w:rsidRDefault="000D2588">
          <w:pPr>
            <w:pStyle w:val="TOC2"/>
            <w:tabs>
              <w:tab w:val="right" w:leader="dot" w:pos="9628"/>
            </w:tabs>
            <w:rPr>
              <w:rFonts w:eastAsiaTheme="minorEastAsia"/>
              <w:noProof/>
              <w:lang w:eastAsia="lv-LV"/>
            </w:rPr>
          </w:pPr>
          <w:hyperlink w:anchor="_Toc59326484" w:history="1">
            <w:r w:rsidR="001C0AB1" w:rsidRPr="008523D3">
              <w:rPr>
                <w:rStyle w:val="Hyperlink"/>
                <w:noProof/>
              </w:rPr>
              <w:t>Darba uzdevumi</w:t>
            </w:r>
            <w:r w:rsidR="001C0AB1">
              <w:rPr>
                <w:noProof/>
                <w:webHidden/>
              </w:rPr>
              <w:tab/>
            </w:r>
            <w:r w:rsidR="001C0AB1">
              <w:rPr>
                <w:noProof/>
                <w:webHidden/>
              </w:rPr>
              <w:fldChar w:fldCharType="begin"/>
            </w:r>
            <w:r w:rsidR="001C0AB1">
              <w:rPr>
                <w:noProof/>
                <w:webHidden/>
              </w:rPr>
              <w:instrText xml:space="preserve"> PAGEREF _Toc59326484 \h </w:instrText>
            </w:r>
            <w:r w:rsidR="001C0AB1">
              <w:rPr>
                <w:noProof/>
                <w:webHidden/>
              </w:rPr>
            </w:r>
            <w:r w:rsidR="001C0AB1">
              <w:rPr>
                <w:noProof/>
                <w:webHidden/>
              </w:rPr>
              <w:fldChar w:fldCharType="separate"/>
            </w:r>
            <w:r w:rsidR="005C2926">
              <w:rPr>
                <w:noProof/>
                <w:webHidden/>
              </w:rPr>
              <w:t>3</w:t>
            </w:r>
            <w:r w:rsidR="001C0AB1">
              <w:rPr>
                <w:noProof/>
                <w:webHidden/>
              </w:rPr>
              <w:fldChar w:fldCharType="end"/>
            </w:r>
          </w:hyperlink>
        </w:p>
        <w:p w14:paraId="558A2246" w14:textId="77777777" w:rsidR="001C0AB1" w:rsidRDefault="000D2588">
          <w:pPr>
            <w:pStyle w:val="TOC2"/>
            <w:tabs>
              <w:tab w:val="right" w:leader="dot" w:pos="9628"/>
            </w:tabs>
            <w:rPr>
              <w:rFonts w:eastAsiaTheme="minorEastAsia"/>
              <w:noProof/>
              <w:lang w:eastAsia="lv-LV"/>
            </w:rPr>
          </w:pPr>
          <w:hyperlink w:anchor="_Toc59326485" w:history="1">
            <w:r w:rsidR="001C0AB1" w:rsidRPr="008523D3">
              <w:rPr>
                <w:rStyle w:val="Hyperlink"/>
                <w:noProof/>
              </w:rPr>
              <w:t>Darba organizēšana</w:t>
            </w:r>
            <w:r w:rsidR="001C0AB1">
              <w:rPr>
                <w:noProof/>
                <w:webHidden/>
              </w:rPr>
              <w:tab/>
            </w:r>
            <w:r w:rsidR="001C0AB1">
              <w:rPr>
                <w:noProof/>
                <w:webHidden/>
              </w:rPr>
              <w:fldChar w:fldCharType="begin"/>
            </w:r>
            <w:r w:rsidR="001C0AB1">
              <w:rPr>
                <w:noProof/>
                <w:webHidden/>
              </w:rPr>
              <w:instrText xml:space="preserve"> PAGEREF _Toc59326485 \h </w:instrText>
            </w:r>
            <w:r w:rsidR="001C0AB1">
              <w:rPr>
                <w:noProof/>
                <w:webHidden/>
              </w:rPr>
            </w:r>
            <w:r w:rsidR="001C0AB1">
              <w:rPr>
                <w:noProof/>
                <w:webHidden/>
              </w:rPr>
              <w:fldChar w:fldCharType="separate"/>
            </w:r>
            <w:r w:rsidR="005C2926">
              <w:rPr>
                <w:noProof/>
                <w:webHidden/>
              </w:rPr>
              <w:t>3</w:t>
            </w:r>
            <w:r w:rsidR="001C0AB1">
              <w:rPr>
                <w:noProof/>
                <w:webHidden/>
              </w:rPr>
              <w:fldChar w:fldCharType="end"/>
            </w:r>
          </w:hyperlink>
        </w:p>
        <w:p w14:paraId="2F51BD2F" w14:textId="77777777" w:rsidR="001C0AB1" w:rsidRDefault="000D2588">
          <w:pPr>
            <w:pStyle w:val="TOC1"/>
            <w:tabs>
              <w:tab w:val="left" w:pos="440"/>
              <w:tab w:val="right" w:leader="dot" w:pos="9628"/>
            </w:tabs>
            <w:rPr>
              <w:rFonts w:eastAsiaTheme="minorEastAsia"/>
              <w:noProof/>
              <w:lang w:eastAsia="lv-LV"/>
            </w:rPr>
          </w:pPr>
          <w:hyperlink w:anchor="_Toc59326486" w:history="1">
            <w:r w:rsidR="001C0AB1" w:rsidRPr="008523D3">
              <w:rPr>
                <w:rStyle w:val="Hyperlink"/>
                <w:noProof/>
              </w:rPr>
              <w:t>1.</w:t>
            </w:r>
            <w:r w:rsidR="001C0AB1">
              <w:rPr>
                <w:rFonts w:eastAsiaTheme="minorEastAsia"/>
                <w:noProof/>
                <w:lang w:eastAsia="lv-LV"/>
              </w:rPr>
              <w:tab/>
            </w:r>
            <w:r w:rsidR="001C0AB1" w:rsidRPr="008523D3">
              <w:rPr>
                <w:rStyle w:val="Hyperlink"/>
                <w:noProof/>
              </w:rPr>
              <w:t>ESOŠĀ SITUĀCIJA UN NORMATĪVĀ REGULĒJUMA IZVĒRTĒJUMS</w:t>
            </w:r>
            <w:r w:rsidR="001C0AB1">
              <w:rPr>
                <w:noProof/>
                <w:webHidden/>
              </w:rPr>
              <w:tab/>
            </w:r>
            <w:r w:rsidR="001C0AB1">
              <w:rPr>
                <w:noProof/>
                <w:webHidden/>
              </w:rPr>
              <w:fldChar w:fldCharType="begin"/>
            </w:r>
            <w:r w:rsidR="001C0AB1">
              <w:rPr>
                <w:noProof/>
                <w:webHidden/>
              </w:rPr>
              <w:instrText xml:space="preserve"> PAGEREF _Toc59326486 \h </w:instrText>
            </w:r>
            <w:r w:rsidR="001C0AB1">
              <w:rPr>
                <w:noProof/>
                <w:webHidden/>
              </w:rPr>
            </w:r>
            <w:r w:rsidR="001C0AB1">
              <w:rPr>
                <w:noProof/>
                <w:webHidden/>
              </w:rPr>
              <w:fldChar w:fldCharType="separate"/>
            </w:r>
            <w:r w:rsidR="005C2926">
              <w:rPr>
                <w:noProof/>
                <w:webHidden/>
              </w:rPr>
              <w:t>6</w:t>
            </w:r>
            <w:r w:rsidR="001C0AB1">
              <w:rPr>
                <w:noProof/>
                <w:webHidden/>
              </w:rPr>
              <w:fldChar w:fldCharType="end"/>
            </w:r>
          </w:hyperlink>
        </w:p>
        <w:p w14:paraId="6DD3812C" w14:textId="77777777" w:rsidR="001C0AB1" w:rsidRDefault="000D2588">
          <w:pPr>
            <w:pStyle w:val="TOC1"/>
            <w:tabs>
              <w:tab w:val="left" w:pos="440"/>
              <w:tab w:val="right" w:leader="dot" w:pos="9628"/>
            </w:tabs>
            <w:rPr>
              <w:rFonts w:eastAsiaTheme="minorEastAsia"/>
              <w:noProof/>
              <w:lang w:eastAsia="lv-LV"/>
            </w:rPr>
          </w:pPr>
          <w:hyperlink w:anchor="_Toc59326487" w:history="1">
            <w:r w:rsidR="001C0AB1" w:rsidRPr="008523D3">
              <w:rPr>
                <w:rStyle w:val="Hyperlink"/>
                <w:noProof/>
              </w:rPr>
              <w:t>3.</w:t>
            </w:r>
            <w:r w:rsidR="001C0AB1">
              <w:rPr>
                <w:rFonts w:eastAsiaTheme="minorEastAsia"/>
                <w:noProof/>
                <w:lang w:eastAsia="lv-LV"/>
              </w:rPr>
              <w:tab/>
            </w:r>
            <w:r w:rsidR="001C0AB1" w:rsidRPr="008523D3">
              <w:rPr>
                <w:rStyle w:val="Hyperlink"/>
                <w:noProof/>
              </w:rPr>
              <w:t>CITU VALSTU PIEREDZE UN PRINCIPI PRASĪBĀM PAZEMES ŪDEŅU KVALITĀTEI</w:t>
            </w:r>
            <w:r w:rsidR="001C0AB1">
              <w:rPr>
                <w:noProof/>
                <w:webHidden/>
              </w:rPr>
              <w:tab/>
            </w:r>
            <w:r w:rsidR="001C0AB1">
              <w:rPr>
                <w:noProof/>
                <w:webHidden/>
              </w:rPr>
              <w:fldChar w:fldCharType="begin"/>
            </w:r>
            <w:r w:rsidR="001C0AB1">
              <w:rPr>
                <w:noProof/>
                <w:webHidden/>
              </w:rPr>
              <w:instrText xml:space="preserve"> PAGEREF _Toc59326487 \h </w:instrText>
            </w:r>
            <w:r w:rsidR="001C0AB1">
              <w:rPr>
                <w:noProof/>
                <w:webHidden/>
              </w:rPr>
            </w:r>
            <w:r w:rsidR="001C0AB1">
              <w:rPr>
                <w:noProof/>
                <w:webHidden/>
              </w:rPr>
              <w:fldChar w:fldCharType="separate"/>
            </w:r>
            <w:r w:rsidR="005C2926">
              <w:rPr>
                <w:noProof/>
                <w:webHidden/>
              </w:rPr>
              <w:t>10</w:t>
            </w:r>
            <w:r w:rsidR="001C0AB1">
              <w:rPr>
                <w:noProof/>
                <w:webHidden/>
              </w:rPr>
              <w:fldChar w:fldCharType="end"/>
            </w:r>
          </w:hyperlink>
        </w:p>
        <w:p w14:paraId="660F71AA" w14:textId="77777777" w:rsidR="001C0AB1" w:rsidRDefault="000D2588">
          <w:pPr>
            <w:pStyle w:val="TOC2"/>
            <w:tabs>
              <w:tab w:val="left" w:pos="880"/>
              <w:tab w:val="right" w:leader="dot" w:pos="9628"/>
            </w:tabs>
            <w:rPr>
              <w:rFonts w:eastAsiaTheme="minorEastAsia"/>
              <w:noProof/>
              <w:lang w:eastAsia="lv-LV"/>
            </w:rPr>
          </w:pPr>
          <w:hyperlink w:anchor="_Toc59326488" w:history="1">
            <w:r w:rsidR="001C0AB1" w:rsidRPr="008523D3">
              <w:rPr>
                <w:rStyle w:val="Hyperlink"/>
                <w:noProof/>
              </w:rPr>
              <w:t>3.1.</w:t>
            </w:r>
            <w:r w:rsidR="001C0AB1">
              <w:rPr>
                <w:rFonts w:eastAsiaTheme="minorEastAsia"/>
                <w:noProof/>
                <w:lang w:eastAsia="lv-LV"/>
              </w:rPr>
              <w:tab/>
            </w:r>
            <w:r w:rsidR="001C0AB1" w:rsidRPr="008523D3">
              <w:rPr>
                <w:rStyle w:val="Hyperlink"/>
                <w:noProof/>
              </w:rPr>
              <w:t>Normatīvais regulējums Lietuvā</w:t>
            </w:r>
            <w:r w:rsidR="001C0AB1">
              <w:rPr>
                <w:noProof/>
                <w:webHidden/>
              </w:rPr>
              <w:tab/>
            </w:r>
            <w:r w:rsidR="001C0AB1">
              <w:rPr>
                <w:noProof/>
                <w:webHidden/>
              </w:rPr>
              <w:fldChar w:fldCharType="begin"/>
            </w:r>
            <w:r w:rsidR="001C0AB1">
              <w:rPr>
                <w:noProof/>
                <w:webHidden/>
              </w:rPr>
              <w:instrText xml:space="preserve"> PAGEREF _Toc59326488 \h </w:instrText>
            </w:r>
            <w:r w:rsidR="001C0AB1">
              <w:rPr>
                <w:noProof/>
                <w:webHidden/>
              </w:rPr>
            </w:r>
            <w:r w:rsidR="001C0AB1">
              <w:rPr>
                <w:noProof/>
                <w:webHidden/>
              </w:rPr>
              <w:fldChar w:fldCharType="separate"/>
            </w:r>
            <w:r w:rsidR="005C2926">
              <w:rPr>
                <w:noProof/>
                <w:webHidden/>
              </w:rPr>
              <w:t>10</w:t>
            </w:r>
            <w:r w:rsidR="001C0AB1">
              <w:rPr>
                <w:noProof/>
                <w:webHidden/>
              </w:rPr>
              <w:fldChar w:fldCharType="end"/>
            </w:r>
          </w:hyperlink>
        </w:p>
        <w:p w14:paraId="79886A2F" w14:textId="77777777" w:rsidR="001C0AB1" w:rsidRDefault="000D2588">
          <w:pPr>
            <w:pStyle w:val="TOC3"/>
            <w:tabs>
              <w:tab w:val="left" w:pos="1320"/>
              <w:tab w:val="right" w:leader="dot" w:pos="9628"/>
            </w:tabs>
            <w:rPr>
              <w:rFonts w:eastAsiaTheme="minorEastAsia"/>
              <w:noProof/>
              <w:lang w:eastAsia="lv-LV"/>
            </w:rPr>
          </w:pPr>
          <w:hyperlink w:anchor="_Toc59326489" w:history="1">
            <w:r w:rsidR="001C0AB1" w:rsidRPr="008523D3">
              <w:rPr>
                <w:rStyle w:val="Hyperlink"/>
                <w:noProof/>
              </w:rPr>
              <w:t>3.1.1.</w:t>
            </w:r>
            <w:r w:rsidR="001C0AB1">
              <w:rPr>
                <w:rFonts w:eastAsiaTheme="minorEastAsia"/>
                <w:noProof/>
                <w:lang w:eastAsia="lv-LV"/>
              </w:rPr>
              <w:tab/>
            </w:r>
            <w:r w:rsidR="001C0AB1" w:rsidRPr="008523D3">
              <w:rPr>
                <w:rStyle w:val="Hyperlink"/>
                <w:noProof/>
              </w:rPr>
              <w:t>Gruntsūdens kvalitātes kritēriji</w:t>
            </w:r>
            <w:r w:rsidR="001C0AB1">
              <w:rPr>
                <w:noProof/>
                <w:webHidden/>
              </w:rPr>
              <w:tab/>
            </w:r>
            <w:r w:rsidR="001C0AB1">
              <w:rPr>
                <w:noProof/>
                <w:webHidden/>
              </w:rPr>
              <w:fldChar w:fldCharType="begin"/>
            </w:r>
            <w:r w:rsidR="001C0AB1">
              <w:rPr>
                <w:noProof/>
                <w:webHidden/>
              </w:rPr>
              <w:instrText xml:space="preserve"> PAGEREF _Toc59326489 \h </w:instrText>
            </w:r>
            <w:r w:rsidR="001C0AB1">
              <w:rPr>
                <w:noProof/>
                <w:webHidden/>
              </w:rPr>
            </w:r>
            <w:r w:rsidR="001C0AB1">
              <w:rPr>
                <w:noProof/>
                <w:webHidden/>
              </w:rPr>
              <w:fldChar w:fldCharType="separate"/>
            </w:r>
            <w:r w:rsidR="005C2926">
              <w:rPr>
                <w:noProof/>
                <w:webHidden/>
              </w:rPr>
              <w:t>11</w:t>
            </w:r>
            <w:r w:rsidR="001C0AB1">
              <w:rPr>
                <w:noProof/>
                <w:webHidden/>
              </w:rPr>
              <w:fldChar w:fldCharType="end"/>
            </w:r>
          </w:hyperlink>
        </w:p>
        <w:p w14:paraId="015E8EB4" w14:textId="77777777" w:rsidR="001C0AB1" w:rsidRDefault="000D2588">
          <w:pPr>
            <w:pStyle w:val="TOC3"/>
            <w:tabs>
              <w:tab w:val="left" w:pos="1320"/>
              <w:tab w:val="right" w:leader="dot" w:pos="9628"/>
            </w:tabs>
            <w:rPr>
              <w:rFonts w:eastAsiaTheme="minorEastAsia"/>
              <w:noProof/>
              <w:lang w:eastAsia="lv-LV"/>
            </w:rPr>
          </w:pPr>
          <w:hyperlink w:anchor="_Toc59326490" w:history="1">
            <w:r w:rsidR="001C0AB1" w:rsidRPr="008523D3">
              <w:rPr>
                <w:rStyle w:val="Hyperlink"/>
                <w:noProof/>
              </w:rPr>
              <w:t>3.1.2.</w:t>
            </w:r>
            <w:r w:rsidR="001C0AB1">
              <w:rPr>
                <w:rFonts w:eastAsiaTheme="minorEastAsia"/>
                <w:noProof/>
                <w:lang w:eastAsia="lv-LV"/>
              </w:rPr>
              <w:tab/>
            </w:r>
            <w:r w:rsidR="001C0AB1" w:rsidRPr="008523D3">
              <w:rPr>
                <w:rStyle w:val="Hyperlink"/>
                <w:noProof/>
              </w:rPr>
              <w:t>Ar piesārņojumu saistītas vietas (t.sk. gruntsūdens) izpētes prasības</w:t>
            </w:r>
            <w:r w:rsidR="001C0AB1">
              <w:rPr>
                <w:noProof/>
                <w:webHidden/>
              </w:rPr>
              <w:tab/>
            </w:r>
            <w:r w:rsidR="001C0AB1">
              <w:rPr>
                <w:noProof/>
                <w:webHidden/>
              </w:rPr>
              <w:fldChar w:fldCharType="begin"/>
            </w:r>
            <w:r w:rsidR="001C0AB1">
              <w:rPr>
                <w:noProof/>
                <w:webHidden/>
              </w:rPr>
              <w:instrText xml:space="preserve"> PAGEREF _Toc59326490 \h </w:instrText>
            </w:r>
            <w:r w:rsidR="001C0AB1">
              <w:rPr>
                <w:noProof/>
                <w:webHidden/>
              </w:rPr>
            </w:r>
            <w:r w:rsidR="001C0AB1">
              <w:rPr>
                <w:noProof/>
                <w:webHidden/>
              </w:rPr>
              <w:fldChar w:fldCharType="separate"/>
            </w:r>
            <w:r w:rsidR="005C2926">
              <w:rPr>
                <w:noProof/>
                <w:webHidden/>
              </w:rPr>
              <w:t>12</w:t>
            </w:r>
            <w:r w:rsidR="001C0AB1">
              <w:rPr>
                <w:noProof/>
                <w:webHidden/>
              </w:rPr>
              <w:fldChar w:fldCharType="end"/>
            </w:r>
          </w:hyperlink>
        </w:p>
        <w:p w14:paraId="23954C29" w14:textId="77777777" w:rsidR="001C0AB1" w:rsidRDefault="000D2588">
          <w:pPr>
            <w:pStyle w:val="TOC2"/>
            <w:tabs>
              <w:tab w:val="left" w:pos="880"/>
              <w:tab w:val="right" w:leader="dot" w:pos="9628"/>
            </w:tabs>
            <w:rPr>
              <w:rFonts w:eastAsiaTheme="minorEastAsia"/>
              <w:noProof/>
              <w:lang w:eastAsia="lv-LV"/>
            </w:rPr>
          </w:pPr>
          <w:hyperlink w:anchor="_Toc59326491" w:history="1">
            <w:r w:rsidR="001C0AB1" w:rsidRPr="008523D3">
              <w:rPr>
                <w:rStyle w:val="Hyperlink"/>
                <w:noProof/>
              </w:rPr>
              <w:t>3.2.</w:t>
            </w:r>
            <w:r w:rsidR="001C0AB1">
              <w:rPr>
                <w:rFonts w:eastAsiaTheme="minorEastAsia"/>
                <w:noProof/>
                <w:lang w:eastAsia="lv-LV"/>
              </w:rPr>
              <w:tab/>
            </w:r>
            <w:r w:rsidR="001C0AB1" w:rsidRPr="008523D3">
              <w:rPr>
                <w:rStyle w:val="Hyperlink"/>
                <w:noProof/>
              </w:rPr>
              <w:t>Normatīvais regulējums Zviedrijā</w:t>
            </w:r>
            <w:r w:rsidR="001C0AB1">
              <w:rPr>
                <w:noProof/>
                <w:webHidden/>
              </w:rPr>
              <w:tab/>
            </w:r>
            <w:r w:rsidR="001C0AB1">
              <w:rPr>
                <w:noProof/>
                <w:webHidden/>
              </w:rPr>
              <w:fldChar w:fldCharType="begin"/>
            </w:r>
            <w:r w:rsidR="001C0AB1">
              <w:rPr>
                <w:noProof/>
                <w:webHidden/>
              </w:rPr>
              <w:instrText xml:space="preserve"> PAGEREF _Toc59326491 \h </w:instrText>
            </w:r>
            <w:r w:rsidR="001C0AB1">
              <w:rPr>
                <w:noProof/>
                <w:webHidden/>
              </w:rPr>
            </w:r>
            <w:r w:rsidR="001C0AB1">
              <w:rPr>
                <w:noProof/>
                <w:webHidden/>
              </w:rPr>
              <w:fldChar w:fldCharType="separate"/>
            </w:r>
            <w:r w:rsidR="005C2926">
              <w:rPr>
                <w:noProof/>
                <w:webHidden/>
              </w:rPr>
              <w:t>13</w:t>
            </w:r>
            <w:r w:rsidR="001C0AB1">
              <w:rPr>
                <w:noProof/>
                <w:webHidden/>
              </w:rPr>
              <w:fldChar w:fldCharType="end"/>
            </w:r>
          </w:hyperlink>
        </w:p>
        <w:p w14:paraId="31978049" w14:textId="77777777" w:rsidR="001C0AB1" w:rsidRDefault="000D2588">
          <w:pPr>
            <w:pStyle w:val="TOC3"/>
            <w:tabs>
              <w:tab w:val="left" w:pos="1320"/>
              <w:tab w:val="right" w:leader="dot" w:pos="9628"/>
            </w:tabs>
            <w:rPr>
              <w:rFonts w:eastAsiaTheme="minorEastAsia"/>
              <w:noProof/>
              <w:lang w:eastAsia="lv-LV"/>
            </w:rPr>
          </w:pPr>
          <w:hyperlink w:anchor="_Toc59326492" w:history="1">
            <w:r w:rsidR="001C0AB1" w:rsidRPr="008523D3">
              <w:rPr>
                <w:rStyle w:val="Hyperlink"/>
                <w:noProof/>
              </w:rPr>
              <w:t>3.1.1.</w:t>
            </w:r>
            <w:r w:rsidR="001C0AB1">
              <w:rPr>
                <w:rFonts w:eastAsiaTheme="minorEastAsia"/>
                <w:noProof/>
                <w:lang w:eastAsia="lv-LV"/>
              </w:rPr>
              <w:tab/>
            </w:r>
            <w:r w:rsidR="001C0AB1" w:rsidRPr="008523D3">
              <w:rPr>
                <w:rStyle w:val="Hyperlink"/>
                <w:noProof/>
              </w:rPr>
              <w:t>Gruntsūdens kvalitātes kritēriji</w:t>
            </w:r>
            <w:r w:rsidR="001C0AB1">
              <w:rPr>
                <w:noProof/>
                <w:webHidden/>
              </w:rPr>
              <w:tab/>
            </w:r>
            <w:r w:rsidR="001C0AB1">
              <w:rPr>
                <w:noProof/>
                <w:webHidden/>
              </w:rPr>
              <w:fldChar w:fldCharType="begin"/>
            </w:r>
            <w:r w:rsidR="001C0AB1">
              <w:rPr>
                <w:noProof/>
                <w:webHidden/>
              </w:rPr>
              <w:instrText xml:space="preserve"> PAGEREF _Toc59326492 \h </w:instrText>
            </w:r>
            <w:r w:rsidR="001C0AB1">
              <w:rPr>
                <w:noProof/>
                <w:webHidden/>
              </w:rPr>
            </w:r>
            <w:r w:rsidR="001C0AB1">
              <w:rPr>
                <w:noProof/>
                <w:webHidden/>
              </w:rPr>
              <w:fldChar w:fldCharType="separate"/>
            </w:r>
            <w:r w:rsidR="005C2926">
              <w:rPr>
                <w:noProof/>
                <w:webHidden/>
              </w:rPr>
              <w:t>15</w:t>
            </w:r>
            <w:r w:rsidR="001C0AB1">
              <w:rPr>
                <w:noProof/>
                <w:webHidden/>
              </w:rPr>
              <w:fldChar w:fldCharType="end"/>
            </w:r>
          </w:hyperlink>
        </w:p>
        <w:p w14:paraId="1C214920" w14:textId="77777777" w:rsidR="001C0AB1" w:rsidRDefault="000D2588">
          <w:pPr>
            <w:pStyle w:val="TOC3"/>
            <w:tabs>
              <w:tab w:val="left" w:pos="1320"/>
              <w:tab w:val="right" w:leader="dot" w:pos="9628"/>
            </w:tabs>
            <w:rPr>
              <w:rFonts w:eastAsiaTheme="minorEastAsia"/>
              <w:noProof/>
              <w:lang w:eastAsia="lv-LV"/>
            </w:rPr>
          </w:pPr>
          <w:hyperlink w:anchor="_Toc59326493" w:history="1">
            <w:r w:rsidR="001C0AB1" w:rsidRPr="008523D3">
              <w:rPr>
                <w:rStyle w:val="Hyperlink"/>
                <w:noProof/>
              </w:rPr>
              <w:t>3.1.2.</w:t>
            </w:r>
            <w:r w:rsidR="001C0AB1">
              <w:rPr>
                <w:rFonts w:eastAsiaTheme="minorEastAsia"/>
                <w:noProof/>
                <w:lang w:eastAsia="lv-LV"/>
              </w:rPr>
              <w:tab/>
            </w:r>
            <w:r w:rsidR="001C0AB1" w:rsidRPr="008523D3">
              <w:rPr>
                <w:rStyle w:val="Hyperlink"/>
                <w:noProof/>
              </w:rPr>
              <w:t>Gruntsūdens izpētes un analīzes prasības</w:t>
            </w:r>
            <w:r w:rsidR="001C0AB1">
              <w:rPr>
                <w:noProof/>
                <w:webHidden/>
              </w:rPr>
              <w:tab/>
            </w:r>
            <w:r w:rsidR="001C0AB1">
              <w:rPr>
                <w:noProof/>
                <w:webHidden/>
              </w:rPr>
              <w:fldChar w:fldCharType="begin"/>
            </w:r>
            <w:r w:rsidR="001C0AB1">
              <w:rPr>
                <w:noProof/>
                <w:webHidden/>
              </w:rPr>
              <w:instrText xml:space="preserve"> PAGEREF _Toc59326493 \h </w:instrText>
            </w:r>
            <w:r w:rsidR="001C0AB1">
              <w:rPr>
                <w:noProof/>
                <w:webHidden/>
              </w:rPr>
            </w:r>
            <w:r w:rsidR="001C0AB1">
              <w:rPr>
                <w:noProof/>
                <w:webHidden/>
              </w:rPr>
              <w:fldChar w:fldCharType="separate"/>
            </w:r>
            <w:r w:rsidR="005C2926">
              <w:rPr>
                <w:noProof/>
                <w:webHidden/>
              </w:rPr>
              <w:t>15</w:t>
            </w:r>
            <w:r w:rsidR="001C0AB1">
              <w:rPr>
                <w:noProof/>
                <w:webHidden/>
              </w:rPr>
              <w:fldChar w:fldCharType="end"/>
            </w:r>
          </w:hyperlink>
        </w:p>
        <w:p w14:paraId="43FF0F3A" w14:textId="77777777" w:rsidR="001C0AB1" w:rsidRDefault="000D2588">
          <w:pPr>
            <w:pStyle w:val="TOC1"/>
            <w:tabs>
              <w:tab w:val="left" w:pos="440"/>
              <w:tab w:val="right" w:leader="dot" w:pos="9628"/>
            </w:tabs>
            <w:rPr>
              <w:rFonts w:eastAsiaTheme="minorEastAsia"/>
              <w:noProof/>
              <w:lang w:eastAsia="lv-LV"/>
            </w:rPr>
          </w:pPr>
          <w:hyperlink w:anchor="_Toc59326494" w:history="1">
            <w:r w:rsidR="001C0AB1" w:rsidRPr="008523D3">
              <w:rPr>
                <w:rStyle w:val="Hyperlink"/>
                <w:noProof/>
              </w:rPr>
              <w:t>4.</w:t>
            </w:r>
            <w:r w:rsidR="001C0AB1">
              <w:rPr>
                <w:rFonts w:eastAsiaTheme="minorEastAsia"/>
                <w:noProof/>
                <w:lang w:eastAsia="lv-LV"/>
              </w:rPr>
              <w:tab/>
            </w:r>
            <w:r w:rsidR="001C0AB1" w:rsidRPr="008523D3">
              <w:rPr>
                <w:rStyle w:val="Hyperlink"/>
                <w:noProof/>
              </w:rPr>
              <w:t>PRIEKŠLIKUMI ŪDENS KVALITĀTES NORMATĪVIEM LATVIJĀ</w:t>
            </w:r>
            <w:r w:rsidR="001C0AB1">
              <w:rPr>
                <w:noProof/>
                <w:webHidden/>
              </w:rPr>
              <w:tab/>
            </w:r>
            <w:r w:rsidR="001C0AB1">
              <w:rPr>
                <w:noProof/>
                <w:webHidden/>
              </w:rPr>
              <w:fldChar w:fldCharType="begin"/>
            </w:r>
            <w:r w:rsidR="001C0AB1">
              <w:rPr>
                <w:noProof/>
                <w:webHidden/>
              </w:rPr>
              <w:instrText xml:space="preserve"> PAGEREF _Toc59326494 \h </w:instrText>
            </w:r>
            <w:r w:rsidR="001C0AB1">
              <w:rPr>
                <w:noProof/>
                <w:webHidden/>
              </w:rPr>
            </w:r>
            <w:r w:rsidR="001C0AB1">
              <w:rPr>
                <w:noProof/>
                <w:webHidden/>
              </w:rPr>
              <w:fldChar w:fldCharType="separate"/>
            </w:r>
            <w:r w:rsidR="005C2926">
              <w:rPr>
                <w:noProof/>
                <w:webHidden/>
              </w:rPr>
              <w:t>16</w:t>
            </w:r>
            <w:r w:rsidR="001C0AB1">
              <w:rPr>
                <w:noProof/>
                <w:webHidden/>
              </w:rPr>
              <w:fldChar w:fldCharType="end"/>
            </w:r>
          </w:hyperlink>
        </w:p>
        <w:p w14:paraId="2AF807EA" w14:textId="77777777" w:rsidR="001C0AB1" w:rsidRDefault="000D2588">
          <w:pPr>
            <w:pStyle w:val="TOC2"/>
            <w:tabs>
              <w:tab w:val="left" w:pos="880"/>
              <w:tab w:val="right" w:leader="dot" w:pos="9628"/>
            </w:tabs>
            <w:rPr>
              <w:rFonts w:eastAsiaTheme="minorEastAsia"/>
              <w:noProof/>
              <w:lang w:eastAsia="lv-LV"/>
            </w:rPr>
          </w:pPr>
          <w:hyperlink w:anchor="_Toc59326495" w:history="1">
            <w:r w:rsidR="001C0AB1" w:rsidRPr="008523D3">
              <w:rPr>
                <w:rStyle w:val="Hyperlink"/>
                <w:noProof/>
              </w:rPr>
              <w:t>4.2</w:t>
            </w:r>
            <w:r w:rsidR="001C0AB1">
              <w:rPr>
                <w:rFonts w:eastAsiaTheme="minorEastAsia"/>
                <w:noProof/>
                <w:lang w:eastAsia="lv-LV"/>
              </w:rPr>
              <w:tab/>
            </w:r>
            <w:r w:rsidR="001C0AB1" w:rsidRPr="008523D3">
              <w:rPr>
                <w:rStyle w:val="Hyperlink"/>
                <w:noProof/>
              </w:rPr>
              <w:t>Priekšlikumi MK noteikumu Nr. 118 10. pielikuma aktualizēšanai</w:t>
            </w:r>
            <w:r w:rsidR="001C0AB1">
              <w:rPr>
                <w:noProof/>
                <w:webHidden/>
              </w:rPr>
              <w:tab/>
            </w:r>
            <w:r w:rsidR="001C0AB1">
              <w:rPr>
                <w:noProof/>
                <w:webHidden/>
              </w:rPr>
              <w:fldChar w:fldCharType="begin"/>
            </w:r>
            <w:r w:rsidR="001C0AB1">
              <w:rPr>
                <w:noProof/>
                <w:webHidden/>
              </w:rPr>
              <w:instrText xml:space="preserve"> PAGEREF _Toc59326495 \h </w:instrText>
            </w:r>
            <w:r w:rsidR="001C0AB1">
              <w:rPr>
                <w:noProof/>
                <w:webHidden/>
              </w:rPr>
            </w:r>
            <w:r w:rsidR="001C0AB1">
              <w:rPr>
                <w:noProof/>
                <w:webHidden/>
              </w:rPr>
              <w:fldChar w:fldCharType="separate"/>
            </w:r>
            <w:r w:rsidR="005C2926">
              <w:rPr>
                <w:noProof/>
                <w:webHidden/>
              </w:rPr>
              <w:t>17</w:t>
            </w:r>
            <w:r w:rsidR="001C0AB1">
              <w:rPr>
                <w:noProof/>
                <w:webHidden/>
              </w:rPr>
              <w:fldChar w:fldCharType="end"/>
            </w:r>
          </w:hyperlink>
        </w:p>
        <w:p w14:paraId="08546418" w14:textId="77777777" w:rsidR="001C0AB1" w:rsidRDefault="000D2588">
          <w:pPr>
            <w:pStyle w:val="TOC3"/>
            <w:tabs>
              <w:tab w:val="right" w:leader="dot" w:pos="9628"/>
            </w:tabs>
            <w:rPr>
              <w:rFonts w:eastAsiaTheme="minorEastAsia"/>
              <w:noProof/>
              <w:lang w:eastAsia="lv-LV"/>
            </w:rPr>
          </w:pPr>
          <w:hyperlink w:anchor="_Toc59326496" w:history="1">
            <w:r w:rsidR="001C0AB1" w:rsidRPr="008523D3">
              <w:rPr>
                <w:rStyle w:val="Hyperlink"/>
                <w:noProof/>
              </w:rPr>
              <w:t>4.2.1. Priekšlikumi normatīvos iekļaujamo parametru sarakstam ūdens kvalitātes normatīviem pazemes ūdeņu stāvokļa novērtēšanai.</w:t>
            </w:r>
            <w:r w:rsidR="001C0AB1">
              <w:rPr>
                <w:noProof/>
                <w:webHidden/>
              </w:rPr>
              <w:tab/>
            </w:r>
            <w:r w:rsidR="001C0AB1">
              <w:rPr>
                <w:noProof/>
                <w:webHidden/>
              </w:rPr>
              <w:fldChar w:fldCharType="begin"/>
            </w:r>
            <w:r w:rsidR="001C0AB1">
              <w:rPr>
                <w:noProof/>
                <w:webHidden/>
              </w:rPr>
              <w:instrText xml:space="preserve"> PAGEREF _Toc59326496 \h </w:instrText>
            </w:r>
            <w:r w:rsidR="001C0AB1">
              <w:rPr>
                <w:noProof/>
                <w:webHidden/>
              </w:rPr>
            </w:r>
            <w:r w:rsidR="001C0AB1">
              <w:rPr>
                <w:noProof/>
                <w:webHidden/>
              </w:rPr>
              <w:fldChar w:fldCharType="separate"/>
            </w:r>
            <w:r w:rsidR="005C2926">
              <w:rPr>
                <w:noProof/>
                <w:webHidden/>
              </w:rPr>
              <w:t>18</w:t>
            </w:r>
            <w:r w:rsidR="001C0AB1">
              <w:rPr>
                <w:noProof/>
                <w:webHidden/>
              </w:rPr>
              <w:fldChar w:fldCharType="end"/>
            </w:r>
          </w:hyperlink>
        </w:p>
        <w:p w14:paraId="28909628" w14:textId="77777777" w:rsidR="001C0AB1" w:rsidRDefault="000D2588">
          <w:pPr>
            <w:pStyle w:val="TOC3"/>
            <w:tabs>
              <w:tab w:val="right" w:leader="dot" w:pos="9628"/>
            </w:tabs>
            <w:rPr>
              <w:rFonts w:eastAsiaTheme="minorEastAsia"/>
              <w:noProof/>
              <w:lang w:eastAsia="lv-LV"/>
            </w:rPr>
          </w:pPr>
          <w:hyperlink w:anchor="_Toc59326497" w:history="1">
            <w:r w:rsidR="001C0AB1" w:rsidRPr="008523D3">
              <w:rPr>
                <w:rStyle w:val="Hyperlink"/>
                <w:noProof/>
              </w:rPr>
              <w:t>4.2.2. Priekšlikumi prasībām pazemes ūdeņu attīrīšanai piesārņotajās vietās</w:t>
            </w:r>
            <w:r w:rsidR="001C0AB1">
              <w:rPr>
                <w:noProof/>
                <w:webHidden/>
              </w:rPr>
              <w:tab/>
            </w:r>
            <w:r w:rsidR="001C0AB1">
              <w:rPr>
                <w:noProof/>
                <w:webHidden/>
              </w:rPr>
              <w:fldChar w:fldCharType="begin"/>
            </w:r>
            <w:r w:rsidR="001C0AB1">
              <w:rPr>
                <w:noProof/>
                <w:webHidden/>
              </w:rPr>
              <w:instrText xml:space="preserve"> PAGEREF _Toc59326497 \h </w:instrText>
            </w:r>
            <w:r w:rsidR="001C0AB1">
              <w:rPr>
                <w:noProof/>
                <w:webHidden/>
              </w:rPr>
            </w:r>
            <w:r w:rsidR="001C0AB1">
              <w:rPr>
                <w:noProof/>
                <w:webHidden/>
              </w:rPr>
              <w:fldChar w:fldCharType="separate"/>
            </w:r>
            <w:r w:rsidR="005C2926">
              <w:rPr>
                <w:noProof/>
                <w:webHidden/>
              </w:rPr>
              <w:t>25</w:t>
            </w:r>
            <w:r w:rsidR="001C0AB1">
              <w:rPr>
                <w:noProof/>
                <w:webHidden/>
              </w:rPr>
              <w:fldChar w:fldCharType="end"/>
            </w:r>
          </w:hyperlink>
        </w:p>
        <w:p w14:paraId="4DDD412A" w14:textId="77777777" w:rsidR="001C0AB1" w:rsidRDefault="000D2588">
          <w:pPr>
            <w:pStyle w:val="TOC1"/>
            <w:tabs>
              <w:tab w:val="right" w:leader="dot" w:pos="9628"/>
            </w:tabs>
            <w:rPr>
              <w:rFonts w:eastAsiaTheme="minorEastAsia"/>
              <w:noProof/>
              <w:lang w:eastAsia="lv-LV"/>
            </w:rPr>
          </w:pPr>
          <w:hyperlink w:anchor="_Toc59326498" w:history="1">
            <w:r w:rsidR="001C0AB1" w:rsidRPr="008523D3">
              <w:rPr>
                <w:rStyle w:val="Hyperlink"/>
                <w:noProof/>
              </w:rPr>
              <w:t>SECINĀJUMI UN REKOMENDĀCIJAS</w:t>
            </w:r>
            <w:r w:rsidR="001C0AB1">
              <w:rPr>
                <w:noProof/>
                <w:webHidden/>
              </w:rPr>
              <w:tab/>
            </w:r>
            <w:r w:rsidR="001C0AB1">
              <w:rPr>
                <w:noProof/>
                <w:webHidden/>
              </w:rPr>
              <w:fldChar w:fldCharType="begin"/>
            </w:r>
            <w:r w:rsidR="001C0AB1">
              <w:rPr>
                <w:noProof/>
                <w:webHidden/>
              </w:rPr>
              <w:instrText xml:space="preserve"> PAGEREF _Toc59326498 \h </w:instrText>
            </w:r>
            <w:r w:rsidR="001C0AB1">
              <w:rPr>
                <w:noProof/>
                <w:webHidden/>
              </w:rPr>
            </w:r>
            <w:r w:rsidR="001C0AB1">
              <w:rPr>
                <w:noProof/>
                <w:webHidden/>
              </w:rPr>
              <w:fldChar w:fldCharType="separate"/>
            </w:r>
            <w:r w:rsidR="005C2926">
              <w:rPr>
                <w:noProof/>
                <w:webHidden/>
              </w:rPr>
              <w:t>27</w:t>
            </w:r>
            <w:r w:rsidR="001C0AB1">
              <w:rPr>
                <w:noProof/>
                <w:webHidden/>
              </w:rPr>
              <w:fldChar w:fldCharType="end"/>
            </w:r>
          </w:hyperlink>
        </w:p>
        <w:p w14:paraId="3C19D0C9" w14:textId="77777777" w:rsidR="001C0AB1" w:rsidRDefault="000D2588">
          <w:pPr>
            <w:pStyle w:val="TOC1"/>
            <w:tabs>
              <w:tab w:val="right" w:leader="dot" w:pos="9628"/>
            </w:tabs>
            <w:rPr>
              <w:rFonts w:eastAsiaTheme="minorEastAsia"/>
              <w:noProof/>
              <w:lang w:eastAsia="lv-LV"/>
            </w:rPr>
          </w:pPr>
          <w:hyperlink w:anchor="_Toc59326499" w:history="1">
            <w:r w:rsidR="001C0AB1" w:rsidRPr="008523D3">
              <w:rPr>
                <w:rStyle w:val="Hyperlink"/>
                <w:noProof/>
              </w:rPr>
              <w:t>IZMANTOTO INFORMĀCIJAS AVOTU SARAKSTS</w:t>
            </w:r>
            <w:r w:rsidR="001C0AB1">
              <w:rPr>
                <w:noProof/>
                <w:webHidden/>
              </w:rPr>
              <w:tab/>
            </w:r>
            <w:r w:rsidR="001C0AB1">
              <w:rPr>
                <w:noProof/>
                <w:webHidden/>
              </w:rPr>
              <w:fldChar w:fldCharType="begin"/>
            </w:r>
            <w:r w:rsidR="001C0AB1">
              <w:rPr>
                <w:noProof/>
                <w:webHidden/>
              </w:rPr>
              <w:instrText xml:space="preserve"> PAGEREF _Toc59326499 \h </w:instrText>
            </w:r>
            <w:r w:rsidR="001C0AB1">
              <w:rPr>
                <w:noProof/>
                <w:webHidden/>
              </w:rPr>
            </w:r>
            <w:r w:rsidR="001C0AB1">
              <w:rPr>
                <w:noProof/>
                <w:webHidden/>
              </w:rPr>
              <w:fldChar w:fldCharType="separate"/>
            </w:r>
            <w:r w:rsidR="005C2926">
              <w:rPr>
                <w:noProof/>
                <w:webHidden/>
              </w:rPr>
              <w:t>28</w:t>
            </w:r>
            <w:r w:rsidR="001C0AB1">
              <w:rPr>
                <w:noProof/>
                <w:webHidden/>
              </w:rPr>
              <w:fldChar w:fldCharType="end"/>
            </w:r>
          </w:hyperlink>
        </w:p>
        <w:p w14:paraId="456B7168" w14:textId="77777777" w:rsidR="00F515E5" w:rsidRPr="00F12D88" w:rsidRDefault="00511AFA" w:rsidP="00F515E5">
          <w:pPr>
            <w:spacing w:line="360" w:lineRule="auto"/>
            <w:rPr>
              <w:b/>
              <w:bCs/>
              <w:noProof/>
            </w:rPr>
          </w:pPr>
          <w:r w:rsidRPr="00F12D88">
            <w:rPr>
              <w:b/>
              <w:bCs/>
              <w:noProof/>
            </w:rPr>
            <w:fldChar w:fldCharType="end"/>
          </w:r>
        </w:p>
      </w:sdtContent>
    </w:sdt>
    <w:p w14:paraId="45EA7A13" w14:textId="77777777" w:rsidR="008642B4" w:rsidRPr="00F12D88" w:rsidRDefault="00F515E5" w:rsidP="00F515E5">
      <w:pPr>
        <w:rPr>
          <w:rFonts w:asciiTheme="majorHAnsi" w:hAnsiTheme="majorHAnsi" w:cstheme="majorHAnsi"/>
          <w:sz w:val="24"/>
          <w:szCs w:val="24"/>
        </w:rPr>
      </w:pPr>
      <w:r w:rsidRPr="00F12D88">
        <w:rPr>
          <w:rFonts w:asciiTheme="majorHAnsi" w:hAnsiTheme="majorHAnsi" w:cstheme="majorHAnsi"/>
          <w:sz w:val="24"/>
          <w:szCs w:val="24"/>
        </w:rPr>
        <w:t>PIELIKUMI</w:t>
      </w:r>
    </w:p>
    <w:p w14:paraId="4F59F5D4" w14:textId="77777777" w:rsidR="00F515E5" w:rsidRPr="00F12D88" w:rsidRDefault="00F515E5" w:rsidP="00E17E73">
      <w:pPr>
        <w:pStyle w:val="ListParagraph"/>
        <w:numPr>
          <w:ilvl w:val="0"/>
          <w:numId w:val="4"/>
        </w:numPr>
        <w:rPr>
          <w:rFonts w:asciiTheme="majorHAnsi" w:hAnsiTheme="majorHAnsi" w:cstheme="majorHAnsi"/>
          <w:sz w:val="24"/>
          <w:szCs w:val="24"/>
        </w:rPr>
      </w:pPr>
      <w:r w:rsidRPr="00F12D88">
        <w:rPr>
          <w:rFonts w:asciiTheme="majorHAnsi" w:hAnsiTheme="majorHAnsi" w:cstheme="majorHAnsi"/>
          <w:sz w:val="24"/>
          <w:szCs w:val="24"/>
        </w:rPr>
        <w:t xml:space="preserve">Pielikums. </w:t>
      </w:r>
      <w:r w:rsidR="00CB1029">
        <w:rPr>
          <w:rFonts w:asciiTheme="majorHAnsi" w:hAnsiTheme="majorHAnsi" w:cstheme="majorHAnsi"/>
          <w:sz w:val="24"/>
          <w:szCs w:val="24"/>
        </w:rPr>
        <w:t>Ūdens kvalitātes robežvērtību apkopojums</w:t>
      </w:r>
    </w:p>
    <w:p w14:paraId="4938B86E" w14:textId="77777777" w:rsidR="00033CE9" w:rsidRPr="00F12D88" w:rsidRDefault="00033CE9" w:rsidP="00E17E73">
      <w:pPr>
        <w:pStyle w:val="ListParagraph"/>
        <w:numPr>
          <w:ilvl w:val="0"/>
          <w:numId w:val="4"/>
        </w:numPr>
        <w:rPr>
          <w:rFonts w:asciiTheme="majorHAnsi" w:hAnsiTheme="majorHAnsi" w:cstheme="majorHAnsi"/>
          <w:sz w:val="24"/>
          <w:szCs w:val="24"/>
        </w:rPr>
      </w:pPr>
      <w:r w:rsidRPr="00F12D88">
        <w:rPr>
          <w:rFonts w:asciiTheme="majorHAnsi" w:hAnsiTheme="majorHAnsi" w:cstheme="majorHAnsi"/>
          <w:sz w:val="24"/>
          <w:szCs w:val="24"/>
        </w:rPr>
        <w:t>Pielikums. Darba uzdevums – tehniskā specifikācija</w:t>
      </w:r>
    </w:p>
    <w:p w14:paraId="20083BD0" w14:textId="77777777" w:rsidR="000F4927" w:rsidRDefault="000F4927">
      <w:r>
        <w:br w:type="page"/>
      </w:r>
    </w:p>
    <w:p w14:paraId="76EB6AF5" w14:textId="77777777" w:rsidR="000E4C0B" w:rsidRDefault="000E4C0B" w:rsidP="008642B4">
      <w:pPr>
        <w:pStyle w:val="Heading1"/>
      </w:pPr>
    </w:p>
    <w:p w14:paraId="40733563" w14:textId="77777777" w:rsidR="000F4927" w:rsidRPr="000F4927" w:rsidRDefault="000F4927" w:rsidP="008642B4">
      <w:pPr>
        <w:pStyle w:val="Heading1"/>
      </w:pPr>
      <w:bookmarkStart w:id="1" w:name="_Toc59326482"/>
      <w:r w:rsidRPr="000F4927">
        <w:t>IEVADS</w:t>
      </w:r>
      <w:bookmarkEnd w:id="1"/>
    </w:p>
    <w:p w14:paraId="1ED3DE86" w14:textId="77777777" w:rsidR="000F4927" w:rsidRDefault="00F67EF5" w:rsidP="006074A9">
      <w:pPr>
        <w:jc w:val="both"/>
      </w:pPr>
      <w:r>
        <w:t>Projekta “</w:t>
      </w:r>
      <w:r w:rsidR="00AB70AF" w:rsidRPr="00AB70AF">
        <w:t>Paz</w:t>
      </w:r>
      <w:r w:rsidR="00AB70AF">
        <w:t>emes ūdeņu kvalitātes normatīvu</w:t>
      </w:r>
      <w:r w:rsidR="00AB70AF" w:rsidRPr="00AB70AF">
        <w:t xml:space="preserve"> un prasību pazemes ūdeņu attīrīšanai piesārņotās vietās aktualizācija</w:t>
      </w:r>
      <w:r>
        <w:t xml:space="preserve">” realizācija veikta atbilstoši 2020. gada 22. maijā </w:t>
      </w:r>
      <w:r w:rsidR="00D4043F">
        <w:t>noslēgtā</w:t>
      </w:r>
      <w:r>
        <w:t xml:space="preserve"> līguma</w:t>
      </w:r>
      <w:r w:rsidR="00D4043F">
        <w:t xml:space="preserve"> starp Latvijas Republikas </w:t>
      </w:r>
      <w:r w:rsidR="00D4043F" w:rsidRPr="00D4043F">
        <w:t xml:space="preserve">Vides aizsardzības un </w:t>
      </w:r>
      <w:r w:rsidR="00D4043F">
        <w:t xml:space="preserve">reģionālās attīstības ministriju (turpmāk – VARAM) un AS </w:t>
      </w:r>
      <w:proofErr w:type="spellStart"/>
      <w:r w:rsidR="00D4043F">
        <w:t>VentEko</w:t>
      </w:r>
      <w:proofErr w:type="spellEnd"/>
      <w:r w:rsidR="00D4043F">
        <w:t xml:space="preserve"> (turpmāk – </w:t>
      </w:r>
      <w:proofErr w:type="spellStart"/>
      <w:r w:rsidR="00D4043F">
        <w:t>VentEko</w:t>
      </w:r>
      <w:proofErr w:type="spellEnd"/>
      <w:r w:rsidR="00D4043F">
        <w:t>)</w:t>
      </w:r>
      <w:r w:rsidR="00D4043F" w:rsidRPr="00D4043F">
        <w:t xml:space="preserve"> </w:t>
      </w:r>
      <w:r>
        <w:t>Nr</w:t>
      </w:r>
      <w:r w:rsidR="00AB70AF">
        <w:t>. </w:t>
      </w:r>
      <w:r w:rsidRPr="00F67EF5">
        <w:t>IL/47/2020</w:t>
      </w:r>
      <w:r>
        <w:t xml:space="preserve"> nosacījumiem. </w:t>
      </w:r>
      <w:r w:rsidR="00D4043F">
        <w:t>Projekts</w:t>
      </w:r>
      <w:r w:rsidR="00CD492A">
        <w:t xml:space="preserve"> realizēts ar Latvijas Vides aizsardzības fonda finansiālu atbalstu.</w:t>
      </w:r>
    </w:p>
    <w:p w14:paraId="410C8010" w14:textId="77777777" w:rsidR="000E4C0B" w:rsidRDefault="000E4C0B" w:rsidP="006074A9">
      <w:pPr>
        <w:pStyle w:val="Heading2"/>
        <w:jc w:val="both"/>
      </w:pPr>
    </w:p>
    <w:p w14:paraId="1799C74C" w14:textId="77777777" w:rsidR="00F67EF5" w:rsidRPr="00AD6C7E" w:rsidRDefault="00AD6C7E" w:rsidP="006074A9">
      <w:pPr>
        <w:pStyle w:val="Heading2"/>
        <w:jc w:val="both"/>
      </w:pPr>
      <w:bookmarkStart w:id="2" w:name="_Toc59326483"/>
      <w:r w:rsidRPr="00AD6C7E">
        <w:t>Projekta mērķis</w:t>
      </w:r>
      <w:bookmarkEnd w:id="2"/>
    </w:p>
    <w:p w14:paraId="017F6E27" w14:textId="77777777" w:rsidR="000F4927" w:rsidRDefault="00AD6C7E" w:rsidP="006074A9">
      <w:pPr>
        <w:jc w:val="both"/>
      </w:pPr>
      <w:r>
        <w:t>Šī projekta realizācijas mērķis, atbilstoši noslēgtā līguma un tā neat</w:t>
      </w:r>
      <w:r w:rsidR="00CD492A">
        <w:t>ņemamas sastāvdaļas</w:t>
      </w:r>
      <w:r>
        <w:t xml:space="preserve"> - pielikuma “Tehniskā specifikācija </w:t>
      </w:r>
      <w:r w:rsidR="00AB70AF">
        <w:t>I</w:t>
      </w:r>
      <w:r>
        <w:t xml:space="preserve">I” nosacījumiem ir </w:t>
      </w:r>
      <w:r w:rsidR="00AB70AF" w:rsidRPr="00AB70AF">
        <w:t>pārskatīt un aktualizēt normatīvā regulējuma prasības attiecībā uz pazemes ūdeņu novērtēšanu un attīrīšanu piesārņotajās vietās</w:t>
      </w:r>
      <w:r w:rsidR="00D4043F">
        <w:t>.</w:t>
      </w:r>
    </w:p>
    <w:p w14:paraId="10B182D9" w14:textId="77777777" w:rsidR="000E4C0B" w:rsidRDefault="000E4C0B" w:rsidP="006074A9">
      <w:pPr>
        <w:pStyle w:val="Heading2"/>
        <w:jc w:val="both"/>
      </w:pPr>
    </w:p>
    <w:p w14:paraId="04F5668D" w14:textId="77777777" w:rsidR="00D4043F" w:rsidRPr="00D4043F" w:rsidRDefault="00D4043F" w:rsidP="006074A9">
      <w:pPr>
        <w:pStyle w:val="Heading2"/>
        <w:jc w:val="both"/>
      </w:pPr>
      <w:bookmarkStart w:id="3" w:name="_Toc59326484"/>
      <w:r>
        <w:t>Darba</w:t>
      </w:r>
      <w:r w:rsidRPr="00D4043F">
        <w:t xml:space="preserve"> uzdevumi</w:t>
      </w:r>
      <w:bookmarkEnd w:id="3"/>
    </w:p>
    <w:p w14:paraId="556BD22D" w14:textId="77777777" w:rsidR="00D4043F" w:rsidRDefault="00D4043F" w:rsidP="006074A9">
      <w:pPr>
        <w:jc w:val="both"/>
      </w:pPr>
      <w:r>
        <w:t>Lai sasniegtu izvirzīto projekta mērķi, tika realizēti turpmāk uzskaitītie darba uzdevumi:</w:t>
      </w:r>
    </w:p>
    <w:p w14:paraId="246AEB38" w14:textId="77777777" w:rsidR="00AB70AF" w:rsidRDefault="00AB70AF" w:rsidP="00E17E73">
      <w:pPr>
        <w:pStyle w:val="ListParagraph"/>
        <w:numPr>
          <w:ilvl w:val="0"/>
          <w:numId w:val="5"/>
        </w:numPr>
        <w:jc w:val="both"/>
      </w:pPr>
      <w:r w:rsidRPr="00AB70AF">
        <w:t>Izvērtēt esošo normatīvo regulējumu attiecībā uz kvalitātes normatīviem pazemes ūdeņu stāvokļa novērtēšanai un prasībām pazemes ūdeņu attīrīšanai piesārņotās vietās un tā atbilstību šodienas situācijai. Salīdzināt ar esošo normatīvo regulējumu augsnei un gruntij piesārņotās vietās.</w:t>
      </w:r>
    </w:p>
    <w:p w14:paraId="34CE7D7D" w14:textId="77777777" w:rsidR="00AB70AF" w:rsidRDefault="00AB70AF" w:rsidP="00AB70AF">
      <w:pPr>
        <w:pStyle w:val="ListParagraph"/>
        <w:jc w:val="both"/>
      </w:pPr>
    </w:p>
    <w:p w14:paraId="70B0FC73" w14:textId="77777777" w:rsidR="00AB70AF" w:rsidRDefault="00AB70AF" w:rsidP="00E17E73">
      <w:pPr>
        <w:pStyle w:val="ListParagraph"/>
        <w:numPr>
          <w:ilvl w:val="0"/>
          <w:numId w:val="5"/>
        </w:numPr>
        <w:jc w:val="both"/>
      </w:pPr>
      <w:r w:rsidRPr="00522DFF">
        <w:rPr>
          <w:color w:val="000000" w:themeColor="text1"/>
          <w:szCs w:val="24"/>
        </w:rPr>
        <w:t xml:space="preserve">Izvērtēt un apkopot citu valstu pieredzi par pieejamām, kādas tiek izmantotas pazemes ūdeņu stāvokļa novērtēšanā un </w:t>
      </w:r>
      <w:r>
        <w:rPr>
          <w:color w:val="000000" w:themeColor="text1"/>
          <w:szCs w:val="24"/>
        </w:rPr>
        <w:t>prasībām pazemes ūdeņu</w:t>
      </w:r>
      <w:r w:rsidRPr="00522DFF">
        <w:rPr>
          <w:color w:val="000000" w:themeColor="text1"/>
          <w:szCs w:val="24"/>
        </w:rPr>
        <w:t xml:space="preserve"> attīrīšanai piesārņotās vietās</w:t>
      </w:r>
      <w:r>
        <w:rPr>
          <w:color w:val="000000" w:themeColor="text1"/>
          <w:szCs w:val="24"/>
        </w:rPr>
        <w:t>.</w:t>
      </w:r>
    </w:p>
    <w:p w14:paraId="50D1B206" w14:textId="77777777" w:rsidR="00AB70AF" w:rsidRDefault="00AB70AF" w:rsidP="00AB70AF">
      <w:pPr>
        <w:pStyle w:val="ListParagraph"/>
        <w:jc w:val="both"/>
      </w:pPr>
    </w:p>
    <w:p w14:paraId="17A77FE7" w14:textId="77777777" w:rsidR="00AB70AF" w:rsidRPr="00AB70AF" w:rsidRDefault="00AB70AF" w:rsidP="00E17E73">
      <w:pPr>
        <w:pStyle w:val="ListParagraph"/>
        <w:numPr>
          <w:ilvl w:val="0"/>
          <w:numId w:val="5"/>
        </w:numPr>
        <w:jc w:val="both"/>
      </w:pPr>
      <w:r w:rsidRPr="00522DFF">
        <w:rPr>
          <w:color w:val="000000" w:themeColor="text1"/>
          <w:szCs w:val="24"/>
        </w:rPr>
        <w:t>Konsultēties ar Valsts vides dienesta (turpmāk - VVD) ekspertiem piesārņotu vietu sanācijas jomā</w:t>
      </w:r>
      <w:r>
        <w:rPr>
          <w:color w:val="000000" w:themeColor="text1"/>
          <w:szCs w:val="24"/>
        </w:rPr>
        <w:t>.</w:t>
      </w:r>
    </w:p>
    <w:p w14:paraId="0FE26DBA" w14:textId="77777777" w:rsidR="00AB70AF" w:rsidRDefault="00AB70AF" w:rsidP="00AB70AF">
      <w:pPr>
        <w:pStyle w:val="ListParagraph"/>
      </w:pPr>
    </w:p>
    <w:p w14:paraId="7C9843DF" w14:textId="77777777" w:rsidR="00D4043F" w:rsidRDefault="00D4043F" w:rsidP="00E17E73">
      <w:pPr>
        <w:pStyle w:val="ListParagraph"/>
        <w:numPr>
          <w:ilvl w:val="0"/>
          <w:numId w:val="5"/>
        </w:numPr>
        <w:jc w:val="both"/>
      </w:pPr>
      <w:r w:rsidRPr="00D4043F">
        <w:t>Divu nedēļu laikā pēc līguma parakstīšanas konsultēties ar Pasūtītāju par darba uzdevuma izpildi, informēt Pasūtītāju par darba uzdevuma izpildes gaitu.</w:t>
      </w:r>
    </w:p>
    <w:p w14:paraId="7870B0E7" w14:textId="77777777" w:rsidR="00AB70AF" w:rsidRDefault="00AB70AF" w:rsidP="00AB70AF">
      <w:pPr>
        <w:pStyle w:val="ListParagraph"/>
      </w:pPr>
    </w:p>
    <w:p w14:paraId="163F8788" w14:textId="77777777" w:rsidR="00AB70AF" w:rsidRDefault="00AB70AF" w:rsidP="00E17E73">
      <w:pPr>
        <w:pStyle w:val="ListParagraph"/>
        <w:numPr>
          <w:ilvl w:val="0"/>
          <w:numId w:val="5"/>
        </w:numPr>
        <w:jc w:val="both"/>
      </w:pPr>
      <w:r w:rsidRPr="00AB70AF">
        <w:t>Izstrādāt kvalitatīvus, citu valstu pieredzē balstītus, bet vienlaicīgi atbilstošus Latvijas apstākļiem priekšlikumus izmaiņām ūdens kvalitātes normatīviem pazemes ūdeņu stāvokļa novērtēšanai un prasībām pazemes ūdeņu attīrīšanai piesārņotās vietās (Ministru kabineta 2002.</w:t>
      </w:r>
      <w:r>
        <w:t> </w:t>
      </w:r>
      <w:r w:rsidRPr="00AB70AF">
        <w:t>gada 12.</w:t>
      </w:r>
      <w:r>
        <w:t> </w:t>
      </w:r>
      <w:r w:rsidRPr="00AB70AF">
        <w:t>marta noteikumu Nr.</w:t>
      </w:r>
      <w:r>
        <w:t> </w:t>
      </w:r>
      <w:r w:rsidRPr="00AB70AF">
        <w:t>118 “Noteikumi par virszemes un pazemes ūdeņu kvalitāti” 10.pielikums), sniedzot argumentētu pamatojumu.</w:t>
      </w:r>
    </w:p>
    <w:p w14:paraId="1E3F1864" w14:textId="77777777" w:rsidR="008642B4" w:rsidRDefault="008642B4" w:rsidP="006074A9">
      <w:pPr>
        <w:pStyle w:val="ListParagraph"/>
        <w:jc w:val="both"/>
      </w:pPr>
    </w:p>
    <w:p w14:paraId="75977FB4" w14:textId="77777777" w:rsidR="00D4043F" w:rsidRDefault="00D4043F" w:rsidP="00E17E73">
      <w:pPr>
        <w:pStyle w:val="ListParagraph"/>
        <w:numPr>
          <w:ilvl w:val="0"/>
          <w:numId w:val="5"/>
        </w:numPr>
        <w:jc w:val="both"/>
      </w:pPr>
      <w:r>
        <w:t>S</w:t>
      </w:r>
      <w:r w:rsidRPr="00D4043F">
        <w:t>agatavot gala pārskatu, kurā ietverti visi darba uzdevuma rezultāti</w:t>
      </w:r>
      <w:r>
        <w:t>.</w:t>
      </w:r>
    </w:p>
    <w:p w14:paraId="500B1241" w14:textId="77777777" w:rsidR="00B6581F" w:rsidRDefault="00B6581F" w:rsidP="00B6581F"/>
    <w:p w14:paraId="53C816D0" w14:textId="77777777" w:rsidR="00466EE0" w:rsidRDefault="00A94858" w:rsidP="00466EE0">
      <w:pPr>
        <w:pStyle w:val="Heading2"/>
      </w:pPr>
      <w:bookmarkStart w:id="4" w:name="_Toc59326485"/>
      <w:r>
        <w:t>D</w:t>
      </w:r>
      <w:r w:rsidR="0036345B">
        <w:t>arba organizēšana</w:t>
      </w:r>
      <w:bookmarkEnd w:id="4"/>
    </w:p>
    <w:p w14:paraId="3E20032D" w14:textId="77777777" w:rsidR="005C25C1" w:rsidRDefault="00180475" w:rsidP="005C25C1">
      <w:pPr>
        <w:jc w:val="both"/>
      </w:pPr>
      <w:r>
        <w:t xml:space="preserve">Izvirzītais projekta mērķis ir komplicēts, un, ņemot vērā šajā jomā, uz Latvijas teritoriju un situāciju attiecināmu un piemērojamu pētījumu trūkumu, arī ļoti sarežģīti realizējams atvēlētajā laika rāmī un citu resursu ietvarā. Vienlaikus ir skaidrs, ka aktualizētā </w:t>
      </w:r>
      <w:r w:rsidRPr="00B6581F">
        <w:t xml:space="preserve">tēma ir ļoti būtiska, </w:t>
      </w:r>
      <w:r w:rsidR="005C25C1" w:rsidRPr="00B6581F">
        <w:t>neskatoties</w:t>
      </w:r>
      <w:r w:rsidR="005C25C1">
        <w:t xml:space="preserve"> uz iepriekš minēto, tādēļ, jo svarīgāk ir izmantot pieejamos resursus no citu reģionu pētījumiem un veikt normatīvo dokumentu analīzi, lai būtu iespējams veikt atbilstošu adaptāciju Latvijas apstākļiem. </w:t>
      </w:r>
    </w:p>
    <w:p w14:paraId="6D26B87A" w14:textId="77777777" w:rsidR="005C25C1" w:rsidRDefault="005C25C1" w:rsidP="005C25C1">
      <w:pPr>
        <w:jc w:val="both"/>
      </w:pPr>
      <w:r>
        <w:rPr>
          <w:noProof/>
          <w:lang w:eastAsia="lv-LV"/>
        </w:rPr>
        <w:lastRenderedPageBreak/>
        <w:drawing>
          <wp:inline distT="0" distB="0" distL="0" distR="0" wp14:anchorId="068705E5" wp14:editId="04F9CFE7">
            <wp:extent cx="6092190" cy="3347408"/>
            <wp:effectExtent l="0" t="0" r="22860" b="571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1800614" w14:textId="77777777" w:rsidR="001A6627" w:rsidRPr="0018638C" w:rsidRDefault="0018638C" w:rsidP="00E17E73">
      <w:pPr>
        <w:pStyle w:val="ListParagraph"/>
        <w:numPr>
          <w:ilvl w:val="0"/>
          <w:numId w:val="2"/>
        </w:numPr>
        <w:jc w:val="both"/>
        <w:rPr>
          <w:rStyle w:val="Emphasis"/>
        </w:rPr>
      </w:pPr>
      <w:r>
        <w:rPr>
          <w:rStyle w:val="Emphasis"/>
        </w:rPr>
        <w:t xml:space="preserve">Attēls. Darba izstrādes procesa būtiskāko aktivitāšu uzskaitījums </w:t>
      </w:r>
    </w:p>
    <w:p w14:paraId="2775D428" w14:textId="77777777" w:rsidR="001A6627" w:rsidRDefault="00CF1CD9" w:rsidP="006074A9">
      <w:pPr>
        <w:jc w:val="both"/>
      </w:pPr>
      <w:r>
        <w:t>Projekta mērķa sasniegšanai, darba uzdevumu izpildes ietvaros tika veiks apjomīgs dažādu aktivitāšu kopums, kā rezultātā iegūtie dati, to apkopojums un analīze.</w:t>
      </w:r>
    </w:p>
    <w:p w14:paraId="6E58C06C" w14:textId="77777777" w:rsidR="001A6627" w:rsidRPr="00CF1CD9" w:rsidRDefault="0037024E" w:rsidP="006074A9">
      <w:pPr>
        <w:jc w:val="both"/>
        <w:rPr>
          <w:b/>
        </w:rPr>
      </w:pPr>
      <w:r>
        <w:rPr>
          <w:b/>
        </w:rPr>
        <w:t>I</w:t>
      </w:r>
      <w:r w:rsidR="00CF1CD9" w:rsidRPr="00CF1CD9">
        <w:rPr>
          <w:b/>
        </w:rPr>
        <w:t>nformācijas un datu apzināšana un apkopošana</w:t>
      </w:r>
    </w:p>
    <w:p w14:paraId="5DDAD5EC" w14:textId="77777777" w:rsidR="00CF1CD9" w:rsidRDefault="00CF1CD9" w:rsidP="006074A9">
      <w:pPr>
        <w:jc w:val="both"/>
      </w:pPr>
      <w:r>
        <w:t xml:space="preserve">Atbilstoši darba uzdevumam divu nedēļu </w:t>
      </w:r>
      <w:r w:rsidR="00B6581F">
        <w:t>laikā pēc darbu uzsākšanas tika paredzēta sanāksme Izpildītāja un Pasūtītāja pārstāvjiem, lai konsultētos par darba uzdevuma izpildi. Līdz pirmajai sanāksmei tika paveikts:</w:t>
      </w:r>
    </w:p>
    <w:p w14:paraId="2F4DA982" w14:textId="77777777" w:rsidR="001B7134" w:rsidRPr="001B7134" w:rsidRDefault="001B7134" w:rsidP="00E17E73">
      <w:pPr>
        <w:pStyle w:val="ListParagraph"/>
        <w:numPr>
          <w:ilvl w:val="0"/>
          <w:numId w:val="6"/>
        </w:numPr>
        <w:jc w:val="both"/>
      </w:pPr>
      <w:r w:rsidRPr="001B7134">
        <w:t>Uzsākta esošo normatīvu bāzes apkopošana un izvērtēšana;</w:t>
      </w:r>
    </w:p>
    <w:p w14:paraId="516CB3D9" w14:textId="77777777" w:rsidR="001B7134" w:rsidRPr="001B7134" w:rsidRDefault="001B7134" w:rsidP="00E17E73">
      <w:pPr>
        <w:pStyle w:val="ListParagraph"/>
        <w:numPr>
          <w:ilvl w:val="0"/>
          <w:numId w:val="6"/>
        </w:numPr>
        <w:jc w:val="both"/>
      </w:pPr>
      <w:r w:rsidRPr="001B7134">
        <w:t>Uzsākta citu valstu pieredzes apkopošana par pazemes ūdeņu kvalitātes regulējumu</w:t>
      </w:r>
    </w:p>
    <w:p w14:paraId="523C5A95" w14:textId="77777777" w:rsidR="001B7134" w:rsidRDefault="001B7134" w:rsidP="00E17E73">
      <w:pPr>
        <w:pStyle w:val="ListParagraph"/>
        <w:numPr>
          <w:ilvl w:val="0"/>
          <w:numId w:val="6"/>
        </w:numPr>
        <w:jc w:val="both"/>
      </w:pPr>
      <w:r w:rsidRPr="001B7134">
        <w:t>Veiktas sākotnējās konsultācijas ar VVD ekspertiem</w:t>
      </w:r>
      <w:r>
        <w:t>.</w:t>
      </w:r>
    </w:p>
    <w:p w14:paraId="706BDC4B" w14:textId="77777777" w:rsidR="00D26514" w:rsidRDefault="00D26514" w:rsidP="001B7134">
      <w:pPr>
        <w:jc w:val="both"/>
      </w:pPr>
      <w:r>
        <w:t>Turpmākā informācijas apkopošana un uzsāktā tās analīze ietvēra:</w:t>
      </w:r>
    </w:p>
    <w:p w14:paraId="74EF251A" w14:textId="77777777" w:rsidR="00B53F69" w:rsidRPr="00B53F69" w:rsidRDefault="00B53F69" w:rsidP="00E17E73">
      <w:pPr>
        <w:pStyle w:val="ListParagraph"/>
        <w:numPr>
          <w:ilvl w:val="0"/>
          <w:numId w:val="7"/>
        </w:numPr>
        <w:jc w:val="both"/>
      </w:pPr>
      <w:r w:rsidRPr="00B53F69">
        <w:t>Esošo normatīvu bāzes apkopošana un izvērtēšana;</w:t>
      </w:r>
    </w:p>
    <w:p w14:paraId="156F3A07" w14:textId="77777777" w:rsidR="00B53F69" w:rsidRPr="00B53F69" w:rsidRDefault="00B53F69" w:rsidP="00E17E73">
      <w:pPr>
        <w:pStyle w:val="ListParagraph"/>
        <w:numPr>
          <w:ilvl w:val="0"/>
          <w:numId w:val="7"/>
        </w:numPr>
        <w:jc w:val="both"/>
      </w:pPr>
      <w:r w:rsidRPr="00B53F69">
        <w:t>Veikts Lietuvas regulēj</w:t>
      </w:r>
      <w:r w:rsidR="00FE6CAD">
        <w:t>uma par pazemes ūdeņu kvalitāti</w:t>
      </w:r>
      <w:r w:rsidRPr="00B53F69">
        <w:t xml:space="preserve"> </w:t>
      </w:r>
      <w:proofErr w:type="spellStart"/>
      <w:r w:rsidRPr="00B53F69">
        <w:t>izvērtējums</w:t>
      </w:r>
      <w:proofErr w:type="spellEnd"/>
      <w:r>
        <w:t>;</w:t>
      </w:r>
    </w:p>
    <w:p w14:paraId="6711E174" w14:textId="77777777" w:rsidR="00B53F69" w:rsidRDefault="00B53F69" w:rsidP="00E17E73">
      <w:pPr>
        <w:pStyle w:val="ListParagraph"/>
        <w:numPr>
          <w:ilvl w:val="0"/>
          <w:numId w:val="7"/>
        </w:numPr>
        <w:jc w:val="both"/>
      </w:pPr>
      <w:r w:rsidRPr="00B53F69">
        <w:t>Zviedrijas regulējuma par pazem</w:t>
      </w:r>
      <w:r w:rsidR="00FE6CAD">
        <w:t>es ūdeņu kvalitāti</w:t>
      </w:r>
      <w:r>
        <w:t xml:space="preserve"> </w:t>
      </w:r>
      <w:proofErr w:type="spellStart"/>
      <w:r>
        <w:t>izvērtējums</w:t>
      </w:r>
      <w:proofErr w:type="spellEnd"/>
      <w:r>
        <w:t>;</w:t>
      </w:r>
    </w:p>
    <w:p w14:paraId="340300D9" w14:textId="77777777" w:rsidR="00B6581F" w:rsidRPr="0037024E" w:rsidRDefault="00B6581F" w:rsidP="00B53F69">
      <w:pPr>
        <w:jc w:val="both"/>
        <w:rPr>
          <w:b/>
        </w:rPr>
      </w:pPr>
      <w:r w:rsidRPr="0037024E">
        <w:rPr>
          <w:b/>
        </w:rPr>
        <w:t>Sarakste ar kompetentajām institūcijām un intervijas ar ekspertiem</w:t>
      </w:r>
    </w:p>
    <w:p w14:paraId="72445946" w14:textId="77777777" w:rsidR="006074A9" w:rsidRDefault="006074A9" w:rsidP="00E17E73">
      <w:pPr>
        <w:pStyle w:val="ListParagraph"/>
        <w:numPr>
          <w:ilvl w:val="0"/>
          <w:numId w:val="3"/>
        </w:numPr>
        <w:jc w:val="both"/>
      </w:pPr>
      <w:r>
        <w:t>Organizēta Izpildītāja tikšanās ar Valsts vides dienesta (</w:t>
      </w:r>
      <w:r w:rsidR="00D26514">
        <w:t>turpmāk – V</w:t>
      </w:r>
      <w:r>
        <w:t>VD) ekspertiem, lai diskutētu un par pētījuma tēmu un iegūtu papildus informāciju vai norādes par būtiskajiem jau</w:t>
      </w:r>
      <w:r w:rsidR="00B53F69">
        <w:t>tājumiem un saistītām problēmām;</w:t>
      </w:r>
    </w:p>
    <w:p w14:paraId="4321C778" w14:textId="77777777" w:rsidR="00B53F69" w:rsidRDefault="00B53F69" w:rsidP="00E17E73">
      <w:pPr>
        <w:pStyle w:val="ListParagraph"/>
        <w:numPr>
          <w:ilvl w:val="0"/>
          <w:numId w:val="3"/>
        </w:numPr>
        <w:jc w:val="both"/>
      </w:pPr>
      <w:r>
        <w:t>Sadarbība un konsultācijas ar speciālistiem Lietuvā.</w:t>
      </w:r>
    </w:p>
    <w:p w14:paraId="01EE15F2" w14:textId="77777777" w:rsidR="0037024E" w:rsidRDefault="0037024E" w:rsidP="0037024E">
      <w:pPr>
        <w:jc w:val="both"/>
        <w:rPr>
          <w:b/>
        </w:rPr>
      </w:pPr>
      <w:r w:rsidRPr="0037024E">
        <w:rPr>
          <w:b/>
        </w:rPr>
        <w:t>Sa</w:t>
      </w:r>
      <w:r>
        <w:rPr>
          <w:b/>
        </w:rPr>
        <w:t>nāksmes ar Pasūtītāju</w:t>
      </w:r>
    </w:p>
    <w:p w14:paraId="25CCA61B" w14:textId="77777777" w:rsidR="0037024E" w:rsidRDefault="0037024E" w:rsidP="0037024E">
      <w:pPr>
        <w:jc w:val="both"/>
      </w:pPr>
      <w:r>
        <w:t>Līguma nosacījumi ietvēra vismaz divu sanāksmju organizēšanu Pasūtītājam ar Izpildītāju, lai konsultētos</w:t>
      </w:r>
      <w:r w:rsidRPr="0037024E">
        <w:t xml:space="preserve"> ar Pasūtītāju par darba uzdevuma izpildi, informēt Pasūtītāju par darba uzdevuma izpildes gaitu</w:t>
      </w:r>
      <w:r>
        <w:t>.</w:t>
      </w:r>
    </w:p>
    <w:p w14:paraId="370D0E56" w14:textId="77777777" w:rsidR="0037024E" w:rsidRDefault="0037024E" w:rsidP="00E17E73">
      <w:pPr>
        <w:pStyle w:val="ListParagraph"/>
        <w:numPr>
          <w:ilvl w:val="0"/>
          <w:numId w:val="3"/>
        </w:numPr>
        <w:jc w:val="both"/>
      </w:pPr>
      <w:r>
        <w:t>Pirmā sanāksme realizēta 2020. gada 11. jūnijā (tiešsaistē);</w:t>
      </w:r>
    </w:p>
    <w:p w14:paraId="0AEBD063" w14:textId="77777777" w:rsidR="0037024E" w:rsidRDefault="0037024E" w:rsidP="00E17E73">
      <w:pPr>
        <w:pStyle w:val="ListParagraph"/>
        <w:numPr>
          <w:ilvl w:val="0"/>
          <w:numId w:val="3"/>
        </w:numPr>
        <w:jc w:val="both"/>
      </w:pPr>
      <w:r>
        <w:t>Otrā sanāksme realizēta 2020. gada 16. septembrī</w:t>
      </w:r>
      <w:r w:rsidR="004338F8">
        <w:t>, tiekoties klātienē;</w:t>
      </w:r>
    </w:p>
    <w:p w14:paraId="13A622F6" w14:textId="77777777" w:rsidR="0037024E" w:rsidRDefault="0037024E" w:rsidP="0037024E">
      <w:pPr>
        <w:jc w:val="both"/>
      </w:pPr>
      <w:r>
        <w:lastRenderedPageBreak/>
        <w:t>Papildus tam notika arī sarakste ar Pasūtītāja pārstāvjiem, atbildot uz aktuālajiem jautājumiem vai sniedzot atbilstošus skaidrojumus.</w:t>
      </w:r>
    </w:p>
    <w:p w14:paraId="6797E54C" w14:textId="77777777" w:rsidR="0037024E" w:rsidRDefault="0037024E" w:rsidP="0037024E">
      <w:pPr>
        <w:jc w:val="both"/>
        <w:rPr>
          <w:b/>
        </w:rPr>
      </w:pPr>
      <w:r>
        <w:rPr>
          <w:b/>
        </w:rPr>
        <w:t>Gala pārskata sagatavošana</w:t>
      </w:r>
    </w:p>
    <w:p w14:paraId="49447BB6" w14:textId="77777777" w:rsidR="0037024E" w:rsidRDefault="004338F8" w:rsidP="0037024E">
      <w:pPr>
        <w:jc w:val="both"/>
      </w:pPr>
      <w:r>
        <w:t>Pēc augstāk uzskaitīto aktivitāšu realizēšanas, visi darbu gaitā iegūtie dati apkopoti šajā pārskatā, tajā skaitā, bet ne tikai:</w:t>
      </w:r>
    </w:p>
    <w:p w14:paraId="634ACC8F" w14:textId="77777777" w:rsidR="00B53F69" w:rsidRDefault="00B53F69" w:rsidP="00E17E73">
      <w:pPr>
        <w:pStyle w:val="ListParagraph"/>
        <w:numPr>
          <w:ilvl w:val="0"/>
          <w:numId w:val="3"/>
        </w:numPr>
        <w:jc w:val="both"/>
      </w:pPr>
      <w:proofErr w:type="spellStart"/>
      <w:r w:rsidRPr="00B53F69">
        <w:t>izvērtējums</w:t>
      </w:r>
      <w:proofErr w:type="spellEnd"/>
      <w:r w:rsidRPr="00B53F69">
        <w:t xml:space="preserve"> par pašreizējo regulējumu un citu valstu pieredzi attiecībā uz pazemes ūdeņu stāvokļa novērtēšanu un pazemes ūdeņu attīrīšanu piesārņotās vietās</w:t>
      </w:r>
      <w:r>
        <w:t>;</w:t>
      </w:r>
    </w:p>
    <w:p w14:paraId="479662D0" w14:textId="77777777" w:rsidR="004338F8" w:rsidRPr="004338F8" w:rsidRDefault="00B53F69" w:rsidP="00E17E73">
      <w:pPr>
        <w:pStyle w:val="ListParagraph"/>
        <w:numPr>
          <w:ilvl w:val="0"/>
          <w:numId w:val="3"/>
        </w:numPr>
        <w:jc w:val="both"/>
      </w:pPr>
      <w:r w:rsidRPr="00522DFF">
        <w:rPr>
          <w:color w:val="000000" w:themeColor="text1"/>
          <w:szCs w:val="24"/>
        </w:rPr>
        <w:t>priekšlikumi izmaiņām prasībās pazemes ūdeņu attīrīšanai piesārņotās vietās un priekšlikumi izmaiņām normatīvos un parametru vērtībās pazemes ūdeņu stāvokļa novērtēšanai piesārņotās vietās, ņemot vērā VVD ekspertu rekomendācijas</w:t>
      </w:r>
      <w:r w:rsidR="004338F8">
        <w:rPr>
          <w:szCs w:val="24"/>
        </w:rPr>
        <w:t>.</w:t>
      </w:r>
    </w:p>
    <w:p w14:paraId="6F59AFBC" w14:textId="77777777" w:rsidR="004338F8" w:rsidRDefault="004338F8">
      <w:r>
        <w:br w:type="page"/>
      </w:r>
    </w:p>
    <w:p w14:paraId="5EB7A7E5" w14:textId="77777777" w:rsidR="00466EE0" w:rsidRDefault="00466EE0" w:rsidP="00CD492A"/>
    <w:p w14:paraId="46B0EBE9" w14:textId="77777777" w:rsidR="001C0AB1" w:rsidRDefault="001C0AB1" w:rsidP="00CD492A"/>
    <w:p w14:paraId="0C571CD2" w14:textId="77777777" w:rsidR="00466EE0" w:rsidRDefault="00B53F69" w:rsidP="00E17E73">
      <w:pPr>
        <w:pStyle w:val="Heading1"/>
        <w:numPr>
          <w:ilvl w:val="0"/>
          <w:numId w:val="1"/>
        </w:numPr>
      </w:pPr>
      <w:bookmarkStart w:id="5" w:name="_Toc59326486"/>
      <w:r>
        <w:t xml:space="preserve">ESOŠĀ </w:t>
      </w:r>
      <w:r w:rsidR="00C666A6">
        <w:t xml:space="preserve">SITUĀCIJA UN </w:t>
      </w:r>
      <w:r>
        <w:t>NORMATĪVĀ REGULĒJUMA IZVĒRTĒJUMS</w:t>
      </w:r>
      <w:bookmarkEnd w:id="5"/>
    </w:p>
    <w:p w14:paraId="04F9493C" w14:textId="77777777" w:rsidR="00D07D91" w:rsidRDefault="00D07D91" w:rsidP="00D07D91"/>
    <w:p w14:paraId="6A7B24F6" w14:textId="77777777" w:rsidR="007956CE" w:rsidRDefault="00B53F69" w:rsidP="00D07D91">
      <w:pPr>
        <w:jc w:val="both"/>
      </w:pPr>
      <w:r>
        <w:t>Šobrīd spēkā esošais normatīvais regulējums, kas nosaka p</w:t>
      </w:r>
      <w:r w:rsidRPr="00B53F69">
        <w:t>azemes ūdeņu kvalitātes normatīvu</w:t>
      </w:r>
      <w:r w:rsidR="007956CE">
        <w:t>s un prasības</w:t>
      </w:r>
      <w:r w:rsidRPr="00B53F69">
        <w:t xml:space="preserve"> pazemes ūdeņu attīrīšanai piesārņotās vietās</w:t>
      </w:r>
      <w:r w:rsidR="007956CE">
        <w:t xml:space="preserve"> balstīts pamatā uz:</w:t>
      </w:r>
    </w:p>
    <w:p w14:paraId="1145EAFB" w14:textId="77777777" w:rsidR="00B53F69" w:rsidRDefault="007956CE" w:rsidP="00E17E73">
      <w:pPr>
        <w:pStyle w:val="ListParagraph"/>
        <w:numPr>
          <w:ilvl w:val="0"/>
          <w:numId w:val="3"/>
        </w:numPr>
        <w:jc w:val="both"/>
      </w:pPr>
      <w:r>
        <w:t xml:space="preserve">likumu Par piesārņojumu </w:t>
      </w:r>
      <w:sdt>
        <w:sdtPr>
          <w:id w:val="-1621141316"/>
          <w:citation/>
        </w:sdtPr>
        <w:sdtEndPr/>
        <w:sdtContent>
          <w:r>
            <w:fldChar w:fldCharType="begin"/>
          </w:r>
          <w:r>
            <w:instrText xml:space="preserve"> CITATION LIk_par_pies \l 1062 </w:instrText>
          </w:r>
          <w:r>
            <w:fldChar w:fldCharType="separate"/>
          </w:r>
          <w:r w:rsidR="009950D4" w:rsidRPr="009950D4">
            <w:rPr>
              <w:noProof/>
            </w:rPr>
            <w:t>[1]</w:t>
          </w:r>
          <w:r>
            <w:fldChar w:fldCharType="end"/>
          </w:r>
        </w:sdtContent>
      </w:sdt>
      <w:r w:rsidR="00B76EB0">
        <w:t xml:space="preserve">, uz kā pamata ir izdoti saistoši Ministru Kabineta </w:t>
      </w:r>
      <w:r w:rsidR="00B319E9">
        <w:t xml:space="preserve">(MK) </w:t>
      </w:r>
      <w:r w:rsidR="00B76EB0">
        <w:t>noteikumi</w:t>
      </w:r>
      <w:r>
        <w:t>;</w:t>
      </w:r>
    </w:p>
    <w:p w14:paraId="42544B17" w14:textId="77777777" w:rsidR="00B76EB0" w:rsidRDefault="00B76EB0" w:rsidP="00E17E73">
      <w:pPr>
        <w:pStyle w:val="ListParagraph"/>
        <w:numPr>
          <w:ilvl w:val="1"/>
          <w:numId w:val="3"/>
        </w:numPr>
        <w:jc w:val="both"/>
      </w:pPr>
      <w:r>
        <w:t>2002. gada 12. marta MK noteikumi Nr. 118 “</w:t>
      </w:r>
      <w:r w:rsidRPr="00B76EB0">
        <w:t>Noteikumi par virszemes un pazemes ūdeņu kvalitāti</w:t>
      </w:r>
      <w:r>
        <w:t>”</w:t>
      </w:r>
      <w:sdt>
        <w:sdtPr>
          <w:id w:val="13896398"/>
          <w:citation/>
        </w:sdtPr>
        <w:sdtEndPr/>
        <w:sdtContent>
          <w:r w:rsidR="00AB0ECB">
            <w:fldChar w:fldCharType="begin"/>
          </w:r>
          <w:r w:rsidR="00AB0ECB">
            <w:instrText xml:space="preserve"> CITATION MK_Not_118 \l 1062 </w:instrText>
          </w:r>
          <w:r w:rsidR="00AB0ECB">
            <w:fldChar w:fldCharType="separate"/>
          </w:r>
          <w:r w:rsidR="009950D4">
            <w:rPr>
              <w:noProof/>
            </w:rPr>
            <w:t xml:space="preserve"> </w:t>
          </w:r>
          <w:r w:rsidR="009950D4" w:rsidRPr="009950D4">
            <w:rPr>
              <w:noProof/>
            </w:rPr>
            <w:t>[2]</w:t>
          </w:r>
          <w:r w:rsidR="00AB0ECB">
            <w:fldChar w:fldCharType="end"/>
          </w:r>
        </w:sdtContent>
      </w:sdt>
      <w:r w:rsidR="00B319E9">
        <w:t>;</w:t>
      </w:r>
    </w:p>
    <w:p w14:paraId="36D19C21" w14:textId="77777777" w:rsidR="00B319E9" w:rsidRDefault="00B319E9" w:rsidP="00E17E73">
      <w:pPr>
        <w:pStyle w:val="ListParagraph"/>
        <w:numPr>
          <w:ilvl w:val="1"/>
          <w:numId w:val="3"/>
        </w:numPr>
        <w:jc w:val="both"/>
      </w:pPr>
      <w:r>
        <w:t>2011. gada 27. decembra MK noteikumi Nr. 1032 “</w:t>
      </w:r>
      <w:r w:rsidRPr="00B319E9">
        <w:t>Atkritumu poligonu ierīkošanas, atkritumu poligonu un izgāztuvju apsaimniekošanas, slēgšanas un rekultivācijas noteikumi</w:t>
      </w:r>
      <w:r>
        <w:t>”</w:t>
      </w:r>
      <w:sdt>
        <w:sdtPr>
          <w:id w:val="-1461262939"/>
          <w:citation/>
        </w:sdtPr>
        <w:sdtEndPr/>
        <w:sdtContent>
          <w:r>
            <w:fldChar w:fldCharType="begin"/>
          </w:r>
          <w:r>
            <w:instrText xml:space="preserve">CITATION Minds \l 1062 </w:instrText>
          </w:r>
          <w:r>
            <w:fldChar w:fldCharType="separate"/>
          </w:r>
          <w:r w:rsidR="009950D4">
            <w:rPr>
              <w:noProof/>
            </w:rPr>
            <w:t xml:space="preserve"> </w:t>
          </w:r>
          <w:r w:rsidR="009950D4" w:rsidRPr="009950D4">
            <w:rPr>
              <w:noProof/>
            </w:rPr>
            <w:t>[3]</w:t>
          </w:r>
          <w:r>
            <w:fldChar w:fldCharType="end"/>
          </w:r>
        </w:sdtContent>
      </w:sdt>
      <w:r>
        <w:t>;</w:t>
      </w:r>
    </w:p>
    <w:p w14:paraId="225F719C" w14:textId="77777777" w:rsidR="00B76EB0" w:rsidRDefault="00B76EB0" w:rsidP="00E17E73">
      <w:pPr>
        <w:pStyle w:val="ListParagraph"/>
        <w:numPr>
          <w:ilvl w:val="1"/>
          <w:numId w:val="3"/>
        </w:numPr>
        <w:jc w:val="both"/>
      </w:pPr>
      <w:r>
        <w:t>2005. gada 25. oktobra marta MK noteikumi Nr. 804 “</w:t>
      </w:r>
      <w:r w:rsidRPr="00B76EB0">
        <w:t>Noteikumi par augsnes un grunts kvalitātes normatīviem</w:t>
      </w:r>
      <w:r>
        <w:t>”</w:t>
      </w:r>
      <w:sdt>
        <w:sdtPr>
          <w:id w:val="525226548"/>
          <w:citation/>
        </w:sdtPr>
        <w:sdtEndPr/>
        <w:sdtContent>
          <w:r w:rsidR="00AB0ECB">
            <w:fldChar w:fldCharType="begin"/>
          </w:r>
          <w:r w:rsidR="00AB0ECB">
            <w:instrText xml:space="preserve"> CITATION MK_804 \l 1062 </w:instrText>
          </w:r>
          <w:r w:rsidR="00AB0ECB">
            <w:fldChar w:fldCharType="separate"/>
          </w:r>
          <w:r w:rsidR="009950D4">
            <w:rPr>
              <w:noProof/>
            </w:rPr>
            <w:t xml:space="preserve"> </w:t>
          </w:r>
          <w:r w:rsidR="009950D4" w:rsidRPr="009950D4">
            <w:rPr>
              <w:noProof/>
            </w:rPr>
            <w:t>[4]</w:t>
          </w:r>
          <w:r w:rsidR="00AB0ECB">
            <w:fldChar w:fldCharType="end"/>
          </w:r>
        </w:sdtContent>
      </w:sdt>
      <w:r w:rsidR="00AB0ECB">
        <w:t>, kas tiešā veidā neattiecas uz pētījuma tēmu, tomēr ir saistīti ar to.</w:t>
      </w:r>
    </w:p>
    <w:p w14:paraId="42963C6C" w14:textId="77777777" w:rsidR="007956CE" w:rsidRDefault="007956CE" w:rsidP="00E17E73">
      <w:pPr>
        <w:pStyle w:val="ListParagraph"/>
        <w:numPr>
          <w:ilvl w:val="0"/>
          <w:numId w:val="3"/>
        </w:numPr>
        <w:jc w:val="both"/>
      </w:pPr>
      <w:r>
        <w:t xml:space="preserve">Vides aizsardzības likumu </w:t>
      </w:r>
      <w:sdt>
        <w:sdtPr>
          <w:id w:val="1398393741"/>
          <w:citation/>
        </w:sdtPr>
        <w:sdtEndPr/>
        <w:sdtContent>
          <w:r>
            <w:fldChar w:fldCharType="begin"/>
          </w:r>
          <w:r>
            <w:instrText xml:space="preserve"> CITATION Lik_Vid_Aizsardz \l 1062 </w:instrText>
          </w:r>
          <w:r>
            <w:fldChar w:fldCharType="separate"/>
          </w:r>
          <w:r w:rsidR="009950D4" w:rsidRPr="009950D4">
            <w:rPr>
              <w:noProof/>
            </w:rPr>
            <w:t>[5]</w:t>
          </w:r>
          <w:r>
            <w:fldChar w:fldCharType="end"/>
          </w:r>
        </w:sdtContent>
      </w:sdt>
      <w:r w:rsidR="00AB0ECB">
        <w:t>,</w:t>
      </w:r>
      <w:r w:rsidR="00AB0ECB" w:rsidRPr="00AB0ECB">
        <w:t xml:space="preserve"> </w:t>
      </w:r>
      <w:r w:rsidR="00AB0ECB">
        <w:t>uz kā pamata ir izdoti saistoši Ministru Kabineta noteikumi:</w:t>
      </w:r>
    </w:p>
    <w:p w14:paraId="1898D168" w14:textId="77777777" w:rsidR="00B319E9" w:rsidRDefault="00B319E9" w:rsidP="00E17E73">
      <w:pPr>
        <w:pStyle w:val="ListParagraph"/>
        <w:numPr>
          <w:ilvl w:val="1"/>
          <w:numId w:val="3"/>
        </w:numPr>
        <w:jc w:val="both"/>
      </w:pPr>
      <w:r>
        <w:rPr>
          <w:rFonts w:ascii="Arial" w:hAnsi="Arial" w:cs="Arial"/>
          <w:color w:val="414142"/>
          <w:sz w:val="20"/>
          <w:szCs w:val="20"/>
          <w:shd w:val="clear" w:color="auto" w:fill="FFFFFF"/>
        </w:rPr>
        <w:t>2007.</w:t>
      </w:r>
      <w:r>
        <w:t> </w:t>
      </w:r>
      <w:r>
        <w:rPr>
          <w:rFonts w:ascii="Arial" w:hAnsi="Arial" w:cs="Arial"/>
          <w:color w:val="414142"/>
          <w:sz w:val="20"/>
          <w:szCs w:val="20"/>
          <w:shd w:val="clear" w:color="auto" w:fill="FFFFFF"/>
        </w:rPr>
        <w:t xml:space="preserve">gada 24. aprīļa </w:t>
      </w:r>
      <w:r>
        <w:t>MK noteikumi Nr. 281 “</w:t>
      </w:r>
      <w:r w:rsidRPr="00AB0ECB">
        <w:t>Noteikumi par preventīvajiem un sanācijas pasākumiem un kārtību, kādā novērtējams kaitējums videi un aprēķināmas preventīvo, neatliekamo un sanācijas pasākumu izmaksas</w:t>
      </w:r>
      <w:r>
        <w:t>”</w:t>
      </w:r>
      <w:sdt>
        <w:sdtPr>
          <w:id w:val="-592624659"/>
          <w:citation/>
        </w:sdtPr>
        <w:sdtEndPr/>
        <w:sdtContent>
          <w:r>
            <w:fldChar w:fldCharType="begin"/>
          </w:r>
          <w:r>
            <w:instrText xml:space="preserve">CITATION Min07 \l 1062 </w:instrText>
          </w:r>
          <w:r>
            <w:fldChar w:fldCharType="separate"/>
          </w:r>
          <w:r w:rsidR="009950D4">
            <w:rPr>
              <w:noProof/>
            </w:rPr>
            <w:t xml:space="preserve"> </w:t>
          </w:r>
          <w:r w:rsidR="009950D4" w:rsidRPr="009950D4">
            <w:rPr>
              <w:noProof/>
            </w:rPr>
            <w:t>[6]</w:t>
          </w:r>
          <w:r>
            <w:fldChar w:fldCharType="end"/>
          </w:r>
        </w:sdtContent>
      </w:sdt>
      <w:r>
        <w:t>;</w:t>
      </w:r>
    </w:p>
    <w:p w14:paraId="39A631E9" w14:textId="77777777" w:rsidR="00B319E9" w:rsidRDefault="00B319E9" w:rsidP="00E17E73">
      <w:pPr>
        <w:pStyle w:val="ListParagraph"/>
        <w:numPr>
          <w:ilvl w:val="1"/>
          <w:numId w:val="3"/>
        </w:numPr>
        <w:jc w:val="both"/>
      </w:pPr>
      <w:r>
        <w:t>2009. gada 17. februāra MK noteikumi Nr. 158 “</w:t>
      </w:r>
      <w:r w:rsidRPr="00B76EB0">
        <w:t>Noteikumi par prasībām attiecībā uz vides monitoringu un tā veikšanas kārtību, piesārņojošo vielu reģistra izveidi un informācijas pieejamību sabiedrībai</w:t>
      </w:r>
      <w:r>
        <w:t>”</w:t>
      </w:r>
      <w:sdt>
        <w:sdtPr>
          <w:id w:val="1786158070"/>
          <w:citation/>
        </w:sdtPr>
        <w:sdtEndPr/>
        <w:sdtContent>
          <w:r>
            <w:fldChar w:fldCharType="begin"/>
          </w:r>
          <w:r>
            <w:instrText xml:space="preserve"> CITATION Min09 \l 1062 </w:instrText>
          </w:r>
          <w:r>
            <w:fldChar w:fldCharType="separate"/>
          </w:r>
          <w:r w:rsidR="009950D4">
            <w:rPr>
              <w:noProof/>
            </w:rPr>
            <w:t xml:space="preserve"> </w:t>
          </w:r>
          <w:r w:rsidR="009950D4" w:rsidRPr="009950D4">
            <w:rPr>
              <w:noProof/>
            </w:rPr>
            <w:t>[7]</w:t>
          </w:r>
          <w:r>
            <w:fldChar w:fldCharType="end"/>
          </w:r>
        </w:sdtContent>
      </w:sdt>
      <w:r>
        <w:t>.</w:t>
      </w:r>
    </w:p>
    <w:p w14:paraId="37D59B26" w14:textId="77777777" w:rsidR="00AB0ECB" w:rsidRDefault="005B27CD" w:rsidP="005B27CD">
      <w:pPr>
        <w:jc w:val="both"/>
      </w:pPr>
      <w:r>
        <w:t>Kopumā likums “Par piesārņojumu”</w:t>
      </w:r>
      <w:sdt>
        <w:sdtPr>
          <w:id w:val="1626730516"/>
          <w:citation/>
        </w:sdtPr>
        <w:sdtEndPr/>
        <w:sdtContent>
          <w:r>
            <w:fldChar w:fldCharType="begin"/>
          </w:r>
          <w:r>
            <w:instrText xml:space="preserve"> CITATION LIk_par_pies \l 1062 </w:instrText>
          </w:r>
          <w:r>
            <w:fldChar w:fldCharType="separate"/>
          </w:r>
          <w:r w:rsidR="009950D4">
            <w:rPr>
              <w:noProof/>
            </w:rPr>
            <w:t xml:space="preserve"> </w:t>
          </w:r>
          <w:r w:rsidR="009950D4" w:rsidRPr="009950D4">
            <w:rPr>
              <w:noProof/>
            </w:rPr>
            <w:t>[1]</w:t>
          </w:r>
          <w:r>
            <w:fldChar w:fldCharType="end"/>
          </w:r>
        </w:sdtContent>
      </w:sdt>
      <w:r w:rsidR="00BE7DBA">
        <w:t>, kura mērķis ir:</w:t>
      </w:r>
      <w:r>
        <w:t xml:space="preserve"> </w:t>
      </w:r>
      <w:r w:rsidR="00BE7DBA">
        <w:t>“N</w:t>
      </w:r>
      <w:r w:rsidR="00BE7DBA" w:rsidRPr="00BE7DBA">
        <w:t>ovērst vai mazināt piesārņojuma dēļ cilvēku veselībai, īpašumam un videi nodarīto kaitējumu, novērst kaitējuma radītās sekas, kā arī</w:t>
      </w:r>
      <w:r w:rsidR="00BE7DBA">
        <w:t>: 1)</w:t>
      </w:r>
      <w:r w:rsidR="00BE7DBA" w:rsidRPr="00BE7DBA">
        <w:t xml:space="preserve"> novērst piesārņojošu darbību izraisīta piesārņojuma rašanos vai, ja tas nav iespējams, samazināt emisiju augsnē, ūdenī un gaisā</w:t>
      </w:r>
      <w:r w:rsidR="00BE7DBA">
        <w:t>; ...</w:t>
      </w:r>
      <w:r w:rsidR="00BE7DBA" w:rsidRPr="00BE7DBA">
        <w:t xml:space="preserve"> </w:t>
      </w:r>
      <w:r w:rsidR="00BE7DBA">
        <w:t xml:space="preserve">5) </w:t>
      </w:r>
      <w:r w:rsidR="00BE7DBA" w:rsidRPr="00BE7DBA">
        <w:t>noteikt pasākumus piesārņotu</w:t>
      </w:r>
      <w:r w:rsidR="00C03AE9">
        <w:t xml:space="preserve"> vietu (PV)</w:t>
      </w:r>
      <w:r w:rsidR="00BE7DBA" w:rsidRPr="00BE7DBA">
        <w:t xml:space="preserve"> un potenciāli piesārņotu vietu</w:t>
      </w:r>
      <w:r w:rsidR="00C03AE9">
        <w:t xml:space="preserve"> (PPV)</w:t>
      </w:r>
      <w:r w:rsidR="00BE7DBA" w:rsidRPr="00BE7DBA">
        <w:t xml:space="preserve"> izpētei un piesārņotu vietu sanācijai</w:t>
      </w:r>
      <w:r w:rsidR="00BE7DBA">
        <w:t xml:space="preserve">; ...”, </w:t>
      </w:r>
      <w:r>
        <w:t xml:space="preserve">regulē kārtību kādā tiek veikta izpēte piesārņotās un potenciāli piesārņotās vietās, kā arī sanācija piesārņotās vietās. Kas attiecas uz prasībām pazemes </w:t>
      </w:r>
      <w:r w:rsidRPr="005B27CD">
        <w:t>ūdeņu stāvokļa novērtēšanai un prasībām pazemes ūdeņu attīrīšanai piesārņotās vietās</w:t>
      </w:r>
      <w:r>
        <w:t xml:space="preserve">, to detalizētāk nosaka MK noteikumos Nr. 118 minētās prasības, konkrētāk šo noteikumu VI un VIII daļa, kā arī </w:t>
      </w:r>
      <w:r w:rsidR="00BE7DBA">
        <w:t xml:space="preserve">10. pielikuma 1. un 2. tabula. Papildus tam Vides aizsardzības likums </w:t>
      </w:r>
      <w:sdt>
        <w:sdtPr>
          <w:id w:val="-1230070064"/>
          <w:citation/>
        </w:sdtPr>
        <w:sdtEndPr/>
        <w:sdtContent>
          <w:r w:rsidR="00BE7DBA">
            <w:fldChar w:fldCharType="begin"/>
          </w:r>
          <w:r w:rsidR="00BE7DBA">
            <w:instrText xml:space="preserve"> CITATION Lik_Vid_Aizsardz \l 1062 </w:instrText>
          </w:r>
          <w:r w:rsidR="00BE7DBA">
            <w:fldChar w:fldCharType="separate"/>
          </w:r>
          <w:r w:rsidR="009950D4" w:rsidRPr="009950D4">
            <w:rPr>
              <w:noProof/>
            </w:rPr>
            <w:t>[5]</w:t>
          </w:r>
          <w:r w:rsidR="00BE7DBA">
            <w:fldChar w:fldCharType="end"/>
          </w:r>
        </w:sdtContent>
      </w:sdt>
      <w:r w:rsidR="00BE7DBA">
        <w:t>, kura mērķis ir: ”</w:t>
      </w:r>
      <w:r w:rsidR="00BE7DBA" w:rsidRPr="00BE7DBA">
        <w:t>(1) Likuma mērķis ir nodrošināt vides kvalitātes saglabāšanu un atjaunošanu, kā arī dabas resursu ilgtspējīgu izmantošanu.</w:t>
      </w:r>
      <w:r w:rsidR="00BE7DBA">
        <w:t xml:space="preserve"> ...”, regulē kārtību kādā nosaka sanācijas mēr</w:t>
      </w:r>
      <w:r w:rsidR="00787C78">
        <w:t>ķus un metodes un realizē sanāciju, kā arī kārtību un prasības vides monitoringam, to detalizēti atrunājot attiecīgi MK noteikumos Nr. 281</w:t>
      </w:r>
      <w:sdt>
        <w:sdtPr>
          <w:id w:val="1163119449"/>
          <w:citation/>
        </w:sdtPr>
        <w:sdtEndPr/>
        <w:sdtContent>
          <w:r w:rsidR="00787C78">
            <w:fldChar w:fldCharType="begin"/>
          </w:r>
          <w:r w:rsidR="00787C78">
            <w:instrText xml:space="preserve"> CITATION Min07 \l 1062 </w:instrText>
          </w:r>
          <w:r w:rsidR="00787C78">
            <w:fldChar w:fldCharType="separate"/>
          </w:r>
          <w:r w:rsidR="009950D4">
            <w:rPr>
              <w:noProof/>
            </w:rPr>
            <w:t xml:space="preserve"> </w:t>
          </w:r>
          <w:r w:rsidR="009950D4" w:rsidRPr="009950D4">
            <w:rPr>
              <w:noProof/>
            </w:rPr>
            <w:t>[6]</w:t>
          </w:r>
          <w:r w:rsidR="00787C78">
            <w:fldChar w:fldCharType="end"/>
          </w:r>
        </w:sdtContent>
      </w:sdt>
      <w:r w:rsidR="00787C78">
        <w:t xml:space="preserve"> un 158</w:t>
      </w:r>
      <w:sdt>
        <w:sdtPr>
          <w:id w:val="-1673950558"/>
          <w:citation/>
        </w:sdtPr>
        <w:sdtEndPr/>
        <w:sdtContent>
          <w:r w:rsidR="00787C78">
            <w:fldChar w:fldCharType="begin"/>
          </w:r>
          <w:r w:rsidR="00787C78">
            <w:instrText xml:space="preserve"> CITATION Min09 \l 1062 </w:instrText>
          </w:r>
          <w:r w:rsidR="00787C78">
            <w:fldChar w:fldCharType="separate"/>
          </w:r>
          <w:r w:rsidR="009950D4">
            <w:rPr>
              <w:noProof/>
            </w:rPr>
            <w:t xml:space="preserve"> </w:t>
          </w:r>
          <w:r w:rsidR="009950D4" w:rsidRPr="009950D4">
            <w:rPr>
              <w:noProof/>
            </w:rPr>
            <w:t>[7]</w:t>
          </w:r>
          <w:r w:rsidR="00787C78">
            <w:fldChar w:fldCharType="end"/>
          </w:r>
        </w:sdtContent>
      </w:sdt>
      <w:r w:rsidR="00787C78">
        <w:t>.</w:t>
      </w:r>
    </w:p>
    <w:p w14:paraId="18ADE30A" w14:textId="77777777" w:rsidR="00787C78" w:rsidRDefault="00787C78" w:rsidP="00157E75">
      <w:pPr>
        <w:jc w:val="both"/>
      </w:pPr>
      <w:r>
        <w:t xml:space="preserve">Veicot iepriekš minētā normatīvā regulējuma analīzi, izgaismojas vairāki būtiski aspekti, kas padara problemātisku šī regulējuma taisnīgu un konsekventu pielietošanu, kā arī ļauj interpretēt regulējumā izvirzītās prasības atkarībā no situācijas un manipulēt ar neviennozīmīgi definētām prasībām. </w:t>
      </w:r>
    </w:p>
    <w:p w14:paraId="61EBAF21" w14:textId="77777777" w:rsidR="008C5A4B" w:rsidRPr="00C03AE9" w:rsidRDefault="00C03AE9" w:rsidP="00EB44DD">
      <w:pPr>
        <w:jc w:val="both"/>
        <w:rPr>
          <w:b/>
          <w:i/>
        </w:rPr>
      </w:pPr>
      <w:r>
        <w:rPr>
          <w:b/>
          <w:i/>
        </w:rPr>
        <w:t>Neviennozīmīgi interpretējams regulējums, metodikas trūkums</w:t>
      </w:r>
    </w:p>
    <w:p w14:paraId="29AA5D2E" w14:textId="77777777" w:rsidR="00D07D91" w:rsidRDefault="004162F8" w:rsidP="00C72217">
      <w:pPr>
        <w:jc w:val="both"/>
      </w:pPr>
      <w:r>
        <w:t>Viens no būtiskākajiem aspektiem ir tas, ka, lai arī kopumā regul</w:t>
      </w:r>
      <w:r w:rsidR="00B070F0">
        <w:t xml:space="preserve">ējums ietver pazemes ūdeņu kvalitātes normatīvus un </w:t>
      </w:r>
      <w:r w:rsidR="00776107">
        <w:t xml:space="preserve">prasības to attīrīšanai, </w:t>
      </w:r>
      <w:r w:rsidR="00157E75">
        <w:t xml:space="preserve">tas aprobežojas faktiski tikai ar </w:t>
      </w:r>
      <w:proofErr w:type="spellStart"/>
      <w:r w:rsidR="00157E75">
        <w:t>mērķlielumu</w:t>
      </w:r>
      <w:proofErr w:type="spellEnd"/>
      <w:r w:rsidR="00157E75">
        <w:t xml:space="preserve"> un robežlielumu definējumu atsevišķām vielām/vielu savienojumiem, kā arī ar definējumu, ar kādiem nosacījumiem ir jāveic sanācija un prasības ūdens attīrīšanai, kas definētas kā atsevišķu parametru minimālais procentuālais samazinājums. Tomēr šis regulējums nekādā veidā nenosaka pat minimālās prasības, piemēram, izpētes apjomiem un metodēm, lai veiktu pazemes ūdeņu stāvokļa novērtēšanu.</w:t>
      </w:r>
      <w:r w:rsidR="008C5A4B">
        <w:t xml:space="preserve"> </w:t>
      </w:r>
    </w:p>
    <w:p w14:paraId="07C57F89" w14:textId="77777777" w:rsidR="001C0AB1" w:rsidRDefault="001C0AB1" w:rsidP="00C72217">
      <w:pPr>
        <w:jc w:val="both"/>
        <w:rPr>
          <w:b/>
          <w:i/>
        </w:rPr>
      </w:pPr>
    </w:p>
    <w:p w14:paraId="3EBA6BBC" w14:textId="77777777" w:rsidR="00EB44DD" w:rsidRPr="00C03AE9" w:rsidRDefault="00C03AE9" w:rsidP="00C72217">
      <w:pPr>
        <w:jc w:val="both"/>
        <w:rPr>
          <w:b/>
          <w:i/>
        </w:rPr>
      </w:pPr>
      <w:r w:rsidRPr="00C03AE9">
        <w:rPr>
          <w:b/>
          <w:i/>
        </w:rPr>
        <w:lastRenderedPageBreak/>
        <w:t>Vienotas pieejas trūkums prasībām augsnes un grunts kvalitātes normatīviem</w:t>
      </w:r>
    </w:p>
    <w:p w14:paraId="10C3D148" w14:textId="77777777" w:rsidR="00157E75" w:rsidRDefault="00C03AE9" w:rsidP="00C72217">
      <w:pPr>
        <w:jc w:val="both"/>
      </w:pPr>
      <w:r>
        <w:t>Pašreiz regulējumam nav tiešas sasaistes ar augsnes un grunts kvalitātes regulējumu. Ja augsnes un grunts izpētei PV un PPV ir noteiktas prasības paraugu ņemšanas dziļumam (vienlaikus neizvirzot prasības paraugu daudzumam, atkarībā no pētāmās platības (izņemot augsni)), tad pazemes ūdens kvalitātes noteikšanai šādu prasību nav, kas praksē rezultējas kā nekvalitatīvi veikti izpētes darbi ar nepietiekamu iegūto</w:t>
      </w:r>
      <w:r w:rsidR="00BF0910">
        <w:t xml:space="preserve"> datu apjomu, lai veiktu pazemes ūdeņu attīrīšanu. </w:t>
      </w:r>
      <w:r w:rsidR="00161B5C">
        <w:t>Būtiski atšķirīga pieeja augsnes un grunts un pazemes ūdeņu regulējumam ir arī prasībām, kuras jāizpilda, ja kāda viela pārsniedz kritisko robežlielumu. MK noteikumu Nr. 118 26.2 punkts nosaka, ka, ja “</w:t>
      </w:r>
      <w:r w:rsidR="00161B5C" w:rsidRPr="00161B5C">
        <w:rPr>
          <w:u w:val="single"/>
        </w:rPr>
        <w:t>piesārņojuma līmenis pārsniedz robežlielumu</w:t>
      </w:r>
      <w:r w:rsidR="00161B5C" w:rsidRPr="00161B5C">
        <w:t xml:space="preserve">, tad, ņemot vērā ģeoloģiskos, hidroģeoloģiskos, hidrodinamiskos apstākļus un antropogēnās iedarbības radīto slodzi attiecīgajā teritorijā, novērtē, vai vides sanācija ir nepieciešama un tehniski iespējama bez tādu pasākumu īstenošanas, kuri paaugstinātu apdraudējumu cilvēku veselībai vai videi, kā arī </w:t>
      </w:r>
      <w:r w:rsidR="00161B5C" w:rsidRPr="00161B5C">
        <w:rPr>
          <w:u w:val="single"/>
        </w:rPr>
        <w:t>novērtē</w:t>
      </w:r>
      <w:r w:rsidR="00161B5C" w:rsidRPr="00161B5C">
        <w:t xml:space="preserve">, vai </w:t>
      </w:r>
      <w:r w:rsidR="00161B5C" w:rsidRPr="00161B5C">
        <w:rPr>
          <w:u w:val="single"/>
        </w:rPr>
        <w:t>pasākumiem piesārņoto pazemes ūdeņu vietu sanācijai un kontrolei nav nesamērīgi augstas izmaksas</w:t>
      </w:r>
      <w:r w:rsidR="00161B5C">
        <w:t>”</w:t>
      </w:r>
      <w:r w:rsidR="00161B5C" w:rsidRPr="00161B5C">
        <w:t>.</w:t>
      </w:r>
      <w:r w:rsidR="00161B5C">
        <w:t xml:space="preserve"> Savukārt MK noteikumu Nr. 804 3.2.2 punkts nosaka ka, sasniedzot vai pārsniedzot kritisko robežlielumu “</w:t>
      </w:r>
      <w:r w:rsidR="00161B5C" w:rsidRPr="00161B5C">
        <w:t>augsnes un grunts funkcionālās īpašības ir nopietni traucētas vai piesārņojums tieši apdraud cilvēku veselību vai vidi</w:t>
      </w:r>
      <w:r w:rsidR="00161B5C">
        <w:t xml:space="preserve">”, un šādā gadījumā veicama piesārņotas vietas sanācija (šo noteikumu 4.2. punkts). Attiecīgi piesārņotas grunts gadījumā, pārsniedzot C robežlielumu sanācija ir jāveic neatkarīgi no riska </w:t>
      </w:r>
      <w:proofErr w:type="spellStart"/>
      <w:r w:rsidR="00161B5C">
        <w:t>izvērtējuma</w:t>
      </w:r>
      <w:proofErr w:type="spellEnd"/>
      <w:r w:rsidR="00161B5C">
        <w:t xml:space="preserve"> un/vai potenciālajām sanācijas izmaksām, bet pazemes ūdeņiem sanāciju var neveikt, ja pamato, ka </w:t>
      </w:r>
      <w:r w:rsidR="000F47DA">
        <w:t>tās izmaksas ir nesamērīgi augstas. Jāa</w:t>
      </w:r>
      <w:r w:rsidR="00B96047">
        <w:t>t</w:t>
      </w:r>
      <w:r w:rsidR="000F47DA">
        <w:t>zīmē, ka praksē, teritoriju likumīgie valdītāji, kā arī nozares konsultanti samērā bieži pielieto šo regulējuma punktu, manipulējot ar potenciālajām sanācijas izmaksām (ko atbildīgajām institūcijām atbilstoši esošajam regulējumam nav ne kapacitātes, ne iespēju un pamatotas metodikas), tādējādi panākot izvairīšanos no pazemes ūdeņu attīrīšanas, kas palielina piesārņojuma slodzi uz apkārtējo vidi un neveicina ilgtspējīgu teritoriju attīstību.</w:t>
      </w:r>
    </w:p>
    <w:p w14:paraId="434083A8" w14:textId="77777777" w:rsidR="00BF0910" w:rsidRDefault="00BF0910" w:rsidP="00C72217">
      <w:pPr>
        <w:jc w:val="both"/>
        <w:rPr>
          <w:b/>
          <w:i/>
        </w:rPr>
      </w:pPr>
      <w:r>
        <w:rPr>
          <w:b/>
          <w:i/>
        </w:rPr>
        <w:t xml:space="preserve">Pazemes ūdeņu </w:t>
      </w:r>
      <w:proofErr w:type="spellStart"/>
      <w:r>
        <w:rPr>
          <w:b/>
          <w:i/>
        </w:rPr>
        <w:t>pēcsanācijas</w:t>
      </w:r>
      <w:proofErr w:type="spellEnd"/>
      <w:r>
        <w:rPr>
          <w:b/>
          <w:i/>
        </w:rPr>
        <w:t xml:space="preserve"> monitoringa prasību neesamība</w:t>
      </w:r>
    </w:p>
    <w:p w14:paraId="1D07AF55" w14:textId="77777777" w:rsidR="00BF0910" w:rsidRPr="00BF0910" w:rsidRDefault="00BF0910" w:rsidP="00C72217">
      <w:pPr>
        <w:jc w:val="both"/>
      </w:pPr>
      <w:r>
        <w:t xml:space="preserve">Būtisks aspekts, kas apgrūtina sanācijas darbu kontroli un efektivitātes izvērtēšanu ir </w:t>
      </w:r>
      <w:proofErr w:type="spellStart"/>
      <w:r>
        <w:t>pēcsanācijas</w:t>
      </w:r>
      <w:proofErr w:type="spellEnd"/>
      <w:r>
        <w:t xml:space="preserve"> monitoringa prasību trūkums šī brīža regulējumā. Pašreiz, lai izvirzītu prasības piesārņotā vietā veiktu pazemes ūdeņu attīrīšanas monitoringam, tiek piemēro</w:t>
      </w:r>
      <w:r w:rsidR="00C72217">
        <w:t>ti noteikumi</w:t>
      </w:r>
      <w:r>
        <w:t xml:space="preserve">, kas nosaka </w:t>
      </w:r>
      <w:r w:rsidR="00C72217" w:rsidRPr="00C72217">
        <w:t>atkritumu poligonu un izgāztuvju slēgš</w:t>
      </w:r>
      <w:r w:rsidR="00C72217">
        <w:t xml:space="preserve">anas un rekultivācijas prasības </w:t>
      </w:r>
      <w:sdt>
        <w:sdtPr>
          <w:id w:val="1144550823"/>
          <w:citation/>
        </w:sdtPr>
        <w:sdtEndPr/>
        <w:sdtContent>
          <w:r w:rsidR="00C72217">
            <w:fldChar w:fldCharType="begin"/>
          </w:r>
          <w:r w:rsidR="00C72217">
            <w:instrText xml:space="preserve"> CITATION Minds \l 1062 </w:instrText>
          </w:r>
          <w:r w:rsidR="00C72217">
            <w:fldChar w:fldCharType="separate"/>
          </w:r>
          <w:r w:rsidR="009950D4" w:rsidRPr="009950D4">
            <w:rPr>
              <w:noProof/>
            </w:rPr>
            <w:t>[3]</w:t>
          </w:r>
          <w:r w:rsidR="00C72217">
            <w:fldChar w:fldCharType="end"/>
          </w:r>
        </w:sdtContent>
      </w:sdt>
      <w:r w:rsidR="00C72217">
        <w:t xml:space="preserve">, tomēr šo noteikumu piemērošana pārsvarā gadījumu sanācijas veicējam un attīrītās vietas likumīgajam valdītājam uzliek par pienākumu pret sanāciju nesamērīgas saistības – </w:t>
      </w:r>
      <w:proofErr w:type="spellStart"/>
      <w:r w:rsidR="00C72217">
        <w:t>pēcsanācijas</w:t>
      </w:r>
      <w:proofErr w:type="spellEnd"/>
      <w:r w:rsidR="00C72217">
        <w:t xml:space="preserve"> monitoringu veikt vismaz 20 līdz 30 gadus.</w:t>
      </w:r>
    </w:p>
    <w:p w14:paraId="4ADE078D" w14:textId="77777777" w:rsidR="00BF0910" w:rsidRDefault="00BF0910" w:rsidP="00D07D91">
      <w:pPr>
        <w:rPr>
          <w:b/>
          <w:i/>
        </w:rPr>
      </w:pPr>
      <w:r>
        <w:rPr>
          <w:b/>
          <w:i/>
        </w:rPr>
        <w:t>Pazemes ūdens piesārņojuma izpētes un monitoringa metodikas un vienotas pieejas trūkums</w:t>
      </w:r>
    </w:p>
    <w:p w14:paraId="42D4847D" w14:textId="77777777" w:rsidR="00BF0910" w:rsidRPr="004C323B" w:rsidRDefault="00290D37" w:rsidP="001E52FD">
      <w:pPr>
        <w:jc w:val="both"/>
      </w:pPr>
      <w:r w:rsidRPr="00290D37">
        <w:t xml:space="preserve">Esošais regulējums </w:t>
      </w:r>
      <w:r>
        <w:t>nedefinē praktiski nekādas prasības piesārņojuma izp</w:t>
      </w:r>
      <w:r w:rsidR="001E52FD">
        <w:t xml:space="preserve">ētei un monitoringam izņemot atsevišķas prasības atkritumu poligoniem un degvielas </w:t>
      </w:r>
      <w:proofErr w:type="spellStart"/>
      <w:r w:rsidR="001E52FD">
        <w:t>uzpildes</w:t>
      </w:r>
      <w:proofErr w:type="spellEnd"/>
      <w:r w:rsidR="001E52FD">
        <w:t xml:space="preserve"> stacijām un naftas bāzēm. Tomēr arī noteikumos, kur definētas šīs prasības pastāv pretrunas, piemēram, MK noteikumi Nr. 1032 </w:t>
      </w:r>
      <w:sdt>
        <w:sdtPr>
          <w:id w:val="-572189457"/>
          <w:citation/>
        </w:sdtPr>
        <w:sdtEndPr/>
        <w:sdtContent>
          <w:r w:rsidR="001E52FD">
            <w:fldChar w:fldCharType="begin"/>
          </w:r>
          <w:r w:rsidR="001E52FD">
            <w:instrText xml:space="preserve"> CITATION Minds \l 1062 </w:instrText>
          </w:r>
          <w:r w:rsidR="001E52FD">
            <w:fldChar w:fldCharType="separate"/>
          </w:r>
          <w:r w:rsidR="009950D4" w:rsidRPr="009950D4">
            <w:rPr>
              <w:noProof/>
            </w:rPr>
            <w:t>[3]</w:t>
          </w:r>
          <w:r w:rsidR="001E52FD">
            <w:fldChar w:fldCharType="end"/>
          </w:r>
        </w:sdtContent>
      </w:sdt>
      <w:r w:rsidR="001E52FD">
        <w:t xml:space="preserve"> nosaka ūdenī analizējamo vielu spektru (nepilna un pilna ķīmiskā analīze) atkritumu poligonos veicamā monitoringa ietvaros. Tomēr daļai no tur uzskaitītajiem parametriem MK noteikumos Nr. 118 </w:t>
      </w:r>
      <w:sdt>
        <w:sdtPr>
          <w:id w:val="803966670"/>
          <w:citation/>
        </w:sdtPr>
        <w:sdtEndPr/>
        <w:sdtContent>
          <w:r w:rsidR="001E52FD">
            <w:fldChar w:fldCharType="begin"/>
          </w:r>
          <w:r w:rsidR="001E52FD">
            <w:instrText xml:space="preserve"> CITATION MK_Not_118 \l 1062 </w:instrText>
          </w:r>
          <w:r w:rsidR="001E52FD">
            <w:fldChar w:fldCharType="separate"/>
          </w:r>
          <w:r w:rsidR="009950D4" w:rsidRPr="009950D4">
            <w:rPr>
              <w:noProof/>
            </w:rPr>
            <w:t>[2]</w:t>
          </w:r>
          <w:r w:rsidR="001E52FD">
            <w:fldChar w:fldCharType="end"/>
          </w:r>
        </w:sdtContent>
      </w:sdt>
      <w:r w:rsidR="001E52FD">
        <w:t xml:space="preserve"> nav noteikti </w:t>
      </w:r>
      <w:proofErr w:type="spellStart"/>
      <w:r w:rsidR="001E52FD">
        <w:t>mērķlielumi</w:t>
      </w:r>
      <w:proofErr w:type="spellEnd"/>
      <w:r w:rsidR="001E52FD">
        <w:t xml:space="preserve"> </w:t>
      </w:r>
      <w:r w:rsidR="001E52FD" w:rsidRPr="004C323B">
        <w:t>un robežlielumi.</w:t>
      </w:r>
    </w:p>
    <w:p w14:paraId="6DEB8833" w14:textId="77777777" w:rsidR="00A2390D" w:rsidRPr="004C323B" w:rsidRDefault="00A2390D" w:rsidP="00D07D91">
      <w:pPr>
        <w:rPr>
          <w:b/>
          <w:i/>
        </w:rPr>
      </w:pPr>
      <w:r w:rsidRPr="004C323B">
        <w:rPr>
          <w:b/>
          <w:i/>
        </w:rPr>
        <w:t>Esošais definējums un prasības ūdens kvalitātei piesārņotu vietu attīrīšanā</w:t>
      </w:r>
    </w:p>
    <w:p w14:paraId="7FD4EFBB" w14:textId="77777777" w:rsidR="00BF0910" w:rsidRDefault="00A2390D" w:rsidP="001B7734">
      <w:pPr>
        <w:jc w:val="both"/>
      </w:pPr>
      <w:r w:rsidRPr="004C323B">
        <w:t>Pašreiz spēkā esošais normatīvais regulējums paredz pazemes ūdeņu attīrīšanas prasības, kas definētas MK noteikumos Nr. 118</w:t>
      </w:r>
      <w:r w:rsidR="004C323B" w:rsidRPr="004C323B">
        <w:t xml:space="preserve"> 10. pielikuma 2. tabulā</w:t>
      </w:r>
      <w:r w:rsidRPr="004C323B">
        <w:t xml:space="preserve"> </w:t>
      </w:r>
      <w:sdt>
        <w:sdtPr>
          <w:id w:val="-1721666658"/>
          <w:citation/>
        </w:sdtPr>
        <w:sdtEndPr/>
        <w:sdtContent>
          <w:r w:rsidRPr="004C323B">
            <w:fldChar w:fldCharType="begin"/>
          </w:r>
          <w:r w:rsidRPr="004C323B">
            <w:instrText xml:space="preserve"> CITATION MK_Not_118 \l 1062 </w:instrText>
          </w:r>
          <w:r w:rsidRPr="004C323B">
            <w:fldChar w:fldCharType="separate"/>
          </w:r>
          <w:r w:rsidR="009950D4" w:rsidRPr="009950D4">
            <w:rPr>
              <w:noProof/>
            </w:rPr>
            <w:t>[2]</w:t>
          </w:r>
          <w:r w:rsidRPr="004C323B">
            <w:fldChar w:fldCharType="end"/>
          </w:r>
        </w:sdtContent>
      </w:sdt>
      <w:r w:rsidRPr="004C323B">
        <w:t xml:space="preserve"> </w:t>
      </w:r>
      <w:r w:rsidR="004C323B" w:rsidRPr="004C323B">
        <w:t>(skat. 2. attēlu)</w:t>
      </w:r>
      <w:r w:rsidR="004C323B">
        <w:t>. Šīs prasības paredz minimālo piesārņojuma samazinājumi specifiskiem piesārņojumu raksturojošiem parametriem, kā ĶSP, P, N, u.c. Tipiski šī samazinājums tiek prasīts robežās no 60 līdz 90 %. Tomēr šīs normas piemērošana piesārņotu vietu attīrīšanas prasībām ir problemātiska, jo nav definēts kurš rādītājs ir izmantojams kā sākotnējais references rādītājs – maksimālā koncentrācija, vidējā koncentrācija noteiktā laika periodā, vai vidējā koncentrācija piesārņotā vietā, vai katra testēšanas punkta detektētā koncentrācija</w:t>
      </w:r>
      <w:r w:rsidR="001B7734">
        <w:t>.</w:t>
      </w:r>
    </w:p>
    <w:p w14:paraId="26FDC5A8" w14:textId="77777777" w:rsidR="00B2203D" w:rsidRDefault="00B2203D" w:rsidP="00B2203D">
      <w:r>
        <w:rPr>
          <w:noProof/>
          <w:lang w:eastAsia="lv-LV"/>
        </w:rPr>
        <w:lastRenderedPageBreak/>
        <w:drawing>
          <wp:inline distT="0" distB="0" distL="0" distR="0" wp14:anchorId="7EA97CBF" wp14:editId="4723B58E">
            <wp:extent cx="6020629" cy="29845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704" t="17149" r="905" b="1566"/>
                    <a:stretch/>
                  </pic:blipFill>
                  <pic:spPr bwMode="auto">
                    <a:xfrm>
                      <a:off x="0" y="0"/>
                      <a:ext cx="6021611" cy="2984987"/>
                    </a:xfrm>
                    <a:prstGeom prst="rect">
                      <a:avLst/>
                    </a:prstGeom>
                    <a:ln>
                      <a:noFill/>
                    </a:ln>
                    <a:extLst>
                      <a:ext uri="{53640926-AAD7-44D8-BBD7-CCE9431645EC}">
                        <a14:shadowObscured xmlns:a14="http://schemas.microsoft.com/office/drawing/2010/main"/>
                      </a:ext>
                    </a:extLst>
                  </pic:spPr>
                </pic:pic>
              </a:graphicData>
            </a:graphic>
          </wp:inline>
        </w:drawing>
      </w:r>
    </w:p>
    <w:p w14:paraId="70948715" w14:textId="77777777" w:rsidR="00B2203D" w:rsidRDefault="00B2203D" w:rsidP="00E17E73">
      <w:pPr>
        <w:pStyle w:val="ListParagraph"/>
        <w:numPr>
          <w:ilvl w:val="0"/>
          <w:numId w:val="1"/>
        </w:numPr>
        <w:jc w:val="both"/>
      </w:pPr>
      <w:r>
        <w:rPr>
          <w:rStyle w:val="Emphasis"/>
        </w:rPr>
        <w:t xml:space="preserve">Attēls. </w:t>
      </w:r>
      <w:r w:rsidRPr="004C323B">
        <w:rPr>
          <w:rStyle w:val="Emphasis"/>
        </w:rPr>
        <w:t>Prasības pazemes ūdeņu attīrīšanai piesārņotajās vietās</w:t>
      </w:r>
    </w:p>
    <w:p w14:paraId="0D0F34A8" w14:textId="77777777" w:rsidR="00B2203D" w:rsidRDefault="00B2203D" w:rsidP="0093043B">
      <w:pPr>
        <w:jc w:val="both"/>
      </w:pPr>
    </w:p>
    <w:p w14:paraId="1B63C69C" w14:textId="77777777" w:rsidR="004100A0" w:rsidRDefault="004100A0" w:rsidP="0093043B">
      <w:pPr>
        <w:jc w:val="both"/>
      </w:pPr>
      <w:r>
        <w:t>Tomēr konstatēts robežlieluma pārsniegums kādai no vielām nenozīmē nenoraidāmus sanācijas pasākumus, jo to nepieciešamība (</w:t>
      </w:r>
      <w:r w:rsidR="0093043B">
        <w:t xml:space="preserve">kas pēc būtības ir pretrunā ar robežvērtības definīciju) ir izvērtējama un nosakāma atkarībā no iespējamajām sanācijas izmaksām un tehniskajām iespējām. Kā zināmu paradoksu jāmin noteikumu Nr. 118 26. punkta 2. daļā minētais: </w:t>
      </w:r>
      <w:r w:rsidR="0093043B" w:rsidRPr="0093043B">
        <w:rPr>
          <w:i/>
        </w:rPr>
        <w:t xml:space="preserve">“... Ja novērtēšanas rezultāti liecina, ka: ... 26.2. piesārņojuma līmenis pārsniedz robežlielumu, tad, ņemot vērā </w:t>
      </w:r>
      <w:r w:rsidR="0093043B" w:rsidRPr="0093043B">
        <w:rPr>
          <w:i/>
          <w:u w:val="single"/>
        </w:rPr>
        <w:t>ģeoloģiskos, hidroģeoloģiskos, hidrodinamiskos apstākļus</w:t>
      </w:r>
      <w:r w:rsidR="0093043B">
        <w:rPr>
          <w:i/>
          <w:u w:val="single"/>
        </w:rPr>
        <w:t> (!!!)</w:t>
      </w:r>
      <w:r w:rsidR="0093043B" w:rsidRPr="0093043B">
        <w:rPr>
          <w:i/>
        </w:rPr>
        <w:t xml:space="preserve"> un </w:t>
      </w:r>
      <w:r w:rsidR="0093043B" w:rsidRPr="0093043B">
        <w:rPr>
          <w:i/>
          <w:u w:val="single"/>
        </w:rPr>
        <w:t>antropogēnās iedarbības radīto slodzi</w:t>
      </w:r>
      <w:r w:rsidR="0093043B" w:rsidRPr="0093043B">
        <w:rPr>
          <w:i/>
        </w:rPr>
        <w:t xml:space="preserve"> </w:t>
      </w:r>
      <w:r w:rsidR="0093043B">
        <w:rPr>
          <w:i/>
        </w:rPr>
        <w:t xml:space="preserve">(!!!) </w:t>
      </w:r>
      <w:r w:rsidR="0093043B" w:rsidRPr="0093043B">
        <w:rPr>
          <w:i/>
        </w:rPr>
        <w:t xml:space="preserve">attiecīgajā teritorijā, novērtē, vai </w:t>
      </w:r>
      <w:r w:rsidR="0093043B" w:rsidRPr="0093043B">
        <w:rPr>
          <w:i/>
          <w:u w:val="single"/>
        </w:rPr>
        <w:t>vides sanācija</w:t>
      </w:r>
      <w:r w:rsidR="0093043B" w:rsidRPr="0093043B">
        <w:rPr>
          <w:i/>
        </w:rPr>
        <w:t xml:space="preserve"> </w:t>
      </w:r>
      <w:r w:rsidR="0093043B" w:rsidRPr="0093043B">
        <w:rPr>
          <w:i/>
          <w:u w:val="single"/>
        </w:rPr>
        <w:t>ir nepieciešama</w:t>
      </w:r>
      <w:r w:rsidR="0093043B" w:rsidRPr="0093043B">
        <w:rPr>
          <w:i/>
        </w:rPr>
        <w:t xml:space="preserve"> </w:t>
      </w:r>
      <w:r w:rsidR="0093043B">
        <w:rPr>
          <w:i/>
        </w:rPr>
        <w:t xml:space="preserve">(!!!) </w:t>
      </w:r>
      <w:r w:rsidR="0093043B" w:rsidRPr="0093043B">
        <w:rPr>
          <w:i/>
        </w:rPr>
        <w:t xml:space="preserve">un tehniski iespējama </w:t>
      </w:r>
      <w:r w:rsidR="0093043B" w:rsidRPr="0093043B">
        <w:rPr>
          <w:i/>
          <w:u w:val="single"/>
        </w:rPr>
        <w:t>bez tādu pasākumu īstenošanas</w:t>
      </w:r>
      <w:r w:rsidR="0093043B" w:rsidRPr="0093043B">
        <w:rPr>
          <w:i/>
        </w:rPr>
        <w:t xml:space="preserve">, kuri </w:t>
      </w:r>
      <w:r w:rsidR="0093043B" w:rsidRPr="0093043B">
        <w:rPr>
          <w:i/>
          <w:u w:val="single"/>
        </w:rPr>
        <w:t>paaugstinātu apdraudējumu cilvēku veselībai vai videi</w:t>
      </w:r>
      <w:r w:rsidR="0093043B">
        <w:rPr>
          <w:i/>
          <w:u w:val="single"/>
        </w:rPr>
        <w:t xml:space="preserve"> (!!!)</w:t>
      </w:r>
      <w:r w:rsidR="0093043B" w:rsidRPr="0093043B">
        <w:rPr>
          <w:i/>
        </w:rPr>
        <w:t xml:space="preserve">, kā arī novērtē, vai pasākumiem piesārņoto pazemes ūdeņu vietu </w:t>
      </w:r>
      <w:r w:rsidR="0093043B" w:rsidRPr="0093043B">
        <w:rPr>
          <w:i/>
          <w:u w:val="single"/>
        </w:rPr>
        <w:t>sanācijai un kontrolei nav nesamērīgi augstas izmaksas</w:t>
      </w:r>
      <w:r w:rsidR="0093043B">
        <w:rPr>
          <w:i/>
        </w:rPr>
        <w:t>(!!!)</w:t>
      </w:r>
      <w:r w:rsidR="0093043B" w:rsidRPr="0093043B">
        <w:rPr>
          <w:i/>
        </w:rPr>
        <w:t xml:space="preserve">. Pamatojoties uz veikto novērtējumu, pazemes ūdeņu </w:t>
      </w:r>
      <w:r w:rsidR="0093043B" w:rsidRPr="0093043B">
        <w:rPr>
          <w:i/>
          <w:u w:val="single"/>
        </w:rPr>
        <w:t>attīrīšanas pakāpi katram piesārņojuma areālam nosaka individuāli</w:t>
      </w:r>
      <w:r w:rsidR="0093043B" w:rsidRPr="0093043B">
        <w:rPr>
          <w:i/>
        </w:rPr>
        <w:t>. Sanāciju veic saskaņā ar likumu “Par piesārņojumu” un Vides aizsardzības likumu.</w:t>
      </w:r>
      <w:r w:rsidR="0093043B">
        <w:rPr>
          <w:i/>
        </w:rPr>
        <w:t xml:space="preserve">” </w:t>
      </w:r>
      <w:r w:rsidR="0093043B" w:rsidRPr="0093043B">
        <w:t>Turpinot šī punkta būtības iztirzājumu,</w:t>
      </w:r>
      <w:r w:rsidR="0093043B">
        <w:rPr>
          <w:i/>
        </w:rPr>
        <w:t xml:space="preserve"> </w:t>
      </w:r>
      <w:r w:rsidR="0093043B">
        <w:t>uzskaitītas vairākas būtiskākās pretrunas attiecībā uz prasībām pazemes ūdeņu attīrīšanai:</w:t>
      </w:r>
    </w:p>
    <w:p w14:paraId="5DC6FD47" w14:textId="77777777" w:rsidR="0093043B" w:rsidRDefault="0093043B" w:rsidP="00E17E73">
      <w:pPr>
        <w:pStyle w:val="ListParagraph"/>
        <w:numPr>
          <w:ilvl w:val="0"/>
          <w:numId w:val="3"/>
        </w:numPr>
        <w:jc w:val="both"/>
      </w:pPr>
      <w:r>
        <w:t>Punktā min</w:t>
      </w:r>
      <w:r w:rsidR="00EA5DB8">
        <w:t>ētā prasība, ka sanācijas nepieciešamības izvērtēšanai ņemamie vērā</w:t>
      </w:r>
      <w:r>
        <w:t xml:space="preserve"> </w:t>
      </w:r>
      <w:r w:rsidR="00EA5DB8">
        <w:t>“</w:t>
      </w:r>
      <w:r>
        <w:t>ģeoloģiskie, hidroģeoloģiskie un hidrodinamiskie apstākļi</w:t>
      </w:r>
      <w:r w:rsidR="00EA5DB8">
        <w:t>” ir termini, kuriem nevienā citā normatīvajā regulējumā vai kā minimums rekomendējošās vadlīnijās nav definēti priekšnosacījumi, kādos apstākļos piesārņojošo vielu spektram un daudzumam, kas pārsniedz robežvērtības, nebūs būtiska negatīva ietekme uz pazemes ūdeņu kvalitāti, kā arī citiem receptoriem.</w:t>
      </w:r>
    </w:p>
    <w:p w14:paraId="35EF65E2" w14:textId="77777777" w:rsidR="00EA5DB8" w:rsidRDefault="00EA5DB8" w:rsidP="00E17E73">
      <w:pPr>
        <w:pStyle w:val="ListParagraph"/>
        <w:numPr>
          <w:ilvl w:val="0"/>
          <w:numId w:val="3"/>
        </w:numPr>
        <w:jc w:val="both"/>
      </w:pPr>
      <w:r>
        <w:t>Nākamais aspekts, kas ir jāizvērtē, ir ‘</w:t>
      </w:r>
      <w:r>
        <w:rPr>
          <w:i/>
          <w:u w:val="single"/>
        </w:rPr>
        <w:t xml:space="preserve">antropogēnās iedarbības radītā slodze’, </w:t>
      </w:r>
      <w:r w:rsidRPr="00EA5DB8">
        <w:t>kam arī nav atrodami ne</w:t>
      </w:r>
      <w:r>
        <w:t>k</w:t>
      </w:r>
      <w:r w:rsidRPr="00EA5DB8">
        <w:t>ādi kritēriji, kas ir jāņem vērā</w:t>
      </w:r>
      <w:r>
        <w:t xml:space="preserve"> sanācijas nepieciešamības un mērķu definēšanai.</w:t>
      </w:r>
    </w:p>
    <w:p w14:paraId="3C2467D1" w14:textId="77777777" w:rsidR="00EA5DB8" w:rsidRDefault="00EA5DB8" w:rsidP="00E17E73">
      <w:pPr>
        <w:pStyle w:val="ListParagraph"/>
        <w:numPr>
          <w:ilvl w:val="0"/>
          <w:numId w:val="3"/>
        </w:numPr>
        <w:jc w:val="both"/>
      </w:pPr>
      <w:r>
        <w:t>Šajā punktā noteikts, ka jāizvērtē vai “</w:t>
      </w:r>
      <w:r w:rsidRPr="00EA5DB8">
        <w:rPr>
          <w:i/>
        </w:rPr>
        <w:t>vides (pazemes ūdens) sanācija ir nepieciešama ... bez tādu pasākumu īstenošanas, kuri paaugstinātu apdraudējumu cilvēku veselībai vai videi...</w:t>
      </w:r>
      <w:r>
        <w:t xml:space="preserve"> “. Šāds </w:t>
      </w:r>
      <w:r w:rsidR="00DE32B8">
        <w:t>izvērtējamā kritērija formulējums pēc būtības ir pilnīgs pretstats definīcijai tam, kas tiek saprasts ar terminu “sanācija”, papildus tam ir pretrunā gan ar Vides aizsardzības likumā</w:t>
      </w:r>
      <w:sdt>
        <w:sdtPr>
          <w:id w:val="-777948715"/>
          <w:citation/>
        </w:sdtPr>
        <w:sdtEndPr/>
        <w:sdtContent>
          <w:r w:rsidR="00DE32B8">
            <w:fldChar w:fldCharType="begin"/>
          </w:r>
          <w:r w:rsidR="00DE32B8">
            <w:instrText xml:space="preserve"> CITATION Lik_Vid_Aizsardz \l 1062 </w:instrText>
          </w:r>
          <w:r w:rsidR="00DE32B8">
            <w:fldChar w:fldCharType="separate"/>
          </w:r>
          <w:r w:rsidR="009950D4">
            <w:rPr>
              <w:noProof/>
            </w:rPr>
            <w:t xml:space="preserve"> </w:t>
          </w:r>
          <w:r w:rsidR="009950D4" w:rsidRPr="009950D4">
            <w:rPr>
              <w:noProof/>
            </w:rPr>
            <w:t>[5]</w:t>
          </w:r>
          <w:r w:rsidR="00DE32B8">
            <w:fldChar w:fldCharType="end"/>
          </w:r>
        </w:sdtContent>
      </w:sdt>
      <w:r w:rsidR="00DE32B8">
        <w:t xml:space="preserve"> un Likumā par piesārņojumu</w:t>
      </w:r>
      <w:sdt>
        <w:sdtPr>
          <w:id w:val="-1769144234"/>
          <w:citation/>
        </w:sdtPr>
        <w:sdtEndPr/>
        <w:sdtContent>
          <w:r w:rsidR="00DE32B8">
            <w:fldChar w:fldCharType="begin"/>
          </w:r>
          <w:r w:rsidR="00DE32B8">
            <w:instrText xml:space="preserve"> CITATION LIk_par_pies \l 1062 </w:instrText>
          </w:r>
          <w:r w:rsidR="00DE32B8">
            <w:fldChar w:fldCharType="separate"/>
          </w:r>
          <w:r w:rsidR="009950D4">
            <w:rPr>
              <w:noProof/>
            </w:rPr>
            <w:t xml:space="preserve"> </w:t>
          </w:r>
          <w:r w:rsidR="009950D4" w:rsidRPr="009950D4">
            <w:rPr>
              <w:noProof/>
            </w:rPr>
            <w:t>[1]</w:t>
          </w:r>
          <w:r w:rsidR="00DE32B8">
            <w:fldChar w:fldCharType="end"/>
          </w:r>
        </w:sdtContent>
      </w:sdt>
      <w:r w:rsidR="00DE32B8">
        <w:t xml:space="preserve"> minētajiem terminu skaidrojumiem.</w:t>
      </w:r>
    </w:p>
    <w:p w14:paraId="5BAF9929" w14:textId="77777777" w:rsidR="00DE32B8" w:rsidRDefault="00DE32B8" w:rsidP="00E17E73">
      <w:pPr>
        <w:pStyle w:val="ListParagraph"/>
        <w:numPr>
          <w:ilvl w:val="0"/>
          <w:numId w:val="3"/>
        </w:numPr>
        <w:jc w:val="both"/>
      </w:pPr>
      <w:r>
        <w:t xml:space="preserve">Nākamā, bet ne mazāk būtiskā pretruna ir definējumā, ka: </w:t>
      </w:r>
      <w:r>
        <w:rPr>
          <w:i/>
          <w:u w:val="single"/>
        </w:rPr>
        <w:t>a</w:t>
      </w:r>
      <w:r w:rsidRPr="0093043B">
        <w:rPr>
          <w:i/>
          <w:u w:val="single"/>
        </w:rPr>
        <w:t>ttīrīšanas pakāpi katram piesārņojuma areālam nosaka individuāli</w:t>
      </w:r>
      <w:r w:rsidRPr="0093043B">
        <w:rPr>
          <w:i/>
        </w:rPr>
        <w:t xml:space="preserve">. </w:t>
      </w:r>
      <w:r>
        <w:t xml:space="preserve"> Ar šo nav saprotams, vai individuāli šo noteikumu 10. pielikuma 2. tabulas minētā procentuālā samazinājuma ietvarā, vai ir pieļaujamas vēl citas individuāli noteiktas sasniedzamās robežas, neatkarīgi lielākas vai mazākas).</w:t>
      </w:r>
    </w:p>
    <w:p w14:paraId="7A93AABC" w14:textId="77777777" w:rsidR="00DE32B8" w:rsidRPr="00EA5DB8" w:rsidRDefault="00DE32B8" w:rsidP="00DE32B8">
      <w:pPr>
        <w:jc w:val="both"/>
      </w:pPr>
      <w:r>
        <w:lastRenderedPageBreak/>
        <w:t xml:space="preserve">Ņemot vērā </w:t>
      </w:r>
      <w:r w:rsidR="00FF1D12">
        <w:t>iepriekš minēto</w:t>
      </w:r>
      <w:r>
        <w:t xml:space="preserve">, ir secināms, ka pašreizējais normatīvais regulējums nosaka prasības pazemes ūdeņu attīrīšanai atbilstoši robežvērtībām un to pārsniegumu procentuālajam samazinājumam, vienlaikus nosakot par pienākumu veikt piesārņojuma riska </w:t>
      </w:r>
      <w:proofErr w:type="spellStart"/>
      <w:r>
        <w:t>izvērtējumu</w:t>
      </w:r>
      <w:proofErr w:type="spellEnd"/>
      <w:r>
        <w:t>, kas</w:t>
      </w:r>
      <w:r w:rsidR="001C0AB1">
        <w:t>,</w:t>
      </w:r>
      <w:r>
        <w:t xml:space="preserve"> netiešā veidā</w:t>
      </w:r>
      <w:r w:rsidR="001C0AB1">
        <w:t>,</w:t>
      </w:r>
      <w:r>
        <w:t xml:space="preserve"> vispārīgi </w:t>
      </w:r>
      <w:r w:rsidR="00FF1D12">
        <w:t>minēts noteikumu 26.2. punkta prasībās.</w:t>
      </w:r>
    </w:p>
    <w:p w14:paraId="0E09DD45" w14:textId="77777777" w:rsidR="004100A0" w:rsidRDefault="004100A0" w:rsidP="00B2203D">
      <w:pPr>
        <w:jc w:val="both"/>
      </w:pPr>
      <w:r>
        <w:t xml:space="preserve">Šāda mehāniski noteikta, procentuāla samazinājuma iekļaušana pazemes ūdeņu attīrīšanas prasībās nav ilgtspējīga, </w:t>
      </w:r>
      <w:r w:rsidR="00FF1D12">
        <w:t xml:space="preserve">jo šāds procentuāls samazinājums no piesārņojošās vielas daudzuma, kas robežlielumu pārsniedz 1,5–2 reizes rezultēsies sanācijas uzdevumā attīrīt, iespējams, līdz pat </w:t>
      </w:r>
      <w:proofErr w:type="spellStart"/>
      <w:r w:rsidR="00FF1D12">
        <w:t>mērķlielumam</w:t>
      </w:r>
      <w:proofErr w:type="spellEnd"/>
      <w:r w:rsidR="00FF1D12">
        <w:t>, bet citā situācijā, kur pārsniegums var būt vairākus simtus reižu, pēc sanācijas realizēšanas var izrādīties, ka atlikušais piesārņojošo vielu daudzums vēl joprojām ir ievērojami lielāks par robežlielumu un videi bīstams.</w:t>
      </w:r>
    </w:p>
    <w:p w14:paraId="2B7A53FE" w14:textId="77777777" w:rsidR="00157E75" w:rsidRDefault="00157E75">
      <w:r>
        <w:br w:type="page"/>
      </w:r>
    </w:p>
    <w:p w14:paraId="0EF50C65" w14:textId="77777777" w:rsidR="00157E75" w:rsidRDefault="00157E75" w:rsidP="00D07D91"/>
    <w:p w14:paraId="69E93F5A" w14:textId="77777777" w:rsidR="00F57BC0" w:rsidRDefault="000F47DA" w:rsidP="00E17E73">
      <w:pPr>
        <w:pStyle w:val="Heading1"/>
        <w:numPr>
          <w:ilvl w:val="0"/>
          <w:numId w:val="1"/>
        </w:numPr>
        <w:rPr>
          <w:szCs w:val="24"/>
        </w:rPr>
      </w:pPr>
      <w:bookmarkStart w:id="6" w:name="_Toc59326487"/>
      <w:r>
        <w:rPr>
          <w:szCs w:val="24"/>
        </w:rPr>
        <w:t>CITU VALSTU PIEREDZE UN PRINCIPI PRASĪBĀM PAZEMES ŪDEŅU KVALITĀTEI</w:t>
      </w:r>
      <w:bookmarkEnd w:id="6"/>
    </w:p>
    <w:p w14:paraId="34305688" w14:textId="77777777" w:rsidR="00EE6F5C" w:rsidRDefault="00EE6F5C" w:rsidP="000F47DA">
      <w:pPr>
        <w:tabs>
          <w:tab w:val="left" w:pos="1905"/>
        </w:tabs>
      </w:pPr>
    </w:p>
    <w:p w14:paraId="3D747C65" w14:textId="77777777" w:rsidR="000F47DA" w:rsidRDefault="00B96047" w:rsidP="00206F5F">
      <w:pPr>
        <w:tabs>
          <w:tab w:val="left" w:pos="1905"/>
        </w:tabs>
        <w:jc w:val="both"/>
      </w:pPr>
      <w:r>
        <w:t>Atbilstoši darba uzdevumam veikts citu valstu pieredzes apkopojums par pieejām, kādas tiek izmantotas pazemes ūdeņu stāvokļa novērtēšanā un prasībām pazemes ūdeņu attīrīšanai piesārņotās vietās. Apkopojot pamatdatus par iespējamo valstu izvēli</w:t>
      </w:r>
      <w:r w:rsidR="000A631C">
        <w:t>, izvērtēšana tika veikta ņemot vērā zemāk uzskaitītos kritērijus:</w:t>
      </w:r>
    </w:p>
    <w:p w14:paraId="38D4F221" w14:textId="77777777" w:rsidR="000A631C" w:rsidRDefault="000A631C" w:rsidP="00E17E73">
      <w:pPr>
        <w:pStyle w:val="ListParagraph"/>
        <w:numPr>
          <w:ilvl w:val="0"/>
          <w:numId w:val="3"/>
        </w:numPr>
        <w:tabs>
          <w:tab w:val="left" w:pos="1905"/>
        </w:tabs>
        <w:jc w:val="both"/>
      </w:pPr>
      <w:r>
        <w:t>Nacionālā normatīvā regulējuma atbilstība EK un ES regulām;</w:t>
      </w:r>
    </w:p>
    <w:p w14:paraId="5C59A1BF" w14:textId="77777777" w:rsidR="000A631C" w:rsidRDefault="000A631C" w:rsidP="00E17E73">
      <w:pPr>
        <w:pStyle w:val="ListParagraph"/>
        <w:numPr>
          <w:ilvl w:val="0"/>
          <w:numId w:val="3"/>
        </w:numPr>
        <w:tabs>
          <w:tab w:val="left" w:pos="1905"/>
        </w:tabs>
        <w:jc w:val="both"/>
      </w:pPr>
      <w:r>
        <w:t>Dabas (ģeoloģisko apstākļu, klimata zonas, hidroģeoloģisko apstākļu) līdzība ar Latvijas apstākļiem,</w:t>
      </w:r>
    </w:p>
    <w:p w14:paraId="759EFA58" w14:textId="77777777" w:rsidR="000A631C" w:rsidRDefault="000A631C" w:rsidP="00E17E73">
      <w:pPr>
        <w:pStyle w:val="ListParagraph"/>
        <w:numPr>
          <w:ilvl w:val="0"/>
          <w:numId w:val="3"/>
        </w:numPr>
        <w:tabs>
          <w:tab w:val="left" w:pos="1905"/>
        </w:tabs>
        <w:jc w:val="both"/>
      </w:pPr>
      <w:r>
        <w:t>Informācijas pieejamība latviešu valodā;</w:t>
      </w:r>
    </w:p>
    <w:p w14:paraId="6EF6F9A0" w14:textId="77777777" w:rsidR="000A631C" w:rsidRDefault="000A631C" w:rsidP="00E17E73">
      <w:pPr>
        <w:pStyle w:val="ListParagraph"/>
        <w:numPr>
          <w:ilvl w:val="0"/>
          <w:numId w:val="3"/>
        </w:numPr>
        <w:tabs>
          <w:tab w:val="left" w:pos="1905"/>
        </w:tabs>
        <w:jc w:val="both"/>
      </w:pPr>
      <w:r>
        <w:t>Saprotami normatīvā regulējuma pamatprincipi;</w:t>
      </w:r>
    </w:p>
    <w:p w14:paraId="13D3727A" w14:textId="77777777" w:rsidR="000A631C" w:rsidRDefault="000A631C" w:rsidP="00E17E73">
      <w:pPr>
        <w:pStyle w:val="ListParagraph"/>
        <w:numPr>
          <w:ilvl w:val="0"/>
          <w:numId w:val="3"/>
        </w:numPr>
        <w:tabs>
          <w:tab w:val="left" w:pos="1905"/>
        </w:tabs>
        <w:jc w:val="both"/>
      </w:pPr>
      <w:r>
        <w:t>Kvalitātes normatīvu un prasību detalizācija.</w:t>
      </w:r>
    </w:p>
    <w:p w14:paraId="31DB75D5" w14:textId="77777777" w:rsidR="000A631C" w:rsidRDefault="000A631C" w:rsidP="00206F5F">
      <w:pPr>
        <w:tabs>
          <w:tab w:val="left" w:pos="1905"/>
        </w:tabs>
        <w:jc w:val="both"/>
      </w:pPr>
      <w:r>
        <w:t>Izvērtējot Eiropas valstis atbilstoši minētajiem kritērijiem, kā pirmā no valstīm tika izvēlēta Lietuva</w:t>
      </w:r>
      <w:r w:rsidR="00206F5F">
        <w:t>, kur ģeoloģiskā situācija, vēsturiskā un pašreizējā ekonomiskā aktivitāte ir līdzīga (izņemot kodolenerģijas ražošanas jomu), kā arī darbu izstrādes gaitā pieejama iespēja konsultēties ar speciālistiem no Lietuvas, lai precīzi izprastu normatīvā regulējuma nianses.</w:t>
      </w:r>
    </w:p>
    <w:p w14:paraId="4B44391B" w14:textId="77777777" w:rsidR="00206F5F" w:rsidRDefault="00206F5F" w:rsidP="00206F5F">
      <w:pPr>
        <w:tabs>
          <w:tab w:val="left" w:pos="1905"/>
        </w:tabs>
        <w:jc w:val="both"/>
      </w:pPr>
      <w:r>
        <w:t xml:space="preserve">Kā otra valsts, kuras pieredze tika apskatīta detalizētāk ir Zviedrija, kur relatīvi nesen (2020. gada sākumā apstiprinātas izmaiņas normatīvajā regulējumā. Zviedrijas pieredze, savukārt ir būtiska, jo tā ir viena no Eiropas valstīm, kur regulāri tiek veikti plaši un detalizēti pētījumi, uz kā pamata tiek izstrādāts normatīvais regulējums. </w:t>
      </w:r>
    </w:p>
    <w:p w14:paraId="134F9AA7" w14:textId="77777777" w:rsidR="00206F5F" w:rsidRDefault="00206F5F" w:rsidP="00206F5F">
      <w:pPr>
        <w:tabs>
          <w:tab w:val="left" w:pos="1905"/>
        </w:tabs>
        <w:jc w:val="both"/>
      </w:pPr>
      <w:r>
        <w:t>Bez augstākminētajām valstīm vēl tika izvērtēta Īrijas, Apvienotās Karalistes, Vācijas un Nīderlandes normatīvais regulējums, tomēr šajā darbā šo valstu pieredze detalizētāk netiek apskatīta.</w:t>
      </w:r>
    </w:p>
    <w:p w14:paraId="6FECA3F9" w14:textId="77777777" w:rsidR="00EE6F5C" w:rsidRDefault="00EE6F5C" w:rsidP="000F47DA">
      <w:pPr>
        <w:tabs>
          <w:tab w:val="left" w:pos="1905"/>
        </w:tabs>
      </w:pPr>
    </w:p>
    <w:p w14:paraId="645B8735" w14:textId="77777777" w:rsidR="000F47DA" w:rsidRDefault="000F47DA" w:rsidP="00E17E73">
      <w:pPr>
        <w:pStyle w:val="Heading2"/>
        <w:numPr>
          <w:ilvl w:val="1"/>
          <w:numId w:val="1"/>
        </w:numPr>
      </w:pPr>
      <w:bookmarkStart w:id="7" w:name="_Toc59326488"/>
      <w:r>
        <w:t>Normatīvais regulējums Lietuvā</w:t>
      </w:r>
      <w:bookmarkEnd w:id="7"/>
    </w:p>
    <w:p w14:paraId="265EF0EB" w14:textId="77777777" w:rsidR="007F5D1C" w:rsidRPr="007F5D1C" w:rsidRDefault="007F5D1C" w:rsidP="007F5D1C">
      <w:pPr>
        <w:jc w:val="both"/>
      </w:pPr>
      <w:r w:rsidRPr="007F5D1C">
        <w:t xml:space="preserve">Lietuvas Republikas teritorijā </w:t>
      </w:r>
      <w:r>
        <w:t xml:space="preserve">pazemes ūdens </w:t>
      </w:r>
      <w:proofErr w:type="spellStart"/>
      <w:r>
        <w:t>kvalitāties</w:t>
      </w:r>
      <w:proofErr w:type="spellEnd"/>
      <w:r>
        <w:t xml:space="preserve"> uzraudzību un kontroli</w:t>
      </w:r>
      <w:r w:rsidRPr="007F5D1C">
        <w:t xml:space="preserve"> veic Lietuvas Ģeoloģijas dienests</w:t>
      </w:r>
      <w:r w:rsidRPr="005214CF">
        <w:t xml:space="preserve"> </w:t>
      </w:r>
      <w:r>
        <w:t>(</w:t>
      </w:r>
      <w:proofErr w:type="spellStart"/>
      <w:r w:rsidRPr="007F5D1C">
        <w:t>Lietuvos</w:t>
      </w:r>
      <w:proofErr w:type="spellEnd"/>
      <w:r w:rsidRPr="007F5D1C">
        <w:t xml:space="preserve"> </w:t>
      </w:r>
      <w:proofErr w:type="spellStart"/>
      <w:r w:rsidRPr="007F5D1C">
        <w:t>geologijos</w:t>
      </w:r>
      <w:proofErr w:type="spellEnd"/>
      <w:r w:rsidRPr="007F5D1C">
        <w:t xml:space="preserve"> </w:t>
      </w:r>
      <w:proofErr w:type="spellStart"/>
      <w:r w:rsidRPr="007F5D1C">
        <w:t>tarnyba</w:t>
      </w:r>
      <w:proofErr w:type="spellEnd"/>
      <w:r w:rsidRPr="007F5D1C">
        <w:t>), kas ir valsts pārvaldes iestāde, kas pakļauta Lietuvas Republikas Vides ministrijai</w:t>
      </w:r>
      <w:r w:rsidRPr="005214CF">
        <w:t xml:space="preserve"> </w:t>
      </w:r>
      <w:r>
        <w:t>(</w:t>
      </w:r>
      <w:proofErr w:type="spellStart"/>
      <w:r w:rsidRPr="007F5D1C">
        <w:t>Lietuvos</w:t>
      </w:r>
      <w:proofErr w:type="spellEnd"/>
      <w:r w:rsidRPr="007F5D1C">
        <w:t xml:space="preserve"> </w:t>
      </w:r>
      <w:proofErr w:type="spellStart"/>
      <w:r w:rsidRPr="007F5D1C">
        <w:t>Respublikos</w:t>
      </w:r>
      <w:proofErr w:type="spellEnd"/>
      <w:r w:rsidRPr="007F5D1C">
        <w:t xml:space="preserve"> aplinkos </w:t>
      </w:r>
      <w:proofErr w:type="spellStart"/>
      <w:r w:rsidRPr="007F5D1C">
        <w:t>ministerija</w:t>
      </w:r>
      <w:proofErr w:type="spellEnd"/>
      <w:r w:rsidRPr="007F5D1C">
        <w:t>).</w:t>
      </w:r>
      <w:r w:rsidR="00220A1E">
        <w:t xml:space="preserve"> Lēmumu izpildi atbilstoši Lietuvas ģeoloģijas dienesta atzinumiem nodrošina reģionālās vides pārvaldes, kas attiecas uz piesārņotu vietu attīrīšanu.</w:t>
      </w:r>
    </w:p>
    <w:p w14:paraId="234D3A18" w14:textId="77777777" w:rsidR="00AD7E25" w:rsidRDefault="00AD7E25" w:rsidP="005E45DE">
      <w:pPr>
        <w:jc w:val="both"/>
      </w:pPr>
      <w:r>
        <w:t>Lietuvā</w:t>
      </w:r>
      <w:r w:rsidR="00E07B63">
        <w:t xml:space="preserve"> normatīvais regulējums attiecībā uz kvalitātes normatīviem pazemes ūdeņiem un prasībām to attīrīšanai piesārņotās vietās sastāv no:</w:t>
      </w:r>
    </w:p>
    <w:p w14:paraId="64BA7293" w14:textId="77777777" w:rsidR="00E07B63" w:rsidRDefault="00573905" w:rsidP="00E17E73">
      <w:pPr>
        <w:pStyle w:val="ListParagraph"/>
        <w:numPr>
          <w:ilvl w:val="0"/>
          <w:numId w:val="3"/>
        </w:numPr>
        <w:jc w:val="both"/>
      </w:pPr>
      <w:r>
        <w:t>Lietuvas ģeoloģijas dienesta (LGT), kas atrodas Vides ministrijas pakļautībā, 2008. gada 1</w:t>
      </w:r>
      <w:r w:rsidR="00D933E9">
        <w:t xml:space="preserve">7. jūnijā izdotie </w:t>
      </w:r>
      <w:r>
        <w:t xml:space="preserve"> </w:t>
      </w:r>
      <w:r w:rsidR="00D933E9">
        <w:t>noteikumi</w:t>
      </w:r>
      <w:r>
        <w:t xml:space="preserve"> Nr. 1-104 “Par ekoloģiskās izpētes veikšanu” (</w:t>
      </w:r>
      <w:proofErr w:type="spellStart"/>
      <w:r w:rsidRPr="00573905">
        <w:rPr>
          <w:i/>
        </w:rPr>
        <w:t>Dėl</w:t>
      </w:r>
      <w:proofErr w:type="spellEnd"/>
      <w:r w:rsidRPr="00573905">
        <w:rPr>
          <w:i/>
        </w:rPr>
        <w:t xml:space="preserve"> </w:t>
      </w:r>
      <w:proofErr w:type="spellStart"/>
      <w:r w:rsidRPr="00573905">
        <w:rPr>
          <w:i/>
        </w:rPr>
        <w:t>ekogeologinių</w:t>
      </w:r>
      <w:proofErr w:type="spellEnd"/>
      <w:r w:rsidRPr="00573905">
        <w:rPr>
          <w:i/>
        </w:rPr>
        <w:t xml:space="preserve"> </w:t>
      </w:r>
      <w:proofErr w:type="spellStart"/>
      <w:r w:rsidRPr="00573905">
        <w:rPr>
          <w:i/>
        </w:rPr>
        <w:t>tyrimų</w:t>
      </w:r>
      <w:proofErr w:type="spellEnd"/>
      <w:r w:rsidRPr="00573905">
        <w:rPr>
          <w:i/>
        </w:rPr>
        <w:t xml:space="preserve"> </w:t>
      </w:r>
      <w:proofErr w:type="spellStart"/>
      <w:r w:rsidRPr="00573905">
        <w:rPr>
          <w:i/>
        </w:rPr>
        <w:t>reglamento</w:t>
      </w:r>
      <w:proofErr w:type="spellEnd"/>
      <w:r w:rsidRPr="00573905">
        <w:rPr>
          <w:i/>
        </w:rPr>
        <w:t xml:space="preserve"> </w:t>
      </w:r>
      <w:proofErr w:type="spellStart"/>
      <w:r w:rsidRPr="00573905">
        <w:rPr>
          <w:i/>
        </w:rPr>
        <w:t>patvirtinimo</w:t>
      </w:r>
      <w:proofErr w:type="spellEnd"/>
      <w:r>
        <w:t>)</w:t>
      </w:r>
      <w:sdt>
        <w:sdtPr>
          <w:id w:val="1653402181"/>
          <w:citation/>
        </w:sdtPr>
        <w:sdtEndPr/>
        <w:sdtContent>
          <w:r w:rsidR="00C666A6">
            <w:fldChar w:fldCharType="begin"/>
          </w:r>
          <w:r w:rsidR="00C666A6">
            <w:instrText xml:space="preserve"> CITATION Lie081 \l 1062 </w:instrText>
          </w:r>
          <w:r w:rsidR="00C666A6">
            <w:fldChar w:fldCharType="separate"/>
          </w:r>
          <w:r w:rsidR="009950D4">
            <w:rPr>
              <w:noProof/>
            </w:rPr>
            <w:t xml:space="preserve"> </w:t>
          </w:r>
          <w:r w:rsidR="009950D4" w:rsidRPr="009950D4">
            <w:rPr>
              <w:noProof/>
            </w:rPr>
            <w:t>[8]</w:t>
          </w:r>
          <w:r w:rsidR="00C666A6">
            <w:fldChar w:fldCharType="end"/>
          </w:r>
        </w:sdtContent>
      </w:sdt>
      <w:r>
        <w:t>;</w:t>
      </w:r>
    </w:p>
    <w:p w14:paraId="5FCA52A8" w14:textId="77777777" w:rsidR="00573905" w:rsidRPr="008A31EC" w:rsidRDefault="008A31EC" w:rsidP="00E17E73">
      <w:pPr>
        <w:pStyle w:val="ListParagraph"/>
        <w:numPr>
          <w:ilvl w:val="0"/>
          <w:numId w:val="3"/>
        </w:numPr>
        <w:jc w:val="both"/>
      </w:pPr>
      <w:r>
        <w:t>Lietuvas Republikas Vides m</w:t>
      </w:r>
      <w:r w:rsidR="00D933E9">
        <w:t>inistrijas 2008. gada 30. aprīlī</w:t>
      </w:r>
      <w:r>
        <w:t xml:space="preserve"> </w:t>
      </w:r>
      <w:r w:rsidR="00D933E9">
        <w:t xml:space="preserve">izdotie  noteikumi </w:t>
      </w:r>
      <w:r>
        <w:t>Nr. D1-230 (ar grozījumiem D1-37) “Vides prasības ķīmiski piesārņotu zonu pārvaldībai” (</w:t>
      </w:r>
      <w:proofErr w:type="spellStart"/>
      <w:r w:rsidRPr="008A31EC">
        <w:rPr>
          <w:i/>
        </w:rPr>
        <w:t>Cheminėmis</w:t>
      </w:r>
      <w:proofErr w:type="spellEnd"/>
      <w:r w:rsidRPr="008A31EC">
        <w:rPr>
          <w:i/>
        </w:rPr>
        <w:t xml:space="preserve"> </w:t>
      </w:r>
      <w:proofErr w:type="spellStart"/>
      <w:r w:rsidRPr="008A31EC">
        <w:rPr>
          <w:i/>
        </w:rPr>
        <w:t>medžiagomis</w:t>
      </w:r>
      <w:proofErr w:type="spellEnd"/>
      <w:r w:rsidRPr="008A31EC">
        <w:rPr>
          <w:i/>
        </w:rPr>
        <w:t xml:space="preserve"> </w:t>
      </w:r>
      <w:proofErr w:type="spellStart"/>
      <w:r w:rsidRPr="008A31EC">
        <w:rPr>
          <w:i/>
        </w:rPr>
        <w:t>užterštų</w:t>
      </w:r>
      <w:proofErr w:type="spellEnd"/>
      <w:r w:rsidRPr="008A31EC">
        <w:rPr>
          <w:i/>
        </w:rPr>
        <w:t xml:space="preserve"> </w:t>
      </w:r>
      <w:proofErr w:type="spellStart"/>
      <w:r w:rsidRPr="008A31EC">
        <w:rPr>
          <w:i/>
        </w:rPr>
        <w:t>teritorijų</w:t>
      </w:r>
      <w:proofErr w:type="spellEnd"/>
      <w:r w:rsidRPr="008A31EC">
        <w:rPr>
          <w:i/>
        </w:rPr>
        <w:t xml:space="preserve"> </w:t>
      </w:r>
      <w:proofErr w:type="spellStart"/>
      <w:r w:rsidRPr="008A31EC">
        <w:rPr>
          <w:i/>
        </w:rPr>
        <w:t>tvarkymo</w:t>
      </w:r>
      <w:proofErr w:type="spellEnd"/>
      <w:r w:rsidRPr="008A31EC">
        <w:rPr>
          <w:i/>
        </w:rPr>
        <w:t xml:space="preserve"> aplinkos </w:t>
      </w:r>
      <w:proofErr w:type="spellStart"/>
      <w:r w:rsidRPr="008A31EC">
        <w:rPr>
          <w:i/>
        </w:rPr>
        <w:t>apsaugos</w:t>
      </w:r>
      <w:proofErr w:type="spellEnd"/>
      <w:r w:rsidRPr="008A31EC">
        <w:rPr>
          <w:i/>
        </w:rPr>
        <w:t xml:space="preserve"> </w:t>
      </w:r>
      <w:proofErr w:type="spellStart"/>
      <w:r w:rsidRPr="008A31EC">
        <w:rPr>
          <w:i/>
        </w:rPr>
        <w:t>reikalavimai</w:t>
      </w:r>
      <w:proofErr w:type="spellEnd"/>
      <w:r w:rsidRPr="008A31EC">
        <w:t>)</w:t>
      </w:r>
      <w:sdt>
        <w:sdtPr>
          <w:id w:val="1646309057"/>
          <w:citation/>
        </w:sdtPr>
        <w:sdtEndPr/>
        <w:sdtContent>
          <w:r w:rsidR="00C666A6">
            <w:fldChar w:fldCharType="begin"/>
          </w:r>
          <w:r w:rsidR="00C666A6">
            <w:instrText xml:space="preserve"> CITATION Lie08 \l 1062 </w:instrText>
          </w:r>
          <w:r w:rsidR="00C666A6">
            <w:fldChar w:fldCharType="separate"/>
          </w:r>
          <w:r w:rsidR="009950D4">
            <w:rPr>
              <w:noProof/>
            </w:rPr>
            <w:t xml:space="preserve"> </w:t>
          </w:r>
          <w:r w:rsidR="009950D4" w:rsidRPr="009950D4">
            <w:rPr>
              <w:noProof/>
            </w:rPr>
            <w:t>[9]</w:t>
          </w:r>
          <w:r w:rsidR="00C666A6">
            <w:fldChar w:fldCharType="end"/>
          </w:r>
        </w:sdtContent>
      </w:sdt>
      <w:r>
        <w:t>;</w:t>
      </w:r>
    </w:p>
    <w:p w14:paraId="6FD1EE64" w14:textId="77777777" w:rsidR="00E75B7F" w:rsidRDefault="00573905" w:rsidP="00E17E73">
      <w:pPr>
        <w:pStyle w:val="ListParagraph"/>
        <w:numPr>
          <w:ilvl w:val="0"/>
          <w:numId w:val="3"/>
        </w:numPr>
        <w:jc w:val="both"/>
      </w:pPr>
      <w:r>
        <w:t>Lietuvas Republikas Vides min</w:t>
      </w:r>
      <w:r w:rsidR="00D933E9">
        <w:t>istrijas 2009. gada 17. novembrī izdotie  noteikumi</w:t>
      </w:r>
      <w:r>
        <w:t xml:space="preserve"> Nr. D1-694 “ Vides prasības</w:t>
      </w:r>
      <w:r w:rsidR="002F5D7A">
        <w:t xml:space="preserve"> </w:t>
      </w:r>
      <w:r>
        <w:t>teritorijām, kas piesārņotas ar naftas produktiem LAND 9-2009” (</w:t>
      </w:r>
      <w:proofErr w:type="spellStart"/>
      <w:r w:rsidRPr="00573905">
        <w:rPr>
          <w:i/>
        </w:rPr>
        <w:t>Naftos</w:t>
      </w:r>
      <w:proofErr w:type="spellEnd"/>
      <w:r w:rsidRPr="00573905">
        <w:rPr>
          <w:i/>
        </w:rPr>
        <w:t xml:space="preserve"> </w:t>
      </w:r>
      <w:proofErr w:type="spellStart"/>
      <w:r w:rsidRPr="00573905">
        <w:rPr>
          <w:i/>
        </w:rPr>
        <w:t>produktais</w:t>
      </w:r>
      <w:proofErr w:type="spellEnd"/>
      <w:r w:rsidRPr="00573905">
        <w:rPr>
          <w:i/>
        </w:rPr>
        <w:t xml:space="preserve"> </w:t>
      </w:r>
      <w:proofErr w:type="spellStart"/>
      <w:r w:rsidRPr="00573905">
        <w:rPr>
          <w:i/>
        </w:rPr>
        <w:t>užterštų</w:t>
      </w:r>
      <w:proofErr w:type="spellEnd"/>
      <w:r w:rsidRPr="00573905">
        <w:rPr>
          <w:i/>
        </w:rPr>
        <w:t xml:space="preserve"> </w:t>
      </w:r>
      <w:proofErr w:type="spellStart"/>
      <w:r w:rsidRPr="00573905">
        <w:rPr>
          <w:i/>
        </w:rPr>
        <w:t>teritorijų</w:t>
      </w:r>
      <w:proofErr w:type="spellEnd"/>
      <w:r w:rsidRPr="00573905">
        <w:rPr>
          <w:i/>
        </w:rPr>
        <w:t xml:space="preserve"> </w:t>
      </w:r>
      <w:proofErr w:type="spellStart"/>
      <w:r w:rsidRPr="00573905">
        <w:rPr>
          <w:i/>
        </w:rPr>
        <w:t>tvarkymo</w:t>
      </w:r>
      <w:proofErr w:type="spellEnd"/>
      <w:r w:rsidRPr="00573905">
        <w:rPr>
          <w:i/>
        </w:rPr>
        <w:t xml:space="preserve"> aplinkos </w:t>
      </w:r>
      <w:proofErr w:type="spellStart"/>
      <w:r w:rsidRPr="00573905">
        <w:rPr>
          <w:i/>
        </w:rPr>
        <w:t>apsaugos</w:t>
      </w:r>
      <w:proofErr w:type="spellEnd"/>
      <w:r w:rsidRPr="00573905">
        <w:rPr>
          <w:i/>
        </w:rPr>
        <w:t xml:space="preserve"> </w:t>
      </w:r>
      <w:proofErr w:type="spellStart"/>
      <w:r w:rsidRPr="00573905">
        <w:rPr>
          <w:i/>
        </w:rPr>
        <w:t>reikalavimai</w:t>
      </w:r>
      <w:proofErr w:type="spellEnd"/>
      <w:r w:rsidRPr="00573905">
        <w:rPr>
          <w:i/>
        </w:rPr>
        <w:t xml:space="preserve"> </w:t>
      </w:r>
      <w:proofErr w:type="spellStart"/>
      <w:r w:rsidRPr="00573905">
        <w:rPr>
          <w:i/>
        </w:rPr>
        <w:t>Land</w:t>
      </w:r>
      <w:proofErr w:type="spellEnd"/>
      <w:r w:rsidRPr="00573905">
        <w:rPr>
          <w:i/>
        </w:rPr>
        <w:t xml:space="preserve"> 9-2009</w:t>
      </w:r>
      <w:r>
        <w:t>)</w:t>
      </w:r>
      <w:sdt>
        <w:sdtPr>
          <w:id w:val="-1976911796"/>
          <w:citation/>
        </w:sdtPr>
        <w:sdtEndPr/>
        <w:sdtContent>
          <w:r w:rsidR="00C666A6">
            <w:fldChar w:fldCharType="begin"/>
          </w:r>
          <w:r w:rsidR="00C666A6">
            <w:instrText xml:space="preserve"> CITATION Lie \l 1062 </w:instrText>
          </w:r>
          <w:r w:rsidR="00C666A6">
            <w:fldChar w:fldCharType="separate"/>
          </w:r>
          <w:r w:rsidR="009950D4">
            <w:rPr>
              <w:noProof/>
            </w:rPr>
            <w:t xml:space="preserve"> </w:t>
          </w:r>
          <w:r w:rsidR="009950D4" w:rsidRPr="009950D4">
            <w:rPr>
              <w:noProof/>
            </w:rPr>
            <w:t>[10]</w:t>
          </w:r>
          <w:r w:rsidR="00C666A6">
            <w:fldChar w:fldCharType="end"/>
          </w:r>
        </w:sdtContent>
      </w:sdt>
      <w:r>
        <w:t>.</w:t>
      </w:r>
    </w:p>
    <w:p w14:paraId="63B359BA" w14:textId="77777777" w:rsidR="008A31EC" w:rsidRDefault="008A31EC" w:rsidP="005E45DE">
      <w:pPr>
        <w:jc w:val="both"/>
      </w:pPr>
      <w:r>
        <w:t>Augstāk uzskaitīto noteikumu kopums regulē ne tikai prasības pazemes ūdens kv</w:t>
      </w:r>
      <w:r w:rsidR="000A631C">
        <w:t>alitātei un attīrīšanai, bet ir, pēc vienotiem principiem un metodēm izstrādāts</w:t>
      </w:r>
      <w:r>
        <w:t xml:space="preserve">, un ietver kopējas prasības ekoloģiskās izpētes veikšanai, </w:t>
      </w:r>
      <w:r>
        <w:lastRenderedPageBreak/>
        <w:t>prasības pazemes ūdens kvalitātei un grunts kvalitātei, kā arī piesārņotu teritoriju apsaimniekošanai (t.sk. sanācijas veikšanai).</w:t>
      </w:r>
    </w:p>
    <w:p w14:paraId="728627E2" w14:textId="5881A1B3" w:rsidR="008A31EC" w:rsidRDefault="008A31EC" w:rsidP="005E45DE">
      <w:pPr>
        <w:jc w:val="both"/>
      </w:pPr>
      <w:r>
        <w:t>Lietuvas normatīvā regulējuma pieredzē pazemes ūdeņu kvalitātes prasības netiek izrautas no konteksta, bet tiek skatītas ciešā sakarībā ar grunt</w:t>
      </w:r>
      <w:r w:rsidR="0064779B">
        <w:t>s kvalitāti – ir vienota pieeja</w:t>
      </w:r>
      <w:r>
        <w:t xml:space="preserve"> teritoriju zonējumam, vienoti regulējumā atrunāti un definēti termini.</w:t>
      </w:r>
    </w:p>
    <w:p w14:paraId="1FB4F7D9" w14:textId="618F80AF" w:rsidR="008A31EC" w:rsidRDefault="008A31EC" w:rsidP="005E45DE">
      <w:pPr>
        <w:jc w:val="both"/>
      </w:pPr>
      <w:r>
        <w:t xml:space="preserve">Lai arī tas sakņojas Lietuvas spēcīgajās hidroģeoloģiskās un ģeoloģiskās izglītības tradīcijās, </w:t>
      </w:r>
      <w:r w:rsidR="005E45DE">
        <w:t>tomēr nevar neuzsvērt būtisko Lietuvas ģeoloģijas dienesta, kā kompetentās un atbildīgās institūcijas nozīmi gan stratēģijas un regulējuma izstrādē, ieviešanā, gan arī nozares (grunts un gruntsūdens izpētes, monitoringa un sanā</w:t>
      </w:r>
      <w:r w:rsidR="0064779B">
        <w:t>cijas) uzraudzībā un kontrolē. Š</w:t>
      </w:r>
      <w:r w:rsidR="005E45DE">
        <w:t>is aspekts ir būtisks no tāda viedokļa, ka gan par ģeoloģiskās informācijas uzkrāšanu (arhīva funkcija), gan uzraudzību/ kontroli un ekspertīzes/licencēšanas funkcijām ir atbildīga viena iestāde (Lietuvas ģeoloģijas dienests), kurā darbojas ekspertu komanda ar gadu gaitā uzkrātām unikālām zināšanām attiecīgā jomā, kas ļauj izslēgt acīmredzamas negodprātīgas manipulācijas ar regulējuma normām un neviennozīmīgu rekomendāciju tālākas realizācijas piesārņotās vietās, tādējādi nodrošinot konsekventu pieeju pazemes ūdens kvalitātes kontrolē.</w:t>
      </w:r>
    </w:p>
    <w:p w14:paraId="7C95054A" w14:textId="77777777" w:rsidR="007F5D1C" w:rsidRDefault="007F5D1C" w:rsidP="005E45DE">
      <w:pPr>
        <w:jc w:val="both"/>
      </w:pPr>
    </w:p>
    <w:p w14:paraId="7BF8D054" w14:textId="77777777" w:rsidR="005E45DE" w:rsidRDefault="005E45DE" w:rsidP="00E17E73">
      <w:pPr>
        <w:pStyle w:val="Heading3"/>
        <w:numPr>
          <w:ilvl w:val="2"/>
          <w:numId w:val="1"/>
        </w:numPr>
      </w:pPr>
      <w:bookmarkStart w:id="8" w:name="_Toc59326489"/>
      <w:r>
        <w:t>Gruntsūdens kvalitātes kritēriji</w:t>
      </w:r>
      <w:bookmarkEnd w:id="8"/>
    </w:p>
    <w:p w14:paraId="135D2ED0" w14:textId="77777777" w:rsidR="005E45DE" w:rsidRDefault="005E45DE" w:rsidP="00220A1E">
      <w:pPr>
        <w:jc w:val="both"/>
      </w:pPr>
      <w:r>
        <w:t xml:space="preserve">Noteikumos (pavēlē) Nr. </w:t>
      </w:r>
      <w:r w:rsidR="00776399">
        <w:t xml:space="preserve">D-230 </w:t>
      </w:r>
      <w:sdt>
        <w:sdtPr>
          <w:id w:val="2020968995"/>
          <w:citation/>
        </w:sdtPr>
        <w:sdtEndPr/>
        <w:sdtContent>
          <w:r w:rsidR="00776399">
            <w:fldChar w:fldCharType="begin"/>
          </w:r>
          <w:r w:rsidR="00776399">
            <w:instrText xml:space="preserve"> CITATION Lie08 \l 1062 </w:instrText>
          </w:r>
          <w:r w:rsidR="00776399">
            <w:fldChar w:fldCharType="separate"/>
          </w:r>
          <w:r w:rsidR="009950D4" w:rsidRPr="009950D4">
            <w:rPr>
              <w:noProof/>
            </w:rPr>
            <w:t>[9]</w:t>
          </w:r>
          <w:r w:rsidR="00776399">
            <w:fldChar w:fldCharType="end"/>
          </w:r>
        </w:sdtContent>
      </w:sdt>
      <w:r w:rsidR="00776399">
        <w:t xml:space="preserve"> minētas kvalitātes prasības pazemes ūdeņiem. Lietuvas normatīvais regulējums attiecībā uz pazemes ūdens un arī grunts kvalitātes prasībām ir raksturīgs ar to, ka robežvērtības ir noteiktas atkarībā no vietas jutīguma pakāpes, kas pavisam izdalītas četras:</w:t>
      </w:r>
    </w:p>
    <w:p w14:paraId="78D9A49F" w14:textId="77777777" w:rsidR="00776399" w:rsidRPr="00776399" w:rsidRDefault="00776399" w:rsidP="00E17E73">
      <w:pPr>
        <w:pStyle w:val="ListParagraph"/>
        <w:numPr>
          <w:ilvl w:val="0"/>
          <w:numId w:val="11"/>
        </w:numPr>
        <w:jc w:val="both"/>
      </w:pPr>
      <w:r w:rsidRPr="00776399">
        <w:t>I kategorija – Ļoti augsts jutīgums (ūdens ņemšanas vietas, aizsargājamas teritorijas, utt.);</w:t>
      </w:r>
    </w:p>
    <w:p w14:paraId="508D5767" w14:textId="77777777" w:rsidR="00776399" w:rsidRPr="00776399" w:rsidRDefault="00776399" w:rsidP="00E17E73">
      <w:pPr>
        <w:pStyle w:val="ListParagraph"/>
        <w:numPr>
          <w:ilvl w:val="0"/>
          <w:numId w:val="11"/>
        </w:numPr>
        <w:jc w:val="both"/>
      </w:pPr>
      <w:r w:rsidRPr="00776399">
        <w:t xml:space="preserve">II kategorija - Augsts jutīgums (Lauksaimniecības zemes, </w:t>
      </w:r>
      <w:proofErr w:type="spellStart"/>
      <w:r w:rsidRPr="00776399">
        <w:t>ūdensgūtnes</w:t>
      </w:r>
      <w:proofErr w:type="spellEnd"/>
      <w:r w:rsidRPr="00776399">
        <w:t xml:space="preserve"> ķīmiskā aizsargjosla, dzīvojamās apbūves zemes, rekreācijas zemes, utt.);</w:t>
      </w:r>
    </w:p>
    <w:p w14:paraId="595EFD22" w14:textId="77777777" w:rsidR="00776399" w:rsidRPr="00776399" w:rsidRDefault="00776399" w:rsidP="00E17E73">
      <w:pPr>
        <w:pStyle w:val="ListParagraph"/>
        <w:numPr>
          <w:ilvl w:val="0"/>
          <w:numId w:val="11"/>
        </w:numPr>
        <w:jc w:val="both"/>
      </w:pPr>
      <w:r w:rsidRPr="00776399">
        <w:t>III kategorija - Vidējs jutīgums (Meži, darījumu teritorijas, utt.);</w:t>
      </w:r>
    </w:p>
    <w:p w14:paraId="2C21DEB7" w14:textId="77777777" w:rsidR="00776399" w:rsidRPr="00776399" w:rsidRDefault="00776399" w:rsidP="00E17E73">
      <w:pPr>
        <w:pStyle w:val="ListParagraph"/>
        <w:numPr>
          <w:ilvl w:val="0"/>
          <w:numId w:val="11"/>
        </w:numPr>
        <w:jc w:val="both"/>
      </w:pPr>
      <w:r w:rsidRPr="00776399">
        <w:t>IV kategorija – Zems jutīgums (Rūpniecības un industriālās teritorijas, Naftas ieguves vietas, DUS, dzelzceļi, maģistrālie cauruļvadi, utt.).</w:t>
      </w:r>
    </w:p>
    <w:p w14:paraId="2A69D265" w14:textId="77777777" w:rsidR="00776399" w:rsidRDefault="00776399" w:rsidP="00220A1E">
      <w:pPr>
        <w:jc w:val="both"/>
      </w:pPr>
      <w:r>
        <w:t>Pazemes ūdeņiem, atšķirībā no grunts kvalitātes prasībām, II, III un IV kategorijas robežvērtības ir identiskas, atšķirīgas ir tikai robežvērtības I kategorijai – ļoti augsta jutīguma teritorijām.</w:t>
      </w:r>
      <w:r w:rsidR="007926C6">
        <w:t xml:space="preserve"> </w:t>
      </w:r>
      <w:r w:rsidR="001C0AB1" w:rsidRPr="001C0AB1">
        <w:t>Tabulā Nr. 1</w:t>
      </w:r>
      <w:r w:rsidR="007926C6" w:rsidRPr="001C0AB1">
        <w:t xml:space="preserve"> ir</w:t>
      </w:r>
      <w:r w:rsidR="007926C6">
        <w:t xml:space="preserve"> apkopoti parametri</w:t>
      </w:r>
      <w:r w:rsidR="00206F5F">
        <w:t>,</w:t>
      </w:r>
      <w:r w:rsidR="007926C6">
        <w:t xml:space="preserve"> kas ir kopīgi Latvijas un Lietuvas normatīvajā regulējumā, bet pilnīgs Lietuvas regulējumā iekļauto parametru saraksts (t.sk. robežvērtības pa jutīguma grupām) ir skatāms 1. pielikumā. Jāatzīmē, ka vēsturiski, dažādu iemeslu dēļ, Lietuvas regulējumā iekļauto parametru saraksts ir ievērojami </w:t>
      </w:r>
      <w:r w:rsidR="00206F5F">
        <w:t>plašāks nekā</w:t>
      </w:r>
      <w:r w:rsidR="007926C6">
        <w:t xml:space="preserve"> Latvijas normatīvajos dokumentos attiecībā uz pazemes ūdeņiem (kas nav dzeramie ūdeņi).</w:t>
      </w:r>
    </w:p>
    <w:p w14:paraId="38B94435" w14:textId="77777777" w:rsidR="007926C6" w:rsidRDefault="007926C6" w:rsidP="007926C6">
      <w:pPr>
        <w:pStyle w:val="Caption"/>
      </w:pPr>
      <w:r>
        <w:t xml:space="preserve">Tabula </w:t>
      </w:r>
      <w:r w:rsidR="00FE6CAD">
        <w:rPr>
          <w:noProof/>
        </w:rPr>
        <w:fldChar w:fldCharType="begin"/>
      </w:r>
      <w:r w:rsidR="00FE6CAD">
        <w:rPr>
          <w:noProof/>
        </w:rPr>
        <w:instrText xml:space="preserve"> SEQ Tabula \* ARABIC </w:instrText>
      </w:r>
      <w:r w:rsidR="00FE6CAD">
        <w:rPr>
          <w:noProof/>
        </w:rPr>
        <w:fldChar w:fldCharType="separate"/>
      </w:r>
      <w:r>
        <w:rPr>
          <w:noProof/>
        </w:rPr>
        <w:t>1</w:t>
      </w:r>
      <w:r w:rsidR="00FE6CAD">
        <w:rPr>
          <w:noProof/>
        </w:rPr>
        <w:fldChar w:fldCharType="end"/>
      </w:r>
      <w:r w:rsidR="00206F5F">
        <w:t xml:space="preserve">.  Latvijas un Lietuvas </w:t>
      </w:r>
      <w:r>
        <w:t>gruntsūdens kvalitātes kopīgo parametru salīdzinājums</w:t>
      </w:r>
    </w:p>
    <w:tbl>
      <w:tblPr>
        <w:tblStyle w:val="ListTable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817"/>
        <w:gridCol w:w="907"/>
        <w:gridCol w:w="1372"/>
        <w:gridCol w:w="1362"/>
        <w:gridCol w:w="1375"/>
        <w:gridCol w:w="1373"/>
        <w:gridCol w:w="1422"/>
      </w:tblGrid>
      <w:tr w:rsidR="007926C6" w14:paraId="24BC06D0" w14:textId="77777777" w:rsidTr="007926C6">
        <w:trPr>
          <w:cnfStyle w:val="100000000000" w:firstRow="1" w:lastRow="0" w:firstColumn="0" w:lastColumn="0" w:oddVBand="0" w:evenVBand="0" w:oddHBand="0" w:evenHBand="0" w:firstRowFirstColumn="0" w:firstRowLastColumn="0" w:lastRowFirstColumn="0" w:lastRowLastColumn="0"/>
        </w:trPr>
        <w:tc>
          <w:tcPr>
            <w:tcW w:w="1817" w:type="dxa"/>
            <w:vMerge w:val="restart"/>
            <w:vAlign w:val="center"/>
          </w:tcPr>
          <w:p w14:paraId="367A8517" w14:textId="77777777" w:rsidR="007926C6" w:rsidRPr="009D3FBC" w:rsidRDefault="007926C6" w:rsidP="007926C6">
            <w:pPr>
              <w:jc w:val="center"/>
              <w:rPr>
                <w:sz w:val="20"/>
                <w:szCs w:val="20"/>
              </w:rPr>
            </w:pPr>
            <w:r w:rsidRPr="009D3FBC">
              <w:rPr>
                <w:sz w:val="20"/>
                <w:szCs w:val="20"/>
              </w:rPr>
              <w:t>Parametrs</w:t>
            </w:r>
          </w:p>
        </w:tc>
        <w:tc>
          <w:tcPr>
            <w:tcW w:w="907" w:type="dxa"/>
            <w:vMerge w:val="restart"/>
            <w:vAlign w:val="center"/>
          </w:tcPr>
          <w:p w14:paraId="1550830C" w14:textId="77777777" w:rsidR="007926C6" w:rsidRPr="009D3FBC" w:rsidRDefault="007926C6" w:rsidP="007926C6">
            <w:pPr>
              <w:jc w:val="center"/>
              <w:rPr>
                <w:sz w:val="20"/>
                <w:szCs w:val="20"/>
              </w:rPr>
            </w:pPr>
            <w:proofErr w:type="spellStart"/>
            <w:r w:rsidRPr="009D3FBC">
              <w:rPr>
                <w:sz w:val="20"/>
                <w:szCs w:val="20"/>
              </w:rPr>
              <w:t>Mērv</w:t>
            </w:r>
            <w:proofErr w:type="spellEnd"/>
            <w:r w:rsidRPr="009D3FBC">
              <w:rPr>
                <w:sz w:val="20"/>
                <w:szCs w:val="20"/>
              </w:rPr>
              <w:t>.</w:t>
            </w:r>
          </w:p>
        </w:tc>
        <w:tc>
          <w:tcPr>
            <w:tcW w:w="4109" w:type="dxa"/>
            <w:gridSpan w:val="3"/>
            <w:vAlign w:val="center"/>
          </w:tcPr>
          <w:p w14:paraId="4CC025F8" w14:textId="77777777" w:rsidR="007926C6" w:rsidRPr="009D3FBC" w:rsidRDefault="007926C6" w:rsidP="007926C6">
            <w:pPr>
              <w:jc w:val="center"/>
              <w:rPr>
                <w:sz w:val="20"/>
                <w:szCs w:val="20"/>
              </w:rPr>
            </w:pPr>
            <w:r w:rsidRPr="009D3FBC">
              <w:rPr>
                <w:sz w:val="20"/>
                <w:szCs w:val="20"/>
              </w:rPr>
              <w:t>Ūdens kvalitātes normatīvi pazemes ūdeņu stāvokļa novērtēšanai</w:t>
            </w:r>
            <w:r w:rsidR="00D933E9">
              <w:rPr>
                <w:sz w:val="20"/>
                <w:szCs w:val="20"/>
              </w:rPr>
              <w:t xml:space="preserve"> Latvijā</w:t>
            </w:r>
          </w:p>
        </w:tc>
        <w:tc>
          <w:tcPr>
            <w:tcW w:w="2795" w:type="dxa"/>
            <w:gridSpan w:val="2"/>
            <w:vAlign w:val="center"/>
          </w:tcPr>
          <w:p w14:paraId="027D874B" w14:textId="77777777" w:rsidR="007926C6" w:rsidRPr="009D3FBC" w:rsidRDefault="007926C6" w:rsidP="007926C6">
            <w:pPr>
              <w:jc w:val="center"/>
              <w:rPr>
                <w:sz w:val="20"/>
                <w:szCs w:val="20"/>
              </w:rPr>
            </w:pPr>
            <w:r w:rsidRPr="007926C6">
              <w:rPr>
                <w:sz w:val="20"/>
                <w:szCs w:val="20"/>
              </w:rPr>
              <w:t>Ķīmisko vielu robežvērtības pazemes ūdeņiem</w:t>
            </w:r>
            <w:r>
              <w:rPr>
                <w:sz w:val="20"/>
                <w:szCs w:val="20"/>
              </w:rPr>
              <w:t xml:space="preserve"> Lietuvā</w:t>
            </w:r>
          </w:p>
        </w:tc>
      </w:tr>
      <w:tr w:rsidR="007926C6" w14:paraId="71CBD321" w14:textId="77777777" w:rsidTr="007926C6">
        <w:tc>
          <w:tcPr>
            <w:tcW w:w="1817" w:type="dxa"/>
            <w:vMerge/>
            <w:vAlign w:val="center"/>
          </w:tcPr>
          <w:p w14:paraId="5C5E26BD" w14:textId="77777777" w:rsidR="007926C6" w:rsidRPr="009D3FBC" w:rsidRDefault="007926C6" w:rsidP="007926C6">
            <w:pPr>
              <w:jc w:val="center"/>
              <w:rPr>
                <w:sz w:val="20"/>
                <w:szCs w:val="20"/>
              </w:rPr>
            </w:pPr>
          </w:p>
        </w:tc>
        <w:tc>
          <w:tcPr>
            <w:tcW w:w="907" w:type="dxa"/>
            <w:vMerge/>
            <w:vAlign w:val="center"/>
          </w:tcPr>
          <w:p w14:paraId="230114F3" w14:textId="77777777" w:rsidR="007926C6" w:rsidRPr="009D3FBC" w:rsidRDefault="007926C6" w:rsidP="007926C6">
            <w:pPr>
              <w:jc w:val="center"/>
              <w:rPr>
                <w:sz w:val="20"/>
                <w:szCs w:val="20"/>
              </w:rPr>
            </w:pPr>
          </w:p>
        </w:tc>
        <w:tc>
          <w:tcPr>
            <w:tcW w:w="1372" w:type="dxa"/>
            <w:vMerge w:val="restart"/>
            <w:vAlign w:val="center"/>
          </w:tcPr>
          <w:p w14:paraId="7B8D8484" w14:textId="77777777" w:rsidR="007926C6" w:rsidRPr="00832FDC" w:rsidRDefault="007926C6" w:rsidP="007926C6">
            <w:pPr>
              <w:jc w:val="center"/>
              <w:rPr>
                <w:b/>
                <w:sz w:val="20"/>
                <w:szCs w:val="20"/>
              </w:rPr>
            </w:pPr>
            <w:proofErr w:type="spellStart"/>
            <w:r w:rsidRPr="00832FDC">
              <w:rPr>
                <w:b/>
                <w:sz w:val="20"/>
                <w:szCs w:val="20"/>
              </w:rPr>
              <w:t>Mērķlielums</w:t>
            </w:r>
            <w:proofErr w:type="spellEnd"/>
          </w:p>
        </w:tc>
        <w:tc>
          <w:tcPr>
            <w:tcW w:w="1362" w:type="dxa"/>
            <w:vMerge w:val="restart"/>
            <w:vAlign w:val="center"/>
          </w:tcPr>
          <w:p w14:paraId="7F21BEC6" w14:textId="77777777" w:rsidR="007926C6" w:rsidRPr="00832FDC" w:rsidRDefault="007926C6" w:rsidP="007926C6">
            <w:pPr>
              <w:jc w:val="center"/>
              <w:rPr>
                <w:b/>
                <w:sz w:val="20"/>
                <w:szCs w:val="20"/>
              </w:rPr>
            </w:pPr>
            <w:proofErr w:type="spellStart"/>
            <w:r w:rsidRPr="00832FDC">
              <w:rPr>
                <w:b/>
                <w:sz w:val="20"/>
                <w:szCs w:val="20"/>
              </w:rPr>
              <w:t>Vid</w:t>
            </w:r>
            <w:r w:rsidRPr="00832FDC">
              <w:rPr>
                <w:b/>
                <w:sz w:val="20"/>
                <w:szCs w:val="20"/>
                <w:vertAlign w:val="subscript"/>
              </w:rPr>
              <w:t>ARITM</w:t>
            </w:r>
            <w:proofErr w:type="spellEnd"/>
          </w:p>
        </w:tc>
        <w:tc>
          <w:tcPr>
            <w:tcW w:w="1375" w:type="dxa"/>
            <w:vMerge w:val="restart"/>
            <w:vAlign w:val="center"/>
          </w:tcPr>
          <w:p w14:paraId="4CA0B7D3" w14:textId="77777777" w:rsidR="007926C6" w:rsidRPr="00832FDC" w:rsidRDefault="007926C6" w:rsidP="007926C6">
            <w:pPr>
              <w:jc w:val="center"/>
              <w:rPr>
                <w:b/>
                <w:sz w:val="20"/>
                <w:szCs w:val="20"/>
              </w:rPr>
            </w:pPr>
            <w:r w:rsidRPr="00832FDC">
              <w:rPr>
                <w:b/>
                <w:sz w:val="20"/>
                <w:szCs w:val="20"/>
              </w:rPr>
              <w:t>Robežlielums</w:t>
            </w:r>
          </w:p>
        </w:tc>
        <w:tc>
          <w:tcPr>
            <w:tcW w:w="2795" w:type="dxa"/>
            <w:gridSpan w:val="2"/>
            <w:vAlign w:val="center"/>
          </w:tcPr>
          <w:p w14:paraId="4CB90A45" w14:textId="77777777" w:rsidR="007926C6" w:rsidRPr="007926C6" w:rsidRDefault="007926C6" w:rsidP="007926C6">
            <w:pPr>
              <w:jc w:val="center"/>
              <w:rPr>
                <w:sz w:val="20"/>
                <w:szCs w:val="20"/>
              </w:rPr>
            </w:pPr>
            <w:r w:rsidRPr="007926C6">
              <w:rPr>
                <w:sz w:val="20"/>
                <w:szCs w:val="20"/>
              </w:rPr>
              <w:t>Piesārņojuma jutīguma kategorijām</w:t>
            </w:r>
          </w:p>
        </w:tc>
      </w:tr>
      <w:tr w:rsidR="007926C6" w14:paraId="280199E1" w14:textId="77777777" w:rsidTr="007926C6">
        <w:tc>
          <w:tcPr>
            <w:tcW w:w="1817" w:type="dxa"/>
            <w:vMerge/>
            <w:vAlign w:val="center"/>
          </w:tcPr>
          <w:p w14:paraId="336F7F91" w14:textId="77777777" w:rsidR="007926C6" w:rsidRPr="009D3FBC" w:rsidRDefault="007926C6" w:rsidP="007926C6">
            <w:pPr>
              <w:jc w:val="center"/>
              <w:rPr>
                <w:sz w:val="20"/>
                <w:szCs w:val="20"/>
              </w:rPr>
            </w:pPr>
          </w:p>
        </w:tc>
        <w:tc>
          <w:tcPr>
            <w:tcW w:w="907" w:type="dxa"/>
            <w:vMerge/>
            <w:vAlign w:val="center"/>
          </w:tcPr>
          <w:p w14:paraId="577DAAC7" w14:textId="77777777" w:rsidR="007926C6" w:rsidRPr="009D3FBC" w:rsidRDefault="007926C6" w:rsidP="007926C6">
            <w:pPr>
              <w:jc w:val="center"/>
              <w:rPr>
                <w:sz w:val="20"/>
                <w:szCs w:val="20"/>
              </w:rPr>
            </w:pPr>
          </w:p>
        </w:tc>
        <w:tc>
          <w:tcPr>
            <w:tcW w:w="1372" w:type="dxa"/>
            <w:vMerge/>
            <w:vAlign w:val="center"/>
          </w:tcPr>
          <w:p w14:paraId="0B0D6A9D" w14:textId="77777777" w:rsidR="007926C6" w:rsidRPr="00832FDC" w:rsidRDefault="007926C6" w:rsidP="007926C6">
            <w:pPr>
              <w:jc w:val="center"/>
              <w:rPr>
                <w:b/>
                <w:sz w:val="20"/>
                <w:szCs w:val="20"/>
              </w:rPr>
            </w:pPr>
          </w:p>
        </w:tc>
        <w:tc>
          <w:tcPr>
            <w:tcW w:w="1362" w:type="dxa"/>
            <w:vMerge/>
            <w:vAlign w:val="center"/>
          </w:tcPr>
          <w:p w14:paraId="1CBFC61B" w14:textId="77777777" w:rsidR="007926C6" w:rsidRPr="00832FDC" w:rsidRDefault="007926C6" w:rsidP="007926C6">
            <w:pPr>
              <w:jc w:val="center"/>
              <w:rPr>
                <w:b/>
                <w:sz w:val="20"/>
                <w:szCs w:val="20"/>
              </w:rPr>
            </w:pPr>
          </w:p>
        </w:tc>
        <w:tc>
          <w:tcPr>
            <w:tcW w:w="1375" w:type="dxa"/>
            <w:vMerge/>
            <w:vAlign w:val="center"/>
          </w:tcPr>
          <w:p w14:paraId="041FAEB6" w14:textId="77777777" w:rsidR="007926C6" w:rsidRPr="00832FDC" w:rsidRDefault="007926C6" w:rsidP="007926C6">
            <w:pPr>
              <w:jc w:val="center"/>
              <w:rPr>
                <w:b/>
                <w:sz w:val="20"/>
                <w:szCs w:val="20"/>
              </w:rPr>
            </w:pPr>
          </w:p>
        </w:tc>
        <w:tc>
          <w:tcPr>
            <w:tcW w:w="1373" w:type="dxa"/>
            <w:vAlign w:val="center"/>
          </w:tcPr>
          <w:p w14:paraId="4E7E38BC" w14:textId="77777777" w:rsidR="007926C6" w:rsidRPr="00C503F0" w:rsidRDefault="007926C6" w:rsidP="007926C6">
            <w:pPr>
              <w:jc w:val="center"/>
            </w:pPr>
            <w:r w:rsidRPr="00C503F0">
              <w:t>I</w:t>
            </w:r>
          </w:p>
        </w:tc>
        <w:tc>
          <w:tcPr>
            <w:tcW w:w="1422" w:type="dxa"/>
            <w:vAlign w:val="center"/>
          </w:tcPr>
          <w:p w14:paraId="5B535C1D" w14:textId="77777777" w:rsidR="007926C6" w:rsidRDefault="007926C6" w:rsidP="007926C6">
            <w:pPr>
              <w:jc w:val="center"/>
            </w:pPr>
            <w:r w:rsidRPr="00C503F0">
              <w:t>II, III, IV</w:t>
            </w:r>
          </w:p>
        </w:tc>
      </w:tr>
      <w:tr w:rsidR="007926C6" w14:paraId="6E4A82ED" w14:textId="77777777" w:rsidTr="007926C6">
        <w:tc>
          <w:tcPr>
            <w:tcW w:w="1817" w:type="dxa"/>
            <w:vAlign w:val="center"/>
          </w:tcPr>
          <w:p w14:paraId="6079224E" w14:textId="77777777" w:rsidR="007926C6" w:rsidRPr="00BF789A" w:rsidRDefault="007926C6" w:rsidP="007926C6">
            <w:pPr>
              <w:jc w:val="center"/>
            </w:pPr>
            <w:r w:rsidRPr="00BF789A">
              <w:t>Fenolu indekss</w:t>
            </w:r>
          </w:p>
        </w:tc>
        <w:tc>
          <w:tcPr>
            <w:tcW w:w="907" w:type="dxa"/>
            <w:vAlign w:val="center"/>
          </w:tcPr>
          <w:p w14:paraId="2225F4D0" w14:textId="77777777" w:rsidR="007926C6" w:rsidRDefault="007926C6" w:rsidP="007926C6">
            <w:pPr>
              <w:jc w:val="center"/>
            </w:pPr>
            <w:r w:rsidRPr="00BF789A">
              <w:t>µg/l</w:t>
            </w:r>
          </w:p>
        </w:tc>
        <w:tc>
          <w:tcPr>
            <w:tcW w:w="1372" w:type="dxa"/>
            <w:vAlign w:val="center"/>
          </w:tcPr>
          <w:p w14:paraId="252D8750" w14:textId="77777777" w:rsidR="007926C6" w:rsidRPr="00832FDC" w:rsidRDefault="007926C6" w:rsidP="007926C6">
            <w:pPr>
              <w:jc w:val="center"/>
              <w:rPr>
                <w:b/>
                <w:sz w:val="20"/>
                <w:szCs w:val="20"/>
              </w:rPr>
            </w:pPr>
            <w:r>
              <w:rPr>
                <w:b/>
                <w:sz w:val="20"/>
                <w:szCs w:val="20"/>
              </w:rPr>
              <w:t>0.5</w:t>
            </w:r>
          </w:p>
        </w:tc>
        <w:tc>
          <w:tcPr>
            <w:tcW w:w="1362" w:type="dxa"/>
            <w:vAlign w:val="center"/>
          </w:tcPr>
          <w:p w14:paraId="5EACC0EE" w14:textId="77777777" w:rsidR="007926C6" w:rsidRPr="00832FDC" w:rsidRDefault="007926C6" w:rsidP="007926C6">
            <w:pPr>
              <w:jc w:val="center"/>
              <w:rPr>
                <w:b/>
                <w:sz w:val="20"/>
                <w:szCs w:val="20"/>
              </w:rPr>
            </w:pPr>
            <w:r>
              <w:rPr>
                <w:b/>
                <w:sz w:val="20"/>
                <w:szCs w:val="20"/>
              </w:rPr>
              <w:t>25.25</w:t>
            </w:r>
          </w:p>
        </w:tc>
        <w:tc>
          <w:tcPr>
            <w:tcW w:w="1375" w:type="dxa"/>
            <w:vAlign w:val="center"/>
          </w:tcPr>
          <w:p w14:paraId="2472657F" w14:textId="77777777" w:rsidR="007926C6" w:rsidRPr="00832FDC" w:rsidRDefault="007926C6" w:rsidP="007926C6">
            <w:pPr>
              <w:jc w:val="center"/>
              <w:rPr>
                <w:b/>
                <w:sz w:val="20"/>
                <w:szCs w:val="20"/>
              </w:rPr>
            </w:pPr>
            <w:r>
              <w:rPr>
                <w:b/>
                <w:sz w:val="20"/>
                <w:szCs w:val="20"/>
              </w:rPr>
              <w:t>50</w:t>
            </w:r>
          </w:p>
        </w:tc>
        <w:tc>
          <w:tcPr>
            <w:tcW w:w="1373" w:type="dxa"/>
            <w:vAlign w:val="center"/>
          </w:tcPr>
          <w:p w14:paraId="53AC765A" w14:textId="77777777" w:rsidR="007926C6" w:rsidRPr="00832FDC" w:rsidRDefault="007926C6" w:rsidP="007926C6">
            <w:pPr>
              <w:jc w:val="center"/>
              <w:rPr>
                <w:b/>
                <w:sz w:val="20"/>
                <w:szCs w:val="20"/>
              </w:rPr>
            </w:pPr>
            <w:r>
              <w:rPr>
                <w:b/>
                <w:sz w:val="20"/>
                <w:szCs w:val="20"/>
              </w:rPr>
              <w:t>20</w:t>
            </w:r>
          </w:p>
        </w:tc>
        <w:tc>
          <w:tcPr>
            <w:tcW w:w="1422" w:type="dxa"/>
            <w:vAlign w:val="center"/>
          </w:tcPr>
          <w:p w14:paraId="1A4543E6" w14:textId="77777777" w:rsidR="007926C6" w:rsidRPr="00832FDC" w:rsidRDefault="007926C6" w:rsidP="007926C6">
            <w:pPr>
              <w:jc w:val="center"/>
              <w:rPr>
                <w:b/>
                <w:sz w:val="20"/>
                <w:szCs w:val="20"/>
              </w:rPr>
            </w:pPr>
            <w:r>
              <w:rPr>
                <w:b/>
                <w:sz w:val="20"/>
                <w:szCs w:val="20"/>
              </w:rPr>
              <w:t>2000</w:t>
            </w:r>
          </w:p>
        </w:tc>
      </w:tr>
      <w:tr w:rsidR="007926C6" w14:paraId="0B701F58" w14:textId="77777777" w:rsidTr="007926C6">
        <w:tc>
          <w:tcPr>
            <w:tcW w:w="1817" w:type="dxa"/>
            <w:vAlign w:val="center"/>
          </w:tcPr>
          <w:p w14:paraId="3B8DBD07" w14:textId="77777777" w:rsidR="007926C6" w:rsidRDefault="007926C6" w:rsidP="007926C6">
            <w:pPr>
              <w:jc w:val="center"/>
            </w:pPr>
            <w:r w:rsidRPr="000745B6">
              <w:t>Naftas ogļūdeņraži</w:t>
            </w:r>
          </w:p>
          <w:p w14:paraId="479983FE" w14:textId="77777777" w:rsidR="007926C6" w:rsidRPr="000745B6" w:rsidRDefault="007926C6" w:rsidP="007926C6">
            <w:pPr>
              <w:jc w:val="center"/>
            </w:pPr>
            <w:r w:rsidRPr="000745B6">
              <w:t>(C10-C40)</w:t>
            </w:r>
          </w:p>
        </w:tc>
        <w:tc>
          <w:tcPr>
            <w:tcW w:w="907" w:type="dxa"/>
            <w:vAlign w:val="center"/>
          </w:tcPr>
          <w:p w14:paraId="676987EE" w14:textId="77777777" w:rsidR="007926C6" w:rsidRPr="00832FDC" w:rsidRDefault="007926C6" w:rsidP="007926C6">
            <w:pPr>
              <w:jc w:val="center"/>
              <w:rPr>
                <w:sz w:val="20"/>
                <w:szCs w:val="20"/>
              </w:rPr>
            </w:pPr>
            <w:r>
              <w:rPr>
                <w:sz w:val="20"/>
                <w:szCs w:val="20"/>
              </w:rPr>
              <w:t>mg/l</w:t>
            </w:r>
          </w:p>
        </w:tc>
        <w:tc>
          <w:tcPr>
            <w:tcW w:w="1372" w:type="dxa"/>
            <w:vMerge w:val="restart"/>
            <w:vAlign w:val="center"/>
          </w:tcPr>
          <w:p w14:paraId="56909B70" w14:textId="77777777" w:rsidR="007926C6" w:rsidRPr="00832FDC" w:rsidRDefault="007926C6" w:rsidP="007926C6">
            <w:pPr>
              <w:jc w:val="center"/>
              <w:rPr>
                <w:sz w:val="20"/>
                <w:szCs w:val="20"/>
              </w:rPr>
            </w:pPr>
            <w:r>
              <w:rPr>
                <w:sz w:val="20"/>
                <w:szCs w:val="20"/>
              </w:rPr>
              <w:t>-</w:t>
            </w:r>
          </w:p>
        </w:tc>
        <w:tc>
          <w:tcPr>
            <w:tcW w:w="1362" w:type="dxa"/>
            <w:vMerge w:val="restart"/>
            <w:vAlign w:val="center"/>
          </w:tcPr>
          <w:p w14:paraId="04A7F9B3" w14:textId="77777777" w:rsidR="007926C6" w:rsidRPr="00832FDC" w:rsidRDefault="007926C6" w:rsidP="007926C6">
            <w:pPr>
              <w:jc w:val="center"/>
              <w:rPr>
                <w:sz w:val="20"/>
                <w:szCs w:val="20"/>
              </w:rPr>
            </w:pPr>
            <w:r>
              <w:rPr>
                <w:sz w:val="20"/>
                <w:szCs w:val="20"/>
              </w:rPr>
              <w:t>0.5</w:t>
            </w:r>
          </w:p>
        </w:tc>
        <w:tc>
          <w:tcPr>
            <w:tcW w:w="1375" w:type="dxa"/>
            <w:vMerge w:val="restart"/>
            <w:vAlign w:val="center"/>
          </w:tcPr>
          <w:p w14:paraId="3B22EB9E" w14:textId="77777777" w:rsidR="007926C6" w:rsidRPr="00832FDC" w:rsidRDefault="007926C6" w:rsidP="007926C6">
            <w:pPr>
              <w:jc w:val="center"/>
              <w:rPr>
                <w:sz w:val="20"/>
                <w:szCs w:val="20"/>
              </w:rPr>
            </w:pPr>
            <w:r>
              <w:rPr>
                <w:sz w:val="20"/>
                <w:szCs w:val="20"/>
              </w:rPr>
              <w:t>1</w:t>
            </w:r>
          </w:p>
        </w:tc>
        <w:tc>
          <w:tcPr>
            <w:tcW w:w="1373" w:type="dxa"/>
            <w:vAlign w:val="center"/>
          </w:tcPr>
          <w:p w14:paraId="45B5F0F4" w14:textId="77777777" w:rsidR="007926C6" w:rsidRPr="00832FDC" w:rsidRDefault="00F12D88" w:rsidP="007926C6">
            <w:pPr>
              <w:jc w:val="center"/>
              <w:rPr>
                <w:sz w:val="20"/>
                <w:szCs w:val="20"/>
              </w:rPr>
            </w:pPr>
            <w:r>
              <w:rPr>
                <w:sz w:val="20"/>
                <w:szCs w:val="20"/>
              </w:rPr>
              <w:t>0.5</w:t>
            </w:r>
          </w:p>
        </w:tc>
        <w:tc>
          <w:tcPr>
            <w:tcW w:w="1422" w:type="dxa"/>
            <w:vAlign w:val="center"/>
          </w:tcPr>
          <w:p w14:paraId="6FE99156" w14:textId="77777777" w:rsidR="007926C6" w:rsidRDefault="00F12D88" w:rsidP="007926C6">
            <w:pPr>
              <w:jc w:val="center"/>
              <w:rPr>
                <w:sz w:val="20"/>
                <w:szCs w:val="20"/>
              </w:rPr>
            </w:pPr>
            <w:r>
              <w:rPr>
                <w:sz w:val="20"/>
                <w:szCs w:val="20"/>
              </w:rPr>
              <w:t>II – 2</w:t>
            </w:r>
          </w:p>
          <w:p w14:paraId="6E798221" w14:textId="77777777" w:rsidR="00F12D88" w:rsidRDefault="00F12D88" w:rsidP="007926C6">
            <w:pPr>
              <w:jc w:val="center"/>
              <w:rPr>
                <w:sz w:val="20"/>
                <w:szCs w:val="20"/>
              </w:rPr>
            </w:pPr>
            <w:r>
              <w:rPr>
                <w:sz w:val="20"/>
                <w:szCs w:val="20"/>
              </w:rPr>
              <w:t>III – 5</w:t>
            </w:r>
          </w:p>
          <w:p w14:paraId="46822FC9" w14:textId="77777777" w:rsidR="00F12D88" w:rsidRPr="00832FDC" w:rsidRDefault="00F12D88" w:rsidP="007926C6">
            <w:pPr>
              <w:jc w:val="center"/>
              <w:rPr>
                <w:sz w:val="20"/>
                <w:szCs w:val="20"/>
              </w:rPr>
            </w:pPr>
            <w:r>
              <w:rPr>
                <w:sz w:val="20"/>
                <w:szCs w:val="20"/>
              </w:rPr>
              <w:t>IV – 10</w:t>
            </w:r>
          </w:p>
        </w:tc>
      </w:tr>
      <w:tr w:rsidR="007926C6" w14:paraId="07A061AC" w14:textId="77777777" w:rsidTr="007926C6">
        <w:tc>
          <w:tcPr>
            <w:tcW w:w="1817" w:type="dxa"/>
            <w:vAlign w:val="center"/>
          </w:tcPr>
          <w:p w14:paraId="676F26F8" w14:textId="77777777" w:rsidR="007926C6" w:rsidRDefault="007926C6" w:rsidP="007926C6">
            <w:pPr>
              <w:jc w:val="center"/>
            </w:pPr>
            <w:r w:rsidRPr="000745B6">
              <w:t>(C6-C10)</w:t>
            </w:r>
          </w:p>
        </w:tc>
        <w:tc>
          <w:tcPr>
            <w:tcW w:w="907" w:type="dxa"/>
            <w:vAlign w:val="center"/>
          </w:tcPr>
          <w:p w14:paraId="2E36D42F" w14:textId="77777777" w:rsidR="007926C6" w:rsidRPr="00832FDC" w:rsidRDefault="007926C6" w:rsidP="007926C6">
            <w:pPr>
              <w:jc w:val="center"/>
              <w:rPr>
                <w:sz w:val="20"/>
                <w:szCs w:val="20"/>
              </w:rPr>
            </w:pPr>
            <w:r>
              <w:rPr>
                <w:sz w:val="20"/>
                <w:szCs w:val="20"/>
              </w:rPr>
              <w:t>mg/l</w:t>
            </w:r>
          </w:p>
        </w:tc>
        <w:tc>
          <w:tcPr>
            <w:tcW w:w="1372" w:type="dxa"/>
            <w:vMerge/>
            <w:vAlign w:val="center"/>
          </w:tcPr>
          <w:p w14:paraId="0876CB9F" w14:textId="77777777" w:rsidR="007926C6" w:rsidRPr="00832FDC" w:rsidRDefault="007926C6" w:rsidP="007926C6">
            <w:pPr>
              <w:jc w:val="center"/>
              <w:rPr>
                <w:sz w:val="20"/>
                <w:szCs w:val="20"/>
              </w:rPr>
            </w:pPr>
          </w:p>
        </w:tc>
        <w:tc>
          <w:tcPr>
            <w:tcW w:w="1362" w:type="dxa"/>
            <w:vMerge/>
            <w:vAlign w:val="center"/>
          </w:tcPr>
          <w:p w14:paraId="506E3D3F" w14:textId="77777777" w:rsidR="007926C6" w:rsidRPr="00832FDC" w:rsidRDefault="007926C6" w:rsidP="007926C6">
            <w:pPr>
              <w:jc w:val="center"/>
              <w:rPr>
                <w:sz w:val="20"/>
                <w:szCs w:val="20"/>
              </w:rPr>
            </w:pPr>
          </w:p>
        </w:tc>
        <w:tc>
          <w:tcPr>
            <w:tcW w:w="1375" w:type="dxa"/>
            <w:vMerge/>
            <w:vAlign w:val="center"/>
          </w:tcPr>
          <w:p w14:paraId="3030735A" w14:textId="77777777" w:rsidR="007926C6" w:rsidRPr="00832FDC" w:rsidRDefault="007926C6" w:rsidP="007926C6">
            <w:pPr>
              <w:jc w:val="center"/>
              <w:rPr>
                <w:sz w:val="20"/>
                <w:szCs w:val="20"/>
              </w:rPr>
            </w:pPr>
          </w:p>
        </w:tc>
        <w:tc>
          <w:tcPr>
            <w:tcW w:w="1373" w:type="dxa"/>
            <w:vAlign w:val="center"/>
          </w:tcPr>
          <w:p w14:paraId="4DC618E3" w14:textId="77777777" w:rsidR="007926C6" w:rsidRPr="00832FDC" w:rsidRDefault="00F12D88" w:rsidP="007926C6">
            <w:pPr>
              <w:jc w:val="center"/>
              <w:rPr>
                <w:sz w:val="20"/>
                <w:szCs w:val="20"/>
              </w:rPr>
            </w:pPr>
            <w:r>
              <w:rPr>
                <w:sz w:val="20"/>
                <w:szCs w:val="20"/>
              </w:rPr>
              <w:t>1</w:t>
            </w:r>
          </w:p>
        </w:tc>
        <w:tc>
          <w:tcPr>
            <w:tcW w:w="1422" w:type="dxa"/>
            <w:vAlign w:val="center"/>
          </w:tcPr>
          <w:p w14:paraId="43B5AA76" w14:textId="77777777" w:rsidR="00F12D88" w:rsidRDefault="00F12D88" w:rsidP="00F12D88">
            <w:pPr>
              <w:jc w:val="center"/>
              <w:rPr>
                <w:sz w:val="20"/>
                <w:szCs w:val="20"/>
              </w:rPr>
            </w:pPr>
            <w:r>
              <w:rPr>
                <w:sz w:val="20"/>
                <w:szCs w:val="20"/>
              </w:rPr>
              <w:t>II – 2</w:t>
            </w:r>
          </w:p>
          <w:p w14:paraId="2B593D39" w14:textId="77777777" w:rsidR="00F12D88" w:rsidRDefault="00F12D88" w:rsidP="00F12D88">
            <w:pPr>
              <w:jc w:val="center"/>
              <w:rPr>
                <w:sz w:val="20"/>
                <w:szCs w:val="20"/>
              </w:rPr>
            </w:pPr>
            <w:r>
              <w:rPr>
                <w:sz w:val="20"/>
                <w:szCs w:val="20"/>
              </w:rPr>
              <w:t>III – 5</w:t>
            </w:r>
          </w:p>
          <w:p w14:paraId="198E6AB5" w14:textId="77777777" w:rsidR="007926C6" w:rsidRPr="00832FDC" w:rsidRDefault="00F12D88" w:rsidP="00F12D88">
            <w:pPr>
              <w:jc w:val="center"/>
              <w:rPr>
                <w:sz w:val="20"/>
                <w:szCs w:val="20"/>
              </w:rPr>
            </w:pPr>
            <w:r>
              <w:rPr>
                <w:sz w:val="20"/>
                <w:szCs w:val="20"/>
              </w:rPr>
              <w:t>IV – 10</w:t>
            </w:r>
          </w:p>
        </w:tc>
      </w:tr>
      <w:tr w:rsidR="00F12D88" w14:paraId="7E58AB7C" w14:textId="77777777" w:rsidTr="00F12D88">
        <w:tc>
          <w:tcPr>
            <w:tcW w:w="1817" w:type="dxa"/>
            <w:vAlign w:val="center"/>
          </w:tcPr>
          <w:p w14:paraId="2ECFB4A4" w14:textId="77777777" w:rsidR="00F12D88" w:rsidRPr="00F02D1C" w:rsidRDefault="00F12D88" w:rsidP="00F12D88">
            <w:pPr>
              <w:jc w:val="center"/>
            </w:pPr>
            <w:r w:rsidRPr="00F02D1C">
              <w:t>Benzols</w:t>
            </w:r>
          </w:p>
        </w:tc>
        <w:tc>
          <w:tcPr>
            <w:tcW w:w="907" w:type="dxa"/>
            <w:vAlign w:val="center"/>
          </w:tcPr>
          <w:p w14:paraId="7151B10C" w14:textId="77777777" w:rsidR="00F12D88" w:rsidRPr="00F02D1C" w:rsidRDefault="00F12D88" w:rsidP="00F12D88">
            <w:pPr>
              <w:jc w:val="center"/>
            </w:pPr>
            <w:r w:rsidRPr="00F02D1C">
              <w:t>µg/l</w:t>
            </w:r>
          </w:p>
        </w:tc>
        <w:tc>
          <w:tcPr>
            <w:tcW w:w="1372" w:type="dxa"/>
            <w:vAlign w:val="center"/>
          </w:tcPr>
          <w:p w14:paraId="6601FF69" w14:textId="77777777" w:rsidR="00F12D88" w:rsidRPr="00F02D1C" w:rsidRDefault="00F12D88" w:rsidP="00F12D88">
            <w:pPr>
              <w:jc w:val="center"/>
            </w:pPr>
            <w:r w:rsidRPr="00F02D1C">
              <w:t>0.2</w:t>
            </w:r>
          </w:p>
        </w:tc>
        <w:tc>
          <w:tcPr>
            <w:tcW w:w="1362" w:type="dxa"/>
            <w:vAlign w:val="center"/>
          </w:tcPr>
          <w:p w14:paraId="75B04844" w14:textId="77777777" w:rsidR="00F12D88" w:rsidRPr="00F02D1C" w:rsidRDefault="00F12D88" w:rsidP="00F12D88">
            <w:pPr>
              <w:jc w:val="center"/>
            </w:pPr>
            <w:r w:rsidRPr="00F02D1C">
              <w:t>2.6</w:t>
            </w:r>
          </w:p>
        </w:tc>
        <w:tc>
          <w:tcPr>
            <w:tcW w:w="1375" w:type="dxa"/>
            <w:vAlign w:val="center"/>
          </w:tcPr>
          <w:p w14:paraId="06D152D7" w14:textId="77777777" w:rsidR="00F12D88" w:rsidRPr="00F02D1C" w:rsidRDefault="00F12D88" w:rsidP="00F12D88">
            <w:pPr>
              <w:jc w:val="center"/>
            </w:pPr>
            <w:r w:rsidRPr="00F02D1C">
              <w:t>5</w:t>
            </w:r>
          </w:p>
        </w:tc>
        <w:tc>
          <w:tcPr>
            <w:tcW w:w="1373" w:type="dxa"/>
            <w:vAlign w:val="center"/>
          </w:tcPr>
          <w:p w14:paraId="2763B895" w14:textId="77777777" w:rsidR="00F12D88" w:rsidRPr="0086577B" w:rsidRDefault="00F12D88" w:rsidP="00F12D88">
            <w:pPr>
              <w:jc w:val="center"/>
            </w:pPr>
            <w:r w:rsidRPr="0086577B">
              <w:t>10</w:t>
            </w:r>
          </w:p>
        </w:tc>
        <w:tc>
          <w:tcPr>
            <w:tcW w:w="1422" w:type="dxa"/>
            <w:vAlign w:val="center"/>
          </w:tcPr>
          <w:p w14:paraId="37ACE1A1" w14:textId="77777777" w:rsidR="00F12D88" w:rsidRPr="0086577B" w:rsidRDefault="00F12D88" w:rsidP="00F12D88">
            <w:pPr>
              <w:jc w:val="center"/>
            </w:pPr>
            <w:r w:rsidRPr="0086577B">
              <w:t>50</w:t>
            </w:r>
          </w:p>
        </w:tc>
      </w:tr>
      <w:tr w:rsidR="00F12D88" w14:paraId="1D631C33" w14:textId="77777777" w:rsidTr="00F12D88">
        <w:tc>
          <w:tcPr>
            <w:tcW w:w="1817" w:type="dxa"/>
            <w:vAlign w:val="center"/>
          </w:tcPr>
          <w:p w14:paraId="2AB7B79F" w14:textId="77777777" w:rsidR="00F12D88" w:rsidRPr="00F02D1C" w:rsidRDefault="00F12D88" w:rsidP="00F12D88">
            <w:pPr>
              <w:jc w:val="center"/>
            </w:pPr>
            <w:proofErr w:type="spellStart"/>
            <w:r w:rsidRPr="00F02D1C">
              <w:t>Etilbenzols</w:t>
            </w:r>
            <w:proofErr w:type="spellEnd"/>
          </w:p>
        </w:tc>
        <w:tc>
          <w:tcPr>
            <w:tcW w:w="907" w:type="dxa"/>
            <w:vAlign w:val="center"/>
          </w:tcPr>
          <w:p w14:paraId="650C271A" w14:textId="77777777" w:rsidR="00F12D88" w:rsidRPr="00F02D1C" w:rsidRDefault="00F12D88" w:rsidP="00F12D88">
            <w:pPr>
              <w:jc w:val="center"/>
            </w:pPr>
            <w:r w:rsidRPr="00F02D1C">
              <w:t>µg/l</w:t>
            </w:r>
          </w:p>
        </w:tc>
        <w:tc>
          <w:tcPr>
            <w:tcW w:w="1372" w:type="dxa"/>
            <w:vAlign w:val="center"/>
          </w:tcPr>
          <w:p w14:paraId="1E44F035" w14:textId="77777777" w:rsidR="00F12D88" w:rsidRPr="00F02D1C" w:rsidRDefault="00F12D88" w:rsidP="00F12D88">
            <w:pPr>
              <w:jc w:val="center"/>
            </w:pPr>
            <w:r w:rsidRPr="00F02D1C">
              <w:t>0.5</w:t>
            </w:r>
          </w:p>
        </w:tc>
        <w:tc>
          <w:tcPr>
            <w:tcW w:w="1362" w:type="dxa"/>
            <w:vAlign w:val="center"/>
          </w:tcPr>
          <w:p w14:paraId="55BFD9F9" w14:textId="77777777" w:rsidR="00F12D88" w:rsidRPr="00F02D1C" w:rsidRDefault="00F12D88" w:rsidP="00F12D88">
            <w:pPr>
              <w:jc w:val="center"/>
            </w:pPr>
            <w:r w:rsidRPr="00F02D1C">
              <w:t>30.25</w:t>
            </w:r>
          </w:p>
        </w:tc>
        <w:tc>
          <w:tcPr>
            <w:tcW w:w="1375" w:type="dxa"/>
            <w:vAlign w:val="center"/>
          </w:tcPr>
          <w:p w14:paraId="3C1A128E" w14:textId="77777777" w:rsidR="00F12D88" w:rsidRPr="00F02D1C" w:rsidRDefault="00F12D88" w:rsidP="00F12D88">
            <w:pPr>
              <w:jc w:val="center"/>
            </w:pPr>
            <w:r w:rsidRPr="00F02D1C">
              <w:t>60</w:t>
            </w:r>
          </w:p>
        </w:tc>
        <w:tc>
          <w:tcPr>
            <w:tcW w:w="1373" w:type="dxa"/>
            <w:vAlign w:val="center"/>
          </w:tcPr>
          <w:p w14:paraId="4F46970B" w14:textId="77777777" w:rsidR="00F12D88" w:rsidRPr="0086577B" w:rsidRDefault="00F12D88" w:rsidP="00F12D88">
            <w:pPr>
              <w:jc w:val="center"/>
            </w:pPr>
            <w:r w:rsidRPr="0086577B">
              <w:t>5</w:t>
            </w:r>
          </w:p>
        </w:tc>
        <w:tc>
          <w:tcPr>
            <w:tcW w:w="1422" w:type="dxa"/>
            <w:vAlign w:val="center"/>
          </w:tcPr>
          <w:p w14:paraId="621D6972" w14:textId="77777777" w:rsidR="00F12D88" w:rsidRPr="0086577B" w:rsidRDefault="00F12D88" w:rsidP="00F12D88">
            <w:pPr>
              <w:jc w:val="center"/>
            </w:pPr>
            <w:r w:rsidRPr="0086577B">
              <w:t>300</w:t>
            </w:r>
          </w:p>
        </w:tc>
      </w:tr>
      <w:tr w:rsidR="00F12D88" w14:paraId="3FC6E414" w14:textId="77777777" w:rsidTr="00F12D88">
        <w:tc>
          <w:tcPr>
            <w:tcW w:w="1817" w:type="dxa"/>
            <w:vAlign w:val="center"/>
          </w:tcPr>
          <w:p w14:paraId="7E3D8593" w14:textId="77777777" w:rsidR="00F12D88" w:rsidRPr="00F02D1C" w:rsidRDefault="00F12D88" w:rsidP="00F12D88">
            <w:pPr>
              <w:jc w:val="center"/>
            </w:pPr>
            <w:r w:rsidRPr="00F02D1C">
              <w:lastRenderedPageBreak/>
              <w:t>Toluols</w:t>
            </w:r>
          </w:p>
        </w:tc>
        <w:tc>
          <w:tcPr>
            <w:tcW w:w="907" w:type="dxa"/>
            <w:vAlign w:val="center"/>
          </w:tcPr>
          <w:p w14:paraId="193A4952" w14:textId="77777777" w:rsidR="00F12D88" w:rsidRPr="00F02D1C" w:rsidRDefault="00F12D88" w:rsidP="00F12D88">
            <w:pPr>
              <w:jc w:val="center"/>
            </w:pPr>
            <w:r w:rsidRPr="00F02D1C">
              <w:t>µg/l</w:t>
            </w:r>
          </w:p>
        </w:tc>
        <w:tc>
          <w:tcPr>
            <w:tcW w:w="1372" w:type="dxa"/>
            <w:vAlign w:val="center"/>
          </w:tcPr>
          <w:p w14:paraId="6C1B9E6F" w14:textId="77777777" w:rsidR="00F12D88" w:rsidRPr="00F02D1C" w:rsidRDefault="00F12D88" w:rsidP="00F12D88">
            <w:pPr>
              <w:jc w:val="center"/>
            </w:pPr>
            <w:r w:rsidRPr="00F02D1C">
              <w:t>0.5</w:t>
            </w:r>
          </w:p>
        </w:tc>
        <w:tc>
          <w:tcPr>
            <w:tcW w:w="1362" w:type="dxa"/>
            <w:vAlign w:val="center"/>
          </w:tcPr>
          <w:p w14:paraId="7A9A0BBF" w14:textId="77777777" w:rsidR="00F12D88" w:rsidRPr="00F02D1C" w:rsidRDefault="00F12D88" w:rsidP="00F12D88">
            <w:pPr>
              <w:jc w:val="center"/>
            </w:pPr>
            <w:r w:rsidRPr="00F02D1C">
              <w:t>25.25</w:t>
            </w:r>
          </w:p>
        </w:tc>
        <w:tc>
          <w:tcPr>
            <w:tcW w:w="1375" w:type="dxa"/>
            <w:vAlign w:val="center"/>
          </w:tcPr>
          <w:p w14:paraId="02C18F4F" w14:textId="77777777" w:rsidR="00F12D88" w:rsidRPr="00F02D1C" w:rsidRDefault="00F12D88" w:rsidP="00F12D88">
            <w:pPr>
              <w:jc w:val="center"/>
            </w:pPr>
            <w:r w:rsidRPr="00F02D1C">
              <w:t>50</w:t>
            </w:r>
          </w:p>
        </w:tc>
        <w:tc>
          <w:tcPr>
            <w:tcW w:w="1373" w:type="dxa"/>
            <w:vAlign w:val="center"/>
          </w:tcPr>
          <w:p w14:paraId="56A372FC" w14:textId="77777777" w:rsidR="00F12D88" w:rsidRPr="0086577B" w:rsidRDefault="00F12D88" w:rsidP="00F12D88">
            <w:pPr>
              <w:jc w:val="center"/>
            </w:pPr>
            <w:r w:rsidRPr="0086577B">
              <w:t>500</w:t>
            </w:r>
          </w:p>
        </w:tc>
        <w:tc>
          <w:tcPr>
            <w:tcW w:w="1422" w:type="dxa"/>
            <w:vAlign w:val="center"/>
          </w:tcPr>
          <w:p w14:paraId="577F0A9C" w14:textId="77777777" w:rsidR="00F12D88" w:rsidRPr="0086577B" w:rsidRDefault="00F12D88" w:rsidP="00F12D88">
            <w:pPr>
              <w:jc w:val="center"/>
            </w:pPr>
            <w:r w:rsidRPr="0086577B">
              <w:t>1000</w:t>
            </w:r>
          </w:p>
        </w:tc>
      </w:tr>
      <w:tr w:rsidR="00F12D88" w14:paraId="65A20E6E" w14:textId="77777777" w:rsidTr="00F12D88">
        <w:tc>
          <w:tcPr>
            <w:tcW w:w="1817" w:type="dxa"/>
            <w:vAlign w:val="center"/>
          </w:tcPr>
          <w:p w14:paraId="4C28B233" w14:textId="77777777" w:rsidR="00F12D88" w:rsidRPr="00F02D1C" w:rsidRDefault="00F12D88" w:rsidP="00F12D88">
            <w:pPr>
              <w:jc w:val="center"/>
            </w:pPr>
            <w:proofErr w:type="spellStart"/>
            <w:r w:rsidRPr="00F02D1C">
              <w:t>Ksiloli</w:t>
            </w:r>
            <w:proofErr w:type="spellEnd"/>
          </w:p>
        </w:tc>
        <w:tc>
          <w:tcPr>
            <w:tcW w:w="907" w:type="dxa"/>
            <w:vAlign w:val="center"/>
          </w:tcPr>
          <w:p w14:paraId="50492DB0" w14:textId="77777777" w:rsidR="00F12D88" w:rsidRPr="00F02D1C" w:rsidRDefault="00F12D88" w:rsidP="00F12D88">
            <w:pPr>
              <w:jc w:val="center"/>
            </w:pPr>
            <w:r w:rsidRPr="00F02D1C">
              <w:t>µg/l</w:t>
            </w:r>
          </w:p>
        </w:tc>
        <w:tc>
          <w:tcPr>
            <w:tcW w:w="1372" w:type="dxa"/>
            <w:vAlign w:val="center"/>
          </w:tcPr>
          <w:p w14:paraId="226A86A4" w14:textId="77777777" w:rsidR="00F12D88" w:rsidRPr="00F02D1C" w:rsidRDefault="00F12D88" w:rsidP="00F12D88">
            <w:pPr>
              <w:jc w:val="center"/>
            </w:pPr>
            <w:r w:rsidRPr="00F02D1C">
              <w:t>0.5</w:t>
            </w:r>
          </w:p>
        </w:tc>
        <w:tc>
          <w:tcPr>
            <w:tcW w:w="1362" w:type="dxa"/>
            <w:vAlign w:val="center"/>
          </w:tcPr>
          <w:p w14:paraId="6BBC02EA" w14:textId="77777777" w:rsidR="00F12D88" w:rsidRPr="00F02D1C" w:rsidRDefault="00F12D88" w:rsidP="00F12D88">
            <w:pPr>
              <w:jc w:val="center"/>
            </w:pPr>
            <w:r w:rsidRPr="00F02D1C">
              <w:t>30.25</w:t>
            </w:r>
          </w:p>
        </w:tc>
        <w:tc>
          <w:tcPr>
            <w:tcW w:w="1375" w:type="dxa"/>
            <w:vAlign w:val="center"/>
          </w:tcPr>
          <w:p w14:paraId="26C8B3D6" w14:textId="77777777" w:rsidR="00F12D88" w:rsidRDefault="00F12D88" w:rsidP="00F12D88">
            <w:pPr>
              <w:jc w:val="center"/>
            </w:pPr>
            <w:r w:rsidRPr="00F02D1C">
              <w:t>60</w:t>
            </w:r>
          </w:p>
        </w:tc>
        <w:tc>
          <w:tcPr>
            <w:tcW w:w="1373" w:type="dxa"/>
            <w:vAlign w:val="center"/>
          </w:tcPr>
          <w:p w14:paraId="7CA7D0B6" w14:textId="77777777" w:rsidR="00F12D88" w:rsidRPr="0086577B" w:rsidRDefault="00F12D88" w:rsidP="00F12D88">
            <w:pPr>
              <w:jc w:val="center"/>
            </w:pPr>
            <w:r w:rsidRPr="0086577B">
              <w:t>50</w:t>
            </w:r>
          </w:p>
        </w:tc>
        <w:tc>
          <w:tcPr>
            <w:tcW w:w="1422" w:type="dxa"/>
            <w:vAlign w:val="center"/>
          </w:tcPr>
          <w:p w14:paraId="4CFECA41" w14:textId="77777777" w:rsidR="00F12D88" w:rsidRDefault="00F12D88" w:rsidP="00F12D88">
            <w:pPr>
              <w:jc w:val="center"/>
            </w:pPr>
            <w:r w:rsidRPr="0086577B">
              <w:t>500</w:t>
            </w:r>
          </w:p>
        </w:tc>
      </w:tr>
      <w:tr w:rsidR="00F12D88" w14:paraId="2CC2DA34" w14:textId="77777777" w:rsidTr="00F12D88">
        <w:tc>
          <w:tcPr>
            <w:tcW w:w="1817" w:type="dxa"/>
            <w:vAlign w:val="center"/>
          </w:tcPr>
          <w:p w14:paraId="1510849B" w14:textId="77777777" w:rsidR="00F12D88" w:rsidRPr="00DE12D6" w:rsidRDefault="00F12D88" w:rsidP="00F12D88">
            <w:pPr>
              <w:jc w:val="center"/>
            </w:pPr>
            <w:r w:rsidRPr="00DE12D6">
              <w:t>Varš (</w:t>
            </w:r>
            <w:proofErr w:type="spellStart"/>
            <w:r w:rsidRPr="00DE12D6">
              <w:t>Cu</w:t>
            </w:r>
            <w:proofErr w:type="spellEnd"/>
            <w:r w:rsidRPr="00DE12D6">
              <w:t>)</w:t>
            </w:r>
          </w:p>
        </w:tc>
        <w:tc>
          <w:tcPr>
            <w:tcW w:w="907" w:type="dxa"/>
            <w:vAlign w:val="center"/>
          </w:tcPr>
          <w:p w14:paraId="35BBDE57" w14:textId="77777777" w:rsidR="00F12D88" w:rsidRPr="00DE12D6" w:rsidRDefault="00F12D88" w:rsidP="00F12D88">
            <w:pPr>
              <w:jc w:val="center"/>
            </w:pPr>
            <w:r w:rsidRPr="00DE12D6">
              <w:t>µg/l</w:t>
            </w:r>
          </w:p>
        </w:tc>
        <w:tc>
          <w:tcPr>
            <w:tcW w:w="1372" w:type="dxa"/>
            <w:vAlign w:val="center"/>
          </w:tcPr>
          <w:p w14:paraId="034D73A5" w14:textId="77777777" w:rsidR="00F12D88" w:rsidRPr="00DE12D6" w:rsidRDefault="00F12D88" w:rsidP="00F12D88">
            <w:pPr>
              <w:jc w:val="center"/>
            </w:pPr>
            <w:r w:rsidRPr="00DE12D6">
              <w:t>10</w:t>
            </w:r>
          </w:p>
        </w:tc>
        <w:tc>
          <w:tcPr>
            <w:tcW w:w="1362" w:type="dxa"/>
            <w:vAlign w:val="center"/>
          </w:tcPr>
          <w:p w14:paraId="4D5A31B8" w14:textId="77777777" w:rsidR="00F12D88" w:rsidRPr="00DE12D6" w:rsidRDefault="00F12D88" w:rsidP="00F12D88">
            <w:pPr>
              <w:jc w:val="center"/>
            </w:pPr>
            <w:r w:rsidRPr="00DE12D6">
              <w:t>42.5</w:t>
            </w:r>
          </w:p>
        </w:tc>
        <w:tc>
          <w:tcPr>
            <w:tcW w:w="1375" w:type="dxa"/>
            <w:vAlign w:val="center"/>
          </w:tcPr>
          <w:p w14:paraId="18324334" w14:textId="77777777" w:rsidR="00F12D88" w:rsidRPr="00DE12D6" w:rsidRDefault="00F12D88" w:rsidP="00F12D88">
            <w:pPr>
              <w:jc w:val="center"/>
            </w:pPr>
            <w:r w:rsidRPr="00DE12D6">
              <w:t>75</w:t>
            </w:r>
          </w:p>
        </w:tc>
        <w:tc>
          <w:tcPr>
            <w:tcW w:w="1373" w:type="dxa"/>
            <w:vAlign w:val="center"/>
          </w:tcPr>
          <w:p w14:paraId="5B48E6D3" w14:textId="77777777" w:rsidR="00F12D88" w:rsidRPr="00DE12D6" w:rsidRDefault="00F12D88" w:rsidP="00F12D88">
            <w:pPr>
              <w:jc w:val="center"/>
            </w:pPr>
            <w:r w:rsidRPr="00DE12D6">
              <w:t>60</w:t>
            </w:r>
          </w:p>
        </w:tc>
        <w:tc>
          <w:tcPr>
            <w:tcW w:w="1422" w:type="dxa"/>
            <w:vAlign w:val="center"/>
          </w:tcPr>
          <w:p w14:paraId="16CC0AB1" w14:textId="77777777" w:rsidR="00F12D88" w:rsidRPr="00DE12D6" w:rsidRDefault="00F12D88" w:rsidP="00F12D88">
            <w:pPr>
              <w:jc w:val="center"/>
            </w:pPr>
            <w:r w:rsidRPr="00DE12D6">
              <w:t>2000</w:t>
            </w:r>
          </w:p>
        </w:tc>
      </w:tr>
      <w:tr w:rsidR="00F12D88" w14:paraId="7F970AD2" w14:textId="77777777" w:rsidTr="00F12D88">
        <w:tc>
          <w:tcPr>
            <w:tcW w:w="1817" w:type="dxa"/>
            <w:vAlign w:val="center"/>
          </w:tcPr>
          <w:p w14:paraId="4A39D5AE" w14:textId="77777777" w:rsidR="00F12D88" w:rsidRPr="00DE12D6" w:rsidRDefault="00F12D88" w:rsidP="00F12D88">
            <w:pPr>
              <w:jc w:val="center"/>
            </w:pPr>
            <w:r w:rsidRPr="00DE12D6">
              <w:t>Svins (</w:t>
            </w:r>
            <w:proofErr w:type="spellStart"/>
            <w:r w:rsidRPr="00DE12D6">
              <w:t>Pb</w:t>
            </w:r>
            <w:proofErr w:type="spellEnd"/>
            <w:r w:rsidRPr="00DE12D6">
              <w:t>)</w:t>
            </w:r>
          </w:p>
        </w:tc>
        <w:tc>
          <w:tcPr>
            <w:tcW w:w="907" w:type="dxa"/>
            <w:vAlign w:val="center"/>
          </w:tcPr>
          <w:p w14:paraId="27C7576B" w14:textId="77777777" w:rsidR="00F12D88" w:rsidRPr="00DE12D6" w:rsidRDefault="00F12D88" w:rsidP="00F12D88">
            <w:pPr>
              <w:jc w:val="center"/>
            </w:pPr>
            <w:r w:rsidRPr="00DE12D6">
              <w:t>µg/l</w:t>
            </w:r>
          </w:p>
        </w:tc>
        <w:tc>
          <w:tcPr>
            <w:tcW w:w="1372" w:type="dxa"/>
            <w:vAlign w:val="center"/>
          </w:tcPr>
          <w:p w14:paraId="25716A3B" w14:textId="77777777" w:rsidR="00F12D88" w:rsidRPr="00DE12D6" w:rsidRDefault="00F12D88" w:rsidP="00F12D88">
            <w:pPr>
              <w:jc w:val="center"/>
            </w:pPr>
            <w:r w:rsidRPr="00DE12D6">
              <w:t>10</w:t>
            </w:r>
          </w:p>
        </w:tc>
        <w:tc>
          <w:tcPr>
            <w:tcW w:w="1362" w:type="dxa"/>
            <w:vAlign w:val="center"/>
          </w:tcPr>
          <w:p w14:paraId="0B05226B" w14:textId="77777777" w:rsidR="00F12D88" w:rsidRPr="00DE12D6" w:rsidRDefault="00F12D88" w:rsidP="00F12D88">
            <w:pPr>
              <w:jc w:val="center"/>
            </w:pPr>
            <w:r w:rsidRPr="00DE12D6">
              <w:t>42.5</w:t>
            </w:r>
          </w:p>
        </w:tc>
        <w:tc>
          <w:tcPr>
            <w:tcW w:w="1375" w:type="dxa"/>
            <w:vAlign w:val="center"/>
          </w:tcPr>
          <w:p w14:paraId="5F061333" w14:textId="77777777" w:rsidR="00F12D88" w:rsidRPr="00DE12D6" w:rsidRDefault="00F12D88" w:rsidP="00F12D88">
            <w:pPr>
              <w:jc w:val="center"/>
            </w:pPr>
            <w:r w:rsidRPr="00DE12D6">
              <w:t>75</w:t>
            </w:r>
          </w:p>
        </w:tc>
        <w:tc>
          <w:tcPr>
            <w:tcW w:w="1373" w:type="dxa"/>
            <w:vAlign w:val="center"/>
          </w:tcPr>
          <w:p w14:paraId="071B6B70" w14:textId="77777777" w:rsidR="00F12D88" w:rsidRPr="00DE12D6" w:rsidRDefault="00F12D88" w:rsidP="00F12D88">
            <w:pPr>
              <w:jc w:val="center"/>
            </w:pPr>
            <w:r w:rsidRPr="00DE12D6">
              <w:t>25</w:t>
            </w:r>
          </w:p>
        </w:tc>
        <w:tc>
          <w:tcPr>
            <w:tcW w:w="1422" w:type="dxa"/>
            <w:vAlign w:val="center"/>
          </w:tcPr>
          <w:p w14:paraId="41F56E58" w14:textId="77777777" w:rsidR="00F12D88" w:rsidRPr="00DE12D6" w:rsidRDefault="00F12D88" w:rsidP="00F12D88">
            <w:pPr>
              <w:jc w:val="center"/>
            </w:pPr>
            <w:r w:rsidRPr="00DE12D6">
              <w:t>75</w:t>
            </w:r>
          </w:p>
        </w:tc>
      </w:tr>
      <w:tr w:rsidR="00F12D88" w14:paraId="0C3C020C" w14:textId="77777777" w:rsidTr="00F12D88">
        <w:tc>
          <w:tcPr>
            <w:tcW w:w="1817" w:type="dxa"/>
            <w:vAlign w:val="center"/>
          </w:tcPr>
          <w:p w14:paraId="608706DC" w14:textId="77777777" w:rsidR="00F12D88" w:rsidRPr="00DE12D6" w:rsidRDefault="00F12D88" w:rsidP="00F12D88">
            <w:pPr>
              <w:jc w:val="center"/>
            </w:pPr>
            <w:r w:rsidRPr="00DE12D6">
              <w:t>Kadmijs (</w:t>
            </w:r>
            <w:proofErr w:type="spellStart"/>
            <w:r w:rsidRPr="00DE12D6">
              <w:t>Cd</w:t>
            </w:r>
            <w:proofErr w:type="spellEnd"/>
            <w:r w:rsidRPr="00DE12D6">
              <w:t>)</w:t>
            </w:r>
          </w:p>
        </w:tc>
        <w:tc>
          <w:tcPr>
            <w:tcW w:w="907" w:type="dxa"/>
            <w:vAlign w:val="center"/>
          </w:tcPr>
          <w:p w14:paraId="371F0768" w14:textId="77777777" w:rsidR="00F12D88" w:rsidRPr="00DE12D6" w:rsidRDefault="00F12D88" w:rsidP="00F12D88">
            <w:pPr>
              <w:jc w:val="center"/>
            </w:pPr>
            <w:r w:rsidRPr="00DE12D6">
              <w:t>µg/l</w:t>
            </w:r>
          </w:p>
        </w:tc>
        <w:tc>
          <w:tcPr>
            <w:tcW w:w="1372" w:type="dxa"/>
            <w:vAlign w:val="center"/>
          </w:tcPr>
          <w:p w14:paraId="3C6BE052" w14:textId="77777777" w:rsidR="00F12D88" w:rsidRPr="00DE12D6" w:rsidRDefault="00F12D88" w:rsidP="00F12D88">
            <w:pPr>
              <w:jc w:val="center"/>
            </w:pPr>
            <w:r w:rsidRPr="00DE12D6">
              <w:t>1</w:t>
            </w:r>
          </w:p>
        </w:tc>
        <w:tc>
          <w:tcPr>
            <w:tcW w:w="1362" w:type="dxa"/>
            <w:vAlign w:val="center"/>
          </w:tcPr>
          <w:p w14:paraId="118984D5" w14:textId="77777777" w:rsidR="00F12D88" w:rsidRPr="00DE12D6" w:rsidRDefault="00F12D88" w:rsidP="00F12D88">
            <w:pPr>
              <w:jc w:val="center"/>
            </w:pPr>
            <w:r w:rsidRPr="00DE12D6">
              <w:t>3.5</w:t>
            </w:r>
          </w:p>
        </w:tc>
        <w:tc>
          <w:tcPr>
            <w:tcW w:w="1375" w:type="dxa"/>
            <w:vAlign w:val="center"/>
          </w:tcPr>
          <w:p w14:paraId="63B98717" w14:textId="77777777" w:rsidR="00F12D88" w:rsidRPr="00DE12D6" w:rsidRDefault="00F12D88" w:rsidP="00F12D88">
            <w:pPr>
              <w:jc w:val="center"/>
            </w:pPr>
            <w:r w:rsidRPr="00DE12D6">
              <w:t>6</w:t>
            </w:r>
          </w:p>
        </w:tc>
        <w:tc>
          <w:tcPr>
            <w:tcW w:w="1373" w:type="dxa"/>
            <w:vAlign w:val="center"/>
          </w:tcPr>
          <w:p w14:paraId="5F806188" w14:textId="77777777" w:rsidR="00F12D88" w:rsidRPr="00DE12D6" w:rsidRDefault="00F12D88" w:rsidP="00F12D88">
            <w:pPr>
              <w:jc w:val="center"/>
            </w:pPr>
            <w:r w:rsidRPr="00DE12D6">
              <w:t>1.5</w:t>
            </w:r>
          </w:p>
        </w:tc>
        <w:tc>
          <w:tcPr>
            <w:tcW w:w="1422" w:type="dxa"/>
            <w:vAlign w:val="center"/>
          </w:tcPr>
          <w:p w14:paraId="5B2A98FD" w14:textId="77777777" w:rsidR="00F12D88" w:rsidRPr="00DE12D6" w:rsidRDefault="00F12D88" w:rsidP="00F12D88">
            <w:pPr>
              <w:jc w:val="center"/>
            </w:pPr>
            <w:r w:rsidRPr="00DE12D6">
              <w:t>6</w:t>
            </w:r>
          </w:p>
        </w:tc>
      </w:tr>
      <w:tr w:rsidR="00F12D88" w14:paraId="4F709977" w14:textId="77777777" w:rsidTr="00F12D88">
        <w:tc>
          <w:tcPr>
            <w:tcW w:w="1817" w:type="dxa"/>
            <w:vAlign w:val="center"/>
          </w:tcPr>
          <w:p w14:paraId="75273B8E" w14:textId="77777777" w:rsidR="00F12D88" w:rsidRPr="00DE12D6" w:rsidRDefault="00F12D88" w:rsidP="00F12D88">
            <w:pPr>
              <w:jc w:val="center"/>
            </w:pPr>
            <w:r w:rsidRPr="00DE12D6">
              <w:t>Dzīvsudrabs (</w:t>
            </w:r>
            <w:proofErr w:type="spellStart"/>
            <w:r w:rsidRPr="00DE12D6">
              <w:t>Hg</w:t>
            </w:r>
            <w:proofErr w:type="spellEnd"/>
            <w:r w:rsidRPr="00DE12D6">
              <w:t>)</w:t>
            </w:r>
          </w:p>
        </w:tc>
        <w:tc>
          <w:tcPr>
            <w:tcW w:w="907" w:type="dxa"/>
            <w:vAlign w:val="center"/>
          </w:tcPr>
          <w:p w14:paraId="7D24B570" w14:textId="77777777" w:rsidR="00F12D88" w:rsidRPr="00DE12D6" w:rsidRDefault="00F12D88" w:rsidP="00F12D88">
            <w:pPr>
              <w:jc w:val="center"/>
            </w:pPr>
            <w:r w:rsidRPr="00DE12D6">
              <w:t>µg/l</w:t>
            </w:r>
          </w:p>
        </w:tc>
        <w:tc>
          <w:tcPr>
            <w:tcW w:w="1372" w:type="dxa"/>
            <w:vAlign w:val="center"/>
          </w:tcPr>
          <w:p w14:paraId="04517776" w14:textId="77777777" w:rsidR="00F12D88" w:rsidRPr="00DE12D6" w:rsidRDefault="00F12D88" w:rsidP="00F12D88">
            <w:pPr>
              <w:jc w:val="center"/>
            </w:pPr>
            <w:r w:rsidRPr="00DE12D6">
              <w:t>0.05</w:t>
            </w:r>
          </w:p>
        </w:tc>
        <w:tc>
          <w:tcPr>
            <w:tcW w:w="1362" w:type="dxa"/>
            <w:vAlign w:val="center"/>
          </w:tcPr>
          <w:p w14:paraId="4460A164" w14:textId="77777777" w:rsidR="00F12D88" w:rsidRPr="00DE12D6" w:rsidRDefault="00F12D88" w:rsidP="00F12D88">
            <w:pPr>
              <w:jc w:val="center"/>
            </w:pPr>
            <w:r w:rsidRPr="00DE12D6">
              <w:t>1.525</w:t>
            </w:r>
          </w:p>
        </w:tc>
        <w:tc>
          <w:tcPr>
            <w:tcW w:w="1375" w:type="dxa"/>
            <w:vAlign w:val="center"/>
          </w:tcPr>
          <w:p w14:paraId="4A1C43A8" w14:textId="77777777" w:rsidR="00F12D88" w:rsidRPr="00DE12D6" w:rsidRDefault="00F12D88" w:rsidP="00F12D88">
            <w:pPr>
              <w:jc w:val="center"/>
            </w:pPr>
            <w:r w:rsidRPr="00DE12D6">
              <w:t>0.3</w:t>
            </w:r>
          </w:p>
        </w:tc>
        <w:tc>
          <w:tcPr>
            <w:tcW w:w="1373" w:type="dxa"/>
            <w:vAlign w:val="center"/>
          </w:tcPr>
          <w:p w14:paraId="395C6510" w14:textId="77777777" w:rsidR="00F12D88" w:rsidRPr="00DE12D6" w:rsidRDefault="00F12D88" w:rsidP="00F12D88">
            <w:pPr>
              <w:jc w:val="center"/>
            </w:pPr>
            <w:r w:rsidRPr="00DE12D6">
              <w:t>1</w:t>
            </w:r>
          </w:p>
        </w:tc>
        <w:tc>
          <w:tcPr>
            <w:tcW w:w="1422" w:type="dxa"/>
            <w:vAlign w:val="center"/>
          </w:tcPr>
          <w:p w14:paraId="289DF945" w14:textId="77777777" w:rsidR="00F12D88" w:rsidRPr="00DE12D6" w:rsidRDefault="00F12D88" w:rsidP="00F12D88">
            <w:pPr>
              <w:jc w:val="center"/>
            </w:pPr>
            <w:r w:rsidRPr="00DE12D6">
              <w:t>1</w:t>
            </w:r>
          </w:p>
        </w:tc>
      </w:tr>
      <w:tr w:rsidR="00F12D88" w14:paraId="6949D8E4" w14:textId="77777777" w:rsidTr="00F12D88">
        <w:tc>
          <w:tcPr>
            <w:tcW w:w="1817" w:type="dxa"/>
            <w:vAlign w:val="center"/>
          </w:tcPr>
          <w:p w14:paraId="2DBC5C6C" w14:textId="77777777" w:rsidR="00F12D88" w:rsidRPr="00DE12D6" w:rsidRDefault="00F12D88" w:rsidP="00F12D88">
            <w:pPr>
              <w:jc w:val="center"/>
            </w:pPr>
            <w:r w:rsidRPr="00DE12D6">
              <w:t>Hroms (</w:t>
            </w:r>
            <w:proofErr w:type="spellStart"/>
            <w:r w:rsidRPr="00DE12D6">
              <w:t>Cr</w:t>
            </w:r>
            <w:proofErr w:type="spellEnd"/>
            <w:r w:rsidRPr="00DE12D6">
              <w:t>)</w:t>
            </w:r>
          </w:p>
        </w:tc>
        <w:tc>
          <w:tcPr>
            <w:tcW w:w="907" w:type="dxa"/>
            <w:vAlign w:val="center"/>
          </w:tcPr>
          <w:p w14:paraId="2E326E2E" w14:textId="77777777" w:rsidR="00F12D88" w:rsidRPr="00DE12D6" w:rsidRDefault="00F12D88" w:rsidP="00F12D88">
            <w:pPr>
              <w:jc w:val="center"/>
            </w:pPr>
            <w:r w:rsidRPr="00DE12D6">
              <w:t>µg/l</w:t>
            </w:r>
          </w:p>
        </w:tc>
        <w:tc>
          <w:tcPr>
            <w:tcW w:w="1372" w:type="dxa"/>
            <w:vAlign w:val="center"/>
          </w:tcPr>
          <w:p w14:paraId="5FB9B778" w14:textId="77777777" w:rsidR="00F12D88" w:rsidRPr="00DE12D6" w:rsidRDefault="00F12D88" w:rsidP="00F12D88">
            <w:pPr>
              <w:jc w:val="center"/>
            </w:pPr>
            <w:r w:rsidRPr="00DE12D6">
              <w:t>10</w:t>
            </w:r>
          </w:p>
        </w:tc>
        <w:tc>
          <w:tcPr>
            <w:tcW w:w="1362" w:type="dxa"/>
            <w:vAlign w:val="center"/>
          </w:tcPr>
          <w:p w14:paraId="72C071D9" w14:textId="77777777" w:rsidR="00F12D88" w:rsidRPr="00DE12D6" w:rsidRDefault="00F12D88" w:rsidP="00F12D88">
            <w:pPr>
              <w:jc w:val="center"/>
            </w:pPr>
            <w:r w:rsidRPr="00DE12D6">
              <w:t>20</w:t>
            </w:r>
          </w:p>
        </w:tc>
        <w:tc>
          <w:tcPr>
            <w:tcW w:w="1375" w:type="dxa"/>
            <w:vAlign w:val="center"/>
          </w:tcPr>
          <w:p w14:paraId="5BDC8A51" w14:textId="77777777" w:rsidR="00F12D88" w:rsidRPr="00DE12D6" w:rsidRDefault="00F12D88" w:rsidP="00F12D88">
            <w:pPr>
              <w:jc w:val="center"/>
            </w:pPr>
            <w:r w:rsidRPr="00DE12D6">
              <w:t>30</w:t>
            </w:r>
          </w:p>
        </w:tc>
        <w:tc>
          <w:tcPr>
            <w:tcW w:w="1373" w:type="dxa"/>
            <w:vAlign w:val="center"/>
          </w:tcPr>
          <w:p w14:paraId="36B32243" w14:textId="77777777" w:rsidR="00F12D88" w:rsidRPr="00DE12D6" w:rsidRDefault="00F12D88" w:rsidP="00F12D88">
            <w:pPr>
              <w:jc w:val="center"/>
            </w:pPr>
            <w:r w:rsidRPr="00DE12D6">
              <w:t>25</w:t>
            </w:r>
          </w:p>
        </w:tc>
        <w:tc>
          <w:tcPr>
            <w:tcW w:w="1422" w:type="dxa"/>
            <w:vAlign w:val="center"/>
          </w:tcPr>
          <w:p w14:paraId="11364035" w14:textId="77777777" w:rsidR="00F12D88" w:rsidRPr="00DE12D6" w:rsidRDefault="00F12D88" w:rsidP="00F12D88">
            <w:pPr>
              <w:jc w:val="center"/>
            </w:pPr>
            <w:r w:rsidRPr="00DE12D6">
              <w:t>100</w:t>
            </w:r>
          </w:p>
        </w:tc>
      </w:tr>
      <w:tr w:rsidR="00F12D88" w14:paraId="1F2E91FA" w14:textId="77777777" w:rsidTr="00F12D88">
        <w:tc>
          <w:tcPr>
            <w:tcW w:w="1817" w:type="dxa"/>
            <w:vAlign w:val="center"/>
          </w:tcPr>
          <w:p w14:paraId="5112800A" w14:textId="77777777" w:rsidR="00F12D88" w:rsidRPr="00DE12D6" w:rsidRDefault="00F12D88" w:rsidP="00F12D88">
            <w:pPr>
              <w:jc w:val="center"/>
            </w:pPr>
            <w:r w:rsidRPr="00DE12D6">
              <w:t>Kobalts (</w:t>
            </w:r>
            <w:proofErr w:type="spellStart"/>
            <w:r w:rsidRPr="00DE12D6">
              <w:t>Co</w:t>
            </w:r>
            <w:proofErr w:type="spellEnd"/>
            <w:r w:rsidRPr="00DE12D6">
              <w:t>)</w:t>
            </w:r>
          </w:p>
        </w:tc>
        <w:tc>
          <w:tcPr>
            <w:tcW w:w="907" w:type="dxa"/>
            <w:vAlign w:val="center"/>
          </w:tcPr>
          <w:p w14:paraId="4DC6D7F9" w14:textId="77777777" w:rsidR="00F12D88" w:rsidRPr="00DE12D6" w:rsidRDefault="00F12D88" w:rsidP="00F12D88">
            <w:pPr>
              <w:jc w:val="center"/>
            </w:pPr>
            <w:r w:rsidRPr="00DE12D6">
              <w:t>µg/l</w:t>
            </w:r>
          </w:p>
        </w:tc>
        <w:tc>
          <w:tcPr>
            <w:tcW w:w="1372" w:type="dxa"/>
            <w:vAlign w:val="center"/>
          </w:tcPr>
          <w:p w14:paraId="60584B37" w14:textId="77777777" w:rsidR="00F12D88" w:rsidRPr="00DE12D6" w:rsidRDefault="00F12D88" w:rsidP="00F12D88">
            <w:pPr>
              <w:jc w:val="center"/>
            </w:pPr>
            <w:r w:rsidRPr="00DE12D6">
              <w:t>10</w:t>
            </w:r>
          </w:p>
        </w:tc>
        <w:tc>
          <w:tcPr>
            <w:tcW w:w="1362" w:type="dxa"/>
            <w:vAlign w:val="center"/>
          </w:tcPr>
          <w:p w14:paraId="364A5C11" w14:textId="77777777" w:rsidR="00F12D88" w:rsidRPr="00DE12D6" w:rsidRDefault="00F12D88" w:rsidP="00F12D88">
            <w:pPr>
              <w:jc w:val="center"/>
            </w:pPr>
            <w:r w:rsidRPr="00DE12D6">
              <w:t>55</w:t>
            </w:r>
          </w:p>
        </w:tc>
        <w:tc>
          <w:tcPr>
            <w:tcW w:w="1375" w:type="dxa"/>
            <w:vAlign w:val="center"/>
          </w:tcPr>
          <w:p w14:paraId="5DBABEE8" w14:textId="77777777" w:rsidR="00F12D88" w:rsidRPr="00DE12D6" w:rsidRDefault="00F12D88" w:rsidP="00F12D88">
            <w:pPr>
              <w:jc w:val="center"/>
            </w:pPr>
            <w:r w:rsidRPr="00DE12D6">
              <w:t>100</w:t>
            </w:r>
          </w:p>
        </w:tc>
        <w:tc>
          <w:tcPr>
            <w:tcW w:w="1373" w:type="dxa"/>
            <w:vAlign w:val="center"/>
          </w:tcPr>
          <w:p w14:paraId="603AB61A" w14:textId="77777777" w:rsidR="00F12D88" w:rsidRPr="00DE12D6" w:rsidRDefault="00F12D88" w:rsidP="00F12D88">
            <w:pPr>
              <w:jc w:val="center"/>
            </w:pPr>
            <w:r w:rsidRPr="00DE12D6">
              <w:t>25</w:t>
            </w:r>
          </w:p>
        </w:tc>
        <w:tc>
          <w:tcPr>
            <w:tcW w:w="1422" w:type="dxa"/>
            <w:vAlign w:val="center"/>
          </w:tcPr>
          <w:p w14:paraId="4768EBE5" w14:textId="77777777" w:rsidR="00F12D88" w:rsidRPr="00DE12D6" w:rsidRDefault="00F12D88" w:rsidP="00F12D88">
            <w:pPr>
              <w:jc w:val="center"/>
            </w:pPr>
            <w:r w:rsidRPr="00DE12D6">
              <w:t>100</w:t>
            </w:r>
          </w:p>
        </w:tc>
      </w:tr>
      <w:tr w:rsidR="00F12D88" w14:paraId="674728C3" w14:textId="77777777" w:rsidTr="00F12D88">
        <w:tc>
          <w:tcPr>
            <w:tcW w:w="1817" w:type="dxa"/>
            <w:vAlign w:val="center"/>
          </w:tcPr>
          <w:p w14:paraId="58A2D8DE" w14:textId="77777777" w:rsidR="00F12D88" w:rsidRPr="00DE12D6" w:rsidRDefault="00F12D88" w:rsidP="00F12D88">
            <w:pPr>
              <w:jc w:val="center"/>
            </w:pPr>
            <w:r w:rsidRPr="00DE12D6">
              <w:t>Niķelis (</w:t>
            </w:r>
            <w:proofErr w:type="spellStart"/>
            <w:r w:rsidRPr="00DE12D6">
              <w:t>Ni</w:t>
            </w:r>
            <w:proofErr w:type="spellEnd"/>
            <w:r w:rsidRPr="00DE12D6">
              <w:t>)</w:t>
            </w:r>
          </w:p>
        </w:tc>
        <w:tc>
          <w:tcPr>
            <w:tcW w:w="907" w:type="dxa"/>
            <w:vAlign w:val="center"/>
          </w:tcPr>
          <w:p w14:paraId="7A66AD90" w14:textId="77777777" w:rsidR="00F12D88" w:rsidRPr="00DE12D6" w:rsidRDefault="00F12D88" w:rsidP="00F12D88">
            <w:pPr>
              <w:jc w:val="center"/>
            </w:pPr>
            <w:r w:rsidRPr="00DE12D6">
              <w:t>µg/l</w:t>
            </w:r>
          </w:p>
        </w:tc>
        <w:tc>
          <w:tcPr>
            <w:tcW w:w="1372" w:type="dxa"/>
            <w:vAlign w:val="center"/>
          </w:tcPr>
          <w:p w14:paraId="501D6340" w14:textId="77777777" w:rsidR="00F12D88" w:rsidRPr="00DE12D6" w:rsidRDefault="00F12D88" w:rsidP="00F12D88">
            <w:pPr>
              <w:jc w:val="center"/>
            </w:pPr>
            <w:r w:rsidRPr="00DE12D6">
              <w:t>10</w:t>
            </w:r>
          </w:p>
        </w:tc>
        <w:tc>
          <w:tcPr>
            <w:tcW w:w="1362" w:type="dxa"/>
            <w:vAlign w:val="center"/>
          </w:tcPr>
          <w:p w14:paraId="1275647F" w14:textId="77777777" w:rsidR="00F12D88" w:rsidRPr="00DE12D6" w:rsidRDefault="00F12D88" w:rsidP="00F12D88">
            <w:pPr>
              <w:jc w:val="center"/>
            </w:pPr>
            <w:r w:rsidRPr="00DE12D6">
              <w:t>42.5</w:t>
            </w:r>
          </w:p>
        </w:tc>
        <w:tc>
          <w:tcPr>
            <w:tcW w:w="1375" w:type="dxa"/>
            <w:vAlign w:val="center"/>
          </w:tcPr>
          <w:p w14:paraId="3C9D123C" w14:textId="77777777" w:rsidR="00F12D88" w:rsidRPr="00DE12D6" w:rsidRDefault="00F12D88" w:rsidP="00F12D88">
            <w:pPr>
              <w:jc w:val="center"/>
            </w:pPr>
            <w:r w:rsidRPr="00DE12D6">
              <w:t>75</w:t>
            </w:r>
          </w:p>
        </w:tc>
        <w:tc>
          <w:tcPr>
            <w:tcW w:w="1373" w:type="dxa"/>
            <w:vAlign w:val="center"/>
          </w:tcPr>
          <w:p w14:paraId="70D1672E" w14:textId="77777777" w:rsidR="00F12D88" w:rsidRPr="00DE12D6" w:rsidRDefault="00F12D88" w:rsidP="00F12D88">
            <w:pPr>
              <w:jc w:val="center"/>
            </w:pPr>
            <w:r w:rsidRPr="00DE12D6">
              <w:t>20</w:t>
            </w:r>
          </w:p>
        </w:tc>
        <w:tc>
          <w:tcPr>
            <w:tcW w:w="1422" w:type="dxa"/>
            <w:vAlign w:val="center"/>
          </w:tcPr>
          <w:p w14:paraId="2C703251" w14:textId="77777777" w:rsidR="00F12D88" w:rsidRPr="00DE12D6" w:rsidRDefault="00F12D88" w:rsidP="00F12D88">
            <w:pPr>
              <w:jc w:val="center"/>
            </w:pPr>
            <w:r w:rsidRPr="00DE12D6">
              <w:t>100</w:t>
            </w:r>
          </w:p>
        </w:tc>
      </w:tr>
      <w:tr w:rsidR="00F12D88" w14:paraId="3689965C" w14:textId="77777777" w:rsidTr="00F12D88">
        <w:tc>
          <w:tcPr>
            <w:tcW w:w="1817" w:type="dxa"/>
            <w:vAlign w:val="center"/>
          </w:tcPr>
          <w:p w14:paraId="2FF3AACA" w14:textId="77777777" w:rsidR="00F12D88" w:rsidRPr="00DE12D6" w:rsidRDefault="00F12D88" w:rsidP="00F12D88">
            <w:pPr>
              <w:jc w:val="center"/>
            </w:pPr>
            <w:r w:rsidRPr="00DE12D6">
              <w:t>Arsēns (</w:t>
            </w:r>
            <w:proofErr w:type="spellStart"/>
            <w:r w:rsidRPr="00DE12D6">
              <w:t>As</w:t>
            </w:r>
            <w:proofErr w:type="spellEnd"/>
            <w:r w:rsidRPr="00DE12D6">
              <w:t>)</w:t>
            </w:r>
          </w:p>
        </w:tc>
        <w:tc>
          <w:tcPr>
            <w:tcW w:w="907" w:type="dxa"/>
            <w:vAlign w:val="center"/>
          </w:tcPr>
          <w:p w14:paraId="31EBDB14" w14:textId="77777777" w:rsidR="00F12D88" w:rsidRPr="00DE12D6" w:rsidRDefault="00F12D88" w:rsidP="00F12D88">
            <w:pPr>
              <w:jc w:val="center"/>
            </w:pPr>
            <w:r w:rsidRPr="00DE12D6">
              <w:t>µg/l</w:t>
            </w:r>
          </w:p>
        </w:tc>
        <w:tc>
          <w:tcPr>
            <w:tcW w:w="1372" w:type="dxa"/>
            <w:vAlign w:val="center"/>
          </w:tcPr>
          <w:p w14:paraId="404063FC" w14:textId="77777777" w:rsidR="00F12D88" w:rsidRPr="00DE12D6" w:rsidRDefault="00F12D88" w:rsidP="00F12D88">
            <w:pPr>
              <w:jc w:val="center"/>
            </w:pPr>
            <w:r w:rsidRPr="00DE12D6">
              <w:t>10</w:t>
            </w:r>
          </w:p>
        </w:tc>
        <w:tc>
          <w:tcPr>
            <w:tcW w:w="1362" w:type="dxa"/>
            <w:vAlign w:val="center"/>
          </w:tcPr>
          <w:p w14:paraId="01488C99" w14:textId="77777777" w:rsidR="00F12D88" w:rsidRPr="00DE12D6" w:rsidRDefault="00F12D88" w:rsidP="00F12D88">
            <w:pPr>
              <w:jc w:val="center"/>
            </w:pPr>
            <w:r w:rsidRPr="00DE12D6">
              <w:t>30</w:t>
            </w:r>
          </w:p>
        </w:tc>
        <w:tc>
          <w:tcPr>
            <w:tcW w:w="1375" w:type="dxa"/>
            <w:vAlign w:val="center"/>
          </w:tcPr>
          <w:p w14:paraId="57467916" w14:textId="77777777" w:rsidR="00F12D88" w:rsidRPr="00DE12D6" w:rsidRDefault="00F12D88" w:rsidP="00F12D88">
            <w:pPr>
              <w:jc w:val="center"/>
            </w:pPr>
            <w:r w:rsidRPr="00DE12D6">
              <w:t>60</w:t>
            </w:r>
          </w:p>
        </w:tc>
        <w:tc>
          <w:tcPr>
            <w:tcW w:w="1373" w:type="dxa"/>
            <w:vAlign w:val="center"/>
          </w:tcPr>
          <w:p w14:paraId="45A020FA" w14:textId="77777777" w:rsidR="00F12D88" w:rsidRPr="00DE12D6" w:rsidRDefault="00F12D88" w:rsidP="00F12D88">
            <w:pPr>
              <w:jc w:val="center"/>
            </w:pPr>
            <w:r w:rsidRPr="00DE12D6">
              <w:t>10</w:t>
            </w:r>
          </w:p>
        </w:tc>
        <w:tc>
          <w:tcPr>
            <w:tcW w:w="1422" w:type="dxa"/>
            <w:vAlign w:val="center"/>
          </w:tcPr>
          <w:p w14:paraId="2B1DEFE9" w14:textId="77777777" w:rsidR="00F12D88" w:rsidRPr="00DE12D6" w:rsidRDefault="00F12D88" w:rsidP="00F12D88">
            <w:pPr>
              <w:jc w:val="center"/>
            </w:pPr>
            <w:r w:rsidRPr="00DE12D6">
              <w:t>50</w:t>
            </w:r>
          </w:p>
        </w:tc>
      </w:tr>
      <w:tr w:rsidR="00F12D88" w14:paraId="01549C56" w14:textId="77777777" w:rsidTr="00F12D88">
        <w:tc>
          <w:tcPr>
            <w:tcW w:w="1817" w:type="dxa"/>
            <w:vAlign w:val="center"/>
          </w:tcPr>
          <w:p w14:paraId="575A23A8" w14:textId="77777777" w:rsidR="00F12D88" w:rsidRPr="00DE12D6" w:rsidRDefault="00F12D88" w:rsidP="00F12D88">
            <w:pPr>
              <w:jc w:val="center"/>
            </w:pPr>
            <w:r w:rsidRPr="00DE12D6">
              <w:t>Molibdēns (</w:t>
            </w:r>
            <w:proofErr w:type="spellStart"/>
            <w:r w:rsidRPr="00DE12D6">
              <w:t>Mo</w:t>
            </w:r>
            <w:proofErr w:type="spellEnd"/>
            <w:r w:rsidRPr="00DE12D6">
              <w:t>)</w:t>
            </w:r>
          </w:p>
        </w:tc>
        <w:tc>
          <w:tcPr>
            <w:tcW w:w="907" w:type="dxa"/>
            <w:vAlign w:val="center"/>
          </w:tcPr>
          <w:p w14:paraId="3816D4E0" w14:textId="77777777" w:rsidR="00F12D88" w:rsidRPr="00DE12D6" w:rsidRDefault="00F12D88" w:rsidP="00F12D88">
            <w:pPr>
              <w:jc w:val="center"/>
            </w:pPr>
            <w:r w:rsidRPr="00DE12D6">
              <w:t>µg/l</w:t>
            </w:r>
          </w:p>
        </w:tc>
        <w:tc>
          <w:tcPr>
            <w:tcW w:w="1372" w:type="dxa"/>
            <w:vAlign w:val="center"/>
          </w:tcPr>
          <w:p w14:paraId="5EF15DFB" w14:textId="77777777" w:rsidR="00F12D88" w:rsidRPr="00DE12D6" w:rsidRDefault="00F12D88" w:rsidP="00F12D88">
            <w:pPr>
              <w:jc w:val="center"/>
            </w:pPr>
            <w:r w:rsidRPr="00DE12D6">
              <w:t>10</w:t>
            </w:r>
          </w:p>
        </w:tc>
        <w:tc>
          <w:tcPr>
            <w:tcW w:w="1362" w:type="dxa"/>
            <w:vAlign w:val="center"/>
          </w:tcPr>
          <w:p w14:paraId="6CAF4065" w14:textId="77777777" w:rsidR="00F12D88" w:rsidRPr="00DE12D6" w:rsidRDefault="00F12D88" w:rsidP="00F12D88">
            <w:pPr>
              <w:jc w:val="center"/>
            </w:pPr>
            <w:r w:rsidRPr="00DE12D6">
              <w:t>155</w:t>
            </w:r>
          </w:p>
        </w:tc>
        <w:tc>
          <w:tcPr>
            <w:tcW w:w="1375" w:type="dxa"/>
            <w:vAlign w:val="center"/>
          </w:tcPr>
          <w:p w14:paraId="1A465735" w14:textId="77777777" w:rsidR="00F12D88" w:rsidRPr="00DE12D6" w:rsidRDefault="00F12D88" w:rsidP="00F12D88">
            <w:pPr>
              <w:jc w:val="center"/>
            </w:pPr>
            <w:r w:rsidRPr="00DE12D6">
              <w:t>300</w:t>
            </w:r>
          </w:p>
        </w:tc>
        <w:tc>
          <w:tcPr>
            <w:tcW w:w="1373" w:type="dxa"/>
            <w:vAlign w:val="center"/>
          </w:tcPr>
          <w:p w14:paraId="178C511E" w14:textId="77777777" w:rsidR="00F12D88" w:rsidRPr="00DE12D6" w:rsidRDefault="00F12D88" w:rsidP="00F12D88">
            <w:pPr>
              <w:jc w:val="center"/>
            </w:pPr>
            <w:r w:rsidRPr="00DE12D6">
              <w:t>250</w:t>
            </w:r>
          </w:p>
        </w:tc>
        <w:tc>
          <w:tcPr>
            <w:tcW w:w="1422" w:type="dxa"/>
            <w:vAlign w:val="center"/>
          </w:tcPr>
          <w:p w14:paraId="7D109C99" w14:textId="77777777" w:rsidR="00F12D88" w:rsidRDefault="00F12D88" w:rsidP="00F12D88">
            <w:pPr>
              <w:jc w:val="center"/>
            </w:pPr>
            <w:r w:rsidRPr="00DE12D6">
              <w:t>400</w:t>
            </w:r>
          </w:p>
        </w:tc>
      </w:tr>
    </w:tbl>
    <w:p w14:paraId="25FE415F" w14:textId="77777777" w:rsidR="007926C6" w:rsidRDefault="007926C6" w:rsidP="007926C6">
      <w:pPr>
        <w:jc w:val="both"/>
      </w:pPr>
    </w:p>
    <w:p w14:paraId="261EA0D9" w14:textId="77777777" w:rsidR="00776399" w:rsidRDefault="00776399" w:rsidP="007926C6">
      <w:pPr>
        <w:jc w:val="both"/>
      </w:pPr>
      <w:r>
        <w:t xml:space="preserve">Vienlaikus šajos normatīvos netiek noteikts </w:t>
      </w:r>
      <w:proofErr w:type="spellStart"/>
      <w:r>
        <w:t>mērķlielums</w:t>
      </w:r>
      <w:proofErr w:type="spellEnd"/>
      <w:r>
        <w:t xml:space="preserve">. Kā būtisku atšķirību, salīdzinot Lietuvas pieredzi ar Latvijas normatīvo regulējumu, jāmin </w:t>
      </w:r>
      <w:r w:rsidR="002F5D7A">
        <w:t>tas, ka ar naftas produktiem piesārņotā teritorijā (neatkarīgi, vai tā ir, piemēram, naftas bāze, kur notiek aktīva darbība, vai vēsturiski piesārņota teritorija, spēkā ir atsevišķs regulējums (LAND 9-2009)</w:t>
      </w:r>
      <w:sdt>
        <w:sdtPr>
          <w:id w:val="638840625"/>
          <w:citation/>
        </w:sdtPr>
        <w:sdtEndPr/>
        <w:sdtContent>
          <w:r w:rsidR="002F5D7A">
            <w:fldChar w:fldCharType="begin"/>
          </w:r>
          <w:r w:rsidR="002F5D7A">
            <w:instrText xml:space="preserve"> CITATION Lie \l 1062 </w:instrText>
          </w:r>
          <w:r w:rsidR="002F5D7A">
            <w:fldChar w:fldCharType="separate"/>
          </w:r>
          <w:r w:rsidR="009950D4">
            <w:rPr>
              <w:noProof/>
            </w:rPr>
            <w:t xml:space="preserve"> </w:t>
          </w:r>
          <w:r w:rsidR="009950D4" w:rsidRPr="009950D4">
            <w:rPr>
              <w:noProof/>
            </w:rPr>
            <w:t>[10]</w:t>
          </w:r>
          <w:r w:rsidR="002F5D7A">
            <w:fldChar w:fldCharType="end"/>
          </w:r>
        </w:sdtContent>
      </w:sdt>
      <w:r w:rsidR="002F5D7A">
        <w:t xml:space="preserve">. </w:t>
      </w:r>
      <w:r>
        <w:t xml:space="preserve"> </w:t>
      </w:r>
      <w:r w:rsidR="002F5D7A">
        <w:t xml:space="preserve">papildus jau noteikumos Nr. D-230 minētajiem nosacījumiem, šajos noteikumos ir detalizētāk precizētas gruntī un pazemes ūdeņos pieļaujamās </w:t>
      </w:r>
      <w:r w:rsidR="00D933E9">
        <w:t>naftas ogļūdeņražu</w:t>
      </w:r>
      <w:r w:rsidR="002F5D7A">
        <w:t xml:space="preserve"> </w:t>
      </w:r>
      <w:r w:rsidR="00D933E9">
        <w:t xml:space="preserve">daudzuma </w:t>
      </w:r>
      <w:r w:rsidR="002F5D7A">
        <w:t>vērtības, iedalot tās frakcijās C</w:t>
      </w:r>
      <w:r w:rsidR="002F5D7A" w:rsidRPr="002F5D7A">
        <w:rPr>
          <w:vertAlign w:val="subscript"/>
        </w:rPr>
        <w:t>6</w:t>
      </w:r>
      <w:r w:rsidR="002F5D7A">
        <w:t>-C</w:t>
      </w:r>
      <w:r w:rsidR="002F5D7A" w:rsidRPr="002F5D7A">
        <w:rPr>
          <w:vertAlign w:val="subscript"/>
        </w:rPr>
        <w:t>10</w:t>
      </w:r>
      <w:r w:rsidR="002F5D7A">
        <w:t xml:space="preserve"> un C</w:t>
      </w:r>
      <w:r w:rsidR="002F5D7A" w:rsidRPr="002F5D7A">
        <w:rPr>
          <w:vertAlign w:val="subscript"/>
        </w:rPr>
        <w:t>10</w:t>
      </w:r>
      <w:r w:rsidR="002F5D7A">
        <w:t>-C</w:t>
      </w:r>
      <w:r w:rsidR="002F5D7A" w:rsidRPr="002F5D7A">
        <w:rPr>
          <w:vertAlign w:val="subscript"/>
        </w:rPr>
        <w:t>40</w:t>
      </w:r>
      <w:r w:rsidR="002F5D7A">
        <w:t>. Papildus tam šie noteikumi izvirza prasības šādu teritoriju izpētei</w:t>
      </w:r>
      <w:r w:rsidR="00B2203D">
        <w:t>.</w:t>
      </w:r>
    </w:p>
    <w:p w14:paraId="000D60D1" w14:textId="4630C80D" w:rsidR="00776399" w:rsidRDefault="00776399" w:rsidP="007926C6">
      <w:pPr>
        <w:jc w:val="both"/>
      </w:pPr>
      <w:r>
        <w:t>Vēl viena būtiska iezīm</w:t>
      </w:r>
      <w:r w:rsidR="002F5D7A">
        <w:t xml:space="preserve">e, kas norāda uz vienotu stratēģiju pazemes ūdeņu (un arī grunts) kvalitātes prasībām ir tas, </w:t>
      </w:r>
      <w:r w:rsidR="00206F5F">
        <w:t>ka,</w:t>
      </w:r>
      <w:r w:rsidR="002F5D7A">
        <w:t xml:space="preserve"> konstatējot kādā teritorijā piesārņojumu, tiek veikts piesārņojuma riska novērtējums, lai izvērtētu, kas ir būtiskākie receptori, kāds ir </w:t>
      </w:r>
      <w:r w:rsidR="007926C6">
        <w:t xml:space="preserve">virszemes un pazemes ūdens resursu apdraudējums, un ar šo novērtējumu pamatotu lēmumus turpmākām darbībām, kas saistītas ar piesārņotas vietas pārvaldību un sanāciju. </w:t>
      </w:r>
      <w:r w:rsidR="009E3921">
        <w:t>No pieejamās informācijas zināms, ka Lietuvā šādu novērtējumu realizē Lietuvas ģeoloģijas dienests. Viena no pielietotajām riska (bīstamības) novērtējuma metodēm ir sniegta Lietuvas ģeoloģijas dienesta 2004. gadā izdotajām instrukcijām: “</w:t>
      </w:r>
      <w:proofErr w:type="spellStart"/>
      <w:r w:rsidR="009E3921" w:rsidRPr="009E3921">
        <w:t>Geologinės</w:t>
      </w:r>
      <w:proofErr w:type="spellEnd"/>
      <w:r w:rsidR="009E3921" w:rsidRPr="009E3921">
        <w:t xml:space="preserve"> aplinkos </w:t>
      </w:r>
      <w:proofErr w:type="spellStart"/>
      <w:r w:rsidR="009E3921" w:rsidRPr="009E3921">
        <w:t>taršos</w:t>
      </w:r>
      <w:proofErr w:type="spellEnd"/>
      <w:r w:rsidR="009E3921" w:rsidRPr="009E3921">
        <w:t xml:space="preserve"> </w:t>
      </w:r>
      <w:proofErr w:type="spellStart"/>
      <w:r w:rsidR="009E3921" w:rsidRPr="009E3921">
        <w:t>židinių</w:t>
      </w:r>
      <w:proofErr w:type="spellEnd"/>
      <w:r w:rsidR="009E3921" w:rsidRPr="009E3921">
        <w:t xml:space="preserve"> </w:t>
      </w:r>
      <w:proofErr w:type="spellStart"/>
      <w:r w:rsidR="009E3921" w:rsidRPr="009E3921">
        <w:t>pavojingumo</w:t>
      </w:r>
      <w:proofErr w:type="spellEnd"/>
      <w:r w:rsidR="009E3921" w:rsidRPr="009E3921">
        <w:t xml:space="preserve"> </w:t>
      </w:r>
      <w:proofErr w:type="spellStart"/>
      <w:r w:rsidR="009E3921" w:rsidRPr="009E3921">
        <w:t>preliminaraus</w:t>
      </w:r>
      <w:proofErr w:type="spellEnd"/>
      <w:r w:rsidR="009E3921" w:rsidRPr="009E3921">
        <w:t xml:space="preserve"> </w:t>
      </w:r>
      <w:proofErr w:type="spellStart"/>
      <w:r w:rsidR="009E3921" w:rsidRPr="009E3921">
        <w:t>vertinimo</w:t>
      </w:r>
      <w:proofErr w:type="spellEnd"/>
      <w:r w:rsidR="009E3921" w:rsidRPr="009E3921">
        <w:t xml:space="preserve"> </w:t>
      </w:r>
      <w:proofErr w:type="spellStart"/>
      <w:r w:rsidR="009E3921" w:rsidRPr="009E3921">
        <w:t>inventorizacijos</w:t>
      </w:r>
      <w:proofErr w:type="spellEnd"/>
      <w:r w:rsidR="009E3921" w:rsidRPr="009E3921">
        <w:t xml:space="preserve"> metu metodika</w:t>
      </w:r>
      <w:r w:rsidR="009E3921">
        <w:t>”</w:t>
      </w:r>
      <w:sdt>
        <w:sdtPr>
          <w:id w:val="20524818"/>
          <w:citation/>
        </w:sdtPr>
        <w:sdtEndPr/>
        <w:sdtContent>
          <w:r w:rsidR="009E3921">
            <w:fldChar w:fldCharType="begin"/>
          </w:r>
          <w:r w:rsidR="009E3921">
            <w:instrText xml:space="preserve"> CITATION Geo \l 1062 </w:instrText>
          </w:r>
          <w:r w:rsidR="009E3921">
            <w:fldChar w:fldCharType="separate"/>
          </w:r>
          <w:r w:rsidR="000E6571">
            <w:rPr>
              <w:noProof/>
            </w:rPr>
            <w:t xml:space="preserve"> </w:t>
          </w:r>
          <w:r w:rsidR="000E6571" w:rsidRPr="000E6571">
            <w:rPr>
              <w:noProof/>
            </w:rPr>
            <w:t>[11]</w:t>
          </w:r>
          <w:r w:rsidR="009E3921">
            <w:fldChar w:fldCharType="end"/>
          </w:r>
        </w:sdtContent>
      </w:sdt>
      <w:r w:rsidR="009E3921">
        <w:t>.</w:t>
      </w:r>
    </w:p>
    <w:p w14:paraId="1C47E1B2" w14:textId="77777777" w:rsidR="00776399" w:rsidRPr="005E45DE" w:rsidRDefault="00776399" w:rsidP="007926C6">
      <w:pPr>
        <w:jc w:val="both"/>
      </w:pPr>
    </w:p>
    <w:p w14:paraId="0CAA287F" w14:textId="77777777" w:rsidR="007F5D1C" w:rsidRDefault="007F5D1C" w:rsidP="00E17E73">
      <w:pPr>
        <w:pStyle w:val="Heading3"/>
        <w:numPr>
          <w:ilvl w:val="2"/>
          <w:numId w:val="1"/>
        </w:numPr>
      </w:pPr>
      <w:bookmarkStart w:id="9" w:name="_Toc59326490"/>
      <w:r>
        <w:t>Ar piesārņojumu saistītas vietas (t.sk. gruntsūdens) izpētes prasības</w:t>
      </w:r>
      <w:bookmarkEnd w:id="9"/>
    </w:p>
    <w:p w14:paraId="76E049CB" w14:textId="77777777" w:rsidR="007F5D1C" w:rsidRDefault="00C41865" w:rsidP="007F5D1C">
      <w:pPr>
        <w:jc w:val="both"/>
      </w:pPr>
      <w:r>
        <w:t>Vietām, kurās</w:t>
      </w:r>
      <w:r w:rsidR="007F5D1C">
        <w:t xml:space="preserve"> ir saistoši veikt izpēti, lai izvērtētu vietas bīstamību, tas tiek darīts vairākos etapos, ko nosaka normatīvais dokuments Nr. 1-104 “</w:t>
      </w:r>
      <w:r w:rsidRPr="00C41865">
        <w:t>Par ekoloģiskās izpētes veikšanu</w:t>
      </w:r>
      <w:r w:rsidR="007F5D1C">
        <w:t>”</w:t>
      </w:r>
      <w:sdt>
        <w:sdtPr>
          <w:id w:val="-1678187919"/>
          <w:citation/>
        </w:sdtPr>
        <w:sdtEndPr/>
        <w:sdtContent>
          <w:r>
            <w:fldChar w:fldCharType="begin"/>
          </w:r>
          <w:r>
            <w:instrText xml:space="preserve"> CITATION Lie081 \l 1062 </w:instrText>
          </w:r>
          <w:r>
            <w:fldChar w:fldCharType="separate"/>
          </w:r>
          <w:r w:rsidR="009950D4">
            <w:rPr>
              <w:noProof/>
            </w:rPr>
            <w:t xml:space="preserve"> </w:t>
          </w:r>
          <w:r w:rsidR="009950D4" w:rsidRPr="009950D4">
            <w:rPr>
              <w:noProof/>
            </w:rPr>
            <w:t>[8]</w:t>
          </w:r>
          <w:r>
            <w:fldChar w:fldCharType="end"/>
          </w:r>
        </w:sdtContent>
      </w:sdt>
      <w:r w:rsidR="007F5D1C">
        <w:t>:</w:t>
      </w:r>
    </w:p>
    <w:p w14:paraId="157BD50A" w14:textId="77777777" w:rsidR="007F5D1C" w:rsidRDefault="007F5D1C" w:rsidP="00E17E73">
      <w:pPr>
        <w:pStyle w:val="ListParagraph"/>
        <w:numPr>
          <w:ilvl w:val="0"/>
          <w:numId w:val="9"/>
        </w:numPr>
        <w:jc w:val="both"/>
      </w:pPr>
      <w:r>
        <w:t xml:space="preserve">Teritorijas inventarizācija (apsekošana un anketēšana), kuras mērķis ir apkopot iespējamo informāciju par teritorijā un / vai saimniecībā veiktajām darbībām, novērtēt vides piesārņojuma iespējamību un sagatavot </w:t>
      </w:r>
      <w:proofErr w:type="spellStart"/>
      <w:r>
        <w:t>ekoģeoloģiskās</w:t>
      </w:r>
      <w:proofErr w:type="spellEnd"/>
      <w:r>
        <w:t xml:space="preserve"> izpētes plānu.</w:t>
      </w:r>
    </w:p>
    <w:p w14:paraId="4AA8AC3C" w14:textId="77777777" w:rsidR="00C41865" w:rsidRDefault="00C41865" w:rsidP="00C41865">
      <w:pPr>
        <w:pStyle w:val="ListParagraph"/>
        <w:jc w:val="both"/>
      </w:pPr>
    </w:p>
    <w:p w14:paraId="43E45E33" w14:textId="77777777" w:rsidR="007F5D1C" w:rsidRDefault="007F5D1C" w:rsidP="00E17E73">
      <w:pPr>
        <w:pStyle w:val="ListParagraph"/>
        <w:numPr>
          <w:ilvl w:val="0"/>
          <w:numId w:val="9"/>
        </w:numPr>
        <w:jc w:val="both"/>
      </w:pPr>
      <w:r>
        <w:t xml:space="preserve">Sākotnējā </w:t>
      </w:r>
      <w:proofErr w:type="spellStart"/>
      <w:r>
        <w:t>ekoģeoloģiskā</w:t>
      </w:r>
      <w:proofErr w:type="spellEnd"/>
      <w:r>
        <w:t xml:space="preserve"> izpēte, ko veic, lai izpētītu potenciālā piesārņojuma ietekmi uz vidi, kā arī lai izvērtētu, vai teritorijā ir nepieciešams veikt detalizētu </w:t>
      </w:r>
      <w:proofErr w:type="spellStart"/>
      <w:r>
        <w:t>ekoģeoloģisko</w:t>
      </w:r>
      <w:proofErr w:type="spellEnd"/>
      <w:r>
        <w:t xml:space="preserve"> izpēti. Sākotnējās izpētes apjomi ir tieši atkarīgi no teritorijas platības, jo ir noteikts izpētes bloku skaits, bet katram blokam definēts nepieciešamo augsnes, grunts un pazemes ūdens paraugu skaits. Sākotnējās izpētes ietvaros obligāti nosakāmie parametri ir: </w:t>
      </w:r>
    </w:p>
    <w:p w14:paraId="2AFEB3A7" w14:textId="7938700F" w:rsidR="007F5D1C" w:rsidRDefault="007F5D1C" w:rsidP="00E17E73">
      <w:pPr>
        <w:pStyle w:val="ListParagraph"/>
        <w:numPr>
          <w:ilvl w:val="0"/>
          <w:numId w:val="10"/>
        </w:numPr>
        <w:jc w:val="both"/>
      </w:pPr>
      <w:r>
        <w:t>Augsnē, gruntī: fizikālie parametri (</w:t>
      </w:r>
      <w:proofErr w:type="spellStart"/>
      <w:r>
        <w:t>granulomet</w:t>
      </w:r>
      <w:r w:rsidR="009E3921">
        <w:t>riskais</w:t>
      </w:r>
      <w:proofErr w:type="spellEnd"/>
      <w:r w:rsidR="009E3921">
        <w:t xml:space="preserve"> sastāvs, māla daļiņu ap</w:t>
      </w:r>
      <w:r>
        <w:t>joms), ķīmiskie parametri (metāli (</w:t>
      </w:r>
      <w:proofErr w:type="spellStart"/>
      <w:r>
        <w:t>Pb</w:t>
      </w:r>
      <w:proofErr w:type="spellEnd"/>
      <w:r>
        <w:t xml:space="preserve">, </w:t>
      </w:r>
      <w:proofErr w:type="spellStart"/>
      <w:r>
        <w:t>Cd</w:t>
      </w:r>
      <w:proofErr w:type="spellEnd"/>
      <w:r>
        <w:t xml:space="preserve">, </w:t>
      </w:r>
      <w:proofErr w:type="spellStart"/>
      <w:r>
        <w:t>Cr</w:t>
      </w:r>
      <w:proofErr w:type="spellEnd"/>
      <w:r>
        <w:t xml:space="preserve">, </w:t>
      </w:r>
      <w:proofErr w:type="spellStart"/>
      <w:r>
        <w:t>Cu</w:t>
      </w:r>
      <w:proofErr w:type="spellEnd"/>
      <w:r>
        <w:t xml:space="preserve">, </w:t>
      </w:r>
      <w:proofErr w:type="spellStart"/>
      <w:r>
        <w:t>Ni</w:t>
      </w:r>
      <w:proofErr w:type="spellEnd"/>
      <w:r>
        <w:t xml:space="preserve">, </w:t>
      </w:r>
      <w:proofErr w:type="spellStart"/>
      <w:r>
        <w:t>Zn</w:t>
      </w:r>
      <w:proofErr w:type="spellEnd"/>
      <w:r>
        <w:t>), naftas produktu indekss, PAO, organisko vielu daudzums).</w:t>
      </w:r>
    </w:p>
    <w:p w14:paraId="083EE171" w14:textId="77777777" w:rsidR="007F5D1C" w:rsidRDefault="007F5D1C" w:rsidP="00E17E73">
      <w:pPr>
        <w:pStyle w:val="ListParagraph"/>
        <w:numPr>
          <w:ilvl w:val="0"/>
          <w:numId w:val="10"/>
        </w:numPr>
        <w:jc w:val="both"/>
      </w:pPr>
      <w:r>
        <w:t>Ūdenī: metāli (</w:t>
      </w:r>
      <w:proofErr w:type="spellStart"/>
      <w:r>
        <w:t>Pb</w:t>
      </w:r>
      <w:proofErr w:type="spellEnd"/>
      <w:r>
        <w:t xml:space="preserve">, </w:t>
      </w:r>
      <w:proofErr w:type="spellStart"/>
      <w:r>
        <w:t>Cd</w:t>
      </w:r>
      <w:proofErr w:type="spellEnd"/>
      <w:r>
        <w:t xml:space="preserve">, </w:t>
      </w:r>
      <w:proofErr w:type="spellStart"/>
      <w:r>
        <w:t>Cr</w:t>
      </w:r>
      <w:proofErr w:type="spellEnd"/>
      <w:r>
        <w:t xml:space="preserve">, </w:t>
      </w:r>
      <w:proofErr w:type="spellStart"/>
      <w:r>
        <w:t>Cu</w:t>
      </w:r>
      <w:proofErr w:type="spellEnd"/>
      <w:r>
        <w:t xml:space="preserve">, </w:t>
      </w:r>
      <w:proofErr w:type="spellStart"/>
      <w:r>
        <w:t>Hg</w:t>
      </w:r>
      <w:proofErr w:type="spellEnd"/>
      <w:r>
        <w:t xml:space="preserve">, </w:t>
      </w:r>
      <w:proofErr w:type="spellStart"/>
      <w:r>
        <w:t>Ni</w:t>
      </w:r>
      <w:proofErr w:type="spellEnd"/>
      <w:r>
        <w:t xml:space="preserve">, </w:t>
      </w:r>
      <w:proofErr w:type="spellStart"/>
      <w:r>
        <w:t>Zn</w:t>
      </w:r>
      <w:proofErr w:type="spellEnd"/>
      <w:r>
        <w:t xml:space="preserve">), BTEX, naftas produktu indekss, ĶSP, permanganāta indekss, </w:t>
      </w:r>
      <w:proofErr w:type="spellStart"/>
      <w:r>
        <w:t>Ca</w:t>
      </w:r>
      <w:proofErr w:type="spellEnd"/>
      <w:r>
        <w:t xml:space="preserve">, Mg, K, </w:t>
      </w:r>
      <w:proofErr w:type="spellStart"/>
      <w:r>
        <w:t>Na</w:t>
      </w:r>
      <w:proofErr w:type="spellEnd"/>
      <w:r>
        <w:t xml:space="preserve">, </w:t>
      </w:r>
      <w:proofErr w:type="spellStart"/>
      <w:r>
        <w:t>Cl</w:t>
      </w:r>
      <w:proofErr w:type="spellEnd"/>
      <w:r>
        <w:t xml:space="preserve">, sulfāti, </w:t>
      </w:r>
      <w:proofErr w:type="spellStart"/>
      <w:r>
        <w:t>hidrokarbonāti</w:t>
      </w:r>
      <w:proofErr w:type="spellEnd"/>
      <w:r>
        <w:t>, elektrovadītspēja.</w:t>
      </w:r>
    </w:p>
    <w:p w14:paraId="6F5B625F" w14:textId="77777777" w:rsidR="007F5D1C" w:rsidRDefault="007F5D1C" w:rsidP="00E17E73">
      <w:pPr>
        <w:pStyle w:val="ListParagraph"/>
        <w:numPr>
          <w:ilvl w:val="0"/>
          <w:numId w:val="10"/>
        </w:numPr>
        <w:jc w:val="both"/>
      </w:pPr>
      <w:r>
        <w:t>Specifiskās vielas atkarībā no teritorijas lietojuma (2. pielikums).</w:t>
      </w:r>
    </w:p>
    <w:p w14:paraId="1FD9CACD" w14:textId="77777777" w:rsidR="00055749" w:rsidRPr="00E75B7F" w:rsidRDefault="00055749" w:rsidP="00055749">
      <w:pPr>
        <w:jc w:val="both"/>
      </w:pPr>
      <w:r w:rsidRPr="00F12D88">
        <w:lastRenderedPageBreak/>
        <w:t xml:space="preserve">Detalizētā </w:t>
      </w:r>
      <w:proofErr w:type="spellStart"/>
      <w:r w:rsidRPr="00F12D88">
        <w:t>ekoģeoloģiskā</w:t>
      </w:r>
      <w:proofErr w:type="spellEnd"/>
      <w:r w:rsidRPr="00F12D88">
        <w:t xml:space="preserve"> izpēte, ko veic, lai izvērtētu piesārņojuma izplatību vidē – koncentrāciju, apjomu un citu informāciju, kas nepieciešama piesārņojuma riska novērtēšanai un sanācijas nepieciešamības noteikšanai. Šajā izpētes etapā darbus veic tikai tajās zonās, kur sākotnējā izpētē konstatēts piesārņojums, kā arī fizikālās un ķīmiskās analīzes veic tikai tiem rādītājiem, kuru daudzums ir lielāks par noteiktajām robežvērtībām</w:t>
      </w:r>
      <w:r w:rsidR="00F05466" w:rsidRPr="00F12D88">
        <w:t>.</w:t>
      </w:r>
    </w:p>
    <w:p w14:paraId="0145F0B8" w14:textId="77777777" w:rsidR="000F47DA" w:rsidRDefault="000F47DA" w:rsidP="000F47DA"/>
    <w:p w14:paraId="733078F0" w14:textId="77777777" w:rsidR="000F47DA" w:rsidRDefault="00E75B7F" w:rsidP="00E17E73">
      <w:pPr>
        <w:pStyle w:val="Heading2"/>
        <w:numPr>
          <w:ilvl w:val="1"/>
          <w:numId w:val="1"/>
        </w:numPr>
      </w:pPr>
      <w:bookmarkStart w:id="10" w:name="_Toc59326491"/>
      <w:r>
        <w:t>Normatīvais regulējums Zviedrijā</w:t>
      </w:r>
      <w:bookmarkEnd w:id="10"/>
    </w:p>
    <w:p w14:paraId="259C94F0" w14:textId="77777777" w:rsidR="00087EE6" w:rsidRDefault="00087EE6" w:rsidP="000B0E63">
      <w:pPr>
        <w:jc w:val="both"/>
      </w:pPr>
      <w:r>
        <w:t xml:space="preserve">Zviedrijā </w:t>
      </w:r>
      <w:r w:rsidR="003E5920">
        <w:t xml:space="preserve">lielāko daļu no teritorijas klāj meži, un tikai ap 10% zemes ir </w:t>
      </w:r>
      <w:r w:rsidR="003E5920" w:rsidRPr="001C0AB1">
        <w:t>apbūve (</w:t>
      </w:r>
      <w:r w:rsidR="001C0AB1" w:rsidRPr="001C0AB1">
        <w:t>3</w:t>
      </w:r>
      <w:r w:rsidR="003E5920" w:rsidRPr="001C0AB1">
        <w:t>. attēls). Zviedrija</w:t>
      </w:r>
      <w:r w:rsidR="003E5920">
        <w:t xml:space="preserve"> ir valsts, kurai daļa no teritorijas atrodas aiz polārā loka. Zviedrijā ir viens no mazākajiem iedzīvotāju blīvumiem starp Eiropas valstīm, tomēr, lielākā daļa no populācijas atrodas tā sauktajā Stokholmas - Gēteborgas jostā, kas šo valsts Rietumu piekrasti padara par blīvi apdzīvotu valsts daļu</w:t>
      </w:r>
      <w:sdt>
        <w:sdtPr>
          <w:id w:val="1097218342"/>
          <w:citation/>
        </w:sdtPr>
        <w:sdtEndPr/>
        <w:sdtContent>
          <w:r w:rsidR="003E5920">
            <w:fldChar w:fldCharType="begin"/>
          </w:r>
          <w:r w:rsidR="003E5920">
            <w:instrText xml:space="preserve"> CITATION Jef13 \l 1062 </w:instrText>
          </w:r>
          <w:r w:rsidR="003E5920">
            <w:fldChar w:fldCharType="separate"/>
          </w:r>
          <w:r w:rsidR="009950D4">
            <w:rPr>
              <w:noProof/>
            </w:rPr>
            <w:t xml:space="preserve"> </w:t>
          </w:r>
          <w:r w:rsidR="009950D4" w:rsidRPr="009950D4">
            <w:rPr>
              <w:noProof/>
            </w:rPr>
            <w:t>[11]</w:t>
          </w:r>
          <w:r w:rsidR="003E5920">
            <w:fldChar w:fldCharType="end"/>
          </w:r>
        </w:sdtContent>
      </w:sdt>
      <w:r w:rsidR="003E5920">
        <w:t xml:space="preserve">. Tas ir būtisks aspekts, vērtējot pazemes ūdens kvalitāti, kā arī izstrādājot normatīvo regulējumu – atbilstošas prasības jāparedz gan plašām neapdzīvotām teritorijām, gan arī blīvi apdzīvotiem rajoniem. </w:t>
      </w:r>
    </w:p>
    <w:p w14:paraId="030A830C" w14:textId="77777777" w:rsidR="00087EE6" w:rsidRDefault="00087EE6" w:rsidP="003E5920">
      <w:pPr>
        <w:jc w:val="center"/>
      </w:pPr>
      <w:r w:rsidRPr="00087EE6">
        <w:rPr>
          <w:noProof/>
          <w:lang w:eastAsia="lv-LV"/>
        </w:rPr>
        <w:drawing>
          <wp:inline distT="0" distB="0" distL="0" distR="0" wp14:anchorId="3FF8E054" wp14:editId="49C2C4E4">
            <wp:extent cx="3844825" cy="3191773"/>
            <wp:effectExtent l="0" t="0" r="3810" b="8890"/>
            <wp:docPr id="1" name="Picture 1" descr="Breakdown of land use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eakdown of land use 20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53196" cy="3198722"/>
                    </a:xfrm>
                    <a:prstGeom prst="rect">
                      <a:avLst/>
                    </a:prstGeom>
                    <a:noFill/>
                    <a:ln>
                      <a:noFill/>
                    </a:ln>
                  </pic:spPr>
                </pic:pic>
              </a:graphicData>
            </a:graphic>
          </wp:inline>
        </w:drawing>
      </w:r>
    </w:p>
    <w:p w14:paraId="45521E41" w14:textId="77777777" w:rsidR="003E5920" w:rsidRPr="003E5920" w:rsidRDefault="003E5920" w:rsidP="00E17E73">
      <w:pPr>
        <w:pStyle w:val="ListParagraph"/>
        <w:numPr>
          <w:ilvl w:val="0"/>
          <w:numId w:val="13"/>
        </w:numPr>
        <w:ind w:left="2127"/>
        <w:jc w:val="both"/>
        <w:rPr>
          <w:rStyle w:val="Emphasis"/>
        </w:rPr>
      </w:pPr>
      <w:r w:rsidRPr="003E5920">
        <w:rPr>
          <w:rStyle w:val="Emphasis"/>
        </w:rPr>
        <w:t xml:space="preserve">Attēls. </w:t>
      </w:r>
      <w:r>
        <w:rPr>
          <w:rStyle w:val="Emphasis"/>
        </w:rPr>
        <w:t>Zviedrijas teritorijas iedalījums pēc zemes lie</w:t>
      </w:r>
      <w:r w:rsidRPr="003E5920">
        <w:rPr>
          <w:rStyle w:val="Emphasis"/>
          <w:u w:val="single"/>
        </w:rPr>
        <w:t>t</w:t>
      </w:r>
      <w:r>
        <w:rPr>
          <w:rStyle w:val="Emphasis"/>
        </w:rPr>
        <w:t>ojuma</w:t>
      </w:r>
      <w:r w:rsidRPr="003E5920">
        <w:rPr>
          <w:rStyle w:val="Emphasis"/>
        </w:rPr>
        <w:t xml:space="preserve"> </w:t>
      </w:r>
    </w:p>
    <w:p w14:paraId="7A5F749C" w14:textId="77777777" w:rsidR="00833194" w:rsidRDefault="00833194" w:rsidP="00833194">
      <w:pPr>
        <w:jc w:val="both"/>
      </w:pPr>
    </w:p>
    <w:p w14:paraId="3B098314" w14:textId="142B3301" w:rsidR="00833194" w:rsidRDefault="00833194" w:rsidP="00833194">
      <w:pPr>
        <w:jc w:val="both"/>
      </w:pPr>
      <w:r>
        <w:t>Kopumā Zviedrijā nav viena īpaša likuma par pazemes ūdeņiem, vai ūdeņiem kopumā. Dažādas prasības ir iekļautas vairāku jomu likumos. Attiecībā uz pazemes ūdeņu aizsardzību un kvalitātes prasībām, būtiskākais normatīvais regulējums ir 1999. gadā izdotajā Vides kodekss (</w:t>
      </w:r>
      <w:proofErr w:type="spellStart"/>
      <w:r w:rsidRPr="001B2696">
        <w:rPr>
          <w:i/>
        </w:rPr>
        <w:t>Miljöbalken</w:t>
      </w:r>
      <w:proofErr w:type="spellEnd"/>
      <w:r w:rsidRPr="001B2696">
        <w:t>)</w:t>
      </w:r>
      <w:r w:rsidR="001B2696">
        <w:t xml:space="preserve"> </w:t>
      </w:r>
      <w:sdt>
        <w:sdtPr>
          <w:id w:val="627749533"/>
          <w:citation/>
        </w:sdtPr>
        <w:sdtEndPr/>
        <w:sdtContent>
          <w:r w:rsidRPr="001B2696">
            <w:fldChar w:fldCharType="begin"/>
          </w:r>
          <w:r w:rsidRPr="001B2696">
            <w:instrText xml:space="preserve"> CITATION Mil98 \l 1062 </w:instrText>
          </w:r>
          <w:r w:rsidRPr="001B2696">
            <w:fldChar w:fldCharType="separate"/>
          </w:r>
          <w:r w:rsidR="009950D4" w:rsidRPr="009950D4">
            <w:rPr>
              <w:noProof/>
            </w:rPr>
            <w:t>[12]</w:t>
          </w:r>
          <w:r w:rsidRPr="001B2696">
            <w:fldChar w:fldCharType="end"/>
          </w:r>
        </w:sdtContent>
      </w:sdt>
      <w:r w:rsidRPr="001B2696">
        <w:t xml:space="preserve">. Kas attiecas uz pazemes ūdeņu kvalitātes normatīviem, jāatzīmē, ka </w:t>
      </w:r>
      <w:r w:rsidR="001B2696" w:rsidRPr="001B2696">
        <w:t xml:space="preserve">Zviedrijā noteiktais parametru saraksts, kam ir definētas robežvērtības, ir salīdzinoši neliels, un ierasta prakse ir juridiski saistošus lēmumus balstīt uz citu valstu (piemēram, ASV, Kanādas vai Nīderlandes praksi) </w:t>
      </w:r>
      <w:sdt>
        <w:sdtPr>
          <w:id w:val="225194007"/>
          <w:citation/>
        </w:sdtPr>
        <w:sdtEndPr/>
        <w:sdtContent>
          <w:r w:rsidR="001B2696" w:rsidRPr="001B2696">
            <w:fldChar w:fldCharType="begin"/>
          </w:r>
          <w:r w:rsidR="001B2696" w:rsidRPr="001B2696">
            <w:instrText xml:space="preserve"> CITATION Jef13 \l 1062 </w:instrText>
          </w:r>
          <w:r w:rsidR="001B2696" w:rsidRPr="001B2696">
            <w:fldChar w:fldCharType="separate"/>
          </w:r>
          <w:r w:rsidR="009950D4" w:rsidRPr="009950D4">
            <w:rPr>
              <w:noProof/>
            </w:rPr>
            <w:t>[11]</w:t>
          </w:r>
          <w:r w:rsidR="001B2696" w:rsidRPr="001B2696">
            <w:fldChar w:fldCharType="end"/>
          </w:r>
        </w:sdtContent>
      </w:sdt>
      <w:r w:rsidR="001B2696" w:rsidRPr="001B2696">
        <w:t>. Kopumā pazemes ūdeņu kvalitātes uzraudzība tiek uzskatīta kā laba, un kā būtiskākā priekšrocība tiek minēta decentralizēts un konkrētai vietai pielāgo</w:t>
      </w:r>
      <w:r w:rsidR="009E3921">
        <w:t>ts lēmumu pieņemšanas process (4</w:t>
      </w:r>
      <w:r w:rsidR="001B2696" w:rsidRPr="001B2696">
        <w:t>. attēls)</w:t>
      </w:r>
      <w:r w:rsidR="009E3921">
        <w:t>. Lēmumu pieņemšanā iesaistītas dažādu līmeņu organizācijas, t.sk. pašvaldības, Nacionālā pārtikas aģentūra, Zviedrijas ķīmisko vielu aģentūra KEMI (</w:t>
      </w:r>
      <w:proofErr w:type="spellStart"/>
      <w:r w:rsidR="009E3921" w:rsidRPr="009E3921">
        <w:rPr>
          <w:i/>
        </w:rPr>
        <w:t>Kemikalieinspektionen</w:t>
      </w:r>
      <w:proofErr w:type="spellEnd"/>
      <w:r w:rsidR="009E3921">
        <w:t>), u.c.</w:t>
      </w:r>
    </w:p>
    <w:p w14:paraId="76F65A39" w14:textId="77777777" w:rsidR="001B2696" w:rsidRDefault="001B2696" w:rsidP="001B2696">
      <w:pPr>
        <w:jc w:val="center"/>
      </w:pPr>
      <w:r w:rsidRPr="001B2696">
        <w:rPr>
          <w:noProof/>
          <w:lang w:eastAsia="lv-LV"/>
        </w:rPr>
        <w:lastRenderedPageBreak/>
        <w:drawing>
          <wp:inline distT="0" distB="0" distL="0" distR="0" wp14:anchorId="50083884" wp14:editId="666D0A0D">
            <wp:extent cx="4416725" cy="5193263"/>
            <wp:effectExtent l="0" t="0" r="317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21562" cy="5198951"/>
                    </a:xfrm>
                    <a:prstGeom prst="rect">
                      <a:avLst/>
                    </a:prstGeom>
                    <a:noFill/>
                    <a:ln>
                      <a:noFill/>
                    </a:ln>
                  </pic:spPr>
                </pic:pic>
              </a:graphicData>
            </a:graphic>
          </wp:inline>
        </w:drawing>
      </w:r>
    </w:p>
    <w:p w14:paraId="63F0333E" w14:textId="77777777" w:rsidR="00087EE6" w:rsidRDefault="001B2696" w:rsidP="00E17E73">
      <w:pPr>
        <w:pStyle w:val="ListParagraph"/>
        <w:numPr>
          <w:ilvl w:val="0"/>
          <w:numId w:val="13"/>
        </w:numPr>
        <w:ind w:left="1701"/>
        <w:jc w:val="both"/>
      </w:pPr>
      <w:r w:rsidRPr="003E5920">
        <w:rPr>
          <w:rStyle w:val="Emphasis"/>
        </w:rPr>
        <w:t xml:space="preserve">Attēls. </w:t>
      </w:r>
      <w:r w:rsidRPr="001B2696">
        <w:rPr>
          <w:rStyle w:val="Emphasis"/>
        </w:rPr>
        <w:t>Pazemes ūdeņu politikas un atbildības shēma</w:t>
      </w:r>
      <w:r>
        <w:rPr>
          <w:rStyle w:val="Emphasis"/>
        </w:rPr>
        <w:t xml:space="preserve"> saskaņā ar Zviedrijas likumiem</w:t>
      </w:r>
      <w:sdt>
        <w:sdtPr>
          <w:rPr>
            <w:rStyle w:val="Emphasis"/>
          </w:rPr>
          <w:id w:val="957300671"/>
          <w:citation/>
        </w:sdtPr>
        <w:sdtEndPr>
          <w:rPr>
            <w:rStyle w:val="Emphasis"/>
          </w:rPr>
        </w:sdtEndPr>
        <w:sdtContent>
          <w:r>
            <w:rPr>
              <w:rStyle w:val="Emphasis"/>
            </w:rPr>
            <w:fldChar w:fldCharType="begin"/>
          </w:r>
          <w:r>
            <w:rPr>
              <w:rStyle w:val="Emphasis"/>
            </w:rPr>
            <w:instrText xml:space="preserve"> CITATION Jef13 \l 1062 </w:instrText>
          </w:r>
          <w:r>
            <w:rPr>
              <w:rStyle w:val="Emphasis"/>
            </w:rPr>
            <w:fldChar w:fldCharType="separate"/>
          </w:r>
          <w:r w:rsidR="001C0AB1">
            <w:rPr>
              <w:rStyle w:val="Emphasis"/>
              <w:noProof/>
            </w:rPr>
            <w:t xml:space="preserve"> </w:t>
          </w:r>
          <w:r w:rsidR="001C0AB1" w:rsidRPr="001C0AB1">
            <w:rPr>
              <w:noProof/>
            </w:rPr>
            <w:t>[11]</w:t>
          </w:r>
          <w:r>
            <w:rPr>
              <w:rStyle w:val="Emphasis"/>
            </w:rPr>
            <w:fldChar w:fldCharType="end"/>
          </w:r>
        </w:sdtContent>
      </w:sdt>
    </w:p>
    <w:p w14:paraId="10EAB927" w14:textId="77777777" w:rsidR="00087EE6" w:rsidRDefault="00087EE6" w:rsidP="000B0E63">
      <w:pPr>
        <w:jc w:val="both"/>
      </w:pPr>
    </w:p>
    <w:p w14:paraId="17CDC8AA" w14:textId="77777777" w:rsidR="00F57BC0" w:rsidRDefault="00C20080" w:rsidP="000B0E63">
      <w:pPr>
        <w:jc w:val="both"/>
      </w:pPr>
      <w:r>
        <w:t>Zviedrijā gruntsūdens kvalitātes normatīvi ir noteikti ar Zviedrijas ģeoloģijas dienesta (</w:t>
      </w:r>
      <w:proofErr w:type="spellStart"/>
      <w:r w:rsidRPr="00C20080">
        <w:rPr>
          <w:i/>
        </w:rPr>
        <w:t>Sveriges</w:t>
      </w:r>
      <w:proofErr w:type="spellEnd"/>
      <w:r w:rsidRPr="00C20080">
        <w:rPr>
          <w:i/>
        </w:rPr>
        <w:t xml:space="preserve"> </w:t>
      </w:r>
      <w:proofErr w:type="spellStart"/>
      <w:r w:rsidRPr="00C20080">
        <w:rPr>
          <w:i/>
        </w:rPr>
        <w:t>geologiska</w:t>
      </w:r>
      <w:proofErr w:type="spellEnd"/>
      <w:r w:rsidRPr="00C20080">
        <w:rPr>
          <w:i/>
        </w:rPr>
        <w:t xml:space="preserve"> </w:t>
      </w:r>
      <w:proofErr w:type="spellStart"/>
      <w:r w:rsidRPr="00C20080">
        <w:rPr>
          <w:i/>
        </w:rPr>
        <w:t>undersökning</w:t>
      </w:r>
      <w:proofErr w:type="spellEnd"/>
      <w:r>
        <w:t xml:space="preserve">) </w:t>
      </w:r>
      <w:r w:rsidR="002A5F11">
        <w:t>2019. gada 9</w:t>
      </w:r>
      <w:r w:rsidR="00F0464F">
        <w:t xml:space="preserve">. </w:t>
      </w:r>
      <w:r w:rsidR="002A5F11">
        <w:t>decembra noteikumiem Nr. SGU-FS 2019:1</w:t>
      </w:r>
      <w:sdt>
        <w:sdtPr>
          <w:id w:val="-316421247"/>
          <w:citation/>
        </w:sdtPr>
        <w:sdtEndPr/>
        <w:sdtContent>
          <w:r w:rsidR="00DC6E49">
            <w:fldChar w:fldCharType="begin"/>
          </w:r>
          <w:r w:rsidR="00DC6E49">
            <w:instrText xml:space="preserve"> CITATION Sve19 \l 1062 </w:instrText>
          </w:r>
          <w:r w:rsidR="00DC6E49">
            <w:fldChar w:fldCharType="separate"/>
          </w:r>
          <w:r w:rsidR="009950D4">
            <w:rPr>
              <w:noProof/>
            </w:rPr>
            <w:t xml:space="preserve"> </w:t>
          </w:r>
          <w:r w:rsidR="009950D4" w:rsidRPr="009950D4">
            <w:rPr>
              <w:noProof/>
            </w:rPr>
            <w:t>[13]</w:t>
          </w:r>
          <w:r w:rsidR="00DC6E49">
            <w:fldChar w:fldCharType="end"/>
          </w:r>
        </w:sdtContent>
      </w:sdt>
      <w:r w:rsidR="00F0464F">
        <w:t xml:space="preserve"> par vides kvalitātes standartiem un statusa klasifikāciju gruntsūdeņiem</w:t>
      </w:r>
      <w:r w:rsidR="00DC6E49">
        <w:t>, kas izdoti uz ūdenssaimniecības rīkojuma (likuma) (2004: 660) pamata.</w:t>
      </w:r>
      <w:r w:rsidR="000B0E63">
        <w:t xml:space="preserve"> Šie noteikumi groza/papildina noteikumus SGU FS 2013:2 </w:t>
      </w:r>
      <w:sdt>
        <w:sdtPr>
          <w:id w:val="-1292275520"/>
          <w:citation/>
        </w:sdtPr>
        <w:sdtEndPr/>
        <w:sdtContent>
          <w:r w:rsidR="000B0E63">
            <w:fldChar w:fldCharType="begin"/>
          </w:r>
          <w:r w:rsidR="000B0E63">
            <w:instrText xml:space="preserve"> CITATION Sve \l 1062 </w:instrText>
          </w:r>
          <w:r w:rsidR="000B0E63">
            <w:fldChar w:fldCharType="separate"/>
          </w:r>
          <w:r w:rsidR="009950D4" w:rsidRPr="009950D4">
            <w:rPr>
              <w:noProof/>
            </w:rPr>
            <w:t>[14]</w:t>
          </w:r>
          <w:r w:rsidR="000B0E63">
            <w:fldChar w:fldCharType="end"/>
          </w:r>
        </w:sdtContent>
      </w:sdt>
      <w:r w:rsidR="000B0E63">
        <w:t xml:space="preserve">, kā arī papildina noteikumus par gruntsūdens kartēšanu un analīzi (SGU-FS 2013:1) </w:t>
      </w:r>
      <w:sdt>
        <w:sdtPr>
          <w:id w:val="-1202009298"/>
          <w:citation/>
        </w:sdtPr>
        <w:sdtEndPr/>
        <w:sdtContent>
          <w:r w:rsidR="000B0E63">
            <w:fldChar w:fldCharType="begin"/>
          </w:r>
          <w:r w:rsidR="000B0E63">
            <w:instrText xml:space="preserve"> CITATION Sve1 \l 1062 </w:instrText>
          </w:r>
          <w:r w:rsidR="000B0E63">
            <w:fldChar w:fldCharType="separate"/>
          </w:r>
          <w:r w:rsidR="009950D4" w:rsidRPr="009950D4">
            <w:rPr>
              <w:noProof/>
            </w:rPr>
            <w:t>[15]</w:t>
          </w:r>
          <w:r w:rsidR="000B0E63">
            <w:fldChar w:fldCharType="end"/>
          </w:r>
        </w:sdtContent>
      </w:sdt>
      <w:r w:rsidR="00C127BB">
        <w:t>.</w:t>
      </w:r>
    </w:p>
    <w:p w14:paraId="4C97DDC6" w14:textId="77777777" w:rsidR="001B2696" w:rsidRDefault="001B2696" w:rsidP="000B0E63">
      <w:pPr>
        <w:jc w:val="both"/>
      </w:pPr>
    </w:p>
    <w:p w14:paraId="7923E1B9" w14:textId="77777777" w:rsidR="001C0AB1" w:rsidRDefault="001C0AB1" w:rsidP="000B0E63">
      <w:pPr>
        <w:jc w:val="both"/>
      </w:pPr>
    </w:p>
    <w:p w14:paraId="70976C84" w14:textId="77777777" w:rsidR="001C0AB1" w:rsidRDefault="001C0AB1" w:rsidP="000B0E63">
      <w:pPr>
        <w:jc w:val="both"/>
      </w:pPr>
    </w:p>
    <w:p w14:paraId="7C2AFCF5" w14:textId="77777777" w:rsidR="001C0AB1" w:rsidRDefault="001C0AB1" w:rsidP="000B0E63">
      <w:pPr>
        <w:jc w:val="both"/>
      </w:pPr>
    </w:p>
    <w:p w14:paraId="183750B2" w14:textId="77777777" w:rsidR="001C0AB1" w:rsidRDefault="001C0AB1" w:rsidP="000B0E63">
      <w:pPr>
        <w:jc w:val="both"/>
      </w:pPr>
    </w:p>
    <w:p w14:paraId="1D1F82B9" w14:textId="77777777" w:rsidR="001C0AB1" w:rsidRDefault="001C0AB1" w:rsidP="000B0E63">
      <w:pPr>
        <w:jc w:val="both"/>
      </w:pPr>
    </w:p>
    <w:p w14:paraId="5CE6C6AD" w14:textId="77777777" w:rsidR="001C0AB1" w:rsidRDefault="001C0AB1" w:rsidP="000B0E63">
      <w:pPr>
        <w:jc w:val="both"/>
      </w:pPr>
    </w:p>
    <w:p w14:paraId="1C60C207" w14:textId="77777777" w:rsidR="00832FDC" w:rsidRDefault="00832FDC" w:rsidP="00E17E73">
      <w:pPr>
        <w:pStyle w:val="Heading3"/>
        <w:numPr>
          <w:ilvl w:val="2"/>
          <w:numId w:val="14"/>
        </w:numPr>
      </w:pPr>
      <w:bookmarkStart w:id="11" w:name="_Toc59326492"/>
      <w:r>
        <w:lastRenderedPageBreak/>
        <w:t>Gruntsūdens kvalitātes kritēriji</w:t>
      </w:r>
      <w:bookmarkEnd w:id="11"/>
    </w:p>
    <w:p w14:paraId="47003E97" w14:textId="77777777" w:rsidR="009D3FBC" w:rsidRDefault="009D3FBC" w:rsidP="000B0E63">
      <w:pPr>
        <w:jc w:val="both"/>
      </w:pPr>
      <w:r>
        <w:t>Noteikumos Nr. SGU-FS 2019:1 uzskaitītas definēto ūdens kvalitātes parametru robežvērtības</w:t>
      </w:r>
      <w:r w:rsidR="00CF4BC5">
        <w:t xml:space="preserve">, kā arī uzskaitīti nosacījumi fona vērtību noteikšanai. </w:t>
      </w:r>
      <w:r>
        <w:t xml:space="preserve"> </w:t>
      </w:r>
      <w:r w:rsidR="00832FDC">
        <w:t xml:space="preserve">Pilns šajos noteikumos definētais parametru saraksts skatāms 1. pielikumā. </w:t>
      </w:r>
      <w:r>
        <w:t>Ar Latvijas normatīvos</w:t>
      </w:r>
      <w:sdt>
        <w:sdtPr>
          <w:id w:val="1468312987"/>
          <w:citation/>
        </w:sdtPr>
        <w:sdtEndPr/>
        <w:sdtContent>
          <w:r>
            <w:fldChar w:fldCharType="begin"/>
          </w:r>
          <w:r>
            <w:instrText xml:space="preserve"> CITATION MK_Not_118 \l 1062 </w:instrText>
          </w:r>
          <w:r>
            <w:fldChar w:fldCharType="separate"/>
          </w:r>
          <w:r w:rsidR="009950D4">
            <w:rPr>
              <w:noProof/>
            </w:rPr>
            <w:t xml:space="preserve"> </w:t>
          </w:r>
          <w:r w:rsidR="009950D4" w:rsidRPr="009950D4">
            <w:rPr>
              <w:noProof/>
            </w:rPr>
            <w:t>[2]</w:t>
          </w:r>
          <w:r>
            <w:fldChar w:fldCharType="end"/>
          </w:r>
        </w:sdtContent>
      </w:sdt>
      <w:r>
        <w:t xml:space="preserve"> definētajiem parametriem šajos noteikumos</w:t>
      </w:r>
      <w:sdt>
        <w:sdtPr>
          <w:id w:val="1966925104"/>
          <w:citation/>
        </w:sdtPr>
        <w:sdtEndPr/>
        <w:sdtContent>
          <w:r>
            <w:fldChar w:fldCharType="begin"/>
          </w:r>
          <w:r>
            <w:instrText xml:space="preserve"> CITATION Sve19 \l 1062 </w:instrText>
          </w:r>
          <w:r>
            <w:fldChar w:fldCharType="separate"/>
          </w:r>
          <w:r w:rsidR="009950D4">
            <w:rPr>
              <w:noProof/>
            </w:rPr>
            <w:t xml:space="preserve"> </w:t>
          </w:r>
          <w:r w:rsidR="009950D4" w:rsidRPr="009950D4">
            <w:rPr>
              <w:noProof/>
            </w:rPr>
            <w:t>[13]</w:t>
          </w:r>
          <w:r>
            <w:fldChar w:fldCharType="end"/>
          </w:r>
        </w:sdtContent>
      </w:sdt>
      <w:r>
        <w:t xml:space="preserve"> kopīgie parametri ir </w:t>
      </w:r>
      <w:r w:rsidRPr="001C0AB1">
        <w:t xml:space="preserve">apkopoti </w:t>
      </w:r>
      <w:r w:rsidR="00F12D88" w:rsidRPr="001C0AB1">
        <w:t>2</w:t>
      </w:r>
      <w:r w:rsidRPr="001C0AB1">
        <w:t>. tabul</w:t>
      </w:r>
      <w:r w:rsidR="00B634FC" w:rsidRPr="001C0AB1">
        <w:t>ā.</w:t>
      </w:r>
      <w:r w:rsidR="00B634FC">
        <w:t xml:space="preserve"> </w:t>
      </w:r>
    </w:p>
    <w:p w14:paraId="6F6DFB99" w14:textId="77777777" w:rsidR="00206F5F" w:rsidRDefault="00206F5F" w:rsidP="000B0E63">
      <w:pPr>
        <w:jc w:val="both"/>
      </w:pPr>
    </w:p>
    <w:p w14:paraId="695A0721" w14:textId="77777777" w:rsidR="009D3FBC" w:rsidRDefault="009D3FBC" w:rsidP="009D3FBC">
      <w:pPr>
        <w:pStyle w:val="Caption"/>
      </w:pPr>
      <w:r>
        <w:t xml:space="preserve">Tabula </w:t>
      </w:r>
      <w:r w:rsidR="00FE6CAD">
        <w:rPr>
          <w:noProof/>
        </w:rPr>
        <w:fldChar w:fldCharType="begin"/>
      </w:r>
      <w:r w:rsidR="00FE6CAD">
        <w:rPr>
          <w:noProof/>
        </w:rPr>
        <w:instrText xml:space="preserve"> SEQ Tabula \* ARABIC </w:instrText>
      </w:r>
      <w:r w:rsidR="00FE6CAD">
        <w:rPr>
          <w:noProof/>
        </w:rPr>
        <w:fldChar w:fldCharType="separate"/>
      </w:r>
      <w:r w:rsidR="007926C6">
        <w:rPr>
          <w:noProof/>
        </w:rPr>
        <w:t>2</w:t>
      </w:r>
      <w:r w:rsidR="00FE6CAD">
        <w:rPr>
          <w:noProof/>
        </w:rPr>
        <w:fldChar w:fldCharType="end"/>
      </w:r>
      <w:r w:rsidR="00B634FC">
        <w:t xml:space="preserve">. </w:t>
      </w:r>
      <w:r>
        <w:t xml:space="preserve"> Latvijas un Zviedrijas grun</w:t>
      </w:r>
      <w:r w:rsidR="00B634FC">
        <w:t>t</w:t>
      </w:r>
      <w:r>
        <w:t>sūdens kvalitātes kopīgo parametru salīdzinājums</w:t>
      </w:r>
    </w:p>
    <w:tbl>
      <w:tblPr>
        <w:tblStyle w:val="ListTable2"/>
        <w:tblW w:w="0" w:type="auto"/>
        <w:tblLook w:val="0620" w:firstRow="1" w:lastRow="0" w:firstColumn="0" w:lastColumn="0" w:noHBand="1" w:noVBand="1"/>
      </w:tblPr>
      <w:tblGrid>
        <w:gridCol w:w="1824"/>
        <w:gridCol w:w="908"/>
        <w:gridCol w:w="1372"/>
        <w:gridCol w:w="1364"/>
        <w:gridCol w:w="1375"/>
        <w:gridCol w:w="1373"/>
        <w:gridCol w:w="1422"/>
      </w:tblGrid>
      <w:tr w:rsidR="009D3FBC" w14:paraId="7E5D3DBB" w14:textId="77777777" w:rsidTr="00B634FC">
        <w:trPr>
          <w:cnfStyle w:val="100000000000" w:firstRow="1" w:lastRow="0" w:firstColumn="0" w:lastColumn="0" w:oddVBand="0" w:evenVBand="0" w:oddHBand="0" w:evenHBand="0" w:firstRowFirstColumn="0" w:firstRowLastColumn="0" w:lastRowFirstColumn="0" w:lastRowLastColumn="0"/>
        </w:trPr>
        <w:tc>
          <w:tcPr>
            <w:tcW w:w="1838" w:type="dxa"/>
            <w:vMerge w:val="restart"/>
          </w:tcPr>
          <w:p w14:paraId="3DD06238" w14:textId="77777777" w:rsidR="009D3FBC" w:rsidRPr="009D3FBC" w:rsidRDefault="009D3FBC" w:rsidP="009D3FBC">
            <w:pPr>
              <w:jc w:val="center"/>
              <w:rPr>
                <w:sz w:val="20"/>
                <w:szCs w:val="20"/>
              </w:rPr>
            </w:pPr>
            <w:r w:rsidRPr="009D3FBC">
              <w:rPr>
                <w:sz w:val="20"/>
                <w:szCs w:val="20"/>
              </w:rPr>
              <w:t>Parametrs</w:t>
            </w:r>
          </w:p>
        </w:tc>
        <w:tc>
          <w:tcPr>
            <w:tcW w:w="912" w:type="dxa"/>
            <w:vMerge w:val="restart"/>
          </w:tcPr>
          <w:p w14:paraId="7E54C107" w14:textId="77777777" w:rsidR="009D3FBC" w:rsidRPr="009D3FBC" w:rsidRDefault="009D3FBC" w:rsidP="009D3FBC">
            <w:pPr>
              <w:jc w:val="center"/>
              <w:rPr>
                <w:sz w:val="20"/>
                <w:szCs w:val="20"/>
              </w:rPr>
            </w:pPr>
            <w:proofErr w:type="spellStart"/>
            <w:r w:rsidRPr="009D3FBC">
              <w:rPr>
                <w:sz w:val="20"/>
                <w:szCs w:val="20"/>
              </w:rPr>
              <w:t>Mērv</w:t>
            </w:r>
            <w:proofErr w:type="spellEnd"/>
            <w:r w:rsidRPr="009D3FBC">
              <w:rPr>
                <w:sz w:val="20"/>
                <w:szCs w:val="20"/>
              </w:rPr>
              <w:t>.</w:t>
            </w:r>
          </w:p>
        </w:tc>
        <w:tc>
          <w:tcPr>
            <w:tcW w:w="4126" w:type="dxa"/>
            <w:gridSpan w:val="3"/>
          </w:tcPr>
          <w:p w14:paraId="147E1CB6" w14:textId="650F6788" w:rsidR="009D3FBC" w:rsidRPr="009D3FBC" w:rsidRDefault="009D3FBC" w:rsidP="009D3FBC">
            <w:pPr>
              <w:jc w:val="center"/>
              <w:rPr>
                <w:sz w:val="20"/>
                <w:szCs w:val="20"/>
              </w:rPr>
            </w:pPr>
            <w:r w:rsidRPr="009D3FBC">
              <w:rPr>
                <w:sz w:val="20"/>
                <w:szCs w:val="20"/>
              </w:rPr>
              <w:t>Ūdens kvalitātes normatīvi pazemes ūdeņu stāvokļa novērtēšanai</w:t>
            </w:r>
            <w:r w:rsidR="00EF0BF3">
              <w:rPr>
                <w:sz w:val="20"/>
                <w:szCs w:val="20"/>
              </w:rPr>
              <w:t xml:space="preserve"> (MK 118 10.piel., 1.tab.)</w:t>
            </w:r>
          </w:p>
        </w:tc>
        <w:tc>
          <w:tcPr>
            <w:tcW w:w="2752" w:type="dxa"/>
            <w:gridSpan w:val="2"/>
          </w:tcPr>
          <w:p w14:paraId="45202CA3" w14:textId="77777777" w:rsidR="009D3FBC" w:rsidRPr="009D3FBC" w:rsidRDefault="009D3FBC" w:rsidP="009D3FBC">
            <w:pPr>
              <w:jc w:val="center"/>
              <w:rPr>
                <w:sz w:val="20"/>
                <w:szCs w:val="20"/>
              </w:rPr>
            </w:pPr>
            <w:r w:rsidRPr="009D3FBC">
              <w:rPr>
                <w:sz w:val="20"/>
                <w:szCs w:val="20"/>
              </w:rPr>
              <w:t>Zviedrijas gruntsūdens robežvērtības</w:t>
            </w:r>
          </w:p>
        </w:tc>
      </w:tr>
      <w:tr w:rsidR="009D3FBC" w14:paraId="5274C4BD" w14:textId="77777777" w:rsidTr="00B634FC">
        <w:tc>
          <w:tcPr>
            <w:tcW w:w="1838" w:type="dxa"/>
            <w:vMerge/>
          </w:tcPr>
          <w:p w14:paraId="5A162AF0" w14:textId="77777777" w:rsidR="009D3FBC" w:rsidRPr="009D3FBC" w:rsidRDefault="009D3FBC" w:rsidP="009D3FBC">
            <w:pPr>
              <w:jc w:val="center"/>
              <w:rPr>
                <w:sz w:val="20"/>
                <w:szCs w:val="20"/>
              </w:rPr>
            </w:pPr>
          </w:p>
        </w:tc>
        <w:tc>
          <w:tcPr>
            <w:tcW w:w="912" w:type="dxa"/>
            <w:vMerge/>
          </w:tcPr>
          <w:p w14:paraId="1F7A2AB5" w14:textId="77777777" w:rsidR="009D3FBC" w:rsidRPr="009D3FBC" w:rsidRDefault="009D3FBC" w:rsidP="009D3FBC">
            <w:pPr>
              <w:jc w:val="center"/>
              <w:rPr>
                <w:sz w:val="20"/>
                <w:szCs w:val="20"/>
              </w:rPr>
            </w:pPr>
          </w:p>
        </w:tc>
        <w:tc>
          <w:tcPr>
            <w:tcW w:w="1375" w:type="dxa"/>
          </w:tcPr>
          <w:p w14:paraId="2CC51C59" w14:textId="77777777" w:rsidR="009D3FBC" w:rsidRPr="00832FDC" w:rsidRDefault="009D3FBC" w:rsidP="009D3FBC">
            <w:pPr>
              <w:jc w:val="center"/>
              <w:rPr>
                <w:b/>
                <w:sz w:val="20"/>
                <w:szCs w:val="20"/>
              </w:rPr>
            </w:pPr>
            <w:proofErr w:type="spellStart"/>
            <w:r w:rsidRPr="00832FDC">
              <w:rPr>
                <w:b/>
                <w:sz w:val="20"/>
                <w:szCs w:val="20"/>
              </w:rPr>
              <w:t>Mērķlielums</w:t>
            </w:r>
            <w:proofErr w:type="spellEnd"/>
          </w:p>
        </w:tc>
        <w:tc>
          <w:tcPr>
            <w:tcW w:w="1375" w:type="dxa"/>
          </w:tcPr>
          <w:p w14:paraId="20DD5DD2" w14:textId="77777777" w:rsidR="009D3FBC" w:rsidRPr="00832FDC" w:rsidRDefault="009D3FBC" w:rsidP="009D3FBC">
            <w:pPr>
              <w:jc w:val="center"/>
              <w:rPr>
                <w:b/>
                <w:sz w:val="20"/>
                <w:szCs w:val="20"/>
              </w:rPr>
            </w:pPr>
            <w:proofErr w:type="spellStart"/>
            <w:r w:rsidRPr="00832FDC">
              <w:rPr>
                <w:b/>
                <w:sz w:val="20"/>
                <w:szCs w:val="20"/>
              </w:rPr>
              <w:t>Vid</w:t>
            </w:r>
            <w:r w:rsidRPr="00832FDC">
              <w:rPr>
                <w:b/>
                <w:sz w:val="20"/>
                <w:szCs w:val="20"/>
                <w:vertAlign w:val="subscript"/>
              </w:rPr>
              <w:t>ARITM</w:t>
            </w:r>
            <w:proofErr w:type="spellEnd"/>
          </w:p>
        </w:tc>
        <w:tc>
          <w:tcPr>
            <w:tcW w:w="1376" w:type="dxa"/>
          </w:tcPr>
          <w:p w14:paraId="676512CF" w14:textId="77777777" w:rsidR="009D3FBC" w:rsidRPr="00832FDC" w:rsidRDefault="00B634FC" w:rsidP="009D3FBC">
            <w:pPr>
              <w:jc w:val="center"/>
              <w:rPr>
                <w:b/>
                <w:sz w:val="20"/>
                <w:szCs w:val="20"/>
              </w:rPr>
            </w:pPr>
            <w:r w:rsidRPr="00832FDC">
              <w:rPr>
                <w:b/>
                <w:sz w:val="20"/>
                <w:szCs w:val="20"/>
              </w:rPr>
              <w:t>Robež</w:t>
            </w:r>
            <w:r w:rsidR="009D3FBC" w:rsidRPr="00832FDC">
              <w:rPr>
                <w:b/>
                <w:sz w:val="20"/>
                <w:szCs w:val="20"/>
              </w:rPr>
              <w:t>lielums</w:t>
            </w:r>
          </w:p>
        </w:tc>
        <w:tc>
          <w:tcPr>
            <w:tcW w:w="1376" w:type="dxa"/>
          </w:tcPr>
          <w:p w14:paraId="2B8F8104" w14:textId="77777777" w:rsidR="009D3FBC" w:rsidRPr="00832FDC" w:rsidRDefault="009D3FBC" w:rsidP="009D3FBC">
            <w:pPr>
              <w:jc w:val="center"/>
              <w:rPr>
                <w:b/>
                <w:sz w:val="20"/>
                <w:szCs w:val="20"/>
              </w:rPr>
            </w:pPr>
            <w:proofErr w:type="spellStart"/>
            <w:r w:rsidRPr="00832FDC">
              <w:rPr>
                <w:b/>
                <w:sz w:val="20"/>
                <w:szCs w:val="20"/>
              </w:rPr>
              <w:t>Mērķlielums</w:t>
            </w:r>
            <w:proofErr w:type="spellEnd"/>
          </w:p>
        </w:tc>
        <w:tc>
          <w:tcPr>
            <w:tcW w:w="1376" w:type="dxa"/>
          </w:tcPr>
          <w:p w14:paraId="3B554CEC" w14:textId="77777777" w:rsidR="009D3FBC" w:rsidRPr="00832FDC" w:rsidRDefault="009D3FBC" w:rsidP="009D3FBC">
            <w:pPr>
              <w:jc w:val="center"/>
              <w:rPr>
                <w:b/>
                <w:sz w:val="20"/>
                <w:szCs w:val="20"/>
              </w:rPr>
            </w:pPr>
            <w:r w:rsidRPr="00832FDC">
              <w:rPr>
                <w:b/>
                <w:sz w:val="20"/>
                <w:szCs w:val="20"/>
              </w:rPr>
              <w:t>Robežlielums</w:t>
            </w:r>
            <w:r w:rsidR="00832FDC" w:rsidRPr="00832FDC">
              <w:rPr>
                <w:b/>
                <w:sz w:val="20"/>
                <w:szCs w:val="20"/>
              </w:rPr>
              <w:t>*</w:t>
            </w:r>
          </w:p>
        </w:tc>
      </w:tr>
      <w:tr w:rsidR="00B634FC" w14:paraId="6295701B" w14:textId="77777777" w:rsidTr="00B634FC">
        <w:tc>
          <w:tcPr>
            <w:tcW w:w="1838" w:type="dxa"/>
          </w:tcPr>
          <w:p w14:paraId="64AC59AE" w14:textId="77777777" w:rsidR="00B634FC" w:rsidRPr="00832FDC" w:rsidRDefault="00B634FC" w:rsidP="00B634FC">
            <w:pPr>
              <w:jc w:val="both"/>
              <w:rPr>
                <w:sz w:val="20"/>
                <w:szCs w:val="20"/>
              </w:rPr>
            </w:pPr>
            <w:r w:rsidRPr="00832FDC">
              <w:rPr>
                <w:sz w:val="20"/>
                <w:szCs w:val="20"/>
              </w:rPr>
              <w:t>Svins (</w:t>
            </w:r>
            <w:proofErr w:type="spellStart"/>
            <w:r w:rsidRPr="00832FDC">
              <w:rPr>
                <w:sz w:val="20"/>
                <w:szCs w:val="20"/>
              </w:rPr>
              <w:t>Pb</w:t>
            </w:r>
            <w:proofErr w:type="spellEnd"/>
            <w:r w:rsidRPr="00832FDC">
              <w:rPr>
                <w:sz w:val="20"/>
                <w:szCs w:val="20"/>
              </w:rPr>
              <w:t>)</w:t>
            </w:r>
          </w:p>
        </w:tc>
        <w:tc>
          <w:tcPr>
            <w:tcW w:w="912" w:type="dxa"/>
          </w:tcPr>
          <w:p w14:paraId="42F94BF1" w14:textId="77777777" w:rsidR="00B634FC" w:rsidRPr="00832FDC" w:rsidRDefault="00B634FC" w:rsidP="00B634FC">
            <w:pPr>
              <w:rPr>
                <w:sz w:val="20"/>
                <w:szCs w:val="20"/>
              </w:rPr>
            </w:pPr>
            <w:r w:rsidRPr="00832FDC">
              <w:rPr>
                <w:sz w:val="20"/>
                <w:szCs w:val="20"/>
              </w:rPr>
              <w:t>µg/l</w:t>
            </w:r>
          </w:p>
        </w:tc>
        <w:tc>
          <w:tcPr>
            <w:tcW w:w="1375" w:type="dxa"/>
          </w:tcPr>
          <w:p w14:paraId="70E32D52" w14:textId="77777777" w:rsidR="00B634FC" w:rsidRPr="00832FDC" w:rsidRDefault="00B634FC" w:rsidP="00B634FC">
            <w:pPr>
              <w:rPr>
                <w:sz w:val="20"/>
                <w:szCs w:val="20"/>
              </w:rPr>
            </w:pPr>
            <w:r w:rsidRPr="00832FDC">
              <w:rPr>
                <w:sz w:val="20"/>
                <w:szCs w:val="20"/>
              </w:rPr>
              <w:t>10</w:t>
            </w:r>
          </w:p>
        </w:tc>
        <w:tc>
          <w:tcPr>
            <w:tcW w:w="1375" w:type="dxa"/>
          </w:tcPr>
          <w:p w14:paraId="564E9BA6" w14:textId="77777777" w:rsidR="00B634FC" w:rsidRPr="00832FDC" w:rsidRDefault="00B634FC" w:rsidP="00B634FC">
            <w:pPr>
              <w:rPr>
                <w:sz w:val="20"/>
                <w:szCs w:val="20"/>
              </w:rPr>
            </w:pPr>
            <w:r w:rsidRPr="00832FDC">
              <w:rPr>
                <w:sz w:val="20"/>
                <w:szCs w:val="20"/>
              </w:rPr>
              <w:t>42.5</w:t>
            </w:r>
          </w:p>
        </w:tc>
        <w:tc>
          <w:tcPr>
            <w:tcW w:w="1376" w:type="dxa"/>
          </w:tcPr>
          <w:p w14:paraId="20B608B2" w14:textId="77777777" w:rsidR="00B634FC" w:rsidRPr="00832FDC" w:rsidRDefault="00B634FC" w:rsidP="00B634FC">
            <w:pPr>
              <w:rPr>
                <w:sz w:val="20"/>
                <w:szCs w:val="20"/>
              </w:rPr>
            </w:pPr>
            <w:r w:rsidRPr="00832FDC">
              <w:rPr>
                <w:sz w:val="20"/>
                <w:szCs w:val="20"/>
              </w:rPr>
              <w:t>75</w:t>
            </w:r>
          </w:p>
        </w:tc>
        <w:tc>
          <w:tcPr>
            <w:tcW w:w="1376" w:type="dxa"/>
          </w:tcPr>
          <w:p w14:paraId="027862E5" w14:textId="77777777" w:rsidR="00B634FC" w:rsidRPr="00832FDC" w:rsidRDefault="00B634FC" w:rsidP="00B634FC">
            <w:pPr>
              <w:rPr>
                <w:sz w:val="20"/>
                <w:szCs w:val="20"/>
              </w:rPr>
            </w:pPr>
            <w:r w:rsidRPr="00832FDC">
              <w:rPr>
                <w:sz w:val="20"/>
                <w:szCs w:val="20"/>
              </w:rPr>
              <w:t>2</w:t>
            </w:r>
          </w:p>
        </w:tc>
        <w:tc>
          <w:tcPr>
            <w:tcW w:w="1376" w:type="dxa"/>
          </w:tcPr>
          <w:p w14:paraId="5F769094" w14:textId="77777777" w:rsidR="00B634FC" w:rsidRPr="00832FDC" w:rsidRDefault="00B634FC" w:rsidP="00B634FC">
            <w:pPr>
              <w:rPr>
                <w:sz w:val="20"/>
                <w:szCs w:val="20"/>
              </w:rPr>
            </w:pPr>
            <w:r w:rsidRPr="00832FDC">
              <w:rPr>
                <w:sz w:val="20"/>
                <w:szCs w:val="20"/>
              </w:rPr>
              <w:t>10</w:t>
            </w:r>
          </w:p>
        </w:tc>
      </w:tr>
      <w:tr w:rsidR="00B634FC" w14:paraId="4C3A8C30" w14:textId="77777777" w:rsidTr="00B634FC">
        <w:tc>
          <w:tcPr>
            <w:tcW w:w="1838" w:type="dxa"/>
          </w:tcPr>
          <w:p w14:paraId="19FAB3B2" w14:textId="77777777" w:rsidR="00B634FC" w:rsidRPr="00832FDC" w:rsidRDefault="00B634FC" w:rsidP="00B634FC">
            <w:pPr>
              <w:jc w:val="both"/>
              <w:rPr>
                <w:sz w:val="20"/>
                <w:szCs w:val="20"/>
              </w:rPr>
            </w:pPr>
            <w:r w:rsidRPr="00832FDC">
              <w:rPr>
                <w:sz w:val="20"/>
                <w:szCs w:val="20"/>
              </w:rPr>
              <w:t>Kadmijs (</w:t>
            </w:r>
            <w:proofErr w:type="spellStart"/>
            <w:r w:rsidRPr="00832FDC">
              <w:rPr>
                <w:sz w:val="20"/>
                <w:szCs w:val="20"/>
              </w:rPr>
              <w:t>Cd</w:t>
            </w:r>
            <w:proofErr w:type="spellEnd"/>
            <w:r w:rsidRPr="00832FDC">
              <w:rPr>
                <w:sz w:val="20"/>
                <w:szCs w:val="20"/>
              </w:rPr>
              <w:t>)</w:t>
            </w:r>
          </w:p>
        </w:tc>
        <w:tc>
          <w:tcPr>
            <w:tcW w:w="912" w:type="dxa"/>
          </w:tcPr>
          <w:p w14:paraId="41CC7F1E" w14:textId="77777777" w:rsidR="00B634FC" w:rsidRPr="00832FDC" w:rsidRDefault="00B634FC" w:rsidP="00B634FC">
            <w:pPr>
              <w:rPr>
                <w:sz w:val="20"/>
                <w:szCs w:val="20"/>
              </w:rPr>
            </w:pPr>
            <w:r w:rsidRPr="00832FDC">
              <w:rPr>
                <w:sz w:val="20"/>
                <w:szCs w:val="20"/>
              </w:rPr>
              <w:t>µg/l</w:t>
            </w:r>
          </w:p>
        </w:tc>
        <w:tc>
          <w:tcPr>
            <w:tcW w:w="1375" w:type="dxa"/>
          </w:tcPr>
          <w:p w14:paraId="5D35785D" w14:textId="77777777" w:rsidR="00B634FC" w:rsidRPr="00832FDC" w:rsidRDefault="00B634FC" w:rsidP="00B634FC">
            <w:pPr>
              <w:rPr>
                <w:sz w:val="20"/>
                <w:szCs w:val="20"/>
              </w:rPr>
            </w:pPr>
            <w:r w:rsidRPr="00832FDC">
              <w:rPr>
                <w:sz w:val="20"/>
                <w:szCs w:val="20"/>
              </w:rPr>
              <w:t>1</w:t>
            </w:r>
          </w:p>
        </w:tc>
        <w:tc>
          <w:tcPr>
            <w:tcW w:w="1375" w:type="dxa"/>
          </w:tcPr>
          <w:p w14:paraId="67577926" w14:textId="77777777" w:rsidR="00B634FC" w:rsidRPr="00832FDC" w:rsidRDefault="00B634FC" w:rsidP="00B634FC">
            <w:pPr>
              <w:rPr>
                <w:sz w:val="20"/>
                <w:szCs w:val="20"/>
              </w:rPr>
            </w:pPr>
            <w:r w:rsidRPr="00832FDC">
              <w:rPr>
                <w:sz w:val="20"/>
                <w:szCs w:val="20"/>
              </w:rPr>
              <w:t>3.5</w:t>
            </w:r>
          </w:p>
        </w:tc>
        <w:tc>
          <w:tcPr>
            <w:tcW w:w="1376" w:type="dxa"/>
          </w:tcPr>
          <w:p w14:paraId="21CFA031" w14:textId="77777777" w:rsidR="00B634FC" w:rsidRPr="00832FDC" w:rsidRDefault="00B634FC" w:rsidP="00B634FC">
            <w:pPr>
              <w:rPr>
                <w:sz w:val="20"/>
                <w:szCs w:val="20"/>
              </w:rPr>
            </w:pPr>
            <w:r w:rsidRPr="00832FDC">
              <w:rPr>
                <w:sz w:val="20"/>
                <w:szCs w:val="20"/>
              </w:rPr>
              <w:t>6</w:t>
            </w:r>
          </w:p>
        </w:tc>
        <w:tc>
          <w:tcPr>
            <w:tcW w:w="1376" w:type="dxa"/>
          </w:tcPr>
          <w:p w14:paraId="3541352B" w14:textId="77777777" w:rsidR="00B634FC" w:rsidRPr="00832FDC" w:rsidRDefault="00B634FC" w:rsidP="00B634FC">
            <w:pPr>
              <w:rPr>
                <w:sz w:val="20"/>
                <w:szCs w:val="20"/>
              </w:rPr>
            </w:pPr>
            <w:r w:rsidRPr="00832FDC">
              <w:rPr>
                <w:sz w:val="20"/>
                <w:szCs w:val="20"/>
              </w:rPr>
              <w:t>1</w:t>
            </w:r>
          </w:p>
        </w:tc>
        <w:tc>
          <w:tcPr>
            <w:tcW w:w="1376" w:type="dxa"/>
          </w:tcPr>
          <w:p w14:paraId="21A18365" w14:textId="77777777" w:rsidR="00B634FC" w:rsidRPr="00832FDC" w:rsidRDefault="00B634FC" w:rsidP="00B634FC">
            <w:pPr>
              <w:rPr>
                <w:sz w:val="20"/>
                <w:szCs w:val="20"/>
              </w:rPr>
            </w:pPr>
            <w:r w:rsidRPr="00832FDC">
              <w:rPr>
                <w:sz w:val="20"/>
                <w:szCs w:val="20"/>
              </w:rPr>
              <w:t>5</w:t>
            </w:r>
          </w:p>
        </w:tc>
      </w:tr>
      <w:tr w:rsidR="00B634FC" w14:paraId="091E4EEB" w14:textId="77777777" w:rsidTr="00B634FC">
        <w:tc>
          <w:tcPr>
            <w:tcW w:w="1838" w:type="dxa"/>
          </w:tcPr>
          <w:p w14:paraId="7D20E6C0" w14:textId="77777777" w:rsidR="00B634FC" w:rsidRPr="00832FDC" w:rsidRDefault="00B634FC" w:rsidP="00B634FC">
            <w:pPr>
              <w:jc w:val="both"/>
              <w:rPr>
                <w:sz w:val="20"/>
                <w:szCs w:val="20"/>
              </w:rPr>
            </w:pPr>
            <w:r w:rsidRPr="00832FDC">
              <w:rPr>
                <w:sz w:val="20"/>
                <w:szCs w:val="20"/>
              </w:rPr>
              <w:t>Dzīvsudrabs (</w:t>
            </w:r>
            <w:proofErr w:type="spellStart"/>
            <w:r w:rsidRPr="00832FDC">
              <w:rPr>
                <w:sz w:val="20"/>
                <w:szCs w:val="20"/>
              </w:rPr>
              <w:t>Hg</w:t>
            </w:r>
            <w:proofErr w:type="spellEnd"/>
            <w:r w:rsidRPr="00832FDC">
              <w:rPr>
                <w:sz w:val="20"/>
                <w:szCs w:val="20"/>
              </w:rPr>
              <w:t>)</w:t>
            </w:r>
          </w:p>
        </w:tc>
        <w:tc>
          <w:tcPr>
            <w:tcW w:w="912" w:type="dxa"/>
          </w:tcPr>
          <w:p w14:paraId="7241415E" w14:textId="77777777" w:rsidR="00B634FC" w:rsidRPr="00832FDC" w:rsidRDefault="00B634FC" w:rsidP="00B634FC">
            <w:pPr>
              <w:rPr>
                <w:sz w:val="20"/>
                <w:szCs w:val="20"/>
              </w:rPr>
            </w:pPr>
            <w:r w:rsidRPr="00832FDC">
              <w:rPr>
                <w:sz w:val="20"/>
                <w:szCs w:val="20"/>
              </w:rPr>
              <w:t>µg/l</w:t>
            </w:r>
          </w:p>
        </w:tc>
        <w:tc>
          <w:tcPr>
            <w:tcW w:w="1375" w:type="dxa"/>
          </w:tcPr>
          <w:p w14:paraId="4C75A976" w14:textId="77777777" w:rsidR="00B634FC" w:rsidRPr="00832FDC" w:rsidRDefault="00B634FC" w:rsidP="00B634FC">
            <w:pPr>
              <w:rPr>
                <w:sz w:val="20"/>
                <w:szCs w:val="20"/>
              </w:rPr>
            </w:pPr>
            <w:r w:rsidRPr="00832FDC">
              <w:rPr>
                <w:sz w:val="20"/>
                <w:szCs w:val="20"/>
              </w:rPr>
              <w:t>0.05</w:t>
            </w:r>
          </w:p>
        </w:tc>
        <w:tc>
          <w:tcPr>
            <w:tcW w:w="1375" w:type="dxa"/>
          </w:tcPr>
          <w:p w14:paraId="58F2E683" w14:textId="77777777" w:rsidR="00B634FC" w:rsidRPr="00832FDC" w:rsidRDefault="00B634FC" w:rsidP="00B634FC">
            <w:pPr>
              <w:rPr>
                <w:sz w:val="20"/>
                <w:szCs w:val="20"/>
              </w:rPr>
            </w:pPr>
            <w:r w:rsidRPr="00832FDC">
              <w:rPr>
                <w:sz w:val="20"/>
                <w:szCs w:val="20"/>
              </w:rPr>
              <w:t>1.525</w:t>
            </w:r>
          </w:p>
        </w:tc>
        <w:tc>
          <w:tcPr>
            <w:tcW w:w="1376" w:type="dxa"/>
          </w:tcPr>
          <w:p w14:paraId="798216D6" w14:textId="77777777" w:rsidR="00B634FC" w:rsidRPr="00832FDC" w:rsidRDefault="00B634FC" w:rsidP="00B634FC">
            <w:pPr>
              <w:rPr>
                <w:sz w:val="20"/>
                <w:szCs w:val="20"/>
              </w:rPr>
            </w:pPr>
            <w:r w:rsidRPr="00832FDC">
              <w:rPr>
                <w:sz w:val="20"/>
                <w:szCs w:val="20"/>
              </w:rPr>
              <w:t>0.3</w:t>
            </w:r>
          </w:p>
        </w:tc>
        <w:tc>
          <w:tcPr>
            <w:tcW w:w="1376" w:type="dxa"/>
          </w:tcPr>
          <w:p w14:paraId="0EB31B7D" w14:textId="77777777" w:rsidR="00B634FC" w:rsidRPr="00832FDC" w:rsidRDefault="00B634FC" w:rsidP="00B634FC">
            <w:pPr>
              <w:rPr>
                <w:sz w:val="20"/>
                <w:szCs w:val="20"/>
              </w:rPr>
            </w:pPr>
            <w:r w:rsidRPr="00832FDC">
              <w:rPr>
                <w:sz w:val="20"/>
                <w:szCs w:val="20"/>
              </w:rPr>
              <w:t>0.05</w:t>
            </w:r>
          </w:p>
        </w:tc>
        <w:tc>
          <w:tcPr>
            <w:tcW w:w="1376" w:type="dxa"/>
          </w:tcPr>
          <w:p w14:paraId="083234C0" w14:textId="77777777" w:rsidR="00B634FC" w:rsidRPr="00832FDC" w:rsidRDefault="00B634FC" w:rsidP="00B634FC">
            <w:pPr>
              <w:rPr>
                <w:sz w:val="20"/>
                <w:szCs w:val="20"/>
              </w:rPr>
            </w:pPr>
            <w:r w:rsidRPr="00832FDC">
              <w:rPr>
                <w:sz w:val="20"/>
                <w:szCs w:val="20"/>
              </w:rPr>
              <w:t>1</w:t>
            </w:r>
          </w:p>
        </w:tc>
      </w:tr>
      <w:tr w:rsidR="00B634FC" w14:paraId="1B736855" w14:textId="77777777" w:rsidTr="00B634FC">
        <w:tc>
          <w:tcPr>
            <w:tcW w:w="1838" w:type="dxa"/>
          </w:tcPr>
          <w:p w14:paraId="6AC64471" w14:textId="77777777" w:rsidR="00B634FC" w:rsidRPr="00832FDC" w:rsidRDefault="00B634FC" w:rsidP="00B634FC">
            <w:pPr>
              <w:jc w:val="both"/>
              <w:rPr>
                <w:sz w:val="20"/>
                <w:szCs w:val="20"/>
              </w:rPr>
            </w:pPr>
            <w:r w:rsidRPr="00832FDC">
              <w:rPr>
                <w:sz w:val="20"/>
                <w:szCs w:val="20"/>
              </w:rPr>
              <w:t>Arsēns (</w:t>
            </w:r>
            <w:proofErr w:type="spellStart"/>
            <w:r w:rsidRPr="00832FDC">
              <w:rPr>
                <w:sz w:val="20"/>
                <w:szCs w:val="20"/>
              </w:rPr>
              <w:t>As</w:t>
            </w:r>
            <w:proofErr w:type="spellEnd"/>
            <w:r w:rsidRPr="00832FDC">
              <w:rPr>
                <w:sz w:val="20"/>
                <w:szCs w:val="20"/>
              </w:rPr>
              <w:t>)</w:t>
            </w:r>
          </w:p>
        </w:tc>
        <w:tc>
          <w:tcPr>
            <w:tcW w:w="912" w:type="dxa"/>
          </w:tcPr>
          <w:p w14:paraId="533C904C" w14:textId="77777777" w:rsidR="00B634FC" w:rsidRPr="00832FDC" w:rsidRDefault="00B634FC" w:rsidP="00B634FC">
            <w:pPr>
              <w:rPr>
                <w:sz w:val="20"/>
                <w:szCs w:val="20"/>
              </w:rPr>
            </w:pPr>
            <w:r w:rsidRPr="00832FDC">
              <w:rPr>
                <w:sz w:val="20"/>
                <w:szCs w:val="20"/>
              </w:rPr>
              <w:t>µg/l</w:t>
            </w:r>
          </w:p>
        </w:tc>
        <w:tc>
          <w:tcPr>
            <w:tcW w:w="1375" w:type="dxa"/>
          </w:tcPr>
          <w:p w14:paraId="55788727" w14:textId="77777777" w:rsidR="00B634FC" w:rsidRPr="00832FDC" w:rsidRDefault="00B634FC" w:rsidP="00B634FC">
            <w:pPr>
              <w:rPr>
                <w:sz w:val="20"/>
                <w:szCs w:val="20"/>
              </w:rPr>
            </w:pPr>
            <w:r w:rsidRPr="00832FDC">
              <w:rPr>
                <w:sz w:val="20"/>
                <w:szCs w:val="20"/>
              </w:rPr>
              <w:t>10</w:t>
            </w:r>
          </w:p>
        </w:tc>
        <w:tc>
          <w:tcPr>
            <w:tcW w:w="1375" w:type="dxa"/>
          </w:tcPr>
          <w:p w14:paraId="0BE5D151" w14:textId="77777777" w:rsidR="00B634FC" w:rsidRPr="00832FDC" w:rsidRDefault="00B634FC" w:rsidP="00B634FC">
            <w:pPr>
              <w:rPr>
                <w:sz w:val="20"/>
                <w:szCs w:val="20"/>
              </w:rPr>
            </w:pPr>
            <w:r w:rsidRPr="00832FDC">
              <w:rPr>
                <w:sz w:val="20"/>
                <w:szCs w:val="20"/>
              </w:rPr>
              <w:t>30</w:t>
            </w:r>
          </w:p>
        </w:tc>
        <w:tc>
          <w:tcPr>
            <w:tcW w:w="1376" w:type="dxa"/>
          </w:tcPr>
          <w:p w14:paraId="0A9BC45B" w14:textId="77777777" w:rsidR="00B634FC" w:rsidRPr="00832FDC" w:rsidRDefault="00B634FC" w:rsidP="00B634FC">
            <w:pPr>
              <w:rPr>
                <w:sz w:val="20"/>
                <w:szCs w:val="20"/>
              </w:rPr>
            </w:pPr>
            <w:r w:rsidRPr="00832FDC">
              <w:rPr>
                <w:sz w:val="20"/>
                <w:szCs w:val="20"/>
              </w:rPr>
              <w:t>60</w:t>
            </w:r>
          </w:p>
        </w:tc>
        <w:tc>
          <w:tcPr>
            <w:tcW w:w="1376" w:type="dxa"/>
          </w:tcPr>
          <w:p w14:paraId="14C885D1" w14:textId="77777777" w:rsidR="00B634FC" w:rsidRPr="00832FDC" w:rsidRDefault="00B634FC" w:rsidP="00B634FC">
            <w:pPr>
              <w:rPr>
                <w:sz w:val="20"/>
                <w:szCs w:val="20"/>
              </w:rPr>
            </w:pPr>
            <w:r w:rsidRPr="00832FDC">
              <w:rPr>
                <w:sz w:val="20"/>
                <w:szCs w:val="20"/>
              </w:rPr>
              <w:t>5</w:t>
            </w:r>
          </w:p>
        </w:tc>
        <w:tc>
          <w:tcPr>
            <w:tcW w:w="1376" w:type="dxa"/>
          </w:tcPr>
          <w:p w14:paraId="6BC26396" w14:textId="77777777" w:rsidR="00B634FC" w:rsidRPr="00832FDC" w:rsidRDefault="00B634FC" w:rsidP="00B634FC">
            <w:pPr>
              <w:rPr>
                <w:sz w:val="20"/>
                <w:szCs w:val="20"/>
              </w:rPr>
            </w:pPr>
            <w:r w:rsidRPr="00832FDC">
              <w:rPr>
                <w:sz w:val="20"/>
                <w:szCs w:val="20"/>
              </w:rPr>
              <w:t>10</w:t>
            </w:r>
          </w:p>
        </w:tc>
      </w:tr>
      <w:tr w:rsidR="00B634FC" w14:paraId="5F389A7C" w14:textId="77777777" w:rsidTr="00B634FC">
        <w:tc>
          <w:tcPr>
            <w:tcW w:w="1838" w:type="dxa"/>
          </w:tcPr>
          <w:p w14:paraId="35763BA7" w14:textId="77777777" w:rsidR="00B634FC" w:rsidRPr="00832FDC" w:rsidRDefault="00B634FC" w:rsidP="00B634FC">
            <w:pPr>
              <w:jc w:val="both"/>
              <w:rPr>
                <w:sz w:val="20"/>
                <w:szCs w:val="20"/>
              </w:rPr>
            </w:pPr>
            <w:r w:rsidRPr="00832FDC">
              <w:rPr>
                <w:sz w:val="20"/>
                <w:szCs w:val="20"/>
              </w:rPr>
              <w:t>Benzols</w:t>
            </w:r>
          </w:p>
        </w:tc>
        <w:tc>
          <w:tcPr>
            <w:tcW w:w="912" w:type="dxa"/>
          </w:tcPr>
          <w:p w14:paraId="13DB470B" w14:textId="77777777" w:rsidR="00B634FC" w:rsidRPr="00832FDC" w:rsidRDefault="00B634FC" w:rsidP="00B634FC">
            <w:pPr>
              <w:rPr>
                <w:sz w:val="20"/>
                <w:szCs w:val="20"/>
              </w:rPr>
            </w:pPr>
            <w:r w:rsidRPr="00832FDC">
              <w:rPr>
                <w:sz w:val="20"/>
                <w:szCs w:val="20"/>
              </w:rPr>
              <w:t>µg/l</w:t>
            </w:r>
          </w:p>
        </w:tc>
        <w:tc>
          <w:tcPr>
            <w:tcW w:w="1375" w:type="dxa"/>
          </w:tcPr>
          <w:p w14:paraId="5E412E83" w14:textId="77777777" w:rsidR="00B634FC" w:rsidRPr="00832FDC" w:rsidRDefault="00B634FC" w:rsidP="00B634FC">
            <w:pPr>
              <w:rPr>
                <w:sz w:val="20"/>
                <w:szCs w:val="20"/>
              </w:rPr>
            </w:pPr>
            <w:r w:rsidRPr="00832FDC">
              <w:rPr>
                <w:sz w:val="20"/>
                <w:szCs w:val="20"/>
              </w:rPr>
              <w:t>0.2</w:t>
            </w:r>
          </w:p>
        </w:tc>
        <w:tc>
          <w:tcPr>
            <w:tcW w:w="1375" w:type="dxa"/>
          </w:tcPr>
          <w:p w14:paraId="05A2364E" w14:textId="77777777" w:rsidR="00B634FC" w:rsidRPr="00832FDC" w:rsidRDefault="00B634FC" w:rsidP="00B634FC">
            <w:pPr>
              <w:rPr>
                <w:sz w:val="20"/>
                <w:szCs w:val="20"/>
              </w:rPr>
            </w:pPr>
            <w:r w:rsidRPr="00832FDC">
              <w:rPr>
                <w:sz w:val="20"/>
                <w:szCs w:val="20"/>
              </w:rPr>
              <w:t>2.6</w:t>
            </w:r>
          </w:p>
        </w:tc>
        <w:tc>
          <w:tcPr>
            <w:tcW w:w="1376" w:type="dxa"/>
          </w:tcPr>
          <w:p w14:paraId="3B09F23A" w14:textId="77777777" w:rsidR="00B634FC" w:rsidRPr="00832FDC" w:rsidRDefault="00B634FC" w:rsidP="00B634FC">
            <w:pPr>
              <w:rPr>
                <w:sz w:val="20"/>
                <w:szCs w:val="20"/>
              </w:rPr>
            </w:pPr>
            <w:r w:rsidRPr="00832FDC">
              <w:rPr>
                <w:sz w:val="20"/>
                <w:szCs w:val="20"/>
              </w:rPr>
              <w:t>5</w:t>
            </w:r>
          </w:p>
        </w:tc>
        <w:tc>
          <w:tcPr>
            <w:tcW w:w="1376" w:type="dxa"/>
          </w:tcPr>
          <w:p w14:paraId="079E7523" w14:textId="77777777" w:rsidR="00B634FC" w:rsidRPr="00832FDC" w:rsidRDefault="00B634FC" w:rsidP="00B634FC">
            <w:pPr>
              <w:rPr>
                <w:sz w:val="20"/>
                <w:szCs w:val="20"/>
              </w:rPr>
            </w:pPr>
            <w:r w:rsidRPr="00832FDC">
              <w:rPr>
                <w:sz w:val="20"/>
                <w:szCs w:val="20"/>
              </w:rPr>
              <w:t>0.2</w:t>
            </w:r>
          </w:p>
        </w:tc>
        <w:tc>
          <w:tcPr>
            <w:tcW w:w="1376" w:type="dxa"/>
          </w:tcPr>
          <w:p w14:paraId="65007FED" w14:textId="77777777" w:rsidR="00B634FC" w:rsidRPr="00832FDC" w:rsidRDefault="00B634FC" w:rsidP="00B634FC">
            <w:pPr>
              <w:rPr>
                <w:sz w:val="20"/>
                <w:szCs w:val="20"/>
              </w:rPr>
            </w:pPr>
            <w:r w:rsidRPr="00832FDC">
              <w:rPr>
                <w:sz w:val="20"/>
                <w:szCs w:val="20"/>
              </w:rPr>
              <w:t>1</w:t>
            </w:r>
          </w:p>
        </w:tc>
      </w:tr>
    </w:tbl>
    <w:p w14:paraId="198B7CC3" w14:textId="77777777" w:rsidR="009D3FBC" w:rsidRPr="00832FDC" w:rsidRDefault="00832FDC" w:rsidP="000B0E63">
      <w:pPr>
        <w:jc w:val="both"/>
        <w:rPr>
          <w:sz w:val="16"/>
          <w:szCs w:val="16"/>
        </w:rPr>
      </w:pPr>
      <w:r w:rsidRPr="00832FDC">
        <w:rPr>
          <w:sz w:val="16"/>
          <w:szCs w:val="16"/>
        </w:rPr>
        <w:t>* - tiešā tulkojumā no zviedru valodas – tendences maiņas punkta vērtība</w:t>
      </w:r>
    </w:p>
    <w:p w14:paraId="173E0608" w14:textId="77777777" w:rsidR="00B634FC" w:rsidRDefault="00B634FC" w:rsidP="000B0E63">
      <w:pPr>
        <w:jc w:val="both"/>
      </w:pPr>
      <w:r>
        <w:t xml:space="preserve">Ievērojamas atšķirības ir </w:t>
      </w:r>
      <w:proofErr w:type="spellStart"/>
      <w:r>
        <w:t>Pb</w:t>
      </w:r>
      <w:proofErr w:type="spellEnd"/>
      <w:r>
        <w:t xml:space="preserve"> un </w:t>
      </w:r>
      <w:proofErr w:type="spellStart"/>
      <w:r>
        <w:t>As</w:t>
      </w:r>
      <w:proofErr w:type="spellEnd"/>
      <w:r>
        <w:t xml:space="preserve"> robežlielumos, kas Latvijā ir attiecīgi 7.5 un 6 reizes augstāki. būtiski atšķiras arī benzola robežvērtība.</w:t>
      </w:r>
    </w:p>
    <w:p w14:paraId="417A156E" w14:textId="77777777" w:rsidR="00B87EA6" w:rsidRDefault="00B87EA6" w:rsidP="00B87EA6">
      <w:pPr>
        <w:jc w:val="both"/>
      </w:pPr>
      <w:r>
        <w:t xml:space="preserve">Detalizēti gruntsūdens ķīmisko parametru robežvērtību piemērošanas vadlīnijas publicētas Zviedrijas ģeoloģijas dienesta ziņojumā par Novērtēšanas kritērijiem gruntsūdeņos </w:t>
      </w:r>
      <w:sdt>
        <w:sdtPr>
          <w:id w:val="-1599633517"/>
          <w:citation/>
        </w:sdtPr>
        <w:sdtEndPr/>
        <w:sdtContent>
          <w:r>
            <w:fldChar w:fldCharType="begin"/>
          </w:r>
          <w:r>
            <w:instrText xml:space="preserve"> CITATION Sve13 \l 1062 </w:instrText>
          </w:r>
          <w:r>
            <w:fldChar w:fldCharType="separate"/>
          </w:r>
          <w:r w:rsidR="009950D4" w:rsidRPr="009950D4">
            <w:rPr>
              <w:noProof/>
            </w:rPr>
            <w:t>[16]</w:t>
          </w:r>
          <w:r>
            <w:fldChar w:fldCharType="end"/>
          </w:r>
        </w:sdtContent>
      </w:sdt>
      <w:r>
        <w:t>.</w:t>
      </w:r>
      <w:r w:rsidR="00002369">
        <w:t xml:space="preserve"> Šī dokumenta ietvaros ir pieejama detalizēti gruntsūdens kvalitātes kritēriji samērā plašam vielu spektram tos iedalot 5 grupās pēc iespējamā ietekmes riska.</w:t>
      </w:r>
    </w:p>
    <w:p w14:paraId="03950378" w14:textId="77777777" w:rsidR="00F12D88" w:rsidRDefault="00F12D88" w:rsidP="00B87EA6">
      <w:pPr>
        <w:jc w:val="both"/>
      </w:pPr>
    </w:p>
    <w:p w14:paraId="06B2B24B" w14:textId="77777777" w:rsidR="00832FDC" w:rsidRDefault="00832FDC" w:rsidP="00E17E73">
      <w:pPr>
        <w:pStyle w:val="Heading3"/>
        <w:numPr>
          <w:ilvl w:val="2"/>
          <w:numId w:val="14"/>
        </w:numPr>
      </w:pPr>
      <w:bookmarkStart w:id="12" w:name="_Toc59326493"/>
      <w:r>
        <w:t>Gruntsūdens izpētes un analīzes prasības</w:t>
      </w:r>
      <w:bookmarkEnd w:id="12"/>
    </w:p>
    <w:p w14:paraId="106E945B" w14:textId="77777777" w:rsidR="00832FDC" w:rsidRDefault="00832FDC" w:rsidP="00832FDC">
      <w:r>
        <w:t>Noteikumi Nr. SGU-FS 2013:1 reglamentē gruntsūdens kartēšanas (izpētes) un analīzes kārtību. Kārtība nosaka ne tikai gadījumus</w:t>
      </w:r>
      <w:r w:rsidR="00CF4BC5">
        <w:t>,</w:t>
      </w:r>
      <w:r>
        <w:t xml:space="preserve"> kuros jāveic izpēte, bet arī nosaka izpētes veikšanas kārtību. Atbilstoši noteikumiem, izpēte realizējama zemāk uzskaitītajos etapos:</w:t>
      </w:r>
    </w:p>
    <w:p w14:paraId="7D3E27DE" w14:textId="77777777" w:rsidR="00832FDC" w:rsidRDefault="00CF4BC5" w:rsidP="00E17E73">
      <w:pPr>
        <w:pStyle w:val="ListParagraph"/>
        <w:numPr>
          <w:ilvl w:val="0"/>
          <w:numId w:val="8"/>
        </w:numPr>
      </w:pPr>
      <w:r>
        <w:t>S</w:t>
      </w:r>
      <w:r w:rsidR="00832FDC">
        <w:t>ākotnējā izp</w:t>
      </w:r>
      <w:r>
        <w:t>ēte;</w:t>
      </w:r>
    </w:p>
    <w:p w14:paraId="548C746C" w14:textId="77777777" w:rsidR="00832FDC" w:rsidRPr="00832FDC" w:rsidRDefault="00CF4BC5" w:rsidP="00E17E73">
      <w:pPr>
        <w:pStyle w:val="ListParagraph"/>
        <w:numPr>
          <w:ilvl w:val="0"/>
          <w:numId w:val="8"/>
        </w:numPr>
      </w:pPr>
      <w:r>
        <w:t>Detalizētā izpēte.</w:t>
      </w:r>
    </w:p>
    <w:p w14:paraId="2B5B27FB" w14:textId="77777777" w:rsidR="00B634FC" w:rsidRDefault="00CF4BC5" w:rsidP="000B0E63">
      <w:pPr>
        <w:jc w:val="both"/>
      </w:pPr>
      <w:r>
        <w:t>Noteikumi ļoti vispārīgi definē prasības katrā izpētes etapā obligāti pētāmajiem tematiem, kā arī atrunā kādos gadījumos jāveic piesārņojuma riska novērtējums.</w:t>
      </w:r>
    </w:p>
    <w:p w14:paraId="63198C5E" w14:textId="77777777" w:rsidR="00CF4BC5" w:rsidRDefault="00CF4BC5" w:rsidP="000B0E63">
      <w:pPr>
        <w:jc w:val="both"/>
      </w:pPr>
      <w:r>
        <w:t xml:space="preserve">Detalizētākas prasības piesārņotu vietu apzināšanas un izpētes </w:t>
      </w:r>
      <w:r w:rsidR="006B1585">
        <w:t>atrodamas vadlīnijās</w:t>
      </w:r>
      <w:r w:rsidR="00EA130A">
        <w:t xml:space="preserve"> no 2002. gada, ko arī angļu valodā izdevusi Zviedrijas Vides aģentūra “</w:t>
      </w:r>
      <w:proofErr w:type="spellStart"/>
      <w:r w:rsidR="00EA130A" w:rsidRPr="00EA130A">
        <w:rPr>
          <w:i/>
        </w:rPr>
        <w:t>Methods</w:t>
      </w:r>
      <w:proofErr w:type="spellEnd"/>
      <w:r w:rsidR="00EA130A" w:rsidRPr="00EA130A">
        <w:rPr>
          <w:i/>
        </w:rPr>
        <w:t xml:space="preserve"> </w:t>
      </w:r>
      <w:proofErr w:type="spellStart"/>
      <w:r w:rsidR="00EA130A" w:rsidRPr="00EA130A">
        <w:rPr>
          <w:i/>
        </w:rPr>
        <w:t>for</w:t>
      </w:r>
      <w:proofErr w:type="spellEnd"/>
      <w:r w:rsidR="00EA130A" w:rsidRPr="00EA130A">
        <w:rPr>
          <w:i/>
        </w:rPr>
        <w:t xml:space="preserve"> </w:t>
      </w:r>
      <w:proofErr w:type="spellStart"/>
      <w:r w:rsidR="00EA130A" w:rsidRPr="00EA130A">
        <w:rPr>
          <w:i/>
        </w:rPr>
        <w:t>inventories</w:t>
      </w:r>
      <w:proofErr w:type="spellEnd"/>
      <w:r w:rsidR="00EA130A" w:rsidRPr="00EA130A">
        <w:rPr>
          <w:i/>
        </w:rPr>
        <w:t xml:space="preserve"> </w:t>
      </w:r>
      <w:proofErr w:type="spellStart"/>
      <w:r w:rsidR="00EA130A" w:rsidRPr="00EA130A">
        <w:rPr>
          <w:i/>
        </w:rPr>
        <w:t>of</w:t>
      </w:r>
      <w:proofErr w:type="spellEnd"/>
      <w:r w:rsidR="00EA130A" w:rsidRPr="00EA130A">
        <w:rPr>
          <w:i/>
        </w:rPr>
        <w:t xml:space="preserve"> </w:t>
      </w:r>
      <w:proofErr w:type="spellStart"/>
      <w:r w:rsidR="00EA130A" w:rsidRPr="00EA130A">
        <w:rPr>
          <w:i/>
        </w:rPr>
        <w:t>contaminated</w:t>
      </w:r>
      <w:proofErr w:type="spellEnd"/>
      <w:r w:rsidR="00EA130A" w:rsidRPr="00EA130A">
        <w:rPr>
          <w:i/>
        </w:rPr>
        <w:t xml:space="preserve"> </w:t>
      </w:r>
      <w:proofErr w:type="spellStart"/>
      <w:r w:rsidR="00EA130A" w:rsidRPr="00EA130A">
        <w:rPr>
          <w:i/>
        </w:rPr>
        <w:t>sites</w:t>
      </w:r>
      <w:proofErr w:type="spellEnd"/>
      <w:r w:rsidR="00EA130A">
        <w:t xml:space="preserve">” </w:t>
      </w:r>
      <w:sdt>
        <w:sdtPr>
          <w:id w:val="-1175642148"/>
          <w:citation/>
        </w:sdtPr>
        <w:sdtEndPr/>
        <w:sdtContent>
          <w:r w:rsidR="00EA130A">
            <w:fldChar w:fldCharType="begin"/>
          </w:r>
          <w:r w:rsidR="00EA130A">
            <w:instrText xml:space="preserve"> CITATION Swe20 \l 1062 </w:instrText>
          </w:r>
          <w:r w:rsidR="00EA130A">
            <w:fldChar w:fldCharType="separate"/>
          </w:r>
          <w:r w:rsidR="009950D4" w:rsidRPr="009950D4">
            <w:rPr>
              <w:noProof/>
            </w:rPr>
            <w:t>[17]</w:t>
          </w:r>
          <w:r w:rsidR="00EA130A">
            <w:fldChar w:fldCharType="end"/>
          </w:r>
        </w:sdtContent>
      </w:sdt>
      <w:r w:rsidR="00EA130A">
        <w:t>. Šajā dokumentā detalizēti sniegtas vadlīnijas piesārņotu vietu izpētei, tās saturam, metodikai un nepieciešamajām kvalifikācijām. Lai arī vadlīnijas publicētas 2002. gadā, to saturs ir pietiekami atbilstošs arī, lai uz to atsauktos dažādu pētījumu autori.</w:t>
      </w:r>
    </w:p>
    <w:p w14:paraId="662AD73A" w14:textId="77777777" w:rsidR="00F0464F" w:rsidRDefault="00F0464F" w:rsidP="00F57BC0"/>
    <w:p w14:paraId="148FA730" w14:textId="77777777" w:rsidR="00F57BC0" w:rsidRDefault="00F57BC0">
      <w:r>
        <w:br w:type="page"/>
      </w:r>
    </w:p>
    <w:p w14:paraId="660D8B1E" w14:textId="77777777" w:rsidR="009F1981" w:rsidRDefault="00F12D88" w:rsidP="00E17E73">
      <w:pPr>
        <w:pStyle w:val="Heading1"/>
        <w:numPr>
          <w:ilvl w:val="0"/>
          <w:numId w:val="15"/>
        </w:numPr>
      </w:pPr>
      <w:bookmarkStart w:id="13" w:name="_Toc59326494"/>
      <w:r>
        <w:lastRenderedPageBreak/>
        <w:t>PRIEKŠLIKUMI ŪDENS KVALITĀTES NORMATĪVIEM LATVIJĀ</w:t>
      </w:r>
      <w:bookmarkEnd w:id="13"/>
    </w:p>
    <w:p w14:paraId="309EDDF5" w14:textId="77777777" w:rsidR="009F1981" w:rsidRPr="009C76F3" w:rsidRDefault="009F1981" w:rsidP="00220A1E">
      <w:pPr>
        <w:pStyle w:val="Heading2"/>
        <w:rPr>
          <w:rFonts w:asciiTheme="minorHAnsi" w:eastAsiaTheme="minorHAnsi" w:hAnsiTheme="minorHAnsi" w:cstheme="minorBidi"/>
          <w:color w:val="auto"/>
          <w:sz w:val="22"/>
          <w:szCs w:val="22"/>
        </w:rPr>
      </w:pPr>
    </w:p>
    <w:p w14:paraId="59B5D499" w14:textId="77777777" w:rsidR="00D642E0" w:rsidRDefault="00F970E5" w:rsidP="00D642E0">
      <w:pPr>
        <w:jc w:val="both"/>
      </w:pPr>
      <w:r>
        <w:t>Latvijā spēkā esošajā normatīvajā regulējumā</w:t>
      </w:r>
      <w:sdt>
        <w:sdtPr>
          <w:id w:val="1651330659"/>
          <w:citation/>
        </w:sdtPr>
        <w:sdtEndPr/>
        <w:sdtContent>
          <w:r w:rsidR="00DD5DDD">
            <w:fldChar w:fldCharType="begin"/>
          </w:r>
          <w:r w:rsidR="00DD5DDD">
            <w:instrText xml:space="preserve"> CITATION MK_Not_118 \l 1062 </w:instrText>
          </w:r>
          <w:r w:rsidR="00DD5DDD">
            <w:fldChar w:fldCharType="separate"/>
          </w:r>
          <w:r w:rsidR="009950D4">
            <w:rPr>
              <w:noProof/>
            </w:rPr>
            <w:t xml:space="preserve"> </w:t>
          </w:r>
          <w:r w:rsidR="009950D4" w:rsidRPr="009950D4">
            <w:rPr>
              <w:noProof/>
            </w:rPr>
            <w:t>[2]</w:t>
          </w:r>
          <w:r w:rsidR="00DD5DDD">
            <w:fldChar w:fldCharType="end"/>
          </w:r>
        </w:sdtContent>
      </w:sdt>
      <w:r>
        <w:t>, ū</w:t>
      </w:r>
      <w:r w:rsidRPr="00F970E5">
        <w:t>dens kvalitātes normatīvi pazemes ūdeņu stāvokļa novērtēšanai</w:t>
      </w:r>
      <w:r>
        <w:t xml:space="preserve"> ir definētas robežvērtības:</w:t>
      </w:r>
      <w:r w:rsidRPr="00F970E5">
        <w:t xml:space="preserve"> </w:t>
      </w:r>
      <w:proofErr w:type="spellStart"/>
      <w:r>
        <w:t>mērķlielums</w:t>
      </w:r>
      <w:proofErr w:type="spellEnd"/>
      <w:r>
        <w:t xml:space="preserve"> un robežlielums. Šīs robežvērtības (vai to vidējā aritmētiskā vērtība) tiek ņemtas vērā, lai noteiktu turpmāk veicamos pasākumus</w:t>
      </w:r>
      <w:r w:rsidR="00D642E0">
        <w:t>, respektīvi, ja</w:t>
      </w:r>
      <w:r>
        <w:t xml:space="preserve"> </w:t>
      </w:r>
      <w:r w:rsidR="00D642E0">
        <w:t>novērtēšanas rezultāti liecina, ka:</w:t>
      </w:r>
    </w:p>
    <w:p w14:paraId="2FA9CE32" w14:textId="77777777" w:rsidR="00D642E0" w:rsidRDefault="00D642E0" w:rsidP="00E17E73">
      <w:pPr>
        <w:pStyle w:val="ListParagraph"/>
        <w:numPr>
          <w:ilvl w:val="0"/>
          <w:numId w:val="12"/>
        </w:numPr>
        <w:jc w:val="both"/>
      </w:pPr>
      <w:r>
        <w:t xml:space="preserve">piesārņojuma līmenis ir pārsniedzis </w:t>
      </w:r>
      <w:proofErr w:type="spellStart"/>
      <w:r w:rsidRPr="00D642E0">
        <w:rPr>
          <w:u w:val="single"/>
        </w:rPr>
        <w:t>mērķlieluma</w:t>
      </w:r>
      <w:proofErr w:type="spellEnd"/>
      <w:r>
        <w:t xml:space="preserve"> un </w:t>
      </w:r>
      <w:r w:rsidRPr="00D642E0">
        <w:rPr>
          <w:u w:val="single"/>
        </w:rPr>
        <w:t>robežlieluma</w:t>
      </w:r>
      <w:r>
        <w:t xml:space="preserve"> </w:t>
      </w:r>
      <w:r w:rsidRPr="00D642E0">
        <w:rPr>
          <w:i/>
          <w:u w:val="single"/>
        </w:rPr>
        <w:t>vidējo aritmētisko vērtību</w:t>
      </w:r>
      <w:r>
        <w:t>, šajā teritorijā veic pasākumus, lai precizētu piesārņojuma areāla robežas, novērtētu, vai piesārņojums nerada risku cilvēku veselībai un videi, kā arī novērstu turpmāku pazemes ūdeņu piesārņošanu;</w:t>
      </w:r>
    </w:p>
    <w:p w14:paraId="20581B20" w14:textId="77777777" w:rsidR="00D642E0" w:rsidRDefault="00D642E0" w:rsidP="00D642E0">
      <w:pPr>
        <w:pStyle w:val="ListParagraph"/>
        <w:jc w:val="both"/>
      </w:pPr>
    </w:p>
    <w:p w14:paraId="6F154E9F" w14:textId="77777777" w:rsidR="00F970E5" w:rsidRDefault="00D642E0" w:rsidP="00E17E73">
      <w:pPr>
        <w:pStyle w:val="ListParagraph"/>
        <w:numPr>
          <w:ilvl w:val="0"/>
          <w:numId w:val="12"/>
        </w:numPr>
        <w:jc w:val="both"/>
      </w:pPr>
      <w:r>
        <w:t xml:space="preserve">piesārņojuma līmenis pārsniedz </w:t>
      </w:r>
      <w:r w:rsidRPr="00D642E0">
        <w:rPr>
          <w:u w:val="single"/>
        </w:rPr>
        <w:t>robežlielumu</w:t>
      </w:r>
      <w:r>
        <w:t>, tad, ņemot vērā ģeoloģiskos, hidroģeoloģiskos, hidrodinamiskos apstākļus un antropogēnās iedarbības radīto slodzi attiecīgajā teritorijā, novērtē, vai vides sanācija ir nepieciešama un tehniski iespējama bez tādu pasākumu īstenošanas, kuri paaugstinātu apdraudējumu cilvēku veselībai vai videi, kā arī novērtē, vai pasākumiem piesārņoto pazemes ūdeņu vietu sanācijai un kontrolei nav nesamērīgi augstas izmaksas. Pamatojoties uz veikto novērtējumu, pazemes ūdeņu attīrīšanas pakāpi katram piesārņojuma areālam nosaka individuāli. Sanāciju veic saskaņā ar likumu “Par piesārņojumu” un Vides aizsardzības likumu.</w:t>
      </w:r>
    </w:p>
    <w:p w14:paraId="1F762C37" w14:textId="77777777" w:rsidR="00D642E0" w:rsidRDefault="00D642E0" w:rsidP="00D642E0">
      <w:pPr>
        <w:jc w:val="both"/>
      </w:pPr>
      <w:r>
        <w:t xml:space="preserve">Būtiski </w:t>
      </w:r>
      <w:r w:rsidR="00DD5DDD">
        <w:t>norādīt</w:t>
      </w:r>
      <w:r>
        <w:t>, ka</w:t>
      </w:r>
      <w:r w:rsidR="00DD5DDD">
        <w:t>,</w:t>
      </w:r>
      <w:r>
        <w:t xml:space="preserve"> šajā gadījumā </w:t>
      </w:r>
      <w:proofErr w:type="spellStart"/>
      <w:r>
        <w:t>mērķlieluma</w:t>
      </w:r>
      <w:proofErr w:type="spellEnd"/>
      <w:r>
        <w:t xml:space="preserve"> vērtība faktiski tiek pielietota tikai tā un robežlieluma vidējās aritmētiskās vērtības noteikšanai, bet testētās vielas daudzums pazemes ūdenī pret </w:t>
      </w:r>
      <w:proofErr w:type="spellStart"/>
      <w:r>
        <w:t>mērķlielumu</w:t>
      </w:r>
      <w:proofErr w:type="spellEnd"/>
      <w:r>
        <w:t xml:space="preserve"> nav jāsalīdzina, jo normatīvais regulējums neparedz nekādas darbības gadījumā</w:t>
      </w:r>
      <w:r w:rsidR="00DD5DDD">
        <w:t>,</w:t>
      </w:r>
      <w:r>
        <w:t xml:space="preserve"> ja testētās vielas daudzums pārsniedz </w:t>
      </w:r>
      <w:proofErr w:type="spellStart"/>
      <w:r>
        <w:t>mērķlielumu</w:t>
      </w:r>
      <w:proofErr w:type="spellEnd"/>
      <w:r>
        <w:t>, bet nepārsniedz vidējo aritmētisko vērtību</w:t>
      </w:r>
      <w:sdt>
        <w:sdtPr>
          <w:id w:val="1117803194"/>
          <w:citation/>
        </w:sdtPr>
        <w:sdtEndPr/>
        <w:sdtContent>
          <w:r w:rsidR="00DD5DDD">
            <w:fldChar w:fldCharType="begin"/>
          </w:r>
          <w:r w:rsidR="00DD5DDD">
            <w:instrText xml:space="preserve"> CITATION MK_Not_118 \l 1062 </w:instrText>
          </w:r>
          <w:r w:rsidR="00DD5DDD">
            <w:fldChar w:fldCharType="separate"/>
          </w:r>
          <w:r w:rsidR="009950D4">
            <w:rPr>
              <w:noProof/>
            </w:rPr>
            <w:t xml:space="preserve"> </w:t>
          </w:r>
          <w:r w:rsidR="009950D4" w:rsidRPr="009950D4">
            <w:rPr>
              <w:noProof/>
            </w:rPr>
            <w:t>[2]</w:t>
          </w:r>
          <w:r w:rsidR="00DD5DDD">
            <w:fldChar w:fldCharType="end"/>
          </w:r>
        </w:sdtContent>
      </w:sdt>
      <w:r>
        <w:t xml:space="preserve">. </w:t>
      </w:r>
    </w:p>
    <w:p w14:paraId="138AF69A" w14:textId="77777777" w:rsidR="00DD5DDD" w:rsidRDefault="00DD5DDD" w:rsidP="00D642E0">
      <w:pPr>
        <w:jc w:val="both"/>
      </w:pPr>
      <w:r>
        <w:t xml:space="preserve">Atsaucoties uz dokumenta izstrādes gaitā ar Pasūtītāju un citām ieinteresētajām pusēm notikušo tikšanās laikā izskanējušajiem argumentiem un secinājumiem, ka attiecībā uz augsnes, grunts un pazemes ūdens stāvokļa novērtējuma kritērijiem, būtu lietderīgi pielietot no esošās atšķirīgu vērtēšanas kritēriju principu – robežvērtības noteikt atkarībā no vērtējamās teritorijas lietojuma veida. Tieši šāds princips ir izvēlēts augsnes un grunts kvalitātes normatīvu priekšlikumu izstrādes laikā, un šāds princips gan augsnes un grunts, gan arī pazemes ūdeņu novērtēšanas kritērijiem noteikts arī Lietuvas normatīvajā regulējumā </w:t>
      </w:r>
      <w:sdt>
        <w:sdtPr>
          <w:id w:val="-713506065"/>
          <w:citation/>
        </w:sdtPr>
        <w:sdtEndPr/>
        <w:sdtContent>
          <w:r>
            <w:fldChar w:fldCharType="begin"/>
          </w:r>
          <w:r>
            <w:instrText xml:space="preserve"> CITATION Lie08 \l 1062 </w:instrText>
          </w:r>
          <w:r>
            <w:fldChar w:fldCharType="separate"/>
          </w:r>
          <w:r w:rsidR="009950D4" w:rsidRPr="009950D4">
            <w:rPr>
              <w:noProof/>
            </w:rPr>
            <w:t>[9]</w:t>
          </w:r>
          <w:r>
            <w:fldChar w:fldCharType="end"/>
          </w:r>
        </w:sdtContent>
      </w:sdt>
      <w:r>
        <w:t xml:space="preserve">, </w:t>
      </w:r>
      <w:sdt>
        <w:sdtPr>
          <w:id w:val="1508941441"/>
          <w:citation/>
        </w:sdtPr>
        <w:sdtEndPr/>
        <w:sdtContent>
          <w:r>
            <w:fldChar w:fldCharType="begin"/>
          </w:r>
          <w:r>
            <w:instrText xml:space="preserve"> CITATION Lie \l 1062 </w:instrText>
          </w:r>
          <w:r>
            <w:fldChar w:fldCharType="separate"/>
          </w:r>
          <w:r w:rsidR="009950D4" w:rsidRPr="009950D4">
            <w:rPr>
              <w:noProof/>
            </w:rPr>
            <w:t>[10]</w:t>
          </w:r>
          <w:r>
            <w:fldChar w:fldCharType="end"/>
          </w:r>
        </w:sdtContent>
      </w:sdt>
      <w:r>
        <w:t>.</w:t>
      </w:r>
    </w:p>
    <w:p w14:paraId="55232366" w14:textId="77777777" w:rsidR="00B2203D" w:rsidRDefault="00B2203D" w:rsidP="00D642E0">
      <w:pPr>
        <w:jc w:val="both"/>
      </w:pPr>
      <w:r>
        <w:t>Latvijas teritorijā atbilstoši 2007. gada 21. augusta MK noteikumiem Nr. 562</w:t>
      </w:r>
      <w:sdt>
        <w:sdtPr>
          <w:id w:val="-1077274800"/>
          <w:citation/>
        </w:sdtPr>
        <w:sdtEndPr/>
        <w:sdtContent>
          <w:r w:rsidR="00231161">
            <w:fldChar w:fldCharType="begin"/>
          </w:r>
          <w:r w:rsidR="00231161">
            <w:instrText xml:space="preserve"> CITATION Min072 \l 1062 </w:instrText>
          </w:r>
          <w:r w:rsidR="00231161">
            <w:fldChar w:fldCharType="separate"/>
          </w:r>
          <w:r w:rsidR="009950D4">
            <w:rPr>
              <w:noProof/>
            </w:rPr>
            <w:t xml:space="preserve"> </w:t>
          </w:r>
          <w:r w:rsidR="009950D4" w:rsidRPr="009950D4">
            <w:rPr>
              <w:noProof/>
            </w:rPr>
            <w:t>[18]</w:t>
          </w:r>
          <w:r w:rsidR="00231161">
            <w:fldChar w:fldCharType="end"/>
          </w:r>
        </w:sdtContent>
      </w:sdt>
      <w:r>
        <w:t xml:space="preserve">, teritorija ir iedalīta </w:t>
      </w:r>
      <w:r w:rsidR="00231161">
        <w:t>pēc tās lietošanas veida:</w:t>
      </w:r>
    </w:p>
    <w:p w14:paraId="4011D566" w14:textId="77777777" w:rsidR="00231161" w:rsidRDefault="00231161" w:rsidP="00E17E73">
      <w:pPr>
        <w:pStyle w:val="ListParagraph"/>
        <w:numPr>
          <w:ilvl w:val="0"/>
          <w:numId w:val="16"/>
        </w:numPr>
        <w:jc w:val="both"/>
      </w:pPr>
      <w:r>
        <w:t>Lauksaimniecībā izmantojamā zeme;</w:t>
      </w:r>
    </w:p>
    <w:p w14:paraId="07347FA0" w14:textId="77777777" w:rsidR="00231161" w:rsidRDefault="00231161" w:rsidP="00E17E73">
      <w:pPr>
        <w:pStyle w:val="ListParagraph"/>
        <w:numPr>
          <w:ilvl w:val="0"/>
          <w:numId w:val="16"/>
        </w:numPr>
        <w:jc w:val="both"/>
      </w:pPr>
      <w:r w:rsidRPr="00231161">
        <w:t>Mežs</w:t>
      </w:r>
    </w:p>
    <w:p w14:paraId="0410E13D" w14:textId="77777777" w:rsidR="00231161" w:rsidRDefault="00231161" w:rsidP="00E17E73">
      <w:pPr>
        <w:pStyle w:val="ListParagraph"/>
        <w:numPr>
          <w:ilvl w:val="0"/>
          <w:numId w:val="16"/>
        </w:numPr>
        <w:jc w:val="both"/>
      </w:pPr>
      <w:r w:rsidRPr="00231161">
        <w:t>Krūmājs</w:t>
      </w:r>
    </w:p>
    <w:p w14:paraId="169D98E9" w14:textId="77777777" w:rsidR="00231161" w:rsidRPr="00231161" w:rsidRDefault="00231161" w:rsidP="00E17E73">
      <w:pPr>
        <w:pStyle w:val="ListParagraph"/>
        <w:numPr>
          <w:ilvl w:val="0"/>
          <w:numId w:val="16"/>
        </w:numPr>
        <w:jc w:val="both"/>
      </w:pPr>
      <w:r w:rsidRPr="00231161">
        <w:t>Purvs</w:t>
      </w:r>
    </w:p>
    <w:p w14:paraId="36FFDB84" w14:textId="77777777" w:rsidR="00231161" w:rsidRPr="00231161" w:rsidRDefault="00231161" w:rsidP="00E17E73">
      <w:pPr>
        <w:pStyle w:val="ListParagraph"/>
        <w:numPr>
          <w:ilvl w:val="0"/>
          <w:numId w:val="16"/>
        </w:numPr>
        <w:jc w:val="both"/>
      </w:pPr>
      <w:r w:rsidRPr="00231161">
        <w:t>Ūdens objektu zeme</w:t>
      </w:r>
    </w:p>
    <w:p w14:paraId="10952BA0" w14:textId="77777777" w:rsidR="00231161" w:rsidRPr="00231161" w:rsidRDefault="00231161" w:rsidP="00E17E73">
      <w:pPr>
        <w:pStyle w:val="ListParagraph"/>
        <w:numPr>
          <w:ilvl w:val="0"/>
          <w:numId w:val="16"/>
        </w:numPr>
        <w:jc w:val="both"/>
      </w:pPr>
      <w:r w:rsidRPr="00231161">
        <w:t>Zeme zem ēkām un pagalmiem</w:t>
      </w:r>
    </w:p>
    <w:p w14:paraId="45B75657" w14:textId="77777777" w:rsidR="00231161" w:rsidRPr="00231161" w:rsidRDefault="00231161" w:rsidP="00E17E73">
      <w:pPr>
        <w:pStyle w:val="ListParagraph"/>
        <w:numPr>
          <w:ilvl w:val="0"/>
          <w:numId w:val="16"/>
        </w:numPr>
        <w:jc w:val="both"/>
      </w:pPr>
      <w:r w:rsidRPr="00231161">
        <w:t>Zeme zem ceļiem</w:t>
      </w:r>
    </w:p>
    <w:p w14:paraId="257830CF" w14:textId="77777777" w:rsidR="00231161" w:rsidRPr="00231161" w:rsidRDefault="00231161" w:rsidP="00E17E73">
      <w:pPr>
        <w:pStyle w:val="ListParagraph"/>
        <w:numPr>
          <w:ilvl w:val="0"/>
          <w:numId w:val="16"/>
        </w:numPr>
        <w:jc w:val="both"/>
      </w:pPr>
      <w:r w:rsidRPr="00231161">
        <w:t xml:space="preserve">Pārējās zemes (Zeme, kuru aizņem smiltāji, kapsētas, parki, </w:t>
      </w:r>
      <w:proofErr w:type="spellStart"/>
      <w:r w:rsidRPr="00231161">
        <w:t>lauces</w:t>
      </w:r>
      <w:proofErr w:type="spellEnd"/>
      <w:r w:rsidRPr="00231161">
        <w:t>, stigas, gravas, kraujas, nogāzes, ja tās nav uzskatāmas par mežu vai krūmāju, sēklu plantācijas un pārplūstoši klajumi, kā arī zeme, kuru izmanto derīgo izrakteņu ieguvei).</w:t>
      </w:r>
    </w:p>
    <w:p w14:paraId="0EF52994" w14:textId="77777777" w:rsidR="00231161" w:rsidRDefault="00231161" w:rsidP="00231161">
      <w:pPr>
        <w:jc w:val="both"/>
      </w:pPr>
      <w:r>
        <w:t xml:space="preserve">Cits teritoriju iedalījums definēts 2013. gada MK noteikumos Nr. 240 </w:t>
      </w:r>
      <w:sdt>
        <w:sdtPr>
          <w:id w:val="1687561678"/>
          <w:citation/>
        </w:sdtPr>
        <w:sdtEndPr/>
        <w:sdtContent>
          <w:r>
            <w:fldChar w:fldCharType="begin"/>
          </w:r>
          <w:r>
            <w:instrText xml:space="preserve"> CITATION Min13 \l 1062 </w:instrText>
          </w:r>
          <w:r>
            <w:fldChar w:fldCharType="separate"/>
          </w:r>
          <w:r w:rsidR="009950D4" w:rsidRPr="009950D4">
            <w:rPr>
              <w:noProof/>
            </w:rPr>
            <w:t>[19]</w:t>
          </w:r>
          <w:r>
            <w:fldChar w:fldCharType="end"/>
          </w:r>
        </w:sdtContent>
      </w:sdt>
      <w:r>
        <w:t>, atkarībā no funkcionālās zonas veida:</w:t>
      </w:r>
    </w:p>
    <w:p w14:paraId="6E48C4F7" w14:textId="77777777" w:rsidR="00231161" w:rsidRPr="00797E42" w:rsidRDefault="00231161" w:rsidP="00E17E73">
      <w:pPr>
        <w:pStyle w:val="ListParagraph"/>
        <w:numPr>
          <w:ilvl w:val="0"/>
          <w:numId w:val="17"/>
        </w:numPr>
        <w:jc w:val="both"/>
      </w:pPr>
      <w:r w:rsidRPr="00797E42">
        <w:t>savrupmāju apbūves teritorija (</w:t>
      </w:r>
      <w:proofErr w:type="spellStart"/>
      <w:r w:rsidRPr="00797E42">
        <w:t>DzS</w:t>
      </w:r>
      <w:proofErr w:type="spellEnd"/>
      <w:r w:rsidRPr="00797E42">
        <w:t>);</w:t>
      </w:r>
    </w:p>
    <w:p w14:paraId="78B92C64" w14:textId="77777777" w:rsidR="00231161" w:rsidRPr="00797E42" w:rsidRDefault="00231161" w:rsidP="00E17E73">
      <w:pPr>
        <w:pStyle w:val="ListParagraph"/>
        <w:numPr>
          <w:ilvl w:val="0"/>
          <w:numId w:val="17"/>
        </w:numPr>
        <w:jc w:val="both"/>
      </w:pPr>
      <w:proofErr w:type="spellStart"/>
      <w:r w:rsidRPr="00797E42">
        <w:t>mazstāvu</w:t>
      </w:r>
      <w:proofErr w:type="spellEnd"/>
      <w:r w:rsidRPr="00797E42">
        <w:t xml:space="preserve"> dzīvojamās apbūves teritorija (</w:t>
      </w:r>
      <w:proofErr w:type="spellStart"/>
      <w:r w:rsidRPr="00797E42">
        <w:t>DzM</w:t>
      </w:r>
      <w:proofErr w:type="spellEnd"/>
      <w:r w:rsidRPr="00797E42">
        <w:t>);</w:t>
      </w:r>
    </w:p>
    <w:p w14:paraId="72E8F17C" w14:textId="77777777" w:rsidR="00231161" w:rsidRPr="00797E42" w:rsidRDefault="00231161" w:rsidP="00E17E73">
      <w:pPr>
        <w:pStyle w:val="ListParagraph"/>
        <w:numPr>
          <w:ilvl w:val="0"/>
          <w:numId w:val="17"/>
        </w:numPr>
        <w:jc w:val="both"/>
      </w:pPr>
      <w:r w:rsidRPr="00797E42">
        <w:t>daudzstāvu dzīvojamās apbūves teritorija (</w:t>
      </w:r>
      <w:proofErr w:type="spellStart"/>
      <w:r w:rsidRPr="00797E42">
        <w:t>DzD</w:t>
      </w:r>
      <w:proofErr w:type="spellEnd"/>
      <w:r w:rsidRPr="00797E42">
        <w:t>);</w:t>
      </w:r>
    </w:p>
    <w:p w14:paraId="6D85174F" w14:textId="77777777" w:rsidR="00231161" w:rsidRPr="00797E42" w:rsidRDefault="00231161" w:rsidP="00E17E73">
      <w:pPr>
        <w:pStyle w:val="ListParagraph"/>
        <w:numPr>
          <w:ilvl w:val="0"/>
          <w:numId w:val="17"/>
        </w:numPr>
        <w:jc w:val="both"/>
      </w:pPr>
      <w:r w:rsidRPr="00797E42">
        <w:t>jauktas centra apbūves teritorija (JC);</w:t>
      </w:r>
    </w:p>
    <w:p w14:paraId="25DC15E1" w14:textId="77777777" w:rsidR="00231161" w:rsidRPr="00797E42" w:rsidRDefault="00231161" w:rsidP="00E17E73">
      <w:pPr>
        <w:pStyle w:val="ListParagraph"/>
        <w:numPr>
          <w:ilvl w:val="0"/>
          <w:numId w:val="17"/>
        </w:numPr>
        <w:jc w:val="both"/>
      </w:pPr>
      <w:r w:rsidRPr="00797E42">
        <w:lastRenderedPageBreak/>
        <w:t>publiskās apbūves teritorija (P);</w:t>
      </w:r>
    </w:p>
    <w:p w14:paraId="07402D09" w14:textId="77777777" w:rsidR="00231161" w:rsidRPr="00797E42" w:rsidRDefault="00231161" w:rsidP="00E17E73">
      <w:pPr>
        <w:pStyle w:val="ListParagraph"/>
        <w:numPr>
          <w:ilvl w:val="0"/>
          <w:numId w:val="17"/>
        </w:numPr>
        <w:jc w:val="both"/>
      </w:pPr>
      <w:r w:rsidRPr="00797E42">
        <w:t>rūpnieciskās apbūves teritorija (R);</w:t>
      </w:r>
    </w:p>
    <w:p w14:paraId="440C7302" w14:textId="77777777" w:rsidR="00231161" w:rsidRPr="00797E42" w:rsidRDefault="00231161" w:rsidP="00E17E73">
      <w:pPr>
        <w:pStyle w:val="ListParagraph"/>
        <w:numPr>
          <w:ilvl w:val="0"/>
          <w:numId w:val="17"/>
        </w:numPr>
        <w:jc w:val="both"/>
      </w:pPr>
      <w:r w:rsidRPr="00797E42">
        <w:t>transporta infrastruktūras teritorija (TR);</w:t>
      </w:r>
    </w:p>
    <w:p w14:paraId="2CA4EB2B" w14:textId="77777777" w:rsidR="00231161" w:rsidRPr="00797E42" w:rsidRDefault="00231161" w:rsidP="00E17E73">
      <w:pPr>
        <w:pStyle w:val="ListParagraph"/>
        <w:numPr>
          <w:ilvl w:val="0"/>
          <w:numId w:val="17"/>
        </w:numPr>
        <w:jc w:val="both"/>
      </w:pPr>
      <w:r w:rsidRPr="00797E42">
        <w:t>tehniskās apbūves teritorija (TA);</w:t>
      </w:r>
    </w:p>
    <w:p w14:paraId="4DDEA97C" w14:textId="77777777" w:rsidR="00231161" w:rsidRPr="00797E42" w:rsidRDefault="00231161" w:rsidP="00E17E73">
      <w:pPr>
        <w:pStyle w:val="ListParagraph"/>
        <w:numPr>
          <w:ilvl w:val="0"/>
          <w:numId w:val="17"/>
        </w:numPr>
        <w:jc w:val="both"/>
      </w:pPr>
      <w:r w:rsidRPr="00797E42">
        <w:t>dabas un apstādījumu teritorija (DA);</w:t>
      </w:r>
    </w:p>
    <w:p w14:paraId="7218E438" w14:textId="77777777" w:rsidR="00231161" w:rsidRPr="00797E42" w:rsidRDefault="00231161" w:rsidP="00E17E73">
      <w:pPr>
        <w:pStyle w:val="ListParagraph"/>
        <w:numPr>
          <w:ilvl w:val="0"/>
          <w:numId w:val="17"/>
        </w:numPr>
        <w:jc w:val="both"/>
      </w:pPr>
      <w:r w:rsidRPr="00797E42">
        <w:t>mežu teritorija (M);</w:t>
      </w:r>
    </w:p>
    <w:p w14:paraId="3FF820F2" w14:textId="77777777" w:rsidR="00231161" w:rsidRPr="00797E42" w:rsidRDefault="00231161" w:rsidP="00E17E73">
      <w:pPr>
        <w:pStyle w:val="ListParagraph"/>
        <w:numPr>
          <w:ilvl w:val="0"/>
          <w:numId w:val="17"/>
        </w:numPr>
        <w:jc w:val="both"/>
      </w:pPr>
      <w:r w:rsidRPr="00797E42">
        <w:t>lauksaimniecības teritorija (L);</w:t>
      </w:r>
    </w:p>
    <w:p w14:paraId="2D14AD45" w14:textId="77777777" w:rsidR="00231161" w:rsidRPr="00797E42" w:rsidRDefault="00231161" w:rsidP="00E17E73">
      <w:pPr>
        <w:pStyle w:val="ListParagraph"/>
        <w:numPr>
          <w:ilvl w:val="0"/>
          <w:numId w:val="17"/>
        </w:numPr>
        <w:jc w:val="both"/>
      </w:pPr>
      <w:r w:rsidRPr="00797E42">
        <w:t>ūdeņu teritorija (Ū).</w:t>
      </w:r>
    </w:p>
    <w:p w14:paraId="0D48033D" w14:textId="77777777" w:rsidR="004100A0" w:rsidRDefault="00231161" w:rsidP="00D642E0">
      <w:pPr>
        <w:jc w:val="both"/>
      </w:pPr>
      <w:r>
        <w:t xml:space="preserve">Tiek rekomendēts pazemes ūdeņu kvalitātes novērtējuma kritērijus </w:t>
      </w:r>
      <w:r w:rsidR="005F6F94">
        <w:t>noteikt atbilstoši teritorijas zonējumam, iedalot tos kopumā 4 teritorijas jutīguma kategorijās:</w:t>
      </w:r>
    </w:p>
    <w:p w14:paraId="1EB10677" w14:textId="77777777" w:rsidR="005F6F94" w:rsidRDefault="005F6F94" w:rsidP="00E17E73">
      <w:pPr>
        <w:pStyle w:val="ListParagraph"/>
        <w:numPr>
          <w:ilvl w:val="0"/>
          <w:numId w:val="17"/>
        </w:numPr>
        <w:jc w:val="both"/>
      </w:pPr>
      <w:r>
        <w:t>1. kategorija: Pret piesārņojumu</w:t>
      </w:r>
      <w:r w:rsidR="00D4778D">
        <w:t xml:space="preserve"> ļoti</w:t>
      </w:r>
      <w:r>
        <w:t xml:space="preserve"> jutīgas teritorijas</w:t>
      </w:r>
      <w:r w:rsidR="00965D82">
        <w:t xml:space="preserve">: </w:t>
      </w:r>
      <w:r>
        <w:t>dabas un apstādījumu teritorija (DA);</w:t>
      </w:r>
      <w:r w:rsidR="00D4778D">
        <w:t xml:space="preserve"> </w:t>
      </w:r>
      <w:r>
        <w:t xml:space="preserve">ūdeņu teritorija (Ū), kā arī ūdens ņemšanas vietu stingrā režīma </w:t>
      </w:r>
      <w:r w:rsidR="00D4778D">
        <w:t xml:space="preserve">un bakterioloģiskā </w:t>
      </w:r>
      <w:r>
        <w:t>aizsargjosla, īpaši aizsargājamās teritorijas (Dabas rezervāti, Dabas parki, Dabas pieminekļi, Dabas liegumi</w:t>
      </w:r>
      <w:r w:rsidR="00D4778D">
        <w:t>), virszemes ūdens objektu aizsargjoslas.</w:t>
      </w:r>
    </w:p>
    <w:p w14:paraId="0851CBC4" w14:textId="77777777" w:rsidR="005F6F94" w:rsidRDefault="005F6F94" w:rsidP="005F6F94">
      <w:pPr>
        <w:pStyle w:val="ListParagraph"/>
        <w:jc w:val="both"/>
      </w:pPr>
    </w:p>
    <w:p w14:paraId="4502CB16" w14:textId="77777777" w:rsidR="00D4778D" w:rsidRDefault="005F6F94" w:rsidP="00E17E73">
      <w:pPr>
        <w:pStyle w:val="ListParagraph"/>
        <w:numPr>
          <w:ilvl w:val="0"/>
          <w:numId w:val="17"/>
        </w:numPr>
        <w:jc w:val="both"/>
      </w:pPr>
      <w:r>
        <w:t>2.kategorija:</w:t>
      </w:r>
      <w:r w:rsidR="00D4778D">
        <w:t xml:space="preserve"> Pret piesārņojumu jutīgas teritorijas (dzīvojamās apbūves teritorija, lauksaimniecības teritorija (L);</w:t>
      </w:r>
      <w:r w:rsidR="00D4778D" w:rsidRPr="00D4778D">
        <w:t xml:space="preserve"> </w:t>
      </w:r>
      <w:r w:rsidR="00D4778D">
        <w:t>jauktas centra apbūves teritorija (JC);</w:t>
      </w:r>
      <w:r w:rsidR="00D4778D" w:rsidRPr="00D4778D">
        <w:t xml:space="preserve"> </w:t>
      </w:r>
      <w:r w:rsidR="00D4778D">
        <w:t>kā arī ūdens ņemšanas vietu ķīmiskā aizsargjosla</w:t>
      </w:r>
      <w:r w:rsidR="00E17E73">
        <w:t>s, īpaši aizsargājamās teritorijas (Nacionālie parki), izņemot tur ietilpstošo zonējumu, kas minēts 3. un 4. kategorijā.</w:t>
      </w:r>
    </w:p>
    <w:p w14:paraId="1735DD44" w14:textId="77777777" w:rsidR="005F6F94" w:rsidRDefault="005F6F94" w:rsidP="00D4778D">
      <w:pPr>
        <w:pStyle w:val="ListParagraph"/>
        <w:jc w:val="both"/>
      </w:pPr>
    </w:p>
    <w:p w14:paraId="08763E1E" w14:textId="77777777" w:rsidR="005F6F94" w:rsidRDefault="005F6F94" w:rsidP="00E17E73">
      <w:pPr>
        <w:pStyle w:val="ListParagraph"/>
        <w:numPr>
          <w:ilvl w:val="0"/>
          <w:numId w:val="18"/>
        </w:numPr>
        <w:jc w:val="both"/>
      </w:pPr>
      <w:r>
        <w:t>3.kategorija:</w:t>
      </w:r>
      <w:r w:rsidR="00D4778D">
        <w:t xml:space="preserve"> Pret piesārņojumu vidēji jutīgas teritorijas</w:t>
      </w:r>
      <w:r w:rsidR="00D4778D" w:rsidRPr="00D4778D">
        <w:t xml:space="preserve"> </w:t>
      </w:r>
      <w:r w:rsidR="00D4778D">
        <w:t>(mežu teritorija (M), publiskās apbūves teritorija (P)</w:t>
      </w:r>
    </w:p>
    <w:p w14:paraId="3B39B228" w14:textId="77777777" w:rsidR="00E17E73" w:rsidRDefault="00E17E73" w:rsidP="00754B35">
      <w:pPr>
        <w:pStyle w:val="ListParagraph"/>
        <w:jc w:val="both"/>
      </w:pPr>
    </w:p>
    <w:p w14:paraId="2F747748" w14:textId="77777777" w:rsidR="00D4778D" w:rsidRDefault="005F6F94" w:rsidP="00754B35">
      <w:pPr>
        <w:pStyle w:val="ListParagraph"/>
        <w:numPr>
          <w:ilvl w:val="0"/>
          <w:numId w:val="17"/>
        </w:numPr>
        <w:jc w:val="both"/>
      </w:pPr>
      <w:r>
        <w:t>4.kategorija:</w:t>
      </w:r>
      <w:r w:rsidR="00D4778D" w:rsidRPr="00D4778D">
        <w:t xml:space="preserve"> </w:t>
      </w:r>
      <w:r w:rsidR="00D4778D">
        <w:t>Pret piesārņojumu mazjutīgas teritorijas (rūpnieciskās apbūves teritorija (R); transporta infrastruktūras teritorija (TR); tehniskās apbūves teritorija (TA);</w:t>
      </w:r>
    </w:p>
    <w:p w14:paraId="2210DB53" w14:textId="77777777" w:rsidR="00754B35" w:rsidRDefault="00754B35" w:rsidP="00754B35">
      <w:pPr>
        <w:jc w:val="both"/>
      </w:pPr>
      <w:r>
        <w:t xml:space="preserve">Iepriekš minētais jutīguma kategoriju iedalījums ir rekomendējošs, tomēr ir nepieciešama iedalījuma sasaiste ar rekomendēto augsnes un grunts normatīvu </w:t>
      </w:r>
      <w:proofErr w:type="spellStart"/>
      <w:r>
        <w:t>kategorizāciju</w:t>
      </w:r>
      <w:proofErr w:type="spellEnd"/>
      <w:r>
        <w:t>.</w:t>
      </w:r>
      <w:r w:rsidR="000E7769">
        <w:t xml:space="preserve"> </w:t>
      </w:r>
    </w:p>
    <w:p w14:paraId="7BBAD4A4" w14:textId="77777777" w:rsidR="005F6F94" w:rsidRDefault="005F6F94" w:rsidP="00754B35">
      <w:pPr>
        <w:pStyle w:val="ListParagraph"/>
        <w:jc w:val="both"/>
      </w:pPr>
    </w:p>
    <w:p w14:paraId="497CA172" w14:textId="77777777" w:rsidR="00645C55" w:rsidRDefault="00220A1E" w:rsidP="00754B35">
      <w:pPr>
        <w:pStyle w:val="Heading2"/>
        <w:numPr>
          <w:ilvl w:val="1"/>
          <w:numId w:val="15"/>
        </w:numPr>
        <w:jc w:val="both"/>
      </w:pPr>
      <w:bookmarkStart w:id="14" w:name="_Toc59326495"/>
      <w:r>
        <w:t>Priekšlikumi MK noteikumu Nr. 118 10. pielikuma aktualizēšanai</w:t>
      </w:r>
      <w:bookmarkEnd w:id="14"/>
    </w:p>
    <w:p w14:paraId="4D4A74A5" w14:textId="77777777" w:rsidR="00220A1E" w:rsidRDefault="00754B35" w:rsidP="00754B35">
      <w:pPr>
        <w:jc w:val="both"/>
      </w:pPr>
      <w:r>
        <w:t xml:space="preserve">Diemžēl Latvijas ekonomiskā situācija, zinātniskā darbība, nozares tradīcijas un pieejamais finansējums nav labvēlīgs, lai valsts ietvaros varētu veikt apjomīgus pētījumus par pazemes ūdens kvalitāti raksturojošu parametru izvēli, uz zinātnē balstītiem </w:t>
      </w:r>
      <w:r w:rsidR="00AB104C">
        <w:t>principiem</w:t>
      </w:r>
      <w:r>
        <w:t xml:space="preserve"> veiktu robežvērtību noteikšanu. Tādēļ labākā iespējamā pieeja </w:t>
      </w:r>
      <w:r w:rsidR="00AB104C">
        <w:t>ir pamatoti izvēlēties citu valstu praksi, kas pielāgojama Latvijas specifiskajām prasībām.</w:t>
      </w:r>
    </w:p>
    <w:p w14:paraId="72EEE340" w14:textId="7D8964A1" w:rsidR="00AD00E9" w:rsidRDefault="00C04F75" w:rsidP="00754B35">
      <w:pPr>
        <w:jc w:val="both"/>
      </w:pPr>
      <w:r>
        <w:t>Atsaucoties uz šī dokumenta 8. </w:t>
      </w:r>
      <w:proofErr w:type="spellStart"/>
      <w:r>
        <w:t>lpp</w:t>
      </w:r>
      <w:proofErr w:type="spellEnd"/>
      <w:r>
        <w:t xml:space="preserve"> uzskaitīto MK noteikumu Nr. 118 26. punkta 2. daļas definējuma analīzi, tiek rekomendēts</w:t>
      </w:r>
      <w:r w:rsidR="00241E54">
        <w:t xml:space="preserve"> to izteikt sekojošā redakcijā:</w:t>
      </w:r>
      <w:r w:rsidR="00AD00E9">
        <w:t xml:space="preserve"> </w:t>
      </w:r>
      <w:r w:rsidR="00AD00E9" w:rsidRPr="00AD00E9">
        <w:rPr>
          <w:i/>
        </w:rPr>
        <w:t>“26. Šo noteikumu </w:t>
      </w:r>
      <w:hyperlink r:id="rId25" w:anchor="piel10" w:history="1">
        <w:r w:rsidR="00AD00E9" w:rsidRPr="00AD00E9">
          <w:rPr>
            <w:i/>
          </w:rPr>
          <w:t>10.pielikuma</w:t>
        </w:r>
      </w:hyperlink>
      <w:r w:rsidR="00AD00E9" w:rsidRPr="00AD00E9">
        <w:rPr>
          <w:i/>
        </w:rPr>
        <w:t> 1.tabulā noteiktos ūdens kvalitātes normatīvus piemēro pazemes ūdeņu stāvokļa novērtēšanai, izņemot šo</w:t>
      </w:r>
      <w:r w:rsidR="00AD00E9">
        <w:rPr>
          <w:i/>
        </w:rPr>
        <w:t xml:space="preserve"> </w:t>
      </w:r>
      <w:r w:rsidR="00AD00E9" w:rsidRPr="00AD00E9">
        <w:rPr>
          <w:i/>
        </w:rPr>
        <w:t>noteikumu </w:t>
      </w:r>
      <w:hyperlink r:id="rId26" w:anchor="p25" w:history="1">
        <w:r w:rsidR="00AD00E9" w:rsidRPr="00AD00E9">
          <w:rPr>
            <w:i/>
          </w:rPr>
          <w:t>25.</w:t>
        </w:r>
        <w:r w:rsidR="00AD00E9">
          <w:rPr>
            <w:i/>
          </w:rPr>
          <w:t> </w:t>
        </w:r>
        <w:r w:rsidR="00AD00E9" w:rsidRPr="00AD00E9">
          <w:rPr>
            <w:i/>
          </w:rPr>
          <w:t>punktā</w:t>
        </w:r>
      </w:hyperlink>
      <w:r w:rsidR="00AD00E9" w:rsidRPr="00AD00E9">
        <w:rPr>
          <w:i/>
        </w:rPr>
        <w:t xml:space="preserve"> minētos pazemes ūdeņu horizontus un to kompleksus. Šo </w:t>
      </w:r>
      <w:proofErr w:type="spellStart"/>
      <w:r w:rsidR="00AD00E9" w:rsidRPr="00AD00E9">
        <w:rPr>
          <w:i/>
        </w:rPr>
        <w:t>notiekumu</w:t>
      </w:r>
      <w:proofErr w:type="spellEnd"/>
      <w:r w:rsidR="00AD00E9" w:rsidRPr="00AD00E9">
        <w:rPr>
          <w:i/>
        </w:rPr>
        <w:t xml:space="preserve"> izpratnē robežlielums ir ķīmiskās vielas/vielu grupas daudzums pazemes ūdeņos, ko sasniedzot vai pārsniedzot, ņemot vērā teritorijas jutīguma kategoriju, piesārņojums tieši apdraud cilvēku veselību vai vidi</w:t>
      </w:r>
      <w:r w:rsidR="00AD00E9">
        <w:rPr>
          <w:i/>
        </w:rPr>
        <w:t>, un ir nepieciešama sanācija.</w:t>
      </w:r>
      <w:r w:rsidR="00AD00E9" w:rsidRPr="00AD00E9">
        <w:rPr>
          <w:i/>
        </w:rPr>
        <w:t>”</w:t>
      </w:r>
    </w:p>
    <w:p w14:paraId="704E80E9" w14:textId="77777777" w:rsidR="00C04F75" w:rsidRDefault="00C04F75" w:rsidP="00754B35">
      <w:pPr>
        <w:jc w:val="both"/>
      </w:pPr>
    </w:p>
    <w:p w14:paraId="3C69BCCD" w14:textId="77777777" w:rsidR="00AB104C" w:rsidRDefault="00AB104C" w:rsidP="000E7769">
      <w:pPr>
        <w:pStyle w:val="Heading3"/>
      </w:pPr>
    </w:p>
    <w:p w14:paraId="3F7CDCAA" w14:textId="77777777" w:rsidR="000E7769" w:rsidRDefault="000E7769" w:rsidP="000E7769">
      <w:pPr>
        <w:pStyle w:val="Heading3"/>
      </w:pPr>
      <w:bookmarkStart w:id="15" w:name="_Toc59326496"/>
      <w:r>
        <w:t>4.2.1. Priekšlikumi normatīvos iekļaujamo parametru sarakstam ū</w:t>
      </w:r>
      <w:r w:rsidRPr="000E7769">
        <w:t>dens kvalitātes normatīvi</w:t>
      </w:r>
      <w:r>
        <w:t>em</w:t>
      </w:r>
      <w:r w:rsidRPr="000E7769">
        <w:t xml:space="preserve"> pazemes ūdeņu stāvokļa novērtēšanai</w:t>
      </w:r>
      <w:r>
        <w:t>.</w:t>
      </w:r>
      <w:bookmarkEnd w:id="15"/>
    </w:p>
    <w:p w14:paraId="342A3795" w14:textId="77777777" w:rsidR="00965D82" w:rsidRPr="000E7769" w:rsidRDefault="00965D82" w:rsidP="00965D82">
      <w:pPr>
        <w:jc w:val="both"/>
      </w:pPr>
      <w:r>
        <w:t>Nosakot priekšlikumus ūdens kvalitātes normatīviem, ņemta vērā gan Lietuvas, gan Zviedrijas pieredze, un lai arī iekļautie parametri un definētās to robežvērtība</w:t>
      </w:r>
      <w:r w:rsidR="00460798">
        <w:t>s minēto valstu (t.sk. Latvijas</w:t>
      </w:r>
      <w:r>
        <w:t>) starpā mēdz būt atšķirības, kopumā iezīmējas vairākas tendences, kas ļauj izvirzīt nepieciešamos priekšlikumus.</w:t>
      </w:r>
    </w:p>
    <w:p w14:paraId="43285031" w14:textId="6D046861" w:rsidR="00D73A75" w:rsidRDefault="00965D82" w:rsidP="000E7769">
      <w:pPr>
        <w:jc w:val="both"/>
      </w:pPr>
      <w:r>
        <w:t xml:space="preserve">Priekšlikumos iekļauto vielu un parametru spektram nosakāmās robežvērtības ir izvēlētas, ņemot vērā </w:t>
      </w:r>
      <w:r w:rsidR="00D73A75">
        <w:t xml:space="preserve">vairāku faktoru kombināciju. Viens no faktoriem ir Latvijā līdz šim spēkā esošas robežvērtības, kā arī pazemes ūdens monitoringa programmas rezultātā iegūtie rezultāti. Otrs būtisks faktors ir </w:t>
      </w:r>
      <w:proofErr w:type="spellStart"/>
      <w:r w:rsidR="00D73A75">
        <w:t>izvērtējumā</w:t>
      </w:r>
      <w:proofErr w:type="spellEnd"/>
      <w:r w:rsidR="00D73A75">
        <w:t xml:space="preserve"> iekļauto valstu robežvērtības,</w:t>
      </w:r>
      <w:r>
        <w:t xml:space="preserve"> Latvijas esošās robežvērtības, gan arī </w:t>
      </w:r>
      <w:proofErr w:type="spellStart"/>
      <w:r>
        <w:t>izvērtējumā</w:t>
      </w:r>
      <w:proofErr w:type="spellEnd"/>
      <w:r>
        <w:t xml:space="preserve"> iekļauto valstu robežvērtības. </w:t>
      </w:r>
      <w:r w:rsidR="00BA6277">
        <w:t>Šos faktorus kombinējot, tika izvirzīti priekšlikumi robežvērtībām katrai jutīguma kategorijai, lielākajā daļā gadījumu rekomendējot piemērot zemāko iespējamo robežlieluma vērtību.</w:t>
      </w:r>
    </w:p>
    <w:p w14:paraId="52A31017" w14:textId="7C994A1A" w:rsidR="000E7769" w:rsidRDefault="00965D82" w:rsidP="000E7769">
      <w:pPr>
        <w:jc w:val="both"/>
      </w:pPr>
      <w:r>
        <w:t xml:space="preserve">Secināts, ka daļai parametru Lietuvas regulējumā noteiktās robežvērtības I, II un III kategorijai atbilst Latvijā noteiktajam </w:t>
      </w:r>
      <w:proofErr w:type="spellStart"/>
      <w:r>
        <w:t>mērķlieluma</w:t>
      </w:r>
      <w:proofErr w:type="spellEnd"/>
      <w:r>
        <w:t xml:space="preserve"> un robežlieluma vidējās aritmētiskās vērtības lielumam. Savukārt Zviedrijas regulējumā ir tendence robežvērtībām būt konservatīvākām</w:t>
      </w:r>
      <w:r w:rsidR="00D73A75">
        <w:t xml:space="preserve"> – tās lielākajai daļai parametru ir zemākas</w:t>
      </w:r>
      <w:r>
        <w:t xml:space="preserve">. </w:t>
      </w:r>
    </w:p>
    <w:p w14:paraId="54AD2EB3" w14:textId="77777777" w:rsidR="001C0AB1" w:rsidRDefault="001C0AB1" w:rsidP="000E7769">
      <w:pPr>
        <w:jc w:val="both"/>
      </w:pPr>
    </w:p>
    <w:p w14:paraId="12E57BE5" w14:textId="77777777" w:rsidR="000E7769" w:rsidRDefault="000E7769" w:rsidP="000E7769">
      <w:pPr>
        <w:pStyle w:val="Caption"/>
      </w:pPr>
      <w:r>
        <w:t xml:space="preserve">Tabula </w:t>
      </w:r>
      <w:r w:rsidR="00FE6CAD">
        <w:rPr>
          <w:noProof/>
        </w:rPr>
        <w:fldChar w:fldCharType="begin"/>
      </w:r>
      <w:r w:rsidR="00FE6CAD">
        <w:rPr>
          <w:noProof/>
        </w:rPr>
        <w:instrText xml:space="preserve"> SEQ Tabula \* ARABIC </w:instrText>
      </w:r>
      <w:r w:rsidR="00FE6CAD">
        <w:rPr>
          <w:noProof/>
        </w:rPr>
        <w:fldChar w:fldCharType="separate"/>
      </w:r>
      <w:r w:rsidR="0036190B">
        <w:rPr>
          <w:noProof/>
        </w:rPr>
        <w:t>3</w:t>
      </w:r>
      <w:r w:rsidR="00FE6CAD">
        <w:rPr>
          <w:noProof/>
        </w:rPr>
        <w:fldChar w:fldCharType="end"/>
      </w:r>
      <w:r>
        <w:t xml:space="preserve">.  </w:t>
      </w:r>
      <w:r w:rsidR="00971DE7">
        <w:t>Priekšlikumi normatīvajā regulējumā iekļ</w:t>
      </w:r>
      <w:r w:rsidR="00C76A94">
        <w:t>aujamo parametru sarakstam un rekom</w:t>
      </w:r>
      <w:r w:rsidR="0036190B">
        <w:t>en</w:t>
      </w:r>
      <w:r w:rsidR="00C76A94">
        <w:t>dējamām robežvērtībām</w:t>
      </w:r>
    </w:p>
    <w:tbl>
      <w:tblPr>
        <w:tblStyle w:val="ListTable2"/>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271"/>
        <w:gridCol w:w="849"/>
        <w:gridCol w:w="988"/>
        <w:gridCol w:w="992"/>
        <w:gridCol w:w="1134"/>
        <w:gridCol w:w="842"/>
        <w:gridCol w:w="8"/>
        <w:gridCol w:w="994"/>
        <w:gridCol w:w="30"/>
        <w:gridCol w:w="962"/>
        <w:gridCol w:w="30"/>
        <w:gridCol w:w="965"/>
      </w:tblGrid>
      <w:tr w:rsidR="000E7769" w14:paraId="1B83974C" w14:textId="77777777" w:rsidTr="007E39B8">
        <w:trPr>
          <w:cnfStyle w:val="100000000000" w:firstRow="1" w:lastRow="0" w:firstColumn="0" w:lastColumn="0" w:oddVBand="0" w:evenVBand="0" w:oddHBand="0" w:evenHBand="0" w:firstRowFirstColumn="0" w:firstRowLastColumn="0" w:lastRowFirstColumn="0" w:lastRowLastColumn="0"/>
        </w:trPr>
        <w:tc>
          <w:tcPr>
            <w:tcW w:w="2271" w:type="dxa"/>
            <w:vMerge w:val="restart"/>
            <w:vAlign w:val="center"/>
          </w:tcPr>
          <w:p w14:paraId="08CEC521" w14:textId="77777777" w:rsidR="000E7769" w:rsidRPr="009D3FBC" w:rsidRDefault="000E7769" w:rsidP="00EF24E6">
            <w:pPr>
              <w:jc w:val="center"/>
              <w:rPr>
                <w:sz w:val="20"/>
                <w:szCs w:val="20"/>
              </w:rPr>
            </w:pPr>
            <w:r w:rsidRPr="009D3FBC">
              <w:rPr>
                <w:sz w:val="20"/>
                <w:szCs w:val="20"/>
              </w:rPr>
              <w:t>Parametrs</w:t>
            </w:r>
          </w:p>
        </w:tc>
        <w:tc>
          <w:tcPr>
            <w:tcW w:w="849" w:type="dxa"/>
            <w:vMerge w:val="restart"/>
            <w:vAlign w:val="center"/>
          </w:tcPr>
          <w:p w14:paraId="7F6D3AA8" w14:textId="77777777" w:rsidR="000E7769" w:rsidRPr="009D3FBC" w:rsidRDefault="000E7769" w:rsidP="00EF24E6">
            <w:pPr>
              <w:jc w:val="center"/>
              <w:rPr>
                <w:sz w:val="20"/>
                <w:szCs w:val="20"/>
              </w:rPr>
            </w:pPr>
            <w:r w:rsidRPr="009D3FBC">
              <w:rPr>
                <w:sz w:val="20"/>
                <w:szCs w:val="20"/>
              </w:rPr>
              <w:t>Mēr</w:t>
            </w:r>
            <w:r w:rsidR="009F3AC5">
              <w:rPr>
                <w:sz w:val="20"/>
                <w:szCs w:val="20"/>
              </w:rPr>
              <w:t>-vienība</w:t>
            </w:r>
          </w:p>
        </w:tc>
        <w:tc>
          <w:tcPr>
            <w:tcW w:w="3114" w:type="dxa"/>
            <w:gridSpan w:val="3"/>
            <w:shd w:val="clear" w:color="auto" w:fill="D9D9D9" w:themeFill="background1" w:themeFillShade="D9"/>
            <w:vAlign w:val="center"/>
          </w:tcPr>
          <w:p w14:paraId="1C703DAA" w14:textId="28EC4F2F" w:rsidR="000E7769" w:rsidRPr="009D3FBC" w:rsidRDefault="000E7769" w:rsidP="007E39B8">
            <w:pPr>
              <w:jc w:val="center"/>
              <w:rPr>
                <w:sz w:val="20"/>
                <w:szCs w:val="20"/>
              </w:rPr>
            </w:pPr>
            <w:r w:rsidRPr="009D3FBC">
              <w:rPr>
                <w:sz w:val="20"/>
                <w:szCs w:val="20"/>
              </w:rPr>
              <w:t>Ūdens kvalitātes normatīvi paz</w:t>
            </w:r>
            <w:r w:rsidR="007E39B8">
              <w:rPr>
                <w:sz w:val="20"/>
                <w:szCs w:val="20"/>
              </w:rPr>
              <w:t>emes ūdeņu stāvokļa novērtēšanai MK not.118 10. pielikuma 1.tabula</w:t>
            </w:r>
          </w:p>
        </w:tc>
        <w:tc>
          <w:tcPr>
            <w:tcW w:w="3831" w:type="dxa"/>
            <w:gridSpan w:val="7"/>
            <w:shd w:val="clear" w:color="auto" w:fill="D9D9D9" w:themeFill="background1" w:themeFillShade="D9"/>
            <w:vAlign w:val="center"/>
          </w:tcPr>
          <w:p w14:paraId="18FA5556" w14:textId="77777777" w:rsidR="00EC7BD9" w:rsidRDefault="00EC7BD9" w:rsidP="00EF24E6">
            <w:pPr>
              <w:jc w:val="center"/>
              <w:rPr>
                <w:sz w:val="20"/>
                <w:szCs w:val="20"/>
              </w:rPr>
            </w:pPr>
            <w:r>
              <w:rPr>
                <w:sz w:val="20"/>
                <w:szCs w:val="20"/>
              </w:rPr>
              <w:t>PRIEKŠLIKUMI</w:t>
            </w:r>
          </w:p>
          <w:p w14:paraId="56A88F05" w14:textId="2BB708D0" w:rsidR="000E7769" w:rsidRPr="009D3FBC" w:rsidRDefault="00EC7BD9" w:rsidP="00EF24E6">
            <w:pPr>
              <w:jc w:val="center"/>
              <w:rPr>
                <w:sz w:val="20"/>
                <w:szCs w:val="20"/>
              </w:rPr>
            </w:pPr>
            <w:r>
              <w:rPr>
                <w:sz w:val="20"/>
                <w:szCs w:val="20"/>
              </w:rPr>
              <w:t>Ū</w:t>
            </w:r>
            <w:r w:rsidR="007E39B8">
              <w:rPr>
                <w:sz w:val="20"/>
                <w:szCs w:val="20"/>
              </w:rPr>
              <w:t>dens kvalitātes normatīviem</w:t>
            </w:r>
            <w:r w:rsidRPr="009D3FBC">
              <w:rPr>
                <w:sz w:val="20"/>
                <w:szCs w:val="20"/>
              </w:rPr>
              <w:t xml:space="preserve"> pazemes ūdeņu stāvokļa novērtēšanai</w:t>
            </w:r>
            <w:r>
              <w:rPr>
                <w:sz w:val="20"/>
                <w:szCs w:val="20"/>
              </w:rPr>
              <w:t>, atkarībā no teritorijas jutīguma kategorijas</w:t>
            </w:r>
          </w:p>
        </w:tc>
      </w:tr>
      <w:tr w:rsidR="00EC7BD9" w14:paraId="548052EC" w14:textId="77777777" w:rsidTr="007E39B8">
        <w:tc>
          <w:tcPr>
            <w:tcW w:w="2271" w:type="dxa"/>
            <w:vMerge/>
            <w:vAlign w:val="center"/>
          </w:tcPr>
          <w:p w14:paraId="22500857" w14:textId="77777777" w:rsidR="00EC7BD9" w:rsidRPr="009D3FBC" w:rsidRDefault="00EC7BD9" w:rsidP="00EF24E6">
            <w:pPr>
              <w:rPr>
                <w:sz w:val="20"/>
                <w:szCs w:val="20"/>
              </w:rPr>
            </w:pPr>
          </w:p>
        </w:tc>
        <w:tc>
          <w:tcPr>
            <w:tcW w:w="849" w:type="dxa"/>
            <w:vMerge/>
            <w:vAlign w:val="center"/>
          </w:tcPr>
          <w:p w14:paraId="735CC140" w14:textId="77777777" w:rsidR="00EC7BD9" w:rsidRPr="009D3FBC" w:rsidRDefault="00EC7BD9" w:rsidP="00EF24E6">
            <w:pPr>
              <w:rPr>
                <w:sz w:val="20"/>
                <w:szCs w:val="20"/>
              </w:rPr>
            </w:pPr>
          </w:p>
        </w:tc>
        <w:tc>
          <w:tcPr>
            <w:tcW w:w="988" w:type="dxa"/>
            <w:shd w:val="clear" w:color="auto" w:fill="D9D9D9" w:themeFill="background1" w:themeFillShade="D9"/>
            <w:vAlign w:val="center"/>
          </w:tcPr>
          <w:p w14:paraId="486EB7AD" w14:textId="77777777" w:rsidR="00EC7BD9" w:rsidRPr="00832FDC" w:rsidRDefault="00EC7BD9" w:rsidP="00EF24E6">
            <w:pPr>
              <w:rPr>
                <w:b/>
                <w:sz w:val="20"/>
                <w:szCs w:val="20"/>
              </w:rPr>
            </w:pPr>
            <w:proofErr w:type="spellStart"/>
            <w:r w:rsidRPr="00832FDC">
              <w:rPr>
                <w:b/>
                <w:sz w:val="20"/>
                <w:szCs w:val="20"/>
              </w:rPr>
              <w:t>Mērķ</w:t>
            </w:r>
            <w:proofErr w:type="spellEnd"/>
            <w:r>
              <w:rPr>
                <w:b/>
                <w:sz w:val="20"/>
                <w:szCs w:val="20"/>
              </w:rPr>
              <w:t>-</w:t>
            </w:r>
            <w:r w:rsidRPr="00832FDC">
              <w:rPr>
                <w:b/>
                <w:sz w:val="20"/>
                <w:szCs w:val="20"/>
              </w:rPr>
              <w:t>lielums</w:t>
            </w:r>
          </w:p>
        </w:tc>
        <w:tc>
          <w:tcPr>
            <w:tcW w:w="992" w:type="dxa"/>
            <w:shd w:val="clear" w:color="auto" w:fill="D9D9D9" w:themeFill="background1" w:themeFillShade="D9"/>
            <w:vAlign w:val="center"/>
          </w:tcPr>
          <w:p w14:paraId="5A893266" w14:textId="77777777" w:rsidR="00EC7BD9" w:rsidRPr="00832FDC" w:rsidRDefault="00EC7BD9" w:rsidP="00EF24E6">
            <w:pPr>
              <w:rPr>
                <w:b/>
                <w:sz w:val="20"/>
                <w:szCs w:val="20"/>
              </w:rPr>
            </w:pPr>
            <w:proofErr w:type="spellStart"/>
            <w:r w:rsidRPr="00832FDC">
              <w:rPr>
                <w:b/>
                <w:sz w:val="20"/>
                <w:szCs w:val="20"/>
              </w:rPr>
              <w:t>Vid</w:t>
            </w:r>
            <w:r w:rsidRPr="00832FDC">
              <w:rPr>
                <w:b/>
                <w:sz w:val="20"/>
                <w:szCs w:val="20"/>
                <w:vertAlign w:val="subscript"/>
              </w:rPr>
              <w:t>ARITM</w:t>
            </w:r>
            <w:proofErr w:type="spellEnd"/>
          </w:p>
        </w:tc>
        <w:tc>
          <w:tcPr>
            <w:tcW w:w="1134" w:type="dxa"/>
            <w:shd w:val="clear" w:color="auto" w:fill="D9D9D9" w:themeFill="background1" w:themeFillShade="D9"/>
            <w:vAlign w:val="center"/>
          </w:tcPr>
          <w:p w14:paraId="5C5F68FE" w14:textId="77777777" w:rsidR="00EC7BD9" w:rsidRPr="00832FDC" w:rsidRDefault="00EC7BD9" w:rsidP="00EF24E6">
            <w:pPr>
              <w:rPr>
                <w:b/>
                <w:sz w:val="20"/>
                <w:szCs w:val="20"/>
              </w:rPr>
            </w:pPr>
            <w:proofErr w:type="spellStart"/>
            <w:r w:rsidRPr="00832FDC">
              <w:rPr>
                <w:b/>
                <w:sz w:val="20"/>
                <w:szCs w:val="20"/>
              </w:rPr>
              <w:t>Robež</w:t>
            </w:r>
            <w:proofErr w:type="spellEnd"/>
            <w:r>
              <w:rPr>
                <w:b/>
                <w:sz w:val="20"/>
                <w:szCs w:val="20"/>
              </w:rPr>
              <w:t>-</w:t>
            </w:r>
            <w:r w:rsidRPr="00832FDC">
              <w:rPr>
                <w:b/>
                <w:sz w:val="20"/>
                <w:szCs w:val="20"/>
              </w:rPr>
              <w:t>lielums</w:t>
            </w:r>
          </w:p>
        </w:tc>
        <w:tc>
          <w:tcPr>
            <w:tcW w:w="850" w:type="dxa"/>
            <w:gridSpan w:val="2"/>
            <w:shd w:val="clear" w:color="auto" w:fill="auto"/>
            <w:vAlign w:val="center"/>
          </w:tcPr>
          <w:p w14:paraId="534BAE5D" w14:textId="77777777" w:rsidR="00EC7BD9" w:rsidRPr="00832FDC" w:rsidRDefault="00EC7BD9" w:rsidP="00EF24E6">
            <w:pPr>
              <w:rPr>
                <w:b/>
                <w:sz w:val="20"/>
                <w:szCs w:val="20"/>
              </w:rPr>
            </w:pPr>
            <w:r>
              <w:rPr>
                <w:b/>
                <w:sz w:val="20"/>
                <w:szCs w:val="20"/>
              </w:rPr>
              <w:t>I</w:t>
            </w:r>
          </w:p>
        </w:tc>
        <w:tc>
          <w:tcPr>
            <w:tcW w:w="994" w:type="dxa"/>
            <w:shd w:val="clear" w:color="auto" w:fill="auto"/>
            <w:vAlign w:val="center"/>
          </w:tcPr>
          <w:p w14:paraId="196D1AAD" w14:textId="77777777" w:rsidR="00EC7BD9" w:rsidRPr="00832FDC" w:rsidRDefault="00EC7BD9" w:rsidP="00EF24E6">
            <w:pPr>
              <w:rPr>
                <w:b/>
                <w:sz w:val="20"/>
                <w:szCs w:val="20"/>
              </w:rPr>
            </w:pPr>
            <w:r>
              <w:rPr>
                <w:b/>
                <w:sz w:val="20"/>
                <w:szCs w:val="20"/>
              </w:rPr>
              <w:t>II</w:t>
            </w:r>
          </w:p>
        </w:tc>
        <w:tc>
          <w:tcPr>
            <w:tcW w:w="992" w:type="dxa"/>
            <w:gridSpan w:val="2"/>
            <w:shd w:val="clear" w:color="auto" w:fill="auto"/>
            <w:vAlign w:val="center"/>
          </w:tcPr>
          <w:p w14:paraId="09A5201D" w14:textId="77777777" w:rsidR="00EC7BD9" w:rsidRPr="00832FDC" w:rsidRDefault="00EC7BD9" w:rsidP="00EF24E6">
            <w:pPr>
              <w:rPr>
                <w:b/>
                <w:sz w:val="20"/>
                <w:szCs w:val="20"/>
              </w:rPr>
            </w:pPr>
            <w:r>
              <w:rPr>
                <w:b/>
                <w:sz w:val="20"/>
                <w:szCs w:val="20"/>
              </w:rPr>
              <w:t>III</w:t>
            </w:r>
          </w:p>
        </w:tc>
        <w:tc>
          <w:tcPr>
            <w:tcW w:w="995" w:type="dxa"/>
            <w:gridSpan w:val="2"/>
            <w:shd w:val="clear" w:color="auto" w:fill="auto"/>
            <w:vAlign w:val="center"/>
          </w:tcPr>
          <w:p w14:paraId="1ECDB408" w14:textId="77777777" w:rsidR="00EC7BD9" w:rsidRPr="00832FDC" w:rsidRDefault="00EC7BD9" w:rsidP="00EF24E6">
            <w:pPr>
              <w:rPr>
                <w:b/>
                <w:sz w:val="20"/>
                <w:szCs w:val="20"/>
              </w:rPr>
            </w:pPr>
            <w:r>
              <w:rPr>
                <w:b/>
                <w:sz w:val="20"/>
                <w:szCs w:val="20"/>
              </w:rPr>
              <w:t>IV</w:t>
            </w:r>
          </w:p>
        </w:tc>
      </w:tr>
      <w:tr w:rsidR="0001524E" w14:paraId="5C54470D" w14:textId="77777777" w:rsidTr="007E39B8">
        <w:trPr>
          <w:trHeight w:val="340"/>
        </w:trPr>
        <w:tc>
          <w:tcPr>
            <w:tcW w:w="2271" w:type="dxa"/>
            <w:vAlign w:val="center"/>
          </w:tcPr>
          <w:p w14:paraId="69F2755A" w14:textId="3B0E1F8A" w:rsidR="0001524E" w:rsidRPr="007E39B8" w:rsidRDefault="0001524E" w:rsidP="00EF24E6">
            <w:pPr>
              <w:rPr>
                <w:i/>
                <w:sz w:val="20"/>
                <w:szCs w:val="20"/>
              </w:rPr>
            </w:pPr>
            <w:r w:rsidRPr="00460798">
              <w:rPr>
                <w:i/>
                <w:sz w:val="20"/>
                <w:szCs w:val="20"/>
              </w:rPr>
              <w:t>Elektrovadītspēj</w:t>
            </w:r>
            <w:r w:rsidR="007E39B8">
              <w:rPr>
                <w:i/>
                <w:sz w:val="20"/>
                <w:szCs w:val="20"/>
              </w:rPr>
              <w:t xml:space="preserve">a </w:t>
            </w:r>
            <w:r w:rsidRPr="00460798">
              <w:rPr>
                <w:sz w:val="20"/>
                <w:szCs w:val="20"/>
              </w:rPr>
              <w:t>*</w:t>
            </w:r>
            <w:r w:rsidR="007E39B8">
              <w:rPr>
                <w:sz w:val="20"/>
                <w:szCs w:val="20"/>
              </w:rPr>
              <w:t xml:space="preserve"> </w:t>
            </w:r>
            <w:r w:rsidR="006E02F4" w:rsidRPr="00460798">
              <w:rPr>
                <w:sz w:val="20"/>
                <w:szCs w:val="20"/>
                <w:vertAlign w:val="superscript"/>
              </w:rPr>
              <w:t>&amp;</w:t>
            </w:r>
            <w:r w:rsidR="007E39B8">
              <w:rPr>
                <w:sz w:val="20"/>
                <w:szCs w:val="20"/>
                <w:vertAlign w:val="superscript"/>
              </w:rPr>
              <w:t xml:space="preserve"> </w:t>
            </w:r>
            <w:r w:rsidR="006E02F4" w:rsidRPr="00460798">
              <w:rPr>
                <w:sz w:val="20"/>
                <w:szCs w:val="20"/>
              </w:rPr>
              <w:t>**</w:t>
            </w:r>
          </w:p>
        </w:tc>
        <w:tc>
          <w:tcPr>
            <w:tcW w:w="849" w:type="dxa"/>
            <w:vAlign w:val="center"/>
          </w:tcPr>
          <w:p w14:paraId="158CF6A2" w14:textId="77777777" w:rsidR="0001524E" w:rsidRPr="00460798" w:rsidRDefault="0001524E" w:rsidP="00EF24E6">
            <w:pPr>
              <w:rPr>
                <w:sz w:val="20"/>
                <w:szCs w:val="20"/>
              </w:rPr>
            </w:pPr>
            <w:r w:rsidRPr="00460798">
              <w:rPr>
                <w:sz w:val="20"/>
                <w:szCs w:val="20"/>
              </w:rPr>
              <w:t>µS/cm</w:t>
            </w:r>
          </w:p>
        </w:tc>
        <w:tc>
          <w:tcPr>
            <w:tcW w:w="988" w:type="dxa"/>
            <w:shd w:val="clear" w:color="auto" w:fill="D9D9D9" w:themeFill="background1" w:themeFillShade="D9"/>
            <w:vAlign w:val="center"/>
          </w:tcPr>
          <w:p w14:paraId="5BDE5EC5" w14:textId="77777777" w:rsidR="0001524E" w:rsidRPr="00460798" w:rsidRDefault="0001524E" w:rsidP="00EF24E6">
            <w:pPr>
              <w:rPr>
                <w:sz w:val="20"/>
                <w:szCs w:val="20"/>
              </w:rPr>
            </w:pPr>
          </w:p>
        </w:tc>
        <w:tc>
          <w:tcPr>
            <w:tcW w:w="992" w:type="dxa"/>
            <w:shd w:val="clear" w:color="auto" w:fill="D9D9D9" w:themeFill="background1" w:themeFillShade="D9"/>
            <w:vAlign w:val="center"/>
          </w:tcPr>
          <w:p w14:paraId="7CE69510" w14:textId="77777777" w:rsidR="0001524E" w:rsidRPr="00460798" w:rsidRDefault="0001524E" w:rsidP="00EF24E6">
            <w:pPr>
              <w:rPr>
                <w:sz w:val="20"/>
                <w:szCs w:val="20"/>
              </w:rPr>
            </w:pPr>
          </w:p>
        </w:tc>
        <w:tc>
          <w:tcPr>
            <w:tcW w:w="1134" w:type="dxa"/>
            <w:shd w:val="clear" w:color="auto" w:fill="D9D9D9" w:themeFill="background1" w:themeFillShade="D9"/>
            <w:vAlign w:val="center"/>
          </w:tcPr>
          <w:p w14:paraId="34F17D6D" w14:textId="77777777" w:rsidR="0001524E" w:rsidRPr="00460798" w:rsidRDefault="0001524E" w:rsidP="00EF24E6">
            <w:pPr>
              <w:rPr>
                <w:sz w:val="20"/>
                <w:szCs w:val="20"/>
              </w:rPr>
            </w:pPr>
          </w:p>
        </w:tc>
        <w:tc>
          <w:tcPr>
            <w:tcW w:w="850" w:type="dxa"/>
            <w:gridSpan w:val="2"/>
            <w:shd w:val="clear" w:color="auto" w:fill="auto"/>
            <w:vAlign w:val="center"/>
          </w:tcPr>
          <w:p w14:paraId="2F6586C1" w14:textId="77777777" w:rsidR="0001524E" w:rsidRPr="00460798" w:rsidRDefault="0001524E" w:rsidP="00EF24E6">
            <w:pPr>
              <w:rPr>
                <w:sz w:val="20"/>
                <w:szCs w:val="20"/>
              </w:rPr>
            </w:pPr>
            <w:r w:rsidRPr="00460798">
              <w:rPr>
                <w:sz w:val="20"/>
                <w:szCs w:val="20"/>
              </w:rPr>
              <w:t>750</w:t>
            </w:r>
          </w:p>
        </w:tc>
        <w:tc>
          <w:tcPr>
            <w:tcW w:w="994" w:type="dxa"/>
            <w:shd w:val="clear" w:color="auto" w:fill="auto"/>
            <w:vAlign w:val="center"/>
          </w:tcPr>
          <w:p w14:paraId="64EF70E1" w14:textId="77777777" w:rsidR="0001524E" w:rsidRPr="00460798" w:rsidRDefault="0001524E" w:rsidP="00EF24E6">
            <w:pPr>
              <w:rPr>
                <w:sz w:val="20"/>
                <w:szCs w:val="20"/>
              </w:rPr>
            </w:pPr>
            <w:r w:rsidRPr="00460798">
              <w:rPr>
                <w:sz w:val="20"/>
                <w:szCs w:val="20"/>
              </w:rPr>
              <w:t>2500</w:t>
            </w:r>
          </w:p>
        </w:tc>
        <w:tc>
          <w:tcPr>
            <w:tcW w:w="992" w:type="dxa"/>
            <w:gridSpan w:val="2"/>
            <w:shd w:val="clear" w:color="auto" w:fill="auto"/>
            <w:vAlign w:val="center"/>
          </w:tcPr>
          <w:p w14:paraId="50CA4E9D" w14:textId="77777777" w:rsidR="0001524E" w:rsidRPr="00460798" w:rsidRDefault="0001524E" w:rsidP="0001524E">
            <w:pPr>
              <w:rPr>
                <w:sz w:val="20"/>
                <w:szCs w:val="20"/>
              </w:rPr>
            </w:pPr>
            <w:r w:rsidRPr="00460798">
              <w:rPr>
                <w:sz w:val="20"/>
                <w:szCs w:val="20"/>
              </w:rPr>
              <w:t>2500</w:t>
            </w:r>
          </w:p>
        </w:tc>
        <w:tc>
          <w:tcPr>
            <w:tcW w:w="995" w:type="dxa"/>
            <w:gridSpan w:val="2"/>
            <w:shd w:val="clear" w:color="auto" w:fill="auto"/>
            <w:vAlign w:val="center"/>
          </w:tcPr>
          <w:p w14:paraId="7C36C5EE" w14:textId="77777777" w:rsidR="0001524E" w:rsidRPr="00460798" w:rsidRDefault="0001524E" w:rsidP="0001524E">
            <w:pPr>
              <w:rPr>
                <w:sz w:val="20"/>
                <w:szCs w:val="20"/>
              </w:rPr>
            </w:pPr>
            <w:r w:rsidRPr="00460798">
              <w:rPr>
                <w:sz w:val="20"/>
                <w:szCs w:val="20"/>
              </w:rPr>
              <w:t>2500</w:t>
            </w:r>
          </w:p>
        </w:tc>
      </w:tr>
      <w:tr w:rsidR="0001524E" w14:paraId="01F9D146" w14:textId="77777777" w:rsidTr="007E39B8">
        <w:trPr>
          <w:trHeight w:val="340"/>
        </w:trPr>
        <w:tc>
          <w:tcPr>
            <w:tcW w:w="2271" w:type="dxa"/>
            <w:vAlign w:val="center"/>
          </w:tcPr>
          <w:p w14:paraId="2836A6D9" w14:textId="77777777" w:rsidR="0001524E" w:rsidRPr="00460798" w:rsidRDefault="0001524E" w:rsidP="00235EE5">
            <w:pPr>
              <w:rPr>
                <w:b/>
                <w:i/>
                <w:sz w:val="20"/>
                <w:szCs w:val="20"/>
              </w:rPr>
            </w:pPr>
            <w:r w:rsidRPr="00460798">
              <w:rPr>
                <w:b/>
                <w:i/>
                <w:sz w:val="20"/>
                <w:szCs w:val="20"/>
              </w:rPr>
              <w:t>Ķīmiskais skābekļa patēriņš (ĶSP)</w:t>
            </w:r>
          </w:p>
        </w:tc>
        <w:tc>
          <w:tcPr>
            <w:tcW w:w="849" w:type="dxa"/>
            <w:vAlign w:val="center"/>
          </w:tcPr>
          <w:p w14:paraId="53ABA69A" w14:textId="77777777" w:rsidR="0001524E" w:rsidRPr="00460798" w:rsidRDefault="0001524E" w:rsidP="00235EE5">
            <w:pPr>
              <w:rPr>
                <w:sz w:val="20"/>
                <w:szCs w:val="20"/>
              </w:rPr>
            </w:pPr>
            <w:r w:rsidRPr="00460798">
              <w:rPr>
                <w:sz w:val="20"/>
                <w:szCs w:val="20"/>
              </w:rPr>
              <w:t>mg O</w:t>
            </w:r>
            <w:r w:rsidRPr="00460798">
              <w:rPr>
                <w:sz w:val="20"/>
                <w:szCs w:val="20"/>
                <w:vertAlign w:val="subscript"/>
              </w:rPr>
              <w:t>2</w:t>
            </w:r>
            <w:r w:rsidRPr="00460798">
              <w:rPr>
                <w:sz w:val="20"/>
                <w:szCs w:val="20"/>
              </w:rPr>
              <w:t>/l</w:t>
            </w:r>
          </w:p>
        </w:tc>
        <w:tc>
          <w:tcPr>
            <w:tcW w:w="988" w:type="dxa"/>
            <w:shd w:val="clear" w:color="auto" w:fill="D9D9D9" w:themeFill="background1" w:themeFillShade="D9"/>
            <w:vAlign w:val="center"/>
          </w:tcPr>
          <w:p w14:paraId="7B233EA1" w14:textId="77777777" w:rsidR="0001524E" w:rsidRPr="00460798" w:rsidRDefault="0001524E" w:rsidP="00235EE5">
            <w:pPr>
              <w:rPr>
                <w:sz w:val="20"/>
                <w:szCs w:val="20"/>
              </w:rPr>
            </w:pPr>
            <w:r w:rsidRPr="00460798">
              <w:rPr>
                <w:sz w:val="20"/>
                <w:szCs w:val="20"/>
              </w:rPr>
              <w:t>40</w:t>
            </w:r>
          </w:p>
        </w:tc>
        <w:tc>
          <w:tcPr>
            <w:tcW w:w="992" w:type="dxa"/>
            <w:shd w:val="clear" w:color="auto" w:fill="D9D9D9" w:themeFill="background1" w:themeFillShade="D9"/>
            <w:vAlign w:val="center"/>
          </w:tcPr>
          <w:p w14:paraId="12269AC8" w14:textId="77777777" w:rsidR="0001524E" w:rsidRPr="00460798" w:rsidRDefault="0001524E" w:rsidP="00235EE5">
            <w:pPr>
              <w:rPr>
                <w:sz w:val="20"/>
                <w:szCs w:val="20"/>
              </w:rPr>
            </w:pPr>
            <w:r w:rsidRPr="00460798">
              <w:rPr>
                <w:sz w:val="20"/>
                <w:szCs w:val="20"/>
              </w:rPr>
              <w:t>170</w:t>
            </w:r>
          </w:p>
        </w:tc>
        <w:tc>
          <w:tcPr>
            <w:tcW w:w="1134" w:type="dxa"/>
            <w:shd w:val="clear" w:color="auto" w:fill="D9D9D9" w:themeFill="background1" w:themeFillShade="D9"/>
            <w:vAlign w:val="center"/>
          </w:tcPr>
          <w:p w14:paraId="6E0C9A88" w14:textId="77777777" w:rsidR="0001524E" w:rsidRPr="00460798" w:rsidRDefault="0001524E" w:rsidP="00235EE5">
            <w:pPr>
              <w:rPr>
                <w:sz w:val="20"/>
                <w:szCs w:val="20"/>
              </w:rPr>
            </w:pPr>
            <w:r w:rsidRPr="00460798">
              <w:rPr>
                <w:sz w:val="20"/>
                <w:szCs w:val="20"/>
              </w:rPr>
              <w:t>300</w:t>
            </w:r>
          </w:p>
        </w:tc>
        <w:tc>
          <w:tcPr>
            <w:tcW w:w="850" w:type="dxa"/>
            <w:gridSpan w:val="2"/>
            <w:shd w:val="clear" w:color="auto" w:fill="auto"/>
            <w:vAlign w:val="center"/>
          </w:tcPr>
          <w:p w14:paraId="7491563A" w14:textId="77777777" w:rsidR="0001524E" w:rsidRPr="00460798" w:rsidRDefault="0001524E" w:rsidP="00235EE5">
            <w:pPr>
              <w:rPr>
                <w:sz w:val="20"/>
                <w:szCs w:val="20"/>
              </w:rPr>
            </w:pPr>
            <w:r w:rsidRPr="00460798">
              <w:rPr>
                <w:sz w:val="20"/>
                <w:szCs w:val="20"/>
              </w:rPr>
              <w:t>40</w:t>
            </w:r>
          </w:p>
        </w:tc>
        <w:tc>
          <w:tcPr>
            <w:tcW w:w="994" w:type="dxa"/>
            <w:shd w:val="clear" w:color="auto" w:fill="auto"/>
            <w:vAlign w:val="center"/>
          </w:tcPr>
          <w:p w14:paraId="06A5F4F9" w14:textId="77777777" w:rsidR="0001524E" w:rsidRPr="00460798" w:rsidRDefault="0001524E" w:rsidP="00235EE5">
            <w:pPr>
              <w:rPr>
                <w:sz w:val="20"/>
                <w:szCs w:val="20"/>
              </w:rPr>
            </w:pPr>
            <w:r w:rsidRPr="00460798">
              <w:rPr>
                <w:sz w:val="20"/>
                <w:szCs w:val="20"/>
              </w:rPr>
              <w:t>170</w:t>
            </w:r>
          </w:p>
        </w:tc>
        <w:tc>
          <w:tcPr>
            <w:tcW w:w="992" w:type="dxa"/>
            <w:gridSpan w:val="2"/>
            <w:shd w:val="clear" w:color="auto" w:fill="auto"/>
            <w:vAlign w:val="center"/>
          </w:tcPr>
          <w:p w14:paraId="27B39859" w14:textId="77777777" w:rsidR="0001524E" w:rsidRPr="00460798" w:rsidRDefault="0001524E" w:rsidP="0001524E">
            <w:pPr>
              <w:rPr>
                <w:sz w:val="20"/>
                <w:szCs w:val="20"/>
              </w:rPr>
            </w:pPr>
            <w:r w:rsidRPr="00460798">
              <w:rPr>
                <w:sz w:val="20"/>
                <w:szCs w:val="20"/>
              </w:rPr>
              <w:t>170</w:t>
            </w:r>
          </w:p>
        </w:tc>
        <w:tc>
          <w:tcPr>
            <w:tcW w:w="995" w:type="dxa"/>
            <w:gridSpan w:val="2"/>
            <w:shd w:val="clear" w:color="auto" w:fill="auto"/>
            <w:vAlign w:val="center"/>
          </w:tcPr>
          <w:p w14:paraId="2FE86866" w14:textId="77777777" w:rsidR="0001524E" w:rsidRPr="00460798" w:rsidRDefault="0001524E" w:rsidP="00235EE5">
            <w:pPr>
              <w:rPr>
                <w:sz w:val="20"/>
                <w:szCs w:val="20"/>
              </w:rPr>
            </w:pPr>
            <w:r w:rsidRPr="00460798">
              <w:rPr>
                <w:sz w:val="20"/>
                <w:szCs w:val="20"/>
              </w:rPr>
              <w:t>300</w:t>
            </w:r>
          </w:p>
        </w:tc>
      </w:tr>
      <w:tr w:rsidR="0036190B" w14:paraId="6E5E5FC5" w14:textId="77777777" w:rsidTr="007E39B8">
        <w:trPr>
          <w:trHeight w:val="340"/>
        </w:trPr>
        <w:tc>
          <w:tcPr>
            <w:tcW w:w="2271" w:type="dxa"/>
            <w:vAlign w:val="center"/>
          </w:tcPr>
          <w:p w14:paraId="67DE1117" w14:textId="77777777" w:rsidR="0036190B" w:rsidRPr="00460798" w:rsidRDefault="0036190B" w:rsidP="0036190B">
            <w:pPr>
              <w:rPr>
                <w:i/>
                <w:sz w:val="20"/>
                <w:szCs w:val="20"/>
              </w:rPr>
            </w:pPr>
            <w:r w:rsidRPr="00460798">
              <w:rPr>
                <w:i/>
                <w:sz w:val="20"/>
                <w:szCs w:val="20"/>
              </w:rPr>
              <w:t>Bioķīmiskais skābekļa patēriņš (BSP</w:t>
            </w:r>
            <w:r w:rsidRPr="00460798">
              <w:rPr>
                <w:i/>
                <w:sz w:val="20"/>
                <w:szCs w:val="20"/>
                <w:vertAlign w:val="subscript"/>
              </w:rPr>
              <w:t>5</w:t>
            </w:r>
            <w:r w:rsidRPr="00460798">
              <w:rPr>
                <w:i/>
                <w:sz w:val="20"/>
                <w:szCs w:val="20"/>
              </w:rPr>
              <w:t>)</w:t>
            </w:r>
          </w:p>
        </w:tc>
        <w:tc>
          <w:tcPr>
            <w:tcW w:w="849" w:type="dxa"/>
            <w:vAlign w:val="center"/>
          </w:tcPr>
          <w:p w14:paraId="4D429512" w14:textId="77777777" w:rsidR="0036190B" w:rsidRPr="00460798" w:rsidRDefault="0036190B" w:rsidP="0036190B">
            <w:pPr>
              <w:rPr>
                <w:sz w:val="20"/>
                <w:szCs w:val="20"/>
              </w:rPr>
            </w:pPr>
          </w:p>
        </w:tc>
        <w:tc>
          <w:tcPr>
            <w:tcW w:w="988" w:type="dxa"/>
            <w:shd w:val="clear" w:color="auto" w:fill="D9D9D9" w:themeFill="background1" w:themeFillShade="D9"/>
            <w:vAlign w:val="center"/>
          </w:tcPr>
          <w:p w14:paraId="0E5DABBC" w14:textId="77777777" w:rsidR="0036190B" w:rsidRPr="00460798" w:rsidRDefault="0036190B" w:rsidP="0036190B">
            <w:pPr>
              <w:rPr>
                <w:sz w:val="20"/>
                <w:szCs w:val="20"/>
              </w:rPr>
            </w:pPr>
          </w:p>
        </w:tc>
        <w:tc>
          <w:tcPr>
            <w:tcW w:w="992" w:type="dxa"/>
            <w:shd w:val="clear" w:color="auto" w:fill="D9D9D9" w:themeFill="background1" w:themeFillShade="D9"/>
            <w:vAlign w:val="center"/>
          </w:tcPr>
          <w:p w14:paraId="3A91F6C2" w14:textId="77777777" w:rsidR="0036190B" w:rsidRPr="00460798" w:rsidRDefault="0036190B" w:rsidP="0036190B">
            <w:pPr>
              <w:rPr>
                <w:sz w:val="20"/>
                <w:szCs w:val="20"/>
              </w:rPr>
            </w:pPr>
          </w:p>
        </w:tc>
        <w:tc>
          <w:tcPr>
            <w:tcW w:w="1134" w:type="dxa"/>
            <w:shd w:val="clear" w:color="auto" w:fill="D9D9D9" w:themeFill="background1" w:themeFillShade="D9"/>
            <w:vAlign w:val="center"/>
          </w:tcPr>
          <w:p w14:paraId="0CB43171" w14:textId="77777777" w:rsidR="0036190B" w:rsidRPr="00460798" w:rsidRDefault="0036190B" w:rsidP="0036190B">
            <w:pPr>
              <w:rPr>
                <w:sz w:val="20"/>
                <w:szCs w:val="20"/>
              </w:rPr>
            </w:pPr>
          </w:p>
        </w:tc>
        <w:tc>
          <w:tcPr>
            <w:tcW w:w="3831" w:type="dxa"/>
            <w:gridSpan w:val="7"/>
            <w:shd w:val="clear" w:color="auto" w:fill="auto"/>
            <w:vAlign w:val="center"/>
          </w:tcPr>
          <w:p w14:paraId="77D98208" w14:textId="77777777" w:rsidR="0036190B" w:rsidRPr="00460798" w:rsidRDefault="0036190B" w:rsidP="0036190B">
            <w:pPr>
              <w:rPr>
                <w:sz w:val="20"/>
                <w:szCs w:val="20"/>
              </w:rPr>
            </w:pPr>
            <w:r w:rsidRPr="00460798">
              <w:rPr>
                <w:sz w:val="20"/>
                <w:szCs w:val="20"/>
              </w:rPr>
              <w:t>Nav iespējams noteikt robežlielumu</w:t>
            </w:r>
          </w:p>
        </w:tc>
      </w:tr>
      <w:tr w:rsidR="0036190B" w14:paraId="0A146E81" w14:textId="77777777" w:rsidTr="007E39B8">
        <w:trPr>
          <w:trHeight w:val="340"/>
        </w:trPr>
        <w:tc>
          <w:tcPr>
            <w:tcW w:w="2271" w:type="dxa"/>
            <w:vAlign w:val="center"/>
          </w:tcPr>
          <w:p w14:paraId="358CF3F1" w14:textId="77777777" w:rsidR="0036190B" w:rsidRPr="00460798" w:rsidRDefault="0036190B" w:rsidP="0036190B">
            <w:pPr>
              <w:rPr>
                <w:b/>
                <w:i/>
                <w:sz w:val="20"/>
                <w:szCs w:val="20"/>
              </w:rPr>
            </w:pPr>
            <w:r w:rsidRPr="00460798">
              <w:rPr>
                <w:b/>
                <w:i/>
                <w:sz w:val="20"/>
                <w:szCs w:val="20"/>
              </w:rPr>
              <w:t>Kopējais slāpeklis (</w:t>
            </w:r>
            <w:proofErr w:type="spellStart"/>
            <w:r w:rsidRPr="00460798">
              <w:rPr>
                <w:b/>
                <w:i/>
                <w:sz w:val="20"/>
                <w:szCs w:val="20"/>
              </w:rPr>
              <w:t>N</w:t>
            </w:r>
            <w:r w:rsidRPr="00460798">
              <w:rPr>
                <w:b/>
                <w:i/>
                <w:sz w:val="20"/>
                <w:szCs w:val="20"/>
                <w:vertAlign w:val="subscript"/>
              </w:rPr>
              <w:t>kop</w:t>
            </w:r>
            <w:proofErr w:type="spellEnd"/>
            <w:r w:rsidRPr="00460798">
              <w:rPr>
                <w:b/>
                <w:i/>
                <w:sz w:val="20"/>
                <w:szCs w:val="20"/>
              </w:rPr>
              <w:t>)</w:t>
            </w:r>
          </w:p>
        </w:tc>
        <w:tc>
          <w:tcPr>
            <w:tcW w:w="849" w:type="dxa"/>
            <w:vAlign w:val="center"/>
          </w:tcPr>
          <w:p w14:paraId="7B772343" w14:textId="77777777" w:rsidR="0036190B" w:rsidRPr="00460798" w:rsidRDefault="0036190B" w:rsidP="0036190B">
            <w:pPr>
              <w:rPr>
                <w:sz w:val="20"/>
                <w:szCs w:val="20"/>
              </w:rPr>
            </w:pPr>
            <w:r w:rsidRPr="00460798">
              <w:rPr>
                <w:sz w:val="20"/>
                <w:szCs w:val="20"/>
              </w:rPr>
              <w:t>mg/l</w:t>
            </w:r>
          </w:p>
        </w:tc>
        <w:tc>
          <w:tcPr>
            <w:tcW w:w="988" w:type="dxa"/>
            <w:shd w:val="clear" w:color="auto" w:fill="D9D9D9" w:themeFill="background1" w:themeFillShade="D9"/>
            <w:vAlign w:val="center"/>
          </w:tcPr>
          <w:p w14:paraId="2490C2D1" w14:textId="77777777" w:rsidR="0036190B" w:rsidRPr="00460798" w:rsidRDefault="0036190B" w:rsidP="0036190B">
            <w:pPr>
              <w:rPr>
                <w:sz w:val="20"/>
                <w:szCs w:val="20"/>
              </w:rPr>
            </w:pPr>
            <w:r w:rsidRPr="00460798">
              <w:rPr>
                <w:sz w:val="20"/>
                <w:szCs w:val="20"/>
              </w:rPr>
              <w:t>3</w:t>
            </w:r>
          </w:p>
        </w:tc>
        <w:tc>
          <w:tcPr>
            <w:tcW w:w="992" w:type="dxa"/>
            <w:shd w:val="clear" w:color="auto" w:fill="D9D9D9" w:themeFill="background1" w:themeFillShade="D9"/>
            <w:vAlign w:val="center"/>
          </w:tcPr>
          <w:p w14:paraId="608EA0F8" w14:textId="77777777" w:rsidR="0036190B" w:rsidRPr="00460798" w:rsidRDefault="0036190B" w:rsidP="0036190B">
            <w:pPr>
              <w:rPr>
                <w:sz w:val="20"/>
                <w:szCs w:val="20"/>
              </w:rPr>
            </w:pPr>
            <w:r w:rsidRPr="00460798">
              <w:rPr>
                <w:sz w:val="20"/>
                <w:szCs w:val="20"/>
              </w:rPr>
              <w:t>26.5</w:t>
            </w:r>
          </w:p>
        </w:tc>
        <w:tc>
          <w:tcPr>
            <w:tcW w:w="1134" w:type="dxa"/>
            <w:shd w:val="clear" w:color="auto" w:fill="D9D9D9" w:themeFill="background1" w:themeFillShade="D9"/>
            <w:vAlign w:val="center"/>
          </w:tcPr>
          <w:p w14:paraId="5AC22A27" w14:textId="77777777" w:rsidR="0036190B" w:rsidRPr="00460798" w:rsidRDefault="0036190B" w:rsidP="0036190B">
            <w:pPr>
              <w:rPr>
                <w:sz w:val="20"/>
                <w:szCs w:val="20"/>
              </w:rPr>
            </w:pPr>
            <w:r w:rsidRPr="00460798">
              <w:rPr>
                <w:sz w:val="20"/>
                <w:szCs w:val="20"/>
              </w:rPr>
              <w:t>50</w:t>
            </w:r>
          </w:p>
        </w:tc>
        <w:tc>
          <w:tcPr>
            <w:tcW w:w="850" w:type="dxa"/>
            <w:gridSpan w:val="2"/>
            <w:shd w:val="clear" w:color="auto" w:fill="auto"/>
            <w:vAlign w:val="center"/>
          </w:tcPr>
          <w:p w14:paraId="65D7EEC3" w14:textId="77777777" w:rsidR="0036190B" w:rsidRPr="00460798" w:rsidRDefault="0036190B" w:rsidP="0036190B">
            <w:pPr>
              <w:rPr>
                <w:sz w:val="20"/>
                <w:szCs w:val="20"/>
              </w:rPr>
            </w:pPr>
            <w:r w:rsidRPr="00460798">
              <w:rPr>
                <w:sz w:val="20"/>
                <w:szCs w:val="20"/>
              </w:rPr>
              <w:t>26.5</w:t>
            </w:r>
          </w:p>
        </w:tc>
        <w:tc>
          <w:tcPr>
            <w:tcW w:w="994" w:type="dxa"/>
            <w:shd w:val="clear" w:color="auto" w:fill="auto"/>
            <w:vAlign w:val="center"/>
          </w:tcPr>
          <w:p w14:paraId="27EF8B74" w14:textId="77777777" w:rsidR="0036190B" w:rsidRPr="00460798" w:rsidRDefault="0036190B" w:rsidP="0036190B">
            <w:pPr>
              <w:rPr>
                <w:sz w:val="20"/>
                <w:szCs w:val="20"/>
              </w:rPr>
            </w:pPr>
            <w:r w:rsidRPr="00460798">
              <w:rPr>
                <w:sz w:val="20"/>
                <w:szCs w:val="20"/>
              </w:rPr>
              <w:t>50</w:t>
            </w:r>
          </w:p>
        </w:tc>
        <w:tc>
          <w:tcPr>
            <w:tcW w:w="992" w:type="dxa"/>
            <w:gridSpan w:val="2"/>
            <w:shd w:val="clear" w:color="auto" w:fill="auto"/>
            <w:vAlign w:val="center"/>
          </w:tcPr>
          <w:p w14:paraId="2BC5A819" w14:textId="77777777" w:rsidR="0036190B" w:rsidRPr="00460798" w:rsidRDefault="0036190B" w:rsidP="0036190B">
            <w:pPr>
              <w:rPr>
                <w:sz w:val="20"/>
                <w:szCs w:val="20"/>
              </w:rPr>
            </w:pPr>
            <w:r w:rsidRPr="00460798">
              <w:rPr>
                <w:sz w:val="20"/>
                <w:szCs w:val="20"/>
              </w:rPr>
              <w:t>50</w:t>
            </w:r>
          </w:p>
        </w:tc>
        <w:tc>
          <w:tcPr>
            <w:tcW w:w="995" w:type="dxa"/>
            <w:gridSpan w:val="2"/>
            <w:shd w:val="clear" w:color="auto" w:fill="auto"/>
            <w:vAlign w:val="center"/>
          </w:tcPr>
          <w:p w14:paraId="58CEA172" w14:textId="77777777" w:rsidR="0036190B" w:rsidRPr="00460798" w:rsidRDefault="0036190B" w:rsidP="0036190B">
            <w:pPr>
              <w:rPr>
                <w:sz w:val="20"/>
                <w:szCs w:val="20"/>
              </w:rPr>
            </w:pPr>
            <w:r w:rsidRPr="00460798">
              <w:rPr>
                <w:sz w:val="20"/>
                <w:szCs w:val="20"/>
              </w:rPr>
              <w:t>50</w:t>
            </w:r>
          </w:p>
        </w:tc>
      </w:tr>
      <w:tr w:rsidR="0036190B" w14:paraId="3761D2AF" w14:textId="77777777" w:rsidTr="007E39B8">
        <w:trPr>
          <w:trHeight w:val="340"/>
        </w:trPr>
        <w:tc>
          <w:tcPr>
            <w:tcW w:w="2271" w:type="dxa"/>
            <w:vAlign w:val="center"/>
          </w:tcPr>
          <w:p w14:paraId="4CE00768" w14:textId="77777777" w:rsidR="0036190B" w:rsidRPr="00460798" w:rsidRDefault="0036190B" w:rsidP="0036190B">
            <w:pPr>
              <w:rPr>
                <w:i/>
                <w:sz w:val="20"/>
                <w:szCs w:val="20"/>
              </w:rPr>
            </w:pPr>
            <w:r w:rsidRPr="00460798">
              <w:rPr>
                <w:i/>
                <w:sz w:val="20"/>
                <w:szCs w:val="20"/>
              </w:rPr>
              <w:t>Nitrāti</w:t>
            </w:r>
            <w:r w:rsidR="006E02F4" w:rsidRPr="00460798">
              <w:rPr>
                <w:i/>
                <w:sz w:val="20"/>
                <w:szCs w:val="20"/>
              </w:rPr>
              <w:t xml:space="preserve"> (NO</w:t>
            </w:r>
            <w:r w:rsidR="006E02F4" w:rsidRPr="00460798">
              <w:rPr>
                <w:i/>
                <w:sz w:val="20"/>
                <w:szCs w:val="20"/>
                <w:vertAlign w:val="subscript"/>
              </w:rPr>
              <w:t>3</w:t>
            </w:r>
            <w:r w:rsidR="006E02F4" w:rsidRPr="00460798">
              <w:rPr>
                <w:i/>
                <w:sz w:val="20"/>
                <w:szCs w:val="20"/>
                <w:vertAlign w:val="superscript"/>
              </w:rPr>
              <w:t>-</w:t>
            </w:r>
            <w:r w:rsidR="006E02F4" w:rsidRPr="00460798">
              <w:rPr>
                <w:i/>
                <w:sz w:val="20"/>
                <w:szCs w:val="20"/>
              </w:rPr>
              <w:t>)***</w:t>
            </w:r>
          </w:p>
        </w:tc>
        <w:tc>
          <w:tcPr>
            <w:tcW w:w="849" w:type="dxa"/>
            <w:vAlign w:val="center"/>
          </w:tcPr>
          <w:p w14:paraId="4988F1A1" w14:textId="77777777" w:rsidR="0036190B" w:rsidRPr="00460798" w:rsidRDefault="0036190B" w:rsidP="0036190B">
            <w:pPr>
              <w:rPr>
                <w:sz w:val="20"/>
                <w:szCs w:val="20"/>
              </w:rPr>
            </w:pPr>
            <w:r w:rsidRPr="00460798">
              <w:rPr>
                <w:sz w:val="20"/>
                <w:szCs w:val="20"/>
              </w:rPr>
              <w:t>mg/l</w:t>
            </w:r>
          </w:p>
        </w:tc>
        <w:tc>
          <w:tcPr>
            <w:tcW w:w="988" w:type="dxa"/>
            <w:shd w:val="clear" w:color="auto" w:fill="D9D9D9" w:themeFill="background1" w:themeFillShade="D9"/>
            <w:vAlign w:val="center"/>
          </w:tcPr>
          <w:p w14:paraId="25AA86F4" w14:textId="77777777" w:rsidR="0036190B" w:rsidRPr="00460798" w:rsidRDefault="0036190B" w:rsidP="0036190B">
            <w:pPr>
              <w:rPr>
                <w:sz w:val="20"/>
                <w:szCs w:val="20"/>
              </w:rPr>
            </w:pPr>
          </w:p>
        </w:tc>
        <w:tc>
          <w:tcPr>
            <w:tcW w:w="992" w:type="dxa"/>
            <w:shd w:val="clear" w:color="auto" w:fill="D9D9D9" w:themeFill="background1" w:themeFillShade="D9"/>
            <w:vAlign w:val="center"/>
          </w:tcPr>
          <w:p w14:paraId="1A0813D6" w14:textId="77777777" w:rsidR="0036190B" w:rsidRPr="00460798" w:rsidRDefault="0036190B" w:rsidP="0036190B">
            <w:pPr>
              <w:rPr>
                <w:sz w:val="20"/>
                <w:szCs w:val="20"/>
              </w:rPr>
            </w:pPr>
          </w:p>
        </w:tc>
        <w:tc>
          <w:tcPr>
            <w:tcW w:w="1134" w:type="dxa"/>
            <w:shd w:val="clear" w:color="auto" w:fill="D9D9D9" w:themeFill="background1" w:themeFillShade="D9"/>
            <w:vAlign w:val="center"/>
          </w:tcPr>
          <w:p w14:paraId="42EDC060" w14:textId="77777777" w:rsidR="0036190B" w:rsidRPr="00460798" w:rsidRDefault="0036190B" w:rsidP="0036190B">
            <w:pPr>
              <w:rPr>
                <w:sz w:val="20"/>
                <w:szCs w:val="20"/>
              </w:rPr>
            </w:pPr>
          </w:p>
        </w:tc>
        <w:tc>
          <w:tcPr>
            <w:tcW w:w="850" w:type="dxa"/>
            <w:gridSpan w:val="2"/>
            <w:shd w:val="clear" w:color="auto" w:fill="auto"/>
            <w:vAlign w:val="center"/>
          </w:tcPr>
          <w:p w14:paraId="35F9EF3A" w14:textId="77777777" w:rsidR="0036190B" w:rsidRPr="00460798" w:rsidRDefault="0036190B" w:rsidP="0036190B">
            <w:pPr>
              <w:rPr>
                <w:sz w:val="20"/>
                <w:szCs w:val="20"/>
              </w:rPr>
            </w:pPr>
            <w:r w:rsidRPr="00460798">
              <w:rPr>
                <w:sz w:val="20"/>
                <w:szCs w:val="20"/>
              </w:rPr>
              <w:t>20</w:t>
            </w:r>
          </w:p>
        </w:tc>
        <w:tc>
          <w:tcPr>
            <w:tcW w:w="994" w:type="dxa"/>
            <w:shd w:val="clear" w:color="auto" w:fill="auto"/>
            <w:vAlign w:val="center"/>
          </w:tcPr>
          <w:p w14:paraId="505B616E" w14:textId="77777777" w:rsidR="0036190B" w:rsidRPr="00460798" w:rsidRDefault="0036190B" w:rsidP="0036190B">
            <w:pPr>
              <w:rPr>
                <w:sz w:val="20"/>
                <w:szCs w:val="20"/>
              </w:rPr>
            </w:pPr>
            <w:r w:rsidRPr="00460798">
              <w:rPr>
                <w:sz w:val="20"/>
                <w:szCs w:val="20"/>
              </w:rPr>
              <w:t>50</w:t>
            </w:r>
          </w:p>
        </w:tc>
        <w:tc>
          <w:tcPr>
            <w:tcW w:w="992" w:type="dxa"/>
            <w:gridSpan w:val="2"/>
            <w:shd w:val="clear" w:color="auto" w:fill="auto"/>
            <w:vAlign w:val="center"/>
          </w:tcPr>
          <w:p w14:paraId="5CB59F3D" w14:textId="77777777" w:rsidR="0036190B" w:rsidRPr="00460798" w:rsidRDefault="0036190B" w:rsidP="0036190B">
            <w:pPr>
              <w:rPr>
                <w:sz w:val="20"/>
                <w:szCs w:val="20"/>
              </w:rPr>
            </w:pPr>
            <w:r w:rsidRPr="00460798">
              <w:rPr>
                <w:sz w:val="20"/>
                <w:szCs w:val="20"/>
              </w:rPr>
              <w:t>50</w:t>
            </w:r>
          </w:p>
        </w:tc>
        <w:tc>
          <w:tcPr>
            <w:tcW w:w="995" w:type="dxa"/>
            <w:gridSpan w:val="2"/>
            <w:shd w:val="clear" w:color="auto" w:fill="auto"/>
            <w:vAlign w:val="center"/>
          </w:tcPr>
          <w:p w14:paraId="3EAABEAD" w14:textId="77777777" w:rsidR="0036190B" w:rsidRPr="00460798" w:rsidRDefault="0036190B" w:rsidP="0036190B">
            <w:pPr>
              <w:rPr>
                <w:sz w:val="20"/>
                <w:szCs w:val="20"/>
              </w:rPr>
            </w:pPr>
            <w:r w:rsidRPr="00460798">
              <w:rPr>
                <w:sz w:val="20"/>
                <w:szCs w:val="20"/>
              </w:rPr>
              <w:t>50</w:t>
            </w:r>
          </w:p>
        </w:tc>
      </w:tr>
      <w:tr w:rsidR="005E4538" w14:paraId="01971F85" w14:textId="77777777" w:rsidTr="007E39B8">
        <w:trPr>
          <w:trHeight w:val="340"/>
        </w:trPr>
        <w:tc>
          <w:tcPr>
            <w:tcW w:w="2271" w:type="dxa"/>
            <w:vAlign w:val="center"/>
          </w:tcPr>
          <w:p w14:paraId="3EDC4343" w14:textId="77777777" w:rsidR="005E4538" w:rsidRPr="00460798" w:rsidRDefault="005E4538" w:rsidP="0036190B">
            <w:pPr>
              <w:rPr>
                <w:i/>
                <w:sz w:val="20"/>
                <w:szCs w:val="20"/>
              </w:rPr>
            </w:pPr>
            <w:r w:rsidRPr="00460798">
              <w:rPr>
                <w:i/>
                <w:sz w:val="20"/>
                <w:szCs w:val="20"/>
              </w:rPr>
              <w:t>Nitrīti (NO</w:t>
            </w:r>
            <w:r w:rsidRPr="00460798">
              <w:rPr>
                <w:i/>
                <w:sz w:val="20"/>
                <w:szCs w:val="20"/>
                <w:vertAlign w:val="subscript"/>
              </w:rPr>
              <w:t>2</w:t>
            </w:r>
            <w:r w:rsidRPr="00460798">
              <w:rPr>
                <w:i/>
                <w:sz w:val="20"/>
                <w:szCs w:val="20"/>
                <w:vertAlign w:val="superscript"/>
              </w:rPr>
              <w:t>-</w:t>
            </w:r>
            <w:r w:rsidRPr="00460798">
              <w:rPr>
                <w:i/>
                <w:sz w:val="20"/>
                <w:szCs w:val="20"/>
              </w:rPr>
              <w:t>)</w:t>
            </w:r>
          </w:p>
        </w:tc>
        <w:tc>
          <w:tcPr>
            <w:tcW w:w="849" w:type="dxa"/>
            <w:vAlign w:val="center"/>
          </w:tcPr>
          <w:p w14:paraId="230D4A51" w14:textId="77777777" w:rsidR="005E4538" w:rsidRPr="00460798" w:rsidRDefault="00962F2B" w:rsidP="0036190B">
            <w:pPr>
              <w:rPr>
                <w:sz w:val="20"/>
                <w:szCs w:val="20"/>
              </w:rPr>
            </w:pPr>
            <w:r w:rsidRPr="00460798">
              <w:rPr>
                <w:sz w:val="20"/>
                <w:szCs w:val="20"/>
              </w:rPr>
              <w:t>mg/l</w:t>
            </w:r>
          </w:p>
        </w:tc>
        <w:tc>
          <w:tcPr>
            <w:tcW w:w="988" w:type="dxa"/>
            <w:shd w:val="clear" w:color="auto" w:fill="D9D9D9" w:themeFill="background1" w:themeFillShade="D9"/>
            <w:vAlign w:val="center"/>
          </w:tcPr>
          <w:p w14:paraId="4FE8CB42" w14:textId="77777777" w:rsidR="005E4538" w:rsidRPr="00460798" w:rsidRDefault="005E4538" w:rsidP="0036190B">
            <w:pPr>
              <w:rPr>
                <w:sz w:val="20"/>
                <w:szCs w:val="20"/>
              </w:rPr>
            </w:pPr>
          </w:p>
        </w:tc>
        <w:tc>
          <w:tcPr>
            <w:tcW w:w="992" w:type="dxa"/>
            <w:shd w:val="clear" w:color="auto" w:fill="D9D9D9" w:themeFill="background1" w:themeFillShade="D9"/>
            <w:vAlign w:val="center"/>
          </w:tcPr>
          <w:p w14:paraId="30CA87E8" w14:textId="77777777" w:rsidR="005E4538" w:rsidRPr="00460798" w:rsidRDefault="005E4538" w:rsidP="0036190B">
            <w:pPr>
              <w:rPr>
                <w:sz w:val="20"/>
                <w:szCs w:val="20"/>
              </w:rPr>
            </w:pPr>
          </w:p>
        </w:tc>
        <w:tc>
          <w:tcPr>
            <w:tcW w:w="1134" w:type="dxa"/>
            <w:shd w:val="clear" w:color="auto" w:fill="D9D9D9" w:themeFill="background1" w:themeFillShade="D9"/>
            <w:vAlign w:val="center"/>
          </w:tcPr>
          <w:p w14:paraId="64CC9C75" w14:textId="77777777" w:rsidR="005E4538" w:rsidRPr="00460798" w:rsidRDefault="005E4538" w:rsidP="0036190B">
            <w:pPr>
              <w:rPr>
                <w:sz w:val="20"/>
                <w:szCs w:val="20"/>
              </w:rPr>
            </w:pPr>
          </w:p>
        </w:tc>
        <w:tc>
          <w:tcPr>
            <w:tcW w:w="850" w:type="dxa"/>
            <w:gridSpan w:val="2"/>
            <w:shd w:val="clear" w:color="auto" w:fill="auto"/>
            <w:vAlign w:val="center"/>
          </w:tcPr>
          <w:p w14:paraId="189B11CB" w14:textId="77777777" w:rsidR="005E4538" w:rsidRPr="00460798" w:rsidRDefault="00962F2B" w:rsidP="0036190B">
            <w:pPr>
              <w:rPr>
                <w:sz w:val="20"/>
                <w:szCs w:val="20"/>
              </w:rPr>
            </w:pPr>
            <w:r w:rsidRPr="00460798">
              <w:rPr>
                <w:sz w:val="20"/>
                <w:szCs w:val="20"/>
              </w:rPr>
              <w:t>0.5</w:t>
            </w:r>
          </w:p>
        </w:tc>
        <w:tc>
          <w:tcPr>
            <w:tcW w:w="994" w:type="dxa"/>
            <w:shd w:val="clear" w:color="auto" w:fill="auto"/>
            <w:vAlign w:val="center"/>
          </w:tcPr>
          <w:p w14:paraId="100651B2" w14:textId="77777777" w:rsidR="005E4538" w:rsidRPr="00460798" w:rsidRDefault="00962F2B" w:rsidP="0036190B">
            <w:pPr>
              <w:rPr>
                <w:sz w:val="20"/>
                <w:szCs w:val="20"/>
              </w:rPr>
            </w:pPr>
            <w:r w:rsidRPr="00460798">
              <w:rPr>
                <w:sz w:val="20"/>
                <w:szCs w:val="20"/>
              </w:rPr>
              <w:t>1</w:t>
            </w:r>
          </w:p>
        </w:tc>
        <w:tc>
          <w:tcPr>
            <w:tcW w:w="992" w:type="dxa"/>
            <w:gridSpan w:val="2"/>
            <w:shd w:val="clear" w:color="auto" w:fill="auto"/>
            <w:vAlign w:val="center"/>
          </w:tcPr>
          <w:p w14:paraId="5D78CEF0" w14:textId="77777777" w:rsidR="005E4538" w:rsidRPr="00460798" w:rsidRDefault="00962F2B" w:rsidP="0036190B">
            <w:pPr>
              <w:rPr>
                <w:sz w:val="20"/>
                <w:szCs w:val="20"/>
              </w:rPr>
            </w:pPr>
            <w:r w:rsidRPr="00460798">
              <w:rPr>
                <w:sz w:val="20"/>
                <w:szCs w:val="20"/>
              </w:rPr>
              <w:t>1</w:t>
            </w:r>
          </w:p>
        </w:tc>
        <w:tc>
          <w:tcPr>
            <w:tcW w:w="995" w:type="dxa"/>
            <w:gridSpan w:val="2"/>
            <w:shd w:val="clear" w:color="auto" w:fill="auto"/>
            <w:vAlign w:val="center"/>
          </w:tcPr>
          <w:p w14:paraId="7EA7ACA5" w14:textId="77777777" w:rsidR="005E4538" w:rsidRPr="00460798" w:rsidRDefault="00962F2B" w:rsidP="0036190B">
            <w:pPr>
              <w:rPr>
                <w:sz w:val="20"/>
                <w:szCs w:val="20"/>
              </w:rPr>
            </w:pPr>
            <w:r w:rsidRPr="00460798">
              <w:rPr>
                <w:sz w:val="20"/>
                <w:szCs w:val="20"/>
              </w:rPr>
              <w:t>1</w:t>
            </w:r>
          </w:p>
        </w:tc>
      </w:tr>
      <w:tr w:rsidR="0036190B" w14:paraId="4E3B160F" w14:textId="77777777" w:rsidTr="007E39B8">
        <w:trPr>
          <w:trHeight w:val="340"/>
        </w:trPr>
        <w:tc>
          <w:tcPr>
            <w:tcW w:w="2271" w:type="dxa"/>
            <w:vAlign w:val="center"/>
          </w:tcPr>
          <w:p w14:paraId="1DA0E23F" w14:textId="77777777" w:rsidR="0036190B" w:rsidRPr="00460798" w:rsidRDefault="0036190B" w:rsidP="0036190B">
            <w:pPr>
              <w:rPr>
                <w:i/>
                <w:sz w:val="20"/>
                <w:szCs w:val="20"/>
              </w:rPr>
            </w:pPr>
            <w:r w:rsidRPr="00460798">
              <w:rPr>
                <w:i/>
                <w:sz w:val="20"/>
                <w:szCs w:val="20"/>
              </w:rPr>
              <w:t>Kopējais fosfors</w:t>
            </w:r>
          </w:p>
        </w:tc>
        <w:tc>
          <w:tcPr>
            <w:tcW w:w="849" w:type="dxa"/>
            <w:vAlign w:val="center"/>
          </w:tcPr>
          <w:p w14:paraId="401455D1" w14:textId="77777777" w:rsidR="0036190B" w:rsidRPr="00460798" w:rsidRDefault="0036190B" w:rsidP="0036190B">
            <w:pPr>
              <w:rPr>
                <w:sz w:val="20"/>
                <w:szCs w:val="20"/>
              </w:rPr>
            </w:pPr>
          </w:p>
        </w:tc>
        <w:tc>
          <w:tcPr>
            <w:tcW w:w="988" w:type="dxa"/>
            <w:shd w:val="clear" w:color="auto" w:fill="D9D9D9" w:themeFill="background1" w:themeFillShade="D9"/>
            <w:vAlign w:val="center"/>
          </w:tcPr>
          <w:p w14:paraId="672D0A7A" w14:textId="77777777" w:rsidR="0036190B" w:rsidRPr="00460798" w:rsidRDefault="0036190B" w:rsidP="0036190B">
            <w:pPr>
              <w:rPr>
                <w:sz w:val="20"/>
                <w:szCs w:val="20"/>
              </w:rPr>
            </w:pPr>
          </w:p>
        </w:tc>
        <w:tc>
          <w:tcPr>
            <w:tcW w:w="992" w:type="dxa"/>
            <w:shd w:val="clear" w:color="auto" w:fill="D9D9D9" w:themeFill="background1" w:themeFillShade="D9"/>
            <w:vAlign w:val="center"/>
          </w:tcPr>
          <w:p w14:paraId="45F7E0DB" w14:textId="77777777" w:rsidR="0036190B" w:rsidRPr="00460798" w:rsidRDefault="0036190B" w:rsidP="0036190B">
            <w:pPr>
              <w:rPr>
                <w:sz w:val="20"/>
                <w:szCs w:val="20"/>
              </w:rPr>
            </w:pPr>
          </w:p>
        </w:tc>
        <w:tc>
          <w:tcPr>
            <w:tcW w:w="1134" w:type="dxa"/>
            <w:shd w:val="clear" w:color="auto" w:fill="D9D9D9" w:themeFill="background1" w:themeFillShade="D9"/>
            <w:vAlign w:val="center"/>
          </w:tcPr>
          <w:p w14:paraId="517A1909" w14:textId="77777777" w:rsidR="0036190B" w:rsidRPr="00460798" w:rsidRDefault="0036190B" w:rsidP="0036190B">
            <w:pPr>
              <w:rPr>
                <w:sz w:val="20"/>
                <w:szCs w:val="20"/>
              </w:rPr>
            </w:pPr>
          </w:p>
        </w:tc>
        <w:tc>
          <w:tcPr>
            <w:tcW w:w="3831" w:type="dxa"/>
            <w:gridSpan w:val="7"/>
            <w:shd w:val="clear" w:color="auto" w:fill="auto"/>
            <w:vAlign w:val="center"/>
          </w:tcPr>
          <w:p w14:paraId="541F4230" w14:textId="77777777" w:rsidR="0036190B" w:rsidRPr="00460798" w:rsidRDefault="0036190B" w:rsidP="0036190B">
            <w:pPr>
              <w:rPr>
                <w:sz w:val="20"/>
                <w:szCs w:val="20"/>
              </w:rPr>
            </w:pPr>
            <w:r w:rsidRPr="00460798">
              <w:rPr>
                <w:sz w:val="20"/>
                <w:szCs w:val="20"/>
              </w:rPr>
              <w:t>Nav iespējams noteikt robežlielumu</w:t>
            </w:r>
          </w:p>
        </w:tc>
      </w:tr>
      <w:tr w:rsidR="0036190B" w14:paraId="36326A13" w14:textId="77777777" w:rsidTr="007E39B8">
        <w:trPr>
          <w:trHeight w:val="340"/>
        </w:trPr>
        <w:tc>
          <w:tcPr>
            <w:tcW w:w="2271" w:type="dxa"/>
            <w:vAlign w:val="center"/>
          </w:tcPr>
          <w:p w14:paraId="4BCA297F" w14:textId="77777777" w:rsidR="0036190B" w:rsidRPr="00460798" w:rsidRDefault="0036190B" w:rsidP="0036190B">
            <w:pPr>
              <w:rPr>
                <w:sz w:val="20"/>
                <w:szCs w:val="20"/>
              </w:rPr>
            </w:pPr>
            <w:r w:rsidRPr="00460798">
              <w:rPr>
                <w:i/>
                <w:sz w:val="20"/>
                <w:szCs w:val="20"/>
              </w:rPr>
              <w:t>Hlorīdi</w:t>
            </w:r>
            <w:r w:rsidR="006E02F4" w:rsidRPr="00460798">
              <w:rPr>
                <w:i/>
                <w:sz w:val="20"/>
                <w:szCs w:val="20"/>
              </w:rPr>
              <w:t xml:space="preserve"> (</w:t>
            </w:r>
            <w:proofErr w:type="spellStart"/>
            <w:r w:rsidR="006E02F4" w:rsidRPr="00460798">
              <w:rPr>
                <w:i/>
                <w:sz w:val="20"/>
                <w:szCs w:val="20"/>
              </w:rPr>
              <w:t>Cl</w:t>
            </w:r>
            <w:proofErr w:type="spellEnd"/>
            <w:r w:rsidR="006E02F4" w:rsidRPr="00460798">
              <w:rPr>
                <w:i/>
                <w:sz w:val="20"/>
                <w:szCs w:val="20"/>
                <w:vertAlign w:val="superscript"/>
              </w:rPr>
              <w:t>-</w:t>
            </w:r>
            <w:r w:rsidR="006E02F4" w:rsidRPr="00460798">
              <w:rPr>
                <w:i/>
                <w:sz w:val="20"/>
                <w:szCs w:val="20"/>
              </w:rPr>
              <w:t>)</w:t>
            </w:r>
            <w:r w:rsidRPr="00460798">
              <w:rPr>
                <w:sz w:val="20"/>
                <w:szCs w:val="20"/>
              </w:rPr>
              <w:t>**</w:t>
            </w:r>
          </w:p>
        </w:tc>
        <w:tc>
          <w:tcPr>
            <w:tcW w:w="849" w:type="dxa"/>
            <w:vAlign w:val="center"/>
          </w:tcPr>
          <w:p w14:paraId="25A6C421" w14:textId="77777777" w:rsidR="0036190B" w:rsidRPr="00460798" w:rsidRDefault="0036190B" w:rsidP="0036190B">
            <w:pPr>
              <w:rPr>
                <w:sz w:val="20"/>
                <w:szCs w:val="20"/>
              </w:rPr>
            </w:pPr>
            <w:r w:rsidRPr="00460798">
              <w:rPr>
                <w:sz w:val="20"/>
                <w:szCs w:val="20"/>
              </w:rPr>
              <w:t>mg/l</w:t>
            </w:r>
          </w:p>
        </w:tc>
        <w:tc>
          <w:tcPr>
            <w:tcW w:w="988" w:type="dxa"/>
            <w:shd w:val="clear" w:color="auto" w:fill="D9D9D9" w:themeFill="background1" w:themeFillShade="D9"/>
            <w:vAlign w:val="center"/>
          </w:tcPr>
          <w:p w14:paraId="09BEFB69" w14:textId="77777777" w:rsidR="0036190B" w:rsidRPr="00460798" w:rsidRDefault="0036190B" w:rsidP="0036190B">
            <w:pPr>
              <w:rPr>
                <w:sz w:val="20"/>
                <w:szCs w:val="20"/>
              </w:rPr>
            </w:pPr>
          </w:p>
        </w:tc>
        <w:tc>
          <w:tcPr>
            <w:tcW w:w="992" w:type="dxa"/>
            <w:shd w:val="clear" w:color="auto" w:fill="D9D9D9" w:themeFill="background1" w:themeFillShade="D9"/>
            <w:vAlign w:val="center"/>
          </w:tcPr>
          <w:p w14:paraId="7EBFA150" w14:textId="77777777" w:rsidR="0036190B" w:rsidRPr="00460798" w:rsidRDefault="0036190B" w:rsidP="0036190B">
            <w:pPr>
              <w:rPr>
                <w:sz w:val="20"/>
                <w:szCs w:val="20"/>
              </w:rPr>
            </w:pPr>
          </w:p>
        </w:tc>
        <w:tc>
          <w:tcPr>
            <w:tcW w:w="1134" w:type="dxa"/>
            <w:shd w:val="clear" w:color="auto" w:fill="D9D9D9" w:themeFill="background1" w:themeFillShade="D9"/>
            <w:vAlign w:val="center"/>
          </w:tcPr>
          <w:p w14:paraId="189C86C8" w14:textId="77777777" w:rsidR="0036190B" w:rsidRPr="00460798" w:rsidRDefault="0036190B" w:rsidP="0036190B">
            <w:pPr>
              <w:rPr>
                <w:sz w:val="20"/>
                <w:szCs w:val="20"/>
              </w:rPr>
            </w:pPr>
          </w:p>
        </w:tc>
        <w:tc>
          <w:tcPr>
            <w:tcW w:w="850" w:type="dxa"/>
            <w:gridSpan w:val="2"/>
            <w:shd w:val="clear" w:color="auto" w:fill="auto"/>
            <w:vAlign w:val="center"/>
          </w:tcPr>
          <w:p w14:paraId="47EB5EED" w14:textId="77777777" w:rsidR="0036190B" w:rsidRPr="00460798" w:rsidRDefault="00DB141F" w:rsidP="0036190B">
            <w:pPr>
              <w:rPr>
                <w:sz w:val="20"/>
                <w:szCs w:val="20"/>
              </w:rPr>
            </w:pPr>
            <w:r w:rsidRPr="00460798">
              <w:rPr>
                <w:sz w:val="20"/>
                <w:szCs w:val="20"/>
              </w:rPr>
              <w:t>100</w:t>
            </w:r>
          </w:p>
        </w:tc>
        <w:tc>
          <w:tcPr>
            <w:tcW w:w="994" w:type="dxa"/>
            <w:shd w:val="clear" w:color="auto" w:fill="auto"/>
            <w:vAlign w:val="center"/>
          </w:tcPr>
          <w:p w14:paraId="2BA593C0" w14:textId="77777777" w:rsidR="0036190B" w:rsidRPr="00460798" w:rsidRDefault="00DB141F" w:rsidP="0036190B">
            <w:pPr>
              <w:rPr>
                <w:sz w:val="20"/>
                <w:szCs w:val="20"/>
              </w:rPr>
            </w:pPr>
            <w:r w:rsidRPr="00460798">
              <w:rPr>
                <w:sz w:val="20"/>
                <w:szCs w:val="20"/>
              </w:rPr>
              <w:t>200</w:t>
            </w:r>
          </w:p>
        </w:tc>
        <w:tc>
          <w:tcPr>
            <w:tcW w:w="992" w:type="dxa"/>
            <w:gridSpan w:val="2"/>
            <w:shd w:val="clear" w:color="auto" w:fill="auto"/>
            <w:vAlign w:val="center"/>
          </w:tcPr>
          <w:p w14:paraId="0A21E493" w14:textId="77777777" w:rsidR="0036190B" w:rsidRPr="00460798" w:rsidRDefault="00DB141F" w:rsidP="0036190B">
            <w:pPr>
              <w:rPr>
                <w:sz w:val="20"/>
                <w:szCs w:val="20"/>
              </w:rPr>
            </w:pPr>
            <w:r w:rsidRPr="00460798">
              <w:rPr>
                <w:sz w:val="20"/>
                <w:szCs w:val="20"/>
              </w:rPr>
              <w:t>200</w:t>
            </w:r>
          </w:p>
        </w:tc>
        <w:tc>
          <w:tcPr>
            <w:tcW w:w="995" w:type="dxa"/>
            <w:gridSpan w:val="2"/>
            <w:shd w:val="clear" w:color="auto" w:fill="auto"/>
            <w:vAlign w:val="center"/>
          </w:tcPr>
          <w:p w14:paraId="514A9B3E" w14:textId="77777777" w:rsidR="0036190B" w:rsidRPr="00460798" w:rsidRDefault="0036190B" w:rsidP="0036190B">
            <w:pPr>
              <w:rPr>
                <w:sz w:val="20"/>
                <w:szCs w:val="20"/>
              </w:rPr>
            </w:pPr>
            <w:r w:rsidRPr="00460798">
              <w:rPr>
                <w:sz w:val="20"/>
                <w:szCs w:val="20"/>
              </w:rPr>
              <w:t>500</w:t>
            </w:r>
          </w:p>
        </w:tc>
      </w:tr>
      <w:tr w:rsidR="00DB141F" w14:paraId="782EC637" w14:textId="77777777" w:rsidTr="007E39B8">
        <w:trPr>
          <w:trHeight w:val="340"/>
        </w:trPr>
        <w:tc>
          <w:tcPr>
            <w:tcW w:w="2271" w:type="dxa"/>
            <w:vAlign w:val="center"/>
          </w:tcPr>
          <w:p w14:paraId="471C187E" w14:textId="77777777" w:rsidR="00DB141F" w:rsidRPr="00460798" w:rsidRDefault="00DB141F" w:rsidP="00DB141F">
            <w:pPr>
              <w:rPr>
                <w:sz w:val="20"/>
                <w:szCs w:val="20"/>
              </w:rPr>
            </w:pPr>
            <w:r w:rsidRPr="00460798">
              <w:rPr>
                <w:i/>
                <w:sz w:val="20"/>
                <w:szCs w:val="20"/>
              </w:rPr>
              <w:t>Sulfāti (SO</w:t>
            </w:r>
            <w:r w:rsidRPr="00460798">
              <w:rPr>
                <w:i/>
                <w:sz w:val="20"/>
                <w:szCs w:val="20"/>
                <w:vertAlign w:val="subscript"/>
              </w:rPr>
              <w:t>4</w:t>
            </w:r>
            <w:r w:rsidRPr="00460798">
              <w:rPr>
                <w:i/>
                <w:sz w:val="20"/>
                <w:szCs w:val="20"/>
                <w:vertAlign w:val="superscript"/>
              </w:rPr>
              <w:t>2-</w:t>
            </w:r>
            <w:r w:rsidRPr="00460798">
              <w:rPr>
                <w:sz w:val="20"/>
                <w:szCs w:val="20"/>
              </w:rPr>
              <w:t>)**</w:t>
            </w:r>
          </w:p>
        </w:tc>
        <w:tc>
          <w:tcPr>
            <w:tcW w:w="849" w:type="dxa"/>
            <w:vAlign w:val="center"/>
          </w:tcPr>
          <w:p w14:paraId="1BE47F74" w14:textId="77777777" w:rsidR="00DB141F" w:rsidRPr="00460798" w:rsidRDefault="00DB141F" w:rsidP="00DB141F">
            <w:pPr>
              <w:rPr>
                <w:sz w:val="20"/>
                <w:szCs w:val="20"/>
              </w:rPr>
            </w:pPr>
            <w:r w:rsidRPr="00460798">
              <w:rPr>
                <w:sz w:val="20"/>
                <w:szCs w:val="20"/>
              </w:rPr>
              <w:t>mg/l</w:t>
            </w:r>
          </w:p>
        </w:tc>
        <w:tc>
          <w:tcPr>
            <w:tcW w:w="988" w:type="dxa"/>
            <w:shd w:val="clear" w:color="auto" w:fill="D9D9D9" w:themeFill="background1" w:themeFillShade="D9"/>
            <w:vAlign w:val="center"/>
          </w:tcPr>
          <w:p w14:paraId="27FA4B46" w14:textId="77777777" w:rsidR="00DB141F" w:rsidRPr="00460798" w:rsidRDefault="00DB141F" w:rsidP="00DB141F">
            <w:pPr>
              <w:rPr>
                <w:sz w:val="20"/>
                <w:szCs w:val="20"/>
              </w:rPr>
            </w:pPr>
          </w:p>
        </w:tc>
        <w:tc>
          <w:tcPr>
            <w:tcW w:w="992" w:type="dxa"/>
            <w:shd w:val="clear" w:color="auto" w:fill="D9D9D9" w:themeFill="background1" w:themeFillShade="D9"/>
            <w:vAlign w:val="center"/>
          </w:tcPr>
          <w:p w14:paraId="482696DE" w14:textId="77777777" w:rsidR="00DB141F" w:rsidRPr="00460798" w:rsidRDefault="00DB141F" w:rsidP="00DB141F">
            <w:pPr>
              <w:rPr>
                <w:sz w:val="20"/>
                <w:szCs w:val="20"/>
              </w:rPr>
            </w:pPr>
          </w:p>
        </w:tc>
        <w:tc>
          <w:tcPr>
            <w:tcW w:w="1134" w:type="dxa"/>
            <w:shd w:val="clear" w:color="auto" w:fill="D9D9D9" w:themeFill="background1" w:themeFillShade="D9"/>
            <w:vAlign w:val="center"/>
          </w:tcPr>
          <w:p w14:paraId="0B76A5B5" w14:textId="77777777" w:rsidR="00DB141F" w:rsidRPr="00460798" w:rsidRDefault="00DB141F" w:rsidP="00DB141F">
            <w:pPr>
              <w:rPr>
                <w:sz w:val="20"/>
                <w:szCs w:val="20"/>
              </w:rPr>
            </w:pPr>
          </w:p>
        </w:tc>
        <w:tc>
          <w:tcPr>
            <w:tcW w:w="850" w:type="dxa"/>
            <w:gridSpan w:val="2"/>
            <w:shd w:val="clear" w:color="auto" w:fill="auto"/>
            <w:vAlign w:val="center"/>
          </w:tcPr>
          <w:p w14:paraId="61BFC92C" w14:textId="77777777" w:rsidR="00DB141F" w:rsidRPr="00460798" w:rsidRDefault="00DB141F" w:rsidP="00DB141F">
            <w:pPr>
              <w:rPr>
                <w:sz w:val="20"/>
                <w:szCs w:val="20"/>
              </w:rPr>
            </w:pPr>
            <w:r w:rsidRPr="00460798">
              <w:rPr>
                <w:sz w:val="20"/>
                <w:szCs w:val="20"/>
              </w:rPr>
              <w:t>100</w:t>
            </w:r>
          </w:p>
        </w:tc>
        <w:tc>
          <w:tcPr>
            <w:tcW w:w="994" w:type="dxa"/>
            <w:shd w:val="clear" w:color="auto" w:fill="auto"/>
            <w:vAlign w:val="center"/>
          </w:tcPr>
          <w:p w14:paraId="15959493" w14:textId="77777777" w:rsidR="00DB141F" w:rsidRPr="00460798" w:rsidRDefault="00DB141F" w:rsidP="00DB141F">
            <w:pPr>
              <w:rPr>
                <w:sz w:val="20"/>
                <w:szCs w:val="20"/>
              </w:rPr>
            </w:pPr>
            <w:r w:rsidRPr="00460798">
              <w:rPr>
                <w:sz w:val="20"/>
                <w:szCs w:val="20"/>
              </w:rPr>
              <w:t>200</w:t>
            </w:r>
          </w:p>
        </w:tc>
        <w:tc>
          <w:tcPr>
            <w:tcW w:w="992" w:type="dxa"/>
            <w:gridSpan w:val="2"/>
            <w:shd w:val="clear" w:color="auto" w:fill="auto"/>
            <w:vAlign w:val="center"/>
          </w:tcPr>
          <w:p w14:paraId="26717AFC" w14:textId="77777777" w:rsidR="00DB141F" w:rsidRPr="00460798" w:rsidRDefault="00DB141F" w:rsidP="00DB141F">
            <w:pPr>
              <w:rPr>
                <w:sz w:val="20"/>
                <w:szCs w:val="20"/>
              </w:rPr>
            </w:pPr>
            <w:r w:rsidRPr="00460798">
              <w:rPr>
                <w:sz w:val="20"/>
                <w:szCs w:val="20"/>
              </w:rPr>
              <w:t>200</w:t>
            </w:r>
          </w:p>
        </w:tc>
        <w:tc>
          <w:tcPr>
            <w:tcW w:w="995" w:type="dxa"/>
            <w:gridSpan w:val="2"/>
            <w:shd w:val="clear" w:color="auto" w:fill="auto"/>
            <w:vAlign w:val="center"/>
          </w:tcPr>
          <w:p w14:paraId="6A87D622" w14:textId="77777777" w:rsidR="00DB141F" w:rsidRPr="00460798" w:rsidRDefault="00DB141F" w:rsidP="00DB141F">
            <w:pPr>
              <w:rPr>
                <w:sz w:val="20"/>
                <w:szCs w:val="20"/>
              </w:rPr>
            </w:pPr>
            <w:r w:rsidRPr="00460798">
              <w:rPr>
                <w:sz w:val="20"/>
                <w:szCs w:val="20"/>
              </w:rPr>
              <w:t>1000</w:t>
            </w:r>
          </w:p>
        </w:tc>
      </w:tr>
      <w:tr w:rsidR="00376A71" w14:paraId="31EAC1B6" w14:textId="77777777" w:rsidTr="007E39B8">
        <w:trPr>
          <w:trHeight w:val="340"/>
        </w:trPr>
        <w:tc>
          <w:tcPr>
            <w:tcW w:w="2271" w:type="dxa"/>
            <w:vAlign w:val="center"/>
          </w:tcPr>
          <w:p w14:paraId="35773374" w14:textId="77777777" w:rsidR="00376A71" w:rsidRPr="00460798" w:rsidRDefault="00376A71" w:rsidP="00DB141F">
            <w:pPr>
              <w:rPr>
                <w:rFonts w:cstheme="minorHAnsi"/>
                <w:i/>
                <w:sz w:val="20"/>
                <w:szCs w:val="20"/>
              </w:rPr>
            </w:pPr>
            <w:r w:rsidRPr="00460798">
              <w:rPr>
                <w:rFonts w:cstheme="minorHAnsi"/>
                <w:i/>
                <w:sz w:val="20"/>
                <w:szCs w:val="20"/>
              </w:rPr>
              <w:t>Amonijs (</w:t>
            </w:r>
            <w:r w:rsidRPr="00460798">
              <w:rPr>
                <w:rFonts w:cstheme="minorHAnsi"/>
                <w:i/>
                <w:color w:val="414142"/>
                <w:sz w:val="20"/>
                <w:szCs w:val="20"/>
                <w:shd w:val="clear" w:color="auto" w:fill="FFFFFF"/>
              </w:rPr>
              <w:t>NH</w:t>
            </w:r>
            <w:r w:rsidRPr="00460798">
              <w:rPr>
                <w:rFonts w:cstheme="minorHAnsi"/>
                <w:i/>
                <w:color w:val="414142"/>
                <w:sz w:val="20"/>
                <w:szCs w:val="20"/>
                <w:bdr w:val="none" w:sz="0" w:space="0" w:color="auto" w:frame="1"/>
                <w:shd w:val="clear" w:color="auto" w:fill="FFFFFF"/>
                <w:vertAlign w:val="subscript"/>
              </w:rPr>
              <w:t>4</w:t>
            </w:r>
            <w:r w:rsidRPr="00460798">
              <w:rPr>
                <w:rFonts w:cstheme="minorHAnsi"/>
                <w:i/>
                <w:color w:val="414142"/>
                <w:sz w:val="20"/>
                <w:szCs w:val="20"/>
                <w:shd w:val="clear" w:color="auto" w:fill="FFFFFF"/>
                <w:vertAlign w:val="superscript"/>
              </w:rPr>
              <w:t>+</w:t>
            </w:r>
            <w:r w:rsidRPr="00460798">
              <w:rPr>
                <w:rFonts w:cstheme="minorHAnsi"/>
                <w:i/>
                <w:color w:val="414142"/>
                <w:sz w:val="20"/>
                <w:szCs w:val="20"/>
                <w:shd w:val="clear" w:color="auto" w:fill="FFFFFF"/>
              </w:rPr>
              <w:t>)</w:t>
            </w:r>
            <w:r w:rsidRPr="00460798">
              <w:rPr>
                <w:rFonts w:cstheme="minorHAnsi"/>
                <w:color w:val="414142"/>
                <w:sz w:val="20"/>
                <w:szCs w:val="20"/>
                <w:shd w:val="clear" w:color="auto" w:fill="FFFFFF"/>
              </w:rPr>
              <w:t>**</w:t>
            </w:r>
          </w:p>
        </w:tc>
        <w:tc>
          <w:tcPr>
            <w:tcW w:w="849" w:type="dxa"/>
            <w:vAlign w:val="center"/>
          </w:tcPr>
          <w:p w14:paraId="38FDAC34" w14:textId="77777777" w:rsidR="00376A71" w:rsidRPr="00460798" w:rsidRDefault="00376A71" w:rsidP="00DB141F">
            <w:pPr>
              <w:rPr>
                <w:sz w:val="20"/>
                <w:szCs w:val="20"/>
              </w:rPr>
            </w:pPr>
          </w:p>
        </w:tc>
        <w:tc>
          <w:tcPr>
            <w:tcW w:w="988" w:type="dxa"/>
            <w:shd w:val="clear" w:color="auto" w:fill="D9D9D9" w:themeFill="background1" w:themeFillShade="D9"/>
            <w:vAlign w:val="center"/>
          </w:tcPr>
          <w:p w14:paraId="76C4102B" w14:textId="77777777" w:rsidR="00376A71" w:rsidRPr="00460798" w:rsidRDefault="00376A71" w:rsidP="00DB141F">
            <w:pPr>
              <w:rPr>
                <w:sz w:val="20"/>
                <w:szCs w:val="20"/>
              </w:rPr>
            </w:pPr>
          </w:p>
        </w:tc>
        <w:tc>
          <w:tcPr>
            <w:tcW w:w="992" w:type="dxa"/>
            <w:shd w:val="clear" w:color="auto" w:fill="D9D9D9" w:themeFill="background1" w:themeFillShade="D9"/>
            <w:vAlign w:val="center"/>
          </w:tcPr>
          <w:p w14:paraId="5AAD342F" w14:textId="77777777" w:rsidR="00376A71" w:rsidRPr="00460798" w:rsidRDefault="00376A71" w:rsidP="00DB141F">
            <w:pPr>
              <w:rPr>
                <w:sz w:val="20"/>
                <w:szCs w:val="20"/>
              </w:rPr>
            </w:pPr>
          </w:p>
        </w:tc>
        <w:tc>
          <w:tcPr>
            <w:tcW w:w="1134" w:type="dxa"/>
            <w:shd w:val="clear" w:color="auto" w:fill="D9D9D9" w:themeFill="background1" w:themeFillShade="D9"/>
            <w:vAlign w:val="center"/>
          </w:tcPr>
          <w:p w14:paraId="41B7E4F0" w14:textId="77777777" w:rsidR="00376A71" w:rsidRPr="00460798" w:rsidRDefault="00376A71" w:rsidP="00DB141F">
            <w:pPr>
              <w:rPr>
                <w:sz w:val="20"/>
                <w:szCs w:val="20"/>
              </w:rPr>
            </w:pPr>
          </w:p>
        </w:tc>
        <w:tc>
          <w:tcPr>
            <w:tcW w:w="3831" w:type="dxa"/>
            <w:gridSpan w:val="7"/>
            <w:shd w:val="clear" w:color="auto" w:fill="auto"/>
            <w:vAlign w:val="center"/>
          </w:tcPr>
          <w:p w14:paraId="46D69A50" w14:textId="77777777" w:rsidR="00376A71" w:rsidRPr="00460798" w:rsidRDefault="00376A71" w:rsidP="00DB141F">
            <w:pPr>
              <w:rPr>
                <w:sz w:val="20"/>
                <w:szCs w:val="20"/>
              </w:rPr>
            </w:pPr>
            <w:r w:rsidRPr="00460798">
              <w:rPr>
                <w:sz w:val="20"/>
                <w:szCs w:val="20"/>
              </w:rPr>
              <w:t>Nav iespējams noteikt robežlielumu</w:t>
            </w:r>
          </w:p>
        </w:tc>
      </w:tr>
      <w:tr w:rsidR="00DB141F" w14:paraId="698995FE" w14:textId="77777777" w:rsidTr="007E39B8">
        <w:trPr>
          <w:trHeight w:val="340"/>
        </w:trPr>
        <w:tc>
          <w:tcPr>
            <w:tcW w:w="2271" w:type="dxa"/>
            <w:vAlign w:val="center"/>
          </w:tcPr>
          <w:p w14:paraId="16162402" w14:textId="77777777" w:rsidR="00DB141F" w:rsidRPr="00460798" w:rsidRDefault="00DB141F" w:rsidP="00DB141F">
            <w:pPr>
              <w:rPr>
                <w:b/>
                <w:sz w:val="20"/>
                <w:szCs w:val="20"/>
              </w:rPr>
            </w:pPr>
            <w:r w:rsidRPr="00460798">
              <w:rPr>
                <w:b/>
                <w:sz w:val="20"/>
                <w:szCs w:val="20"/>
              </w:rPr>
              <w:t>Sintētiskās virsmas aktīvās vielas (SVAV)</w:t>
            </w:r>
          </w:p>
        </w:tc>
        <w:tc>
          <w:tcPr>
            <w:tcW w:w="849" w:type="dxa"/>
            <w:vAlign w:val="center"/>
          </w:tcPr>
          <w:p w14:paraId="6A701FBD" w14:textId="77777777" w:rsidR="00DB141F" w:rsidRPr="00460798" w:rsidRDefault="00DB141F" w:rsidP="00DB141F">
            <w:pPr>
              <w:rPr>
                <w:sz w:val="20"/>
                <w:szCs w:val="20"/>
              </w:rPr>
            </w:pPr>
            <w:r w:rsidRPr="00460798">
              <w:rPr>
                <w:sz w:val="20"/>
                <w:szCs w:val="20"/>
              </w:rPr>
              <w:t>mg/l</w:t>
            </w:r>
          </w:p>
        </w:tc>
        <w:tc>
          <w:tcPr>
            <w:tcW w:w="988" w:type="dxa"/>
            <w:shd w:val="clear" w:color="auto" w:fill="D9D9D9" w:themeFill="background1" w:themeFillShade="D9"/>
            <w:vAlign w:val="center"/>
          </w:tcPr>
          <w:p w14:paraId="6A7E8CA5" w14:textId="77777777" w:rsidR="00DB141F" w:rsidRPr="00460798" w:rsidRDefault="00DB141F" w:rsidP="00DB141F">
            <w:pPr>
              <w:rPr>
                <w:sz w:val="20"/>
                <w:szCs w:val="20"/>
              </w:rPr>
            </w:pPr>
            <w:r w:rsidRPr="00460798">
              <w:rPr>
                <w:sz w:val="20"/>
                <w:szCs w:val="20"/>
              </w:rPr>
              <w:t>-</w:t>
            </w:r>
          </w:p>
        </w:tc>
        <w:tc>
          <w:tcPr>
            <w:tcW w:w="992" w:type="dxa"/>
            <w:shd w:val="clear" w:color="auto" w:fill="D9D9D9" w:themeFill="background1" w:themeFillShade="D9"/>
            <w:vAlign w:val="center"/>
          </w:tcPr>
          <w:p w14:paraId="13E680DE" w14:textId="77777777" w:rsidR="00DB141F" w:rsidRPr="00460798" w:rsidRDefault="00DB141F" w:rsidP="00DB141F">
            <w:pPr>
              <w:rPr>
                <w:sz w:val="20"/>
                <w:szCs w:val="20"/>
              </w:rPr>
            </w:pPr>
            <w:r w:rsidRPr="00460798">
              <w:rPr>
                <w:sz w:val="20"/>
                <w:szCs w:val="20"/>
              </w:rPr>
              <w:t>100</w:t>
            </w:r>
          </w:p>
        </w:tc>
        <w:tc>
          <w:tcPr>
            <w:tcW w:w="1134" w:type="dxa"/>
            <w:shd w:val="clear" w:color="auto" w:fill="D9D9D9" w:themeFill="background1" w:themeFillShade="D9"/>
            <w:vAlign w:val="center"/>
          </w:tcPr>
          <w:p w14:paraId="0CEA7FD8" w14:textId="77777777" w:rsidR="00DB141F" w:rsidRPr="00460798" w:rsidRDefault="00DB141F" w:rsidP="00DB141F">
            <w:pPr>
              <w:rPr>
                <w:sz w:val="20"/>
                <w:szCs w:val="20"/>
              </w:rPr>
            </w:pPr>
            <w:r w:rsidRPr="00460798">
              <w:rPr>
                <w:sz w:val="20"/>
                <w:szCs w:val="20"/>
              </w:rPr>
              <w:t>200</w:t>
            </w:r>
          </w:p>
        </w:tc>
        <w:tc>
          <w:tcPr>
            <w:tcW w:w="850" w:type="dxa"/>
            <w:gridSpan w:val="2"/>
            <w:shd w:val="clear" w:color="auto" w:fill="auto"/>
            <w:vAlign w:val="center"/>
          </w:tcPr>
          <w:p w14:paraId="1B3747FB" w14:textId="77777777" w:rsidR="00DB141F" w:rsidRPr="00460798" w:rsidRDefault="00DB141F" w:rsidP="00DB141F">
            <w:pPr>
              <w:rPr>
                <w:sz w:val="20"/>
                <w:szCs w:val="20"/>
              </w:rPr>
            </w:pPr>
            <w:r w:rsidRPr="00460798">
              <w:rPr>
                <w:sz w:val="20"/>
                <w:szCs w:val="20"/>
              </w:rPr>
              <w:t>100</w:t>
            </w:r>
          </w:p>
        </w:tc>
        <w:tc>
          <w:tcPr>
            <w:tcW w:w="994" w:type="dxa"/>
            <w:shd w:val="clear" w:color="auto" w:fill="auto"/>
            <w:vAlign w:val="center"/>
          </w:tcPr>
          <w:p w14:paraId="32D118BD" w14:textId="77777777" w:rsidR="00DB141F" w:rsidRPr="00460798" w:rsidRDefault="00DB141F" w:rsidP="00DB141F">
            <w:pPr>
              <w:rPr>
                <w:sz w:val="20"/>
                <w:szCs w:val="20"/>
              </w:rPr>
            </w:pPr>
            <w:r w:rsidRPr="00460798">
              <w:rPr>
                <w:sz w:val="20"/>
                <w:szCs w:val="20"/>
              </w:rPr>
              <w:t>100</w:t>
            </w:r>
          </w:p>
        </w:tc>
        <w:tc>
          <w:tcPr>
            <w:tcW w:w="992" w:type="dxa"/>
            <w:gridSpan w:val="2"/>
            <w:shd w:val="clear" w:color="auto" w:fill="auto"/>
            <w:vAlign w:val="center"/>
          </w:tcPr>
          <w:p w14:paraId="1AAED91D" w14:textId="77777777" w:rsidR="00DB141F" w:rsidRPr="00460798" w:rsidRDefault="00DB141F" w:rsidP="00DB141F">
            <w:pPr>
              <w:rPr>
                <w:sz w:val="20"/>
                <w:szCs w:val="20"/>
              </w:rPr>
            </w:pPr>
            <w:r w:rsidRPr="00460798">
              <w:rPr>
                <w:sz w:val="20"/>
                <w:szCs w:val="20"/>
              </w:rPr>
              <w:t>200</w:t>
            </w:r>
          </w:p>
        </w:tc>
        <w:tc>
          <w:tcPr>
            <w:tcW w:w="995" w:type="dxa"/>
            <w:gridSpan w:val="2"/>
            <w:shd w:val="clear" w:color="auto" w:fill="auto"/>
            <w:vAlign w:val="center"/>
          </w:tcPr>
          <w:p w14:paraId="40CBE7D4" w14:textId="77777777" w:rsidR="00DB141F" w:rsidRPr="00460798" w:rsidRDefault="00DB141F" w:rsidP="00DB141F">
            <w:pPr>
              <w:rPr>
                <w:sz w:val="20"/>
                <w:szCs w:val="20"/>
              </w:rPr>
            </w:pPr>
            <w:r w:rsidRPr="00460798">
              <w:rPr>
                <w:sz w:val="20"/>
                <w:szCs w:val="20"/>
              </w:rPr>
              <w:t>200</w:t>
            </w:r>
          </w:p>
        </w:tc>
      </w:tr>
      <w:tr w:rsidR="00DB141F" w14:paraId="742E95EA" w14:textId="77777777" w:rsidTr="007E39B8">
        <w:trPr>
          <w:trHeight w:val="340"/>
        </w:trPr>
        <w:tc>
          <w:tcPr>
            <w:tcW w:w="2271" w:type="dxa"/>
            <w:vAlign w:val="center"/>
          </w:tcPr>
          <w:p w14:paraId="5E4C1347" w14:textId="77777777" w:rsidR="00DB141F" w:rsidRPr="00460798" w:rsidRDefault="00DB141F" w:rsidP="00DB141F">
            <w:pPr>
              <w:rPr>
                <w:i/>
                <w:sz w:val="20"/>
                <w:szCs w:val="20"/>
              </w:rPr>
            </w:pPr>
            <w:r w:rsidRPr="00460798">
              <w:rPr>
                <w:i/>
                <w:sz w:val="20"/>
                <w:szCs w:val="20"/>
              </w:rPr>
              <w:t>Sausnes saturs</w:t>
            </w:r>
          </w:p>
        </w:tc>
        <w:tc>
          <w:tcPr>
            <w:tcW w:w="849" w:type="dxa"/>
            <w:vAlign w:val="center"/>
          </w:tcPr>
          <w:p w14:paraId="278C7B1D" w14:textId="77777777" w:rsidR="00DB141F" w:rsidRPr="00460798" w:rsidRDefault="00DB141F" w:rsidP="00DB141F">
            <w:pPr>
              <w:rPr>
                <w:sz w:val="20"/>
                <w:szCs w:val="20"/>
              </w:rPr>
            </w:pPr>
          </w:p>
        </w:tc>
        <w:tc>
          <w:tcPr>
            <w:tcW w:w="988" w:type="dxa"/>
            <w:shd w:val="clear" w:color="auto" w:fill="D9D9D9" w:themeFill="background1" w:themeFillShade="D9"/>
            <w:vAlign w:val="center"/>
          </w:tcPr>
          <w:p w14:paraId="535BC5BA" w14:textId="77777777" w:rsidR="00DB141F" w:rsidRPr="00460798" w:rsidRDefault="00DB141F" w:rsidP="00DB141F">
            <w:pPr>
              <w:rPr>
                <w:sz w:val="20"/>
                <w:szCs w:val="20"/>
              </w:rPr>
            </w:pPr>
          </w:p>
        </w:tc>
        <w:tc>
          <w:tcPr>
            <w:tcW w:w="992" w:type="dxa"/>
            <w:shd w:val="clear" w:color="auto" w:fill="D9D9D9" w:themeFill="background1" w:themeFillShade="D9"/>
            <w:vAlign w:val="center"/>
          </w:tcPr>
          <w:p w14:paraId="02BD4146" w14:textId="77777777" w:rsidR="00DB141F" w:rsidRPr="00460798" w:rsidRDefault="00DB141F" w:rsidP="00DB141F">
            <w:pPr>
              <w:rPr>
                <w:sz w:val="20"/>
                <w:szCs w:val="20"/>
              </w:rPr>
            </w:pPr>
          </w:p>
        </w:tc>
        <w:tc>
          <w:tcPr>
            <w:tcW w:w="1134" w:type="dxa"/>
            <w:shd w:val="clear" w:color="auto" w:fill="D9D9D9" w:themeFill="background1" w:themeFillShade="D9"/>
            <w:vAlign w:val="center"/>
          </w:tcPr>
          <w:p w14:paraId="317DBF98" w14:textId="77777777" w:rsidR="00DB141F" w:rsidRPr="00460798" w:rsidRDefault="00DB141F" w:rsidP="00DB141F">
            <w:pPr>
              <w:rPr>
                <w:sz w:val="20"/>
                <w:szCs w:val="20"/>
              </w:rPr>
            </w:pPr>
          </w:p>
        </w:tc>
        <w:tc>
          <w:tcPr>
            <w:tcW w:w="3831" w:type="dxa"/>
            <w:gridSpan w:val="7"/>
            <w:shd w:val="clear" w:color="auto" w:fill="auto"/>
            <w:vAlign w:val="center"/>
          </w:tcPr>
          <w:p w14:paraId="402C07A8" w14:textId="77777777" w:rsidR="00DB141F" w:rsidRPr="00460798" w:rsidRDefault="00DB141F" w:rsidP="00DB141F">
            <w:pPr>
              <w:rPr>
                <w:sz w:val="20"/>
                <w:szCs w:val="20"/>
              </w:rPr>
            </w:pPr>
            <w:r w:rsidRPr="00460798">
              <w:rPr>
                <w:sz w:val="20"/>
                <w:szCs w:val="20"/>
              </w:rPr>
              <w:t>Nav iespējams noteikt robežlielumu</w:t>
            </w:r>
          </w:p>
        </w:tc>
      </w:tr>
      <w:tr w:rsidR="00DB141F" w14:paraId="027092A3" w14:textId="77777777" w:rsidTr="007E39B8">
        <w:trPr>
          <w:trHeight w:val="340"/>
        </w:trPr>
        <w:tc>
          <w:tcPr>
            <w:tcW w:w="2271" w:type="dxa"/>
            <w:vAlign w:val="center"/>
          </w:tcPr>
          <w:p w14:paraId="3A3A22B3" w14:textId="77777777" w:rsidR="00DB141F" w:rsidRPr="00460798" w:rsidRDefault="00DB141F" w:rsidP="00DB141F">
            <w:pPr>
              <w:rPr>
                <w:b/>
                <w:i/>
                <w:sz w:val="20"/>
                <w:szCs w:val="20"/>
              </w:rPr>
            </w:pPr>
            <w:r w:rsidRPr="00460798">
              <w:rPr>
                <w:b/>
                <w:i/>
                <w:sz w:val="20"/>
                <w:szCs w:val="20"/>
              </w:rPr>
              <w:t>Fenolu indekss</w:t>
            </w:r>
          </w:p>
        </w:tc>
        <w:tc>
          <w:tcPr>
            <w:tcW w:w="849" w:type="dxa"/>
            <w:vAlign w:val="center"/>
          </w:tcPr>
          <w:p w14:paraId="63520E0F"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5DF237E7" w14:textId="77777777" w:rsidR="00DB141F" w:rsidRPr="00460798" w:rsidRDefault="00DB141F" w:rsidP="00DB141F">
            <w:pPr>
              <w:rPr>
                <w:sz w:val="20"/>
                <w:szCs w:val="20"/>
              </w:rPr>
            </w:pPr>
            <w:r w:rsidRPr="00460798">
              <w:rPr>
                <w:sz w:val="20"/>
                <w:szCs w:val="20"/>
              </w:rPr>
              <w:t>0.5</w:t>
            </w:r>
          </w:p>
        </w:tc>
        <w:tc>
          <w:tcPr>
            <w:tcW w:w="992" w:type="dxa"/>
            <w:shd w:val="clear" w:color="auto" w:fill="D9D9D9" w:themeFill="background1" w:themeFillShade="D9"/>
            <w:vAlign w:val="center"/>
          </w:tcPr>
          <w:p w14:paraId="30578CAF" w14:textId="77777777" w:rsidR="00DB141F" w:rsidRPr="00460798" w:rsidRDefault="00DB141F" w:rsidP="00DB141F">
            <w:pPr>
              <w:rPr>
                <w:sz w:val="20"/>
                <w:szCs w:val="20"/>
              </w:rPr>
            </w:pPr>
            <w:r w:rsidRPr="00460798">
              <w:rPr>
                <w:sz w:val="20"/>
                <w:szCs w:val="20"/>
              </w:rPr>
              <w:t>25.25</w:t>
            </w:r>
          </w:p>
        </w:tc>
        <w:tc>
          <w:tcPr>
            <w:tcW w:w="1134" w:type="dxa"/>
            <w:shd w:val="clear" w:color="auto" w:fill="D9D9D9" w:themeFill="background1" w:themeFillShade="D9"/>
            <w:vAlign w:val="center"/>
          </w:tcPr>
          <w:p w14:paraId="29BCE167" w14:textId="77777777" w:rsidR="00DB141F" w:rsidRPr="00460798" w:rsidRDefault="00DB141F" w:rsidP="00DB141F">
            <w:pPr>
              <w:rPr>
                <w:sz w:val="20"/>
                <w:szCs w:val="20"/>
              </w:rPr>
            </w:pPr>
            <w:r w:rsidRPr="00460798">
              <w:rPr>
                <w:sz w:val="20"/>
                <w:szCs w:val="20"/>
              </w:rPr>
              <w:t>50</w:t>
            </w:r>
          </w:p>
        </w:tc>
        <w:tc>
          <w:tcPr>
            <w:tcW w:w="850" w:type="dxa"/>
            <w:gridSpan w:val="2"/>
            <w:shd w:val="clear" w:color="auto" w:fill="auto"/>
            <w:vAlign w:val="center"/>
          </w:tcPr>
          <w:p w14:paraId="4E1FFF5D" w14:textId="77777777" w:rsidR="00DB141F" w:rsidRPr="00460798" w:rsidRDefault="00DB141F" w:rsidP="00DB141F">
            <w:pPr>
              <w:rPr>
                <w:sz w:val="20"/>
                <w:szCs w:val="20"/>
              </w:rPr>
            </w:pPr>
            <w:r w:rsidRPr="00460798">
              <w:rPr>
                <w:sz w:val="20"/>
                <w:szCs w:val="20"/>
              </w:rPr>
              <w:t>20</w:t>
            </w:r>
          </w:p>
        </w:tc>
        <w:tc>
          <w:tcPr>
            <w:tcW w:w="994" w:type="dxa"/>
            <w:shd w:val="clear" w:color="auto" w:fill="auto"/>
            <w:vAlign w:val="center"/>
          </w:tcPr>
          <w:p w14:paraId="3C946F8C" w14:textId="77777777" w:rsidR="00DB141F" w:rsidRPr="00460798" w:rsidRDefault="00DB141F" w:rsidP="00DB141F">
            <w:pPr>
              <w:rPr>
                <w:sz w:val="20"/>
                <w:szCs w:val="20"/>
              </w:rPr>
            </w:pPr>
            <w:r w:rsidRPr="00460798">
              <w:rPr>
                <w:sz w:val="20"/>
                <w:szCs w:val="20"/>
              </w:rPr>
              <w:t>50</w:t>
            </w:r>
          </w:p>
        </w:tc>
        <w:tc>
          <w:tcPr>
            <w:tcW w:w="992" w:type="dxa"/>
            <w:gridSpan w:val="2"/>
            <w:shd w:val="clear" w:color="auto" w:fill="auto"/>
            <w:vAlign w:val="center"/>
          </w:tcPr>
          <w:p w14:paraId="258822C1" w14:textId="77777777" w:rsidR="00DB141F" w:rsidRPr="00460798" w:rsidRDefault="00DB141F" w:rsidP="00DB141F">
            <w:pPr>
              <w:rPr>
                <w:sz w:val="20"/>
                <w:szCs w:val="20"/>
              </w:rPr>
            </w:pPr>
            <w:r w:rsidRPr="00460798">
              <w:rPr>
                <w:sz w:val="20"/>
                <w:szCs w:val="20"/>
              </w:rPr>
              <w:t>50</w:t>
            </w:r>
          </w:p>
        </w:tc>
        <w:tc>
          <w:tcPr>
            <w:tcW w:w="995" w:type="dxa"/>
            <w:gridSpan w:val="2"/>
            <w:shd w:val="clear" w:color="auto" w:fill="auto"/>
            <w:vAlign w:val="center"/>
          </w:tcPr>
          <w:p w14:paraId="72AA183B" w14:textId="77777777" w:rsidR="00DB141F" w:rsidRPr="00460798" w:rsidRDefault="00BD2D08" w:rsidP="00DB141F">
            <w:pPr>
              <w:rPr>
                <w:sz w:val="20"/>
                <w:szCs w:val="20"/>
              </w:rPr>
            </w:pPr>
            <w:r w:rsidRPr="00460798">
              <w:rPr>
                <w:sz w:val="20"/>
                <w:szCs w:val="20"/>
              </w:rPr>
              <w:t>50</w:t>
            </w:r>
          </w:p>
        </w:tc>
      </w:tr>
      <w:tr w:rsidR="00DB141F" w14:paraId="4A9C01CE" w14:textId="77777777" w:rsidTr="007E39B8">
        <w:trPr>
          <w:trHeight w:val="340"/>
        </w:trPr>
        <w:tc>
          <w:tcPr>
            <w:tcW w:w="2271" w:type="dxa"/>
            <w:vAlign w:val="center"/>
          </w:tcPr>
          <w:p w14:paraId="33B62CCA" w14:textId="77777777" w:rsidR="00DB141F" w:rsidRPr="00460798" w:rsidRDefault="00DB141F" w:rsidP="00DB141F">
            <w:pPr>
              <w:rPr>
                <w:b/>
                <w:sz w:val="20"/>
                <w:szCs w:val="20"/>
              </w:rPr>
            </w:pPr>
            <w:r w:rsidRPr="00460798">
              <w:rPr>
                <w:b/>
                <w:sz w:val="20"/>
                <w:szCs w:val="20"/>
              </w:rPr>
              <w:t>Benzols</w:t>
            </w:r>
          </w:p>
        </w:tc>
        <w:tc>
          <w:tcPr>
            <w:tcW w:w="849" w:type="dxa"/>
            <w:vAlign w:val="center"/>
          </w:tcPr>
          <w:p w14:paraId="6EE1165A"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4C236ACA" w14:textId="77777777" w:rsidR="00DB141F" w:rsidRPr="00460798" w:rsidRDefault="00DB141F" w:rsidP="00DB141F">
            <w:pPr>
              <w:rPr>
                <w:sz w:val="20"/>
                <w:szCs w:val="20"/>
              </w:rPr>
            </w:pPr>
            <w:r w:rsidRPr="00460798">
              <w:rPr>
                <w:sz w:val="20"/>
                <w:szCs w:val="20"/>
              </w:rPr>
              <w:t>0.2</w:t>
            </w:r>
          </w:p>
        </w:tc>
        <w:tc>
          <w:tcPr>
            <w:tcW w:w="992" w:type="dxa"/>
            <w:shd w:val="clear" w:color="auto" w:fill="D9D9D9" w:themeFill="background1" w:themeFillShade="D9"/>
            <w:vAlign w:val="center"/>
          </w:tcPr>
          <w:p w14:paraId="05C49709" w14:textId="77777777" w:rsidR="00DB141F" w:rsidRPr="00460798" w:rsidRDefault="00DB141F" w:rsidP="00DB141F">
            <w:pPr>
              <w:rPr>
                <w:sz w:val="20"/>
                <w:szCs w:val="20"/>
              </w:rPr>
            </w:pPr>
            <w:r w:rsidRPr="00460798">
              <w:rPr>
                <w:sz w:val="20"/>
                <w:szCs w:val="20"/>
              </w:rPr>
              <w:t>2.6</w:t>
            </w:r>
          </w:p>
        </w:tc>
        <w:tc>
          <w:tcPr>
            <w:tcW w:w="1134" w:type="dxa"/>
            <w:shd w:val="clear" w:color="auto" w:fill="D9D9D9" w:themeFill="background1" w:themeFillShade="D9"/>
            <w:vAlign w:val="center"/>
          </w:tcPr>
          <w:p w14:paraId="61E2EAF7" w14:textId="77777777" w:rsidR="00DB141F" w:rsidRPr="00460798" w:rsidRDefault="00DB141F" w:rsidP="00DB141F">
            <w:pPr>
              <w:rPr>
                <w:sz w:val="20"/>
                <w:szCs w:val="20"/>
              </w:rPr>
            </w:pPr>
            <w:r w:rsidRPr="00460798">
              <w:rPr>
                <w:sz w:val="20"/>
                <w:szCs w:val="20"/>
              </w:rPr>
              <w:t>5</w:t>
            </w:r>
          </w:p>
        </w:tc>
        <w:tc>
          <w:tcPr>
            <w:tcW w:w="850" w:type="dxa"/>
            <w:gridSpan w:val="2"/>
            <w:shd w:val="clear" w:color="auto" w:fill="auto"/>
            <w:vAlign w:val="center"/>
          </w:tcPr>
          <w:p w14:paraId="595CF67F" w14:textId="77777777" w:rsidR="00DB141F" w:rsidRPr="00460798" w:rsidRDefault="00DB141F" w:rsidP="00DB141F">
            <w:pPr>
              <w:rPr>
                <w:sz w:val="20"/>
                <w:szCs w:val="20"/>
              </w:rPr>
            </w:pPr>
            <w:r w:rsidRPr="00460798">
              <w:rPr>
                <w:sz w:val="20"/>
                <w:szCs w:val="20"/>
              </w:rPr>
              <w:t>1</w:t>
            </w:r>
          </w:p>
        </w:tc>
        <w:tc>
          <w:tcPr>
            <w:tcW w:w="994" w:type="dxa"/>
            <w:shd w:val="clear" w:color="auto" w:fill="auto"/>
            <w:vAlign w:val="center"/>
          </w:tcPr>
          <w:p w14:paraId="5E694E23" w14:textId="77777777" w:rsidR="00DB141F" w:rsidRPr="00460798" w:rsidRDefault="00DB141F" w:rsidP="00DB141F">
            <w:pPr>
              <w:rPr>
                <w:sz w:val="20"/>
                <w:szCs w:val="20"/>
              </w:rPr>
            </w:pPr>
            <w:r w:rsidRPr="00460798">
              <w:rPr>
                <w:sz w:val="20"/>
                <w:szCs w:val="20"/>
              </w:rPr>
              <w:t>5</w:t>
            </w:r>
          </w:p>
        </w:tc>
        <w:tc>
          <w:tcPr>
            <w:tcW w:w="992" w:type="dxa"/>
            <w:gridSpan w:val="2"/>
            <w:shd w:val="clear" w:color="auto" w:fill="auto"/>
            <w:vAlign w:val="center"/>
          </w:tcPr>
          <w:p w14:paraId="08E7730E" w14:textId="77777777" w:rsidR="00DB141F" w:rsidRPr="00460798" w:rsidRDefault="00DB141F" w:rsidP="00DB141F">
            <w:pPr>
              <w:rPr>
                <w:sz w:val="20"/>
                <w:szCs w:val="20"/>
              </w:rPr>
            </w:pPr>
            <w:r w:rsidRPr="00460798">
              <w:rPr>
                <w:sz w:val="20"/>
                <w:szCs w:val="20"/>
              </w:rPr>
              <w:t>5</w:t>
            </w:r>
          </w:p>
        </w:tc>
        <w:tc>
          <w:tcPr>
            <w:tcW w:w="995" w:type="dxa"/>
            <w:gridSpan w:val="2"/>
            <w:shd w:val="clear" w:color="auto" w:fill="auto"/>
            <w:vAlign w:val="center"/>
          </w:tcPr>
          <w:p w14:paraId="32358780" w14:textId="77777777" w:rsidR="00DB141F" w:rsidRPr="00460798" w:rsidRDefault="00DB141F" w:rsidP="00DB141F">
            <w:pPr>
              <w:rPr>
                <w:sz w:val="20"/>
                <w:szCs w:val="20"/>
              </w:rPr>
            </w:pPr>
            <w:r w:rsidRPr="00460798">
              <w:rPr>
                <w:sz w:val="20"/>
                <w:szCs w:val="20"/>
              </w:rPr>
              <w:t>10</w:t>
            </w:r>
          </w:p>
        </w:tc>
      </w:tr>
      <w:tr w:rsidR="00DB141F" w14:paraId="6C9E2F8A" w14:textId="77777777" w:rsidTr="007E39B8">
        <w:trPr>
          <w:trHeight w:val="340"/>
        </w:trPr>
        <w:tc>
          <w:tcPr>
            <w:tcW w:w="2271" w:type="dxa"/>
            <w:vAlign w:val="center"/>
          </w:tcPr>
          <w:p w14:paraId="5DFE208A" w14:textId="77777777" w:rsidR="00DB141F" w:rsidRPr="00460798" w:rsidRDefault="00DB141F" w:rsidP="00DB141F">
            <w:pPr>
              <w:rPr>
                <w:b/>
                <w:sz w:val="20"/>
                <w:szCs w:val="20"/>
              </w:rPr>
            </w:pPr>
            <w:proofErr w:type="spellStart"/>
            <w:r w:rsidRPr="00460798">
              <w:rPr>
                <w:b/>
                <w:sz w:val="20"/>
                <w:szCs w:val="20"/>
              </w:rPr>
              <w:t>Etilbenzols</w:t>
            </w:r>
            <w:proofErr w:type="spellEnd"/>
          </w:p>
        </w:tc>
        <w:tc>
          <w:tcPr>
            <w:tcW w:w="849" w:type="dxa"/>
            <w:vAlign w:val="center"/>
          </w:tcPr>
          <w:p w14:paraId="79332CC4"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3B4944DA" w14:textId="77777777" w:rsidR="00DB141F" w:rsidRPr="00460798" w:rsidRDefault="00DB141F" w:rsidP="00DB141F">
            <w:pPr>
              <w:rPr>
                <w:sz w:val="20"/>
                <w:szCs w:val="20"/>
              </w:rPr>
            </w:pPr>
            <w:r w:rsidRPr="00460798">
              <w:rPr>
                <w:sz w:val="20"/>
                <w:szCs w:val="20"/>
              </w:rPr>
              <w:t>0.5</w:t>
            </w:r>
          </w:p>
        </w:tc>
        <w:tc>
          <w:tcPr>
            <w:tcW w:w="992" w:type="dxa"/>
            <w:shd w:val="clear" w:color="auto" w:fill="D9D9D9" w:themeFill="background1" w:themeFillShade="D9"/>
            <w:vAlign w:val="center"/>
          </w:tcPr>
          <w:p w14:paraId="04E33D89" w14:textId="77777777" w:rsidR="00DB141F" w:rsidRPr="00460798" w:rsidRDefault="00DB141F" w:rsidP="00DB141F">
            <w:pPr>
              <w:rPr>
                <w:sz w:val="20"/>
                <w:szCs w:val="20"/>
              </w:rPr>
            </w:pPr>
            <w:r w:rsidRPr="00460798">
              <w:rPr>
                <w:sz w:val="20"/>
                <w:szCs w:val="20"/>
              </w:rPr>
              <w:t>30.25</w:t>
            </w:r>
          </w:p>
        </w:tc>
        <w:tc>
          <w:tcPr>
            <w:tcW w:w="1134" w:type="dxa"/>
            <w:shd w:val="clear" w:color="auto" w:fill="D9D9D9" w:themeFill="background1" w:themeFillShade="D9"/>
            <w:vAlign w:val="center"/>
          </w:tcPr>
          <w:p w14:paraId="1CBC582F" w14:textId="77777777" w:rsidR="00DB141F" w:rsidRPr="00460798" w:rsidRDefault="00DB141F" w:rsidP="00DB141F">
            <w:pPr>
              <w:rPr>
                <w:sz w:val="20"/>
                <w:szCs w:val="20"/>
              </w:rPr>
            </w:pPr>
            <w:r w:rsidRPr="00460798">
              <w:rPr>
                <w:sz w:val="20"/>
                <w:szCs w:val="20"/>
              </w:rPr>
              <w:t>60</w:t>
            </w:r>
          </w:p>
        </w:tc>
        <w:tc>
          <w:tcPr>
            <w:tcW w:w="850" w:type="dxa"/>
            <w:gridSpan w:val="2"/>
            <w:shd w:val="clear" w:color="auto" w:fill="auto"/>
            <w:vAlign w:val="center"/>
          </w:tcPr>
          <w:p w14:paraId="008FCB62" w14:textId="77777777" w:rsidR="00DB141F" w:rsidRPr="00460798" w:rsidRDefault="00DB141F" w:rsidP="00DB141F">
            <w:pPr>
              <w:rPr>
                <w:sz w:val="20"/>
                <w:szCs w:val="20"/>
              </w:rPr>
            </w:pPr>
            <w:r w:rsidRPr="00460798">
              <w:rPr>
                <w:sz w:val="20"/>
                <w:szCs w:val="20"/>
              </w:rPr>
              <w:t>5</w:t>
            </w:r>
          </w:p>
        </w:tc>
        <w:tc>
          <w:tcPr>
            <w:tcW w:w="994" w:type="dxa"/>
            <w:shd w:val="clear" w:color="auto" w:fill="auto"/>
            <w:vAlign w:val="center"/>
          </w:tcPr>
          <w:p w14:paraId="277A2CF2" w14:textId="77777777" w:rsidR="00DB141F" w:rsidRPr="00460798" w:rsidRDefault="00DB141F" w:rsidP="00DB141F">
            <w:pPr>
              <w:rPr>
                <w:sz w:val="20"/>
                <w:szCs w:val="20"/>
              </w:rPr>
            </w:pPr>
            <w:r w:rsidRPr="00460798">
              <w:rPr>
                <w:sz w:val="20"/>
                <w:szCs w:val="20"/>
              </w:rPr>
              <w:t>60</w:t>
            </w:r>
          </w:p>
        </w:tc>
        <w:tc>
          <w:tcPr>
            <w:tcW w:w="992" w:type="dxa"/>
            <w:gridSpan w:val="2"/>
            <w:shd w:val="clear" w:color="auto" w:fill="auto"/>
            <w:vAlign w:val="center"/>
          </w:tcPr>
          <w:p w14:paraId="151AF830" w14:textId="77777777" w:rsidR="00DB141F" w:rsidRPr="00460798" w:rsidRDefault="00DB141F" w:rsidP="00DB141F">
            <w:pPr>
              <w:rPr>
                <w:sz w:val="20"/>
                <w:szCs w:val="20"/>
              </w:rPr>
            </w:pPr>
            <w:r w:rsidRPr="00460798">
              <w:rPr>
                <w:sz w:val="20"/>
                <w:szCs w:val="20"/>
              </w:rPr>
              <w:t>60</w:t>
            </w:r>
          </w:p>
        </w:tc>
        <w:tc>
          <w:tcPr>
            <w:tcW w:w="995" w:type="dxa"/>
            <w:gridSpan w:val="2"/>
            <w:shd w:val="clear" w:color="auto" w:fill="auto"/>
            <w:vAlign w:val="center"/>
          </w:tcPr>
          <w:p w14:paraId="46B01839" w14:textId="77777777" w:rsidR="00DB141F" w:rsidRPr="00460798" w:rsidRDefault="003553D7" w:rsidP="00DB141F">
            <w:pPr>
              <w:rPr>
                <w:sz w:val="20"/>
                <w:szCs w:val="20"/>
              </w:rPr>
            </w:pPr>
            <w:r w:rsidRPr="00460798">
              <w:rPr>
                <w:sz w:val="20"/>
                <w:szCs w:val="20"/>
              </w:rPr>
              <w:t>60</w:t>
            </w:r>
          </w:p>
        </w:tc>
      </w:tr>
      <w:tr w:rsidR="00DB141F" w14:paraId="59B63926" w14:textId="77777777" w:rsidTr="007E39B8">
        <w:trPr>
          <w:trHeight w:val="340"/>
        </w:trPr>
        <w:tc>
          <w:tcPr>
            <w:tcW w:w="2271" w:type="dxa"/>
            <w:vAlign w:val="center"/>
          </w:tcPr>
          <w:p w14:paraId="0B92A7CA" w14:textId="77777777" w:rsidR="00DB141F" w:rsidRPr="00460798" w:rsidRDefault="00DB141F" w:rsidP="00DB141F">
            <w:pPr>
              <w:rPr>
                <w:b/>
                <w:sz w:val="20"/>
                <w:szCs w:val="20"/>
              </w:rPr>
            </w:pPr>
            <w:r w:rsidRPr="00460798">
              <w:rPr>
                <w:b/>
                <w:sz w:val="20"/>
                <w:szCs w:val="20"/>
              </w:rPr>
              <w:t>Toluols</w:t>
            </w:r>
          </w:p>
        </w:tc>
        <w:tc>
          <w:tcPr>
            <w:tcW w:w="849" w:type="dxa"/>
            <w:vAlign w:val="center"/>
          </w:tcPr>
          <w:p w14:paraId="143B9E2B"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4E2F8A6C" w14:textId="77777777" w:rsidR="00DB141F" w:rsidRPr="00460798" w:rsidRDefault="00DB141F" w:rsidP="00DB141F">
            <w:pPr>
              <w:rPr>
                <w:sz w:val="20"/>
                <w:szCs w:val="20"/>
              </w:rPr>
            </w:pPr>
            <w:r w:rsidRPr="00460798">
              <w:rPr>
                <w:sz w:val="20"/>
                <w:szCs w:val="20"/>
              </w:rPr>
              <w:t>0.5</w:t>
            </w:r>
          </w:p>
        </w:tc>
        <w:tc>
          <w:tcPr>
            <w:tcW w:w="992" w:type="dxa"/>
            <w:shd w:val="clear" w:color="auto" w:fill="D9D9D9" w:themeFill="background1" w:themeFillShade="D9"/>
            <w:vAlign w:val="center"/>
          </w:tcPr>
          <w:p w14:paraId="10DE30EC" w14:textId="77777777" w:rsidR="00DB141F" w:rsidRPr="00460798" w:rsidRDefault="00DB141F" w:rsidP="00DB141F">
            <w:pPr>
              <w:rPr>
                <w:sz w:val="20"/>
                <w:szCs w:val="20"/>
              </w:rPr>
            </w:pPr>
            <w:r w:rsidRPr="00460798">
              <w:rPr>
                <w:sz w:val="20"/>
                <w:szCs w:val="20"/>
              </w:rPr>
              <w:t>25.25</w:t>
            </w:r>
          </w:p>
        </w:tc>
        <w:tc>
          <w:tcPr>
            <w:tcW w:w="1134" w:type="dxa"/>
            <w:shd w:val="clear" w:color="auto" w:fill="D9D9D9" w:themeFill="background1" w:themeFillShade="D9"/>
            <w:vAlign w:val="center"/>
          </w:tcPr>
          <w:p w14:paraId="37077F7D" w14:textId="77777777" w:rsidR="00DB141F" w:rsidRPr="00460798" w:rsidRDefault="00DB141F" w:rsidP="00DB141F">
            <w:pPr>
              <w:rPr>
                <w:sz w:val="20"/>
                <w:szCs w:val="20"/>
              </w:rPr>
            </w:pPr>
            <w:r w:rsidRPr="00460798">
              <w:rPr>
                <w:sz w:val="20"/>
                <w:szCs w:val="20"/>
              </w:rPr>
              <w:t>50</w:t>
            </w:r>
          </w:p>
        </w:tc>
        <w:tc>
          <w:tcPr>
            <w:tcW w:w="850" w:type="dxa"/>
            <w:gridSpan w:val="2"/>
            <w:shd w:val="clear" w:color="auto" w:fill="auto"/>
            <w:vAlign w:val="center"/>
          </w:tcPr>
          <w:p w14:paraId="35B2A944" w14:textId="77777777" w:rsidR="00DB141F" w:rsidRPr="00460798" w:rsidRDefault="00DB141F" w:rsidP="00DB141F">
            <w:pPr>
              <w:rPr>
                <w:sz w:val="20"/>
                <w:szCs w:val="20"/>
              </w:rPr>
            </w:pPr>
            <w:r w:rsidRPr="00460798">
              <w:rPr>
                <w:sz w:val="20"/>
                <w:szCs w:val="20"/>
              </w:rPr>
              <w:t>25</w:t>
            </w:r>
          </w:p>
        </w:tc>
        <w:tc>
          <w:tcPr>
            <w:tcW w:w="994" w:type="dxa"/>
            <w:shd w:val="clear" w:color="auto" w:fill="auto"/>
            <w:vAlign w:val="center"/>
          </w:tcPr>
          <w:p w14:paraId="22145ACA" w14:textId="77777777" w:rsidR="00DB141F" w:rsidRPr="00460798" w:rsidRDefault="00DB141F" w:rsidP="00DB141F">
            <w:pPr>
              <w:rPr>
                <w:sz w:val="20"/>
                <w:szCs w:val="20"/>
              </w:rPr>
            </w:pPr>
            <w:r w:rsidRPr="00460798">
              <w:rPr>
                <w:sz w:val="20"/>
                <w:szCs w:val="20"/>
              </w:rPr>
              <w:t>50</w:t>
            </w:r>
          </w:p>
        </w:tc>
        <w:tc>
          <w:tcPr>
            <w:tcW w:w="992" w:type="dxa"/>
            <w:gridSpan w:val="2"/>
            <w:shd w:val="clear" w:color="auto" w:fill="auto"/>
            <w:vAlign w:val="center"/>
          </w:tcPr>
          <w:p w14:paraId="01EBBCFF" w14:textId="77777777" w:rsidR="00DB141F" w:rsidRPr="00460798" w:rsidRDefault="00DB141F" w:rsidP="00DB141F">
            <w:pPr>
              <w:rPr>
                <w:sz w:val="20"/>
                <w:szCs w:val="20"/>
              </w:rPr>
            </w:pPr>
            <w:r w:rsidRPr="00460798">
              <w:rPr>
                <w:sz w:val="20"/>
                <w:szCs w:val="20"/>
              </w:rPr>
              <w:t>50</w:t>
            </w:r>
          </w:p>
        </w:tc>
        <w:tc>
          <w:tcPr>
            <w:tcW w:w="995" w:type="dxa"/>
            <w:gridSpan w:val="2"/>
            <w:shd w:val="clear" w:color="auto" w:fill="auto"/>
            <w:vAlign w:val="center"/>
          </w:tcPr>
          <w:p w14:paraId="4BBE2C4C" w14:textId="77777777" w:rsidR="00DB141F" w:rsidRPr="00460798" w:rsidRDefault="003553D7" w:rsidP="00DB141F">
            <w:pPr>
              <w:rPr>
                <w:sz w:val="20"/>
                <w:szCs w:val="20"/>
              </w:rPr>
            </w:pPr>
            <w:r w:rsidRPr="00460798">
              <w:rPr>
                <w:sz w:val="20"/>
                <w:szCs w:val="20"/>
              </w:rPr>
              <w:t>5</w:t>
            </w:r>
            <w:r w:rsidR="00DB141F" w:rsidRPr="00460798">
              <w:rPr>
                <w:sz w:val="20"/>
                <w:szCs w:val="20"/>
              </w:rPr>
              <w:t>0</w:t>
            </w:r>
          </w:p>
        </w:tc>
      </w:tr>
      <w:tr w:rsidR="00DB141F" w14:paraId="55F9D5EE" w14:textId="77777777" w:rsidTr="007E39B8">
        <w:trPr>
          <w:trHeight w:val="340"/>
        </w:trPr>
        <w:tc>
          <w:tcPr>
            <w:tcW w:w="2271" w:type="dxa"/>
            <w:vAlign w:val="center"/>
          </w:tcPr>
          <w:p w14:paraId="3EBB59F8" w14:textId="77777777" w:rsidR="00DB141F" w:rsidRPr="00460798" w:rsidRDefault="00DB141F" w:rsidP="00DB141F">
            <w:pPr>
              <w:rPr>
                <w:b/>
                <w:sz w:val="20"/>
                <w:szCs w:val="20"/>
              </w:rPr>
            </w:pPr>
            <w:r w:rsidRPr="00460798">
              <w:rPr>
                <w:b/>
                <w:sz w:val="20"/>
                <w:szCs w:val="20"/>
              </w:rPr>
              <w:t xml:space="preserve">p-, m-, o- </w:t>
            </w:r>
            <w:proofErr w:type="spellStart"/>
            <w:r w:rsidRPr="00460798">
              <w:rPr>
                <w:b/>
                <w:sz w:val="20"/>
                <w:szCs w:val="20"/>
              </w:rPr>
              <w:t>ksiloli</w:t>
            </w:r>
            <w:proofErr w:type="spellEnd"/>
          </w:p>
        </w:tc>
        <w:tc>
          <w:tcPr>
            <w:tcW w:w="849" w:type="dxa"/>
            <w:vAlign w:val="center"/>
          </w:tcPr>
          <w:p w14:paraId="34775FE7"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62A6EE78" w14:textId="77777777" w:rsidR="00DB141F" w:rsidRPr="00460798" w:rsidRDefault="00DB141F" w:rsidP="00DB141F">
            <w:pPr>
              <w:rPr>
                <w:sz w:val="20"/>
                <w:szCs w:val="20"/>
              </w:rPr>
            </w:pPr>
            <w:r w:rsidRPr="00460798">
              <w:rPr>
                <w:sz w:val="20"/>
                <w:szCs w:val="20"/>
              </w:rPr>
              <w:t>0.5</w:t>
            </w:r>
          </w:p>
        </w:tc>
        <w:tc>
          <w:tcPr>
            <w:tcW w:w="992" w:type="dxa"/>
            <w:shd w:val="clear" w:color="auto" w:fill="D9D9D9" w:themeFill="background1" w:themeFillShade="D9"/>
            <w:vAlign w:val="center"/>
          </w:tcPr>
          <w:p w14:paraId="39174B5C" w14:textId="77777777" w:rsidR="00DB141F" w:rsidRPr="00460798" w:rsidRDefault="00DB141F" w:rsidP="00DB141F">
            <w:pPr>
              <w:rPr>
                <w:sz w:val="20"/>
                <w:szCs w:val="20"/>
              </w:rPr>
            </w:pPr>
            <w:r w:rsidRPr="00460798">
              <w:rPr>
                <w:sz w:val="20"/>
                <w:szCs w:val="20"/>
              </w:rPr>
              <w:t>30.25</w:t>
            </w:r>
          </w:p>
        </w:tc>
        <w:tc>
          <w:tcPr>
            <w:tcW w:w="1134" w:type="dxa"/>
            <w:shd w:val="clear" w:color="auto" w:fill="D9D9D9" w:themeFill="background1" w:themeFillShade="D9"/>
            <w:vAlign w:val="center"/>
          </w:tcPr>
          <w:p w14:paraId="4DB2D320" w14:textId="77777777" w:rsidR="00DB141F" w:rsidRPr="00460798" w:rsidRDefault="00DB141F" w:rsidP="00DB141F">
            <w:pPr>
              <w:rPr>
                <w:sz w:val="20"/>
                <w:szCs w:val="20"/>
              </w:rPr>
            </w:pPr>
            <w:r w:rsidRPr="00460798">
              <w:rPr>
                <w:sz w:val="20"/>
                <w:szCs w:val="20"/>
              </w:rPr>
              <w:t>60</w:t>
            </w:r>
          </w:p>
        </w:tc>
        <w:tc>
          <w:tcPr>
            <w:tcW w:w="850" w:type="dxa"/>
            <w:gridSpan w:val="2"/>
            <w:shd w:val="clear" w:color="auto" w:fill="auto"/>
            <w:vAlign w:val="center"/>
          </w:tcPr>
          <w:p w14:paraId="605A5022" w14:textId="77777777" w:rsidR="00DB141F" w:rsidRPr="00460798" w:rsidRDefault="00DB141F" w:rsidP="00DB141F">
            <w:pPr>
              <w:rPr>
                <w:sz w:val="20"/>
                <w:szCs w:val="20"/>
              </w:rPr>
            </w:pPr>
            <w:r w:rsidRPr="00460798">
              <w:rPr>
                <w:sz w:val="20"/>
                <w:szCs w:val="20"/>
              </w:rPr>
              <w:t>30</w:t>
            </w:r>
          </w:p>
        </w:tc>
        <w:tc>
          <w:tcPr>
            <w:tcW w:w="994" w:type="dxa"/>
            <w:shd w:val="clear" w:color="auto" w:fill="auto"/>
            <w:vAlign w:val="center"/>
          </w:tcPr>
          <w:p w14:paraId="03C11C92" w14:textId="77777777" w:rsidR="00DB141F" w:rsidRPr="00460798" w:rsidRDefault="00DB141F" w:rsidP="00DB141F">
            <w:pPr>
              <w:rPr>
                <w:sz w:val="20"/>
                <w:szCs w:val="20"/>
              </w:rPr>
            </w:pPr>
            <w:r w:rsidRPr="00460798">
              <w:rPr>
                <w:sz w:val="20"/>
                <w:szCs w:val="20"/>
              </w:rPr>
              <w:t>60</w:t>
            </w:r>
          </w:p>
        </w:tc>
        <w:tc>
          <w:tcPr>
            <w:tcW w:w="992" w:type="dxa"/>
            <w:gridSpan w:val="2"/>
            <w:shd w:val="clear" w:color="auto" w:fill="auto"/>
            <w:vAlign w:val="center"/>
          </w:tcPr>
          <w:p w14:paraId="2271B5F4" w14:textId="77777777" w:rsidR="00DB141F" w:rsidRPr="00460798" w:rsidRDefault="00DB141F" w:rsidP="00DB141F">
            <w:pPr>
              <w:rPr>
                <w:sz w:val="20"/>
                <w:szCs w:val="20"/>
              </w:rPr>
            </w:pPr>
            <w:r w:rsidRPr="00460798">
              <w:rPr>
                <w:sz w:val="20"/>
                <w:szCs w:val="20"/>
              </w:rPr>
              <w:t>60</w:t>
            </w:r>
          </w:p>
        </w:tc>
        <w:tc>
          <w:tcPr>
            <w:tcW w:w="995" w:type="dxa"/>
            <w:gridSpan w:val="2"/>
            <w:shd w:val="clear" w:color="auto" w:fill="auto"/>
            <w:vAlign w:val="center"/>
          </w:tcPr>
          <w:p w14:paraId="7F5E0BDB" w14:textId="77777777" w:rsidR="00DB141F" w:rsidRPr="00460798" w:rsidRDefault="003553D7" w:rsidP="00DB141F">
            <w:pPr>
              <w:rPr>
                <w:sz w:val="20"/>
                <w:szCs w:val="20"/>
              </w:rPr>
            </w:pPr>
            <w:r w:rsidRPr="00460798">
              <w:rPr>
                <w:sz w:val="20"/>
                <w:szCs w:val="20"/>
              </w:rPr>
              <w:t>60</w:t>
            </w:r>
          </w:p>
        </w:tc>
      </w:tr>
      <w:tr w:rsidR="00DB141F" w14:paraId="41015B16" w14:textId="77777777" w:rsidTr="007E39B8">
        <w:trPr>
          <w:trHeight w:val="340"/>
        </w:trPr>
        <w:tc>
          <w:tcPr>
            <w:tcW w:w="2271" w:type="dxa"/>
            <w:vAlign w:val="center"/>
          </w:tcPr>
          <w:p w14:paraId="6C90F196" w14:textId="77777777" w:rsidR="00DB141F" w:rsidRPr="00460798" w:rsidRDefault="00DB141F" w:rsidP="00DB141F">
            <w:pPr>
              <w:rPr>
                <w:i/>
                <w:sz w:val="20"/>
                <w:szCs w:val="20"/>
              </w:rPr>
            </w:pPr>
            <w:r w:rsidRPr="00460798">
              <w:rPr>
                <w:b/>
                <w:i/>
                <w:sz w:val="20"/>
                <w:szCs w:val="20"/>
              </w:rPr>
              <w:t>Naftas ogļūdeņraži (ogļūdeņražu C10-C40 indekss)</w:t>
            </w:r>
          </w:p>
        </w:tc>
        <w:tc>
          <w:tcPr>
            <w:tcW w:w="849" w:type="dxa"/>
            <w:vAlign w:val="center"/>
          </w:tcPr>
          <w:p w14:paraId="0F90F770" w14:textId="77777777" w:rsidR="00DB141F" w:rsidRPr="00460798" w:rsidRDefault="00DB141F" w:rsidP="00DB141F">
            <w:pPr>
              <w:rPr>
                <w:sz w:val="20"/>
                <w:szCs w:val="20"/>
              </w:rPr>
            </w:pPr>
            <w:r w:rsidRPr="00460798">
              <w:rPr>
                <w:rFonts w:ascii="Arial" w:hAnsi="Arial" w:cs="Arial"/>
                <w:color w:val="414142"/>
                <w:sz w:val="20"/>
                <w:szCs w:val="20"/>
                <w:shd w:val="clear" w:color="auto" w:fill="FFFFFF"/>
              </w:rPr>
              <w:t>µg/l</w:t>
            </w:r>
          </w:p>
        </w:tc>
        <w:tc>
          <w:tcPr>
            <w:tcW w:w="988" w:type="dxa"/>
            <w:shd w:val="clear" w:color="auto" w:fill="D9D9D9" w:themeFill="background1" w:themeFillShade="D9"/>
            <w:vAlign w:val="center"/>
          </w:tcPr>
          <w:p w14:paraId="4771458D" w14:textId="77777777" w:rsidR="00DB141F" w:rsidRPr="00460798" w:rsidRDefault="00DB141F" w:rsidP="00DB141F">
            <w:pPr>
              <w:rPr>
                <w:sz w:val="20"/>
                <w:szCs w:val="20"/>
              </w:rPr>
            </w:pPr>
            <w:r w:rsidRPr="00460798">
              <w:rPr>
                <w:sz w:val="20"/>
                <w:szCs w:val="20"/>
              </w:rPr>
              <w:t>-</w:t>
            </w:r>
          </w:p>
        </w:tc>
        <w:tc>
          <w:tcPr>
            <w:tcW w:w="992" w:type="dxa"/>
            <w:shd w:val="clear" w:color="auto" w:fill="D9D9D9" w:themeFill="background1" w:themeFillShade="D9"/>
            <w:vAlign w:val="center"/>
          </w:tcPr>
          <w:p w14:paraId="5F85FF19" w14:textId="77777777" w:rsidR="00DB141F" w:rsidRPr="00460798" w:rsidRDefault="00DB141F" w:rsidP="00DB141F">
            <w:pPr>
              <w:rPr>
                <w:sz w:val="20"/>
                <w:szCs w:val="20"/>
              </w:rPr>
            </w:pPr>
            <w:r w:rsidRPr="00460798">
              <w:rPr>
                <w:sz w:val="20"/>
                <w:szCs w:val="20"/>
              </w:rPr>
              <w:t>500</w:t>
            </w:r>
          </w:p>
        </w:tc>
        <w:tc>
          <w:tcPr>
            <w:tcW w:w="1134" w:type="dxa"/>
            <w:shd w:val="clear" w:color="auto" w:fill="D9D9D9" w:themeFill="background1" w:themeFillShade="D9"/>
            <w:vAlign w:val="center"/>
          </w:tcPr>
          <w:p w14:paraId="329849DC" w14:textId="77777777" w:rsidR="00DB141F" w:rsidRPr="00460798" w:rsidRDefault="00DB141F" w:rsidP="00DB141F">
            <w:pPr>
              <w:rPr>
                <w:sz w:val="20"/>
                <w:szCs w:val="20"/>
              </w:rPr>
            </w:pPr>
            <w:r w:rsidRPr="00460798">
              <w:rPr>
                <w:sz w:val="20"/>
                <w:szCs w:val="20"/>
              </w:rPr>
              <w:t>1000</w:t>
            </w:r>
          </w:p>
        </w:tc>
        <w:tc>
          <w:tcPr>
            <w:tcW w:w="850" w:type="dxa"/>
            <w:gridSpan w:val="2"/>
            <w:shd w:val="clear" w:color="auto" w:fill="auto"/>
            <w:vAlign w:val="center"/>
          </w:tcPr>
          <w:p w14:paraId="1756465B" w14:textId="77777777" w:rsidR="00DB141F" w:rsidRPr="00460798" w:rsidRDefault="00DB141F" w:rsidP="00DB141F">
            <w:pPr>
              <w:rPr>
                <w:sz w:val="20"/>
                <w:szCs w:val="20"/>
              </w:rPr>
            </w:pPr>
            <w:r w:rsidRPr="00460798">
              <w:rPr>
                <w:sz w:val="20"/>
                <w:szCs w:val="20"/>
              </w:rPr>
              <w:t>500</w:t>
            </w:r>
          </w:p>
        </w:tc>
        <w:tc>
          <w:tcPr>
            <w:tcW w:w="994" w:type="dxa"/>
            <w:shd w:val="clear" w:color="auto" w:fill="auto"/>
            <w:vAlign w:val="center"/>
          </w:tcPr>
          <w:p w14:paraId="63D5C4D5" w14:textId="77777777" w:rsidR="00DB141F" w:rsidRPr="00460798" w:rsidRDefault="00DB141F" w:rsidP="00DB141F">
            <w:pPr>
              <w:rPr>
                <w:sz w:val="20"/>
                <w:szCs w:val="20"/>
              </w:rPr>
            </w:pPr>
            <w:r w:rsidRPr="00460798">
              <w:rPr>
                <w:sz w:val="20"/>
                <w:szCs w:val="20"/>
              </w:rPr>
              <w:t>500</w:t>
            </w:r>
          </w:p>
        </w:tc>
        <w:tc>
          <w:tcPr>
            <w:tcW w:w="992" w:type="dxa"/>
            <w:gridSpan w:val="2"/>
            <w:shd w:val="clear" w:color="auto" w:fill="auto"/>
            <w:vAlign w:val="center"/>
          </w:tcPr>
          <w:p w14:paraId="1AED0CED" w14:textId="77777777" w:rsidR="00DB141F" w:rsidRPr="00460798" w:rsidRDefault="00DB141F" w:rsidP="00DB141F">
            <w:pPr>
              <w:rPr>
                <w:sz w:val="20"/>
                <w:szCs w:val="20"/>
              </w:rPr>
            </w:pPr>
            <w:r w:rsidRPr="00460798">
              <w:rPr>
                <w:sz w:val="20"/>
                <w:szCs w:val="20"/>
              </w:rPr>
              <w:t>1000</w:t>
            </w:r>
          </w:p>
        </w:tc>
        <w:tc>
          <w:tcPr>
            <w:tcW w:w="995" w:type="dxa"/>
            <w:gridSpan w:val="2"/>
            <w:shd w:val="clear" w:color="auto" w:fill="auto"/>
            <w:vAlign w:val="center"/>
          </w:tcPr>
          <w:p w14:paraId="1315A902" w14:textId="77777777" w:rsidR="00DB141F" w:rsidRPr="00460798" w:rsidRDefault="00DB141F" w:rsidP="00DB141F">
            <w:pPr>
              <w:rPr>
                <w:sz w:val="20"/>
                <w:szCs w:val="20"/>
              </w:rPr>
            </w:pPr>
            <w:r w:rsidRPr="00460798">
              <w:rPr>
                <w:sz w:val="20"/>
                <w:szCs w:val="20"/>
              </w:rPr>
              <w:t>2000</w:t>
            </w:r>
          </w:p>
        </w:tc>
      </w:tr>
      <w:tr w:rsidR="00376A71" w14:paraId="0631AA30" w14:textId="77777777" w:rsidTr="007E39B8">
        <w:trPr>
          <w:trHeight w:val="340"/>
        </w:trPr>
        <w:tc>
          <w:tcPr>
            <w:tcW w:w="2271" w:type="dxa"/>
            <w:vAlign w:val="center"/>
          </w:tcPr>
          <w:p w14:paraId="6C103F05" w14:textId="77777777" w:rsidR="00376A71" w:rsidRPr="00460798" w:rsidRDefault="00376A71" w:rsidP="00DB141F">
            <w:pPr>
              <w:rPr>
                <w:i/>
                <w:sz w:val="20"/>
                <w:szCs w:val="20"/>
              </w:rPr>
            </w:pPr>
            <w:r w:rsidRPr="00460798">
              <w:rPr>
                <w:i/>
                <w:sz w:val="20"/>
                <w:szCs w:val="20"/>
              </w:rPr>
              <w:lastRenderedPageBreak/>
              <w:t>Bors (B)</w:t>
            </w:r>
          </w:p>
        </w:tc>
        <w:tc>
          <w:tcPr>
            <w:tcW w:w="849" w:type="dxa"/>
            <w:vAlign w:val="center"/>
          </w:tcPr>
          <w:p w14:paraId="464E8F76" w14:textId="77777777" w:rsidR="00376A71" w:rsidRPr="00460798" w:rsidRDefault="00376A71" w:rsidP="00DB141F">
            <w:pPr>
              <w:rPr>
                <w:rFonts w:ascii="Arial" w:hAnsi="Arial" w:cs="Arial"/>
                <w:color w:val="414142"/>
                <w:sz w:val="20"/>
                <w:szCs w:val="20"/>
                <w:shd w:val="clear" w:color="auto" w:fill="FFFFFF"/>
              </w:rPr>
            </w:pPr>
            <w:r w:rsidRPr="00460798">
              <w:rPr>
                <w:sz w:val="20"/>
                <w:szCs w:val="20"/>
              </w:rPr>
              <w:t>µg/l</w:t>
            </w:r>
          </w:p>
        </w:tc>
        <w:tc>
          <w:tcPr>
            <w:tcW w:w="988" w:type="dxa"/>
            <w:shd w:val="clear" w:color="auto" w:fill="D9D9D9" w:themeFill="background1" w:themeFillShade="D9"/>
            <w:vAlign w:val="center"/>
          </w:tcPr>
          <w:p w14:paraId="4EE28A64" w14:textId="77777777" w:rsidR="00376A71" w:rsidRPr="00460798" w:rsidRDefault="00376A71" w:rsidP="00DB141F">
            <w:pPr>
              <w:rPr>
                <w:sz w:val="20"/>
                <w:szCs w:val="20"/>
              </w:rPr>
            </w:pPr>
          </w:p>
        </w:tc>
        <w:tc>
          <w:tcPr>
            <w:tcW w:w="992" w:type="dxa"/>
            <w:shd w:val="clear" w:color="auto" w:fill="D9D9D9" w:themeFill="background1" w:themeFillShade="D9"/>
            <w:vAlign w:val="center"/>
          </w:tcPr>
          <w:p w14:paraId="63E40713" w14:textId="77777777" w:rsidR="00376A71" w:rsidRPr="00460798" w:rsidRDefault="00376A71" w:rsidP="00DB141F">
            <w:pPr>
              <w:rPr>
                <w:sz w:val="20"/>
                <w:szCs w:val="20"/>
              </w:rPr>
            </w:pPr>
          </w:p>
        </w:tc>
        <w:tc>
          <w:tcPr>
            <w:tcW w:w="1134" w:type="dxa"/>
            <w:shd w:val="clear" w:color="auto" w:fill="D9D9D9" w:themeFill="background1" w:themeFillShade="D9"/>
            <w:vAlign w:val="center"/>
          </w:tcPr>
          <w:p w14:paraId="3DF0618F" w14:textId="77777777" w:rsidR="00376A71" w:rsidRPr="00460798" w:rsidRDefault="00376A71" w:rsidP="00DB141F">
            <w:pPr>
              <w:rPr>
                <w:sz w:val="20"/>
                <w:szCs w:val="20"/>
              </w:rPr>
            </w:pPr>
          </w:p>
        </w:tc>
        <w:tc>
          <w:tcPr>
            <w:tcW w:w="850" w:type="dxa"/>
            <w:gridSpan w:val="2"/>
            <w:shd w:val="clear" w:color="auto" w:fill="auto"/>
            <w:vAlign w:val="center"/>
          </w:tcPr>
          <w:p w14:paraId="49DB75E1" w14:textId="77777777" w:rsidR="00376A71" w:rsidRPr="00460798" w:rsidRDefault="00376A71" w:rsidP="00DB141F">
            <w:pPr>
              <w:rPr>
                <w:sz w:val="20"/>
                <w:szCs w:val="20"/>
              </w:rPr>
            </w:pPr>
            <w:r w:rsidRPr="00460798">
              <w:rPr>
                <w:sz w:val="20"/>
                <w:szCs w:val="20"/>
              </w:rPr>
              <w:t>500</w:t>
            </w:r>
          </w:p>
        </w:tc>
        <w:tc>
          <w:tcPr>
            <w:tcW w:w="994" w:type="dxa"/>
            <w:shd w:val="clear" w:color="auto" w:fill="auto"/>
            <w:vAlign w:val="center"/>
          </w:tcPr>
          <w:p w14:paraId="034604CB" w14:textId="77777777" w:rsidR="00376A71" w:rsidRPr="00460798" w:rsidRDefault="00376A71" w:rsidP="00DB141F">
            <w:pPr>
              <w:rPr>
                <w:sz w:val="20"/>
                <w:szCs w:val="20"/>
              </w:rPr>
            </w:pPr>
            <w:r w:rsidRPr="00460798">
              <w:rPr>
                <w:sz w:val="20"/>
                <w:szCs w:val="20"/>
              </w:rPr>
              <w:t>1000</w:t>
            </w:r>
          </w:p>
        </w:tc>
        <w:tc>
          <w:tcPr>
            <w:tcW w:w="992" w:type="dxa"/>
            <w:gridSpan w:val="2"/>
            <w:shd w:val="clear" w:color="auto" w:fill="auto"/>
            <w:vAlign w:val="center"/>
          </w:tcPr>
          <w:p w14:paraId="3032A13C" w14:textId="77777777" w:rsidR="00376A71" w:rsidRPr="00460798" w:rsidRDefault="00376A71" w:rsidP="00DB141F">
            <w:pPr>
              <w:rPr>
                <w:sz w:val="20"/>
                <w:szCs w:val="20"/>
              </w:rPr>
            </w:pPr>
            <w:r w:rsidRPr="00460798">
              <w:rPr>
                <w:sz w:val="20"/>
                <w:szCs w:val="20"/>
              </w:rPr>
              <w:t>1000</w:t>
            </w:r>
          </w:p>
        </w:tc>
        <w:tc>
          <w:tcPr>
            <w:tcW w:w="995" w:type="dxa"/>
            <w:gridSpan w:val="2"/>
            <w:shd w:val="clear" w:color="auto" w:fill="auto"/>
            <w:vAlign w:val="center"/>
          </w:tcPr>
          <w:p w14:paraId="21604B33" w14:textId="77777777" w:rsidR="00376A71" w:rsidRPr="00460798" w:rsidRDefault="00376A71" w:rsidP="00DB141F">
            <w:pPr>
              <w:rPr>
                <w:sz w:val="20"/>
                <w:szCs w:val="20"/>
              </w:rPr>
            </w:pPr>
            <w:r w:rsidRPr="00460798">
              <w:rPr>
                <w:sz w:val="20"/>
                <w:szCs w:val="20"/>
              </w:rPr>
              <w:t>5000</w:t>
            </w:r>
          </w:p>
        </w:tc>
      </w:tr>
      <w:tr w:rsidR="00376A71" w14:paraId="0261E648" w14:textId="77777777" w:rsidTr="007E39B8">
        <w:trPr>
          <w:trHeight w:val="340"/>
        </w:trPr>
        <w:tc>
          <w:tcPr>
            <w:tcW w:w="2271" w:type="dxa"/>
            <w:vAlign w:val="center"/>
          </w:tcPr>
          <w:p w14:paraId="3A5AB1EE" w14:textId="77777777" w:rsidR="00376A71" w:rsidRPr="00460798" w:rsidRDefault="00376A71" w:rsidP="00DB141F">
            <w:pPr>
              <w:rPr>
                <w:i/>
                <w:sz w:val="20"/>
                <w:szCs w:val="20"/>
              </w:rPr>
            </w:pPr>
            <w:r w:rsidRPr="00460798">
              <w:rPr>
                <w:i/>
                <w:sz w:val="20"/>
                <w:szCs w:val="20"/>
              </w:rPr>
              <w:t>Cinks (</w:t>
            </w:r>
            <w:proofErr w:type="spellStart"/>
            <w:r w:rsidRPr="00460798">
              <w:rPr>
                <w:i/>
                <w:sz w:val="20"/>
                <w:szCs w:val="20"/>
              </w:rPr>
              <w:t>Zn</w:t>
            </w:r>
            <w:proofErr w:type="spellEnd"/>
            <w:r w:rsidRPr="00460798">
              <w:rPr>
                <w:i/>
                <w:sz w:val="20"/>
                <w:szCs w:val="20"/>
              </w:rPr>
              <w:t>)</w:t>
            </w:r>
          </w:p>
        </w:tc>
        <w:tc>
          <w:tcPr>
            <w:tcW w:w="849" w:type="dxa"/>
            <w:vAlign w:val="center"/>
          </w:tcPr>
          <w:p w14:paraId="4468BDAB" w14:textId="77777777" w:rsidR="00376A71" w:rsidRPr="00460798" w:rsidRDefault="00376A71" w:rsidP="00DB141F">
            <w:pPr>
              <w:rPr>
                <w:sz w:val="20"/>
                <w:szCs w:val="20"/>
              </w:rPr>
            </w:pPr>
            <w:r w:rsidRPr="00460798">
              <w:rPr>
                <w:sz w:val="20"/>
                <w:szCs w:val="20"/>
              </w:rPr>
              <w:t>µg/l</w:t>
            </w:r>
          </w:p>
        </w:tc>
        <w:tc>
          <w:tcPr>
            <w:tcW w:w="988" w:type="dxa"/>
            <w:shd w:val="clear" w:color="auto" w:fill="D9D9D9" w:themeFill="background1" w:themeFillShade="D9"/>
            <w:vAlign w:val="center"/>
          </w:tcPr>
          <w:p w14:paraId="01412A88" w14:textId="77777777" w:rsidR="00376A71" w:rsidRPr="00460798" w:rsidRDefault="00376A71" w:rsidP="00DB141F">
            <w:pPr>
              <w:rPr>
                <w:sz w:val="20"/>
                <w:szCs w:val="20"/>
              </w:rPr>
            </w:pPr>
          </w:p>
        </w:tc>
        <w:tc>
          <w:tcPr>
            <w:tcW w:w="992" w:type="dxa"/>
            <w:shd w:val="clear" w:color="auto" w:fill="D9D9D9" w:themeFill="background1" w:themeFillShade="D9"/>
            <w:vAlign w:val="center"/>
          </w:tcPr>
          <w:p w14:paraId="3C095BFA" w14:textId="77777777" w:rsidR="00376A71" w:rsidRPr="00460798" w:rsidRDefault="00376A71" w:rsidP="00DB141F">
            <w:pPr>
              <w:rPr>
                <w:sz w:val="20"/>
                <w:szCs w:val="20"/>
              </w:rPr>
            </w:pPr>
          </w:p>
        </w:tc>
        <w:tc>
          <w:tcPr>
            <w:tcW w:w="1134" w:type="dxa"/>
            <w:shd w:val="clear" w:color="auto" w:fill="D9D9D9" w:themeFill="background1" w:themeFillShade="D9"/>
            <w:vAlign w:val="center"/>
          </w:tcPr>
          <w:p w14:paraId="4E1A64FB" w14:textId="77777777" w:rsidR="00376A71" w:rsidRPr="00460798" w:rsidRDefault="00376A71" w:rsidP="00DB141F">
            <w:pPr>
              <w:rPr>
                <w:sz w:val="20"/>
                <w:szCs w:val="20"/>
              </w:rPr>
            </w:pPr>
          </w:p>
        </w:tc>
        <w:tc>
          <w:tcPr>
            <w:tcW w:w="850" w:type="dxa"/>
            <w:gridSpan w:val="2"/>
            <w:shd w:val="clear" w:color="auto" w:fill="auto"/>
            <w:vAlign w:val="center"/>
          </w:tcPr>
          <w:p w14:paraId="65A0CA59" w14:textId="77777777" w:rsidR="00376A71" w:rsidRPr="00460798" w:rsidRDefault="00376A71" w:rsidP="00DB141F">
            <w:pPr>
              <w:rPr>
                <w:sz w:val="20"/>
                <w:szCs w:val="20"/>
              </w:rPr>
            </w:pPr>
            <w:r w:rsidRPr="00460798">
              <w:rPr>
                <w:sz w:val="20"/>
                <w:szCs w:val="20"/>
              </w:rPr>
              <w:t>100</w:t>
            </w:r>
          </w:p>
        </w:tc>
        <w:tc>
          <w:tcPr>
            <w:tcW w:w="994" w:type="dxa"/>
            <w:shd w:val="clear" w:color="auto" w:fill="auto"/>
            <w:vAlign w:val="center"/>
          </w:tcPr>
          <w:p w14:paraId="647F9803" w14:textId="77777777" w:rsidR="00376A71" w:rsidRPr="00460798" w:rsidRDefault="00376A71" w:rsidP="00DB141F">
            <w:pPr>
              <w:rPr>
                <w:sz w:val="20"/>
                <w:szCs w:val="20"/>
              </w:rPr>
            </w:pPr>
            <w:r w:rsidRPr="00460798">
              <w:rPr>
                <w:sz w:val="20"/>
                <w:szCs w:val="20"/>
              </w:rPr>
              <w:t>300</w:t>
            </w:r>
          </w:p>
        </w:tc>
        <w:tc>
          <w:tcPr>
            <w:tcW w:w="992" w:type="dxa"/>
            <w:gridSpan w:val="2"/>
            <w:shd w:val="clear" w:color="auto" w:fill="auto"/>
            <w:vAlign w:val="center"/>
          </w:tcPr>
          <w:p w14:paraId="0DF7A992" w14:textId="77777777" w:rsidR="00376A71" w:rsidRPr="00460798" w:rsidRDefault="00376A71" w:rsidP="00DB141F">
            <w:pPr>
              <w:rPr>
                <w:sz w:val="20"/>
                <w:szCs w:val="20"/>
              </w:rPr>
            </w:pPr>
            <w:r w:rsidRPr="00460798">
              <w:rPr>
                <w:sz w:val="20"/>
                <w:szCs w:val="20"/>
              </w:rPr>
              <w:t>300</w:t>
            </w:r>
          </w:p>
        </w:tc>
        <w:tc>
          <w:tcPr>
            <w:tcW w:w="995" w:type="dxa"/>
            <w:gridSpan w:val="2"/>
            <w:shd w:val="clear" w:color="auto" w:fill="auto"/>
            <w:vAlign w:val="center"/>
          </w:tcPr>
          <w:p w14:paraId="713110E4" w14:textId="77777777" w:rsidR="00376A71" w:rsidRPr="00460798" w:rsidRDefault="00376A71" w:rsidP="00DB141F">
            <w:pPr>
              <w:rPr>
                <w:sz w:val="20"/>
                <w:szCs w:val="20"/>
              </w:rPr>
            </w:pPr>
            <w:r w:rsidRPr="00460798">
              <w:rPr>
                <w:sz w:val="20"/>
                <w:szCs w:val="20"/>
              </w:rPr>
              <w:t>1000</w:t>
            </w:r>
          </w:p>
        </w:tc>
      </w:tr>
      <w:tr w:rsidR="00DB141F" w14:paraId="0207611C" w14:textId="77777777" w:rsidTr="007E39B8">
        <w:trPr>
          <w:trHeight w:val="340"/>
        </w:trPr>
        <w:tc>
          <w:tcPr>
            <w:tcW w:w="2271" w:type="dxa"/>
            <w:vAlign w:val="center"/>
          </w:tcPr>
          <w:p w14:paraId="00CBF78E" w14:textId="77777777" w:rsidR="00DB141F" w:rsidRPr="00460798" w:rsidRDefault="00DB141F" w:rsidP="00DB141F">
            <w:pPr>
              <w:rPr>
                <w:b/>
                <w:sz w:val="20"/>
                <w:szCs w:val="20"/>
              </w:rPr>
            </w:pPr>
            <w:r w:rsidRPr="00460798">
              <w:rPr>
                <w:b/>
                <w:sz w:val="20"/>
                <w:szCs w:val="20"/>
              </w:rPr>
              <w:t>Arsēns (</w:t>
            </w:r>
            <w:proofErr w:type="spellStart"/>
            <w:r w:rsidRPr="00460798">
              <w:rPr>
                <w:b/>
                <w:sz w:val="20"/>
                <w:szCs w:val="20"/>
              </w:rPr>
              <w:t>As</w:t>
            </w:r>
            <w:proofErr w:type="spellEnd"/>
            <w:r w:rsidRPr="00460798">
              <w:rPr>
                <w:b/>
                <w:sz w:val="20"/>
                <w:szCs w:val="20"/>
              </w:rPr>
              <w:t>)**</w:t>
            </w:r>
          </w:p>
        </w:tc>
        <w:tc>
          <w:tcPr>
            <w:tcW w:w="849" w:type="dxa"/>
            <w:vAlign w:val="center"/>
          </w:tcPr>
          <w:p w14:paraId="2BE4BA30"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00C7855F"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01544E37" w14:textId="77777777" w:rsidR="00DB141F" w:rsidRPr="00460798" w:rsidRDefault="00DB141F" w:rsidP="00DB141F">
            <w:pPr>
              <w:rPr>
                <w:sz w:val="20"/>
                <w:szCs w:val="20"/>
              </w:rPr>
            </w:pPr>
            <w:r w:rsidRPr="00460798">
              <w:rPr>
                <w:sz w:val="20"/>
                <w:szCs w:val="20"/>
              </w:rPr>
              <w:t>30</w:t>
            </w:r>
          </w:p>
        </w:tc>
        <w:tc>
          <w:tcPr>
            <w:tcW w:w="1134" w:type="dxa"/>
            <w:shd w:val="clear" w:color="auto" w:fill="D9D9D9" w:themeFill="background1" w:themeFillShade="D9"/>
            <w:vAlign w:val="center"/>
          </w:tcPr>
          <w:p w14:paraId="1A4954C3" w14:textId="77777777" w:rsidR="00DB141F" w:rsidRPr="00460798" w:rsidRDefault="00DB141F" w:rsidP="00DB141F">
            <w:pPr>
              <w:rPr>
                <w:sz w:val="20"/>
                <w:szCs w:val="20"/>
              </w:rPr>
            </w:pPr>
            <w:r w:rsidRPr="00460798">
              <w:rPr>
                <w:sz w:val="20"/>
                <w:szCs w:val="20"/>
              </w:rPr>
              <w:t>60</w:t>
            </w:r>
          </w:p>
        </w:tc>
        <w:tc>
          <w:tcPr>
            <w:tcW w:w="850" w:type="dxa"/>
            <w:gridSpan w:val="2"/>
            <w:shd w:val="clear" w:color="auto" w:fill="auto"/>
            <w:vAlign w:val="center"/>
          </w:tcPr>
          <w:p w14:paraId="0A4569B9" w14:textId="77777777" w:rsidR="00DB141F" w:rsidRPr="00460798" w:rsidRDefault="00DB141F" w:rsidP="00DB141F">
            <w:pPr>
              <w:rPr>
                <w:sz w:val="20"/>
                <w:szCs w:val="20"/>
              </w:rPr>
            </w:pPr>
            <w:r w:rsidRPr="00460798">
              <w:rPr>
                <w:sz w:val="20"/>
                <w:szCs w:val="20"/>
              </w:rPr>
              <w:t>10</w:t>
            </w:r>
          </w:p>
        </w:tc>
        <w:tc>
          <w:tcPr>
            <w:tcW w:w="994" w:type="dxa"/>
            <w:shd w:val="clear" w:color="auto" w:fill="auto"/>
            <w:vAlign w:val="center"/>
          </w:tcPr>
          <w:p w14:paraId="23F5997A" w14:textId="77777777" w:rsidR="00DB141F" w:rsidRPr="00460798" w:rsidRDefault="00376A71" w:rsidP="00DB141F">
            <w:pPr>
              <w:rPr>
                <w:sz w:val="20"/>
                <w:szCs w:val="20"/>
              </w:rPr>
            </w:pPr>
            <w:r w:rsidRPr="00460798">
              <w:rPr>
                <w:sz w:val="20"/>
                <w:szCs w:val="20"/>
              </w:rPr>
              <w:t>30</w:t>
            </w:r>
          </w:p>
        </w:tc>
        <w:tc>
          <w:tcPr>
            <w:tcW w:w="992" w:type="dxa"/>
            <w:gridSpan w:val="2"/>
            <w:shd w:val="clear" w:color="auto" w:fill="auto"/>
            <w:vAlign w:val="center"/>
          </w:tcPr>
          <w:p w14:paraId="200DAACC" w14:textId="77777777" w:rsidR="00DB141F" w:rsidRPr="00460798" w:rsidRDefault="00DB141F" w:rsidP="00DB141F">
            <w:pPr>
              <w:rPr>
                <w:sz w:val="20"/>
                <w:szCs w:val="20"/>
              </w:rPr>
            </w:pPr>
            <w:r w:rsidRPr="00460798">
              <w:rPr>
                <w:sz w:val="20"/>
                <w:szCs w:val="20"/>
              </w:rPr>
              <w:t>30</w:t>
            </w:r>
          </w:p>
        </w:tc>
        <w:tc>
          <w:tcPr>
            <w:tcW w:w="995" w:type="dxa"/>
            <w:gridSpan w:val="2"/>
            <w:shd w:val="clear" w:color="auto" w:fill="auto"/>
            <w:vAlign w:val="center"/>
          </w:tcPr>
          <w:p w14:paraId="475E26E8" w14:textId="77777777" w:rsidR="00DB141F" w:rsidRPr="00460798" w:rsidRDefault="00DB141F" w:rsidP="00DB141F">
            <w:pPr>
              <w:rPr>
                <w:sz w:val="20"/>
                <w:szCs w:val="20"/>
              </w:rPr>
            </w:pPr>
            <w:r w:rsidRPr="00460798">
              <w:rPr>
                <w:sz w:val="20"/>
                <w:szCs w:val="20"/>
              </w:rPr>
              <w:t>50</w:t>
            </w:r>
          </w:p>
        </w:tc>
      </w:tr>
      <w:tr w:rsidR="00DB141F" w14:paraId="6BB8D855" w14:textId="77777777" w:rsidTr="007E39B8">
        <w:trPr>
          <w:trHeight w:val="340"/>
        </w:trPr>
        <w:tc>
          <w:tcPr>
            <w:tcW w:w="2271" w:type="dxa"/>
            <w:vAlign w:val="center"/>
          </w:tcPr>
          <w:p w14:paraId="702525F1" w14:textId="77777777" w:rsidR="00DB141F" w:rsidRPr="00460798" w:rsidRDefault="00DB141F" w:rsidP="00DB141F">
            <w:pPr>
              <w:rPr>
                <w:b/>
                <w:sz w:val="20"/>
                <w:szCs w:val="20"/>
              </w:rPr>
            </w:pPr>
            <w:r w:rsidRPr="00460798">
              <w:rPr>
                <w:b/>
                <w:sz w:val="20"/>
                <w:szCs w:val="20"/>
              </w:rPr>
              <w:t>Dzīvsudrabs (</w:t>
            </w:r>
            <w:proofErr w:type="spellStart"/>
            <w:r w:rsidRPr="00460798">
              <w:rPr>
                <w:b/>
                <w:sz w:val="20"/>
                <w:szCs w:val="20"/>
              </w:rPr>
              <w:t>Hg</w:t>
            </w:r>
            <w:proofErr w:type="spellEnd"/>
            <w:r w:rsidRPr="00460798">
              <w:rPr>
                <w:b/>
                <w:sz w:val="20"/>
                <w:szCs w:val="20"/>
              </w:rPr>
              <w:t>)**</w:t>
            </w:r>
          </w:p>
        </w:tc>
        <w:tc>
          <w:tcPr>
            <w:tcW w:w="849" w:type="dxa"/>
            <w:vAlign w:val="center"/>
          </w:tcPr>
          <w:p w14:paraId="5C2D864A"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5985997A" w14:textId="77777777" w:rsidR="00DB141F" w:rsidRPr="00460798" w:rsidRDefault="00DB141F" w:rsidP="00DB141F">
            <w:pPr>
              <w:rPr>
                <w:sz w:val="20"/>
                <w:szCs w:val="20"/>
              </w:rPr>
            </w:pPr>
            <w:r w:rsidRPr="00460798">
              <w:rPr>
                <w:sz w:val="20"/>
                <w:szCs w:val="20"/>
              </w:rPr>
              <w:t>0.05</w:t>
            </w:r>
          </w:p>
        </w:tc>
        <w:tc>
          <w:tcPr>
            <w:tcW w:w="992" w:type="dxa"/>
            <w:shd w:val="clear" w:color="auto" w:fill="D9D9D9" w:themeFill="background1" w:themeFillShade="D9"/>
            <w:vAlign w:val="center"/>
          </w:tcPr>
          <w:p w14:paraId="755DB9EE" w14:textId="77777777" w:rsidR="00DB141F" w:rsidRPr="00460798" w:rsidRDefault="00DB141F" w:rsidP="00DB141F">
            <w:pPr>
              <w:rPr>
                <w:sz w:val="20"/>
                <w:szCs w:val="20"/>
              </w:rPr>
            </w:pPr>
            <w:r w:rsidRPr="00460798">
              <w:rPr>
                <w:sz w:val="20"/>
                <w:szCs w:val="20"/>
              </w:rPr>
              <w:t>0.175</w:t>
            </w:r>
          </w:p>
        </w:tc>
        <w:tc>
          <w:tcPr>
            <w:tcW w:w="1134" w:type="dxa"/>
            <w:shd w:val="clear" w:color="auto" w:fill="D9D9D9" w:themeFill="background1" w:themeFillShade="D9"/>
            <w:vAlign w:val="center"/>
          </w:tcPr>
          <w:p w14:paraId="27B2CCC8" w14:textId="77777777" w:rsidR="00DB141F" w:rsidRPr="00460798" w:rsidRDefault="00DB141F" w:rsidP="00DB141F">
            <w:pPr>
              <w:rPr>
                <w:sz w:val="20"/>
                <w:szCs w:val="20"/>
              </w:rPr>
            </w:pPr>
            <w:r w:rsidRPr="00460798">
              <w:rPr>
                <w:sz w:val="20"/>
                <w:szCs w:val="20"/>
              </w:rPr>
              <w:t>0.3</w:t>
            </w:r>
          </w:p>
        </w:tc>
        <w:tc>
          <w:tcPr>
            <w:tcW w:w="850" w:type="dxa"/>
            <w:gridSpan w:val="2"/>
            <w:shd w:val="clear" w:color="auto" w:fill="auto"/>
            <w:vAlign w:val="center"/>
          </w:tcPr>
          <w:p w14:paraId="1166EF19" w14:textId="77777777" w:rsidR="00DB141F" w:rsidRPr="00460798" w:rsidRDefault="00DB141F" w:rsidP="00DB141F">
            <w:pPr>
              <w:rPr>
                <w:sz w:val="20"/>
                <w:szCs w:val="20"/>
              </w:rPr>
            </w:pPr>
            <w:r w:rsidRPr="00460798">
              <w:rPr>
                <w:sz w:val="20"/>
                <w:szCs w:val="20"/>
              </w:rPr>
              <w:t>0.175</w:t>
            </w:r>
          </w:p>
        </w:tc>
        <w:tc>
          <w:tcPr>
            <w:tcW w:w="994" w:type="dxa"/>
            <w:shd w:val="clear" w:color="auto" w:fill="auto"/>
            <w:vAlign w:val="center"/>
          </w:tcPr>
          <w:p w14:paraId="34EF4EC6" w14:textId="77777777" w:rsidR="00DB141F" w:rsidRPr="00460798" w:rsidRDefault="00DB141F" w:rsidP="00DB141F">
            <w:pPr>
              <w:rPr>
                <w:sz w:val="20"/>
                <w:szCs w:val="20"/>
              </w:rPr>
            </w:pPr>
            <w:r w:rsidRPr="00460798">
              <w:rPr>
                <w:sz w:val="20"/>
                <w:szCs w:val="20"/>
              </w:rPr>
              <w:t>0.3</w:t>
            </w:r>
          </w:p>
        </w:tc>
        <w:tc>
          <w:tcPr>
            <w:tcW w:w="992" w:type="dxa"/>
            <w:gridSpan w:val="2"/>
            <w:shd w:val="clear" w:color="auto" w:fill="auto"/>
            <w:vAlign w:val="center"/>
          </w:tcPr>
          <w:p w14:paraId="5BADE0B6" w14:textId="77777777" w:rsidR="00DB141F" w:rsidRPr="00460798" w:rsidRDefault="00DB141F" w:rsidP="00DB141F">
            <w:pPr>
              <w:rPr>
                <w:sz w:val="20"/>
                <w:szCs w:val="20"/>
              </w:rPr>
            </w:pPr>
            <w:r w:rsidRPr="00460798">
              <w:rPr>
                <w:sz w:val="20"/>
                <w:szCs w:val="20"/>
              </w:rPr>
              <w:t>0.3</w:t>
            </w:r>
          </w:p>
        </w:tc>
        <w:tc>
          <w:tcPr>
            <w:tcW w:w="995" w:type="dxa"/>
            <w:gridSpan w:val="2"/>
            <w:shd w:val="clear" w:color="auto" w:fill="auto"/>
            <w:vAlign w:val="center"/>
          </w:tcPr>
          <w:p w14:paraId="38929DB4" w14:textId="77777777" w:rsidR="00DB141F" w:rsidRPr="00460798" w:rsidRDefault="00176142" w:rsidP="00DB141F">
            <w:pPr>
              <w:rPr>
                <w:sz w:val="20"/>
                <w:szCs w:val="20"/>
              </w:rPr>
            </w:pPr>
            <w:r w:rsidRPr="00460798">
              <w:rPr>
                <w:sz w:val="20"/>
                <w:szCs w:val="20"/>
              </w:rPr>
              <w:t>0.3</w:t>
            </w:r>
          </w:p>
        </w:tc>
      </w:tr>
      <w:tr w:rsidR="00DB141F" w14:paraId="6D651A9A" w14:textId="77777777" w:rsidTr="007E39B8">
        <w:trPr>
          <w:trHeight w:val="340"/>
        </w:trPr>
        <w:tc>
          <w:tcPr>
            <w:tcW w:w="2271" w:type="dxa"/>
            <w:vAlign w:val="center"/>
          </w:tcPr>
          <w:p w14:paraId="2D501BD5" w14:textId="77777777" w:rsidR="00DB141F" w:rsidRPr="00460798" w:rsidRDefault="00DB141F" w:rsidP="00DB141F">
            <w:pPr>
              <w:rPr>
                <w:b/>
                <w:sz w:val="20"/>
                <w:szCs w:val="20"/>
              </w:rPr>
            </w:pPr>
            <w:r w:rsidRPr="00460798">
              <w:rPr>
                <w:b/>
                <w:sz w:val="20"/>
                <w:szCs w:val="20"/>
              </w:rPr>
              <w:t>Hroms (</w:t>
            </w:r>
            <w:proofErr w:type="spellStart"/>
            <w:r w:rsidRPr="00460798">
              <w:rPr>
                <w:b/>
                <w:sz w:val="20"/>
                <w:szCs w:val="20"/>
              </w:rPr>
              <w:t>Cr</w:t>
            </w:r>
            <w:proofErr w:type="spellEnd"/>
            <w:r w:rsidRPr="00460798">
              <w:rPr>
                <w:b/>
                <w:sz w:val="20"/>
                <w:szCs w:val="20"/>
              </w:rPr>
              <w:t>)</w:t>
            </w:r>
          </w:p>
        </w:tc>
        <w:tc>
          <w:tcPr>
            <w:tcW w:w="849" w:type="dxa"/>
            <w:vAlign w:val="center"/>
          </w:tcPr>
          <w:p w14:paraId="75488408"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79FE15F2"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239CEC9C" w14:textId="77777777" w:rsidR="00DB141F" w:rsidRPr="00460798" w:rsidRDefault="00DB141F" w:rsidP="00DB141F">
            <w:pPr>
              <w:rPr>
                <w:sz w:val="20"/>
                <w:szCs w:val="20"/>
              </w:rPr>
            </w:pPr>
            <w:r w:rsidRPr="00460798">
              <w:rPr>
                <w:sz w:val="20"/>
                <w:szCs w:val="20"/>
              </w:rPr>
              <w:t>20</w:t>
            </w:r>
          </w:p>
        </w:tc>
        <w:tc>
          <w:tcPr>
            <w:tcW w:w="1134" w:type="dxa"/>
            <w:shd w:val="clear" w:color="auto" w:fill="D9D9D9" w:themeFill="background1" w:themeFillShade="D9"/>
            <w:vAlign w:val="center"/>
          </w:tcPr>
          <w:p w14:paraId="562DF4B6" w14:textId="77777777" w:rsidR="00DB141F" w:rsidRPr="00460798" w:rsidRDefault="00DB141F" w:rsidP="00DB141F">
            <w:pPr>
              <w:rPr>
                <w:sz w:val="20"/>
                <w:szCs w:val="20"/>
              </w:rPr>
            </w:pPr>
            <w:r w:rsidRPr="00460798">
              <w:rPr>
                <w:sz w:val="20"/>
                <w:szCs w:val="20"/>
              </w:rPr>
              <w:t>30</w:t>
            </w:r>
          </w:p>
        </w:tc>
        <w:tc>
          <w:tcPr>
            <w:tcW w:w="850" w:type="dxa"/>
            <w:gridSpan w:val="2"/>
            <w:shd w:val="clear" w:color="auto" w:fill="auto"/>
            <w:vAlign w:val="center"/>
          </w:tcPr>
          <w:p w14:paraId="3C11D45E" w14:textId="77777777" w:rsidR="00DB141F" w:rsidRPr="00460798" w:rsidRDefault="00BA486E" w:rsidP="00DB141F">
            <w:pPr>
              <w:rPr>
                <w:sz w:val="20"/>
                <w:szCs w:val="20"/>
              </w:rPr>
            </w:pPr>
            <w:r w:rsidRPr="00460798">
              <w:rPr>
                <w:sz w:val="20"/>
                <w:szCs w:val="20"/>
              </w:rPr>
              <w:t>20</w:t>
            </w:r>
          </w:p>
        </w:tc>
        <w:tc>
          <w:tcPr>
            <w:tcW w:w="994" w:type="dxa"/>
            <w:shd w:val="clear" w:color="auto" w:fill="auto"/>
            <w:vAlign w:val="center"/>
          </w:tcPr>
          <w:p w14:paraId="130CE35B" w14:textId="77777777" w:rsidR="00DB141F" w:rsidRPr="00460798" w:rsidRDefault="00BA486E" w:rsidP="00DB141F">
            <w:pPr>
              <w:rPr>
                <w:sz w:val="20"/>
                <w:szCs w:val="20"/>
              </w:rPr>
            </w:pPr>
            <w:r w:rsidRPr="00460798">
              <w:rPr>
                <w:sz w:val="20"/>
                <w:szCs w:val="20"/>
              </w:rPr>
              <w:t>30</w:t>
            </w:r>
          </w:p>
        </w:tc>
        <w:tc>
          <w:tcPr>
            <w:tcW w:w="992" w:type="dxa"/>
            <w:gridSpan w:val="2"/>
            <w:shd w:val="clear" w:color="auto" w:fill="auto"/>
            <w:vAlign w:val="center"/>
          </w:tcPr>
          <w:p w14:paraId="707ADF4A" w14:textId="77777777" w:rsidR="00DB141F" w:rsidRPr="00460798" w:rsidRDefault="00BA486E" w:rsidP="00DB141F">
            <w:pPr>
              <w:rPr>
                <w:sz w:val="20"/>
                <w:szCs w:val="20"/>
              </w:rPr>
            </w:pPr>
            <w:r w:rsidRPr="00460798">
              <w:rPr>
                <w:sz w:val="20"/>
                <w:szCs w:val="20"/>
              </w:rPr>
              <w:t>3</w:t>
            </w:r>
            <w:r w:rsidR="00DB141F" w:rsidRPr="00460798">
              <w:rPr>
                <w:sz w:val="20"/>
                <w:szCs w:val="20"/>
              </w:rPr>
              <w:t>0</w:t>
            </w:r>
          </w:p>
        </w:tc>
        <w:tc>
          <w:tcPr>
            <w:tcW w:w="995" w:type="dxa"/>
            <w:gridSpan w:val="2"/>
            <w:shd w:val="clear" w:color="auto" w:fill="auto"/>
            <w:vAlign w:val="center"/>
          </w:tcPr>
          <w:p w14:paraId="34D513CB" w14:textId="77777777" w:rsidR="00DB141F" w:rsidRPr="00460798" w:rsidRDefault="00DB141F" w:rsidP="00DB141F">
            <w:pPr>
              <w:rPr>
                <w:sz w:val="20"/>
                <w:szCs w:val="20"/>
              </w:rPr>
            </w:pPr>
            <w:r w:rsidRPr="00460798">
              <w:rPr>
                <w:sz w:val="20"/>
                <w:szCs w:val="20"/>
              </w:rPr>
              <w:t>30</w:t>
            </w:r>
          </w:p>
        </w:tc>
      </w:tr>
      <w:tr w:rsidR="00DB141F" w14:paraId="6B67A0AF" w14:textId="77777777" w:rsidTr="007E39B8">
        <w:trPr>
          <w:trHeight w:val="340"/>
        </w:trPr>
        <w:tc>
          <w:tcPr>
            <w:tcW w:w="2271" w:type="dxa"/>
            <w:vAlign w:val="center"/>
          </w:tcPr>
          <w:p w14:paraId="5ABA6733" w14:textId="77777777" w:rsidR="00DB141F" w:rsidRPr="00460798" w:rsidRDefault="00DB141F" w:rsidP="00DB141F">
            <w:pPr>
              <w:rPr>
                <w:b/>
                <w:sz w:val="20"/>
                <w:szCs w:val="20"/>
              </w:rPr>
            </w:pPr>
            <w:r w:rsidRPr="00460798">
              <w:rPr>
                <w:b/>
                <w:sz w:val="20"/>
                <w:szCs w:val="20"/>
              </w:rPr>
              <w:t>Kadmijs (</w:t>
            </w:r>
            <w:proofErr w:type="spellStart"/>
            <w:r w:rsidRPr="00460798">
              <w:rPr>
                <w:b/>
                <w:sz w:val="20"/>
                <w:szCs w:val="20"/>
              </w:rPr>
              <w:t>Cd</w:t>
            </w:r>
            <w:proofErr w:type="spellEnd"/>
            <w:r w:rsidRPr="00460798">
              <w:rPr>
                <w:b/>
                <w:sz w:val="20"/>
                <w:szCs w:val="20"/>
              </w:rPr>
              <w:t>)**</w:t>
            </w:r>
          </w:p>
        </w:tc>
        <w:tc>
          <w:tcPr>
            <w:tcW w:w="849" w:type="dxa"/>
            <w:vAlign w:val="center"/>
          </w:tcPr>
          <w:p w14:paraId="3C16070A"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3418D99C" w14:textId="77777777" w:rsidR="00DB141F" w:rsidRPr="00460798" w:rsidRDefault="00DB141F" w:rsidP="00DB141F">
            <w:pPr>
              <w:rPr>
                <w:sz w:val="20"/>
                <w:szCs w:val="20"/>
              </w:rPr>
            </w:pPr>
            <w:r w:rsidRPr="00460798">
              <w:rPr>
                <w:sz w:val="20"/>
                <w:szCs w:val="20"/>
              </w:rPr>
              <w:t>1</w:t>
            </w:r>
          </w:p>
        </w:tc>
        <w:tc>
          <w:tcPr>
            <w:tcW w:w="992" w:type="dxa"/>
            <w:shd w:val="clear" w:color="auto" w:fill="D9D9D9" w:themeFill="background1" w:themeFillShade="D9"/>
            <w:vAlign w:val="center"/>
          </w:tcPr>
          <w:p w14:paraId="3860FA62" w14:textId="77777777" w:rsidR="00DB141F" w:rsidRPr="00460798" w:rsidRDefault="00DB141F" w:rsidP="00DB141F">
            <w:pPr>
              <w:rPr>
                <w:sz w:val="20"/>
                <w:szCs w:val="20"/>
              </w:rPr>
            </w:pPr>
            <w:r w:rsidRPr="00460798">
              <w:rPr>
                <w:sz w:val="20"/>
                <w:szCs w:val="20"/>
              </w:rPr>
              <w:t>3.5</w:t>
            </w:r>
          </w:p>
        </w:tc>
        <w:tc>
          <w:tcPr>
            <w:tcW w:w="1134" w:type="dxa"/>
            <w:shd w:val="clear" w:color="auto" w:fill="D9D9D9" w:themeFill="background1" w:themeFillShade="D9"/>
            <w:vAlign w:val="center"/>
          </w:tcPr>
          <w:p w14:paraId="7B724ABA" w14:textId="77777777" w:rsidR="00DB141F" w:rsidRPr="00460798" w:rsidRDefault="00DB141F" w:rsidP="00DB141F">
            <w:pPr>
              <w:rPr>
                <w:sz w:val="20"/>
                <w:szCs w:val="20"/>
              </w:rPr>
            </w:pPr>
            <w:r w:rsidRPr="00460798">
              <w:rPr>
                <w:sz w:val="20"/>
                <w:szCs w:val="20"/>
              </w:rPr>
              <w:t>6</w:t>
            </w:r>
          </w:p>
        </w:tc>
        <w:tc>
          <w:tcPr>
            <w:tcW w:w="850" w:type="dxa"/>
            <w:gridSpan w:val="2"/>
            <w:shd w:val="clear" w:color="auto" w:fill="auto"/>
            <w:vAlign w:val="center"/>
          </w:tcPr>
          <w:p w14:paraId="6AA9CC8F" w14:textId="77777777" w:rsidR="00DB141F" w:rsidRPr="00460798" w:rsidRDefault="00BA486E" w:rsidP="00DB141F">
            <w:pPr>
              <w:rPr>
                <w:sz w:val="20"/>
                <w:szCs w:val="20"/>
              </w:rPr>
            </w:pPr>
            <w:r w:rsidRPr="00460798">
              <w:rPr>
                <w:sz w:val="20"/>
                <w:szCs w:val="20"/>
              </w:rPr>
              <w:t>5</w:t>
            </w:r>
          </w:p>
        </w:tc>
        <w:tc>
          <w:tcPr>
            <w:tcW w:w="994" w:type="dxa"/>
            <w:shd w:val="clear" w:color="auto" w:fill="auto"/>
            <w:vAlign w:val="center"/>
          </w:tcPr>
          <w:p w14:paraId="0F19880F" w14:textId="77777777" w:rsidR="00DB141F" w:rsidRPr="00460798" w:rsidRDefault="00BA486E" w:rsidP="00DB141F">
            <w:pPr>
              <w:rPr>
                <w:sz w:val="20"/>
                <w:szCs w:val="20"/>
              </w:rPr>
            </w:pPr>
            <w:r w:rsidRPr="00460798">
              <w:rPr>
                <w:sz w:val="20"/>
                <w:szCs w:val="20"/>
              </w:rPr>
              <w:t>6</w:t>
            </w:r>
          </w:p>
        </w:tc>
        <w:tc>
          <w:tcPr>
            <w:tcW w:w="992" w:type="dxa"/>
            <w:gridSpan w:val="2"/>
            <w:shd w:val="clear" w:color="auto" w:fill="auto"/>
            <w:vAlign w:val="center"/>
          </w:tcPr>
          <w:p w14:paraId="61854F76" w14:textId="77777777" w:rsidR="00DB141F" w:rsidRPr="00460798" w:rsidRDefault="00BA486E" w:rsidP="00DB141F">
            <w:pPr>
              <w:rPr>
                <w:sz w:val="20"/>
                <w:szCs w:val="20"/>
              </w:rPr>
            </w:pPr>
            <w:r w:rsidRPr="00460798">
              <w:rPr>
                <w:sz w:val="20"/>
                <w:szCs w:val="20"/>
              </w:rPr>
              <w:t>6</w:t>
            </w:r>
          </w:p>
        </w:tc>
        <w:tc>
          <w:tcPr>
            <w:tcW w:w="995" w:type="dxa"/>
            <w:gridSpan w:val="2"/>
            <w:shd w:val="clear" w:color="auto" w:fill="auto"/>
            <w:vAlign w:val="center"/>
          </w:tcPr>
          <w:p w14:paraId="52463B8E" w14:textId="77777777" w:rsidR="00DB141F" w:rsidRPr="00460798" w:rsidRDefault="00BA486E" w:rsidP="00DB141F">
            <w:pPr>
              <w:rPr>
                <w:sz w:val="20"/>
                <w:szCs w:val="20"/>
              </w:rPr>
            </w:pPr>
            <w:r w:rsidRPr="00460798">
              <w:rPr>
                <w:sz w:val="20"/>
                <w:szCs w:val="20"/>
              </w:rPr>
              <w:t>6</w:t>
            </w:r>
          </w:p>
        </w:tc>
      </w:tr>
      <w:tr w:rsidR="00DB141F" w14:paraId="414BEE76" w14:textId="77777777" w:rsidTr="007E39B8">
        <w:trPr>
          <w:trHeight w:val="340"/>
        </w:trPr>
        <w:tc>
          <w:tcPr>
            <w:tcW w:w="2271" w:type="dxa"/>
            <w:vAlign w:val="center"/>
          </w:tcPr>
          <w:p w14:paraId="018C3B36" w14:textId="77777777" w:rsidR="00DB141F" w:rsidRPr="00460798" w:rsidRDefault="00DB141F" w:rsidP="00DB141F">
            <w:pPr>
              <w:rPr>
                <w:b/>
                <w:sz w:val="20"/>
                <w:szCs w:val="20"/>
              </w:rPr>
            </w:pPr>
            <w:r w:rsidRPr="00460798">
              <w:rPr>
                <w:b/>
                <w:sz w:val="20"/>
                <w:szCs w:val="20"/>
              </w:rPr>
              <w:t>Kobalts (</w:t>
            </w:r>
            <w:proofErr w:type="spellStart"/>
            <w:r w:rsidRPr="00460798">
              <w:rPr>
                <w:b/>
                <w:sz w:val="20"/>
                <w:szCs w:val="20"/>
              </w:rPr>
              <w:t>Co</w:t>
            </w:r>
            <w:proofErr w:type="spellEnd"/>
            <w:r w:rsidRPr="00460798">
              <w:rPr>
                <w:b/>
                <w:sz w:val="20"/>
                <w:szCs w:val="20"/>
              </w:rPr>
              <w:t>)</w:t>
            </w:r>
          </w:p>
        </w:tc>
        <w:tc>
          <w:tcPr>
            <w:tcW w:w="849" w:type="dxa"/>
            <w:vAlign w:val="center"/>
          </w:tcPr>
          <w:p w14:paraId="7BC82DCD"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4992119A"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03BA1731" w14:textId="77777777" w:rsidR="00DB141F" w:rsidRPr="00460798" w:rsidRDefault="00DB141F" w:rsidP="00DB141F">
            <w:pPr>
              <w:rPr>
                <w:sz w:val="20"/>
                <w:szCs w:val="20"/>
              </w:rPr>
            </w:pPr>
            <w:r w:rsidRPr="00460798">
              <w:rPr>
                <w:sz w:val="20"/>
                <w:szCs w:val="20"/>
              </w:rPr>
              <w:t>55</w:t>
            </w:r>
          </w:p>
        </w:tc>
        <w:tc>
          <w:tcPr>
            <w:tcW w:w="1134" w:type="dxa"/>
            <w:shd w:val="clear" w:color="auto" w:fill="D9D9D9" w:themeFill="background1" w:themeFillShade="D9"/>
            <w:vAlign w:val="center"/>
          </w:tcPr>
          <w:p w14:paraId="151868E7" w14:textId="77777777" w:rsidR="00DB141F" w:rsidRPr="00460798" w:rsidRDefault="00DB141F" w:rsidP="00DB141F">
            <w:pPr>
              <w:rPr>
                <w:sz w:val="20"/>
                <w:szCs w:val="20"/>
              </w:rPr>
            </w:pPr>
            <w:r w:rsidRPr="00460798">
              <w:rPr>
                <w:sz w:val="20"/>
                <w:szCs w:val="20"/>
              </w:rPr>
              <w:t>100</w:t>
            </w:r>
          </w:p>
        </w:tc>
        <w:tc>
          <w:tcPr>
            <w:tcW w:w="850" w:type="dxa"/>
            <w:gridSpan w:val="2"/>
            <w:shd w:val="clear" w:color="auto" w:fill="auto"/>
            <w:vAlign w:val="center"/>
          </w:tcPr>
          <w:p w14:paraId="647D1EF0" w14:textId="77777777" w:rsidR="00DB141F" w:rsidRPr="00460798" w:rsidRDefault="00DB141F" w:rsidP="00DB141F">
            <w:pPr>
              <w:rPr>
                <w:sz w:val="20"/>
                <w:szCs w:val="20"/>
              </w:rPr>
            </w:pPr>
            <w:r w:rsidRPr="00460798">
              <w:rPr>
                <w:sz w:val="20"/>
                <w:szCs w:val="20"/>
              </w:rPr>
              <w:t>55</w:t>
            </w:r>
          </w:p>
        </w:tc>
        <w:tc>
          <w:tcPr>
            <w:tcW w:w="994" w:type="dxa"/>
            <w:shd w:val="clear" w:color="auto" w:fill="auto"/>
            <w:vAlign w:val="center"/>
          </w:tcPr>
          <w:p w14:paraId="2F18BFCB" w14:textId="77777777" w:rsidR="00DB141F" w:rsidRPr="00460798" w:rsidRDefault="00DB141F" w:rsidP="00DB141F">
            <w:pPr>
              <w:rPr>
                <w:sz w:val="20"/>
                <w:szCs w:val="20"/>
              </w:rPr>
            </w:pPr>
            <w:r w:rsidRPr="00460798">
              <w:rPr>
                <w:sz w:val="20"/>
                <w:szCs w:val="20"/>
              </w:rPr>
              <w:t>100</w:t>
            </w:r>
          </w:p>
        </w:tc>
        <w:tc>
          <w:tcPr>
            <w:tcW w:w="992" w:type="dxa"/>
            <w:gridSpan w:val="2"/>
            <w:shd w:val="clear" w:color="auto" w:fill="auto"/>
            <w:vAlign w:val="center"/>
          </w:tcPr>
          <w:p w14:paraId="6382AA15" w14:textId="77777777" w:rsidR="00DB141F" w:rsidRPr="00460798" w:rsidRDefault="00DB141F" w:rsidP="00DB141F">
            <w:pPr>
              <w:rPr>
                <w:sz w:val="20"/>
                <w:szCs w:val="20"/>
              </w:rPr>
            </w:pPr>
            <w:r w:rsidRPr="00460798">
              <w:rPr>
                <w:sz w:val="20"/>
                <w:szCs w:val="20"/>
              </w:rPr>
              <w:t>100</w:t>
            </w:r>
          </w:p>
        </w:tc>
        <w:tc>
          <w:tcPr>
            <w:tcW w:w="995" w:type="dxa"/>
            <w:gridSpan w:val="2"/>
            <w:shd w:val="clear" w:color="auto" w:fill="auto"/>
            <w:vAlign w:val="center"/>
          </w:tcPr>
          <w:p w14:paraId="26C3D194" w14:textId="77777777" w:rsidR="00DB141F" w:rsidRPr="00460798" w:rsidRDefault="00DB141F" w:rsidP="00DB141F">
            <w:pPr>
              <w:rPr>
                <w:sz w:val="20"/>
                <w:szCs w:val="20"/>
              </w:rPr>
            </w:pPr>
            <w:r w:rsidRPr="00460798">
              <w:rPr>
                <w:sz w:val="20"/>
                <w:szCs w:val="20"/>
              </w:rPr>
              <w:t>100</w:t>
            </w:r>
          </w:p>
        </w:tc>
      </w:tr>
      <w:tr w:rsidR="00DB141F" w14:paraId="151C10B1" w14:textId="77777777" w:rsidTr="007E39B8">
        <w:trPr>
          <w:trHeight w:val="340"/>
        </w:trPr>
        <w:tc>
          <w:tcPr>
            <w:tcW w:w="2271" w:type="dxa"/>
            <w:vAlign w:val="center"/>
          </w:tcPr>
          <w:p w14:paraId="1907FA96" w14:textId="77777777" w:rsidR="00DB141F" w:rsidRPr="00460798" w:rsidRDefault="00DB141F" w:rsidP="00DB141F">
            <w:pPr>
              <w:rPr>
                <w:b/>
                <w:sz w:val="20"/>
                <w:szCs w:val="20"/>
              </w:rPr>
            </w:pPr>
            <w:r w:rsidRPr="00460798">
              <w:rPr>
                <w:b/>
                <w:sz w:val="20"/>
                <w:szCs w:val="20"/>
              </w:rPr>
              <w:t>Molibdēns (</w:t>
            </w:r>
            <w:proofErr w:type="spellStart"/>
            <w:r w:rsidRPr="00460798">
              <w:rPr>
                <w:b/>
                <w:sz w:val="20"/>
                <w:szCs w:val="20"/>
              </w:rPr>
              <w:t>Mo</w:t>
            </w:r>
            <w:proofErr w:type="spellEnd"/>
            <w:r w:rsidRPr="00460798">
              <w:rPr>
                <w:b/>
                <w:sz w:val="20"/>
                <w:szCs w:val="20"/>
              </w:rPr>
              <w:t>)</w:t>
            </w:r>
          </w:p>
        </w:tc>
        <w:tc>
          <w:tcPr>
            <w:tcW w:w="849" w:type="dxa"/>
            <w:vAlign w:val="center"/>
          </w:tcPr>
          <w:p w14:paraId="62251E89"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45116A00"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481C61FC" w14:textId="77777777" w:rsidR="00DB141F" w:rsidRPr="00460798" w:rsidRDefault="00DB141F" w:rsidP="00DB141F">
            <w:pPr>
              <w:rPr>
                <w:sz w:val="20"/>
                <w:szCs w:val="20"/>
              </w:rPr>
            </w:pPr>
            <w:r w:rsidRPr="00460798">
              <w:rPr>
                <w:sz w:val="20"/>
                <w:szCs w:val="20"/>
              </w:rPr>
              <w:t>155</w:t>
            </w:r>
          </w:p>
        </w:tc>
        <w:tc>
          <w:tcPr>
            <w:tcW w:w="1134" w:type="dxa"/>
            <w:shd w:val="clear" w:color="auto" w:fill="D9D9D9" w:themeFill="background1" w:themeFillShade="D9"/>
            <w:vAlign w:val="center"/>
          </w:tcPr>
          <w:p w14:paraId="03E7CE2D" w14:textId="77777777" w:rsidR="00DB141F" w:rsidRPr="00460798" w:rsidRDefault="00DB141F" w:rsidP="00DB141F">
            <w:pPr>
              <w:rPr>
                <w:sz w:val="20"/>
                <w:szCs w:val="20"/>
              </w:rPr>
            </w:pPr>
            <w:r w:rsidRPr="00460798">
              <w:rPr>
                <w:sz w:val="20"/>
                <w:szCs w:val="20"/>
              </w:rPr>
              <w:t>300</w:t>
            </w:r>
          </w:p>
        </w:tc>
        <w:tc>
          <w:tcPr>
            <w:tcW w:w="850" w:type="dxa"/>
            <w:gridSpan w:val="2"/>
            <w:shd w:val="clear" w:color="auto" w:fill="auto"/>
            <w:vAlign w:val="center"/>
          </w:tcPr>
          <w:p w14:paraId="6EDD4EB7" w14:textId="77777777" w:rsidR="00DB141F" w:rsidRPr="00460798" w:rsidRDefault="00DB141F" w:rsidP="00DB141F">
            <w:pPr>
              <w:rPr>
                <w:sz w:val="20"/>
                <w:szCs w:val="20"/>
              </w:rPr>
            </w:pPr>
            <w:r w:rsidRPr="00460798">
              <w:rPr>
                <w:sz w:val="20"/>
                <w:szCs w:val="20"/>
              </w:rPr>
              <w:t>155</w:t>
            </w:r>
          </w:p>
        </w:tc>
        <w:tc>
          <w:tcPr>
            <w:tcW w:w="994" w:type="dxa"/>
            <w:shd w:val="clear" w:color="auto" w:fill="auto"/>
            <w:vAlign w:val="center"/>
          </w:tcPr>
          <w:p w14:paraId="3B21AF6D" w14:textId="77777777" w:rsidR="00DB141F" w:rsidRPr="00460798" w:rsidRDefault="00DB141F" w:rsidP="00DB141F">
            <w:pPr>
              <w:rPr>
                <w:sz w:val="20"/>
                <w:szCs w:val="20"/>
              </w:rPr>
            </w:pPr>
            <w:r w:rsidRPr="00460798">
              <w:rPr>
                <w:sz w:val="20"/>
                <w:szCs w:val="20"/>
              </w:rPr>
              <w:t>300</w:t>
            </w:r>
          </w:p>
        </w:tc>
        <w:tc>
          <w:tcPr>
            <w:tcW w:w="992" w:type="dxa"/>
            <w:gridSpan w:val="2"/>
            <w:shd w:val="clear" w:color="auto" w:fill="auto"/>
            <w:vAlign w:val="center"/>
          </w:tcPr>
          <w:p w14:paraId="1653C6A3" w14:textId="77777777" w:rsidR="00DB141F" w:rsidRPr="00460798" w:rsidRDefault="00DB141F" w:rsidP="00DB141F">
            <w:pPr>
              <w:rPr>
                <w:sz w:val="20"/>
                <w:szCs w:val="20"/>
              </w:rPr>
            </w:pPr>
            <w:r w:rsidRPr="00460798">
              <w:rPr>
                <w:sz w:val="20"/>
                <w:szCs w:val="20"/>
              </w:rPr>
              <w:t>300</w:t>
            </w:r>
          </w:p>
        </w:tc>
        <w:tc>
          <w:tcPr>
            <w:tcW w:w="995" w:type="dxa"/>
            <w:gridSpan w:val="2"/>
            <w:shd w:val="clear" w:color="auto" w:fill="auto"/>
            <w:vAlign w:val="center"/>
          </w:tcPr>
          <w:p w14:paraId="26F80D1E" w14:textId="77777777" w:rsidR="00DB141F" w:rsidRPr="00460798" w:rsidRDefault="00DB141F" w:rsidP="00DB141F">
            <w:pPr>
              <w:rPr>
                <w:sz w:val="20"/>
                <w:szCs w:val="20"/>
              </w:rPr>
            </w:pPr>
            <w:r w:rsidRPr="00460798">
              <w:rPr>
                <w:sz w:val="20"/>
                <w:szCs w:val="20"/>
              </w:rPr>
              <w:t>300</w:t>
            </w:r>
          </w:p>
        </w:tc>
      </w:tr>
      <w:tr w:rsidR="00DB141F" w14:paraId="04424D16" w14:textId="77777777" w:rsidTr="007E39B8">
        <w:trPr>
          <w:trHeight w:val="340"/>
        </w:trPr>
        <w:tc>
          <w:tcPr>
            <w:tcW w:w="2271" w:type="dxa"/>
            <w:vAlign w:val="center"/>
          </w:tcPr>
          <w:p w14:paraId="70B91324" w14:textId="77777777" w:rsidR="00DB141F" w:rsidRPr="00460798" w:rsidRDefault="00DB141F" w:rsidP="00DB141F">
            <w:pPr>
              <w:rPr>
                <w:b/>
                <w:sz w:val="20"/>
                <w:szCs w:val="20"/>
              </w:rPr>
            </w:pPr>
            <w:r w:rsidRPr="00460798">
              <w:rPr>
                <w:b/>
                <w:sz w:val="20"/>
                <w:szCs w:val="20"/>
              </w:rPr>
              <w:t>Niķelis (</w:t>
            </w:r>
            <w:proofErr w:type="spellStart"/>
            <w:r w:rsidRPr="00460798">
              <w:rPr>
                <w:b/>
                <w:sz w:val="20"/>
                <w:szCs w:val="20"/>
              </w:rPr>
              <w:t>Ni</w:t>
            </w:r>
            <w:proofErr w:type="spellEnd"/>
            <w:r w:rsidRPr="00460798">
              <w:rPr>
                <w:b/>
                <w:sz w:val="20"/>
                <w:szCs w:val="20"/>
              </w:rPr>
              <w:t>)</w:t>
            </w:r>
          </w:p>
        </w:tc>
        <w:tc>
          <w:tcPr>
            <w:tcW w:w="849" w:type="dxa"/>
            <w:vAlign w:val="center"/>
          </w:tcPr>
          <w:p w14:paraId="072038CE"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7A2FD986"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18B8EDB5" w14:textId="77777777" w:rsidR="00DB141F" w:rsidRPr="00460798" w:rsidRDefault="00DB141F" w:rsidP="00DB141F">
            <w:pPr>
              <w:rPr>
                <w:sz w:val="20"/>
                <w:szCs w:val="20"/>
              </w:rPr>
            </w:pPr>
            <w:r w:rsidRPr="00460798">
              <w:rPr>
                <w:sz w:val="20"/>
                <w:szCs w:val="20"/>
              </w:rPr>
              <w:t>42.5</w:t>
            </w:r>
          </w:p>
        </w:tc>
        <w:tc>
          <w:tcPr>
            <w:tcW w:w="1134" w:type="dxa"/>
            <w:shd w:val="clear" w:color="auto" w:fill="D9D9D9" w:themeFill="background1" w:themeFillShade="D9"/>
            <w:vAlign w:val="center"/>
          </w:tcPr>
          <w:p w14:paraId="0983EE55" w14:textId="77777777" w:rsidR="00DB141F" w:rsidRPr="00460798" w:rsidRDefault="00DB141F" w:rsidP="00DB141F">
            <w:pPr>
              <w:rPr>
                <w:sz w:val="20"/>
                <w:szCs w:val="20"/>
              </w:rPr>
            </w:pPr>
            <w:r w:rsidRPr="00460798">
              <w:rPr>
                <w:sz w:val="20"/>
                <w:szCs w:val="20"/>
              </w:rPr>
              <w:t>75</w:t>
            </w:r>
          </w:p>
        </w:tc>
        <w:tc>
          <w:tcPr>
            <w:tcW w:w="850" w:type="dxa"/>
            <w:gridSpan w:val="2"/>
            <w:shd w:val="clear" w:color="auto" w:fill="auto"/>
            <w:vAlign w:val="center"/>
          </w:tcPr>
          <w:p w14:paraId="255AE17C" w14:textId="77777777" w:rsidR="00DB141F" w:rsidRPr="00460798" w:rsidRDefault="00DB141F" w:rsidP="00DB141F">
            <w:pPr>
              <w:rPr>
                <w:sz w:val="20"/>
                <w:szCs w:val="20"/>
              </w:rPr>
            </w:pPr>
            <w:r w:rsidRPr="00460798">
              <w:rPr>
                <w:sz w:val="20"/>
                <w:szCs w:val="20"/>
              </w:rPr>
              <w:t>20</w:t>
            </w:r>
          </w:p>
        </w:tc>
        <w:tc>
          <w:tcPr>
            <w:tcW w:w="994" w:type="dxa"/>
            <w:shd w:val="clear" w:color="auto" w:fill="auto"/>
            <w:vAlign w:val="center"/>
          </w:tcPr>
          <w:p w14:paraId="2A892B23" w14:textId="77777777" w:rsidR="00DB141F" w:rsidRPr="00460798" w:rsidRDefault="00DB141F" w:rsidP="00DB141F">
            <w:pPr>
              <w:rPr>
                <w:sz w:val="20"/>
                <w:szCs w:val="20"/>
              </w:rPr>
            </w:pPr>
            <w:r w:rsidRPr="00460798">
              <w:rPr>
                <w:sz w:val="20"/>
                <w:szCs w:val="20"/>
              </w:rPr>
              <w:t>75</w:t>
            </w:r>
          </w:p>
        </w:tc>
        <w:tc>
          <w:tcPr>
            <w:tcW w:w="992" w:type="dxa"/>
            <w:gridSpan w:val="2"/>
            <w:shd w:val="clear" w:color="auto" w:fill="auto"/>
            <w:vAlign w:val="center"/>
          </w:tcPr>
          <w:p w14:paraId="6B48B66D" w14:textId="77777777" w:rsidR="00DB141F" w:rsidRPr="00460798" w:rsidRDefault="00DB141F" w:rsidP="00DB141F">
            <w:pPr>
              <w:rPr>
                <w:sz w:val="20"/>
                <w:szCs w:val="20"/>
              </w:rPr>
            </w:pPr>
            <w:r w:rsidRPr="00460798">
              <w:rPr>
                <w:sz w:val="20"/>
                <w:szCs w:val="20"/>
              </w:rPr>
              <w:t>75</w:t>
            </w:r>
          </w:p>
        </w:tc>
        <w:tc>
          <w:tcPr>
            <w:tcW w:w="995" w:type="dxa"/>
            <w:gridSpan w:val="2"/>
            <w:shd w:val="clear" w:color="auto" w:fill="auto"/>
            <w:vAlign w:val="center"/>
          </w:tcPr>
          <w:p w14:paraId="5F8B7632" w14:textId="77777777" w:rsidR="00DB141F" w:rsidRPr="00460798" w:rsidRDefault="00DB141F" w:rsidP="00DB141F">
            <w:pPr>
              <w:rPr>
                <w:sz w:val="20"/>
                <w:szCs w:val="20"/>
              </w:rPr>
            </w:pPr>
            <w:r w:rsidRPr="00460798">
              <w:rPr>
                <w:sz w:val="20"/>
                <w:szCs w:val="20"/>
              </w:rPr>
              <w:t>75</w:t>
            </w:r>
          </w:p>
        </w:tc>
      </w:tr>
      <w:tr w:rsidR="00DB141F" w14:paraId="3815C78B" w14:textId="77777777" w:rsidTr="007E39B8">
        <w:trPr>
          <w:trHeight w:val="340"/>
        </w:trPr>
        <w:tc>
          <w:tcPr>
            <w:tcW w:w="2271" w:type="dxa"/>
            <w:vAlign w:val="center"/>
          </w:tcPr>
          <w:p w14:paraId="7E93EE33" w14:textId="77777777" w:rsidR="00DB141F" w:rsidRPr="00460798" w:rsidRDefault="00DB141F" w:rsidP="00DB141F">
            <w:pPr>
              <w:rPr>
                <w:b/>
                <w:sz w:val="20"/>
                <w:szCs w:val="20"/>
              </w:rPr>
            </w:pPr>
            <w:r w:rsidRPr="00460798">
              <w:rPr>
                <w:b/>
                <w:sz w:val="20"/>
                <w:szCs w:val="20"/>
              </w:rPr>
              <w:t>Svins (</w:t>
            </w:r>
            <w:proofErr w:type="spellStart"/>
            <w:r w:rsidRPr="00460798">
              <w:rPr>
                <w:b/>
                <w:sz w:val="20"/>
                <w:szCs w:val="20"/>
              </w:rPr>
              <w:t>Pb</w:t>
            </w:r>
            <w:proofErr w:type="spellEnd"/>
            <w:r w:rsidRPr="00460798">
              <w:rPr>
                <w:b/>
                <w:sz w:val="20"/>
                <w:szCs w:val="20"/>
              </w:rPr>
              <w:t>)**</w:t>
            </w:r>
          </w:p>
        </w:tc>
        <w:tc>
          <w:tcPr>
            <w:tcW w:w="849" w:type="dxa"/>
            <w:vAlign w:val="center"/>
          </w:tcPr>
          <w:p w14:paraId="0C2616FD"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vAlign w:val="center"/>
          </w:tcPr>
          <w:p w14:paraId="2C4C9026"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vAlign w:val="center"/>
          </w:tcPr>
          <w:p w14:paraId="1042CA0A" w14:textId="77777777" w:rsidR="00DB141F" w:rsidRPr="00460798" w:rsidRDefault="00DB141F" w:rsidP="00DB141F">
            <w:pPr>
              <w:rPr>
                <w:sz w:val="20"/>
                <w:szCs w:val="20"/>
              </w:rPr>
            </w:pPr>
            <w:r w:rsidRPr="00460798">
              <w:rPr>
                <w:sz w:val="20"/>
                <w:szCs w:val="20"/>
              </w:rPr>
              <w:t>42.5</w:t>
            </w:r>
          </w:p>
        </w:tc>
        <w:tc>
          <w:tcPr>
            <w:tcW w:w="1134" w:type="dxa"/>
            <w:shd w:val="clear" w:color="auto" w:fill="D9D9D9" w:themeFill="background1" w:themeFillShade="D9"/>
            <w:vAlign w:val="center"/>
          </w:tcPr>
          <w:p w14:paraId="6D4D9901" w14:textId="77777777" w:rsidR="00DB141F" w:rsidRPr="00460798" w:rsidRDefault="00DB141F" w:rsidP="00DB141F">
            <w:pPr>
              <w:rPr>
                <w:sz w:val="20"/>
                <w:szCs w:val="20"/>
              </w:rPr>
            </w:pPr>
            <w:r w:rsidRPr="00460798">
              <w:rPr>
                <w:sz w:val="20"/>
                <w:szCs w:val="20"/>
              </w:rPr>
              <w:t>75</w:t>
            </w:r>
          </w:p>
        </w:tc>
        <w:tc>
          <w:tcPr>
            <w:tcW w:w="850" w:type="dxa"/>
            <w:gridSpan w:val="2"/>
            <w:shd w:val="clear" w:color="auto" w:fill="auto"/>
            <w:vAlign w:val="center"/>
          </w:tcPr>
          <w:p w14:paraId="54F39E1E" w14:textId="77777777" w:rsidR="00DB141F" w:rsidRPr="00460798" w:rsidRDefault="00DB141F" w:rsidP="00DB141F">
            <w:pPr>
              <w:rPr>
                <w:sz w:val="20"/>
                <w:szCs w:val="20"/>
              </w:rPr>
            </w:pPr>
            <w:r w:rsidRPr="00460798">
              <w:rPr>
                <w:sz w:val="20"/>
                <w:szCs w:val="20"/>
              </w:rPr>
              <w:t>25</w:t>
            </w:r>
          </w:p>
        </w:tc>
        <w:tc>
          <w:tcPr>
            <w:tcW w:w="994" w:type="dxa"/>
            <w:shd w:val="clear" w:color="auto" w:fill="auto"/>
            <w:vAlign w:val="center"/>
          </w:tcPr>
          <w:p w14:paraId="2105CE53" w14:textId="77777777" w:rsidR="00DB141F" w:rsidRPr="00460798" w:rsidRDefault="00DB141F" w:rsidP="00DB141F">
            <w:pPr>
              <w:rPr>
                <w:sz w:val="20"/>
                <w:szCs w:val="20"/>
              </w:rPr>
            </w:pPr>
            <w:r w:rsidRPr="00460798">
              <w:rPr>
                <w:sz w:val="20"/>
                <w:szCs w:val="20"/>
              </w:rPr>
              <w:t>75</w:t>
            </w:r>
          </w:p>
        </w:tc>
        <w:tc>
          <w:tcPr>
            <w:tcW w:w="992" w:type="dxa"/>
            <w:gridSpan w:val="2"/>
            <w:shd w:val="clear" w:color="auto" w:fill="auto"/>
            <w:vAlign w:val="center"/>
          </w:tcPr>
          <w:p w14:paraId="76C90F6E" w14:textId="77777777" w:rsidR="00DB141F" w:rsidRPr="00460798" w:rsidRDefault="00DB141F" w:rsidP="00DB141F">
            <w:pPr>
              <w:rPr>
                <w:sz w:val="20"/>
                <w:szCs w:val="20"/>
              </w:rPr>
            </w:pPr>
            <w:r w:rsidRPr="00460798">
              <w:rPr>
                <w:sz w:val="20"/>
                <w:szCs w:val="20"/>
              </w:rPr>
              <w:t>75</w:t>
            </w:r>
          </w:p>
        </w:tc>
        <w:tc>
          <w:tcPr>
            <w:tcW w:w="995" w:type="dxa"/>
            <w:gridSpan w:val="2"/>
            <w:shd w:val="clear" w:color="auto" w:fill="auto"/>
            <w:vAlign w:val="center"/>
          </w:tcPr>
          <w:p w14:paraId="1A61E187" w14:textId="77777777" w:rsidR="00DB141F" w:rsidRPr="00460798" w:rsidRDefault="00DB141F" w:rsidP="00DB141F">
            <w:pPr>
              <w:rPr>
                <w:sz w:val="20"/>
                <w:szCs w:val="20"/>
              </w:rPr>
            </w:pPr>
            <w:r w:rsidRPr="00460798">
              <w:rPr>
                <w:sz w:val="20"/>
                <w:szCs w:val="20"/>
              </w:rPr>
              <w:t>75</w:t>
            </w:r>
          </w:p>
        </w:tc>
      </w:tr>
      <w:tr w:rsidR="00DB141F" w14:paraId="1E51EBB0" w14:textId="77777777" w:rsidTr="007E39B8">
        <w:trPr>
          <w:trHeight w:val="340"/>
        </w:trPr>
        <w:tc>
          <w:tcPr>
            <w:tcW w:w="2271" w:type="dxa"/>
          </w:tcPr>
          <w:p w14:paraId="3694EE9F" w14:textId="77777777" w:rsidR="00DB141F" w:rsidRPr="00460798" w:rsidRDefault="00DB141F" w:rsidP="00DB141F">
            <w:r w:rsidRPr="00460798">
              <w:rPr>
                <w:b/>
                <w:sz w:val="20"/>
                <w:szCs w:val="20"/>
              </w:rPr>
              <w:t>Varš (</w:t>
            </w:r>
            <w:proofErr w:type="spellStart"/>
            <w:r w:rsidRPr="00460798">
              <w:rPr>
                <w:b/>
                <w:sz w:val="20"/>
                <w:szCs w:val="20"/>
              </w:rPr>
              <w:t>Cu</w:t>
            </w:r>
            <w:proofErr w:type="spellEnd"/>
            <w:r w:rsidRPr="00460798">
              <w:t>)</w:t>
            </w:r>
          </w:p>
        </w:tc>
        <w:tc>
          <w:tcPr>
            <w:tcW w:w="849" w:type="dxa"/>
          </w:tcPr>
          <w:p w14:paraId="0A931C69" w14:textId="77777777" w:rsidR="00DB141F" w:rsidRPr="00460798" w:rsidRDefault="00DB141F" w:rsidP="00DB141F">
            <w:pPr>
              <w:rPr>
                <w:sz w:val="20"/>
                <w:szCs w:val="20"/>
              </w:rPr>
            </w:pPr>
            <w:r w:rsidRPr="00460798">
              <w:rPr>
                <w:sz w:val="20"/>
                <w:szCs w:val="20"/>
              </w:rPr>
              <w:t>µg/l</w:t>
            </w:r>
          </w:p>
        </w:tc>
        <w:tc>
          <w:tcPr>
            <w:tcW w:w="988" w:type="dxa"/>
            <w:shd w:val="clear" w:color="auto" w:fill="D9D9D9" w:themeFill="background1" w:themeFillShade="D9"/>
          </w:tcPr>
          <w:p w14:paraId="48B5A908" w14:textId="77777777" w:rsidR="00DB141F" w:rsidRPr="00460798" w:rsidRDefault="00DB141F" w:rsidP="00DB141F">
            <w:pPr>
              <w:rPr>
                <w:sz w:val="20"/>
                <w:szCs w:val="20"/>
              </w:rPr>
            </w:pPr>
            <w:r w:rsidRPr="00460798">
              <w:rPr>
                <w:sz w:val="20"/>
                <w:szCs w:val="20"/>
              </w:rPr>
              <w:t>10</w:t>
            </w:r>
          </w:p>
        </w:tc>
        <w:tc>
          <w:tcPr>
            <w:tcW w:w="992" w:type="dxa"/>
            <w:shd w:val="clear" w:color="auto" w:fill="D9D9D9" w:themeFill="background1" w:themeFillShade="D9"/>
          </w:tcPr>
          <w:p w14:paraId="7C227D48" w14:textId="77777777" w:rsidR="00DB141F" w:rsidRPr="00460798" w:rsidRDefault="00DB141F" w:rsidP="00DB141F">
            <w:pPr>
              <w:rPr>
                <w:sz w:val="20"/>
                <w:szCs w:val="20"/>
              </w:rPr>
            </w:pPr>
            <w:r w:rsidRPr="00460798">
              <w:rPr>
                <w:sz w:val="20"/>
                <w:szCs w:val="20"/>
              </w:rPr>
              <w:t>42.5</w:t>
            </w:r>
          </w:p>
        </w:tc>
        <w:tc>
          <w:tcPr>
            <w:tcW w:w="1134" w:type="dxa"/>
            <w:shd w:val="clear" w:color="auto" w:fill="D9D9D9" w:themeFill="background1" w:themeFillShade="D9"/>
          </w:tcPr>
          <w:p w14:paraId="522D2A24" w14:textId="77777777" w:rsidR="00DB141F" w:rsidRPr="00460798" w:rsidRDefault="00DB141F" w:rsidP="00DB141F">
            <w:pPr>
              <w:rPr>
                <w:sz w:val="20"/>
                <w:szCs w:val="20"/>
              </w:rPr>
            </w:pPr>
            <w:r w:rsidRPr="00460798">
              <w:rPr>
                <w:sz w:val="20"/>
                <w:szCs w:val="20"/>
              </w:rPr>
              <w:t>75</w:t>
            </w:r>
          </w:p>
        </w:tc>
        <w:tc>
          <w:tcPr>
            <w:tcW w:w="850" w:type="dxa"/>
            <w:gridSpan w:val="2"/>
            <w:shd w:val="clear" w:color="auto" w:fill="auto"/>
            <w:vAlign w:val="center"/>
          </w:tcPr>
          <w:p w14:paraId="29B69201" w14:textId="77777777" w:rsidR="00DB141F" w:rsidRPr="00460798" w:rsidRDefault="00CF11DD" w:rsidP="00DB141F">
            <w:pPr>
              <w:rPr>
                <w:sz w:val="20"/>
                <w:szCs w:val="20"/>
              </w:rPr>
            </w:pPr>
            <w:r w:rsidRPr="00460798">
              <w:rPr>
                <w:sz w:val="20"/>
                <w:szCs w:val="20"/>
              </w:rPr>
              <w:t>60</w:t>
            </w:r>
          </w:p>
        </w:tc>
        <w:tc>
          <w:tcPr>
            <w:tcW w:w="994" w:type="dxa"/>
            <w:shd w:val="clear" w:color="auto" w:fill="auto"/>
            <w:vAlign w:val="center"/>
          </w:tcPr>
          <w:p w14:paraId="5C0BEB8E" w14:textId="77777777" w:rsidR="00DB141F" w:rsidRPr="00460798" w:rsidRDefault="00CF11DD" w:rsidP="00DB141F">
            <w:pPr>
              <w:rPr>
                <w:sz w:val="20"/>
                <w:szCs w:val="20"/>
              </w:rPr>
            </w:pPr>
            <w:r w:rsidRPr="00460798">
              <w:rPr>
                <w:sz w:val="20"/>
                <w:szCs w:val="20"/>
              </w:rPr>
              <w:t>75</w:t>
            </w:r>
          </w:p>
        </w:tc>
        <w:tc>
          <w:tcPr>
            <w:tcW w:w="992" w:type="dxa"/>
            <w:gridSpan w:val="2"/>
            <w:shd w:val="clear" w:color="auto" w:fill="auto"/>
            <w:vAlign w:val="center"/>
          </w:tcPr>
          <w:p w14:paraId="50589375" w14:textId="77777777" w:rsidR="00DB141F" w:rsidRPr="00460798" w:rsidRDefault="00CF11DD" w:rsidP="00DB141F">
            <w:pPr>
              <w:rPr>
                <w:sz w:val="20"/>
                <w:szCs w:val="20"/>
              </w:rPr>
            </w:pPr>
            <w:r w:rsidRPr="00460798">
              <w:rPr>
                <w:sz w:val="20"/>
                <w:szCs w:val="20"/>
              </w:rPr>
              <w:t>75</w:t>
            </w:r>
          </w:p>
        </w:tc>
        <w:tc>
          <w:tcPr>
            <w:tcW w:w="995" w:type="dxa"/>
            <w:gridSpan w:val="2"/>
            <w:shd w:val="clear" w:color="auto" w:fill="auto"/>
            <w:vAlign w:val="center"/>
          </w:tcPr>
          <w:p w14:paraId="711DC66B" w14:textId="77777777" w:rsidR="00DB141F" w:rsidRPr="00460798" w:rsidRDefault="00DB141F" w:rsidP="00DB141F">
            <w:pPr>
              <w:rPr>
                <w:sz w:val="20"/>
                <w:szCs w:val="20"/>
              </w:rPr>
            </w:pPr>
            <w:r w:rsidRPr="00460798">
              <w:rPr>
                <w:sz w:val="20"/>
                <w:szCs w:val="20"/>
              </w:rPr>
              <w:t>75</w:t>
            </w:r>
          </w:p>
        </w:tc>
      </w:tr>
      <w:tr w:rsidR="00CA5812" w14:paraId="202E62F6" w14:textId="77777777" w:rsidTr="007E39B8">
        <w:trPr>
          <w:trHeight w:val="340"/>
        </w:trPr>
        <w:tc>
          <w:tcPr>
            <w:tcW w:w="2271" w:type="dxa"/>
            <w:vAlign w:val="center"/>
          </w:tcPr>
          <w:p w14:paraId="47CB794E" w14:textId="77777777" w:rsidR="00CA5812" w:rsidRPr="00460798" w:rsidRDefault="00CA5812" w:rsidP="00DB141F">
            <w:pPr>
              <w:rPr>
                <w:i/>
                <w:sz w:val="20"/>
                <w:szCs w:val="20"/>
              </w:rPr>
            </w:pPr>
            <w:r w:rsidRPr="00460798">
              <w:rPr>
                <w:i/>
                <w:sz w:val="20"/>
                <w:szCs w:val="20"/>
              </w:rPr>
              <w:t>Dzelzs (</w:t>
            </w:r>
            <w:proofErr w:type="spellStart"/>
            <w:r w:rsidRPr="00460798">
              <w:rPr>
                <w:i/>
                <w:sz w:val="20"/>
                <w:szCs w:val="20"/>
              </w:rPr>
              <w:t>Fe</w:t>
            </w:r>
            <w:proofErr w:type="spellEnd"/>
            <w:r w:rsidRPr="00460798">
              <w:rPr>
                <w:i/>
                <w:sz w:val="20"/>
                <w:szCs w:val="20"/>
              </w:rPr>
              <w:t>)</w:t>
            </w:r>
          </w:p>
        </w:tc>
        <w:tc>
          <w:tcPr>
            <w:tcW w:w="849" w:type="dxa"/>
            <w:vAlign w:val="center"/>
          </w:tcPr>
          <w:p w14:paraId="63F99248" w14:textId="77777777" w:rsidR="00CA5812" w:rsidRPr="00460798" w:rsidRDefault="00CA5812" w:rsidP="00DB141F">
            <w:pPr>
              <w:rPr>
                <w:sz w:val="20"/>
                <w:szCs w:val="20"/>
              </w:rPr>
            </w:pPr>
          </w:p>
        </w:tc>
        <w:tc>
          <w:tcPr>
            <w:tcW w:w="988" w:type="dxa"/>
            <w:shd w:val="clear" w:color="auto" w:fill="D9D9D9" w:themeFill="background1" w:themeFillShade="D9"/>
            <w:vAlign w:val="center"/>
          </w:tcPr>
          <w:p w14:paraId="786DB20A" w14:textId="77777777" w:rsidR="00CA5812" w:rsidRPr="00460798" w:rsidRDefault="00CA5812" w:rsidP="00DB141F">
            <w:pPr>
              <w:rPr>
                <w:sz w:val="20"/>
                <w:szCs w:val="20"/>
              </w:rPr>
            </w:pPr>
          </w:p>
        </w:tc>
        <w:tc>
          <w:tcPr>
            <w:tcW w:w="992" w:type="dxa"/>
            <w:shd w:val="clear" w:color="auto" w:fill="D9D9D9" w:themeFill="background1" w:themeFillShade="D9"/>
            <w:vAlign w:val="center"/>
          </w:tcPr>
          <w:p w14:paraId="23541A54" w14:textId="77777777" w:rsidR="00CA5812" w:rsidRPr="00460798" w:rsidRDefault="00CA5812" w:rsidP="00DB141F">
            <w:pPr>
              <w:rPr>
                <w:sz w:val="20"/>
                <w:szCs w:val="20"/>
              </w:rPr>
            </w:pPr>
          </w:p>
        </w:tc>
        <w:tc>
          <w:tcPr>
            <w:tcW w:w="1134" w:type="dxa"/>
            <w:shd w:val="clear" w:color="auto" w:fill="D9D9D9" w:themeFill="background1" w:themeFillShade="D9"/>
            <w:vAlign w:val="center"/>
          </w:tcPr>
          <w:p w14:paraId="6C82C32F" w14:textId="77777777" w:rsidR="00CA5812" w:rsidRPr="00460798" w:rsidRDefault="00CA5812" w:rsidP="00DB141F">
            <w:pPr>
              <w:rPr>
                <w:sz w:val="20"/>
                <w:szCs w:val="20"/>
              </w:rPr>
            </w:pPr>
          </w:p>
        </w:tc>
        <w:tc>
          <w:tcPr>
            <w:tcW w:w="3831" w:type="dxa"/>
            <w:gridSpan w:val="7"/>
            <w:shd w:val="clear" w:color="auto" w:fill="auto"/>
            <w:vAlign w:val="center"/>
          </w:tcPr>
          <w:p w14:paraId="6F86C487" w14:textId="77777777" w:rsidR="00CA5812" w:rsidRPr="00460798" w:rsidRDefault="00CA5812" w:rsidP="00DB141F">
            <w:pPr>
              <w:rPr>
                <w:sz w:val="20"/>
                <w:szCs w:val="20"/>
              </w:rPr>
            </w:pPr>
            <w:r w:rsidRPr="00460798">
              <w:rPr>
                <w:sz w:val="20"/>
                <w:szCs w:val="20"/>
              </w:rPr>
              <w:t>Nav iespējams noteikt robežlielumu</w:t>
            </w:r>
          </w:p>
        </w:tc>
      </w:tr>
      <w:tr w:rsidR="00CA5812" w14:paraId="70EA078B" w14:textId="77777777" w:rsidTr="007E39B8">
        <w:trPr>
          <w:trHeight w:val="340"/>
        </w:trPr>
        <w:tc>
          <w:tcPr>
            <w:tcW w:w="2271" w:type="dxa"/>
            <w:vAlign w:val="center"/>
          </w:tcPr>
          <w:p w14:paraId="2E972AD8" w14:textId="77777777" w:rsidR="00CA5812" w:rsidRPr="00460798" w:rsidRDefault="00CA5812" w:rsidP="00DB141F">
            <w:pPr>
              <w:rPr>
                <w:i/>
                <w:sz w:val="20"/>
                <w:szCs w:val="20"/>
              </w:rPr>
            </w:pPr>
            <w:r w:rsidRPr="00460798">
              <w:rPr>
                <w:i/>
                <w:sz w:val="20"/>
                <w:szCs w:val="20"/>
              </w:rPr>
              <w:t>Mangāns (</w:t>
            </w:r>
            <w:proofErr w:type="spellStart"/>
            <w:r w:rsidRPr="00460798">
              <w:rPr>
                <w:i/>
                <w:sz w:val="20"/>
                <w:szCs w:val="20"/>
              </w:rPr>
              <w:t>Mn</w:t>
            </w:r>
            <w:proofErr w:type="spellEnd"/>
            <w:r w:rsidRPr="00460798">
              <w:rPr>
                <w:i/>
                <w:sz w:val="20"/>
                <w:szCs w:val="20"/>
              </w:rPr>
              <w:t>)</w:t>
            </w:r>
          </w:p>
        </w:tc>
        <w:tc>
          <w:tcPr>
            <w:tcW w:w="849" w:type="dxa"/>
            <w:vAlign w:val="center"/>
          </w:tcPr>
          <w:p w14:paraId="78537223" w14:textId="77777777" w:rsidR="00CA5812" w:rsidRPr="00460798" w:rsidRDefault="00CA5812" w:rsidP="00DB141F">
            <w:pPr>
              <w:rPr>
                <w:sz w:val="20"/>
                <w:szCs w:val="20"/>
              </w:rPr>
            </w:pPr>
          </w:p>
        </w:tc>
        <w:tc>
          <w:tcPr>
            <w:tcW w:w="988" w:type="dxa"/>
            <w:shd w:val="clear" w:color="auto" w:fill="D9D9D9" w:themeFill="background1" w:themeFillShade="D9"/>
            <w:vAlign w:val="center"/>
          </w:tcPr>
          <w:p w14:paraId="344EA878" w14:textId="77777777" w:rsidR="00CA5812" w:rsidRPr="00460798" w:rsidRDefault="00CA5812" w:rsidP="00DB141F">
            <w:pPr>
              <w:rPr>
                <w:sz w:val="20"/>
                <w:szCs w:val="20"/>
              </w:rPr>
            </w:pPr>
          </w:p>
        </w:tc>
        <w:tc>
          <w:tcPr>
            <w:tcW w:w="992" w:type="dxa"/>
            <w:shd w:val="clear" w:color="auto" w:fill="D9D9D9" w:themeFill="background1" w:themeFillShade="D9"/>
            <w:vAlign w:val="center"/>
          </w:tcPr>
          <w:p w14:paraId="48A1D1E5" w14:textId="77777777" w:rsidR="00CA5812" w:rsidRPr="00460798" w:rsidRDefault="00CA5812" w:rsidP="00DB141F">
            <w:pPr>
              <w:rPr>
                <w:sz w:val="20"/>
                <w:szCs w:val="20"/>
              </w:rPr>
            </w:pPr>
          </w:p>
        </w:tc>
        <w:tc>
          <w:tcPr>
            <w:tcW w:w="1134" w:type="dxa"/>
            <w:shd w:val="clear" w:color="auto" w:fill="D9D9D9" w:themeFill="background1" w:themeFillShade="D9"/>
            <w:vAlign w:val="center"/>
          </w:tcPr>
          <w:p w14:paraId="02FE10EB" w14:textId="77777777" w:rsidR="00CA5812" w:rsidRPr="00460798" w:rsidRDefault="00CA5812" w:rsidP="00DB141F">
            <w:pPr>
              <w:rPr>
                <w:sz w:val="20"/>
                <w:szCs w:val="20"/>
              </w:rPr>
            </w:pPr>
          </w:p>
        </w:tc>
        <w:tc>
          <w:tcPr>
            <w:tcW w:w="3831" w:type="dxa"/>
            <w:gridSpan w:val="7"/>
            <w:shd w:val="clear" w:color="auto" w:fill="auto"/>
            <w:vAlign w:val="center"/>
          </w:tcPr>
          <w:p w14:paraId="67DBA8DD" w14:textId="77777777" w:rsidR="00CA5812" w:rsidRPr="00460798" w:rsidRDefault="00CA5812" w:rsidP="00DB141F">
            <w:pPr>
              <w:rPr>
                <w:sz w:val="20"/>
                <w:szCs w:val="20"/>
              </w:rPr>
            </w:pPr>
            <w:r w:rsidRPr="00460798">
              <w:rPr>
                <w:sz w:val="20"/>
                <w:szCs w:val="20"/>
              </w:rPr>
              <w:t>Nav iespējams noteikt robežlielumu</w:t>
            </w:r>
          </w:p>
        </w:tc>
      </w:tr>
      <w:tr w:rsidR="00CA5812" w14:paraId="2F939C6E" w14:textId="77777777" w:rsidTr="007E39B8">
        <w:trPr>
          <w:trHeight w:val="340"/>
        </w:trPr>
        <w:tc>
          <w:tcPr>
            <w:tcW w:w="2271" w:type="dxa"/>
            <w:vAlign w:val="center"/>
          </w:tcPr>
          <w:p w14:paraId="5D30477F" w14:textId="77777777" w:rsidR="00CA5812" w:rsidRPr="00460798" w:rsidRDefault="00CA5812" w:rsidP="00DB141F">
            <w:pPr>
              <w:rPr>
                <w:sz w:val="20"/>
                <w:szCs w:val="20"/>
              </w:rPr>
            </w:pPr>
            <w:r w:rsidRPr="00460798">
              <w:rPr>
                <w:sz w:val="20"/>
                <w:szCs w:val="20"/>
              </w:rPr>
              <w:t>Pesticīdu aktīvās vielas, tostarp to attiecīgie metabolīti, kā arī sadalīšanās un ķīmiskās reakcijas produkti (Summa)</w:t>
            </w:r>
            <w:r w:rsidR="005C58A5" w:rsidRPr="00460798">
              <w:rPr>
                <w:sz w:val="20"/>
                <w:szCs w:val="20"/>
              </w:rPr>
              <w:t>***</w:t>
            </w:r>
          </w:p>
        </w:tc>
        <w:tc>
          <w:tcPr>
            <w:tcW w:w="849" w:type="dxa"/>
            <w:vAlign w:val="center"/>
          </w:tcPr>
          <w:p w14:paraId="2033B179" w14:textId="77777777" w:rsidR="00CA5812" w:rsidRPr="00460798" w:rsidRDefault="00CA5812" w:rsidP="00DB141F">
            <w:pPr>
              <w:rPr>
                <w:sz w:val="20"/>
                <w:szCs w:val="20"/>
              </w:rPr>
            </w:pPr>
            <w:r w:rsidRPr="00460798">
              <w:rPr>
                <w:sz w:val="20"/>
                <w:szCs w:val="20"/>
              </w:rPr>
              <w:t>µg/l</w:t>
            </w:r>
          </w:p>
        </w:tc>
        <w:tc>
          <w:tcPr>
            <w:tcW w:w="988" w:type="dxa"/>
            <w:shd w:val="clear" w:color="auto" w:fill="D9D9D9" w:themeFill="background1" w:themeFillShade="D9"/>
            <w:vAlign w:val="center"/>
          </w:tcPr>
          <w:p w14:paraId="7A2C3CBB" w14:textId="77777777" w:rsidR="00CA5812" w:rsidRPr="00460798" w:rsidRDefault="00CA5812" w:rsidP="00DB141F">
            <w:pPr>
              <w:rPr>
                <w:sz w:val="20"/>
                <w:szCs w:val="20"/>
              </w:rPr>
            </w:pPr>
          </w:p>
        </w:tc>
        <w:tc>
          <w:tcPr>
            <w:tcW w:w="992" w:type="dxa"/>
            <w:shd w:val="clear" w:color="auto" w:fill="D9D9D9" w:themeFill="background1" w:themeFillShade="D9"/>
            <w:vAlign w:val="center"/>
          </w:tcPr>
          <w:p w14:paraId="0E22C09B" w14:textId="77777777" w:rsidR="00CA5812" w:rsidRPr="00460798" w:rsidRDefault="00CA5812" w:rsidP="00DB141F">
            <w:pPr>
              <w:rPr>
                <w:sz w:val="20"/>
                <w:szCs w:val="20"/>
              </w:rPr>
            </w:pPr>
          </w:p>
        </w:tc>
        <w:tc>
          <w:tcPr>
            <w:tcW w:w="1134" w:type="dxa"/>
            <w:shd w:val="clear" w:color="auto" w:fill="D9D9D9" w:themeFill="background1" w:themeFillShade="D9"/>
            <w:vAlign w:val="center"/>
          </w:tcPr>
          <w:p w14:paraId="6643B8B9" w14:textId="77777777" w:rsidR="00CA5812" w:rsidRPr="00460798" w:rsidRDefault="00CA5812" w:rsidP="00DB141F">
            <w:pPr>
              <w:rPr>
                <w:sz w:val="20"/>
                <w:szCs w:val="20"/>
              </w:rPr>
            </w:pPr>
          </w:p>
        </w:tc>
        <w:tc>
          <w:tcPr>
            <w:tcW w:w="842" w:type="dxa"/>
            <w:shd w:val="clear" w:color="auto" w:fill="auto"/>
            <w:vAlign w:val="center"/>
          </w:tcPr>
          <w:p w14:paraId="4F1276CF" w14:textId="77777777" w:rsidR="00CA5812" w:rsidRPr="00460798" w:rsidRDefault="00CA5812" w:rsidP="00DB141F">
            <w:pPr>
              <w:rPr>
                <w:sz w:val="20"/>
                <w:szCs w:val="20"/>
              </w:rPr>
            </w:pPr>
            <w:r w:rsidRPr="00460798">
              <w:rPr>
                <w:sz w:val="20"/>
                <w:szCs w:val="20"/>
              </w:rPr>
              <w:t>0.1</w:t>
            </w:r>
          </w:p>
        </w:tc>
        <w:tc>
          <w:tcPr>
            <w:tcW w:w="1032" w:type="dxa"/>
            <w:gridSpan w:val="3"/>
            <w:shd w:val="clear" w:color="auto" w:fill="auto"/>
            <w:vAlign w:val="center"/>
          </w:tcPr>
          <w:p w14:paraId="1264C8BB" w14:textId="77777777" w:rsidR="00CA5812" w:rsidRPr="00460798" w:rsidRDefault="00CA5812" w:rsidP="00DB141F">
            <w:pPr>
              <w:rPr>
                <w:sz w:val="20"/>
                <w:szCs w:val="20"/>
              </w:rPr>
            </w:pPr>
            <w:r w:rsidRPr="00460798">
              <w:rPr>
                <w:sz w:val="20"/>
                <w:szCs w:val="20"/>
              </w:rPr>
              <w:t>0.5</w:t>
            </w:r>
          </w:p>
        </w:tc>
        <w:tc>
          <w:tcPr>
            <w:tcW w:w="992" w:type="dxa"/>
            <w:gridSpan w:val="2"/>
            <w:shd w:val="clear" w:color="auto" w:fill="auto"/>
            <w:vAlign w:val="center"/>
          </w:tcPr>
          <w:p w14:paraId="3F756621" w14:textId="77777777" w:rsidR="00CA5812" w:rsidRPr="00460798" w:rsidRDefault="00CA5812" w:rsidP="00DB141F">
            <w:pPr>
              <w:rPr>
                <w:sz w:val="20"/>
                <w:szCs w:val="20"/>
              </w:rPr>
            </w:pPr>
            <w:r w:rsidRPr="00460798">
              <w:rPr>
                <w:sz w:val="20"/>
                <w:szCs w:val="20"/>
              </w:rPr>
              <w:t>0.5</w:t>
            </w:r>
          </w:p>
        </w:tc>
        <w:tc>
          <w:tcPr>
            <w:tcW w:w="965" w:type="dxa"/>
            <w:shd w:val="clear" w:color="auto" w:fill="auto"/>
            <w:vAlign w:val="center"/>
          </w:tcPr>
          <w:p w14:paraId="15DBE2AC" w14:textId="77777777" w:rsidR="00CA5812" w:rsidRDefault="00CA5812" w:rsidP="00DB141F">
            <w:pPr>
              <w:rPr>
                <w:sz w:val="20"/>
                <w:szCs w:val="20"/>
              </w:rPr>
            </w:pPr>
            <w:r>
              <w:rPr>
                <w:sz w:val="20"/>
                <w:szCs w:val="20"/>
              </w:rPr>
              <w:t>0.5</w:t>
            </w:r>
          </w:p>
        </w:tc>
      </w:tr>
      <w:tr w:rsidR="00873818" w14:paraId="79641DEE" w14:textId="77777777" w:rsidTr="007E39B8">
        <w:trPr>
          <w:trHeight w:val="340"/>
        </w:trPr>
        <w:tc>
          <w:tcPr>
            <w:tcW w:w="2271" w:type="dxa"/>
            <w:vAlign w:val="center"/>
          </w:tcPr>
          <w:p w14:paraId="4CE4E76D" w14:textId="77777777" w:rsidR="00873818" w:rsidRPr="00460798" w:rsidRDefault="00873818" w:rsidP="00DB141F">
            <w:pPr>
              <w:rPr>
                <w:rFonts w:cstheme="minorHAnsi"/>
                <w:sz w:val="20"/>
                <w:szCs w:val="20"/>
              </w:rPr>
            </w:pPr>
            <w:proofErr w:type="spellStart"/>
            <w:r w:rsidRPr="00460798">
              <w:rPr>
                <w:rFonts w:cstheme="minorHAnsi"/>
                <w:sz w:val="20"/>
                <w:szCs w:val="20"/>
              </w:rPr>
              <w:t>Trihloretilēns</w:t>
            </w:r>
            <w:proofErr w:type="spellEnd"/>
            <w:r w:rsidRPr="00460798">
              <w:rPr>
                <w:rFonts w:cstheme="minorHAnsi"/>
                <w:sz w:val="20"/>
                <w:szCs w:val="20"/>
              </w:rPr>
              <w:t xml:space="preserve"> (TCE) +</w:t>
            </w:r>
          </w:p>
          <w:p w14:paraId="048F14AC" w14:textId="77777777" w:rsidR="00873818" w:rsidRPr="00460798" w:rsidRDefault="00873818" w:rsidP="00DB141F">
            <w:pPr>
              <w:rPr>
                <w:i/>
                <w:sz w:val="20"/>
                <w:szCs w:val="20"/>
              </w:rPr>
            </w:pPr>
            <w:proofErr w:type="spellStart"/>
            <w:r w:rsidRPr="00460798">
              <w:rPr>
                <w:rFonts w:cstheme="minorHAnsi"/>
                <w:sz w:val="20"/>
                <w:szCs w:val="20"/>
              </w:rPr>
              <w:t>Tetrahloretilēns</w:t>
            </w:r>
            <w:proofErr w:type="spellEnd"/>
            <w:r w:rsidRPr="00460798">
              <w:rPr>
                <w:rFonts w:cstheme="minorHAnsi"/>
                <w:sz w:val="20"/>
                <w:szCs w:val="20"/>
              </w:rPr>
              <w:t xml:space="preserve"> (PCE) </w:t>
            </w:r>
            <w:r w:rsidR="005C58A5" w:rsidRPr="00460798">
              <w:rPr>
                <w:rFonts w:cstheme="minorHAnsi"/>
                <w:sz w:val="20"/>
                <w:szCs w:val="20"/>
              </w:rPr>
              <w:t>**</w:t>
            </w:r>
          </w:p>
        </w:tc>
        <w:tc>
          <w:tcPr>
            <w:tcW w:w="849" w:type="dxa"/>
            <w:vAlign w:val="center"/>
          </w:tcPr>
          <w:p w14:paraId="0018B652" w14:textId="77777777" w:rsidR="00873818" w:rsidRPr="00460798" w:rsidRDefault="00873818" w:rsidP="00DB141F">
            <w:pPr>
              <w:rPr>
                <w:sz w:val="20"/>
                <w:szCs w:val="20"/>
              </w:rPr>
            </w:pPr>
          </w:p>
        </w:tc>
        <w:tc>
          <w:tcPr>
            <w:tcW w:w="988" w:type="dxa"/>
            <w:shd w:val="clear" w:color="auto" w:fill="D9D9D9" w:themeFill="background1" w:themeFillShade="D9"/>
            <w:vAlign w:val="center"/>
          </w:tcPr>
          <w:p w14:paraId="4F17253B" w14:textId="77777777" w:rsidR="00873818" w:rsidRPr="00460798" w:rsidRDefault="00873818" w:rsidP="00DB141F">
            <w:pPr>
              <w:rPr>
                <w:sz w:val="20"/>
                <w:szCs w:val="20"/>
              </w:rPr>
            </w:pPr>
          </w:p>
        </w:tc>
        <w:tc>
          <w:tcPr>
            <w:tcW w:w="992" w:type="dxa"/>
            <w:shd w:val="clear" w:color="auto" w:fill="D9D9D9" w:themeFill="background1" w:themeFillShade="D9"/>
            <w:vAlign w:val="center"/>
          </w:tcPr>
          <w:p w14:paraId="45FC202D" w14:textId="77777777" w:rsidR="00873818" w:rsidRPr="00460798" w:rsidRDefault="00873818" w:rsidP="00DB141F">
            <w:pPr>
              <w:rPr>
                <w:sz w:val="20"/>
                <w:szCs w:val="20"/>
              </w:rPr>
            </w:pPr>
          </w:p>
        </w:tc>
        <w:tc>
          <w:tcPr>
            <w:tcW w:w="1134" w:type="dxa"/>
            <w:shd w:val="clear" w:color="auto" w:fill="D9D9D9" w:themeFill="background1" w:themeFillShade="D9"/>
            <w:vAlign w:val="center"/>
          </w:tcPr>
          <w:p w14:paraId="746B3A5B" w14:textId="77777777" w:rsidR="00873818" w:rsidRPr="00460798" w:rsidRDefault="00873818" w:rsidP="00DB141F">
            <w:pPr>
              <w:rPr>
                <w:sz w:val="20"/>
                <w:szCs w:val="20"/>
              </w:rPr>
            </w:pPr>
          </w:p>
        </w:tc>
        <w:tc>
          <w:tcPr>
            <w:tcW w:w="842" w:type="dxa"/>
            <w:shd w:val="clear" w:color="auto" w:fill="auto"/>
            <w:vAlign w:val="center"/>
          </w:tcPr>
          <w:p w14:paraId="50AAB75C" w14:textId="77777777" w:rsidR="00873818" w:rsidRPr="00460798" w:rsidRDefault="00873818" w:rsidP="00DB141F">
            <w:pPr>
              <w:rPr>
                <w:sz w:val="20"/>
                <w:szCs w:val="20"/>
              </w:rPr>
            </w:pPr>
            <w:r w:rsidRPr="00460798">
              <w:rPr>
                <w:sz w:val="20"/>
                <w:szCs w:val="20"/>
              </w:rPr>
              <w:t>10</w:t>
            </w:r>
          </w:p>
        </w:tc>
        <w:tc>
          <w:tcPr>
            <w:tcW w:w="1032" w:type="dxa"/>
            <w:gridSpan w:val="3"/>
            <w:shd w:val="clear" w:color="auto" w:fill="auto"/>
            <w:vAlign w:val="center"/>
          </w:tcPr>
          <w:p w14:paraId="40491977" w14:textId="77777777" w:rsidR="00873818" w:rsidRPr="00460798" w:rsidRDefault="00873818" w:rsidP="00DB141F">
            <w:pPr>
              <w:rPr>
                <w:sz w:val="20"/>
                <w:szCs w:val="20"/>
              </w:rPr>
            </w:pPr>
            <w:r w:rsidRPr="00460798">
              <w:rPr>
                <w:sz w:val="20"/>
                <w:szCs w:val="20"/>
              </w:rPr>
              <w:t>10</w:t>
            </w:r>
          </w:p>
        </w:tc>
        <w:tc>
          <w:tcPr>
            <w:tcW w:w="992" w:type="dxa"/>
            <w:gridSpan w:val="2"/>
            <w:shd w:val="clear" w:color="auto" w:fill="auto"/>
            <w:vAlign w:val="center"/>
          </w:tcPr>
          <w:p w14:paraId="4F62CA4A" w14:textId="77777777" w:rsidR="00873818" w:rsidRPr="00460798" w:rsidRDefault="00873818" w:rsidP="00DB141F">
            <w:pPr>
              <w:rPr>
                <w:sz w:val="20"/>
                <w:szCs w:val="20"/>
              </w:rPr>
            </w:pPr>
            <w:r w:rsidRPr="00460798">
              <w:rPr>
                <w:sz w:val="20"/>
                <w:szCs w:val="20"/>
              </w:rPr>
              <w:t>10</w:t>
            </w:r>
          </w:p>
        </w:tc>
        <w:tc>
          <w:tcPr>
            <w:tcW w:w="965" w:type="dxa"/>
            <w:shd w:val="clear" w:color="auto" w:fill="auto"/>
            <w:vAlign w:val="center"/>
          </w:tcPr>
          <w:p w14:paraId="1BF74D7B" w14:textId="77777777" w:rsidR="00873818" w:rsidRDefault="00F278FC" w:rsidP="00DB141F">
            <w:pPr>
              <w:rPr>
                <w:sz w:val="20"/>
                <w:szCs w:val="20"/>
              </w:rPr>
            </w:pPr>
            <w:r>
              <w:rPr>
                <w:sz w:val="20"/>
                <w:szCs w:val="20"/>
              </w:rPr>
              <w:t>10</w:t>
            </w:r>
          </w:p>
        </w:tc>
      </w:tr>
    </w:tbl>
    <w:p w14:paraId="10DD20C9" w14:textId="77777777" w:rsidR="000E7769" w:rsidRDefault="000C7CC0" w:rsidP="00D74434">
      <w:pPr>
        <w:spacing w:after="0" w:line="276" w:lineRule="auto"/>
        <w:jc w:val="both"/>
        <w:rPr>
          <w:sz w:val="18"/>
          <w:szCs w:val="18"/>
        </w:rPr>
      </w:pPr>
      <w:r w:rsidRPr="00D74434">
        <w:rPr>
          <w:sz w:val="18"/>
          <w:szCs w:val="18"/>
        </w:rPr>
        <w:t xml:space="preserve">Parametra nosaukums </w:t>
      </w:r>
      <w:r w:rsidRPr="00D74434">
        <w:rPr>
          <w:b/>
          <w:sz w:val="18"/>
          <w:szCs w:val="18"/>
        </w:rPr>
        <w:t>treknrakstā</w:t>
      </w:r>
      <w:r w:rsidRPr="00D74434">
        <w:rPr>
          <w:sz w:val="18"/>
          <w:szCs w:val="18"/>
        </w:rPr>
        <w:t xml:space="preserve"> apzīmē tās vielas/vielu savienojumus vai parametrus, kam MK noteikumos Nr. 118 (10. pielikuma 2. 1. tabula) ir noteiktas robežvērtības.</w:t>
      </w:r>
    </w:p>
    <w:p w14:paraId="0E3F7319" w14:textId="77777777" w:rsidR="006E02F4" w:rsidRPr="00D74434" w:rsidRDefault="006E02F4" w:rsidP="00D74434">
      <w:pPr>
        <w:spacing w:after="0" w:line="276" w:lineRule="auto"/>
        <w:jc w:val="both"/>
        <w:rPr>
          <w:sz w:val="18"/>
          <w:szCs w:val="18"/>
        </w:rPr>
      </w:pPr>
      <w:r>
        <w:rPr>
          <w:sz w:val="18"/>
          <w:szCs w:val="18"/>
        </w:rPr>
        <w:t xml:space="preserve">Parametra nosaukums </w:t>
      </w:r>
      <w:r w:rsidRPr="006E02F4">
        <w:rPr>
          <w:i/>
          <w:sz w:val="18"/>
          <w:szCs w:val="18"/>
        </w:rPr>
        <w:t>slīprakstā</w:t>
      </w:r>
      <w:r>
        <w:rPr>
          <w:sz w:val="18"/>
          <w:szCs w:val="18"/>
        </w:rPr>
        <w:t xml:space="preserve"> apzīmē </w:t>
      </w:r>
      <w:r w:rsidRPr="00D74434">
        <w:rPr>
          <w:sz w:val="18"/>
          <w:szCs w:val="18"/>
        </w:rPr>
        <w:t xml:space="preserve">tās vielas/vielu </w:t>
      </w:r>
      <w:r>
        <w:rPr>
          <w:sz w:val="18"/>
          <w:szCs w:val="18"/>
        </w:rPr>
        <w:t>savienojumus vai parametrus, kas</w:t>
      </w:r>
      <w:r w:rsidRPr="00D74434">
        <w:rPr>
          <w:sz w:val="18"/>
          <w:szCs w:val="18"/>
        </w:rPr>
        <w:t xml:space="preserve"> </w:t>
      </w:r>
      <w:r>
        <w:rPr>
          <w:sz w:val="18"/>
          <w:szCs w:val="18"/>
        </w:rPr>
        <w:t xml:space="preserve">atbilstoši MK noteikumu Nr. 1032 5. pielikumam noteikti kā </w:t>
      </w:r>
      <w:proofErr w:type="spellStart"/>
      <w:r>
        <w:rPr>
          <w:sz w:val="18"/>
          <w:szCs w:val="18"/>
        </w:rPr>
        <w:t>monitorējamas</w:t>
      </w:r>
      <w:proofErr w:type="spellEnd"/>
      <w:r>
        <w:rPr>
          <w:sz w:val="18"/>
          <w:szCs w:val="18"/>
        </w:rPr>
        <w:t xml:space="preserve"> vielas</w:t>
      </w:r>
    </w:p>
    <w:p w14:paraId="332F42C6" w14:textId="77777777" w:rsidR="000E7769" w:rsidRDefault="00D74434" w:rsidP="00D74434">
      <w:pPr>
        <w:spacing w:after="0" w:line="276" w:lineRule="auto"/>
        <w:jc w:val="both"/>
        <w:rPr>
          <w:sz w:val="18"/>
          <w:szCs w:val="18"/>
        </w:rPr>
      </w:pPr>
      <w:r w:rsidRPr="00D74434">
        <w:rPr>
          <w:sz w:val="18"/>
          <w:szCs w:val="18"/>
        </w:rPr>
        <w:t xml:space="preserve">* - robežvērtībai ir rekomendējoša nozīme. Parametram ir nozīme </w:t>
      </w:r>
      <w:proofErr w:type="spellStart"/>
      <w:r w:rsidRPr="00D74434">
        <w:rPr>
          <w:sz w:val="18"/>
          <w:szCs w:val="18"/>
        </w:rPr>
        <w:t>hidroķīmisko</w:t>
      </w:r>
      <w:proofErr w:type="spellEnd"/>
      <w:r w:rsidRPr="00D74434">
        <w:rPr>
          <w:sz w:val="18"/>
          <w:szCs w:val="18"/>
        </w:rPr>
        <w:t xml:space="preserve"> procesu izvērtēšanai ūdens horizontos, un arī kā vienam no vispārīgiem </w:t>
      </w:r>
      <w:proofErr w:type="spellStart"/>
      <w:r w:rsidRPr="00D74434">
        <w:rPr>
          <w:sz w:val="18"/>
          <w:szCs w:val="18"/>
        </w:rPr>
        <w:t>indikatorparametriem</w:t>
      </w:r>
      <w:proofErr w:type="spellEnd"/>
      <w:r w:rsidRPr="00D74434">
        <w:rPr>
          <w:sz w:val="18"/>
          <w:szCs w:val="18"/>
        </w:rPr>
        <w:t xml:space="preserve"> ūdens kvalitātei.</w:t>
      </w:r>
    </w:p>
    <w:p w14:paraId="372184B7" w14:textId="77777777" w:rsidR="00D74434" w:rsidRDefault="006E02F4" w:rsidP="00D74434">
      <w:pPr>
        <w:spacing w:after="0" w:line="276" w:lineRule="auto"/>
        <w:jc w:val="both"/>
        <w:rPr>
          <w:sz w:val="18"/>
          <w:szCs w:val="18"/>
        </w:rPr>
      </w:pPr>
      <w:r w:rsidRPr="006E02F4">
        <w:rPr>
          <w:sz w:val="18"/>
          <w:szCs w:val="18"/>
        </w:rPr>
        <w:t xml:space="preserve">** - </w:t>
      </w:r>
      <w:r>
        <w:rPr>
          <w:sz w:val="18"/>
          <w:szCs w:val="18"/>
        </w:rPr>
        <w:t>Viela, kas iekļauta direktīvas</w:t>
      </w:r>
      <w:r w:rsidRPr="006E02F4">
        <w:rPr>
          <w:sz w:val="18"/>
          <w:szCs w:val="18"/>
        </w:rPr>
        <w:t xml:space="preserve"> 2006/118/EK</w:t>
      </w:r>
      <w:r>
        <w:rPr>
          <w:sz w:val="18"/>
          <w:szCs w:val="18"/>
        </w:rPr>
        <w:t xml:space="preserve"> </w:t>
      </w:r>
      <w:r w:rsidR="005E4538">
        <w:rPr>
          <w:sz w:val="18"/>
          <w:szCs w:val="18"/>
        </w:rPr>
        <w:t>I</w:t>
      </w:r>
      <w:r>
        <w:rPr>
          <w:sz w:val="18"/>
          <w:szCs w:val="18"/>
        </w:rPr>
        <w:t>I pielikumā</w:t>
      </w:r>
    </w:p>
    <w:p w14:paraId="1BED31B5" w14:textId="77777777" w:rsidR="006E02F4" w:rsidRPr="006E02F4" w:rsidRDefault="006E02F4" w:rsidP="00D74434">
      <w:pPr>
        <w:spacing w:after="0" w:line="276" w:lineRule="auto"/>
        <w:jc w:val="both"/>
        <w:rPr>
          <w:sz w:val="18"/>
          <w:szCs w:val="18"/>
        </w:rPr>
      </w:pPr>
      <w:r>
        <w:rPr>
          <w:sz w:val="18"/>
          <w:szCs w:val="18"/>
        </w:rPr>
        <w:t>*** - Viela, kas iekļauta direktīvas</w:t>
      </w:r>
      <w:r w:rsidRPr="006E02F4">
        <w:rPr>
          <w:sz w:val="18"/>
          <w:szCs w:val="18"/>
        </w:rPr>
        <w:t xml:space="preserve"> 2006/118/EK</w:t>
      </w:r>
      <w:r>
        <w:rPr>
          <w:sz w:val="18"/>
          <w:szCs w:val="18"/>
        </w:rPr>
        <w:t xml:space="preserve"> I pielikumā</w:t>
      </w:r>
    </w:p>
    <w:p w14:paraId="75989C55" w14:textId="77777777" w:rsidR="00D74434" w:rsidRPr="006E02F4" w:rsidRDefault="00D74434" w:rsidP="00D74434">
      <w:pPr>
        <w:spacing w:after="0" w:line="276" w:lineRule="auto"/>
        <w:jc w:val="both"/>
        <w:rPr>
          <w:u w:val="single"/>
        </w:rPr>
      </w:pPr>
    </w:p>
    <w:p w14:paraId="7AB24FD4" w14:textId="77777777" w:rsidR="00A04FC6" w:rsidRPr="00D74434" w:rsidRDefault="00A04FC6" w:rsidP="0075493A">
      <w:pPr>
        <w:pStyle w:val="IntenseQuote"/>
      </w:pPr>
      <w:r w:rsidRPr="00D74434">
        <w:t>Elektrovadītspēja</w:t>
      </w:r>
      <w:r w:rsidR="00AC5310" w:rsidRPr="00D74434">
        <w:t xml:space="preserve"> (EVS)</w:t>
      </w:r>
    </w:p>
    <w:p w14:paraId="25AD6809" w14:textId="7AF13B73" w:rsidR="00A04FC6" w:rsidRPr="00D74434" w:rsidRDefault="00A04FC6" w:rsidP="00754B35">
      <w:pPr>
        <w:jc w:val="both"/>
      </w:pPr>
      <w:r w:rsidRPr="00D74434">
        <w:t xml:space="preserve">Elektrovadītspēja gruntsūdenī </w:t>
      </w:r>
      <w:r w:rsidR="00852613" w:rsidRPr="00D74434">
        <w:t>norāda uz dažādu izšķīdušo sāļu un citu vielu daudzumu. Jo lielāks šo vielu daudzums, jo lielāka ūdens elektrovadītspēja. Tipiski Latvijas kvartāra nogulumos esošā gruntsūdens elektrovadītspēja svārstās ap 100 – 1000 µS/cm</w:t>
      </w:r>
      <w:sdt>
        <w:sdtPr>
          <w:id w:val="-1132017258"/>
          <w:citation/>
        </w:sdtPr>
        <w:sdtEndPr/>
        <w:sdtContent>
          <w:r w:rsidR="00AC5310" w:rsidRPr="00D74434">
            <w:fldChar w:fldCharType="begin"/>
          </w:r>
          <w:r w:rsidR="00AC5310" w:rsidRPr="00D74434">
            <w:instrText xml:space="preserve"> CITATION Aij06 \l 1062 </w:instrText>
          </w:r>
          <w:r w:rsidR="00AC5310" w:rsidRPr="00D74434">
            <w:fldChar w:fldCharType="separate"/>
          </w:r>
          <w:r w:rsidR="009950D4">
            <w:rPr>
              <w:noProof/>
            </w:rPr>
            <w:t xml:space="preserve"> </w:t>
          </w:r>
          <w:r w:rsidR="009950D4" w:rsidRPr="009950D4">
            <w:rPr>
              <w:noProof/>
            </w:rPr>
            <w:t>[20]</w:t>
          </w:r>
          <w:r w:rsidR="00AC5310" w:rsidRPr="00D74434">
            <w:fldChar w:fldCharType="end"/>
          </w:r>
        </w:sdtContent>
      </w:sdt>
      <w:r w:rsidR="00A428F7" w:rsidRPr="00D74434">
        <w:t>. Jutīguma kategorijām I-III tiek rekomendēts noteikt robežlielumu 750 µS/cm</w:t>
      </w:r>
      <w:r w:rsidR="00AC5310" w:rsidRPr="00D74434">
        <w:t xml:space="preserve">, kas ir pieņemts no Zviedrijas normatīvā regulējuma </w:t>
      </w:r>
      <w:sdt>
        <w:sdtPr>
          <w:id w:val="-1126923704"/>
          <w:citation/>
        </w:sdtPr>
        <w:sdtEndPr/>
        <w:sdtContent>
          <w:r w:rsidR="00AC5310" w:rsidRPr="00D74434">
            <w:fldChar w:fldCharType="begin"/>
          </w:r>
          <w:r w:rsidR="00AC5310" w:rsidRPr="00D74434">
            <w:instrText xml:space="preserve"> CITATION Sve13 \l 1062 </w:instrText>
          </w:r>
          <w:r w:rsidR="00AC5310" w:rsidRPr="00D74434">
            <w:fldChar w:fldCharType="separate"/>
          </w:r>
          <w:r w:rsidR="009950D4" w:rsidRPr="009950D4">
            <w:rPr>
              <w:noProof/>
            </w:rPr>
            <w:t>[16]</w:t>
          </w:r>
          <w:r w:rsidR="00AC5310" w:rsidRPr="00D74434">
            <w:fldChar w:fldCharType="end"/>
          </w:r>
        </w:sdtContent>
      </w:sdt>
      <w:r w:rsidR="00AC5310" w:rsidRPr="00D74434">
        <w:t>, bet IV kategorijai 2500 µS/cm, kas atbilst robežlielumam pazemes ūdeņiem, kurus izmanto dzeramā ūdens ieguvei</w:t>
      </w:r>
      <w:sdt>
        <w:sdtPr>
          <w:id w:val="801041706"/>
          <w:citation/>
        </w:sdtPr>
        <w:sdtEndPr/>
        <w:sdtContent>
          <w:r w:rsidR="00AC5310" w:rsidRPr="00D74434">
            <w:fldChar w:fldCharType="begin"/>
          </w:r>
          <w:r w:rsidR="00AC5310" w:rsidRPr="00D74434">
            <w:instrText xml:space="preserve"> CITATION MK_Not_118 \l 1062 </w:instrText>
          </w:r>
          <w:r w:rsidR="00AC5310" w:rsidRPr="00D74434">
            <w:fldChar w:fldCharType="separate"/>
          </w:r>
          <w:r w:rsidR="009950D4">
            <w:rPr>
              <w:noProof/>
            </w:rPr>
            <w:t xml:space="preserve"> </w:t>
          </w:r>
          <w:r w:rsidR="009950D4" w:rsidRPr="009950D4">
            <w:rPr>
              <w:noProof/>
            </w:rPr>
            <w:t>[2]</w:t>
          </w:r>
          <w:r w:rsidR="00AC5310" w:rsidRPr="00D74434">
            <w:fldChar w:fldCharType="end"/>
          </w:r>
        </w:sdtContent>
      </w:sdt>
      <w:r w:rsidR="00AC5310" w:rsidRPr="00D74434">
        <w:t>. Kā rāda pieredze piesārņotu vietu izpētē, lielākoties piesārņotos pazemes ūdeņos EVS rādītājs pārsniedz 1500 - 2500 µS/cm, tomēr nevar izslēgt arī šādu un lielāku vērtību antropogēno procesu būtiski neietekmētos gruntsūdeņos, līdz ar to, vienmēr ir jānosaka un jāizvērtē pētāmās teritorijas gruntsūdens EVS fona vērtības.</w:t>
      </w:r>
      <w:r w:rsidR="00D74434" w:rsidRPr="00D74434">
        <w:t xml:space="preserve"> Tradicionāli šo parametru nosaka lauka apstākļos, un galvenokārt </w:t>
      </w:r>
      <w:r w:rsidR="007E39B8">
        <w:t>tas tiek izmantots kā viens no parametriem, kura stabilizācija ūdens sūknēšanas laikā tiek uzskatīts par piemērotu brīdi parauga noņemšanai. Bez tam šis  parametrs var indikatīvi raksturot pazemes ūdeņu kvalitāti.</w:t>
      </w:r>
    </w:p>
    <w:p w14:paraId="087CEA07" w14:textId="77777777" w:rsidR="0075493A" w:rsidRPr="00D74434" w:rsidRDefault="00D74434" w:rsidP="00D74434">
      <w:pPr>
        <w:pStyle w:val="IntenseQuote"/>
      </w:pPr>
      <w:r w:rsidRPr="00D74434">
        <w:lastRenderedPageBreak/>
        <w:t>Ķīmiskais skābekļa patēriņš (ĶSP)</w:t>
      </w:r>
    </w:p>
    <w:p w14:paraId="3B2AD055" w14:textId="77777777" w:rsidR="00852613" w:rsidRDefault="00D74434" w:rsidP="00754B35">
      <w:pPr>
        <w:jc w:val="both"/>
      </w:pPr>
      <w:r w:rsidRPr="00D74434">
        <w:t>Ķīmiskais skābekļa patēriņš (ĶSP)</w:t>
      </w:r>
      <w:r>
        <w:t xml:space="preserve"> ir </w:t>
      </w:r>
      <w:r w:rsidRPr="00D74434">
        <w:t>skābekļa masas koncentrācija (mg/l), kas nepieciešama, lai oksidētu organiskās vielas vienā litrā ūdens. tas ir lielums, ko izmanto, lai raksturotu ūdeņu piesārņojuma pakāpi ar organiskām vielām.</w:t>
      </w:r>
      <w:r w:rsidR="00002369">
        <w:t xml:space="preserve"> Šis parametrs ir izmantojams kā vispārīgs ūdens kvalitātes indikators. </w:t>
      </w:r>
    </w:p>
    <w:p w14:paraId="748712C9" w14:textId="77777777" w:rsidR="00002369" w:rsidRDefault="00002369" w:rsidP="00754B35">
      <w:pPr>
        <w:jc w:val="both"/>
      </w:pPr>
      <w:r>
        <w:t xml:space="preserve">Lietuvas normatīvajā regulējuma ĶSP nav noteikti robežlielumi, bet Zviedrijas regulējumā </w:t>
      </w:r>
      <w:sdt>
        <w:sdtPr>
          <w:id w:val="-1909294491"/>
          <w:citation/>
        </w:sdtPr>
        <w:sdtEndPr/>
        <w:sdtContent>
          <w:r>
            <w:fldChar w:fldCharType="begin"/>
          </w:r>
          <w:r>
            <w:instrText xml:space="preserve"> CITATION Sve13 \l 1062 </w:instrText>
          </w:r>
          <w:r>
            <w:fldChar w:fldCharType="separate"/>
          </w:r>
          <w:r w:rsidR="009950D4" w:rsidRPr="009950D4">
            <w:rPr>
              <w:noProof/>
            </w:rPr>
            <w:t>[16]</w:t>
          </w:r>
          <w:r>
            <w:fldChar w:fldCharType="end"/>
          </w:r>
        </w:sdtContent>
      </w:sdt>
      <w:r>
        <w:t xml:space="preserve"> šim rādītājam noteiktie robežlielumi (kas noteikti ņemot vērā nacionālās fona vērtības) ir samērā konservatīvi – vairākas reizes </w:t>
      </w:r>
      <w:r w:rsidR="00D73333">
        <w:t>zemāki nekā</w:t>
      </w:r>
      <w:r>
        <w:t xml:space="preserve"> Latvijā. </w:t>
      </w:r>
      <w:r w:rsidR="00235EE5">
        <w:t>Ņemot vērā rekomendēto jutīguma līmeņu iedalījumu, tiek rekomend</w:t>
      </w:r>
      <w:r w:rsidR="00D73333">
        <w:t>ēts I </w:t>
      </w:r>
      <w:r w:rsidR="00235EE5">
        <w:t xml:space="preserve">kategorijai piemērot Zviedrijas 5. kategorijas (lielāko pieļaujamo robežvērtību), bet II un III kategorijai attiecīgi Latvijā līdz šim spēkā esošo </w:t>
      </w:r>
      <w:proofErr w:type="spellStart"/>
      <w:r w:rsidR="00235EE5">
        <w:t>mērķlielumu</w:t>
      </w:r>
      <w:proofErr w:type="spellEnd"/>
      <w:r w:rsidR="00235EE5">
        <w:t xml:space="preserve">, savukārt IV kategorijai </w:t>
      </w:r>
      <w:r w:rsidR="00D73333">
        <w:t>–</w:t>
      </w:r>
      <w:r w:rsidR="00235EE5">
        <w:t xml:space="preserve"> robežlielumu</w:t>
      </w:r>
      <w:r w:rsidR="00D73333">
        <w:t>.</w:t>
      </w:r>
    </w:p>
    <w:p w14:paraId="7CE894EA" w14:textId="77777777" w:rsidR="00D73333" w:rsidRDefault="00274191" w:rsidP="00D73333">
      <w:pPr>
        <w:pStyle w:val="IntenseQuote"/>
      </w:pPr>
      <w:r>
        <w:t xml:space="preserve">Kopējais slāpeklis, </w:t>
      </w:r>
      <w:r w:rsidR="00D73333">
        <w:t>nitrāti</w:t>
      </w:r>
      <w:r>
        <w:t>, nitrīti</w:t>
      </w:r>
    </w:p>
    <w:p w14:paraId="01A5C46E" w14:textId="77777777" w:rsidR="00D73333" w:rsidRDefault="00D73333" w:rsidP="00D73333">
      <w:pPr>
        <w:jc w:val="both"/>
      </w:pPr>
      <w:r>
        <w:t xml:space="preserve">Kopējā slāpekļa robežvērtības nav noteiktas nevienā no detalizēti analizēto valstu regulējumiem, tomēr tiek rekomendēts šo parametru saglabāt. I jutīguma kategorijai ir pielīdzināma spēkā esošā </w:t>
      </w:r>
      <w:proofErr w:type="spellStart"/>
      <w:r>
        <w:t>mērķlieluma</w:t>
      </w:r>
      <w:proofErr w:type="spellEnd"/>
      <w:r>
        <w:t xml:space="preserve"> vērtība, II un III kategorijai – </w:t>
      </w:r>
      <w:proofErr w:type="spellStart"/>
      <w:r>
        <w:t>mērķlieluma</w:t>
      </w:r>
      <w:proofErr w:type="spellEnd"/>
      <w:r>
        <w:t xml:space="preserve"> un robežlieluma vidējā aritmētiskā vērtība, bet IV kategorijai - robežlieluma vērtība.</w:t>
      </w:r>
    </w:p>
    <w:p w14:paraId="4F6D6755" w14:textId="77777777" w:rsidR="00D73333" w:rsidRDefault="00D73333" w:rsidP="00D73333">
      <w:pPr>
        <w:jc w:val="both"/>
      </w:pPr>
      <w:r>
        <w:t>Nitr</w:t>
      </w:r>
      <w:r w:rsidR="00F45751">
        <w:t xml:space="preserve">ātu robežvērtības ir </w:t>
      </w:r>
      <w:r w:rsidR="005C21A6">
        <w:t>adaptētas</w:t>
      </w:r>
      <w:r w:rsidR="00F45751">
        <w:t xml:space="preserve"> no Zviedrijas normatīviem, Kā arī </w:t>
      </w:r>
      <w:r w:rsidR="00E058A8">
        <w:t>atbilst</w:t>
      </w:r>
      <w:r w:rsidR="00E058A8" w:rsidRPr="00E058A8">
        <w:t xml:space="preserve"> Eiropas</w:t>
      </w:r>
      <w:r w:rsidR="00E058A8">
        <w:t xml:space="preserve"> Parlamenta un padomes direktīvā</w:t>
      </w:r>
      <w:r w:rsidR="00E058A8" w:rsidRPr="00E058A8">
        <w:t xml:space="preserve"> 2006/118/EK</w:t>
      </w:r>
      <w:r w:rsidR="00E058A8">
        <w:t xml:space="preserve"> </w:t>
      </w:r>
      <w:sdt>
        <w:sdtPr>
          <w:id w:val="2042173009"/>
          <w:citation/>
        </w:sdtPr>
        <w:sdtEndPr/>
        <w:sdtContent>
          <w:r w:rsidR="00E058A8">
            <w:fldChar w:fldCharType="begin"/>
          </w:r>
          <w:r w:rsidR="00E058A8">
            <w:instrText xml:space="preserve"> CITATION EIR06 \l 1062 </w:instrText>
          </w:r>
          <w:r w:rsidR="00E058A8">
            <w:fldChar w:fldCharType="separate"/>
          </w:r>
          <w:r w:rsidR="009950D4" w:rsidRPr="009950D4">
            <w:rPr>
              <w:noProof/>
            </w:rPr>
            <w:t>[21]</w:t>
          </w:r>
          <w:r w:rsidR="00E058A8">
            <w:fldChar w:fldCharType="end"/>
          </w:r>
        </w:sdtContent>
      </w:sdt>
      <w:r w:rsidR="00E058A8">
        <w:t xml:space="preserve"> minētajā kvalitātes prasībām</w:t>
      </w:r>
      <w:r w:rsidR="005C21A6">
        <w:t>. Jāatzīmē, ka spēkā esošajos normatīvos nitrātiem nav noteiktas robežvērtības</w:t>
      </w:r>
    </w:p>
    <w:p w14:paraId="33220AA3" w14:textId="77777777" w:rsidR="005C21A6" w:rsidRDefault="005C21A6" w:rsidP="00D73333">
      <w:pPr>
        <w:jc w:val="both"/>
      </w:pPr>
      <w:r>
        <w:t>Nitrītu robežvērtības</w:t>
      </w:r>
      <w:r w:rsidR="00797E42">
        <w:t xml:space="preserve"> ir adaptētas no Lietuvas normatīvā regulējuma. I kategorijas robežvērtība atbilst arī Zviedrijas normatīvā regulējuma nitrītu robežvērtībai. </w:t>
      </w:r>
    </w:p>
    <w:p w14:paraId="3BFEDD97" w14:textId="77777777" w:rsidR="00300E5C" w:rsidRDefault="00300E5C" w:rsidP="00300E5C">
      <w:pPr>
        <w:pStyle w:val="IntenseQuote"/>
      </w:pPr>
      <w:r>
        <w:t>Kopējais fosfors</w:t>
      </w:r>
    </w:p>
    <w:p w14:paraId="3B87C38C" w14:textId="77777777" w:rsidR="00300E5C" w:rsidRDefault="00300E5C" w:rsidP="00300E5C">
      <w:pPr>
        <w:jc w:val="both"/>
      </w:pPr>
      <w:r>
        <w:t xml:space="preserve">Kopējā fosfora robežlielumi nav definēti ne Latvijas, ne Lietuvas normatīvajā regulējumā. Zviedrijā ir noteikti robežlielumi, kas atkarībā no riska ietekmes ir 0.2 – 0.6 mg/l. Tomēr, lai izvērtētu, vai šādi robežlielumi ir piemēroti Latvijas apstākļiem, ir nepieciešami detalizēti lietišķās </w:t>
      </w:r>
      <w:proofErr w:type="spellStart"/>
      <w:r>
        <w:t>hidroģeoķīmijas</w:t>
      </w:r>
      <w:proofErr w:type="spellEnd"/>
      <w:r>
        <w:t xml:space="preserve"> pētījumi un apjomīgāki monitoringa dati.</w:t>
      </w:r>
    </w:p>
    <w:p w14:paraId="62659598" w14:textId="77777777" w:rsidR="00C66A27" w:rsidRPr="00D73333" w:rsidRDefault="00C66A27" w:rsidP="00C66A27">
      <w:pPr>
        <w:pStyle w:val="IntenseQuote"/>
      </w:pPr>
      <w:r>
        <w:t>Hlorīdi (</w:t>
      </w:r>
      <w:proofErr w:type="spellStart"/>
      <w:r>
        <w:t>Cl</w:t>
      </w:r>
      <w:proofErr w:type="spellEnd"/>
      <w:r>
        <w:t>)</w:t>
      </w:r>
    </w:p>
    <w:p w14:paraId="6E28C9D9" w14:textId="77777777" w:rsidR="00C76A94" w:rsidRDefault="00C66A27" w:rsidP="00C66A27">
      <w:pPr>
        <w:jc w:val="both"/>
      </w:pPr>
      <w:r>
        <w:t xml:space="preserve">Hlorīdu robežlielumi līdz šim Latvijas normatīvajā regulējumā nav noteikti. Tomēr, ņemot vērā, ka regulējums prasa atsevišķās teritorijās </w:t>
      </w:r>
      <w:proofErr w:type="spellStart"/>
      <w:r>
        <w:t>monitorēt</w:t>
      </w:r>
      <w:proofErr w:type="spellEnd"/>
      <w:r>
        <w:t xml:space="preserve"> šo parametru – rekomendēts to iekļaut, pieņemot Lietuvā noteiktās koncentrācijas.</w:t>
      </w:r>
    </w:p>
    <w:p w14:paraId="2DD47DAC" w14:textId="77777777" w:rsidR="00C76A94" w:rsidRDefault="00C76A94" w:rsidP="00C76A94">
      <w:pPr>
        <w:pStyle w:val="IntenseQuote"/>
      </w:pPr>
      <w:r>
        <w:t>Sausnes saturs</w:t>
      </w:r>
    </w:p>
    <w:p w14:paraId="4BE6026E" w14:textId="77777777" w:rsidR="00C76A94" w:rsidRDefault="00C76A94" w:rsidP="00C76A94">
      <w:pPr>
        <w:jc w:val="both"/>
      </w:pPr>
      <w:r>
        <w:lastRenderedPageBreak/>
        <w:t xml:space="preserve">Kopējā fosfora robežlielumi nav definēti ne Latvijas, ne Lietuvas, ne arī Zviedrijas normatīvajā regulējumā. Lai izvērtētu, vai šādi robežlielumi ir piemēroti Latvijas apstākļiem, ir nepieciešami detalizēti lietišķās </w:t>
      </w:r>
      <w:proofErr w:type="spellStart"/>
      <w:r>
        <w:t>hidroģeoķīmijas</w:t>
      </w:r>
      <w:proofErr w:type="spellEnd"/>
      <w:r>
        <w:t xml:space="preserve"> pētījumi un apjomīgāki monitoringa dati</w:t>
      </w:r>
    </w:p>
    <w:p w14:paraId="51F812B9" w14:textId="77777777" w:rsidR="00C76A94" w:rsidRDefault="0036190B" w:rsidP="0036190B">
      <w:pPr>
        <w:pStyle w:val="IntenseQuote"/>
      </w:pPr>
      <w:r w:rsidRPr="0036190B">
        <w:t>Bioķīmiskā skābekļa patēriņš (BSP</w:t>
      </w:r>
      <w:r>
        <w:rPr>
          <w:vertAlign w:val="subscript"/>
        </w:rPr>
        <w:t>5</w:t>
      </w:r>
      <w:r w:rsidRPr="0036190B">
        <w:t>)</w:t>
      </w:r>
    </w:p>
    <w:p w14:paraId="34F3181A" w14:textId="77777777" w:rsidR="00C76A94" w:rsidRDefault="0036190B" w:rsidP="00C76A94">
      <w:pPr>
        <w:jc w:val="both"/>
      </w:pPr>
      <w:r w:rsidRPr="0036190B">
        <w:t>Bioķīmiskā skābekļa patēriņš (BSP) ir izšķīdušā skābekļa daudzums, kas nepieciešams aerobiem bioloģiskajiem organismiem, lai ūdens paraugā noārdītu organisko materiālu noteiktā temperatūrā specifiskā laika periodā. BSP vērtība ļauj novērtēt bioloģiski degradējumu organisko vielu klātbūtni ūdeņos, kas patērē skābekli. Negatīvām izmaiņām ūdeņos raksturīgs BSP pieaugums</w:t>
      </w:r>
      <w:r>
        <w:t>.</w:t>
      </w:r>
      <w:r w:rsidRPr="0036190B">
        <w:t xml:space="preserve"> </w:t>
      </w:r>
      <w:r>
        <w:t>Šī parametra robežlielumi nav definēti ne Latvijas, ne Lietuvas, ne arī Zviedrijas normatīvajā regulējumā. Lai izvērtētu, vai šādi robežlielumi ir piemēroti Latvijas apstākļiem, ir nepieciešami detalizēti pētījumi un apjomīgāki monitoringa dati.</w:t>
      </w:r>
    </w:p>
    <w:p w14:paraId="6CF06F90" w14:textId="77777777" w:rsidR="00797E42" w:rsidRDefault="00797E42" w:rsidP="00797E42">
      <w:pPr>
        <w:pStyle w:val="IntenseQuote"/>
      </w:pPr>
      <w:r>
        <w:t>Sulfāti</w:t>
      </w:r>
    </w:p>
    <w:p w14:paraId="5EF4EA83" w14:textId="77777777" w:rsidR="00187D18" w:rsidRDefault="00176142" w:rsidP="00187D18">
      <w:pPr>
        <w:jc w:val="both"/>
      </w:pPr>
      <w:r>
        <w:t>Sulfāti</w:t>
      </w:r>
      <w:r w:rsidR="00187D18">
        <w:t xml:space="preserve"> ir viens no parametriem, kas jātestē pazemes </w:t>
      </w:r>
      <w:r>
        <w:t>ūdeņos</w:t>
      </w:r>
      <w:r w:rsidR="00187D18">
        <w:t xml:space="preserve"> atbilstoši MK noteikumu Nr. 1032 prasībām</w:t>
      </w:r>
      <w:r>
        <w:t>.</w:t>
      </w:r>
      <w:r w:rsidR="00187D18">
        <w:t xml:space="preserve"> </w:t>
      </w:r>
      <w:r>
        <w:t>Sulfāta</w:t>
      </w:r>
      <w:r w:rsidR="00187D18">
        <w:t xml:space="preserve"> robežlielumi nav definēti saistošajā Latvijas normatīvajā regulējumā. Par I kategorijas robežlielumu adaptēts robežlielums no Zviedrijas regulējuma, bet II, III kategorijai adaptēts Lietuvas regulējuma I kategorijas robežlielums. Savukārt IV kategoriju rekomendēts pielīdzināt Lietuvas regulējuma IV kategorijai.</w:t>
      </w:r>
    </w:p>
    <w:p w14:paraId="74D57F86" w14:textId="77777777" w:rsidR="00797E42" w:rsidRDefault="00797E42" w:rsidP="00797E42">
      <w:pPr>
        <w:pStyle w:val="IntenseQuote"/>
      </w:pPr>
      <w:r>
        <w:t>Amonijs</w:t>
      </w:r>
    </w:p>
    <w:p w14:paraId="3D8A3303" w14:textId="77777777" w:rsidR="00797E42" w:rsidRPr="00797E42" w:rsidRDefault="00797E42" w:rsidP="00797E42">
      <w:pPr>
        <w:jc w:val="both"/>
      </w:pPr>
      <w:r>
        <w:t>Amonijs ir viens no parametriem, kas jātestē pazemes ūdeņos atbilstoši MK noteikumu Nr. 1032 prasībām.</w:t>
      </w:r>
      <w:r w:rsidR="00187D18">
        <w:t xml:space="preserve"> </w:t>
      </w:r>
      <w:r>
        <w:t xml:space="preserve">Amonija robežlielumi nav definēti ne Latvijas, ne Lietuvas, ne arī Zviedrijas normatīvajā regulējumā. Lai izvērtētu, vai šādi robežlielumi ir piemēroti Latvijas apstākļiem, ir nepieciešami detalizēti lietišķās </w:t>
      </w:r>
      <w:proofErr w:type="spellStart"/>
      <w:r>
        <w:t>hidroģeoķīmijas</w:t>
      </w:r>
      <w:proofErr w:type="spellEnd"/>
      <w:r>
        <w:t xml:space="preserve"> pētījumi un apjomīgāki monitoringa dati</w:t>
      </w:r>
    </w:p>
    <w:p w14:paraId="79D3D354" w14:textId="77777777" w:rsidR="00D73333" w:rsidRPr="00D74434" w:rsidRDefault="00797E42" w:rsidP="00797E42">
      <w:pPr>
        <w:pStyle w:val="IntenseQuote"/>
      </w:pPr>
      <w:r>
        <w:t>Sintētiskās virsmas aktīvās vielas</w:t>
      </w:r>
    </w:p>
    <w:p w14:paraId="4E5F242B" w14:textId="77777777" w:rsidR="00187D18" w:rsidRDefault="00187D18" w:rsidP="00187D18">
      <w:pPr>
        <w:jc w:val="both"/>
      </w:pPr>
      <w:r>
        <w:t xml:space="preserve">Šī parametra robežlielumi nav definēti ne Latvijas, ne Lietuvas, ne arī Zviedrijas normatīvajā regulējumā. Tiek rekomendēts I un II kategorijai piemērot, līdz šim spēkā esošo </w:t>
      </w:r>
      <w:proofErr w:type="spellStart"/>
      <w:r>
        <w:t>mērķlieluma</w:t>
      </w:r>
      <w:proofErr w:type="spellEnd"/>
      <w:r>
        <w:t xml:space="preserve"> un robežlieluma vidējās aritmētiskās vērtības rādītāju, bet III un IV kategorijai - robežlieluma vērtību.</w:t>
      </w:r>
    </w:p>
    <w:p w14:paraId="32FB59C4" w14:textId="77777777" w:rsidR="00187D18" w:rsidRDefault="00187D18" w:rsidP="00187D18">
      <w:pPr>
        <w:pStyle w:val="IntenseQuote"/>
      </w:pPr>
      <w:r>
        <w:t>Fenolu indekss</w:t>
      </w:r>
    </w:p>
    <w:p w14:paraId="6FAF8D5D" w14:textId="77777777" w:rsidR="00187D18" w:rsidRDefault="00BD2D08" w:rsidP="00187D18">
      <w:pPr>
        <w:jc w:val="both"/>
      </w:pPr>
      <w:r>
        <w:t>Šis parametrs ir definēts Lietuvas regulējumā, kur I kategorijas robežvērtība ir 20, kas ir ļoti tuva vērtība La</w:t>
      </w:r>
      <w:r w:rsidR="003553D7">
        <w:t>tvijā</w:t>
      </w:r>
      <w:r>
        <w:t xml:space="preserve"> noteiktajam </w:t>
      </w:r>
      <w:proofErr w:type="spellStart"/>
      <w:r>
        <w:t>mērķlieluma</w:t>
      </w:r>
      <w:proofErr w:type="spellEnd"/>
      <w:r>
        <w:t xml:space="preserve"> un robežlieluma vidējās aritmētiskās vērtības rādītājam – 25.25</w:t>
      </w:r>
      <w:r w:rsidRPr="00BD2D08">
        <w:t xml:space="preserve"> µg/l</w:t>
      </w:r>
      <w:r>
        <w:t>, bet II, III un IV kategorijas robežvērtība ir ievērojami lielāka nekā Latvijā spēkā esošais robežlielums – 50</w:t>
      </w:r>
      <w:r w:rsidRPr="00BD2D08">
        <w:t xml:space="preserve"> µg/l</w:t>
      </w:r>
      <w:r>
        <w:t xml:space="preserve">. Tiek rekomendēts I kategorijai noteikt robežlielumu 20, bet II, III un IV kategorijai saglabāt esošo robežlieluma vērtību – 50 </w:t>
      </w:r>
      <w:r w:rsidRPr="00BD2D08">
        <w:t>µg/l</w:t>
      </w:r>
      <w:r>
        <w:t>.</w:t>
      </w:r>
    </w:p>
    <w:p w14:paraId="3CCF2ED5" w14:textId="77777777" w:rsidR="00187D18" w:rsidRDefault="00187D18" w:rsidP="00187D18">
      <w:pPr>
        <w:pStyle w:val="IntenseQuote"/>
      </w:pPr>
      <w:r>
        <w:lastRenderedPageBreak/>
        <w:t>Benzols</w:t>
      </w:r>
    </w:p>
    <w:p w14:paraId="73447991" w14:textId="2EA8034A" w:rsidR="00187D18" w:rsidRDefault="00BD2D08" w:rsidP="00187D18">
      <w:pPr>
        <w:jc w:val="both"/>
      </w:pPr>
      <w:r>
        <w:t xml:space="preserve">Benzolam tiek rekomendēts noteikt sekojošus </w:t>
      </w:r>
      <w:proofErr w:type="spellStart"/>
      <w:r>
        <w:t>robežielumus</w:t>
      </w:r>
      <w:proofErr w:type="spellEnd"/>
      <w:r>
        <w:t>: I kategorijai – 1.0</w:t>
      </w:r>
      <w:r w:rsidRPr="00BD2D08">
        <w:t xml:space="preserve"> µg/l</w:t>
      </w:r>
      <w:r>
        <w:t>, kas ir samērā konservatīvs daudzums</w:t>
      </w:r>
      <w:r w:rsidR="007E39B8">
        <w:t xml:space="preserve"> (zema vērtība)</w:t>
      </w:r>
      <w:r>
        <w:t xml:space="preserve"> un atbilst Zviedrijā noteiktajam robežlielumam, II un III kategorijai - 5 </w:t>
      </w:r>
      <w:r w:rsidRPr="00BD2D08">
        <w:t>µg/l</w:t>
      </w:r>
      <w:r>
        <w:t xml:space="preserve">, kas atbilst līdz šim spēkā esošajam robežlielumam Latvijā, bet IV kategorijai piedāvāts noteikt 10 </w:t>
      </w:r>
      <w:r w:rsidRPr="00BD2D08">
        <w:t>µg/l</w:t>
      </w:r>
      <w:r>
        <w:t xml:space="preserve">, kas atbilst Lietuvā noteiktajam I kategorijas robežlielumam. </w:t>
      </w:r>
    </w:p>
    <w:p w14:paraId="24F8A7DD" w14:textId="77777777" w:rsidR="001C0AB1" w:rsidRDefault="001C0AB1" w:rsidP="00187D18">
      <w:pPr>
        <w:jc w:val="both"/>
      </w:pPr>
    </w:p>
    <w:p w14:paraId="724C8A3F" w14:textId="77777777" w:rsidR="001C0AB1" w:rsidRDefault="001C0AB1" w:rsidP="00187D18">
      <w:pPr>
        <w:jc w:val="both"/>
      </w:pPr>
    </w:p>
    <w:p w14:paraId="7D607F3B" w14:textId="77777777" w:rsidR="00187D18" w:rsidRDefault="00187D18" w:rsidP="00187D18">
      <w:pPr>
        <w:pStyle w:val="IntenseQuote"/>
      </w:pPr>
      <w:proofErr w:type="spellStart"/>
      <w:r>
        <w:t>Etilbenzols</w:t>
      </w:r>
      <w:proofErr w:type="spellEnd"/>
    </w:p>
    <w:p w14:paraId="79FDED72" w14:textId="77777777" w:rsidR="00BD2D08" w:rsidRDefault="00BD2D08" w:rsidP="00BD2D08">
      <w:pPr>
        <w:jc w:val="both"/>
      </w:pPr>
      <w:proofErr w:type="spellStart"/>
      <w:r>
        <w:t>Etilbenzolam</w:t>
      </w:r>
      <w:proofErr w:type="spellEnd"/>
      <w:r>
        <w:t xml:space="preserve"> tiek rekomendēts noteikt sekojošus robež</w:t>
      </w:r>
      <w:r w:rsidR="00DA74AF">
        <w:t>li</w:t>
      </w:r>
      <w:r>
        <w:t>elumus: I kategorijai –</w:t>
      </w:r>
      <w:r w:rsidR="00DA74AF">
        <w:t xml:space="preserve"> 5</w:t>
      </w:r>
      <w:r>
        <w:t>.0</w:t>
      </w:r>
      <w:r w:rsidRPr="00BD2D08">
        <w:t xml:space="preserve"> µg/l</w:t>
      </w:r>
      <w:r>
        <w:t xml:space="preserve">, kas ir samērā konservatīvs daudzums un atbilst </w:t>
      </w:r>
      <w:r w:rsidR="00DA74AF">
        <w:t xml:space="preserve">Lietuvā </w:t>
      </w:r>
      <w:r>
        <w:t>noteiktajam robežlielumam</w:t>
      </w:r>
      <w:r w:rsidR="00DA74AF">
        <w:t xml:space="preserve"> I kategorijai</w:t>
      </w:r>
      <w:r w:rsidR="003553D7">
        <w:t xml:space="preserve">, II, </w:t>
      </w:r>
      <w:r>
        <w:t>II</w:t>
      </w:r>
      <w:r w:rsidR="003553D7">
        <w:t>I un IV</w:t>
      </w:r>
      <w:r>
        <w:t xml:space="preserve"> kategorijai </w:t>
      </w:r>
      <w:r w:rsidR="003553D7">
        <w:t>–</w:t>
      </w:r>
      <w:r w:rsidR="00DA74AF">
        <w:t xml:space="preserve"> </w:t>
      </w:r>
      <w:r w:rsidR="003553D7">
        <w:t>60 </w:t>
      </w:r>
      <w:r w:rsidRPr="00BD2D08">
        <w:t>µg/l</w:t>
      </w:r>
      <w:r>
        <w:t>, kas atbilst līdz šim spēkā esošajam robežlielumam Latvij</w:t>
      </w:r>
      <w:r w:rsidR="003553D7">
        <w:t>ā.</w:t>
      </w:r>
    </w:p>
    <w:p w14:paraId="1D8B27BA" w14:textId="77777777" w:rsidR="00187D18" w:rsidRDefault="00187D18" w:rsidP="00187D18">
      <w:pPr>
        <w:pStyle w:val="IntenseQuote"/>
      </w:pPr>
      <w:r>
        <w:t>Toluols</w:t>
      </w:r>
    </w:p>
    <w:p w14:paraId="7E7FC10A" w14:textId="77777777" w:rsidR="003553D7" w:rsidRDefault="003553D7" w:rsidP="003553D7">
      <w:pPr>
        <w:jc w:val="both"/>
      </w:pPr>
      <w:r>
        <w:t>Toluolam tiek rekomendēts noteikt sekojošus robežlielumus: I kategorijai – 25</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50 </w:t>
      </w:r>
      <w:r w:rsidRPr="00BD2D08">
        <w:t>µg/l</w:t>
      </w:r>
      <w:r>
        <w:t>, kas atbilst līdz šim spēkā esošajam robežlielumam Latvijā.</w:t>
      </w:r>
    </w:p>
    <w:p w14:paraId="061D9EDD" w14:textId="77777777" w:rsidR="00187D18" w:rsidRDefault="00187D18" w:rsidP="00187D18">
      <w:pPr>
        <w:pStyle w:val="IntenseQuote"/>
      </w:pPr>
      <w:r>
        <w:t xml:space="preserve">p-, m-, o- </w:t>
      </w:r>
      <w:proofErr w:type="spellStart"/>
      <w:r>
        <w:t>ksiloli</w:t>
      </w:r>
      <w:proofErr w:type="spellEnd"/>
    </w:p>
    <w:p w14:paraId="39642C13" w14:textId="77777777" w:rsidR="003553D7" w:rsidRDefault="003553D7" w:rsidP="003553D7">
      <w:pPr>
        <w:jc w:val="both"/>
      </w:pPr>
      <w:proofErr w:type="spellStart"/>
      <w:r>
        <w:t>Ksilolu</w:t>
      </w:r>
      <w:proofErr w:type="spellEnd"/>
      <w:r>
        <w:t xml:space="preserve"> summai tiek rekomendēts noteikt sekojošus robežlielumus: I kategorijai – 30</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60 </w:t>
      </w:r>
      <w:r w:rsidRPr="00BD2D08">
        <w:t>µg/l</w:t>
      </w:r>
      <w:r>
        <w:t>, kas atbilst līdz šim spēkā esošajam robežlielumam Latvijā.</w:t>
      </w:r>
    </w:p>
    <w:p w14:paraId="52FB99B0" w14:textId="77777777" w:rsidR="00797E42" w:rsidRDefault="00187D18" w:rsidP="00DA74AF">
      <w:pPr>
        <w:pStyle w:val="IntenseQuote"/>
      </w:pPr>
      <w:r>
        <w:t>Naftas ogļūdeņraži (ogļūdeņražu C10-C40 indekss)</w:t>
      </w:r>
    </w:p>
    <w:p w14:paraId="1943C50A" w14:textId="77777777" w:rsidR="003553D7" w:rsidRDefault="003553D7" w:rsidP="003553D7">
      <w:pPr>
        <w:jc w:val="both"/>
      </w:pPr>
      <w:r>
        <w:t>Naftas ogļūdeņražiem tiek rekomendēts noteikt sekojošus robežlielumus: I kategorijai – 500</w:t>
      </w:r>
      <w:r w:rsidRPr="00BD2D08">
        <w:t xml:space="preserve"> µg/l</w:t>
      </w:r>
      <w:r>
        <w:t xml:space="preserve">, kas atbilst noteiktajam </w:t>
      </w:r>
      <w:proofErr w:type="spellStart"/>
      <w:r>
        <w:t>mērķlieluma</w:t>
      </w:r>
      <w:proofErr w:type="spellEnd"/>
      <w:r>
        <w:t xml:space="preserve"> un robežlieluma vidējās aritmētiskās vērtības rādītājam, II, III kategorijai 1000 </w:t>
      </w:r>
      <w:r w:rsidRPr="00BD2D08">
        <w:t>µg/l</w:t>
      </w:r>
      <w:r>
        <w:t>, kas atbilst līdz šim spēkā esošajam robežlielumam Latvijā.</w:t>
      </w:r>
      <w:r w:rsidRPr="003553D7">
        <w:t xml:space="preserve"> </w:t>
      </w:r>
      <w:r>
        <w:t>un IV kategorijai – 2000 </w:t>
      </w:r>
      <w:r w:rsidRPr="00BD2D08">
        <w:t>µg/l</w:t>
      </w:r>
      <w:r>
        <w:t>, kas atbilst</w:t>
      </w:r>
      <w:r w:rsidRPr="003553D7">
        <w:t xml:space="preserve"> </w:t>
      </w:r>
      <w:r>
        <w:t xml:space="preserve">Lietuvā noteiktajam robežlielumam II kategorijai (LAND 9-2009). </w:t>
      </w:r>
    </w:p>
    <w:p w14:paraId="57EACAC7" w14:textId="77777777" w:rsidR="003553D7" w:rsidRPr="003553D7" w:rsidRDefault="003553D7" w:rsidP="003553D7">
      <w:pPr>
        <w:pStyle w:val="IntenseQuote"/>
      </w:pPr>
      <w:r w:rsidRPr="003553D7">
        <w:t>Bors (B)</w:t>
      </w:r>
    </w:p>
    <w:p w14:paraId="65720C55" w14:textId="77777777" w:rsidR="00176142" w:rsidRDefault="00176142" w:rsidP="00176142">
      <w:pPr>
        <w:jc w:val="both"/>
      </w:pPr>
      <w:r>
        <w:lastRenderedPageBreak/>
        <w:t>Bors ir viens no parametriem, kas jātestē pazemes ūdeņos atbilstoši MK noteikumu Nr. 1032 prasībām. Bora robežlielumi nav definēti saistošajā Latvijas normatīvajā regulējumā. Par I kategorijas robežlielumu adaptēts robežlielums no Lietuvas regulējuma (I kategorija), bet II, III un IV kategorijai adaptēts Lietuvas regulējuma II-IVI kategorijas robežlielums</w:t>
      </w:r>
    </w:p>
    <w:p w14:paraId="63500320" w14:textId="77777777" w:rsidR="003553D7" w:rsidRDefault="003553D7" w:rsidP="003553D7">
      <w:pPr>
        <w:pStyle w:val="IntenseQuote"/>
      </w:pPr>
      <w:r>
        <w:t>Cinks (</w:t>
      </w:r>
      <w:proofErr w:type="spellStart"/>
      <w:r>
        <w:t>Zn</w:t>
      </w:r>
      <w:proofErr w:type="spellEnd"/>
      <w:r>
        <w:t>)</w:t>
      </w:r>
    </w:p>
    <w:p w14:paraId="0F94D232" w14:textId="77777777" w:rsidR="00176142" w:rsidRDefault="00176142" w:rsidP="00176142">
      <w:pPr>
        <w:jc w:val="both"/>
      </w:pPr>
      <w:r>
        <w:t xml:space="preserve">Cinks ir viens no parametriem, kas jātestē pazemes ūdeņos atbilstoši MK noteikumu Nr. 1032 prasībām. Cinka robežlielumi nav definēti saistošajā Latvijas normatīvajā regulējumā. Par I kategorijas robežlielumu adaptēts robežlielums no Zviedrijas regulējuma </w:t>
      </w:r>
      <w:sdt>
        <w:sdtPr>
          <w:id w:val="27542384"/>
          <w:citation/>
        </w:sdtPr>
        <w:sdtEndPr/>
        <w:sdtContent>
          <w:r>
            <w:fldChar w:fldCharType="begin"/>
          </w:r>
          <w:r>
            <w:instrText xml:space="preserve"> CITATION Sve13 \l 1062 </w:instrText>
          </w:r>
          <w:r>
            <w:fldChar w:fldCharType="separate"/>
          </w:r>
          <w:r w:rsidR="009950D4" w:rsidRPr="009950D4">
            <w:rPr>
              <w:noProof/>
            </w:rPr>
            <w:t>[16]</w:t>
          </w:r>
          <w:r>
            <w:fldChar w:fldCharType="end"/>
          </w:r>
        </w:sdtContent>
      </w:sdt>
      <w:r>
        <w:t>, II, III kategorijai no Lietuvas regulējuma (I kategorija), bet IV kategorijai adaptēts Lietuvas regulējuma IV kategorijas robežlielums</w:t>
      </w:r>
    </w:p>
    <w:p w14:paraId="5B508D65" w14:textId="77777777" w:rsidR="003553D7" w:rsidRDefault="003553D7" w:rsidP="003553D7">
      <w:pPr>
        <w:pStyle w:val="IntenseQuote"/>
      </w:pPr>
      <w:r>
        <w:t>Arsēns (</w:t>
      </w:r>
      <w:proofErr w:type="spellStart"/>
      <w:r>
        <w:t>As</w:t>
      </w:r>
      <w:proofErr w:type="spellEnd"/>
      <w:r>
        <w:t>)</w:t>
      </w:r>
    </w:p>
    <w:p w14:paraId="3C4D559A" w14:textId="77777777" w:rsidR="003553D7" w:rsidRDefault="00176142" w:rsidP="003553D7">
      <w:pPr>
        <w:jc w:val="both"/>
      </w:pPr>
      <w:r>
        <w:t>Arsēnam tiek rekomendēts noteikt konservatīvāku zemāko robežvērtību. Par I kategorijas robežvērtību tiek rekomendēts adaptēt Lietuvas regulējuma I kategorijas robežvērtību</w:t>
      </w:r>
      <w:r w:rsidR="00BA486E">
        <w:t xml:space="preserve"> (10</w:t>
      </w:r>
      <w:r w:rsidR="00BA486E" w:rsidRPr="00BA486E">
        <w:t xml:space="preserve"> </w:t>
      </w:r>
      <w:r w:rsidR="00BA486E" w:rsidRPr="00BD2D08">
        <w:t>µg/l</w:t>
      </w:r>
      <w:r w:rsidR="00BA486E">
        <w:t>)</w:t>
      </w:r>
      <w:r>
        <w:t xml:space="preserve">, kas Latvijā līdz šim bija </w:t>
      </w:r>
      <w:proofErr w:type="spellStart"/>
      <w:r>
        <w:t>mērķlielums</w:t>
      </w:r>
      <w:proofErr w:type="spellEnd"/>
      <w:r>
        <w:t xml:space="preserve">. II un III kategorijai rekomendēts noteikt </w:t>
      </w:r>
      <w:r w:rsidR="00BA486E">
        <w:t xml:space="preserve">30 </w:t>
      </w:r>
      <w:r w:rsidR="00BA486E" w:rsidRPr="00BD2D08">
        <w:t>µg/l</w:t>
      </w:r>
      <w:r w:rsidR="00BA486E">
        <w:t xml:space="preserve">, kas atbilst </w:t>
      </w:r>
      <w:proofErr w:type="spellStart"/>
      <w:r w:rsidR="00BA486E">
        <w:t>mērķlieluma</w:t>
      </w:r>
      <w:proofErr w:type="spellEnd"/>
      <w:r w:rsidR="00BA486E">
        <w:t xml:space="preserve"> un robežlieluma vidējās aritmētiskās vērtības rādītājam, bet IV kategorijai attiecināt Lietuvas II – IV kategorijas robežlielumu – 50 </w:t>
      </w:r>
      <w:r w:rsidR="00BA486E" w:rsidRPr="00BD2D08">
        <w:t>µg/l</w:t>
      </w:r>
      <w:r w:rsidR="00BA486E">
        <w:t xml:space="preserve">, kas ir par 10 </w:t>
      </w:r>
      <w:r w:rsidR="00BA486E" w:rsidRPr="00BD2D08">
        <w:t>µg/l</w:t>
      </w:r>
      <w:r w:rsidR="00BA486E">
        <w:t xml:space="preserve"> mazāk, kā Latvijas regulējumā noteiktais robežlielums.</w:t>
      </w:r>
    </w:p>
    <w:p w14:paraId="7DD9BCB9" w14:textId="77777777" w:rsidR="003553D7" w:rsidRDefault="003553D7" w:rsidP="003553D7">
      <w:pPr>
        <w:pStyle w:val="IntenseQuote"/>
      </w:pPr>
      <w:r>
        <w:t>Dzīvsudrabs (</w:t>
      </w:r>
      <w:proofErr w:type="spellStart"/>
      <w:r>
        <w:t>Hg</w:t>
      </w:r>
      <w:proofErr w:type="spellEnd"/>
      <w:r>
        <w:t>)</w:t>
      </w:r>
    </w:p>
    <w:p w14:paraId="252A05DC" w14:textId="77777777" w:rsidR="00BA486E" w:rsidRDefault="00BA486E" w:rsidP="00BA486E">
      <w:pPr>
        <w:jc w:val="both"/>
      </w:pPr>
      <w:r>
        <w:t>Dzīvsudrabam tiek rekomendēts noteikt sekojošus robežlielumus: I kategorijai – 0.175</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0.3 </w:t>
      </w:r>
      <w:r w:rsidRPr="00BD2D08">
        <w:t>µg/l</w:t>
      </w:r>
      <w:r>
        <w:t>, kas atbilst līdz šim spēkā esošajam robežlielumam Latvijā.</w:t>
      </w:r>
    </w:p>
    <w:p w14:paraId="582F9E1D" w14:textId="77777777" w:rsidR="003553D7" w:rsidRDefault="003553D7" w:rsidP="003553D7">
      <w:pPr>
        <w:pStyle w:val="IntenseQuote"/>
      </w:pPr>
      <w:r>
        <w:t>Hroms (</w:t>
      </w:r>
      <w:proofErr w:type="spellStart"/>
      <w:r>
        <w:t>Cr</w:t>
      </w:r>
      <w:proofErr w:type="spellEnd"/>
      <w:r>
        <w:t>)</w:t>
      </w:r>
    </w:p>
    <w:p w14:paraId="35D1AC88" w14:textId="77777777" w:rsidR="00BA486E" w:rsidRDefault="00BA486E" w:rsidP="00BA486E">
      <w:pPr>
        <w:jc w:val="both"/>
      </w:pPr>
      <w:r>
        <w:t>Hromam tiek rekomendēts noteikt sekojošus robežlielumus: I kategorijai – 20</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30 </w:t>
      </w:r>
      <w:r w:rsidRPr="00BD2D08">
        <w:t>µg/l</w:t>
      </w:r>
      <w:r>
        <w:t>, kas atbilst līdz šim spēkā esošajam robežlielumam Latvijā.</w:t>
      </w:r>
    </w:p>
    <w:p w14:paraId="47D4A9C2" w14:textId="77777777" w:rsidR="00797E42" w:rsidRDefault="003553D7" w:rsidP="003553D7">
      <w:pPr>
        <w:pStyle w:val="IntenseQuote"/>
      </w:pPr>
      <w:r>
        <w:t>Kadmijs (</w:t>
      </w:r>
      <w:proofErr w:type="spellStart"/>
      <w:r>
        <w:t>Cd</w:t>
      </w:r>
      <w:proofErr w:type="spellEnd"/>
      <w:r>
        <w:t>)</w:t>
      </w:r>
    </w:p>
    <w:p w14:paraId="448154D6" w14:textId="77777777" w:rsidR="00BA486E" w:rsidRDefault="00BA486E" w:rsidP="00BA486E">
      <w:pPr>
        <w:jc w:val="both"/>
      </w:pPr>
      <w:r>
        <w:t>Kadmijam tiek rekomendēts noteikt sekojošus robežlielumus: I kategorijai – 5</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6 </w:t>
      </w:r>
      <w:r w:rsidRPr="00BD2D08">
        <w:t>µg/l</w:t>
      </w:r>
      <w:r>
        <w:t>, kas atbilst līdz šim spēkā esošajam robežlielumam Latvijā.</w:t>
      </w:r>
    </w:p>
    <w:p w14:paraId="30A07C05" w14:textId="77777777" w:rsidR="00CF11DD" w:rsidRDefault="00CF11DD" w:rsidP="00CF11DD">
      <w:pPr>
        <w:pStyle w:val="IntenseQuote"/>
      </w:pPr>
      <w:r>
        <w:lastRenderedPageBreak/>
        <w:t>Kobalts (</w:t>
      </w:r>
      <w:proofErr w:type="spellStart"/>
      <w:r>
        <w:t>Co</w:t>
      </w:r>
      <w:proofErr w:type="spellEnd"/>
      <w:r>
        <w:t>)</w:t>
      </w:r>
    </w:p>
    <w:p w14:paraId="17C2A356" w14:textId="77777777" w:rsidR="00CF11DD" w:rsidRDefault="00CF11DD" w:rsidP="00CF11DD">
      <w:pPr>
        <w:jc w:val="both"/>
      </w:pPr>
      <w:r>
        <w:t>Kobaltam tiek rekomendēts noteikt sekojošus robežlielumus: I kategorijai – 55</w:t>
      </w:r>
      <w:r w:rsidRPr="00BD2D08">
        <w:t xml:space="preserve"> µg/l</w:t>
      </w:r>
      <w:r>
        <w:t xml:space="preserve">, kas atbilst noteiktajam </w:t>
      </w:r>
      <w:proofErr w:type="spellStart"/>
      <w:r>
        <w:t>mērķlieluma</w:t>
      </w:r>
      <w:proofErr w:type="spellEnd"/>
      <w:r>
        <w:t xml:space="preserve"> un robežlieluma vidējās aritmētiskās vērtības rādītājam, II, III un IV kategorijai – 100 </w:t>
      </w:r>
      <w:r w:rsidRPr="00BD2D08">
        <w:t>µg/l</w:t>
      </w:r>
      <w:r>
        <w:t>, kas atbilst līdz šim spēkā esošajam robežlielumam Latvijā.</w:t>
      </w:r>
    </w:p>
    <w:p w14:paraId="2100D3B7" w14:textId="77777777" w:rsidR="00CF11DD" w:rsidRDefault="00CF11DD" w:rsidP="00CF11DD">
      <w:pPr>
        <w:pStyle w:val="IntenseQuote"/>
      </w:pPr>
      <w:r>
        <w:t>Molibdēns (</w:t>
      </w:r>
      <w:proofErr w:type="spellStart"/>
      <w:r>
        <w:t>Mo</w:t>
      </w:r>
      <w:proofErr w:type="spellEnd"/>
      <w:r>
        <w:t>)</w:t>
      </w:r>
    </w:p>
    <w:p w14:paraId="37C6D32C" w14:textId="77777777" w:rsidR="00CF11DD" w:rsidRDefault="00F278FC" w:rsidP="00CF11DD">
      <w:pPr>
        <w:jc w:val="both"/>
      </w:pPr>
      <w:r>
        <w:t>Molibdēnam</w:t>
      </w:r>
      <w:r w:rsidR="00CF11DD">
        <w:t xml:space="preserve"> tiek rekomendēts noteikt sekojošus robežlielumus: I kategorijai – 155</w:t>
      </w:r>
      <w:r w:rsidR="00CF11DD" w:rsidRPr="00BD2D08">
        <w:t xml:space="preserve"> µg/l</w:t>
      </w:r>
      <w:r w:rsidR="00CF11DD">
        <w:t xml:space="preserve">, kas atbilst noteiktajam </w:t>
      </w:r>
      <w:proofErr w:type="spellStart"/>
      <w:r w:rsidR="00CF11DD">
        <w:t>mērķlieluma</w:t>
      </w:r>
      <w:proofErr w:type="spellEnd"/>
      <w:r w:rsidR="00CF11DD">
        <w:t xml:space="preserve"> un robežlieluma vidējās aritmētiskās vērtības rādītājam, II, III un IV kategorijai – 300 </w:t>
      </w:r>
      <w:r w:rsidR="00CF11DD" w:rsidRPr="00BD2D08">
        <w:t>µg/l</w:t>
      </w:r>
      <w:r w:rsidR="00CF11DD">
        <w:t>, kas atbilst līdz šim spēkā esošajam robežlielumam Latvijā.</w:t>
      </w:r>
    </w:p>
    <w:p w14:paraId="61A00198" w14:textId="77777777" w:rsidR="00CF11DD" w:rsidRDefault="00CF11DD" w:rsidP="00CF11DD">
      <w:pPr>
        <w:pStyle w:val="IntenseQuote"/>
      </w:pPr>
      <w:r>
        <w:t>Niķelis (</w:t>
      </w:r>
      <w:proofErr w:type="spellStart"/>
      <w:r>
        <w:t>Ni</w:t>
      </w:r>
      <w:proofErr w:type="spellEnd"/>
      <w:r>
        <w:t>)</w:t>
      </w:r>
    </w:p>
    <w:p w14:paraId="526A106A" w14:textId="77777777" w:rsidR="00CF11DD" w:rsidRDefault="00F278FC" w:rsidP="00CF11DD">
      <w:pPr>
        <w:jc w:val="both"/>
      </w:pPr>
      <w:r>
        <w:t>Niķelim</w:t>
      </w:r>
      <w:r w:rsidR="00CF11DD">
        <w:t xml:space="preserve"> tiek rekomendēts noteikt sekojošus robežlielumus: I kategorijai – 20</w:t>
      </w:r>
      <w:r w:rsidR="00CF11DD" w:rsidRPr="00BD2D08">
        <w:t xml:space="preserve"> µg/l</w:t>
      </w:r>
      <w:r w:rsidR="00CF11DD">
        <w:t>, kas atbilst noteiktajam Lietuvas regulējuma I kategorijas robežlielumam (kā arī prasībām dzeramajam ūdenim paredzētajām prasībām Latvijā) un IV kategorijai – 75 </w:t>
      </w:r>
      <w:r w:rsidR="00CF11DD" w:rsidRPr="00BD2D08">
        <w:t>µg/l</w:t>
      </w:r>
      <w:r w:rsidR="00CF11DD">
        <w:t>, kas atbilst līdz šim spēkā esošajam robežlielumam Latvijā.</w:t>
      </w:r>
    </w:p>
    <w:p w14:paraId="4A049770" w14:textId="77777777" w:rsidR="00CF11DD" w:rsidRDefault="00CF11DD" w:rsidP="00CF11DD">
      <w:pPr>
        <w:pStyle w:val="IntenseQuote"/>
      </w:pPr>
      <w:r>
        <w:t>Svins (</w:t>
      </w:r>
      <w:proofErr w:type="spellStart"/>
      <w:r>
        <w:t>Pb</w:t>
      </w:r>
      <w:proofErr w:type="spellEnd"/>
      <w:r>
        <w:t>)</w:t>
      </w:r>
    </w:p>
    <w:p w14:paraId="2D3270DD" w14:textId="77777777" w:rsidR="00CF11DD" w:rsidRDefault="00F278FC" w:rsidP="00CF11DD">
      <w:pPr>
        <w:jc w:val="both"/>
      </w:pPr>
      <w:r>
        <w:t>Svinam</w:t>
      </w:r>
      <w:r w:rsidR="00CF11DD">
        <w:t xml:space="preserve"> tiek rekomendēts noteikt sekojošus robežlielumus: I kategorijai – 25</w:t>
      </w:r>
      <w:r w:rsidR="00CF11DD" w:rsidRPr="00BD2D08">
        <w:t xml:space="preserve"> µg/l</w:t>
      </w:r>
      <w:r w:rsidR="00CF11DD">
        <w:t>, kas atbilst noteiktajam Lietuvas regulējuma I kategorijas robežlielumam un IV kategorijai – 75 </w:t>
      </w:r>
      <w:r w:rsidR="00CF11DD" w:rsidRPr="00BD2D08">
        <w:t>µg/l</w:t>
      </w:r>
      <w:r w:rsidR="00CF11DD">
        <w:t>, kas atbilst līdz šim spēkā esošajam robežlielumam Latvijā.</w:t>
      </w:r>
    </w:p>
    <w:p w14:paraId="0320AB93" w14:textId="77777777" w:rsidR="00797E42" w:rsidRDefault="00CF11DD" w:rsidP="00CF11DD">
      <w:pPr>
        <w:pStyle w:val="IntenseQuote"/>
      </w:pPr>
      <w:r>
        <w:t>Varš (</w:t>
      </w:r>
      <w:proofErr w:type="spellStart"/>
      <w:r>
        <w:t>Cu</w:t>
      </w:r>
      <w:proofErr w:type="spellEnd"/>
      <w:r>
        <w:t>)</w:t>
      </w:r>
    </w:p>
    <w:p w14:paraId="1762DF5A" w14:textId="77777777" w:rsidR="00797E42" w:rsidRDefault="00F278FC" w:rsidP="00754B35">
      <w:pPr>
        <w:jc w:val="both"/>
      </w:pPr>
      <w:r>
        <w:t>Varam</w:t>
      </w:r>
      <w:r w:rsidR="00CF11DD">
        <w:t xml:space="preserve"> tiek rekomendēts noteikt sekojošus robežlielumus: I kategorijai – 60</w:t>
      </w:r>
      <w:r w:rsidR="00CF11DD" w:rsidRPr="00BD2D08">
        <w:t xml:space="preserve"> µg/l</w:t>
      </w:r>
      <w:r w:rsidR="00CF11DD">
        <w:t>, kas atbilst noteiktajam Lietuvas regulējuma I kategorijas robežlielumam un IV kategorijai – 75 </w:t>
      </w:r>
      <w:r w:rsidR="00CF11DD" w:rsidRPr="00BD2D08">
        <w:t>µg/l</w:t>
      </w:r>
      <w:r w:rsidR="00CF11DD">
        <w:t>, kas atbilst līdz šim spēkā esošajam robežlielumam Latvijā</w:t>
      </w:r>
    </w:p>
    <w:p w14:paraId="471F34F9" w14:textId="77777777" w:rsidR="00CF11DD" w:rsidRDefault="00CF11DD" w:rsidP="00CF11DD">
      <w:pPr>
        <w:pStyle w:val="IntenseQuote"/>
      </w:pPr>
      <w:r>
        <w:t>Dzelzs (</w:t>
      </w:r>
      <w:proofErr w:type="spellStart"/>
      <w:r>
        <w:t>Fe</w:t>
      </w:r>
      <w:proofErr w:type="spellEnd"/>
      <w:r>
        <w:t>)</w:t>
      </w:r>
    </w:p>
    <w:p w14:paraId="1340048F" w14:textId="77777777" w:rsidR="00F278FC" w:rsidRPr="00797E42" w:rsidRDefault="00F278FC" w:rsidP="00F278FC">
      <w:pPr>
        <w:jc w:val="both"/>
      </w:pPr>
      <w:r>
        <w:t xml:space="preserve">Dzelzs ir viens no parametriem, kas jātestē pazemes ūdeņos atbilstoši MK noteikumu Nr. 1032 prasībām. Tā robežlielumi nav definēti ne Latvijas, ne Lietuvas, ne arī Zviedrijas normatīvajā regulējumā. Lai izvērtētu, vai šādi robežlielumi ir piemērojami Latvijas apstākļiem, ir nepieciešami detalizēti lietišķās </w:t>
      </w:r>
      <w:proofErr w:type="spellStart"/>
      <w:r>
        <w:t>hidroģeoķīmijas</w:t>
      </w:r>
      <w:proofErr w:type="spellEnd"/>
      <w:r>
        <w:t xml:space="preserve"> pētījumi un apjomīgāki monitoringa dati. Visticamāk šis parametrs saglabājams, lai izvērtētu izmaiņu tendences pazemes ūdeņos. </w:t>
      </w:r>
    </w:p>
    <w:p w14:paraId="19FB9C19" w14:textId="77777777" w:rsidR="00CF11DD" w:rsidRDefault="00CF11DD" w:rsidP="00CF11DD">
      <w:pPr>
        <w:pStyle w:val="IntenseQuote"/>
      </w:pPr>
      <w:r>
        <w:lastRenderedPageBreak/>
        <w:t>Mangāns (</w:t>
      </w:r>
      <w:proofErr w:type="spellStart"/>
      <w:r>
        <w:t>Mn</w:t>
      </w:r>
      <w:proofErr w:type="spellEnd"/>
      <w:r>
        <w:t>)</w:t>
      </w:r>
    </w:p>
    <w:p w14:paraId="64A01CC2" w14:textId="66EF8BDD" w:rsidR="00CF11DD" w:rsidRDefault="007E39B8" w:rsidP="00CF11DD">
      <w:pPr>
        <w:jc w:val="both"/>
      </w:pPr>
      <w:r>
        <w:t>Mangāns</w:t>
      </w:r>
      <w:r w:rsidR="00F278FC">
        <w:t xml:space="preserve"> ir viens no parametriem, kas jātestē pazemes ūdeņos atbilstoši MK noteikumu Nr. 1032 prasībām. Tā robežlielumi nav definēti ne Latvijas, ne Lietuvas, ne arī Zviedrijas normatīvajā regulējumā.</w:t>
      </w:r>
      <w:r w:rsidR="00F278FC" w:rsidRPr="00F278FC">
        <w:t xml:space="preserve"> </w:t>
      </w:r>
      <w:r w:rsidR="00F278FC">
        <w:t xml:space="preserve">Lai izvērtētu, vai šādi robežlielumi ir piemērojami Latvijas apstākļiem, ir nepieciešami detalizēti lietišķās </w:t>
      </w:r>
      <w:proofErr w:type="spellStart"/>
      <w:r w:rsidR="00F278FC">
        <w:t>hidroģeoķīmijas</w:t>
      </w:r>
      <w:proofErr w:type="spellEnd"/>
      <w:r w:rsidR="00F278FC">
        <w:t xml:space="preserve"> pētījumi un apjomīgāki monitoringa dati</w:t>
      </w:r>
      <w:r w:rsidR="001C0AB1">
        <w:t>.</w:t>
      </w:r>
    </w:p>
    <w:p w14:paraId="6D7C28B9" w14:textId="77777777" w:rsidR="001C0AB1" w:rsidRDefault="001C0AB1" w:rsidP="00CF11DD">
      <w:pPr>
        <w:jc w:val="both"/>
      </w:pPr>
    </w:p>
    <w:p w14:paraId="4F3330C6" w14:textId="77777777" w:rsidR="001C0AB1" w:rsidRDefault="001C0AB1" w:rsidP="00CF11DD">
      <w:pPr>
        <w:jc w:val="both"/>
      </w:pPr>
    </w:p>
    <w:p w14:paraId="79E30799" w14:textId="77777777" w:rsidR="001C0AB1" w:rsidRDefault="001C0AB1" w:rsidP="00CF11DD">
      <w:pPr>
        <w:jc w:val="both"/>
      </w:pPr>
    </w:p>
    <w:p w14:paraId="15A77976" w14:textId="77777777" w:rsidR="00CF11DD" w:rsidRDefault="00CF11DD" w:rsidP="00CF11DD">
      <w:pPr>
        <w:pStyle w:val="IntenseQuote"/>
      </w:pPr>
      <w:r>
        <w:t>Pesticīdu aktīvās vielas, tostarp to attiecīgie metabolīti, kā arī sadalīšanās un ķīmiskās reakcijas produkti (Summa)</w:t>
      </w:r>
    </w:p>
    <w:p w14:paraId="54EB6787" w14:textId="77777777" w:rsidR="00CF11DD" w:rsidRDefault="00F278FC" w:rsidP="00CF11DD">
      <w:pPr>
        <w:jc w:val="both"/>
      </w:pPr>
      <w:r>
        <w:t>S</w:t>
      </w:r>
      <w:r w:rsidRPr="00F278FC">
        <w:t xml:space="preserve">pēkā esošajos normatīvos </w:t>
      </w:r>
      <w:r>
        <w:t>pesticīdiem</w:t>
      </w:r>
      <w:r w:rsidRPr="00F278FC">
        <w:t xml:space="preserve"> nav noteiktas </w:t>
      </w:r>
      <w:r>
        <w:t xml:space="preserve">atsevišķas </w:t>
      </w:r>
      <w:r w:rsidRPr="00F278FC">
        <w:t>robežvērtības</w:t>
      </w:r>
      <w:r w:rsidR="009950D4">
        <w:t>.</w:t>
      </w:r>
      <w:r w:rsidRPr="00F278FC">
        <w:t xml:space="preserve"> </w:t>
      </w:r>
      <w:r>
        <w:t>Pestic</w:t>
      </w:r>
      <w:r w:rsidR="009950D4">
        <w:t>īdu</w:t>
      </w:r>
      <w:r w:rsidRPr="00F278FC">
        <w:t xml:space="preserve"> robežvērtības ir adaptētas no Zviedrijas normatīviem</w:t>
      </w:r>
      <w:r>
        <w:t xml:space="preserve"> un Lietuvas normatīvā regulējuma</w:t>
      </w:r>
      <w:r w:rsidRPr="00F278FC">
        <w:t>, Kā arī atbilst Eiropas Parlamenta u</w:t>
      </w:r>
      <w:r>
        <w:t>n padomes direktīvā 2006/118/EK</w:t>
      </w:r>
      <w:r w:rsidRPr="00F278FC">
        <w:t xml:space="preserve"> [21] minētajā kvalitātes prasībām. </w:t>
      </w:r>
    </w:p>
    <w:p w14:paraId="65EF80B4" w14:textId="77777777" w:rsidR="00797E42" w:rsidRDefault="00CF11DD" w:rsidP="00CF11DD">
      <w:pPr>
        <w:pStyle w:val="IntenseQuote"/>
      </w:pPr>
      <w:proofErr w:type="spellStart"/>
      <w:r>
        <w:t>Trihloretilēns</w:t>
      </w:r>
      <w:proofErr w:type="spellEnd"/>
      <w:r>
        <w:t xml:space="preserve"> (TCE) +</w:t>
      </w:r>
      <w:proofErr w:type="spellStart"/>
      <w:r>
        <w:t>Tetrahloretilēns</w:t>
      </w:r>
      <w:proofErr w:type="spellEnd"/>
      <w:r>
        <w:t xml:space="preserve"> (PCE) </w:t>
      </w:r>
    </w:p>
    <w:p w14:paraId="3029715A" w14:textId="77777777" w:rsidR="00F278FC" w:rsidRDefault="00F278FC" w:rsidP="00F278FC">
      <w:pPr>
        <w:jc w:val="both"/>
      </w:pPr>
      <w:r>
        <w:t>S</w:t>
      </w:r>
      <w:r w:rsidRPr="00F278FC">
        <w:t xml:space="preserve">pēkā esošajos normatīvos </w:t>
      </w:r>
      <w:r>
        <w:t>pesticīdiem</w:t>
      </w:r>
      <w:r w:rsidRPr="00F278FC">
        <w:t xml:space="preserve"> nav noteiktas </w:t>
      </w:r>
      <w:r>
        <w:t xml:space="preserve">atsevišķas </w:t>
      </w:r>
      <w:r w:rsidRPr="00F278FC">
        <w:t xml:space="preserve">robežvērtības </w:t>
      </w:r>
      <w:r>
        <w:t>Pesticīdu</w:t>
      </w:r>
      <w:r w:rsidRPr="00F278FC">
        <w:t xml:space="preserve"> robežvērtības ir adaptētas no Zviedrijas normatīviem</w:t>
      </w:r>
      <w:r>
        <w:t xml:space="preserve"> un Lietuvas normatīvā regulējuma</w:t>
      </w:r>
      <w:r w:rsidRPr="00F278FC">
        <w:t>, Kā arī atbilst Eiropas Parlamenta u</w:t>
      </w:r>
      <w:r>
        <w:t>n padomes direktīvā 2006/118/EK</w:t>
      </w:r>
      <w:r w:rsidRPr="00F278FC">
        <w:t xml:space="preserve"> [21] minētajā kvalitātes prasībām. </w:t>
      </w:r>
      <w:r w:rsidR="00460798">
        <w:t xml:space="preserve"> Šāda robežvērtība noteikta arī pazemes ūdeņiem, ko izmanto kā dzeramo ūdeni Latvijā.</w:t>
      </w:r>
    </w:p>
    <w:p w14:paraId="40EE5C1E" w14:textId="77777777" w:rsidR="00CF11DD" w:rsidRDefault="00CF11DD" w:rsidP="00CF11DD">
      <w:pPr>
        <w:jc w:val="both"/>
      </w:pPr>
    </w:p>
    <w:p w14:paraId="1350BD3F" w14:textId="77777777" w:rsidR="00460798" w:rsidRDefault="00460798" w:rsidP="00460798">
      <w:pPr>
        <w:pStyle w:val="Heading3"/>
      </w:pPr>
      <w:bookmarkStart w:id="16" w:name="_Toc59326497"/>
      <w:r>
        <w:t>4.2.2. Priekšlikumi prasībām</w:t>
      </w:r>
      <w:r w:rsidRPr="00460798">
        <w:t xml:space="preserve"> pazemes ūdeņu attīrīšanai piesārņotajās vietās</w:t>
      </w:r>
      <w:bookmarkEnd w:id="16"/>
    </w:p>
    <w:p w14:paraId="41D25FAD" w14:textId="77777777" w:rsidR="00F5666C" w:rsidRDefault="00F5666C" w:rsidP="00754B35">
      <w:pPr>
        <w:jc w:val="both"/>
      </w:pPr>
    </w:p>
    <w:p w14:paraId="3EAD3635" w14:textId="7B2A27E7" w:rsidR="00F5666C" w:rsidRDefault="00F5666C" w:rsidP="00754B35">
      <w:pPr>
        <w:jc w:val="both"/>
      </w:pPr>
      <w:r>
        <w:t>Viena no prasībām pazemes ūdeņu attīrīšanai piesārņotās vietās (to var attiecināt arī vispār uz piesārņotu vietu pārvaldību) būtu izvirzāma, ka lēmums par sanācijas nepieciešamību, tās metodēm, sasniedzamajiem rezultātiem ir jābalsta uz datiem, kas iegūti detalizētas izpētes rezultātā. Būtiski, lai šādas izpētes darbu programma ir saskaņota ar kompetento institūciju (reģionālo vides pārvaldi). Tāpat ir akūti nepieciešama diskusija par prasībām izpētes (faktiski katras izpētes etapa – sākotnējās izpētes un detalizētās izpētes) darbu sastāvu, apjomiem un metodēm, kas līdz šim Latvijas normatīvajā regulējumā nav definēts. Šī pētījuma autoriem ir zināms, ka 2020. gada nogalē</w:t>
      </w:r>
      <w:r w:rsidR="00E2437D">
        <w:t xml:space="preserve">, Vides un reģionālās attīstības ministrijas uzdevumā </w:t>
      </w:r>
      <w:r>
        <w:t xml:space="preserve"> ir uzsākts darbs pie </w:t>
      </w:r>
      <w:r w:rsidR="00E2437D">
        <w:t>dokumenta “</w:t>
      </w:r>
      <w:r w:rsidR="00E2437D" w:rsidRPr="00E2437D">
        <w:t>Vadlīnijas piesārņoto teritoriju sanācijai</w:t>
      </w:r>
      <w:r w:rsidR="00E2437D">
        <w:t xml:space="preserve">” izstrādes, kur, cik zināms, tiks ietvertas vadlīnijas arī piesārņotu teritoriju izpētei. Attiecīgi prognozējams, ka minētās vadlīnijas varēs pielietot, lai izvirzītu vienotas un loģiskas prasības kvalitatīvu datu ieguvei pietiekamā apjomā par piesārņotu vietu. </w:t>
      </w:r>
    </w:p>
    <w:p w14:paraId="1B78E544" w14:textId="77777777" w:rsidR="00797E42" w:rsidRDefault="00FF6328" w:rsidP="00754B35">
      <w:pPr>
        <w:jc w:val="both"/>
      </w:pPr>
      <w:r>
        <w:t>Kā detalizēti paskaidrots šī darba 1. nodaļā par</w:t>
      </w:r>
      <w:r w:rsidR="00460798">
        <w:t xml:space="preserve"> </w:t>
      </w:r>
      <w:r>
        <w:t>procentuāla samazinājuma iekļaušana pazemes ūdeņu attīrīšanas prasībās principu, kas pēc būtības neatbilst ilgtspējības prasībām, šo sasniedzamo sanācijas rezultātu definēšanas principu rekomendēts uzlabot ar divām dažādām pieejām:</w:t>
      </w:r>
    </w:p>
    <w:p w14:paraId="08003135" w14:textId="77777777" w:rsidR="00FF6328" w:rsidRDefault="00FF6328" w:rsidP="00FF6328">
      <w:pPr>
        <w:pStyle w:val="ListParagraph"/>
        <w:numPr>
          <w:ilvl w:val="0"/>
          <w:numId w:val="17"/>
        </w:numPr>
        <w:jc w:val="both"/>
      </w:pPr>
      <w:r>
        <w:lastRenderedPageBreak/>
        <w:t xml:space="preserve">Noteikt procentuālajam samazinājumam vismaz vienu papildus kritēriju, kas tiktu balstīts uz riska </w:t>
      </w:r>
      <w:proofErr w:type="spellStart"/>
      <w:r>
        <w:t>izvērtējuma</w:t>
      </w:r>
      <w:proofErr w:type="spellEnd"/>
      <w:r>
        <w:t xml:space="preserve"> principu. Šis princips pieļautu noteiktu minimālo samazinājumu, kas tiktu izteikts procentos no gruntsūdeņos konstatētā piesārņojuma, ar nosacījumu, ka ir jāsasniedz rādītāji, kas ir ne vairāk kā 2 reizes lielāki par pārsniegušās vielas (vai vielu savienojuma) robežvērtību attiecīgajā teritorijas kategorijā.</w:t>
      </w:r>
      <w:r w:rsidR="004C2F2F">
        <w:t xml:space="preserve"> Balstoties uz šo principu, sanācijas rezultātu sasniegšanai veidosies pieļaujamais pārsniegumu koridors, kura lielums jāpamato ar riska novērtējumu. Riska novērtējumā jāņem vērā tādi faktori kā (bet ne tikai): </w:t>
      </w:r>
    </w:p>
    <w:p w14:paraId="0A6C6705" w14:textId="49FAA63D" w:rsidR="004C2F2F" w:rsidRDefault="004C2F2F" w:rsidP="004C2F2F">
      <w:pPr>
        <w:pStyle w:val="ListParagraph"/>
        <w:numPr>
          <w:ilvl w:val="1"/>
          <w:numId w:val="17"/>
        </w:numPr>
        <w:jc w:val="both"/>
      </w:pPr>
      <w:r>
        <w:t>Iespējamie receptori</w:t>
      </w:r>
      <w:r w:rsidR="00F5666C">
        <w:t xml:space="preserve"> (ūdens organismi, cilvēki, jutīgi, aizsargājami biotopi, u.c.)</w:t>
      </w:r>
    </w:p>
    <w:p w14:paraId="7BB8D719" w14:textId="77777777" w:rsidR="004C2F2F" w:rsidRDefault="004C2F2F" w:rsidP="004C2F2F">
      <w:pPr>
        <w:pStyle w:val="ListParagraph"/>
        <w:numPr>
          <w:ilvl w:val="1"/>
          <w:numId w:val="17"/>
        </w:numPr>
        <w:jc w:val="both"/>
      </w:pPr>
      <w:r>
        <w:t>Teritorijas ģeoloģiskie un hidroģeoloģiskie apstākļi</w:t>
      </w:r>
    </w:p>
    <w:p w14:paraId="7D20C154" w14:textId="77777777" w:rsidR="004C2F2F" w:rsidRDefault="004C2F2F" w:rsidP="004C2F2F">
      <w:pPr>
        <w:pStyle w:val="ListParagraph"/>
        <w:numPr>
          <w:ilvl w:val="1"/>
          <w:numId w:val="17"/>
        </w:numPr>
        <w:jc w:val="both"/>
      </w:pPr>
      <w:r>
        <w:t>Piesārņojošās vielas sākotnējie daudzumi pazemes ūdeņos, piesārņojuma iespējamais vecums</w:t>
      </w:r>
    </w:p>
    <w:p w14:paraId="6CA5BF68" w14:textId="77777777" w:rsidR="004C2F2F" w:rsidRDefault="004C2F2F" w:rsidP="004C2F2F">
      <w:pPr>
        <w:pStyle w:val="ListParagraph"/>
        <w:numPr>
          <w:ilvl w:val="1"/>
          <w:numId w:val="17"/>
        </w:numPr>
        <w:jc w:val="both"/>
      </w:pPr>
      <w:r>
        <w:t xml:space="preserve">Potenciāli atlikušā piesārņojuma spēja </w:t>
      </w:r>
      <w:proofErr w:type="spellStart"/>
      <w:r>
        <w:t>pašattīrīties</w:t>
      </w:r>
      <w:proofErr w:type="spellEnd"/>
      <w:r>
        <w:t xml:space="preserve"> (sadalīties, noārdīties nekaitīgos vai mazāk kaitīgos savienojumos), šim procesam nepieciešamais laiks, utt.</w:t>
      </w:r>
    </w:p>
    <w:p w14:paraId="2DACD76B" w14:textId="77777777" w:rsidR="004C2F2F" w:rsidRDefault="004C2F2F" w:rsidP="004C2F2F">
      <w:pPr>
        <w:pStyle w:val="ListParagraph"/>
        <w:jc w:val="both"/>
      </w:pPr>
      <w:r>
        <w:t xml:space="preserve">Paredzot šādu sanācijas sasniedzamo rezultātu definēšanas pieeju, teritorijā jānodrošina atbilstoša (gan apjomu un biežuma, gan ilguma ziņā) monitoringa programma, kas skaidri demonstrē atlikušā piesārņojuma samazināšanās </w:t>
      </w:r>
      <w:r w:rsidR="006F21A9">
        <w:t>tendences līdz ilgtspējīgiem teritorijas atveseļošanas rādītājiem.</w:t>
      </w:r>
      <w:r w:rsidR="00E646F2">
        <w:t xml:space="preserve"> Šādā gadījumā 10. pielikuma 2. tabula ir saglabājama, tomēr nav nepieciešams noteikt procentuālā samazinājuma diapazonu, jo atbilstoši priekšlikumam, tas vienmēr būs ne vairāk kā 2 reizes lielāks par robežvērtību (ja to pieļauj atbilstīgās institūcijas apstiprināta riska novērtējuma rezultāti).</w:t>
      </w:r>
      <w:r w:rsidR="009950D4">
        <w:t xml:space="preserve"> Tādējādi katram piesārņojumu raksturojošajam parametram jādefinē šobrīd esošā lielāka samazinājuma robeža.</w:t>
      </w:r>
      <w:r w:rsidR="00E646F2">
        <w:t xml:space="preserve"> </w:t>
      </w:r>
    </w:p>
    <w:p w14:paraId="5AD0E73B" w14:textId="77777777" w:rsidR="004C2F2F" w:rsidRDefault="004C2F2F" w:rsidP="004C2F2F">
      <w:pPr>
        <w:pStyle w:val="ListParagraph"/>
        <w:jc w:val="both"/>
      </w:pPr>
    </w:p>
    <w:p w14:paraId="1B43A797" w14:textId="77777777" w:rsidR="004C2F2F" w:rsidRDefault="004C2F2F" w:rsidP="004C2F2F">
      <w:pPr>
        <w:pStyle w:val="ListParagraph"/>
        <w:numPr>
          <w:ilvl w:val="0"/>
          <w:numId w:val="17"/>
        </w:numPr>
        <w:jc w:val="both"/>
      </w:pPr>
      <w:r>
        <w:t>Otra pieeja paredz nenoteikt atsevišķus sasniedzamos rezultātus</w:t>
      </w:r>
      <w:r w:rsidR="006F21A9">
        <w:t>, bet paredzēt piesārņojuma attīrīšanas mērķi līdz noteiktajām robežvērtībām, vai zemāk par tām, ja piesārņojums atrodas apstākļos, kas var būtiski pasliktināt apkārtējo vidi (piemēram, tiešā ūdens ņemšanas vietas tuvumā). Šajā gadījumā nav nepieciešams veikt riska novērtējumu, tomēr potenciāli šāds normatīvais regulējums nepieļauj zināma veida atkāpes vietās un situācijās, kur tas būtu iespējams, citādi nepasliktinot apkārtējās vides stāvokli.</w:t>
      </w:r>
    </w:p>
    <w:p w14:paraId="0D810794" w14:textId="77777777" w:rsidR="006F21A9" w:rsidRDefault="006F21A9" w:rsidP="006F21A9">
      <w:pPr>
        <w:jc w:val="both"/>
      </w:pPr>
      <w:r>
        <w:t xml:space="preserve">Būtisks ierosinājums pie prasībām pazemes ūdeņu attīrīšanai piesārņotās vietās ir precizēt </w:t>
      </w:r>
      <w:proofErr w:type="spellStart"/>
      <w:r>
        <w:t>pēcsanācijas</w:t>
      </w:r>
      <w:proofErr w:type="spellEnd"/>
      <w:r>
        <w:t xml:space="preserve"> monitoringa prasības, kā monitoringa ilgumu, biežumu un kvalitātes nosacījumus. Cik zināms, detalizēti šādas prasības tiek/tiks izstrādātas vadlīniju par piesārņotu vietu izpēti un sanāciju izstrādes procesā, tomēr svarīgi ir paredzēt atbildīgajai institūcijai tiesības (un arī pienākumu) izvirzīt katram sanācijas objektam un vietai atbilstošas </w:t>
      </w:r>
      <w:proofErr w:type="spellStart"/>
      <w:r>
        <w:t>pēcsanācijas</w:t>
      </w:r>
      <w:proofErr w:type="spellEnd"/>
      <w:r>
        <w:t xml:space="preserve"> monitoringa prasības. </w:t>
      </w:r>
    </w:p>
    <w:p w14:paraId="2A0C6354" w14:textId="77777777" w:rsidR="00E646F2" w:rsidRDefault="00E646F2" w:rsidP="006F21A9">
      <w:pPr>
        <w:jc w:val="both"/>
      </w:pPr>
      <w:r>
        <w:t xml:space="preserve">Vēl ne mazāk svarīgs ierosinājums ir noteikumos atrunāt zemes īpašnieku (likumīgo valdītāju) tiesības un pienākumus, kā arī precizēt atbildīgās institūcijas pilnvarojumu situācijās, kad piesārņoto pazemes ūdeņu areāls aptver vairāk nekā viena īpašnieka zemes gabalu. Būtiski norādīt, ka, šādās situācijās veicot sanāciju, ir svarīgi to realizēt visā piesārņojuma areālā, kas pie esošā regulējuma nereti nav iespējams. </w:t>
      </w:r>
    </w:p>
    <w:p w14:paraId="384B4796" w14:textId="77777777" w:rsidR="00797E42" w:rsidRDefault="00797E42" w:rsidP="00754B35">
      <w:pPr>
        <w:jc w:val="both"/>
      </w:pPr>
    </w:p>
    <w:p w14:paraId="3B061691" w14:textId="77777777" w:rsidR="00797E42" w:rsidRDefault="00797E42" w:rsidP="00797E42">
      <w:pPr>
        <w:jc w:val="both"/>
      </w:pPr>
    </w:p>
    <w:p w14:paraId="739C80AE" w14:textId="77777777" w:rsidR="00797E42" w:rsidRDefault="00797E42" w:rsidP="00797E42">
      <w:pPr>
        <w:jc w:val="both"/>
      </w:pPr>
      <w:r>
        <w:br w:type="page"/>
      </w:r>
    </w:p>
    <w:p w14:paraId="56018267" w14:textId="77777777" w:rsidR="00797E42" w:rsidRDefault="00797E42" w:rsidP="00754B35">
      <w:pPr>
        <w:jc w:val="both"/>
      </w:pPr>
    </w:p>
    <w:p w14:paraId="12F4988A" w14:textId="77777777" w:rsidR="009F1981" w:rsidRPr="00F515E5" w:rsidRDefault="009F1981" w:rsidP="009F1981">
      <w:pPr>
        <w:pStyle w:val="Heading1"/>
      </w:pPr>
      <w:bookmarkStart w:id="17" w:name="_Toc59326498"/>
      <w:r w:rsidRPr="00F515E5">
        <w:t>SECINĀJUMI UN REKOMENDĀCIJAS</w:t>
      </w:r>
      <w:bookmarkEnd w:id="17"/>
    </w:p>
    <w:p w14:paraId="4C8CA7EB" w14:textId="77777777" w:rsidR="00511AFA" w:rsidRDefault="00511AFA" w:rsidP="00511AFA">
      <w:pPr>
        <w:jc w:val="both"/>
      </w:pPr>
    </w:p>
    <w:p w14:paraId="4B12CEA4" w14:textId="77777777" w:rsidR="00E646F2" w:rsidRDefault="00E646F2" w:rsidP="00511AFA">
      <w:pPr>
        <w:jc w:val="both"/>
      </w:pPr>
      <w:r>
        <w:t xml:space="preserve">Darba ietvaros, atbilstoši darba uzdevumam izstrādāti </w:t>
      </w:r>
      <w:r w:rsidRPr="00E646F2">
        <w:t>priekšlikumi izmaiņām MK noteikumu Nr.118 10.pielikuma aktualizēšanai, nosakot konkrētus kvalitātes normatīvus, to vērtības un prasības.</w:t>
      </w:r>
    </w:p>
    <w:p w14:paraId="2B8E557A" w14:textId="77777777" w:rsidR="009950D4" w:rsidRDefault="009950D4" w:rsidP="00511AFA">
      <w:pPr>
        <w:jc w:val="both"/>
        <w:rPr>
          <w:color w:val="000000" w:themeColor="text1"/>
          <w:szCs w:val="24"/>
        </w:rPr>
      </w:pPr>
      <w:r>
        <w:rPr>
          <w:color w:val="000000" w:themeColor="text1"/>
          <w:szCs w:val="24"/>
        </w:rPr>
        <w:t>Ka galvenais darba rezultāts ir sagatavot gala pārskats</w:t>
      </w:r>
      <w:r w:rsidRPr="00522DFF">
        <w:rPr>
          <w:color w:val="000000" w:themeColor="text1"/>
          <w:szCs w:val="24"/>
        </w:rPr>
        <w:t>, kurā apvienoti vis</w:t>
      </w:r>
      <w:r>
        <w:rPr>
          <w:color w:val="000000" w:themeColor="text1"/>
          <w:szCs w:val="24"/>
        </w:rPr>
        <w:t>i</w:t>
      </w:r>
      <w:r w:rsidRPr="00522DFF">
        <w:rPr>
          <w:color w:val="000000" w:themeColor="text1"/>
          <w:szCs w:val="24"/>
        </w:rPr>
        <w:t xml:space="preserve"> darba uzdevum</w:t>
      </w:r>
      <w:r>
        <w:rPr>
          <w:color w:val="000000" w:themeColor="text1"/>
          <w:szCs w:val="24"/>
        </w:rPr>
        <w:t>u</w:t>
      </w:r>
      <w:r w:rsidRPr="00522DFF">
        <w:rPr>
          <w:color w:val="000000" w:themeColor="text1"/>
          <w:szCs w:val="24"/>
        </w:rPr>
        <w:t xml:space="preserve"> rezultāti</w:t>
      </w:r>
      <w:r>
        <w:rPr>
          <w:color w:val="000000" w:themeColor="text1"/>
          <w:szCs w:val="24"/>
        </w:rPr>
        <w:t>.</w:t>
      </w:r>
    </w:p>
    <w:p w14:paraId="0E71F261" w14:textId="77777777" w:rsidR="009950D4" w:rsidRDefault="009950D4" w:rsidP="00511AFA">
      <w:pPr>
        <w:jc w:val="both"/>
        <w:rPr>
          <w:color w:val="000000" w:themeColor="text1"/>
          <w:szCs w:val="24"/>
        </w:rPr>
      </w:pPr>
      <w:r>
        <w:rPr>
          <w:color w:val="000000" w:themeColor="text1"/>
          <w:szCs w:val="24"/>
        </w:rPr>
        <w:t xml:space="preserve">Izstrādājot rekomendācijas, iespēju robežās ņemtas vērā </w:t>
      </w:r>
      <w:r w:rsidRPr="00522DFF">
        <w:rPr>
          <w:color w:val="000000" w:themeColor="text1"/>
          <w:szCs w:val="24"/>
        </w:rPr>
        <w:t>VVD ekspertu rekomendācijas</w:t>
      </w:r>
      <w:r>
        <w:rPr>
          <w:color w:val="000000" w:themeColor="text1"/>
          <w:szCs w:val="24"/>
        </w:rPr>
        <w:t>.</w:t>
      </w:r>
    </w:p>
    <w:p w14:paraId="446C2A89" w14:textId="77777777" w:rsidR="009950D4" w:rsidRDefault="009950D4" w:rsidP="00511AFA">
      <w:pPr>
        <w:jc w:val="both"/>
        <w:rPr>
          <w:color w:val="000000" w:themeColor="text1"/>
          <w:szCs w:val="24"/>
        </w:rPr>
      </w:pPr>
      <w:r>
        <w:rPr>
          <w:color w:val="000000" w:themeColor="text1"/>
          <w:szCs w:val="24"/>
        </w:rPr>
        <w:t>Darba rezultātā izstrādātas rekomendācijas mainīt robežvērtību pielietošanas principu, kad tās katrai vielai tiek noteiktas atbilstoši teritorijas lietojumam un jutīguma pakāpei.</w:t>
      </w:r>
    </w:p>
    <w:p w14:paraId="04A8A590" w14:textId="77777777" w:rsidR="009950D4" w:rsidRDefault="009950D4" w:rsidP="00511AFA">
      <w:pPr>
        <w:jc w:val="both"/>
      </w:pPr>
      <w:r>
        <w:rPr>
          <w:color w:val="000000" w:themeColor="text1"/>
          <w:szCs w:val="24"/>
        </w:rPr>
        <w:t xml:space="preserve">Priekšlikumu ietvaros papildināts parametru saraksts ar tiem parametriem, kas līdz šim nebija iekļauti, bet bija norādīti direktīvas </w:t>
      </w:r>
      <w:r>
        <w:t>2006/118/EK I un II pielikumā. Tāpat iespēju robežās papildināts saraksts ar tām vielām, kas nosakāmas pazemes ūdeņos MK note</w:t>
      </w:r>
      <w:r w:rsidR="001C0AB1">
        <w:t>ikumu Nr. 1032 prasību izpildei, lai arī vairākām no šim vielām šī darba ietvaros robežvērtību definēšana nav iespējama.</w:t>
      </w:r>
    </w:p>
    <w:p w14:paraId="1AE66E79" w14:textId="2F0E6782" w:rsidR="00AD00E9" w:rsidRDefault="00AD00E9" w:rsidP="00511AFA">
      <w:pPr>
        <w:jc w:val="both"/>
      </w:pPr>
      <w:r>
        <w:t xml:space="preserve">Priekšlikumu ietvaros papildināta MK noteikumu Nr. 118 26. punkta definīcija.  Jāatzīmē, ka par minēto definīciju nepieciešamas diskusijas ar iesaistītajām pusēm, lai noteikumos iekļautu pēc iespējas precīzu, skaidri noteiktu definīciju. Būtiski atzīmēt, </w:t>
      </w:r>
      <w:r w:rsidR="005C2926">
        <w:t>ka,</w:t>
      </w:r>
      <w:r>
        <w:t xml:space="preserve"> </w:t>
      </w:r>
      <w:r w:rsidR="00ED388B">
        <w:t>izmainot kādu no šajā dokumentā ietvertajiem priekšlikumiem, jāpārskata arī piedāvātā definīcija, lai gala redakcijā tā būtu atbilstoša un precīza.</w:t>
      </w:r>
    </w:p>
    <w:p w14:paraId="54E425FB" w14:textId="77777777" w:rsidR="009950D4" w:rsidRDefault="009950D4" w:rsidP="00511AFA">
      <w:pPr>
        <w:jc w:val="both"/>
      </w:pPr>
      <w:r>
        <w:t xml:space="preserve">Ņemot vērā, ka Latvijā potenciāli piesārņotajās un piesārņotajām vietās, vislielākais skaits ir teritorijas, kur piesārņojumu veido dažādi naftas produkti, rekomendēts izstrādāt šo piesārņojuma spektru aptverošus atsevišķus noteikumus vai saistošas vadlīnijas tieši šī piesārņojuma veida izpēte un sanācijai. </w:t>
      </w:r>
    </w:p>
    <w:p w14:paraId="44E2F081" w14:textId="7E630A84" w:rsidR="00ED388B" w:rsidRPr="00E646F2" w:rsidRDefault="00ED388B" w:rsidP="00511AFA">
      <w:pPr>
        <w:jc w:val="both"/>
      </w:pPr>
      <w:r>
        <w:t>Sagatavojot noteikumu projektu, tas jādara vienlaicīgi ar attiecīgu normatīvu par augsnes un grunts kvalitātes prasību noteikumu izstrādi, lai izvairītos no pretrunīgām, savstarpēji nesavietojamām definīcijām un prasībām. Tāpat jāņem vērā tas, ka lielākoties augsnes, grunts un pazemes ūdeņu piesārņojums ir tieši saistīts, proti no vienas matricas tas var migrēt uz citu (grunts -&gt; ūdens, un otrādi). Vēl jo vairāk – piesārņojums, kas atrodas ar ūdeni piesātinātā gruntī, nav faktiski atdalāms no piesārņojuma pazemes ūdeņos šajā slānī, tādēļ, būtu nepieciešama diskusija par apvienotu MK noteikumu izstrādi piesārņotu vietu pārvald</w:t>
      </w:r>
      <w:r w:rsidR="005C2926">
        <w:t>ībai, nodalot tos no prasībām virszemes ūdeņiem, dzeramā ūdens ieguvei izmantojamo pazemes ūdeņu prasībām, utt.</w:t>
      </w:r>
    </w:p>
    <w:p w14:paraId="4F91EF84" w14:textId="0A5619D4" w:rsidR="00E646F2" w:rsidRPr="00E646F2" w:rsidRDefault="005C2926" w:rsidP="00511AFA">
      <w:pPr>
        <w:jc w:val="both"/>
      </w:pPr>
      <w:r>
        <w:t>Izstrādājot MK noteikumu projektus, jāņem vērā šobrīd izstrādes procesā esošā dokumenta “</w:t>
      </w:r>
      <w:r w:rsidRPr="00E2437D">
        <w:t>Vadlīnijas piesārņoto teritoriju sanācijai</w:t>
      </w:r>
      <w:r>
        <w:t>” saturs, vai jāparedz, ka šīs vadlīnijas ir saistošas piesārņotu teritoriju izpētes un sanācijas procesā.</w:t>
      </w:r>
    </w:p>
    <w:p w14:paraId="2C9E72EC" w14:textId="77777777" w:rsidR="00511AFA" w:rsidRPr="00F515E5" w:rsidRDefault="00511AFA" w:rsidP="00511AFA">
      <w:pPr>
        <w:jc w:val="both"/>
      </w:pPr>
    </w:p>
    <w:p w14:paraId="55AB84A6" w14:textId="77777777" w:rsidR="007956CE" w:rsidRDefault="007956CE">
      <w:r>
        <w:br w:type="page"/>
      </w:r>
    </w:p>
    <w:bookmarkStart w:id="18" w:name="_Toc59326499" w:displacedByCustomXml="next"/>
    <w:sdt>
      <w:sdtPr>
        <w:rPr>
          <w:rFonts w:asciiTheme="minorHAnsi" w:eastAsiaTheme="minorHAnsi" w:hAnsiTheme="minorHAnsi" w:cstheme="minorBidi"/>
          <w:color w:val="auto"/>
          <w:sz w:val="22"/>
          <w:szCs w:val="22"/>
        </w:rPr>
        <w:id w:val="1131202181"/>
        <w:docPartObj>
          <w:docPartGallery w:val="Bibliographies"/>
          <w:docPartUnique/>
        </w:docPartObj>
      </w:sdtPr>
      <w:sdtEndPr/>
      <w:sdtContent>
        <w:p w14:paraId="300CC7FF" w14:textId="77777777" w:rsidR="007956CE" w:rsidRDefault="007956CE">
          <w:pPr>
            <w:pStyle w:val="Heading1"/>
          </w:pPr>
          <w:r>
            <w:t>IZMANTOTO INFORMĀCIJAS AVOTU SARAKSTS</w:t>
          </w:r>
          <w:bookmarkEnd w:id="18"/>
        </w:p>
        <w:p w14:paraId="7561467E" w14:textId="77777777" w:rsidR="007956CE" w:rsidRPr="007956CE" w:rsidRDefault="007956CE" w:rsidP="007956CE"/>
        <w:sdt>
          <w:sdtPr>
            <w:id w:val="-573587230"/>
            <w:bibliography/>
          </w:sdtPr>
          <w:sdtEndPr/>
          <w:sdtContent>
            <w:p w14:paraId="2FDA4D34" w14:textId="77777777" w:rsidR="009950D4" w:rsidRDefault="007956CE">
              <w:pPr>
                <w:rPr>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3"/>
                <w:gridCol w:w="9205"/>
              </w:tblGrid>
              <w:tr w:rsidR="009950D4" w14:paraId="597F57C3" w14:textId="77777777">
                <w:trPr>
                  <w:divId w:val="1903981676"/>
                  <w:tblCellSpacing w:w="15" w:type="dxa"/>
                </w:trPr>
                <w:tc>
                  <w:tcPr>
                    <w:tcW w:w="50" w:type="pct"/>
                    <w:hideMark/>
                  </w:tcPr>
                  <w:p w14:paraId="64D0A06D" w14:textId="77777777" w:rsidR="009950D4" w:rsidRDefault="009950D4">
                    <w:pPr>
                      <w:pStyle w:val="Bibliography"/>
                      <w:rPr>
                        <w:noProof/>
                        <w:sz w:val="24"/>
                        <w:szCs w:val="24"/>
                      </w:rPr>
                    </w:pPr>
                    <w:r>
                      <w:rPr>
                        <w:noProof/>
                      </w:rPr>
                      <w:t xml:space="preserve">[1] </w:t>
                    </w:r>
                  </w:p>
                </w:tc>
                <w:tc>
                  <w:tcPr>
                    <w:tcW w:w="0" w:type="auto"/>
                    <w:hideMark/>
                  </w:tcPr>
                  <w:p w14:paraId="32A75BF3" w14:textId="77777777" w:rsidR="009950D4" w:rsidRDefault="009950D4">
                    <w:pPr>
                      <w:pStyle w:val="Bibliography"/>
                      <w:rPr>
                        <w:noProof/>
                      </w:rPr>
                    </w:pPr>
                    <w:r>
                      <w:rPr>
                        <w:noProof/>
                      </w:rPr>
                      <w:t xml:space="preserve">Latvijas Republikas Saeima, </w:t>
                    </w:r>
                    <w:r>
                      <w:rPr>
                        <w:i/>
                        <w:iCs/>
                        <w:noProof/>
                      </w:rPr>
                      <w:t xml:space="preserve">Likums par piesārņojumu, </w:t>
                    </w:r>
                    <w:r>
                      <w:rPr>
                        <w:noProof/>
                      </w:rPr>
                      <w:t xml:space="preserve">sēj. 51, Latvijas Vēstnesis, 2001. </w:t>
                    </w:r>
                  </w:p>
                </w:tc>
              </w:tr>
              <w:tr w:rsidR="009950D4" w14:paraId="44CEB7C2" w14:textId="77777777">
                <w:trPr>
                  <w:divId w:val="1903981676"/>
                  <w:tblCellSpacing w:w="15" w:type="dxa"/>
                </w:trPr>
                <w:tc>
                  <w:tcPr>
                    <w:tcW w:w="50" w:type="pct"/>
                    <w:hideMark/>
                  </w:tcPr>
                  <w:p w14:paraId="0556AF8E" w14:textId="77777777" w:rsidR="009950D4" w:rsidRDefault="009950D4">
                    <w:pPr>
                      <w:pStyle w:val="Bibliography"/>
                      <w:rPr>
                        <w:noProof/>
                      </w:rPr>
                    </w:pPr>
                    <w:r>
                      <w:rPr>
                        <w:noProof/>
                      </w:rPr>
                      <w:t xml:space="preserve">[2] </w:t>
                    </w:r>
                  </w:p>
                </w:tc>
                <w:tc>
                  <w:tcPr>
                    <w:tcW w:w="0" w:type="auto"/>
                    <w:hideMark/>
                  </w:tcPr>
                  <w:p w14:paraId="69999AA6" w14:textId="77777777" w:rsidR="009950D4" w:rsidRDefault="009950D4">
                    <w:pPr>
                      <w:pStyle w:val="Bibliography"/>
                      <w:rPr>
                        <w:noProof/>
                      </w:rPr>
                    </w:pPr>
                    <w:r>
                      <w:rPr>
                        <w:noProof/>
                      </w:rPr>
                      <w:t xml:space="preserve">Ministru kabinets, </w:t>
                    </w:r>
                    <w:r>
                      <w:rPr>
                        <w:i/>
                        <w:iCs/>
                        <w:noProof/>
                      </w:rPr>
                      <w:t xml:space="preserve">Noteikumi Nr. 118, </w:t>
                    </w:r>
                    <w:r>
                      <w:rPr>
                        <w:noProof/>
                      </w:rPr>
                      <w:t xml:space="preserve">2002. </w:t>
                    </w:r>
                  </w:p>
                </w:tc>
              </w:tr>
              <w:tr w:rsidR="009950D4" w14:paraId="42670FC0" w14:textId="77777777">
                <w:trPr>
                  <w:divId w:val="1903981676"/>
                  <w:tblCellSpacing w:w="15" w:type="dxa"/>
                </w:trPr>
                <w:tc>
                  <w:tcPr>
                    <w:tcW w:w="50" w:type="pct"/>
                    <w:hideMark/>
                  </w:tcPr>
                  <w:p w14:paraId="496C6511" w14:textId="77777777" w:rsidR="009950D4" w:rsidRDefault="009950D4">
                    <w:pPr>
                      <w:pStyle w:val="Bibliography"/>
                      <w:rPr>
                        <w:noProof/>
                      </w:rPr>
                    </w:pPr>
                    <w:r>
                      <w:rPr>
                        <w:noProof/>
                      </w:rPr>
                      <w:t xml:space="preserve">[3] </w:t>
                    </w:r>
                  </w:p>
                </w:tc>
                <w:tc>
                  <w:tcPr>
                    <w:tcW w:w="0" w:type="auto"/>
                    <w:hideMark/>
                  </w:tcPr>
                  <w:p w14:paraId="5E6E23FA" w14:textId="77777777" w:rsidR="009950D4" w:rsidRDefault="009950D4">
                    <w:pPr>
                      <w:pStyle w:val="Bibliography"/>
                      <w:rPr>
                        <w:noProof/>
                      </w:rPr>
                    </w:pPr>
                    <w:r>
                      <w:rPr>
                        <w:noProof/>
                      </w:rPr>
                      <w:t xml:space="preserve">Ministru Kabinets, </w:t>
                    </w:r>
                    <w:r>
                      <w:rPr>
                        <w:i/>
                        <w:iCs/>
                        <w:noProof/>
                      </w:rPr>
                      <w:t xml:space="preserve">Noteikumi Nr. 1032, </w:t>
                    </w:r>
                    <w:r>
                      <w:rPr>
                        <w:noProof/>
                      </w:rPr>
                      <w:t xml:space="preserve">2011. </w:t>
                    </w:r>
                  </w:p>
                </w:tc>
              </w:tr>
              <w:tr w:rsidR="009950D4" w14:paraId="40A93FCD" w14:textId="77777777">
                <w:trPr>
                  <w:divId w:val="1903981676"/>
                  <w:tblCellSpacing w:w="15" w:type="dxa"/>
                </w:trPr>
                <w:tc>
                  <w:tcPr>
                    <w:tcW w:w="50" w:type="pct"/>
                    <w:hideMark/>
                  </w:tcPr>
                  <w:p w14:paraId="06D4221A" w14:textId="77777777" w:rsidR="009950D4" w:rsidRDefault="009950D4">
                    <w:pPr>
                      <w:pStyle w:val="Bibliography"/>
                      <w:rPr>
                        <w:noProof/>
                      </w:rPr>
                    </w:pPr>
                    <w:r>
                      <w:rPr>
                        <w:noProof/>
                      </w:rPr>
                      <w:t xml:space="preserve">[4] </w:t>
                    </w:r>
                  </w:p>
                </w:tc>
                <w:tc>
                  <w:tcPr>
                    <w:tcW w:w="0" w:type="auto"/>
                    <w:hideMark/>
                  </w:tcPr>
                  <w:p w14:paraId="132D01C3" w14:textId="77777777" w:rsidR="009950D4" w:rsidRDefault="009950D4">
                    <w:pPr>
                      <w:pStyle w:val="Bibliography"/>
                      <w:rPr>
                        <w:noProof/>
                      </w:rPr>
                    </w:pPr>
                    <w:r>
                      <w:rPr>
                        <w:noProof/>
                      </w:rPr>
                      <w:t xml:space="preserve">Ministru kabinets, </w:t>
                    </w:r>
                    <w:r>
                      <w:rPr>
                        <w:i/>
                        <w:iCs/>
                        <w:noProof/>
                      </w:rPr>
                      <w:t xml:space="preserve">Noteikumi Nr. 804, </w:t>
                    </w:r>
                    <w:r>
                      <w:rPr>
                        <w:noProof/>
                      </w:rPr>
                      <w:t xml:space="preserve">2005. </w:t>
                    </w:r>
                  </w:p>
                </w:tc>
              </w:tr>
              <w:tr w:rsidR="009950D4" w14:paraId="71AA286E" w14:textId="77777777">
                <w:trPr>
                  <w:divId w:val="1903981676"/>
                  <w:tblCellSpacing w:w="15" w:type="dxa"/>
                </w:trPr>
                <w:tc>
                  <w:tcPr>
                    <w:tcW w:w="50" w:type="pct"/>
                    <w:hideMark/>
                  </w:tcPr>
                  <w:p w14:paraId="38016A86" w14:textId="77777777" w:rsidR="009950D4" w:rsidRDefault="009950D4">
                    <w:pPr>
                      <w:pStyle w:val="Bibliography"/>
                      <w:rPr>
                        <w:noProof/>
                      </w:rPr>
                    </w:pPr>
                    <w:r>
                      <w:rPr>
                        <w:noProof/>
                      </w:rPr>
                      <w:t xml:space="preserve">[5] </w:t>
                    </w:r>
                  </w:p>
                </w:tc>
                <w:tc>
                  <w:tcPr>
                    <w:tcW w:w="0" w:type="auto"/>
                    <w:hideMark/>
                  </w:tcPr>
                  <w:p w14:paraId="2960625C" w14:textId="77777777" w:rsidR="009950D4" w:rsidRDefault="009950D4">
                    <w:pPr>
                      <w:pStyle w:val="Bibliography"/>
                      <w:rPr>
                        <w:noProof/>
                      </w:rPr>
                    </w:pPr>
                    <w:r>
                      <w:rPr>
                        <w:noProof/>
                      </w:rPr>
                      <w:t xml:space="preserve">Latvijas republikas Saeima, </w:t>
                    </w:r>
                    <w:r>
                      <w:rPr>
                        <w:i/>
                        <w:iCs/>
                        <w:noProof/>
                      </w:rPr>
                      <w:t xml:space="preserve">Vides aizsardzības likums, </w:t>
                    </w:r>
                    <w:r>
                      <w:rPr>
                        <w:noProof/>
                      </w:rPr>
                      <w:t xml:space="preserve">2006. </w:t>
                    </w:r>
                  </w:p>
                </w:tc>
              </w:tr>
              <w:tr w:rsidR="009950D4" w14:paraId="1BB6AD8B" w14:textId="77777777">
                <w:trPr>
                  <w:divId w:val="1903981676"/>
                  <w:tblCellSpacing w:w="15" w:type="dxa"/>
                </w:trPr>
                <w:tc>
                  <w:tcPr>
                    <w:tcW w:w="50" w:type="pct"/>
                    <w:hideMark/>
                  </w:tcPr>
                  <w:p w14:paraId="27DDE8F7" w14:textId="77777777" w:rsidR="009950D4" w:rsidRDefault="009950D4">
                    <w:pPr>
                      <w:pStyle w:val="Bibliography"/>
                      <w:rPr>
                        <w:noProof/>
                      </w:rPr>
                    </w:pPr>
                    <w:r>
                      <w:rPr>
                        <w:noProof/>
                      </w:rPr>
                      <w:t xml:space="preserve">[6] </w:t>
                    </w:r>
                  </w:p>
                </w:tc>
                <w:tc>
                  <w:tcPr>
                    <w:tcW w:w="0" w:type="auto"/>
                    <w:hideMark/>
                  </w:tcPr>
                  <w:p w14:paraId="073F1FE1" w14:textId="77777777" w:rsidR="009950D4" w:rsidRDefault="009950D4">
                    <w:pPr>
                      <w:pStyle w:val="Bibliography"/>
                      <w:rPr>
                        <w:noProof/>
                      </w:rPr>
                    </w:pPr>
                    <w:r>
                      <w:rPr>
                        <w:noProof/>
                      </w:rPr>
                      <w:t xml:space="preserve">Ministru Kabinets, </w:t>
                    </w:r>
                    <w:r>
                      <w:rPr>
                        <w:i/>
                        <w:iCs/>
                        <w:noProof/>
                      </w:rPr>
                      <w:t xml:space="preserve">Noteikumi Nr.281, </w:t>
                    </w:r>
                    <w:r>
                      <w:rPr>
                        <w:noProof/>
                      </w:rPr>
                      <w:t xml:space="preserve">2007. </w:t>
                    </w:r>
                  </w:p>
                </w:tc>
              </w:tr>
              <w:tr w:rsidR="009950D4" w14:paraId="267FC8DA" w14:textId="77777777">
                <w:trPr>
                  <w:divId w:val="1903981676"/>
                  <w:tblCellSpacing w:w="15" w:type="dxa"/>
                </w:trPr>
                <w:tc>
                  <w:tcPr>
                    <w:tcW w:w="50" w:type="pct"/>
                    <w:hideMark/>
                  </w:tcPr>
                  <w:p w14:paraId="4A2C66D1" w14:textId="77777777" w:rsidR="009950D4" w:rsidRDefault="009950D4">
                    <w:pPr>
                      <w:pStyle w:val="Bibliography"/>
                      <w:rPr>
                        <w:noProof/>
                      </w:rPr>
                    </w:pPr>
                    <w:r>
                      <w:rPr>
                        <w:noProof/>
                      </w:rPr>
                      <w:t xml:space="preserve">[7] </w:t>
                    </w:r>
                  </w:p>
                </w:tc>
                <w:tc>
                  <w:tcPr>
                    <w:tcW w:w="0" w:type="auto"/>
                    <w:hideMark/>
                  </w:tcPr>
                  <w:p w14:paraId="2471380B" w14:textId="77777777" w:rsidR="009950D4" w:rsidRDefault="009950D4">
                    <w:pPr>
                      <w:pStyle w:val="Bibliography"/>
                      <w:rPr>
                        <w:noProof/>
                      </w:rPr>
                    </w:pPr>
                    <w:r>
                      <w:rPr>
                        <w:noProof/>
                      </w:rPr>
                      <w:t xml:space="preserve">Ministru Kabinets, </w:t>
                    </w:r>
                    <w:r>
                      <w:rPr>
                        <w:i/>
                        <w:iCs/>
                        <w:noProof/>
                      </w:rPr>
                      <w:t xml:space="preserve">Noteikumi Nr.158, </w:t>
                    </w:r>
                    <w:r>
                      <w:rPr>
                        <w:noProof/>
                      </w:rPr>
                      <w:t xml:space="preserve">2009. </w:t>
                    </w:r>
                  </w:p>
                </w:tc>
              </w:tr>
              <w:tr w:rsidR="009950D4" w14:paraId="510EFA3A" w14:textId="77777777">
                <w:trPr>
                  <w:divId w:val="1903981676"/>
                  <w:tblCellSpacing w:w="15" w:type="dxa"/>
                </w:trPr>
                <w:tc>
                  <w:tcPr>
                    <w:tcW w:w="50" w:type="pct"/>
                    <w:hideMark/>
                  </w:tcPr>
                  <w:p w14:paraId="0F491848" w14:textId="77777777" w:rsidR="009950D4" w:rsidRDefault="009950D4">
                    <w:pPr>
                      <w:pStyle w:val="Bibliography"/>
                      <w:rPr>
                        <w:noProof/>
                      </w:rPr>
                    </w:pPr>
                    <w:r>
                      <w:rPr>
                        <w:noProof/>
                      </w:rPr>
                      <w:t xml:space="preserve">[8] </w:t>
                    </w:r>
                  </w:p>
                </w:tc>
                <w:tc>
                  <w:tcPr>
                    <w:tcW w:w="0" w:type="auto"/>
                    <w:hideMark/>
                  </w:tcPr>
                  <w:p w14:paraId="023547C5" w14:textId="77777777" w:rsidR="009950D4" w:rsidRDefault="009950D4">
                    <w:pPr>
                      <w:pStyle w:val="Bibliography"/>
                      <w:rPr>
                        <w:noProof/>
                      </w:rPr>
                    </w:pPr>
                    <w:r>
                      <w:rPr>
                        <w:noProof/>
                      </w:rPr>
                      <w:t xml:space="preserve">Lietuvos geologijos tarnyba, </w:t>
                    </w:r>
                    <w:r>
                      <w:rPr>
                        <w:i/>
                        <w:iCs/>
                        <w:noProof/>
                      </w:rPr>
                      <w:t xml:space="preserve">Dėl ekogeologinių tyrimų reglamento patvirtinimo 1-104, </w:t>
                    </w:r>
                    <w:r>
                      <w:rPr>
                        <w:noProof/>
                      </w:rPr>
                      <w:t xml:space="preserve">2008. </w:t>
                    </w:r>
                  </w:p>
                </w:tc>
              </w:tr>
              <w:tr w:rsidR="009950D4" w14:paraId="5317558C" w14:textId="77777777">
                <w:trPr>
                  <w:divId w:val="1903981676"/>
                  <w:tblCellSpacing w:w="15" w:type="dxa"/>
                </w:trPr>
                <w:tc>
                  <w:tcPr>
                    <w:tcW w:w="50" w:type="pct"/>
                    <w:hideMark/>
                  </w:tcPr>
                  <w:p w14:paraId="46A25C9D" w14:textId="77777777" w:rsidR="009950D4" w:rsidRDefault="009950D4">
                    <w:pPr>
                      <w:pStyle w:val="Bibliography"/>
                      <w:rPr>
                        <w:noProof/>
                      </w:rPr>
                    </w:pPr>
                    <w:r>
                      <w:rPr>
                        <w:noProof/>
                      </w:rPr>
                      <w:t xml:space="preserve">[9] </w:t>
                    </w:r>
                  </w:p>
                </w:tc>
                <w:tc>
                  <w:tcPr>
                    <w:tcW w:w="0" w:type="auto"/>
                    <w:hideMark/>
                  </w:tcPr>
                  <w:p w14:paraId="5DC7BFD6" w14:textId="77777777" w:rsidR="009950D4" w:rsidRDefault="009950D4">
                    <w:pPr>
                      <w:pStyle w:val="Bibliography"/>
                      <w:rPr>
                        <w:noProof/>
                      </w:rPr>
                    </w:pPr>
                    <w:r>
                      <w:rPr>
                        <w:noProof/>
                      </w:rPr>
                      <w:t xml:space="preserve">Lietuvos Respublikos aplinkos ministerija, </w:t>
                    </w:r>
                    <w:r>
                      <w:rPr>
                        <w:i/>
                        <w:iCs/>
                        <w:noProof/>
                      </w:rPr>
                      <w:t xml:space="preserve">Cheminėmis medžiagomis užterštų teritorijų tvarkymo aplinkos apsaugos reikalavimus D1-230, </w:t>
                    </w:r>
                    <w:r>
                      <w:rPr>
                        <w:noProof/>
                      </w:rPr>
                      <w:t xml:space="preserve">2008. </w:t>
                    </w:r>
                  </w:p>
                </w:tc>
              </w:tr>
              <w:tr w:rsidR="009950D4" w14:paraId="1E8E4F5F" w14:textId="77777777">
                <w:trPr>
                  <w:divId w:val="1903981676"/>
                  <w:tblCellSpacing w:w="15" w:type="dxa"/>
                </w:trPr>
                <w:tc>
                  <w:tcPr>
                    <w:tcW w:w="50" w:type="pct"/>
                    <w:hideMark/>
                  </w:tcPr>
                  <w:p w14:paraId="4139CFC6" w14:textId="77777777" w:rsidR="009950D4" w:rsidRDefault="009950D4">
                    <w:pPr>
                      <w:pStyle w:val="Bibliography"/>
                      <w:rPr>
                        <w:noProof/>
                      </w:rPr>
                    </w:pPr>
                    <w:r>
                      <w:rPr>
                        <w:noProof/>
                      </w:rPr>
                      <w:t xml:space="preserve">[10] </w:t>
                    </w:r>
                  </w:p>
                </w:tc>
                <w:tc>
                  <w:tcPr>
                    <w:tcW w:w="0" w:type="auto"/>
                    <w:hideMark/>
                  </w:tcPr>
                  <w:p w14:paraId="61E4B8B1" w14:textId="77777777" w:rsidR="009950D4" w:rsidRDefault="009950D4">
                    <w:pPr>
                      <w:pStyle w:val="Bibliography"/>
                      <w:rPr>
                        <w:noProof/>
                      </w:rPr>
                    </w:pPr>
                    <w:r>
                      <w:rPr>
                        <w:noProof/>
                      </w:rPr>
                      <w:t xml:space="preserve">Lietuvos Respublikos aplinkos ministerija, </w:t>
                    </w:r>
                    <w:r>
                      <w:rPr>
                        <w:i/>
                        <w:iCs/>
                        <w:noProof/>
                      </w:rPr>
                      <w:t xml:space="preserve">Naftos produktais užterštų teritorijų tvarkymo aplinkos apsaugos reikalavimai Land 9-2009, </w:t>
                    </w:r>
                    <w:r>
                      <w:rPr>
                        <w:noProof/>
                      </w:rPr>
                      <w:t xml:space="preserve">2009. </w:t>
                    </w:r>
                  </w:p>
                </w:tc>
              </w:tr>
              <w:tr w:rsidR="009950D4" w14:paraId="7EE59328" w14:textId="77777777">
                <w:trPr>
                  <w:divId w:val="1903981676"/>
                  <w:tblCellSpacing w:w="15" w:type="dxa"/>
                </w:trPr>
                <w:tc>
                  <w:tcPr>
                    <w:tcW w:w="50" w:type="pct"/>
                    <w:hideMark/>
                  </w:tcPr>
                  <w:p w14:paraId="5487A6A8" w14:textId="77777777" w:rsidR="009950D4" w:rsidRDefault="009950D4">
                    <w:pPr>
                      <w:pStyle w:val="Bibliography"/>
                      <w:rPr>
                        <w:noProof/>
                      </w:rPr>
                    </w:pPr>
                    <w:r>
                      <w:rPr>
                        <w:noProof/>
                      </w:rPr>
                      <w:t xml:space="preserve">[11] </w:t>
                    </w:r>
                  </w:p>
                </w:tc>
                <w:tc>
                  <w:tcPr>
                    <w:tcW w:w="0" w:type="auto"/>
                    <w:hideMark/>
                  </w:tcPr>
                  <w:p w14:paraId="73116F3E" w14:textId="77777777" w:rsidR="009950D4" w:rsidRDefault="009950D4">
                    <w:pPr>
                      <w:pStyle w:val="Bibliography"/>
                      <w:rPr>
                        <w:noProof/>
                      </w:rPr>
                    </w:pPr>
                    <w:r>
                      <w:rPr>
                        <w:noProof/>
                      </w:rPr>
                      <w:t xml:space="preserve">J. S. M. H. B. S. Jeffrey Lewis, «The Swedish model for groundwater policy: legal foundations, decision-making and practical application,» </w:t>
                    </w:r>
                    <w:r>
                      <w:rPr>
                        <w:i/>
                        <w:iCs/>
                        <w:noProof/>
                      </w:rPr>
                      <w:t xml:space="preserve">Hydrogeology Journal, </w:t>
                    </w:r>
                    <w:r>
                      <w:rPr>
                        <w:noProof/>
                      </w:rPr>
                      <w:t xml:space="preserve">2013. </w:t>
                    </w:r>
                  </w:p>
                </w:tc>
              </w:tr>
              <w:tr w:rsidR="009950D4" w14:paraId="77B8274B" w14:textId="77777777">
                <w:trPr>
                  <w:divId w:val="1903981676"/>
                  <w:tblCellSpacing w:w="15" w:type="dxa"/>
                </w:trPr>
                <w:tc>
                  <w:tcPr>
                    <w:tcW w:w="50" w:type="pct"/>
                    <w:hideMark/>
                  </w:tcPr>
                  <w:p w14:paraId="484B6CA0" w14:textId="77777777" w:rsidR="009950D4" w:rsidRDefault="009950D4">
                    <w:pPr>
                      <w:pStyle w:val="Bibliography"/>
                      <w:rPr>
                        <w:noProof/>
                      </w:rPr>
                    </w:pPr>
                    <w:r>
                      <w:rPr>
                        <w:noProof/>
                      </w:rPr>
                      <w:t xml:space="preserve">[12] </w:t>
                    </w:r>
                  </w:p>
                </w:tc>
                <w:tc>
                  <w:tcPr>
                    <w:tcW w:w="0" w:type="auto"/>
                    <w:hideMark/>
                  </w:tcPr>
                  <w:p w14:paraId="10932326" w14:textId="77777777" w:rsidR="009950D4" w:rsidRDefault="009950D4">
                    <w:pPr>
                      <w:pStyle w:val="Bibliography"/>
                      <w:rPr>
                        <w:noProof/>
                      </w:rPr>
                    </w:pPr>
                    <w:r>
                      <w:rPr>
                        <w:noProof/>
                      </w:rPr>
                      <w:t xml:space="preserve">Miljödepartementet, </w:t>
                    </w:r>
                    <w:r>
                      <w:rPr>
                        <w:i/>
                        <w:iCs/>
                        <w:noProof/>
                      </w:rPr>
                      <w:t xml:space="preserve">Miljöbalk (1998:808), </w:t>
                    </w:r>
                    <w:r>
                      <w:rPr>
                        <w:noProof/>
                      </w:rPr>
                      <w:t xml:space="preserve">1998. </w:t>
                    </w:r>
                  </w:p>
                </w:tc>
              </w:tr>
              <w:tr w:rsidR="009950D4" w14:paraId="170AF6C3" w14:textId="77777777">
                <w:trPr>
                  <w:divId w:val="1903981676"/>
                  <w:tblCellSpacing w:w="15" w:type="dxa"/>
                </w:trPr>
                <w:tc>
                  <w:tcPr>
                    <w:tcW w:w="50" w:type="pct"/>
                    <w:hideMark/>
                  </w:tcPr>
                  <w:p w14:paraId="6EC854D1" w14:textId="77777777" w:rsidR="009950D4" w:rsidRDefault="009950D4">
                    <w:pPr>
                      <w:pStyle w:val="Bibliography"/>
                      <w:rPr>
                        <w:noProof/>
                      </w:rPr>
                    </w:pPr>
                    <w:r>
                      <w:rPr>
                        <w:noProof/>
                      </w:rPr>
                      <w:t xml:space="preserve">[13] </w:t>
                    </w:r>
                  </w:p>
                </w:tc>
                <w:tc>
                  <w:tcPr>
                    <w:tcW w:w="0" w:type="auto"/>
                    <w:hideMark/>
                  </w:tcPr>
                  <w:p w14:paraId="166AB769" w14:textId="77777777" w:rsidR="009950D4" w:rsidRDefault="009950D4">
                    <w:pPr>
                      <w:pStyle w:val="Bibliography"/>
                      <w:rPr>
                        <w:noProof/>
                      </w:rPr>
                    </w:pPr>
                    <w:r>
                      <w:rPr>
                        <w:noProof/>
                      </w:rPr>
                      <w:t xml:space="preserve">Sveriges geologiska undersökning, </w:t>
                    </w:r>
                    <w:r>
                      <w:rPr>
                        <w:i/>
                        <w:iCs/>
                        <w:noProof/>
                      </w:rPr>
                      <w:t xml:space="preserve">Sveriges geologiska undersöknings författningssamling SGU-FS 2019:1, </w:t>
                    </w:r>
                    <w:r>
                      <w:rPr>
                        <w:noProof/>
                      </w:rPr>
                      <w:t xml:space="preserve">2019. </w:t>
                    </w:r>
                  </w:p>
                </w:tc>
              </w:tr>
              <w:tr w:rsidR="009950D4" w14:paraId="3C07C98E" w14:textId="77777777">
                <w:trPr>
                  <w:divId w:val="1903981676"/>
                  <w:tblCellSpacing w:w="15" w:type="dxa"/>
                </w:trPr>
                <w:tc>
                  <w:tcPr>
                    <w:tcW w:w="50" w:type="pct"/>
                    <w:hideMark/>
                  </w:tcPr>
                  <w:p w14:paraId="1AA9527C" w14:textId="77777777" w:rsidR="009950D4" w:rsidRDefault="009950D4">
                    <w:pPr>
                      <w:pStyle w:val="Bibliography"/>
                      <w:rPr>
                        <w:noProof/>
                      </w:rPr>
                    </w:pPr>
                    <w:r>
                      <w:rPr>
                        <w:noProof/>
                      </w:rPr>
                      <w:t xml:space="preserve">[14] </w:t>
                    </w:r>
                  </w:p>
                </w:tc>
                <w:tc>
                  <w:tcPr>
                    <w:tcW w:w="0" w:type="auto"/>
                    <w:hideMark/>
                  </w:tcPr>
                  <w:p w14:paraId="6CCE2900" w14:textId="77777777" w:rsidR="009950D4" w:rsidRDefault="009950D4">
                    <w:pPr>
                      <w:pStyle w:val="Bibliography"/>
                      <w:rPr>
                        <w:noProof/>
                      </w:rPr>
                    </w:pPr>
                    <w:r>
                      <w:rPr>
                        <w:noProof/>
                      </w:rPr>
                      <w:t xml:space="preserve">Sveriges geologiska undersökning, </w:t>
                    </w:r>
                    <w:r>
                      <w:rPr>
                        <w:i/>
                        <w:iCs/>
                        <w:noProof/>
                      </w:rPr>
                      <w:t>Sveriges geologiska undersöknings författningssamling SGU-FS 2013-2.</w:t>
                    </w:r>
                    <w:r>
                      <w:rPr>
                        <w:noProof/>
                      </w:rPr>
                      <w:t xml:space="preserve"> </w:t>
                    </w:r>
                  </w:p>
                </w:tc>
              </w:tr>
              <w:tr w:rsidR="009950D4" w14:paraId="22CE8E94" w14:textId="77777777">
                <w:trPr>
                  <w:divId w:val="1903981676"/>
                  <w:tblCellSpacing w:w="15" w:type="dxa"/>
                </w:trPr>
                <w:tc>
                  <w:tcPr>
                    <w:tcW w:w="50" w:type="pct"/>
                    <w:hideMark/>
                  </w:tcPr>
                  <w:p w14:paraId="11CC1D70" w14:textId="77777777" w:rsidR="009950D4" w:rsidRDefault="009950D4">
                    <w:pPr>
                      <w:pStyle w:val="Bibliography"/>
                      <w:rPr>
                        <w:noProof/>
                      </w:rPr>
                    </w:pPr>
                    <w:r>
                      <w:rPr>
                        <w:noProof/>
                      </w:rPr>
                      <w:t xml:space="preserve">[15] </w:t>
                    </w:r>
                  </w:p>
                </w:tc>
                <w:tc>
                  <w:tcPr>
                    <w:tcW w:w="0" w:type="auto"/>
                    <w:hideMark/>
                  </w:tcPr>
                  <w:p w14:paraId="5E9204C9" w14:textId="77777777" w:rsidR="009950D4" w:rsidRDefault="009950D4">
                    <w:pPr>
                      <w:pStyle w:val="Bibliography"/>
                      <w:rPr>
                        <w:noProof/>
                      </w:rPr>
                    </w:pPr>
                    <w:r>
                      <w:rPr>
                        <w:noProof/>
                      </w:rPr>
                      <w:t xml:space="preserve">Sveriges geologiska undersökning, </w:t>
                    </w:r>
                    <w:r>
                      <w:rPr>
                        <w:i/>
                        <w:iCs/>
                        <w:noProof/>
                      </w:rPr>
                      <w:t>Sveriges geologiska undersöknings författningssamling SGU-FS 2013:1.</w:t>
                    </w:r>
                    <w:r>
                      <w:rPr>
                        <w:noProof/>
                      </w:rPr>
                      <w:t xml:space="preserve"> </w:t>
                    </w:r>
                  </w:p>
                </w:tc>
              </w:tr>
              <w:tr w:rsidR="009950D4" w14:paraId="1EBA3725" w14:textId="77777777">
                <w:trPr>
                  <w:divId w:val="1903981676"/>
                  <w:tblCellSpacing w:w="15" w:type="dxa"/>
                </w:trPr>
                <w:tc>
                  <w:tcPr>
                    <w:tcW w:w="50" w:type="pct"/>
                    <w:hideMark/>
                  </w:tcPr>
                  <w:p w14:paraId="69408B65" w14:textId="77777777" w:rsidR="009950D4" w:rsidRDefault="009950D4">
                    <w:pPr>
                      <w:pStyle w:val="Bibliography"/>
                      <w:rPr>
                        <w:noProof/>
                      </w:rPr>
                    </w:pPr>
                    <w:r>
                      <w:rPr>
                        <w:noProof/>
                      </w:rPr>
                      <w:t xml:space="preserve">[16] </w:t>
                    </w:r>
                  </w:p>
                </w:tc>
                <w:tc>
                  <w:tcPr>
                    <w:tcW w:w="0" w:type="auto"/>
                    <w:hideMark/>
                  </w:tcPr>
                  <w:p w14:paraId="6C309467" w14:textId="77777777" w:rsidR="009950D4" w:rsidRDefault="009950D4">
                    <w:pPr>
                      <w:pStyle w:val="Bibliography"/>
                      <w:rPr>
                        <w:noProof/>
                      </w:rPr>
                    </w:pPr>
                    <w:r>
                      <w:rPr>
                        <w:noProof/>
                      </w:rPr>
                      <w:t xml:space="preserve">Sveriges geologiska undersökning, </w:t>
                    </w:r>
                    <w:r>
                      <w:rPr>
                        <w:i/>
                        <w:iCs/>
                        <w:noProof/>
                      </w:rPr>
                      <w:t xml:space="preserve">Bedömningsgrunder för grundvatten SGU-rapport 2013:01, </w:t>
                    </w:r>
                    <w:r>
                      <w:rPr>
                        <w:noProof/>
                      </w:rPr>
                      <w:t xml:space="preserve">Uppsala, 2013. </w:t>
                    </w:r>
                  </w:p>
                </w:tc>
              </w:tr>
              <w:tr w:rsidR="009950D4" w14:paraId="5FC10304" w14:textId="77777777">
                <w:trPr>
                  <w:divId w:val="1903981676"/>
                  <w:tblCellSpacing w:w="15" w:type="dxa"/>
                </w:trPr>
                <w:tc>
                  <w:tcPr>
                    <w:tcW w:w="50" w:type="pct"/>
                    <w:hideMark/>
                  </w:tcPr>
                  <w:p w14:paraId="68E24681" w14:textId="77777777" w:rsidR="009950D4" w:rsidRDefault="009950D4">
                    <w:pPr>
                      <w:pStyle w:val="Bibliography"/>
                      <w:rPr>
                        <w:noProof/>
                      </w:rPr>
                    </w:pPr>
                    <w:r>
                      <w:rPr>
                        <w:noProof/>
                      </w:rPr>
                      <w:t xml:space="preserve">[17] </w:t>
                    </w:r>
                  </w:p>
                </w:tc>
                <w:tc>
                  <w:tcPr>
                    <w:tcW w:w="0" w:type="auto"/>
                    <w:hideMark/>
                  </w:tcPr>
                  <w:p w14:paraId="4BB7A851" w14:textId="77777777" w:rsidR="009950D4" w:rsidRDefault="009950D4">
                    <w:pPr>
                      <w:pStyle w:val="Bibliography"/>
                      <w:rPr>
                        <w:noProof/>
                      </w:rPr>
                    </w:pPr>
                    <w:r>
                      <w:rPr>
                        <w:noProof/>
                      </w:rPr>
                      <w:t xml:space="preserve">Swedish Environmetal Protection Agency, </w:t>
                    </w:r>
                    <w:r>
                      <w:rPr>
                        <w:i/>
                        <w:iCs/>
                        <w:noProof/>
                      </w:rPr>
                      <w:t xml:space="preserve">Swedish Environmental Quality Criteria, </w:t>
                    </w:r>
                    <w:r>
                      <w:rPr>
                        <w:noProof/>
                      </w:rPr>
                      <w:t xml:space="preserve">2020. </w:t>
                    </w:r>
                  </w:p>
                </w:tc>
              </w:tr>
              <w:tr w:rsidR="009950D4" w14:paraId="252A0FD9" w14:textId="77777777">
                <w:trPr>
                  <w:divId w:val="1903981676"/>
                  <w:tblCellSpacing w:w="15" w:type="dxa"/>
                </w:trPr>
                <w:tc>
                  <w:tcPr>
                    <w:tcW w:w="50" w:type="pct"/>
                    <w:hideMark/>
                  </w:tcPr>
                  <w:p w14:paraId="0A9D9742" w14:textId="77777777" w:rsidR="009950D4" w:rsidRDefault="009950D4">
                    <w:pPr>
                      <w:pStyle w:val="Bibliography"/>
                      <w:rPr>
                        <w:noProof/>
                      </w:rPr>
                    </w:pPr>
                    <w:r>
                      <w:rPr>
                        <w:noProof/>
                      </w:rPr>
                      <w:t xml:space="preserve">[18] </w:t>
                    </w:r>
                  </w:p>
                </w:tc>
                <w:tc>
                  <w:tcPr>
                    <w:tcW w:w="0" w:type="auto"/>
                    <w:hideMark/>
                  </w:tcPr>
                  <w:p w14:paraId="5AC07A8B" w14:textId="77777777" w:rsidR="009950D4" w:rsidRDefault="009950D4">
                    <w:pPr>
                      <w:pStyle w:val="Bibliography"/>
                      <w:rPr>
                        <w:noProof/>
                      </w:rPr>
                    </w:pPr>
                    <w:r>
                      <w:rPr>
                        <w:noProof/>
                      </w:rPr>
                      <w:t xml:space="preserve">Ministru kabinets, </w:t>
                    </w:r>
                    <w:r>
                      <w:rPr>
                        <w:i/>
                        <w:iCs/>
                        <w:noProof/>
                      </w:rPr>
                      <w:t xml:space="preserve">Noteikumi Nr. 562 Noteikumi par zemes lietošanas veidu klasifikācijas kārtību un to noteikšanas kritērijiem, </w:t>
                    </w:r>
                    <w:r>
                      <w:rPr>
                        <w:noProof/>
                      </w:rPr>
                      <w:t xml:space="preserve">2007. </w:t>
                    </w:r>
                  </w:p>
                </w:tc>
              </w:tr>
              <w:tr w:rsidR="009950D4" w14:paraId="59D94740" w14:textId="77777777">
                <w:trPr>
                  <w:divId w:val="1903981676"/>
                  <w:tblCellSpacing w:w="15" w:type="dxa"/>
                </w:trPr>
                <w:tc>
                  <w:tcPr>
                    <w:tcW w:w="50" w:type="pct"/>
                    <w:hideMark/>
                  </w:tcPr>
                  <w:p w14:paraId="59AEBA24" w14:textId="77777777" w:rsidR="009950D4" w:rsidRDefault="009950D4">
                    <w:pPr>
                      <w:pStyle w:val="Bibliography"/>
                      <w:rPr>
                        <w:noProof/>
                      </w:rPr>
                    </w:pPr>
                    <w:r>
                      <w:rPr>
                        <w:noProof/>
                      </w:rPr>
                      <w:t xml:space="preserve">[19] </w:t>
                    </w:r>
                  </w:p>
                </w:tc>
                <w:tc>
                  <w:tcPr>
                    <w:tcW w:w="0" w:type="auto"/>
                    <w:hideMark/>
                  </w:tcPr>
                  <w:p w14:paraId="1F27EDC4" w14:textId="77777777" w:rsidR="009950D4" w:rsidRDefault="009950D4">
                    <w:pPr>
                      <w:pStyle w:val="Bibliography"/>
                      <w:rPr>
                        <w:noProof/>
                      </w:rPr>
                    </w:pPr>
                    <w:r>
                      <w:rPr>
                        <w:noProof/>
                      </w:rPr>
                      <w:t xml:space="preserve">Ministru kabinets, </w:t>
                    </w:r>
                    <w:r>
                      <w:rPr>
                        <w:i/>
                        <w:iCs/>
                        <w:noProof/>
                      </w:rPr>
                      <w:t xml:space="preserve">Noteikumi Nr. 240 Vispārīgie teritorijas plānošanas, izmantošanas un apbūves noteikumi, </w:t>
                    </w:r>
                    <w:r>
                      <w:rPr>
                        <w:noProof/>
                      </w:rPr>
                      <w:t xml:space="preserve">2013. </w:t>
                    </w:r>
                  </w:p>
                </w:tc>
              </w:tr>
              <w:tr w:rsidR="009950D4" w14:paraId="27A850B1" w14:textId="77777777">
                <w:trPr>
                  <w:divId w:val="1903981676"/>
                  <w:tblCellSpacing w:w="15" w:type="dxa"/>
                </w:trPr>
                <w:tc>
                  <w:tcPr>
                    <w:tcW w:w="50" w:type="pct"/>
                    <w:hideMark/>
                  </w:tcPr>
                  <w:p w14:paraId="7F8F544A" w14:textId="77777777" w:rsidR="009950D4" w:rsidRDefault="009950D4">
                    <w:pPr>
                      <w:pStyle w:val="Bibliography"/>
                      <w:rPr>
                        <w:noProof/>
                      </w:rPr>
                    </w:pPr>
                    <w:r>
                      <w:rPr>
                        <w:noProof/>
                      </w:rPr>
                      <w:t xml:space="preserve">[20] </w:t>
                    </w:r>
                  </w:p>
                </w:tc>
                <w:tc>
                  <w:tcPr>
                    <w:tcW w:w="0" w:type="auto"/>
                    <w:hideMark/>
                  </w:tcPr>
                  <w:p w14:paraId="38A18641" w14:textId="77777777" w:rsidR="009950D4" w:rsidRDefault="009950D4">
                    <w:pPr>
                      <w:pStyle w:val="Bibliography"/>
                      <w:rPr>
                        <w:noProof/>
                      </w:rPr>
                    </w:pPr>
                    <w:r>
                      <w:rPr>
                        <w:noProof/>
                      </w:rPr>
                      <w:t xml:space="preserve">A. Dēliņa, «Kvartārsegas pazemes ūdeņi Latvijā.,» 2006. </w:t>
                    </w:r>
                  </w:p>
                </w:tc>
              </w:tr>
              <w:tr w:rsidR="009950D4" w14:paraId="300C355B" w14:textId="77777777">
                <w:trPr>
                  <w:divId w:val="1903981676"/>
                  <w:tblCellSpacing w:w="15" w:type="dxa"/>
                </w:trPr>
                <w:tc>
                  <w:tcPr>
                    <w:tcW w:w="50" w:type="pct"/>
                    <w:hideMark/>
                  </w:tcPr>
                  <w:p w14:paraId="7F2C7169" w14:textId="77777777" w:rsidR="009950D4" w:rsidRDefault="009950D4">
                    <w:pPr>
                      <w:pStyle w:val="Bibliography"/>
                      <w:rPr>
                        <w:noProof/>
                      </w:rPr>
                    </w:pPr>
                    <w:r>
                      <w:rPr>
                        <w:noProof/>
                      </w:rPr>
                      <w:lastRenderedPageBreak/>
                      <w:t xml:space="preserve">[21] </w:t>
                    </w:r>
                  </w:p>
                </w:tc>
                <w:tc>
                  <w:tcPr>
                    <w:tcW w:w="0" w:type="auto"/>
                    <w:hideMark/>
                  </w:tcPr>
                  <w:p w14:paraId="6707C48D" w14:textId="77777777" w:rsidR="009950D4" w:rsidRDefault="009950D4">
                    <w:pPr>
                      <w:pStyle w:val="Bibliography"/>
                      <w:rPr>
                        <w:noProof/>
                      </w:rPr>
                    </w:pPr>
                    <w:r>
                      <w:rPr>
                        <w:noProof/>
                      </w:rPr>
                      <w:t xml:space="preserve">EIROPAS PARLAMENTS UN EIROPAS SAVIENĪBAS PADOME, </w:t>
                    </w:r>
                    <w:r>
                      <w:rPr>
                        <w:i/>
                        <w:iCs/>
                        <w:noProof/>
                      </w:rPr>
                      <w:t xml:space="preserve">DIREKTĪVA 2006/118/EK par gruntsūdeņu aizsardzību pret piesārņojumu un pasliktināšanos, </w:t>
                    </w:r>
                    <w:r>
                      <w:rPr>
                        <w:noProof/>
                      </w:rPr>
                      <w:t xml:space="preserve">2006. </w:t>
                    </w:r>
                  </w:p>
                </w:tc>
              </w:tr>
              <w:tr w:rsidR="009950D4" w14:paraId="6A68F7F1" w14:textId="77777777">
                <w:trPr>
                  <w:divId w:val="1903981676"/>
                  <w:tblCellSpacing w:w="15" w:type="dxa"/>
                </w:trPr>
                <w:tc>
                  <w:tcPr>
                    <w:tcW w:w="50" w:type="pct"/>
                    <w:hideMark/>
                  </w:tcPr>
                  <w:p w14:paraId="5F67BF9F" w14:textId="77777777" w:rsidR="009950D4" w:rsidRDefault="009950D4">
                    <w:pPr>
                      <w:pStyle w:val="Bibliography"/>
                      <w:rPr>
                        <w:noProof/>
                      </w:rPr>
                    </w:pPr>
                    <w:r>
                      <w:rPr>
                        <w:noProof/>
                      </w:rPr>
                      <w:t xml:space="preserve">[22] </w:t>
                    </w:r>
                  </w:p>
                </w:tc>
                <w:tc>
                  <w:tcPr>
                    <w:tcW w:w="0" w:type="auto"/>
                    <w:hideMark/>
                  </w:tcPr>
                  <w:p w14:paraId="2A2F0F41" w14:textId="77777777" w:rsidR="009950D4" w:rsidRDefault="009950D4">
                    <w:pPr>
                      <w:pStyle w:val="Bibliography"/>
                      <w:rPr>
                        <w:noProof/>
                      </w:rPr>
                    </w:pPr>
                    <w:r>
                      <w:rPr>
                        <w:noProof/>
                      </w:rPr>
                      <w:t xml:space="preserve">Ministru kabinets, </w:t>
                    </w:r>
                    <w:r>
                      <w:rPr>
                        <w:i/>
                        <w:iCs/>
                        <w:noProof/>
                      </w:rPr>
                      <w:t xml:space="preserve">Noteikumi Nr. 1114, </w:t>
                    </w:r>
                    <w:r>
                      <w:rPr>
                        <w:noProof/>
                      </w:rPr>
                      <w:t xml:space="preserve">2009. </w:t>
                    </w:r>
                  </w:p>
                </w:tc>
              </w:tr>
            </w:tbl>
            <w:p w14:paraId="57FCD5C1" w14:textId="77777777" w:rsidR="009950D4" w:rsidRDefault="009950D4">
              <w:pPr>
                <w:divId w:val="1903981676"/>
                <w:rPr>
                  <w:rFonts w:eastAsia="Times New Roman"/>
                  <w:noProof/>
                </w:rPr>
              </w:pPr>
            </w:p>
            <w:p w14:paraId="19A13AF6" w14:textId="77777777" w:rsidR="007956CE" w:rsidRDefault="007956CE">
              <w:r>
                <w:rPr>
                  <w:b/>
                  <w:bCs/>
                  <w:noProof/>
                </w:rPr>
                <w:fldChar w:fldCharType="end"/>
              </w:r>
            </w:p>
          </w:sdtContent>
        </w:sdt>
      </w:sdtContent>
    </w:sdt>
    <w:p w14:paraId="595FADC8" w14:textId="77777777" w:rsidR="009F1981" w:rsidRPr="009F1981" w:rsidRDefault="009F1981" w:rsidP="009F1981"/>
    <w:sectPr w:rsidR="009F1981" w:rsidRPr="009F1981" w:rsidSect="000F4927">
      <w:footerReference w:type="default" r:id="rId2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D284B" w14:textId="77777777" w:rsidR="000D2588" w:rsidRDefault="000D2588" w:rsidP="00E652FE">
      <w:pPr>
        <w:spacing w:after="0" w:line="240" w:lineRule="auto"/>
      </w:pPr>
      <w:r>
        <w:separator/>
      </w:r>
    </w:p>
  </w:endnote>
  <w:endnote w:type="continuationSeparator" w:id="0">
    <w:p w14:paraId="170C7B0D" w14:textId="77777777" w:rsidR="000D2588" w:rsidRDefault="000D2588" w:rsidP="00E6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altName w:val="Times New Roman PS"/>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30D59" w14:textId="77777777" w:rsidR="009E3921" w:rsidRDefault="009E39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399519"/>
      <w:docPartObj>
        <w:docPartGallery w:val="Page Numbers (Bottom of Page)"/>
        <w:docPartUnique/>
      </w:docPartObj>
    </w:sdtPr>
    <w:sdtEndPr>
      <w:rPr>
        <w:noProof/>
      </w:rPr>
    </w:sdtEndPr>
    <w:sdtContent>
      <w:p w14:paraId="7927AE35" w14:textId="77777777" w:rsidR="009E3921" w:rsidRDefault="000D2588">
        <w:pPr>
          <w:pStyle w:val="Footer"/>
          <w:jc w:val="right"/>
        </w:pPr>
      </w:p>
    </w:sdtContent>
  </w:sdt>
  <w:p w14:paraId="02532F1A" w14:textId="77777777" w:rsidR="009E3921" w:rsidRDefault="009E39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305B" w14:textId="77777777" w:rsidR="009E3921" w:rsidRDefault="009E39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722111"/>
      <w:docPartObj>
        <w:docPartGallery w:val="Page Numbers (Bottom of Page)"/>
        <w:docPartUnique/>
      </w:docPartObj>
    </w:sdtPr>
    <w:sdtEndPr>
      <w:rPr>
        <w:noProof/>
      </w:rPr>
    </w:sdtEndPr>
    <w:sdtContent>
      <w:p w14:paraId="78F8F394" w14:textId="77777777" w:rsidR="009E3921" w:rsidRDefault="009E3921">
        <w:pPr>
          <w:pStyle w:val="Footer"/>
          <w:jc w:val="right"/>
        </w:pPr>
        <w:r>
          <w:fldChar w:fldCharType="begin"/>
        </w:r>
        <w:r>
          <w:instrText xml:space="preserve"> PAGE   \* MERGEFORMAT </w:instrText>
        </w:r>
        <w:r>
          <w:fldChar w:fldCharType="separate"/>
        </w:r>
        <w:r w:rsidR="00BB608B">
          <w:rPr>
            <w:noProof/>
          </w:rPr>
          <w:t>21</w:t>
        </w:r>
        <w:r>
          <w:rPr>
            <w:noProof/>
          </w:rPr>
          <w:fldChar w:fldCharType="end"/>
        </w:r>
      </w:p>
    </w:sdtContent>
  </w:sdt>
  <w:p w14:paraId="01A5719A" w14:textId="77777777" w:rsidR="009E3921" w:rsidRDefault="009E39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1AFE1" w14:textId="77777777" w:rsidR="000D2588" w:rsidRDefault="000D2588" w:rsidP="00E652FE">
      <w:pPr>
        <w:spacing w:after="0" w:line="240" w:lineRule="auto"/>
      </w:pPr>
      <w:r>
        <w:separator/>
      </w:r>
    </w:p>
  </w:footnote>
  <w:footnote w:type="continuationSeparator" w:id="0">
    <w:p w14:paraId="01987A48" w14:textId="77777777" w:rsidR="000D2588" w:rsidRDefault="000D2588" w:rsidP="00E65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8A042" w14:textId="77777777" w:rsidR="009E3921" w:rsidRDefault="009E39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489A0" w14:textId="77777777" w:rsidR="009E3921" w:rsidRDefault="009E39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BF975" w14:textId="77777777" w:rsidR="009E3921" w:rsidRDefault="009E39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00A36"/>
    <w:multiLevelType w:val="hybridMultilevel"/>
    <w:tmpl w:val="E4D2F48A"/>
    <w:lvl w:ilvl="0" w:tplc="412EF15E">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174022C3"/>
    <w:multiLevelType w:val="hybridMultilevel"/>
    <w:tmpl w:val="A80669AA"/>
    <w:lvl w:ilvl="0" w:tplc="412EF15E">
      <w:start w:val="1"/>
      <w:numFmt w:val="bullet"/>
      <w:lvlText w:val="-"/>
      <w:lvlJc w:val="left"/>
      <w:pPr>
        <w:ind w:left="720" w:hanging="360"/>
      </w:pPr>
      <w:rPr>
        <w:rFonts w:ascii="Calibri" w:eastAsiaTheme="minorHAnsi" w:hAnsi="Calibri" w:cs="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CF78F4"/>
    <w:multiLevelType w:val="multilevel"/>
    <w:tmpl w:val="E04076AE"/>
    <w:lvl w:ilvl="0">
      <w:start w:val="3"/>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27E23B51"/>
    <w:multiLevelType w:val="hybridMultilevel"/>
    <w:tmpl w:val="4896EF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B20387C"/>
    <w:multiLevelType w:val="hybridMultilevel"/>
    <w:tmpl w:val="3A7AB7F8"/>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1960470"/>
    <w:multiLevelType w:val="multilevel"/>
    <w:tmpl w:val="1C123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FEC0065"/>
    <w:multiLevelType w:val="multilevel"/>
    <w:tmpl w:val="0486C43A"/>
    <w:lvl w:ilvl="0">
      <w:start w:val="4"/>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41093800"/>
    <w:multiLevelType w:val="hybridMultilevel"/>
    <w:tmpl w:val="35E889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4311203D"/>
    <w:multiLevelType w:val="hybridMultilevel"/>
    <w:tmpl w:val="73749F72"/>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AD338EE"/>
    <w:multiLevelType w:val="hybridMultilevel"/>
    <w:tmpl w:val="623AA460"/>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6752150"/>
    <w:multiLevelType w:val="hybridMultilevel"/>
    <w:tmpl w:val="547A5FC4"/>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68A2E6A"/>
    <w:multiLevelType w:val="hybridMultilevel"/>
    <w:tmpl w:val="2C4006B4"/>
    <w:lvl w:ilvl="0" w:tplc="412EF15E">
      <w:start w:val="1"/>
      <w:numFmt w:val="bullet"/>
      <w:lvlText w:val="-"/>
      <w:lvlJc w:val="left"/>
      <w:pPr>
        <w:ind w:left="720" w:hanging="360"/>
      </w:pPr>
      <w:rPr>
        <w:rFonts w:ascii="Calibri" w:eastAsiaTheme="minorHAnsi" w:hAnsi="Calibri" w:cs="Calibri" w:hint="default"/>
      </w:rPr>
    </w:lvl>
    <w:lvl w:ilvl="1" w:tplc="412EF15E">
      <w:start w:val="1"/>
      <w:numFmt w:val="bullet"/>
      <w:lvlText w:val="-"/>
      <w:lvlJc w:val="left"/>
      <w:pPr>
        <w:ind w:left="1440" w:hanging="360"/>
      </w:pPr>
      <w:rPr>
        <w:rFonts w:ascii="Calibri" w:eastAsiaTheme="minorHAnsi" w:hAnsi="Calibri" w:cs="Calibri"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B576935"/>
    <w:multiLevelType w:val="multilevel"/>
    <w:tmpl w:val="08781DB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65065B1"/>
    <w:multiLevelType w:val="hybridMultilevel"/>
    <w:tmpl w:val="0F3E3056"/>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E2F5695"/>
    <w:multiLevelType w:val="hybridMultilevel"/>
    <w:tmpl w:val="0484A0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0CE61CD"/>
    <w:multiLevelType w:val="hybridMultilevel"/>
    <w:tmpl w:val="F468F532"/>
    <w:lvl w:ilvl="0" w:tplc="412EF15E">
      <w:start w:val="1"/>
      <w:numFmt w:val="bullet"/>
      <w:lvlText w:val="-"/>
      <w:lvlJc w:val="left"/>
      <w:pPr>
        <w:ind w:left="720" w:hanging="360"/>
      </w:pPr>
      <w:rPr>
        <w:rFonts w:ascii="Calibri" w:eastAsiaTheme="minorHAns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1D30567"/>
    <w:multiLevelType w:val="multilevel"/>
    <w:tmpl w:val="D5C09E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71705F"/>
    <w:multiLevelType w:val="hybridMultilevel"/>
    <w:tmpl w:val="7612FB8A"/>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1"/>
  </w:num>
  <w:num w:numId="4">
    <w:abstractNumId w:val="12"/>
  </w:num>
  <w:num w:numId="5">
    <w:abstractNumId w:val="3"/>
  </w:num>
  <w:num w:numId="6">
    <w:abstractNumId w:val="9"/>
  </w:num>
  <w:num w:numId="7">
    <w:abstractNumId w:val="4"/>
  </w:num>
  <w:num w:numId="8">
    <w:abstractNumId w:val="10"/>
  </w:num>
  <w:num w:numId="9">
    <w:abstractNumId w:val="13"/>
  </w:num>
  <w:num w:numId="10">
    <w:abstractNumId w:val="7"/>
  </w:num>
  <w:num w:numId="11">
    <w:abstractNumId w:val="0"/>
  </w:num>
  <w:num w:numId="12">
    <w:abstractNumId w:val="8"/>
  </w:num>
  <w:num w:numId="13">
    <w:abstractNumId w:val="16"/>
  </w:num>
  <w:num w:numId="14">
    <w:abstractNumId w:val="2"/>
  </w:num>
  <w:num w:numId="15">
    <w:abstractNumId w:val="6"/>
  </w:num>
  <w:num w:numId="16">
    <w:abstractNumId w:val="17"/>
  </w:num>
  <w:num w:numId="17">
    <w:abstractNumId w:val="15"/>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49"/>
    <w:rsid w:val="00002369"/>
    <w:rsid w:val="0001524E"/>
    <w:rsid w:val="00033CE9"/>
    <w:rsid w:val="00052973"/>
    <w:rsid w:val="00055749"/>
    <w:rsid w:val="00056406"/>
    <w:rsid w:val="00083EB1"/>
    <w:rsid w:val="00087BDE"/>
    <w:rsid w:val="00087D2B"/>
    <w:rsid w:val="00087EE6"/>
    <w:rsid w:val="000A631C"/>
    <w:rsid w:val="000B0E63"/>
    <w:rsid w:val="000C5489"/>
    <w:rsid w:val="000C7CC0"/>
    <w:rsid w:val="000D2588"/>
    <w:rsid w:val="000E4C0B"/>
    <w:rsid w:val="000E6571"/>
    <w:rsid w:val="000E7769"/>
    <w:rsid w:val="000F47DA"/>
    <w:rsid w:val="000F4927"/>
    <w:rsid w:val="00101B17"/>
    <w:rsid w:val="00147B49"/>
    <w:rsid w:val="00157E75"/>
    <w:rsid w:val="00160A43"/>
    <w:rsid w:val="00161B5C"/>
    <w:rsid w:val="00176142"/>
    <w:rsid w:val="00180475"/>
    <w:rsid w:val="00181DB5"/>
    <w:rsid w:val="0018638C"/>
    <w:rsid w:val="00187D18"/>
    <w:rsid w:val="00191CA8"/>
    <w:rsid w:val="001947EC"/>
    <w:rsid w:val="001A0AF5"/>
    <w:rsid w:val="001A6627"/>
    <w:rsid w:val="001A712E"/>
    <w:rsid w:val="001B2696"/>
    <w:rsid w:val="001B7134"/>
    <w:rsid w:val="001B7734"/>
    <w:rsid w:val="001C0AB1"/>
    <w:rsid w:val="001D3504"/>
    <w:rsid w:val="001D4EF8"/>
    <w:rsid w:val="001E52FD"/>
    <w:rsid w:val="002068E7"/>
    <w:rsid w:val="00206F5F"/>
    <w:rsid w:val="00211741"/>
    <w:rsid w:val="00220A1E"/>
    <w:rsid w:val="002278A4"/>
    <w:rsid w:val="00231161"/>
    <w:rsid w:val="00235EE5"/>
    <w:rsid w:val="00237C58"/>
    <w:rsid w:val="00241E54"/>
    <w:rsid w:val="0024622E"/>
    <w:rsid w:val="00274191"/>
    <w:rsid w:val="00290D37"/>
    <w:rsid w:val="002A0344"/>
    <w:rsid w:val="002A5F11"/>
    <w:rsid w:val="002C117C"/>
    <w:rsid w:val="002C4AB1"/>
    <w:rsid w:val="002F273D"/>
    <w:rsid w:val="002F5D7A"/>
    <w:rsid w:val="00300E5C"/>
    <w:rsid w:val="00331842"/>
    <w:rsid w:val="00333EBE"/>
    <w:rsid w:val="00334BDA"/>
    <w:rsid w:val="00343027"/>
    <w:rsid w:val="003553D7"/>
    <w:rsid w:val="0036190B"/>
    <w:rsid w:val="0036345B"/>
    <w:rsid w:val="0037024E"/>
    <w:rsid w:val="00372F8F"/>
    <w:rsid w:val="00376A71"/>
    <w:rsid w:val="00387AB0"/>
    <w:rsid w:val="003953FB"/>
    <w:rsid w:val="003A120C"/>
    <w:rsid w:val="003D0965"/>
    <w:rsid w:val="003E1A1C"/>
    <w:rsid w:val="003E5548"/>
    <w:rsid w:val="003E5920"/>
    <w:rsid w:val="003F27D8"/>
    <w:rsid w:val="00407F15"/>
    <w:rsid w:val="004100A0"/>
    <w:rsid w:val="004162F8"/>
    <w:rsid w:val="004338F8"/>
    <w:rsid w:val="00440215"/>
    <w:rsid w:val="004543B8"/>
    <w:rsid w:val="00460798"/>
    <w:rsid w:val="00466EE0"/>
    <w:rsid w:val="00491DD3"/>
    <w:rsid w:val="00495CFE"/>
    <w:rsid w:val="004C2F2F"/>
    <w:rsid w:val="004C323B"/>
    <w:rsid w:val="004D02F8"/>
    <w:rsid w:val="004D6DF7"/>
    <w:rsid w:val="004D7BEF"/>
    <w:rsid w:val="00511AFA"/>
    <w:rsid w:val="00514B54"/>
    <w:rsid w:val="005247CC"/>
    <w:rsid w:val="005372D0"/>
    <w:rsid w:val="005565FD"/>
    <w:rsid w:val="00573905"/>
    <w:rsid w:val="005B27CD"/>
    <w:rsid w:val="005C0235"/>
    <w:rsid w:val="005C0B40"/>
    <w:rsid w:val="005C21A6"/>
    <w:rsid w:val="005C25C1"/>
    <w:rsid w:val="005C2926"/>
    <w:rsid w:val="005C58A5"/>
    <w:rsid w:val="005C6CE8"/>
    <w:rsid w:val="005E4538"/>
    <w:rsid w:val="005E45DE"/>
    <w:rsid w:val="005F25E4"/>
    <w:rsid w:val="005F6F94"/>
    <w:rsid w:val="00602F77"/>
    <w:rsid w:val="006074A9"/>
    <w:rsid w:val="00613912"/>
    <w:rsid w:val="0061650B"/>
    <w:rsid w:val="00625950"/>
    <w:rsid w:val="00643C41"/>
    <w:rsid w:val="00645C55"/>
    <w:rsid w:val="0064779B"/>
    <w:rsid w:val="006502DB"/>
    <w:rsid w:val="0067578C"/>
    <w:rsid w:val="00680450"/>
    <w:rsid w:val="006A628A"/>
    <w:rsid w:val="006B1585"/>
    <w:rsid w:val="006B3222"/>
    <w:rsid w:val="006C0F58"/>
    <w:rsid w:val="006C3079"/>
    <w:rsid w:val="006C3273"/>
    <w:rsid w:val="006C38C6"/>
    <w:rsid w:val="006D40DE"/>
    <w:rsid w:val="006E02F4"/>
    <w:rsid w:val="006F14AA"/>
    <w:rsid w:val="006F21A9"/>
    <w:rsid w:val="006F3351"/>
    <w:rsid w:val="006F5135"/>
    <w:rsid w:val="00700E9B"/>
    <w:rsid w:val="00742442"/>
    <w:rsid w:val="0075493A"/>
    <w:rsid w:val="00754B35"/>
    <w:rsid w:val="00770607"/>
    <w:rsid w:val="00776107"/>
    <w:rsid w:val="00776399"/>
    <w:rsid w:val="00777608"/>
    <w:rsid w:val="007852F1"/>
    <w:rsid w:val="00787C78"/>
    <w:rsid w:val="007926C6"/>
    <w:rsid w:val="007956CE"/>
    <w:rsid w:val="00797E42"/>
    <w:rsid w:val="00797F2F"/>
    <w:rsid w:val="007A41A3"/>
    <w:rsid w:val="007A41B9"/>
    <w:rsid w:val="007B58D8"/>
    <w:rsid w:val="007B59F7"/>
    <w:rsid w:val="007C1DAA"/>
    <w:rsid w:val="007C3B83"/>
    <w:rsid w:val="007E39B8"/>
    <w:rsid w:val="007F5D1C"/>
    <w:rsid w:val="0080266D"/>
    <w:rsid w:val="008145A4"/>
    <w:rsid w:val="0082510C"/>
    <w:rsid w:val="00832FDC"/>
    <w:rsid w:val="00833194"/>
    <w:rsid w:val="00852613"/>
    <w:rsid w:val="008642B4"/>
    <w:rsid w:val="00866391"/>
    <w:rsid w:val="00873818"/>
    <w:rsid w:val="008A1961"/>
    <w:rsid w:val="008A31EC"/>
    <w:rsid w:val="008B329B"/>
    <w:rsid w:val="008B79CE"/>
    <w:rsid w:val="008C5A4B"/>
    <w:rsid w:val="008C6445"/>
    <w:rsid w:val="008E72CE"/>
    <w:rsid w:val="008F2E9A"/>
    <w:rsid w:val="00907F11"/>
    <w:rsid w:val="0093043B"/>
    <w:rsid w:val="00930E54"/>
    <w:rsid w:val="009356CF"/>
    <w:rsid w:val="00940882"/>
    <w:rsid w:val="00962F2B"/>
    <w:rsid w:val="00965D82"/>
    <w:rsid w:val="00967D50"/>
    <w:rsid w:val="00971DE7"/>
    <w:rsid w:val="00982B94"/>
    <w:rsid w:val="00986176"/>
    <w:rsid w:val="009950D4"/>
    <w:rsid w:val="009A2428"/>
    <w:rsid w:val="009C76F3"/>
    <w:rsid w:val="009D3FBC"/>
    <w:rsid w:val="009D6D6B"/>
    <w:rsid w:val="009E3921"/>
    <w:rsid w:val="009E42E0"/>
    <w:rsid w:val="009F1981"/>
    <w:rsid w:val="009F3AC5"/>
    <w:rsid w:val="00A04FC6"/>
    <w:rsid w:val="00A104F9"/>
    <w:rsid w:val="00A10D23"/>
    <w:rsid w:val="00A2390D"/>
    <w:rsid w:val="00A33003"/>
    <w:rsid w:val="00A34725"/>
    <w:rsid w:val="00A428F7"/>
    <w:rsid w:val="00A61377"/>
    <w:rsid w:val="00A94858"/>
    <w:rsid w:val="00AB0ECB"/>
    <w:rsid w:val="00AB104C"/>
    <w:rsid w:val="00AB70AF"/>
    <w:rsid w:val="00AC1B2D"/>
    <w:rsid w:val="00AC5310"/>
    <w:rsid w:val="00AD00E9"/>
    <w:rsid w:val="00AD5B42"/>
    <w:rsid w:val="00AD6C7E"/>
    <w:rsid w:val="00AD7E25"/>
    <w:rsid w:val="00AF5D26"/>
    <w:rsid w:val="00B070F0"/>
    <w:rsid w:val="00B2203D"/>
    <w:rsid w:val="00B24DAB"/>
    <w:rsid w:val="00B319E9"/>
    <w:rsid w:val="00B53F69"/>
    <w:rsid w:val="00B634FC"/>
    <w:rsid w:val="00B6581F"/>
    <w:rsid w:val="00B76EB0"/>
    <w:rsid w:val="00B7774C"/>
    <w:rsid w:val="00B824F5"/>
    <w:rsid w:val="00B87EA6"/>
    <w:rsid w:val="00B96047"/>
    <w:rsid w:val="00B97648"/>
    <w:rsid w:val="00BA36CB"/>
    <w:rsid w:val="00BA486E"/>
    <w:rsid w:val="00BA6277"/>
    <w:rsid w:val="00BB608B"/>
    <w:rsid w:val="00BC16FA"/>
    <w:rsid w:val="00BC3A72"/>
    <w:rsid w:val="00BD2D08"/>
    <w:rsid w:val="00BE6101"/>
    <w:rsid w:val="00BE7DBA"/>
    <w:rsid w:val="00BF0910"/>
    <w:rsid w:val="00C03AE9"/>
    <w:rsid w:val="00C04F75"/>
    <w:rsid w:val="00C127BB"/>
    <w:rsid w:val="00C20080"/>
    <w:rsid w:val="00C3035A"/>
    <w:rsid w:val="00C307DF"/>
    <w:rsid w:val="00C417AF"/>
    <w:rsid w:val="00C41865"/>
    <w:rsid w:val="00C449E8"/>
    <w:rsid w:val="00C52A12"/>
    <w:rsid w:val="00C6435A"/>
    <w:rsid w:val="00C666A6"/>
    <w:rsid w:val="00C66A27"/>
    <w:rsid w:val="00C72217"/>
    <w:rsid w:val="00C76A94"/>
    <w:rsid w:val="00C90476"/>
    <w:rsid w:val="00C945DC"/>
    <w:rsid w:val="00CA224B"/>
    <w:rsid w:val="00CA5812"/>
    <w:rsid w:val="00CA796C"/>
    <w:rsid w:val="00CB1029"/>
    <w:rsid w:val="00CB4907"/>
    <w:rsid w:val="00CC7728"/>
    <w:rsid w:val="00CD492A"/>
    <w:rsid w:val="00CD49A8"/>
    <w:rsid w:val="00CE0132"/>
    <w:rsid w:val="00CF11DD"/>
    <w:rsid w:val="00CF1CD9"/>
    <w:rsid w:val="00CF37CD"/>
    <w:rsid w:val="00CF4BC5"/>
    <w:rsid w:val="00D07440"/>
    <w:rsid w:val="00D07D91"/>
    <w:rsid w:val="00D26514"/>
    <w:rsid w:val="00D4043F"/>
    <w:rsid w:val="00D43F1A"/>
    <w:rsid w:val="00D47640"/>
    <w:rsid w:val="00D4778D"/>
    <w:rsid w:val="00D642E0"/>
    <w:rsid w:val="00D6503B"/>
    <w:rsid w:val="00D73333"/>
    <w:rsid w:val="00D73A75"/>
    <w:rsid w:val="00D74434"/>
    <w:rsid w:val="00D82FAD"/>
    <w:rsid w:val="00D842F3"/>
    <w:rsid w:val="00D933E9"/>
    <w:rsid w:val="00DA74AF"/>
    <w:rsid w:val="00DB141F"/>
    <w:rsid w:val="00DB251B"/>
    <w:rsid w:val="00DC1BB3"/>
    <w:rsid w:val="00DC6E49"/>
    <w:rsid w:val="00DD4262"/>
    <w:rsid w:val="00DD5DDD"/>
    <w:rsid w:val="00DE32B8"/>
    <w:rsid w:val="00E006FF"/>
    <w:rsid w:val="00E058A8"/>
    <w:rsid w:val="00E07B63"/>
    <w:rsid w:val="00E17E73"/>
    <w:rsid w:val="00E2437D"/>
    <w:rsid w:val="00E4737E"/>
    <w:rsid w:val="00E63714"/>
    <w:rsid w:val="00E646F2"/>
    <w:rsid w:val="00E652FE"/>
    <w:rsid w:val="00E73853"/>
    <w:rsid w:val="00E75B7F"/>
    <w:rsid w:val="00E856A8"/>
    <w:rsid w:val="00EA130A"/>
    <w:rsid w:val="00EA5DB8"/>
    <w:rsid w:val="00EB44DD"/>
    <w:rsid w:val="00EB760A"/>
    <w:rsid w:val="00EC7BD9"/>
    <w:rsid w:val="00ED388B"/>
    <w:rsid w:val="00ED3CD1"/>
    <w:rsid w:val="00EE6F5C"/>
    <w:rsid w:val="00EF0BF3"/>
    <w:rsid w:val="00EF24E6"/>
    <w:rsid w:val="00EF662C"/>
    <w:rsid w:val="00F02F1C"/>
    <w:rsid w:val="00F0464F"/>
    <w:rsid w:val="00F05466"/>
    <w:rsid w:val="00F12D88"/>
    <w:rsid w:val="00F147B1"/>
    <w:rsid w:val="00F278FC"/>
    <w:rsid w:val="00F41394"/>
    <w:rsid w:val="00F45751"/>
    <w:rsid w:val="00F515E5"/>
    <w:rsid w:val="00F5666C"/>
    <w:rsid w:val="00F57BC0"/>
    <w:rsid w:val="00F67EF5"/>
    <w:rsid w:val="00F70036"/>
    <w:rsid w:val="00F70D6E"/>
    <w:rsid w:val="00F72548"/>
    <w:rsid w:val="00F970E5"/>
    <w:rsid w:val="00FA74F1"/>
    <w:rsid w:val="00FC6CD3"/>
    <w:rsid w:val="00FE6CAD"/>
    <w:rsid w:val="00FF132C"/>
    <w:rsid w:val="00FF1D12"/>
    <w:rsid w:val="00FF63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DC741"/>
  <w15:chartTrackingRefBased/>
  <w15:docId w15:val="{7DE6490C-BCEB-4077-8CD2-E9B5DE32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64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8642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F1C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rsid w:val="00E652FE"/>
    <w:pPr>
      <w:keepNext/>
      <w:keepLines/>
      <w:spacing w:before="280" w:after="80" w:line="276" w:lineRule="auto"/>
      <w:outlineLvl w:val="3"/>
    </w:pPr>
    <w:rPr>
      <w:rFonts w:ascii="Arial" w:eastAsia="Arial" w:hAnsi="Arial" w:cs="Arial"/>
      <w:color w:val="666666"/>
      <w:sz w:val="24"/>
      <w:szCs w:val="24"/>
      <w:lang w:val="lv" w:eastAsia="lv-LV"/>
    </w:rPr>
  </w:style>
  <w:style w:type="paragraph" w:styleId="Heading5">
    <w:name w:val="heading 5"/>
    <w:basedOn w:val="Normal"/>
    <w:next w:val="Normal"/>
    <w:link w:val="Heading5Char"/>
    <w:rsid w:val="00E652FE"/>
    <w:pPr>
      <w:keepNext/>
      <w:keepLines/>
      <w:spacing w:before="240" w:after="80" w:line="276" w:lineRule="auto"/>
      <w:outlineLvl w:val="4"/>
    </w:pPr>
    <w:rPr>
      <w:rFonts w:ascii="Arial" w:eastAsia="Arial" w:hAnsi="Arial" w:cs="Arial"/>
      <w:color w:val="666666"/>
      <w:lang w:val="lv" w:eastAsia="lv-LV"/>
    </w:rPr>
  </w:style>
  <w:style w:type="paragraph" w:styleId="Heading6">
    <w:name w:val="heading 6"/>
    <w:basedOn w:val="Normal"/>
    <w:next w:val="Normal"/>
    <w:link w:val="Heading6Char"/>
    <w:rsid w:val="00E652FE"/>
    <w:pPr>
      <w:keepNext/>
      <w:keepLines/>
      <w:spacing w:before="240" w:after="80" w:line="276" w:lineRule="auto"/>
      <w:outlineLvl w:val="5"/>
    </w:pPr>
    <w:rPr>
      <w:rFonts w:ascii="Arial" w:eastAsia="Arial" w:hAnsi="Arial" w:cs="Arial"/>
      <w:i/>
      <w:color w:val="666666"/>
      <w:lang w:val="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3F"/>
    <w:pPr>
      <w:ind w:left="720"/>
      <w:contextualSpacing/>
    </w:pPr>
  </w:style>
  <w:style w:type="table" w:styleId="TableGrid">
    <w:name w:val="Table Grid"/>
    <w:basedOn w:val="TableNormal"/>
    <w:uiPriority w:val="39"/>
    <w:rsid w:val="0053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42B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8642B4"/>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qFormat/>
    <w:rsid w:val="008642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642B4"/>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8638C"/>
    <w:rPr>
      <w:i/>
      <w:iCs/>
    </w:rPr>
  </w:style>
  <w:style w:type="character" w:customStyle="1" w:styleId="Heading3Char">
    <w:name w:val="Heading 3 Char"/>
    <w:basedOn w:val="DefaultParagraphFont"/>
    <w:link w:val="Heading3"/>
    <w:rsid w:val="00CF1CD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E652FE"/>
    <w:rPr>
      <w:rFonts w:ascii="Arial" w:eastAsia="Arial" w:hAnsi="Arial" w:cs="Arial"/>
      <w:color w:val="666666"/>
      <w:sz w:val="24"/>
      <w:szCs w:val="24"/>
      <w:lang w:val="lv" w:eastAsia="lv-LV"/>
    </w:rPr>
  </w:style>
  <w:style w:type="character" w:customStyle="1" w:styleId="Heading5Char">
    <w:name w:val="Heading 5 Char"/>
    <w:basedOn w:val="DefaultParagraphFont"/>
    <w:link w:val="Heading5"/>
    <w:rsid w:val="00E652FE"/>
    <w:rPr>
      <w:rFonts w:ascii="Arial" w:eastAsia="Arial" w:hAnsi="Arial" w:cs="Arial"/>
      <w:color w:val="666666"/>
      <w:lang w:val="lv" w:eastAsia="lv-LV"/>
    </w:rPr>
  </w:style>
  <w:style w:type="character" w:customStyle="1" w:styleId="Heading6Char">
    <w:name w:val="Heading 6 Char"/>
    <w:basedOn w:val="DefaultParagraphFont"/>
    <w:link w:val="Heading6"/>
    <w:rsid w:val="00E652FE"/>
    <w:rPr>
      <w:rFonts w:ascii="Arial" w:eastAsia="Arial" w:hAnsi="Arial" w:cs="Arial"/>
      <w:i/>
      <w:color w:val="666666"/>
      <w:lang w:val="lv" w:eastAsia="lv-LV"/>
    </w:rPr>
  </w:style>
  <w:style w:type="paragraph" w:styleId="Subtitle">
    <w:name w:val="Subtitle"/>
    <w:basedOn w:val="Normal"/>
    <w:next w:val="Normal"/>
    <w:link w:val="SubtitleChar"/>
    <w:rsid w:val="00E652FE"/>
    <w:pPr>
      <w:keepNext/>
      <w:keepLines/>
      <w:spacing w:after="320" w:line="276" w:lineRule="auto"/>
    </w:pPr>
    <w:rPr>
      <w:rFonts w:ascii="Arial" w:eastAsia="Arial" w:hAnsi="Arial" w:cs="Arial"/>
      <w:color w:val="666666"/>
      <w:sz w:val="30"/>
      <w:szCs w:val="30"/>
      <w:lang w:val="lv" w:eastAsia="lv-LV"/>
    </w:rPr>
  </w:style>
  <w:style w:type="character" w:customStyle="1" w:styleId="SubtitleChar">
    <w:name w:val="Subtitle Char"/>
    <w:basedOn w:val="DefaultParagraphFont"/>
    <w:link w:val="Subtitle"/>
    <w:rsid w:val="00E652FE"/>
    <w:rPr>
      <w:rFonts w:ascii="Arial" w:eastAsia="Arial" w:hAnsi="Arial" w:cs="Arial"/>
      <w:color w:val="666666"/>
      <w:sz w:val="30"/>
      <w:szCs w:val="30"/>
      <w:lang w:val="lv" w:eastAsia="lv-LV"/>
    </w:rPr>
  </w:style>
  <w:style w:type="paragraph" w:styleId="IntenseQuote">
    <w:name w:val="Intense Quote"/>
    <w:basedOn w:val="Normal"/>
    <w:next w:val="Normal"/>
    <w:link w:val="IntenseQuoteChar"/>
    <w:uiPriority w:val="30"/>
    <w:qFormat/>
    <w:rsid w:val="00E652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652FE"/>
    <w:rPr>
      <w:i/>
      <w:iCs/>
      <w:color w:val="5B9BD5" w:themeColor="accent1"/>
    </w:rPr>
  </w:style>
  <w:style w:type="table" w:styleId="ListTable2">
    <w:name w:val="List Table 2"/>
    <w:basedOn w:val="TableNormal"/>
    <w:uiPriority w:val="47"/>
    <w:rsid w:val="00E652F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Quote">
    <w:name w:val="Quote"/>
    <w:basedOn w:val="Normal"/>
    <w:next w:val="Normal"/>
    <w:link w:val="QuoteChar"/>
    <w:uiPriority w:val="29"/>
    <w:qFormat/>
    <w:rsid w:val="006C307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C3079"/>
    <w:rPr>
      <w:i/>
      <w:iCs/>
      <w:color w:val="404040" w:themeColor="text1" w:themeTint="BF"/>
    </w:rPr>
  </w:style>
  <w:style w:type="paragraph" w:styleId="BalloonText">
    <w:name w:val="Balloon Text"/>
    <w:basedOn w:val="Normal"/>
    <w:link w:val="BalloonTextChar"/>
    <w:uiPriority w:val="99"/>
    <w:semiHidden/>
    <w:unhideWhenUsed/>
    <w:rsid w:val="007A41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1B9"/>
    <w:rPr>
      <w:rFonts w:ascii="Segoe UI" w:hAnsi="Segoe UI" w:cs="Segoe UI"/>
      <w:sz w:val="18"/>
      <w:szCs w:val="18"/>
    </w:rPr>
  </w:style>
  <w:style w:type="paragraph" w:styleId="FootnoteText">
    <w:name w:val="footnote text"/>
    <w:basedOn w:val="Normal"/>
    <w:link w:val="FootnoteTextChar"/>
    <w:uiPriority w:val="99"/>
    <w:semiHidden/>
    <w:unhideWhenUsed/>
    <w:rsid w:val="003E55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5548"/>
    <w:rPr>
      <w:sz w:val="20"/>
      <w:szCs w:val="20"/>
    </w:rPr>
  </w:style>
  <w:style w:type="character" w:styleId="FootnoteReference">
    <w:name w:val="footnote reference"/>
    <w:basedOn w:val="DefaultParagraphFont"/>
    <w:uiPriority w:val="99"/>
    <w:semiHidden/>
    <w:unhideWhenUsed/>
    <w:rsid w:val="003E5548"/>
    <w:rPr>
      <w:vertAlign w:val="superscript"/>
    </w:rPr>
  </w:style>
  <w:style w:type="paragraph" w:customStyle="1" w:styleId="tvhtml">
    <w:name w:val="tv_html"/>
    <w:basedOn w:val="Normal"/>
    <w:rsid w:val="0080266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TOCHeading">
    <w:name w:val="TOC Heading"/>
    <w:basedOn w:val="Heading1"/>
    <w:next w:val="Normal"/>
    <w:uiPriority w:val="39"/>
    <w:unhideWhenUsed/>
    <w:qFormat/>
    <w:rsid w:val="00511AFA"/>
    <w:pPr>
      <w:outlineLvl w:val="9"/>
    </w:pPr>
    <w:rPr>
      <w:lang w:val="en-US"/>
    </w:rPr>
  </w:style>
  <w:style w:type="paragraph" w:styleId="TOC1">
    <w:name w:val="toc 1"/>
    <w:basedOn w:val="Normal"/>
    <w:next w:val="Normal"/>
    <w:autoRedefine/>
    <w:uiPriority w:val="39"/>
    <w:unhideWhenUsed/>
    <w:rsid w:val="00511AFA"/>
    <w:pPr>
      <w:spacing w:after="100"/>
    </w:pPr>
  </w:style>
  <w:style w:type="paragraph" w:styleId="TOC2">
    <w:name w:val="toc 2"/>
    <w:basedOn w:val="Normal"/>
    <w:next w:val="Normal"/>
    <w:autoRedefine/>
    <w:uiPriority w:val="39"/>
    <w:unhideWhenUsed/>
    <w:rsid w:val="00511AFA"/>
    <w:pPr>
      <w:spacing w:after="100"/>
      <w:ind w:left="220"/>
    </w:pPr>
  </w:style>
  <w:style w:type="character" w:styleId="Hyperlink">
    <w:name w:val="Hyperlink"/>
    <w:basedOn w:val="DefaultParagraphFont"/>
    <w:uiPriority w:val="99"/>
    <w:unhideWhenUsed/>
    <w:rsid w:val="00511AFA"/>
    <w:rPr>
      <w:color w:val="0563C1" w:themeColor="hyperlink"/>
      <w:u w:val="single"/>
    </w:rPr>
  </w:style>
  <w:style w:type="paragraph" w:styleId="Header">
    <w:name w:val="header"/>
    <w:basedOn w:val="Normal"/>
    <w:link w:val="HeaderChar"/>
    <w:uiPriority w:val="99"/>
    <w:unhideWhenUsed/>
    <w:rsid w:val="00F57B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57BC0"/>
  </w:style>
  <w:style w:type="paragraph" w:styleId="Footer">
    <w:name w:val="footer"/>
    <w:basedOn w:val="Normal"/>
    <w:link w:val="FooterChar"/>
    <w:uiPriority w:val="99"/>
    <w:unhideWhenUsed/>
    <w:rsid w:val="00F57BC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57BC0"/>
  </w:style>
  <w:style w:type="table" w:customStyle="1" w:styleId="ListTable21">
    <w:name w:val="List Table 21"/>
    <w:basedOn w:val="TableNormal"/>
    <w:next w:val="ListTable2"/>
    <w:uiPriority w:val="47"/>
    <w:rsid w:val="00F515E5"/>
    <w:pPr>
      <w:spacing w:after="0" w:line="240" w:lineRule="auto"/>
    </w:pPr>
    <w:rPr>
      <w:rFonts w:eastAsia="Times New Roman" w:cs="Times New Roman"/>
    </w:rPr>
    <w:tblPr>
      <w:tblStyleRowBandSize w:val="1"/>
      <w:tblStyleColBandSize w:val="1"/>
      <w:tblBorders>
        <w:top w:val="single" w:sz="4" w:space="0" w:color="666666"/>
        <w:bottom w:val="single" w:sz="4" w:space="0" w:color="666666"/>
        <w:insideH w:val="single" w:sz="4" w:space="0" w:color="666666"/>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paragraph" w:styleId="Bibliography">
    <w:name w:val="Bibliography"/>
    <w:basedOn w:val="Normal"/>
    <w:next w:val="Normal"/>
    <w:uiPriority w:val="37"/>
    <w:unhideWhenUsed/>
    <w:rsid w:val="00B319E9"/>
  </w:style>
  <w:style w:type="paragraph" w:styleId="Caption">
    <w:name w:val="caption"/>
    <w:basedOn w:val="Normal"/>
    <w:next w:val="Normal"/>
    <w:uiPriority w:val="35"/>
    <w:unhideWhenUsed/>
    <w:qFormat/>
    <w:rsid w:val="009D3FBC"/>
    <w:pPr>
      <w:spacing w:after="200" w:line="240" w:lineRule="auto"/>
    </w:pPr>
    <w:rPr>
      <w:i/>
      <w:iCs/>
      <w:color w:val="44546A" w:themeColor="text2"/>
      <w:sz w:val="18"/>
      <w:szCs w:val="18"/>
    </w:rPr>
  </w:style>
  <w:style w:type="paragraph" w:styleId="TOC3">
    <w:name w:val="toc 3"/>
    <w:basedOn w:val="Normal"/>
    <w:next w:val="Normal"/>
    <w:autoRedefine/>
    <w:uiPriority w:val="39"/>
    <w:unhideWhenUsed/>
    <w:rsid w:val="00F12D88"/>
    <w:pPr>
      <w:spacing w:after="100"/>
      <w:ind w:left="440"/>
    </w:pPr>
  </w:style>
  <w:style w:type="character" w:styleId="CommentReference">
    <w:name w:val="annotation reference"/>
    <w:basedOn w:val="DefaultParagraphFont"/>
    <w:uiPriority w:val="99"/>
    <w:semiHidden/>
    <w:unhideWhenUsed/>
    <w:rsid w:val="00D933E9"/>
    <w:rPr>
      <w:sz w:val="16"/>
      <w:szCs w:val="16"/>
    </w:rPr>
  </w:style>
  <w:style w:type="paragraph" w:styleId="CommentText">
    <w:name w:val="annotation text"/>
    <w:basedOn w:val="Normal"/>
    <w:link w:val="CommentTextChar"/>
    <w:uiPriority w:val="99"/>
    <w:semiHidden/>
    <w:unhideWhenUsed/>
    <w:rsid w:val="00D933E9"/>
    <w:pPr>
      <w:spacing w:line="240" w:lineRule="auto"/>
    </w:pPr>
    <w:rPr>
      <w:sz w:val="20"/>
      <w:szCs w:val="20"/>
    </w:rPr>
  </w:style>
  <w:style w:type="character" w:customStyle="1" w:styleId="CommentTextChar">
    <w:name w:val="Comment Text Char"/>
    <w:basedOn w:val="DefaultParagraphFont"/>
    <w:link w:val="CommentText"/>
    <w:uiPriority w:val="99"/>
    <w:semiHidden/>
    <w:rsid w:val="00D933E9"/>
    <w:rPr>
      <w:sz w:val="20"/>
      <w:szCs w:val="20"/>
    </w:rPr>
  </w:style>
  <w:style w:type="paragraph" w:styleId="CommentSubject">
    <w:name w:val="annotation subject"/>
    <w:basedOn w:val="CommentText"/>
    <w:next w:val="CommentText"/>
    <w:link w:val="CommentSubjectChar"/>
    <w:uiPriority w:val="99"/>
    <w:semiHidden/>
    <w:unhideWhenUsed/>
    <w:rsid w:val="00D933E9"/>
    <w:rPr>
      <w:b/>
      <w:bCs/>
    </w:rPr>
  </w:style>
  <w:style w:type="character" w:customStyle="1" w:styleId="CommentSubjectChar">
    <w:name w:val="Comment Subject Char"/>
    <w:basedOn w:val="CommentTextChar"/>
    <w:link w:val="CommentSubject"/>
    <w:uiPriority w:val="99"/>
    <w:semiHidden/>
    <w:rsid w:val="00D933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688">
      <w:bodyDiv w:val="1"/>
      <w:marLeft w:val="0"/>
      <w:marRight w:val="0"/>
      <w:marTop w:val="0"/>
      <w:marBottom w:val="0"/>
      <w:divBdr>
        <w:top w:val="none" w:sz="0" w:space="0" w:color="auto"/>
        <w:left w:val="none" w:sz="0" w:space="0" w:color="auto"/>
        <w:bottom w:val="none" w:sz="0" w:space="0" w:color="auto"/>
        <w:right w:val="none" w:sz="0" w:space="0" w:color="auto"/>
      </w:divBdr>
    </w:div>
    <w:div w:id="22022573">
      <w:bodyDiv w:val="1"/>
      <w:marLeft w:val="0"/>
      <w:marRight w:val="0"/>
      <w:marTop w:val="0"/>
      <w:marBottom w:val="0"/>
      <w:divBdr>
        <w:top w:val="none" w:sz="0" w:space="0" w:color="auto"/>
        <w:left w:val="none" w:sz="0" w:space="0" w:color="auto"/>
        <w:bottom w:val="none" w:sz="0" w:space="0" w:color="auto"/>
        <w:right w:val="none" w:sz="0" w:space="0" w:color="auto"/>
      </w:divBdr>
    </w:div>
    <w:div w:id="26951128">
      <w:bodyDiv w:val="1"/>
      <w:marLeft w:val="0"/>
      <w:marRight w:val="0"/>
      <w:marTop w:val="0"/>
      <w:marBottom w:val="0"/>
      <w:divBdr>
        <w:top w:val="none" w:sz="0" w:space="0" w:color="auto"/>
        <w:left w:val="none" w:sz="0" w:space="0" w:color="auto"/>
        <w:bottom w:val="none" w:sz="0" w:space="0" w:color="auto"/>
        <w:right w:val="none" w:sz="0" w:space="0" w:color="auto"/>
      </w:divBdr>
    </w:div>
    <w:div w:id="36393295">
      <w:bodyDiv w:val="1"/>
      <w:marLeft w:val="0"/>
      <w:marRight w:val="0"/>
      <w:marTop w:val="0"/>
      <w:marBottom w:val="0"/>
      <w:divBdr>
        <w:top w:val="none" w:sz="0" w:space="0" w:color="auto"/>
        <w:left w:val="none" w:sz="0" w:space="0" w:color="auto"/>
        <w:bottom w:val="none" w:sz="0" w:space="0" w:color="auto"/>
        <w:right w:val="none" w:sz="0" w:space="0" w:color="auto"/>
      </w:divBdr>
    </w:div>
    <w:div w:id="39329182">
      <w:bodyDiv w:val="1"/>
      <w:marLeft w:val="0"/>
      <w:marRight w:val="0"/>
      <w:marTop w:val="0"/>
      <w:marBottom w:val="0"/>
      <w:divBdr>
        <w:top w:val="none" w:sz="0" w:space="0" w:color="auto"/>
        <w:left w:val="none" w:sz="0" w:space="0" w:color="auto"/>
        <w:bottom w:val="none" w:sz="0" w:space="0" w:color="auto"/>
        <w:right w:val="none" w:sz="0" w:space="0" w:color="auto"/>
      </w:divBdr>
    </w:div>
    <w:div w:id="42564465">
      <w:bodyDiv w:val="1"/>
      <w:marLeft w:val="0"/>
      <w:marRight w:val="0"/>
      <w:marTop w:val="0"/>
      <w:marBottom w:val="0"/>
      <w:divBdr>
        <w:top w:val="none" w:sz="0" w:space="0" w:color="auto"/>
        <w:left w:val="none" w:sz="0" w:space="0" w:color="auto"/>
        <w:bottom w:val="none" w:sz="0" w:space="0" w:color="auto"/>
        <w:right w:val="none" w:sz="0" w:space="0" w:color="auto"/>
      </w:divBdr>
    </w:div>
    <w:div w:id="46493491">
      <w:bodyDiv w:val="1"/>
      <w:marLeft w:val="0"/>
      <w:marRight w:val="0"/>
      <w:marTop w:val="0"/>
      <w:marBottom w:val="0"/>
      <w:divBdr>
        <w:top w:val="none" w:sz="0" w:space="0" w:color="auto"/>
        <w:left w:val="none" w:sz="0" w:space="0" w:color="auto"/>
        <w:bottom w:val="none" w:sz="0" w:space="0" w:color="auto"/>
        <w:right w:val="none" w:sz="0" w:space="0" w:color="auto"/>
      </w:divBdr>
    </w:div>
    <w:div w:id="49302916">
      <w:bodyDiv w:val="1"/>
      <w:marLeft w:val="0"/>
      <w:marRight w:val="0"/>
      <w:marTop w:val="0"/>
      <w:marBottom w:val="0"/>
      <w:divBdr>
        <w:top w:val="none" w:sz="0" w:space="0" w:color="auto"/>
        <w:left w:val="none" w:sz="0" w:space="0" w:color="auto"/>
        <w:bottom w:val="none" w:sz="0" w:space="0" w:color="auto"/>
        <w:right w:val="none" w:sz="0" w:space="0" w:color="auto"/>
      </w:divBdr>
    </w:div>
    <w:div w:id="54285635">
      <w:bodyDiv w:val="1"/>
      <w:marLeft w:val="0"/>
      <w:marRight w:val="0"/>
      <w:marTop w:val="0"/>
      <w:marBottom w:val="0"/>
      <w:divBdr>
        <w:top w:val="none" w:sz="0" w:space="0" w:color="auto"/>
        <w:left w:val="none" w:sz="0" w:space="0" w:color="auto"/>
        <w:bottom w:val="none" w:sz="0" w:space="0" w:color="auto"/>
        <w:right w:val="none" w:sz="0" w:space="0" w:color="auto"/>
      </w:divBdr>
    </w:div>
    <w:div w:id="58528760">
      <w:bodyDiv w:val="1"/>
      <w:marLeft w:val="0"/>
      <w:marRight w:val="0"/>
      <w:marTop w:val="0"/>
      <w:marBottom w:val="0"/>
      <w:divBdr>
        <w:top w:val="none" w:sz="0" w:space="0" w:color="auto"/>
        <w:left w:val="none" w:sz="0" w:space="0" w:color="auto"/>
        <w:bottom w:val="none" w:sz="0" w:space="0" w:color="auto"/>
        <w:right w:val="none" w:sz="0" w:space="0" w:color="auto"/>
      </w:divBdr>
    </w:div>
    <w:div w:id="80418470">
      <w:bodyDiv w:val="1"/>
      <w:marLeft w:val="0"/>
      <w:marRight w:val="0"/>
      <w:marTop w:val="0"/>
      <w:marBottom w:val="0"/>
      <w:divBdr>
        <w:top w:val="none" w:sz="0" w:space="0" w:color="auto"/>
        <w:left w:val="none" w:sz="0" w:space="0" w:color="auto"/>
        <w:bottom w:val="none" w:sz="0" w:space="0" w:color="auto"/>
        <w:right w:val="none" w:sz="0" w:space="0" w:color="auto"/>
      </w:divBdr>
    </w:div>
    <w:div w:id="82460107">
      <w:bodyDiv w:val="1"/>
      <w:marLeft w:val="0"/>
      <w:marRight w:val="0"/>
      <w:marTop w:val="0"/>
      <w:marBottom w:val="0"/>
      <w:divBdr>
        <w:top w:val="none" w:sz="0" w:space="0" w:color="auto"/>
        <w:left w:val="none" w:sz="0" w:space="0" w:color="auto"/>
        <w:bottom w:val="none" w:sz="0" w:space="0" w:color="auto"/>
        <w:right w:val="none" w:sz="0" w:space="0" w:color="auto"/>
      </w:divBdr>
    </w:div>
    <w:div w:id="85032558">
      <w:bodyDiv w:val="1"/>
      <w:marLeft w:val="0"/>
      <w:marRight w:val="0"/>
      <w:marTop w:val="0"/>
      <w:marBottom w:val="0"/>
      <w:divBdr>
        <w:top w:val="none" w:sz="0" w:space="0" w:color="auto"/>
        <w:left w:val="none" w:sz="0" w:space="0" w:color="auto"/>
        <w:bottom w:val="none" w:sz="0" w:space="0" w:color="auto"/>
        <w:right w:val="none" w:sz="0" w:space="0" w:color="auto"/>
      </w:divBdr>
    </w:div>
    <w:div w:id="106388947">
      <w:bodyDiv w:val="1"/>
      <w:marLeft w:val="0"/>
      <w:marRight w:val="0"/>
      <w:marTop w:val="0"/>
      <w:marBottom w:val="0"/>
      <w:divBdr>
        <w:top w:val="none" w:sz="0" w:space="0" w:color="auto"/>
        <w:left w:val="none" w:sz="0" w:space="0" w:color="auto"/>
        <w:bottom w:val="none" w:sz="0" w:space="0" w:color="auto"/>
        <w:right w:val="none" w:sz="0" w:space="0" w:color="auto"/>
      </w:divBdr>
    </w:div>
    <w:div w:id="135270628">
      <w:bodyDiv w:val="1"/>
      <w:marLeft w:val="0"/>
      <w:marRight w:val="0"/>
      <w:marTop w:val="0"/>
      <w:marBottom w:val="0"/>
      <w:divBdr>
        <w:top w:val="none" w:sz="0" w:space="0" w:color="auto"/>
        <w:left w:val="none" w:sz="0" w:space="0" w:color="auto"/>
        <w:bottom w:val="none" w:sz="0" w:space="0" w:color="auto"/>
        <w:right w:val="none" w:sz="0" w:space="0" w:color="auto"/>
      </w:divBdr>
    </w:div>
    <w:div w:id="138306440">
      <w:bodyDiv w:val="1"/>
      <w:marLeft w:val="0"/>
      <w:marRight w:val="0"/>
      <w:marTop w:val="0"/>
      <w:marBottom w:val="0"/>
      <w:divBdr>
        <w:top w:val="none" w:sz="0" w:space="0" w:color="auto"/>
        <w:left w:val="none" w:sz="0" w:space="0" w:color="auto"/>
        <w:bottom w:val="none" w:sz="0" w:space="0" w:color="auto"/>
        <w:right w:val="none" w:sz="0" w:space="0" w:color="auto"/>
      </w:divBdr>
    </w:div>
    <w:div w:id="147092678">
      <w:bodyDiv w:val="1"/>
      <w:marLeft w:val="0"/>
      <w:marRight w:val="0"/>
      <w:marTop w:val="0"/>
      <w:marBottom w:val="0"/>
      <w:divBdr>
        <w:top w:val="none" w:sz="0" w:space="0" w:color="auto"/>
        <w:left w:val="none" w:sz="0" w:space="0" w:color="auto"/>
        <w:bottom w:val="none" w:sz="0" w:space="0" w:color="auto"/>
        <w:right w:val="none" w:sz="0" w:space="0" w:color="auto"/>
      </w:divBdr>
    </w:div>
    <w:div w:id="150030247">
      <w:bodyDiv w:val="1"/>
      <w:marLeft w:val="0"/>
      <w:marRight w:val="0"/>
      <w:marTop w:val="0"/>
      <w:marBottom w:val="0"/>
      <w:divBdr>
        <w:top w:val="none" w:sz="0" w:space="0" w:color="auto"/>
        <w:left w:val="none" w:sz="0" w:space="0" w:color="auto"/>
        <w:bottom w:val="none" w:sz="0" w:space="0" w:color="auto"/>
        <w:right w:val="none" w:sz="0" w:space="0" w:color="auto"/>
      </w:divBdr>
    </w:div>
    <w:div w:id="150221175">
      <w:bodyDiv w:val="1"/>
      <w:marLeft w:val="0"/>
      <w:marRight w:val="0"/>
      <w:marTop w:val="0"/>
      <w:marBottom w:val="0"/>
      <w:divBdr>
        <w:top w:val="none" w:sz="0" w:space="0" w:color="auto"/>
        <w:left w:val="none" w:sz="0" w:space="0" w:color="auto"/>
        <w:bottom w:val="none" w:sz="0" w:space="0" w:color="auto"/>
        <w:right w:val="none" w:sz="0" w:space="0" w:color="auto"/>
      </w:divBdr>
    </w:div>
    <w:div w:id="158740872">
      <w:bodyDiv w:val="1"/>
      <w:marLeft w:val="0"/>
      <w:marRight w:val="0"/>
      <w:marTop w:val="0"/>
      <w:marBottom w:val="0"/>
      <w:divBdr>
        <w:top w:val="none" w:sz="0" w:space="0" w:color="auto"/>
        <w:left w:val="none" w:sz="0" w:space="0" w:color="auto"/>
        <w:bottom w:val="none" w:sz="0" w:space="0" w:color="auto"/>
        <w:right w:val="none" w:sz="0" w:space="0" w:color="auto"/>
      </w:divBdr>
    </w:div>
    <w:div w:id="197285397">
      <w:bodyDiv w:val="1"/>
      <w:marLeft w:val="0"/>
      <w:marRight w:val="0"/>
      <w:marTop w:val="0"/>
      <w:marBottom w:val="0"/>
      <w:divBdr>
        <w:top w:val="none" w:sz="0" w:space="0" w:color="auto"/>
        <w:left w:val="none" w:sz="0" w:space="0" w:color="auto"/>
        <w:bottom w:val="none" w:sz="0" w:space="0" w:color="auto"/>
        <w:right w:val="none" w:sz="0" w:space="0" w:color="auto"/>
      </w:divBdr>
    </w:div>
    <w:div w:id="207181846">
      <w:bodyDiv w:val="1"/>
      <w:marLeft w:val="0"/>
      <w:marRight w:val="0"/>
      <w:marTop w:val="0"/>
      <w:marBottom w:val="0"/>
      <w:divBdr>
        <w:top w:val="none" w:sz="0" w:space="0" w:color="auto"/>
        <w:left w:val="none" w:sz="0" w:space="0" w:color="auto"/>
        <w:bottom w:val="none" w:sz="0" w:space="0" w:color="auto"/>
        <w:right w:val="none" w:sz="0" w:space="0" w:color="auto"/>
      </w:divBdr>
    </w:div>
    <w:div w:id="235748471">
      <w:bodyDiv w:val="1"/>
      <w:marLeft w:val="0"/>
      <w:marRight w:val="0"/>
      <w:marTop w:val="0"/>
      <w:marBottom w:val="0"/>
      <w:divBdr>
        <w:top w:val="none" w:sz="0" w:space="0" w:color="auto"/>
        <w:left w:val="none" w:sz="0" w:space="0" w:color="auto"/>
        <w:bottom w:val="none" w:sz="0" w:space="0" w:color="auto"/>
        <w:right w:val="none" w:sz="0" w:space="0" w:color="auto"/>
      </w:divBdr>
    </w:div>
    <w:div w:id="239101792">
      <w:bodyDiv w:val="1"/>
      <w:marLeft w:val="0"/>
      <w:marRight w:val="0"/>
      <w:marTop w:val="0"/>
      <w:marBottom w:val="0"/>
      <w:divBdr>
        <w:top w:val="none" w:sz="0" w:space="0" w:color="auto"/>
        <w:left w:val="none" w:sz="0" w:space="0" w:color="auto"/>
        <w:bottom w:val="none" w:sz="0" w:space="0" w:color="auto"/>
        <w:right w:val="none" w:sz="0" w:space="0" w:color="auto"/>
      </w:divBdr>
    </w:div>
    <w:div w:id="251744467">
      <w:bodyDiv w:val="1"/>
      <w:marLeft w:val="0"/>
      <w:marRight w:val="0"/>
      <w:marTop w:val="0"/>
      <w:marBottom w:val="0"/>
      <w:divBdr>
        <w:top w:val="none" w:sz="0" w:space="0" w:color="auto"/>
        <w:left w:val="none" w:sz="0" w:space="0" w:color="auto"/>
        <w:bottom w:val="none" w:sz="0" w:space="0" w:color="auto"/>
        <w:right w:val="none" w:sz="0" w:space="0" w:color="auto"/>
      </w:divBdr>
    </w:div>
    <w:div w:id="252083382">
      <w:bodyDiv w:val="1"/>
      <w:marLeft w:val="0"/>
      <w:marRight w:val="0"/>
      <w:marTop w:val="0"/>
      <w:marBottom w:val="0"/>
      <w:divBdr>
        <w:top w:val="none" w:sz="0" w:space="0" w:color="auto"/>
        <w:left w:val="none" w:sz="0" w:space="0" w:color="auto"/>
        <w:bottom w:val="none" w:sz="0" w:space="0" w:color="auto"/>
        <w:right w:val="none" w:sz="0" w:space="0" w:color="auto"/>
      </w:divBdr>
    </w:div>
    <w:div w:id="253053192">
      <w:bodyDiv w:val="1"/>
      <w:marLeft w:val="0"/>
      <w:marRight w:val="0"/>
      <w:marTop w:val="0"/>
      <w:marBottom w:val="0"/>
      <w:divBdr>
        <w:top w:val="none" w:sz="0" w:space="0" w:color="auto"/>
        <w:left w:val="none" w:sz="0" w:space="0" w:color="auto"/>
        <w:bottom w:val="none" w:sz="0" w:space="0" w:color="auto"/>
        <w:right w:val="none" w:sz="0" w:space="0" w:color="auto"/>
      </w:divBdr>
    </w:div>
    <w:div w:id="261955177">
      <w:bodyDiv w:val="1"/>
      <w:marLeft w:val="0"/>
      <w:marRight w:val="0"/>
      <w:marTop w:val="0"/>
      <w:marBottom w:val="0"/>
      <w:divBdr>
        <w:top w:val="none" w:sz="0" w:space="0" w:color="auto"/>
        <w:left w:val="none" w:sz="0" w:space="0" w:color="auto"/>
        <w:bottom w:val="none" w:sz="0" w:space="0" w:color="auto"/>
        <w:right w:val="none" w:sz="0" w:space="0" w:color="auto"/>
      </w:divBdr>
    </w:div>
    <w:div w:id="274334575">
      <w:bodyDiv w:val="1"/>
      <w:marLeft w:val="0"/>
      <w:marRight w:val="0"/>
      <w:marTop w:val="0"/>
      <w:marBottom w:val="0"/>
      <w:divBdr>
        <w:top w:val="none" w:sz="0" w:space="0" w:color="auto"/>
        <w:left w:val="none" w:sz="0" w:space="0" w:color="auto"/>
        <w:bottom w:val="none" w:sz="0" w:space="0" w:color="auto"/>
        <w:right w:val="none" w:sz="0" w:space="0" w:color="auto"/>
      </w:divBdr>
    </w:div>
    <w:div w:id="274561280">
      <w:bodyDiv w:val="1"/>
      <w:marLeft w:val="0"/>
      <w:marRight w:val="0"/>
      <w:marTop w:val="0"/>
      <w:marBottom w:val="0"/>
      <w:divBdr>
        <w:top w:val="none" w:sz="0" w:space="0" w:color="auto"/>
        <w:left w:val="none" w:sz="0" w:space="0" w:color="auto"/>
        <w:bottom w:val="none" w:sz="0" w:space="0" w:color="auto"/>
        <w:right w:val="none" w:sz="0" w:space="0" w:color="auto"/>
      </w:divBdr>
    </w:div>
    <w:div w:id="285308358">
      <w:bodyDiv w:val="1"/>
      <w:marLeft w:val="0"/>
      <w:marRight w:val="0"/>
      <w:marTop w:val="0"/>
      <w:marBottom w:val="0"/>
      <w:divBdr>
        <w:top w:val="none" w:sz="0" w:space="0" w:color="auto"/>
        <w:left w:val="none" w:sz="0" w:space="0" w:color="auto"/>
        <w:bottom w:val="none" w:sz="0" w:space="0" w:color="auto"/>
        <w:right w:val="none" w:sz="0" w:space="0" w:color="auto"/>
      </w:divBdr>
    </w:div>
    <w:div w:id="293103686">
      <w:bodyDiv w:val="1"/>
      <w:marLeft w:val="0"/>
      <w:marRight w:val="0"/>
      <w:marTop w:val="0"/>
      <w:marBottom w:val="0"/>
      <w:divBdr>
        <w:top w:val="none" w:sz="0" w:space="0" w:color="auto"/>
        <w:left w:val="none" w:sz="0" w:space="0" w:color="auto"/>
        <w:bottom w:val="none" w:sz="0" w:space="0" w:color="auto"/>
        <w:right w:val="none" w:sz="0" w:space="0" w:color="auto"/>
      </w:divBdr>
    </w:div>
    <w:div w:id="306475857">
      <w:bodyDiv w:val="1"/>
      <w:marLeft w:val="0"/>
      <w:marRight w:val="0"/>
      <w:marTop w:val="0"/>
      <w:marBottom w:val="0"/>
      <w:divBdr>
        <w:top w:val="none" w:sz="0" w:space="0" w:color="auto"/>
        <w:left w:val="none" w:sz="0" w:space="0" w:color="auto"/>
        <w:bottom w:val="none" w:sz="0" w:space="0" w:color="auto"/>
        <w:right w:val="none" w:sz="0" w:space="0" w:color="auto"/>
      </w:divBdr>
    </w:div>
    <w:div w:id="313147059">
      <w:bodyDiv w:val="1"/>
      <w:marLeft w:val="0"/>
      <w:marRight w:val="0"/>
      <w:marTop w:val="0"/>
      <w:marBottom w:val="0"/>
      <w:divBdr>
        <w:top w:val="none" w:sz="0" w:space="0" w:color="auto"/>
        <w:left w:val="none" w:sz="0" w:space="0" w:color="auto"/>
        <w:bottom w:val="none" w:sz="0" w:space="0" w:color="auto"/>
        <w:right w:val="none" w:sz="0" w:space="0" w:color="auto"/>
      </w:divBdr>
    </w:div>
    <w:div w:id="314795355">
      <w:bodyDiv w:val="1"/>
      <w:marLeft w:val="0"/>
      <w:marRight w:val="0"/>
      <w:marTop w:val="0"/>
      <w:marBottom w:val="0"/>
      <w:divBdr>
        <w:top w:val="none" w:sz="0" w:space="0" w:color="auto"/>
        <w:left w:val="none" w:sz="0" w:space="0" w:color="auto"/>
        <w:bottom w:val="none" w:sz="0" w:space="0" w:color="auto"/>
        <w:right w:val="none" w:sz="0" w:space="0" w:color="auto"/>
      </w:divBdr>
    </w:div>
    <w:div w:id="315232687">
      <w:bodyDiv w:val="1"/>
      <w:marLeft w:val="0"/>
      <w:marRight w:val="0"/>
      <w:marTop w:val="0"/>
      <w:marBottom w:val="0"/>
      <w:divBdr>
        <w:top w:val="none" w:sz="0" w:space="0" w:color="auto"/>
        <w:left w:val="none" w:sz="0" w:space="0" w:color="auto"/>
        <w:bottom w:val="none" w:sz="0" w:space="0" w:color="auto"/>
        <w:right w:val="none" w:sz="0" w:space="0" w:color="auto"/>
      </w:divBdr>
    </w:div>
    <w:div w:id="326447655">
      <w:bodyDiv w:val="1"/>
      <w:marLeft w:val="0"/>
      <w:marRight w:val="0"/>
      <w:marTop w:val="0"/>
      <w:marBottom w:val="0"/>
      <w:divBdr>
        <w:top w:val="none" w:sz="0" w:space="0" w:color="auto"/>
        <w:left w:val="none" w:sz="0" w:space="0" w:color="auto"/>
        <w:bottom w:val="none" w:sz="0" w:space="0" w:color="auto"/>
        <w:right w:val="none" w:sz="0" w:space="0" w:color="auto"/>
      </w:divBdr>
    </w:div>
    <w:div w:id="330455482">
      <w:bodyDiv w:val="1"/>
      <w:marLeft w:val="0"/>
      <w:marRight w:val="0"/>
      <w:marTop w:val="0"/>
      <w:marBottom w:val="0"/>
      <w:divBdr>
        <w:top w:val="none" w:sz="0" w:space="0" w:color="auto"/>
        <w:left w:val="none" w:sz="0" w:space="0" w:color="auto"/>
        <w:bottom w:val="none" w:sz="0" w:space="0" w:color="auto"/>
        <w:right w:val="none" w:sz="0" w:space="0" w:color="auto"/>
      </w:divBdr>
    </w:div>
    <w:div w:id="342976945">
      <w:bodyDiv w:val="1"/>
      <w:marLeft w:val="0"/>
      <w:marRight w:val="0"/>
      <w:marTop w:val="0"/>
      <w:marBottom w:val="0"/>
      <w:divBdr>
        <w:top w:val="none" w:sz="0" w:space="0" w:color="auto"/>
        <w:left w:val="none" w:sz="0" w:space="0" w:color="auto"/>
        <w:bottom w:val="none" w:sz="0" w:space="0" w:color="auto"/>
        <w:right w:val="none" w:sz="0" w:space="0" w:color="auto"/>
      </w:divBdr>
    </w:div>
    <w:div w:id="349377068">
      <w:bodyDiv w:val="1"/>
      <w:marLeft w:val="0"/>
      <w:marRight w:val="0"/>
      <w:marTop w:val="0"/>
      <w:marBottom w:val="0"/>
      <w:divBdr>
        <w:top w:val="none" w:sz="0" w:space="0" w:color="auto"/>
        <w:left w:val="none" w:sz="0" w:space="0" w:color="auto"/>
        <w:bottom w:val="none" w:sz="0" w:space="0" w:color="auto"/>
        <w:right w:val="none" w:sz="0" w:space="0" w:color="auto"/>
      </w:divBdr>
    </w:div>
    <w:div w:id="355355086">
      <w:bodyDiv w:val="1"/>
      <w:marLeft w:val="0"/>
      <w:marRight w:val="0"/>
      <w:marTop w:val="0"/>
      <w:marBottom w:val="0"/>
      <w:divBdr>
        <w:top w:val="none" w:sz="0" w:space="0" w:color="auto"/>
        <w:left w:val="none" w:sz="0" w:space="0" w:color="auto"/>
        <w:bottom w:val="none" w:sz="0" w:space="0" w:color="auto"/>
        <w:right w:val="none" w:sz="0" w:space="0" w:color="auto"/>
      </w:divBdr>
    </w:div>
    <w:div w:id="361052484">
      <w:bodyDiv w:val="1"/>
      <w:marLeft w:val="0"/>
      <w:marRight w:val="0"/>
      <w:marTop w:val="0"/>
      <w:marBottom w:val="0"/>
      <w:divBdr>
        <w:top w:val="none" w:sz="0" w:space="0" w:color="auto"/>
        <w:left w:val="none" w:sz="0" w:space="0" w:color="auto"/>
        <w:bottom w:val="none" w:sz="0" w:space="0" w:color="auto"/>
        <w:right w:val="none" w:sz="0" w:space="0" w:color="auto"/>
      </w:divBdr>
    </w:div>
    <w:div w:id="362823550">
      <w:bodyDiv w:val="1"/>
      <w:marLeft w:val="0"/>
      <w:marRight w:val="0"/>
      <w:marTop w:val="0"/>
      <w:marBottom w:val="0"/>
      <w:divBdr>
        <w:top w:val="none" w:sz="0" w:space="0" w:color="auto"/>
        <w:left w:val="none" w:sz="0" w:space="0" w:color="auto"/>
        <w:bottom w:val="none" w:sz="0" w:space="0" w:color="auto"/>
        <w:right w:val="none" w:sz="0" w:space="0" w:color="auto"/>
      </w:divBdr>
    </w:div>
    <w:div w:id="366881867">
      <w:bodyDiv w:val="1"/>
      <w:marLeft w:val="0"/>
      <w:marRight w:val="0"/>
      <w:marTop w:val="0"/>
      <w:marBottom w:val="0"/>
      <w:divBdr>
        <w:top w:val="none" w:sz="0" w:space="0" w:color="auto"/>
        <w:left w:val="none" w:sz="0" w:space="0" w:color="auto"/>
        <w:bottom w:val="none" w:sz="0" w:space="0" w:color="auto"/>
        <w:right w:val="none" w:sz="0" w:space="0" w:color="auto"/>
      </w:divBdr>
    </w:div>
    <w:div w:id="378672210">
      <w:bodyDiv w:val="1"/>
      <w:marLeft w:val="0"/>
      <w:marRight w:val="0"/>
      <w:marTop w:val="0"/>
      <w:marBottom w:val="0"/>
      <w:divBdr>
        <w:top w:val="none" w:sz="0" w:space="0" w:color="auto"/>
        <w:left w:val="none" w:sz="0" w:space="0" w:color="auto"/>
        <w:bottom w:val="none" w:sz="0" w:space="0" w:color="auto"/>
        <w:right w:val="none" w:sz="0" w:space="0" w:color="auto"/>
      </w:divBdr>
    </w:div>
    <w:div w:id="388960411">
      <w:bodyDiv w:val="1"/>
      <w:marLeft w:val="0"/>
      <w:marRight w:val="0"/>
      <w:marTop w:val="0"/>
      <w:marBottom w:val="0"/>
      <w:divBdr>
        <w:top w:val="none" w:sz="0" w:space="0" w:color="auto"/>
        <w:left w:val="none" w:sz="0" w:space="0" w:color="auto"/>
        <w:bottom w:val="none" w:sz="0" w:space="0" w:color="auto"/>
        <w:right w:val="none" w:sz="0" w:space="0" w:color="auto"/>
      </w:divBdr>
    </w:div>
    <w:div w:id="391584884">
      <w:bodyDiv w:val="1"/>
      <w:marLeft w:val="0"/>
      <w:marRight w:val="0"/>
      <w:marTop w:val="0"/>
      <w:marBottom w:val="0"/>
      <w:divBdr>
        <w:top w:val="none" w:sz="0" w:space="0" w:color="auto"/>
        <w:left w:val="none" w:sz="0" w:space="0" w:color="auto"/>
        <w:bottom w:val="none" w:sz="0" w:space="0" w:color="auto"/>
        <w:right w:val="none" w:sz="0" w:space="0" w:color="auto"/>
      </w:divBdr>
    </w:div>
    <w:div w:id="414669473">
      <w:bodyDiv w:val="1"/>
      <w:marLeft w:val="0"/>
      <w:marRight w:val="0"/>
      <w:marTop w:val="0"/>
      <w:marBottom w:val="0"/>
      <w:divBdr>
        <w:top w:val="none" w:sz="0" w:space="0" w:color="auto"/>
        <w:left w:val="none" w:sz="0" w:space="0" w:color="auto"/>
        <w:bottom w:val="none" w:sz="0" w:space="0" w:color="auto"/>
        <w:right w:val="none" w:sz="0" w:space="0" w:color="auto"/>
      </w:divBdr>
    </w:div>
    <w:div w:id="438337282">
      <w:bodyDiv w:val="1"/>
      <w:marLeft w:val="0"/>
      <w:marRight w:val="0"/>
      <w:marTop w:val="0"/>
      <w:marBottom w:val="0"/>
      <w:divBdr>
        <w:top w:val="none" w:sz="0" w:space="0" w:color="auto"/>
        <w:left w:val="none" w:sz="0" w:space="0" w:color="auto"/>
        <w:bottom w:val="none" w:sz="0" w:space="0" w:color="auto"/>
        <w:right w:val="none" w:sz="0" w:space="0" w:color="auto"/>
      </w:divBdr>
    </w:div>
    <w:div w:id="443157159">
      <w:bodyDiv w:val="1"/>
      <w:marLeft w:val="0"/>
      <w:marRight w:val="0"/>
      <w:marTop w:val="0"/>
      <w:marBottom w:val="0"/>
      <w:divBdr>
        <w:top w:val="none" w:sz="0" w:space="0" w:color="auto"/>
        <w:left w:val="none" w:sz="0" w:space="0" w:color="auto"/>
        <w:bottom w:val="none" w:sz="0" w:space="0" w:color="auto"/>
        <w:right w:val="none" w:sz="0" w:space="0" w:color="auto"/>
      </w:divBdr>
    </w:div>
    <w:div w:id="460347670">
      <w:bodyDiv w:val="1"/>
      <w:marLeft w:val="0"/>
      <w:marRight w:val="0"/>
      <w:marTop w:val="0"/>
      <w:marBottom w:val="0"/>
      <w:divBdr>
        <w:top w:val="none" w:sz="0" w:space="0" w:color="auto"/>
        <w:left w:val="none" w:sz="0" w:space="0" w:color="auto"/>
        <w:bottom w:val="none" w:sz="0" w:space="0" w:color="auto"/>
        <w:right w:val="none" w:sz="0" w:space="0" w:color="auto"/>
      </w:divBdr>
    </w:div>
    <w:div w:id="496457822">
      <w:bodyDiv w:val="1"/>
      <w:marLeft w:val="0"/>
      <w:marRight w:val="0"/>
      <w:marTop w:val="0"/>
      <w:marBottom w:val="0"/>
      <w:divBdr>
        <w:top w:val="none" w:sz="0" w:space="0" w:color="auto"/>
        <w:left w:val="none" w:sz="0" w:space="0" w:color="auto"/>
        <w:bottom w:val="none" w:sz="0" w:space="0" w:color="auto"/>
        <w:right w:val="none" w:sz="0" w:space="0" w:color="auto"/>
      </w:divBdr>
    </w:div>
    <w:div w:id="536741584">
      <w:bodyDiv w:val="1"/>
      <w:marLeft w:val="0"/>
      <w:marRight w:val="0"/>
      <w:marTop w:val="0"/>
      <w:marBottom w:val="0"/>
      <w:divBdr>
        <w:top w:val="none" w:sz="0" w:space="0" w:color="auto"/>
        <w:left w:val="none" w:sz="0" w:space="0" w:color="auto"/>
        <w:bottom w:val="none" w:sz="0" w:space="0" w:color="auto"/>
        <w:right w:val="none" w:sz="0" w:space="0" w:color="auto"/>
      </w:divBdr>
    </w:div>
    <w:div w:id="538207241">
      <w:bodyDiv w:val="1"/>
      <w:marLeft w:val="0"/>
      <w:marRight w:val="0"/>
      <w:marTop w:val="0"/>
      <w:marBottom w:val="0"/>
      <w:divBdr>
        <w:top w:val="none" w:sz="0" w:space="0" w:color="auto"/>
        <w:left w:val="none" w:sz="0" w:space="0" w:color="auto"/>
        <w:bottom w:val="none" w:sz="0" w:space="0" w:color="auto"/>
        <w:right w:val="none" w:sz="0" w:space="0" w:color="auto"/>
      </w:divBdr>
    </w:div>
    <w:div w:id="540479162">
      <w:bodyDiv w:val="1"/>
      <w:marLeft w:val="0"/>
      <w:marRight w:val="0"/>
      <w:marTop w:val="0"/>
      <w:marBottom w:val="0"/>
      <w:divBdr>
        <w:top w:val="none" w:sz="0" w:space="0" w:color="auto"/>
        <w:left w:val="none" w:sz="0" w:space="0" w:color="auto"/>
        <w:bottom w:val="none" w:sz="0" w:space="0" w:color="auto"/>
        <w:right w:val="none" w:sz="0" w:space="0" w:color="auto"/>
      </w:divBdr>
    </w:div>
    <w:div w:id="543836289">
      <w:bodyDiv w:val="1"/>
      <w:marLeft w:val="0"/>
      <w:marRight w:val="0"/>
      <w:marTop w:val="0"/>
      <w:marBottom w:val="0"/>
      <w:divBdr>
        <w:top w:val="none" w:sz="0" w:space="0" w:color="auto"/>
        <w:left w:val="none" w:sz="0" w:space="0" w:color="auto"/>
        <w:bottom w:val="none" w:sz="0" w:space="0" w:color="auto"/>
        <w:right w:val="none" w:sz="0" w:space="0" w:color="auto"/>
      </w:divBdr>
    </w:div>
    <w:div w:id="544874989">
      <w:bodyDiv w:val="1"/>
      <w:marLeft w:val="0"/>
      <w:marRight w:val="0"/>
      <w:marTop w:val="0"/>
      <w:marBottom w:val="0"/>
      <w:divBdr>
        <w:top w:val="none" w:sz="0" w:space="0" w:color="auto"/>
        <w:left w:val="none" w:sz="0" w:space="0" w:color="auto"/>
        <w:bottom w:val="none" w:sz="0" w:space="0" w:color="auto"/>
        <w:right w:val="none" w:sz="0" w:space="0" w:color="auto"/>
      </w:divBdr>
    </w:div>
    <w:div w:id="546458467">
      <w:bodyDiv w:val="1"/>
      <w:marLeft w:val="0"/>
      <w:marRight w:val="0"/>
      <w:marTop w:val="0"/>
      <w:marBottom w:val="0"/>
      <w:divBdr>
        <w:top w:val="none" w:sz="0" w:space="0" w:color="auto"/>
        <w:left w:val="none" w:sz="0" w:space="0" w:color="auto"/>
        <w:bottom w:val="none" w:sz="0" w:space="0" w:color="auto"/>
        <w:right w:val="none" w:sz="0" w:space="0" w:color="auto"/>
      </w:divBdr>
    </w:div>
    <w:div w:id="551843032">
      <w:bodyDiv w:val="1"/>
      <w:marLeft w:val="0"/>
      <w:marRight w:val="0"/>
      <w:marTop w:val="0"/>
      <w:marBottom w:val="0"/>
      <w:divBdr>
        <w:top w:val="none" w:sz="0" w:space="0" w:color="auto"/>
        <w:left w:val="none" w:sz="0" w:space="0" w:color="auto"/>
        <w:bottom w:val="none" w:sz="0" w:space="0" w:color="auto"/>
        <w:right w:val="none" w:sz="0" w:space="0" w:color="auto"/>
      </w:divBdr>
    </w:div>
    <w:div w:id="573321746">
      <w:bodyDiv w:val="1"/>
      <w:marLeft w:val="0"/>
      <w:marRight w:val="0"/>
      <w:marTop w:val="0"/>
      <w:marBottom w:val="0"/>
      <w:divBdr>
        <w:top w:val="none" w:sz="0" w:space="0" w:color="auto"/>
        <w:left w:val="none" w:sz="0" w:space="0" w:color="auto"/>
        <w:bottom w:val="none" w:sz="0" w:space="0" w:color="auto"/>
        <w:right w:val="none" w:sz="0" w:space="0" w:color="auto"/>
      </w:divBdr>
    </w:div>
    <w:div w:id="574507736">
      <w:bodyDiv w:val="1"/>
      <w:marLeft w:val="0"/>
      <w:marRight w:val="0"/>
      <w:marTop w:val="0"/>
      <w:marBottom w:val="0"/>
      <w:divBdr>
        <w:top w:val="none" w:sz="0" w:space="0" w:color="auto"/>
        <w:left w:val="none" w:sz="0" w:space="0" w:color="auto"/>
        <w:bottom w:val="none" w:sz="0" w:space="0" w:color="auto"/>
        <w:right w:val="none" w:sz="0" w:space="0" w:color="auto"/>
      </w:divBdr>
    </w:div>
    <w:div w:id="582226470">
      <w:bodyDiv w:val="1"/>
      <w:marLeft w:val="0"/>
      <w:marRight w:val="0"/>
      <w:marTop w:val="0"/>
      <w:marBottom w:val="0"/>
      <w:divBdr>
        <w:top w:val="none" w:sz="0" w:space="0" w:color="auto"/>
        <w:left w:val="none" w:sz="0" w:space="0" w:color="auto"/>
        <w:bottom w:val="none" w:sz="0" w:space="0" w:color="auto"/>
        <w:right w:val="none" w:sz="0" w:space="0" w:color="auto"/>
      </w:divBdr>
    </w:div>
    <w:div w:id="593519716">
      <w:bodyDiv w:val="1"/>
      <w:marLeft w:val="0"/>
      <w:marRight w:val="0"/>
      <w:marTop w:val="0"/>
      <w:marBottom w:val="0"/>
      <w:divBdr>
        <w:top w:val="none" w:sz="0" w:space="0" w:color="auto"/>
        <w:left w:val="none" w:sz="0" w:space="0" w:color="auto"/>
        <w:bottom w:val="none" w:sz="0" w:space="0" w:color="auto"/>
        <w:right w:val="none" w:sz="0" w:space="0" w:color="auto"/>
      </w:divBdr>
    </w:div>
    <w:div w:id="609776427">
      <w:bodyDiv w:val="1"/>
      <w:marLeft w:val="0"/>
      <w:marRight w:val="0"/>
      <w:marTop w:val="0"/>
      <w:marBottom w:val="0"/>
      <w:divBdr>
        <w:top w:val="none" w:sz="0" w:space="0" w:color="auto"/>
        <w:left w:val="none" w:sz="0" w:space="0" w:color="auto"/>
        <w:bottom w:val="none" w:sz="0" w:space="0" w:color="auto"/>
        <w:right w:val="none" w:sz="0" w:space="0" w:color="auto"/>
      </w:divBdr>
    </w:div>
    <w:div w:id="627322714">
      <w:bodyDiv w:val="1"/>
      <w:marLeft w:val="0"/>
      <w:marRight w:val="0"/>
      <w:marTop w:val="0"/>
      <w:marBottom w:val="0"/>
      <w:divBdr>
        <w:top w:val="none" w:sz="0" w:space="0" w:color="auto"/>
        <w:left w:val="none" w:sz="0" w:space="0" w:color="auto"/>
        <w:bottom w:val="none" w:sz="0" w:space="0" w:color="auto"/>
        <w:right w:val="none" w:sz="0" w:space="0" w:color="auto"/>
      </w:divBdr>
    </w:div>
    <w:div w:id="669647612">
      <w:bodyDiv w:val="1"/>
      <w:marLeft w:val="0"/>
      <w:marRight w:val="0"/>
      <w:marTop w:val="0"/>
      <w:marBottom w:val="0"/>
      <w:divBdr>
        <w:top w:val="none" w:sz="0" w:space="0" w:color="auto"/>
        <w:left w:val="none" w:sz="0" w:space="0" w:color="auto"/>
        <w:bottom w:val="none" w:sz="0" w:space="0" w:color="auto"/>
        <w:right w:val="none" w:sz="0" w:space="0" w:color="auto"/>
      </w:divBdr>
    </w:div>
    <w:div w:id="683820225">
      <w:bodyDiv w:val="1"/>
      <w:marLeft w:val="0"/>
      <w:marRight w:val="0"/>
      <w:marTop w:val="0"/>
      <w:marBottom w:val="0"/>
      <w:divBdr>
        <w:top w:val="none" w:sz="0" w:space="0" w:color="auto"/>
        <w:left w:val="none" w:sz="0" w:space="0" w:color="auto"/>
        <w:bottom w:val="none" w:sz="0" w:space="0" w:color="auto"/>
        <w:right w:val="none" w:sz="0" w:space="0" w:color="auto"/>
      </w:divBdr>
    </w:div>
    <w:div w:id="697392901">
      <w:bodyDiv w:val="1"/>
      <w:marLeft w:val="0"/>
      <w:marRight w:val="0"/>
      <w:marTop w:val="0"/>
      <w:marBottom w:val="0"/>
      <w:divBdr>
        <w:top w:val="none" w:sz="0" w:space="0" w:color="auto"/>
        <w:left w:val="none" w:sz="0" w:space="0" w:color="auto"/>
        <w:bottom w:val="none" w:sz="0" w:space="0" w:color="auto"/>
        <w:right w:val="none" w:sz="0" w:space="0" w:color="auto"/>
      </w:divBdr>
    </w:div>
    <w:div w:id="706763313">
      <w:bodyDiv w:val="1"/>
      <w:marLeft w:val="0"/>
      <w:marRight w:val="0"/>
      <w:marTop w:val="0"/>
      <w:marBottom w:val="0"/>
      <w:divBdr>
        <w:top w:val="none" w:sz="0" w:space="0" w:color="auto"/>
        <w:left w:val="none" w:sz="0" w:space="0" w:color="auto"/>
        <w:bottom w:val="none" w:sz="0" w:space="0" w:color="auto"/>
        <w:right w:val="none" w:sz="0" w:space="0" w:color="auto"/>
      </w:divBdr>
    </w:div>
    <w:div w:id="724187243">
      <w:bodyDiv w:val="1"/>
      <w:marLeft w:val="0"/>
      <w:marRight w:val="0"/>
      <w:marTop w:val="0"/>
      <w:marBottom w:val="0"/>
      <w:divBdr>
        <w:top w:val="none" w:sz="0" w:space="0" w:color="auto"/>
        <w:left w:val="none" w:sz="0" w:space="0" w:color="auto"/>
        <w:bottom w:val="none" w:sz="0" w:space="0" w:color="auto"/>
        <w:right w:val="none" w:sz="0" w:space="0" w:color="auto"/>
      </w:divBdr>
    </w:div>
    <w:div w:id="725298173">
      <w:bodyDiv w:val="1"/>
      <w:marLeft w:val="0"/>
      <w:marRight w:val="0"/>
      <w:marTop w:val="0"/>
      <w:marBottom w:val="0"/>
      <w:divBdr>
        <w:top w:val="none" w:sz="0" w:space="0" w:color="auto"/>
        <w:left w:val="none" w:sz="0" w:space="0" w:color="auto"/>
        <w:bottom w:val="none" w:sz="0" w:space="0" w:color="auto"/>
        <w:right w:val="none" w:sz="0" w:space="0" w:color="auto"/>
      </w:divBdr>
    </w:div>
    <w:div w:id="732697274">
      <w:bodyDiv w:val="1"/>
      <w:marLeft w:val="0"/>
      <w:marRight w:val="0"/>
      <w:marTop w:val="0"/>
      <w:marBottom w:val="0"/>
      <w:divBdr>
        <w:top w:val="none" w:sz="0" w:space="0" w:color="auto"/>
        <w:left w:val="none" w:sz="0" w:space="0" w:color="auto"/>
        <w:bottom w:val="none" w:sz="0" w:space="0" w:color="auto"/>
        <w:right w:val="none" w:sz="0" w:space="0" w:color="auto"/>
      </w:divBdr>
    </w:div>
    <w:div w:id="733742882">
      <w:bodyDiv w:val="1"/>
      <w:marLeft w:val="0"/>
      <w:marRight w:val="0"/>
      <w:marTop w:val="0"/>
      <w:marBottom w:val="0"/>
      <w:divBdr>
        <w:top w:val="none" w:sz="0" w:space="0" w:color="auto"/>
        <w:left w:val="none" w:sz="0" w:space="0" w:color="auto"/>
        <w:bottom w:val="none" w:sz="0" w:space="0" w:color="auto"/>
        <w:right w:val="none" w:sz="0" w:space="0" w:color="auto"/>
      </w:divBdr>
    </w:div>
    <w:div w:id="746997991">
      <w:bodyDiv w:val="1"/>
      <w:marLeft w:val="0"/>
      <w:marRight w:val="0"/>
      <w:marTop w:val="0"/>
      <w:marBottom w:val="0"/>
      <w:divBdr>
        <w:top w:val="none" w:sz="0" w:space="0" w:color="auto"/>
        <w:left w:val="none" w:sz="0" w:space="0" w:color="auto"/>
        <w:bottom w:val="none" w:sz="0" w:space="0" w:color="auto"/>
        <w:right w:val="none" w:sz="0" w:space="0" w:color="auto"/>
      </w:divBdr>
    </w:div>
    <w:div w:id="756947894">
      <w:bodyDiv w:val="1"/>
      <w:marLeft w:val="0"/>
      <w:marRight w:val="0"/>
      <w:marTop w:val="0"/>
      <w:marBottom w:val="0"/>
      <w:divBdr>
        <w:top w:val="none" w:sz="0" w:space="0" w:color="auto"/>
        <w:left w:val="none" w:sz="0" w:space="0" w:color="auto"/>
        <w:bottom w:val="none" w:sz="0" w:space="0" w:color="auto"/>
        <w:right w:val="none" w:sz="0" w:space="0" w:color="auto"/>
      </w:divBdr>
    </w:div>
    <w:div w:id="763769143">
      <w:bodyDiv w:val="1"/>
      <w:marLeft w:val="0"/>
      <w:marRight w:val="0"/>
      <w:marTop w:val="0"/>
      <w:marBottom w:val="0"/>
      <w:divBdr>
        <w:top w:val="none" w:sz="0" w:space="0" w:color="auto"/>
        <w:left w:val="none" w:sz="0" w:space="0" w:color="auto"/>
        <w:bottom w:val="none" w:sz="0" w:space="0" w:color="auto"/>
        <w:right w:val="none" w:sz="0" w:space="0" w:color="auto"/>
      </w:divBdr>
    </w:div>
    <w:div w:id="766194507">
      <w:bodyDiv w:val="1"/>
      <w:marLeft w:val="0"/>
      <w:marRight w:val="0"/>
      <w:marTop w:val="0"/>
      <w:marBottom w:val="0"/>
      <w:divBdr>
        <w:top w:val="none" w:sz="0" w:space="0" w:color="auto"/>
        <w:left w:val="none" w:sz="0" w:space="0" w:color="auto"/>
        <w:bottom w:val="none" w:sz="0" w:space="0" w:color="auto"/>
        <w:right w:val="none" w:sz="0" w:space="0" w:color="auto"/>
      </w:divBdr>
    </w:div>
    <w:div w:id="770322416">
      <w:bodyDiv w:val="1"/>
      <w:marLeft w:val="0"/>
      <w:marRight w:val="0"/>
      <w:marTop w:val="0"/>
      <w:marBottom w:val="0"/>
      <w:divBdr>
        <w:top w:val="none" w:sz="0" w:space="0" w:color="auto"/>
        <w:left w:val="none" w:sz="0" w:space="0" w:color="auto"/>
        <w:bottom w:val="none" w:sz="0" w:space="0" w:color="auto"/>
        <w:right w:val="none" w:sz="0" w:space="0" w:color="auto"/>
      </w:divBdr>
    </w:div>
    <w:div w:id="777989007">
      <w:bodyDiv w:val="1"/>
      <w:marLeft w:val="0"/>
      <w:marRight w:val="0"/>
      <w:marTop w:val="0"/>
      <w:marBottom w:val="0"/>
      <w:divBdr>
        <w:top w:val="none" w:sz="0" w:space="0" w:color="auto"/>
        <w:left w:val="none" w:sz="0" w:space="0" w:color="auto"/>
        <w:bottom w:val="none" w:sz="0" w:space="0" w:color="auto"/>
        <w:right w:val="none" w:sz="0" w:space="0" w:color="auto"/>
      </w:divBdr>
    </w:div>
    <w:div w:id="809859141">
      <w:bodyDiv w:val="1"/>
      <w:marLeft w:val="0"/>
      <w:marRight w:val="0"/>
      <w:marTop w:val="0"/>
      <w:marBottom w:val="0"/>
      <w:divBdr>
        <w:top w:val="none" w:sz="0" w:space="0" w:color="auto"/>
        <w:left w:val="none" w:sz="0" w:space="0" w:color="auto"/>
        <w:bottom w:val="none" w:sz="0" w:space="0" w:color="auto"/>
        <w:right w:val="none" w:sz="0" w:space="0" w:color="auto"/>
      </w:divBdr>
    </w:div>
    <w:div w:id="823277131">
      <w:bodyDiv w:val="1"/>
      <w:marLeft w:val="0"/>
      <w:marRight w:val="0"/>
      <w:marTop w:val="0"/>
      <w:marBottom w:val="0"/>
      <w:divBdr>
        <w:top w:val="none" w:sz="0" w:space="0" w:color="auto"/>
        <w:left w:val="none" w:sz="0" w:space="0" w:color="auto"/>
        <w:bottom w:val="none" w:sz="0" w:space="0" w:color="auto"/>
        <w:right w:val="none" w:sz="0" w:space="0" w:color="auto"/>
      </w:divBdr>
    </w:div>
    <w:div w:id="833880893">
      <w:bodyDiv w:val="1"/>
      <w:marLeft w:val="0"/>
      <w:marRight w:val="0"/>
      <w:marTop w:val="0"/>
      <w:marBottom w:val="0"/>
      <w:divBdr>
        <w:top w:val="none" w:sz="0" w:space="0" w:color="auto"/>
        <w:left w:val="none" w:sz="0" w:space="0" w:color="auto"/>
        <w:bottom w:val="none" w:sz="0" w:space="0" w:color="auto"/>
        <w:right w:val="none" w:sz="0" w:space="0" w:color="auto"/>
      </w:divBdr>
    </w:div>
    <w:div w:id="837306575">
      <w:bodyDiv w:val="1"/>
      <w:marLeft w:val="0"/>
      <w:marRight w:val="0"/>
      <w:marTop w:val="0"/>
      <w:marBottom w:val="0"/>
      <w:divBdr>
        <w:top w:val="none" w:sz="0" w:space="0" w:color="auto"/>
        <w:left w:val="none" w:sz="0" w:space="0" w:color="auto"/>
        <w:bottom w:val="none" w:sz="0" w:space="0" w:color="auto"/>
        <w:right w:val="none" w:sz="0" w:space="0" w:color="auto"/>
      </w:divBdr>
    </w:div>
    <w:div w:id="841773885">
      <w:bodyDiv w:val="1"/>
      <w:marLeft w:val="0"/>
      <w:marRight w:val="0"/>
      <w:marTop w:val="0"/>
      <w:marBottom w:val="0"/>
      <w:divBdr>
        <w:top w:val="none" w:sz="0" w:space="0" w:color="auto"/>
        <w:left w:val="none" w:sz="0" w:space="0" w:color="auto"/>
        <w:bottom w:val="none" w:sz="0" w:space="0" w:color="auto"/>
        <w:right w:val="none" w:sz="0" w:space="0" w:color="auto"/>
      </w:divBdr>
    </w:div>
    <w:div w:id="848325474">
      <w:bodyDiv w:val="1"/>
      <w:marLeft w:val="0"/>
      <w:marRight w:val="0"/>
      <w:marTop w:val="0"/>
      <w:marBottom w:val="0"/>
      <w:divBdr>
        <w:top w:val="none" w:sz="0" w:space="0" w:color="auto"/>
        <w:left w:val="none" w:sz="0" w:space="0" w:color="auto"/>
        <w:bottom w:val="none" w:sz="0" w:space="0" w:color="auto"/>
        <w:right w:val="none" w:sz="0" w:space="0" w:color="auto"/>
      </w:divBdr>
    </w:div>
    <w:div w:id="848906257">
      <w:bodyDiv w:val="1"/>
      <w:marLeft w:val="0"/>
      <w:marRight w:val="0"/>
      <w:marTop w:val="0"/>
      <w:marBottom w:val="0"/>
      <w:divBdr>
        <w:top w:val="none" w:sz="0" w:space="0" w:color="auto"/>
        <w:left w:val="none" w:sz="0" w:space="0" w:color="auto"/>
        <w:bottom w:val="none" w:sz="0" w:space="0" w:color="auto"/>
        <w:right w:val="none" w:sz="0" w:space="0" w:color="auto"/>
      </w:divBdr>
    </w:div>
    <w:div w:id="856233038">
      <w:bodyDiv w:val="1"/>
      <w:marLeft w:val="0"/>
      <w:marRight w:val="0"/>
      <w:marTop w:val="0"/>
      <w:marBottom w:val="0"/>
      <w:divBdr>
        <w:top w:val="none" w:sz="0" w:space="0" w:color="auto"/>
        <w:left w:val="none" w:sz="0" w:space="0" w:color="auto"/>
        <w:bottom w:val="none" w:sz="0" w:space="0" w:color="auto"/>
        <w:right w:val="none" w:sz="0" w:space="0" w:color="auto"/>
      </w:divBdr>
    </w:div>
    <w:div w:id="856651306">
      <w:bodyDiv w:val="1"/>
      <w:marLeft w:val="0"/>
      <w:marRight w:val="0"/>
      <w:marTop w:val="0"/>
      <w:marBottom w:val="0"/>
      <w:divBdr>
        <w:top w:val="none" w:sz="0" w:space="0" w:color="auto"/>
        <w:left w:val="none" w:sz="0" w:space="0" w:color="auto"/>
        <w:bottom w:val="none" w:sz="0" w:space="0" w:color="auto"/>
        <w:right w:val="none" w:sz="0" w:space="0" w:color="auto"/>
      </w:divBdr>
    </w:div>
    <w:div w:id="912198317">
      <w:bodyDiv w:val="1"/>
      <w:marLeft w:val="0"/>
      <w:marRight w:val="0"/>
      <w:marTop w:val="0"/>
      <w:marBottom w:val="0"/>
      <w:divBdr>
        <w:top w:val="none" w:sz="0" w:space="0" w:color="auto"/>
        <w:left w:val="none" w:sz="0" w:space="0" w:color="auto"/>
        <w:bottom w:val="none" w:sz="0" w:space="0" w:color="auto"/>
        <w:right w:val="none" w:sz="0" w:space="0" w:color="auto"/>
      </w:divBdr>
    </w:div>
    <w:div w:id="912740427">
      <w:bodyDiv w:val="1"/>
      <w:marLeft w:val="0"/>
      <w:marRight w:val="0"/>
      <w:marTop w:val="0"/>
      <w:marBottom w:val="0"/>
      <w:divBdr>
        <w:top w:val="none" w:sz="0" w:space="0" w:color="auto"/>
        <w:left w:val="none" w:sz="0" w:space="0" w:color="auto"/>
        <w:bottom w:val="none" w:sz="0" w:space="0" w:color="auto"/>
        <w:right w:val="none" w:sz="0" w:space="0" w:color="auto"/>
      </w:divBdr>
    </w:div>
    <w:div w:id="954210396">
      <w:bodyDiv w:val="1"/>
      <w:marLeft w:val="0"/>
      <w:marRight w:val="0"/>
      <w:marTop w:val="0"/>
      <w:marBottom w:val="0"/>
      <w:divBdr>
        <w:top w:val="none" w:sz="0" w:space="0" w:color="auto"/>
        <w:left w:val="none" w:sz="0" w:space="0" w:color="auto"/>
        <w:bottom w:val="none" w:sz="0" w:space="0" w:color="auto"/>
        <w:right w:val="none" w:sz="0" w:space="0" w:color="auto"/>
      </w:divBdr>
    </w:div>
    <w:div w:id="967779727">
      <w:bodyDiv w:val="1"/>
      <w:marLeft w:val="0"/>
      <w:marRight w:val="0"/>
      <w:marTop w:val="0"/>
      <w:marBottom w:val="0"/>
      <w:divBdr>
        <w:top w:val="none" w:sz="0" w:space="0" w:color="auto"/>
        <w:left w:val="none" w:sz="0" w:space="0" w:color="auto"/>
        <w:bottom w:val="none" w:sz="0" w:space="0" w:color="auto"/>
        <w:right w:val="none" w:sz="0" w:space="0" w:color="auto"/>
      </w:divBdr>
    </w:div>
    <w:div w:id="981272388">
      <w:bodyDiv w:val="1"/>
      <w:marLeft w:val="0"/>
      <w:marRight w:val="0"/>
      <w:marTop w:val="0"/>
      <w:marBottom w:val="0"/>
      <w:divBdr>
        <w:top w:val="none" w:sz="0" w:space="0" w:color="auto"/>
        <w:left w:val="none" w:sz="0" w:space="0" w:color="auto"/>
        <w:bottom w:val="none" w:sz="0" w:space="0" w:color="auto"/>
        <w:right w:val="none" w:sz="0" w:space="0" w:color="auto"/>
      </w:divBdr>
    </w:div>
    <w:div w:id="991831503">
      <w:bodyDiv w:val="1"/>
      <w:marLeft w:val="0"/>
      <w:marRight w:val="0"/>
      <w:marTop w:val="0"/>
      <w:marBottom w:val="0"/>
      <w:divBdr>
        <w:top w:val="none" w:sz="0" w:space="0" w:color="auto"/>
        <w:left w:val="none" w:sz="0" w:space="0" w:color="auto"/>
        <w:bottom w:val="none" w:sz="0" w:space="0" w:color="auto"/>
        <w:right w:val="none" w:sz="0" w:space="0" w:color="auto"/>
      </w:divBdr>
    </w:div>
    <w:div w:id="1008825193">
      <w:bodyDiv w:val="1"/>
      <w:marLeft w:val="0"/>
      <w:marRight w:val="0"/>
      <w:marTop w:val="0"/>
      <w:marBottom w:val="0"/>
      <w:divBdr>
        <w:top w:val="none" w:sz="0" w:space="0" w:color="auto"/>
        <w:left w:val="none" w:sz="0" w:space="0" w:color="auto"/>
        <w:bottom w:val="none" w:sz="0" w:space="0" w:color="auto"/>
        <w:right w:val="none" w:sz="0" w:space="0" w:color="auto"/>
      </w:divBdr>
    </w:div>
    <w:div w:id="1045177449">
      <w:bodyDiv w:val="1"/>
      <w:marLeft w:val="0"/>
      <w:marRight w:val="0"/>
      <w:marTop w:val="0"/>
      <w:marBottom w:val="0"/>
      <w:divBdr>
        <w:top w:val="none" w:sz="0" w:space="0" w:color="auto"/>
        <w:left w:val="none" w:sz="0" w:space="0" w:color="auto"/>
        <w:bottom w:val="none" w:sz="0" w:space="0" w:color="auto"/>
        <w:right w:val="none" w:sz="0" w:space="0" w:color="auto"/>
      </w:divBdr>
    </w:div>
    <w:div w:id="1046372074">
      <w:bodyDiv w:val="1"/>
      <w:marLeft w:val="0"/>
      <w:marRight w:val="0"/>
      <w:marTop w:val="0"/>
      <w:marBottom w:val="0"/>
      <w:divBdr>
        <w:top w:val="none" w:sz="0" w:space="0" w:color="auto"/>
        <w:left w:val="none" w:sz="0" w:space="0" w:color="auto"/>
        <w:bottom w:val="none" w:sz="0" w:space="0" w:color="auto"/>
        <w:right w:val="none" w:sz="0" w:space="0" w:color="auto"/>
      </w:divBdr>
    </w:div>
    <w:div w:id="1063915602">
      <w:bodyDiv w:val="1"/>
      <w:marLeft w:val="0"/>
      <w:marRight w:val="0"/>
      <w:marTop w:val="0"/>
      <w:marBottom w:val="0"/>
      <w:divBdr>
        <w:top w:val="none" w:sz="0" w:space="0" w:color="auto"/>
        <w:left w:val="none" w:sz="0" w:space="0" w:color="auto"/>
        <w:bottom w:val="none" w:sz="0" w:space="0" w:color="auto"/>
        <w:right w:val="none" w:sz="0" w:space="0" w:color="auto"/>
      </w:divBdr>
    </w:div>
    <w:div w:id="1064375610">
      <w:bodyDiv w:val="1"/>
      <w:marLeft w:val="0"/>
      <w:marRight w:val="0"/>
      <w:marTop w:val="0"/>
      <w:marBottom w:val="0"/>
      <w:divBdr>
        <w:top w:val="none" w:sz="0" w:space="0" w:color="auto"/>
        <w:left w:val="none" w:sz="0" w:space="0" w:color="auto"/>
        <w:bottom w:val="none" w:sz="0" w:space="0" w:color="auto"/>
        <w:right w:val="none" w:sz="0" w:space="0" w:color="auto"/>
      </w:divBdr>
    </w:div>
    <w:div w:id="1069576659">
      <w:bodyDiv w:val="1"/>
      <w:marLeft w:val="0"/>
      <w:marRight w:val="0"/>
      <w:marTop w:val="0"/>
      <w:marBottom w:val="0"/>
      <w:divBdr>
        <w:top w:val="none" w:sz="0" w:space="0" w:color="auto"/>
        <w:left w:val="none" w:sz="0" w:space="0" w:color="auto"/>
        <w:bottom w:val="none" w:sz="0" w:space="0" w:color="auto"/>
        <w:right w:val="none" w:sz="0" w:space="0" w:color="auto"/>
      </w:divBdr>
    </w:div>
    <w:div w:id="1086076445">
      <w:bodyDiv w:val="1"/>
      <w:marLeft w:val="0"/>
      <w:marRight w:val="0"/>
      <w:marTop w:val="0"/>
      <w:marBottom w:val="0"/>
      <w:divBdr>
        <w:top w:val="none" w:sz="0" w:space="0" w:color="auto"/>
        <w:left w:val="none" w:sz="0" w:space="0" w:color="auto"/>
        <w:bottom w:val="none" w:sz="0" w:space="0" w:color="auto"/>
        <w:right w:val="none" w:sz="0" w:space="0" w:color="auto"/>
      </w:divBdr>
    </w:div>
    <w:div w:id="1096052468">
      <w:bodyDiv w:val="1"/>
      <w:marLeft w:val="0"/>
      <w:marRight w:val="0"/>
      <w:marTop w:val="0"/>
      <w:marBottom w:val="0"/>
      <w:divBdr>
        <w:top w:val="none" w:sz="0" w:space="0" w:color="auto"/>
        <w:left w:val="none" w:sz="0" w:space="0" w:color="auto"/>
        <w:bottom w:val="none" w:sz="0" w:space="0" w:color="auto"/>
        <w:right w:val="none" w:sz="0" w:space="0" w:color="auto"/>
      </w:divBdr>
    </w:div>
    <w:div w:id="1096293087">
      <w:bodyDiv w:val="1"/>
      <w:marLeft w:val="0"/>
      <w:marRight w:val="0"/>
      <w:marTop w:val="0"/>
      <w:marBottom w:val="0"/>
      <w:divBdr>
        <w:top w:val="none" w:sz="0" w:space="0" w:color="auto"/>
        <w:left w:val="none" w:sz="0" w:space="0" w:color="auto"/>
        <w:bottom w:val="none" w:sz="0" w:space="0" w:color="auto"/>
        <w:right w:val="none" w:sz="0" w:space="0" w:color="auto"/>
      </w:divBdr>
    </w:div>
    <w:div w:id="1098137299">
      <w:bodyDiv w:val="1"/>
      <w:marLeft w:val="0"/>
      <w:marRight w:val="0"/>
      <w:marTop w:val="0"/>
      <w:marBottom w:val="0"/>
      <w:divBdr>
        <w:top w:val="none" w:sz="0" w:space="0" w:color="auto"/>
        <w:left w:val="none" w:sz="0" w:space="0" w:color="auto"/>
        <w:bottom w:val="none" w:sz="0" w:space="0" w:color="auto"/>
        <w:right w:val="none" w:sz="0" w:space="0" w:color="auto"/>
      </w:divBdr>
    </w:div>
    <w:div w:id="1101797725">
      <w:bodyDiv w:val="1"/>
      <w:marLeft w:val="0"/>
      <w:marRight w:val="0"/>
      <w:marTop w:val="0"/>
      <w:marBottom w:val="0"/>
      <w:divBdr>
        <w:top w:val="none" w:sz="0" w:space="0" w:color="auto"/>
        <w:left w:val="none" w:sz="0" w:space="0" w:color="auto"/>
        <w:bottom w:val="none" w:sz="0" w:space="0" w:color="auto"/>
        <w:right w:val="none" w:sz="0" w:space="0" w:color="auto"/>
      </w:divBdr>
    </w:div>
    <w:div w:id="1115639180">
      <w:bodyDiv w:val="1"/>
      <w:marLeft w:val="0"/>
      <w:marRight w:val="0"/>
      <w:marTop w:val="0"/>
      <w:marBottom w:val="0"/>
      <w:divBdr>
        <w:top w:val="none" w:sz="0" w:space="0" w:color="auto"/>
        <w:left w:val="none" w:sz="0" w:space="0" w:color="auto"/>
        <w:bottom w:val="none" w:sz="0" w:space="0" w:color="auto"/>
        <w:right w:val="none" w:sz="0" w:space="0" w:color="auto"/>
      </w:divBdr>
    </w:div>
    <w:div w:id="1116407476">
      <w:bodyDiv w:val="1"/>
      <w:marLeft w:val="0"/>
      <w:marRight w:val="0"/>
      <w:marTop w:val="0"/>
      <w:marBottom w:val="0"/>
      <w:divBdr>
        <w:top w:val="none" w:sz="0" w:space="0" w:color="auto"/>
        <w:left w:val="none" w:sz="0" w:space="0" w:color="auto"/>
        <w:bottom w:val="none" w:sz="0" w:space="0" w:color="auto"/>
        <w:right w:val="none" w:sz="0" w:space="0" w:color="auto"/>
      </w:divBdr>
    </w:div>
    <w:div w:id="1123111953">
      <w:bodyDiv w:val="1"/>
      <w:marLeft w:val="0"/>
      <w:marRight w:val="0"/>
      <w:marTop w:val="0"/>
      <w:marBottom w:val="0"/>
      <w:divBdr>
        <w:top w:val="none" w:sz="0" w:space="0" w:color="auto"/>
        <w:left w:val="none" w:sz="0" w:space="0" w:color="auto"/>
        <w:bottom w:val="none" w:sz="0" w:space="0" w:color="auto"/>
        <w:right w:val="none" w:sz="0" w:space="0" w:color="auto"/>
      </w:divBdr>
    </w:div>
    <w:div w:id="1124008056">
      <w:bodyDiv w:val="1"/>
      <w:marLeft w:val="0"/>
      <w:marRight w:val="0"/>
      <w:marTop w:val="0"/>
      <w:marBottom w:val="0"/>
      <w:divBdr>
        <w:top w:val="none" w:sz="0" w:space="0" w:color="auto"/>
        <w:left w:val="none" w:sz="0" w:space="0" w:color="auto"/>
        <w:bottom w:val="none" w:sz="0" w:space="0" w:color="auto"/>
        <w:right w:val="none" w:sz="0" w:space="0" w:color="auto"/>
      </w:divBdr>
    </w:div>
    <w:div w:id="1125196012">
      <w:bodyDiv w:val="1"/>
      <w:marLeft w:val="0"/>
      <w:marRight w:val="0"/>
      <w:marTop w:val="0"/>
      <w:marBottom w:val="0"/>
      <w:divBdr>
        <w:top w:val="none" w:sz="0" w:space="0" w:color="auto"/>
        <w:left w:val="none" w:sz="0" w:space="0" w:color="auto"/>
        <w:bottom w:val="none" w:sz="0" w:space="0" w:color="auto"/>
        <w:right w:val="none" w:sz="0" w:space="0" w:color="auto"/>
      </w:divBdr>
    </w:div>
    <w:div w:id="1131441560">
      <w:bodyDiv w:val="1"/>
      <w:marLeft w:val="0"/>
      <w:marRight w:val="0"/>
      <w:marTop w:val="0"/>
      <w:marBottom w:val="0"/>
      <w:divBdr>
        <w:top w:val="none" w:sz="0" w:space="0" w:color="auto"/>
        <w:left w:val="none" w:sz="0" w:space="0" w:color="auto"/>
        <w:bottom w:val="none" w:sz="0" w:space="0" w:color="auto"/>
        <w:right w:val="none" w:sz="0" w:space="0" w:color="auto"/>
      </w:divBdr>
    </w:div>
    <w:div w:id="1148282004">
      <w:bodyDiv w:val="1"/>
      <w:marLeft w:val="0"/>
      <w:marRight w:val="0"/>
      <w:marTop w:val="0"/>
      <w:marBottom w:val="0"/>
      <w:divBdr>
        <w:top w:val="none" w:sz="0" w:space="0" w:color="auto"/>
        <w:left w:val="none" w:sz="0" w:space="0" w:color="auto"/>
        <w:bottom w:val="none" w:sz="0" w:space="0" w:color="auto"/>
        <w:right w:val="none" w:sz="0" w:space="0" w:color="auto"/>
      </w:divBdr>
    </w:div>
    <w:div w:id="1158111991">
      <w:bodyDiv w:val="1"/>
      <w:marLeft w:val="0"/>
      <w:marRight w:val="0"/>
      <w:marTop w:val="0"/>
      <w:marBottom w:val="0"/>
      <w:divBdr>
        <w:top w:val="none" w:sz="0" w:space="0" w:color="auto"/>
        <w:left w:val="none" w:sz="0" w:space="0" w:color="auto"/>
        <w:bottom w:val="none" w:sz="0" w:space="0" w:color="auto"/>
        <w:right w:val="none" w:sz="0" w:space="0" w:color="auto"/>
      </w:divBdr>
    </w:div>
    <w:div w:id="1178303327">
      <w:bodyDiv w:val="1"/>
      <w:marLeft w:val="0"/>
      <w:marRight w:val="0"/>
      <w:marTop w:val="0"/>
      <w:marBottom w:val="0"/>
      <w:divBdr>
        <w:top w:val="none" w:sz="0" w:space="0" w:color="auto"/>
        <w:left w:val="none" w:sz="0" w:space="0" w:color="auto"/>
        <w:bottom w:val="none" w:sz="0" w:space="0" w:color="auto"/>
        <w:right w:val="none" w:sz="0" w:space="0" w:color="auto"/>
      </w:divBdr>
    </w:div>
    <w:div w:id="1191800654">
      <w:bodyDiv w:val="1"/>
      <w:marLeft w:val="0"/>
      <w:marRight w:val="0"/>
      <w:marTop w:val="0"/>
      <w:marBottom w:val="0"/>
      <w:divBdr>
        <w:top w:val="none" w:sz="0" w:space="0" w:color="auto"/>
        <w:left w:val="none" w:sz="0" w:space="0" w:color="auto"/>
        <w:bottom w:val="none" w:sz="0" w:space="0" w:color="auto"/>
        <w:right w:val="none" w:sz="0" w:space="0" w:color="auto"/>
      </w:divBdr>
    </w:div>
    <w:div w:id="1191844741">
      <w:bodyDiv w:val="1"/>
      <w:marLeft w:val="0"/>
      <w:marRight w:val="0"/>
      <w:marTop w:val="0"/>
      <w:marBottom w:val="0"/>
      <w:divBdr>
        <w:top w:val="none" w:sz="0" w:space="0" w:color="auto"/>
        <w:left w:val="none" w:sz="0" w:space="0" w:color="auto"/>
        <w:bottom w:val="none" w:sz="0" w:space="0" w:color="auto"/>
        <w:right w:val="none" w:sz="0" w:space="0" w:color="auto"/>
      </w:divBdr>
    </w:div>
    <w:div w:id="1196043138">
      <w:bodyDiv w:val="1"/>
      <w:marLeft w:val="0"/>
      <w:marRight w:val="0"/>
      <w:marTop w:val="0"/>
      <w:marBottom w:val="0"/>
      <w:divBdr>
        <w:top w:val="none" w:sz="0" w:space="0" w:color="auto"/>
        <w:left w:val="none" w:sz="0" w:space="0" w:color="auto"/>
        <w:bottom w:val="none" w:sz="0" w:space="0" w:color="auto"/>
        <w:right w:val="none" w:sz="0" w:space="0" w:color="auto"/>
      </w:divBdr>
    </w:div>
    <w:div w:id="1200242088">
      <w:bodyDiv w:val="1"/>
      <w:marLeft w:val="0"/>
      <w:marRight w:val="0"/>
      <w:marTop w:val="0"/>
      <w:marBottom w:val="0"/>
      <w:divBdr>
        <w:top w:val="none" w:sz="0" w:space="0" w:color="auto"/>
        <w:left w:val="none" w:sz="0" w:space="0" w:color="auto"/>
        <w:bottom w:val="none" w:sz="0" w:space="0" w:color="auto"/>
        <w:right w:val="none" w:sz="0" w:space="0" w:color="auto"/>
      </w:divBdr>
    </w:div>
    <w:div w:id="1204636967">
      <w:bodyDiv w:val="1"/>
      <w:marLeft w:val="0"/>
      <w:marRight w:val="0"/>
      <w:marTop w:val="0"/>
      <w:marBottom w:val="0"/>
      <w:divBdr>
        <w:top w:val="none" w:sz="0" w:space="0" w:color="auto"/>
        <w:left w:val="none" w:sz="0" w:space="0" w:color="auto"/>
        <w:bottom w:val="none" w:sz="0" w:space="0" w:color="auto"/>
        <w:right w:val="none" w:sz="0" w:space="0" w:color="auto"/>
      </w:divBdr>
    </w:div>
    <w:div w:id="1209415344">
      <w:bodyDiv w:val="1"/>
      <w:marLeft w:val="0"/>
      <w:marRight w:val="0"/>
      <w:marTop w:val="0"/>
      <w:marBottom w:val="0"/>
      <w:divBdr>
        <w:top w:val="none" w:sz="0" w:space="0" w:color="auto"/>
        <w:left w:val="none" w:sz="0" w:space="0" w:color="auto"/>
        <w:bottom w:val="none" w:sz="0" w:space="0" w:color="auto"/>
        <w:right w:val="none" w:sz="0" w:space="0" w:color="auto"/>
      </w:divBdr>
    </w:div>
    <w:div w:id="1210266649">
      <w:bodyDiv w:val="1"/>
      <w:marLeft w:val="0"/>
      <w:marRight w:val="0"/>
      <w:marTop w:val="0"/>
      <w:marBottom w:val="0"/>
      <w:divBdr>
        <w:top w:val="none" w:sz="0" w:space="0" w:color="auto"/>
        <w:left w:val="none" w:sz="0" w:space="0" w:color="auto"/>
        <w:bottom w:val="none" w:sz="0" w:space="0" w:color="auto"/>
        <w:right w:val="none" w:sz="0" w:space="0" w:color="auto"/>
      </w:divBdr>
    </w:div>
    <w:div w:id="1211654796">
      <w:bodyDiv w:val="1"/>
      <w:marLeft w:val="0"/>
      <w:marRight w:val="0"/>
      <w:marTop w:val="0"/>
      <w:marBottom w:val="0"/>
      <w:divBdr>
        <w:top w:val="none" w:sz="0" w:space="0" w:color="auto"/>
        <w:left w:val="none" w:sz="0" w:space="0" w:color="auto"/>
        <w:bottom w:val="none" w:sz="0" w:space="0" w:color="auto"/>
        <w:right w:val="none" w:sz="0" w:space="0" w:color="auto"/>
      </w:divBdr>
    </w:div>
    <w:div w:id="1217469608">
      <w:bodyDiv w:val="1"/>
      <w:marLeft w:val="0"/>
      <w:marRight w:val="0"/>
      <w:marTop w:val="0"/>
      <w:marBottom w:val="0"/>
      <w:divBdr>
        <w:top w:val="none" w:sz="0" w:space="0" w:color="auto"/>
        <w:left w:val="none" w:sz="0" w:space="0" w:color="auto"/>
        <w:bottom w:val="none" w:sz="0" w:space="0" w:color="auto"/>
        <w:right w:val="none" w:sz="0" w:space="0" w:color="auto"/>
      </w:divBdr>
    </w:div>
    <w:div w:id="1222323672">
      <w:bodyDiv w:val="1"/>
      <w:marLeft w:val="0"/>
      <w:marRight w:val="0"/>
      <w:marTop w:val="0"/>
      <w:marBottom w:val="0"/>
      <w:divBdr>
        <w:top w:val="none" w:sz="0" w:space="0" w:color="auto"/>
        <w:left w:val="none" w:sz="0" w:space="0" w:color="auto"/>
        <w:bottom w:val="none" w:sz="0" w:space="0" w:color="auto"/>
        <w:right w:val="none" w:sz="0" w:space="0" w:color="auto"/>
      </w:divBdr>
    </w:div>
    <w:div w:id="1248923219">
      <w:bodyDiv w:val="1"/>
      <w:marLeft w:val="0"/>
      <w:marRight w:val="0"/>
      <w:marTop w:val="0"/>
      <w:marBottom w:val="0"/>
      <w:divBdr>
        <w:top w:val="none" w:sz="0" w:space="0" w:color="auto"/>
        <w:left w:val="none" w:sz="0" w:space="0" w:color="auto"/>
        <w:bottom w:val="none" w:sz="0" w:space="0" w:color="auto"/>
        <w:right w:val="none" w:sz="0" w:space="0" w:color="auto"/>
      </w:divBdr>
    </w:div>
    <w:div w:id="1249660542">
      <w:bodyDiv w:val="1"/>
      <w:marLeft w:val="0"/>
      <w:marRight w:val="0"/>
      <w:marTop w:val="0"/>
      <w:marBottom w:val="0"/>
      <w:divBdr>
        <w:top w:val="none" w:sz="0" w:space="0" w:color="auto"/>
        <w:left w:val="none" w:sz="0" w:space="0" w:color="auto"/>
        <w:bottom w:val="none" w:sz="0" w:space="0" w:color="auto"/>
        <w:right w:val="none" w:sz="0" w:space="0" w:color="auto"/>
      </w:divBdr>
    </w:div>
    <w:div w:id="1251697420">
      <w:bodyDiv w:val="1"/>
      <w:marLeft w:val="0"/>
      <w:marRight w:val="0"/>
      <w:marTop w:val="0"/>
      <w:marBottom w:val="0"/>
      <w:divBdr>
        <w:top w:val="none" w:sz="0" w:space="0" w:color="auto"/>
        <w:left w:val="none" w:sz="0" w:space="0" w:color="auto"/>
        <w:bottom w:val="none" w:sz="0" w:space="0" w:color="auto"/>
        <w:right w:val="none" w:sz="0" w:space="0" w:color="auto"/>
      </w:divBdr>
    </w:div>
    <w:div w:id="1265379078">
      <w:bodyDiv w:val="1"/>
      <w:marLeft w:val="0"/>
      <w:marRight w:val="0"/>
      <w:marTop w:val="0"/>
      <w:marBottom w:val="0"/>
      <w:divBdr>
        <w:top w:val="none" w:sz="0" w:space="0" w:color="auto"/>
        <w:left w:val="none" w:sz="0" w:space="0" w:color="auto"/>
        <w:bottom w:val="none" w:sz="0" w:space="0" w:color="auto"/>
        <w:right w:val="none" w:sz="0" w:space="0" w:color="auto"/>
      </w:divBdr>
    </w:div>
    <w:div w:id="1268733016">
      <w:bodyDiv w:val="1"/>
      <w:marLeft w:val="0"/>
      <w:marRight w:val="0"/>
      <w:marTop w:val="0"/>
      <w:marBottom w:val="0"/>
      <w:divBdr>
        <w:top w:val="none" w:sz="0" w:space="0" w:color="auto"/>
        <w:left w:val="none" w:sz="0" w:space="0" w:color="auto"/>
        <w:bottom w:val="none" w:sz="0" w:space="0" w:color="auto"/>
        <w:right w:val="none" w:sz="0" w:space="0" w:color="auto"/>
      </w:divBdr>
    </w:div>
    <w:div w:id="1279022618">
      <w:bodyDiv w:val="1"/>
      <w:marLeft w:val="0"/>
      <w:marRight w:val="0"/>
      <w:marTop w:val="0"/>
      <w:marBottom w:val="0"/>
      <w:divBdr>
        <w:top w:val="none" w:sz="0" w:space="0" w:color="auto"/>
        <w:left w:val="none" w:sz="0" w:space="0" w:color="auto"/>
        <w:bottom w:val="none" w:sz="0" w:space="0" w:color="auto"/>
        <w:right w:val="none" w:sz="0" w:space="0" w:color="auto"/>
      </w:divBdr>
    </w:div>
    <w:div w:id="1287589165">
      <w:bodyDiv w:val="1"/>
      <w:marLeft w:val="0"/>
      <w:marRight w:val="0"/>
      <w:marTop w:val="0"/>
      <w:marBottom w:val="0"/>
      <w:divBdr>
        <w:top w:val="none" w:sz="0" w:space="0" w:color="auto"/>
        <w:left w:val="none" w:sz="0" w:space="0" w:color="auto"/>
        <w:bottom w:val="none" w:sz="0" w:space="0" w:color="auto"/>
        <w:right w:val="none" w:sz="0" w:space="0" w:color="auto"/>
      </w:divBdr>
    </w:div>
    <w:div w:id="1297298469">
      <w:bodyDiv w:val="1"/>
      <w:marLeft w:val="0"/>
      <w:marRight w:val="0"/>
      <w:marTop w:val="0"/>
      <w:marBottom w:val="0"/>
      <w:divBdr>
        <w:top w:val="none" w:sz="0" w:space="0" w:color="auto"/>
        <w:left w:val="none" w:sz="0" w:space="0" w:color="auto"/>
        <w:bottom w:val="none" w:sz="0" w:space="0" w:color="auto"/>
        <w:right w:val="none" w:sz="0" w:space="0" w:color="auto"/>
      </w:divBdr>
    </w:div>
    <w:div w:id="1298223019">
      <w:bodyDiv w:val="1"/>
      <w:marLeft w:val="0"/>
      <w:marRight w:val="0"/>
      <w:marTop w:val="0"/>
      <w:marBottom w:val="0"/>
      <w:divBdr>
        <w:top w:val="none" w:sz="0" w:space="0" w:color="auto"/>
        <w:left w:val="none" w:sz="0" w:space="0" w:color="auto"/>
        <w:bottom w:val="none" w:sz="0" w:space="0" w:color="auto"/>
        <w:right w:val="none" w:sz="0" w:space="0" w:color="auto"/>
      </w:divBdr>
    </w:div>
    <w:div w:id="1323393889">
      <w:bodyDiv w:val="1"/>
      <w:marLeft w:val="0"/>
      <w:marRight w:val="0"/>
      <w:marTop w:val="0"/>
      <w:marBottom w:val="0"/>
      <w:divBdr>
        <w:top w:val="none" w:sz="0" w:space="0" w:color="auto"/>
        <w:left w:val="none" w:sz="0" w:space="0" w:color="auto"/>
        <w:bottom w:val="none" w:sz="0" w:space="0" w:color="auto"/>
        <w:right w:val="none" w:sz="0" w:space="0" w:color="auto"/>
      </w:divBdr>
    </w:div>
    <w:div w:id="1333219486">
      <w:bodyDiv w:val="1"/>
      <w:marLeft w:val="0"/>
      <w:marRight w:val="0"/>
      <w:marTop w:val="0"/>
      <w:marBottom w:val="0"/>
      <w:divBdr>
        <w:top w:val="none" w:sz="0" w:space="0" w:color="auto"/>
        <w:left w:val="none" w:sz="0" w:space="0" w:color="auto"/>
        <w:bottom w:val="none" w:sz="0" w:space="0" w:color="auto"/>
        <w:right w:val="none" w:sz="0" w:space="0" w:color="auto"/>
      </w:divBdr>
    </w:div>
    <w:div w:id="1336494236">
      <w:bodyDiv w:val="1"/>
      <w:marLeft w:val="0"/>
      <w:marRight w:val="0"/>
      <w:marTop w:val="0"/>
      <w:marBottom w:val="0"/>
      <w:divBdr>
        <w:top w:val="none" w:sz="0" w:space="0" w:color="auto"/>
        <w:left w:val="none" w:sz="0" w:space="0" w:color="auto"/>
        <w:bottom w:val="none" w:sz="0" w:space="0" w:color="auto"/>
        <w:right w:val="none" w:sz="0" w:space="0" w:color="auto"/>
      </w:divBdr>
    </w:div>
    <w:div w:id="1340890364">
      <w:bodyDiv w:val="1"/>
      <w:marLeft w:val="0"/>
      <w:marRight w:val="0"/>
      <w:marTop w:val="0"/>
      <w:marBottom w:val="0"/>
      <w:divBdr>
        <w:top w:val="none" w:sz="0" w:space="0" w:color="auto"/>
        <w:left w:val="none" w:sz="0" w:space="0" w:color="auto"/>
        <w:bottom w:val="none" w:sz="0" w:space="0" w:color="auto"/>
        <w:right w:val="none" w:sz="0" w:space="0" w:color="auto"/>
      </w:divBdr>
    </w:div>
    <w:div w:id="1349599335">
      <w:bodyDiv w:val="1"/>
      <w:marLeft w:val="0"/>
      <w:marRight w:val="0"/>
      <w:marTop w:val="0"/>
      <w:marBottom w:val="0"/>
      <w:divBdr>
        <w:top w:val="none" w:sz="0" w:space="0" w:color="auto"/>
        <w:left w:val="none" w:sz="0" w:space="0" w:color="auto"/>
        <w:bottom w:val="none" w:sz="0" w:space="0" w:color="auto"/>
        <w:right w:val="none" w:sz="0" w:space="0" w:color="auto"/>
      </w:divBdr>
    </w:div>
    <w:div w:id="1356349857">
      <w:bodyDiv w:val="1"/>
      <w:marLeft w:val="0"/>
      <w:marRight w:val="0"/>
      <w:marTop w:val="0"/>
      <w:marBottom w:val="0"/>
      <w:divBdr>
        <w:top w:val="none" w:sz="0" w:space="0" w:color="auto"/>
        <w:left w:val="none" w:sz="0" w:space="0" w:color="auto"/>
        <w:bottom w:val="none" w:sz="0" w:space="0" w:color="auto"/>
        <w:right w:val="none" w:sz="0" w:space="0" w:color="auto"/>
      </w:divBdr>
    </w:div>
    <w:div w:id="1359426356">
      <w:bodyDiv w:val="1"/>
      <w:marLeft w:val="0"/>
      <w:marRight w:val="0"/>
      <w:marTop w:val="0"/>
      <w:marBottom w:val="0"/>
      <w:divBdr>
        <w:top w:val="none" w:sz="0" w:space="0" w:color="auto"/>
        <w:left w:val="none" w:sz="0" w:space="0" w:color="auto"/>
        <w:bottom w:val="none" w:sz="0" w:space="0" w:color="auto"/>
        <w:right w:val="none" w:sz="0" w:space="0" w:color="auto"/>
      </w:divBdr>
    </w:div>
    <w:div w:id="1359771772">
      <w:bodyDiv w:val="1"/>
      <w:marLeft w:val="0"/>
      <w:marRight w:val="0"/>
      <w:marTop w:val="0"/>
      <w:marBottom w:val="0"/>
      <w:divBdr>
        <w:top w:val="none" w:sz="0" w:space="0" w:color="auto"/>
        <w:left w:val="none" w:sz="0" w:space="0" w:color="auto"/>
        <w:bottom w:val="none" w:sz="0" w:space="0" w:color="auto"/>
        <w:right w:val="none" w:sz="0" w:space="0" w:color="auto"/>
      </w:divBdr>
    </w:div>
    <w:div w:id="1365180957">
      <w:bodyDiv w:val="1"/>
      <w:marLeft w:val="0"/>
      <w:marRight w:val="0"/>
      <w:marTop w:val="0"/>
      <w:marBottom w:val="0"/>
      <w:divBdr>
        <w:top w:val="none" w:sz="0" w:space="0" w:color="auto"/>
        <w:left w:val="none" w:sz="0" w:space="0" w:color="auto"/>
        <w:bottom w:val="none" w:sz="0" w:space="0" w:color="auto"/>
        <w:right w:val="none" w:sz="0" w:space="0" w:color="auto"/>
      </w:divBdr>
    </w:div>
    <w:div w:id="1369912570">
      <w:bodyDiv w:val="1"/>
      <w:marLeft w:val="0"/>
      <w:marRight w:val="0"/>
      <w:marTop w:val="0"/>
      <w:marBottom w:val="0"/>
      <w:divBdr>
        <w:top w:val="none" w:sz="0" w:space="0" w:color="auto"/>
        <w:left w:val="none" w:sz="0" w:space="0" w:color="auto"/>
        <w:bottom w:val="none" w:sz="0" w:space="0" w:color="auto"/>
        <w:right w:val="none" w:sz="0" w:space="0" w:color="auto"/>
      </w:divBdr>
    </w:div>
    <w:div w:id="1380519080">
      <w:bodyDiv w:val="1"/>
      <w:marLeft w:val="0"/>
      <w:marRight w:val="0"/>
      <w:marTop w:val="0"/>
      <w:marBottom w:val="0"/>
      <w:divBdr>
        <w:top w:val="none" w:sz="0" w:space="0" w:color="auto"/>
        <w:left w:val="none" w:sz="0" w:space="0" w:color="auto"/>
        <w:bottom w:val="none" w:sz="0" w:space="0" w:color="auto"/>
        <w:right w:val="none" w:sz="0" w:space="0" w:color="auto"/>
      </w:divBdr>
    </w:div>
    <w:div w:id="1394155735">
      <w:bodyDiv w:val="1"/>
      <w:marLeft w:val="0"/>
      <w:marRight w:val="0"/>
      <w:marTop w:val="0"/>
      <w:marBottom w:val="0"/>
      <w:divBdr>
        <w:top w:val="none" w:sz="0" w:space="0" w:color="auto"/>
        <w:left w:val="none" w:sz="0" w:space="0" w:color="auto"/>
        <w:bottom w:val="none" w:sz="0" w:space="0" w:color="auto"/>
        <w:right w:val="none" w:sz="0" w:space="0" w:color="auto"/>
      </w:divBdr>
    </w:div>
    <w:div w:id="1398895257">
      <w:bodyDiv w:val="1"/>
      <w:marLeft w:val="0"/>
      <w:marRight w:val="0"/>
      <w:marTop w:val="0"/>
      <w:marBottom w:val="0"/>
      <w:divBdr>
        <w:top w:val="none" w:sz="0" w:space="0" w:color="auto"/>
        <w:left w:val="none" w:sz="0" w:space="0" w:color="auto"/>
        <w:bottom w:val="none" w:sz="0" w:space="0" w:color="auto"/>
        <w:right w:val="none" w:sz="0" w:space="0" w:color="auto"/>
      </w:divBdr>
    </w:div>
    <w:div w:id="1403019833">
      <w:bodyDiv w:val="1"/>
      <w:marLeft w:val="0"/>
      <w:marRight w:val="0"/>
      <w:marTop w:val="0"/>
      <w:marBottom w:val="0"/>
      <w:divBdr>
        <w:top w:val="none" w:sz="0" w:space="0" w:color="auto"/>
        <w:left w:val="none" w:sz="0" w:space="0" w:color="auto"/>
        <w:bottom w:val="none" w:sz="0" w:space="0" w:color="auto"/>
        <w:right w:val="none" w:sz="0" w:space="0" w:color="auto"/>
      </w:divBdr>
    </w:div>
    <w:div w:id="1416242609">
      <w:bodyDiv w:val="1"/>
      <w:marLeft w:val="0"/>
      <w:marRight w:val="0"/>
      <w:marTop w:val="0"/>
      <w:marBottom w:val="0"/>
      <w:divBdr>
        <w:top w:val="none" w:sz="0" w:space="0" w:color="auto"/>
        <w:left w:val="none" w:sz="0" w:space="0" w:color="auto"/>
        <w:bottom w:val="none" w:sz="0" w:space="0" w:color="auto"/>
        <w:right w:val="none" w:sz="0" w:space="0" w:color="auto"/>
      </w:divBdr>
    </w:div>
    <w:div w:id="1418093950">
      <w:bodyDiv w:val="1"/>
      <w:marLeft w:val="0"/>
      <w:marRight w:val="0"/>
      <w:marTop w:val="0"/>
      <w:marBottom w:val="0"/>
      <w:divBdr>
        <w:top w:val="none" w:sz="0" w:space="0" w:color="auto"/>
        <w:left w:val="none" w:sz="0" w:space="0" w:color="auto"/>
        <w:bottom w:val="none" w:sz="0" w:space="0" w:color="auto"/>
        <w:right w:val="none" w:sz="0" w:space="0" w:color="auto"/>
      </w:divBdr>
    </w:div>
    <w:div w:id="1420448814">
      <w:bodyDiv w:val="1"/>
      <w:marLeft w:val="0"/>
      <w:marRight w:val="0"/>
      <w:marTop w:val="0"/>
      <w:marBottom w:val="0"/>
      <w:divBdr>
        <w:top w:val="none" w:sz="0" w:space="0" w:color="auto"/>
        <w:left w:val="none" w:sz="0" w:space="0" w:color="auto"/>
        <w:bottom w:val="none" w:sz="0" w:space="0" w:color="auto"/>
        <w:right w:val="none" w:sz="0" w:space="0" w:color="auto"/>
      </w:divBdr>
    </w:div>
    <w:div w:id="1429346602">
      <w:bodyDiv w:val="1"/>
      <w:marLeft w:val="0"/>
      <w:marRight w:val="0"/>
      <w:marTop w:val="0"/>
      <w:marBottom w:val="0"/>
      <w:divBdr>
        <w:top w:val="none" w:sz="0" w:space="0" w:color="auto"/>
        <w:left w:val="none" w:sz="0" w:space="0" w:color="auto"/>
        <w:bottom w:val="none" w:sz="0" w:space="0" w:color="auto"/>
        <w:right w:val="none" w:sz="0" w:space="0" w:color="auto"/>
      </w:divBdr>
    </w:div>
    <w:div w:id="1437865125">
      <w:bodyDiv w:val="1"/>
      <w:marLeft w:val="0"/>
      <w:marRight w:val="0"/>
      <w:marTop w:val="0"/>
      <w:marBottom w:val="0"/>
      <w:divBdr>
        <w:top w:val="none" w:sz="0" w:space="0" w:color="auto"/>
        <w:left w:val="none" w:sz="0" w:space="0" w:color="auto"/>
        <w:bottom w:val="none" w:sz="0" w:space="0" w:color="auto"/>
        <w:right w:val="none" w:sz="0" w:space="0" w:color="auto"/>
      </w:divBdr>
    </w:div>
    <w:div w:id="1458834875">
      <w:bodyDiv w:val="1"/>
      <w:marLeft w:val="0"/>
      <w:marRight w:val="0"/>
      <w:marTop w:val="0"/>
      <w:marBottom w:val="0"/>
      <w:divBdr>
        <w:top w:val="none" w:sz="0" w:space="0" w:color="auto"/>
        <w:left w:val="none" w:sz="0" w:space="0" w:color="auto"/>
        <w:bottom w:val="none" w:sz="0" w:space="0" w:color="auto"/>
        <w:right w:val="none" w:sz="0" w:space="0" w:color="auto"/>
      </w:divBdr>
    </w:div>
    <w:div w:id="1460764189">
      <w:bodyDiv w:val="1"/>
      <w:marLeft w:val="0"/>
      <w:marRight w:val="0"/>
      <w:marTop w:val="0"/>
      <w:marBottom w:val="0"/>
      <w:divBdr>
        <w:top w:val="none" w:sz="0" w:space="0" w:color="auto"/>
        <w:left w:val="none" w:sz="0" w:space="0" w:color="auto"/>
        <w:bottom w:val="none" w:sz="0" w:space="0" w:color="auto"/>
        <w:right w:val="none" w:sz="0" w:space="0" w:color="auto"/>
      </w:divBdr>
    </w:div>
    <w:div w:id="1464275900">
      <w:bodyDiv w:val="1"/>
      <w:marLeft w:val="0"/>
      <w:marRight w:val="0"/>
      <w:marTop w:val="0"/>
      <w:marBottom w:val="0"/>
      <w:divBdr>
        <w:top w:val="none" w:sz="0" w:space="0" w:color="auto"/>
        <w:left w:val="none" w:sz="0" w:space="0" w:color="auto"/>
        <w:bottom w:val="none" w:sz="0" w:space="0" w:color="auto"/>
        <w:right w:val="none" w:sz="0" w:space="0" w:color="auto"/>
      </w:divBdr>
    </w:div>
    <w:div w:id="1472479584">
      <w:bodyDiv w:val="1"/>
      <w:marLeft w:val="0"/>
      <w:marRight w:val="0"/>
      <w:marTop w:val="0"/>
      <w:marBottom w:val="0"/>
      <w:divBdr>
        <w:top w:val="none" w:sz="0" w:space="0" w:color="auto"/>
        <w:left w:val="none" w:sz="0" w:space="0" w:color="auto"/>
        <w:bottom w:val="none" w:sz="0" w:space="0" w:color="auto"/>
        <w:right w:val="none" w:sz="0" w:space="0" w:color="auto"/>
      </w:divBdr>
    </w:div>
    <w:div w:id="1475098041">
      <w:bodyDiv w:val="1"/>
      <w:marLeft w:val="0"/>
      <w:marRight w:val="0"/>
      <w:marTop w:val="0"/>
      <w:marBottom w:val="0"/>
      <w:divBdr>
        <w:top w:val="none" w:sz="0" w:space="0" w:color="auto"/>
        <w:left w:val="none" w:sz="0" w:space="0" w:color="auto"/>
        <w:bottom w:val="none" w:sz="0" w:space="0" w:color="auto"/>
        <w:right w:val="none" w:sz="0" w:space="0" w:color="auto"/>
      </w:divBdr>
    </w:div>
    <w:div w:id="1495797638">
      <w:bodyDiv w:val="1"/>
      <w:marLeft w:val="0"/>
      <w:marRight w:val="0"/>
      <w:marTop w:val="0"/>
      <w:marBottom w:val="0"/>
      <w:divBdr>
        <w:top w:val="none" w:sz="0" w:space="0" w:color="auto"/>
        <w:left w:val="none" w:sz="0" w:space="0" w:color="auto"/>
        <w:bottom w:val="none" w:sz="0" w:space="0" w:color="auto"/>
        <w:right w:val="none" w:sz="0" w:space="0" w:color="auto"/>
      </w:divBdr>
    </w:div>
    <w:div w:id="1517579799">
      <w:bodyDiv w:val="1"/>
      <w:marLeft w:val="0"/>
      <w:marRight w:val="0"/>
      <w:marTop w:val="0"/>
      <w:marBottom w:val="0"/>
      <w:divBdr>
        <w:top w:val="none" w:sz="0" w:space="0" w:color="auto"/>
        <w:left w:val="none" w:sz="0" w:space="0" w:color="auto"/>
        <w:bottom w:val="none" w:sz="0" w:space="0" w:color="auto"/>
        <w:right w:val="none" w:sz="0" w:space="0" w:color="auto"/>
      </w:divBdr>
    </w:div>
    <w:div w:id="1525169674">
      <w:bodyDiv w:val="1"/>
      <w:marLeft w:val="0"/>
      <w:marRight w:val="0"/>
      <w:marTop w:val="0"/>
      <w:marBottom w:val="0"/>
      <w:divBdr>
        <w:top w:val="none" w:sz="0" w:space="0" w:color="auto"/>
        <w:left w:val="none" w:sz="0" w:space="0" w:color="auto"/>
        <w:bottom w:val="none" w:sz="0" w:space="0" w:color="auto"/>
        <w:right w:val="none" w:sz="0" w:space="0" w:color="auto"/>
      </w:divBdr>
    </w:div>
    <w:div w:id="1525943337">
      <w:bodyDiv w:val="1"/>
      <w:marLeft w:val="0"/>
      <w:marRight w:val="0"/>
      <w:marTop w:val="0"/>
      <w:marBottom w:val="0"/>
      <w:divBdr>
        <w:top w:val="none" w:sz="0" w:space="0" w:color="auto"/>
        <w:left w:val="none" w:sz="0" w:space="0" w:color="auto"/>
        <w:bottom w:val="none" w:sz="0" w:space="0" w:color="auto"/>
        <w:right w:val="none" w:sz="0" w:space="0" w:color="auto"/>
      </w:divBdr>
    </w:div>
    <w:div w:id="1527137932">
      <w:bodyDiv w:val="1"/>
      <w:marLeft w:val="0"/>
      <w:marRight w:val="0"/>
      <w:marTop w:val="0"/>
      <w:marBottom w:val="0"/>
      <w:divBdr>
        <w:top w:val="none" w:sz="0" w:space="0" w:color="auto"/>
        <w:left w:val="none" w:sz="0" w:space="0" w:color="auto"/>
        <w:bottom w:val="none" w:sz="0" w:space="0" w:color="auto"/>
        <w:right w:val="none" w:sz="0" w:space="0" w:color="auto"/>
      </w:divBdr>
    </w:div>
    <w:div w:id="1534460169">
      <w:bodyDiv w:val="1"/>
      <w:marLeft w:val="0"/>
      <w:marRight w:val="0"/>
      <w:marTop w:val="0"/>
      <w:marBottom w:val="0"/>
      <w:divBdr>
        <w:top w:val="none" w:sz="0" w:space="0" w:color="auto"/>
        <w:left w:val="none" w:sz="0" w:space="0" w:color="auto"/>
        <w:bottom w:val="none" w:sz="0" w:space="0" w:color="auto"/>
        <w:right w:val="none" w:sz="0" w:space="0" w:color="auto"/>
      </w:divBdr>
    </w:div>
    <w:div w:id="1574512990">
      <w:bodyDiv w:val="1"/>
      <w:marLeft w:val="0"/>
      <w:marRight w:val="0"/>
      <w:marTop w:val="0"/>
      <w:marBottom w:val="0"/>
      <w:divBdr>
        <w:top w:val="none" w:sz="0" w:space="0" w:color="auto"/>
        <w:left w:val="none" w:sz="0" w:space="0" w:color="auto"/>
        <w:bottom w:val="none" w:sz="0" w:space="0" w:color="auto"/>
        <w:right w:val="none" w:sz="0" w:space="0" w:color="auto"/>
      </w:divBdr>
    </w:div>
    <w:div w:id="1577130641">
      <w:bodyDiv w:val="1"/>
      <w:marLeft w:val="0"/>
      <w:marRight w:val="0"/>
      <w:marTop w:val="0"/>
      <w:marBottom w:val="0"/>
      <w:divBdr>
        <w:top w:val="none" w:sz="0" w:space="0" w:color="auto"/>
        <w:left w:val="none" w:sz="0" w:space="0" w:color="auto"/>
        <w:bottom w:val="none" w:sz="0" w:space="0" w:color="auto"/>
        <w:right w:val="none" w:sz="0" w:space="0" w:color="auto"/>
      </w:divBdr>
    </w:div>
    <w:div w:id="1580480990">
      <w:bodyDiv w:val="1"/>
      <w:marLeft w:val="0"/>
      <w:marRight w:val="0"/>
      <w:marTop w:val="0"/>
      <w:marBottom w:val="0"/>
      <w:divBdr>
        <w:top w:val="none" w:sz="0" w:space="0" w:color="auto"/>
        <w:left w:val="none" w:sz="0" w:space="0" w:color="auto"/>
        <w:bottom w:val="none" w:sz="0" w:space="0" w:color="auto"/>
        <w:right w:val="none" w:sz="0" w:space="0" w:color="auto"/>
      </w:divBdr>
    </w:div>
    <w:div w:id="1581332977">
      <w:bodyDiv w:val="1"/>
      <w:marLeft w:val="0"/>
      <w:marRight w:val="0"/>
      <w:marTop w:val="0"/>
      <w:marBottom w:val="0"/>
      <w:divBdr>
        <w:top w:val="none" w:sz="0" w:space="0" w:color="auto"/>
        <w:left w:val="none" w:sz="0" w:space="0" w:color="auto"/>
        <w:bottom w:val="none" w:sz="0" w:space="0" w:color="auto"/>
        <w:right w:val="none" w:sz="0" w:space="0" w:color="auto"/>
      </w:divBdr>
    </w:div>
    <w:div w:id="1581988912">
      <w:bodyDiv w:val="1"/>
      <w:marLeft w:val="0"/>
      <w:marRight w:val="0"/>
      <w:marTop w:val="0"/>
      <w:marBottom w:val="0"/>
      <w:divBdr>
        <w:top w:val="none" w:sz="0" w:space="0" w:color="auto"/>
        <w:left w:val="none" w:sz="0" w:space="0" w:color="auto"/>
        <w:bottom w:val="none" w:sz="0" w:space="0" w:color="auto"/>
        <w:right w:val="none" w:sz="0" w:space="0" w:color="auto"/>
      </w:divBdr>
    </w:div>
    <w:div w:id="1599875594">
      <w:bodyDiv w:val="1"/>
      <w:marLeft w:val="0"/>
      <w:marRight w:val="0"/>
      <w:marTop w:val="0"/>
      <w:marBottom w:val="0"/>
      <w:divBdr>
        <w:top w:val="none" w:sz="0" w:space="0" w:color="auto"/>
        <w:left w:val="none" w:sz="0" w:space="0" w:color="auto"/>
        <w:bottom w:val="none" w:sz="0" w:space="0" w:color="auto"/>
        <w:right w:val="none" w:sz="0" w:space="0" w:color="auto"/>
      </w:divBdr>
    </w:div>
    <w:div w:id="1617591470">
      <w:bodyDiv w:val="1"/>
      <w:marLeft w:val="0"/>
      <w:marRight w:val="0"/>
      <w:marTop w:val="0"/>
      <w:marBottom w:val="0"/>
      <w:divBdr>
        <w:top w:val="none" w:sz="0" w:space="0" w:color="auto"/>
        <w:left w:val="none" w:sz="0" w:space="0" w:color="auto"/>
        <w:bottom w:val="none" w:sz="0" w:space="0" w:color="auto"/>
        <w:right w:val="none" w:sz="0" w:space="0" w:color="auto"/>
      </w:divBdr>
    </w:div>
    <w:div w:id="1630354436">
      <w:bodyDiv w:val="1"/>
      <w:marLeft w:val="0"/>
      <w:marRight w:val="0"/>
      <w:marTop w:val="0"/>
      <w:marBottom w:val="0"/>
      <w:divBdr>
        <w:top w:val="none" w:sz="0" w:space="0" w:color="auto"/>
        <w:left w:val="none" w:sz="0" w:space="0" w:color="auto"/>
        <w:bottom w:val="none" w:sz="0" w:space="0" w:color="auto"/>
        <w:right w:val="none" w:sz="0" w:space="0" w:color="auto"/>
      </w:divBdr>
    </w:div>
    <w:div w:id="1636332579">
      <w:bodyDiv w:val="1"/>
      <w:marLeft w:val="0"/>
      <w:marRight w:val="0"/>
      <w:marTop w:val="0"/>
      <w:marBottom w:val="0"/>
      <w:divBdr>
        <w:top w:val="none" w:sz="0" w:space="0" w:color="auto"/>
        <w:left w:val="none" w:sz="0" w:space="0" w:color="auto"/>
        <w:bottom w:val="none" w:sz="0" w:space="0" w:color="auto"/>
        <w:right w:val="none" w:sz="0" w:space="0" w:color="auto"/>
      </w:divBdr>
    </w:div>
    <w:div w:id="1653676893">
      <w:bodyDiv w:val="1"/>
      <w:marLeft w:val="0"/>
      <w:marRight w:val="0"/>
      <w:marTop w:val="0"/>
      <w:marBottom w:val="0"/>
      <w:divBdr>
        <w:top w:val="none" w:sz="0" w:space="0" w:color="auto"/>
        <w:left w:val="none" w:sz="0" w:space="0" w:color="auto"/>
        <w:bottom w:val="none" w:sz="0" w:space="0" w:color="auto"/>
        <w:right w:val="none" w:sz="0" w:space="0" w:color="auto"/>
      </w:divBdr>
    </w:div>
    <w:div w:id="1664627781">
      <w:bodyDiv w:val="1"/>
      <w:marLeft w:val="0"/>
      <w:marRight w:val="0"/>
      <w:marTop w:val="0"/>
      <w:marBottom w:val="0"/>
      <w:divBdr>
        <w:top w:val="none" w:sz="0" w:space="0" w:color="auto"/>
        <w:left w:val="none" w:sz="0" w:space="0" w:color="auto"/>
        <w:bottom w:val="none" w:sz="0" w:space="0" w:color="auto"/>
        <w:right w:val="none" w:sz="0" w:space="0" w:color="auto"/>
      </w:divBdr>
    </w:div>
    <w:div w:id="1671520373">
      <w:bodyDiv w:val="1"/>
      <w:marLeft w:val="0"/>
      <w:marRight w:val="0"/>
      <w:marTop w:val="0"/>
      <w:marBottom w:val="0"/>
      <w:divBdr>
        <w:top w:val="none" w:sz="0" w:space="0" w:color="auto"/>
        <w:left w:val="none" w:sz="0" w:space="0" w:color="auto"/>
        <w:bottom w:val="none" w:sz="0" w:space="0" w:color="auto"/>
        <w:right w:val="none" w:sz="0" w:space="0" w:color="auto"/>
      </w:divBdr>
    </w:div>
    <w:div w:id="1709143365">
      <w:bodyDiv w:val="1"/>
      <w:marLeft w:val="0"/>
      <w:marRight w:val="0"/>
      <w:marTop w:val="0"/>
      <w:marBottom w:val="0"/>
      <w:divBdr>
        <w:top w:val="none" w:sz="0" w:space="0" w:color="auto"/>
        <w:left w:val="none" w:sz="0" w:space="0" w:color="auto"/>
        <w:bottom w:val="none" w:sz="0" w:space="0" w:color="auto"/>
        <w:right w:val="none" w:sz="0" w:space="0" w:color="auto"/>
      </w:divBdr>
    </w:div>
    <w:div w:id="1709334598">
      <w:bodyDiv w:val="1"/>
      <w:marLeft w:val="0"/>
      <w:marRight w:val="0"/>
      <w:marTop w:val="0"/>
      <w:marBottom w:val="0"/>
      <w:divBdr>
        <w:top w:val="none" w:sz="0" w:space="0" w:color="auto"/>
        <w:left w:val="none" w:sz="0" w:space="0" w:color="auto"/>
        <w:bottom w:val="none" w:sz="0" w:space="0" w:color="auto"/>
        <w:right w:val="none" w:sz="0" w:space="0" w:color="auto"/>
      </w:divBdr>
    </w:div>
    <w:div w:id="1709991233">
      <w:bodyDiv w:val="1"/>
      <w:marLeft w:val="0"/>
      <w:marRight w:val="0"/>
      <w:marTop w:val="0"/>
      <w:marBottom w:val="0"/>
      <w:divBdr>
        <w:top w:val="none" w:sz="0" w:space="0" w:color="auto"/>
        <w:left w:val="none" w:sz="0" w:space="0" w:color="auto"/>
        <w:bottom w:val="none" w:sz="0" w:space="0" w:color="auto"/>
        <w:right w:val="none" w:sz="0" w:space="0" w:color="auto"/>
      </w:divBdr>
    </w:div>
    <w:div w:id="1711414781">
      <w:bodyDiv w:val="1"/>
      <w:marLeft w:val="0"/>
      <w:marRight w:val="0"/>
      <w:marTop w:val="0"/>
      <w:marBottom w:val="0"/>
      <w:divBdr>
        <w:top w:val="none" w:sz="0" w:space="0" w:color="auto"/>
        <w:left w:val="none" w:sz="0" w:space="0" w:color="auto"/>
        <w:bottom w:val="none" w:sz="0" w:space="0" w:color="auto"/>
        <w:right w:val="none" w:sz="0" w:space="0" w:color="auto"/>
      </w:divBdr>
    </w:div>
    <w:div w:id="1715040232">
      <w:bodyDiv w:val="1"/>
      <w:marLeft w:val="0"/>
      <w:marRight w:val="0"/>
      <w:marTop w:val="0"/>
      <w:marBottom w:val="0"/>
      <w:divBdr>
        <w:top w:val="none" w:sz="0" w:space="0" w:color="auto"/>
        <w:left w:val="none" w:sz="0" w:space="0" w:color="auto"/>
        <w:bottom w:val="none" w:sz="0" w:space="0" w:color="auto"/>
        <w:right w:val="none" w:sz="0" w:space="0" w:color="auto"/>
      </w:divBdr>
    </w:div>
    <w:div w:id="1724137104">
      <w:bodyDiv w:val="1"/>
      <w:marLeft w:val="0"/>
      <w:marRight w:val="0"/>
      <w:marTop w:val="0"/>
      <w:marBottom w:val="0"/>
      <w:divBdr>
        <w:top w:val="none" w:sz="0" w:space="0" w:color="auto"/>
        <w:left w:val="none" w:sz="0" w:space="0" w:color="auto"/>
        <w:bottom w:val="none" w:sz="0" w:space="0" w:color="auto"/>
        <w:right w:val="none" w:sz="0" w:space="0" w:color="auto"/>
      </w:divBdr>
    </w:div>
    <w:div w:id="1729105462">
      <w:bodyDiv w:val="1"/>
      <w:marLeft w:val="0"/>
      <w:marRight w:val="0"/>
      <w:marTop w:val="0"/>
      <w:marBottom w:val="0"/>
      <w:divBdr>
        <w:top w:val="none" w:sz="0" w:space="0" w:color="auto"/>
        <w:left w:val="none" w:sz="0" w:space="0" w:color="auto"/>
        <w:bottom w:val="none" w:sz="0" w:space="0" w:color="auto"/>
        <w:right w:val="none" w:sz="0" w:space="0" w:color="auto"/>
      </w:divBdr>
    </w:div>
    <w:div w:id="1741634751">
      <w:bodyDiv w:val="1"/>
      <w:marLeft w:val="0"/>
      <w:marRight w:val="0"/>
      <w:marTop w:val="0"/>
      <w:marBottom w:val="0"/>
      <w:divBdr>
        <w:top w:val="none" w:sz="0" w:space="0" w:color="auto"/>
        <w:left w:val="none" w:sz="0" w:space="0" w:color="auto"/>
        <w:bottom w:val="none" w:sz="0" w:space="0" w:color="auto"/>
        <w:right w:val="none" w:sz="0" w:space="0" w:color="auto"/>
      </w:divBdr>
    </w:div>
    <w:div w:id="1754425880">
      <w:bodyDiv w:val="1"/>
      <w:marLeft w:val="0"/>
      <w:marRight w:val="0"/>
      <w:marTop w:val="0"/>
      <w:marBottom w:val="0"/>
      <w:divBdr>
        <w:top w:val="none" w:sz="0" w:space="0" w:color="auto"/>
        <w:left w:val="none" w:sz="0" w:space="0" w:color="auto"/>
        <w:bottom w:val="none" w:sz="0" w:space="0" w:color="auto"/>
        <w:right w:val="none" w:sz="0" w:space="0" w:color="auto"/>
      </w:divBdr>
    </w:div>
    <w:div w:id="1770540959">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 w:id="1778938910">
      <w:bodyDiv w:val="1"/>
      <w:marLeft w:val="0"/>
      <w:marRight w:val="0"/>
      <w:marTop w:val="0"/>
      <w:marBottom w:val="0"/>
      <w:divBdr>
        <w:top w:val="none" w:sz="0" w:space="0" w:color="auto"/>
        <w:left w:val="none" w:sz="0" w:space="0" w:color="auto"/>
        <w:bottom w:val="none" w:sz="0" w:space="0" w:color="auto"/>
        <w:right w:val="none" w:sz="0" w:space="0" w:color="auto"/>
      </w:divBdr>
    </w:div>
    <w:div w:id="1781804176">
      <w:bodyDiv w:val="1"/>
      <w:marLeft w:val="0"/>
      <w:marRight w:val="0"/>
      <w:marTop w:val="0"/>
      <w:marBottom w:val="0"/>
      <w:divBdr>
        <w:top w:val="none" w:sz="0" w:space="0" w:color="auto"/>
        <w:left w:val="none" w:sz="0" w:space="0" w:color="auto"/>
        <w:bottom w:val="none" w:sz="0" w:space="0" w:color="auto"/>
        <w:right w:val="none" w:sz="0" w:space="0" w:color="auto"/>
      </w:divBdr>
    </w:div>
    <w:div w:id="1791894157">
      <w:bodyDiv w:val="1"/>
      <w:marLeft w:val="0"/>
      <w:marRight w:val="0"/>
      <w:marTop w:val="0"/>
      <w:marBottom w:val="0"/>
      <w:divBdr>
        <w:top w:val="none" w:sz="0" w:space="0" w:color="auto"/>
        <w:left w:val="none" w:sz="0" w:space="0" w:color="auto"/>
        <w:bottom w:val="none" w:sz="0" w:space="0" w:color="auto"/>
        <w:right w:val="none" w:sz="0" w:space="0" w:color="auto"/>
      </w:divBdr>
    </w:div>
    <w:div w:id="1795252870">
      <w:bodyDiv w:val="1"/>
      <w:marLeft w:val="0"/>
      <w:marRight w:val="0"/>
      <w:marTop w:val="0"/>
      <w:marBottom w:val="0"/>
      <w:divBdr>
        <w:top w:val="none" w:sz="0" w:space="0" w:color="auto"/>
        <w:left w:val="none" w:sz="0" w:space="0" w:color="auto"/>
        <w:bottom w:val="none" w:sz="0" w:space="0" w:color="auto"/>
        <w:right w:val="none" w:sz="0" w:space="0" w:color="auto"/>
      </w:divBdr>
    </w:div>
    <w:div w:id="1800032241">
      <w:bodyDiv w:val="1"/>
      <w:marLeft w:val="0"/>
      <w:marRight w:val="0"/>
      <w:marTop w:val="0"/>
      <w:marBottom w:val="0"/>
      <w:divBdr>
        <w:top w:val="none" w:sz="0" w:space="0" w:color="auto"/>
        <w:left w:val="none" w:sz="0" w:space="0" w:color="auto"/>
        <w:bottom w:val="none" w:sz="0" w:space="0" w:color="auto"/>
        <w:right w:val="none" w:sz="0" w:space="0" w:color="auto"/>
      </w:divBdr>
    </w:div>
    <w:div w:id="1831675366">
      <w:bodyDiv w:val="1"/>
      <w:marLeft w:val="0"/>
      <w:marRight w:val="0"/>
      <w:marTop w:val="0"/>
      <w:marBottom w:val="0"/>
      <w:divBdr>
        <w:top w:val="none" w:sz="0" w:space="0" w:color="auto"/>
        <w:left w:val="none" w:sz="0" w:space="0" w:color="auto"/>
        <w:bottom w:val="none" w:sz="0" w:space="0" w:color="auto"/>
        <w:right w:val="none" w:sz="0" w:space="0" w:color="auto"/>
      </w:divBdr>
    </w:div>
    <w:div w:id="1852259635">
      <w:bodyDiv w:val="1"/>
      <w:marLeft w:val="0"/>
      <w:marRight w:val="0"/>
      <w:marTop w:val="0"/>
      <w:marBottom w:val="0"/>
      <w:divBdr>
        <w:top w:val="none" w:sz="0" w:space="0" w:color="auto"/>
        <w:left w:val="none" w:sz="0" w:space="0" w:color="auto"/>
        <w:bottom w:val="none" w:sz="0" w:space="0" w:color="auto"/>
        <w:right w:val="none" w:sz="0" w:space="0" w:color="auto"/>
      </w:divBdr>
    </w:div>
    <w:div w:id="1861357858">
      <w:bodyDiv w:val="1"/>
      <w:marLeft w:val="0"/>
      <w:marRight w:val="0"/>
      <w:marTop w:val="0"/>
      <w:marBottom w:val="0"/>
      <w:divBdr>
        <w:top w:val="none" w:sz="0" w:space="0" w:color="auto"/>
        <w:left w:val="none" w:sz="0" w:space="0" w:color="auto"/>
        <w:bottom w:val="none" w:sz="0" w:space="0" w:color="auto"/>
        <w:right w:val="none" w:sz="0" w:space="0" w:color="auto"/>
      </w:divBdr>
    </w:div>
    <w:div w:id="1864510879">
      <w:bodyDiv w:val="1"/>
      <w:marLeft w:val="0"/>
      <w:marRight w:val="0"/>
      <w:marTop w:val="0"/>
      <w:marBottom w:val="0"/>
      <w:divBdr>
        <w:top w:val="none" w:sz="0" w:space="0" w:color="auto"/>
        <w:left w:val="none" w:sz="0" w:space="0" w:color="auto"/>
        <w:bottom w:val="none" w:sz="0" w:space="0" w:color="auto"/>
        <w:right w:val="none" w:sz="0" w:space="0" w:color="auto"/>
      </w:divBdr>
    </w:div>
    <w:div w:id="1871723849">
      <w:bodyDiv w:val="1"/>
      <w:marLeft w:val="0"/>
      <w:marRight w:val="0"/>
      <w:marTop w:val="0"/>
      <w:marBottom w:val="0"/>
      <w:divBdr>
        <w:top w:val="none" w:sz="0" w:space="0" w:color="auto"/>
        <w:left w:val="none" w:sz="0" w:space="0" w:color="auto"/>
        <w:bottom w:val="none" w:sz="0" w:space="0" w:color="auto"/>
        <w:right w:val="none" w:sz="0" w:space="0" w:color="auto"/>
      </w:divBdr>
    </w:div>
    <w:div w:id="1876113872">
      <w:bodyDiv w:val="1"/>
      <w:marLeft w:val="0"/>
      <w:marRight w:val="0"/>
      <w:marTop w:val="0"/>
      <w:marBottom w:val="0"/>
      <w:divBdr>
        <w:top w:val="none" w:sz="0" w:space="0" w:color="auto"/>
        <w:left w:val="none" w:sz="0" w:space="0" w:color="auto"/>
        <w:bottom w:val="none" w:sz="0" w:space="0" w:color="auto"/>
        <w:right w:val="none" w:sz="0" w:space="0" w:color="auto"/>
      </w:divBdr>
    </w:div>
    <w:div w:id="1883638800">
      <w:bodyDiv w:val="1"/>
      <w:marLeft w:val="0"/>
      <w:marRight w:val="0"/>
      <w:marTop w:val="0"/>
      <w:marBottom w:val="0"/>
      <w:divBdr>
        <w:top w:val="none" w:sz="0" w:space="0" w:color="auto"/>
        <w:left w:val="none" w:sz="0" w:space="0" w:color="auto"/>
        <w:bottom w:val="none" w:sz="0" w:space="0" w:color="auto"/>
        <w:right w:val="none" w:sz="0" w:space="0" w:color="auto"/>
      </w:divBdr>
    </w:div>
    <w:div w:id="1896430920">
      <w:bodyDiv w:val="1"/>
      <w:marLeft w:val="0"/>
      <w:marRight w:val="0"/>
      <w:marTop w:val="0"/>
      <w:marBottom w:val="0"/>
      <w:divBdr>
        <w:top w:val="none" w:sz="0" w:space="0" w:color="auto"/>
        <w:left w:val="none" w:sz="0" w:space="0" w:color="auto"/>
        <w:bottom w:val="none" w:sz="0" w:space="0" w:color="auto"/>
        <w:right w:val="none" w:sz="0" w:space="0" w:color="auto"/>
      </w:divBdr>
    </w:div>
    <w:div w:id="1901479946">
      <w:bodyDiv w:val="1"/>
      <w:marLeft w:val="0"/>
      <w:marRight w:val="0"/>
      <w:marTop w:val="0"/>
      <w:marBottom w:val="0"/>
      <w:divBdr>
        <w:top w:val="none" w:sz="0" w:space="0" w:color="auto"/>
        <w:left w:val="none" w:sz="0" w:space="0" w:color="auto"/>
        <w:bottom w:val="none" w:sz="0" w:space="0" w:color="auto"/>
        <w:right w:val="none" w:sz="0" w:space="0" w:color="auto"/>
      </w:divBdr>
    </w:div>
    <w:div w:id="1901671121">
      <w:bodyDiv w:val="1"/>
      <w:marLeft w:val="0"/>
      <w:marRight w:val="0"/>
      <w:marTop w:val="0"/>
      <w:marBottom w:val="0"/>
      <w:divBdr>
        <w:top w:val="none" w:sz="0" w:space="0" w:color="auto"/>
        <w:left w:val="none" w:sz="0" w:space="0" w:color="auto"/>
        <w:bottom w:val="none" w:sz="0" w:space="0" w:color="auto"/>
        <w:right w:val="none" w:sz="0" w:space="0" w:color="auto"/>
      </w:divBdr>
    </w:div>
    <w:div w:id="1903981676">
      <w:bodyDiv w:val="1"/>
      <w:marLeft w:val="0"/>
      <w:marRight w:val="0"/>
      <w:marTop w:val="0"/>
      <w:marBottom w:val="0"/>
      <w:divBdr>
        <w:top w:val="none" w:sz="0" w:space="0" w:color="auto"/>
        <w:left w:val="none" w:sz="0" w:space="0" w:color="auto"/>
        <w:bottom w:val="none" w:sz="0" w:space="0" w:color="auto"/>
        <w:right w:val="none" w:sz="0" w:space="0" w:color="auto"/>
      </w:divBdr>
    </w:div>
    <w:div w:id="1909415603">
      <w:bodyDiv w:val="1"/>
      <w:marLeft w:val="0"/>
      <w:marRight w:val="0"/>
      <w:marTop w:val="0"/>
      <w:marBottom w:val="0"/>
      <w:divBdr>
        <w:top w:val="none" w:sz="0" w:space="0" w:color="auto"/>
        <w:left w:val="none" w:sz="0" w:space="0" w:color="auto"/>
        <w:bottom w:val="none" w:sz="0" w:space="0" w:color="auto"/>
        <w:right w:val="none" w:sz="0" w:space="0" w:color="auto"/>
      </w:divBdr>
    </w:div>
    <w:div w:id="1937446003">
      <w:bodyDiv w:val="1"/>
      <w:marLeft w:val="0"/>
      <w:marRight w:val="0"/>
      <w:marTop w:val="0"/>
      <w:marBottom w:val="0"/>
      <w:divBdr>
        <w:top w:val="none" w:sz="0" w:space="0" w:color="auto"/>
        <w:left w:val="none" w:sz="0" w:space="0" w:color="auto"/>
        <w:bottom w:val="none" w:sz="0" w:space="0" w:color="auto"/>
        <w:right w:val="none" w:sz="0" w:space="0" w:color="auto"/>
      </w:divBdr>
    </w:div>
    <w:div w:id="1956132198">
      <w:bodyDiv w:val="1"/>
      <w:marLeft w:val="0"/>
      <w:marRight w:val="0"/>
      <w:marTop w:val="0"/>
      <w:marBottom w:val="0"/>
      <w:divBdr>
        <w:top w:val="none" w:sz="0" w:space="0" w:color="auto"/>
        <w:left w:val="none" w:sz="0" w:space="0" w:color="auto"/>
        <w:bottom w:val="none" w:sz="0" w:space="0" w:color="auto"/>
        <w:right w:val="none" w:sz="0" w:space="0" w:color="auto"/>
      </w:divBdr>
    </w:div>
    <w:div w:id="1959991737">
      <w:bodyDiv w:val="1"/>
      <w:marLeft w:val="0"/>
      <w:marRight w:val="0"/>
      <w:marTop w:val="0"/>
      <w:marBottom w:val="0"/>
      <w:divBdr>
        <w:top w:val="none" w:sz="0" w:space="0" w:color="auto"/>
        <w:left w:val="none" w:sz="0" w:space="0" w:color="auto"/>
        <w:bottom w:val="none" w:sz="0" w:space="0" w:color="auto"/>
        <w:right w:val="none" w:sz="0" w:space="0" w:color="auto"/>
      </w:divBdr>
    </w:div>
    <w:div w:id="1973553573">
      <w:bodyDiv w:val="1"/>
      <w:marLeft w:val="0"/>
      <w:marRight w:val="0"/>
      <w:marTop w:val="0"/>
      <w:marBottom w:val="0"/>
      <w:divBdr>
        <w:top w:val="none" w:sz="0" w:space="0" w:color="auto"/>
        <w:left w:val="none" w:sz="0" w:space="0" w:color="auto"/>
        <w:bottom w:val="none" w:sz="0" w:space="0" w:color="auto"/>
        <w:right w:val="none" w:sz="0" w:space="0" w:color="auto"/>
      </w:divBdr>
    </w:div>
    <w:div w:id="1978954323">
      <w:bodyDiv w:val="1"/>
      <w:marLeft w:val="0"/>
      <w:marRight w:val="0"/>
      <w:marTop w:val="0"/>
      <w:marBottom w:val="0"/>
      <w:divBdr>
        <w:top w:val="none" w:sz="0" w:space="0" w:color="auto"/>
        <w:left w:val="none" w:sz="0" w:space="0" w:color="auto"/>
        <w:bottom w:val="none" w:sz="0" w:space="0" w:color="auto"/>
        <w:right w:val="none" w:sz="0" w:space="0" w:color="auto"/>
      </w:divBdr>
    </w:div>
    <w:div w:id="1981036493">
      <w:bodyDiv w:val="1"/>
      <w:marLeft w:val="0"/>
      <w:marRight w:val="0"/>
      <w:marTop w:val="0"/>
      <w:marBottom w:val="0"/>
      <w:divBdr>
        <w:top w:val="none" w:sz="0" w:space="0" w:color="auto"/>
        <w:left w:val="none" w:sz="0" w:space="0" w:color="auto"/>
        <w:bottom w:val="none" w:sz="0" w:space="0" w:color="auto"/>
        <w:right w:val="none" w:sz="0" w:space="0" w:color="auto"/>
      </w:divBdr>
    </w:div>
    <w:div w:id="1982807664">
      <w:bodyDiv w:val="1"/>
      <w:marLeft w:val="0"/>
      <w:marRight w:val="0"/>
      <w:marTop w:val="0"/>
      <w:marBottom w:val="0"/>
      <w:divBdr>
        <w:top w:val="none" w:sz="0" w:space="0" w:color="auto"/>
        <w:left w:val="none" w:sz="0" w:space="0" w:color="auto"/>
        <w:bottom w:val="none" w:sz="0" w:space="0" w:color="auto"/>
        <w:right w:val="none" w:sz="0" w:space="0" w:color="auto"/>
      </w:divBdr>
    </w:div>
    <w:div w:id="1994329462">
      <w:bodyDiv w:val="1"/>
      <w:marLeft w:val="0"/>
      <w:marRight w:val="0"/>
      <w:marTop w:val="0"/>
      <w:marBottom w:val="0"/>
      <w:divBdr>
        <w:top w:val="none" w:sz="0" w:space="0" w:color="auto"/>
        <w:left w:val="none" w:sz="0" w:space="0" w:color="auto"/>
        <w:bottom w:val="none" w:sz="0" w:space="0" w:color="auto"/>
        <w:right w:val="none" w:sz="0" w:space="0" w:color="auto"/>
      </w:divBdr>
    </w:div>
    <w:div w:id="1999453866">
      <w:bodyDiv w:val="1"/>
      <w:marLeft w:val="0"/>
      <w:marRight w:val="0"/>
      <w:marTop w:val="0"/>
      <w:marBottom w:val="0"/>
      <w:divBdr>
        <w:top w:val="none" w:sz="0" w:space="0" w:color="auto"/>
        <w:left w:val="none" w:sz="0" w:space="0" w:color="auto"/>
        <w:bottom w:val="none" w:sz="0" w:space="0" w:color="auto"/>
        <w:right w:val="none" w:sz="0" w:space="0" w:color="auto"/>
      </w:divBdr>
    </w:div>
    <w:div w:id="2037609481">
      <w:bodyDiv w:val="1"/>
      <w:marLeft w:val="0"/>
      <w:marRight w:val="0"/>
      <w:marTop w:val="0"/>
      <w:marBottom w:val="0"/>
      <w:divBdr>
        <w:top w:val="none" w:sz="0" w:space="0" w:color="auto"/>
        <w:left w:val="none" w:sz="0" w:space="0" w:color="auto"/>
        <w:bottom w:val="none" w:sz="0" w:space="0" w:color="auto"/>
        <w:right w:val="none" w:sz="0" w:space="0" w:color="auto"/>
      </w:divBdr>
    </w:div>
    <w:div w:id="2044554846">
      <w:bodyDiv w:val="1"/>
      <w:marLeft w:val="0"/>
      <w:marRight w:val="0"/>
      <w:marTop w:val="0"/>
      <w:marBottom w:val="0"/>
      <w:divBdr>
        <w:top w:val="none" w:sz="0" w:space="0" w:color="auto"/>
        <w:left w:val="none" w:sz="0" w:space="0" w:color="auto"/>
        <w:bottom w:val="none" w:sz="0" w:space="0" w:color="auto"/>
        <w:right w:val="none" w:sz="0" w:space="0" w:color="auto"/>
      </w:divBdr>
    </w:div>
    <w:div w:id="2065982187">
      <w:bodyDiv w:val="1"/>
      <w:marLeft w:val="0"/>
      <w:marRight w:val="0"/>
      <w:marTop w:val="0"/>
      <w:marBottom w:val="0"/>
      <w:divBdr>
        <w:top w:val="none" w:sz="0" w:space="0" w:color="auto"/>
        <w:left w:val="none" w:sz="0" w:space="0" w:color="auto"/>
        <w:bottom w:val="none" w:sz="0" w:space="0" w:color="auto"/>
        <w:right w:val="none" w:sz="0" w:space="0" w:color="auto"/>
      </w:divBdr>
    </w:div>
    <w:div w:id="2072538801">
      <w:bodyDiv w:val="1"/>
      <w:marLeft w:val="0"/>
      <w:marRight w:val="0"/>
      <w:marTop w:val="0"/>
      <w:marBottom w:val="0"/>
      <w:divBdr>
        <w:top w:val="none" w:sz="0" w:space="0" w:color="auto"/>
        <w:left w:val="none" w:sz="0" w:space="0" w:color="auto"/>
        <w:bottom w:val="none" w:sz="0" w:space="0" w:color="auto"/>
        <w:right w:val="none" w:sz="0" w:space="0" w:color="auto"/>
      </w:divBdr>
    </w:div>
    <w:div w:id="2076393488">
      <w:bodyDiv w:val="1"/>
      <w:marLeft w:val="0"/>
      <w:marRight w:val="0"/>
      <w:marTop w:val="0"/>
      <w:marBottom w:val="0"/>
      <w:divBdr>
        <w:top w:val="none" w:sz="0" w:space="0" w:color="auto"/>
        <w:left w:val="none" w:sz="0" w:space="0" w:color="auto"/>
        <w:bottom w:val="none" w:sz="0" w:space="0" w:color="auto"/>
        <w:right w:val="none" w:sz="0" w:space="0" w:color="auto"/>
      </w:divBdr>
    </w:div>
    <w:div w:id="2087409234">
      <w:bodyDiv w:val="1"/>
      <w:marLeft w:val="0"/>
      <w:marRight w:val="0"/>
      <w:marTop w:val="0"/>
      <w:marBottom w:val="0"/>
      <w:divBdr>
        <w:top w:val="none" w:sz="0" w:space="0" w:color="auto"/>
        <w:left w:val="none" w:sz="0" w:space="0" w:color="auto"/>
        <w:bottom w:val="none" w:sz="0" w:space="0" w:color="auto"/>
        <w:right w:val="none" w:sz="0" w:space="0" w:color="auto"/>
      </w:divBdr>
    </w:div>
    <w:div w:id="2095322608">
      <w:bodyDiv w:val="1"/>
      <w:marLeft w:val="0"/>
      <w:marRight w:val="0"/>
      <w:marTop w:val="0"/>
      <w:marBottom w:val="0"/>
      <w:divBdr>
        <w:top w:val="none" w:sz="0" w:space="0" w:color="auto"/>
        <w:left w:val="none" w:sz="0" w:space="0" w:color="auto"/>
        <w:bottom w:val="none" w:sz="0" w:space="0" w:color="auto"/>
        <w:right w:val="none" w:sz="0" w:space="0" w:color="auto"/>
      </w:divBdr>
    </w:div>
    <w:div w:id="2105030631">
      <w:bodyDiv w:val="1"/>
      <w:marLeft w:val="0"/>
      <w:marRight w:val="0"/>
      <w:marTop w:val="0"/>
      <w:marBottom w:val="0"/>
      <w:divBdr>
        <w:top w:val="none" w:sz="0" w:space="0" w:color="auto"/>
        <w:left w:val="none" w:sz="0" w:space="0" w:color="auto"/>
        <w:bottom w:val="none" w:sz="0" w:space="0" w:color="auto"/>
        <w:right w:val="none" w:sz="0" w:space="0" w:color="auto"/>
      </w:divBdr>
    </w:div>
    <w:div w:id="2107070299">
      <w:bodyDiv w:val="1"/>
      <w:marLeft w:val="0"/>
      <w:marRight w:val="0"/>
      <w:marTop w:val="0"/>
      <w:marBottom w:val="0"/>
      <w:divBdr>
        <w:top w:val="none" w:sz="0" w:space="0" w:color="auto"/>
        <w:left w:val="none" w:sz="0" w:space="0" w:color="auto"/>
        <w:bottom w:val="none" w:sz="0" w:space="0" w:color="auto"/>
        <w:right w:val="none" w:sz="0" w:space="0" w:color="auto"/>
      </w:divBdr>
    </w:div>
    <w:div w:id="2107727650">
      <w:bodyDiv w:val="1"/>
      <w:marLeft w:val="0"/>
      <w:marRight w:val="0"/>
      <w:marTop w:val="0"/>
      <w:marBottom w:val="0"/>
      <w:divBdr>
        <w:top w:val="none" w:sz="0" w:space="0" w:color="auto"/>
        <w:left w:val="none" w:sz="0" w:space="0" w:color="auto"/>
        <w:bottom w:val="none" w:sz="0" w:space="0" w:color="auto"/>
        <w:right w:val="none" w:sz="0" w:space="0" w:color="auto"/>
      </w:divBdr>
    </w:div>
    <w:div w:id="2123839283">
      <w:bodyDiv w:val="1"/>
      <w:marLeft w:val="0"/>
      <w:marRight w:val="0"/>
      <w:marTop w:val="0"/>
      <w:marBottom w:val="0"/>
      <w:divBdr>
        <w:top w:val="none" w:sz="0" w:space="0" w:color="auto"/>
        <w:left w:val="none" w:sz="0" w:space="0" w:color="auto"/>
        <w:bottom w:val="none" w:sz="0" w:space="0" w:color="auto"/>
        <w:right w:val="none" w:sz="0" w:space="0" w:color="auto"/>
      </w:divBdr>
    </w:div>
    <w:div w:id="2125535563">
      <w:bodyDiv w:val="1"/>
      <w:marLeft w:val="0"/>
      <w:marRight w:val="0"/>
      <w:marTop w:val="0"/>
      <w:marBottom w:val="0"/>
      <w:divBdr>
        <w:top w:val="none" w:sz="0" w:space="0" w:color="auto"/>
        <w:left w:val="none" w:sz="0" w:space="0" w:color="auto"/>
        <w:bottom w:val="none" w:sz="0" w:space="0" w:color="auto"/>
        <w:right w:val="none" w:sz="0" w:space="0" w:color="auto"/>
      </w:divBdr>
    </w:div>
    <w:div w:id="2126075997">
      <w:bodyDiv w:val="1"/>
      <w:marLeft w:val="0"/>
      <w:marRight w:val="0"/>
      <w:marTop w:val="0"/>
      <w:marBottom w:val="0"/>
      <w:divBdr>
        <w:top w:val="none" w:sz="0" w:space="0" w:color="auto"/>
        <w:left w:val="none" w:sz="0" w:space="0" w:color="auto"/>
        <w:bottom w:val="none" w:sz="0" w:space="0" w:color="auto"/>
        <w:right w:val="none" w:sz="0" w:space="0" w:color="auto"/>
      </w:divBdr>
    </w:div>
    <w:div w:id="21439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diagramLayout" Target="diagrams/layout1.xml"/><Relationship Id="rId26" Type="http://schemas.openxmlformats.org/officeDocument/2006/relationships/hyperlink" Target="https://likumi.lv/ta/id/60829" TargetMode="Externa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Data" Target="diagrams/data1.xml"/><Relationship Id="rId25" Type="http://schemas.openxmlformats.org/officeDocument/2006/relationships/hyperlink" Target="https://likumi.lv/ta/id/60829"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diagramColors" Target="diagrams/colors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footer" Target="footer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55B096-85A5-4F8A-9193-69DFB40B3B84}" type="doc">
      <dgm:prSet loTypeId="urn:microsoft.com/office/officeart/2005/8/layout/hProcess9" loCatId="process" qsTypeId="urn:microsoft.com/office/officeart/2005/8/quickstyle/simple1" qsCatId="simple" csTypeId="urn:microsoft.com/office/officeart/2005/8/colors/colorful2" csCatId="colorful" phldr="1"/>
      <dgm:spPr/>
    </dgm:pt>
    <dgm:pt modelId="{2E2263FA-1525-4C7B-B4CB-5631A053BA32}">
      <dgm:prSet phldrT="[Text]"/>
      <dgm:spPr/>
      <dgm:t>
        <a:bodyPr/>
        <a:lstStyle/>
        <a:p>
          <a:r>
            <a:rPr lang="lv-LV"/>
            <a:t>Pieejamās informācijas un datu apzināšana un apkopošana</a:t>
          </a:r>
        </a:p>
      </dgm:t>
    </dgm:pt>
    <dgm:pt modelId="{9A890C74-1168-4626-BA06-F33260F3EED7}" type="parTrans" cxnId="{33A1B8B0-03A0-4D8C-B3F5-B52C487D5A3D}">
      <dgm:prSet/>
      <dgm:spPr/>
      <dgm:t>
        <a:bodyPr/>
        <a:lstStyle/>
        <a:p>
          <a:endParaRPr lang="lv-LV"/>
        </a:p>
      </dgm:t>
    </dgm:pt>
    <dgm:pt modelId="{526A808C-DCB9-4A7C-9D0E-D4EBCA551603}" type="sibTrans" cxnId="{33A1B8B0-03A0-4D8C-B3F5-B52C487D5A3D}">
      <dgm:prSet/>
      <dgm:spPr/>
      <dgm:t>
        <a:bodyPr/>
        <a:lstStyle/>
        <a:p>
          <a:endParaRPr lang="lv-LV"/>
        </a:p>
      </dgm:t>
    </dgm:pt>
    <dgm:pt modelId="{0EFF579D-0569-4DC1-92BC-868818873677}">
      <dgm:prSet phldrT="[Text]"/>
      <dgm:spPr/>
      <dgm:t>
        <a:bodyPr/>
        <a:lstStyle/>
        <a:p>
          <a:r>
            <a:rPr lang="lv-LV"/>
            <a:t>Apkopotās informācijas analīze</a:t>
          </a:r>
        </a:p>
      </dgm:t>
    </dgm:pt>
    <dgm:pt modelId="{3213E5F6-3D68-41DE-BB34-5E0F9A111964}" type="parTrans" cxnId="{55324F0F-CA88-42F9-BA73-AFD1B9552FCA}">
      <dgm:prSet/>
      <dgm:spPr/>
      <dgm:t>
        <a:bodyPr/>
        <a:lstStyle/>
        <a:p>
          <a:endParaRPr lang="lv-LV"/>
        </a:p>
      </dgm:t>
    </dgm:pt>
    <dgm:pt modelId="{425ABAF8-6CFB-4ECA-8DFA-177D05B3D1C2}" type="sibTrans" cxnId="{55324F0F-CA88-42F9-BA73-AFD1B9552FCA}">
      <dgm:prSet/>
      <dgm:spPr/>
      <dgm:t>
        <a:bodyPr/>
        <a:lstStyle/>
        <a:p>
          <a:endParaRPr lang="lv-LV"/>
        </a:p>
      </dgm:t>
    </dgm:pt>
    <dgm:pt modelId="{59B2EE36-DC63-4FC0-AC1B-7114072BD210}">
      <dgm:prSet phldrT="[Text]"/>
      <dgm:spPr/>
      <dgm:t>
        <a:bodyPr/>
        <a:lstStyle/>
        <a:p>
          <a:r>
            <a:rPr lang="lv-LV"/>
            <a:t>Tiešsaistes sanāksme ar VARAM pārstāvjiem (11.06)</a:t>
          </a:r>
        </a:p>
        <a:p>
          <a:r>
            <a:rPr lang="lv-LV"/>
            <a:t>Sanāksme ar VARAM pārstāvjiem (16.09)</a:t>
          </a:r>
        </a:p>
      </dgm:t>
    </dgm:pt>
    <dgm:pt modelId="{27A42056-E441-43B0-8394-E3F058AD164F}" type="parTrans" cxnId="{9B812391-B213-4AF5-A1A2-6899F4FE5E9E}">
      <dgm:prSet/>
      <dgm:spPr/>
      <dgm:t>
        <a:bodyPr/>
        <a:lstStyle/>
        <a:p>
          <a:endParaRPr lang="lv-LV"/>
        </a:p>
      </dgm:t>
    </dgm:pt>
    <dgm:pt modelId="{6930BCD4-B65B-4FAD-8780-266C22FACA31}" type="sibTrans" cxnId="{9B812391-B213-4AF5-A1A2-6899F4FE5E9E}">
      <dgm:prSet/>
      <dgm:spPr/>
      <dgm:t>
        <a:bodyPr/>
        <a:lstStyle/>
        <a:p>
          <a:endParaRPr lang="lv-LV"/>
        </a:p>
      </dgm:t>
    </dgm:pt>
    <dgm:pt modelId="{DF21CE52-72DD-4771-BEA2-49C3DEBAB507}">
      <dgm:prSet/>
      <dgm:spPr/>
      <dgm:t>
        <a:bodyPr/>
        <a:lstStyle/>
        <a:p>
          <a:r>
            <a:rPr lang="lv-LV"/>
            <a:t>Konsultācijas ar VVD ekspertiem piesārņotu vietu sanācijas jomā</a:t>
          </a:r>
        </a:p>
      </dgm:t>
    </dgm:pt>
    <dgm:pt modelId="{F427F828-8140-4BD8-9344-468C51972C29}" type="parTrans" cxnId="{4C0F2F77-FBFE-481E-896B-49C41D9EB026}">
      <dgm:prSet/>
      <dgm:spPr/>
      <dgm:t>
        <a:bodyPr/>
        <a:lstStyle/>
        <a:p>
          <a:endParaRPr lang="lv-LV"/>
        </a:p>
      </dgm:t>
    </dgm:pt>
    <dgm:pt modelId="{3F33A97B-5805-4AA1-B461-9389006AB602}" type="sibTrans" cxnId="{4C0F2F77-FBFE-481E-896B-49C41D9EB026}">
      <dgm:prSet/>
      <dgm:spPr/>
      <dgm:t>
        <a:bodyPr/>
        <a:lstStyle/>
        <a:p>
          <a:endParaRPr lang="lv-LV"/>
        </a:p>
      </dgm:t>
    </dgm:pt>
    <dgm:pt modelId="{9245F681-B0C6-40F0-B8F0-99D14AFC0E27}">
      <dgm:prSet/>
      <dgm:spPr/>
      <dgm:t>
        <a:bodyPr/>
        <a:lstStyle/>
        <a:p>
          <a:r>
            <a:rPr lang="lv-LV"/>
            <a:t>Gala pārskata sagatavošana, saskaņošana un iesniegšana</a:t>
          </a:r>
        </a:p>
      </dgm:t>
    </dgm:pt>
    <dgm:pt modelId="{67CDE4A8-D921-4ADB-981A-3A3F9309FFF1}" type="parTrans" cxnId="{0DE698A9-429F-47B8-9DF0-01DD0EDCF794}">
      <dgm:prSet/>
      <dgm:spPr/>
      <dgm:t>
        <a:bodyPr/>
        <a:lstStyle/>
        <a:p>
          <a:endParaRPr lang="lv-LV"/>
        </a:p>
      </dgm:t>
    </dgm:pt>
    <dgm:pt modelId="{3AE8BAC8-D99A-4042-801F-DA7CB323CA04}" type="sibTrans" cxnId="{0DE698A9-429F-47B8-9DF0-01DD0EDCF794}">
      <dgm:prSet/>
      <dgm:spPr/>
      <dgm:t>
        <a:bodyPr/>
        <a:lstStyle/>
        <a:p>
          <a:endParaRPr lang="lv-LV"/>
        </a:p>
      </dgm:t>
    </dgm:pt>
    <dgm:pt modelId="{0A0E1F32-7AC1-4AC5-8169-481E2855EB47}">
      <dgm:prSet/>
      <dgm:spPr/>
      <dgm:t>
        <a:bodyPr/>
        <a:lstStyle/>
        <a:p>
          <a:r>
            <a:rPr lang="lv-LV" dirty="0"/>
            <a:t>Esošo normatīvo regulējumu un to atbilstības šodienas situāciaji izvērtēšana</a:t>
          </a:r>
          <a:endParaRPr lang="lv-LV"/>
        </a:p>
      </dgm:t>
    </dgm:pt>
    <dgm:pt modelId="{4A875222-9624-4045-8DC7-4DE586C9C4C1}" type="parTrans" cxnId="{6982C769-8883-4F80-AD29-29A8CD38EA81}">
      <dgm:prSet/>
      <dgm:spPr/>
      <dgm:t>
        <a:bodyPr/>
        <a:lstStyle/>
        <a:p>
          <a:endParaRPr lang="lv-LV"/>
        </a:p>
      </dgm:t>
    </dgm:pt>
    <dgm:pt modelId="{E0CFBA86-848E-4AB4-9348-93C113405744}" type="sibTrans" cxnId="{6982C769-8883-4F80-AD29-29A8CD38EA81}">
      <dgm:prSet/>
      <dgm:spPr/>
      <dgm:t>
        <a:bodyPr/>
        <a:lstStyle/>
        <a:p>
          <a:endParaRPr lang="lv-LV"/>
        </a:p>
      </dgm:t>
    </dgm:pt>
    <dgm:pt modelId="{BE8426B2-F384-4A55-85E1-C87D8B7343E0}">
      <dgm:prSet/>
      <dgm:spPr/>
      <dgm:t>
        <a:bodyPr/>
        <a:lstStyle/>
        <a:p>
          <a:r>
            <a:rPr lang="lv-LV"/>
            <a:t>Citu valstu pieredzes izvērtēšana un apkopošana</a:t>
          </a:r>
        </a:p>
      </dgm:t>
    </dgm:pt>
    <dgm:pt modelId="{772D92BC-F7DF-4CE0-AD67-12EDE6CE0472}" type="parTrans" cxnId="{BE3C9A33-30FE-4AC0-AA4F-39454537E2E9}">
      <dgm:prSet/>
      <dgm:spPr/>
      <dgm:t>
        <a:bodyPr/>
        <a:lstStyle/>
        <a:p>
          <a:endParaRPr lang="lv-LV"/>
        </a:p>
      </dgm:t>
    </dgm:pt>
    <dgm:pt modelId="{9DC0B12B-815A-4C99-ABFF-3406E85D1E1E}" type="sibTrans" cxnId="{BE3C9A33-30FE-4AC0-AA4F-39454537E2E9}">
      <dgm:prSet/>
      <dgm:spPr/>
      <dgm:t>
        <a:bodyPr/>
        <a:lstStyle/>
        <a:p>
          <a:endParaRPr lang="lv-LV"/>
        </a:p>
      </dgm:t>
    </dgm:pt>
    <dgm:pt modelId="{A09D8C72-460C-4302-84D6-73D50F096BC7}">
      <dgm:prSet/>
      <dgm:spPr/>
      <dgm:t>
        <a:bodyPr/>
        <a:lstStyle/>
        <a:p>
          <a:r>
            <a:rPr lang="lv-LV" dirty="0"/>
            <a:t>Regulējmuma salīdzināšana ar esošo normatīvo regulējumu augsnei un gruntij</a:t>
          </a:r>
          <a:endParaRPr lang="lv-LV"/>
        </a:p>
      </dgm:t>
    </dgm:pt>
    <dgm:pt modelId="{47706E54-61E1-440C-B7E8-8C2550B42ECD}" type="parTrans" cxnId="{BE0EE4AE-1201-40AF-B685-662803B59F51}">
      <dgm:prSet/>
      <dgm:spPr/>
      <dgm:t>
        <a:bodyPr/>
        <a:lstStyle/>
        <a:p>
          <a:endParaRPr lang="lv-LV"/>
        </a:p>
      </dgm:t>
    </dgm:pt>
    <dgm:pt modelId="{D6B8949A-5B68-40F9-862B-2346FB8C55DA}" type="sibTrans" cxnId="{BE0EE4AE-1201-40AF-B685-662803B59F51}">
      <dgm:prSet/>
      <dgm:spPr/>
      <dgm:t>
        <a:bodyPr/>
        <a:lstStyle/>
        <a:p>
          <a:endParaRPr lang="lv-LV"/>
        </a:p>
      </dgm:t>
    </dgm:pt>
    <dgm:pt modelId="{51C2F5AA-1279-45F6-BBEF-0B505BEBF012}" type="pres">
      <dgm:prSet presAssocID="{1F55B096-85A5-4F8A-9193-69DFB40B3B84}" presName="CompostProcess" presStyleCnt="0">
        <dgm:presLayoutVars>
          <dgm:dir/>
          <dgm:resizeHandles val="exact"/>
        </dgm:presLayoutVars>
      </dgm:prSet>
      <dgm:spPr/>
    </dgm:pt>
    <dgm:pt modelId="{67CFA530-0F2D-4605-B2E1-9618913F8C5B}" type="pres">
      <dgm:prSet presAssocID="{1F55B096-85A5-4F8A-9193-69DFB40B3B84}" presName="arrow" presStyleLbl="bgShp" presStyleIdx="0" presStyleCnt="1"/>
      <dgm:spPr/>
    </dgm:pt>
    <dgm:pt modelId="{A175EDAF-5C13-4BC5-8230-A1E20C384637}" type="pres">
      <dgm:prSet presAssocID="{1F55B096-85A5-4F8A-9193-69DFB40B3B84}" presName="linearProcess" presStyleCnt="0"/>
      <dgm:spPr/>
    </dgm:pt>
    <dgm:pt modelId="{156F3DB6-EB1C-4D35-8B17-094DD3E2C873}" type="pres">
      <dgm:prSet presAssocID="{2E2263FA-1525-4C7B-B4CB-5631A053BA32}" presName="textNode" presStyleLbl="node1" presStyleIdx="0" presStyleCnt="5">
        <dgm:presLayoutVars>
          <dgm:bulletEnabled val="1"/>
        </dgm:presLayoutVars>
      </dgm:prSet>
      <dgm:spPr/>
      <dgm:t>
        <a:bodyPr/>
        <a:lstStyle/>
        <a:p>
          <a:endParaRPr lang="lv-LV"/>
        </a:p>
      </dgm:t>
    </dgm:pt>
    <dgm:pt modelId="{B7107DCF-29C6-4F96-8DC9-6D35753423C5}" type="pres">
      <dgm:prSet presAssocID="{526A808C-DCB9-4A7C-9D0E-D4EBCA551603}" presName="sibTrans" presStyleCnt="0"/>
      <dgm:spPr/>
    </dgm:pt>
    <dgm:pt modelId="{BA592B34-6CC1-4F61-8EF5-6F657CB4947F}" type="pres">
      <dgm:prSet presAssocID="{DF21CE52-72DD-4771-BEA2-49C3DEBAB507}" presName="textNode" presStyleLbl="node1" presStyleIdx="1" presStyleCnt="5">
        <dgm:presLayoutVars>
          <dgm:bulletEnabled val="1"/>
        </dgm:presLayoutVars>
      </dgm:prSet>
      <dgm:spPr/>
      <dgm:t>
        <a:bodyPr/>
        <a:lstStyle/>
        <a:p>
          <a:endParaRPr lang="lv-LV"/>
        </a:p>
      </dgm:t>
    </dgm:pt>
    <dgm:pt modelId="{5ABA4FBF-F613-4124-982E-67DC84912467}" type="pres">
      <dgm:prSet presAssocID="{3F33A97B-5805-4AA1-B461-9389006AB602}" presName="sibTrans" presStyleCnt="0"/>
      <dgm:spPr/>
    </dgm:pt>
    <dgm:pt modelId="{DA559E39-417E-4A77-8077-4EB48FC91508}" type="pres">
      <dgm:prSet presAssocID="{0EFF579D-0569-4DC1-92BC-868818873677}" presName="textNode" presStyleLbl="node1" presStyleIdx="2" presStyleCnt="5">
        <dgm:presLayoutVars>
          <dgm:bulletEnabled val="1"/>
        </dgm:presLayoutVars>
      </dgm:prSet>
      <dgm:spPr/>
      <dgm:t>
        <a:bodyPr/>
        <a:lstStyle/>
        <a:p>
          <a:endParaRPr lang="lv-LV"/>
        </a:p>
      </dgm:t>
    </dgm:pt>
    <dgm:pt modelId="{8D4E395B-BCF1-44B5-B0EB-58AAA42F21A2}" type="pres">
      <dgm:prSet presAssocID="{425ABAF8-6CFB-4ECA-8DFA-177D05B3D1C2}" presName="sibTrans" presStyleCnt="0"/>
      <dgm:spPr/>
    </dgm:pt>
    <dgm:pt modelId="{FF29ABBF-33E5-436C-80D3-54461690F39D}" type="pres">
      <dgm:prSet presAssocID="{59B2EE36-DC63-4FC0-AC1B-7114072BD210}" presName="textNode" presStyleLbl="node1" presStyleIdx="3" presStyleCnt="5">
        <dgm:presLayoutVars>
          <dgm:bulletEnabled val="1"/>
        </dgm:presLayoutVars>
      </dgm:prSet>
      <dgm:spPr/>
      <dgm:t>
        <a:bodyPr/>
        <a:lstStyle/>
        <a:p>
          <a:endParaRPr lang="lv-LV"/>
        </a:p>
      </dgm:t>
    </dgm:pt>
    <dgm:pt modelId="{99C65DC8-5E1E-4580-8710-4223259F22EC}" type="pres">
      <dgm:prSet presAssocID="{6930BCD4-B65B-4FAD-8780-266C22FACA31}" presName="sibTrans" presStyleCnt="0"/>
      <dgm:spPr/>
    </dgm:pt>
    <dgm:pt modelId="{02B7E164-CA3F-4445-89BE-881A575E8AF6}" type="pres">
      <dgm:prSet presAssocID="{9245F681-B0C6-40F0-B8F0-99D14AFC0E27}" presName="textNode" presStyleLbl="node1" presStyleIdx="4" presStyleCnt="5">
        <dgm:presLayoutVars>
          <dgm:bulletEnabled val="1"/>
        </dgm:presLayoutVars>
      </dgm:prSet>
      <dgm:spPr/>
      <dgm:t>
        <a:bodyPr/>
        <a:lstStyle/>
        <a:p>
          <a:endParaRPr lang="lv-LV"/>
        </a:p>
      </dgm:t>
    </dgm:pt>
  </dgm:ptLst>
  <dgm:cxnLst>
    <dgm:cxn modelId="{33A1B8B0-03A0-4D8C-B3F5-B52C487D5A3D}" srcId="{1F55B096-85A5-4F8A-9193-69DFB40B3B84}" destId="{2E2263FA-1525-4C7B-B4CB-5631A053BA32}" srcOrd="0" destOrd="0" parTransId="{9A890C74-1168-4626-BA06-F33260F3EED7}" sibTransId="{526A808C-DCB9-4A7C-9D0E-D4EBCA551603}"/>
    <dgm:cxn modelId="{9B05540D-B3E7-4C8C-BF29-ABC8DEAA8AF5}" type="presOf" srcId="{0EFF579D-0569-4DC1-92BC-868818873677}" destId="{DA559E39-417E-4A77-8077-4EB48FC91508}" srcOrd="0" destOrd="0" presId="urn:microsoft.com/office/officeart/2005/8/layout/hProcess9"/>
    <dgm:cxn modelId="{83A4A780-5120-4488-98DB-3DBE6103490C}" type="presOf" srcId="{0A0E1F32-7AC1-4AC5-8169-481E2855EB47}" destId="{156F3DB6-EB1C-4D35-8B17-094DD3E2C873}" srcOrd="0" destOrd="1" presId="urn:microsoft.com/office/officeart/2005/8/layout/hProcess9"/>
    <dgm:cxn modelId="{BE3C9A33-30FE-4AC0-AA4F-39454537E2E9}" srcId="{2E2263FA-1525-4C7B-B4CB-5631A053BA32}" destId="{BE8426B2-F384-4A55-85E1-C87D8B7343E0}" srcOrd="2" destOrd="0" parTransId="{772D92BC-F7DF-4CE0-AD67-12EDE6CE0472}" sibTransId="{9DC0B12B-815A-4C99-ABFF-3406E85D1E1E}"/>
    <dgm:cxn modelId="{BE0EE4AE-1201-40AF-B685-662803B59F51}" srcId="{2E2263FA-1525-4C7B-B4CB-5631A053BA32}" destId="{A09D8C72-460C-4302-84D6-73D50F096BC7}" srcOrd="1" destOrd="0" parTransId="{47706E54-61E1-440C-B7E8-8C2550B42ECD}" sibTransId="{D6B8949A-5B68-40F9-862B-2346FB8C55DA}"/>
    <dgm:cxn modelId="{F89A41E6-F474-4AD7-AE8C-168825F507EC}" type="presOf" srcId="{2E2263FA-1525-4C7B-B4CB-5631A053BA32}" destId="{156F3DB6-EB1C-4D35-8B17-094DD3E2C873}" srcOrd="0" destOrd="0" presId="urn:microsoft.com/office/officeart/2005/8/layout/hProcess9"/>
    <dgm:cxn modelId="{55324F0F-CA88-42F9-BA73-AFD1B9552FCA}" srcId="{1F55B096-85A5-4F8A-9193-69DFB40B3B84}" destId="{0EFF579D-0569-4DC1-92BC-868818873677}" srcOrd="2" destOrd="0" parTransId="{3213E5F6-3D68-41DE-BB34-5E0F9A111964}" sibTransId="{425ABAF8-6CFB-4ECA-8DFA-177D05B3D1C2}"/>
    <dgm:cxn modelId="{8A04246D-8BCB-449F-BF78-7B8DB86966FE}" type="presOf" srcId="{9245F681-B0C6-40F0-B8F0-99D14AFC0E27}" destId="{02B7E164-CA3F-4445-89BE-881A575E8AF6}" srcOrd="0" destOrd="0" presId="urn:microsoft.com/office/officeart/2005/8/layout/hProcess9"/>
    <dgm:cxn modelId="{5F887023-ED0D-453F-A08D-5A39CCB535BF}" type="presOf" srcId="{BE8426B2-F384-4A55-85E1-C87D8B7343E0}" destId="{156F3DB6-EB1C-4D35-8B17-094DD3E2C873}" srcOrd="0" destOrd="3" presId="urn:microsoft.com/office/officeart/2005/8/layout/hProcess9"/>
    <dgm:cxn modelId="{2019FC81-A87B-4A6B-B7AB-B600256709DB}" type="presOf" srcId="{A09D8C72-460C-4302-84D6-73D50F096BC7}" destId="{156F3DB6-EB1C-4D35-8B17-094DD3E2C873}" srcOrd="0" destOrd="2" presId="urn:microsoft.com/office/officeart/2005/8/layout/hProcess9"/>
    <dgm:cxn modelId="{6982C769-8883-4F80-AD29-29A8CD38EA81}" srcId="{2E2263FA-1525-4C7B-B4CB-5631A053BA32}" destId="{0A0E1F32-7AC1-4AC5-8169-481E2855EB47}" srcOrd="0" destOrd="0" parTransId="{4A875222-9624-4045-8DC7-4DE586C9C4C1}" sibTransId="{E0CFBA86-848E-4AB4-9348-93C113405744}"/>
    <dgm:cxn modelId="{4C0F2F77-FBFE-481E-896B-49C41D9EB026}" srcId="{1F55B096-85A5-4F8A-9193-69DFB40B3B84}" destId="{DF21CE52-72DD-4771-BEA2-49C3DEBAB507}" srcOrd="1" destOrd="0" parTransId="{F427F828-8140-4BD8-9344-468C51972C29}" sibTransId="{3F33A97B-5805-4AA1-B461-9389006AB602}"/>
    <dgm:cxn modelId="{0DE698A9-429F-47B8-9DF0-01DD0EDCF794}" srcId="{1F55B096-85A5-4F8A-9193-69DFB40B3B84}" destId="{9245F681-B0C6-40F0-B8F0-99D14AFC0E27}" srcOrd="4" destOrd="0" parTransId="{67CDE4A8-D921-4ADB-981A-3A3F9309FFF1}" sibTransId="{3AE8BAC8-D99A-4042-801F-DA7CB323CA04}"/>
    <dgm:cxn modelId="{2A7D3949-4B16-4891-AECE-7EFB1B6F381F}" type="presOf" srcId="{DF21CE52-72DD-4771-BEA2-49C3DEBAB507}" destId="{BA592B34-6CC1-4F61-8EF5-6F657CB4947F}" srcOrd="0" destOrd="0" presId="urn:microsoft.com/office/officeart/2005/8/layout/hProcess9"/>
    <dgm:cxn modelId="{1F75AB1E-7BBD-400E-B7FC-88CDD5F4262D}" type="presOf" srcId="{59B2EE36-DC63-4FC0-AC1B-7114072BD210}" destId="{FF29ABBF-33E5-436C-80D3-54461690F39D}" srcOrd="0" destOrd="0" presId="urn:microsoft.com/office/officeart/2005/8/layout/hProcess9"/>
    <dgm:cxn modelId="{9B812391-B213-4AF5-A1A2-6899F4FE5E9E}" srcId="{1F55B096-85A5-4F8A-9193-69DFB40B3B84}" destId="{59B2EE36-DC63-4FC0-AC1B-7114072BD210}" srcOrd="3" destOrd="0" parTransId="{27A42056-E441-43B0-8394-E3F058AD164F}" sibTransId="{6930BCD4-B65B-4FAD-8780-266C22FACA31}"/>
    <dgm:cxn modelId="{89C934B2-DF6D-4D69-A81F-1BF405A98136}" type="presOf" srcId="{1F55B096-85A5-4F8A-9193-69DFB40B3B84}" destId="{51C2F5AA-1279-45F6-BBEF-0B505BEBF012}" srcOrd="0" destOrd="0" presId="urn:microsoft.com/office/officeart/2005/8/layout/hProcess9"/>
    <dgm:cxn modelId="{153F0A3F-C37E-48F6-A219-E808EB021866}" type="presParOf" srcId="{51C2F5AA-1279-45F6-BBEF-0B505BEBF012}" destId="{67CFA530-0F2D-4605-B2E1-9618913F8C5B}" srcOrd="0" destOrd="0" presId="urn:microsoft.com/office/officeart/2005/8/layout/hProcess9"/>
    <dgm:cxn modelId="{E127ADDC-4EC2-4787-9A79-CB5D91AEC10B}" type="presParOf" srcId="{51C2F5AA-1279-45F6-BBEF-0B505BEBF012}" destId="{A175EDAF-5C13-4BC5-8230-A1E20C384637}" srcOrd="1" destOrd="0" presId="urn:microsoft.com/office/officeart/2005/8/layout/hProcess9"/>
    <dgm:cxn modelId="{9E0F76E0-7939-4B06-8B04-0F0AD12A25FF}" type="presParOf" srcId="{A175EDAF-5C13-4BC5-8230-A1E20C384637}" destId="{156F3DB6-EB1C-4D35-8B17-094DD3E2C873}" srcOrd="0" destOrd="0" presId="urn:microsoft.com/office/officeart/2005/8/layout/hProcess9"/>
    <dgm:cxn modelId="{32ADBAD4-6DEF-484C-9986-DA30D3AE610B}" type="presParOf" srcId="{A175EDAF-5C13-4BC5-8230-A1E20C384637}" destId="{B7107DCF-29C6-4F96-8DC9-6D35753423C5}" srcOrd="1" destOrd="0" presId="urn:microsoft.com/office/officeart/2005/8/layout/hProcess9"/>
    <dgm:cxn modelId="{1D783BF6-A3DA-45BC-9BEE-241CEA7CEC42}" type="presParOf" srcId="{A175EDAF-5C13-4BC5-8230-A1E20C384637}" destId="{BA592B34-6CC1-4F61-8EF5-6F657CB4947F}" srcOrd="2" destOrd="0" presId="urn:microsoft.com/office/officeart/2005/8/layout/hProcess9"/>
    <dgm:cxn modelId="{826D8289-89DF-403E-931B-91EE7DA83F87}" type="presParOf" srcId="{A175EDAF-5C13-4BC5-8230-A1E20C384637}" destId="{5ABA4FBF-F613-4124-982E-67DC84912467}" srcOrd="3" destOrd="0" presId="urn:microsoft.com/office/officeart/2005/8/layout/hProcess9"/>
    <dgm:cxn modelId="{EA3BAFAD-121F-48AD-B698-3EBB1DA72CC0}" type="presParOf" srcId="{A175EDAF-5C13-4BC5-8230-A1E20C384637}" destId="{DA559E39-417E-4A77-8077-4EB48FC91508}" srcOrd="4" destOrd="0" presId="urn:microsoft.com/office/officeart/2005/8/layout/hProcess9"/>
    <dgm:cxn modelId="{BE609B14-9E91-4DC9-98F4-0C2CF271E7C7}" type="presParOf" srcId="{A175EDAF-5C13-4BC5-8230-A1E20C384637}" destId="{8D4E395B-BCF1-44B5-B0EB-58AAA42F21A2}" srcOrd="5" destOrd="0" presId="urn:microsoft.com/office/officeart/2005/8/layout/hProcess9"/>
    <dgm:cxn modelId="{048AFA14-4EFA-4548-8612-2C9AD36EB046}" type="presParOf" srcId="{A175EDAF-5C13-4BC5-8230-A1E20C384637}" destId="{FF29ABBF-33E5-436C-80D3-54461690F39D}" srcOrd="6" destOrd="0" presId="urn:microsoft.com/office/officeart/2005/8/layout/hProcess9"/>
    <dgm:cxn modelId="{C58D435E-FEF5-4428-8EBE-BC96672975B3}" type="presParOf" srcId="{A175EDAF-5C13-4BC5-8230-A1E20C384637}" destId="{99C65DC8-5E1E-4580-8710-4223259F22EC}" srcOrd="7" destOrd="0" presId="urn:microsoft.com/office/officeart/2005/8/layout/hProcess9"/>
    <dgm:cxn modelId="{08972211-BFF8-4026-8DDB-118D2449E927}" type="presParOf" srcId="{A175EDAF-5C13-4BC5-8230-A1E20C384637}" destId="{02B7E164-CA3F-4445-89BE-881A575E8AF6}"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CFA530-0F2D-4605-B2E1-9618913F8C5B}">
      <dsp:nvSpPr>
        <dsp:cNvPr id="0" name=""/>
        <dsp:cNvSpPr/>
      </dsp:nvSpPr>
      <dsp:spPr>
        <a:xfrm>
          <a:off x="456914" y="0"/>
          <a:ext cx="5178361" cy="3347408"/>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56F3DB6-EB1C-4D35-8B17-094DD3E2C873}">
      <dsp:nvSpPr>
        <dsp:cNvPr id="0" name=""/>
        <dsp:cNvSpPr/>
      </dsp:nvSpPr>
      <dsp:spPr>
        <a:xfrm>
          <a:off x="2677" y="1004222"/>
          <a:ext cx="1170545" cy="1338963"/>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t" anchorCtr="0">
          <a:noAutofit/>
        </a:bodyPr>
        <a:lstStyle/>
        <a:p>
          <a:pPr lvl="0" algn="l" defTabSz="355600">
            <a:lnSpc>
              <a:spcPct val="90000"/>
            </a:lnSpc>
            <a:spcBef>
              <a:spcPct val="0"/>
            </a:spcBef>
            <a:spcAft>
              <a:spcPct val="35000"/>
            </a:spcAft>
          </a:pPr>
          <a:r>
            <a:rPr lang="lv-LV" sz="800" kern="1200"/>
            <a:t>Pieejamās informācijas un datu apzināšana un apkopošana</a:t>
          </a:r>
        </a:p>
        <a:p>
          <a:pPr marL="57150" lvl="1" indent="-57150" algn="l" defTabSz="266700">
            <a:lnSpc>
              <a:spcPct val="90000"/>
            </a:lnSpc>
            <a:spcBef>
              <a:spcPct val="0"/>
            </a:spcBef>
            <a:spcAft>
              <a:spcPct val="15000"/>
            </a:spcAft>
            <a:buChar char="••"/>
          </a:pPr>
          <a:r>
            <a:rPr lang="lv-LV" sz="600" kern="1200" dirty="0"/>
            <a:t>Esošo normatīvo regulējumu un to atbilstības šodienas situāciaji izvērtēšana</a:t>
          </a:r>
          <a:endParaRPr lang="lv-LV" sz="600" kern="1200"/>
        </a:p>
        <a:p>
          <a:pPr marL="57150" lvl="1" indent="-57150" algn="l" defTabSz="266700">
            <a:lnSpc>
              <a:spcPct val="90000"/>
            </a:lnSpc>
            <a:spcBef>
              <a:spcPct val="0"/>
            </a:spcBef>
            <a:spcAft>
              <a:spcPct val="15000"/>
            </a:spcAft>
            <a:buChar char="••"/>
          </a:pPr>
          <a:r>
            <a:rPr lang="lv-LV" sz="600" kern="1200" dirty="0"/>
            <a:t>Regulējmuma salīdzināšana ar esošo normatīvo regulējumu augsnei un gruntij</a:t>
          </a:r>
          <a:endParaRPr lang="lv-LV" sz="600" kern="1200"/>
        </a:p>
        <a:p>
          <a:pPr marL="57150" lvl="1" indent="-57150" algn="l" defTabSz="266700">
            <a:lnSpc>
              <a:spcPct val="90000"/>
            </a:lnSpc>
            <a:spcBef>
              <a:spcPct val="0"/>
            </a:spcBef>
            <a:spcAft>
              <a:spcPct val="15000"/>
            </a:spcAft>
            <a:buChar char="••"/>
          </a:pPr>
          <a:r>
            <a:rPr lang="lv-LV" sz="600" kern="1200"/>
            <a:t>Citu valstu pieredzes izvērtēšana un apkopošana</a:t>
          </a:r>
        </a:p>
      </dsp:txBody>
      <dsp:txXfrm>
        <a:off x="59818" y="1061363"/>
        <a:ext cx="1056263" cy="1224681"/>
      </dsp:txXfrm>
    </dsp:sp>
    <dsp:sp modelId="{BA592B34-6CC1-4F61-8EF5-6F657CB4947F}">
      <dsp:nvSpPr>
        <dsp:cNvPr id="0" name=""/>
        <dsp:cNvSpPr/>
      </dsp:nvSpPr>
      <dsp:spPr>
        <a:xfrm>
          <a:off x="1231749" y="1004222"/>
          <a:ext cx="1170545" cy="1338963"/>
        </a:xfrm>
        <a:prstGeom prst="roundRect">
          <a:avLst/>
        </a:prstGeom>
        <a:solidFill>
          <a:schemeClr val="accent2">
            <a:hueOff val="-363841"/>
            <a:satOff val="-20982"/>
            <a:lumOff val="215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lv-LV" sz="800" kern="1200"/>
            <a:t>Konsultācijas ar VVD ekspertiem piesārņotu vietu sanācijas jomā</a:t>
          </a:r>
        </a:p>
      </dsp:txBody>
      <dsp:txXfrm>
        <a:off x="1288890" y="1061363"/>
        <a:ext cx="1056263" cy="1224681"/>
      </dsp:txXfrm>
    </dsp:sp>
    <dsp:sp modelId="{DA559E39-417E-4A77-8077-4EB48FC91508}">
      <dsp:nvSpPr>
        <dsp:cNvPr id="0" name=""/>
        <dsp:cNvSpPr/>
      </dsp:nvSpPr>
      <dsp:spPr>
        <a:xfrm>
          <a:off x="2460822" y="1004222"/>
          <a:ext cx="1170545" cy="1338963"/>
        </a:xfrm>
        <a:prstGeom prst="roundRect">
          <a:avLst/>
        </a:prstGeom>
        <a:solidFill>
          <a:schemeClr val="accent2">
            <a:hueOff val="-727682"/>
            <a:satOff val="-41964"/>
            <a:lumOff val="431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lv-LV" sz="800" kern="1200"/>
            <a:t>Apkopotās informācijas analīze</a:t>
          </a:r>
        </a:p>
      </dsp:txBody>
      <dsp:txXfrm>
        <a:off x="2517963" y="1061363"/>
        <a:ext cx="1056263" cy="1224681"/>
      </dsp:txXfrm>
    </dsp:sp>
    <dsp:sp modelId="{FF29ABBF-33E5-436C-80D3-54461690F39D}">
      <dsp:nvSpPr>
        <dsp:cNvPr id="0" name=""/>
        <dsp:cNvSpPr/>
      </dsp:nvSpPr>
      <dsp:spPr>
        <a:xfrm>
          <a:off x="3689894" y="1004222"/>
          <a:ext cx="1170545" cy="1338963"/>
        </a:xfrm>
        <a:prstGeom prst="roundRect">
          <a:avLst/>
        </a:prstGeom>
        <a:solidFill>
          <a:schemeClr val="accent2">
            <a:hueOff val="-1091522"/>
            <a:satOff val="-62946"/>
            <a:lumOff val="6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lv-LV" sz="800" kern="1200"/>
            <a:t>Tiešsaistes sanāksme ar VARAM pārstāvjiem (11.06)</a:t>
          </a:r>
        </a:p>
        <a:p>
          <a:pPr lvl="0" algn="ctr" defTabSz="355600">
            <a:lnSpc>
              <a:spcPct val="90000"/>
            </a:lnSpc>
            <a:spcBef>
              <a:spcPct val="0"/>
            </a:spcBef>
            <a:spcAft>
              <a:spcPct val="35000"/>
            </a:spcAft>
          </a:pPr>
          <a:r>
            <a:rPr lang="lv-LV" sz="800" kern="1200"/>
            <a:t>Sanāksme ar VARAM pārstāvjiem (16.09)</a:t>
          </a:r>
        </a:p>
      </dsp:txBody>
      <dsp:txXfrm>
        <a:off x="3747035" y="1061363"/>
        <a:ext cx="1056263" cy="1224681"/>
      </dsp:txXfrm>
    </dsp:sp>
    <dsp:sp modelId="{02B7E164-CA3F-4445-89BE-881A575E8AF6}">
      <dsp:nvSpPr>
        <dsp:cNvPr id="0" name=""/>
        <dsp:cNvSpPr/>
      </dsp:nvSpPr>
      <dsp:spPr>
        <a:xfrm>
          <a:off x="4918967" y="1004222"/>
          <a:ext cx="1170545" cy="1338963"/>
        </a:xfrm>
        <a:prstGeom prst="roundRect">
          <a:avLst/>
        </a:prstGeom>
        <a:solidFill>
          <a:schemeClr val="accent2">
            <a:hueOff val="-1455363"/>
            <a:satOff val="-83928"/>
            <a:lumOff val="862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lv-LV" sz="800" kern="1200"/>
            <a:t>Gala pārskata sagatavošana, saskaņošana un iesniegšana</a:t>
          </a:r>
        </a:p>
      </dsp:txBody>
      <dsp:txXfrm>
        <a:off x="4976108" y="1061363"/>
        <a:ext cx="1056263" cy="122468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483843-B6B2-4473-90B4-5F8E9F4D400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LIk_par_pies</b:Tag>
    <b:SourceType>Misc</b:SourceType>
    <b:Guid>{FA884EBA-F77A-4B91-B966-160BE094E0CB}</b:Guid>
    <b:LCID>lv-LV</b:LCID>
    <b:Author>
      <b:Author>
        <b:Corporate>Latvijas Republikas Saeima</b:Corporate>
      </b:Author>
    </b:Author>
    <b:Title>Likums par piesārņojumu</b:Title>
    <b:PublicationTitle>Likums par piesārņojumu</b:PublicationTitle>
    <b:Year>2001</b:Year>
    <b:Publisher>Latvijas Vēstnesis</b:Publisher>
    <b:Volume>51</b:Volume>
    <b:Month>03</b:Month>
    <b:Day>15</b:Day>
    <b:RefOrder>1</b:RefOrder>
  </b:Source>
  <b:Source>
    <b:Tag>Lik_Vid_Aizsardz</b:Tag>
    <b:SourceType>Misc</b:SourceType>
    <b:Guid>{0A241638-8966-4A9E-A8CF-9E58B700CF82}</b:Guid>
    <b:Author>
      <b:Author>
        <b:Corporate>Latvijas republikas Saeima</b:Corporate>
      </b:Author>
    </b:Author>
    <b:Title>Vides aizsardzības likums</b:Title>
    <b:Year>2006</b:Year>
    <b:Month>02</b:Month>
    <b:Day>11</b:Day>
    <b:LCID>lv-LV</b:LCID>
    <b:RefOrder>5</b:RefOrder>
  </b:Source>
  <b:Source>
    <b:Tag>MK_804</b:Tag>
    <b:SourceType>Misc</b:SourceType>
    <b:Guid>{86A4A89D-F760-474D-A342-5480E70E3EAE}</b:Guid>
    <b:Author>
      <b:Author>
        <b:Corporate>Ministru kabinets</b:Corporate>
      </b:Author>
    </b:Author>
    <b:Title>Noteikumi Nr. 804</b:Title>
    <b:PublicationTitle>Noteikumi par augsnes un grunts kvalitātes normatīviem</b:PublicationTitle>
    <b:Year>2005</b:Year>
    <b:Month>oktobris</b:Month>
    <b:Day>25</b:Day>
    <b:LCID>lv-LV</b:LCID>
    <b:RefOrder>4</b:RefOrder>
  </b:Source>
  <b:Source>
    <b:Tag>MK_Not_118</b:Tag>
    <b:SourceType>Misc</b:SourceType>
    <b:Guid>{08FE8E75-A4D6-4FCA-A29C-171EDEBDCA85}</b:Guid>
    <b:Author>
      <b:Author>
        <b:Corporate>Ministru kabinets</b:Corporate>
      </b:Author>
    </b:Author>
    <b:Title>Noteikumi Nr. 118</b:Title>
    <b:PublicationTitle>Noteikumi par virszemes un pazemes ūdeņu kvalitāti</b:PublicationTitle>
    <b:Year>2002</b:Year>
    <b:Month>aprīlis</b:Month>
    <b:Day>3</b:Day>
    <b:LCID>lv-LV</b:LCID>
    <b:RefOrder>2</b:RefOrder>
  </b:Source>
  <b:Source>
    <b:Tag>Minda</b:Tag>
    <b:SourceType>Misc</b:SourceType>
    <b:Guid>{A20851BE-A57A-43F4-93EA-0FE1E8101D97}</b:Guid>
    <b:Author>
      <b:Author>
        <b:Corporate>Ministru kabinets</b:Corporate>
      </b:Author>
    </b:Author>
    <b:Title>Noteikumi Nr. 1114</b:Title>
    <b:PublicationTitle>Noteikumi par dzīvnieku kapsētu iekārtošanas, reģistrācijas, uzturēšanas, darbības izbeigšanas un likvidēšanas kārtību un aizsargjoslu noteikšanas metodiku ap dzīvnieku kapsētām</b:PublicationTitle>
    <b:Year>2009</b:Year>
    <b:Month>septembris</b:Month>
    <b:Day>29</b:Day>
    <b:RefOrder>23</b:RefOrder>
  </b:Source>
  <b:Source>
    <b:Tag>Min09</b:Tag>
    <b:SourceType>Misc</b:SourceType>
    <b:Guid>{0ACB23AC-61AC-49E3-A4AA-5B127EE9C4C0}</b:Guid>
    <b:Author>
      <b:Author>
        <b:Corporate>Ministru Kabinets</b:Corporate>
      </b:Author>
    </b:Author>
    <b:Title>Noteikumi Nr.158</b:Title>
    <b:Year>2009</b:Year>
    <b:RefOrder>7</b:RefOrder>
  </b:Source>
  <b:Source>
    <b:Tag>Minds</b:Tag>
    <b:SourceType>Misc</b:SourceType>
    <b:Guid>{0D0A80D4-AF10-44C6-8FB7-9AA1DA9B2EA7}</b:Guid>
    <b:Author>
      <b:Author>
        <b:Corporate>Ministru Kabinets</b:Corporate>
      </b:Author>
    </b:Author>
    <b:Title>Noteikumi Nr. 1032</b:Title>
    <b:Year>2011</b:Year>
    <b:RefOrder>3</b:RefOrder>
  </b:Source>
  <b:Source>
    <b:Tag>Min07</b:Tag>
    <b:SourceType>Misc</b:SourceType>
    <b:Guid>{CD852CE2-369B-490C-9D59-4B02B29D7872}</b:Guid>
    <b:Title>Noteikumi Nr.281</b:Title>
    <b:Year>2007</b:Year>
    <b:Author>
      <b:Author>
        <b:Corporate>Ministru Kabinets</b:Corporate>
      </b:Author>
    </b:Author>
    <b:RefOrder>6</b:RefOrder>
  </b:Source>
  <b:Source>
    <b:Tag>Sve19</b:Tag>
    <b:SourceType>Misc</b:SourceType>
    <b:Guid>{26B9DA2E-C41E-4E73-9784-ECECA122585C}</b:Guid>
    <b:Author>
      <b:Author>
        <b:Corporate>Sveriges geologiska undersökning</b:Corporate>
      </b:Author>
    </b:Author>
    <b:Title>Sveriges geologiska undersöknings författningssamling SGU-FS 2019:1</b:Title>
    <b:Year>2019</b:Year>
    <b:RefOrder>14</b:RefOrder>
  </b:Source>
  <b:Source>
    <b:Tag>Sve</b:Tag>
    <b:SourceType>Misc</b:SourceType>
    <b:Guid>{667C430C-CC07-4CB7-B7A5-FC053F3762BF}</b:Guid>
    <b:Author>
      <b:Author>
        <b:Corporate>Sveriges geologiska undersökning</b:Corporate>
      </b:Author>
    </b:Author>
    <b:Title>Sveriges geologiska undersöknings författningssamling SGU-FS 2013-2</b:Title>
    <b:RefOrder>15</b:RefOrder>
  </b:Source>
  <b:Source>
    <b:Tag>Sve1</b:Tag>
    <b:SourceType>Misc</b:SourceType>
    <b:Guid>{ADE53EAE-5819-4D76-9302-24E68EF77C92}</b:Guid>
    <b:Author>
      <b:Author>
        <b:Corporate>Sveriges geologiska undersökning</b:Corporate>
      </b:Author>
    </b:Author>
    <b:Title>Sveriges geologiska undersöknings författningssamling SGU-FS 2013:1</b:Title>
    <b:RefOrder>16</b:RefOrder>
  </b:Source>
  <b:Source>
    <b:Tag>Sve13</b:Tag>
    <b:SourceType>Misc</b:SourceType>
    <b:Guid>{70979A3E-2F84-47EA-92B0-3BE93F599CEF}</b:Guid>
    <b:Author>
      <b:Author>
        <b:Corporate>Sveriges geologiska undersökning</b:Corporate>
      </b:Author>
    </b:Author>
    <b:Title>Bedömningsgrunder för grundvatten SGU-rapport 2013:01</b:Title>
    <b:Year>2013</b:Year>
    <b:City>Uppsala</b:City>
    <b:RefOrder>17</b:RefOrder>
  </b:Source>
  <b:Source>
    <b:Tag>Swe20</b:Tag>
    <b:SourceType>Misc</b:SourceType>
    <b:Guid>{8DE68BE4-55F4-4AEB-85FB-96E27AC366E3}</b:Guid>
    <b:Author>
      <b:Author>
        <b:Corporate>Swedish Environmetal Protection Agency</b:Corporate>
      </b:Author>
    </b:Author>
    <b:Title>Swedish Environmental Quality Criteria</b:Title>
    <b:Year>2020</b:Year>
    <b:RefOrder>18</b:RefOrder>
  </b:Source>
  <b:Source>
    <b:Tag>Lie08</b:Tag>
    <b:SourceType>Misc</b:SourceType>
    <b:Guid>{BD58C2EF-492F-4CC8-BDA1-C83D06B2FE89}</b:Guid>
    <b:Author>
      <b:Author>
        <b:Corporate>Lietuvos Respublikos aplinkos ministerija</b:Corporate>
      </b:Author>
    </b:Author>
    <b:Title>Cheminėmis medžiagomis užterštų teritorijų tvarkymo aplinkos apsaugos reikalavimus D1-230</b:Title>
    <b:Year>2008</b:Year>
    <b:RefOrder>9</b:RefOrder>
  </b:Source>
  <b:Source>
    <b:Tag>Lie</b:Tag>
    <b:SourceType>Misc</b:SourceType>
    <b:Guid>{8968E157-8EC5-4E87-BBBB-2A4127DB6FD3}</b:Guid>
    <b:Author>
      <b:Author>
        <b:Corporate>Lietuvos Respublikos aplinkos ministerija</b:Corporate>
      </b:Author>
    </b:Author>
    <b:Title>Naftos produktais užterštų teritorijų tvarkymo aplinkos apsaugos reikalavimai Land 9-2009</b:Title>
    <b:Year>2009</b:Year>
    <b:RefOrder>10</b:RefOrder>
  </b:Source>
  <b:Source>
    <b:Tag>Lie081</b:Tag>
    <b:SourceType>Misc</b:SourceType>
    <b:Guid>{5549C4DD-CE92-4C39-B1DC-FA7AFAFD9520}</b:Guid>
    <b:Author>
      <b:Author>
        <b:Corporate>Lietuvos geologijos tarnyba</b:Corporate>
      </b:Author>
    </b:Author>
    <b:Year>2008</b:Year>
    <b:Title>Dėl ekogeologinių tyrimų reglamento patvirtinimo 1-104</b:Title>
    <b:RefOrder>8</b:RefOrder>
  </b:Source>
  <b:Source>
    <b:Tag>Jef13</b:Tag>
    <b:SourceType>JournalArticle</b:SourceType>
    <b:Guid>{081A067B-32DB-40DF-A9D1-EBC5D4AAC89C}</b:Guid>
    <b:Title>The Swedish model for groundwater policy: legal foundations, decision-making and practical application</b:Title>
    <b:Year>2013</b:Year>
    <b:Author>
      <b:Author>
        <b:NameList>
          <b:Person>
            <b:Last>Jeffrey Lewis</b:Last>
            <b:First>Jan</b:First>
            <b:Middle>Sjöström, Malin Höök, Bo Sundström</b:Middle>
          </b:Person>
        </b:NameList>
      </b:Author>
    </b:Author>
    <b:JournalName>Hydrogeology Journal</b:JournalName>
    <b:RefOrder>12</b:RefOrder>
  </b:Source>
  <b:Source>
    <b:Tag>Mil98</b:Tag>
    <b:SourceType>Misc</b:SourceType>
    <b:Guid>{F7A3FDE1-0D75-4941-9552-6489C378484D}</b:Guid>
    <b:Author>
      <b:Author>
        <b:Corporate>Miljödepartementet</b:Corporate>
      </b:Author>
    </b:Author>
    <b:Title>Miljöbalk (1998:808)</b:Title>
    <b:Year>1998</b:Year>
    <b:RefOrder>13</b:RefOrder>
  </b:Source>
  <b:Source>
    <b:Tag>Min072</b:Tag>
    <b:SourceType>Misc</b:SourceType>
    <b:Guid>{1C3B1F8F-5B1C-40CB-9878-681209B12F3C}</b:Guid>
    <b:Author>
      <b:Author>
        <b:Corporate>Ministru kabinets</b:Corporate>
      </b:Author>
    </b:Author>
    <b:Title>Noteikumi Nr. 562 Noteikumi par zemes lietošanas veidu klasifikācijas kārtību un to noteikšanas kritērijiem</b:Title>
    <b:Year>2007</b:Year>
    <b:RefOrder>19</b:RefOrder>
  </b:Source>
  <b:Source>
    <b:Tag>Min13</b:Tag>
    <b:SourceType>Misc</b:SourceType>
    <b:Guid>{71D95ADA-BFB2-4276-A97C-D4A2F2EF990B}</b:Guid>
    <b:Author>
      <b:Author>
        <b:Corporate>Ministru kabinets</b:Corporate>
      </b:Author>
    </b:Author>
    <b:Title>Noteikumi Nr. 240 Vispārīgie teritorijas plānošanas, izmantošanas un apbūves noteikumi</b:Title>
    <b:Year>2013</b:Year>
    <b:RefOrder>20</b:RefOrder>
  </b:Source>
  <b:Source>
    <b:Tag>Aij06</b:Tag>
    <b:SourceType>ArticleInAPeriodical</b:SourceType>
    <b:Guid>{7F261D51-1B3B-4F73-9DBE-5D47B8085E05}</b:Guid>
    <b:Title>Kvartārsegas pazemes ūdeņi Latvijā.</b:Title>
    <b:Year>2006</b:Year>
    <b:Author>
      <b:Author>
        <b:NameList>
          <b:Person>
            <b:Last>Dēliņa</b:Last>
            <b:First>Aija</b:First>
          </b:Person>
        </b:NameList>
      </b:Author>
    </b:Author>
    <b:RefOrder>21</b:RefOrder>
  </b:Source>
  <b:Source>
    <b:Tag>EIR06</b:Tag>
    <b:SourceType>Misc</b:SourceType>
    <b:Guid>{B0F6A1ED-40BA-4424-BFBA-B9E1FC4D9263}</b:Guid>
    <b:Author>
      <b:Author>
        <b:Corporate>EIROPAS PARLAMENTS UN EIROPAS SAVIENĪBAS PADOME</b:Corporate>
      </b:Author>
    </b:Author>
    <b:Title>DIREKTĪVA 2006/118/EK par gruntsūdeņu aizsardzību pret piesārņojumu un pasliktināšanos</b:Title>
    <b:Year>2006</b:Year>
    <b:RefOrder>22</b:RefOrder>
  </b:Source>
  <b:Source>
    <b:Tag>Geo</b:Tag>
    <b:SourceType>Misc</b:SourceType>
    <b:Guid>{60F60AE9-48B4-4206-96F3-4F37CE71D44D}</b:Guid>
    <b:Title>Geologinės aplinkos taršos židinių pavojingumo preliminaraus vertinimo inventorizacijos metu metodika</b:Title>
    <b:Author>
      <b:Author>
        <b:Corporate>LIETUVOS GEOLOGIJOS TARNYBA</b:Corporate>
      </b:Author>
    </b:Author>
    <b:Year>2004</b:Year>
    <b:RefOrder>11</b:RefOrder>
  </b:Source>
</b:Sources>
</file>

<file path=customXml/itemProps1.xml><?xml version="1.0" encoding="utf-8"?>
<ds:datastoreItem xmlns:ds="http://schemas.openxmlformats.org/officeDocument/2006/customXml" ds:itemID="{80AFFE6C-13AE-4B37-AFB8-95A9EBAE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42530</Words>
  <Characters>24243</Characters>
  <Application>Microsoft Office Word</Application>
  <DocSecurity>0</DocSecurity>
  <Lines>202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Edgars Dimitrijevs</dc:creator>
  <cp:keywords/>
  <dc:description/>
  <cp:lastModifiedBy>EP</cp:lastModifiedBy>
  <cp:revision>2</cp:revision>
  <dcterms:created xsi:type="dcterms:W3CDTF">2021-01-15T12:28:00Z</dcterms:created>
  <dcterms:modified xsi:type="dcterms:W3CDTF">2021-01-15T12:28:00Z</dcterms:modified>
</cp:coreProperties>
</file>