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charts/chart10.xml" ContentType="application/vnd.openxmlformats-officedocument.drawingml.chart+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colors1.xml" ContentType="application/vnd.openxmlformats-officedocument.drawingml.diagramColors+xml"/>
  <Override PartName="/word/diagrams/drawing6.xml" ContentType="application/vnd.ms-office.drawingml.diagramDrawing+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rawing4.xml" ContentType="application/vnd.ms-office.drawingml.diagramDrawing+xml"/>
  <Override PartName="/word/charts/chart9.xml" ContentType="application/vnd.openxmlformats-officedocument.drawingml.chart+xml"/>
  <Override PartName="/word/charts/chart19.xml" ContentType="application/vnd.openxmlformats-officedocument.drawingml.chart+xml"/>
  <Override PartName="/word/diagrams/drawing2.xml" ContentType="application/vnd.ms-office.drawingml.diagramDrawing+xml"/>
  <Override PartName="/word/charts/chart7.xml" ContentType="application/vnd.openxmlformats-officedocument.drawingml.chart+xml"/>
  <Override PartName="/word/charts/chart17.xml" ContentType="application/vnd.openxmlformats-officedocument.drawingml.chart+xml"/>
  <Override PartName="/word/diagrams/layout7.xml" ContentType="application/vnd.openxmlformats-officedocument.drawingml.diagramLayout+xml"/>
  <Override PartName="/word/charts/chart26.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diagrams/layout5.xml" ContentType="application/vnd.openxmlformats-officedocument.drawingml.diagramLayout+xml"/>
  <Override PartName="/word/diagrams/quickStyle7.xml" ContentType="application/vnd.openxmlformats-officedocument.drawingml.diagramStyle+xml"/>
  <Override PartName="/word/charts/chart24.xml" ContentType="application/vnd.openxmlformats-officedocument.drawingml.chart+xml"/>
  <Override PartName="/word/footer1.xml" ContentType="application/vnd.openxmlformats-officedocument.wordprocessingml.footer+xml"/>
  <Override PartName="/word/diagrams/layout3.xml" ContentType="application/vnd.openxmlformats-officedocument.drawingml.diagramLayout+xml"/>
  <Override PartName="/word/diagrams/layout4.xml" ContentType="application/vnd.openxmlformats-officedocument.drawingml.diagramLayout+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iagrams/quickStyle5.xml" ContentType="application/vnd.openxmlformats-officedocument.drawingml.diagramStyle+xml"/>
  <Override PartName="/word/diagrams/quickStyle6.xml" ContentType="application/vnd.openxmlformats-officedocument.drawingml.diagramStyle+xml"/>
  <Override PartName="/word/charts/chart22.xml" ContentType="application/vnd.openxmlformats-officedocument.drawingml.chart+xml"/>
  <Override PartName="/word/charts/chart23.xml" ContentType="application/vnd.openxmlformats-officedocument.drawingml.chart+xml"/>
  <Override PartName="/word/diagrams/data7.xml" ContentType="application/vnd.openxmlformats-officedocument.drawingml.diagramData+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charts/chart21.xml" ContentType="application/vnd.openxmlformats-officedocument.drawingml.chart+xml"/>
  <Override PartName="/word/diagrams/colors7.xml" ContentType="application/vnd.openxmlformats-officedocument.drawingml.diagramColors+xml"/>
  <Override PartName="/docProps/core.xml" ContentType="application/vnd.openxmlformats-package.core-properties+xml"/>
  <Override PartName="/customXml/itemProps2.xml" ContentType="application/vnd.openxmlformats-officedocument.customXmlProperties+xml"/>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Default Extension="jpeg" ContentType="image/jpeg"/>
  <Override PartName="/word/diagrams/drawing5.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charts/chart6.xml" ContentType="application/vnd.openxmlformats-officedocument.drawingml.chart+xml"/>
  <Override PartName="/word/charts/chart18.xml" ContentType="application/vnd.openxmlformats-officedocument.drawingml.chart+xml"/>
  <Default Extension="gif" ContentType="image/gif"/>
  <Override PartName="/word/charts/chart4.xml" ContentType="application/vnd.openxmlformats-officedocument.drawingml.chart+xml"/>
  <Override PartName="/word/charts/chart16.xml" ContentType="application/vnd.openxmlformats-officedocument.drawingml.chart+xml"/>
  <Override PartName="/word/diagrams/layout6.xml" ContentType="application/vnd.openxmlformats-officedocument.drawingml.diagramLayout+xml"/>
  <Override PartName="/word/charts/chart25.xml" ContentType="application/vnd.openxmlformats-officedocument.drawingml.chart+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6729552"/>
        <w:docPartObj>
          <w:docPartGallery w:val="Cover Pages"/>
          <w:docPartUnique/>
        </w:docPartObj>
      </w:sdtPr>
      <w:sdtEndPr>
        <w:rPr>
          <w:rFonts w:ascii="Times New Roman" w:hAnsi="Times New Roman" w:cs="Times New Roman"/>
          <w:b/>
          <w:bCs/>
        </w:rPr>
      </w:sdtEndPr>
      <w:sdtContent>
        <w:p w:rsidR="00301C48" w:rsidRDefault="00614B5C">
          <w:r w:rsidRPr="00614B5C">
            <w:rPr>
              <w:noProof/>
              <w:lang w:val="en-US"/>
            </w:rPr>
            <w:pict>
              <v:rect id="_x0000_s1168" style="position:absolute;margin-left:0;margin-top:198.65pt;width:549.75pt;height:50.4pt;z-index:251684864;mso-width-percent:900;mso-height-percent:73;mso-top-percent:250;mso-position-horizontal:left;mso-position-horizontal-relative:page;mso-position-vertical-relative:page;mso-width-percent:900;mso-height-percent:73;mso-top-percent:250;v-text-anchor:middle" o:allowincell="f" fillcolor="#4f81bd [3204]" strokecolor="#4f81bd [3204]" strokeweight="1pt">
                <v:fill color2="#365f91 [2404]"/>
                <v:shadow color="#d8d8d8 [2732]" offset="3pt,3pt" offset2="2pt,2pt"/>
                <v:textbox style="mso-next-textbox:#_x0000_s1168;mso-fit-shape-to-text:t" inset="14.4pt,,14.4pt">
                  <w:txbxContent>
                    <w:sdt>
                      <w:sdtPr>
                        <w:rPr>
                          <w:rFonts w:ascii="Times New Roman" w:eastAsiaTheme="majorEastAsia" w:hAnsi="Times New Roman" w:cs="Times New Roman"/>
                          <w:b/>
                          <w:color w:val="17365D" w:themeColor="text2" w:themeShade="BF"/>
                          <w:sz w:val="68"/>
                          <w:szCs w:val="68"/>
                          <w:lang w:val="lv-LV"/>
                        </w:rPr>
                        <w:alias w:val="Title"/>
                        <w:id w:val="6729586"/>
                        <w:dataBinding w:prefixMappings="xmlns:ns0='http://schemas.openxmlformats.org/package/2006/metadata/core-properties' xmlns:ns1='http://purl.org/dc/elements/1.1/'" w:xpath="/ns0:coreProperties[1]/ns1:title[1]" w:storeItemID="{6C3C8BC8-F283-45AE-878A-BAB7291924A1}"/>
                        <w:text/>
                      </w:sdtPr>
                      <w:sdtContent>
                        <w:p w:rsidR="00301C48" w:rsidRDefault="00301C48">
                          <w:pPr>
                            <w:pStyle w:val="NoSpacing"/>
                            <w:jc w:val="right"/>
                            <w:rPr>
                              <w:rFonts w:asciiTheme="majorHAnsi" w:eastAsiaTheme="majorEastAsia" w:hAnsiTheme="majorHAnsi" w:cstheme="majorBidi"/>
                              <w:color w:val="FFFFFF" w:themeColor="background1"/>
                              <w:sz w:val="72"/>
                              <w:szCs w:val="72"/>
                            </w:rPr>
                          </w:pPr>
                          <w:r w:rsidRPr="00301C48">
                            <w:rPr>
                              <w:rFonts w:ascii="Times New Roman" w:eastAsiaTheme="majorEastAsia" w:hAnsi="Times New Roman" w:cs="Times New Roman"/>
                              <w:b/>
                              <w:color w:val="17365D" w:themeColor="text2" w:themeShade="BF"/>
                              <w:sz w:val="68"/>
                              <w:szCs w:val="68"/>
                              <w:lang w:val="lv-LV"/>
                            </w:rPr>
                            <w:t>Ziņojums par vides investīcijām</w:t>
                          </w:r>
                        </w:p>
                      </w:sdtContent>
                    </w:sdt>
                  </w:txbxContent>
                </v:textbox>
                <w10:wrap anchorx="page" anchory="page"/>
              </v:rect>
            </w:pict>
          </w:r>
          <w:r w:rsidRPr="00614B5C">
            <w:rPr>
              <w:noProof/>
              <w:lang w:val="en-US"/>
            </w:rPr>
            <w:pict>
              <v:group id="_x0000_s1162" style="position:absolute;margin-left:1934.35pt;margin-top:0;width:244.8pt;height:11in;z-index:251682816;mso-width-percent:400;mso-height-percent:1000;mso-position-horizontal:right;mso-position-horizontal-relative:page;mso-position-vertical:top;mso-position-vertical-relative:page;mso-width-percent:400;mso-height-percent:1000" coordorigin="7329" coordsize="4911,15840" o:allowincell="f">
                <v:group id="_x0000_s1163"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164" style="position:absolute;left:7755;width:4505;height:15840;mso-height-percent:1000;mso-position-vertical:top;mso-position-vertical-relative:page;mso-height-percent:1000" fillcolor="#8db3e2 [1311]" stroked="f" strokecolor="#d8d8d8 [2732]">
                    <v:fill color2="#bfbfbf [2412]" rotate="t"/>
                  </v:rect>
                  <v:rect id="_x0000_s1165" style="position:absolute;left:7560;top:8;width:195;height:15825;mso-height-percent:1000;mso-position-vertical-relative:page;mso-height-percent:1000;mso-width-relative:margin;v-text-anchor:middle" fillcolor="#8db3e2 [1311]" stroked="f" strokecolor="white [3212]" strokeweight="1pt">
                    <v:fill r:id="rId9" o:title="Light vertical" opacity="52429f" o:opacity2="52429f" type="pattern"/>
                    <v:shadow color="#d8d8d8 [2732]" offset="3pt,3pt" offset2="2pt,2pt"/>
                  </v:rect>
                </v:group>
                <v:rect id="_x0000_s1166"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166" inset="28.8pt,14.4pt,14.4pt,14.4pt">
                    <w:txbxContent>
                      <w:sdt>
                        <w:sdtPr>
                          <w:rPr>
                            <w:rFonts w:ascii="Times New Roman" w:eastAsiaTheme="majorEastAsia" w:hAnsi="Times New Roman" w:cs="Times New Roman"/>
                            <w:b/>
                            <w:bCs/>
                            <w:color w:val="17365D" w:themeColor="text2" w:themeShade="BF"/>
                            <w:sz w:val="72"/>
                            <w:szCs w:val="72"/>
                          </w:rPr>
                          <w:alias w:val="Year"/>
                          <w:id w:val="6729587"/>
                          <w:dataBinding w:prefixMappings="xmlns:ns0='http://schemas.microsoft.com/office/2006/coverPageProps'" w:xpath="/ns0:CoverPageProperties[1]/ns0:PublishDate[1]" w:storeItemID="{55AF091B-3C7A-41E3-B477-F2FDAA23CFDA}"/>
                          <w:date w:fullDate="2013-01-01T00:00:00Z">
                            <w:dateFormat w:val="yyyy"/>
                            <w:lid w:val="en-US"/>
                            <w:storeMappedDataAs w:val="dateTime"/>
                            <w:calendar w:val="gregorian"/>
                          </w:date>
                        </w:sdtPr>
                        <w:sdtContent>
                          <w:p w:rsidR="00301C48" w:rsidRDefault="00301C48">
                            <w:pPr>
                              <w:pStyle w:val="NoSpacing"/>
                              <w:rPr>
                                <w:rFonts w:asciiTheme="majorHAnsi" w:eastAsiaTheme="majorEastAsia" w:hAnsiTheme="majorHAnsi" w:cstheme="majorBidi"/>
                                <w:b/>
                                <w:bCs/>
                                <w:color w:val="FFFFFF" w:themeColor="background1"/>
                                <w:sz w:val="96"/>
                                <w:szCs w:val="96"/>
                              </w:rPr>
                            </w:pPr>
                            <w:r w:rsidRPr="00301C48">
                              <w:rPr>
                                <w:rFonts w:ascii="Times New Roman" w:eastAsiaTheme="majorEastAsia" w:hAnsi="Times New Roman" w:cs="Times New Roman"/>
                                <w:b/>
                                <w:bCs/>
                                <w:color w:val="17365D" w:themeColor="text2" w:themeShade="BF"/>
                                <w:sz w:val="72"/>
                                <w:szCs w:val="72"/>
                              </w:rPr>
                              <w:t>2013</w:t>
                            </w:r>
                          </w:p>
                        </w:sdtContent>
                      </w:sdt>
                    </w:txbxContent>
                  </v:textbox>
                </v:rect>
                <v:rect id="_x0000_s1167"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167" inset="28.8pt,14.4pt,14.4pt,14.4pt">
                    <w:txbxContent>
                      <w:p w:rsidR="00301C48" w:rsidRDefault="00301C48">
                        <w:pPr>
                          <w:pStyle w:val="NoSpacing"/>
                          <w:spacing w:line="360" w:lineRule="auto"/>
                          <w:rPr>
                            <w:color w:val="FFFFFF" w:themeColor="background1"/>
                          </w:rPr>
                        </w:pPr>
                      </w:p>
                      <w:p w:rsidR="00301C48" w:rsidRDefault="00301C48">
                        <w:pPr>
                          <w:pStyle w:val="NoSpacing"/>
                          <w:spacing w:line="360" w:lineRule="auto"/>
                          <w:rPr>
                            <w:color w:val="FFFFFF" w:themeColor="background1"/>
                          </w:rPr>
                        </w:pPr>
                        <w:r w:rsidRPr="00301C48">
                          <w:rPr>
                            <w:noProof/>
                            <w:color w:val="FFFFFF" w:themeColor="background1"/>
                            <w:lang w:val="lv-LV" w:eastAsia="lv-LV"/>
                          </w:rPr>
                          <w:drawing>
                            <wp:inline distT="0" distB="0" distL="0" distR="0">
                              <wp:extent cx="2461260" cy="273977"/>
                              <wp:effectExtent l="19050" t="0" r="0" b="0"/>
                              <wp:docPr id="46" name="Picture 1" descr="C:\Users\santao\Downloads\varam_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tao\Downloads\varam_LAT.jpg"/>
                                      <pic:cNvPicPr>
                                        <a:picLocks noChangeAspect="1" noChangeArrowheads="1"/>
                                      </pic:cNvPicPr>
                                    </pic:nvPicPr>
                                    <pic:blipFill>
                                      <a:blip r:embed="rId10"/>
                                      <a:srcRect/>
                                      <a:stretch>
                                        <a:fillRect/>
                                      </a:stretch>
                                    </pic:blipFill>
                                    <pic:spPr bwMode="auto">
                                      <a:xfrm>
                                        <a:off x="0" y="0"/>
                                        <a:ext cx="2461260" cy="273977"/>
                                      </a:xfrm>
                                      <a:prstGeom prst="rect">
                                        <a:avLst/>
                                      </a:prstGeom>
                                      <a:noFill/>
                                      <a:ln w="9525">
                                        <a:noFill/>
                                        <a:miter lim="800000"/>
                                        <a:headEnd/>
                                        <a:tailEnd/>
                                      </a:ln>
                                    </pic:spPr>
                                  </pic:pic>
                                </a:graphicData>
                              </a:graphic>
                            </wp:inline>
                          </w:drawing>
                        </w:r>
                      </w:p>
                    </w:txbxContent>
                  </v:textbox>
                </v:rect>
                <w10:wrap anchorx="page" anchory="page"/>
              </v:group>
            </w:pict>
          </w:r>
        </w:p>
        <w:p w:rsidR="00301C48" w:rsidRDefault="00301C48">
          <w:pPr>
            <w:rPr>
              <w:rFonts w:ascii="Times New Roman" w:hAnsi="Times New Roman" w:cs="Times New Roman"/>
            </w:rPr>
          </w:pPr>
          <w:r>
            <w:rPr>
              <w:noProof/>
              <w:lang w:eastAsia="lv-LV"/>
            </w:rPr>
            <w:drawing>
              <wp:anchor distT="0" distB="0" distL="114300" distR="114300" simplePos="0" relativeHeight="251686912" behindDoc="0" locked="0" layoutInCell="1" allowOverlap="1">
                <wp:simplePos x="0" y="0"/>
                <wp:positionH relativeFrom="margin">
                  <wp:posOffset>1619250</wp:posOffset>
                </wp:positionH>
                <wp:positionV relativeFrom="margin">
                  <wp:posOffset>2195195</wp:posOffset>
                </wp:positionV>
                <wp:extent cx="5029200" cy="3552825"/>
                <wp:effectExtent l="19050" t="0" r="0" b="0"/>
                <wp:wrapSquare wrapText="bothSides"/>
                <wp:docPr id="40" name="Picture 1" descr="C:\Users\santao\Desktop\Bilde_zino\Randu plava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tao\Desktop\Bilde_zino\Randu plavas_3.jpg"/>
                        <pic:cNvPicPr>
                          <a:picLocks noChangeAspect="1" noChangeArrowheads="1"/>
                        </pic:cNvPicPr>
                      </pic:nvPicPr>
                      <pic:blipFill>
                        <a:blip r:embed="rId11" cstate="print"/>
                        <a:srcRect/>
                        <a:stretch>
                          <a:fillRect/>
                        </a:stretch>
                      </pic:blipFill>
                      <pic:spPr bwMode="auto">
                        <a:xfrm>
                          <a:off x="0" y="0"/>
                          <a:ext cx="5029200" cy="3552825"/>
                        </a:xfrm>
                        <a:prstGeom prst="rect">
                          <a:avLst/>
                        </a:prstGeom>
                        <a:ln>
                          <a:noFill/>
                        </a:ln>
                        <a:effectLst>
                          <a:softEdge rad="112500"/>
                        </a:effectLst>
                      </pic:spPr>
                    </pic:pic>
                  </a:graphicData>
                </a:graphic>
              </wp:anchor>
            </w:drawing>
          </w:r>
          <w:r>
            <w:rPr>
              <w:noProof/>
              <w:lang w:eastAsia="lv-LV"/>
            </w:rPr>
            <w:drawing>
              <wp:anchor distT="0" distB="0" distL="114300" distR="114300" simplePos="0" relativeHeight="251688960" behindDoc="0" locked="0" layoutInCell="1" allowOverlap="1">
                <wp:simplePos x="0" y="0"/>
                <wp:positionH relativeFrom="margin">
                  <wp:posOffset>-942975</wp:posOffset>
                </wp:positionH>
                <wp:positionV relativeFrom="margin">
                  <wp:posOffset>5633720</wp:posOffset>
                </wp:positionV>
                <wp:extent cx="4210050" cy="3543300"/>
                <wp:effectExtent l="19050" t="0" r="0" b="0"/>
                <wp:wrapSquare wrapText="bothSides"/>
                <wp:docPr id="44" name="Picture 2" descr="C:\Users\santao\Desktop\Bilde_zino\Randu plava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tao\Desktop\Bilde_zino\Randu plavas_1.jpg"/>
                        <pic:cNvPicPr>
                          <a:picLocks noChangeAspect="1" noChangeArrowheads="1"/>
                        </pic:cNvPicPr>
                      </pic:nvPicPr>
                      <pic:blipFill>
                        <a:blip r:embed="rId12" cstate="print"/>
                        <a:srcRect/>
                        <a:stretch>
                          <a:fillRect/>
                        </a:stretch>
                      </pic:blipFill>
                      <pic:spPr bwMode="auto">
                        <a:xfrm>
                          <a:off x="0" y="0"/>
                          <a:ext cx="4210050" cy="3543300"/>
                        </a:xfrm>
                        <a:prstGeom prst="rect">
                          <a:avLst/>
                        </a:prstGeom>
                        <a:ln>
                          <a:noFill/>
                        </a:ln>
                        <a:effectLst>
                          <a:softEdge rad="112500"/>
                        </a:effectLst>
                      </pic:spPr>
                    </pic:pic>
                  </a:graphicData>
                </a:graphic>
              </wp:anchor>
            </w:drawing>
          </w:r>
          <w:r>
            <w:rPr>
              <w:rFonts w:ascii="Times New Roman" w:hAnsi="Times New Roman" w:cs="Times New Roman"/>
              <w:b/>
              <w:bCs/>
            </w:rPr>
            <w:br w:type="page"/>
          </w:r>
        </w:p>
      </w:sdtContent>
    </w:sdt>
    <w:sdt>
      <w:sdtPr>
        <w:rPr>
          <w:rFonts w:ascii="Times New Roman" w:eastAsiaTheme="minorHAnsi" w:hAnsi="Times New Roman" w:cs="Times New Roman"/>
          <w:b w:val="0"/>
          <w:bCs w:val="0"/>
          <w:color w:val="auto"/>
          <w:sz w:val="22"/>
          <w:szCs w:val="22"/>
          <w:lang w:val="lv-LV"/>
        </w:rPr>
        <w:id w:val="11890818"/>
        <w:docPartObj>
          <w:docPartGallery w:val="Table of Contents"/>
          <w:docPartUnique/>
        </w:docPartObj>
      </w:sdtPr>
      <w:sdtEndPr>
        <w:rPr>
          <w:sz w:val="24"/>
          <w:szCs w:val="24"/>
        </w:rPr>
      </w:sdtEndPr>
      <w:sdtContent>
        <w:p w:rsidR="00EE0CAC" w:rsidRPr="00694358" w:rsidRDefault="00EE0CAC">
          <w:pPr>
            <w:pStyle w:val="TOCHeading"/>
            <w:rPr>
              <w:rFonts w:ascii="Times New Roman" w:hAnsi="Times New Roman" w:cs="Times New Roman"/>
              <w:b w:val="0"/>
              <w:color w:val="auto"/>
              <w:sz w:val="24"/>
              <w:szCs w:val="24"/>
            </w:rPr>
          </w:pPr>
        </w:p>
        <w:p w:rsidR="0076337D" w:rsidRPr="0076337D" w:rsidRDefault="00614B5C">
          <w:pPr>
            <w:pStyle w:val="TOC1"/>
            <w:rPr>
              <w:rFonts w:eastAsiaTheme="minorEastAsia"/>
              <w:caps w:val="0"/>
              <w:sz w:val="24"/>
              <w:szCs w:val="24"/>
              <w:lang w:eastAsia="lv-LV"/>
            </w:rPr>
          </w:pPr>
          <w:r w:rsidRPr="00614B5C">
            <w:rPr>
              <w:sz w:val="24"/>
              <w:szCs w:val="24"/>
            </w:rPr>
            <w:fldChar w:fldCharType="begin"/>
          </w:r>
          <w:r w:rsidR="00EE0CAC" w:rsidRPr="00694358">
            <w:rPr>
              <w:sz w:val="24"/>
              <w:szCs w:val="24"/>
            </w:rPr>
            <w:instrText xml:space="preserve"> TOC \o "1-3" \h \z \u </w:instrText>
          </w:r>
          <w:r w:rsidRPr="00614B5C">
            <w:rPr>
              <w:sz w:val="24"/>
              <w:szCs w:val="24"/>
            </w:rPr>
            <w:fldChar w:fldCharType="separate"/>
          </w:r>
          <w:hyperlink w:anchor="_Toc391887120" w:history="1">
            <w:r w:rsidR="0076337D" w:rsidRPr="0076337D">
              <w:rPr>
                <w:rStyle w:val="Hyperlink"/>
                <w:sz w:val="24"/>
                <w:szCs w:val="24"/>
              </w:rPr>
              <w:t>KOPSAVILKUMS</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_Toc391887120 \h </w:instrText>
            </w:r>
            <w:r w:rsidRPr="0076337D">
              <w:rPr>
                <w:webHidden/>
                <w:sz w:val="24"/>
                <w:szCs w:val="24"/>
              </w:rPr>
            </w:r>
            <w:r w:rsidRPr="0076337D">
              <w:rPr>
                <w:webHidden/>
                <w:sz w:val="24"/>
                <w:szCs w:val="24"/>
              </w:rPr>
              <w:fldChar w:fldCharType="separate"/>
            </w:r>
            <w:r w:rsidR="0076337D" w:rsidRPr="0076337D">
              <w:rPr>
                <w:webHidden/>
                <w:sz w:val="24"/>
                <w:szCs w:val="24"/>
              </w:rPr>
              <w:t>2</w:t>
            </w:r>
            <w:r w:rsidRPr="0076337D">
              <w:rPr>
                <w:webHidden/>
                <w:sz w:val="24"/>
                <w:szCs w:val="24"/>
              </w:rPr>
              <w:fldChar w:fldCharType="end"/>
            </w:r>
          </w:hyperlink>
        </w:p>
        <w:p w:rsidR="0076337D" w:rsidRPr="0076337D" w:rsidRDefault="00614B5C">
          <w:pPr>
            <w:pStyle w:val="TOC1"/>
            <w:rPr>
              <w:rFonts w:eastAsiaTheme="minorEastAsia"/>
              <w:caps w:val="0"/>
              <w:sz w:val="24"/>
              <w:szCs w:val="24"/>
              <w:lang w:eastAsia="lv-LV"/>
            </w:rPr>
          </w:pPr>
          <w:hyperlink w:anchor="_Toc391887121" w:history="1">
            <w:r w:rsidR="0076337D" w:rsidRPr="0076337D">
              <w:rPr>
                <w:rStyle w:val="Hyperlink"/>
                <w:sz w:val="24"/>
                <w:szCs w:val="24"/>
              </w:rPr>
              <w:t>Ieguldītās Investīcijas vides aizsardzībā</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_Toc391887121 \h </w:instrText>
            </w:r>
            <w:r w:rsidRPr="0076337D">
              <w:rPr>
                <w:webHidden/>
                <w:sz w:val="24"/>
                <w:szCs w:val="24"/>
              </w:rPr>
            </w:r>
            <w:r w:rsidRPr="0076337D">
              <w:rPr>
                <w:webHidden/>
                <w:sz w:val="24"/>
                <w:szCs w:val="24"/>
              </w:rPr>
              <w:fldChar w:fldCharType="separate"/>
            </w:r>
            <w:r w:rsidR="0076337D" w:rsidRPr="0076337D">
              <w:rPr>
                <w:webHidden/>
                <w:sz w:val="24"/>
                <w:szCs w:val="24"/>
              </w:rPr>
              <w:t>4</w:t>
            </w:r>
            <w:r w:rsidRPr="0076337D">
              <w:rPr>
                <w:webHidden/>
                <w:sz w:val="24"/>
                <w:szCs w:val="24"/>
              </w:rPr>
              <w:fldChar w:fldCharType="end"/>
            </w:r>
          </w:hyperlink>
        </w:p>
        <w:p w:rsidR="0076337D" w:rsidRPr="0076337D" w:rsidRDefault="00614B5C">
          <w:pPr>
            <w:pStyle w:val="TOC1"/>
            <w:rPr>
              <w:rFonts w:eastAsiaTheme="minorEastAsia"/>
              <w:caps w:val="0"/>
              <w:sz w:val="24"/>
              <w:szCs w:val="24"/>
              <w:lang w:eastAsia="lv-LV"/>
            </w:rPr>
          </w:pPr>
          <w:hyperlink w:anchor="_Toc391887122" w:history="1">
            <w:r w:rsidR="0076337D" w:rsidRPr="0076337D">
              <w:rPr>
                <w:rStyle w:val="Hyperlink"/>
                <w:sz w:val="24"/>
                <w:szCs w:val="24"/>
              </w:rPr>
              <w:t>vides aizsardzības pasākumiem piešķirtais līdzfinansējums</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_Toc391887122 \h </w:instrText>
            </w:r>
            <w:r w:rsidRPr="0076337D">
              <w:rPr>
                <w:webHidden/>
                <w:sz w:val="24"/>
                <w:szCs w:val="24"/>
              </w:rPr>
            </w:r>
            <w:r w:rsidRPr="0076337D">
              <w:rPr>
                <w:webHidden/>
                <w:sz w:val="24"/>
                <w:szCs w:val="24"/>
              </w:rPr>
              <w:fldChar w:fldCharType="separate"/>
            </w:r>
            <w:r w:rsidR="0076337D" w:rsidRPr="0076337D">
              <w:rPr>
                <w:webHidden/>
                <w:sz w:val="24"/>
                <w:szCs w:val="24"/>
              </w:rPr>
              <w:t>7</w:t>
            </w:r>
            <w:r w:rsidRPr="0076337D">
              <w:rPr>
                <w:webHidden/>
                <w:sz w:val="24"/>
                <w:szCs w:val="24"/>
              </w:rPr>
              <w:fldChar w:fldCharType="end"/>
            </w:r>
          </w:hyperlink>
        </w:p>
        <w:p w:rsidR="0076337D" w:rsidRPr="0076337D" w:rsidRDefault="00614B5C">
          <w:pPr>
            <w:pStyle w:val="TOC1"/>
            <w:rPr>
              <w:rFonts w:eastAsiaTheme="minorEastAsia"/>
              <w:caps w:val="0"/>
              <w:sz w:val="24"/>
              <w:szCs w:val="24"/>
              <w:lang w:eastAsia="lv-LV"/>
            </w:rPr>
          </w:pPr>
          <w:hyperlink w:anchor="_Toc391887123" w:history="1">
            <w:r w:rsidR="0076337D" w:rsidRPr="0076337D">
              <w:rPr>
                <w:rStyle w:val="Hyperlink"/>
                <w:sz w:val="24"/>
                <w:szCs w:val="24"/>
              </w:rPr>
              <w:t>Investīcijas ūdenssaimniecības infrastruktūras attīstībā</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_Toc391887123 \h </w:instrText>
            </w:r>
            <w:r w:rsidRPr="0076337D">
              <w:rPr>
                <w:webHidden/>
                <w:sz w:val="24"/>
                <w:szCs w:val="24"/>
              </w:rPr>
            </w:r>
            <w:r w:rsidRPr="0076337D">
              <w:rPr>
                <w:webHidden/>
                <w:sz w:val="24"/>
                <w:szCs w:val="24"/>
              </w:rPr>
              <w:fldChar w:fldCharType="separate"/>
            </w:r>
            <w:r w:rsidR="0076337D" w:rsidRPr="0076337D">
              <w:rPr>
                <w:webHidden/>
                <w:sz w:val="24"/>
                <w:szCs w:val="24"/>
              </w:rPr>
              <w:t>10</w:t>
            </w:r>
            <w:r w:rsidRPr="0076337D">
              <w:rPr>
                <w:webHidden/>
                <w:sz w:val="24"/>
                <w:szCs w:val="24"/>
              </w:rPr>
              <w:fldChar w:fldCharType="end"/>
            </w:r>
          </w:hyperlink>
        </w:p>
        <w:p w:rsidR="0076337D" w:rsidRPr="0076337D" w:rsidRDefault="00614B5C">
          <w:pPr>
            <w:pStyle w:val="TOC1"/>
            <w:rPr>
              <w:rFonts w:eastAsiaTheme="minorEastAsia"/>
              <w:caps w:val="0"/>
              <w:sz w:val="24"/>
              <w:szCs w:val="24"/>
              <w:lang w:eastAsia="lv-LV"/>
            </w:rPr>
          </w:pPr>
          <w:hyperlink w:anchor="_Toc391887124" w:history="1">
            <w:r w:rsidR="0076337D" w:rsidRPr="0076337D">
              <w:rPr>
                <w:rStyle w:val="Hyperlink"/>
                <w:sz w:val="24"/>
                <w:szCs w:val="24"/>
              </w:rPr>
              <w:t>Investīcijas atkritumu apsaimniekošanas sistēmas attīstībā</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_Toc391887124 \h </w:instrText>
            </w:r>
            <w:r w:rsidRPr="0076337D">
              <w:rPr>
                <w:webHidden/>
                <w:sz w:val="24"/>
                <w:szCs w:val="24"/>
              </w:rPr>
            </w:r>
            <w:r w:rsidRPr="0076337D">
              <w:rPr>
                <w:webHidden/>
                <w:sz w:val="24"/>
                <w:szCs w:val="24"/>
              </w:rPr>
              <w:fldChar w:fldCharType="separate"/>
            </w:r>
            <w:r w:rsidR="0076337D" w:rsidRPr="0076337D">
              <w:rPr>
                <w:webHidden/>
                <w:sz w:val="24"/>
                <w:szCs w:val="24"/>
              </w:rPr>
              <w:t>17</w:t>
            </w:r>
            <w:r w:rsidRPr="0076337D">
              <w:rPr>
                <w:webHidden/>
                <w:sz w:val="24"/>
                <w:szCs w:val="24"/>
              </w:rPr>
              <w:fldChar w:fldCharType="end"/>
            </w:r>
          </w:hyperlink>
        </w:p>
        <w:p w:rsidR="0076337D" w:rsidRPr="0076337D" w:rsidRDefault="00614B5C">
          <w:pPr>
            <w:pStyle w:val="TOC1"/>
            <w:rPr>
              <w:rFonts w:eastAsiaTheme="minorEastAsia"/>
              <w:caps w:val="0"/>
              <w:sz w:val="24"/>
              <w:szCs w:val="24"/>
              <w:lang w:eastAsia="lv-LV"/>
            </w:rPr>
          </w:pPr>
          <w:hyperlink w:anchor="_Toc391887125" w:history="1">
            <w:r w:rsidR="0076337D" w:rsidRPr="0076337D">
              <w:rPr>
                <w:rStyle w:val="Hyperlink"/>
                <w:sz w:val="24"/>
                <w:szCs w:val="24"/>
              </w:rPr>
              <w:t>Investīcijas Siltumnīcefekta gāzu emisiju samazināšanā</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_Toc391887125 \h </w:instrText>
            </w:r>
            <w:r w:rsidRPr="0076337D">
              <w:rPr>
                <w:webHidden/>
                <w:sz w:val="24"/>
                <w:szCs w:val="24"/>
              </w:rPr>
            </w:r>
            <w:r w:rsidRPr="0076337D">
              <w:rPr>
                <w:webHidden/>
                <w:sz w:val="24"/>
                <w:szCs w:val="24"/>
              </w:rPr>
              <w:fldChar w:fldCharType="separate"/>
            </w:r>
            <w:r w:rsidR="0076337D" w:rsidRPr="0076337D">
              <w:rPr>
                <w:webHidden/>
                <w:sz w:val="24"/>
                <w:szCs w:val="24"/>
              </w:rPr>
              <w:t>22</w:t>
            </w:r>
            <w:r w:rsidRPr="0076337D">
              <w:rPr>
                <w:webHidden/>
                <w:sz w:val="24"/>
                <w:szCs w:val="24"/>
              </w:rPr>
              <w:fldChar w:fldCharType="end"/>
            </w:r>
          </w:hyperlink>
        </w:p>
        <w:p w:rsidR="0076337D" w:rsidRPr="0076337D" w:rsidRDefault="00614B5C">
          <w:pPr>
            <w:pStyle w:val="TOC1"/>
            <w:rPr>
              <w:rFonts w:eastAsiaTheme="minorEastAsia"/>
              <w:caps w:val="0"/>
              <w:sz w:val="24"/>
              <w:szCs w:val="24"/>
              <w:lang w:eastAsia="lv-LV"/>
            </w:rPr>
          </w:pPr>
          <w:hyperlink w:anchor="_Toc391887126" w:history="1">
            <w:r w:rsidR="0076337D" w:rsidRPr="0076337D">
              <w:rPr>
                <w:rStyle w:val="Hyperlink"/>
                <w:sz w:val="24"/>
                <w:szCs w:val="24"/>
              </w:rPr>
              <w:t>Investīcijas dabas aizsardzībā</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_Toc391887126 \h </w:instrText>
            </w:r>
            <w:r w:rsidRPr="0076337D">
              <w:rPr>
                <w:webHidden/>
                <w:sz w:val="24"/>
                <w:szCs w:val="24"/>
              </w:rPr>
            </w:r>
            <w:r w:rsidRPr="0076337D">
              <w:rPr>
                <w:webHidden/>
                <w:sz w:val="24"/>
                <w:szCs w:val="24"/>
              </w:rPr>
              <w:fldChar w:fldCharType="separate"/>
            </w:r>
            <w:r w:rsidR="0076337D" w:rsidRPr="0076337D">
              <w:rPr>
                <w:webHidden/>
                <w:sz w:val="24"/>
                <w:szCs w:val="24"/>
              </w:rPr>
              <w:t>25</w:t>
            </w:r>
            <w:r w:rsidRPr="0076337D">
              <w:rPr>
                <w:webHidden/>
                <w:sz w:val="24"/>
                <w:szCs w:val="24"/>
              </w:rPr>
              <w:fldChar w:fldCharType="end"/>
            </w:r>
          </w:hyperlink>
        </w:p>
        <w:p w:rsidR="0076337D" w:rsidRPr="0076337D" w:rsidRDefault="00614B5C">
          <w:pPr>
            <w:pStyle w:val="TOC1"/>
            <w:rPr>
              <w:rFonts w:eastAsiaTheme="minorEastAsia"/>
              <w:caps w:val="0"/>
              <w:sz w:val="24"/>
              <w:szCs w:val="24"/>
              <w:lang w:eastAsia="lv-LV"/>
            </w:rPr>
          </w:pPr>
          <w:hyperlink w:anchor="_Toc391887127" w:history="1">
            <w:r w:rsidR="0076337D" w:rsidRPr="0076337D">
              <w:rPr>
                <w:rStyle w:val="Hyperlink"/>
                <w:sz w:val="24"/>
                <w:szCs w:val="24"/>
              </w:rPr>
              <w:t>Investīcijas vēsturiski piesārņoto vietu sanācijā</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_Toc391887127 \h </w:instrText>
            </w:r>
            <w:r w:rsidRPr="0076337D">
              <w:rPr>
                <w:webHidden/>
                <w:sz w:val="24"/>
                <w:szCs w:val="24"/>
              </w:rPr>
            </w:r>
            <w:r w:rsidRPr="0076337D">
              <w:rPr>
                <w:webHidden/>
                <w:sz w:val="24"/>
                <w:szCs w:val="24"/>
              </w:rPr>
              <w:fldChar w:fldCharType="separate"/>
            </w:r>
            <w:r w:rsidR="0076337D" w:rsidRPr="0076337D">
              <w:rPr>
                <w:webHidden/>
                <w:sz w:val="24"/>
                <w:szCs w:val="24"/>
              </w:rPr>
              <w:t>35</w:t>
            </w:r>
            <w:r w:rsidRPr="0076337D">
              <w:rPr>
                <w:webHidden/>
                <w:sz w:val="24"/>
                <w:szCs w:val="24"/>
              </w:rPr>
              <w:fldChar w:fldCharType="end"/>
            </w:r>
          </w:hyperlink>
        </w:p>
        <w:p w:rsidR="0076337D" w:rsidRPr="0076337D" w:rsidRDefault="00614B5C">
          <w:pPr>
            <w:pStyle w:val="TOC1"/>
            <w:rPr>
              <w:rFonts w:eastAsiaTheme="minorEastAsia"/>
              <w:caps w:val="0"/>
              <w:sz w:val="24"/>
              <w:szCs w:val="24"/>
              <w:lang w:eastAsia="lv-LV"/>
            </w:rPr>
          </w:pPr>
          <w:hyperlink w:anchor="_Toc391887128" w:history="1">
            <w:r w:rsidR="0076337D" w:rsidRPr="0076337D">
              <w:rPr>
                <w:rStyle w:val="Hyperlink"/>
                <w:sz w:val="24"/>
                <w:szCs w:val="24"/>
              </w:rPr>
              <w:t>Investīcijas vides risku novēršanā</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_Toc391887128 \h </w:instrText>
            </w:r>
            <w:r w:rsidRPr="0076337D">
              <w:rPr>
                <w:webHidden/>
                <w:sz w:val="24"/>
                <w:szCs w:val="24"/>
              </w:rPr>
            </w:r>
            <w:r w:rsidRPr="0076337D">
              <w:rPr>
                <w:webHidden/>
                <w:sz w:val="24"/>
                <w:szCs w:val="24"/>
              </w:rPr>
              <w:fldChar w:fldCharType="separate"/>
            </w:r>
            <w:r w:rsidR="0076337D" w:rsidRPr="0076337D">
              <w:rPr>
                <w:webHidden/>
                <w:sz w:val="24"/>
                <w:szCs w:val="24"/>
              </w:rPr>
              <w:t>37</w:t>
            </w:r>
            <w:r w:rsidRPr="0076337D">
              <w:rPr>
                <w:webHidden/>
                <w:sz w:val="24"/>
                <w:szCs w:val="24"/>
              </w:rPr>
              <w:fldChar w:fldCharType="end"/>
            </w:r>
          </w:hyperlink>
        </w:p>
        <w:p w:rsidR="0076337D" w:rsidRDefault="00614B5C">
          <w:pPr>
            <w:pStyle w:val="TOC1"/>
            <w:rPr>
              <w:rFonts w:asciiTheme="minorHAnsi" w:eastAsiaTheme="minorEastAsia" w:hAnsiTheme="minorHAnsi" w:cstheme="minorBidi"/>
              <w:caps w:val="0"/>
              <w:lang w:eastAsia="lv-LV"/>
            </w:rPr>
          </w:pPr>
          <w:hyperlink w:anchor="_Toc391887129" w:history="1">
            <w:r w:rsidR="0076337D" w:rsidRPr="0076337D">
              <w:rPr>
                <w:rStyle w:val="Hyperlink"/>
                <w:sz w:val="24"/>
                <w:szCs w:val="24"/>
              </w:rPr>
              <w:t>Investīcijas vides monitoringa sistēmas attīstībā</w:t>
            </w:r>
            <w:r w:rsidR="0076337D" w:rsidRPr="0076337D">
              <w:rPr>
                <w:webHidden/>
                <w:sz w:val="24"/>
                <w:szCs w:val="24"/>
              </w:rPr>
              <w:tab/>
            </w:r>
            <w:r w:rsidRPr="0076337D">
              <w:rPr>
                <w:webHidden/>
                <w:sz w:val="24"/>
                <w:szCs w:val="24"/>
              </w:rPr>
              <w:fldChar w:fldCharType="begin"/>
            </w:r>
            <w:r w:rsidR="0076337D" w:rsidRPr="0076337D">
              <w:rPr>
                <w:webHidden/>
                <w:sz w:val="24"/>
                <w:szCs w:val="24"/>
              </w:rPr>
              <w:instrText xml:space="preserve"> PAGEREF _Toc391887129 \h </w:instrText>
            </w:r>
            <w:r w:rsidRPr="0076337D">
              <w:rPr>
                <w:webHidden/>
                <w:sz w:val="24"/>
                <w:szCs w:val="24"/>
              </w:rPr>
            </w:r>
            <w:r w:rsidRPr="0076337D">
              <w:rPr>
                <w:webHidden/>
                <w:sz w:val="24"/>
                <w:szCs w:val="24"/>
              </w:rPr>
              <w:fldChar w:fldCharType="separate"/>
            </w:r>
            <w:r w:rsidR="0076337D" w:rsidRPr="0076337D">
              <w:rPr>
                <w:webHidden/>
                <w:sz w:val="24"/>
                <w:szCs w:val="24"/>
              </w:rPr>
              <w:t>40</w:t>
            </w:r>
            <w:r w:rsidRPr="0076337D">
              <w:rPr>
                <w:webHidden/>
                <w:sz w:val="24"/>
                <w:szCs w:val="24"/>
              </w:rPr>
              <w:fldChar w:fldCharType="end"/>
            </w:r>
          </w:hyperlink>
        </w:p>
        <w:p w:rsidR="001B6722" w:rsidRDefault="00614B5C">
          <w:pPr>
            <w:rPr>
              <w:rFonts w:ascii="Times New Roman" w:hAnsi="Times New Roman" w:cs="Times New Roman"/>
              <w:sz w:val="24"/>
              <w:szCs w:val="24"/>
            </w:rPr>
          </w:pPr>
          <w:r w:rsidRPr="00694358">
            <w:rPr>
              <w:rFonts w:ascii="Times New Roman" w:hAnsi="Times New Roman" w:cs="Times New Roman"/>
              <w:sz w:val="24"/>
              <w:szCs w:val="24"/>
            </w:rPr>
            <w:fldChar w:fldCharType="end"/>
          </w:r>
        </w:p>
      </w:sdtContent>
    </w:sdt>
    <w:p w:rsidR="00EE0CAC" w:rsidRPr="001B6722" w:rsidRDefault="00EE0CAC">
      <w:pPr>
        <w:rPr>
          <w:rStyle w:val="Heading1Char"/>
          <w:rFonts w:ascii="Times New Roman" w:eastAsiaTheme="minorHAnsi" w:hAnsi="Times New Roman" w:cs="Times New Roman"/>
          <w:b w:val="0"/>
          <w:bCs w:val="0"/>
          <w:kern w:val="0"/>
          <w:sz w:val="24"/>
          <w:szCs w:val="24"/>
        </w:rPr>
      </w:pPr>
      <w:r w:rsidRPr="00154D99">
        <w:rPr>
          <w:rStyle w:val="Heading1Char"/>
          <w:rFonts w:ascii="Times New Roman" w:eastAsiaTheme="minorHAnsi" w:hAnsi="Times New Roman" w:cs="Times New Roman"/>
          <w:caps/>
          <w:color w:val="0070C0"/>
        </w:rPr>
        <w:br w:type="page"/>
      </w:r>
    </w:p>
    <w:p w:rsidR="00F267D4" w:rsidRDefault="0076337D" w:rsidP="00F267D4">
      <w:pPr>
        <w:pStyle w:val="Heading1"/>
        <w:spacing w:before="120" w:after="240"/>
        <w:jc w:val="both"/>
        <w:rPr>
          <w:rFonts w:ascii="Times New Roman Bold" w:hAnsi="Times New Roman Bold"/>
          <w:caps/>
          <w:color w:val="0070C0"/>
          <w:sz w:val="28"/>
          <w:szCs w:val="28"/>
        </w:rPr>
      </w:pPr>
      <w:bookmarkStart w:id="0" w:name="_Toc391887120"/>
      <w:r>
        <w:rPr>
          <w:rFonts w:ascii="Times New Roman Bold" w:hAnsi="Times New Roman Bold"/>
          <w:caps/>
          <w:color w:val="0070C0"/>
          <w:sz w:val="28"/>
          <w:szCs w:val="28"/>
        </w:rPr>
        <w:lastRenderedPageBreak/>
        <w:t>KOPSAVILKUMS</w:t>
      </w:r>
      <w:bookmarkEnd w:id="0"/>
    </w:p>
    <w:p w:rsidR="00F267D4" w:rsidRPr="00F267D4" w:rsidRDefault="00F267D4" w:rsidP="00F267D4">
      <w:pPr>
        <w:pStyle w:val="Default"/>
        <w:spacing w:before="120"/>
        <w:jc w:val="both"/>
      </w:pPr>
      <w:r w:rsidRPr="00F267D4">
        <w:t xml:space="preserve">Arī 2013. gadā īstenotie un apstiprinātie vides investīciju projekti turpina īstenot Vides aizsardzības un reģionālās attīstības ministrijas (turpmāk – VARAM) prioritātes – uzlabot vides kvalitāti, nodrošinot iedzīvotājiem iespēju dzīvot tīrā un sakārtotā vidē, un bioloģisko daudzveidību, veicināt ilgtspējīgu dabas resursu (pazemes un virszemes ūdeņu) izmantošanu un samazināt atkritumu poligonos apglabājamo atkritumu daudzumu. </w:t>
      </w:r>
    </w:p>
    <w:p w:rsidR="00F267D4" w:rsidRPr="00F267D4" w:rsidRDefault="00F267D4" w:rsidP="00F267D4">
      <w:pPr>
        <w:pStyle w:val="Default"/>
        <w:spacing w:before="120"/>
        <w:jc w:val="both"/>
      </w:pPr>
      <w:r w:rsidRPr="00F267D4">
        <w:t>Vides aizsardzības infrastruktūras izveides, siltumnīcefekta gāzu emisijas samazināšanas, vides risku samazināšanas un dabas aizsardzības un bioloģiskās daudzveidības saglabāšanas pasākumu īstenošanā 2013.gadā kopumā ieguldīti vairāk nekā 86,</w:t>
      </w:r>
      <w:r w:rsidR="00F21C74">
        <w:t>36</w:t>
      </w:r>
      <w:r w:rsidRPr="00F267D4">
        <w:t xml:space="preserve"> milj. latu, no tiem lielākā daļa – 46,43 milj. latu ieguldīti ūdenssaimniecības infrastruktūras attīstībā. Pavisam no 1995. gada vides aizsardzības projektos jau ieguldīti 1109,</w:t>
      </w:r>
      <w:r w:rsidR="00F21C74">
        <w:t>84</w:t>
      </w:r>
      <w:r w:rsidRPr="00F267D4">
        <w:t xml:space="preserve"> milj. latu.</w:t>
      </w:r>
    </w:p>
    <w:p w:rsidR="00F267D4" w:rsidRPr="00F267D4" w:rsidRDefault="00F267D4" w:rsidP="00F267D4">
      <w:pPr>
        <w:spacing w:before="120" w:after="0" w:line="240" w:lineRule="auto"/>
        <w:jc w:val="both"/>
        <w:rPr>
          <w:rFonts w:ascii="Times New Roman" w:hAnsi="Times New Roman" w:cs="Times New Roman"/>
          <w:sz w:val="24"/>
          <w:szCs w:val="24"/>
        </w:rPr>
      </w:pPr>
      <w:r w:rsidRPr="00F267D4">
        <w:rPr>
          <w:rFonts w:ascii="Times New Roman" w:hAnsi="Times New Roman" w:cs="Times New Roman"/>
          <w:sz w:val="24"/>
          <w:szCs w:val="24"/>
        </w:rPr>
        <w:t>Investīcijas vides aizsardzībā nodrošina ne tikai racionālu dabas resursu izmantošanu, rada priekšnoteikumus vides piesārņošanas draudu samazināšanai, bet ļauj izpildīt Latvijas starptautiskās saistības, t.sk. saistības, ko valsts uzņēmusies, iestājoties Eiropas Savienībā.</w:t>
      </w:r>
    </w:p>
    <w:p w:rsidR="00F267D4" w:rsidRPr="00F267D4" w:rsidRDefault="00F267D4" w:rsidP="00F267D4">
      <w:pPr>
        <w:spacing w:before="120" w:after="0" w:line="240" w:lineRule="auto"/>
        <w:jc w:val="both"/>
        <w:rPr>
          <w:rFonts w:ascii="Times New Roman" w:hAnsi="Times New Roman" w:cs="Times New Roman"/>
          <w:sz w:val="24"/>
          <w:szCs w:val="24"/>
        </w:rPr>
      </w:pPr>
      <w:r w:rsidRPr="00F267D4">
        <w:rPr>
          <w:rFonts w:ascii="Times New Roman" w:hAnsi="Times New Roman" w:cs="Times New Roman"/>
          <w:sz w:val="24"/>
          <w:szCs w:val="24"/>
        </w:rPr>
        <w:t xml:space="preserve">Kopumā dažādās ieviešanas stadijās 2013.gadā atradās 432 Eiropas Savienības fondu un </w:t>
      </w:r>
      <w:r w:rsidRPr="00F267D4">
        <w:rPr>
          <w:rFonts w:ascii="Times New Roman" w:hAnsi="Times New Roman" w:cs="Times New Roman"/>
          <w:i/>
          <w:sz w:val="24"/>
          <w:szCs w:val="24"/>
        </w:rPr>
        <w:t>LIFE+</w:t>
      </w:r>
      <w:r w:rsidRPr="00F267D4">
        <w:rPr>
          <w:rFonts w:ascii="Times New Roman" w:hAnsi="Times New Roman" w:cs="Times New Roman"/>
          <w:sz w:val="24"/>
          <w:szCs w:val="24"/>
        </w:rPr>
        <w:t xml:space="preserve"> programmas projekti. Ūdenssaimniecības attīstība un atkritumu apsaimniekošana ir tās sfēras, kur vērojama projekta iniciatoru lielākā aktivitāte. Ūdenssaimniecības infrastruktūras projekti tiek realizēti 66 pilsētās un 238 apdzīvotās vietās ar iedzīvotāju skaitu līdz 2000, uzlabojot gan ūdensapgādes un kanalizācijas pakalpojumu kvalitāti, gan šo pakalpojumu pieejamību. Savukārt atkritumu apsaimniekošanas jomā, 2013. gadā pabeigta 10 sadzīves atkritumu izgāztuvju rekultivācija </w:t>
      </w:r>
      <w:r w:rsidRPr="00F267D4">
        <w:rPr>
          <w:rFonts w:ascii="Times New Roman" w:hAnsi="Times New Roman" w:cs="Times New Roman"/>
          <w:sz w:val="24"/>
          <w:szCs w:val="24"/>
          <w:lang w:eastAsia="lv-LV"/>
        </w:rPr>
        <w:t xml:space="preserve">11,43 ha, </w:t>
      </w:r>
      <w:r w:rsidRPr="00F267D4">
        <w:rPr>
          <w:rFonts w:ascii="Times New Roman" w:hAnsi="Times New Roman" w:cs="Times New Roman"/>
          <w:sz w:val="24"/>
          <w:szCs w:val="24"/>
        </w:rPr>
        <w:t xml:space="preserve">pabeigti poligonu infrastruktūras attīstības projekti, veicināta atkritumu dalītā vākšana. Tāpat, realizējot investīciju projektus, tika stiprinātas vides infrastruktūras, dabas aizsardzības, vides monitoringa un vides aizsardzības institūcijas. Projektu īstenošanai tika piesaistīti Eiropas Savienības Kohēzijas fonda, Eiropas reģionālās attīstība fonda, ES struktūrfondu 3. mērķa „Eiropas teritoriālā sadarbība” 2007. – 2013. gadam Eiropas teritoriālās sadarbības programmas un </w:t>
      </w:r>
      <w:r w:rsidRPr="00F267D4">
        <w:rPr>
          <w:rFonts w:ascii="Times New Roman" w:hAnsi="Times New Roman" w:cs="Times New Roman"/>
          <w:i/>
          <w:sz w:val="24"/>
          <w:szCs w:val="24"/>
        </w:rPr>
        <w:t>LIFE+</w:t>
      </w:r>
      <w:r w:rsidRPr="00F267D4">
        <w:rPr>
          <w:rFonts w:ascii="Times New Roman" w:hAnsi="Times New Roman" w:cs="Times New Roman"/>
          <w:sz w:val="24"/>
          <w:szCs w:val="24"/>
        </w:rPr>
        <w:t xml:space="preserve"> programmas līdzfinansējums.</w:t>
      </w:r>
    </w:p>
    <w:p w:rsidR="00F267D4" w:rsidRPr="00F267D4" w:rsidRDefault="00F267D4" w:rsidP="00F267D4">
      <w:pPr>
        <w:spacing w:before="120" w:after="0" w:line="240" w:lineRule="auto"/>
        <w:jc w:val="both"/>
        <w:rPr>
          <w:rFonts w:ascii="Times New Roman" w:hAnsi="Times New Roman" w:cs="Times New Roman"/>
          <w:color w:val="000000"/>
          <w:sz w:val="24"/>
          <w:szCs w:val="24"/>
        </w:rPr>
      </w:pPr>
      <w:r w:rsidRPr="00F267D4">
        <w:rPr>
          <w:rFonts w:ascii="Times New Roman" w:hAnsi="Times New Roman" w:cs="Times New Roman"/>
          <w:sz w:val="24"/>
          <w:szCs w:val="24"/>
        </w:rPr>
        <w:t xml:space="preserve">Vides uzlabošanas jomā 2013. gadā tika turpināti </w:t>
      </w:r>
      <w:r w:rsidRPr="00F267D4">
        <w:rPr>
          <w:rFonts w:ascii="Times New Roman" w:hAnsi="Times New Roman" w:cs="Times New Roman"/>
          <w:bCs/>
          <w:sz w:val="24"/>
          <w:szCs w:val="24"/>
        </w:rPr>
        <w:t xml:space="preserve">Klimata pārmaiņu finanšu instrumenta </w:t>
      </w:r>
      <w:r w:rsidRPr="00F267D4">
        <w:rPr>
          <w:rFonts w:ascii="Times New Roman" w:hAnsi="Times New Roman" w:cs="Times New Roman"/>
          <w:sz w:val="24"/>
          <w:szCs w:val="24"/>
        </w:rPr>
        <w:t xml:space="preserve">finansējumu projekti ar mērķi samazināt siltumnīcefekta gāzu emisiju atmosfērā un ar to saistīto risku – globālās sasilšanas un klimata pārmaiņu – mazināšanu, sniedzot finansiālu atbalstu energoefektivitāti un atjaunojamo energoresursu izmantošanu veicinošu pasākumu īstenošanai. Pagājušajā gadā īstenošanā atradās 1889 siltumnīcefekta gāzu emisiju samazināšanas projekti, kuros kopumā 2013. gadā ieguldīti 21,13 milj. latu klimata pārmaiņu finanšu instrumenta līdzfinansējuma. Siltumnīcefekta gāzu samazināšanas pasākumi īstenoti gan </w:t>
      </w:r>
      <w:r w:rsidRPr="00F267D4">
        <w:rPr>
          <w:rFonts w:ascii="Times New Roman" w:hAnsi="Times New Roman" w:cs="Times New Roman"/>
          <w:color w:val="000000"/>
          <w:sz w:val="24"/>
          <w:szCs w:val="24"/>
        </w:rPr>
        <w:t>pašvaldību, izglītības iestāžu un ražošanas ēkās, gan pašvaldību publisko teritoriju apgaismojuma infrastruktūrā un mājsaimniecību sektorā, kā arī īstenoti zema enerģijas patēriņa ēku projekti.</w:t>
      </w:r>
    </w:p>
    <w:p w:rsidR="00F267D4" w:rsidRPr="00F267D4" w:rsidRDefault="00F267D4" w:rsidP="00F267D4">
      <w:pPr>
        <w:spacing w:before="120" w:after="0" w:line="240" w:lineRule="auto"/>
        <w:jc w:val="both"/>
        <w:rPr>
          <w:rFonts w:ascii="Times New Roman" w:hAnsi="Times New Roman" w:cs="Times New Roman"/>
          <w:sz w:val="24"/>
          <w:szCs w:val="24"/>
        </w:rPr>
      </w:pPr>
      <w:r w:rsidRPr="00F267D4">
        <w:rPr>
          <w:rFonts w:ascii="Times New Roman" w:hAnsi="Times New Roman" w:cs="Times New Roman"/>
          <w:sz w:val="24"/>
          <w:szCs w:val="24"/>
        </w:rPr>
        <w:t>Noslēdzoties 2007. – 2013.gada Eiropas Savienības finanšu plānošanas periodam, apstiprināto projektu skaits samazinās. Tomēr tiek turpināts īstenot iesāktos pasākumus ūdenssaimniecības sistēmas sakārtošanā un atkritumu apsaimniekošanas jomā. Kopumā 2013. gadā apstiprināti 1</w:t>
      </w:r>
      <w:r w:rsidR="00567BBB">
        <w:rPr>
          <w:rFonts w:ascii="Times New Roman" w:hAnsi="Times New Roman" w:cs="Times New Roman"/>
          <w:sz w:val="24"/>
          <w:szCs w:val="24"/>
        </w:rPr>
        <w:t>49</w:t>
      </w:r>
      <w:r w:rsidRPr="00F267D4">
        <w:rPr>
          <w:rFonts w:ascii="Times New Roman" w:hAnsi="Times New Roman" w:cs="Times New Roman"/>
          <w:sz w:val="24"/>
          <w:szCs w:val="24"/>
        </w:rPr>
        <w:t xml:space="preserve"> projekti par 3</w:t>
      </w:r>
      <w:r w:rsidR="00567BBB">
        <w:rPr>
          <w:rFonts w:ascii="Times New Roman" w:hAnsi="Times New Roman" w:cs="Times New Roman"/>
          <w:sz w:val="24"/>
          <w:szCs w:val="24"/>
        </w:rPr>
        <w:t>5</w:t>
      </w:r>
      <w:r w:rsidRPr="00F267D4">
        <w:rPr>
          <w:rFonts w:ascii="Times New Roman" w:hAnsi="Times New Roman" w:cs="Times New Roman"/>
          <w:sz w:val="24"/>
          <w:szCs w:val="24"/>
        </w:rPr>
        <w:t>,</w:t>
      </w:r>
      <w:r w:rsidR="00567BBB">
        <w:rPr>
          <w:rFonts w:ascii="Times New Roman" w:hAnsi="Times New Roman" w:cs="Times New Roman"/>
          <w:sz w:val="24"/>
          <w:szCs w:val="24"/>
        </w:rPr>
        <w:t>75</w:t>
      </w:r>
      <w:r w:rsidRPr="00F267D4">
        <w:rPr>
          <w:rFonts w:ascii="Times New Roman" w:hAnsi="Times New Roman" w:cs="Times New Roman"/>
          <w:sz w:val="24"/>
          <w:szCs w:val="24"/>
        </w:rPr>
        <w:t xml:space="preserve"> milj. latu. Par piešķirto līdzfinansējumu paredzēts uzlabot ūdenssaimniecības sabiedrisko pakalpojumu kvalitāti 13</w:t>
      </w:r>
      <w:r w:rsidR="00567BBB">
        <w:rPr>
          <w:rFonts w:ascii="Times New Roman" w:hAnsi="Times New Roman" w:cs="Times New Roman"/>
          <w:sz w:val="24"/>
          <w:szCs w:val="24"/>
        </w:rPr>
        <w:t>7</w:t>
      </w:r>
      <w:r w:rsidRPr="00F267D4">
        <w:rPr>
          <w:rFonts w:ascii="Times New Roman" w:hAnsi="Times New Roman" w:cs="Times New Roman"/>
          <w:sz w:val="24"/>
          <w:szCs w:val="24"/>
        </w:rPr>
        <w:t xml:space="preserve"> apdzīvotās vietās, rekultivēt 8 normatīvo aktu prasībām neatbilstošās sadzīves atkritumu izgāztuves 9,65 ha platībā</w:t>
      </w:r>
      <w:r w:rsidR="00567BBB">
        <w:rPr>
          <w:rFonts w:ascii="Times New Roman" w:hAnsi="Times New Roman" w:cs="Times New Roman"/>
          <w:sz w:val="24"/>
          <w:szCs w:val="24"/>
        </w:rPr>
        <w:t>,</w:t>
      </w:r>
      <w:r w:rsidR="00567BBB" w:rsidRPr="00567BBB">
        <w:rPr>
          <w:rFonts w:ascii="Times New Roman" w:hAnsi="Times New Roman" w:cs="Times New Roman"/>
          <w:sz w:val="24"/>
          <w:szCs w:val="24"/>
        </w:rPr>
        <w:t xml:space="preserve"> </w:t>
      </w:r>
      <w:r w:rsidR="00567BBB" w:rsidRPr="00F267D4">
        <w:rPr>
          <w:rFonts w:ascii="Times New Roman" w:hAnsi="Times New Roman" w:cs="Times New Roman"/>
          <w:sz w:val="24"/>
          <w:szCs w:val="24"/>
        </w:rPr>
        <w:t>kā arī</w:t>
      </w:r>
      <w:r w:rsidR="00567BBB">
        <w:rPr>
          <w:rFonts w:ascii="Times New Roman" w:hAnsi="Times New Roman" w:cs="Times New Roman"/>
          <w:sz w:val="24"/>
          <w:szCs w:val="24"/>
        </w:rPr>
        <w:t xml:space="preserve"> attīstīt dalītas atkritumu apsaimniekošanas sistēmu</w:t>
      </w:r>
      <w:r w:rsidRPr="00F267D4">
        <w:rPr>
          <w:rFonts w:ascii="Times New Roman" w:hAnsi="Times New Roman" w:cs="Times New Roman"/>
          <w:sz w:val="24"/>
          <w:szCs w:val="24"/>
        </w:rPr>
        <w:t xml:space="preserve">. </w:t>
      </w:r>
    </w:p>
    <w:p w:rsidR="00F267D4" w:rsidRDefault="00F267D4" w:rsidP="00F267D4">
      <w:pPr>
        <w:spacing w:before="120" w:after="0" w:line="240" w:lineRule="auto"/>
        <w:jc w:val="both"/>
        <w:rPr>
          <w:rFonts w:ascii="Times New Roman" w:hAnsi="Times New Roman" w:cs="Times New Roman"/>
          <w:sz w:val="24"/>
          <w:szCs w:val="24"/>
        </w:rPr>
      </w:pPr>
      <w:r w:rsidRPr="00F267D4">
        <w:rPr>
          <w:rFonts w:ascii="Times New Roman" w:hAnsi="Times New Roman" w:cs="Times New Roman"/>
          <w:sz w:val="24"/>
          <w:szCs w:val="24"/>
        </w:rPr>
        <w:lastRenderedPageBreak/>
        <w:t xml:space="preserve">Siltumnīcefekta gāzu emisiju samazināšanas jomā, 2013. gadā apstiprināti 188 projekti ar kopējo Klimata pārmaiņu finanšu instrumenta līdzfinansējumu 24,84 milj. latu. Projektiem piešķirtais finansējums veicinās oglekļa dioksīda emisiju samazināšanu, rekonstruējot 35 </w:t>
      </w:r>
      <w:r w:rsidRPr="00F267D4">
        <w:rPr>
          <w:rFonts w:ascii="Times New Roman" w:hAnsi="Times New Roman" w:cs="Times New Roman"/>
          <w:color w:val="000000"/>
          <w:sz w:val="24"/>
          <w:szCs w:val="24"/>
        </w:rPr>
        <w:t xml:space="preserve">pašvaldību publisko teritoriju apgaismojuma infrastruktūru, tāpat tiks realizēti projekti, </w:t>
      </w:r>
      <w:r w:rsidRPr="00F267D4">
        <w:rPr>
          <w:rFonts w:ascii="Times New Roman" w:hAnsi="Times New Roman" w:cs="Times New Roman"/>
          <w:sz w:val="24"/>
          <w:szCs w:val="24"/>
        </w:rPr>
        <w:t>nodrošinot pāreju no tehnoloģijām, kurās izmanto fosilos energoresursus, uz tehnoloģijām, kurās izmanto atjaunojamos energoresursus, tādejādi uzlabojot komersantu ražošanas tehnoloģiskās iekārtas un ēku energoefektivitāti.</w:t>
      </w:r>
    </w:p>
    <w:p w:rsidR="00190222" w:rsidRDefault="00190222" w:rsidP="00F267D4">
      <w:pPr>
        <w:spacing w:before="120" w:after="0" w:line="240" w:lineRule="auto"/>
        <w:jc w:val="both"/>
        <w:rPr>
          <w:rFonts w:ascii="Times New Roman" w:hAnsi="Times New Roman" w:cs="Times New Roman"/>
          <w:sz w:val="24"/>
          <w:szCs w:val="24"/>
        </w:rPr>
      </w:pPr>
    </w:p>
    <w:p w:rsidR="00190222" w:rsidRDefault="00190222" w:rsidP="00F267D4">
      <w:pPr>
        <w:spacing w:before="120" w:after="0" w:line="240" w:lineRule="auto"/>
        <w:jc w:val="both"/>
        <w:rPr>
          <w:rFonts w:ascii="Times New Roman" w:hAnsi="Times New Roman" w:cs="Times New Roman"/>
          <w:sz w:val="24"/>
          <w:szCs w:val="24"/>
        </w:rPr>
      </w:pPr>
    </w:p>
    <w:p w:rsidR="00190222" w:rsidRDefault="00190222" w:rsidP="00F267D4">
      <w:pPr>
        <w:spacing w:before="120" w:after="0" w:line="240" w:lineRule="auto"/>
        <w:jc w:val="both"/>
        <w:rPr>
          <w:rFonts w:ascii="Times New Roman" w:hAnsi="Times New Roman" w:cs="Times New Roman"/>
          <w:sz w:val="24"/>
          <w:szCs w:val="24"/>
        </w:rPr>
      </w:pPr>
    </w:p>
    <w:p w:rsidR="00190222" w:rsidRDefault="00190222" w:rsidP="00F267D4">
      <w:pPr>
        <w:spacing w:before="120" w:after="0" w:line="240" w:lineRule="auto"/>
        <w:jc w:val="both"/>
        <w:rPr>
          <w:rFonts w:ascii="Times New Roman" w:hAnsi="Times New Roman" w:cs="Times New Roman"/>
          <w:sz w:val="24"/>
          <w:szCs w:val="24"/>
        </w:rPr>
      </w:pPr>
    </w:p>
    <w:p w:rsidR="00190222" w:rsidRDefault="00190222"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977EBD" w:rsidRDefault="00977EBD" w:rsidP="00F267D4">
      <w:pPr>
        <w:spacing w:before="120" w:after="0" w:line="240" w:lineRule="auto"/>
        <w:jc w:val="both"/>
        <w:rPr>
          <w:rFonts w:ascii="Times New Roman" w:hAnsi="Times New Roman" w:cs="Times New Roman"/>
          <w:sz w:val="24"/>
          <w:szCs w:val="24"/>
        </w:rPr>
      </w:pPr>
    </w:p>
    <w:p w:rsidR="00190222" w:rsidRDefault="00977EBD" w:rsidP="00977EBD">
      <w:pPr>
        <w:spacing w:before="120" w:after="0" w:line="240" w:lineRule="auto"/>
        <w:jc w:val="center"/>
        <w:rPr>
          <w:rFonts w:ascii="Times New Roman" w:hAnsi="Times New Roman" w:cs="Times New Roman"/>
          <w:sz w:val="24"/>
          <w:szCs w:val="24"/>
        </w:rPr>
      </w:pPr>
      <w:r>
        <w:rPr>
          <w:noProof/>
          <w:lang w:eastAsia="lv-LV"/>
        </w:rPr>
        <w:drawing>
          <wp:inline distT="0" distB="0" distL="0" distR="0">
            <wp:extent cx="1866900" cy="1580339"/>
            <wp:effectExtent l="0" t="0" r="0" b="0"/>
            <wp:docPr id="37" name="Picture 13" descr="C:\Users\santao\AppData\Local\Microsoft\Windows\Temporary Internet Files\Content.Word\Tauren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ntao\AppData\Local\Microsoft\Windows\Temporary Internet Files\Content.Word\Taurenis2.jpg"/>
                    <pic:cNvPicPr>
                      <a:picLocks noChangeAspect="1" noChangeArrowheads="1"/>
                    </pic:cNvPicPr>
                  </pic:nvPicPr>
                  <pic:blipFill>
                    <a:blip r:embed="rId13" cstate="print"/>
                    <a:srcRect/>
                    <a:stretch>
                      <a:fillRect/>
                    </a:stretch>
                  </pic:blipFill>
                  <pic:spPr bwMode="auto">
                    <a:xfrm>
                      <a:off x="0" y="0"/>
                      <a:ext cx="1867674" cy="1580994"/>
                    </a:xfrm>
                    <a:prstGeom prst="ellipse">
                      <a:avLst/>
                    </a:prstGeom>
                    <a:ln>
                      <a:noFill/>
                    </a:ln>
                    <a:effectLst>
                      <a:softEdge rad="112500"/>
                    </a:effectLst>
                  </pic:spPr>
                </pic:pic>
              </a:graphicData>
            </a:graphic>
          </wp:inline>
        </w:drawing>
      </w:r>
    </w:p>
    <w:p w:rsidR="00EA7A20" w:rsidRPr="00154D99" w:rsidRDefault="00EA7A20">
      <w:pPr>
        <w:rPr>
          <w:rFonts w:ascii="Times New Roman" w:hAnsi="Times New Roman" w:cs="Times New Roman"/>
          <w:sz w:val="24"/>
          <w:szCs w:val="24"/>
        </w:rPr>
      </w:pPr>
      <w:r w:rsidRPr="00154D99">
        <w:rPr>
          <w:rFonts w:ascii="Times New Roman" w:hAnsi="Times New Roman" w:cs="Times New Roman"/>
          <w:sz w:val="24"/>
          <w:szCs w:val="24"/>
        </w:rPr>
        <w:br w:type="page"/>
      </w:r>
    </w:p>
    <w:p w:rsidR="00154D99" w:rsidRPr="007F3949" w:rsidRDefault="00154D99" w:rsidP="002F30D7">
      <w:pPr>
        <w:spacing w:before="120" w:after="240"/>
        <w:jc w:val="both"/>
        <w:rPr>
          <w:rStyle w:val="Heading1Char"/>
          <w:rFonts w:ascii="Times New Roman" w:eastAsiaTheme="minorHAnsi" w:hAnsi="Times New Roman" w:cs="Times New Roman"/>
          <w:caps/>
          <w:color w:val="0070C0"/>
          <w:sz w:val="28"/>
          <w:szCs w:val="28"/>
        </w:rPr>
      </w:pPr>
      <w:bookmarkStart w:id="1" w:name="_Toc329178268"/>
      <w:bookmarkStart w:id="2" w:name="_Toc391887121"/>
      <w:r w:rsidRPr="007F3949">
        <w:rPr>
          <w:rStyle w:val="Heading1Char"/>
          <w:rFonts w:ascii="Times New Roman" w:eastAsiaTheme="minorHAnsi" w:hAnsi="Times New Roman" w:cs="Times New Roman"/>
          <w:caps/>
          <w:color w:val="0070C0"/>
          <w:sz w:val="28"/>
          <w:szCs w:val="28"/>
        </w:rPr>
        <w:lastRenderedPageBreak/>
        <w:t>Ieguldītās Investīcijas vides aizsardzībā</w:t>
      </w:r>
      <w:bookmarkEnd w:id="1"/>
      <w:bookmarkEnd w:id="2"/>
    </w:p>
    <w:p w:rsidR="005433BE" w:rsidRDefault="005433BE" w:rsidP="005433BE">
      <w:pPr>
        <w:spacing w:before="120" w:after="0" w:line="240" w:lineRule="auto"/>
        <w:jc w:val="both"/>
        <w:rPr>
          <w:rFonts w:ascii="Times New Roman" w:hAnsi="Times New Roman" w:cs="Times New Roman"/>
          <w:sz w:val="24"/>
          <w:szCs w:val="24"/>
        </w:rPr>
      </w:pPr>
      <w:r w:rsidRPr="005433BE">
        <w:rPr>
          <w:rFonts w:ascii="Times New Roman" w:hAnsi="Times New Roman" w:cs="Times New Roman"/>
          <w:sz w:val="24"/>
          <w:szCs w:val="24"/>
        </w:rPr>
        <w:t>Laikā no 1995. līdz 2013. gadam vides aizsardzības pasākumos, tai skaitā ūdenssaimniecības un atkritumu apsaimniekošanas infrastruktūras projektos ieguldīti 1109,</w:t>
      </w:r>
      <w:r w:rsidR="00F21C74">
        <w:rPr>
          <w:rFonts w:ascii="Times New Roman" w:hAnsi="Times New Roman" w:cs="Times New Roman"/>
          <w:sz w:val="24"/>
          <w:szCs w:val="24"/>
        </w:rPr>
        <w:t>84</w:t>
      </w:r>
      <w:r w:rsidRPr="005433BE">
        <w:rPr>
          <w:rStyle w:val="FootnoteReference"/>
          <w:rFonts w:ascii="Times New Roman" w:hAnsi="Times New Roman" w:cs="Times New Roman"/>
          <w:sz w:val="24"/>
          <w:szCs w:val="24"/>
        </w:rPr>
        <w:footnoteReference w:id="1"/>
      </w:r>
      <w:r w:rsidRPr="005433BE">
        <w:rPr>
          <w:rFonts w:ascii="Times New Roman" w:hAnsi="Times New Roman" w:cs="Times New Roman"/>
          <w:sz w:val="24"/>
          <w:szCs w:val="24"/>
        </w:rPr>
        <w:t xml:space="preserve"> milj</w:t>
      </w:r>
      <w:smartTag w:uri="schemas-tilde-lv/tildestengine" w:element="currency2">
        <w:smartTagPr>
          <w:attr w:name="currency_text" w:val="latu"/>
          <w:attr w:name="currency_value" w:val="."/>
          <w:attr w:name="currency_key" w:val="LVL"/>
          <w:attr w:name="currency_id" w:val="48"/>
        </w:smartTagPr>
        <w:r w:rsidRPr="005433BE">
          <w:rPr>
            <w:rFonts w:ascii="Times New Roman" w:hAnsi="Times New Roman" w:cs="Times New Roman"/>
            <w:sz w:val="24"/>
            <w:szCs w:val="24"/>
          </w:rPr>
          <w:t>. latu</w:t>
        </w:r>
      </w:smartTag>
      <w:r w:rsidRPr="005433BE">
        <w:rPr>
          <w:rFonts w:ascii="Times New Roman" w:hAnsi="Times New Roman" w:cs="Times New Roman"/>
          <w:sz w:val="24"/>
          <w:szCs w:val="24"/>
        </w:rPr>
        <w:t>, no tiem ap 66 % no investīcijām jeb 729,</w:t>
      </w:r>
      <w:r w:rsidR="00F21C74">
        <w:rPr>
          <w:rFonts w:ascii="Times New Roman" w:hAnsi="Times New Roman" w:cs="Times New Roman"/>
          <w:sz w:val="24"/>
          <w:szCs w:val="24"/>
        </w:rPr>
        <w:t>19</w:t>
      </w:r>
      <w:r w:rsidRPr="005433BE">
        <w:rPr>
          <w:rFonts w:ascii="Times New Roman" w:hAnsi="Times New Roman" w:cs="Times New Roman"/>
          <w:sz w:val="24"/>
          <w:szCs w:val="24"/>
        </w:rPr>
        <w:t xml:space="preserve"> milj</w:t>
      </w:r>
      <w:smartTag w:uri="schemas-tilde-lv/tildestengine" w:element="currency2">
        <w:smartTagPr>
          <w:attr w:name="currency_text" w:val="latu"/>
          <w:attr w:name="currency_value" w:val="."/>
          <w:attr w:name="currency_key" w:val="LVL"/>
          <w:attr w:name="currency_id" w:val="48"/>
        </w:smartTagPr>
        <w:r w:rsidRPr="005433BE">
          <w:rPr>
            <w:rFonts w:ascii="Times New Roman" w:hAnsi="Times New Roman" w:cs="Times New Roman"/>
            <w:sz w:val="24"/>
            <w:szCs w:val="24"/>
          </w:rPr>
          <w:t>. latu</w:t>
        </w:r>
      </w:smartTag>
      <w:r w:rsidRPr="005433BE">
        <w:rPr>
          <w:rFonts w:ascii="Times New Roman" w:hAnsi="Times New Roman" w:cs="Times New Roman"/>
          <w:sz w:val="24"/>
          <w:szCs w:val="24"/>
        </w:rPr>
        <w:t xml:space="preserve"> ieguldījuši ārvalstu divpusējās sadarbības partneri un Eiropas Savienības (turpmāk – ES) fondi un programmas, attiecīgi valsts budžets – ap 18 % jeb 195,26 milj</w:t>
      </w:r>
      <w:smartTag w:uri="schemas-tilde-lv/tildestengine" w:element="currency2">
        <w:smartTagPr>
          <w:attr w:name="currency_text" w:val="latu"/>
          <w:attr w:name="currency_value" w:val="."/>
          <w:attr w:name="currency_key" w:val="LVL"/>
          <w:attr w:name="currency_id" w:val="48"/>
        </w:smartTagPr>
        <w:r w:rsidRPr="005433BE">
          <w:rPr>
            <w:rFonts w:ascii="Times New Roman" w:hAnsi="Times New Roman" w:cs="Times New Roman"/>
            <w:sz w:val="24"/>
            <w:szCs w:val="24"/>
          </w:rPr>
          <w:t>. latu</w:t>
        </w:r>
      </w:smartTag>
      <w:r w:rsidRPr="005433BE">
        <w:rPr>
          <w:rFonts w:ascii="Times New Roman" w:hAnsi="Times New Roman" w:cs="Times New Roman"/>
          <w:sz w:val="24"/>
          <w:szCs w:val="24"/>
        </w:rPr>
        <w:t xml:space="preserve"> un projektu īstenotāji – 17 % no kopējām investīcijām jeb 1</w:t>
      </w:r>
      <w:r w:rsidR="00F21C74">
        <w:rPr>
          <w:rFonts w:ascii="Times New Roman" w:hAnsi="Times New Roman" w:cs="Times New Roman"/>
          <w:sz w:val="24"/>
          <w:szCs w:val="24"/>
        </w:rPr>
        <w:t>8</w:t>
      </w:r>
      <w:r w:rsidRPr="005433BE">
        <w:rPr>
          <w:rFonts w:ascii="Times New Roman" w:hAnsi="Times New Roman" w:cs="Times New Roman"/>
          <w:sz w:val="24"/>
          <w:szCs w:val="24"/>
        </w:rPr>
        <w:t>5,</w:t>
      </w:r>
      <w:r w:rsidR="00F21C74">
        <w:rPr>
          <w:rFonts w:ascii="Times New Roman" w:hAnsi="Times New Roman" w:cs="Times New Roman"/>
          <w:sz w:val="24"/>
          <w:szCs w:val="24"/>
        </w:rPr>
        <w:t>38</w:t>
      </w:r>
      <w:r w:rsidRPr="005433BE">
        <w:rPr>
          <w:rFonts w:ascii="Times New Roman" w:hAnsi="Times New Roman" w:cs="Times New Roman"/>
          <w:sz w:val="24"/>
          <w:szCs w:val="24"/>
        </w:rPr>
        <w:t> milj</w:t>
      </w:r>
      <w:smartTag w:uri="schemas-tilde-lv/tildestengine" w:element="currency2">
        <w:smartTagPr>
          <w:attr w:name="currency_text" w:val="latu"/>
          <w:attr w:name="currency_value" w:val="."/>
          <w:attr w:name="currency_key" w:val="LVL"/>
          <w:attr w:name="currency_id" w:val="48"/>
        </w:smartTagPr>
        <w:r w:rsidRPr="005433BE">
          <w:rPr>
            <w:rFonts w:ascii="Times New Roman" w:hAnsi="Times New Roman" w:cs="Times New Roman"/>
            <w:sz w:val="24"/>
            <w:szCs w:val="24"/>
          </w:rPr>
          <w:t>. latu</w:t>
        </w:r>
      </w:smartTag>
      <w:r w:rsidRPr="005433BE">
        <w:rPr>
          <w:rFonts w:ascii="Times New Roman" w:hAnsi="Times New Roman" w:cs="Times New Roman"/>
          <w:sz w:val="24"/>
          <w:szCs w:val="24"/>
        </w:rPr>
        <w:t xml:space="preserve"> (</w:t>
      </w:r>
      <w:r w:rsidRPr="005433BE">
        <w:rPr>
          <w:rFonts w:ascii="Times New Roman" w:hAnsi="Times New Roman" w:cs="Times New Roman"/>
          <w:i/>
          <w:sz w:val="24"/>
          <w:szCs w:val="24"/>
        </w:rPr>
        <w:t>1. attēls</w:t>
      </w:r>
      <w:r w:rsidRPr="005433BE">
        <w:rPr>
          <w:rFonts w:ascii="Times New Roman" w:hAnsi="Times New Roman" w:cs="Times New Roman"/>
          <w:sz w:val="24"/>
          <w:szCs w:val="24"/>
        </w:rPr>
        <w:t>).</w:t>
      </w:r>
    </w:p>
    <w:p w:rsidR="00F21C74" w:rsidRPr="005433BE" w:rsidRDefault="00F21C74" w:rsidP="00F21C74">
      <w:pPr>
        <w:spacing w:before="120" w:after="0" w:line="240" w:lineRule="auto"/>
        <w:jc w:val="center"/>
        <w:rPr>
          <w:rFonts w:ascii="Times New Roman" w:hAnsi="Times New Roman" w:cs="Times New Roman"/>
          <w:sz w:val="24"/>
          <w:szCs w:val="24"/>
        </w:rPr>
      </w:pPr>
      <w:r w:rsidRPr="00F21C74">
        <w:rPr>
          <w:rFonts w:ascii="Times New Roman" w:hAnsi="Times New Roman" w:cs="Times New Roman"/>
          <w:noProof/>
          <w:sz w:val="24"/>
          <w:szCs w:val="24"/>
          <w:lang w:eastAsia="lv-LV"/>
        </w:rPr>
        <w:drawing>
          <wp:inline distT="0" distB="0" distL="0" distR="0">
            <wp:extent cx="4895850" cy="3086100"/>
            <wp:effectExtent l="0" t="0" r="0" b="0"/>
            <wp:docPr id="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54D99" w:rsidRPr="007F3949" w:rsidRDefault="00154D99" w:rsidP="00AE13EA">
      <w:pPr>
        <w:spacing w:after="0"/>
        <w:rPr>
          <w:rFonts w:ascii="Times New Roman" w:hAnsi="Times New Roman" w:cs="Times New Roman"/>
          <w:i/>
          <w:sz w:val="24"/>
          <w:szCs w:val="24"/>
        </w:rPr>
      </w:pPr>
      <w:r w:rsidRPr="007F3949">
        <w:rPr>
          <w:rFonts w:ascii="Times New Roman" w:hAnsi="Times New Roman" w:cs="Times New Roman"/>
          <w:i/>
          <w:sz w:val="24"/>
          <w:szCs w:val="24"/>
        </w:rPr>
        <w:t xml:space="preserve">1.attēls. Finanšu avotu ieguldījumu dinamika vides sektorā, 1995 </w:t>
      </w:r>
      <w:r w:rsidRPr="007F3949">
        <w:rPr>
          <w:rFonts w:ascii="Times New Roman" w:hAnsi="Times New Roman" w:cs="Times New Roman"/>
          <w:sz w:val="24"/>
          <w:szCs w:val="24"/>
        </w:rPr>
        <w:t>–</w:t>
      </w:r>
      <w:r w:rsidRPr="007F3949">
        <w:rPr>
          <w:rFonts w:ascii="Times New Roman" w:hAnsi="Times New Roman" w:cs="Times New Roman"/>
          <w:i/>
          <w:sz w:val="24"/>
          <w:szCs w:val="24"/>
        </w:rPr>
        <w:t xml:space="preserve"> 2013, milj</w:t>
      </w:r>
      <w:smartTag w:uri="schemas-tilde-lv/tildestengine" w:element="currency2">
        <w:smartTagPr>
          <w:attr w:name="currency_id" w:val="48"/>
          <w:attr w:name="currency_key" w:val="LVL"/>
          <w:attr w:name="currency_value" w:val="."/>
          <w:attr w:name="currency_text" w:val="LVL"/>
        </w:smartTagPr>
        <w:r w:rsidRPr="007F3949">
          <w:rPr>
            <w:rFonts w:ascii="Times New Roman" w:hAnsi="Times New Roman" w:cs="Times New Roman"/>
            <w:i/>
            <w:sz w:val="24"/>
            <w:szCs w:val="24"/>
          </w:rPr>
          <w:t>. LVL</w:t>
        </w:r>
      </w:smartTag>
    </w:p>
    <w:p w:rsidR="00AE13EA" w:rsidRPr="005433BE" w:rsidRDefault="00AE13EA" w:rsidP="005433BE">
      <w:pPr>
        <w:spacing w:after="120" w:line="240" w:lineRule="auto"/>
        <w:jc w:val="both"/>
        <w:rPr>
          <w:rFonts w:ascii="Times New Roman" w:hAnsi="Times New Roman" w:cs="Times New Roman"/>
          <w:sz w:val="24"/>
          <w:szCs w:val="24"/>
        </w:rPr>
      </w:pPr>
    </w:p>
    <w:p w:rsidR="005433BE" w:rsidRDefault="005433BE" w:rsidP="005433BE">
      <w:pPr>
        <w:spacing w:before="120" w:after="0" w:line="240" w:lineRule="auto"/>
        <w:jc w:val="both"/>
        <w:rPr>
          <w:rStyle w:val="Heading1Char"/>
          <w:rFonts w:ascii="Times New Roman" w:eastAsiaTheme="minorHAnsi" w:hAnsi="Times New Roman" w:cs="Times New Roman"/>
          <w:b w:val="0"/>
          <w:bCs w:val="0"/>
          <w:sz w:val="24"/>
          <w:szCs w:val="24"/>
        </w:rPr>
      </w:pPr>
      <w:r w:rsidRPr="005433BE">
        <w:rPr>
          <w:rFonts w:ascii="Times New Roman" w:hAnsi="Times New Roman" w:cs="Times New Roman"/>
          <w:sz w:val="24"/>
          <w:szCs w:val="24"/>
        </w:rPr>
        <w:t>2013. gadā vides investīciju projektos kopumā ieguldīti 86,</w:t>
      </w:r>
      <w:r w:rsidR="00063E3D">
        <w:rPr>
          <w:rFonts w:ascii="Times New Roman" w:hAnsi="Times New Roman" w:cs="Times New Roman"/>
          <w:sz w:val="24"/>
          <w:szCs w:val="24"/>
        </w:rPr>
        <w:t>36</w:t>
      </w:r>
      <w:r w:rsidRPr="005433BE">
        <w:rPr>
          <w:rFonts w:ascii="Times New Roman" w:hAnsi="Times New Roman" w:cs="Times New Roman"/>
          <w:sz w:val="24"/>
          <w:szCs w:val="24"/>
        </w:rPr>
        <w:t> milj. latu (</w:t>
      </w:r>
      <w:r w:rsidRPr="005433BE">
        <w:rPr>
          <w:rFonts w:ascii="Times New Roman" w:hAnsi="Times New Roman" w:cs="Times New Roman"/>
          <w:i/>
          <w:sz w:val="24"/>
          <w:szCs w:val="24"/>
        </w:rPr>
        <w:t>2. attēls</w:t>
      </w:r>
      <w:r w:rsidRPr="005433BE">
        <w:rPr>
          <w:rFonts w:ascii="Times New Roman" w:hAnsi="Times New Roman" w:cs="Times New Roman"/>
          <w:sz w:val="24"/>
          <w:szCs w:val="24"/>
        </w:rPr>
        <w:t>).</w:t>
      </w:r>
      <w:r w:rsidRPr="005433BE">
        <w:rPr>
          <w:rStyle w:val="Heading1Char"/>
          <w:rFonts w:ascii="Times New Roman" w:eastAsiaTheme="minorHAnsi" w:hAnsi="Times New Roman" w:cs="Times New Roman"/>
          <w:b w:val="0"/>
          <w:bCs w:val="0"/>
          <w:sz w:val="24"/>
          <w:szCs w:val="24"/>
        </w:rPr>
        <w:t xml:space="preserve"> ES fondu līdzfinansējums un klimata pārmaiņu finanšu instrumenta (turpmāk – KPFI) ieguldījums sastāda 86 % no ieguldītajiem līdzekļiem, valsts budžets – 2 %, bet projektu īstenotāju līdzekļi – 1</w:t>
      </w:r>
      <w:r w:rsidR="00063E3D">
        <w:rPr>
          <w:rStyle w:val="Heading1Char"/>
          <w:rFonts w:ascii="Times New Roman" w:eastAsiaTheme="minorHAnsi" w:hAnsi="Times New Roman" w:cs="Times New Roman"/>
          <w:b w:val="0"/>
          <w:bCs w:val="0"/>
          <w:sz w:val="24"/>
          <w:szCs w:val="24"/>
        </w:rPr>
        <w:t>2</w:t>
      </w:r>
      <w:r w:rsidRPr="005433BE">
        <w:rPr>
          <w:rStyle w:val="Heading1Char"/>
          <w:rFonts w:ascii="Times New Roman" w:eastAsiaTheme="minorHAnsi" w:hAnsi="Times New Roman" w:cs="Times New Roman"/>
          <w:b w:val="0"/>
          <w:bCs w:val="0"/>
          <w:sz w:val="24"/>
          <w:szCs w:val="24"/>
        </w:rPr>
        <w:t xml:space="preserve"> % no ieguldītajām investīcijām.</w:t>
      </w:r>
    </w:p>
    <w:p w:rsidR="00BF34CF" w:rsidRPr="005433BE" w:rsidRDefault="00BF34CF" w:rsidP="005433BE">
      <w:pPr>
        <w:spacing w:before="120" w:after="0" w:line="240" w:lineRule="auto"/>
        <w:jc w:val="both"/>
        <w:rPr>
          <w:rStyle w:val="Heading1Char"/>
          <w:rFonts w:ascii="Times New Roman" w:eastAsiaTheme="minorHAnsi" w:hAnsi="Times New Roman" w:cs="Times New Roman"/>
          <w:b w:val="0"/>
          <w:bCs w:val="0"/>
          <w:sz w:val="24"/>
          <w:szCs w:val="24"/>
        </w:rPr>
      </w:pPr>
    </w:p>
    <w:p w:rsidR="005433BE" w:rsidRPr="005433BE" w:rsidRDefault="005433BE" w:rsidP="005433BE">
      <w:pPr>
        <w:spacing w:before="120" w:after="0" w:line="240" w:lineRule="auto"/>
        <w:jc w:val="both"/>
        <w:rPr>
          <w:rStyle w:val="Heading1Char"/>
          <w:rFonts w:ascii="Times New Roman" w:eastAsiaTheme="minorHAnsi" w:hAnsi="Times New Roman" w:cs="Times New Roman"/>
          <w:b w:val="0"/>
          <w:bCs w:val="0"/>
          <w:sz w:val="24"/>
          <w:szCs w:val="24"/>
        </w:rPr>
      </w:pPr>
      <w:r w:rsidRPr="005433BE">
        <w:rPr>
          <w:rFonts w:ascii="Times New Roman" w:hAnsi="Times New Roman" w:cs="Times New Roman"/>
          <w:noProof/>
          <w:kern w:val="32"/>
          <w:sz w:val="24"/>
          <w:szCs w:val="24"/>
          <w:lang w:eastAsia="lv-LV"/>
        </w:rPr>
        <w:lastRenderedPageBreak/>
        <w:drawing>
          <wp:inline distT="0" distB="0" distL="0" distR="0">
            <wp:extent cx="5486400" cy="2819400"/>
            <wp:effectExtent l="0" t="19050" r="0" b="0"/>
            <wp:docPr id="17"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5433BE" w:rsidRDefault="005433BE" w:rsidP="005433BE">
      <w:pPr>
        <w:spacing w:after="0" w:line="240" w:lineRule="auto"/>
        <w:rPr>
          <w:i/>
        </w:rPr>
      </w:pPr>
      <w:r w:rsidRPr="005433BE">
        <w:rPr>
          <w:rFonts w:ascii="Times New Roman" w:hAnsi="Times New Roman" w:cs="Times New Roman"/>
          <w:i/>
          <w:sz w:val="24"/>
          <w:szCs w:val="24"/>
        </w:rPr>
        <w:t>2. attēls. Vides investīcijas atbilstoši finanšu avotam, 2013, milj</w:t>
      </w:r>
      <w:smartTag w:uri="schemas-tilde-lv/tildestengine" w:element="currency2">
        <w:smartTagPr>
          <w:attr w:name="currency_id" w:val="48"/>
          <w:attr w:name="currency_key" w:val="LVL"/>
          <w:attr w:name="currency_value" w:val="."/>
          <w:attr w:name="currency_text" w:val="LVL"/>
        </w:smartTagPr>
        <w:r w:rsidRPr="005433BE">
          <w:rPr>
            <w:rFonts w:ascii="Times New Roman" w:hAnsi="Times New Roman" w:cs="Times New Roman"/>
            <w:i/>
            <w:sz w:val="24"/>
            <w:szCs w:val="24"/>
          </w:rPr>
          <w:t>. LVL</w:t>
        </w:r>
      </w:smartTag>
    </w:p>
    <w:p w:rsidR="00AE13EA" w:rsidRDefault="00AE13EA" w:rsidP="0069709E">
      <w:pPr>
        <w:spacing w:before="120" w:after="0" w:line="240" w:lineRule="auto"/>
        <w:jc w:val="both"/>
        <w:rPr>
          <w:rFonts w:ascii="Times New Roman" w:hAnsi="Times New Roman" w:cs="Times New Roman"/>
          <w:sz w:val="24"/>
          <w:szCs w:val="24"/>
        </w:rPr>
      </w:pPr>
    </w:p>
    <w:p w:rsidR="005433BE" w:rsidRPr="005433BE" w:rsidRDefault="005433BE" w:rsidP="005433BE">
      <w:pPr>
        <w:spacing w:before="120" w:after="0" w:line="240" w:lineRule="auto"/>
        <w:jc w:val="both"/>
        <w:rPr>
          <w:rFonts w:ascii="Times New Roman" w:hAnsi="Times New Roman" w:cs="Times New Roman"/>
          <w:sz w:val="24"/>
          <w:szCs w:val="24"/>
        </w:rPr>
      </w:pPr>
      <w:r w:rsidRPr="005433BE">
        <w:rPr>
          <w:rFonts w:ascii="Times New Roman" w:hAnsi="Times New Roman" w:cs="Times New Roman"/>
          <w:sz w:val="24"/>
          <w:szCs w:val="24"/>
        </w:rPr>
        <w:t xml:space="preserve">No šiem </w:t>
      </w:r>
      <w:r w:rsidRPr="005433BE">
        <w:rPr>
          <w:rStyle w:val="Heading1Char"/>
          <w:rFonts w:ascii="Times New Roman" w:eastAsiaTheme="minorHAnsi" w:hAnsi="Times New Roman" w:cs="Times New Roman"/>
          <w:b w:val="0"/>
          <w:bCs w:val="0"/>
          <w:sz w:val="24"/>
          <w:szCs w:val="24"/>
        </w:rPr>
        <w:t>ES fondu un KPFI 74,2</w:t>
      </w:r>
      <w:r w:rsidR="00063E3D">
        <w:rPr>
          <w:rStyle w:val="Heading1Char"/>
          <w:rFonts w:ascii="Times New Roman" w:eastAsiaTheme="minorHAnsi" w:hAnsi="Times New Roman" w:cs="Times New Roman"/>
          <w:b w:val="0"/>
          <w:bCs w:val="0"/>
          <w:sz w:val="24"/>
          <w:szCs w:val="24"/>
        </w:rPr>
        <w:t>3</w:t>
      </w:r>
      <w:r w:rsidRPr="005433BE">
        <w:rPr>
          <w:rStyle w:val="Heading1Char"/>
          <w:rFonts w:ascii="Times New Roman" w:eastAsiaTheme="minorHAnsi" w:hAnsi="Times New Roman" w:cs="Times New Roman"/>
          <w:b w:val="0"/>
          <w:bCs w:val="0"/>
          <w:sz w:val="24"/>
          <w:szCs w:val="24"/>
        </w:rPr>
        <w:t xml:space="preserve"> milj</w:t>
      </w:r>
      <w:smartTag w:uri="schemas-tilde-lv/tildestengine" w:element="currency2">
        <w:smartTagPr>
          <w:attr w:name="currency_id" w:val="48"/>
          <w:attr w:name="currency_key" w:val="LVL"/>
          <w:attr w:name="currency_value" w:val="."/>
          <w:attr w:name="currency_text" w:val="latu"/>
        </w:smartTagPr>
        <w:r w:rsidRPr="005433BE">
          <w:rPr>
            <w:rStyle w:val="Heading1Char"/>
            <w:rFonts w:ascii="Times New Roman" w:eastAsiaTheme="minorHAnsi" w:hAnsi="Times New Roman" w:cs="Times New Roman"/>
            <w:b w:val="0"/>
            <w:bCs w:val="0"/>
            <w:sz w:val="24"/>
            <w:szCs w:val="24"/>
          </w:rPr>
          <w:t>. latu</w:t>
        </w:r>
      </w:smartTag>
      <w:r w:rsidRPr="005433BE">
        <w:rPr>
          <w:rFonts w:ascii="Times New Roman" w:hAnsi="Times New Roman" w:cs="Times New Roman"/>
          <w:sz w:val="24"/>
          <w:szCs w:val="24"/>
        </w:rPr>
        <w:t xml:space="preserve"> vislielāko daļu jeb ~42 % sastāda Kohēzijas fonda līdzfinansējums, Eiropas Reģionālās attīstības fonda (turpmāk – ERAF) līdzfinansējums – 28 %, KPFI – 28 %, LIFE+ programma – 1 % un ES struktūrfondu 3. mērķa „Eiropas teritoriālā sadarbība” 2007. </w:t>
      </w:r>
      <w:r w:rsidRPr="005433BE">
        <w:rPr>
          <w:rFonts w:ascii="Times New Roman" w:hAnsi="Times New Roman" w:cs="Times New Roman"/>
          <w:sz w:val="24"/>
          <w:szCs w:val="24"/>
          <w:lang w:eastAsia="lv-LV"/>
        </w:rPr>
        <w:t>–</w:t>
      </w:r>
      <w:r w:rsidRPr="005433BE">
        <w:rPr>
          <w:rFonts w:ascii="Times New Roman" w:hAnsi="Times New Roman" w:cs="Times New Roman"/>
          <w:sz w:val="24"/>
          <w:szCs w:val="24"/>
        </w:rPr>
        <w:t xml:space="preserve"> 2013. gadam Eiropas teritoriālās sadarbības programmas līdzfinansējums – 1 %. (</w:t>
      </w:r>
      <w:r w:rsidRPr="005433BE">
        <w:rPr>
          <w:rFonts w:ascii="Times New Roman" w:hAnsi="Times New Roman" w:cs="Times New Roman"/>
          <w:i/>
          <w:sz w:val="24"/>
          <w:szCs w:val="24"/>
        </w:rPr>
        <w:t>3. attēls</w:t>
      </w:r>
      <w:r w:rsidRPr="005433BE">
        <w:rPr>
          <w:rFonts w:ascii="Times New Roman" w:hAnsi="Times New Roman" w:cs="Times New Roman"/>
          <w:sz w:val="24"/>
          <w:szCs w:val="24"/>
        </w:rPr>
        <w:t>).</w:t>
      </w:r>
    </w:p>
    <w:p w:rsidR="005433BE" w:rsidRPr="005433BE" w:rsidRDefault="005433BE" w:rsidP="005433BE">
      <w:pPr>
        <w:spacing w:before="120" w:after="0" w:line="240" w:lineRule="auto"/>
        <w:jc w:val="both"/>
        <w:rPr>
          <w:rFonts w:ascii="Times New Roman" w:hAnsi="Times New Roman" w:cs="Times New Roman"/>
          <w:i/>
          <w:sz w:val="24"/>
          <w:szCs w:val="24"/>
        </w:rPr>
      </w:pPr>
      <w:r w:rsidRPr="005433BE">
        <w:rPr>
          <w:rFonts w:ascii="Times New Roman" w:hAnsi="Times New Roman" w:cs="Times New Roman"/>
          <w:noProof/>
          <w:sz w:val="24"/>
          <w:szCs w:val="24"/>
          <w:lang w:eastAsia="lv-LV"/>
        </w:rPr>
        <w:drawing>
          <wp:inline distT="0" distB="0" distL="0" distR="0">
            <wp:extent cx="5486400" cy="3248025"/>
            <wp:effectExtent l="0" t="0" r="0" b="0"/>
            <wp:docPr id="30"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5433BE" w:rsidRPr="005433BE" w:rsidRDefault="005433BE" w:rsidP="005433BE">
      <w:pPr>
        <w:spacing w:after="0" w:line="240" w:lineRule="auto"/>
        <w:jc w:val="both"/>
        <w:rPr>
          <w:rFonts w:ascii="Times New Roman" w:hAnsi="Times New Roman" w:cs="Times New Roman"/>
          <w:i/>
          <w:sz w:val="24"/>
          <w:szCs w:val="24"/>
        </w:rPr>
      </w:pPr>
      <w:r w:rsidRPr="005433BE">
        <w:rPr>
          <w:rFonts w:ascii="Times New Roman" w:hAnsi="Times New Roman" w:cs="Times New Roman"/>
          <w:i/>
          <w:sz w:val="24"/>
          <w:szCs w:val="24"/>
        </w:rPr>
        <w:t xml:space="preserve">3. attēls. ES fondu un </w:t>
      </w:r>
      <w:r w:rsidRPr="005433BE">
        <w:rPr>
          <w:rStyle w:val="Heading1Char"/>
          <w:rFonts w:ascii="Times New Roman" w:eastAsiaTheme="minorHAnsi" w:hAnsi="Times New Roman" w:cs="Times New Roman"/>
          <w:b w:val="0"/>
          <w:bCs w:val="0"/>
          <w:i/>
          <w:sz w:val="24"/>
          <w:szCs w:val="24"/>
        </w:rPr>
        <w:t>klimata pārmaiņu finanšu instrumenta</w:t>
      </w:r>
      <w:r w:rsidRPr="005433BE">
        <w:rPr>
          <w:rFonts w:ascii="Times New Roman" w:hAnsi="Times New Roman" w:cs="Times New Roman"/>
          <w:i/>
          <w:sz w:val="24"/>
          <w:szCs w:val="24"/>
        </w:rPr>
        <w:t xml:space="preserve"> ieguldījums vides aizsardzības projektos, 2013, milj</w:t>
      </w:r>
      <w:smartTag w:uri="schemas-tilde-lv/tildestengine" w:element="currency2">
        <w:smartTagPr>
          <w:attr w:name="currency_id" w:val="48"/>
          <w:attr w:name="currency_key" w:val="LVL"/>
          <w:attr w:name="currency_value" w:val="."/>
          <w:attr w:name="currency_text" w:val="LVL"/>
        </w:smartTagPr>
        <w:r w:rsidRPr="005433BE">
          <w:rPr>
            <w:rFonts w:ascii="Times New Roman" w:hAnsi="Times New Roman" w:cs="Times New Roman"/>
            <w:i/>
            <w:sz w:val="24"/>
            <w:szCs w:val="24"/>
          </w:rPr>
          <w:t>. LVL</w:t>
        </w:r>
      </w:smartTag>
    </w:p>
    <w:p w:rsidR="005433BE" w:rsidRDefault="005433BE" w:rsidP="005433BE">
      <w:pPr>
        <w:autoSpaceDE w:val="0"/>
        <w:autoSpaceDN w:val="0"/>
        <w:adjustRightInd w:val="0"/>
        <w:spacing w:before="120" w:after="0"/>
        <w:jc w:val="both"/>
        <w:rPr>
          <w:color w:val="000000"/>
          <w:lang w:eastAsia="lv-LV"/>
        </w:rPr>
      </w:pPr>
    </w:p>
    <w:p w:rsidR="005433BE" w:rsidRPr="005433BE" w:rsidRDefault="005433BE" w:rsidP="005433BE">
      <w:pPr>
        <w:autoSpaceDE w:val="0"/>
        <w:autoSpaceDN w:val="0"/>
        <w:adjustRightInd w:val="0"/>
        <w:spacing w:before="120" w:after="0" w:line="240" w:lineRule="auto"/>
        <w:jc w:val="both"/>
        <w:rPr>
          <w:rFonts w:ascii="Times New Roman" w:hAnsi="Times New Roman" w:cs="Times New Roman"/>
          <w:noProof/>
          <w:sz w:val="24"/>
          <w:szCs w:val="24"/>
          <w:lang w:eastAsia="lv-LV"/>
        </w:rPr>
      </w:pPr>
      <w:r w:rsidRPr="005433BE">
        <w:rPr>
          <w:rFonts w:ascii="Times New Roman" w:hAnsi="Times New Roman" w:cs="Times New Roman"/>
          <w:color w:val="000000"/>
          <w:sz w:val="24"/>
          <w:szCs w:val="24"/>
          <w:lang w:eastAsia="lv-LV"/>
        </w:rPr>
        <w:lastRenderedPageBreak/>
        <w:t>Analizējot investīcijas vides aizsardzībā, vislielākās investīcijas ieguldītas ūdenssaimniecības infrastruktūras projektos – 46,43 milj</w:t>
      </w:r>
      <w:smartTag w:uri="schemas-tilde-lv/tildestengine" w:element="currency2">
        <w:smartTagPr>
          <w:attr w:name="currency_text" w:val="latu"/>
          <w:attr w:name="currency_value" w:val="."/>
          <w:attr w:name="currency_key" w:val="LVL"/>
          <w:attr w:name="currency_id" w:val="48"/>
        </w:smartTagPr>
        <w:r w:rsidRPr="005433BE">
          <w:rPr>
            <w:rFonts w:ascii="Times New Roman" w:hAnsi="Times New Roman" w:cs="Times New Roman"/>
            <w:color w:val="000000"/>
            <w:sz w:val="24"/>
            <w:szCs w:val="24"/>
            <w:lang w:eastAsia="lv-LV"/>
          </w:rPr>
          <w:t>. latu</w:t>
        </w:r>
      </w:smartTag>
      <w:r w:rsidRPr="005433BE">
        <w:rPr>
          <w:rFonts w:ascii="Times New Roman" w:hAnsi="Times New Roman" w:cs="Times New Roman"/>
          <w:color w:val="000000"/>
          <w:sz w:val="24"/>
          <w:szCs w:val="24"/>
          <w:lang w:eastAsia="lv-LV"/>
        </w:rPr>
        <w:t>, t.i., 54 %, siltumnīcefekta gāzu emisiju samazināšanas projektos 21,13 milj</w:t>
      </w:r>
      <w:smartTag w:uri="schemas-tilde-lv/tildestengine" w:element="currency2">
        <w:smartTagPr>
          <w:attr w:name="currency_text" w:val="latu"/>
          <w:attr w:name="currency_value" w:val="."/>
          <w:attr w:name="currency_key" w:val="LVL"/>
          <w:attr w:name="currency_id" w:val="48"/>
        </w:smartTagPr>
        <w:r w:rsidRPr="005433BE">
          <w:rPr>
            <w:rFonts w:ascii="Times New Roman" w:hAnsi="Times New Roman" w:cs="Times New Roman"/>
            <w:color w:val="000000"/>
            <w:sz w:val="24"/>
            <w:szCs w:val="24"/>
            <w:lang w:eastAsia="lv-LV"/>
          </w:rPr>
          <w:t>. latu</w:t>
        </w:r>
      </w:smartTag>
      <w:r w:rsidRPr="005433BE">
        <w:rPr>
          <w:rFonts w:ascii="Times New Roman" w:hAnsi="Times New Roman" w:cs="Times New Roman"/>
          <w:color w:val="000000"/>
          <w:sz w:val="24"/>
          <w:szCs w:val="24"/>
          <w:lang w:eastAsia="lv-LV"/>
        </w:rPr>
        <w:t xml:space="preserve"> jeb 24 % un atkritumu apsaimniekošanā ieguldīti 8,</w:t>
      </w:r>
      <w:r w:rsidR="00063E3D">
        <w:rPr>
          <w:rFonts w:ascii="Times New Roman" w:hAnsi="Times New Roman" w:cs="Times New Roman"/>
          <w:color w:val="000000"/>
          <w:sz w:val="24"/>
          <w:szCs w:val="24"/>
          <w:lang w:eastAsia="lv-LV"/>
        </w:rPr>
        <w:t>03</w:t>
      </w:r>
      <w:r w:rsidRPr="005433BE">
        <w:rPr>
          <w:rFonts w:ascii="Times New Roman" w:hAnsi="Times New Roman" w:cs="Times New Roman"/>
          <w:color w:val="000000"/>
          <w:sz w:val="24"/>
          <w:szCs w:val="24"/>
          <w:lang w:eastAsia="lv-LV"/>
        </w:rPr>
        <w:t xml:space="preserve"> milj</w:t>
      </w:r>
      <w:smartTag w:uri="schemas-tilde-lv/tildestengine" w:element="currency2">
        <w:smartTagPr>
          <w:attr w:name="currency_text" w:val="latu"/>
          <w:attr w:name="currency_value" w:val="."/>
          <w:attr w:name="currency_key" w:val="LVL"/>
          <w:attr w:name="currency_id" w:val="48"/>
        </w:smartTagPr>
        <w:r w:rsidRPr="005433BE">
          <w:rPr>
            <w:rFonts w:ascii="Times New Roman" w:hAnsi="Times New Roman" w:cs="Times New Roman"/>
            <w:color w:val="000000"/>
            <w:sz w:val="24"/>
            <w:szCs w:val="24"/>
            <w:lang w:eastAsia="lv-LV"/>
          </w:rPr>
          <w:t>. latu jeb 9 %</w:t>
        </w:r>
      </w:smartTag>
      <w:r w:rsidRPr="005433BE">
        <w:rPr>
          <w:rFonts w:ascii="Times New Roman" w:hAnsi="Times New Roman" w:cs="Times New Roman"/>
          <w:color w:val="000000"/>
          <w:sz w:val="24"/>
          <w:szCs w:val="24"/>
          <w:lang w:eastAsia="lv-LV"/>
        </w:rPr>
        <w:t xml:space="preserve"> no kopējām investīcijām. 2013.gadā veikti ieguldījumi arī vēsturiski piesārņoto vietu sanācijas, dabas aizsardzības un vides monitoringa projektos, kā arī hidrotehnisko būvju rekonstrukcijā un plūdu draudu risku novēršanā</w:t>
      </w:r>
      <w:r w:rsidRPr="005433BE">
        <w:rPr>
          <w:rFonts w:ascii="Times New Roman" w:hAnsi="Times New Roman" w:cs="Times New Roman"/>
          <w:sz w:val="24"/>
          <w:szCs w:val="24"/>
        </w:rPr>
        <w:t xml:space="preserve"> (</w:t>
      </w:r>
      <w:r w:rsidRPr="005433BE">
        <w:rPr>
          <w:rFonts w:ascii="Times New Roman" w:hAnsi="Times New Roman" w:cs="Times New Roman"/>
          <w:i/>
          <w:sz w:val="24"/>
          <w:szCs w:val="24"/>
        </w:rPr>
        <w:t>4. attēls</w:t>
      </w:r>
      <w:r w:rsidRPr="005433BE">
        <w:rPr>
          <w:rFonts w:ascii="Times New Roman" w:hAnsi="Times New Roman" w:cs="Times New Roman"/>
          <w:sz w:val="24"/>
          <w:szCs w:val="24"/>
        </w:rPr>
        <w:t>).</w:t>
      </w:r>
    </w:p>
    <w:p w:rsidR="005433BE" w:rsidRPr="005433BE" w:rsidRDefault="005433BE" w:rsidP="005433BE">
      <w:pPr>
        <w:autoSpaceDE w:val="0"/>
        <w:autoSpaceDN w:val="0"/>
        <w:adjustRightInd w:val="0"/>
        <w:spacing w:before="120" w:after="0" w:line="240" w:lineRule="auto"/>
        <w:jc w:val="both"/>
        <w:rPr>
          <w:rFonts w:ascii="Times New Roman" w:hAnsi="Times New Roman" w:cs="Times New Roman"/>
          <w:sz w:val="24"/>
          <w:szCs w:val="24"/>
        </w:rPr>
      </w:pPr>
      <w:r w:rsidRPr="005433BE">
        <w:rPr>
          <w:rFonts w:ascii="Times New Roman" w:hAnsi="Times New Roman" w:cs="Times New Roman"/>
          <w:noProof/>
          <w:sz w:val="24"/>
          <w:szCs w:val="24"/>
          <w:lang w:eastAsia="lv-LV"/>
        </w:rPr>
        <w:drawing>
          <wp:inline distT="0" distB="0" distL="0" distR="0">
            <wp:extent cx="5486400" cy="3200400"/>
            <wp:effectExtent l="0" t="114300" r="0" b="114300"/>
            <wp:docPr id="3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5433BE" w:rsidRDefault="005433BE" w:rsidP="005433BE">
      <w:pPr>
        <w:spacing w:after="0" w:line="240" w:lineRule="auto"/>
        <w:rPr>
          <w:rFonts w:ascii="Times New Roman" w:hAnsi="Times New Roman" w:cs="Times New Roman"/>
          <w:i/>
          <w:sz w:val="24"/>
          <w:szCs w:val="24"/>
        </w:rPr>
      </w:pPr>
      <w:r w:rsidRPr="005433BE">
        <w:rPr>
          <w:rFonts w:ascii="Times New Roman" w:hAnsi="Times New Roman" w:cs="Times New Roman"/>
          <w:i/>
          <w:sz w:val="24"/>
          <w:szCs w:val="24"/>
        </w:rPr>
        <w:t xml:space="preserve">4. attēls. Investīciju sadalījums pa </w:t>
      </w:r>
      <w:r w:rsidR="00A107B5">
        <w:rPr>
          <w:rFonts w:ascii="Times New Roman" w:hAnsi="Times New Roman" w:cs="Times New Roman"/>
          <w:i/>
          <w:sz w:val="24"/>
          <w:szCs w:val="24"/>
        </w:rPr>
        <w:t>finansējuma avotiem</w:t>
      </w:r>
      <w:r w:rsidRPr="005433BE">
        <w:rPr>
          <w:rFonts w:ascii="Times New Roman" w:hAnsi="Times New Roman" w:cs="Times New Roman"/>
          <w:i/>
          <w:sz w:val="24"/>
          <w:szCs w:val="24"/>
        </w:rPr>
        <w:t>, 2013, milj</w:t>
      </w:r>
      <w:smartTag w:uri="schemas-tilde-lv/tildestengine" w:element="currency2">
        <w:smartTagPr>
          <w:attr w:name="currency_text" w:val="LVL"/>
          <w:attr w:name="currency_value" w:val="."/>
          <w:attr w:name="currency_key" w:val="LVL"/>
          <w:attr w:name="currency_id" w:val="48"/>
        </w:smartTagPr>
        <w:r w:rsidRPr="005433BE">
          <w:rPr>
            <w:rFonts w:ascii="Times New Roman" w:hAnsi="Times New Roman" w:cs="Times New Roman"/>
            <w:i/>
            <w:sz w:val="24"/>
            <w:szCs w:val="24"/>
          </w:rPr>
          <w:t>. LVL</w:t>
        </w:r>
      </w:smartTag>
    </w:p>
    <w:p w:rsidR="00BF34CF" w:rsidRPr="005433BE" w:rsidRDefault="00BF34CF" w:rsidP="005433BE">
      <w:pPr>
        <w:spacing w:after="0" w:line="240" w:lineRule="auto"/>
        <w:rPr>
          <w:rFonts w:ascii="Times New Roman" w:hAnsi="Times New Roman" w:cs="Times New Roman"/>
          <w:i/>
          <w:sz w:val="24"/>
          <w:szCs w:val="24"/>
        </w:rPr>
      </w:pPr>
    </w:p>
    <w:bookmarkStart w:id="3" w:name="_Toc164675284"/>
    <w:bookmarkStart w:id="4" w:name="_Toc164675348"/>
    <w:bookmarkStart w:id="5" w:name="_Toc164675534"/>
    <w:bookmarkStart w:id="6" w:name="_Toc164758577"/>
    <w:bookmarkStart w:id="7" w:name="_Toc165106721"/>
    <w:bookmarkStart w:id="8" w:name="_Toc165192448"/>
    <w:bookmarkStart w:id="9" w:name="_Toc165192496"/>
    <w:bookmarkStart w:id="10" w:name="_Toc165192638"/>
    <w:bookmarkStart w:id="11" w:name="_Toc168200633"/>
    <w:p w:rsidR="00AE6FB6" w:rsidRDefault="00614B5C" w:rsidP="00BF34CF">
      <w:pPr>
        <w:spacing w:before="120" w:after="0"/>
        <w:ind w:firstLine="1701"/>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121" editas="canvas" style="width:255.6pt;height:183.2pt;mso-position-horizontal-relative:char;mso-position-vertical-relative:line" coordorigin="2361,13893" coordsize="4432,317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2" type="#_x0000_t75" style="position:absolute;left:2361;top:13893;width:4432;height:3175" o:preferrelative="f">
              <v:fill o:detectmouseclick="t"/>
              <v:path o:extrusionok="t" o:connecttype="none"/>
              <o:lock v:ext="edit" text="t"/>
            </v:shape>
            <v:shapetype id="_x0000_t202" coordsize="21600,21600" o:spt="202" path="m,l,21600r21600,l21600,xe">
              <v:stroke joinstyle="miter"/>
              <v:path gradientshapeok="t" o:connecttype="rect"/>
            </v:shapetype>
            <v:shape id="_x0000_s1123" type="#_x0000_t202" style="position:absolute;left:2361;top:15755;width:2216;height:1313" stroked="f">
              <v:textbox style="mso-next-textbox:#_x0000_s1123">
                <w:txbxContent>
                  <w:p w:rsidR="00A04249" w:rsidRPr="00772DB0" w:rsidRDefault="00A04249" w:rsidP="00BF34CF">
                    <w:pPr>
                      <w:spacing w:after="0" w:line="240" w:lineRule="auto"/>
                      <w:ind w:left="-113"/>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Dabas aizsardzības pārvaldes Kohēzijas fonda projekta ietvaros izveidotā infrastruktūra Randu pļavās</w:t>
                    </w:r>
                  </w:p>
                </w:txbxContent>
              </v:textbox>
            </v:shape>
            <v:shape id="_x0000_s1124" type="#_x0000_t75" style="position:absolute;left:2361;top:13893;width:2275;height:1912">
              <v:imagedata r:id="rId30" o:title="Randu plavas_1"/>
            </v:shape>
            <v:shape id="_x0000_s1125" type="#_x0000_t75" style="position:absolute;left:4577;top:15461;width:2216;height:1476">
              <v:imagedata r:id="rId31" o:title="Randu plavas_2"/>
            </v:shape>
            <v:shape id="_x0000_s1126" type="#_x0000_t75" style="position:absolute;left:4577;top:13893;width:2216;height:1568">
              <v:imagedata r:id="rId32" o:title="Randu plavas_3"/>
            </v:shape>
            <w10:wrap type="none"/>
            <w10:anchorlock/>
          </v:group>
        </w:pict>
      </w:r>
    </w:p>
    <w:p w:rsidR="00A04249" w:rsidRPr="00AE6FB6" w:rsidRDefault="00A04249" w:rsidP="00BF34CF">
      <w:pPr>
        <w:spacing w:before="120" w:after="0"/>
        <w:ind w:firstLine="1701"/>
        <w:rPr>
          <w:rFonts w:ascii="Times New Roman" w:hAnsi="Times New Roman" w:cs="Times New Roman"/>
          <w:sz w:val="24"/>
          <w:szCs w:val="24"/>
        </w:rPr>
      </w:pPr>
    </w:p>
    <w:bookmarkEnd w:id="3"/>
    <w:bookmarkEnd w:id="4"/>
    <w:bookmarkEnd w:id="5"/>
    <w:bookmarkEnd w:id="6"/>
    <w:bookmarkEnd w:id="7"/>
    <w:bookmarkEnd w:id="8"/>
    <w:bookmarkEnd w:id="9"/>
    <w:bookmarkEnd w:id="10"/>
    <w:bookmarkEnd w:id="11"/>
    <w:p w:rsidR="00E53F71" w:rsidRDefault="00E53F71">
      <w:pPr>
        <w:rPr>
          <w:rFonts w:ascii="Times New Roman" w:hAnsi="Times New Roman" w:cs="Times New Roman"/>
          <w:sz w:val="24"/>
          <w:szCs w:val="24"/>
        </w:rPr>
      </w:pPr>
      <w:r>
        <w:rPr>
          <w:rFonts w:ascii="Times New Roman" w:hAnsi="Times New Roman" w:cs="Times New Roman"/>
          <w:sz w:val="24"/>
          <w:szCs w:val="24"/>
        </w:rPr>
        <w:br w:type="page"/>
      </w:r>
    </w:p>
    <w:p w:rsidR="007B3592" w:rsidRPr="007B3592" w:rsidRDefault="007B3592" w:rsidP="000E6720">
      <w:pPr>
        <w:spacing w:before="120" w:after="240" w:line="240" w:lineRule="auto"/>
        <w:jc w:val="both"/>
        <w:rPr>
          <w:rFonts w:ascii="Times New Roman" w:hAnsi="Times New Roman" w:cs="Times New Roman"/>
          <w:color w:val="0070C0"/>
          <w:sz w:val="28"/>
          <w:szCs w:val="28"/>
        </w:rPr>
      </w:pPr>
      <w:bookmarkStart w:id="12" w:name="_Toc391887122"/>
      <w:r w:rsidRPr="007B3592">
        <w:rPr>
          <w:rStyle w:val="Heading1Char"/>
          <w:rFonts w:ascii="Times New Roman" w:eastAsiaTheme="minorHAnsi" w:hAnsi="Times New Roman" w:cs="Times New Roman"/>
          <w:caps/>
          <w:color w:val="0070C0"/>
          <w:sz w:val="28"/>
          <w:szCs w:val="28"/>
        </w:rPr>
        <w:lastRenderedPageBreak/>
        <w:t>vides aizsardzības pasākumiem piešķirtais līdzfinansējums</w:t>
      </w:r>
      <w:bookmarkEnd w:id="12"/>
      <w:r w:rsidRPr="007B3592">
        <w:rPr>
          <w:rFonts w:ascii="Times New Roman" w:hAnsi="Times New Roman" w:cs="Times New Roman"/>
          <w:color w:val="0070C0"/>
          <w:sz w:val="28"/>
          <w:szCs w:val="28"/>
        </w:rPr>
        <w:t xml:space="preserve"> </w:t>
      </w:r>
    </w:p>
    <w:p w:rsidR="00E703C1" w:rsidRDefault="00E703C1" w:rsidP="00E703C1">
      <w:pPr>
        <w:spacing w:before="120" w:after="0" w:line="240" w:lineRule="auto"/>
        <w:jc w:val="both"/>
        <w:rPr>
          <w:rFonts w:ascii="Times New Roman" w:hAnsi="Times New Roman" w:cs="Times New Roman"/>
          <w:sz w:val="24"/>
          <w:szCs w:val="24"/>
        </w:rPr>
      </w:pPr>
      <w:r w:rsidRPr="00E703C1">
        <w:rPr>
          <w:rFonts w:ascii="Times New Roman" w:hAnsi="Times New Roman" w:cs="Times New Roman"/>
          <w:sz w:val="24"/>
          <w:szCs w:val="24"/>
        </w:rPr>
        <w:t xml:space="preserve">No vides aizsardzības pasākumiem pieejamajiem Eiropas Savienības un ārvalstu finanšu palīdzības līdzekļiem 2013. gadā apstiprināts finansējums </w:t>
      </w:r>
      <w:r w:rsidR="00E969CF" w:rsidRPr="00E969CF">
        <w:rPr>
          <w:rFonts w:ascii="Times New Roman" w:hAnsi="Times New Roman" w:cs="Times New Roman"/>
          <w:sz w:val="24"/>
          <w:szCs w:val="24"/>
        </w:rPr>
        <w:t>60,59</w:t>
      </w:r>
      <w:r w:rsidR="00E969CF" w:rsidRPr="00BF6868">
        <w:t xml:space="preserve"> </w:t>
      </w:r>
      <w:r w:rsidRPr="00E703C1">
        <w:rPr>
          <w:rFonts w:ascii="Times New Roman" w:hAnsi="Times New Roman" w:cs="Times New Roman"/>
          <w:sz w:val="24"/>
          <w:szCs w:val="24"/>
        </w:rPr>
        <w:t>milj. latu apmērā. Kopumā E</w:t>
      </w:r>
      <w:r w:rsidR="00F9401F">
        <w:rPr>
          <w:rFonts w:ascii="Times New Roman" w:hAnsi="Times New Roman" w:cs="Times New Roman"/>
          <w:sz w:val="24"/>
          <w:szCs w:val="24"/>
        </w:rPr>
        <w:t>S</w:t>
      </w:r>
      <w:r w:rsidRPr="00E703C1">
        <w:rPr>
          <w:rFonts w:ascii="Times New Roman" w:hAnsi="Times New Roman" w:cs="Times New Roman"/>
          <w:sz w:val="24"/>
          <w:szCs w:val="24"/>
        </w:rPr>
        <w:t xml:space="preserve"> struktūrfondu un Kohēzijas fonda līdzfinansējuma piesaistei apstiprināti 1</w:t>
      </w:r>
      <w:r w:rsidR="00E969CF">
        <w:rPr>
          <w:rFonts w:ascii="Times New Roman" w:hAnsi="Times New Roman" w:cs="Times New Roman"/>
          <w:sz w:val="24"/>
          <w:szCs w:val="24"/>
        </w:rPr>
        <w:t>49</w:t>
      </w:r>
      <w:r w:rsidRPr="00E703C1">
        <w:rPr>
          <w:rFonts w:ascii="Times New Roman" w:hAnsi="Times New Roman" w:cs="Times New Roman"/>
          <w:sz w:val="24"/>
          <w:szCs w:val="24"/>
        </w:rPr>
        <w:t xml:space="preserve"> projekti, no kuriem </w:t>
      </w:r>
      <w:r w:rsidR="00E969CF">
        <w:rPr>
          <w:rFonts w:ascii="Times New Roman" w:hAnsi="Times New Roman" w:cs="Times New Roman"/>
          <w:sz w:val="24"/>
          <w:szCs w:val="24"/>
        </w:rPr>
        <w:t>12</w:t>
      </w:r>
      <w:r w:rsidRPr="00E703C1">
        <w:rPr>
          <w:rFonts w:ascii="Times New Roman" w:hAnsi="Times New Roman" w:cs="Times New Roman"/>
          <w:sz w:val="24"/>
          <w:szCs w:val="24"/>
        </w:rPr>
        <w:t xml:space="preserve"> projektus plānots īstenot ar Kohēzijas fonda līdzfinansējumu </w:t>
      </w:r>
      <w:r w:rsidR="00E969CF">
        <w:rPr>
          <w:rFonts w:ascii="Times New Roman" w:hAnsi="Times New Roman" w:cs="Times New Roman"/>
          <w:sz w:val="24"/>
          <w:szCs w:val="24"/>
        </w:rPr>
        <w:t>2,91</w:t>
      </w:r>
      <w:r w:rsidRPr="00E703C1">
        <w:rPr>
          <w:rFonts w:ascii="Times New Roman" w:hAnsi="Times New Roman" w:cs="Times New Roman"/>
          <w:sz w:val="24"/>
          <w:szCs w:val="24"/>
        </w:rPr>
        <w:t xml:space="preserve"> milj. latu apmērā un 13</w:t>
      </w:r>
      <w:r w:rsidR="00E969CF">
        <w:rPr>
          <w:rFonts w:ascii="Times New Roman" w:hAnsi="Times New Roman" w:cs="Times New Roman"/>
          <w:sz w:val="24"/>
          <w:szCs w:val="24"/>
        </w:rPr>
        <w:t>7</w:t>
      </w:r>
      <w:r w:rsidRPr="00E703C1">
        <w:rPr>
          <w:rFonts w:ascii="Times New Roman" w:hAnsi="Times New Roman" w:cs="Times New Roman"/>
          <w:sz w:val="24"/>
          <w:szCs w:val="24"/>
        </w:rPr>
        <w:t xml:space="preserve"> projektus – ar E</w:t>
      </w:r>
      <w:r w:rsidR="00F9401F">
        <w:rPr>
          <w:rFonts w:ascii="Times New Roman" w:hAnsi="Times New Roman" w:cs="Times New Roman"/>
          <w:sz w:val="24"/>
          <w:szCs w:val="24"/>
        </w:rPr>
        <w:t>RAF</w:t>
      </w:r>
      <w:r w:rsidRPr="00E703C1">
        <w:rPr>
          <w:rFonts w:ascii="Times New Roman" w:hAnsi="Times New Roman" w:cs="Times New Roman"/>
          <w:sz w:val="24"/>
          <w:szCs w:val="24"/>
        </w:rPr>
        <w:t xml:space="preserve"> līdzfinansējumu 3</w:t>
      </w:r>
      <w:r w:rsidR="00E969CF">
        <w:rPr>
          <w:rFonts w:ascii="Times New Roman" w:hAnsi="Times New Roman" w:cs="Times New Roman"/>
          <w:sz w:val="24"/>
          <w:szCs w:val="24"/>
        </w:rPr>
        <w:t>2</w:t>
      </w:r>
      <w:r w:rsidRPr="00E703C1">
        <w:rPr>
          <w:rFonts w:ascii="Times New Roman" w:hAnsi="Times New Roman" w:cs="Times New Roman"/>
          <w:sz w:val="24"/>
          <w:szCs w:val="24"/>
        </w:rPr>
        <w:t>,8</w:t>
      </w:r>
      <w:r w:rsidR="00E969CF">
        <w:rPr>
          <w:rFonts w:ascii="Times New Roman" w:hAnsi="Times New Roman" w:cs="Times New Roman"/>
          <w:sz w:val="24"/>
          <w:szCs w:val="24"/>
        </w:rPr>
        <w:t>4</w:t>
      </w:r>
      <w:r w:rsidRPr="00E703C1">
        <w:rPr>
          <w:rFonts w:ascii="Times New Roman" w:hAnsi="Times New Roman" w:cs="Times New Roman"/>
          <w:sz w:val="24"/>
          <w:szCs w:val="24"/>
        </w:rPr>
        <w:t xml:space="preserve"> milj. latu apmērā. Siltumnīcefekta gāzu emisijas samazinošu 188 projektu īstenošanai apstiprināts K</w:t>
      </w:r>
      <w:r w:rsidR="00F9401F">
        <w:rPr>
          <w:rFonts w:ascii="Times New Roman" w:hAnsi="Times New Roman" w:cs="Times New Roman"/>
          <w:sz w:val="24"/>
          <w:szCs w:val="24"/>
        </w:rPr>
        <w:t>PFI</w:t>
      </w:r>
      <w:r w:rsidRPr="00E703C1">
        <w:rPr>
          <w:rFonts w:ascii="Times New Roman" w:hAnsi="Times New Roman" w:cs="Times New Roman"/>
          <w:sz w:val="24"/>
          <w:szCs w:val="24"/>
        </w:rPr>
        <w:t xml:space="preserve"> finansējums 24,84 milj. latu apmērā (</w:t>
      </w:r>
      <w:r w:rsidRPr="00E703C1">
        <w:rPr>
          <w:rFonts w:ascii="Times New Roman" w:hAnsi="Times New Roman" w:cs="Times New Roman"/>
          <w:i/>
          <w:sz w:val="24"/>
          <w:szCs w:val="24"/>
        </w:rPr>
        <w:t>1. tabula</w:t>
      </w:r>
      <w:r w:rsidRPr="00E703C1">
        <w:rPr>
          <w:rFonts w:ascii="Times New Roman" w:hAnsi="Times New Roman" w:cs="Times New Roman"/>
          <w:sz w:val="24"/>
          <w:szCs w:val="24"/>
        </w:rPr>
        <w:t>).</w:t>
      </w:r>
    </w:p>
    <w:p w:rsidR="00AE13EA" w:rsidRPr="00E703C1" w:rsidRDefault="00AE13EA" w:rsidP="00E703C1">
      <w:pPr>
        <w:spacing w:before="120" w:after="0" w:line="240" w:lineRule="auto"/>
        <w:jc w:val="both"/>
        <w:rPr>
          <w:rFonts w:ascii="Times New Roman" w:hAnsi="Times New Roman" w:cs="Times New Roman"/>
          <w:sz w:val="24"/>
          <w:szCs w:val="24"/>
        </w:rPr>
      </w:pPr>
    </w:p>
    <w:p w:rsidR="007B3592" w:rsidRPr="000E6720" w:rsidRDefault="007B3592" w:rsidP="007B3592">
      <w:pPr>
        <w:spacing w:before="120" w:after="0" w:line="240" w:lineRule="auto"/>
        <w:jc w:val="both"/>
        <w:rPr>
          <w:rFonts w:ascii="Times New Roman" w:hAnsi="Times New Roman" w:cs="Times New Roman"/>
          <w:i/>
          <w:iCs/>
          <w:sz w:val="24"/>
          <w:szCs w:val="24"/>
        </w:rPr>
      </w:pPr>
      <w:r w:rsidRPr="000E6720">
        <w:rPr>
          <w:rFonts w:ascii="Times New Roman" w:hAnsi="Times New Roman" w:cs="Times New Roman"/>
          <w:i/>
          <w:iCs/>
          <w:sz w:val="24"/>
          <w:szCs w:val="24"/>
        </w:rPr>
        <w:t>1. tabula. Apstiprinātais ES fondu un ārvalstu līdzfinansējums vides aizsardzības projektiem, 2013, milj. LVL</w:t>
      </w:r>
    </w:p>
    <w:tbl>
      <w:tblPr>
        <w:tblW w:w="9000" w:type="dxa"/>
        <w:jc w:val="center"/>
        <w:tblInd w:w="10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AF1FA"/>
        <w:tblCellMar>
          <w:left w:w="0" w:type="dxa"/>
          <w:right w:w="0" w:type="dxa"/>
        </w:tblCellMar>
        <w:tblLook w:val="04A0"/>
      </w:tblPr>
      <w:tblGrid>
        <w:gridCol w:w="4682"/>
        <w:gridCol w:w="2698"/>
        <w:gridCol w:w="1620"/>
      </w:tblGrid>
      <w:tr w:rsidR="007B3592" w:rsidRPr="007B3592" w:rsidTr="00A610B6">
        <w:trPr>
          <w:trHeight w:val="765"/>
          <w:jc w:val="center"/>
        </w:trPr>
        <w:tc>
          <w:tcPr>
            <w:tcW w:w="4682" w:type="dxa"/>
            <w:shd w:val="clear" w:color="auto" w:fill="8DB3E2" w:themeFill="text2" w:themeFillTint="66"/>
            <w:tcMar>
              <w:top w:w="0" w:type="dxa"/>
              <w:left w:w="108" w:type="dxa"/>
              <w:bottom w:w="0" w:type="dxa"/>
              <w:right w:w="108" w:type="dxa"/>
            </w:tcMar>
            <w:vAlign w:val="center"/>
            <w:hideMark/>
          </w:tcPr>
          <w:p w:rsidR="007B3592" w:rsidRPr="007B3592" w:rsidRDefault="007B3592" w:rsidP="007B3592">
            <w:pPr>
              <w:spacing w:after="0" w:line="240" w:lineRule="auto"/>
              <w:jc w:val="center"/>
              <w:rPr>
                <w:rFonts w:ascii="Times New Roman" w:eastAsia="Calibri" w:hAnsi="Times New Roman" w:cs="Times New Roman"/>
                <w:b/>
                <w:bCs/>
                <w:sz w:val="20"/>
                <w:szCs w:val="20"/>
              </w:rPr>
            </w:pPr>
            <w:r w:rsidRPr="007B3592">
              <w:rPr>
                <w:rFonts w:ascii="Times New Roman" w:hAnsi="Times New Roman" w:cs="Times New Roman"/>
                <w:b/>
                <w:bCs/>
                <w:sz w:val="20"/>
                <w:szCs w:val="20"/>
              </w:rPr>
              <w:t>Aktivitāte</w:t>
            </w:r>
          </w:p>
        </w:tc>
        <w:tc>
          <w:tcPr>
            <w:tcW w:w="2698" w:type="dxa"/>
            <w:shd w:val="clear" w:color="auto" w:fill="8DB3E2" w:themeFill="text2" w:themeFillTint="66"/>
            <w:tcMar>
              <w:top w:w="0" w:type="dxa"/>
              <w:left w:w="108" w:type="dxa"/>
              <w:bottom w:w="0" w:type="dxa"/>
              <w:right w:w="108" w:type="dxa"/>
            </w:tcMar>
            <w:vAlign w:val="center"/>
            <w:hideMark/>
          </w:tcPr>
          <w:p w:rsidR="007B3592" w:rsidRPr="007B3592" w:rsidRDefault="007B3592" w:rsidP="007B3592">
            <w:pPr>
              <w:spacing w:after="0" w:line="240" w:lineRule="auto"/>
              <w:jc w:val="center"/>
              <w:rPr>
                <w:rFonts w:ascii="Times New Roman" w:eastAsia="Calibri" w:hAnsi="Times New Roman" w:cs="Times New Roman"/>
                <w:b/>
                <w:bCs/>
                <w:sz w:val="20"/>
                <w:szCs w:val="20"/>
              </w:rPr>
            </w:pPr>
            <w:r w:rsidRPr="007B3592">
              <w:rPr>
                <w:rFonts w:ascii="Times New Roman" w:hAnsi="Times New Roman" w:cs="Times New Roman"/>
                <w:b/>
                <w:bCs/>
                <w:sz w:val="20"/>
                <w:szCs w:val="20"/>
              </w:rPr>
              <w:t>Finansētājs</w:t>
            </w:r>
          </w:p>
        </w:tc>
        <w:tc>
          <w:tcPr>
            <w:tcW w:w="1620" w:type="dxa"/>
            <w:shd w:val="clear" w:color="auto" w:fill="8DB3E2" w:themeFill="text2" w:themeFillTint="66"/>
            <w:tcMar>
              <w:top w:w="0" w:type="dxa"/>
              <w:left w:w="108" w:type="dxa"/>
              <w:bottom w:w="0" w:type="dxa"/>
              <w:right w:w="108" w:type="dxa"/>
            </w:tcMar>
            <w:vAlign w:val="center"/>
            <w:hideMark/>
          </w:tcPr>
          <w:p w:rsidR="007B3592" w:rsidRPr="007B3592" w:rsidRDefault="007B3592" w:rsidP="007B3592">
            <w:pPr>
              <w:spacing w:after="0" w:line="240" w:lineRule="auto"/>
              <w:jc w:val="center"/>
              <w:rPr>
                <w:rFonts w:ascii="Times New Roman" w:eastAsia="Calibri" w:hAnsi="Times New Roman" w:cs="Times New Roman"/>
                <w:b/>
                <w:bCs/>
                <w:sz w:val="20"/>
                <w:szCs w:val="20"/>
              </w:rPr>
            </w:pPr>
            <w:r w:rsidRPr="007B3592">
              <w:rPr>
                <w:rFonts w:ascii="Times New Roman" w:hAnsi="Times New Roman" w:cs="Times New Roman"/>
                <w:b/>
                <w:bCs/>
                <w:sz w:val="20"/>
                <w:szCs w:val="20"/>
              </w:rPr>
              <w:t>Apstiprinātais finansējums, milj. LVL</w:t>
            </w:r>
          </w:p>
        </w:tc>
      </w:tr>
      <w:tr w:rsidR="007B3592" w:rsidRPr="007B3592" w:rsidTr="00A610B6">
        <w:trPr>
          <w:trHeight w:val="300"/>
          <w:jc w:val="center"/>
        </w:trPr>
        <w:tc>
          <w:tcPr>
            <w:tcW w:w="4682" w:type="dxa"/>
            <w:shd w:val="clear" w:color="auto" w:fill="EAF1FA"/>
            <w:tcMar>
              <w:top w:w="0" w:type="dxa"/>
              <w:left w:w="108" w:type="dxa"/>
              <w:bottom w:w="0" w:type="dxa"/>
              <w:right w:w="108" w:type="dxa"/>
            </w:tcMar>
            <w:vAlign w:val="center"/>
            <w:hideMark/>
          </w:tcPr>
          <w:p w:rsidR="007B3592" w:rsidRPr="007B3592" w:rsidRDefault="007B3592" w:rsidP="007B3592">
            <w:pPr>
              <w:spacing w:after="0" w:line="240" w:lineRule="auto"/>
              <w:rPr>
                <w:rFonts w:ascii="Times New Roman" w:eastAsia="Calibri" w:hAnsi="Times New Roman" w:cs="Times New Roman"/>
                <w:sz w:val="20"/>
                <w:szCs w:val="20"/>
              </w:rPr>
            </w:pPr>
            <w:r w:rsidRPr="007B3592">
              <w:rPr>
                <w:rFonts w:ascii="Times New Roman" w:hAnsi="Times New Roman" w:cs="Times New Roman"/>
                <w:sz w:val="20"/>
                <w:szCs w:val="20"/>
              </w:rPr>
              <w:t>Ūdenssaimniecības infrastruktūras attīstība apdzīvotās vietās ar iedzīvotāju skaitu līdz 2000</w:t>
            </w:r>
          </w:p>
        </w:tc>
        <w:tc>
          <w:tcPr>
            <w:tcW w:w="2698" w:type="dxa"/>
            <w:shd w:val="clear" w:color="auto" w:fill="EAF1FA"/>
            <w:tcMar>
              <w:top w:w="0" w:type="dxa"/>
              <w:left w:w="108" w:type="dxa"/>
              <w:bottom w:w="0" w:type="dxa"/>
              <w:right w:w="108" w:type="dxa"/>
            </w:tcMar>
            <w:vAlign w:val="center"/>
            <w:hideMark/>
          </w:tcPr>
          <w:p w:rsidR="007B3592" w:rsidRPr="007B3592" w:rsidRDefault="007B3592" w:rsidP="007B3592">
            <w:pPr>
              <w:spacing w:after="0" w:line="240" w:lineRule="auto"/>
              <w:jc w:val="center"/>
              <w:rPr>
                <w:rFonts w:ascii="Times New Roman" w:eastAsia="Calibri" w:hAnsi="Times New Roman" w:cs="Times New Roman"/>
                <w:sz w:val="20"/>
                <w:szCs w:val="20"/>
              </w:rPr>
            </w:pPr>
            <w:r w:rsidRPr="007B3592">
              <w:rPr>
                <w:rFonts w:ascii="Times New Roman" w:hAnsi="Times New Roman" w:cs="Times New Roman"/>
                <w:sz w:val="20"/>
                <w:szCs w:val="20"/>
              </w:rPr>
              <w:t>ERAF</w:t>
            </w:r>
          </w:p>
        </w:tc>
        <w:tc>
          <w:tcPr>
            <w:tcW w:w="1620" w:type="dxa"/>
            <w:shd w:val="clear" w:color="auto" w:fill="EAF1FA"/>
            <w:tcMar>
              <w:top w:w="0" w:type="dxa"/>
              <w:left w:w="108" w:type="dxa"/>
              <w:bottom w:w="0" w:type="dxa"/>
              <w:right w:w="108" w:type="dxa"/>
            </w:tcMar>
            <w:vAlign w:val="center"/>
            <w:hideMark/>
          </w:tcPr>
          <w:p w:rsidR="007B3592" w:rsidRPr="007B3592" w:rsidRDefault="007B3592" w:rsidP="00E969CF">
            <w:pPr>
              <w:spacing w:after="0" w:line="240" w:lineRule="auto"/>
              <w:jc w:val="center"/>
              <w:rPr>
                <w:rFonts w:ascii="Times New Roman" w:eastAsia="Calibri" w:hAnsi="Times New Roman" w:cs="Times New Roman"/>
                <w:sz w:val="20"/>
                <w:szCs w:val="20"/>
                <w:highlight w:val="yellow"/>
              </w:rPr>
            </w:pPr>
            <w:r w:rsidRPr="007B3592">
              <w:rPr>
                <w:rFonts w:ascii="Times New Roman" w:eastAsia="Calibri" w:hAnsi="Times New Roman" w:cs="Times New Roman"/>
                <w:sz w:val="20"/>
                <w:szCs w:val="20"/>
              </w:rPr>
              <w:t>3</w:t>
            </w:r>
            <w:r w:rsidR="00E969CF">
              <w:rPr>
                <w:rFonts w:ascii="Times New Roman" w:eastAsia="Calibri" w:hAnsi="Times New Roman" w:cs="Times New Roman"/>
                <w:sz w:val="20"/>
                <w:szCs w:val="20"/>
              </w:rPr>
              <w:t>2</w:t>
            </w:r>
            <w:r w:rsidRPr="007B3592">
              <w:rPr>
                <w:rFonts w:ascii="Times New Roman" w:eastAsia="Calibri" w:hAnsi="Times New Roman" w:cs="Times New Roman"/>
                <w:sz w:val="20"/>
                <w:szCs w:val="20"/>
              </w:rPr>
              <w:t>,8</w:t>
            </w:r>
            <w:r w:rsidR="00E969CF">
              <w:rPr>
                <w:rFonts w:ascii="Times New Roman" w:eastAsia="Calibri" w:hAnsi="Times New Roman" w:cs="Times New Roman"/>
                <w:sz w:val="20"/>
                <w:szCs w:val="20"/>
              </w:rPr>
              <w:t>4</w:t>
            </w:r>
          </w:p>
        </w:tc>
      </w:tr>
      <w:tr w:rsidR="007B3592" w:rsidRPr="007B3592" w:rsidTr="00A610B6">
        <w:trPr>
          <w:trHeight w:val="251"/>
          <w:jc w:val="center"/>
        </w:trPr>
        <w:tc>
          <w:tcPr>
            <w:tcW w:w="4682" w:type="dxa"/>
            <w:shd w:val="clear" w:color="auto" w:fill="EAF1FA"/>
            <w:tcMar>
              <w:top w:w="0" w:type="dxa"/>
              <w:left w:w="108" w:type="dxa"/>
              <w:bottom w:w="0" w:type="dxa"/>
              <w:right w:w="108" w:type="dxa"/>
            </w:tcMar>
            <w:vAlign w:val="center"/>
            <w:hideMark/>
          </w:tcPr>
          <w:p w:rsidR="007B3592" w:rsidRPr="007B3592" w:rsidRDefault="007B3592" w:rsidP="007B3592">
            <w:pPr>
              <w:spacing w:after="0" w:line="240" w:lineRule="auto"/>
              <w:rPr>
                <w:rFonts w:ascii="Times New Roman" w:eastAsia="Calibri" w:hAnsi="Times New Roman" w:cs="Times New Roman"/>
                <w:sz w:val="20"/>
                <w:szCs w:val="20"/>
              </w:rPr>
            </w:pPr>
            <w:r w:rsidRPr="007B3592">
              <w:rPr>
                <w:rFonts w:ascii="Times New Roman" w:hAnsi="Times New Roman" w:cs="Times New Roman"/>
                <w:sz w:val="20"/>
                <w:szCs w:val="20"/>
              </w:rPr>
              <w:t>Normatīvo aktu prasībām neatbilstošo izgāztuvju rekultivācija</w:t>
            </w:r>
          </w:p>
        </w:tc>
        <w:tc>
          <w:tcPr>
            <w:tcW w:w="2698" w:type="dxa"/>
            <w:shd w:val="clear" w:color="auto" w:fill="EAF1FA"/>
            <w:tcMar>
              <w:top w:w="0" w:type="dxa"/>
              <w:left w:w="108" w:type="dxa"/>
              <w:bottom w:w="0" w:type="dxa"/>
              <w:right w:w="108" w:type="dxa"/>
            </w:tcMar>
            <w:vAlign w:val="center"/>
            <w:hideMark/>
          </w:tcPr>
          <w:p w:rsidR="007B3592" w:rsidRPr="007B3592" w:rsidRDefault="007B3592" w:rsidP="007B3592">
            <w:pPr>
              <w:spacing w:after="0" w:line="240" w:lineRule="auto"/>
              <w:jc w:val="center"/>
              <w:rPr>
                <w:rFonts w:ascii="Times New Roman" w:eastAsia="Calibri" w:hAnsi="Times New Roman" w:cs="Times New Roman"/>
                <w:sz w:val="20"/>
                <w:szCs w:val="20"/>
              </w:rPr>
            </w:pPr>
            <w:r w:rsidRPr="007B3592">
              <w:rPr>
                <w:rFonts w:ascii="Times New Roman" w:hAnsi="Times New Roman" w:cs="Times New Roman"/>
                <w:sz w:val="20"/>
                <w:szCs w:val="20"/>
              </w:rPr>
              <w:t>Kohēzijas fonds</w:t>
            </w:r>
          </w:p>
        </w:tc>
        <w:tc>
          <w:tcPr>
            <w:tcW w:w="1620" w:type="dxa"/>
            <w:shd w:val="clear" w:color="auto" w:fill="EAF1FA"/>
            <w:noWrap/>
            <w:tcMar>
              <w:top w:w="0" w:type="dxa"/>
              <w:left w:w="108" w:type="dxa"/>
              <w:bottom w:w="0" w:type="dxa"/>
              <w:right w:w="108" w:type="dxa"/>
            </w:tcMar>
            <w:vAlign w:val="center"/>
            <w:hideMark/>
          </w:tcPr>
          <w:p w:rsidR="007B3592" w:rsidRPr="007B3592" w:rsidRDefault="007B3592" w:rsidP="007B3592">
            <w:pPr>
              <w:spacing w:after="0" w:line="240" w:lineRule="auto"/>
              <w:jc w:val="center"/>
              <w:rPr>
                <w:rFonts w:ascii="Times New Roman" w:eastAsia="Calibri" w:hAnsi="Times New Roman" w:cs="Times New Roman"/>
                <w:sz w:val="20"/>
                <w:szCs w:val="20"/>
                <w:highlight w:val="yellow"/>
              </w:rPr>
            </w:pPr>
            <w:r w:rsidRPr="007B3592">
              <w:rPr>
                <w:rFonts w:ascii="Times New Roman" w:eastAsia="Calibri" w:hAnsi="Times New Roman" w:cs="Times New Roman"/>
                <w:sz w:val="20"/>
                <w:szCs w:val="20"/>
              </w:rPr>
              <w:t>1,06</w:t>
            </w:r>
          </w:p>
        </w:tc>
      </w:tr>
      <w:tr w:rsidR="00E969CF" w:rsidRPr="007B3592" w:rsidTr="00A610B6">
        <w:trPr>
          <w:trHeight w:val="251"/>
          <w:jc w:val="center"/>
        </w:trPr>
        <w:tc>
          <w:tcPr>
            <w:tcW w:w="4682" w:type="dxa"/>
            <w:shd w:val="clear" w:color="auto" w:fill="EAF1FA"/>
            <w:tcMar>
              <w:top w:w="0" w:type="dxa"/>
              <w:left w:w="108" w:type="dxa"/>
              <w:bottom w:w="0" w:type="dxa"/>
              <w:right w:w="108" w:type="dxa"/>
            </w:tcMar>
            <w:vAlign w:val="center"/>
            <w:hideMark/>
          </w:tcPr>
          <w:p w:rsidR="00E969CF" w:rsidRPr="00E969CF" w:rsidRDefault="00E969CF" w:rsidP="00E969CF">
            <w:pPr>
              <w:spacing w:after="0" w:line="240" w:lineRule="auto"/>
              <w:rPr>
                <w:rFonts w:ascii="Times New Roman" w:hAnsi="Times New Roman" w:cs="Times New Roman"/>
                <w:sz w:val="20"/>
                <w:szCs w:val="20"/>
              </w:rPr>
            </w:pPr>
            <w:r w:rsidRPr="00E969CF">
              <w:rPr>
                <w:rFonts w:ascii="Times New Roman" w:hAnsi="Times New Roman" w:cs="Times New Roman"/>
                <w:sz w:val="20"/>
                <w:szCs w:val="20"/>
              </w:rPr>
              <w:t>Dalītas atkritumu apsaimniekošanas sistēmas attīstība</w:t>
            </w:r>
          </w:p>
        </w:tc>
        <w:tc>
          <w:tcPr>
            <w:tcW w:w="2698" w:type="dxa"/>
            <w:shd w:val="clear" w:color="auto" w:fill="EAF1FA"/>
            <w:tcMar>
              <w:top w:w="0" w:type="dxa"/>
              <w:left w:w="108" w:type="dxa"/>
              <w:bottom w:w="0" w:type="dxa"/>
              <w:right w:w="108" w:type="dxa"/>
            </w:tcMar>
            <w:vAlign w:val="center"/>
            <w:hideMark/>
          </w:tcPr>
          <w:p w:rsidR="00E969CF" w:rsidRPr="00E969CF" w:rsidRDefault="00E969CF" w:rsidP="00E969CF">
            <w:pPr>
              <w:spacing w:after="0" w:line="240" w:lineRule="auto"/>
              <w:jc w:val="center"/>
              <w:rPr>
                <w:rFonts w:ascii="Times New Roman" w:hAnsi="Times New Roman" w:cs="Times New Roman"/>
                <w:sz w:val="20"/>
                <w:szCs w:val="20"/>
              </w:rPr>
            </w:pPr>
            <w:r w:rsidRPr="00E969CF">
              <w:rPr>
                <w:rFonts w:ascii="Times New Roman" w:hAnsi="Times New Roman" w:cs="Times New Roman"/>
                <w:sz w:val="20"/>
                <w:szCs w:val="20"/>
              </w:rPr>
              <w:t>Kohēzijas fonds</w:t>
            </w:r>
          </w:p>
        </w:tc>
        <w:tc>
          <w:tcPr>
            <w:tcW w:w="1620" w:type="dxa"/>
            <w:shd w:val="clear" w:color="auto" w:fill="EAF1FA"/>
            <w:noWrap/>
            <w:tcMar>
              <w:top w:w="0" w:type="dxa"/>
              <w:left w:w="108" w:type="dxa"/>
              <w:bottom w:w="0" w:type="dxa"/>
              <w:right w:w="108" w:type="dxa"/>
            </w:tcMar>
            <w:vAlign w:val="center"/>
            <w:hideMark/>
          </w:tcPr>
          <w:p w:rsidR="00E969CF" w:rsidRPr="00E969CF" w:rsidRDefault="00E969CF" w:rsidP="00E969CF">
            <w:pPr>
              <w:spacing w:after="0" w:line="240" w:lineRule="auto"/>
              <w:jc w:val="center"/>
              <w:rPr>
                <w:rFonts w:ascii="Times New Roman" w:eastAsia="Calibri" w:hAnsi="Times New Roman" w:cs="Times New Roman"/>
                <w:sz w:val="20"/>
                <w:szCs w:val="20"/>
              </w:rPr>
            </w:pPr>
            <w:r w:rsidRPr="00E969CF">
              <w:rPr>
                <w:rFonts w:ascii="Times New Roman" w:eastAsia="Calibri" w:hAnsi="Times New Roman" w:cs="Times New Roman"/>
                <w:sz w:val="20"/>
                <w:szCs w:val="20"/>
              </w:rPr>
              <w:t>1,85</w:t>
            </w:r>
          </w:p>
        </w:tc>
      </w:tr>
      <w:tr w:rsidR="00E969CF" w:rsidRPr="007B3592" w:rsidTr="00A610B6">
        <w:trPr>
          <w:trHeight w:val="251"/>
          <w:jc w:val="center"/>
        </w:trPr>
        <w:tc>
          <w:tcPr>
            <w:tcW w:w="4682" w:type="dxa"/>
            <w:tcBorders>
              <w:bottom w:val="single" w:sz="8" w:space="0" w:color="auto"/>
            </w:tcBorders>
            <w:shd w:val="clear" w:color="auto" w:fill="EAF1FA"/>
            <w:tcMar>
              <w:top w:w="0" w:type="dxa"/>
              <w:left w:w="108" w:type="dxa"/>
              <w:bottom w:w="0" w:type="dxa"/>
              <w:right w:w="108" w:type="dxa"/>
            </w:tcMar>
            <w:vAlign w:val="center"/>
            <w:hideMark/>
          </w:tcPr>
          <w:p w:rsidR="00E969CF" w:rsidRPr="007B3592" w:rsidRDefault="00E969CF" w:rsidP="007B3592">
            <w:pPr>
              <w:spacing w:after="0" w:line="240" w:lineRule="auto"/>
              <w:rPr>
                <w:rFonts w:ascii="Times New Roman" w:eastAsia="Calibri" w:hAnsi="Times New Roman" w:cs="Times New Roman"/>
                <w:sz w:val="20"/>
                <w:szCs w:val="20"/>
              </w:rPr>
            </w:pPr>
            <w:r w:rsidRPr="007B3592">
              <w:rPr>
                <w:rFonts w:ascii="Times New Roman" w:hAnsi="Times New Roman" w:cs="Times New Roman"/>
                <w:sz w:val="20"/>
                <w:szCs w:val="20"/>
              </w:rPr>
              <w:t>Siltumnīcefekta gāzu emisiju samazināšana</w:t>
            </w:r>
          </w:p>
        </w:tc>
        <w:tc>
          <w:tcPr>
            <w:tcW w:w="2698" w:type="dxa"/>
            <w:tcBorders>
              <w:bottom w:val="single" w:sz="8" w:space="0" w:color="auto"/>
            </w:tcBorders>
            <w:shd w:val="clear" w:color="auto" w:fill="EAF1FA"/>
            <w:tcMar>
              <w:top w:w="0" w:type="dxa"/>
              <w:left w:w="108" w:type="dxa"/>
              <w:bottom w:w="0" w:type="dxa"/>
              <w:right w:w="108" w:type="dxa"/>
            </w:tcMar>
            <w:vAlign w:val="center"/>
            <w:hideMark/>
          </w:tcPr>
          <w:p w:rsidR="00E969CF" w:rsidRPr="007B3592" w:rsidRDefault="00E969CF" w:rsidP="007B3592">
            <w:pPr>
              <w:spacing w:after="0" w:line="240" w:lineRule="auto"/>
              <w:jc w:val="center"/>
              <w:rPr>
                <w:rFonts w:ascii="Times New Roman" w:eastAsia="Calibri" w:hAnsi="Times New Roman" w:cs="Times New Roman"/>
                <w:sz w:val="20"/>
                <w:szCs w:val="20"/>
              </w:rPr>
            </w:pPr>
            <w:r w:rsidRPr="007B3592">
              <w:rPr>
                <w:rFonts w:ascii="Times New Roman" w:hAnsi="Times New Roman" w:cs="Times New Roman"/>
                <w:sz w:val="20"/>
                <w:szCs w:val="20"/>
              </w:rPr>
              <w:t>KPFI</w:t>
            </w:r>
          </w:p>
        </w:tc>
        <w:tc>
          <w:tcPr>
            <w:tcW w:w="1620" w:type="dxa"/>
            <w:tcBorders>
              <w:bottom w:val="single" w:sz="8" w:space="0" w:color="auto"/>
            </w:tcBorders>
            <w:shd w:val="clear" w:color="auto" w:fill="EAF1FA"/>
            <w:noWrap/>
            <w:tcMar>
              <w:top w:w="0" w:type="dxa"/>
              <w:left w:w="108" w:type="dxa"/>
              <w:bottom w:w="0" w:type="dxa"/>
              <w:right w:w="108" w:type="dxa"/>
            </w:tcMar>
            <w:vAlign w:val="center"/>
            <w:hideMark/>
          </w:tcPr>
          <w:p w:rsidR="00E969CF" w:rsidRPr="007B3592" w:rsidRDefault="00E969CF" w:rsidP="007B3592">
            <w:pPr>
              <w:spacing w:after="0" w:line="240" w:lineRule="auto"/>
              <w:jc w:val="center"/>
              <w:rPr>
                <w:rFonts w:ascii="Times New Roman" w:eastAsia="Calibri" w:hAnsi="Times New Roman" w:cs="Times New Roman"/>
                <w:sz w:val="20"/>
                <w:szCs w:val="20"/>
                <w:highlight w:val="yellow"/>
              </w:rPr>
            </w:pPr>
            <w:r w:rsidRPr="007B3592">
              <w:rPr>
                <w:rFonts w:ascii="Times New Roman" w:eastAsia="Calibri" w:hAnsi="Times New Roman" w:cs="Times New Roman"/>
                <w:sz w:val="20"/>
                <w:szCs w:val="20"/>
              </w:rPr>
              <w:t>24,84</w:t>
            </w:r>
          </w:p>
        </w:tc>
      </w:tr>
      <w:tr w:rsidR="00E969CF" w:rsidRPr="007B3592" w:rsidTr="00A610B6">
        <w:trPr>
          <w:trHeight w:val="285"/>
          <w:jc w:val="center"/>
        </w:trPr>
        <w:tc>
          <w:tcPr>
            <w:tcW w:w="4682" w:type="dxa"/>
            <w:shd w:val="clear" w:color="auto" w:fill="8DB3E2" w:themeFill="text2" w:themeFillTint="66"/>
            <w:tcMar>
              <w:top w:w="0" w:type="dxa"/>
              <w:left w:w="108" w:type="dxa"/>
              <w:bottom w:w="0" w:type="dxa"/>
              <w:right w:w="108" w:type="dxa"/>
            </w:tcMar>
            <w:vAlign w:val="center"/>
            <w:hideMark/>
          </w:tcPr>
          <w:p w:rsidR="00E969CF" w:rsidRPr="007B3592" w:rsidRDefault="00E969CF" w:rsidP="007B3592">
            <w:pPr>
              <w:spacing w:after="0" w:line="240" w:lineRule="auto"/>
              <w:jc w:val="right"/>
              <w:rPr>
                <w:rFonts w:ascii="Times New Roman" w:eastAsia="Calibri" w:hAnsi="Times New Roman" w:cs="Times New Roman"/>
                <w:b/>
                <w:bCs/>
                <w:sz w:val="20"/>
                <w:szCs w:val="20"/>
              </w:rPr>
            </w:pPr>
            <w:r w:rsidRPr="007B3592">
              <w:rPr>
                <w:rFonts w:ascii="Times New Roman" w:hAnsi="Times New Roman" w:cs="Times New Roman"/>
                <w:b/>
                <w:bCs/>
                <w:sz w:val="20"/>
                <w:szCs w:val="20"/>
              </w:rPr>
              <w:t>Kopā</w:t>
            </w:r>
          </w:p>
        </w:tc>
        <w:tc>
          <w:tcPr>
            <w:tcW w:w="2698" w:type="dxa"/>
            <w:shd w:val="clear" w:color="auto" w:fill="8DB3E2" w:themeFill="text2" w:themeFillTint="66"/>
            <w:tcMar>
              <w:top w:w="0" w:type="dxa"/>
              <w:left w:w="108" w:type="dxa"/>
              <w:bottom w:w="0" w:type="dxa"/>
              <w:right w:w="108" w:type="dxa"/>
            </w:tcMar>
            <w:vAlign w:val="center"/>
            <w:hideMark/>
          </w:tcPr>
          <w:p w:rsidR="00E969CF" w:rsidRPr="007B3592" w:rsidRDefault="00E969CF" w:rsidP="007B3592">
            <w:pPr>
              <w:spacing w:after="0" w:line="240" w:lineRule="auto"/>
              <w:rPr>
                <w:rFonts w:ascii="Times New Roman" w:eastAsia="Calibri" w:hAnsi="Times New Roman" w:cs="Times New Roman"/>
                <w:sz w:val="20"/>
                <w:szCs w:val="20"/>
              </w:rPr>
            </w:pPr>
            <w:r w:rsidRPr="007B3592">
              <w:rPr>
                <w:rFonts w:ascii="Times New Roman" w:hAnsi="Times New Roman" w:cs="Times New Roman"/>
                <w:sz w:val="20"/>
                <w:szCs w:val="20"/>
              </w:rPr>
              <w:t> </w:t>
            </w:r>
          </w:p>
        </w:tc>
        <w:tc>
          <w:tcPr>
            <w:tcW w:w="1620" w:type="dxa"/>
            <w:shd w:val="clear" w:color="auto" w:fill="8DB3E2" w:themeFill="text2" w:themeFillTint="66"/>
            <w:tcMar>
              <w:top w:w="0" w:type="dxa"/>
              <w:left w:w="108" w:type="dxa"/>
              <w:bottom w:w="0" w:type="dxa"/>
              <w:right w:w="108" w:type="dxa"/>
            </w:tcMar>
            <w:vAlign w:val="center"/>
            <w:hideMark/>
          </w:tcPr>
          <w:p w:rsidR="00E969CF" w:rsidRPr="007B3592" w:rsidRDefault="00E969CF" w:rsidP="00E969CF">
            <w:pPr>
              <w:spacing w:after="0" w:line="240" w:lineRule="auto"/>
              <w:jc w:val="center"/>
              <w:rPr>
                <w:rFonts w:ascii="Times New Roman" w:eastAsia="Calibri" w:hAnsi="Times New Roman" w:cs="Times New Roman"/>
                <w:b/>
                <w:bCs/>
                <w:sz w:val="20"/>
                <w:szCs w:val="20"/>
              </w:rPr>
            </w:pPr>
            <w:r w:rsidRPr="007B3592">
              <w:rPr>
                <w:rFonts w:ascii="Times New Roman" w:eastAsia="Calibri" w:hAnsi="Times New Roman" w:cs="Times New Roman"/>
                <w:b/>
                <w:bCs/>
                <w:sz w:val="20"/>
                <w:szCs w:val="20"/>
              </w:rPr>
              <w:t>6</w:t>
            </w:r>
            <w:r>
              <w:rPr>
                <w:rFonts w:ascii="Times New Roman" w:eastAsia="Calibri" w:hAnsi="Times New Roman" w:cs="Times New Roman"/>
                <w:b/>
                <w:bCs/>
                <w:sz w:val="20"/>
                <w:szCs w:val="20"/>
              </w:rPr>
              <w:t>0</w:t>
            </w:r>
            <w:r w:rsidRPr="007B3592">
              <w:rPr>
                <w:rFonts w:ascii="Times New Roman" w:eastAsia="Calibri" w:hAnsi="Times New Roman" w:cs="Times New Roman"/>
                <w:b/>
                <w:bCs/>
                <w:sz w:val="20"/>
                <w:szCs w:val="20"/>
              </w:rPr>
              <w:t>,</w:t>
            </w:r>
            <w:r>
              <w:rPr>
                <w:rFonts w:ascii="Times New Roman" w:eastAsia="Calibri" w:hAnsi="Times New Roman" w:cs="Times New Roman"/>
                <w:b/>
                <w:bCs/>
                <w:sz w:val="20"/>
                <w:szCs w:val="20"/>
              </w:rPr>
              <w:t>59</w:t>
            </w:r>
          </w:p>
        </w:tc>
      </w:tr>
    </w:tbl>
    <w:p w:rsidR="007B3592" w:rsidRDefault="007B3592" w:rsidP="007B3592">
      <w:pPr>
        <w:spacing w:before="120" w:after="0" w:line="240" w:lineRule="auto"/>
        <w:jc w:val="both"/>
        <w:rPr>
          <w:rFonts w:ascii="Times New Roman" w:hAnsi="Times New Roman" w:cs="Times New Roman"/>
          <w:sz w:val="24"/>
          <w:szCs w:val="24"/>
        </w:rPr>
      </w:pPr>
    </w:p>
    <w:p w:rsidR="007B3592" w:rsidRPr="007B3592" w:rsidRDefault="007B3592" w:rsidP="007B3592">
      <w:pPr>
        <w:spacing w:before="120" w:after="0" w:line="240" w:lineRule="auto"/>
        <w:jc w:val="both"/>
        <w:rPr>
          <w:rFonts w:ascii="Times New Roman" w:hAnsi="Times New Roman" w:cs="Times New Roman"/>
          <w:sz w:val="24"/>
          <w:szCs w:val="24"/>
        </w:rPr>
      </w:pPr>
      <w:r w:rsidRPr="007B3592">
        <w:rPr>
          <w:rFonts w:ascii="Times New Roman" w:hAnsi="Times New Roman" w:cs="Times New Roman"/>
          <w:sz w:val="24"/>
          <w:szCs w:val="24"/>
        </w:rPr>
        <w:t xml:space="preserve">Vislielāko finansējuma daļu sastāda ERAF līdzfinansējums, proti, 54 %, savukārt KPFI – 44 % un Kohēzijas fonda – 2 % no kopējiem piešķirtajiem ES fondu un citas ārvalstu palīdzības līdzekļiem. </w:t>
      </w:r>
    </w:p>
    <w:p w:rsidR="007B3592" w:rsidRPr="007B3592" w:rsidRDefault="007B3592" w:rsidP="007B3592">
      <w:pPr>
        <w:autoSpaceDE w:val="0"/>
        <w:autoSpaceDN w:val="0"/>
        <w:spacing w:before="120" w:after="0" w:line="240" w:lineRule="auto"/>
        <w:jc w:val="both"/>
        <w:rPr>
          <w:rFonts w:ascii="Times New Roman" w:hAnsi="Times New Roman" w:cs="Times New Roman"/>
          <w:sz w:val="24"/>
          <w:szCs w:val="24"/>
        </w:rPr>
      </w:pPr>
      <w:r w:rsidRPr="007B3592">
        <w:rPr>
          <w:rFonts w:ascii="Times New Roman" w:hAnsi="Times New Roman" w:cs="Times New Roman"/>
          <w:sz w:val="24"/>
          <w:szCs w:val="24"/>
        </w:rPr>
        <w:t>Darbības programmas „Infrastruktūra un pakalpojumi” papildinājuma ietvaros 2013.gadā tika apstiprināts līdzfinansējums vides aizsardzības projektiem 2 aktivitāšu ietvaros:</w:t>
      </w:r>
    </w:p>
    <w:p w:rsidR="007B3592" w:rsidRPr="007B3592" w:rsidRDefault="007B3592" w:rsidP="007B3592">
      <w:pPr>
        <w:numPr>
          <w:ilvl w:val="0"/>
          <w:numId w:val="1"/>
        </w:numPr>
        <w:autoSpaceDE w:val="0"/>
        <w:autoSpaceDN w:val="0"/>
        <w:spacing w:after="0" w:line="240" w:lineRule="auto"/>
        <w:ind w:left="360"/>
        <w:jc w:val="both"/>
        <w:rPr>
          <w:rFonts w:ascii="Times New Roman" w:hAnsi="Times New Roman" w:cs="Times New Roman"/>
          <w:i/>
          <w:iCs/>
          <w:sz w:val="24"/>
          <w:szCs w:val="24"/>
          <w:u w:val="single"/>
        </w:rPr>
      </w:pPr>
      <w:r w:rsidRPr="007B3592">
        <w:rPr>
          <w:rFonts w:ascii="Times New Roman" w:hAnsi="Times New Roman" w:cs="Times New Roman"/>
          <w:sz w:val="24"/>
          <w:szCs w:val="24"/>
        </w:rPr>
        <w:t>3.4.1.1.aktivitātē „Ūdenssaimniecības infrastruktūras attīstība apdzīvotās vietās ar iedzīvotāju skaitu līdz 2000” apstiprināti 13</w:t>
      </w:r>
      <w:r w:rsidR="00E969CF">
        <w:rPr>
          <w:rFonts w:ascii="Times New Roman" w:hAnsi="Times New Roman" w:cs="Times New Roman"/>
          <w:sz w:val="24"/>
          <w:szCs w:val="24"/>
        </w:rPr>
        <w:t>7</w:t>
      </w:r>
      <w:r w:rsidRPr="007B3592">
        <w:rPr>
          <w:rFonts w:ascii="Times New Roman" w:hAnsi="Times New Roman" w:cs="Times New Roman"/>
          <w:sz w:val="24"/>
          <w:szCs w:val="24"/>
        </w:rPr>
        <w:t xml:space="preserve"> projekti,</w:t>
      </w:r>
    </w:p>
    <w:p w:rsidR="007B3592" w:rsidRPr="00E969CF" w:rsidRDefault="007B3592" w:rsidP="007B3592">
      <w:pPr>
        <w:numPr>
          <w:ilvl w:val="0"/>
          <w:numId w:val="1"/>
        </w:numPr>
        <w:spacing w:after="0" w:line="240" w:lineRule="auto"/>
        <w:ind w:left="360"/>
        <w:jc w:val="both"/>
        <w:rPr>
          <w:rFonts w:ascii="Times New Roman" w:hAnsi="Times New Roman" w:cs="Times New Roman"/>
          <w:sz w:val="24"/>
          <w:szCs w:val="24"/>
        </w:rPr>
      </w:pPr>
      <w:r w:rsidRPr="007B3592">
        <w:rPr>
          <w:rFonts w:ascii="Times New Roman" w:hAnsi="Times New Roman" w:cs="Times New Roman"/>
          <w:sz w:val="24"/>
          <w:szCs w:val="24"/>
        </w:rPr>
        <w:t>3.5.1.2.1. apakšaktivitātē „Normatīvo aktu prasībām neatbilstošo izgāztuvju rekultivācija” apstiprināti 8 projekti</w:t>
      </w:r>
      <w:r w:rsidR="00E969CF">
        <w:rPr>
          <w:rFonts w:ascii="Times New Roman" w:hAnsi="Times New Roman" w:cs="Times New Roman"/>
          <w:color w:val="000000"/>
          <w:sz w:val="24"/>
          <w:szCs w:val="24"/>
        </w:rPr>
        <w:t>,</w:t>
      </w:r>
    </w:p>
    <w:p w:rsidR="00E969CF" w:rsidRPr="00E969CF" w:rsidRDefault="00E969CF" w:rsidP="00E969CF">
      <w:pPr>
        <w:numPr>
          <w:ilvl w:val="0"/>
          <w:numId w:val="1"/>
        </w:numPr>
        <w:spacing w:after="0" w:line="240" w:lineRule="auto"/>
        <w:ind w:left="360"/>
        <w:jc w:val="both"/>
        <w:rPr>
          <w:rFonts w:ascii="Times New Roman" w:hAnsi="Times New Roman" w:cs="Times New Roman"/>
          <w:sz w:val="24"/>
          <w:szCs w:val="24"/>
        </w:rPr>
      </w:pPr>
      <w:r w:rsidRPr="00E969CF">
        <w:rPr>
          <w:rFonts w:ascii="Times New Roman" w:hAnsi="Times New Roman" w:cs="Times New Roman"/>
          <w:color w:val="000000"/>
          <w:sz w:val="24"/>
          <w:szCs w:val="24"/>
        </w:rPr>
        <w:t>3.5.1.2.3. apakšaktivitātē „Dalītas atkritumu apsaimniekošanas sistēmas attīstība” apstiprināti 4 projekti.</w:t>
      </w:r>
    </w:p>
    <w:p w:rsidR="007B3592" w:rsidRPr="007B3592" w:rsidRDefault="007B3592" w:rsidP="007B3592">
      <w:pPr>
        <w:spacing w:before="120" w:after="0" w:line="240" w:lineRule="auto"/>
        <w:jc w:val="both"/>
        <w:rPr>
          <w:rFonts w:ascii="Times New Roman" w:hAnsi="Times New Roman" w:cs="Times New Roman"/>
          <w:sz w:val="24"/>
          <w:szCs w:val="24"/>
        </w:rPr>
      </w:pPr>
      <w:r w:rsidRPr="007B3592">
        <w:rPr>
          <w:rFonts w:ascii="Times New Roman" w:hAnsi="Times New Roman" w:cs="Times New Roman"/>
          <w:sz w:val="24"/>
          <w:szCs w:val="24"/>
        </w:rPr>
        <w:t xml:space="preserve">KPFI ietvaros atskaites periodā tika apstiprināts līdzfinansējums </w:t>
      </w:r>
      <w:r w:rsidRPr="007B3592">
        <w:rPr>
          <w:rFonts w:ascii="Times New Roman" w:hAnsi="Times New Roman" w:cs="Times New Roman"/>
          <w:color w:val="000000"/>
          <w:sz w:val="24"/>
          <w:szCs w:val="24"/>
        </w:rPr>
        <w:t xml:space="preserve">siltumnīcefekta gāzu emisijas samazinošiem </w:t>
      </w:r>
      <w:r w:rsidRPr="007B3592">
        <w:rPr>
          <w:rFonts w:ascii="Times New Roman" w:hAnsi="Times New Roman" w:cs="Times New Roman"/>
          <w:sz w:val="24"/>
          <w:szCs w:val="24"/>
        </w:rPr>
        <w:t>projektiem 3 projektu konkursu ietvaros (</w:t>
      </w:r>
      <w:r w:rsidRPr="007B3592">
        <w:rPr>
          <w:rFonts w:ascii="Times New Roman" w:hAnsi="Times New Roman" w:cs="Times New Roman"/>
          <w:i/>
          <w:iCs/>
          <w:sz w:val="24"/>
          <w:szCs w:val="24"/>
        </w:rPr>
        <w:t>2. tabula</w:t>
      </w:r>
      <w:r w:rsidRPr="007B3592">
        <w:rPr>
          <w:rFonts w:ascii="Times New Roman" w:hAnsi="Times New Roman" w:cs="Times New Roman"/>
          <w:sz w:val="24"/>
          <w:szCs w:val="24"/>
        </w:rPr>
        <w:t>):</w:t>
      </w:r>
    </w:p>
    <w:p w:rsidR="007B3592" w:rsidRPr="007B3592" w:rsidRDefault="007B3592" w:rsidP="007B3592">
      <w:pPr>
        <w:pStyle w:val="ListParagraph"/>
        <w:numPr>
          <w:ilvl w:val="0"/>
          <w:numId w:val="2"/>
        </w:numPr>
        <w:ind w:left="714" w:hanging="357"/>
        <w:jc w:val="both"/>
        <w:rPr>
          <w:rStyle w:val="Strong"/>
          <w:b w:val="0"/>
          <w:bCs w:val="0"/>
        </w:rPr>
      </w:pPr>
      <w:r w:rsidRPr="007B3592">
        <w:rPr>
          <w:rStyle w:val="Strong"/>
          <w:b w:val="0"/>
        </w:rPr>
        <w:t>konkursa „Siltumnīcefekta gāzu emisiju samazināšana pašvaldību publisko teritoriju apgaismojuma infrastruktūrā” III kārtā apstiprināti 12 projekti;</w:t>
      </w:r>
    </w:p>
    <w:p w:rsidR="007B3592" w:rsidRPr="007B3592" w:rsidRDefault="007B3592" w:rsidP="007B3592">
      <w:pPr>
        <w:pStyle w:val="ListParagraph"/>
        <w:numPr>
          <w:ilvl w:val="0"/>
          <w:numId w:val="2"/>
        </w:numPr>
        <w:ind w:left="714" w:hanging="357"/>
        <w:jc w:val="both"/>
        <w:rPr>
          <w:rStyle w:val="Strong"/>
          <w:b w:val="0"/>
          <w:bCs w:val="0"/>
        </w:rPr>
      </w:pPr>
      <w:r w:rsidRPr="007B3592">
        <w:rPr>
          <w:rStyle w:val="Strong"/>
          <w:b w:val="0"/>
        </w:rPr>
        <w:t>konkursa „Kompleksi risinājumi siltumnīcefekta gāzu emisiju samazināšanai” III kārtā apstiprināti 153 projekti;</w:t>
      </w:r>
    </w:p>
    <w:p w:rsidR="007B3592" w:rsidRPr="007B3592" w:rsidRDefault="007B3592" w:rsidP="007B3592">
      <w:pPr>
        <w:numPr>
          <w:ilvl w:val="0"/>
          <w:numId w:val="2"/>
        </w:numPr>
        <w:spacing w:after="0" w:line="240" w:lineRule="auto"/>
        <w:ind w:left="714" w:hanging="357"/>
        <w:jc w:val="both"/>
        <w:rPr>
          <w:rStyle w:val="Strong"/>
          <w:rFonts w:ascii="Times New Roman" w:hAnsi="Times New Roman" w:cs="Times New Roman"/>
          <w:b w:val="0"/>
          <w:sz w:val="24"/>
          <w:szCs w:val="24"/>
          <w:lang w:eastAsia="lv-LV"/>
        </w:rPr>
      </w:pPr>
      <w:r w:rsidRPr="007B3592">
        <w:rPr>
          <w:rStyle w:val="Strong"/>
          <w:rFonts w:ascii="Times New Roman" w:hAnsi="Times New Roman" w:cs="Times New Roman"/>
          <w:b w:val="0"/>
          <w:sz w:val="24"/>
          <w:szCs w:val="24"/>
        </w:rPr>
        <w:t>konkursa „Siltumnīcefekta gāzu emisiju samazināšana pašvaldību publisko teritoriju apgaismojuma infrastruktūrā” II kārtā apstiprināti 23 projekti.</w:t>
      </w:r>
    </w:p>
    <w:p w:rsidR="00117878" w:rsidRDefault="00117878" w:rsidP="007B3592">
      <w:pPr>
        <w:spacing w:before="120" w:after="0" w:line="240" w:lineRule="auto"/>
        <w:jc w:val="both"/>
        <w:rPr>
          <w:rFonts w:ascii="Times New Roman" w:hAnsi="Times New Roman" w:cs="Times New Roman"/>
          <w:iCs/>
        </w:rPr>
      </w:pPr>
    </w:p>
    <w:p w:rsidR="007B3592" w:rsidRPr="000E6720" w:rsidRDefault="007B3592" w:rsidP="007B3592">
      <w:pPr>
        <w:spacing w:before="120" w:after="0" w:line="240" w:lineRule="auto"/>
        <w:jc w:val="both"/>
        <w:rPr>
          <w:rFonts w:ascii="Times New Roman" w:hAnsi="Times New Roman" w:cs="Times New Roman"/>
          <w:i/>
          <w:iCs/>
          <w:sz w:val="24"/>
          <w:szCs w:val="24"/>
        </w:rPr>
      </w:pPr>
      <w:r w:rsidRPr="000E6720">
        <w:rPr>
          <w:rFonts w:ascii="Times New Roman" w:hAnsi="Times New Roman" w:cs="Times New Roman"/>
          <w:i/>
          <w:iCs/>
          <w:sz w:val="24"/>
          <w:szCs w:val="24"/>
        </w:rPr>
        <w:lastRenderedPageBreak/>
        <w:t>2. tabula. Apstiprinātais Klimata pārmaiņu finanšu instrumenta līdzfinansējums vides aizsardzības projektiem, 2013, milj. LVL</w:t>
      </w:r>
    </w:p>
    <w:tbl>
      <w:tblPr>
        <w:tblW w:w="9183" w:type="dxa"/>
        <w:jc w:val="center"/>
        <w:tblInd w:w="103" w:type="dxa"/>
        <w:tblCellMar>
          <w:left w:w="0" w:type="dxa"/>
          <w:right w:w="0" w:type="dxa"/>
        </w:tblCellMar>
        <w:tblLook w:val="04A0"/>
      </w:tblPr>
      <w:tblGrid>
        <w:gridCol w:w="7258"/>
        <w:gridCol w:w="1925"/>
      </w:tblGrid>
      <w:tr w:rsidR="007B3592" w:rsidRPr="007B3592" w:rsidTr="00A610B6">
        <w:trPr>
          <w:trHeight w:val="510"/>
          <w:jc w:val="center"/>
        </w:trPr>
        <w:tc>
          <w:tcPr>
            <w:tcW w:w="7258" w:type="dxa"/>
            <w:tcBorders>
              <w:top w:val="single" w:sz="8" w:space="0" w:color="auto"/>
              <w:left w:val="single" w:sz="8" w:space="0" w:color="auto"/>
              <w:bottom w:val="single" w:sz="8" w:space="0" w:color="auto"/>
              <w:right w:val="single" w:sz="8" w:space="0" w:color="auto"/>
            </w:tcBorders>
            <w:shd w:val="clear" w:color="auto" w:fill="8DB3E2" w:themeFill="text2" w:themeFillTint="66"/>
            <w:tcMar>
              <w:top w:w="0" w:type="dxa"/>
              <w:left w:w="108" w:type="dxa"/>
              <w:bottom w:w="0" w:type="dxa"/>
              <w:right w:w="108" w:type="dxa"/>
            </w:tcMar>
            <w:vAlign w:val="center"/>
            <w:hideMark/>
          </w:tcPr>
          <w:p w:rsidR="007B3592" w:rsidRPr="007B3592" w:rsidRDefault="007B3592" w:rsidP="00117878">
            <w:pPr>
              <w:spacing w:after="0" w:line="240" w:lineRule="auto"/>
              <w:jc w:val="center"/>
              <w:rPr>
                <w:rFonts w:ascii="Times New Roman" w:eastAsia="Calibri" w:hAnsi="Times New Roman" w:cs="Times New Roman"/>
                <w:b/>
                <w:bCs/>
                <w:sz w:val="20"/>
                <w:szCs w:val="20"/>
              </w:rPr>
            </w:pPr>
            <w:r w:rsidRPr="007B3592">
              <w:rPr>
                <w:rFonts w:ascii="Times New Roman" w:hAnsi="Times New Roman" w:cs="Times New Roman"/>
                <w:b/>
                <w:bCs/>
                <w:sz w:val="20"/>
                <w:szCs w:val="20"/>
              </w:rPr>
              <w:t>Projektu konkurss</w:t>
            </w:r>
          </w:p>
        </w:tc>
        <w:tc>
          <w:tcPr>
            <w:tcW w:w="1925" w:type="dxa"/>
            <w:tcBorders>
              <w:top w:val="single" w:sz="8" w:space="0" w:color="auto"/>
              <w:left w:val="nil"/>
              <w:bottom w:val="single" w:sz="8" w:space="0" w:color="auto"/>
              <w:right w:val="single" w:sz="8" w:space="0" w:color="auto"/>
            </w:tcBorders>
            <w:shd w:val="clear" w:color="auto" w:fill="8DB3E2" w:themeFill="text2" w:themeFillTint="66"/>
            <w:tcMar>
              <w:top w:w="0" w:type="dxa"/>
              <w:left w:w="108" w:type="dxa"/>
              <w:bottom w:w="0" w:type="dxa"/>
              <w:right w:w="108" w:type="dxa"/>
            </w:tcMar>
            <w:vAlign w:val="center"/>
            <w:hideMark/>
          </w:tcPr>
          <w:p w:rsidR="007B3592" w:rsidRPr="007B3592" w:rsidRDefault="007B3592" w:rsidP="00117878">
            <w:pPr>
              <w:spacing w:after="0" w:line="240" w:lineRule="auto"/>
              <w:jc w:val="center"/>
              <w:rPr>
                <w:rFonts w:ascii="Times New Roman" w:eastAsia="Calibri" w:hAnsi="Times New Roman" w:cs="Times New Roman"/>
                <w:b/>
                <w:bCs/>
                <w:sz w:val="20"/>
                <w:szCs w:val="20"/>
              </w:rPr>
            </w:pPr>
            <w:r w:rsidRPr="007B3592">
              <w:rPr>
                <w:rFonts w:ascii="Times New Roman" w:hAnsi="Times New Roman" w:cs="Times New Roman"/>
                <w:b/>
                <w:bCs/>
                <w:sz w:val="20"/>
                <w:szCs w:val="20"/>
              </w:rPr>
              <w:t>KPFI līdzfinansējums, milj. LVL</w:t>
            </w:r>
          </w:p>
        </w:tc>
      </w:tr>
      <w:tr w:rsidR="007B3592" w:rsidRPr="007B3592" w:rsidTr="00A610B6">
        <w:trPr>
          <w:trHeight w:val="295"/>
          <w:jc w:val="center"/>
        </w:trPr>
        <w:tc>
          <w:tcPr>
            <w:tcW w:w="7258" w:type="dxa"/>
            <w:tcBorders>
              <w:top w:val="single" w:sz="8" w:space="0" w:color="auto"/>
              <w:left w:val="single" w:sz="8" w:space="0" w:color="auto"/>
              <w:bottom w:val="single" w:sz="8" w:space="0" w:color="auto"/>
              <w:right w:val="single" w:sz="8" w:space="0" w:color="auto"/>
            </w:tcBorders>
            <w:shd w:val="clear" w:color="auto" w:fill="EAF1FA"/>
            <w:noWrap/>
            <w:tcMar>
              <w:top w:w="0" w:type="dxa"/>
              <w:left w:w="108" w:type="dxa"/>
              <w:bottom w:w="0" w:type="dxa"/>
              <w:right w:w="108" w:type="dxa"/>
            </w:tcMar>
            <w:vAlign w:val="center"/>
            <w:hideMark/>
          </w:tcPr>
          <w:p w:rsidR="007B3592" w:rsidRPr="00117878" w:rsidRDefault="007B3592" w:rsidP="00117878">
            <w:pPr>
              <w:spacing w:after="0" w:line="240" w:lineRule="auto"/>
              <w:rPr>
                <w:rFonts w:ascii="Times New Roman" w:eastAsia="Calibri" w:hAnsi="Times New Roman" w:cs="Times New Roman"/>
                <w:b/>
                <w:color w:val="000000"/>
                <w:sz w:val="20"/>
                <w:szCs w:val="20"/>
              </w:rPr>
            </w:pPr>
            <w:r w:rsidRPr="00117878">
              <w:rPr>
                <w:rStyle w:val="Strong"/>
                <w:rFonts w:ascii="Times New Roman" w:hAnsi="Times New Roman" w:cs="Times New Roman"/>
                <w:b w:val="0"/>
                <w:sz w:val="20"/>
                <w:szCs w:val="20"/>
              </w:rPr>
              <w:t>Siltumnīcefekta gāzu emisiju samazināšana pašvaldību publisko teritoriju apgaismojuma infrastruktūrā, III kārta</w:t>
            </w:r>
          </w:p>
        </w:tc>
        <w:tc>
          <w:tcPr>
            <w:tcW w:w="1925" w:type="dxa"/>
            <w:tcBorders>
              <w:top w:val="single" w:sz="8" w:space="0" w:color="auto"/>
              <w:left w:val="nil"/>
              <w:bottom w:val="single" w:sz="8" w:space="0" w:color="auto"/>
              <w:right w:val="single" w:sz="8" w:space="0" w:color="auto"/>
            </w:tcBorders>
            <w:shd w:val="clear" w:color="auto" w:fill="EAF1FA"/>
            <w:noWrap/>
            <w:tcMar>
              <w:top w:w="0" w:type="dxa"/>
              <w:left w:w="108" w:type="dxa"/>
              <w:bottom w:w="0" w:type="dxa"/>
              <w:right w:w="108" w:type="dxa"/>
            </w:tcMar>
            <w:vAlign w:val="center"/>
            <w:hideMark/>
          </w:tcPr>
          <w:p w:rsidR="007B3592" w:rsidRPr="007B3592" w:rsidRDefault="007B3592" w:rsidP="00117878">
            <w:pPr>
              <w:spacing w:after="0" w:line="240" w:lineRule="auto"/>
              <w:jc w:val="center"/>
              <w:rPr>
                <w:rFonts w:ascii="Times New Roman" w:eastAsia="Calibri" w:hAnsi="Times New Roman" w:cs="Times New Roman"/>
                <w:sz w:val="20"/>
                <w:szCs w:val="20"/>
              </w:rPr>
            </w:pPr>
            <w:r w:rsidRPr="007B3592">
              <w:rPr>
                <w:rFonts w:ascii="Times New Roman" w:eastAsia="Calibri" w:hAnsi="Times New Roman" w:cs="Times New Roman"/>
                <w:sz w:val="20"/>
                <w:szCs w:val="20"/>
              </w:rPr>
              <w:t>1,05</w:t>
            </w:r>
          </w:p>
        </w:tc>
      </w:tr>
      <w:tr w:rsidR="007B3592" w:rsidRPr="007B3592" w:rsidTr="00A610B6">
        <w:trPr>
          <w:trHeight w:val="181"/>
          <w:jc w:val="center"/>
        </w:trPr>
        <w:tc>
          <w:tcPr>
            <w:tcW w:w="7258" w:type="dxa"/>
            <w:tcBorders>
              <w:top w:val="single" w:sz="8" w:space="0" w:color="auto"/>
              <w:left w:val="single" w:sz="8" w:space="0" w:color="auto"/>
              <w:bottom w:val="single" w:sz="8" w:space="0" w:color="auto"/>
              <w:right w:val="single" w:sz="8" w:space="0" w:color="auto"/>
            </w:tcBorders>
            <w:shd w:val="clear" w:color="auto" w:fill="EAF1FA"/>
            <w:noWrap/>
            <w:tcMar>
              <w:top w:w="0" w:type="dxa"/>
              <w:left w:w="108" w:type="dxa"/>
              <w:bottom w:w="0" w:type="dxa"/>
              <w:right w:w="108" w:type="dxa"/>
            </w:tcMar>
            <w:vAlign w:val="center"/>
            <w:hideMark/>
          </w:tcPr>
          <w:p w:rsidR="007B3592" w:rsidRPr="00117878" w:rsidRDefault="007B3592" w:rsidP="00117878">
            <w:pPr>
              <w:spacing w:after="0" w:line="240" w:lineRule="auto"/>
              <w:rPr>
                <w:rFonts w:ascii="Times New Roman" w:eastAsia="Calibri" w:hAnsi="Times New Roman" w:cs="Times New Roman"/>
                <w:b/>
                <w:sz w:val="20"/>
                <w:szCs w:val="20"/>
              </w:rPr>
            </w:pPr>
            <w:r w:rsidRPr="00117878">
              <w:rPr>
                <w:rStyle w:val="Strong"/>
                <w:rFonts w:ascii="Times New Roman" w:hAnsi="Times New Roman" w:cs="Times New Roman"/>
                <w:b w:val="0"/>
                <w:sz w:val="20"/>
                <w:szCs w:val="20"/>
              </w:rPr>
              <w:t>Kompleksi risinājumi siltumnīcefekta gāzu emisiju samazināšanai, III kārta</w:t>
            </w:r>
          </w:p>
        </w:tc>
        <w:tc>
          <w:tcPr>
            <w:tcW w:w="1925" w:type="dxa"/>
            <w:tcBorders>
              <w:top w:val="single" w:sz="8" w:space="0" w:color="auto"/>
              <w:left w:val="nil"/>
              <w:bottom w:val="single" w:sz="8" w:space="0" w:color="auto"/>
              <w:right w:val="single" w:sz="8" w:space="0" w:color="auto"/>
            </w:tcBorders>
            <w:shd w:val="clear" w:color="auto" w:fill="EAF1FA"/>
            <w:noWrap/>
            <w:tcMar>
              <w:top w:w="0" w:type="dxa"/>
              <w:left w:w="108" w:type="dxa"/>
              <w:bottom w:w="0" w:type="dxa"/>
              <w:right w:w="108" w:type="dxa"/>
            </w:tcMar>
            <w:vAlign w:val="center"/>
            <w:hideMark/>
          </w:tcPr>
          <w:p w:rsidR="007B3592" w:rsidRPr="007B3592" w:rsidRDefault="007B3592" w:rsidP="00117878">
            <w:pPr>
              <w:spacing w:after="0" w:line="240" w:lineRule="auto"/>
              <w:jc w:val="center"/>
              <w:rPr>
                <w:rFonts w:ascii="Times New Roman" w:eastAsia="Calibri" w:hAnsi="Times New Roman" w:cs="Times New Roman"/>
                <w:sz w:val="20"/>
                <w:szCs w:val="20"/>
              </w:rPr>
            </w:pPr>
            <w:r w:rsidRPr="007B3592">
              <w:rPr>
                <w:rFonts w:ascii="Times New Roman" w:eastAsia="Calibri" w:hAnsi="Times New Roman" w:cs="Times New Roman"/>
                <w:sz w:val="20"/>
                <w:szCs w:val="20"/>
              </w:rPr>
              <w:t>21,80</w:t>
            </w:r>
          </w:p>
        </w:tc>
      </w:tr>
      <w:tr w:rsidR="007B3592" w:rsidRPr="007B3592" w:rsidTr="00A610B6">
        <w:trPr>
          <w:trHeight w:val="353"/>
          <w:jc w:val="center"/>
        </w:trPr>
        <w:tc>
          <w:tcPr>
            <w:tcW w:w="7258" w:type="dxa"/>
            <w:tcBorders>
              <w:top w:val="single" w:sz="8" w:space="0" w:color="auto"/>
              <w:left w:val="single" w:sz="8" w:space="0" w:color="auto"/>
              <w:bottom w:val="single" w:sz="8" w:space="0" w:color="auto"/>
              <w:right w:val="single" w:sz="8" w:space="0" w:color="auto"/>
            </w:tcBorders>
            <w:shd w:val="clear" w:color="auto" w:fill="EAF1FA"/>
            <w:noWrap/>
            <w:tcMar>
              <w:top w:w="0" w:type="dxa"/>
              <w:left w:w="108" w:type="dxa"/>
              <w:bottom w:w="0" w:type="dxa"/>
              <w:right w:w="108" w:type="dxa"/>
            </w:tcMar>
            <w:vAlign w:val="center"/>
            <w:hideMark/>
          </w:tcPr>
          <w:p w:rsidR="007B3592" w:rsidRPr="00117878" w:rsidRDefault="007B3592" w:rsidP="00117878">
            <w:pPr>
              <w:spacing w:after="0" w:line="240" w:lineRule="auto"/>
              <w:rPr>
                <w:rFonts w:ascii="Times New Roman" w:eastAsia="Calibri" w:hAnsi="Times New Roman" w:cs="Times New Roman"/>
                <w:b/>
                <w:sz w:val="20"/>
                <w:szCs w:val="20"/>
              </w:rPr>
            </w:pPr>
            <w:r w:rsidRPr="00117878">
              <w:rPr>
                <w:rStyle w:val="Strong"/>
                <w:rFonts w:ascii="Times New Roman" w:hAnsi="Times New Roman" w:cs="Times New Roman"/>
                <w:b w:val="0"/>
                <w:sz w:val="20"/>
                <w:szCs w:val="20"/>
              </w:rPr>
              <w:t>Siltumnīcefekta gāzu emisiju samazināšana pašvaldību publisko teritoriju apgaismojuma infrastruktūrā, II kārta</w:t>
            </w:r>
          </w:p>
        </w:tc>
        <w:tc>
          <w:tcPr>
            <w:tcW w:w="1925" w:type="dxa"/>
            <w:tcBorders>
              <w:top w:val="single" w:sz="8" w:space="0" w:color="auto"/>
              <w:left w:val="nil"/>
              <w:bottom w:val="single" w:sz="8" w:space="0" w:color="auto"/>
              <w:right w:val="single" w:sz="8" w:space="0" w:color="auto"/>
            </w:tcBorders>
            <w:shd w:val="clear" w:color="auto" w:fill="EAF1FA"/>
            <w:noWrap/>
            <w:tcMar>
              <w:top w:w="0" w:type="dxa"/>
              <w:left w:w="108" w:type="dxa"/>
              <w:bottom w:w="0" w:type="dxa"/>
              <w:right w:w="108" w:type="dxa"/>
            </w:tcMar>
            <w:vAlign w:val="center"/>
            <w:hideMark/>
          </w:tcPr>
          <w:p w:rsidR="007B3592" w:rsidRPr="007B3592" w:rsidRDefault="007B3592" w:rsidP="00117878">
            <w:pPr>
              <w:spacing w:after="0" w:line="240" w:lineRule="auto"/>
              <w:jc w:val="center"/>
              <w:rPr>
                <w:rFonts w:ascii="Times New Roman" w:eastAsia="Calibri" w:hAnsi="Times New Roman" w:cs="Times New Roman"/>
                <w:sz w:val="20"/>
                <w:szCs w:val="20"/>
              </w:rPr>
            </w:pPr>
            <w:r w:rsidRPr="007B3592">
              <w:rPr>
                <w:rFonts w:ascii="Times New Roman" w:eastAsia="Calibri" w:hAnsi="Times New Roman" w:cs="Times New Roman"/>
                <w:sz w:val="20"/>
                <w:szCs w:val="20"/>
              </w:rPr>
              <w:t>1,99</w:t>
            </w:r>
          </w:p>
        </w:tc>
      </w:tr>
      <w:tr w:rsidR="007B3592" w:rsidRPr="007B3592" w:rsidTr="00A610B6">
        <w:trPr>
          <w:trHeight w:val="255"/>
          <w:jc w:val="center"/>
        </w:trPr>
        <w:tc>
          <w:tcPr>
            <w:tcW w:w="7258" w:type="dxa"/>
            <w:tcBorders>
              <w:top w:val="single" w:sz="8" w:space="0" w:color="auto"/>
              <w:left w:val="single" w:sz="8" w:space="0" w:color="auto"/>
              <w:bottom w:val="single" w:sz="8" w:space="0" w:color="auto"/>
              <w:right w:val="single" w:sz="8" w:space="0" w:color="auto"/>
            </w:tcBorders>
            <w:shd w:val="clear" w:color="auto" w:fill="8DB3E2" w:themeFill="text2" w:themeFillTint="66"/>
            <w:tcMar>
              <w:top w:w="0" w:type="dxa"/>
              <w:left w:w="108" w:type="dxa"/>
              <w:bottom w:w="0" w:type="dxa"/>
              <w:right w:w="108" w:type="dxa"/>
            </w:tcMar>
            <w:vAlign w:val="bottom"/>
          </w:tcPr>
          <w:p w:rsidR="007B3592" w:rsidRPr="007B3592" w:rsidRDefault="007B3592" w:rsidP="00117878">
            <w:pPr>
              <w:spacing w:after="0" w:line="240" w:lineRule="auto"/>
              <w:jc w:val="right"/>
              <w:rPr>
                <w:rFonts w:ascii="Times New Roman" w:eastAsia="Calibri" w:hAnsi="Times New Roman" w:cs="Times New Roman"/>
                <w:b/>
                <w:bCs/>
                <w:sz w:val="20"/>
                <w:szCs w:val="20"/>
              </w:rPr>
            </w:pPr>
            <w:r w:rsidRPr="007B3592">
              <w:rPr>
                <w:rFonts w:ascii="Times New Roman" w:eastAsia="Calibri" w:hAnsi="Times New Roman" w:cs="Times New Roman"/>
                <w:b/>
                <w:bCs/>
                <w:sz w:val="20"/>
                <w:szCs w:val="20"/>
              </w:rPr>
              <w:t xml:space="preserve">Kopā </w:t>
            </w:r>
          </w:p>
        </w:tc>
        <w:tc>
          <w:tcPr>
            <w:tcW w:w="1925" w:type="dxa"/>
            <w:tcBorders>
              <w:top w:val="single" w:sz="8" w:space="0" w:color="auto"/>
              <w:left w:val="nil"/>
              <w:bottom w:val="single" w:sz="8" w:space="0" w:color="auto"/>
              <w:right w:val="single" w:sz="8" w:space="0" w:color="auto"/>
            </w:tcBorders>
            <w:shd w:val="clear" w:color="auto" w:fill="8DB3E2" w:themeFill="text2" w:themeFillTint="66"/>
            <w:noWrap/>
            <w:tcMar>
              <w:top w:w="0" w:type="dxa"/>
              <w:left w:w="108" w:type="dxa"/>
              <w:bottom w:w="0" w:type="dxa"/>
              <w:right w:w="108" w:type="dxa"/>
            </w:tcMar>
            <w:vAlign w:val="center"/>
            <w:hideMark/>
          </w:tcPr>
          <w:p w:rsidR="007B3592" w:rsidRPr="007B3592" w:rsidRDefault="007B3592" w:rsidP="00117878">
            <w:pPr>
              <w:spacing w:after="0" w:line="240" w:lineRule="auto"/>
              <w:jc w:val="center"/>
              <w:rPr>
                <w:rFonts w:ascii="Times New Roman" w:eastAsia="Calibri" w:hAnsi="Times New Roman" w:cs="Times New Roman"/>
                <w:b/>
                <w:bCs/>
                <w:sz w:val="20"/>
                <w:szCs w:val="20"/>
              </w:rPr>
            </w:pPr>
            <w:r w:rsidRPr="007B3592">
              <w:rPr>
                <w:rFonts w:ascii="Times New Roman" w:eastAsia="Calibri" w:hAnsi="Times New Roman" w:cs="Times New Roman"/>
                <w:b/>
                <w:bCs/>
                <w:sz w:val="20"/>
                <w:szCs w:val="20"/>
              </w:rPr>
              <w:t>24,84</w:t>
            </w:r>
          </w:p>
        </w:tc>
      </w:tr>
    </w:tbl>
    <w:p w:rsidR="007B3592" w:rsidRPr="007B3592" w:rsidRDefault="007B3592" w:rsidP="00117878">
      <w:pPr>
        <w:spacing w:before="120" w:after="0" w:line="240" w:lineRule="auto"/>
        <w:jc w:val="both"/>
        <w:rPr>
          <w:rFonts w:ascii="Times New Roman" w:hAnsi="Times New Roman" w:cs="Times New Roman"/>
        </w:rPr>
      </w:pPr>
    </w:p>
    <w:p w:rsidR="007B3592" w:rsidRPr="007F3949" w:rsidRDefault="007B3592" w:rsidP="00117878">
      <w:pPr>
        <w:spacing w:before="120" w:after="0" w:line="240" w:lineRule="auto"/>
        <w:jc w:val="both"/>
        <w:rPr>
          <w:rFonts w:ascii="Times New Roman" w:hAnsi="Times New Roman" w:cs="Times New Roman"/>
          <w:sz w:val="24"/>
          <w:szCs w:val="24"/>
        </w:rPr>
      </w:pPr>
      <w:r w:rsidRPr="007F3949">
        <w:rPr>
          <w:rFonts w:ascii="Times New Roman" w:hAnsi="Times New Roman" w:cs="Times New Roman"/>
          <w:sz w:val="24"/>
          <w:szCs w:val="24"/>
        </w:rPr>
        <w:t>Apstiprināto projektu vides jom</w:t>
      </w:r>
      <w:r w:rsidR="00F9401F">
        <w:rPr>
          <w:rFonts w:ascii="Times New Roman" w:hAnsi="Times New Roman" w:cs="Times New Roman"/>
          <w:sz w:val="24"/>
          <w:szCs w:val="24"/>
        </w:rPr>
        <w:t>ā dinamika ir novērojama attēlā</w:t>
      </w:r>
      <w:r w:rsidRPr="007F3949">
        <w:rPr>
          <w:rFonts w:ascii="Times New Roman" w:hAnsi="Times New Roman" w:cs="Times New Roman"/>
          <w:sz w:val="24"/>
          <w:szCs w:val="24"/>
        </w:rPr>
        <w:t xml:space="preserve"> (</w:t>
      </w:r>
      <w:r w:rsidR="00E703C1" w:rsidRPr="007F3949">
        <w:rPr>
          <w:rFonts w:ascii="Times New Roman" w:hAnsi="Times New Roman" w:cs="Times New Roman"/>
          <w:i/>
          <w:sz w:val="24"/>
          <w:szCs w:val="24"/>
        </w:rPr>
        <w:t>5</w:t>
      </w:r>
      <w:r w:rsidRPr="007F3949">
        <w:rPr>
          <w:rFonts w:ascii="Times New Roman" w:hAnsi="Times New Roman" w:cs="Times New Roman"/>
          <w:i/>
          <w:sz w:val="24"/>
          <w:szCs w:val="24"/>
        </w:rPr>
        <w:t>. attēls</w:t>
      </w:r>
      <w:r w:rsidRPr="007F3949">
        <w:rPr>
          <w:rFonts w:ascii="Times New Roman" w:hAnsi="Times New Roman" w:cs="Times New Roman"/>
          <w:sz w:val="24"/>
          <w:szCs w:val="24"/>
        </w:rPr>
        <w:t>). Jāatzīmē, ka attiecībā uz Kohēzijas fonda un ERAF finansējuma piešķiršanu lielākā finansējuma daļa apstiprināta līdz 2012.gadam (ieskaitot).</w:t>
      </w:r>
    </w:p>
    <w:p w:rsidR="007B3592" w:rsidRPr="007B3592" w:rsidRDefault="007B3592" w:rsidP="009D0F47">
      <w:pPr>
        <w:spacing w:before="120" w:after="0" w:line="240" w:lineRule="auto"/>
        <w:jc w:val="center"/>
        <w:rPr>
          <w:rFonts w:ascii="Times New Roman" w:hAnsi="Times New Roman" w:cs="Times New Roman"/>
        </w:rPr>
      </w:pPr>
      <w:r w:rsidRPr="007B3592">
        <w:rPr>
          <w:rFonts w:ascii="Times New Roman" w:hAnsi="Times New Roman" w:cs="Times New Roman"/>
          <w:noProof/>
          <w:lang w:eastAsia="lv-LV"/>
        </w:rPr>
        <w:drawing>
          <wp:inline distT="0" distB="0" distL="0" distR="0">
            <wp:extent cx="4448175" cy="2419350"/>
            <wp:effectExtent l="0" t="0" r="0" b="1905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7B3592" w:rsidRPr="000E6720" w:rsidRDefault="00E703C1" w:rsidP="00AE13EA">
      <w:pPr>
        <w:spacing w:after="0" w:line="240" w:lineRule="auto"/>
        <w:rPr>
          <w:rFonts w:ascii="Times New Roman" w:hAnsi="Times New Roman" w:cs="Times New Roman"/>
          <w:i/>
          <w:iCs/>
          <w:sz w:val="24"/>
          <w:szCs w:val="24"/>
        </w:rPr>
      </w:pPr>
      <w:r w:rsidRPr="000E6720">
        <w:rPr>
          <w:rFonts w:ascii="Times New Roman" w:hAnsi="Times New Roman" w:cs="Times New Roman"/>
          <w:i/>
          <w:iCs/>
          <w:sz w:val="24"/>
          <w:szCs w:val="24"/>
        </w:rPr>
        <w:t>5</w:t>
      </w:r>
      <w:r w:rsidR="007B3592" w:rsidRPr="000E6720">
        <w:rPr>
          <w:rFonts w:ascii="Times New Roman" w:hAnsi="Times New Roman" w:cs="Times New Roman"/>
          <w:i/>
          <w:iCs/>
          <w:sz w:val="24"/>
          <w:szCs w:val="24"/>
        </w:rPr>
        <w:t xml:space="preserve">. attēls. Apstiprināto projektu skaita dinamika </w:t>
      </w:r>
    </w:p>
    <w:p w:rsidR="00AE13EA" w:rsidRDefault="00AE13EA" w:rsidP="00117878">
      <w:pPr>
        <w:spacing w:before="120" w:after="0" w:line="240" w:lineRule="auto"/>
        <w:jc w:val="both"/>
        <w:rPr>
          <w:rFonts w:ascii="Times New Roman" w:hAnsi="Times New Roman" w:cs="Times New Roman"/>
          <w:sz w:val="24"/>
          <w:szCs w:val="24"/>
        </w:rPr>
      </w:pPr>
    </w:p>
    <w:p w:rsidR="007B3592" w:rsidRPr="007F3949" w:rsidRDefault="007B3592" w:rsidP="00117878">
      <w:pPr>
        <w:spacing w:before="120" w:after="0" w:line="240" w:lineRule="auto"/>
        <w:jc w:val="both"/>
        <w:rPr>
          <w:rFonts w:ascii="Times New Roman" w:hAnsi="Times New Roman" w:cs="Times New Roman"/>
          <w:sz w:val="24"/>
          <w:szCs w:val="24"/>
        </w:rPr>
      </w:pPr>
      <w:r w:rsidRPr="007F3949">
        <w:rPr>
          <w:rFonts w:ascii="Times New Roman" w:hAnsi="Times New Roman" w:cs="Times New Roman"/>
          <w:sz w:val="24"/>
          <w:szCs w:val="24"/>
        </w:rPr>
        <w:t xml:space="preserve">Piešķirtais finansējums tiks novirzīts 8 normatīvo aktu prasībām neatbilstošo atkritumu izgāztuvju rekultivācijai. Rezultātā 9,65 ha platībā tiks samazināta negatīvā ietekme uz vidi. </w:t>
      </w:r>
    </w:p>
    <w:p w:rsidR="00B64CA1" w:rsidRPr="00B64CA1" w:rsidRDefault="00B64CA1" w:rsidP="00B64CA1">
      <w:pPr>
        <w:spacing w:before="120" w:after="0" w:line="240" w:lineRule="auto"/>
        <w:jc w:val="both"/>
        <w:rPr>
          <w:rFonts w:ascii="Times New Roman" w:hAnsi="Times New Roman" w:cs="Times New Roman"/>
          <w:sz w:val="24"/>
          <w:szCs w:val="24"/>
        </w:rPr>
      </w:pPr>
      <w:r w:rsidRPr="00B64CA1">
        <w:rPr>
          <w:rFonts w:ascii="Times New Roman" w:hAnsi="Times New Roman" w:cs="Times New Roman"/>
          <w:sz w:val="24"/>
          <w:szCs w:val="24"/>
        </w:rPr>
        <w:t>Ūdenssaimniecības projektiem piešķirtais finansējums tiks ieguldīts 137 apdzīvoto vietu ūdenssaimniecības infrastruktūras attīstībai un kvalitatīvu, normatīvajām prasībām atbilstošu ūdensapgādes un kanalizācijas pakalpojumu pieejamībai. Kopumā kvalitatīva dzeramā ūdens piegādes nodrošināšanai un ūdens resursu aizsardzībai plānots izbūvēt 37 un rekonstruēt 15 dzeramā ūdens sagatavošanas iekārtas, izbūvēt 753 jaunus, rekonstruēt 423 un tamponēt 71 artēzisko urbumu un rekonstruēt ūdensapgādes tīklus 112 km garumā. Komunālo notekūdeņu vidē novadītā piesārņojuma apjoma samazināšanai tiks rekonstruēti kanalizācijas tīkli ~ 83 km garumā, kopumā rekonstruētas vai izbūvētas jaunas 78 notekūdeņu attīrīšanas iekārtas. Ūdenssaimniecības pakalpojumu, kas atbilst normatīvajos aktos noteiktajiem ūdenssaimniecības pakalpojumu kvalitātes rādītājiem, pieejamības nodrošināšanai plānots paplašināt ūdensapgādes tīklus 38 km un kanalizācijas tīklus 77 km garumā.</w:t>
      </w:r>
    </w:p>
    <w:p w:rsidR="00B64CA1" w:rsidRPr="00B64CA1" w:rsidRDefault="00B64CA1" w:rsidP="00B64CA1">
      <w:pPr>
        <w:spacing w:before="120" w:after="0" w:line="240" w:lineRule="auto"/>
        <w:jc w:val="both"/>
        <w:rPr>
          <w:rFonts w:ascii="Times New Roman" w:hAnsi="Times New Roman" w:cs="Times New Roman"/>
          <w:sz w:val="24"/>
          <w:szCs w:val="24"/>
        </w:rPr>
      </w:pPr>
      <w:r w:rsidRPr="00B64CA1">
        <w:rPr>
          <w:rFonts w:ascii="Times New Roman" w:hAnsi="Times New Roman" w:cs="Times New Roman"/>
          <w:sz w:val="24"/>
          <w:szCs w:val="24"/>
        </w:rPr>
        <w:lastRenderedPageBreak/>
        <w:t>Dalītas atkritumu apsaimniekošanas sistēmas attīstībai piešķirtais finansējums tiks ieguldīts atkritumu šķirošanas centru izbūvei, 13 dalītas atkritumu savākšanas punktu un atkritumu šķirošanas laukuma izveidei.</w:t>
      </w:r>
    </w:p>
    <w:p w:rsidR="007B3592" w:rsidRPr="007F3949" w:rsidRDefault="007B3592" w:rsidP="00117878">
      <w:pPr>
        <w:spacing w:before="120" w:after="0" w:line="240" w:lineRule="auto"/>
        <w:jc w:val="both"/>
        <w:rPr>
          <w:rFonts w:ascii="Times New Roman" w:hAnsi="Times New Roman" w:cs="Times New Roman"/>
          <w:sz w:val="24"/>
          <w:szCs w:val="24"/>
        </w:rPr>
      </w:pPr>
      <w:r w:rsidRPr="007F3949">
        <w:rPr>
          <w:rFonts w:ascii="Times New Roman" w:hAnsi="Times New Roman" w:cs="Times New Roman"/>
          <w:sz w:val="24"/>
          <w:szCs w:val="24"/>
        </w:rPr>
        <w:t xml:space="preserve">Siltumnīcefekta gāzu emisiju samazināšanas jomā KPFI projektiem piešķirtais finansējums veicinās oglekļa dioksīda emisiju samazināšanu, rekonstruējot 35 </w:t>
      </w:r>
      <w:r w:rsidRPr="007F3949">
        <w:rPr>
          <w:rFonts w:ascii="Times New Roman" w:hAnsi="Times New Roman" w:cs="Times New Roman"/>
          <w:color w:val="000000"/>
          <w:sz w:val="24"/>
          <w:szCs w:val="24"/>
        </w:rPr>
        <w:t xml:space="preserve">pašvaldību publisko teritoriju apgaismojuma infrastruktūru, izmantojot tādas tehnoloģijas un videi draudzīgus paņēmienus, kas ļauj samazināt esošo elektroenerģijas patēriņu. Tāpat tiks </w:t>
      </w:r>
      <w:r w:rsidRPr="007F3949">
        <w:rPr>
          <w:rFonts w:ascii="Times New Roman" w:hAnsi="Times New Roman" w:cs="Times New Roman"/>
          <w:sz w:val="24"/>
          <w:szCs w:val="24"/>
        </w:rPr>
        <w:t xml:space="preserve">nodrošināta pāreja no tehnoloģijām, kurās izmanto fosilos energoresursus, uz tehnoloģijām, kurās izmanto atjaunojamos energoresursus, uzlabojot komersantu ražošanas tehnoloģiskās iekārtas vai nomainot tās ar jaunām ražošanas tehnoloģiskām iekārtām un uzlabojot ēku energoefektivitāti. </w:t>
      </w:r>
    </w:p>
    <w:p w:rsidR="00661568" w:rsidRDefault="00661568" w:rsidP="00A04249">
      <w:pPr>
        <w:spacing w:before="120" w:after="0" w:line="240" w:lineRule="auto"/>
        <w:rPr>
          <w:rFonts w:ascii="Times New Roman" w:hAnsi="Times New Roman" w:cs="Times New Roman"/>
          <w:sz w:val="24"/>
          <w:szCs w:val="24"/>
        </w:rPr>
      </w:pPr>
    </w:p>
    <w:p w:rsidR="00661568" w:rsidRDefault="00661568" w:rsidP="00A04249">
      <w:pPr>
        <w:spacing w:before="120" w:after="0" w:line="240" w:lineRule="auto"/>
        <w:rPr>
          <w:rFonts w:ascii="Times New Roman" w:hAnsi="Times New Roman" w:cs="Times New Roman"/>
          <w:sz w:val="24"/>
          <w:szCs w:val="24"/>
        </w:rPr>
      </w:pPr>
    </w:p>
    <w:p w:rsidR="00661568" w:rsidRDefault="00661568" w:rsidP="00A04249">
      <w:pPr>
        <w:spacing w:before="120" w:after="0" w:line="240" w:lineRule="auto"/>
        <w:rPr>
          <w:rFonts w:ascii="Times New Roman" w:hAnsi="Times New Roman" w:cs="Times New Roman"/>
          <w:sz w:val="24"/>
          <w:szCs w:val="24"/>
        </w:rPr>
      </w:pPr>
    </w:p>
    <w:p w:rsidR="00661568" w:rsidRDefault="00661568" w:rsidP="00A04249">
      <w:pPr>
        <w:spacing w:before="120" w:after="0" w:line="240" w:lineRule="auto"/>
        <w:rPr>
          <w:rFonts w:ascii="Times New Roman" w:hAnsi="Times New Roman" w:cs="Times New Roman"/>
          <w:sz w:val="24"/>
          <w:szCs w:val="24"/>
        </w:rPr>
      </w:pPr>
    </w:p>
    <w:p w:rsidR="007F3949" w:rsidRPr="007F3949" w:rsidRDefault="00E703C1" w:rsidP="00661568">
      <w:pPr>
        <w:pStyle w:val="Heading1"/>
        <w:shd w:val="clear" w:color="auto" w:fill="FFFFFF"/>
        <w:spacing w:before="120" w:after="240"/>
        <w:jc w:val="both"/>
        <w:rPr>
          <w:rFonts w:ascii="Times New Roman Bold" w:hAnsi="Times New Roman Bold"/>
          <w:caps/>
          <w:color w:val="0070C0"/>
          <w:sz w:val="28"/>
          <w:szCs w:val="28"/>
        </w:rPr>
      </w:pPr>
      <w:r>
        <w:rPr>
          <w:rFonts w:ascii="Times New Roman" w:hAnsi="Times New Roman" w:cs="Times New Roman"/>
          <w:sz w:val="24"/>
          <w:szCs w:val="24"/>
        </w:rPr>
        <w:br w:type="page"/>
      </w:r>
      <w:bookmarkStart w:id="13" w:name="_Toc329178270"/>
      <w:bookmarkStart w:id="14" w:name="_Toc391887123"/>
      <w:r w:rsidR="007F3949" w:rsidRPr="007F3949">
        <w:rPr>
          <w:rFonts w:ascii="Times New Roman Bold" w:hAnsi="Times New Roman Bold"/>
          <w:caps/>
          <w:color w:val="0070C0"/>
          <w:sz w:val="28"/>
          <w:szCs w:val="28"/>
        </w:rPr>
        <w:lastRenderedPageBreak/>
        <w:t>Investīcijas ūdenssaimniecības infrastruktūras attīstībā</w:t>
      </w:r>
      <w:bookmarkEnd w:id="13"/>
      <w:bookmarkEnd w:id="14"/>
    </w:p>
    <w:p w:rsidR="007F3949" w:rsidRPr="00A4315E" w:rsidRDefault="007F3949" w:rsidP="00BA7158">
      <w:pPr>
        <w:spacing w:before="120" w:after="0" w:line="240" w:lineRule="auto"/>
        <w:jc w:val="both"/>
        <w:rPr>
          <w:rFonts w:ascii="Times New Roman" w:hAnsi="Times New Roman" w:cs="Times New Roman"/>
          <w:sz w:val="24"/>
          <w:szCs w:val="24"/>
        </w:rPr>
      </w:pPr>
      <w:bookmarkStart w:id="15" w:name="_Toc164758579"/>
      <w:r w:rsidRPr="00A4315E">
        <w:rPr>
          <w:rFonts w:ascii="Times New Roman" w:hAnsi="Times New Roman" w:cs="Times New Roman"/>
          <w:sz w:val="24"/>
          <w:szCs w:val="24"/>
        </w:rPr>
        <w:t>Laikā no 1995. līdz 2013. gadam ūdenssaimniecības attīstībā, galvenokārt infrastruktūras attīstībā</w:t>
      </w:r>
      <w:r w:rsidR="00A610B6">
        <w:rPr>
          <w:rFonts w:ascii="Times New Roman" w:hAnsi="Times New Roman" w:cs="Times New Roman"/>
          <w:sz w:val="24"/>
          <w:szCs w:val="24"/>
        </w:rPr>
        <w:t>,</w:t>
      </w:r>
      <w:r w:rsidRPr="00A4315E">
        <w:rPr>
          <w:rFonts w:ascii="Times New Roman" w:hAnsi="Times New Roman" w:cs="Times New Roman"/>
          <w:sz w:val="24"/>
          <w:szCs w:val="24"/>
        </w:rPr>
        <w:t xml:space="preserve"> ieguldīti ~ 786,34</w:t>
      </w:r>
      <w:bookmarkStart w:id="16" w:name="_Ref387479650"/>
      <w:r w:rsidRPr="00A4315E">
        <w:rPr>
          <w:rStyle w:val="FootnoteReference"/>
          <w:rFonts w:ascii="Times New Roman" w:hAnsi="Times New Roman" w:cs="Times New Roman"/>
          <w:sz w:val="24"/>
          <w:szCs w:val="24"/>
        </w:rPr>
        <w:footnoteReference w:id="2"/>
      </w:r>
      <w:bookmarkEnd w:id="16"/>
      <w:r w:rsidRPr="00A4315E">
        <w:rPr>
          <w:rFonts w:ascii="Times New Roman" w:hAnsi="Times New Roman" w:cs="Times New Roman"/>
          <w:sz w:val="24"/>
          <w:szCs w:val="24"/>
        </w:rPr>
        <w:t xml:space="preserve"> milj</w:t>
      </w:r>
      <w:smartTag w:uri="schemas-tilde-lv/tildestengine" w:element="currency2">
        <w:smartTagPr>
          <w:attr w:name="currency_id" w:val="48"/>
          <w:attr w:name="currency_key" w:val="LVL"/>
          <w:attr w:name="currency_value" w:val="."/>
          <w:attr w:name="currency_text" w:val="latu"/>
        </w:smartTagPr>
        <w:r w:rsidRPr="00A4315E">
          <w:rPr>
            <w:rFonts w:ascii="Times New Roman" w:hAnsi="Times New Roman" w:cs="Times New Roman"/>
            <w:sz w:val="24"/>
            <w:szCs w:val="24"/>
          </w:rPr>
          <w:t>. latu</w:t>
        </w:r>
      </w:smartTag>
      <w:r w:rsidRPr="00A4315E">
        <w:rPr>
          <w:rFonts w:ascii="Times New Roman" w:hAnsi="Times New Roman" w:cs="Times New Roman"/>
          <w:sz w:val="24"/>
          <w:szCs w:val="24"/>
        </w:rPr>
        <w:t>, no tiem 67% sastāda ārvalstu finanšu palīdzība, ieskaitot ES fondus, valsts budžeta dotācija –14% un projektu īstenotāju ieguldītie līdzekļi – 19% no kopējām investīcijām. Lielākais ES fondu līdzfinansējums ļauj atslogot valsts budžetu. (</w:t>
      </w:r>
      <w:r w:rsidRPr="00A4315E">
        <w:rPr>
          <w:rFonts w:ascii="Times New Roman" w:hAnsi="Times New Roman" w:cs="Times New Roman"/>
          <w:i/>
          <w:sz w:val="24"/>
          <w:szCs w:val="24"/>
        </w:rPr>
        <w:t>6. attēls</w:t>
      </w:r>
      <w:r w:rsidRPr="00A4315E">
        <w:rPr>
          <w:rFonts w:ascii="Times New Roman" w:hAnsi="Times New Roman" w:cs="Times New Roman"/>
          <w:sz w:val="24"/>
          <w:szCs w:val="24"/>
        </w:rPr>
        <w:t xml:space="preserve">). </w:t>
      </w:r>
    </w:p>
    <w:p w:rsidR="007F3949" w:rsidRDefault="007F3949" w:rsidP="009D0F47">
      <w:pPr>
        <w:spacing w:before="120" w:after="0"/>
        <w:jc w:val="center"/>
      </w:pPr>
      <w:r w:rsidRPr="00B9235E">
        <w:rPr>
          <w:noProof/>
          <w:lang w:eastAsia="lv-LV"/>
        </w:rPr>
        <w:drawing>
          <wp:inline distT="0" distB="0" distL="0" distR="0">
            <wp:extent cx="5486400" cy="2938145"/>
            <wp:effectExtent l="19050" t="0" r="0" b="0"/>
            <wp:docPr id="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F3949" w:rsidRPr="00A4315E" w:rsidRDefault="007F3949" w:rsidP="00AE13EA">
      <w:pPr>
        <w:spacing w:after="0"/>
        <w:jc w:val="both"/>
        <w:rPr>
          <w:rFonts w:ascii="Times New Roman" w:hAnsi="Times New Roman" w:cs="Times New Roman"/>
          <w:i/>
          <w:sz w:val="24"/>
          <w:szCs w:val="24"/>
        </w:rPr>
      </w:pPr>
      <w:r w:rsidRPr="00A4315E">
        <w:rPr>
          <w:rFonts w:ascii="Times New Roman" w:hAnsi="Times New Roman" w:cs="Times New Roman"/>
          <w:i/>
          <w:sz w:val="24"/>
          <w:szCs w:val="24"/>
        </w:rPr>
        <w:t>6. attēls. Investīcijas ūdenssaimniecības sistēmas attīstībā, 1995-2013, milj</w:t>
      </w:r>
      <w:smartTag w:uri="schemas-tilde-lv/tildestengine" w:element="currency2">
        <w:smartTagPr>
          <w:attr w:name="currency_id" w:val="48"/>
          <w:attr w:name="currency_key" w:val="LVL"/>
          <w:attr w:name="currency_value" w:val="."/>
          <w:attr w:name="currency_text" w:val="LVL"/>
        </w:smartTagPr>
        <w:r w:rsidRPr="00A4315E">
          <w:rPr>
            <w:rFonts w:ascii="Times New Roman" w:hAnsi="Times New Roman" w:cs="Times New Roman"/>
            <w:i/>
            <w:sz w:val="24"/>
            <w:szCs w:val="24"/>
          </w:rPr>
          <w:t>. LVL</w:t>
        </w:r>
      </w:smartTag>
    </w:p>
    <w:p w:rsidR="007F3949" w:rsidRPr="00A4315E" w:rsidRDefault="007F3949" w:rsidP="009D0F47">
      <w:pPr>
        <w:spacing w:before="120" w:after="0" w:line="240" w:lineRule="auto"/>
        <w:ind w:right="-108"/>
        <w:jc w:val="both"/>
        <w:rPr>
          <w:rFonts w:ascii="Times New Roman" w:hAnsi="Times New Roman" w:cs="Times New Roman"/>
          <w:bCs/>
          <w:sz w:val="24"/>
          <w:szCs w:val="24"/>
        </w:rPr>
      </w:pPr>
      <w:r w:rsidRPr="00A4315E">
        <w:rPr>
          <w:rFonts w:ascii="Times New Roman" w:hAnsi="Times New Roman" w:cs="Times New Roman"/>
          <w:sz w:val="24"/>
          <w:szCs w:val="24"/>
        </w:rPr>
        <w:t xml:space="preserve">Kopējās ieguldītās investīcijas </w:t>
      </w:r>
      <w:r w:rsidRPr="00A4315E">
        <w:rPr>
          <w:rFonts w:ascii="Times New Roman" w:hAnsi="Times New Roman" w:cs="Times New Roman"/>
          <w:bCs/>
          <w:sz w:val="24"/>
          <w:szCs w:val="24"/>
        </w:rPr>
        <w:t>aglomerācijās ar cilvēku ekvivalentu lielāku par 2000 ir 679,90 milj. latu, bet apdzīvotās vietās ar iedzīvotāju skaitu mazāku par 2000 – 101,90 milj. latu (</w:t>
      </w:r>
      <w:r w:rsidRPr="00A4315E">
        <w:rPr>
          <w:rFonts w:ascii="Times New Roman" w:hAnsi="Times New Roman" w:cs="Times New Roman"/>
          <w:bCs/>
          <w:i/>
          <w:sz w:val="24"/>
          <w:szCs w:val="24"/>
        </w:rPr>
        <w:t>7. attēls</w:t>
      </w:r>
      <w:r w:rsidRPr="00A4315E">
        <w:rPr>
          <w:rFonts w:ascii="Times New Roman" w:hAnsi="Times New Roman" w:cs="Times New Roman"/>
          <w:bCs/>
          <w:sz w:val="24"/>
          <w:szCs w:val="24"/>
        </w:rPr>
        <w:t>).</w:t>
      </w:r>
    </w:p>
    <w:p w:rsidR="007F3949" w:rsidRDefault="007F3949" w:rsidP="001F6C2A">
      <w:pPr>
        <w:spacing w:after="0"/>
        <w:ind w:right="-108"/>
        <w:jc w:val="center"/>
        <w:rPr>
          <w:bCs/>
        </w:rPr>
      </w:pPr>
      <w:r w:rsidRPr="00CF32A3">
        <w:rPr>
          <w:bCs/>
          <w:noProof/>
          <w:lang w:eastAsia="lv-LV"/>
        </w:rPr>
        <w:drawing>
          <wp:inline distT="0" distB="0" distL="0" distR="0">
            <wp:extent cx="4575175" cy="2346325"/>
            <wp:effectExtent l="0" t="0" r="0" b="0"/>
            <wp:docPr id="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7F3949" w:rsidRPr="00A4315E" w:rsidRDefault="007F3949" w:rsidP="00AE13EA">
      <w:pPr>
        <w:spacing w:after="0" w:line="240" w:lineRule="auto"/>
        <w:ind w:right="-109"/>
        <w:jc w:val="both"/>
        <w:rPr>
          <w:rFonts w:ascii="Times New Roman" w:hAnsi="Times New Roman" w:cs="Times New Roman"/>
          <w:i/>
          <w:sz w:val="24"/>
          <w:szCs w:val="24"/>
        </w:rPr>
      </w:pPr>
      <w:r w:rsidRPr="00CA0FF3">
        <w:rPr>
          <w:rFonts w:ascii="Times New Roman" w:hAnsi="Times New Roman" w:cs="Times New Roman"/>
          <w:i/>
          <w:sz w:val="24"/>
          <w:szCs w:val="24"/>
        </w:rPr>
        <w:t>7. attēls.</w:t>
      </w:r>
      <w:r w:rsidRPr="00A4315E">
        <w:rPr>
          <w:rFonts w:ascii="Times New Roman" w:hAnsi="Times New Roman" w:cs="Times New Roman"/>
          <w:i/>
          <w:sz w:val="24"/>
          <w:szCs w:val="24"/>
        </w:rPr>
        <w:t xml:space="preserve"> Investīcijas ūdenssaimniecības attīstībā, 1995-2013, milj</w:t>
      </w:r>
      <w:smartTag w:uri="schemas-tilde-lv/tildestengine" w:element="currency2">
        <w:smartTagPr>
          <w:attr w:name="currency_id" w:val="48"/>
          <w:attr w:name="currency_key" w:val="LVL"/>
          <w:attr w:name="currency_value" w:val="."/>
          <w:attr w:name="currency_text" w:val="LVL"/>
        </w:smartTagPr>
        <w:r w:rsidRPr="00A4315E">
          <w:rPr>
            <w:rFonts w:ascii="Times New Roman" w:hAnsi="Times New Roman" w:cs="Times New Roman"/>
            <w:i/>
            <w:sz w:val="24"/>
            <w:szCs w:val="24"/>
          </w:rPr>
          <w:t>. LVL</w:t>
        </w:r>
      </w:smartTag>
    </w:p>
    <w:p w:rsidR="00AE13EA" w:rsidRDefault="00AE13EA" w:rsidP="00CA0FF3">
      <w:pPr>
        <w:autoSpaceDE w:val="0"/>
        <w:autoSpaceDN w:val="0"/>
        <w:adjustRightInd w:val="0"/>
        <w:spacing w:before="120" w:after="0" w:line="240" w:lineRule="auto"/>
        <w:jc w:val="both"/>
        <w:rPr>
          <w:rFonts w:ascii="Times New Roman" w:hAnsi="Times New Roman" w:cs="Times New Roman"/>
          <w:color w:val="000000"/>
          <w:sz w:val="24"/>
          <w:szCs w:val="24"/>
          <w:lang w:eastAsia="lv-LV"/>
        </w:rPr>
      </w:pPr>
    </w:p>
    <w:p w:rsidR="007F3949" w:rsidRPr="00A4315E" w:rsidRDefault="007F3949" w:rsidP="00CA0FF3">
      <w:pPr>
        <w:autoSpaceDE w:val="0"/>
        <w:autoSpaceDN w:val="0"/>
        <w:adjustRightInd w:val="0"/>
        <w:spacing w:before="120" w:after="0" w:line="240" w:lineRule="auto"/>
        <w:jc w:val="both"/>
        <w:rPr>
          <w:rFonts w:ascii="Times New Roman" w:hAnsi="Times New Roman" w:cs="Times New Roman"/>
          <w:color w:val="000000"/>
          <w:sz w:val="24"/>
          <w:szCs w:val="24"/>
          <w:lang w:eastAsia="lv-LV"/>
        </w:rPr>
      </w:pPr>
      <w:r w:rsidRPr="00A4315E">
        <w:rPr>
          <w:rFonts w:ascii="Times New Roman" w:hAnsi="Times New Roman" w:cs="Times New Roman"/>
          <w:color w:val="000000"/>
          <w:sz w:val="24"/>
          <w:szCs w:val="24"/>
          <w:lang w:eastAsia="lv-LV"/>
        </w:rPr>
        <w:t>2013. gadā kopumā ūdenssaimniecības infrastruktūras attīstības projektos ieguldīti 46,43 milj. latu, no kuriem lielākā daļa – 38,75 milj. latu jeb 84% ir Eiropas Savienības fondu (Kohēzijas fonds un ERAF) līdzekļi, projektu īstenotāju ieguldītie līdzekļi – 7,19 milj. latu, savukārt vismazāko daļu, proti, 0,50 milj. latus, veido valsts budžeta dotācija. (</w:t>
      </w:r>
      <w:r w:rsidRPr="00CA0FF3">
        <w:rPr>
          <w:rFonts w:ascii="Times New Roman" w:hAnsi="Times New Roman" w:cs="Times New Roman"/>
          <w:i/>
          <w:color w:val="000000"/>
          <w:sz w:val="24"/>
          <w:szCs w:val="24"/>
          <w:lang w:eastAsia="lv-LV"/>
        </w:rPr>
        <w:t>8. attēls</w:t>
      </w:r>
      <w:r w:rsidRPr="00CA0FF3">
        <w:rPr>
          <w:rFonts w:ascii="Times New Roman" w:hAnsi="Times New Roman" w:cs="Times New Roman"/>
          <w:color w:val="000000"/>
          <w:sz w:val="24"/>
          <w:szCs w:val="24"/>
          <w:lang w:eastAsia="lv-LV"/>
        </w:rPr>
        <w:t>)</w:t>
      </w:r>
      <w:r w:rsidRPr="00CA0FF3">
        <w:rPr>
          <w:rFonts w:ascii="Times New Roman" w:hAnsi="Times New Roman" w:cs="Times New Roman"/>
          <w:sz w:val="24"/>
          <w:szCs w:val="24"/>
        </w:rPr>
        <w:t>.</w:t>
      </w:r>
      <w:r w:rsidRPr="00A4315E">
        <w:rPr>
          <w:rFonts w:ascii="Times New Roman" w:hAnsi="Times New Roman" w:cs="Times New Roman"/>
          <w:color w:val="000000"/>
          <w:sz w:val="24"/>
          <w:szCs w:val="24"/>
          <w:lang w:eastAsia="lv-LV"/>
        </w:rPr>
        <w:t xml:space="preserve"> </w:t>
      </w:r>
    </w:p>
    <w:p w:rsidR="007F3949" w:rsidRPr="00A4315E" w:rsidRDefault="007F3949" w:rsidP="009D0F47">
      <w:pPr>
        <w:autoSpaceDE w:val="0"/>
        <w:autoSpaceDN w:val="0"/>
        <w:adjustRightInd w:val="0"/>
        <w:spacing w:before="120" w:after="0" w:line="240" w:lineRule="auto"/>
        <w:jc w:val="center"/>
        <w:rPr>
          <w:rFonts w:ascii="Times New Roman" w:hAnsi="Times New Roman" w:cs="Times New Roman"/>
          <w:color w:val="000000"/>
          <w:sz w:val="24"/>
          <w:szCs w:val="24"/>
          <w:lang w:eastAsia="lv-LV"/>
        </w:rPr>
      </w:pPr>
      <w:r w:rsidRPr="00A4315E">
        <w:rPr>
          <w:rFonts w:ascii="Times New Roman" w:hAnsi="Times New Roman" w:cs="Times New Roman"/>
          <w:noProof/>
          <w:color w:val="000000"/>
          <w:sz w:val="24"/>
          <w:szCs w:val="24"/>
          <w:lang w:eastAsia="lv-LV"/>
        </w:rPr>
        <w:drawing>
          <wp:inline distT="0" distB="0" distL="0" distR="0">
            <wp:extent cx="4572000" cy="2743200"/>
            <wp:effectExtent l="19050" t="0" r="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F3949" w:rsidRPr="00A4315E" w:rsidRDefault="007F3949" w:rsidP="00AE13EA">
      <w:pPr>
        <w:spacing w:after="0" w:line="240" w:lineRule="auto"/>
        <w:jc w:val="both"/>
        <w:rPr>
          <w:rFonts w:ascii="Times New Roman" w:hAnsi="Times New Roman" w:cs="Times New Roman"/>
          <w:i/>
          <w:sz w:val="24"/>
          <w:szCs w:val="24"/>
        </w:rPr>
      </w:pPr>
      <w:r w:rsidRPr="00CA0FF3">
        <w:rPr>
          <w:rFonts w:ascii="Times New Roman" w:hAnsi="Times New Roman" w:cs="Times New Roman"/>
          <w:i/>
          <w:sz w:val="24"/>
          <w:szCs w:val="24"/>
        </w:rPr>
        <w:t>8. attēls.</w:t>
      </w:r>
      <w:r w:rsidRPr="00A4315E">
        <w:rPr>
          <w:rFonts w:ascii="Times New Roman" w:hAnsi="Times New Roman" w:cs="Times New Roman"/>
          <w:i/>
          <w:sz w:val="24"/>
          <w:szCs w:val="24"/>
        </w:rPr>
        <w:t xml:space="preserve"> Investīciju ūdenssaimniecības sistēmas attīstībā procentuālais sadalījums, 2013</w:t>
      </w:r>
    </w:p>
    <w:p w:rsidR="00AE13EA" w:rsidRDefault="00AE13EA" w:rsidP="00CA0FF3">
      <w:pPr>
        <w:autoSpaceDE w:val="0"/>
        <w:autoSpaceDN w:val="0"/>
        <w:adjustRightInd w:val="0"/>
        <w:spacing w:before="120" w:after="0" w:line="240" w:lineRule="auto"/>
        <w:jc w:val="both"/>
        <w:rPr>
          <w:rFonts w:ascii="Times New Roman" w:hAnsi="Times New Roman" w:cs="Times New Roman"/>
          <w:sz w:val="24"/>
          <w:szCs w:val="24"/>
        </w:rPr>
      </w:pPr>
    </w:p>
    <w:p w:rsidR="007F3949" w:rsidRDefault="00614B5C" w:rsidP="00CA0FF3">
      <w:pPr>
        <w:autoSpaceDE w:val="0"/>
        <w:autoSpaceDN w:val="0"/>
        <w:adjustRightInd w:val="0"/>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pict>
          <v:group id="_x0000_s1053" editas="canvas" style="position:absolute;left:0;text-align:left;margin-left:1945.3pt;margin-top:343.05pt;width:256.15pt;height:213.8pt;z-index:251672576;mso-position-horizontal:right;mso-position-horizontal-relative:margin;mso-position-vertical-relative:margin" coordorigin="2361,1613" coordsize="4441,3706">
            <o:lock v:ext="edit" aspectratio="t"/>
            <v:shape id="_x0000_s1054" type="#_x0000_t75" style="position:absolute;left:2361;top:1613;width:4441;height:3706" o:preferrelative="f">
              <v:fill o:detectmouseclick="t"/>
              <v:path o:extrusionok="t" o:connecttype="none"/>
              <o:lock v:ext="edit" text="t"/>
            </v:shape>
            <v:shape id="_x0000_s1055" type="#_x0000_t75" style="position:absolute;left:2361;top:1613;width:4432;height:2949">
              <v:imagedata r:id="rId41" o:title="IMG_1110"/>
            </v:shape>
            <v:shape id="_x0000_s1056" type="#_x0000_t202" style="position:absolute;left:2361;top:4562;width:4374;height:757" stroked="f">
              <v:textbox style="mso-next-textbox:#_x0000_s1056">
                <w:txbxContent>
                  <w:p w:rsidR="00A04249" w:rsidRDefault="00A04249" w:rsidP="00713966">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Fotogrāfija: Ūdenssaimniecības attīstība Baložos</w:t>
                    </w:r>
                    <w:r>
                      <w:rPr>
                        <w:rFonts w:ascii="Times New Roman" w:hAnsi="Times New Roman" w:cs="Times New Roman"/>
                        <w:color w:val="0070C0"/>
                        <w:sz w:val="20"/>
                        <w:szCs w:val="20"/>
                      </w:rPr>
                      <w:t xml:space="preserve"> </w:t>
                    </w:r>
                  </w:p>
                  <w:p w:rsidR="00A04249" w:rsidRPr="00746321" w:rsidRDefault="00A04249" w:rsidP="00713966">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color w:val="0070C0"/>
                        <w:sz w:val="20"/>
                        <w:szCs w:val="20"/>
                      </w:rPr>
                      <w:t>SIA „Baložu komunālā saimniecība” Kohēzijas fonda projekts</w:t>
                    </w:r>
                  </w:p>
                </w:txbxContent>
              </v:textbox>
            </v:shape>
            <w10:wrap type="square" anchorx="margin" anchory="margin"/>
          </v:group>
        </w:pict>
      </w:r>
      <w:r w:rsidR="007F3949" w:rsidRPr="00A4315E">
        <w:rPr>
          <w:rFonts w:ascii="Times New Roman" w:hAnsi="Times New Roman" w:cs="Times New Roman"/>
          <w:sz w:val="24"/>
          <w:szCs w:val="24"/>
        </w:rPr>
        <w:t>Aglomerācijās ar cilvēku ekvivalentu lielāku par 2000 pārskata periodā ieguldīti 26,30 milj. latu – 81% no kopējām investīcijām ir Kohēzijas fonda līdzfinansējums, valsts budžeta dotācija – 2% un projektu īstenotāju ieguldītie līdzekļi – 17% no kopējām ieguldītajām investīcijām infrastruktūras projektos. Savukārt apdzīvotās vietās ar iedzīvotāju skaitu mazāku par 2000 no 2013.gadā ieguldītajiem 20,13 milj. latu 87% ir ERAF līdzfinansējums un 13% projektu īstenotāju finansējums. (</w:t>
      </w:r>
      <w:r w:rsidR="007F3949" w:rsidRPr="001F6C2A">
        <w:rPr>
          <w:rFonts w:ascii="Times New Roman" w:hAnsi="Times New Roman" w:cs="Times New Roman"/>
          <w:i/>
          <w:sz w:val="24"/>
          <w:szCs w:val="24"/>
        </w:rPr>
        <w:t>9. attēls</w:t>
      </w:r>
      <w:r w:rsidR="007F3949" w:rsidRPr="00A4315E">
        <w:rPr>
          <w:rFonts w:ascii="Times New Roman" w:hAnsi="Times New Roman" w:cs="Times New Roman"/>
          <w:sz w:val="24"/>
          <w:szCs w:val="24"/>
        </w:rPr>
        <w:t>)</w:t>
      </w:r>
    </w:p>
    <w:p w:rsidR="00713966" w:rsidRPr="00A4315E" w:rsidRDefault="00713966" w:rsidP="00CA0FF3">
      <w:pPr>
        <w:autoSpaceDE w:val="0"/>
        <w:autoSpaceDN w:val="0"/>
        <w:adjustRightInd w:val="0"/>
        <w:spacing w:before="120" w:after="0" w:line="240" w:lineRule="auto"/>
        <w:jc w:val="both"/>
        <w:rPr>
          <w:rFonts w:ascii="Times New Roman" w:hAnsi="Times New Roman" w:cs="Times New Roman"/>
          <w:sz w:val="24"/>
          <w:szCs w:val="24"/>
        </w:rPr>
      </w:pPr>
    </w:p>
    <w:tbl>
      <w:tblPr>
        <w:tblStyle w:val="TableGrid"/>
        <w:tblW w:w="10616"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820"/>
        <w:gridCol w:w="5796"/>
      </w:tblGrid>
      <w:tr w:rsidR="007F3949" w:rsidRPr="00A4315E" w:rsidTr="001F6C2A">
        <w:trPr>
          <w:trHeight w:val="3855"/>
        </w:trPr>
        <w:tc>
          <w:tcPr>
            <w:tcW w:w="4820" w:type="dxa"/>
          </w:tcPr>
          <w:p w:rsidR="007F3949" w:rsidRPr="00A4315E" w:rsidRDefault="007F3949" w:rsidP="009D0F47">
            <w:pPr>
              <w:autoSpaceDE w:val="0"/>
              <w:autoSpaceDN w:val="0"/>
              <w:adjustRightInd w:val="0"/>
              <w:spacing w:before="120"/>
              <w:rPr>
                <w:rFonts w:ascii="Times New Roman" w:hAnsi="Times New Roman" w:cs="Times New Roman"/>
                <w:sz w:val="24"/>
                <w:szCs w:val="24"/>
              </w:rPr>
            </w:pPr>
            <w:r w:rsidRPr="00A4315E">
              <w:rPr>
                <w:rFonts w:ascii="Times New Roman" w:hAnsi="Times New Roman" w:cs="Times New Roman"/>
                <w:noProof/>
                <w:sz w:val="24"/>
                <w:szCs w:val="24"/>
                <w:lang w:eastAsia="lv-LV"/>
              </w:rPr>
              <w:lastRenderedPageBreak/>
              <w:drawing>
                <wp:inline distT="0" distB="0" distL="0" distR="0">
                  <wp:extent cx="3305175" cy="2343150"/>
                  <wp:effectExtent l="19050" t="0" r="0" b="0"/>
                  <wp:docPr id="1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5796" w:type="dxa"/>
          </w:tcPr>
          <w:p w:rsidR="007F3949" w:rsidRPr="00A4315E" w:rsidRDefault="007F3949" w:rsidP="009D0F47">
            <w:pPr>
              <w:autoSpaceDE w:val="0"/>
              <w:autoSpaceDN w:val="0"/>
              <w:adjustRightInd w:val="0"/>
              <w:spacing w:before="120"/>
              <w:rPr>
                <w:rFonts w:ascii="Times New Roman" w:hAnsi="Times New Roman" w:cs="Times New Roman"/>
                <w:sz w:val="24"/>
                <w:szCs w:val="24"/>
              </w:rPr>
            </w:pPr>
            <w:r w:rsidRPr="00A4315E">
              <w:rPr>
                <w:rFonts w:ascii="Times New Roman" w:hAnsi="Times New Roman" w:cs="Times New Roman"/>
                <w:noProof/>
                <w:sz w:val="24"/>
                <w:szCs w:val="24"/>
                <w:lang w:eastAsia="lv-LV"/>
              </w:rPr>
              <w:drawing>
                <wp:inline distT="0" distB="0" distL="0" distR="0">
                  <wp:extent cx="3429000" cy="2343150"/>
                  <wp:effectExtent l="19050" t="0" r="0" b="0"/>
                  <wp:docPr id="1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rsidR="007F3949" w:rsidRPr="00A4315E" w:rsidRDefault="007F3949" w:rsidP="00AE13EA">
      <w:pPr>
        <w:spacing w:after="0" w:line="240" w:lineRule="auto"/>
        <w:jc w:val="both"/>
        <w:rPr>
          <w:rFonts w:ascii="Times New Roman" w:hAnsi="Times New Roman" w:cs="Times New Roman"/>
          <w:i/>
          <w:sz w:val="24"/>
          <w:szCs w:val="24"/>
        </w:rPr>
      </w:pPr>
      <w:r w:rsidRPr="001F6C2A">
        <w:rPr>
          <w:rFonts w:ascii="Times New Roman" w:hAnsi="Times New Roman" w:cs="Times New Roman"/>
          <w:i/>
          <w:sz w:val="24"/>
          <w:szCs w:val="24"/>
        </w:rPr>
        <w:t>9. attēls. Investīcijas</w:t>
      </w:r>
      <w:r w:rsidRPr="00A4315E">
        <w:rPr>
          <w:rFonts w:ascii="Times New Roman" w:hAnsi="Times New Roman" w:cs="Times New Roman"/>
          <w:i/>
          <w:sz w:val="24"/>
          <w:szCs w:val="24"/>
        </w:rPr>
        <w:t xml:space="preserve"> ūdenssaimniecības sistēmas attīstībā, 2013, milj. LVL</w:t>
      </w:r>
    </w:p>
    <w:p w:rsidR="00D020FA" w:rsidRDefault="00D020FA" w:rsidP="001F6C2A">
      <w:pPr>
        <w:autoSpaceDE w:val="0"/>
        <w:autoSpaceDN w:val="0"/>
        <w:adjustRightInd w:val="0"/>
        <w:spacing w:before="120" w:after="0" w:line="240" w:lineRule="auto"/>
        <w:jc w:val="both"/>
        <w:rPr>
          <w:rFonts w:ascii="Times New Roman" w:hAnsi="Times New Roman" w:cs="Times New Roman"/>
          <w:sz w:val="24"/>
          <w:szCs w:val="24"/>
        </w:rPr>
      </w:pPr>
    </w:p>
    <w:p w:rsidR="007F3949" w:rsidRPr="00A4315E" w:rsidRDefault="007F3949" w:rsidP="001F6C2A">
      <w:pPr>
        <w:autoSpaceDE w:val="0"/>
        <w:autoSpaceDN w:val="0"/>
        <w:adjustRightInd w:val="0"/>
        <w:spacing w:before="120" w:after="0" w:line="240" w:lineRule="auto"/>
        <w:jc w:val="both"/>
        <w:rPr>
          <w:rFonts w:ascii="Times New Roman" w:hAnsi="Times New Roman" w:cs="Times New Roman"/>
          <w:sz w:val="24"/>
          <w:szCs w:val="24"/>
        </w:rPr>
      </w:pPr>
      <w:r w:rsidRPr="00A4315E">
        <w:rPr>
          <w:rFonts w:ascii="Times New Roman" w:hAnsi="Times New Roman" w:cs="Times New Roman"/>
          <w:sz w:val="24"/>
          <w:szCs w:val="24"/>
        </w:rPr>
        <w:t xml:space="preserve">Notekūdeņu apsaimniekošanas jomā 2013. gadā rekonstruētas 30 un izbūvētas 47 jaunas notekūdeņu attīrīšanas iekārtas, kanalizācijas tīkli paplašināti par ~ 218 km un rekonstruēti ~ 162 km garumā. Uzlabota arī ūdensapgāde – pabeigtajos projektos izbūvētas 41 jaunas dzeramā ūdens sagatavošanas iekārtas, ūdensapgādes tīkli paplašināti par ~ 166 km un rekonstruēti ~ 228 km garumā </w:t>
      </w:r>
      <w:r w:rsidRPr="00A4315E">
        <w:rPr>
          <w:rFonts w:ascii="Times New Roman" w:hAnsi="Times New Roman" w:cs="Times New Roman"/>
          <w:iCs/>
          <w:sz w:val="24"/>
          <w:szCs w:val="24"/>
        </w:rPr>
        <w:t>(</w:t>
      </w:r>
      <w:r w:rsidRPr="001F6C2A">
        <w:rPr>
          <w:rFonts w:ascii="Times New Roman" w:hAnsi="Times New Roman" w:cs="Times New Roman"/>
          <w:i/>
          <w:iCs/>
          <w:sz w:val="24"/>
          <w:szCs w:val="24"/>
        </w:rPr>
        <w:t>3. tabula</w:t>
      </w:r>
      <w:r w:rsidRPr="00A4315E">
        <w:rPr>
          <w:rFonts w:ascii="Times New Roman" w:hAnsi="Times New Roman" w:cs="Times New Roman"/>
          <w:iCs/>
          <w:sz w:val="24"/>
          <w:szCs w:val="24"/>
        </w:rPr>
        <w:t>).</w:t>
      </w:r>
    </w:p>
    <w:p w:rsidR="001F6C2A" w:rsidRDefault="001F6C2A" w:rsidP="001F6C2A">
      <w:pPr>
        <w:autoSpaceDE w:val="0"/>
        <w:autoSpaceDN w:val="0"/>
        <w:adjustRightInd w:val="0"/>
        <w:spacing w:before="120" w:after="0" w:line="240" w:lineRule="auto"/>
        <w:jc w:val="both"/>
        <w:rPr>
          <w:rFonts w:ascii="Times New Roman" w:hAnsi="Times New Roman" w:cs="Times New Roman"/>
          <w:i/>
          <w:sz w:val="24"/>
          <w:szCs w:val="24"/>
        </w:rPr>
      </w:pPr>
    </w:p>
    <w:p w:rsidR="007F3949" w:rsidRPr="00A4315E" w:rsidRDefault="007F3949" w:rsidP="001F6C2A">
      <w:pPr>
        <w:autoSpaceDE w:val="0"/>
        <w:autoSpaceDN w:val="0"/>
        <w:adjustRightInd w:val="0"/>
        <w:spacing w:before="120" w:after="0" w:line="240" w:lineRule="auto"/>
        <w:jc w:val="both"/>
        <w:rPr>
          <w:rFonts w:ascii="Times New Roman" w:hAnsi="Times New Roman" w:cs="Times New Roman"/>
          <w:sz w:val="24"/>
          <w:szCs w:val="24"/>
        </w:rPr>
      </w:pPr>
      <w:r w:rsidRPr="001F6C2A">
        <w:rPr>
          <w:rFonts w:ascii="Times New Roman" w:hAnsi="Times New Roman" w:cs="Times New Roman"/>
          <w:i/>
          <w:sz w:val="24"/>
          <w:szCs w:val="24"/>
        </w:rPr>
        <w:t>3. tabula.</w:t>
      </w:r>
      <w:r w:rsidRPr="00A4315E">
        <w:rPr>
          <w:rFonts w:ascii="Times New Roman" w:hAnsi="Times New Roman" w:cs="Times New Roman"/>
          <w:i/>
          <w:sz w:val="24"/>
          <w:szCs w:val="24"/>
        </w:rPr>
        <w:t xml:space="preserve"> Sasniegtie rezultāti ūdenssaimniecības attīstībā, īstenojot Kohēzijas fonda un ERAF līdzfinansētos projektus, 2012</w:t>
      </w:r>
    </w:p>
    <w:tbl>
      <w:tblPr>
        <w:tblW w:w="8610" w:type="dxa"/>
        <w:jc w:val="center"/>
        <w:tblInd w:w="-1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10"/>
        <w:gridCol w:w="1800"/>
        <w:gridCol w:w="1800"/>
      </w:tblGrid>
      <w:tr w:rsidR="007F3949" w:rsidRPr="001F6C2A" w:rsidTr="00F9401F">
        <w:trPr>
          <w:trHeight w:val="510"/>
          <w:jc w:val="center"/>
        </w:trPr>
        <w:tc>
          <w:tcPr>
            <w:tcW w:w="5010" w:type="dxa"/>
            <w:shd w:val="clear" w:color="auto" w:fill="8DB3E2" w:themeFill="text2" w:themeFillTint="66"/>
            <w:noWrap/>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Sasniegtais rezultāts</w:t>
            </w:r>
          </w:p>
        </w:tc>
        <w:tc>
          <w:tcPr>
            <w:tcW w:w="1800" w:type="dxa"/>
            <w:shd w:val="clear" w:color="auto" w:fill="8DB3E2" w:themeFill="text2" w:themeFillTint="66"/>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Aglomerācijas ar CE&gt;2000</w:t>
            </w:r>
          </w:p>
        </w:tc>
        <w:tc>
          <w:tcPr>
            <w:tcW w:w="1800" w:type="dxa"/>
            <w:shd w:val="clear" w:color="auto" w:fill="8DB3E2" w:themeFill="text2" w:themeFillTint="66"/>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Apdzīvotās vietas ar iedzīvotāju skaitu mazāku par 2000</w:t>
            </w:r>
          </w:p>
        </w:tc>
      </w:tr>
      <w:tr w:rsidR="007F3949" w:rsidRPr="001F6C2A" w:rsidTr="00F9401F">
        <w:trPr>
          <w:trHeight w:val="186"/>
          <w:jc w:val="center"/>
        </w:trPr>
        <w:tc>
          <w:tcPr>
            <w:tcW w:w="5010" w:type="dxa"/>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Rekonstruētas notekūdeņu attīrīšanas iekārtas, skaits</w:t>
            </w:r>
          </w:p>
        </w:tc>
        <w:tc>
          <w:tcPr>
            <w:tcW w:w="1800" w:type="dxa"/>
            <w:shd w:val="clear" w:color="auto" w:fill="auto"/>
            <w:vAlign w:val="bottom"/>
          </w:tcPr>
          <w:p w:rsidR="007F3949" w:rsidRPr="001F6C2A" w:rsidRDefault="007F3949" w:rsidP="001F6C2A">
            <w:pPr>
              <w:spacing w:after="0" w:line="240" w:lineRule="auto"/>
              <w:jc w:val="center"/>
              <w:rPr>
                <w:rFonts w:ascii="Times New Roman" w:hAnsi="Times New Roman" w:cs="Times New Roman"/>
                <w:color w:val="000000"/>
                <w:sz w:val="20"/>
                <w:szCs w:val="20"/>
              </w:rPr>
            </w:pPr>
            <w:r w:rsidRPr="001F6C2A">
              <w:rPr>
                <w:rFonts w:ascii="Times New Roman" w:hAnsi="Times New Roman" w:cs="Times New Roman"/>
                <w:color w:val="000000"/>
                <w:sz w:val="20"/>
                <w:szCs w:val="20"/>
              </w:rPr>
              <w:t>5</w:t>
            </w:r>
          </w:p>
        </w:tc>
        <w:tc>
          <w:tcPr>
            <w:tcW w:w="1800" w:type="dxa"/>
            <w:vAlign w:val="bottom"/>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43</w:t>
            </w:r>
          </w:p>
        </w:tc>
      </w:tr>
      <w:tr w:rsidR="007F3949" w:rsidRPr="001F6C2A" w:rsidTr="00F9401F">
        <w:trPr>
          <w:trHeight w:val="255"/>
          <w:jc w:val="center"/>
        </w:trPr>
        <w:tc>
          <w:tcPr>
            <w:tcW w:w="5010" w:type="dxa"/>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Izbūvētas jaunas notekūdeņu attīrīšanas iekārtas, skaits</w:t>
            </w:r>
          </w:p>
        </w:tc>
        <w:tc>
          <w:tcPr>
            <w:tcW w:w="1800" w:type="dxa"/>
            <w:shd w:val="clear" w:color="auto" w:fill="auto"/>
            <w:vAlign w:val="bottom"/>
          </w:tcPr>
          <w:p w:rsidR="007F3949" w:rsidRPr="001F6C2A" w:rsidRDefault="007F3949" w:rsidP="001F6C2A">
            <w:pPr>
              <w:spacing w:after="0" w:line="240" w:lineRule="auto"/>
              <w:jc w:val="center"/>
              <w:rPr>
                <w:rFonts w:ascii="Times New Roman" w:hAnsi="Times New Roman" w:cs="Times New Roman"/>
                <w:color w:val="000000"/>
                <w:sz w:val="20"/>
                <w:szCs w:val="20"/>
              </w:rPr>
            </w:pPr>
            <w:r w:rsidRPr="001F6C2A">
              <w:rPr>
                <w:rFonts w:ascii="Times New Roman" w:hAnsi="Times New Roman" w:cs="Times New Roman"/>
                <w:color w:val="000000"/>
                <w:sz w:val="20"/>
                <w:szCs w:val="20"/>
              </w:rPr>
              <w:t>4</w:t>
            </w:r>
          </w:p>
        </w:tc>
        <w:tc>
          <w:tcPr>
            <w:tcW w:w="1800" w:type="dxa"/>
            <w:vAlign w:val="bottom"/>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25</w:t>
            </w:r>
          </w:p>
        </w:tc>
      </w:tr>
      <w:tr w:rsidR="007F3949" w:rsidRPr="001F6C2A" w:rsidTr="00F9401F">
        <w:trPr>
          <w:trHeight w:val="255"/>
          <w:jc w:val="center"/>
        </w:trPr>
        <w:tc>
          <w:tcPr>
            <w:tcW w:w="5010" w:type="dxa"/>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Rekonstruētas dzeramā ūdens sagatavošanas iekārtas</w:t>
            </w:r>
          </w:p>
        </w:tc>
        <w:tc>
          <w:tcPr>
            <w:tcW w:w="1800" w:type="dxa"/>
            <w:shd w:val="clear" w:color="auto" w:fill="auto"/>
            <w:vAlign w:val="bottom"/>
          </w:tcPr>
          <w:p w:rsidR="007F3949" w:rsidRPr="001F6C2A" w:rsidRDefault="007F3949" w:rsidP="001F6C2A">
            <w:pPr>
              <w:spacing w:after="0" w:line="240" w:lineRule="auto"/>
              <w:jc w:val="center"/>
              <w:rPr>
                <w:rFonts w:ascii="Times New Roman" w:hAnsi="Times New Roman" w:cs="Times New Roman"/>
                <w:color w:val="000000"/>
                <w:sz w:val="20"/>
                <w:szCs w:val="20"/>
              </w:rPr>
            </w:pPr>
            <w:r w:rsidRPr="001F6C2A">
              <w:rPr>
                <w:rFonts w:ascii="Times New Roman" w:hAnsi="Times New Roman" w:cs="Times New Roman"/>
                <w:color w:val="000000"/>
                <w:sz w:val="20"/>
                <w:szCs w:val="20"/>
              </w:rPr>
              <w:t>3</w:t>
            </w:r>
          </w:p>
        </w:tc>
        <w:tc>
          <w:tcPr>
            <w:tcW w:w="1800" w:type="dxa"/>
            <w:vAlign w:val="bottom"/>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33</w:t>
            </w:r>
          </w:p>
        </w:tc>
      </w:tr>
      <w:tr w:rsidR="007F3949" w:rsidRPr="001F6C2A" w:rsidTr="00F9401F">
        <w:trPr>
          <w:trHeight w:val="255"/>
          <w:jc w:val="center"/>
        </w:trPr>
        <w:tc>
          <w:tcPr>
            <w:tcW w:w="5010" w:type="dxa"/>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Izbūvētas dzeramā ūdens sagatavošanas iekārtas</w:t>
            </w:r>
          </w:p>
        </w:tc>
        <w:tc>
          <w:tcPr>
            <w:tcW w:w="1800" w:type="dxa"/>
            <w:shd w:val="clear" w:color="auto" w:fill="auto"/>
            <w:vAlign w:val="bottom"/>
          </w:tcPr>
          <w:p w:rsidR="007F3949" w:rsidRPr="001F6C2A" w:rsidRDefault="007F3949" w:rsidP="001F6C2A">
            <w:pPr>
              <w:spacing w:after="0" w:line="240" w:lineRule="auto"/>
              <w:jc w:val="center"/>
              <w:rPr>
                <w:rFonts w:ascii="Times New Roman" w:hAnsi="Times New Roman" w:cs="Times New Roman"/>
                <w:color w:val="000000"/>
                <w:sz w:val="20"/>
                <w:szCs w:val="20"/>
              </w:rPr>
            </w:pPr>
            <w:r w:rsidRPr="001F6C2A">
              <w:rPr>
                <w:rFonts w:ascii="Times New Roman" w:hAnsi="Times New Roman" w:cs="Times New Roman"/>
                <w:color w:val="000000"/>
                <w:sz w:val="20"/>
                <w:szCs w:val="20"/>
              </w:rPr>
              <w:t>8</w:t>
            </w:r>
          </w:p>
        </w:tc>
        <w:tc>
          <w:tcPr>
            <w:tcW w:w="1800" w:type="dxa"/>
            <w:vAlign w:val="bottom"/>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4</w:t>
            </w:r>
          </w:p>
        </w:tc>
      </w:tr>
      <w:tr w:rsidR="007F3949" w:rsidRPr="001F6C2A" w:rsidTr="00F9401F">
        <w:trPr>
          <w:trHeight w:val="255"/>
          <w:jc w:val="center"/>
        </w:trPr>
        <w:tc>
          <w:tcPr>
            <w:tcW w:w="5010" w:type="dxa"/>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Paplašināti kanalizācijas tīkli, km</w:t>
            </w:r>
          </w:p>
        </w:tc>
        <w:tc>
          <w:tcPr>
            <w:tcW w:w="1800" w:type="dxa"/>
            <w:shd w:val="clear" w:color="auto" w:fill="auto"/>
            <w:vAlign w:val="bottom"/>
          </w:tcPr>
          <w:p w:rsidR="007F3949" w:rsidRPr="001F6C2A" w:rsidRDefault="007F3949" w:rsidP="001F6C2A">
            <w:pPr>
              <w:spacing w:after="0" w:line="240" w:lineRule="auto"/>
              <w:jc w:val="center"/>
              <w:rPr>
                <w:rFonts w:ascii="Times New Roman" w:hAnsi="Times New Roman" w:cs="Times New Roman"/>
                <w:color w:val="000000"/>
                <w:sz w:val="20"/>
                <w:szCs w:val="20"/>
              </w:rPr>
            </w:pPr>
            <w:r w:rsidRPr="001F6C2A">
              <w:rPr>
                <w:rFonts w:ascii="Times New Roman" w:hAnsi="Times New Roman" w:cs="Times New Roman"/>
                <w:color w:val="000000"/>
                <w:sz w:val="20"/>
                <w:szCs w:val="20"/>
              </w:rPr>
              <w:t>165</w:t>
            </w:r>
          </w:p>
        </w:tc>
        <w:tc>
          <w:tcPr>
            <w:tcW w:w="1800" w:type="dxa"/>
            <w:vAlign w:val="bottom"/>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53</w:t>
            </w:r>
          </w:p>
        </w:tc>
      </w:tr>
      <w:tr w:rsidR="007F3949" w:rsidRPr="001F6C2A" w:rsidTr="00F9401F">
        <w:trPr>
          <w:trHeight w:val="255"/>
          <w:jc w:val="center"/>
        </w:trPr>
        <w:tc>
          <w:tcPr>
            <w:tcW w:w="5010" w:type="dxa"/>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Paplašināti ūdensapgādes tīkli, km</w:t>
            </w:r>
          </w:p>
        </w:tc>
        <w:tc>
          <w:tcPr>
            <w:tcW w:w="1800" w:type="dxa"/>
            <w:shd w:val="clear" w:color="auto" w:fill="auto"/>
            <w:vAlign w:val="bottom"/>
          </w:tcPr>
          <w:p w:rsidR="007F3949" w:rsidRPr="001F6C2A" w:rsidRDefault="007F3949" w:rsidP="001F6C2A">
            <w:pPr>
              <w:spacing w:after="0" w:line="240" w:lineRule="auto"/>
              <w:jc w:val="center"/>
              <w:rPr>
                <w:rFonts w:ascii="Times New Roman" w:hAnsi="Times New Roman" w:cs="Times New Roman"/>
                <w:color w:val="000000"/>
                <w:sz w:val="20"/>
                <w:szCs w:val="20"/>
              </w:rPr>
            </w:pPr>
            <w:r w:rsidRPr="001F6C2A">
              <w:rPr>
                <w:rFonts w:ascii="Times New Roman" w:hAnsi="Times New Roman" w:cs="Times New Roman"/>
                <w:color w:val="000000"/>
                <w:sz w:val="20"/>
                <w:szCs w:val="20"/>
              </w:rPr>
              <w:t>128</w:t>
            </w:r>
          </w:p>
        </w:tc>
        <w:tc>
          <w:tcPr>
            <w:tcW w:w="1800" w:type="dxa"/>
            <w:vAlign w:val="bottom"/>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38</w:t>
            </w:r>
          </w:p>
        </w:tc>
      </w:tr>
      <w:tr w:rsidR="007F3949" w:rsidRPr="001F6C2A" w:rsidTr="00F9401F">
        <w:trPr>
          <w:trHeight w:val="255"/>
          <w:jc w:val="center"/>
        </w:trPr>
        <w:tc>
          <w:tcPr>
            <w:tcW w:w="5010" w:type="dxa"/>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 xml:space="preserve">Rekonstruēti kanalizācijas tīkli, km </w:t>
            </w:r>
          </w:p>
        </w:tc>
        <w:tc>
          <w:tcPr>
            <w:tcW w:w="1800" w:type="dxa"/>
            <w:shd w:val="clear" w:color="auto" w:fill="auto"/>
            <w:vAlign w:val="bottom"/>
          </w:tcPr>
          <w:p w:rsidR="007F3949" w:rsidRPr="001F6C2A" w:rsidRDefault="007F3949" w:rsidP="001F6C2A">
            <w:pPr>
              <w:spacing w:after="0" w:line="240" w:lineRule="auto"/>
              <w:jc w:val="center"/>
              <w:rPr>
                <w:rFonts w:ascii="Times New Roman" w:hAnsi="Times New Roman" w:cs="Times New Roman"/>
                <w:color w:val="000000"/>
                <w:sz w:val="20"/>
                <w:szCs w:val="20"/>
              </w:rPr>
            </w:pPr>
            <w:r w:rsidRPr="001F6C2A">
              <w:rPr>
                <w:rFonts w:ascii="Times New Roman" w:hAnsi="Times New Roman" w:cs="Times New Roman"/>
                <w:color w:val="000000"/>
                <w:sz w:val="20"/>
                <w:szCs w:val="20"/>
              </w:rPr>
              <w:t>104</w:t>
            </w:r>
          </w:p>
        </w:tc>
        <w:tc>
          <w:tcPr>
            <w:tcW w:w="1800" w:type="dxa"/>
            <w:vAlign w:val="bottom"/>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58</w:t>
            </w:r>
          </w:p>
        </w:tc>
      </w:tr>
      <w:tr w:rsidR="007F3949" w:rsidRPr="001F6C2A" w:rsidTr="00F9401F">
        <w:trPr>
          <w:trHeight w:val="255"/>
          <w:jc w:val="center"/>
        </w:trPr>
        <w:tc>
          <w:tcPr>
            <w:tcW w:w="5010" w:type="dxa"/>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 xml:space="preserve">Rekonstruēti ūdensapgādes tīkli, km </w:t>
            </w:r>
          </w:p>
        </w:tc>
        <w:tc>
          <w:tcPr>
            <w:tcW w:w="1800" w:type="dxa"/>
            <w:shd w:val="clear" w:color="auto" w:fill="auto"/>
            <w:vAlign w:val="bottom"/>
          </w:tcPr>
          <w:p w:rsidR="007F3949" w:rsidRPr="001F6C2A" w:rsidRDefault="007F3949" w:rsidP="001F6C2A">
            <w:pPr>
              <w:spacing w:after="0" w:line="240" w:lineRule="auto"/>
              <w:jc w:val="center"/>
              <w:rPr>
                <w:rFonts w:ascii="Times New Roman" w:hAnsi="Times New Roman" w:cs="Times New Roman"/>
                <w:color w:val="000000"/>
                <w:sz w:val="20"/>
                <w:szCs w:val="20"/>
              </w:rPr>
            </w:pPr>
            <w:r w:rsidRPr="001F6C2A">
              <w:rPr>
                <w:rFonts w:ascii="Times New Roman" w:hAnsi="Times New Roman" w:cs="Times New Roman"/>
                <w:color w:val="000000"/>
                <w:sz w:val="20"/>
                <w:szCs w:val="20"/>
              </w:rPr>
              <w:t>110</w:t>
            </w:r>
          </w:p>
        </w:tc>
        <w:tc>
          <w:tcPr>
            <w:tcW w:w="1800" w:type="dxa"/>
            <w:vAlign w:val="bottom"/>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118</w:t>
            </w:r>
          </w:p>
        </w:tc>
      </w:tr>
    </w:tbl>
    <w:p w:rsidR="001F6C2A" w:rsidRDefault="001F6C2A" w:rsidP="001F6C2A">
      <w:pPr>
        <w:spacing w:before="120" w:after="0" w:line="240" w:lineRule="auto"/>
        <w:jc w:val="both"/>
        <w:rPr>
          <w:rFonts w:ascii="Times New Roman" w:hAnsi="Times New Roman" w:cs="Times New Roman"/>
          <w:iCs/>
          <w:sz w:val="24"/>
          <w:szCs w:val="24"/>
        </w:rPr>
      </w:pPr>
    </w:p>
    <w:p w:rsidR="007F3949" w:rsidRDefault="007F3949" w:rsidP="001F6C2A">
      <w:pPr>
        <w:spacing w:before="120" w:after="0" w:line="240" w:lineRule="auto"/>
        <w:jc w:val="both"/>
        <w:rPr>
          <w:rFonts w:ascii="Times New Roman" w:hAnsi="Times New Roman" w:cs="Times New Roman"/>
          <w:iCs/>
          <w:sz w:val="24"/>
          <w:szCs w:val="24"/>
        </w:rPr>
      </w:pPr>
      <w:r w:rsidRPr="00A4315E">
        <w:rPr>
          <w:rFonts w:ascii="Times New Roman" w:hAnsi="Times New Roman" w:cs="Times New Roman"/>
          <w:iCs/>
          <w:sz w:val="24"/>
          <w:szCs w:val="24"/>
        </w:rPr>
        <w:t>Īstenojot Kohēzijas fonda un ERAF līdzfinansētos projektus, 2013.gadā lielākās investīcijas infrastruktūras projektos ieguldītas Rīgas plānošanas reģionā – 14,21 milj</w:t>
      </w:r>
      <w:smartTag w:uri="schemas-tilde-lv/tildestengine" w:element="currency2">
        <w:smartTagPr>
          <w:attr w:name="c4" w:val="0.00 RUB"/>
          <w:attr w:name="c3" w:val="0.00 LVL"/>
          <w:attr w:name="c2" w:val="0.00 EUR"/>
          <w:attr w:name="c1" w:val="0.00 USD"/>
          <w:attr w:name="currency_text" w:val="latu"/>
          <w:attr w:name="currency_value" w:val="."/>
          <w:attr w:name="currency_key" w:val="LVL"/>
          <w:attr w:name="currency_id" w:val="48"/>
        </w:smartTagPr>
        <w:r w:rsidRPr="00A4315E">
          <w:rPr>
            <w:rFonts w:ascii="Times New Roman" w:hAnsi="Times New Roman" w:cs="Times New Roman"/>
            <w:iCs/>
            <w:sz w:val="24"/>
            <w:szCs w:val="24"/>
          </w:rPr>
          <w:t>. latu</w:t>
        </w:r>
      </w:smartTag>
      <w:r w:rsidRPr="00A4315E">
        <w:rPr>
          <w:rFonts w:ascii="Times New Roman" w:hAnsi="Times New Roman" w:cs="Times New Roman"/>
          <w:iCs/>
          <w:sz w:val="24"/>
          <w:szCs w:val="24"/>
        </w:rPr>
        <w:t xml:space="preserve"> jeb 31% no kopējām investīcijām, Vidzemes – 9,97 milj. latu (21%), Kurzemes – 8,01 milj. latu (17%) un vismazākās Latgales plānošanas reģionā – 7,31 milj. latu (16%) un Zemgales plānošanas reģionā 7,23 milj. latu (16%) </w:t>
      </w:r>
      <w:r w:rsidRPr="001F6C2A">
        <w:rPr>
          <w:rFonts w:ascii="Times New Roman" w:hAnsi="Times New Roman" w:cs="Times New Roman"/>
          <w:iCs/>
          <w:sz w:val="24"/>
          <w:szCs w:val="24"/>
        </w:rPr>
        <w:t>(</w:t>
      </w:r>
      <w:r w:rsidRPr="001F6C2A">
        <w:rPr>
          <w:rFonts w:ascii="Times New Roman" w:hAnsi="Times New Roman" w:cs="Times New Roman"/>
          <w:i/>
          <w:iCs/>
          <w:sz w:val="24"/>
          <w:szCs w:val="24"/>
        </w:rPr>
        <w:t>4. tabula</w:t>
      </w:r>
      <w:r w:rsidRPr="001F6C2A">
        <w:rPr>
          <w:rFonts w:ascii="Times New Roman" w:hAnsi="Times New Roman" w:cs="Times New Roman"/>
          <w:iCs/>
          <w:sz w:val="24"/>
          <w:szCs w:val="24"/>
        </w:rPr>
        <w:t xml:space="preserve">). </w:t>
      </w:r>
    </w:p>
    <w:p w:rsidR="00A610B6" w:rsidRDefault="00A610B6" w:rsidP="001F6C2A">
      <w:pPr>
        <w:spacing w:before="120" w:after="0" w:line="240" w:lineRule="auto"/>
        <w:jc w:val="both"/>
        <w:rPr>
          <w:rFonts w:ascii="Times New Roman" w:hAnsi="Times New Roman" w:cs="Times New Roman"/>
          <w:iCs/>
          <w:sz w:val="24"/>
          <w:szCs w:val="24"/>
        </w:rPr>
      </w:pPr>
    </w:p>
    <w:p w:rsidR="00D020FA" w:rsidRPr="001F6C2A" w:rsidRDefault="00D020FA" w:rsidP="001F6C2A">
      <w:pPr>
        <w:spacing w:before="120" w:after="0" w:line="240" w:lineRule="auto"/>
        <w:jc w:val="both"/>
        <w:rPr>
          <w:rFonts w:ascii="Times New Roman" w:hAnsi="Times New Roman" w:cs="Times New Roman"/>
          <w:iCs/>
          <w:sz w:val="24"/>
          <w:szCs w:val="24"/>
        </w:rPr>
      </w:pPr>
    </w:p>
    <w:p w:rsidR="007F3949" w:rsidRPr="00A4315E" w:rsidRDefault="007F3949" w:rsidP="001F6C2A">
      <w:pPr>
        <w:spacing w:before="120" w:after="0" w:line="240" w:lineRule="auto"/>
        <w:jc w:val="both"/>
        <w:rPr>
          <w:rFonts w:ascii="Times New Roman" w:hAnsi="Times New Roman" w:cs="Times New Roman"/>
          <w:i/>
          <w:sz w:val="24"/>
          <w:szCs w:val="24"/>
        </w:rPr>
      </w:pPr>
      <w:r w:rsidRPr="001F6C2A">
        <w:rPr>
          <w:rFonts w:ascii="Times New Roman" w:hAnsi="Times New Roman" w:cs="Times New Roman"/>
          <w:i/>
          <w:sz w:val="24"/>
          <w:szCs w:val="24"/>
        </w:rPr>
        <w:lastRenderedPageBreak/>
        <w:t>4. tabula.</w:t>
      </w:r>
      <w:r w:rsidRPr="00A4315E">
        <w:rPr>
          <w:rFonts w:ascii="Times New Roman" w:hAnsi="Times New Roman" w:cs="Times New Roman"/>
          <w:i/>
          <w:sz w:val="24"/>
          <w:szCs w:val="24"/>
        </w:rPr>
        <w:t xml:space="preserve"> Ieguldītās investīcijas plānošanas reģionos, īstenojot Kohēzijas fonda un ERAF līdzfinansētos infrastruktūras projektus, 2013</w:t>
      </w:r>
    </w:p>
    <w:tbl>
      <w:tblPr>
        <w:tblW w:w="8775" w:type="dxa"/>
        <w:jc w:val="center"/>
        <w:tblInd w:w="229" w:type="dxa"/>
        <w:tblLook w:val="0000"/>
      </w:tblPr>
      <w:tblGrid>
        <w:gridCol w:w="3105"/>
        <w:gridCol w:w="2125"/>
        <w:gridCol w:w="1986"/>
        <w:gridCol w:w="1559"/>
      </w:tblGrid>
      <w:tr w:rsidR="007F3949" w:rsidRPr="001F6C2A" w:rsidTr="00F9401F">
        <w:trPr>
          <w:trHeight w:val="510"/>
          <w:jc w:val="center"/>
        </w:trPr>
        <w:tc>
          <w:tcPr>
            <w:tcW w:w="3105"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Plānošanas reģions</w:t>
            </w:r>
          </w:p>
        </w:tc>
        <w:tc>
          <w:tcPr>
            <w:tcW w:w="2125" w:type="dxa"/>
            <w:tcBorders>
              <w:top w:val="single" w:sz="4" w:space="0" w:color="auto"/>
              <w:left w:val="nil"/>
              <w:bottom w:val="single" w:sz="4" w:space="0" w:color="auto"/>
              <w:right w:val="single" w:sz="4" w:space="0" w:color="auto"/>
            </w:tcBorders>
            <w:shd w:val="clear" w:color="auto" w:fill="8DB3E2" w:themeFill="text2" w:themeFillTint="66"/>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Aglomerācijas ar CE&gt;2000, kur ieguldītas investīcijas, skaits</w:t>
            </w:r>
          </w:p>
        </w:tc>
        <w:tc>
          <w:tcPr>
            <w:tcW w:w="1986"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Apdzīvotās vietas ar iedzīvotāju skaitu mazāku par 2000, kur ieguldītas investīcijas, skaits</w:t>
            </w:r>
          </w:p>
        </w:tc>
        <w:tc>
          <w:tcPr>
            <w:tcW w:w="1559"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 xml:space="preserve">Investīcijas, </w:t>
            </w:r>
          </w:p>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milj. LVL</w:t>
            </w:r>
          </w:p>
        </w:tc>
      </w:tr>
      <w:tr w:rsidR="007F3949" w:rsidRPr="001F6C2A" w:rsidTr="00F9401F">
        <w:trPr>
          <w:trHeight w:val="255"/>
          <w:jc w:val="center"/>
        </w:trPr>
        <w:tc>
          <w:tcPr>
            <w:tcW w:w="3105" w:type="dxa"/>
            <w:tcBorders>
              <w:top w:val="nil"/>
              <w:left w:val="single" w:sz="4" w:space="0" w:color="auto"/>
              <w:bottom w:val="single" w:sz="4" w:space="0" w:color="auto"/>
              <w:right w:val="single" w:sz="4" w:space="0" w:color="auto"/>
            </w:tcBorders>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Rīga</w:t>
            </w:r>
          </w:p>
        </w:tc>
        <w:tc>
          <w:tcPr>
            <w:tcW w:w="2125" w:type="dxa"/>
            <w:tcBorders>
              <w:top w:val="single" w:sz="4" w:space="0" w:color="auto"/>
              <w:left w:val="nil"/>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24</w:t>
            </w:r>
          </w:p>
        </w:tc>
        <w:tc>
          <w:tcPr>
            <w:tcW w:w="1986" w:type="dxa"/>
            <w:tcBorders>
              <w:top w:val="single" w:sz="4" w:space="0" w:color="auto"/>
              <w:left w:val="single" w:sz="4" w:space="0" w:color="auto"/>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43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3949" w:rsidRPr="001F6C2A" w:rsidRDefault="007F3949" w:rsidP="001F6C2A">
            <w:pPr>
              <w:spacing w:after="0" w:line="240" w:lineRule="auto"/>
              <w:jc w:val="right"/>
              <w:rPr>
                <w:rFonts w:ascii="Times New Roman" w:hAnsi="Times New Roman" w:cs="Times New Roman"/>
                <w:sz w:val="20"/>
                <w:szCs w:val="20"/>
              </w:rPr>
            </w:pPr>
            <w:r w:rsidRPr="001F6C2A">
              <w:rPr>
                <w:rFonts w:ascii="Times New Roman" w:hAnsi="Times New Roman" w:cs="Times New Roman"/>
                <w:sz w:val="20"/>
                <w:szCs w:val="20"/>
              </w:rPr>
              <w:t>14,21</w:t>
            </w:r>
          </w:p>
        </w:tc>
      </w:tr>
      <w:tr w:rsidR="007F3949" w:rsidRPr="001F6C2A" w:rsidTr="00F9401F">
        <w:trPr>
          <w:trHeight w:val="255"/>
          <w:jc w:val="center"/>
        </w:trPr>
        <w:tc>
          <w:tcPr>
            <w:tcW w:w="3105" w:type="dxa"/>
            <w:tcBorders>
              <w:top w:val="nil"/>
              <w:left w:val="single" w:sz="4" w:space="0" w:color="auto"/>
              <w:bottom w:val="single" w:sz="4" w:space="0" w:color="auto"/>
              <w:right w:val="single" w:sz="4" w:space="0" w:color="auto"/>
            </w:tcBorders>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Vidzeme</w:t>
            </w:r>
          </w:p>
        </w:tc>
        <w:tc>
          <w:tcPr>
            <w:tcW w:w="2125" w:type="dxa"/>
            <w:tcBorders>
              <w:top w:val="single" w:sz="4" w:space="0" w:color="auto"/>
              <w:left w:val="nil"/>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8</w:t>
            </w:r>
          </w:p>
        </w:tc>
        <w:tc>
          <w:tcPr>
            <w:tcW w:w="1986" w:type="dxa"/>
            <w:tcBorders>
              <w:top w:val="single" w:sz="4" w:space="0" w:color="auto"/>
              <w:left w:val="single" w:sz="4" w:space="0" w:color="auto"/>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66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3949" w:rsidRPr="001F6C2A" w:rsidRDefault="007F3949" w:rsidP="001F6C2A">
            <w:pPr>
              <w:spacing w:after="0" w:line="240" w:lineRule="auto"/>
              <w:jc w:val="right"/>
              <w:rPr>
                <w:rFonts w:ascii="Times New Roman" w:hAnsi="Times New Roman" w:cs="Times New Roman"/>
                <w:sz w:val="20"/>
                <w:szCs w:val="20"/>
              </w:rPr>
            </w:pPr>
            <w:r w:rsidRPr="001F6C2A">
              <w:rPr>
                <w:rFonts w:ascii="Times New Roman" w:hAnsi="Times New Roman" w:cs="Times New Roman"/>
                <w:sz w:val="20"/>
                <w:szCs w:val="20"/>
              </w:rPr>
              <w:t>9,67</w:t>
            </w:r>
          </w:p>
        </w:tc>
      </w:tr>
      <w:tr w:rsidR="007F3949" w:rsidRPr="001F6C2A" w:rsidTr="00F9401F">
        <w:trPr>
          <w:trHeight w:val="255"/>
          <w:jc w:val="center"/>
        </w:trPr>
        <w:tc>
          <w:tcPr>
            <w:tcW w:w="3105" w:type="dxa"/>
            <w:tcBorders>
              <w:top w:val="nil"/>
              <w:left w:val="single" w:sz="4" w:space="0" w:color="auto"/>
              <w:bottom w:val="single" w:sz="4" w:space="0" w:color="auto"/>
              <w:right w:val="single" w:sz="4" w:space="0" w:color="auto"/>
            </w:tcBorders>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Kurzeme</w:t>
            </w:r>
          </w:p>
        </w:tc>
        <w:tc>
          <w:tcPr>
            <w:tcW w:w="2125" w:type="dxa"/>
            <w:tcBorders>
              <w:top w:val="single" w:sz="4" w:space="0" w:color="auto"/>
              <w:left w:val="nil"/>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9</w:t>
            </w:r>
          </w:p>
        </w:tc>
        <w:tc>
          <w:tcPr>
            <w:tcW w:w="1986" w:type="dxa"/>
            <w:tcBorders>
              <w:top w:val="single" w:sz="4" w:space="0" w:color="auto"/>
              <w:left w:val="single" w:sz="4" w:space="0" w:color="auto"/>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39</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3949" w:rsidRPr="001F6C2A" w:rsidRDefault="007F3949" w:rsidP="001F6C2A">
            <w:pPr>
              <w:spacing w:after="0" w:line="240" w:lineRule="auto"/>
              <w:jc w:val="right"/>
              <w:rPr>
                <w:rFonts w:ascii="Times New Roman" w:hAnsi="Times New Roman" w:cs="Times New Roman"/>
                <w:sz w:val="20"/>
                <w:szCs w:val="20"/>
              </w:rPr>
            </w:pPr>
            <w:r w:rsidRPr="001F6C2A">
              <w:rPr>
                <w:rFonts w:ascii="Times New Roman" w:hAnsi="Times New Roman" w:cs="Times New Roman"/>
                <w:sz w:val="20"/>
                <w:szCs w:val="20"/>
              </w:rPr>
              <w:t>8,01</w:t>
            </w:r>
          </w:p>
        </w:tc>
      </w:tr>
      <w:tr w:rsidR="007F3949" w:rsidRPr="001F6C2A" w:rsidTr="00F9401F">
        <w:trPr>
          <w:trHeight w:val="255"/>
          <w:jc w:val="center"/>
        </w:trPr>
        <w:tc>
          <w:tcPr>
            <w:tcW w:w="3105" w:type="dxa"/>
            <w:tcBorders>
              <w:top w:val="single" w:sz="4" w:space="0" w:color="auto"/>
              <w:left w:val="single" w:sz="4" w:space="0" w:color="auto"/>
              <w:bottom w:val="single" w:sz="4" w:space="0" w:color="auto"/>
              <w:right w:val="single" w:sz="4" w:space="0" w:color="auto"/>
            </w:tcBorders>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Zemgale</w:t>
            </w:r>
          </w:p>
        </w:tc>
        <w:tc>
          <w:tcPr>
            <w:tcW w:w="2125" w:type="dxa"/>
            <w:tcBorders>
              <w:top w:val="single" w:sz="4" w:space="0" w:color="auto"/>
              <w:left w:val="nil"/>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16</w:t>
            </w:r>
          </w:p>
        </w:tc>
        <w:tc>
          <w:tcPr>
            <w:tcW w:w="1986" w:type="dxa"/>
            <w:tcBorders>
              <w:top w:val="single" w:sz="4" w:space="0" w:color="auto"/>
              <w:left w:val="single" w:sz="4" w:space="0" w:color="auto"/>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42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3949" w:rsidRPr="001F6C2A" w:rsidRDefault="007F3949" w:rsidP="001F6C2A">
            <w:pPr>
              <w:spacing w:after="0" w:line="240" w:lineRule="auto"/>
              <w:jc w:val="right"/>
              <w:rPr>
                <w:rFonts w:ascii="Times New Roman" w:hAnsi="Times New Roman" w:cs="Times New Roman"/>
                <w:sz w:val="20"/>
                <w:szCs w:val="20"/>
              </w:rPr>
            </w:pPr>
            <w:r w:rsidRPr="001F6C2A">
              <w:rPr>
                <w:rFonts w:ascii="Times New Roman" w:hAnsi="Times New Roman" w:cs="Times New Roman"/>
                <w:sz w:val="20"/>
                <w:szCs w:val="20"/>
              </w:rPr>
              <w:t>7,23</w:t>
            </w:r>
          </w:p>
        </w:tc>
      </w:tr>
      <w:tr w:rsidR="007F3949" w:rsidRPr="001F6C2A" w:rsidTr="00F9401F">
        <w:trPr>
          <w:trHeight w:val="255"/>
          <w:jc w:val="center"/>
        </w:trPr>
        <w:tc>
          <w:tcPr>
            <w:tcW w:w="3105" w:type="dxa"/>
            <w:tcBorders>
              <w:top w:val="single" w:sz="4" w:space="0" w:color="auto"/>
              <w:left w:val="single" w:sz="4" w:space="0" w:color="auto"/>
              <w:bottom w:val="single" w:sz="4" w:space="0" w:color="auto"/>
              <w:right w:val="single" w:sz="4" w:space="0" w:color="auto"/>
            </w:tcBorders>
            <w:shd w:val="clear" w:color="auto" w:fill="auto"/>
            <w:noWrap/>
          </w:tcPr>
          <w:p w:rsidR="007F3949" w:rsidRPr="001F6C2A" w:rsidRDefault="007F3949" w:rsidP="001F6C2A">
            <w:pPr>
              <w:spacing w:after="0" w:line="240" w:lineRule="auto"/>
              <w:rPr>
                <w:rFonts w:ascii="Times New Roman" w:hAnsi="Times New Roman" w:cs="Times New Roman"/>
                <w:sz w:val="20"/>
                <w:szCs w:val="20"/>
              </w:rPr>
            </w:pPr>
            <w:r w:rsidRPr="001F6C2A">
              <w:rPr>
                <w:rFonts w:ascii="Times New Roman" w:hAnsi="Times New Roman" w:cs="Times New Roman"/>
                <w:sz w:val="20"/>
                <w:szCs w:val="20"/>
              </w:rPr>
              <w:t>Latgale</w:t>
            </w:r>
          </w:p>
        </w:tc>
        <w:tc>
          <w:tcPr>
            <w:tcW w:w="2125" w:type="dxa"/>
            <w:tcBorders>
              <w:top w:val="single" w:sz="4" w:space="0" w:color="auto"/>
              <w:left w:val="nil"/>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9</w:t>
            </w:r>
          </w:p>
        </w:tc>
        <w:tc>
          <w:tcPr>
            <w:tcW w:w="1986" w:type="dxa"/>
            <w:tcBorders>
              <w:top w:val="single" w:sz="4" w:space="0" w:color="auto"/>
              <w:left w:val="single" w:sz="4" w:space="0" w:color="auto"/>
              <w:bottom w:val="single" w:sz="4" w:space="0" w:color="auto"/>
              <w:right w:val="single" w:sz="4" w:space="0" w:color="auto"/>
            </w:tcBorders>
          </w:tcPr>
          <w:p w:rsidR="007F3949" w:rsidRPr="001F6C2A" w:rsidRDefault="007F3949" w:rsidP="001F6C2A">
            <w:pPr>
              <w:spacing w:after="0" w:line="240" w:lineRule="auto"/>
              <w:jc w:val="center"/>
              <w:rPr>
                <w:rFonts w:ascii="Times New Roman" w:hAnsi="Times New Roman" w:cs="Times New Roman"/>
                <w:sz w:val="20"/>
                <w:szCs w:val="20"/>
              </w:rPr>
            </w:pPr>
            <w:r w:rsidRPr="001F6C2A">
              <w:rPr>
                <w:rFonts w:ascii="Times New Roman" w:hAnsi="Times New Roman" w:cs="Times New Roman"/>
                <w:sz w:val="20"/>
                <w:szCs w:val="20"/>
              </w:rPr>
              <w:t>43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3949" w:rsidRPr="001F6C2A" w:rsidRDefault="007F3949" w:rsidP="001F6C2A">
            <w:pPr>
              <w:spacing w:after="0" w:line="240" w:lineRule="auto"/>
              <w:jc w:val="right"/>
              <w:rPr>
                <w:rFonts w:ascii="Times New Roman" w:hAnsi="Times New Roman" w:cs="Times New Roman"/>
                <w:sz w:val="20"/>
                <w:szCs w:val="20"/>
              </w:rPr>
            </w:pPr>
            <w:r w:rsidRPr="001F6C2A">
              <w:rPr>
                <w:rFonts w:ascii="Times New Roman" w:hAnsi="Times New Roman" w:cs="Times New Roman"/>
                <w:sz w:val="20"/>
                <w:szCs w:val="20"/>
              </w:rPr>
              <w:t>7,31</w:t>
            </w:r>
          </w:p>
        </w:tc>
      </w:tr>
      <w:tr w:rsidR="007F3949" w:rsidRPr="001F6C2A" w:rsidTr="00F9401F">
        <w:trPr>
          <w:trHeight w:val="255"/>
          <w:jc w:val="center"/>
        </w:trPr>
        <w:tc>
          <w:tcPr>
            <w:tcW w:w="3105"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rsidR="007F3949" w:rsidRPr="001F6C2A" w:rsidRDefault="007F3949" w:rsidP="001F6C2A">
            <w:pPr>
              <w:spacing w:after="0" w:line="240" w:lineRule="auto"/>
              <w:rPr>
                <w:rFonts w:ascii="Times New Roman" w:hAnsi="Times New Roman" w:cs="Times New Roman"/>
                <w:b/>
                <w:bCs/>
                <w:sz w:val="20"/>
                <w:szCs w:val="20"/>
              </w:rPr>
            </w:pPr>
            <w:r w:rsidRPr="001F6C2A">
              <w:rPr>
                <w:rFonts w:ascii="Times New Roman" w:hAnsi="Times New Roman" w:cs="Times New Roman"/>
                <w:b/>
                <w:bCs/>
                <w:sz w:val="20"/>
                <w:szCs w:val="20"/>
              </w:rPr>
              <w:t>Kopā</w:t>
            </w:r>
          </w:p>
        </w:tc>
        <w:tc>
          <w:tcPr>
            <w:tcW w:w="2125" w:type="dxa"/>
            <w:tcBorders>
              <w:top w:val="single" w:sz="4" w:space="0" w:color="auto"/>
              <w:left w:val="nil"/>
              <w:bottom w:val="single" w:sz="4" w:space="0" w:color="auto"/>
              <w:right w:val="single" w:sz="4" w:space="0" w:color="auto"/>
            </w:tcBorders>
            <w:shd w:val="clear" w:color="auto" w:fill="8DB3E2" w:themeFill="text2" w:themeFillTint="66"/>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66</w:t>
            </w:r>
          </w:p>
        </w:tc>
        <w:tc>
          <w:tcPr>
            <w:tcW w:w="1986"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7F3949" w:rsidRPr="001F6C2A" w:rsidRDefault="007F3949" w:rsidP="001F6C2A">
            <w:pPr>
              <w:spacing w:after="0" w:line="240" w:lineRule="auto"/>
              <w:jc w:val="center"/>
              <w:rPr>
                <w:rFonts w:ascii="Times New Roman" w:hAnsi="Times New Roman" w:cs="Times New Roman"/>
                <w:b/>
                <w:bCs/>
                <w:sz w:val="20"/>
                <w:szCs w:val="20"/>
              </w:rPr>
            </w:pPr>
            <w:r w:rsidRPr="001F6C2A">
              <w:rPr>
                <w:rFonts w:ascii="Times New Roman" w:hAnsi="Times New Roman" w:cs="Times New Roman"/>
                <w:b/>
                <w:bCs/>
                <w:sz w:val="20"/>
                <w:szCs w:val="20"/>
              </w:rPr>
              <w:t>233</w:t>
            </w:r>
          </w:p>
        </w:tc>
        <w:tc>
          <w:tcPr>
            <w:tcW w:w="1559"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rsidR="007F3949" w:rsidRPr="001F6C2A" w:rsidRDefault="007F3949" w:rsidP="001F6C2A">
            <w:pPr>
              <w:spacing w:after="0" w:line="240" w:lineRule="auto"/>
              <w:jc w:val="right"/>
              <w:rPr>
                <w:rFonts w:ascii="Times New Roman" w:hAnsi="Times New Roman" w:cs="Times New Roman"/>
                <w:b/>
                <w:bCs/>
                <w:sz w:val="20"/>
                <w:szCs w:val="20"/>
              </w:rPr>
            </w:pPr>
            <w:r w:rsidRPr="001F6C2A">
              <w:rPr>
                <w:rFonts w:ascii="Times New Roman" w:hAnsi="Times New Roman" w:cs="Times New Roman"/>
                <w:b/>
                <w:bCs/>
                <w:sz w:val="20"/>
                <w:szCs w:val="20"/>
              </w:rPr>
              <w:t>46,43</w:t>
            </w:r>
          </w:p>
        </w:tc>
      </w:tr>
    </w:tbl>
    <w:p w:rsidR="001F6C2A" w:rsidRDefault="001F6C2A" w:rsidP="001F6C2A">
      <w:pPr>
        <w:spacing w:before="120" w:after="0" w:line="240" w:lineRule="auto"/>
        <w:jc w:val="both"/>
        <w:rPr>
          <w:rFonts w:ascii="Times New Roman" w:hAnsi="Times New Roman" w:cs="Times New Roman"/>
          <w:sz w:val="24"/>
          <w:szCs w:val="24"/>
        </w:rPr>
      </w:pPr>
    </w:p>
    <w:p w:rsidR="007F3949" w:rsidRDefault="00614B5C" w:rsidP="001F6C2A">
      <w:pPr>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pict>
          <v:group id="_x0000_s1057" editas="canvas" style="position:absolute;left:0;text-align:left;margin-left:0;margin-top:0;width:256.15pt;height:187.25pt;z-index:251673600;mso-position-horizontal:left;mso-position-horizontal-relative:margin;mso-position-vertical:center;mso-position-vertical-relative:margin" coordorigin="2361,13893" coordsize="4441,3246">
            <o:lock v:ext="edit" aspectratio="t"/>
            <v:shape id="_x0000_s1058" type="#_x0000_t75" style="position:absolute;left:2361;top:13893;width:4441;height:3246" o:preferrelative="f">
              <v:fill o:detectmouseclick="t"/>
              <v:path o:extrusionok="t" o:connecttype="none"/>
              <o:lock v:ext="edit" text="t"/>
            </v:shape>
            <v:shape id="_x0000_s1059" type="#_x0000_t202" style="position:absolute;left:2370;top:16546;width:4365;height:528" stroked="f">
              <v:textbox style="mso-next-textbox:#_x0000_s1059">
                <w:txbxContent>
                  <w:p w:rsidR="00A04249" w:rsidRPr="00746321" w:rsidRDefault="00A04249" w:rsidP="00D020FA">
                    <w:pPr>
                      <w:spacing w:after="0" w:line="240" w:lineRule="auto"/>
                      <w:ind w:left="-113"/>
                      <w:jc w:val="both"/>
                      <w:rPr>
                        <w:rFonts w:ascii="Times New Roman" w:hAnsi="Times New Roman" w:cs="Times New Roman"/>
                        <w:b/>
                        <w:color w:val="0070C0"/>
                        <w:sz w:val="20"/>
                        <w:szCs w:val="20"/>
                      </w:rPr>
                    </w:pPr>
                    <w:r w:rsidRPr="00746321">
                      <w:rPr>
                        <w:rFonts w:ascii="Times New Roman" w:hAnsi="Times New Roman" w:cs="Times New Roman"/>
                        <w:b/>
                        <w:color w:val="0070C0"/>
                        <w:sz w:val="20"/>
                        <w:szCs w:val="20"/>
                      </w:rPr>
                      <w:t>Fotogrāfija: Ūdenssaimniecības attīstība Liepājā</w:t>
                    </w:r>
                  </w:p>
                  <w:p w:rsidR="00A04249" w:rsidRPr="00746321" w:rsidRDefault="00A04249" w:rsidP="00D020FA">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color w:val="0070C0"/>
                        <w:sz w:val="20"/>
                        <w:szCs w:val="20"/>
                      </w:rPr>
                      <w:t>SIA „Liepājas ūdens” Kohēzijas fonda projekts</w:t>
                    </w:r>
                  </w:p>
                </w:txbxContent>
              </v:textbox>
            </v:shape>
            <v:shape id="_x0000_s1060" type="#_x0000_t75" style="position:absolute;left:2361;top:13893;width:4441;height:2653">
              <v:imagedata r:id="rId44" o:title="Liepaja_1"/>
            </v:shape>
            <w10:wrap type="square" anchorx="margin" anchory="margin"/>
          </v:group>
        </w:pict>
      </w:r>
      <w:r w:rsidR="007F3949" w:rsidRPr="00A4315E">
        <w:rPr>
          <w:rFonts w:ascii="Times New Roman" w:hAnsi="Times New Roman" w:cs="Times New Roman"/>
          <w:sz w:val="24"/>
          <w:szCs w:val="24"/>
        </w:rPr>
        <w:t>Atšķirīgs ir ieguldīto investīciju sadalījums pa plānošanas reģioniem, ja salīdzina ieguldījumus Kohēzijas fonda un ERAF līdzfinansētajos infrastruktūras attīstības projektos (</w:t>
      </w:r>
      <w:r w:rsidR="007F3949" w:rsidRPr="001F6C2A">
        <w:rPr>
          <w:rFonts w:ascii="Times New Roman" w:hAnsi="Times New Roman" w:cs="Times New Roman"/>
          <w:i/>
          <w:sz w:val="24"/>
          <w:szCs w:val="24"/>
        </w:rPr>
        <w:t>10. attēls</w:t>
      </w:r>
      <w:r w:rsidR="007F3949" w:rsidRPr="001F6C2A">
        <w:rPr>
          <w:rFonts w:ascii="Times New Roman" w:hAnsi="Times New Roman" w:cs="Times New Roman"/>
          <w:sz w:val="24"/>
          <w:szCs w:val="24"/>
        </w:rPr>
        <w:t>).</w:t>
      </w:r>
      <w:r w:rsidR="007F3949" w:rsidRPr="00A4315E">
        <w:rPr>
          <w:rFonts w:ascii="Times New Roman" w:hAnsi="Times New Roman" w:cs="Times New Roman"/>
          <w:sz w:val="24"/>
          <w:szCs w:val="24"/>
        </w:rPr>
        <w:t xml:space="preserve"> Lielākie ieguldījumi, īstenojot Kohēzijas fonda līdzfinansētos projektus, veikti Rīgas plānošanas reģionā – 40% no ieguldītajām investīcijām, savukārt īstenojot ERAF līdzfinansētos projektus, – Vidzemes plānošanas reģionā, t.i., 32% no ieguldītajām investīcijām. Mazākās investīcijas, īstenojot Kohēzijas fonda līdzfinansētos projektus, ieguldītas Vidzemes plānošanas reģionā – 12% apmērā, bet, īstenojot ERAF līdzfinansētos projektus, mazākās investīcijas ieguldītas Latgales plānošanas reģionā – 15%. </w:t>
      </w:r>
    </w:p>
    <w:p w:rsidR="00D020FA" w:rsidRDefault="00D020FA" w:rsidP="001F6C2A">
      <w:pPr>
        <w:spacing w:before="120" w:after="0" w:line="240" w:lineRule="auto"/>
        <w:jc w:val="both"/>
        <w:rPr>
          <w:rFonts w:ascii="Times New Roman" w:hAnsi="Times New Roman" w:cs="Times New Roman"/>
          <w:sz w:val="24"/>
          <w:szCs w:val="24"/>
        </w:rPr>
      </w:pPr>
    </w:p>
    <w:p w:rsidR="004D5A02" w:rsidRPr="00A4315E" w:rsidRDefault="004D5A02" w:rsidP="001F6C2A">
      <w:pPr>
        <w:spacing w:before="120" w:after="0" w:line="240" w:lineRule="auto"/>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41"/>
        <w:gridCol w:w="3222"/>
      </w:tblGrid>
      <w:tr w:rsidR="007F3949" w:rsidRPr="00A4315E" w:rsidTr="00F9401F">
        <w:tc>
          <w:tcPr>
            <w:tcW w:w="5826" w:type="dxa"/>
          </w:tcPr>
          <w:p w:rsidR="007F3949" w:rsidRPr="00A4315E" w:rsidRDefault="007F3949" w:rsidP="009D0F47">
            <w:pPr>
              <w:spacing w:before="120"/>
              <w:jc w:val="both"/>
              <w:rPr>
                <w:rFonts w:ascii="Times New Roman" w:hAnsi="Times New Roman" w:cs="Times New Roman"/>
                <w:sz w:val="24"/>
                <w:szCs w:val="24"/>
              </w:rPr>
            </w:pPr>
            <w:r w:rsidRPr="00A4315E">
              <w:rPr>
                <w:rFonts w:ascii="Times New Roman" w:hAnsi="Times New Roman" w:cs="Times New Roman"/>
                <w:noProof/>
                <w:sz w:val="24"/>
                <w:szCs w:val="24"/>
                <w:lang w:eastAsia="lv-LV"/>
              </w:rPr>
              <w:drawing>
                <wp:inline distT="0" distB="0" distL="0" distR="0">
                  <wp:extent cx="3762375" cy="2343150"/>
                  <wp:effectExtent l="0" t="0" r="0" b="0"/>
                  <wp:docPr id="2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3222" w:type="dxa"/>
            <w:vAlign w:val="center"/>
          </w:tcPr>
          <w:p w:rsidR="007F3949" w:rsidRPr="00A610B6" w:rsidRDefault="007F3949" w:rsidP="00A4315E">
            <w:pPr>
              <w:spacing w:before="120"/>
              <w:jc w:val="center"/>
              <w:rPr>
                <w:rFonts w:ascii="Times New Roman" w:hAnsi="Times New Roman" w:cs="Times New Roman"/>
                <w:b/>
                <w:lang w:val="lv-LV"/>
              </w:rPr>
            </w:pPr>
            <w:r w:rsidRPr="00A610B6">
              <w:rPr>
                <w:rFonts w:ascii="Times New Roman" w:hAnsi="Times New Roman" w:cs="Times New Roman"/>
                <w:b/>
                <w:bCs/>
                <w:lang w:val="lv-LV"/>
              </w:rPr>
              <w:t>Aglomerācijas ar cilvēku ekvivalentu lielāku par 2000</w:t>
            </w:r>
          </w:p>
        </w:tc>
      </w:tr>
      <w:tr w:rsidR="007F3949" w:rsidRPr="00A4315E" w:rsidTr="00F9401F">
        <w:tc>
          <w:tcPr>
            <w:tcW w:w="5826" w:type="dxa"/>
          </w:tcPr>
          <w:p w:rsidR="007F3949" w:rsidRPr="00A4315E" w:rsidRDefault="007F3949" w:rsidP="001F6C2A">
            <w:pPr>
              <w:jc w:val="both"/>
              <w:rPr>
                <w:rFonts w:ascii="Times New Roman" w:hAnsi="Times New Roman" w:cs="Times New Roman"/>
                <w:sz w:val="24"/>
                <w:szCs w:val="24"/>
              </w:rPr>
            </w:pPr>
            <w:r w:rsidRPr="00A4315E">
              <w:rPr>
                <w:rFonts w:ascii="Times New Roman" w:hAnsi="Times New Roman" w:cs="Times New Roman"/>
                <w:noProof/>
                <w:sz w:val="24"/>
                <w:szCs w:val="24"/>
                <w:lang w:eastAsia="lv-LV"/>
              </w:rPr>
              <w:lastRenderedPageBreak/>
              <w:drawing>
                <wp:inline distT="0" distB="0" distL="0" distR="0">
                  <wp:extent cx="3762375" cy="2324100"/>
                  <wp:effectExtent l="0" t="0" r="0" b="0"/>
                  <wp:docPr id="2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3222" w:type="dxa"/>
            <w:vAlign w:val="center"/>
          </w:tcPr>
          <w:p w:rsidR="007F3949" w:rsidRPr="00A610B6" w:rsidRDefault="007F3949" w:rsidP="00A4315E">
            <w:pPr>
              <w:jc w:val="center"/>
              <w:rPr>
                <w:rFonts w:ascii="Times New Roman" w:hAnsi="Times New Roman" w:cs="Times New Roman"/>
                <w:lang w:val="lv-LV"/>
              </w:rPr>
            </w:pPr>
            <w:r w:rsidRPr="00A610B6">
              <w:rPr>
                <w:rFonts w:ascii="Times New Roman" w:hAnsi="Times New Roman" w:cs="Times New Roman"/>
                <w:b/>
                <w:bCs/>
                <w:lang w:val="lv-LV"/>
              </w:rPr>
              <w:t>Apdzīvotās vietas ar iedzīvotāju skaitu mazāku par 2000</w:t>
            </w:r>
          </w:p>
        </w:tc>
      </w:tr>
    </w:tbl>
    <w:p w:rsidR="007F3949" w:rsidRPr="00A4315E" w:rsidRDefault="007F3949" w:rsidP="00AE13EA">
      <w:pPr>
        <w:spacing w:after="0" w:line="240" w:lineRule="auto"/>
        <w:rPr>
          <w:rFonts w:ascii="Times New Roman" w:hAnsi="Times New Roman" w:cs="Times New Roman"/>
          <w:sz w:val="24"/>
          <w:szCs w:val="24"/>
        </w:rPr>
      </w:pPr>
      <w:r w:rsidRPr="001F6C2A">
        <w:rPr>
          <w:rFonts w:ascii="Times New Roman" w:hAnsi="Times New Roman" w:cs="Times New Roman"/>
          <w:i/>
          <w:sz w:val="24"/>
          <w:szCs w:val="24"/>
        </w:rPr>
        <w:t>10. attēls.</w:t>
      </w:r>
      <w:r w:rsidRPr="00A4315E">
        <w:rPr>
          <w:rFonts w:ascii="Times New Roman" w:hAnsi="Times New Roman" w:cs="Times New Roman"/>
          <w:i/>
          <w:sz w:val="24"/>
          <w:szCs w:val="24"/>
        </w:rPr>
        <w:t xml:space="preserve"> Ieguldīto investīciju sadalījums pa plānošanas reģioniem, 2013, milj. LVL.</w:t>
      </w:r>
    </w:p>
    <w:bookmarkEnd w:id="15"/>
    <w:p w:rsidR="00AE13EA" w:rsidRDefault="00AE13EA" w:rsidP="009D0F47">
      <w:pPr>
        <w:spacing w:before="120" w:after="0" w:line="240" w:lineRule="auto"/>
        <w:jc w:val="both"/>
        <w:rPr>
          <w:rFonts w:ascii="Times New Roman" w:hAnsi="Times New Roman" w:cs="Times New Roman"/>
          <w:sz w:val="24"/>
          <w:szCs w:val="24"/>
        </w:rPr>
      </w:pPr>
    </w:p>
    <w:p w:rsidR="007F3949" w:rsidRPr="00A4315E" w:rsidRDefault="007F3949" w:rsidP="009D0F47">
      <w:pPr>
        <w:spacing w:before="120" w:after="0" w:line="240" w:lineRule="auto"/>
        <w:jc w:val="both"/>
        <w:rPr>
          <w:rFonts w:ascii="Times New Roman" w:hAnsi="Times New Roman" w:cs="Times New Roman"/>
          <w:sz w:val="24"/>
          <w:szCs w:val="24"/>
        </w:rPr>
      </w:pPr>
      <w:r w:rsidRPr="00A4315E">
        <w:rPr>
          <w:rFonts w:ascii="Times New Roman" w:hAnsi="Times New Roman" w:cs="Times New Roman"/>
          <w:sz w:val="24"/>
          <w:szCs w:val="24"/>
        </w:rPr>
        <w:t>Ieguldītās investīcijas uz vienu iedzīvotāju Kohēzijas fonda līdzfinansētajos infrastruktūras projektos svārstās no 10 līdz 18 latiem, bet ERAF līdzfinansētajos projektos – no 3 līdz 31 latam, attiecīgi kopējās investīcijas ūdenssaimniecības infrastruktūras projektos 2013. gadā svārstās – no 14 līdz 46 latiem (</w:t>
      </w:r>
      <w:r w:rsidRPr="001F6C2A">
        <w:rPr>
          <w:rFonts w:ascii="Times New Roman" w:hAnsi="Times New Roman" w:cs="Times New Roman"/>
          <w:i/>
          <w:sz w:val="24"/>
          <w:szCs w:val="24"/>
        </w:rPr>
        <w:t>11. attēls</w:t>
      </w:r>
      <w:r w:rsidRPr="001F6C2A">
        <w:rPr>
          <w:rFonts w:ascii="Times New Roman" w:hAnsi="Times New Roman" w:cs="Times New Roman"/>
          <w:sz w:val="24"/>
          <w:szCs w:val="24"/>
        </w:rPr>
        <w:t>).</w:t>
      </w:r>
    </w:p>
    <w:p w:rsidR="007F3949" w:rsidRPr="0067072D" w:rsidRDefault="007F3949" w:rsidP="009D0F47">
      <w:pPr>
        <w:spacing w:before="120" w:after="0"/>
        <w:jc w:val="center"/>
      </w:pPr>
      <w:r w:rsidRPr="008065ED">
        <w:rPr>
          <w:noProof/>
          <w:lang w:eastAsia="lv-LV"/>
        </w:rPr>
        <w:drawing>
          <wp:inline distT="0" distB="0" distL="0" distR="0">
            <wp:extent cx="4572000" cy="3552825"/>
            <wp:effectExtent l="0" t="0" r="0" b="0"/>
            <wp:docPr id="2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7F3949" w:rsidRPr="001F6C2A" w:rsidRDefault="007F3949" w:rsidP="00AE13EA">
      <w:pPr>
        <w:spacing w:after="0" w:line="240" w:lineRule="auto"/>
        <w:jc w:val="both"/>
        <w:rPr>
          <w:rFonts w:ascii="Times New Roman" w:hAnsi="Times New Roman" w:cs="Times New Roman"/>
          <w:sz w:val="24"/>
          <w:szCs w:val="24"/>
        </w:rPr>
      </w:pPr>
      <w:r w:rsidRPr="001F6C2A">
        <w:rPr>
          <w:rFonts w:ascii="Times New Roman" w:hAnsi="Times New Roman" w:cs="Times New Roman"/>
          <w:i/>
          <w:sz w:val="24"/>
          <w:szCs w:val="24"/>
        </w:rPr>
        <w:t>11. attēls. Ieguldīto investīciju uz vienu iedzīvotāju sadalījums pa plānošanas reģioniem, 2013, LVL</w:t>
      </w:r>
    </w:p>
    <w:p w:rsidR="00AE13EA" w:rsidRDefault="00AE13EA" w:rsidP="001F6C2A">
      <w:pPr>
        <w:spacing w:before="120" w:after="0" w:line="240" w:lineRule="auto"/>
        <w:jc w:val="both"/>
        <w:rPr>
          <w:rFonts w:ascii="Times New Roman" w:hAnsi="Times New Roman" w:cs="Times New Roman"/>
          <w:sz w:val="24"/>
          <w:szCs w:val="24"/>
        </w:rPr>
      </w:pPr>
    </w:p>
    <w:p w:rsidR="007F3949" w:rsidRPr="001F6C2A" w:rsidRDefault="007F3949" w:rsidP="001F6C2A">
      <w:pPr>
        <w:spacing w:before="120" w:after="0" w:line="240" w:lineRule="auto"/>
        <w:jc w:val="both"/>
        <w:rPr>
          <w:rFonts w:ascii="Times New Roman" w:hAnsi="Times New Roman" w:cs="Times New Roman"/>
          <w:sz w:val="24"/>
          <w:szCs w:val="24"/>
        </w:rPr>
      </w:pPr>
      <w:r w:rsidRPr="001F6C2A">
        <w:rPr>
          <w:rFonts w:ascii="Times New Roman" w:hAnsi="Times New Roman" w:cs="Times New Roman"/>
          <w:sz w:val="24"/>
          <w:szCs w:val="24"/>
        </w:rPr>
        <w:t xml:space="preserve">Aglomerācijās ar cilvēku ekvivalentu lielāku par 100 000 (Rīga, Daugavpils) kopumā infrastruktūras attīstības projektos ieguldīti 186,72 milj. latu, no tiem 2013. gadā ieguldīti 7,61 </w:t>
      </w:r>
      <w:r w:rsidRPr="001F6C2A">
        <w:rPr>
          <w:rFonts w:ascii="Times New Roman" w:hAnsi="Times New Roman" w:cs="Times New Roman"/>
          <w:sz w:val="24"/>
          <w:szCs w:val="24"/>
        </w:rPr>
        <w:lastRenderedPageBreak/>
        <w:t>milj. latu, attiecīgi aglomerācijās ar cilvēku ekvivalentu no 10 000 līdz 100 000 – 300,75 milj. un 2013. gadā – 11,62 milj. latu, aglomerācijās ar cilvēku ekvivalentu no 2000 līdz 10 000 – 168,03 milj. un 2013. gadā – 7,06 milj. latu, bet apdzīvotās ar iedzīvotāju skaitu līdz 2000 – 106,44 milj. un 2013. gadā – 20,14 milj. latu (</w:t>
      </w:r>
      <w:r w:rsidRPr="001F6C2A">
        <w:rPr>
          <w:rFonts w:ascii="Times New Roman" w:hAnsi="Times New Roman" w:cs="Times New Roman"/>
          <w:i/>
          <w:sz w:val="24"/>
          <w:szCs w:val="24"/>
        </w:rPr>
        <w:t>12. attēls</w:t>
      </w:r>
      <w:r w:rsidRPr="001F6C2A">
        <w:rPr>
          <w:rFonts w:ascii="Times New Roman" w:hAnsi="Times New Roman" w:cs="Times New Roman"/>
          <w:sz w:val="24"/>
          <w:szCs w:val="24"/>
        </w:rPr>
        <w:t>).</w:t>
      </w:r>
    </w:p>
    <w:p w:rsidR="007F3949" w:rsidRPr="001F6C2A" w:rsidRDefault="007F3949" w:rsidP="009D0F47">
      <w:pPr>
        <w:spacing w:before="120" w:after="0" w:line="240" w:lineRule="auto"/>
        <w:jc w:val="center"/>
        <w:rPr>
          <w:rFonts w:ascii="Times New Roman" w:hAnsi="Times New Roman" w:cs="Times New Roman"/>
          <w:sz w:val="24"/>
          <w:szCs w:val="24"/>
        </w:rPr>
      </w:pPr>
      <w:r w:rsidRPr="001F6C2A">
        <w:rPr>
          <w:rFonts w:ascii="Times New Roman" w:hAnsi="Times New Roman" w:cs="Times New Roman"/>
          <w:noProof/>
          <w:sz w:val="24"/>
          <w:szCs w:val="24"/>
          <w:lang w:eastAsia="lv-LV"/>
        </w:rPr>
        <w:drawing>
          <wp:inline distT="0" distB="0" distL="0" distR="0">
            <wp:extent cx="4572000" cy="2743200"/>
            <wp:effectExtent l="19050" t="0" r="0" b="0"/>
            <wp:docPr id="23"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F3949" w:rsidRPr="001F6C2A" w:rsidRDefault="007F3949" w:rsidP="00AE13EA">
      <w:pPr>
        <w:spacing w:after="0" w:line="240" w:lineRule="auto"/>
        <w:jc w:val="both"/>
        <w:rPr>
          <w:rFonts w:ascii="Times New Roman" w:hAnsi="Times New Roman" w:cs="Times New Roman"/>
          <w:noProof/>
          <w:sz w:val="24"/>
          <w:szCs w:val="24"/>
        </w:rPr>
      </w:pPr>
      <w:r w:rsidRPr="001F6C2A">
        <w:rPr>
          <w:rFonts w:ascii="Times New Roman" w:hAnsi="Times New Roman" w:cs="Times New Roman"/>
          <w:i/>
          <w:sz w:val="24"/>
          <w:szCs w:val="24"/>
        </w:rPr>
        <w:t>12. attēls. Investīciju īpatsvars atbilstoši aglomerāciju sadalījumam, %</w:t>
      </w:r>
    </w:p>
    <w:p w:rsidR="007F3949" w:rsidRPr="0066456C" w:rsidRDefault="007F3949" w:rsidP="001F6C2A">
      <w:pPr>
        <w:spacing w:before="120" w:after="0" w:line="240" w:lineRule="auto"/>
        <w:jc w:val="both"/>
        <w:rPr>
          <w:rFonts w:ascii="Times New Roman" w:hAnsi="Times New Roman" w:cs="Times New Roman"/>
          <w:sz w:val="24"/>
          <w:szCs w:val="24"/>
        </w:rPr>
      </w:pPr>
      <w:r w:rsidRPr="001F6C2A">
        <w:rPr>
          <w:rFonts w:ascii="Times New Roman" w:hAnsi="Times New Roman" w:cs="Times New Roman"/>
          <w:sz w:val="24"/>
          <w:szCs w:val="24"/>
        </w:rPr>
        <w:t xml:space="preserve">Analizējot investīcijas ūdenssaimniecības infrastruktūras attīstībā sadalījumā pa upju baseinu apgabaliem dinamiku, redzams, ka, īstenojot Kohēzijas fonda līdzfinansētos projektus, vislielākie ieguldījumi no 1995. gada līdz 2013. gadā kopumā, gan 2013. gadā </w:t>
      </w:r>
      <w:r w:rsidRPr="0066456C">
        <w:rPr>
          <w:rFonts w:ascii="Times New Roman" w:hAnsi="Times New Roman" w:cs="Times New Roman"/>
          <w:sz w:val="24"/>
          <w:szCs w:val="24"/>
        </w:rPr>
        <w:t>veikti Daugavas upju baseina apgabala aglomerācijas (</w:t>
      </w:r>
      <w:r w:rsidRPr="0066456C">
        <w:rPr>
          <w:rFonts w:ascii="Times New Roman" w:hAnsi="Times New Roman" w:cs="Times New Roman"/>
          <w:i/>
          <w:sz w:val="24"/>
          <w:szCs w:val="24"/>
        </w:rPr>
        <w:t>5. tabula</w:t>
      </w:r>
      <w:r w:rsidRPr="0066456C">
        <w:rPr>
          <w:rFonts w:ascii="Times New Roman" w:hAnsi="Times New Roman" w:cs="Times New Roman"/>
          <w:sz w:val="24"/>
          <w:szCs w:val="24"/>
        </w:rPr>
        <w:t>).</w:t>
      </w:r>
    </w:p>
    <w:p w:rsidR="007F3949" w:rsidRPr="00325F1D" w:rsidRDefault="007F3949" w:rsidP="001F6C2A">
      <w:pPr>
        <w:spacing w:before="120" w:after="0" w:line="240" w:lineRule="auto"/>
        <w:jc w:val="both"/>
        <w:rPr>
          <w:rFonts w:ascii="Times New Roman" w:hAnsi="Times New Roman" w:cs="Times New Roman"/>
          <w:sz w:val="24"/>
          <w:szCs w:val="24"/>
        </w:rPr>
      </w:pPr>
    </w:p>
    <w:p w:rsidR="007F3949" w:rsidRPr="001F6C2A" w:rsidRDefault="007F3949" w:rsidP="009D0F47">
      <w:pPr>
        <w:spacing w:before="120" w:after="0" w:line="240" w:lineRule="auto"/>
        <w:jc w:val="both"/>
        <w:rPr>
          <w:rFonts w:ascii="Times New Roman" w:hAnsi="Times New Roman" w:cs="Times New Roman"/>
          <w:sz w:val="24"/>
          <w:szCs w:val="24"/>
        </w:rPr>
      </w:pPr>
      <w:r w:rsidRPr="0066456C">
        <w:rPr>
          <w:rFonts w:ascii="Times New Roman" w:hAnsi="Times New Roman" w:cs="Times New Roman"/>
          <w:i/>
          <w:sz w:val="24"/>
          <w:szCs w:val="24"/>
        </w:rPr>
        <w:t>5. tabula.</w:t>
      </w:r>
      <w:r w:rsidRPr="001F6C2A">
        <w:rPr>
          <w:rFonts w:ascii="Times New Roman" w:hAnsi="Times New Roman" w:cs="Times New Roman"/>
          <w:i/>
          <w:sz w:val="24"/>
          <w:szCs w:val="24"/>
        </w:rPr>
        <w:t xml:space="preserve"> Investīciju sadalījums pa upju baseiniem, milj. LVL</w:t>
      </w:r>
    </w:p>
    <w:tbl>
      <w:tblPr>
        <w:tblW w:w="8222" w:type="dxa"/>
        <w:jc w:val="center"/>
        <w:tblInd w:w="-111" w:type="dxa"/>
        <w:tblLook w:val="0000"/>
      </w:tblPr>
      <w:tblGrid>
        <w:gridCol w:w="3994"/>
        <w:gridCol w:w="2114"/>
        <w:gridCol w:w="2114"/>
      </w:tblGrid>
      <w:tr w:rsidR="007F3949" w:rsidRPr="0066456C" w:rsidTr="001F6C2A">
        <w:trPr>
          <w:trHeight w:val="510"/>
          <w:jc w:val="center"/>
        </w:trPr>
        <w:tc>
          <w:tcPr>
            <w:tcW w:w="3994"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7F3949" w:rsidRPr="0066456C" w:rsidRDefault="007F3949" w:rsidP="0066456C">
            <w:pPr>
              <w:spacing w:after="0" w:line="240" w:lineRule="auto"/>
              <w:jc w:val="center"/>
              <w:rPr>
                <w:rFonts w:ascii="Times New Roman" w:hAnsi="Times New Roman" w:cs="Times New Roman"/>
                <w:b/>
                <w:bCs/>
                <w:sz w:val="20"/>
                <w:szCs w:val="20"/>
              </w:rPr>
            </w:pPr>
            <w:r w:rsidRPr="0066456C">
              <w:rPr>
                <w:rFonts w:ascii="Times New Roman" w:hAnsi="Times New Roman" w:cs="Times New Roman"/>
                <w:b/>
                <w:bCs/>
                <w:sz w:val="20"/>
                <w:szCs w:val="20"/>
              </w:rPr>
              <w:t>Upju baseinu apgabali</w:t>
            </w:r>
          </w:p>
        </w:tc>
        <w:tc>
          <w:tcPr>
            <w:tcW w:w="2114" w:type="dxa"/>
            <w:tcBorders>
              <w:top w:val="single" w:sz="4" w:space="0" w:color="auto"/>
              <w:left w:val="nil"/>
              <w:bottom w:val="single" w:sz="4" w:space="0" w:color="auto"/>
              <w:right w:val="single" w:sz="4" w:space="0" w:color="auto"/>
            </w:tcBorders>
            <w:shd w:val="clear" w:color="auto" w:fill="8DB3E2" w:themeFill="text2" w:themeFillTint="66"/>
            <w:vAlign w:val="center"/>
          </w:tcPr>
          <w:p w:rsidR="007F3949" w:rsidRPr="0066456C" w:rsidRDefault="007F3949" w:rsidP="0066456C">
            <w:pPr>
              <w:spacing w:after="0" w:line="240" w:lineRule="auto"/>
              <w:jc w:val="center"/>
              <w:rPr>
                <w:rFonts w:ascii="Times New Roman" w:hAnsi="Times New Roman" w:cs="Times New Roman"/>
                <w:b/>
                <w:bCs/>
                <w:sz w:val="20"/>
                <w:szCs w:val="20"/>
              </w:rPr>
            </w:pPr>
            <w:r w:rsidRPr="0066456C">
              <w:rPr>
                <w:rFonts w:ascii="Times New Roman" w:hAnsi="Times New Roman" w:cs="Times New Roman"/>
                <w:b/>
                <w:bCs/>
                <w:sz w:val="20"/>
                <w:szCs w:val="20"/>
              </w:rPr>
              <w:t>1995.-2013.</w:t>
            </w:r>
          </w:p>
        </w:tc>
        <w:tc>
          <w:tcPr>
            <w:tcW w:w="2114"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rsidR="007F3949" w:rsidRPr="0066456C" w:rsidRDefault="007F3949" w:rsidP="0066456C">
            <w:pPr>
              <w:spacing w:after="0" w:line="240" w:lineRule="auto"/>
              <w:jc w:val="center"/>
              <w:rPr>
                <w:rFonts w:ascii="Times New Roman" w:hAnsi="Times New Roman" w:cs="Times New Roman"/>
                <w:b/>
                <w:bCs/>
                <w:sz w:val="20"/>
                <w:szCs w:val="20"/>
              </w:rPr>
            </w:pPr>
            <w:r w:rsidRPr="0066456C">
              <w:rPr>
                <w:rFonts w:ascii="Times New Roman" w:hAnsi="Times New Roman" w:cs="Times New Roman"/>
                <w:b/>
                <w:bCs/>
                <w:sz w:val="20"/>
                <w:szCs w:val="20"/>
              </w:rPr>
              <w:t>2013.</w:t>
            </w:r>
          </w:p>
        </w:tc>
      </w:tr>
      <w:tr w:rsidR="007F3949" w:rsidRPr="0066456C" w:rsidTr="001F6C2A">
        <w:trPr>
          <w:trHeight w:val="255"/>
          <w:jc w:val="center"/>
        </w:trPr>
        <w:tc>
          <w:tcPr>
            <w:tcW w:w="3994" w:type="dxa"/>
            <w:tcBorders>
              <w:top w:val="nil"/>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rPr>
                <w:rFonts w:ascii="Times New Roman" w:hAnsi="Times New Roman" w:cs="Times New Roman"/>
                <w:bCs/>
                <w:sz w:val="20"/>
                <w:szCs w:val="20"/>
              </w:rPr>
            </w:pPr>
            <w:r w:rsidRPr="0066456C">
              <w:rPr>
                <w:rFonts w:ascii="Times New Roman" w:hAnsi="Times New Roman" w:cs="Times New Roman"/>
                <w:bCs/>
                <w:sz w:val="20"/>
                <w:szCs w:val="20"/>
              </w:rPr>
              <w:t>Daugava</w:t>
            </w:r>
          </w:p>
        </w:tc>
        <w:tc>
          <w:tcPr>
            <w:tcW w:w="2114" w:type="dxa"/>
            <w:tcBorders>
              <w:top w:val="single" w:sz="4" w:space="0" w:color="auto"/>
              <w:left w:val="nil"/>
              <w:bottom w:val="single" w:sz="4" w:space="0" w:color="auto"/>
              <w:right w:val="single" w:sz="4" w:space="0" w:color="auto"/>
            </w:tcBorders>
            <w:vAlign w:val="bottom"/>
          </w:tcPr>
          <w:p w:rsidR="007F3949" w:rsidRPr="0066456C" w:rsidRDefault="007F3949" w:rsidP="0066456C">
            <w:pPr>
              <w:spacing w:after="0" w:line="240" w:lineRule="auto"/>
              <w:jc w:val="center"/>
              <w:rPr>
                <w:rFonts w:ascii="Times New Roman" w:hAnsi="Times New Roman" w:cs="Times New Roman"/>
                <w:bCs/>
                <w:sz w:val="20"/>
                <w:szCs w:val="20"/>
              </w:rPr>
            </w:pPr>
            <w:r w:rsidRPr="0066456C">
              <w:rPr>
                <w:rFonts w:ascii="Times New Roman" w:hAnsi="Times New Roman" w:cs="Times New Roman"/>
                <w:bCs/>
                <w:sz w:val="20"/>
                <w:szCs w:val="20"/>
              </w:rPr>
              <w:t>344,98</w:t>
            </w:r>
          </w:p>
        </w:tc>
        <w:tc>
          <w:tcPr>
            <w:tcW w:w="2114" w:type="dxa"/>
            <w:tcBorders>
              <w:top w:val="nil"/>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jc w:val="center"/>
              <w:rPr>
                <w:rFonts w:ascii="Times New Roman" w:hAnsi="Times New Roman" w:cs="Times New Roman"/>
                <w:sz w:val="20"/>
                <w:szCs w:val="20"/>
              </w:rPr>
            </w:pPr>
            <w:r w:rsidRPr="0066456C">
              <w:rPr>
                <w:rFonts w:ascii="Times New Roman" w:hAnsi="Times New Roman" w:cs="Times New Roman"/>
                <w:sz w:val="20"/>
                <w:szCs w:val="20"/>
              </w:rPr>
              <w:t>12,37</w:t>
            </w:r>
          </w:p>
        </w:tc>
      </w:tr>
      <w:tr w:rsidR="007F3949" w:rsidRPr="0066456C" w:rsidTr="001F6C2A">
        <w:trPr>
          <w:trHeight w:val="255"/>
          <w:jc w:val="center"/>
        </w:trPr>
        <w:tc>
          <w:tcPr>
            <w:tcW w:w="3994" w:type="dxa"/>
            <w:tcBorders>
              <w:top w:val="nil"/>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rPr>
                <w:rFonts w:ascii="Times New Roman" w:hAnsi="Times New Roman" w:cs="Times New Roman"/>
                <w:bCs/>
                <w:sz w:val="20"/>
                <w:szCs w:val="20"/>
              </w:rPr>
            </w:pPr>
            <w:r w:rsidRPr="0066456C">
              <w:rPr>
                <w:rFonts w:ascii="Times New Roman" w:hAnsi="Times New Roman" w:cs="Times New Roman"/>
                <w:bCs/>
                <w:sz w:val="20"/>
                <w:szCs w:val="20"/>
              </w:rPr>
              <w:t>Venta</w:t>
            </w:r>
          </w:p>
        </w:tc>
        <w:tc>
          <w:tcPr>
            <w:tcW w:w="2114" w:type="dxa"/>
            <w:tcBorders>
              <w:top w:val="single" w:sz="4" w:space="0" w:color="auto"/>
              <w:left w:val="nil"/>
              <w:bottom w:val="single" w:sz="4" w:space="0" w:color="auto"/>
              <w:right w:val="single" w:sz="4" w:space="0" w:color="auto"/>
            </w:tcBorders>
            <w:vAlign w:val="bottom"/>
          </w:tcPr>
          <w:p w:rsidR="007F3949" w:rsidRPr="0066456C" w:rsidRDefault="007F3949" w:rsidP="0066456C">
            <w:pPr>
              <w:spacing w:after="0" w:line="240" w:lineRule="auto"/>
              <w:jc w:val="center"/>
              <w:rPr>
                <w:rFonts w:ascii="Times New Roman" w:hAnsi="Times New Roman" w:cs="Times New Roman"/>
                <w:bCs/>
                <w:sz w:val="20"/>
                <w:szCs w:val="20"/>
              </w:rPr>
            </w:pPr>
            <w:r w:rsidRPr="0066456C">
              <w:rPr>
                <w:rFonts w:ascii="Times New Roman" w:hAnsi="Times New Roman" w:cs="Times New Roman"/>
                <w:bCs/>
                <w:sz w:val="20"/>
                <w:szCs w:val="20"/>
              </w:rPr>
              <w:t>140,46</w:t>
            </w:r>
          </w:p>
        </w:tc>
        <w:tc>
          <w:tcPr>
            <w:tcW w:w="2114" w:type="dxa"/>
            <w:tcBorders>
              <w:top w:val="nil"/>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jc w:val="center"/>
              <w:rPr>
                <w:rFonts w:ascii="Times New Roman" w:hAnsi="Times New Roman" w:cs="Times New Roman"/>
                <w:sz w:val="20"/>
                <w:szCs w:val="20"/>
              </w:rPr>
            </w:pPr>
            <w:r w:rsidRPr="0066456C">
              <w:rPr>
                <w:rFonts w:ascii="Times New Roman" w:hAnsi="Times New Roman" w:cs="Times New Roman"/>
                <w:sz w:val="20"/>
                <w:szCs w:val="20"/>
              </w:rPr>
              <w:t>6,42</w:t>
            </w:r>
          </w:p>
        </w:tc>
      </w:tr>
      <w:tr w:rsidR="007F3949" w:rsidRPr="0066456C" w:rsidTr="001F6C2A">
        <w:trPr>
          <w:trHeight w:val="255"/>
          <w:jc w:val="center"/>
        </w:trPr>
        <w:tc>
          <w:tcPr>
            <w:tcW w:w="3994" w:type="dxa"/>
            <w:tcBorders>
              <w:top w:val="nil"/>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rPr>
                <w:rFonts w:ascii="Times New Roman" w:hAnsi="Times New Roman" w:cs="Times New Roman"/>
                <w:bCs/>
                <w:sz w:val="20"/>
                <w:szCs w:val="20"/>
              </w:rPr>
            </w:pPr>
            <w:r w:rsidRPr="0066456C">
              <w:rPr>
                <w:rFonts w:ascii="Times New Roman" w:hAnsi="Times New Roman" w:cs="Times New Roman"/>
                <w:bCs/>
                <w:sz w:val="20"/>
                <w:szCs w:val="20"/>
              </w:rPr>
              <w:t>Gauja</w:t>
            </w:r>
          </w:p>
        </w:tc>
        <w:tc>
          <w:tcPr>
            <w:tcW w:w="2114" w:type="dxa"/>
            <w:tcBorders>
              <w:top w:val="single" w:sz="4" w:space="0" w:color="auto"/>
              <w:left w:val="nil"/>
              <w:bottom w:val="single" w:sz="4" w:space="0" w:color="auto"/>
              <w:right w:val="single" w:sz="4" w:space="0" w:color="auto"/>
            </w:tcBorders>
            <w:vAlign w:val="bottom"/>
          </w:tcPr>
          <w:p w:rsidR="007F3949" w:rsidRPr="0066456C" w:rsidRDefault="007F3949" w:rsidP="0066456C">
            <w:pPr>
              <w:spacing w:after="0" w:line="240" w:lineRule="auto"/>
              <w:jc w:val="center"/>
              <w:rPr>
                <w:rFonts w:ascii="Times New Roman" w:hAnsi="Times New Roman" w:cs="Times New Roman"/>
                <w:bCs/>
                <w:sz w:val="20"/>
                <w:szCs w:val="20"/>
              </w:rPr>
            </w:pPr>
            <w:r w:rsidRPr="0066456C">
              <w:rPr>
                <w:rFonts w:ascii="Times New Roman" w:hAnsi="Times New Roman" w:cs="Times New Roman"/>
                <w:bCs/>
                <w:sz w:val="20"/>
                <w:szCs w:val="20"/>
              </w:rPr>
              <w:t>85,58</w:t>
            </w:r>
          </w:p>
        </w:tc>
        <w:tc>
          <w:tcPr>
            <w:tcW w:w="2114" w:type="dxa"/>
            <w:tcBorders>
              <w:top w:val="nil"/>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jc w:val="center"/>
              <w:rPr>
                <w:rFonts w:ascii="Times New Roman" w:hAnsi="Times New Roman" w:cs="Times New Roman"/>
                <w:sz w:val="20"/>
                <w:szCs w:val="20"/>
              </w:rPr>
            </w:pPr>
            <w:r w:rsidRPr="0066456C">
              <w:rPr>
                <w:rFonts w:ascii="Times New Roman" w:hAnsi="Times New Roman" w:cs="Times New Roman"/>
                <w:sz w:val="20"/>
                <w:szCs w:val="20"/>
              </w:rPr>
              <w:t>4,07</w:t>
            </w:r>
          </w:p>
        </w:tc>
      </w:tr>
      <w:tr w:rsidR="007F3949" w:rsidRPr="0066456C" w:rsidTr="001F6C2A">
        <w:trPr>
          <w:trHeight w:val="255"/>
          <w:jc w:val="center"/>
        </w:trPr>
        <w:tc>
          <w:tcPr>
            <w:tcW w:w="3994" w:type="dxa"/>
            <w:tcBorders>
              <w:top w:val="nil"/>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rPr>
                <w:rFonts w:ascii="Times New Roman" w:hAnsi="Times New Roman" w:cs="Times New Roman"/>
                <w:bCs/>
                <w:sz w:val="20"/>
                <w:szCs w:val="20"/>
              </w:rPr>
            </w:pPr>
            <w:r w:rsidRPr="0066456C">
              <w:rPr>
                <w:rFonts w:ascii="Times New Roman" w:hAnsi="Times New Roman" w:cs="Times New Roman"/>
                <w:bCs/>
                <w:sz w:val="20"/>
                <w:szCs w:val="20"/>
              </w:rPr>
              <w:t>Lielupe</w:t>
            </w:r>
          </w:p>
        </w:tc>
        <w:tc>
          <w:tcPr>
            <w:tcW w:w="2114" w:type="dxa"/>
            <w:tcBorders>
              <w:top w:val="single" w:sz="4" w:space="0" w:color="auto"/>
              <w:left w:val="nil"/>
              <w:bottom w:val="single" w:sz="4" w:space="0" w:color="auto"/>
              <w:right w:val="single" w:sz="4" w:space="0" w:color="auto"/>
            </w:tcBorders>
            <w:vAlign w:val="bottom"/>
          </w:tcPr>
          <w:p w:rsidR="007F3949" w:rsidRPr="0066456C" w:rsidRDefault="007F3949" w:rsidP="0066456C">
            <w:pPr>
              <w:spacing w:after="0" w:line="240" w:lineRule="auto"/>
              <w:jc w:val="center"/>
              <w:rPr>
                <w:rFonts w:ascii="Times New Roman" w:hAnsi="Times New Roman" w:cs="Times New Roman"/>
                <w:bCs/>
                <w:sz w:val="20"/>
                <w:szCs w:val="20"/>
              </w:rPr>
            </w:pPr>
            <w:r w:rsidRPr="0066456C">
              <w:rPr>
                <w:rFonts w:ascii="Times New Roman" w:hAnsi="Times New Roman" w:cs="Times New Roman"/>
                <w:bCs/>
                <w:sz w:val="20"/>
                <w:szCs w:val="20"/>
              </w:rPr>
              <w:t>84,48</w:t>
            </w:r>
          </w:p>
        </w:tc>
        <w:tc>
          <w:tcPr>
            <w:tcW w:w="2114" w:type="dxa"/>
            <w:tcBorders>
              <w:top w:val="nil"/>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jc w:val="center"/>
              <w:rPr>
                <w:rFonts w:ascii="Times New Roman" w:hAnsi="Times New Roman" w:cs="Times New Roman"/>
                <w:sz w:val="20"/>
                <w:szCs w:val="20"/>
              </w:rPr>
            </w:pPr>
            <w:r w:rsidRPr="0066456C">
              <w:rPr>
                <w:rFonts w:ascii="Times New Roman" w:hAnsi="Times New Roman" w:cs="Times New Roman"/>
                <w:sz w:val="20"/>
                <w:szCs w:val="20"/>
              </w:rPr>
              <w:t>3,43</w:t>
            </w:r>
          </w:p>
        </w:tc>
      </w:tr>
      <w:tr w:rsidR="007F3949" w:rsidRPr="0066456C" w:rsidTr="001F6C2A">
        <w:trPr>
          <w:trHeight w:val="255"/>
          <w:jc w:val="center"/>
        </w:trPr>
        <w:tc>
          <w:tcPr>
            <w:tcW w:w="39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rPr>
                <w:rFonts w:ascii="Times New Roman" w:hAnsi="Times New Roman" w:cs="Times New Roman"/>
                <w:b/>
                <w:bCs/>
                <w:sz w:val="20"/>
                <w:szCs w:val="20"/>
              </w:rPr>
            </w:pPr>
            <w:r w:rsidRPr="0066456C">
              <w:rPr>
                <w:rFonts w:ascii="Times New Roman" w:hAnsi="Times New Roman" w:cs="Times New Roman"/>
                <w:b/>
                <w:bCs/>
                <w:sz w:val="20"/>
                <w:szCs w:val="20"/>
              </w:rPr>
              <w:t>Kopā</w:t>
            </w:r>
          </w:p>
        </w:tc>
        <w:tc>
          <w:tcPr>
            <w:tcW w:w="2114" w:type="dxa"/>
            <w:tcBorders>
              <w:top w:val="single" w:sz="4" w:space="0" w:color="auto"/>
              <w:left w:val="nil"/>
              <w:bottom w:val="single" w:sz="4" w:space="0" w:color="auto"/>
              <w:right w:val="single" w:sz="4" w:space="0" w:color="auto"/>
            </w:tcBorders>
            <w:vAlign w:val="bottom"/>
          </w:tcPr>
          <w:p w:rsidR="007F3949" w:rsidRPr="0066456C" w:rsidRDefault="007F3949" w:rsidP="0066456C">
            <w:pPr>
              <w:spacing w:after="0" w:line="240" w:lineRule="auto"/>
              <w:jc w:val="center"/>
              <w:rPr>
                <w:rFonts w:ascii="Times New Roman" w:hAnsi="Times New Roman" w:cs="Times New Roman"/>
                <w:b/>
                <w:bCs/>
                <w:sz w:val="20"/>
                <w:szCs w:val="20"/>
              </w:rPr>
            </w:pPr>
            <w:r w:rsidRPr="0066456C">
              <w:rPr>
                <w:rFonts w:ascii="Times New Roman" w:hAnsi="Times New Roman" w:cs="Times New Roman"/>
                <w:b/>
                <w:bCs/>
                <w:sz w:val="20"/>
                <w:szCs w:val="20"/>
              </w:rPr>
              <w:t>655,50</w:t>
            </w:r>
          </w:p>
        </w:tc>
        <w:tc>
          <w:tcPr>
            <w:tcW w:w="2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3949" w:rsidRPr="0066456C" w:rsidRDefault="007F3949" w:rsidP="0066456C">
            <w:pPr>
              <w:spacing w:after="0" w:line="240" w:lineRule="auto"/>
              <w:jc w:val="center"/>
              <w:rPr>
                <w:rFonts w:ascii="Times New Roman" w:hAnsi="Times New Roman" w:cs="Times New Roman"/>
                <w:b/>
                <w:bCs/>
                <w:sz w:val="20"/>
                <w:szCs w:val="20"/>
              </w:rPr>
            </w:pPr>
            <w:r w:rsidRPr="0066456C">
              <w:rPr>
                <w:rFonts w:ascii="Times New Roman" w:hAnsi="Times New Roman" w:cs="Times New Roman"/>
                <w:b/>
                <w:bCs/>
                <w:sz w:val="20"/>
                <w:szCs w:val="20"/>
              </w:rPr>
              <w:t>26,30</w:t>
            </w:r>
          </w:p>
        </w:tc>
      </w:tr>
    </w:tbl>
    <w:p w:rsidR="007F3949" w:rsidRPr="001F6C2A" w:rsidRDefault="007F3949" w:rsidP="0066456C">
      <w:pPr>
        <w:spacing w:before="120" w:after="0" w:line="240" w:lineRule="auto"/>
        <w:rPr>
          <w:rFonts w:ascii="Times New Roman" w:hAnsi="Times New Roman" w:cs="Times New Roman"/>
          <w:sz w:val="24"/>
          <w:szCs w:val="24"/>
        </w:rPr>
      </w:pPr>
    </w:p>
    <w:p w:rsidR="007F3949" w:rsidRPr="001F6C2A" w:rsidRDefault="007F3949" w:rsidP="00306360">
      <w:pPr>
        <w:spacing w:before="120" w:after="0" w:line="240" w:lineRule="auto"/>
        <w:jc w:val="both"/>
        <w:rPr>
          <w:rFonts w:ascii="Times New Roman" w:hAnsi="Times New Roman" w:cs="Times New Roman"/>
          <w:sz w:val="24"/>
          <w:szCs w:val="24"/>
        </w:rPr>
      </w:pPr>
      <w:r w:rsidRPr="001F6C2A">
        <w:rPr>
          <w:rFonts w:ascii="Times New Roman" w:hAnsi="Times New Roman" w:cs="Times New Roman"/>
          <w:sz w:val="24"/>
          <w:szCs w:val="24"/>
        </w:rPr>
        <w:t xml:space="preserve">Šis investīciju sadalījums ir atbilstošs upju baseinu apgabalos atrodošos aglomerāciju ar CE&gt;2000 skaitam, t.i., Daugavas upju baseinā atrodas 38 aglomerācijas, kurās ieguldīti 53% no kopējām investīcijām, attiecīgi vismazākās </w:t>
      </w:r>
      <w:r w:rsidRPr="009D0F47">
        <w:rPr>
          <w:rFonts w:ascii="Times New Roman" w:hAnsi="Times New Roman" w:cs="Times New Roman"/>
          <w:sz w:val="24"/>
          <w:szCs w:val="24"/>
        </w:rPr>
        <w:t>investīcijas ieguldītas Lielupes un Gaujas upju baseinos – katrā ap 13% no kopējām investīcijām (</w:t>
      </w:r>
      <w:r w:rsidRPr="009D0F47">
        <w:rPr>
          <w:rFonts w:ascii="Times New Roman" w:hAnsi="Times New Roman" w:cs="Times New Roman"/>
          <w:i/>
          <w:sz w:val="24"/>
          <w:szCs w:val="24"/>
        </w:rPr>
        <w:t>13. attēls</w:t>
      </w:r>
      <w:r w:rsidRPr="009D0F47">
        <w:rPr>
          <w:rFonts w:ascii="Times New Roman" w:hAnsi="Times New Roman" w:cs="Times New Roman"/>
          <w:sz w:val="24"/>
          <w:szCs w:val="24"/>
        </w:rPr>
        <w:t>).</w:t>
      </w:r>
    </w:p>
    <w:p w:rsidR="007F3949" w:rsidRPr="001F6C2A" w:rsidRDefault="007F3949" w:rsidP="009D0F47">
      <w:pPr>
        <w:spacing w:before="120" w:after="0" w:line="240" w:lineRule="auto"/>
        <w:jc w:val="center"/>
        <w:rPr>
          <w:rFonts w:ascii="Times New Roman" w:hAnsi="Times New Roman" w:cs="Times New Roman"/>
          <w:sz w:val="24"/>
          <w:szCs w:val="24"/>
        </w:rPr>
      </w:pPr>
      <w:r w:rsidRPr="001F6C2A">
        <w:rPr>
          <w:rFonts w:ascii="Times New Roman" w:hAnsi="Times New Roman" w:cs="Times New Roman"/>
          <w:noProof/>
          <w:sz w:val="24"/>
          <w:szCs w:val="24"/>
          <w:lang w:eastAsia="lv-LV"/>
        </w:rPr>
        <w:lastRenderedPageBreak/>
        <w:drawing>
          <wp:inline distT="0" distB="0" distL="0" distR="0">
            <wp:extent cx="4572000" cy="2743200"/>
            <wp:effectExtent l="19050" t="0" r="0" b="0"/>
            <wp:docPr id="24"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F3949" w:rsidRPr="001F6C2A" w:rsidRDefault="007F3949" w:rsidP="00AE13EA">
      <w:pPr>
        <w:spacing w:after="0" w:line="240" w:lineRule="auto"/>
        <w:jc w:val="both"/>
        <w:rPr>
          <w:rFonts w:ascii="Times New Roman" w:hAnsi="Times New Roman" w:cs="Times New Roman"/>
          <w:i/>
          <w:sz w:val="24"/>
          <w:szCs w:val="24"/>
        </w:rPr>
      </w:pPr>
      <w:r w:rsidRPr="009D0F47">
        <w:rPr>
          <w:rFonts w:ascii="Times New Roman" w:hAnsi="Times New Roman" w:cs="Times New Roman"/>
          <w:i/>
          <w:sz w:val="24"/>
          <w:szCs w:val="24"/>
        </w:rPr>
        <w:t>13. attēls.</w:t>
      </w:r>
      <w:r w:rsidRPr="001F6C2A">
        <w:rPr>
          <w:rFonts w:ascii="Times New Roman" w:hAnsi="Times New Roman" w:cs="Times New Roman"/>
          <w:i/>
          <w:sz w:val="24"/>
          <w:szCs w:val="24"/>
        </w:rPr>
        <w:t xml:space="preserve"> Investīciju īpatsvars aglomerācijās ar CE&gt;2000 atbilstoši upju baseinu apgabaliem, %</w:t>
      </w:r>
    </w:p>
    <w:p w:rsidR="00AE13EA" w:rsidRDefault="00AE13EA" w:rsidP="009D0F47">
      <w:pPr>
        <w:autoSpaceDE w:val="0"/>
        <w:autoSpaceDN w:val="0"/>
        <w:adjustRightInd w:val="0"/>
        <w:spacing w:before="120" w:after="0" w:line="240" w:lineRule="auto"/>
        <w:jc w:val="both"/>
        <w:rPr>
          <w:rFonts w:ascii="Times New Roman" w:hAnsi="Times New Roman" w:cs="Times New Roman"/>
          <w:color w:val="000000"/>
          <w:sz w:val="24"/>
          <w:szCs w:val="24"/>
          <w:lang w:eastAsia="lv-LV"/>
        </w:rPr>
      </w:pPr>
    </w:p>
    <w:p w:rsidR="007F3949" w:rsidRPr="001F6C2A" w:rsidRDefault="007F3949" w:rsidP="009D0F47">
      <w:pPr>
        <w:autoSpaceDE w:val="0"/>
        <w:autoSpaceDN w:val="0"/>
        <w:adjustRightInd w:val="0"/>
        <w:spacing w:before="120" w:after="0" w:line="240" w:lineRule="auto"/>
        <w:jc w:val="both"/>
        <w:rPr>
          <w:rFonts w:ascii="Times New Roman" w:hAnsi="Times New Roman" w:cs="Times New Roman"/>
          <w:sz w:val="24"/>
          <w:szCs w:val="24"/>
        </w:rPr>
      </w:pPr>
      <w:r w:rsidRPr="001F6C2A">
        <w:rPr>
          <w:rFonts w:ascii="Times New Roman" w:hAnsi="Times New Roman" w:cs="Times New Roman"/>
          <w:color w:val="000000"/>
          <w:sz w:val="24"/>
          <w:szCs w:val="24"/>
          <w:lang w:eastAsia="lv-LV"/>
        </w:rPr>
        <w:t>Atskaites periodā investīcijas ūdenssaimniecības attīstībā ieguldītas 66 aglomerācijās ar cilvēku ekvivalentu lielāku par 2000 un 233 apdzīvotās vietās ar iedzīvotāju skaitu līdz 2000. Ar Kohēzijas fonda atbalstu 2013. gadā tika pabeigti 19 ūdenssaimniecības infrastruktūras investīciju projekti (</w:t>
      </w:r>
      <w:r w:rsidRPr="001F6C2A">
        <w:rPr>
          <w:rFonts w:ascii="Times New Roman" w:hAnsi="Times New Roman" w:cs="Times New Roman"/>
          <w:sz w:val="24"/>
          <w:szCs w:val="24"/>
        </w:rPr>
        <w:t>Cēsis, Krāslava, Aizkraukle, Kuldīga, Koknese, Ilūkste, Dundaga, Stende, Ulbroka, Talsi, Ugāle, Varakļāni, Kandava, Ādaži, Alūksne, Tukums, Sigulda, Jaunjelgava un Smiltene)</w:t>
      </w:r>
      <w:r w:rsidRPr="001F6C2A">
        <w:rPr>
          <w:rFonts w:ascii="Times New Roman" w:hAnsi="Times New Roman" w:cs="Times New Roman"/>
          <w:color w:val="000000"/>
          <w:sz w:val="24"/>
          <w:szCs w:val="24"/>
          <w:lang w:eastAsia="lv-LV"/>
        </w:rPr>
        <w:t xml:space="preserve">, piesaistot ERAF līdzekļus </w:t>
      </w:r>
      <w:r w:rsidRPr="001F6C2A">
        <w:rPr>
          <w:rFonts w:ascii="Times New Roman" w:hAnsi="Times New Roman" w:cs="Times New Roman"/>
          <w:iCs/>
          <w:sz w:val="24"/>
          <w:szCs w:val="24"/>
        </w:rPr>
        <w:t xml:space="preserve">– </w:t>
      </w:r>
      <w:r w:rsidR="004348AA">
        <w:rPr>
          <w:rFonts w:ascii="Times New Roman" w:hAnsi="Times New Roman" w:cs="Times New Roman"/>
          <w:color w:val="000000"/>
          <w:sz w:val="24"/>
          <w:szCs w:val="24"/>
          <w:lang w:eastAsia="lv-LV"/>
        </w:rPr>
        <w:t>59</w:t>
      </w:r>
      <w:r w:rsidRPr="001F6C2A">
        <w:rPr>
          <w:rFonts w:ascii="Times New Roman" w:hAnsi="Times New Roman" w:cs="Times New Roman"/>
          <w:color w:val="000000"/>
          <w:sz w:val="24"/>
          <w:szCs w:val="24"/>
          <w:lang w:eastAsia="lv-LV"/>
        </w:rPr>
        <w:t xml:space="preserve"> projekti. </w:t>
      </w:r>
      <w:r w:rsidRPr="001F6C2A">
        <w:rPr>
          <w:rFonts w:ascii="Times New Roman" w:hAnsi="Times New Roman" w:cs="Times New Roman"/>
          <w:sz w:val="24"/>
          <w:szCs w:val="24"/>
          <w:lang w:eastAsia="lv-LV"/>
        </w:rPr>
        <w:t xml:space="preserve">Īstenojot ūdenssaimniecības infrastruktūras projektus, līdz 60,04% palielinājies to Latvijas iedzīvotāju skaits, kuriem ir pieejami centralizētie notekūdeņu savākšanas un attīrīšanas pakalpojumi, kā rezultātā tiek samazināts ar neattīrītiem notekūdeņiem vidē novadītais piesārņojums, kā arī </w:t>
      </w:r>
      <w:r w:rsidRPr="001F6C2A">
        <w:rPr>
          <w:rFonts w:ascii="Times New Roman" w:hAnsi="Times New Roman" w:cs="Times New Roman"/>
          <w:sz w:val="24"/>
          <w:szCs w:val="24"/>
        </w:rPr>
        <w:t>palielinājies to iedzīvotāju skaits, kuriem ir nodrošināta centralizēto ūdens apgādes pakalpojumu pieejamība, attiecīgi no 44% 2004. gadā līdz 64,04% Latvijas iedzīvotāju.</w:t>
      </w:r>
    </w:p>
    <w:p w:rsidR="007F3949" w:rsidRDefault="007F3949" w:rsidP="00306360">
      <w:pPr>
        <w:autoSpaceDE w:val="0"/>
        <w:autoSpaceDN w:val="0"/>
        <w:adjustRightInd w:val="0"/>
        <w:spacing w:before="120" w:after="0" w:line="240" w:lineRule="auto"/>
        <w:jc w:val="both"/>
        <w:rPr>
          <w:rFonts w:ascii="Times New Roman" w:hAnsi="Times New Roman" w:cs="Times New Roman"/>
          <w:sz w:val="24"/>
          <w:szCs w:val="24"/>
        </w:rPr>
      </w:pPr>
    </w:p>
    <w:p w:rsidR="00686194" w:rsidRDefault="00686194" w:rsidP="00306360">
      <w:pPr>
        <w:autoSpaceDE w:val="0"/>
        <w:autoSpaceDN w:val="0"/>
        <w:adjustRightInd w:val="0"/>
        <w:spacing w:before="120" w:after="0" w:line="240" w:lineRule="auto"/>
        <w:jc w:val="both"/>
        <w:rPr>
          <w:rFonts w:ascii="Times New Roman" w:hAnsi="Times New Roman" w:cs="Times New Roman"/>
          <w:sz w:val="24"/>
          <w:szCs w:val="24"/>
        </w:rPr>
      </w:pPr>
    </w:p>
    <w:p w:rsidR="00686194" w:rsidRDefault="00686194">
      <w:pPr>
        <w:rPr>
          <w:rFonts w:ascii="Times New Roman" w:hAnsi="Times New Roman" w:cs="Times New Roman"/>
          <w:sz w:val="24"/>
          <w:szCs w:val="24"/>
        </w:rPr>
      </w:pPr>
      <w:r>
        <w:rPr>
          <w:rFonts w:ascii="Times New Roman" w:hAnsi="Times New Roman" w:cs="Times New Roman"/>
          <w:sz w:val="24"/>
          <w:szCs w:val="24"/>
        </w:rPr>
        <w:br w:type="page"/>
      </w:r>
    </w:p>
    <w:p w:rsidR="005C0654" w:rsidRPr="005C0654" w:rsidRDefault="005C0654" w:rsidP="005C0654">
      <w:pPr>
        <w:pStyle w:val="Heading1"/>
        <w:spacing w:before="120" w:after="240"/>
        <w:rPr>
          <w:rFonts w:ascii="Times New Roman Bold" w:hAnsi="Times New Roman Bold" w:cs="Times New Roman"/>
          <w:b w:val="0"/>
          <w:caps/>
          <w:color w:val="0070C0"/>
          <w:sz w:val="28"/>
          <w:szCs w:val="28"/>
        </w:rPr>
      </w:pPr>
      <w:bookmarkStart w:id="17" w:name="_Toc391887124"/>
      <w:r w:rsidRPr="005C0654">
        <w:rPr>
          <w:rFonts w:ascii="Times New Roman Bold" w:hAnsi="Times New Roman Bold" w:cs="Times New Roman"/>
          <w:caps/>
          <w:color w:val="0070C0"/>
          <w:sz w:val="28"/>
          <w:szCs w:val="28"/>
        </w:rPr>
        <w:lastRenderedPageBreak/>
        <w:t>Investīcijas atkritumu apsaimniekošanas sistēmas attīstībā</w:t>
      </w:r>
      <w:bookmarkEnd w:id="17"/>
    </w:p>
    <w:p w:rsidR="005C0654" w:rsidRDefault="005C0654" w:rsidP="00F85C91">
      <w:pPr>
        <w:spacing w:before="120" w:after="0" w:line="240" w:lineRule="auto"/>
        <w:jc w:val="both"/>
        <w:rPr>
          <w:rFonts w:ascii="Times New Roman" w:hAnsi="Times New Roman" w:cs="Times New Roman"/>
          <w:sz w:val="24"/>
          <w:szCs w:val="24"/>
        </w:rPr>
      </w:pPr>
      <w:r w:rsidRPr="005C0654">
        <w:rPr>
          <w:rFonts w:ascii="Times New Roman" w:hAnsi="Times New Roman" w:cs="Times New Roman"/>
          <w:sz w:val="24"/>
          <w:szCs w:val="24"/>
        </w:rPr>
        <w:t>Laikā no 1995. līdz 2013. gadam sadzīves atkritumu apsaimniekošanas infrastruktūras attīstībā un normatīvo aktu prasībām neatbilstošo izgāztu</w:t>
      </w:r>
      <w:r w:rsidR="006853BA">
        <w:rPr>
          <w:rFonts w:ascii="Times New Roman" w:hAnsi="Times New Roman" w:cs="Times New Roman"/>
          <w:sz w:val="24"/>
          <w:szCs w:val="24"/>
        </w:rPr>
        <w:t>vju rekultivācijā ieguldīti 115,</w:t>
      </w:r>
      <w:r w:rsidR="004D5A02">
        <w:rPr>
          <w:rFonts w:ascii="Times New Roman" w:hAnsi="Times New Roman" w:cs="Times New Roman"/>
          <w:sz w:val="24"/>
          <w:szCs w:val="24"/>
        </w:rPr>
        <w:t>04</w:t>
      </w:r>
      <w:r w:rsidRPr="005C0654">
        <w:rPr>
          <w:rFonts w:ascii="Times New Roman" w:hAnsi="Times New Roman" w:cs="Times New Roman"/>
          <w:sz w:val="24"/>
          <w:szCs w:val="24"/>
        </w:rPr>
        <w:t xml:space="preserve"> milj</w:t>
      </w:r>
      <w:smartTag w:uri="schemas-tilde-lv/tildestengine" w:element="currency2">
        <w:smartTagPr>
          <w:attr w:name="currency_id" w:val="48"/>
          <w:attr w:name="currency_key" w:val="LVL"/>
          <w:attr w:name="currency_value" w:val="."/>
          <w:attr w:name="currency_text" w:val="latu"/>
        </w:smartTagPr>
        <w:r w:rsidRPr="005C0654">
          <w:rPr>
            <w:rFonts w:ascii="Times New Roman" w:hAnsi="Times New Roman" w:cs="Times New Roman"/>
            <w:sz w:val="24"/>
            <w:szCs w:val="24"/>
          </w:rPr>
          <w:t>. latu</w:t>
        </w:r>
      </w:smartTag>
      <w:r w:rsidRPr="005C0654">
        <w:rPr>
          <w:rFonts w:ascii="Times New Roman" w:hAnsi="Times New Roman" w:cs="Times New Roman"/>
          <w:sz w:val="24"/>
          <w:szCs w:val="24"/>
        </w:rPr>
        <w:t>. Ārvalstu finanšu palīdzība, ieskaitot ES fond</w:t>
      </w:r>
      <w:r w:rsidR="006853BA">
        <w:rPr>
          <w:rFonts w:ascii="Times New Roman" w:hAnsi="Times New Roman" w:cs="Times New Roman"/>
          <w:sz w:val="24"/>
          <w:szCs w:val="24"/>
        </w:rPr>
        <w:t>us, šo gadu laikā sasniegusi 76,</w:t>
      </w:r>
      <w:r w:rsidRPr="005C0654">
        <w:rPr>
          <w:rFonts w:ascii="Times New Roman" w:hAnsi="Times New Roman" w:cs="Times New Roman"/>
          <w:sz w:val="24"/>
          <w:szCs w:val="24"/>
        </w:rPr>
        <w:t>9</w:t>
      </w:r>
      <w:r w:rsidR="004D5A02">
        <w:rPr>
          <w:rFonts w:ascii="Times New Roman" w:hAnsi="Times New Roman" w:cs="Times New Roman"/>
          <w:sz w:val="24"/>
          <w:szCs w:val="24"/>
        </w:rPr>
        <w:t>1</w:t>
      </w:r>
      <w:r w:rsidRPr="005C0654">
        <w:rPr>
          <w:rFonts w:ascii="Times New Roman" w:hAnsi="Times New Roman" w:cs="Times New Roman"/>
          <w:sz w:val="24"/>
          <w:szCs w:val="24"/>
        </w:rPr>
        <w:t xml:space="preserve"> milj</w:t>
      </w:r>
      <w:smartTag w:uri="schemas-tilde-lv/tildestengine" w:element="currency2">
        <w:smartTagPr>
          <w:attr w:name="currency_id" w:val="48"/>
          <w:attr w:name="currency_key" w:val="LVL"/>
          <w:attr w:name="currency_value" w:val="."/>
          <w:attr w:name="currency_text" w:val="latu"/>
        </w:smartTagPr>
        <w:r w:rsidRPr="005C0654">
          <w:rPr>
            <w:rFonts w:ascii="Times New Roman" w:hAnsi="Times New Roman" w:cs="Times New Roman"/>
            <w:sz w:val="24"/>
            <w:szCs w:val="24"/>
          </w:rPr>
          <w:t>. latu</w:t>
        </w:r>
      </w:smartTag>
      <w:r w:rsidRPr="005C0654">
        <w:rPr>
          <w:rFonts w:ascii="Times New Roman" w:hAnsi="Times New Roman" w:cs="Times New Roman"/>
          <w:sz w:val="24"/>
          <w:szCs w:val="24"/>
        </w:rPr>
        <w:t>, valsts budžeta do</w:t>
      </w:r>
      <w:r w:rsidR="004D5A02">
        <w:rPr>
          <w:rFonts w:ascii="Times New Roman" w:hAnsi="Times New Roman" w:cs="Times New Roman"/>
          <w:sz w:val="24"/>
          <w:szCs w:val="24"/>
        </w:rPr>
        <w:t>tācija – 10,</w:t>
      </w:r>
      <w:r w:rsidRPr="005C0654">
        <w:rPr>
          <w:rFonts w:ascii="Times New Roman" w:hAnsi="Times New Roman" w:cs="Times New Roman"/>
          <w:sz w:val="24"/>
          <w:szCs w:val="24"/>
        </w:rPr>
        <w:t>08 milj</w:t>
      </w:r>
      <w:smartTag w:uri="schemas-tilde-lv/tildestengine" w:element="currency2">
        <w:smartTagPr>
          <w:attr w:name="currency_id" w:val="48"/>
          <w:attr w:name="currency_key" w:val="LVL"/>
          <w:attr w:name="currency_value" w:val="."/>
          <w:attr w:name="currency_text" w:val="latu"/>
        </w:smartTagPr>
        <w:r w:rsidRPr="005C0654">
          <w:rPr>
            <w:rFonts w:ascii="Times New Roman" w:hAnsi="Times New Roman" w:cs="Times New Roman"/>
            <w:sz w:val="24"/>
            <w:szCs w:val="24"/>
          </w:rPr>
          <w:t>. latu</w:t>
        </w:r>
      </w:smartTag>
      <w:r w:rsidRPr="005C0654">
        <w:rPr>
          <w:rFonts w:ascii="Times New Roman" w:hAnsi="Times New Roman" w:cs="Times New Roman"/>
          <w:sz w:val="24"/>
          <w:szCs w:val="24"/>
        </w:rPr>
        <w:t xml:space="preserve">, projektu īstenotāju ieguldītie līdzekļi </w:t>
      </w:r>
      <w:r w:rsidR="006853BA">
        <w:rPr>
          <w:rFonts w:ascii="Times New Roman" w:hAnsi="Times New Roman" w:cs="Times New Roman"/>
          <w:sz w:val="24"/>
          <w:szCs w:val="24"/>
        </w:rPr>
        <w:t>– 28,</w:t>
      </w:r>
      <w:r w:rsidRPr="005C0654">
        <w:rPr>
          <w:rFonts w:ascii="Times New Roman" w:hAnsi="Times New Roman" w:cs="Times New Roman"/>
          <w:sz w:val="24"/>
          <w:szCs w:val="24"/>
        </w:rPr>
        <w:t>0</w:t>
      </w:r>
      <w:r w:rsidR="004D5A02">
        <w:rPr>
          <w:rFonts w:ascii="Times New Roman" w:hAnsi="Times New Roman" w:cs="Times New Roman"/>
          <w:sz w:val="24"/>
          <w:szCs w:val="24"/>
        </w:rPr>
        <w:t>5</w:t>
      </w:r>
      <w:r w:rsidRPr="005C0654">
        <w:rPr>
          <w:rFonts w:ascii="Times New Roman" w:hAnsi="Times New Roman" w:cs="Times New Roman"/>
          <w:sz w:val="24"/>
          <w:szCs w:val="24"/>
        </w:rPr>
        <w:t xml:space="preserve"> milj. latu (</w:t>
      </w:r>
      <w:r w:rsidRPr="005C0654">
        <w:rPr>
          <w:rFonts w:ascii="Times New Roman" w:hAnsi="Times New Roman" w:cs="Times New Roman"/>
          <w:i/>
          <w:sz w:val="24"/>
          <w:szCs w:val="24"/>
        </w:rPr>
        <w:t>14.attēls</w:t>
      </w:r>
      <w:r w:rsidRPr="005C0654">
        <w:rPr>
          <w:rFonts w:ascii="Times New Roman" w:hAnsi="Times New Roman" w:cs="Times New Roman"/>
          <w:sz w:val="24"/>
          <w:szCs w:val="24"/>
        </w:rPr>
        <w:t>).</w:t>
      </w:r>
    </w:p>
    <w:p w:rsidR="004D5A02" w:rsidRPr="005C0654" w:rsidRDefault="004D5A02" w:rsidP="004D5A02">
      <w:pPr>
        <w:spacing w:before="120" w:after="0" w:line="240" w:lineRule="auto"/>
        <w:jc w:val="center"/>
        <w:rPr>
          <w:rFonts w:ascii="Times New Roman" w:hAnsi="Times New Roman" w:cs="Times New Roman"/>
          <w:sz w:val="24"/>
          <w:szCs w:val="24"/>
        </w:rPr>
      </w:pPr>
      <w:r w:rsidRPr="004D5A02">
        <w:rPr>
          <w:rFonts w:ascii="Times New Roman" w:hAnsi="Times New Roman" w:cs="Times New Roman"/>
          <w:noProof/>
          <w:sz w:val="24"/>
          <w:szCs w:val="24"/>
          <w:lang w:eastAsia="lv-LV"/>
        </w:rPr>
        <w:drawing>
          <wp:inline distT="0" distB="0" distL="0" distR="0">
            <wp:extent cx="5667375" cy="3724275"/>
            <wp:effectExtent l="0" t="0" r="0"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C0654" w:rsidRPr="005C0654" w:rsidRDefault="005C0654" w:rsidP="00226CDB">
      <w:pPr>
        <w:spacing w:after="0" w:line="240" w:lineRule="auto"/>
        <w:jc w:val="both"/>
        <w:rPr>
          <w:rFonts w:ascii="Times New Roman" w:hAnsi="Times New Roman" w:cs="Times New Roman"/>
          <w:sz w:val="24"/>
          <w:szCs w:val="24"/>
        </w:rPr>
      </w:pPr>
      <w:r w:rsidRPr="00F85C91">
        <w:rPr>
          <w:rFonts w:ascii="Times New Roman" w:hAnsi="Times New Roman" w:cs="Times New Roman"/>
          <w:i/>
          <w:sz w:val="24"/>
          <w:szCs w:val="24"/>
        </w:rPr>
        <w:t>14. attēls.</w:t>
      </w:r>
      <w:r w:rsidRPr="005C0654">
        <w:rPr>
          <w:rFonts w:ascii="Times New Roman" w:hAnsi="Times New Roman" w:cs="Times New Roman"/>
          <w:i/>
          <w:sz w:val="24"/>
          <w:szCs w:val="24"/>
        </w:rPr>
        <w:t xml:space="preserve"> Investīcijas </w:t>
      </w:r>
      <w:bookmarkStart w:id="18" w:name="OLE_LINK10"/>
      <w:r w:rsidRPr="005C0654">
        <w:rPr>
          <w:rFonts w:ascii="Times New Roman" w:hAnsi="Times New Roman" w:cs="Times New Roman"/>
          <w:i/>
          <w:sz w:val="24"/>
          <w:szCs w:val="24"/>
        </w:rPr>
        <w:t>atkritumu apsaimniekošanas attīstībā</w:t>
      </w:r>
      <w:bookmarkEnd w:id="18"/>
      <w:r w:rsidRPr="005C0654">
        <w:rPr>
          <w:rFonts w:ascii="Times New Roman" w:hAnsi="Times New Roman" w:cs="Times New Roman"/>
          <w:i/>
          <w:sz w:val="24"/>
          <w:szCs w:val="24"/>
        </w:rPr>
        <w:t>, 1995.-2013, milj</w:t>
      </w:r>
      <w:smartTag w:uri="schemas-tilde-lv/tildestengine" w:element="currency2">
        <w:smartTagPr>
          <w:attr w:name="currency_text" w:val="LVL"/>
          <w:attr w:name="currency_value" w:val="."/>
          <w:attr w:name="currency_key" w:val="LVL"/>
          <w:attr w:name="currency_id" w:val="48"/>
        </w:smartTagPr>
        <w:r w:rsidRPr="005C0654">
          <w:rPr>
            <w:rFonts w:ascii="Times New Roman" w:hAnsi="Times New Roman" w:cs="Times New Roman"/>
            <w:i/>
            <w:sz w:val="24"/>
            <w:szCs w:val="24"/>
          </w:rPr>
          <w:t>. LVL</w:t>
        </w:r>
      </w:smartTag>
    </w:p>
    <w:p w:rsidR="00226CDB" w:rsidRDefault="00226CDB" w:rsidP="00F85C91">
      <w:pPr>
        <w:spacing w:before="120" w:after="0" w:line="240" w:lineRule="auto"/>
        <w:jc w:val="both"/>
        <w:rPr>
          <w:rFonts w:ascii="Times New Roman" w:hAnsi="Times New Roman" w:cs="Times New Roman"/>
          <w:sz w:val="24"/>
          <w:szCs w:val="24"/>
        </w:rPr>
      </w:pPr>
    </w:p>
    <w:p w:rsidR="005C0654" w:rsidRDefault="005C0654" w:rsidP="00F85C91">
      <w:pPr>
        <w:spacing w:before="120" w:after="0" w:line="240" w:lineRule="auto"/>
        <w:jc w:val="both"/>
        <w:rPr>
          <w:rFonts w:ascii="Times New Roman" w:hAnsi="Times New Roman" w:cs="Times New Roman"/>
          <w:sz w:val="24"/>
          <w:szCs w:val="24"/>
        </w:rPr>
      </w:pPr>
      <w:r w:rsidRPr="005C0654">
        <w:rPr>
          <w:rFonts w:ascii="Times New Roman" w:hAnsi="Times New Roman" w:cs="Times New Roman"/>
          <w:sz w:val="24"/>
          <w:szCs w:val="24"/>
        </w:rPr>
        <w:t>Ieguldītās investīcijas normatīvo aktu prasībām neatbilstošo sadzīves atkritumu izgāztuvju rekultivācijā ir 11,08 milj. latu, atkritumu dalītās vākšanas infrastruktūrā – 9,55 milj., bet lielākā daļa no investīcijām ieguldītas sadzīves atkritumu apglabāšanas poligonu izveidē un attīstībā – 94,49 milj. latu, lai nodrošinātu atkritumu apglabāšanu iedzīvotājiem un videi nekaitīgā veidā (</w:t>
      </w:r>
      <w:r w:rsidRPr="00F85C91">
        <w:rPr>
          <w:rFonts w:ascii="Times New Roman" w:hAnsi="Times New Roman" w:cs="Times New Roman"/>
          <w:i/>
          <w:sz w:val="24"/>
          <w:szCs w:val="24"/>
        </w:rPr>
        <w:t>15. attēls</w:t>
      </w:r>
      <w:r w:rsidRPr="005C0654">
        <w:rPr>
          <w:rFonts w:ascii="Times New Roman" w:hAnsi="Times New Roman" w:cs="Times New Roman"/>
          <w:sz w:val="24"/>
          <w:szCs w:val="24"/>
        </w:rPr>
        <w:t>).</w:t>
      </w:r>
    </w:p>
    <w:p w:rsidR="004D5A02" w:rsidRPr="005C0654" w:rsidRDefault="004D5A02" w:rsidP="004D5A02">
      <w:pPr>
        <w:spacing w:before="120" w:after="0" w:line="240" w:lineRule="auto"/>
        <w:jc w:val="center"/>
        <w:rPr>
          <w:rFonts w:ascii="Times New Roman" w:hAnsi="Times New Roman" w:cs="Times New Roman"/>
          <w:sz w:val="24"/>
          <w:szCs w:val="24"/>
        </w:rPr>
      </w:pPr>
      <w:r w:rsidRPr="004D5A02">
        <w:rPr>
          <w:rFonts w:ascii="Times New Roman" w:hAnsi="Times New Roman" w:cs="Times New Roman"/>
          <w:noProof/>
          <w:sz w:val="24"/>
          <w:szCs w:val="24"/>
          <w:lang w:eastAsia="lv-LV"/>
        </w:rPr>
        <w:lastRenderedPageBreak/>
        <w:drawing>
          <wp:inline distT="0" distB="0" distL="0" distR="0">
            <wp:extent cx="4575175" cy="2346325"/>
            <wp:effectExtent l="0" t="0" r="0" b="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C0654" w:rsidRPr="005C0654" w:rsidRDefault="005C0654" w:rsidP="00226CDB">
      <w:pPr>
        <w:spacing w:after="0" w:line="240" w:lineRule="auto"/>
        <w:jc w:val="both"/>
        <w:rPr>
          <w:rFonts w:ascii="Times New Roman" w:hAnsi="Times New Roman" w:cs="Times New Roman"/>
          <w:i/>
          <w:sz w:val="24"/>
          <w:szCs w:val="24"/>
        </w:rPr>
      </w:pPr>
      <w:r w:rsidRPr="00F85C91">
        <w:rPr>
          <w:rFonts w:ascii="Times New Roman" w:hAnsi="Times New Roman" w:cs="Times New Roman"/>
          <w:i/>
          <w:sz w:val="24"/>
          <w:szCs w:val="24"/>
        </w:rPr>
        <w:t>15. attēls.</w:t>
      </w:r>
      <w:r w:rsidRPr="005C0654">
        <w:rPr>
          <w:rFonts w:ascii="Times New Roman" w:hAnsi="Times New Roman" w:cs="Times New Roman"/>
          <w:i/>
          <w:sz w:val="24"/>
          <w:szCs w:val="24"/>
        </w:rPr>
        <w:t xml:space="preserve"> Investīcijas atkritumu apsaimniekošanas attīstības jomās, milj</w:t>
      </w:r>
      <w:smartTag w:uri="schemas-tilde-lv/tildestengine" w:element="currency2">
        <w:smartTagPr>
          <w:attr w:name="currency_text" w:val="LVL"/>
          <w:attr w:name="currency_value" w:val="."/>
          <w:attr w:name="currency_key" w:val="LVL"/>
          <w:attr w:name="currency_id" w:val="48"/>
        </w:smartTagPr>
        <w:r w:rsidRPr="005C0654">
          <w:rPr>
            <w:rFonts w:ascii="Times New Roman" w:hAnsi="Times New Roman" w:cs="Times New Roman"/>
            <w:i/>
            <w:sz w:val="24"/>
            <w:szCs w:val="24"/>
          </w:rPr>
          <w:t>. LVL</w:t>
        </w:r>
      </w:smartTag>
    </w:p>
    <w:p w:rsidR="006853BA" w:rsidRDefault="006853BA" w:rsidP="00F85C91">
      <w:pPr>
        <w:spacing w:before="120" w:after="0" w:line="240" w:lineRule="auto"/>
        <w:jc w:val="both"/>
        <w:rPr>
          <w:rFonts w:ascii="Times New Roman" w:hAnsi="Times New Roman" w:cs="Times New Roman"/>
          <w:sz w:val="24"/>
          <w:szCs w:val="24"/>
        </w:rPr>
      </w:pPr>
    </w:p>
    <w:p w:rsidR="005C0654" w:rsidRDefault="005C0654" w:rsidP="00F85C91">
      <w:pPr>
        <w:spacing w:before="120" w:after="0" w:line="240" w:lineRule="auto"/>
        <w:jc w:val="both"/>
        <w:rPr>
          <w:rFonts w:ascii="Times New Roman" w:hAnsi="Times New Roman" w:cs="Times New Roman"/>
          <w:sz w:val="24"/>
          <w:szCs w:val="24"/>
        </w:rPr>
      </w:pPr>
      <w:r w:rsidRPr="005C0654">
        <w:rPr>
          <w:rFonts w:ascii="Times New Roman" w:hAnsi="Times New Roman" w:cs="Times New Roman"/>
          <w:sz w:val="24"/>
          <w:szCs w:val="24"/>
        </w:rPr>
        <w:t>2013. gadā sadzīves atkritumu apsaimniekošanas projektos ieguldīti 8,</w:t>
      </w:r>
      <w:r w:rsidR="004D5A02">
        <w:rPr>
          <w:rFonts w:ascii="Times New Roman" w:hAnsi="Times New Roman" w:cs="Times New Roman"/>
          <w:sz w:val="24"/>
          <w:szCs w:val="24"/>
        </w:rPr>
        <w:t>03</w:t>
      </w:r>
      <w:r w:rsidRPr="005C0654">
        <w:rPr>
          <w:rFonts w:ascii="Times New Roman" w:hAnsi="Times New Roman" w:cs="Times New Roman"/>
          <w:sz w:val="24"/>
          <w:szCs w:val="24"/>
        </w:rPr>
        <w:t xml:space="preserve"> milj</w:t>
      </w:r>
      <w:smartTag w:uri="schemas-tilde-lv/tildestengine" w:element="currency2">
        <w:smartTagPr>
          <w:attr w:name="currency_id" w:val="48"/>
          <w:attr w:name="currency_key" w:val="LVL"/>
          <w:attr w:name="currency_value" w:val="."/>
          <w:attr w:name="currency_text" w:val="latu"/>
        </w:smartTagPr>
        <w:r w:rsidRPr="005C0654">
          <w:rPr>
            <w:rFonts w:ascii="Times New Roman" w:hAnsi="Times New Roman" w:cs="Times New Roman"/>
            <w:sz w:val="24"/>
            <w:szCs w:val="24"/>
          </w:rPr>
          <w:t>. latu</w:t>
        </w:r>
      </w:smartTag>
      <w:r w:rsidRPr="005C0654">
        <w:rPr>
          <w:rFonts w:ascii="Times New Roman" w:hAnsi="Times New Roman" w:cs="Times New Roman"/>
          <w:sz w:val="24"/>
          <w:szCs w:val="24"/>
        </w:rPr>
        <w:t>, t.sk. Kohēzijas fonda līdzekļi ir 5,5</w:t>
      </w:r>
      <w:r w:rsidR="004D5A02">
        <w:rPr>
          <w:rFonts w:ascii="Times New Roman" w:hAnsi="Times New Roman" w:cs="Times New Roman"/>
          <w:sz w:val="24"/>
          <w:szCs w:val="24"/>
        </w:rPr>
        <w:t>2</w:t>
      </w:r>
      <w:r w:rsidRPr="005C0654">
        <w:rPr>
          <w:rFonts w:ascii="Times New Roman" w:hAnsi="Times New Roman" w:cs="Times New Roman"/>
          <w:sz w:val="24"/>
          <w:szCs w:val="24"/>
        </w:rPr>
        <w:t xml:space="preserve"> milj. jeb 69% un projektu īstenotāju līdzekļi – 2,5</w:t>
      </w:r>
      <w:r w:rsidR="004D5A02">
        <w:rPr>
          <w:rFonts w:ascii="Times New Roman" w:hAnsi="Times New Roman" w:cs="Times New Roman"/>
          <w:sz w:val="24"/>
          <w:szCs w:val="24"/>
        </w:rPr>
        <w:t>1</w:t>
      </w:r>
      <w:r w:rsidRPr="005C0654">
        <w:rPr>
          <w:rFonts w:ascii="Times New Roman" w:hAnsi="Times New Roman" w:cs="Times New Roman"/>
          <w:sz w:val="24"/>
          <w:szCs w:val="24"/>
        </w:rPr>
        <w:t xml:space="preserve"> milj</w:t>
      </w:r>
      <w:smartTag w:uri="schemas-tilde-lv/tildestengine" w:element="currency2">
        <w:smartTagPr>
          <w:attr w:name="currency_id" w:val="48"/>
          <w:attr w:name="currency_key" w:val="LVL"/>
          <w:attr w:name="currency_value" w:val="."/>
          <w:attr w:name="currency_text" w:val="latu"/>
        </w:smartTagPr>
        <w:r w:rsidRPr="005C0654">
          <w:rPr>
            <w:rFonts w:ascii="Times New Roman" w:hAnsi="Times New Roman" w:cs="Times New Roman"/>
            <w:sz w:val="24"/>
            <w:szCs w:val="24"/>
          </w:rPr>
          <w:t>. latu jeb</w:t>
        </w:r>
      </w:smartTag>
      <w:r w:rsidRPr="005C0654">
        <w:rPr>
          <w:rFonts w:ascii="Times New Roman" w:hAnsi="Times New Roman" w:cs="Times New Roman"/>
          <w:sz w:val="24"/>
          <w:szCs w:val="24"/>
        </w:rPr>
        <w:t xml:space="preserve"> 31% no kopējām investīcijām </w:t>
      </w:r>
      <w:r w:rsidRPr="00F85C91">
        <w:rPr>
          <w:rFonts w:ascii="Times New Roman" w:hAnsi="Times New Roman" w:cs="Times New Roman"/>
          <w:sz w:val="24"/>
          <w:szCs w:val="24"/>
        </w:rPr>
        <w:t>(</w:t>
      </w:r>
      <w:r w:rsidRPr="00F85C91">
        <w:rPr>
          <w:rFonts w:ascii="Times New Roman" w:hAnsi="Times New Roman" w:cs="Times New Roman"/>
          <w:i/>
          <w:sz w:val="24"/>
          <w:szCs w:val="24"/>
        </w:rPr>
        <w:t>16. attēls</w:t>
      </w:r>
      <w:r w:rsidRPr="005C0654">
        <w:rPr>
          <w:rFonts w:ascii="Times New Roman" w:hAnsi="Times New Roman" w:cs="Times New Roman"/>
          <w:sz w:val="24"/>
          <w:szCs w:val="24"/>
        </w:rPr>
        <w:t>).</w:t>
      </w:r>
    </w:p>
    <w:p w:rsidR="004D5A02" w:rsidRPr="005C0654" w:rsidRDefault="004D5A02" w:rsidP="004D5A02">
      <w:pPr>
        <w:spacing w:before="120" w:after="0" w:line="240" w:lineRule="auto"/>
        <w:jc w:val="center"/>
        <w:rPr>
          <w:rFonts w:ascii="Times New Roman" w:hAnsi="Times New Roman" w:cs="Times New Roman"/>
          <w:sz w:val="24"/>
          <w:szCs w:val="24"/>
        </w:rPr>
      </w:pPr>
      <w:r w:rsidRPr="004D5A02">
        <w:rPr>
          <w:rFonts w:ascii="Times New Roman" w:hAnsi="Times New Roman" w:cs="Times New Roman"/>
          <w:noProof/>
          <w:sz w:val="24"/>
          <w:szCs w:val="24"/>
          <w:lang w:eastAsia="lv-LV"/>
        </w:rPr>
        <w:drawing>
          <wp:inline distT="0" distB="0" distL="0" distR="0">
            <wp:extent cx="4572000" cy="2743200"/>
            <wp:effectExtent l="19050" t="0" r="0" b="0"/>
            <wp:docPr id="1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C0654" w:rsidRPr="005C0654" w:rsidRDefault="005C0654" w:rsidP="00226CDB">
      <w:pPr>
        <w:spacing w:after="0" w:line="240" w:lineRule="auto"/>
        <w:jc w:val="both"/>
        <w:rPr>
          <w:rFonts w:ascii="Times New Roman" w:hAnsi="Times New Roman" w:cs="Times New Roman"/>
          <w:i/>
          <w:sz w:val="24"/>
          <w:szCs w:val="24"/>
        </w:rPr>
      </w:pPr>
      <w:r w:rsidRPr="00F85C91">
        <w:rPr>
          <w:rFonts w:ascii="Times New Roman" w:hAnsi="Times New Roman" w:cs="Times New Roman"/>
          <w:i/>
          <w:sz w:val="24"/>
          <w:szCs w:val="24"/>
        </w:rPr>
        <w:t>16. attēls. Investīcijas</w:t>
      </w:r>
      <w:r w:rsidRPr="005C0654">
        <w:rPr>
          <w:rFonts w:ascii="Times New Roman" w:hAnsi="Times New Roman" w:cs="Times New Roman"/>
          <w:i/>
          <w:sz w:val="24"/>
          <w:szCs w:val="24"/>
        </w:rPr>
        <w:t xml:space="preserve"> atkritumu apsaimniekošanas attīstībā, 2013, milj</w:t>
      </w:r>
      <w:smartTag w:uri="schemas-tilde-lv/tildestengine" w:element="currency2">
        <w:smartTagPr>
          <w:attr w:name="currency_text" w:val="LVL"/>
          <w:attr w:name="currency_value" w:val="."/>
          <w:attr w:name="currency_key" w:val="LVL"/>
          <w:attr w:name="currency_id" w:val="48"/>
        </w:smartTagPr>
        <w:r w:rsidRPr="005C0654">
          <w:rPr>
            <w:rFonts w:ascii="Times New Roman" w:hAnsi="Times New Roman" w:cs="Times New Roman"/>
            <w:i/>
            <w:sz w:val="24"/>
            <w:szCs w:val="24"/>
          </w:rPr>
          <w:t>. LVL</w:t>
        </w:r>
      </w:smartTag>
    </w:p>
    <w:p w:rsidR="006853BA" w:rsidRDefault="006853BA" w:rsidP="00F85C91">
      <w:pPr>
        <w:spacing w:before="120" w:after="0" w:line="240" w:lineRule="auto"/>
        <w:jc w:val="both"/>
        <w:rPr>
          <w:rFonts w:ascii="Times New Roman" w:hAnsi="Times New Roman" w:cs="Times New Roman"/>
          <w:sz w:val="24"/>
          <w:szCs w:val="24"/>
        </w:rPr>
      </w:pPr>
    </w:p>
    <w:p w:rsidR="005C0654" w:rsidRPr="005C0654" w:rsidRDefault="005C0654" w:rsidP="00F85C91">
      <w:pPr>
        <w:spacing w:before="120" w:after="0" w:line="240" w:lineRule="auto"/>
        <w:jc w:val="both"/>
        <w:rPr>
          <w:rFonts w:ascii="Times New Roman" w:hAnsi="Times New Roman" w:cs="Times New Roman"/>
          <w:sz w:val="24"/>
          <w:szCs w:val="24"/>
        </w:rPr>
      </w:pPr>
      <w:r w:rsidRPr="005C0654">
        <w:rPr>
          <w:rFonts w:ascii="Times New Roman" w:hAnsi="Times New Roman" w:cs="Times New Roman"/>
          <w:sz w:val="24"/>
          <w:szCs w:val="24"/>
        </w:rPr>
        <w:t>Pārskata periodā pabeigti trīs poligonu infrastruktūras attīstības projekti. Ventspils reģiona sadzīves atkritumu apsaimniekošanas poligonā „Pentuļi” izveidots atkritumu priekšapstrādes centrs, gāzes savākšanas sistēma un sadedzināšanas lāpa, kā arī III kārtas ietvaros uzlabota infrastruktūra, papildinot to ar gāzes tehnoloģiskās padeves iekārtām, to apsaisti, tehnoloģiskiem cauruļvadiem, sūkņiem, kompresoriem, uzstādīta gāzes tehnoloģijas procesa vadības un kontroles sistēma un izbūvēti elektroapgādes tīkli, tādējādi paaugstinot paredzēto metāna gāzes savākšanas daudzumu par 5% un samazinot tās ietekmi uz apkārtējo vidi. Savukārt sadzīves atkritumu poligonā „Getliņi” projekta rezultātā ir pilnveidota atkritumu pieņemšanas un apstrādes zona, uzlabojot atkritumu pieņemšanas un reģistrācijas procesu.</w:t>
      </w:r>
    </w:p>
    <w:p w:rsidR="005C0654" w:rsidRPr="005C0654" w:rsidRDefault="00614B5C" w:rsidP="00F85C91">
      <w:pPr>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lastRenderedPageBreak/>
        <w:pict>
          <v:group id="_x0000_s1062" editas="canvas" style="position:absolute;left:0;text-align:left;margin-left:0;margin-top:-2.85pt;width:255.6pt;height:221.45pt;z-index:251674624;mso-position-horizontal:left;mso-position-horizontal-relative:margin;mso-position-vertical-relative:margin" coordorigin="2361,13893" coordsize="4432,3838">
            <o:lock v:ext="edit" aspectratio="t"/>
            <v:shape id="_x0000_s1063" type="#_x0000_t75" style="position:absolute;left:2361;top:13893;width:4432;height:3838" o:preferrelative="f">
              <v:fill o:detectmouseclick="t"/>
              <v:path o:extrusionok="t" o:connecttype="none"/>
              <o:lock v:ext="edit" text="t"/>
            </v:shape>
            <v:shape id="_x0000_s1064" type="#_x0000_t202" style="position:absolute;left:2361;top:16841;width:4432;height:890" stroked="f">
              <v:textbox style="mso-next-textbox:#_x0000_s1064">
                <w:txbxContent>
                  <w:p w:rsidR="00A04249" w:rsidRPr="00746321" w:rsidRDefault="00A04249" w:rsidP="00D020FA">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Sadzīves atkritumu poligona „Pentuļi” I un II kārta</w:t>
                    </w:r>
                    <w:r>
                      <w:rPr>
                        <w:rFonts w:ascii="Times New Roman" w:hAnsi="Times New Roman" w:cs="Times New Roman"/>
                        <w:color w:val="0070C0"/>
                        <w:sz w:val="20"/>
                        <w:szCs w:val="20"/>
                      </w:rPr>
                      <w:t xml:space="preserve">; pašvaldības </w:t>
                    </w:r>
                    <w:r w:rsidRPr="00746321">
                      <w:rPr>
                        <w:rFonts w:ascii="Times New Roman" w:hAnsi="Times New Roman" w:cs="Times New Roman"/>
                        <w:color w:val="0070C0"/>
                        <w:sz w:val="20"/>
                        <w:szCs w:val="20"/>
                      </w:rPr>
                      <w:t>SIA „</w:t>
                    </w:r>
                    <w:r>
                      <w:rPr>
                        <w:rFonts w:ascii="Times New Roman" w:hAnsi="Times New Roman" w:cs="Times New Roman"/>
                        <w:color w:val="0070C0"/>
                        <w:sz w:val="20"/>
                        <w:szCs w:val="20"/>
                      </w:rPr>
                      <w:t xml:space="preserve">Ventspils labiekārtošanas kombināts„ </w:t>
                    </w:r>
                    <w:r w:rsidRPr="00746321">
                      <w:rPr>
                        <w:rFonts w:ascii="Times New Roman" w:hAnsi="Times New Roman" w:cs="Times New Roman"/>
                        <w:color w:val="0070C0"/>
                        <w:sz w:val="20"/>
                        <w:szCs w:val="20"/>
                      </w:rPr>
                      <w:t>Kohēzijas fonda projekts</w:t>
                    </w:r>
                  </w:p>
                  <w:p w:rsidR="00A04249" w:rsidRPr="00746321" w:rsidRDefault="00A04249" w:rsidP="00D020FA">
                    <w:pPr>
                      <w:spacing w:after="0" w:line="240" w:lineRule="auto"/>
                      <w:ind w:left="-113"/>
                      <w:rPr>
                        <w:rFonts w:ascii="Times New Roman" w:hAnsi="Times New Roman" w:cs="Times New Roman"/>
                        <w:color w:val="0070C0"/>
                        <w:sz w:val="20"/>
                        <w:szCs w:val="20"/>
                      </w:rPr>
                    </w:pPr>
                    <w:r w:rsidRPr="00746321">
                      <w:rPr>
                        <w:rFonts w:ascii="Times New Roman" w:hAnsi="Times New Roman" w:cs="Times New Roman"/>
                        <w:color w:val="0070C0"/>
                        <w:sz w:val="20"/>
                        <w:szCs w:val="20"/>
                      </w:rPr>
                      <w:t xml:space="preserve">Autors: </w:t>
                    </w:r>
                    <w:r>
                      <w:rPr>
                        <w:rFonts w:ascii="Times New Roman" w:hAnsi="Times New Roman" w:cs="Times New Roman"/>
                        <w:color w:val="0070C0"/>
                        <w:sz w:val="20"/>
                        <w:szCs w:val="20"/>
                      </w:rPr>
                      <w:t>http://vlk.lv</w:t>
                    </w:r>
                  </w:p>
                </w:txbxContent>
              </v:textbox>
            </v:shape>
            <v:shape id="_x0000_s1065" type="#_x0000_t75" style="position:absolute;left:2361;top:13893;width:4417;height:2948">
              <v:imagedata r:id="rId53" o:title="Pentuli_1"/>
            </v:shape>
            <w10:wrap type="square" anchorx="margin" anchory="margin"/>
          </v:group>
        </w:pict>
      </w:r>
      <w:r w:rsidR="005C0654" w:rsidRPr="005C0654">
        <w:rPr>
          <w:rFonts w:ascii="Times New Roman" w:hAnsi="Times New Roman" w:cs="Times New Roman"/>
          <w:sz w:val="24"/>
          <w:szCs w:val="24"/>
        </w:rPr>
        <w:t>Atkritumu dalītās vākšanas jomā 2013.gadā pabeigti seši projekti – Rīgā Spilves ielā 8a izbūvēts dalīti vākto atkritumu šķirošanas centrs, kas nodrošinās 3000 t/gadā dalīti savākto atkritumu</w:t>
      </w:r>
      <w:r w:rsidR="005C0654" w:rsidRPr="005C0654">
        <w:rPr>
          <w:rFonts w:ascii="Times New Roman" w:hAnsi="Times New Roman" w:cs="Times New Roman"/>
          <w:color w:val="7F7F7F"/>
          <w:sz w:val="24"/>
          <w:szCs w:val="24"/>
        </w:rPr>
        <w:t xml:space="preserve"> </w:t>
      </w:r>
      <w:r w:rsidR="005C0654" w:rsidRPr="005C0654">
        <w:rPr>
          <w:rFonts w:ascii="Times New Roman" w:hAnsi="Times New Roman" w:cs="Times New Roman"/>
          <w:sz w:val="24"/>
          <w:szCs w:val="24"/>
        </w:rPr>
        <w:t>– papīra un kartona, plastmasas un jauktā iepakojuma pāršķirošanu, Ventspils novadā izbūvēts sadzīves atkritumu šķirošanas centrs, Olainē Celtnieku iela 3a izveidots sadzīves bīstamo atkritumu pieņemšanas laukums – slēgta nojume, kā arī iegādāti konteineri specializētiem atkritumu veidiem, Ropažu novadā ieviesta atkritumu dalītās vākšanas sistēma, izveidojot dalītās atkritumu savākšanas laukumu un 14 atkritumu dalītās vākšanas punktus, Jelgavas novadā izveidota nešķirotu sadzīves atkritumu šķirošanas stacija ar plānoto jaudu 30 000t/gadā, Brocēnu novadā sadzīves atkritumu šķirošanas un pārkraušanas stacijā „Vibsteri” izveidots bioloģiski noārdāmo atkritumu kompostēšanas laukums, kur gada laikā plānots apstrādāt 3726 t bioloģiski noārdāmos atkritumus.</w:t>
      </w:r>
    </w:p>
    <w:p w:rsidR="005C0654" w:rsidRDefault="00614B5C" w:rsidP="00F85C91">
      <w:pPr>
        <w:autoSpaceDE w:val="0"/>
        <w:autoSpaceDN w:val="0"/>
        <w:adjustRightInd w:val="0"/>
        <w:spacing w:before="120" w:after="0" w:line="240" w:lineRule="auto"/>
        <w:jc w:val="both"/>
        <w:rPr>
          <w:rFonts w:ascii="Times New Roman" w:hAnsi="Times New Roman" w:cs="Times New Roman"/>
          <w:noProof/>
          <w:sz w:val="24"/>
          <w:szCs w:val="24"/>
          <w:lang w:eastAsia="lv-LV"/>
        </w:rPr>
      </w:pPr>
      <w:r>
        <w:rPr>
          <w:rFonts w:ascii="Times New Roman" w:hAnsi="Times New Roman" w:cs="Times New Roman"/>
          <w:noProof/>
          <w:sz w:val="24"/>
          <w:szCs w:val="24"/>
          <w:lang w:eastAsia="lv-LV"/>
        </w:rPr>
        <w:pict>
          <v:group id="_x0000_s1066" editas="canvas" style="position:absolute;left:0;text-align:left;margin-left:212.65pt;margin-top:286.35pt;width:255.25pt;height:228pt;z-index:251675648;mso-position-horizontal-relative:margin;mso-position-vertical-relative:margin" coordorigin="2361,13893" coordsize="4426,3952">
            <o:lock v:ext="edit" aspectratio="t"/>
            <v:shape id="_x0000_s1067" type="#_x0000_t75" style="position:absolute;left:2361;top:13893;width:4426;height:3952" o:preferrelative="f">
              <v:fill o:detectmouseclick="t"/>
              <v:path o:extrusionok="t" o:connecttype="none"/>
              <o:lock v:ext="edit" text="t"/>
            </v:shape>
            <v:shape id="_x0000_s1068" type="#_x0000_t202" style="position:absolute;left:2361;top:16841;width:2727;height:779" stroked="f">
              <v:textbox style="mso-next-textbox:#_x0000_s1068">
                <w:txbxContent>
                  <w:p w:rsidR="00A04249" w:rsidRPr="00746321" w:rsidRDefault="00A04249" w:rsidP="00D020FA">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Rekultivētā Ogres novada Krapes pagasta izgāztuve „Pinkas”</w:t>
                    </w:r>
                  </w:p>
                </w:txbxContent>
              </v:textbox>
            </v:shape>
            <v:shape id="_x0000_s1069" type="#_x0000_t75" style="position:absolute;left:2361;top:13893;width:4426;height:2948">
              <v:imagedata r:id="rId54" o:title="Pinkas_2"/>
            </v:shape>
            <v:shape id="_x0000_s1070" type="#_x0000_t75" style="position:absolute;left:5248;top:13893;width:1539;height:2343">
              <v:imagedata r:id="rId55" o:title="Pinkas_3"/>
            </v:shape>
            <v:shape id="_x0000_s1071" type="#_x0000_t75" style="position:absolute;left:5265;top:15650;width:1522;height:2195">
              <v:imagedata r:id="rId56" o:title="Pinkas_1"/>
            </v:shape>
            <w10:wrap type="square" anchorx="margin" anchory="margin"/>
          </v:group>
        </w:pict>
      </w:r>
      <w:r w:rsidR="005C0654" w:rsidRPr="005C0654">
        <w:rPr>
          <w:rFonts w:ascii="Times New Roman" w:hAnsi="Times New Roman" w:cs="Times New Roman"/>
          <w:sz w:val="24"/>
          <w:szCs w:val="24"/>
        </w:rPr>
        <w:t xml:space="preserve">Līdz 2013.gada beigām, piesaistot 2007. – 2013.gada Eiropas Savienības finanšu plānošanas perioda Kohēzijas fonda finanšu līdzekļus, no rekultivācijai iezīmētajām 104 izgāztuvēm rekultivētas </w:t>
      </w:r>
      <w:r w:rsidR="00E841E9">
        <w:rPr>
          <w:rFonts w:ascii="Times New Roman" w:hAnsi="Times New Roman" w:cs="Times New Roman"/>
          <w:sz w:val="24"/>
          <w:szCs w:val="24"/>
        </w:rPr>
        <w:t>51</w:t>
      </w:r>
      <w:r w:rsidR="005C0654" w:rsidRPr="005C0654">
        <w:rPr>
          <w:rFonts w:ascii="Times New Roman" w:hAnsi="Times New Roman" w:cs="Times New Roman"/>
          <w:sz w:val="24"/>
          <w:szCs w:val="24"/>
        </w:rPr>
        <w:t xml:space="preserve"> sadzīves atkritumu izgāztuves ~7</w:t>
      </w:r>
      <w:r w:rsidR="00E841E9">
        <w:rPr>
          <w:rFonts w:ascii="Times New Roman" w:hAnsi="Times New Roman" w:cs="Times New Roman"/>
          <w:sz w:val="24"/>
          <w:szCs w:val="24"/>
        </w:rPr>
        <w:t>5</w:t>
      </w:r>
      <w:r w:rsidR="005C0654" w:rsidRPr="005C0654">
        <w:rPr>
          <w:rFonts w:ascii="Times New Roman" w:hAnsi="Times New Roman" w:cs="Times New Roman"/>
          <w:sz w:val="24"/>
          <w:szCs w:val="24"/>
        </w:rPr>
        <w:t>,</w:t>
      </w:r>
      <w:r w:rsidR="00E841E9">
        <w:rPr>
          <w:rFonts w:ascii="Times New Roman" w:hAnsi="Times New Roman" w:cs="Times New Roman"/>
          <w:sz w:val="24"/>
          <w:szCs w:val="24"/>
        </w:rPr>
        <w:t>35</w:t>
      </w:r>
      <w:r w:rsidR="005C0654" w:rsidRPr="005C0654">
        <w:rPr>
          <w:rFonts w:ascii="Times New Roman" w:hAnsi="Times New Roman" w:cs="Times New Roman"/>
          <w:sz w:val="24"/>
          <w:szCs w:val="24"/>
        </w:rPr>
        <w:t xml:space="preserve"> ha platībā, no tām 10 izgāztuves </w:t>
      </w:r>
      <w:r w:rsidR="005C0654" w:rsidRPr="005C0654">
        <w:rPr>
          <w:rFonts w:ascii="Times New Roman" w:hAnsi="Times New Roman" w:cs="Times New Roman"/>
          <w:sz w:val="24"/>
          <w:szCs w:val="24"/>
          <w:lang w:eastAsia="lv-LV"/>
        </w:rPr>
        <w:t>11,43 ha platībā</w:t>
      </w:r>
      <w:r w:rsidR="005C0654" w:rsidRPr="005C0654">
        <w:rPr>
          <w:rFonts w:ascii="Times New Roman" w:hAnsi="Times New Roman" w:cs="Times New Roman"/>
          <w:sz w:val="24"/>
          <w:szCs w:val="24"/>
        </w:rPr>
        <w:t xml:space="preserve"> 2013. gadā (</w:t>
      </w:r>
      <w:r w:rsidR="005C0654" w:rsidRPr="00F85C91">
        <w:rPr>
          <w:rFonts w:ascii="Times New Roman" w:hAnsi="Times New Roman" w:cs="Times New Roman"/>
          <w:i/>
          <w:sz w:val="24"/>
          <w:szCs w:val="24"/>
        </w:rPr>
        <w:t>15. un 16. attēls</w:t>
      </w:r>
      <w:r w:rsidR="005C0654" w:rsidRPr="005C0654">
        <w:rPr>
          <w:rFonts w:ascii="Times New Roman" w:hAnsi="Times New Roman" w:cs="Times New Roman"/>
          <w:sz w:val="24"/>
          <w:szCs w:val="24"/>
        </w:rPr>
        <w:t>).</w:t>
      </w:r>
      <w:r w:rsidR="00D020FA" w:rsidRPr="00D020FA">
        <w:rPr>
          <w:rFonts w:ascii="Times New Roman" w:hAnsi="Times New Roman" w:cs="Times New Roman"/>
          <w:noProof/>
          <w:sz w:val="24"/>
          <w:szCs w:val="24"/>
          <w:lang w:eastAsia="lv-LV"/>
        </w:rPr>
        <w:t xml:space="preserve"> </w:t>
      </w:r>
    </w:p>
    <w:p w:rsidR="00D020FA" w:rsidRPr="005C0654" w:rsidRDefault="00D020FA" w:rsidP="00F85C91">
      <w:pPr>
        <w:autoSpaceDE w:val="0"/>
        <w:autoSpaceDN w:val="0"/>
        <w:adjustRightInd w:val="0"/>
        <w:spacing w:before="120" w:after="0" w:line="240" w:lineRule="auto"/>
        <w:jc w:val="both"/>
        <w:rPr>
          <w:rFonts w:ascii="Times New Roman" w:hAnsi="Times New Roman" w:cs="Times New Roman"/>
          <w:sz w:val="24"/>
          <w:szCs w:val="24"/>
        </w:rPr>
      </w:pPr>
    </w:p>
    <w:p w:rsidR="005C0654" w:rsidRDefault="005C0654" w:rsidP="00F85C91">
      <w:pPr>
        <w:autoSpaceDE w:val="0"/>
        <w:autoSpaceDN w:val="0"/>
        <w:adjustRightInd w:val="0"/>
        <w:spacing w:before="120" w:after="0" w:line="240" w:lineRule="auto"/>
        <w:jc w:val="center"/>
        <w:rPr>
          <w:rFonts w:ascii="Times New Roman" w:hAnsi="Times New Roman" w:cs="Times New Roman"/>
          <w:sz w:val="24"/>
          <w:szCs w:val="24"/>
        </w:rPr>
      </w:pPr>
    </w:p>
    <w:p w:rsidR="00E841E9" w:rsidRDefault="00E841E9" w:rsidP="00F85C91">
      <w:pPr>
        <w:autoSpaceDE w:val="0"/>
        <w:autoSpaceDN w:val="0"/>
        <w:adjustRightInd w:val="0"/>
        <w:spacing w:before="120" w:after="0" w:line="240" w:lineRule="auto"/>
        <w:jc w:val="center"/>
        <w:rPr>
          <w:rFonts w:ascii="Times New Roman" w:hAnsi="Times New Roman" w:cs="Times New Roman"/>
          <w:sz w:val="24"/>
          <w:szCs w:val="24"/>
        </w:rPr>
      </w:pPr>
    </w:p>
    <w:p w:rsidR="00E841E9" w:rsidRPr="005C0654" w:rsidRDefault="00E841E9" w:rsidP="00F85C91">
      <w:pPr>
        <w:autoSpaceDE w:val="0"/>
        <w:autoSpaceDN w:val="0"/>
        <w:adjustRightInd w:val="0"/>
        <w:spacing w:before="120" w:after="0" w:line="240" w:lineRule="auto"/>
        <w:jc w:val="center"/>
        <w:rPr>
          <w:rFonts w:ascii="Times New Roman" w:hAnsi="Times New Roman" w:cs="Times New Roman"/>
          <w:sz w:val="24"/>
          <w:szCs w:val="24"/>
        </w:rPr>
      </w:pPr>
      <w:r w:rsidRPr="00E841E9">
        <w:rPr>
          <w:rFonts w:ascii="Times New Roman" w:hAnsi="Times New Roman" w:cs="Times New Roman"/>
          <w:noProof/>
          <w:sz w:val="24"/>
          <w:szCs w:val="24"/>
          <w:lang w:eastAsia="lv-LV"/>
        </w:rPr>
        <w:lastRenderedPageBreak/>
        <w:drawing>
          <wp:inline distT="0" distB="0" distL="0" distR="0">
            <wp:extent cx="4981575" cy="3200400"/>
            <wp:effectExtent l="19050" t="0" r="0" b="0"/>
            <wp:docPr id="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5C0654" w:rsidRPr="005C0654" w:rsidRDefault="005C0654" w:rsidP="00226CDB">
      <w:pPr>
        <w:autoSpaceDE w:val="0"/>
        <w:autoSpaceDN w:val="0"/>
        <w:adjustRightInd w:val="0"/>
        <w:spacing w:after="0" w:line="240" w:lineRule="auto"/>
        <w:jc w:val="both"/>
        <w:rPr>
          <w:rFonts w:ascii="Times New Roman" w:hAnsi="Times New Roman" w:cs="Times New Roman"/>
          <w:i/>
          <w:sz w:val="24"/>
          <w:szCs w:val="24"/>
        </w:rPr>
      </w:pPr>
      <w:r w:rsidRPr="00F85C91">
        <w:rPr>
          <w:rFonts w:ascii="Times New Roman" w:hAnsi="Times New Roman" w:cs="Times New Roman"/>
          <w:i/>
          <w:sz w:val="24"/>
          <w:szCs w:val="24"/>
        </w:rPr>
        <w:t>15. attēls. Rekultivēto izgāztuvju skaits</w:t>
      </w:r>
    </w:p>
    <w:p w:rsidR="00E841E9" w:rsidRPr="005C0654" w:rsidRDefault="00E841E9" w:rsidP="00F85C91">
      <w:pPr>
        <w:autoSpaceDE w:val="0"/>
        <w:autoSpaceDN w:val="0"/>
        <w:adjustRightInd w:val="0"/>
        <w:spacing w:before="120" w:after="0" w:line="240" w:lineRule="auto"/>
        <w:jc w:val="center"/>
        <w:rPr>
          <w:rFonts w:ascii="Times New Roman" w:hAnsi="Times New Roman" w:cs="Times New Roman"/>
          <w:i/>
          <w:sz w:val="24"/>
          <w:szCs w:val="24"/>
        </w:rPr>
      </w:pPr>
      <w:r w:rsidRPr="00E841E9">
        <w:rPr>
          <w:rFonts w:ascii="Times New Roman" w:hAnsi="Times New Roman" w:cs="Times New Roman"/>
          <w:i/>
          <w:noProof/>
          <w:sz w:val="24"/>
          <w:szCs w:val="24"/>
          <w:lang w:eastAsia="lv-LV"/>
        </w:rPr>
        <w:drawing>
          <wp:inline distT="0" distB="0" distL="0" distR="0">
            <wp:extent cx="4572000" cy="2743200"/>
            <wp:effectExtent l="19050" t="0" r="0" b="0"/>
            <wp:docPr id="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C0654" w:rsidRPr="005C0654" w:rsidRDefault="005C0654" w:rsidP="00226CDB">
      <w:pPr>
        <w:spacing w:after="0" w:line="240" w:lineRule="auto"/>
        <w:jc w:val="both"/>
        <w:rPr>
          <w:rFonts w:ascii="Times New Roman" w:hAnsi="Times New Roman" w:cs="Times New Roman"/>
          <w:i/>
          <w:sz w:val="24"/>
          <w:szCs w:val="24"/>
        </w:rPr>
      </w:pPr>
      <w:r w:rsidRPr="00F85C91">
        <w:rPr>
          <w:rFonts w:ascii="Times New Roman" w:hAnsi="Times New Roman" w:cs="Times New Roman"/>
          <w:i/>
          <w:sz w:val="24"/>
          <w:szCs w:val="24"/>
        </w:rPr>
        <w:t>16. attēls.</w:t>
      </w:r>
      <w:r w:rsidRPr="005C0654">
        <w:rPr>
          <w:rFonts w:ascii="Times New Roman" w:hAnsi="Times New Roman" w:cs="Times New Roman"/>
          <w:i/>
          <w:sz w:val="24"/>
          <w:szCs w:val="24"/>
        </w:rPr>
        <w:t xml:space="preserve"> Rekultivēto izgāztuvju platība, ha, 2010.-2013.</w:t>
      </w:r>
    </w:p>
    <w:p w:rsidR="006853BA" w:rsidRDefault="006853BA" w:rsidP="00F85C91">
      <w:pPr>
        <w:autoSpaceDE w:val="0"/>
        <w:autoSpaceDN w:val="0"/>
        <w:adjustRightInd w:val="0"/>
        <w:spacing w:before="120" w:after="0" w:line="240" w:lineRule="auto"/>
        <w:jc w:val="both"/>
        <w:rPr>
          <w:rFonts w:ascii="Times New Roman" w:hAnsi="Times New Roman" w:cs="Times New Roman"/>
          <w:sz w:val="24"/>
          <w:szCs w:val="24"/>
        </w:rPr>
      </w:pPr>
    </w:p>
    <w:p w:rsidR="005C0654" w:rsidRPr="005C0654" w:rsidRDefault="005C0654" w:rsidP="00F85C91">
      <w:pPr>
        <w:autoSpaceDE w:val="0"/>
        <w:autoSpaceDN w:val="0"/>
        <w:adjustRightInd w:val="0"/>
        <w:spacing w:before="120" w:after="0" w:line="240" w:lineRule="auto"/>
        <w:jc w:val="both"/>
        <w:rPr>
          <w:rFonts w:ascii="Times New Roman" w:hAnsi="Times New Roman" w:cs="Times New Roman"/>
          <w:sz w:val="24"/>
          <w:szCs w:val="24"/>
        </w:rPr>
      </w:pPr>
      <w:r w:rsidRPr="005C0654">
        <w:rPr>
          <w:rFonts w:ascii="Times New Roman" w:hAnsi="Times New Roman" w:cs="Times New Roman"/>
          <w:sz w:val="24"/>
          <w:szCs w:val="24"/>
        </w:rPr>
        <w:t>Kurzemes reģionā 2013. gadā rekultivētai izgāztuvei netiek norādīta platība, jo izgāztuve rekultivēta iepriekš, bet projekta ietvaros ierīkota tikai monitoringa sistēma.</w:t>
      </w:r>
    </w:p>
    <w:p w:rsidR="005C0654" w:rsidRDefault="005C0654" w:rsidP="00F85C91">
      <w:pPr>
        <w:spacing w:before="120" w:after="0" w:line="240" w:lineRule="auto"/>
        <w:jc w:val="both"/>
        <w:rPr>
          <w:rFonts w:ascii="Times New Roman" w:hAnsi="Times New Roman" w:cs="Times New Roman"/>
          <w:color w:val="000000"/>
          <w:sz w:val="24"/>
          <w:szCs w:val="24"/>
          <w:lang w:eastAsia="lv-LV"/>
        </w:rPr>
      </w:pPr>
      <w:r w:rsidRPr="005C0654">
        <w:rPr>
          <w:rFonts w:ascii="Times New Roman" w:hAnsi="Times New Roman" w:cs="Times New Roman"/>
          <w:sz w:val="24"/>
          <w:szCs w:val="24"/>
        </w:rPr>
        <w:t>Kopš 1995. gada lielākās investīcijas atkritumu apsaimniekošanas jomā ieguldītas Rīgas plānošanas reģionā – 36,41 milj. latu un Kurzemes plānošanas reģionā – 2</w:t>
      </w:r>
      <w:r w:rsidR="00D150C2">
        <w:rPr>
          <w:rFonts w:ascii="Times New Roman" w:hAnsi="Times New Roman" w:cs="Times New Roman"/>
          <w:sz w:val="24"/>
          <w:szCs w:val="24"/>
        </w:rPr>
        <w:t>6</w:t>
      </w:r>
      <w:r w:rsidRPr="005C0654">
        <w:rPr>
          <w:rFonts w:ascii="Times New Roman" w:hAnsi="Times New Roman" w:cs="Times New Roman"/>
          <w:sz w:val="24"/>
          <w:szCs w:val="24"/>
        </w:rPr>
        <w:t>,</w:t>
      </w:r>
      <w:r w:rsidR="00D150C2">
        <w:rPr>
          <w:rFonts w:ascii="Times New Roman" w:hAnsi="Times New Roman" w:cs="Times New Roman"/>
          <w:sz w:val="24"/>
          <w:szCs w:val="24"/>
        </w:rPr>
        <w:t>98</w:t>
      </w:r>
      <w:r w:rsidRPr="005C0654">
        <w:rPr>
          <w:rFonts w:ascii="Times New Roman" w:hAnsi="Times New Roman" w:cs="Times New Roman"/>
          <w:sz w:val="24"/>
          <w:szCs w:val="24"/>
        </w:rPr>
        <w:t xml:space="preserve"> milj. latu, kas saistīts ar poligonu infrastruktūras attīstības projektiem. Arī lielākās investīcijas 2013. gadā ieguldītas Rīgas plānošanas reģionā – </w:t>
      </w:r>
      <w:r w:rsidRPr="005C0654">
        <w:rPr>
          <w:rFonts w:ascii="Times New Roman" w:hAnsi="Times New Roman" w:cs="Times New Roman"/>
          <w:color w:val="000000"/>
          <w:sz w:val="24"/>
          <w:szCs w:val="24"/>
          <w:lang w:eastAsia="lv-LV"/>
        </w:rPr>
        <w:t xml:space="preserve">26% no visām investīcijām, </w:t>
      </w:r>
      <w:r w:rsidRPr="005C0654">
        <w:rPr>
          <w:rFonts w:ascii="Times New Roman" w:hAnsi="Times New Roman" w:cs="Times New Roman"/>
          <w:sz w:val="24"/>
          <w:szCs w:val="24"/>
        </w:rPr>
        <w:t>Kurzemes un</w:t>
      </w:r>
      <w:r w:rsidRPr="005C0654">
        <w:rPr>
          <w:rFonts w:ascii="Times New Roman" w:hAnsi="Times New Roman" w:cs="Times New Roman"/>
          <w:color w:val="000000"/>
          <w:sz w:val="24"/>
          <w:szCs w:val="24"/>
          <w:lang w:eastAsia="lv-LV"/>
        </w:rPr>
        <w:t xml:space="preserve"> </w:t>
      </w:r>
      <w:r w:rsidR="00D150C2">
        <w:rPr>
          <w:rFonts w:ascii="Times New Roman" w:hAnsi="Times New Roman" w:cs="Times New Roman"/>
          <w:sz w:val="24"/>
          <w:szCs w:val="24"/>
        </w:rPr>
        <w:t>Latgales – 22</w:t>
      </w:r>
      <w:r w:rsidRPr="005C0654">
        <w:rPr>
          <w:rFonts w:ascii="Times New Roman" w:hAnsi="Times New Roman" w:cs="Times New Roman"/>
          <w:sz w:val="24"/>
          <w:szCs w:val="24"/>
        </w:rPr>
        <w:t>%, Vidzemes – 15% un Zemgales plānošanas reģionā – 14%</w:t>
      </w:r>
      <w:r w:rsidRPr="005C0654">
        <w:rPr>
          <w:rFonts w:ascii="Times New Roman" w:hAnsi="Times New Roman" w:cs="Times New Roman"/>
          <w:color w:val="000000"/>
          <w:sz w:val="24"/>
          <w:szCs w:val="24"/>
          <w:lang w:eastAsia="lv-LV"/>
        </w:rPr>
        <w:t xml:space="preserve"> no ieguldītajām investīcijām atkritumu apsaimniekošanas sfērā </w:t>
      </w:r>
      <w:r w:rsidRPr="005C0654">
        <w:rPr>
          <w:rFonts w:ascii="Times New Roman" w:hAnsi="Times New Roman" w:cs="Times New Roman"/>
          <w:sz w:val="24"/>
          <w:szCs w:val="24"/>
        </w:rPr>
        <w:t>(</w:t>
      </w:r>
      <w:r w:rsidRPr="00F85C91">
        <w:rPr>
          <w:rFonts w:ascii="Times New Roman" w:hAnsi="Times New Roman" w:cs="Times New Roman"/>
          <w:i/>
          <w:sz w:val="24"/>
          <w:szCs w:val="24"/>
        </w:rPr>
        <w:t>17. attēls</w:t>
      </w:r>
      <w:r w:rsidRPr="005C0654">
        <w:rPr>
          <w:rFonts w:ascii="Times New Roman" w:hAnsi="Times New Roman" w:cs="Times New Roman"/>
          <w:sz w:val="24"/>
          <w:szCs w:val="24"/>
        </w:rPr>
        <w:t>)</w:t>
      </w:r>
      <w:r w:rsidRPr="005C0654">
        <w:rPr>
          <w:rFonts w:ascii="Times New Roman" w:hAnsi="Times New Roman" w:cs="Times New Roman"/>
          <w:color w:val="000000"/>
          <w:sz w:val="24"/>
          <w:szCs w:val="24"/>
          <w:lang w:eastAsia="lv-LV"/>
        </w:rPr>
        <w:t>.</w:t>
      </w:r>
    </w:p>
    <w:p w:rsidR="00D150C2" w:rsidRDefault="00D150C2" w:rsidP="00D150C2">
      <w:pPr>
        <w:spacing w:before="120" w:after="0" w:line="240" w:lineRule="auto"/>
        <w:jc w:val="center"/>
        <w:rPr>
          <w:rFonts w:ascii="Times New Roman" w:hAnsi="Times New Roman" w:cs="Times New Roman"/>
          <w:i/>
          <w:sz w:val="24"/>
          <w:szCs w:val="24"/>
        </w:rPr>
      </w:pPr>
      <w:r w:rsidRPr="00D150C2">
        <w:rPr>
          <w:rFonts w:ascii="Times New Roman" w:hAnsi="Times New Roman" w:cs="Times New Roman"/>
          <w:noProof/>
          <w:color w:val="000000"/>
          <w:sz w:val="24"/>
          <w:szCs w:val="24"/>
          <w:lang w:eastAsia="lv-LV"/>
        </w:rPr>
        <w:lastRenderedPageBreak/>
        <w:drawing>
          <wp:inline distT="0" distB="0" distL="0" distR="0">
            <wp:extent cx="4572000" cy="2743200"/>
            <wp:effectExtent l="19050" t="0" r="0" b="0"/>
            <wp:docPr id="3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5C0654" w:rsidRPr="005C0654" w:rsidRDefault="005C0654" w:rsidP="00D150C2">
      <w:pPr>
        <w:spacing w:before="120" w:after="0" w:line="240" w:lineRule="auto"/>
        <w:jc w:val="center"/>
        <w:rPr>
          <w:rFonts w:ascii="Times New Roman" w:hAnsi="Times New Roman" w:cs="Times New Roman"/>
          <w:sz w:val="24"/>
          <w:szCs w:val="24"/>
        </w:rPr>
      </w:pPr>
      <w:r w:rsidRPr="00F85C91">
        <w:rPr>
          <w:rFonts w:ascii="Times New Roman" w:hAnsi="Times New Roman" w:cs="Times New Roman"/>
          <w:i/>
          <w:sz w:val="24"/>
          <w:szCs w:val="24"/>
        </w:rPr>
        <w:t>17. attēls. Ieguldīto</w:t>
      </w:r>
      <w:r w:rsidRPr="005C0654">
        <w:rPr>
          <w:rFonts w:ascii="Times New Roman" w:hAnsi="Times New Roman" w:cs="Times New Roman"/>
          <w:i/>
          <w:sz w:val="24"/>
          <w:szCs w:val="24"/>
        </w:rPr>
        <w:t xml:space="preserve"> investīciju sadalījums pa plānošanas reģioniem, 1995.-2013, milj. LVL</w:t>
      </w:r>
    </w:p>
    <w:p w:rsidR="005C0654" w:rsidRPr="005C0654" w:rsidRDefault="005C0654" w:rsidP="00F85C91">
      <w:pPr>
        <w:autoSpaceDE w:val="0"/>
        <w:autoSpaceDN w:val="0"/>
        <w:adjustRightInd w:val="0"/>
        <w:spacing w:before="120" w:after="0" w:line="240" w:lineRule="auto"/>
        <w:jc w:val="both"/>
        <w:rPr>
          <w:rFonts w:ascii="Times New Roman" w:hAnsi="Times New Roman" w:cs="Times New Roman"/>
          <w:color w:val="000000"/>
          <w:sz w:val="24"/>
          <w:szCs w:val="24"/>
          <w:lang w:eastAsia="lv-LV"/>
        </w:rPr>
      </w:pPr>
    </w:p>
    <w:p w:rsidR="005C0654" w:rsidRPr="005C0654" w:rsidRDefault="005C0654" w:rsidP="00F85C91">
      <w:pPr>
        <w:autoSpaceDE w:val="0"/>
        <w:autoSpaceDN w:val="0"/>
        <w:adjustRightInd w:val="0"/>
        <w:spacing w:before="120" w:after="0" w:line="240" w:lineRule="auto"/>
        <w:jc w:val="both"/>
        <w:rPr>
          <w:rFonts w:ascii="Times New Roman" w:hAnsi="Times New Roman" w:cs="Times New Roman"/>
          <w:color w:val="000000"/>
          <w:sz w:val="24"/>
          <w:szCs w:val="24"/>
          <w:lang w:eastAsia="lv-LV"/>
        </w:rPr>
      </w:pPr>
      <w:r w:rsidRPr="005C0654">
        <w:rPr>
          <w:rFonts w:ascii="Times New Roman" w:hAnsi="Times New Roman" w:cs="Times New Roman"/>
          <w:color w:val="000000"/>
          <w:sz w:val="24"/>
          <w:szCs w:val="24"/>
          <w:lang w:eastAsia="lv-LV"/>
        </w:rPr>
        <w:t xml:space="preserve">Savukārt, kopš 1995.gada, lielākās investīcijas atkritumu apsaimniekošanas jomā uz vienu iedzīvotāju ieguldītas Kurzemes plānošanas reģionā – 100 lati un Vidzemes plānošanas reģionā – 86 lati, bet vismazākās investīcijas uz vienu iedzīvotāju – Rīgas plānošanas reģionā (35 lati) </w:t>
      </w:r>
      <w:r w:rsidRPr="005C0654">
        <w:rPr>
          <w:rFonts w:ascii="Times New Roman" w:hAnsi="Times New Roman" w:cs="Times New Roman"/>
          <w:sz w:val="24"/>
          <w:szCs w:val="24"/>
        </w:rPr>
        <w:t>(</w:t>
      </w:r>
      <w:r w:rsidRPr="00F85C91">
        <w:rPr>
          <w:rFonts w:ascii="Times New Roman" w:hAnsi="Times New Roman" w:cs="Times New Roman"/>
          <w:i/>
          <w:sz w:val="24"/>
          <w:szCs w:val="24"/>
        </w:rPr>
        <w:t>18. attēls</w:t>
      </w:r>
      <w:r w:rsidRPr="005C0654">
        <w:rPr>
          <w:rFonts w:ascii="Times New Roman" w:hAnsi="Times New Roman" w:cs="Times New Roman"/>
          <w:sz w:val="24"/>
          <w:szCs w:val="24"/>
        </w:rPr>
        <w:t>)</w:t>
      </w:r>
      <w:r w:rsidRPr="005C0654">
        <w:rPr>
          <w:rFonts w:ascii="Times New Roman" w:hAnsi="Times New Roman" w:cs="Times New Roman"/>
          <w:color w:val="000000"/>
          <w:sz w:val="24"/>
          <w:szCs w:val="24"/>
          <w:lang w:eastAsia="lv-LV"/>
        </w:rPr>
        <w:t>.</w:t>
      </w:r>
    </w:p>
    <w:p w:rsidR="005C0654" w:rsidRPr="005C0654" w:rsidRDefault="005C0654" w:rsidP="00F85C91">
      <w:pPr>
        <w:autoSpaceDE w:val="0"/>
        <w:autoSpaceDN w:val="0"/>
        <w:adjustRightInd w:val="0"/>
        <w:spacing w:before="120" w:after="0" w:line="240" w:lineRule="auto"/>
        <w:jc w:val="center"/>
        <w:rPr>
          <w:rFonts w:ascii="Times New Roman" w:hAnsi="Times New Roman" w:cs="Times New Roman"/>
          <w:color w:val="000000"/>
          <w:sz w:val="24"/>
          <w:szCs w:val="24"/>
          <w:lang w:eastAsia="lv-LV"/>
        </w:rPr>
      </w:pPr>
      <w:r w:rsidRPr="005C0654">
        <w:rPr>
          <w:rFonts w:ascii="Times New Roman" w:hAnsi="Times New Roman" w:cs="Times New Roman"/>
          <w:noProof/>
          <w:color w:val="000000"/>
          <w:sz w:val="24"/>
          <w:szCs w:val="24"/>
          <w:lang w:eastAsia="lv-LV"/>
        </w:rPr>
        <w:drawing>
          <wp:inline distT="0" distB="0" distL="0" distR="0">
            <wp:extent cx="4572000" cy="2743200"/>
            <wp:effectExtent l="19050" t="0" r="0" b="0"/>
            <wp:docPr id="1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C0654" w:rsidRPr="005C0654" w:rsidRDefault="005C0654" w:rsidP="00226CDB">
      <w:pPr>
        <w:spacing w:after="0" w:line="240" w:lineRule="auto"/>
        <w:jc w:val="both"/>
        <w:rPr>
          <w:rFonts w:ascii="Times New Roman" w:hAnsi="Times New Roman" w:cs="Times New Roman"/>
          <w:i/>
          <w:sz w:val="24"/>
          <w:szCs w:val="24"/>
        </w:rPr>
      </w:pPr>
      <w:r w:rsidRPr="00F85C91">
        <w:rPr>
          <w:rFonts w:ascii="Times New Roman" w:hAnsi="Times New Roman" w:cs="Times New Roman"/>
          <w:i/>
          <w:sz w:val="24"/>
          <w:szCs w:val="24"/>
        </w:rPr>
        <w:t>18. attēls.</w:t>
      </w:r>
      <w:r w:rsidRPr="005C0654">
        <w:rPr>
          <w:rFonts w:ascii="Times New Roman" w:hAnsi="Times New Roman" w:cs="Times New Roman"/>
          <w:i/>
          <w:sz w:val="24"/>
          <w:szCs w:val="24"/>
        </w:rPr>
        <w:t xml:space="preserve"> Ieguldīto investīciju uz vienu iedzīvotāju sadalījums pa plānošanas reģioniem, 1995.-2013., LVL</w:t>
      </w:r>
    </w:p>
    <w:p w:rsidR="00F960E0" w:rsidRDefault="005C0654" w:rsidP="00226CDB">
      <w:pPr>
        <w:spacing w:before="120" w:after="0" w:line="240" w:lineRule="auto"/>
        <w:jc w:val="both"/>
        <w:rPr>
          <w:rFonts w:ascii="Times New Roman" w:hAnsi="Times New Roman" w:cs="Times New Roman"/>
          <w:sz w:val="24"/>
          <w:szCs w:val="24"/>
        </w:rPr>
      </w:pPr>
      <w:r w:rsidRPr="005C0654">
        <w:rPr>
          <w:rFonts w:ascii="Times New Roman" w:hAnsi="Times New Roman" w:cs="Times New Roman"/>
          <w:sz w:val="24"/>
          <w:szCs w:val="24"/>
        </w:rPr>
        <w:t>2013. gadā Latgales, Zemgales, Kurzemes un Vidzemes plānošanas reģionos investīcijas uz vienu iedzīvotāju veido gan poligonu infrastruktūras attīstības, gan atkritumu dalītas vākšanas projektu īstenošana. Lai gan Rīgas plānošanas reģionā gan kopumā, gan 2013. gadā ieguldītas lielākās investīcijas, tomēr, rēķinot uz iedzīvotāju, investīcijas ir viszemākās, kas saistīts iedzīvotāju skaitu šajā plānošanas reģionā.</w:t>
      </w:r>
      <w:r w:rsidR="00F960E0">
        <w:rPr>
          <w:rFonts w:ascii="Times New Roman" w:hAnsi="Times New Roman" w:cs="Times New Roman"/>
          <w:sz w:val="24"/>
          <w:szCs w:val="24"/>
        </w:rPr>
        <w:br w:type="page"/>
      </w:r>
    </w:p>
    <w:p w:rsidR="00DE2850" w:rsidRPr="00DE2850" w:rsidRDefault="00DE2850" w:rsidP="00DE2850">
      <w:pPr>
        <w:pStyle w:val="Heading1"/>
        <w:spacing w:before="120" w:after="240"/>
        <w:jc w:val="both"/>
        <w:rPr>
          <w:rFonts w:ascii="Times New Roman Bold" w:hAnsi="Times New Roman Bold"/>
          <w:caps/>
          <w:color w:val="0070C0"/>
          <w:sz w:val="28"/>
          <w:szCs w:val="28"/>
        </w:rPr>
      </w:pPr>
      <w:bookmarkStart w:id="19" w:name="_Toc329178272"/>
      <w:bookmarkStart w:id="20" w:name="_Toc391887125"/>
      <w:bookmarkStart w:id="21" w:name="_Toc329178274"/>
      <w:r w:rsidRPr="00DE2850">
        <w:rPr>
          <w:rFonts w:ascii="Times New Roman Bold" w:hAnsi="Times New Roman Bold"/>
          <w:caps/>
          <w:color w:val="0070C0"/>
          <w:sz w:val="28"/>
          <w:szCs w:val="28"/>
        </w:rPr>
        <w:lastRenderedPageBreak/>
        <w:t>Investīcijas Siltumnīcefekta gāzu emisiju samazināšanā</w:t>
      </w:r>
      <w:bookmarkEnd w:id="19"/>
      <w:bookmarkEnd w:id="20"/>
    </w:p>
    <w:p w:rsidR="00DE2850" w:rsidRPr="00DE2850" w:rsidRDefault="00DE2850" w:rsidP="00DE2850">
      <w:pPr>
        <w:spacing w:before="120" w:after="0" w:line="240" w:lineRule="auto"/>
        <w:jc w:val="both"/>
        <w:rPr>
          <w:rFonts w:ascii="Times New Roman" w:hAnsi="Times New Roman" w:cs="Times New Roman"/>
          <w:sz w:val="24"/>
          <w:szCs w:val="24"/>
          <w:lang w:eastAsia="lv-LV"/>
        </w:rPr>
      </w:pPr>
      <w:r w:rsidRPr="00DE2850">
        <w:rPr>
          <w:rFonts w:ascii="Times New Roman" w:hAnsi="Times New Roman" w:cs="Times New Roman"/>
          <w:bCs/>
          <w:sz w:val="24"/>
          <w:szCs w:val="24"/>
          <w:lang w:eastAsia="lv-LV"/>
        </w:rPr>
        <w:t xml:space="preserve">Siltumnīcefekta gāzu emisiju samazinošo projektu īstenošanā 2013. gadā ieguldīts </w:t>
      </w:r>
      <w:r w:rsidRPr="00DE2850">
        <w:rPr>
          <w:rFonts w:ascii="Times New Roman" w:hAnsi="Times New Roman" w:cs="Times New Roman"/>
          <w:sz w:val="24"/>
          <w:szCs w:val="24"/>
          <w:lang w:eastAsia="lv-LV"/>
        </w:rPr>
        <w:t>KPFI finansējums 21,13 milj. latu apmērā, no kura vislielākais finansējums – 5,28 milj. latu izmaksāts kompleksu risinājumu siltumnīcefekta gāzu emisijas samazināšanai projektos, 4,52 milj. latu atjaunojamo energoresursu izmantošanas siltumnīcefekta gāzu emisiju samazināšanai projektos un 3,37 milj. latu siltumnīcefektu gāzu emisiju samazināšanas pašvaldību publisko teritoriju apgaismojuma infrastruktūrā projektos (</w:t>
      </w:r>
      <w:r w:rsidR="00AE13EA" w:rsidRPr="00AE13EA">
        <w:rPr>
          <w:rFonts w:ascii="Times New Roman" w:hAnsi="Times New Roman" w:cs="Times New Roman"/>
          <w:i/>
          <w:sz w:val="24"/>
          <w:szCs w:val="24"/>
          <w:lang w:eastAsia="lv-LV"/>
        </w:rPr>
        <w:t>19</w:t>
      </w:r>
      <w:r w:rsidRPr="00AE13EA">
        <w:rPr>
          <w:rFonts w:ascii="Times New Roman" w:hAnsi="Times New Roman" w:cs="Times New Roman"/>
          <w:i/>
          <w:sz w:val="24"/>
          <w:szCs w:val="24"/>
          <w:lang w:eastAsia="lv-LV"/>
        </w:rPr>
        <w:t>. attēls</w:t>
      </w:r>
      <w:r w:rsidRPr="00AE13EA">
        <w:rPr>
          <w:rFonts w:ascii="Times New Roman" w:hAnsi="Times New Roman" w:cs="Times New Roman"/>
          <w:sz w:val="24"/>
          <w:szCs w:val="24"/>
          <w:lang w:eastAsia="lv-LV"/>
        </w:rPr>
        <w:t>).</w:t>
      </w:r>
    </w:p>
    <w:p w:rsidR="00DE2850" w:rsidRPr="00DE2850" w:rsidRDefault="00DE2850" w:rsidP="00AE13EA">
      <w:pPr>
        <w:spacing w:after="0" w:line="240" w:lineRule="auto"/>
        <w:jc w:val="center"/>
        <w:rPr>
          <w:rFonts w:ascii="Times New Roman" w:hAnsi="Times New Roman" w:cs="Times New Roman"/>
          <w:sz w:val="24"/>
          <w:szCs w:val="24"/>
          <w:lang w:eastAsia="lv-LV"/>
        </w:rPr>
      </w:pPr>
      <w:r w:rsidRPr="00DE2850">
        <w:rPr>
          <w:rFonts w:ascii="Times New Roman" w:hAnsi="Times New Roman" w:cs="Times New Roman"/>
          <w:noProof/>
          <w:sz w:val="24"/>
          <w:szCs w:val="24"/>
          <w:lang w:eastAsia="lv-LV"/>
        </w:rPr>
        <w:drawing>
          <wp:inline distT="0" distB="0" distL="0" distR="0">
            <wp:extent cx="5267326" cy="4029075"/>
            <wp:effectExtent l="19050" t="0" r="9524" b="0"/>
            <wp:docPr id="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DE2850" w:rsidRPr="00AE13EA" w:rsidRDefault="00DE2850" w:rsidP="0000007A">
      <w:pPr>
        <w:pStyle w:val="ListParagraph"/>
        <w:keepNext/>
        <w:numPr>
          <w:ilvl w:val="0"/>
          <w:numId w:val="3"/>
        </w:numPr>
        <w:shd w:val="clear" w:color="auto" w:fill="DDDDDD"/>
        <w:ind w:left="567" w:hanging="283"/>
        <w:jc w:val="both"/>
        <w:rPr>
          <w:sz w:val="20"/>
          <w:szCs w:val="20"/>
        </w:rPr>
      </w:pPr>
      <w:r w:rsidRPr="00AE13EA">
        <w:rPr>
          <w:sz w:val="20"/>
          <w:szCs w:val="20"/>
          <w:lang w:eastAsia="lv-LV"/>
        </w:rPr>
        <w:t>Siltumnīcefekta gāzu emisijas samazinošu tehnoloģiju attīstīšanas projekti</w:t>
      </w:r>
    </w:p>
    <w:p w:rsidR="00DE2850" w:rsidRPr="00AE13EA" w:rsidRDefault="00DE2850" w:rsidP="00DE2850">
      <w:pPr>
        <w:pStyle w:val="ListParagraph"/>
        <w:keepNext/>
        <w:numPr>
          <w:ilvl w:val="0"/>
          <w:numId w:val="3"/>
        </w:numPr>
        <w:shd w:val="clear" w:color="auto" w:fill="DDDDDD"/>
        <w:spacing w:before="120"/>
        <w:ind w:left="567" w:hanging="283"/>
        <w:jc w:val="both"/>
        <w:rPr>
          <w:sz w:val="20"/>
          <w:szCs w:val="20"/>
        </w:rPr>
      </w:pPr>
      <w:r w:rsidRPr="00AE13EA">
        <w:rPr>
          <w:sz w:val="20"/>
          <w:szCs w:val="20"/>
          <w:lang w:eastAsia="lv-LV"/>
        </w:rPr>
        <w:t>Energoefektivitātes paaugstināšanas augstākās izglītības iestāžu ēkās projekti</w:t>
      </w:r>
    </w:p>
    <w:p w:rsidR="00DE2850" w:rsidRPr="00AE13EA" w:rsidRDefault="00DE2850" w:rsidP="00AE13EA">
      <w:pPr>
        <w:pStyle w:val="ListParagraph"/>
        <w:keepNext/>
        <w:numPr>
          <w:ilvl w:val="0"/>
          <w:numId w:val="3"/>
        </w:numPr>
        <w:shd w:val="clear" w:color="auto" w:fill="DDDDDD"/>
        <w:ind w:left="567" w:hanging="283"/>
        <w:jc w:val="both"/>
        <w:rPr>
          <w:sz w:val="20"/>
          <w:szCs w:val="20"/>
        </w:rPr>
      </w:pPr>
      <w:r w:rsidRPr="00AE13EA">
        <w:rPr>
          <w:sz w:val="20"/>
          <w:szCs w:val="20"/>
          <w:lang w:eastAsia="lv-LV"/>
        </w:rPr>
        <w:t>Tehnoloģiju pārejas no fosilajiem uz atjaunojamiem energoresursiem projekti</w:t>
      </w:r>
    </w:p>
    <w:p w:rsidR="00DE2850" w:rsidRPr="00AE13EA" w:rsidRDefault="00DE2850" w:rsidP="00DE2850">
      <w:pPr>
        <w:pStyle w:val="ListParagraph"/>
        <w:keepNext/>
        <w:shd w:val="clear" w:color="auto" w:fill="DDDDDD"/>
        <w:spacing w:before="120"/>
        <w:ind w:left="567" w:hanging="283"/>
        <w:jc w:val="both"/>
        <w:rPr>
          <w:sz w:val="20"/>
          <w:szCs w:val="20"/>
          <w:lang w:eastAsia="lv-LV"/>
        </w:rPr>
      </w:pPr>
      <w:r w:rsidRPr="00AE13EA">
        <w:rPr>
          <w:sz w:val="20"/>
          <w:szCs w:val="20"/>
          <w:lang w:eastAsia="lv-LV"/>
        </w:rPr>
        <w:t>4., 5., 6. Kompleksu risinājumu siltumnīcefekta gāzu emisijas samazināšanai valsts un pašvaldību profesionālās izglītības iestāžu ēkās, ražošanas ēkās un pašvaldību ēkās projekti</w:t>
      </w:r>
    </w:p>
    <w:p w:rsidR="00DE2850" w:rsidRPr="00AE13EA" w:rsidRDefault="00DE2850" w:rsidP="00DE2850">
      <w:pPr>
        <w:pStyle w:val="ListParagraph"/>
        <w:keepNext/>
        <w:shd w:val="clear" w:color="auto" w:fill="DDDDDD"/>
        <w:spacing w:before="120"/>
        <w:ind w:left="567" w:hanging="283"/>
        <w:jc w:val="both"/>
        <w:rPr>
          <w:sz w:val="20"/>
          <w:szCs w:val="20"/>
          <w:lang w:eastAsia="lv-LV"/>
        </w:rPr>
      </w:pPr>
      <w:r w:rsidRPr="00AE13EA">
        <w:rPr>
          <w:sz w:val="20"/>
          <w:szCs w:val="20"/>
          <w:lang w:eastAsia="lv-LV"/>
        </w:rPr>
        <w:t>7.  Sabiedrības izpratnes attīstīšanas par siltumnīcefekta gāzu emisiju samazināšanas nozīmi un iespējām projekti</w:t>
      </w:r>
    </w:p>
    <w:p w:rsidR="00DE2850" w:rsidRPr="00AE13EA" w:rsidRDefault="00DE2850" w:rsidP="00DE2850">
      <w:pPr>
        <w:pStyle w:val="ListParagraph"/>
        <w:keepNext/>
        <w:shd w:val="clear" w:color="auto" w:fill="DDDDDD"/>
        <w:spacing w:before="120"/>
        <w:ind w:left="567" w:hanging="283"/>
        <w:jc w:val="both"/>
        <w:rPr>
          <w:sz w:val="20"/>
          <w:szCs w:val="20"/>
          <w:lang w:eastAsia="lv-LV"/>
        </w:rPr>
      </w:pPr>
      <w:r w:rsidRPr="00AE13EA">
        <w:rPr>
          <w:sz w:val="20"/>
          <w:szCs w:val="20"/>
          <w:lang w:eastAsia="lv-LV"/>
        </w:rPr>
        <w:t>8.  Zema enerģijas patēriņa ēku projekti</w:t>
      </w:r>
    </w:p>
    <w:p w:rsidR="00DE2850" w:rsidRPr="00AE13EA" w:rsidRDefault="00DE2850" w:rsidP="00DE2850">
      <w:pPr>
        <w:pStyle w:val="ListParagraph"/>
        <w:keepNext/>
        <w:shd w:val="clear" w:color="auto" w:fill="DDDDDD"/>
        <w:spacing w:before="120"/>
        <w:ind w:left="567" w:hanging="283"/>
        <w:jc w:val="both"/>
        <w:rPr>
          <w:sz w:val="20"/>
          <w:szCs w:val="20"/>
          <w:lang w:eastAsia="lv-LV"/>
        </w:rPr>
      </w:pPr>
      <w:r w:rsidRPr="00AE13EA">
        <w:rPr>
          <w:sz w:val="20"/>
          <w:szCs w:val="20"/>
          <w:lang w:eastAsia="lv-LV"/>
        </w:rPr>
        <w:t>9., 10. Atjaunojamo energoresursu izmantošanas mājsaimniecību sektorā projekti</w:t>
      </w:r>
    </w:p>
    <w:p w:rsidR="00DE2850" w:rsidRPr="00AE13EA" w:rsidRDefault="00DE2850" w:rsidP="00DE2850">
      <w:pPr>
        <w:pStyle w:val="ListParagraph"/>
        <w:keepNext/>
        <w:shd w:val="clear" w:color="auto" w:fill="DDDDDD"/>
        <w:spacing w:before="120"/>
        <w:ind w:left="567" w:hanging="283"/>
        <w:jc w:val="both"/>
        <w:rPr>
          <w:sz w:val="20"/>
          <w:szCs w:val="20"/>
          <w:lang w:eastAsia="lv-LV"/>
        </w:rPr>
      </w:pPr>
      <w:r w:rsidRPr="00AE13EA">
        <w:rPr>
          <w:sz w:val="20"/>
          <w:szCs w:val="20"/>
          <w:lang w:eastAsia="lv-LV"/>
        </w:rPr>
        <w:t>11.  Atjaunojamo energoresursu izmantošana siltumnīcefekta gāzu emisiju samazināšanai</w:t>
      </w:r>
    </w:p>
    <w:p w:rsidR="00DE2850" w:rsidRPr="00AE13EA" w:rsidRDefault="00DE2850" w:rsidP="00DE2850">
      <w:pPr>
        <w:pStyle w:val="ListParagraph"/>
        <w:keepNext/>
        <w:shd w:val="clear" w:color="auto" w:fill="DDDDDD"/>
        <w:tabs>
          <w:tab w:val="left" w:pos="567"/>
        </w:tabs>
        <w:spacing w:before="120"/>
        <w:ind w:left="567" w:hanging="283"/>
        <w:jc w:val="both"/>
        <w:rPr>
          <w:sz w:val="20"/>
          <w:szCs w:val="20"/>
          <w:lang w:eastAsia="lv-LV"/>
        </w:rPr>
      </w:pPr>
      <w:r w:rsidRPr="00AE13EA">
        <w:rPr>
          <w:sz w:val="20"/>
          <w:szCs w:val="20"/>
          <w:lang w:eastAsia="lv-LV"/>
        </w:rPr>
        <w:t>12., 13. Siltumnīcefektu gāzu emisiju samazināšanas pašvaldību publisko teritoriju apgaismojuma infrastruktūrā projekti</w:t>
      </w:r>
    </w:p>
    <w:p w:rsidR="00DE2850" w:rsidRPr="00AE13EA" w:rsidRDefault="00DE2850" w:rsidP="00DE2850">
      <w:pPr>
        <w:pStyle w:val="ListParagraph"/>
        <w:keepNext/>
        <w:shd w:val="clear" w:color="auto" w:fill="DDDDDD"/>
        <w:tabs>
          <w:tab w:val="left" w:pos="567"/>
        </w:tabs>
        <w:spacing w:before="120"/>
        <w:ind w:left="567" w:hanging="283"/>
        <w:jc w:val="both"/>
        <w:rPr>
          <w:sz w:val="20"/>
          <w:szCs w:val="20"/>
          <w:lang w:eastAsia="lv-LV"/>
        </w:rPr>
      </w:pPr>
      <w:r w:rsidRPr="00AE13EA">
        <w:rPr>
          <w:sz w:val="20"/>
          <w:szCs w:val="20"/>
          <w:lang w:eastAsia="lv-LV"/>
        </w:rPr>
        <w:t>14.  Siltumnīcefekta gāzu emisijas samazinošu tehnoloģiju attīstīšana un pilotprojektu īstenošana</w:t>
      </w:r>
    </w:p>
    <w:p w:rsidR="00DE2850" w:rsidRPr="00AE13EA" w:rsidRDefault="00DE2850" w:rsidP="00DE2850">
      <w:pPr>
        <w:pStyle w:val="ListParagraph"/>
        <w:keepNext/>
        <w:shd w:val="clear" w:color="auto" w:fill="DDDDDD"/>
        <w:tabs>
          <w:tab w:val="left" w:pos="567"/>
        </w:tabs>
        <w:spacing w:before="120"/>
        <w:ind w:left="567" w:hanging="283"/>
        <w:jc w:val="both"/>
        <w:rPr>
          <w:sz w:val="20"/>
          <w:szCs w:val="20"/>
        </w:rPr>
      </w:pPr>
      <w:r w:rsidRPr="00AE13EA">
        <w:rPr>
          <w:sz w:val="20"/>
          <w:szCs w:val="20"/>
          <w:lang w:eastAsia="lv-LV"/>
        </w:rPr>
        <w:t>15., 16., 17. Kompleksi risinājumu siltumnīcefekta gāzu emisijas samazināšanai projekti</w:t>
      </w:r>
    </w:p>
    <w:p w:rsidR="00DE2850" w:rsidRPr="00DE2850" w:rsidRDefault="00DE2850" w:rsidP="0000007A">
      <w:pPr>
        <w:keepNext/>
        <w:spacing w:before="120" w:after="0" w:line="240" w:lineRule="auto"/>
        <w:jc w:val="both"/>
        <w:rPr>
          <w:rFonts w:ascii="Times New Roman" w:hAnsi="Times New Roman" w:cs="Times New Roman"/>
          <w:sz w:val="24"/>
          <w:szCs w:val="24"/>
        </w:rPr>
      </w:pPr>
      <w:r w:rsidRPr="0000007A">
        <w:rPr>
          <w:rFonts w:ascii="Times New Roman" w:hAnsi="Times New Roman" w:cs="Times New Roman"/>
          <w:i/>
          <w:sz w:val="24"/>
          <w:szCs w:val="24"/>
        </w:rPr>
        <w:t>1</w:t>
      </w:r>
      <w:r w:rsidR="0000007A" w:rsidRPr="0000007A">
        <w:rPr>
          <w:rFonts w:ascii="Times New Roman" w:hAnsi="Times New Roman" w:cs="Times New Roman"/>
          <w:i/>
          <w:sz w:val="24"/>
          <w:szCs w:val="24"/>
        </w:rPr>
        <w:t>9</w:t>
      </w:r>
      <w:r w:rsidRPr="0000007A">
        <w:rPr>
          <w:rFonts w:ascii="Times New Roman" w:hAnsi="Times New Roman" w:cs="Times New Roman"/>
          <w:i/>
          <w:sz w:val="24"/>
          <w:szCs w:val="24"/>
        </w:rPr>
        <w:t>. attēls.</w:t>
      </w:r>
      <w:r w:rsidRPr="00DE2850">
        <w:rPr>
          <w:rFonts w:ascii="Times New Roman" w:hAnsi="Times New Roman" w:cs="Times New Roman"/>
          <w:i/>
          <w:sz w:val="24"/>
          <w:szCs w:val="24"/>
        </w:rPr>
        <w:t xml:space="preserve"> Projektos ieguldītā KPFI finansējuma struktūra, 2013., milj. LVL</w:t>
      </w:r>
    </w:p>
    <w:p w:rsidR="00DE2850" w:rsidRPr="00DE2850" w:rsidRDefault="00DE2850" w:rsidP="0000007A">
      <w:pPr>
        <w:spacing w:before="120" w:after="0" w:line="240" w:lineRule="auto"/>
        <w:jc w:val="both"/>
        <w:rPr>
          <w:rFonts w:ascii="Times New Roman" w:hAnsi="Times New Roman" w:cs="Times New Roman"/>
          <w:sz w:val="24"/>
          <w:szCs w:val="24"/>
          <w:lang w:eastAsia="lv-LV"/>
        </w:rPr>
      </w:pPr>
    </w:p>
    <w:p w:rsidR="00DE2850" w:rsidRPr="00DE2850" w:rsidRDefault="00DE2850" w:rsidP="0000007A">
      <w:pPr>
        <w:spacing w:before="120" w:after="0" w:line="240" w:lineRule="auto"/>
        <w:jc w:val="both"/>
        <w:rPr>
          <w:rFonts w:ascii="Times New Roman" w:hAnsi="Times New Roman" w:cs="Times New Roman"/>
          <w:sz w:val="24"/>
          <w:szCs w:val="24"/>
          <w:lang w:eastAsia="lv-LV"/>
        </w:rPr>
      </w:pPr>
      <w:r w:rsidRPr="00DE2850">
        <w:rPr>
          <w:rFonts w:ascii="Times New Roman" w:hAnsi="Times New Roman" w:cs="Times New Roman"/>
          <w:sz w:val="24"/>
          <w:szCs w:val="24"/>
          <w:lang w:eastAsia="lv-LV"/>
        </w:rPr>
        <w:lastRenderedPageBreak/>
        <w:t xml:space="preserve">Kopumā </w:t>
      </w:r>
      <w:r w:rsidRPr="00DE2850">
        <w:rPr>
          <w:rFonts w:ascii="Times New Roman" w:hAnsi="Times New Roman" w:cs="Times New Roman"/>
          <w:sz w:val="24"/>
          <w:szCs w:val="24"/>
        </w:rPr>
        <w:t>2013.gadā pabeigti 2067 KPFI projekti par kopējo KPFI līdzfinansējumu 56,44 milj. lati, kas veido ap 65% no projektos ieguldītājiem kopējiem finanšu līdzekļiem (</w:t>
      </w:r>
      <w:r w:rsidR="0000007A" w:rsidRPr="0000007A">
        <w:rPr>
          <w:rFonts w:ascii="Times New Roman" w:hAnsi="Times New Roman" w:cs="Times New Roman"/>
          <w:i/>
          <w:sz w:val="24"/>
          <w:szCs w:val="24"/>
        </w:rPr>
        <w:t>20</w:t>
      </w:r>
      <w:r w:rsidRPr="0000007A">
        <w:rPr>
          <w:rFonts w:ascii="Times New Roman" w:hAnsi="Times New Roman" w:cs="Times New Roman"/>
          <w:i/>
          <w:sz w:val="24"/>
          <w:szCs w:val="24"/>
        </w:rPr>
        <w:t>. attēls</w:t>
      </w:r>
      <w:r w:rsidRPr="0000007A">
        <w:rPr>
          <w:rFonts w:ascii="Times New Roman" w:hAnsi="Times New Roman" w:cs="Times New Roman"/>
          <w:sz w:val="24"/>
          <w:szCs w:val="24"/>
        </w:rPr>
        <w:t>).</w:t>
      </w:r>
      <w:r w:rsidRPr="00DE2850">
        <w:rPr>
          <w:rFonts w:ascii="Times New Roman" w:hAnsi="Times New Roman" w:cs="Times New Roman"/>
          <w:sz w:val="24"/>
          <w:szCs w:val="24"/>
        </w:rPr>
        <w:t xml:space="preserve"> Savukārt valsts budžeta daļa iepriekš minētājos 2067 projektos veido ap 6,07 milj. lati. </w:t>
      </w:r>
    </w:p>
    <w:p w:rsidR="00DE2850" w:rsidRPr="00DE2850" w:rsidRDefault="00DE2850" w:rsidP="0000007A">
      <w:pPr>
        <w:spacing w:before="120" w:after="0" w:line="240" w:lineRule="auto"/>
        <w:jc w:val="center"/>
        <w:rPr>
          <w:rFonts w:ascii="Times New Roman" w:hAnsi="Times New Roman" w:cs="Times New Roman"/>
          <w:sz w:val="24"/>
          <w:szCs w:val="24"/>
        </w:rPr>
      </w:pPr>
      <w:r w:rsidRPr="00DE2850">
        <w:rPr>
          <w:rFonts w:ascii="Times New Roman" w:hAnsi="Times New Roman" w:cs="Times New Roman"/>
          <w:noProof/>
          <w:sz w:val="24"/>
          <w:szCs w:val="24"/>
          <w:lang w:eastAsia="lv-LV"/>
        </w:rPr>
        <w:drawing>
          <wp:inline distT="0" distB="0" distL="0" distR="0">
            <wp:extent cx="4572000" cy="2743200"/>
            <wp:effectExtent l="0" t="0" r="0" b="0"/>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DE2850" w:rsidRPr="00DE2850" w:rsidRDefault="0000007A" w:rsidP="0000007A">
      <w:pPr>
        <w:spacing w:after="0" w:line="240" w:lineRule="auto"/>
        <w:ind w:right="-109"/>
        <w:jc w:val="both"/>
        <w:rPr>
          <w:rFonts w:ascii="Times New Roman" w:hAnsi="Times New Roman" w:cs="Times New Roman"/>
          <w:i/>
          <w:sz w:val="24"/>
          <w:szCs w:val="24"/>
        </w:rPr>
      </w:pPr>
      <w:r w:rsidRPr="0000007A">
        <w:rPr>
          <w:rFonts w:ascii="Times New Roman" w:hAnsi="Times New Roman" w:cs="Times New Roman"/>
          <w:i/>
          <w:sz w:val="24"/>
          <w:szCs w:val="24"/>
        </w:rPr>
        <w:t>20</w:t>
      </w:r>
      <w:r w:rsidR="00DE2850" w:rsidRPr="0000007A">
        <w:rPr>
          <w:rFonts w:ascii="Times New Roman" w:hAnsi="Times New Roman" w:cs="Times New Roman"/>
          <w:i/>
          <w:sz w:val="24"/>
          <w:szCs w:val="24"/>
        </w:rPr>
        <w:t>. attēls.</w:t>
      </w:r>
      <w:r w:rsidR="00DE2850" w:rsidRPr="00DE2850">
        <w:rPr>
          <w:rFonts w:ascii="Times New Roman" w:hAnsi="Times New Roman" w:cs="Times New Roman"/>
          <w:i/>
          <w:sz w:val="24"/>
          <w:szCs w:val="24"/>
        </w:rPr>
        <w:t xml:space="preserve"> 2013.gadā pabeigto projektu investīciju sadalījums procentos. </w:t>
      </w:r>
    </w:p>
    <w:p w:rsidR="00DE2850" w:rsidRPr="00DE2850" w:rsidRDefault="00DE2850" w:rsidP="0000007A">
      <w:pPr>
        <w:spacing w:before="120" w:after="0" w:line="240" w:lineRule="auto"/>
        <w:jc w:val="both"/>
        <w:rPr>
          <w:rFonts w:ascii="Times New Roman" w:hAnsi="Times New Roman" w:cs="Times New Roman"/>
          <w:sz w:val="24"/>
          <w:szCs w:val="24"/>
        </w:rPr>
      </w:pPr>
    </w:p>
    <w:p w:rsidR="00DE2850" w:rsidRPr="00DE2850" w:rsidRDefault="00DE2850" w:rsidP="0000007A">
      <w:pPr>
        <w:spacing w:before="120" w:after="0" w:line="240" w:lineRule="auto"/>
        <w:jc w:val="both"/>
        <w:rPr>
          <w:rFonts w:ascii="Times New Roman" w:hAnsi="Times New Roman" w:cs="Times New Roman"/>
          <w:color w:val="000000"/>
          <w:sz w:val="24"/>
          <w:szCs w:val="24"/>
        </w:rPr>
      </w:pPr>
      <w:r w:rsidRPr="00DE2850">
        <w:rPr>
          <w:rFonts w:ascii="Times New Roman" w:hAnsi="Times New Roman" w:cs="Times New Roman"/>
          <w:sz w:val="24"/>
          <w:szCs w:val="24"/>
        </w:rPr>
        <w:t xml:space="preserve">Vērtējot pabeigto KPFI projektu strukturālo specifiku, var secināt, ka </w:t>
      </w:r>
      <w:r w:rsidRPr="00DE2850">
        <w:rPr>
          <w:rFonts w:ascii="Times New Roman" w:hAnsi="Times New Roman" w:cs="Times New Roman"/>
          <w:color w:val="000000"/>
          <w:sz w:val="24"/>
          <w:szCs w:val="24"/>
        </w:rPr>
        <w:t>ar KPFI atbalstu pašvaldību funkciju īstenošanas izmaksu samazināšanai, 2013. gadā 31 pašvaldību ēkā īstenoti kompleksi pasākumi siltumnīcefekta gāzu emisiju samazināšanai, pabeigti 29 siltumnīcefektu gāzu emisiju samazināšanas pašvaldību publisko teritoriju apgaismojuma infrastruktūrā projekti un 3 atjaunojamo energoresursu izmantošanas siltumnīcefekta gāzu emisiju samazināšanai projekti. Tāpat kompleksi risinājumi siltumnīcefekta gāzu emisijas samazināšanai veikti 54 izglītības iestāžu ēkās (tai skaitā pirmsskolas un vispārējās izglītības iestāžu ēkās) un 10 augstākās izglītības iestāžu ēkās veikti energoefektivitātes paaugstināšanas pasākumi. Pārskata periodā īstenoti 9 zema enerģijas patēriņa ēku projekti, no tiem 2 projekti pašvaldībās – Jelgavas novada Valgundē uzbūvēta sporta halle un veikta Ventspils pilsētas domes ēkas renovācija.</w:t>
      </w:r>
    </w:p>
    <w:p w:rsidR="00DE2850" w:rsidRPr="008D5B32" w:rsidRDefault="00DE2850" w:rsidP="008D5B32">
      <w:pPr>
        <w:spacing w:before="120" w:after="0" w:line="240" w:lineRule="auto"/>
        <w:jc w:val="both"/>
        <w:rPr>
          <w:rFonts w:ascii="Times New Roman" w:hAnsi="Times New Roman" w:cs="Times New Roman"/>
          <w:color w:val="000000"/>
          <w:sz w:val="24"/>
          <w:szCs w:val="24"/>
        </w:rPr>
      </w:pPr>
      <w:r w:rsidRPr="00DE2850">
        <w:rPr>
          <w:rFonts w:ascii="Times New Roman" w:hAnsi="Times New Roman" w:cs="Times New Roman"/>
          <w:color w:val="000000"/>
          <w:sz w:val="24"/>
          <w:szCs w:val="24"/>
        </w:rPr>
        <w:t>2013. gadā pabeigti 192 a</w:t>
      </w:r>
      <w:r w:rsidRPr="00DE2850">
        <w:rPr>
          <w:rFonts w:ascii="Times New Roman" w:hAnsi="Times New Roman" w:cs="Times New Roman"/>
          <w:sz w:val="24"/>
          <w:szCs w:val="24"/>
          <w:lang w:eastAsia="lv-LV"/>
        </w:rPr>
        <w:t>tjaunojamo energoresursu izmantošanas mājsaimniecību sektorā projekti</w:t>
      </w:r>
      <w:r w:rsidRPr="00DE2850">
        <w:rPr>
          <w:rFonts w:ascii="Times New Roman" w:hAnsi="Times New Roman" w:cs="Times New Roman"/>
          <w:color w:val="000000"/>
          <w:sz w:val="24"/>
          <w:szCs w:val="24"/>
        </w:rPr>
        <w:t xml:space="preserve">, </w:t>
      </w:r>
      <w:r w:rsidRPr="008D5B32">
        <w:rPr>
          <w:rFonts w:ascii="Times New Roman" w:hAnsi="Times New Roman" w:cs="Times New Roman"/>
          <w:color w:val="000000"/>
          <w:sz w:val="24"/>
          <w:szCs w:val="24"/>
        </w:rPr>
        <w:t>7</w:t>
      </w:r>
      <w:r w:rsidRPr="008D5B32">
        <w:rPr>
          <w:rStyle w:val="Strong"/>
          <w:rFonts w:ascii="Times New Roman" w:hAnsi="Times New Roman" w:cs="Times New Roman"/>
          <w:b w:val="0"/>
          <w:sz w:val="24"/>
          <w:szCs w:val="24"/>
        </w:rPr>
        <w:t xml:space="preserve"> ražošanas ēkās</w:t>
      </w:r>
      <w:r w:rsidRPr="008D5B32">
        <w:rPr>
          <w:rFonts w:ascii="Times New Roman" w:hAnsi="Times New Roman" w:cs="Times New Roman"/>
          <w:color w:val="000000"/>
          <w:sz w:val="24"/>
          <w:szCs w:val="24"/>
        </w:rPr>
        <w:t xml:space="preserve"> </w:t>
      </w:r>
      <w:r w:rsidRPr="008D5B32">
        <w:rPr>
          <w:rStyle w:val="Strong"/>
          <w:rFonts w:ascii="Times New Roman" w:hAnsi="Times New Roman" w:cs="Times New Roman"/>
          <w:b w:val="0"/>
          <w:sz w:val="24"/>
          <w:szCs w:val="24"/>
        </w:rPr>
        <w:t>īstenoti</w:t>
      </w:r>
      <w:r w:rsidRPr="008D5B32">
        <w:rPr>
          <w:rFonts w:ascii="Times New Roman" w:hAnsi="Times New Roman" w:cs="Times New Roman"/>
          <w:color w:val="000000"/>
          <w:sz w:val="24"/>
          <w:szCs w:val="24"/>
        </w:rPr>
        <w:t xml:space="preserve"> kompleksi pasākumi siltumnīcefekta gāzu emisiju samazināšanai</w:t>
      </w:r>
      <w:r w:rsidRPr="008D5B32">
        <w:rPr>
          <w:rStyle w:val="Strong"/>
          <w:rFonts w:ascii="Times New Roman" w:hAnsi="Times New Roman" w:cs="Times New Roman"/>
          <w:b w:val="0"/>
          <w:sz w:val="24"/>
          <w:szCs w:val="24"/>
        </w:rPr>
        <w:t>, pabeigti 15 siltumnīcefekta gāzu emisijas samazinošu tehnoloģiju</w:t>
      </w:r>
      <w:r w:rsidRPr="008D5B32">
        <w:rPr>
          <w:rFonts w:ascii="Times New Roman" w:hAnsi="Times New Roman" w:cs="Times New Roman"/>
          <w:bCs/>
          <w:sz w:val="24"/>
          <w:szCs w:val="24"/>
          <w:lang w:eastAsia="lv-LV"/>
        </w:rPr>
        <w:t xml:space="preserve"> attīstības projekti un 21 projekts, kur</w:t>
      </w:r>
      <w:r w:rsidRPr="008D5B32">
        <w:rPr>
          <w:rFonts w:ascii="Times New Roman" w:hAnsi="Times New Roman" w:cs="Times New Roman"/>
          <w:sz w:val="24"/>
          <w:szCs w:val="24"/>
        </w:rPr>
        <w:t xml:space="preserve"> nodrošināta t</w:t>
      </w:r>
      <w:r w:rsidRPr="008D5B32">
        <w:rPr>
          <w:rFonts w:ascii="Times New Roman" w:hAnsi="Times New Roman" w:cs="Times New Roman"/>
          <w:bCs/>
          <w:sz w:val="24"/>
          <w:szCs w:val="24"/>
          <w:lang w:eastAsia="lv-LV"/>
        </w:rPr>
        <w:t xml:space="preserve">ehnoloģiju pāreja no fosilajiem uz atjaunojamajiem energoresursiem, kā arī 5 projekti ar mērķi uzlabot sabiedrības izpratni par siltumnīcefekta gāzu emisiju samazināšanas nozīmi un iespējām. </w:t>
      </w:r>
    </w:p>
    <w:p w:rsidR="00DE2850" w:rsidRPr="008D5B32" w:rsidRDefault="00DE2850" w:rsidP="008D5B32">
      <w:pPr>
        <w:autoSpaceDE w:val="0"/>
        <w:autoSpaceDN w:val="0"/>
        <w:adjustRightInd w:val="0"/>
        <w:spacing w:before="120" w:after="0" w:line="240" w:lineRule="auto"/>
        <w:jc w:val="both"/>
        <w:rPr>
          <w:rFonts w:ascii="Times New Roman" w:hAnsi="Times New Roman" w:cs="Times New Roman"/>
          <w:color w:val="000000"/>
          <w:sz w:val="24"/>
          <w:szCs w:val="24"/>
        </w:rPr>
      </w:pPr>
      <w:r w:rsidRPr="008D5B32">
        <w:rPr>
          <w:rFonts w:ascii="Times New Roman" w:hAnsi="Times New Roman" w:cs="Times New Roman"/>
          <w:color w:val="000000"/>
          <w:sz w:val="24"/>
          <w:szCs w:val="24"/>
        </w:rPr>
        <w:t>2013.gadā arī ir noslēgti līgumi par projektu īstenošanu šādu projektu konkursu ietvaros:</w:t>
      </w:r>
    </w:p>
    <w:p w:rsidR="00DE2850" w:rsidRPr="008D5B32" w:rsidRDefault="00DE2850" w:rsidP="00DE2850">
      <w:pPr>
        <w:pStyle w:val="ListParagraph"/>
        <w:numPr>
          <w:ilvl w:val="0"/>
          <w:numId w:val="2"/>
        </w:numPr>
        <w:ind w:left="714" w:hanging="357"/>
        <w:jc w:val="both"/>
        <w:rPr>
          <w:rStyle w:val="Strong"/>
          <w:b w:val="0"/>
          <w:bCs w:val="0"/>
        </w:rPr>
      </w:pPr>
      <w:r w:rsidRPr="008D5B32">
        <w:rPr>
          <w:rStyle w:val="Strong"/>
          <w:b w:val="0"/>
        </w:rPr>
        <w:t>projektu atklāta konkursa „Siltumnīcefekta gāzu emisiju samazināšana pašvaldību publisko teritoriju apgaismojuma infrastruktūrā” III kārtas ietvaros noslēgti 12 līgumi par KPFI finansējumu 1,05 milj. lati;</w:t>
      </w:r>
    </w:p>
    <w:p w:rsidR="00DE2850" w:rsidRPr="008D5B32" w:rsidRDefault="00DE2850" w:rsidP="00DE2850">
      <w:pPr>
        <w:pStyle w:val="ListParagraph"/>
        <w:numPr>
          <w:ilvl w:val="0"/>
          <w:numId w:val="2"/>
        </w:numPr>
        <w:ind w:left="714" w:hanging="357"/>
        <w:jc w:val="both"/>
      </w:pPr>
      <w:r w:rsidRPr="008D5B32">
        <w:rPr>
          <w:rStyle w:val="Strong"/>
          <w:b w:val="0"/>
        </w:rPr>
        <w:t>projektu atklāta konkursa „Kompleksi risinājumi siltumnīcefekta gāzu emisiju samazināšanai” III kārtas ietvaros noslēgti 153 līgumi par KPFI finansējumu 21,80 milj. lati; </w:t>
      </w:r>
    </w:p>
    <w:p w:rsidR="00DE2850" w:rsidRPr="008D5B32" w:rsidRDefault="00DE2850" w:rsidP="00DE2850">
      <w:pPr>
        <w:numPr>
          <w:ilvl w:val="0"/>
          <w:numId w:val="2"/>
        </w:numPr>
        <w:spacing w:after="0" w:line="240" w:lineRule="auto"/>
        <w:ind w:left="714" w:hanging="357"/>
        <w:jc w:val="both"/>
        <w:rPr>
          <w:rStyle w:val="Strong"/>
          <w:rFonts w:ascii="Times New Roman" w:hAnsi="Times New Roman" w:cs="Times New Roman"/>
          <w:b w:val="0"/>
          <w:sz w:val="24"/>
          <w:szCs w:val="24"/>
          <w:lang w:eastAsia="lv-LV"/>
        </w:rPr>
      </w:pPr>
      <w:r w:rsidRPr="008D5B32">
        <w:rPr>
          <w:rStyle w:val="Strong"/>
          <w:rFonts w:ascii="Times New Roman" w:hAnsi="Times New Roman" w:cs="Times New Roman"/>
          <w:b w:val="0"/>
          <w:sz w:val="24"/>
          <w:szCs w:val="24"/>
        </w:rPr>
        <w:lastRenderedPageBreak/>
        <w:t>projektu atklāta konkursa „Siltumnīcefekta gāzu emisiju samazināšana pašvaldību publisko teritoriju apgaismojuma infrastruktūrā” II kārtas ietvaros noslēgti 23 līgumi par KPFI finansējumu 1,99 milj. lati.</w:t>
      </w:r>
    </w:p>
    <w:p w:rsidR="00DE2850" w:rsidRPr="008D5B32" w:rsidRDefault="00DE2850" w:rsidP="008D5B32">
      <w:pPr>
        <w:spacing w:before="120" w:after="0" w:line="240" w:lineRule="auto"/>
        <w:jc w:val="both"/>
        <w:rPr>
          <w:rFonts w:ascii="Times New Roman" w:hAnsi="Times New Roman" w:cs="Times New Roman"/>
          <w:sz w:val="24"/>
          <w:szCs w:val="24"/>
          <w:lang w:eastAsia="lv-LV"/>
        </w:rPr>
      </w:pPr>
      <w:r w:rsidRPr="008D5B32">
        <w:rPr>
          <w:rFonts w:ascii="Times New Roman" w:hAnsi="Times New Roman" w:cs="Times New Roman"/>
          <w:color w:val="000000"/>
          <w:sz w:val="24"/>
          <w:szCs w:val="24"/>
        </w:rPr>
        <w:t>Kopumā KPFI finansējuma piesaistei 2013.gadā noslēgti 188 līgumi par projektu īstenošanu par kopējo KPFI finansējuma summu 24,84 milj. lati.</w:t>
      </w:r>
    </w:p>
    <w:p w:rsidR="00DE2850" w:rsidRPr="0031084D" w:rsidRDefault="00DE2850" w:rsidP="0031084D">
      <w:pPr>
        <w:pStyle w:val="Heading1"/>
        <w:spacing w:before="120" w:after="0"/>
        <w:rPr>
          <w:rFonts w:ascii="Times New Roman" w:hAnsi="Times New Roman" w:cs="Times New Roman"/>
          <w:b w:val="0"/>
          <w:caps/>
          <w:sz w:val="24"/>
          <w:szCs w:val="24"/>
        </w:rPr>
      </w:pPr>
    </w:p>
    <w:p w:rsidR="00DE2850" w:rsidRDefault="00DE2850">
      <w:r>
        <w:br w:type="page"/>
      </w:r>
    </w:p>
    <w:p w:rsidR="00FD48DF" w:rsidRPr="000A0C95" w:rsidRDefault="00FD48DF" w:rsidP="00276AEC">
      <w:pPr>
        <w:pStyle w:val="Heading1"/>
        <w:spacing w:before="120" w:after="240"/>
        <w:jc w:val="both"/>
        <w:rPr>
          <w:rFonts w:ascii="Times New Roman Bold" w:hAnsi="Times New Roman Bold"/>
          <w:caps/>
          <w:color w:val="0070C0"/>
          <w:sz w:val="28"/>
          <w:szCs w:val="28"/>
        </w:rPr>
      </w:pPr>
      <w:bookmarkStart w:id="22" w:name="_Toc329178273"/>
      <w:bookmarkStart w:id="23" w:name="_Toc391887126"/>
      <w:bookmarkStart w:id="24" w:name="OLE_LINK6"/>
      <w:bookmarkStart w:id="25" w:name="OLE_LINK7"/>
      <w:r w:rsidRPr="000A0C95">
        <w:rPr>
          <w:rFonts w:ascii="Times New Roman Bold" w:hAnsi="Times New Roman Bold"/>
          <w:caps/>
          <w:color w:val="0070C0"/>
          <w:sz w:val="28"/>
          <w:szCs w:val="28"/>
        </w:rPr>
        <w:lastRenderedPageBreak/>
        <w:t>Investīcijas dabas aizsardzībā</w:t>
      </w:r>
      <w:bookmarkStart w:id="26" w:name="OLE_LINK8"/>
      <w:bookmarkStart w:id="27" w:name="OLE_LINK9"/>
      <w:bookmarkEnd w:id="22"/>
      <w:bookmarkEnd w:id="23"/>
    </w:p>
    <w:p w:rsidR="00D15C83" w:rsidRDefault="00FD48DF" w:rsidP="00D15C83">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Dabas aizsardzības projektiem 2013.gadā bija pieejams Kohēzijas fonda un ERAF (tai skaitā Eiropas teritoriālās sadarbības programma) līdzfinansējums un LIFE+ programmas līdzfinansējums (</w:t>
      </w:r>
      <w:r w:rsidR="00276AEC" w:rsidRPr="00DC6F15">
        <w:rPr>
          <w:rFonts w:ascii="Times New Roman" w:hAnsi="Times New Roman" w:cs="Times New Roman"/>
          <w:i/>
          <w:sz w:val="24"/>
          <w:szCs w:val="24"/>
        </w:rPr>
        <w:t>21</w:t>
      </w:r>
      <w:r w:rsidRPr="00DC6F15">
        <w:rPr>
          <w:rFonts w:ascii="Times New Roman" w:hAnsi="Times New Roman" w:cs="Times New Roman"/>
          <w:i/>
          <w:sz w:val="24"/>
          <w:szCs w:val="24"/>
        </w:rPr>
        <w:t>. attēls</w:t>
      </w:r>
      <w:r w:rsidR="00D15C83">
        <w:rPr>
          <w:rFonts w:ascii="Times New Roman" w:hAnsi="Times New Roman" w:cs="Times New Roman"/>
          <w:sz w:val="24"/>
          <w:szCs w:val="24"/>
        </w:rPr>
        <w:t>).</w:t>
      </w:r>
      <w:r w:rsidRPr="000A0C95">
        <w:rPr>
          <w:rFonts w:ascii="Times New Roman" w:hAnsi="Times New Roman" w:cs="Times New Roman"/>
          <w:sz w:val="24"/>
          <w:szCs w:val="24"/>
        </w:rPr>
        <w:t xml:space="preserve"> </w:t>
      </w:r>
      <w:bookmarkEnd w:id="26"/>
      <w:bookmarkEnd w:id="27"/>
      <w:r w:rsidR="00D15C83" w:rsidRPr="00D15C83">
        <w:rPr>
          <w:rFonts w:ascii="Times New Roman" w:hAnsi="Times New Roman" w:cs="Times New Roman"/>
          <w:sz w:val="24"/>
          <w:szCs w:val="24"/>
        </w:rPr>
        <w:t>Kopējās dabas aizsardzībā ieguldītās investīcijas 2013. gadā ir 4,82 milj. latu, no tiem 77 % jeb 3,73 milj</w:t>
      </w:r>
      <w:smartTag w:uri="schemas-tilde-lv/tildestengine" w:element="currency2">
        <w:smartTagPr>
          <w:attr w:name="currency_text" w:val="latu"/>
          <w:attr w:name="currency_value" w:val="."/>
          <w:attr w:name="currency_key" w:val="LVL"/>
          <w:attr w:name="currency_id" w:val="48"/>
        </w:smartTagPr>
        <w:r w:rsidR="00D15C83" w:rsidRPr="00D15C83">
          <w:rPr>
            <w:rFonts w:ascii="Times New Roman" w:hAnsi="Times New Roman" w:cs="Times New Roman"/>
            <w:sz w:val="24"/>
            <w:szCs w:val="24"/>
          </w:rPr>
          <w:t>. latu</w:t>
        </w:r>
      </w:smartTag>
      <w:r w:rsidR="00D15C83" w:rsidRPr="00D15C83">
        <w:rPr>
          <w:rFonts w:ascii="Times New Roman" w:hAnsi="Times New Roman" w:cs="Times New Roman"/>
          <w:sz w:val="24"/>
          <w:szCs w:val="24"/>
        </w:rPr>
        <w:t xml:space="preserve"> ieguldījuši ES fondi un programmas, valsts budžets –12 % jeb 0,56 milj</w:t>
      </w:r>
      <w:smartTag w:uri="schemas-tilde-lv/tildestengine" w:element="currency2">
        <w:smartTagPr>
          <w:attr w:name="currency_text" w:val="latu"/>
          <w:attr w:name="currency_value" w:val="."/>
          <w:attr w:name="currency_key" w:val="LVL"/>
          <w:attr w:name="currency_id" w:val="48"/>
        </w:smartTagPr>
        <w:r w:rsidR="00D15C83" w:rsidRPr="00D15C83">
          <w:rPr>
            <w:rFonts w:ascii="Times New Roman" w:hAnsi="Times New Roman" w:cs="Times New Roman"/>
            <w:sz w:val="24"/>
            <w:szCs w:val="24"/>
          </w:rPr>
          <w:t>. latu</w:t>
        </w:r>
      </w:smartTag>
      <w:r w:rsidR="00D15C83" w:rsidRPr="00D15C83">
        <w:rPr>
          <w:rFonts w:ascii="Times New Roman" w:hAnsi="Times New Roman" w:cs="Times New Roman"/>
          <w:sz w:val="24"/>
          <w:szCs w:val="24"/>
        </w:rPr>
        <w:t xml:space="preserve"> un projektu īstenotāji – 11 % jeb 0,53 milj</w:t>
      </w:r>
      <w:smartTag w:uri="schemas-tilde-lv/tildestengine" w:element="currency2">
        <w:smartTagPr>
          <w:attr w:name="currency_text" w:val="latu"/>
          <w:attr w:name="currency_value" w:val="."/>
          <w:attr w:name="currency_key" w:val="LVL"/>
          <w:attr w:name="currency_id" w:val="48"/>
        </w:smartTagPr>
        <w:r w:rsidR="00D15C83" w:rsidRPr="00D15C83">
          <w:rPr>
            <w:rFonts w:ascii="Times New Roman" w:hAnsi="Times New Roman" w:cs="Times New Roman"/>
            <w:sz w:val="24"/>
            <w:szCs w:val="24"/>
          </w:rPr>
          <w:t>. latu</w:t>
        </w:r>
      </w:smartTag>
      <w:r w:rsidR="00D15C83" w:rsidRPr="00D15C83">
        <w:rPr>
          <w:rFonts w:ascii="Times New Roman" w:hAnsi="Times New Roman" w:cs="Times New Roman"/>
          <w:sz w:val="24"/>
          <w:szCs w:val="24"/>
        </w:rPr>
        <w:t>.</w:t>
      </w:r>
    </w:p>
    <w:p w:rsidR="00D15C83" w:rsidRDefault="00D15C83" w:rsidP="00D15C83">
      <w:pPr>
        <w:spacing w:before="120" w:after="0" w:line="240" w:lineRule="auto"/>
        <w:jc w:val="both"/>
        <w:rPr>
          <w:rFonts w:ascii="Times New Roman" w:hAnsi="Times New Roman" w:cs="Times New Roman"/>
          <w:sz w:val="24"/>
          <w:szCs w:val="24"/>
        </w:rPr>
      </w:pPr>
      <w:r w:rsidRPr="00D15C83">
        <w:rPr>
          <w:rFonts w:ascii="Times New Roman" w:hAnsi="Times New Roman" w:cs="Times New Roman"/>
          <w:noProof/>
          <w:sz w:val="24"/>
          <w:szCs w:val="24"/>
          <w:lang w:eastAsia="lv-LV"/>
        </w:rPr>
        <w:drawing>
          <wp:inline distT="0" distB="0" distL="0" distR="0">
            <wp:extent cx="5486400" cy="3200400"/>
            <wp:effectExtent l="0" t="19050" r="0" b="19050"/>
            <wp:docPr id="1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FD48DF" w:rsidRPr="000A0C95" w:rsidRDefault="00276AEC" w:rsidP="00276AEC">
      <w:pPr>
        <w:spacing w:after="0" w:line="240" w:lineRule="auto"/>
        <w:jc w:val="both"/>
        <w:rPr>
          <w:rFonts w:ascii="Times New Roman" w:hAnsi="Times New Roman" w:cs="Times New Roman"/>
          <w:i/>
          <w:sz w:val="24"/>
          <w:szCs w:val="24"/>
        </w:rPr>
      </w:pPr>
      <w:r w:rsidRPr="00DC6F15">
        <w:rPr>
          <w:rFonts w:ascii="Times New Roman" w:hAnsi="Times New Roman" w:cs="Times New Roman"/>
          <w:i/>
          <w:sz w:val="24"/>
          <w:szCs w:val="24"/>
        </w:rPr>
        <w:t>21</w:t>
      </w:r>
      <w:r w:rsidR="00FD48DF" w:rsidRPr="00DC6F15">
        <w:rPr>
          <w:rFonts w:ascii="Times New Roman" w:hAnsi="Times New Roman" w:cs="Times New Roman"/>
          <w:i/>
          <w:sz w:val="24"/>
          <w:szCs w:val="24"/>
        </w:rPr>
        <w:t>. attēls.</w:t>
      </w:r>
      <w:r w:rsidR="00FD48DF" w:rsidRPr="000A0C95">
        <w:rPr>
          <w:rFonts w:ascii="Times New Roman" w:hAnsi="Times New Roman" w:cs="Times New Roman"/>
          <w:i/>
          <w:sz w:val="24"/>
          <w:szCs w:val="24"/>
        </w:rPr>
        <w:t xml:space="preserve"> Investīcijas dabas aizsardzības pasākumos, 2013</w:t>
      </w:r>
      <w:bookmarkStart w:id="28" w:name="_Toc164675288"/>
      <w:bookmarkStart w:id="29" w:name="_Toc164675354"/>
      <w:bookmarkStart w:id="30" w:name="_Toc164675540"/>
      <w:bookmarkStart w:id="31" w:name="_Toc164758588"/>
      <w:bookmarkStart w:id="32" w:name="_Toc165106733"/>
      <w:bookmarkStart w:id="33" w:name="_Toc165192459"/>
      <w:bookmarkStart w:id="34" w:name="_Toc165192505"/>
      <w:bookmarkStart w:id="35" w:name="_Toc165192648"/>
      <w:bookmarkStart w:id="36" w:name="_Toc168200643"/>
      <w:bookmarkStart w:id="37" w:name="_Toc168475219"/>
      <w:bookmarkStart w:id="38" w:name="_Toc171156031"/>
      <w:bookmarkStart w:id="39" w:name="_Toc171224740"/>
    </w:p>
    <w:p w:rsidR="00FD48DF" w:rsidRPr="000A0C95" w:rsidRDefault="00FD48DF" w:rsidP="00FD48DF">
      <w:pPr>
        <w:spacing w:before="120" w:after="0" w:line="240" w:lineRule="auto"/>
        <w:jc w:val="both"/>
        <w:rPr>
          <w:rFonts w:ascii="Times New Roman" w:hAnsi="Times New Roman" w:cs="Times New Roman"/>
          <w:i/>
          <w:sz w:val="24"/>
          <w:szCs w:val="24"/>
        </w:rPr>
      </w:pPr>
    </w:p>
    <w:p w:rsidR="00FD48DF" w:rsidRPr="000A0C95" w:rsidRDefault="00FD48DF" w:rsidP="00FD48DF">
      <w:pPr>
        <w:spacing w:before="120" w:after="0" w:line="240" w:lineRule="auto"/>
        <w:rPr>
          <w:rFonts w:ascii="Times New Roman" w:hAnsi="Times New Roman" w:cs="Times New Roman"/>
          <w:b/>
          <w:color w:val="0070C0"/>
          <w:sz w:val="24"/>
          <w:szCs w:val="24"/>
        </w:rPr>
      </w:pPr>
      <w:r w:rsidRPr="000A0C95">
        <w:rPr>
          <w:rFonts w:ascii="Times New Roman" w:hAnsi="Times New Roman" w:cs="Times New Roman"/>
          <w:b/>
          <w:color w:val="0070C0"/>
          <w:sz w:val="24"/>
          <w:szCs w:val="24"/>
        </w:rPr>
        <w:t>LIFE+ programmas līdzfinansēto projektu īstenošana</w:t>
      </w:r>
      <w:bookmarkEnd w:id="28"/>
      <w:bookmarkEnd w:id="29"/>
      <w:bookmarkEnd w:id="30"/>
      <w:bookmarkEnd w:id="31"/>
      <w:bookmarkEnd w:id="32"/>
      <w:bookmarkEnd w:id="33"/>
      <w:bookmarkEnd w:id="34"/>
      <w:bookmarkEnd w:id="35"/>
      <w:bookmarkEnd w:id="36"/>
      <w:bookmarkEnd w:id="37"/>
      <w:bookmarkEnd w:id="38"/>
      <w:bookmarkEnd w:id="39"/>
    </w:p>
    <w:p w:rsidR="0085581F" w:rsidRDefault="0085581F" w:rsidP="0085581F">
      <w:pPr>
        <w:spacing w:before="120" w:after="0" w:line="240" w:lineRule="auto"/>
        <w:jc w:val="both"/>
        <w:rPr>
          <w:rFonts w:ascii="Times New Roman" w:hAnsi="Times New Roman" w:cs="Times New Roman"/>
          <w:sz w:val="24"/>
          <w:szCs w:val="24"/>
        </w:rPr>
      </w:pPr>
      <w:bookmarkStart w:id="40" w:name="_Toc164675289"/>
      <w:bookmarkStart w:id="41" w:name="_Toc164675355"/>
      <w:bookmarkStart w:id="42" w:name="_Toc164675541"/>
      <w:bookmarkStart w:id="43" w:name="_Toc164758589"/>
      <w:bookmarkStart w:id="44" w:name="_Toc165106734"/>
      <w:bookmarkStart w:id="45" w:name="_Toc165192460"/>
      <w:bookmarkStart w:id="46" w:name="_Toc165192506"/>
      <w:bookmarkStart w:id="47" w:name="_Toc165192649"/>
      <w:bookmarkStart w:id="48" w:name="_Toc168200644"/>
      <w:bookmarkStart w:id="49" w:name="_Toc168475220"/>
      <w:bookmarkStart w:id="50" w:name="_Toc171156032"/>
      <w:bookmarkStart w:id="51" w:name="_Toc171224741"/>
      <w:r w:rsidRPr="0085581F">
        <w:rPr>
          <w:rFonts w:ascii="Times New Roman" w:hAnsi="Times New Roman" w:cs="Times New Roman"/>
          <w:sz w:val="24"/>
          <w:szCs w:val="24"/>
        </w:rPr>
        <w:t>LIFE+ projektu īstenošanā 2013. gadā Latvijā tika ieguldīti 1,82 milj</w:t>
      </w:r>
      <w:smartTag w:uri="schemas-tilde-lv/tildestengine" w:element="currency2">
        <w:smartTagPr>
          <w:attr w:name="currency_text" w:val="latu"/>
          <w:attr w:name="currency_value" w:val="."/>
          <w:attr w:name="currency_key" w:val="LVL"/>
          <w:attr w:name="currency_id" w:val="48"/>
        </w:smartTagPr>
        <w:r w:rsidRPr="0085581F">
          <w:rPr>
            <w:rFonts w:ascii="Times New Roman" w:hAnsi="Times New Roman" w:cs="Times New Roman"/>
            <w:sz w:val="24"/>
            <w:szCs w:val="24"/>
          </w:rPr>
          <w:t>. latu</w:t>
        </w:r>
      </w:smartTag>
      <w:r w:rsidRPr="0085581F">
        <w:rPr>
          <w:rFonts w:ascii="Times New Roman" w:hAnsi="Times New Roman" w:cs="Times New Roman"/>
          <w:sz w:val="24"/>
          <w:szCs w:val="24"/>
        </w:rPr>
        <w:t>, no kuriem 0,85 milj</w:t>
      </w:r>
      <w:smartTag w:uri="schemas-tilde-lv/tildestengine" w:element="currency2">
        <w:smartTagPr>
          <w:attr w:name="currency_text" w:val="latu"/>
          <w:attr w:name="currency_value" w:val="."/>
          <w:attr w:name="currency_key" w:val="LVL"/>
          <w:attr w:name="currency_id" w:val="48"/>
        </w:smartTagPr>
        <w:r w:rsidRPr="0085581F">
          <w:rPr>
            <w:rFonts w:ascii="Times New Roman" w:hAnsi="Times New Roman" w:cs="Times New Roman"/>
            <w:sz w:val="24"/>
            <w:szCs w:val="24"/>
          </w:rPr>
          <w:t>. latu</w:t>
        </w:r>
      </w:smartTag>
      <w:r w:rsidRPr="0085581F">
        <w:rPr>
          <w:rFonts w:ascii="Times New Roman" w:hAnsi="Times New Roman" w:cs="Times New Roman"/>
          <w:sz w:val="24"/>
          <w:szCs w:val="24"/>
        </w:rPr>
        <w:t xml:space="preserve"> ir LIFE+ programmas līdzfinansējums (</w:t>
      </w:r>
      <w:r>
        <w:rPr>
          <w:rFonts w:ascii="Times New Roman" w:hAnsi="Times New Roman" w:cs="Times New Roman"/>
          <w:i/>
          <w:sz w:val="24"/>
          <w:szCs w:val="24"/>
        </w:rPr>
        <w:t>22</w:t>
      </w:r>
      <w:r w:rsidRPr="0085581F">
        <w:rPr>
          <w:rFonts w:ascii="Times New Roman" w:hAnsi="Times New Roman" w:cs="Times New Roman"/>
          <w:i/>
          <w:sz w:val="24"/>
          <w:szCs w:val="24"/>
        </w:rPr>
        <w:t>.attēls</w:t>
      </w:r>
      <w:r w:rsidRPr="0085581F">
        <w:rPr>
          <w:rFonts w:ascii="Times New Roman" w:hAnsi="Times New Roman" w:cs="Times New Roman"/>
          <w:sz w:val="24"/>
          <w:szCs w:val="24"/>
        </w:rPr>
        <w:t>). LIFE + programmas projektu īstenošanu administrē Latvijas vides aizsardzības fonda administrācija.</w:t>
      </w:r>
    </w:p>
    <w:p w:rsidR="0085581F" w:rsidRDefault="0085581F" w:rsidP="0085581F">
      <w:pPr>
        <w:spacing w:before="120" w:after="0" w:line="240" w:lineRule="auto"/>
        <w:ind w:firstLine="1134"/>
        <w:jc w:val="both"/>
        <w:rPr>
          <w:rFonts w:ascii="Times New Roman" w:hAnsi="Times New Roman" w:cs="Times New Roman"/>
          <w:sz w:val="24"/>
          <w:szCs w:val="24"/>
        </w:rPr>
      </w:pPr>
      <w:r w:rsidRPr="0085581F">
        <w:rPr>
          <w:rFonts w:ascii="Times New Roman" w:hAnsi="Times New Roman" w:cs="Times New Roman"/>
          <w:noProof/>
          <w:sz w:val="24"/>
          <w:szCs w:val="24"/>
          <w:lang w:eastAsia="lv-LV"/>
        </w:rPr>
        <w:drawing>
          <wp:inline distT="0" distB="0" distL="0" distR="0">
            <wp:extent cx="4133850" cy="2000250"/>
            <wp:effectExtent l="76200" t="19050" r="76200" b="57150"/>
            <wp:docPr id="29"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FD48DF" w:rsidRPr="000A0C95" w:rsidRDefault="005C550F" w:rsidP="00276AEC">
      <w:pPr>
        <w:spacing w:after="0" w:line="240" w:lineRule="auto"/>
        <w:jc w:val="both"/>
        <w:rPr>
          <w:rFonts w:ascii="Times New Roman" w:hAnsi="Times New Roman" w:cs="Times New Roman"/>
          <w:i/>
          <w:sz w:val="24"/>
          <w:szCs w:val="24"/>
        </w:rPr>
      </w:pPr>
      <w:r w:rsidRPr="0085581F">
        <w:rPr>
          <w:rFonts w:ascii="Times New Roman" w:hAnsi="Times New Roman" w:cs="Times New Roman"/>
          <w:i/>
          <w:sz w:val="24"/>
          <w:szCs w:val="24"/>
        </w:rPr>
        <w:t>22</w:t>
      </w:r>
      <w:r w:rsidR="00FD48DF" w:rsidRPr="0085581F">
        <w:rPr>
          <w:rFonts w:ascii="Times New Roman" w:hAnsi="Times New Roman" w:cs="Times New Roman"/>
          <w:i/>
          <w:sz w:val="24"/>
          <w:szCs w:val="24"/>
        </w:rPr>
        <w:t>. attēls.</w:t>
      </w:r>
      <w:r w:rsidR="00FD48DF" w:rsidRPr="000A0C95">
        <w:rPr>
          <w:rFonts w:ascii="Times New Roman" w:hAnsi="Times New Roman" w:cs="Times New Roman"/>
          <w:i/>
          <w:sz w:val="24"/>
          <w:szCs w:val="24"/>
        </w:rPr>
        <w:t xml:space="preserve"> Apgūto LIFE+ investīciju sadalījums, 201</w:t>
      </w:r>
      <w:r>
        <w:rPr>
          <w:rFonts w:ascii="Times New Roman" w:hAnsi="Times New Roman" w:cs="Times New Roman"/>
          <w:i/>
          <w:sz w:val="24"/>
          <w:szCs w:val="24"/>
        </w:rPr>
        <w:t>3</w:t>
      </w:r>
    </w:p>
    <w:p w:rsidR="00FD48DF" w:rsidRPr="000A0C95" w:rsidRDefault="00FD48DF" w:rsidP="00FD48DF">
      <w:pPr>
        <w:spacing w:before="120" w:after="0" w:line="240" w:lineRule="auto"/>
        <w:jc w:val="both"/>
        <w:rPr>
          <w:rFonts w:ascii="Times New Roman" w:hAnsi="Times New Roman" w:cs="Times New Roman"/>
          <w:sz w:val="24"/>
          <w:szCs w:val="24"/>
        </w:rPr>
      </w:pP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2013. gada rudenī Latvijas dabas fonds uzsāka LIFE+ programmas projekta </w:t>
      </w:r>
      <w:r w:rsidRPr="005C550F">
        <w:rPr>
          <w:rFonts w:ascii="Times New Roman" w:hAnsi="Times New Roman" w:cs="Times New Roman"/>
          <w:b/>
          <w:sz w:val="24"/>
          <w:szCs w:val="24"/>
        </w:rPr>
        <w:t>„Lielā dumpja biotopa atjaunošana divos piekrastes ezeros Latvijā”</w:t>
      </w:r>
      <w:r w:rsidRPr="000A0C95">
        <w:rPr>
          <w:rFonts w:ascii="Times New Roman" w:hAnsi="Times New Roman" w:cs="Times New Roman"/>
          <w:sz w:val="24"/>
          <w:szCs w:val="24"/>
        </w:rPr>
        <w:t xml:space="preserve"> realizāciju. Ir izveidota projekta darba grupa, kas sastāv no projekta vadītāja, tehniskā eksperta, asistenta un sabiedrisko attiecību speciālista. Noslēgti līgumi ar projekta partnerorganizācijās Pasaules dabas fondu un Engures ezera dabas parka fondu. Projekta pārstāvji piedalījās LIFE+ Daba projektu reģionālā sanāksmē Somijā, kur sniedza prezentāciju par projektu un iepazinās ar prasībām projekta administrēšanā.</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2012. gadā VAS „Latvijas dzelzceļš” uzsāka īstenot projektu </w:t>
      </w:r>
      <w:r w:rsidRPr="005C550F">
        <w:rPr>
          <w:rFonts w:ascii="Times New Roman" w:hAnsi="Times New Roman" w:cs="Times New Roman"/>
          <w:b/>
          <w:sz w:val="24"/>
          <w:szCs w:val="24"/>
        </w:rPr>
        <w:t>„Inovatīvi risinājumi dzelzceļa trokšņa pārvaldībā”</w:t>
      </w:r>
      <w:r w:rsidRPr="000A0C95">
        <w:rPr>
          <w:rFonts w:ascii="Times New Roman" w:hAnsi="Times New Roman" w:cs="Times New Roman"/>
          <w:sz w:val="24"/>
          <w:szCs w:val="24"/>
        </w:rPr>
        <w:t>. Projekts tiek īstenots sešu galveno aktivitāšu ietvaros. Projekta ietvaros pārskata periodā veikta tematiskās literatūras un prakses analīze, izvēlēta projekta demonstrācijas (prettrokšņa sienas atrašanās) vieta, veikta p</w:t>
      </w:r>
      <w:r w:rsidRPr="000A0C95">
        <w:rPr>
          <w:rFonts w:ascii="Times New Roman" w:hAnsi="Times New Roman" w:cs="Times New Roman"/>
          <w:color w:val="000000"/>
          <w:sz w:val="24"/>
          <w:szCs w:val="24"/>
        </w:rPr>
        <w:t>rettrokšņa sienas izvietojuma un materiālu kompozīcijas modelēšana un m</w:t>
      </w:r>
      <w:r w:rsidRPr="000A0C95">
        <w:rPr>
          <w:rFonts w:ascii="Times New Roman" w:hAnsi="Times New Roman" w:cs="Times New Roman"/>
          <w:sz w:val="24"/>
          <w:szCs w:val="24"/>
        </w:rPr>
        <w:t xml:space="preserve">ateriālu akustiskā pārbaude. </w:t>
      </w:r>
      <w:r w:rsidRPr="000A0C95">
        <w:rPr>
          <w:rFonts w:ascii="Times New Roman" w:hAnsi="Times New Roman" w:cs="Times New Roman"/>
          <w:color w:val="000000"/>
          <w:sz w:val="24"/>
          <w:szCs w:val="24"/>
        </w:rPr>
        <w:t xml:space="preserve">Sagatavoti tehniskie noteikumi prettrokšņa sienas projektēšanai un veikts </w:t>
      </w:r>
      <w:r w:rsidRPr="000A0C95">
        <w:rPr>
          <w:rFonts w:ascii="Times New Roman" w:hAnsi="Times New Roman" w:cs="Times New Roman"/>
          <w:sz w:val="24"/>
          <w:szCs w:val="24"/>
        </w:rPr>
        <w:t>prettrokšņa sienas tehniskā projekta izstrādes iepirkums. Sadarbībā ar Rīgas Tehnisko universitāti izstrādāts jauno kompozītmateriālu ražošanas tehnoloģiskais process un veikta materiāla paraugu izgatavošana, izstrādāti prettrokšņa sienas bloku un presformas tehniskā dizaina shematiskie rasējumi, v</w:t>
      </w:r>
      <w:r w:rsidRPr="000A0C95">
        <w:rPr>
          <w:rFonts w:ascii="Times New Roman" w:hAnsi="Times New Roman" w:cs="Times New Roman"/>
          <w:color w:val="000000"/>
          <w:sz w:val="24"/>
          <w:szCs w:val="24"/>
        </w:rPr>
        <w:t xml:space="preserve">eikta </w:t>
      </w:r>
      <w:r w:rsidRPr="000A0C95">
        <w:rPr>
          <w:rFonts w:ascii="Times New Roman" w:hAnsi="Times New Roman" w:cs="Times New Roman"/>
          <w:sz w:val="24"/>
          <w:szCs w:val="24"/>
        </w:rPr>
        <w:t>izejmateriālu (organisko šķiedru, gumijas, polimērvielu, pildvielu) iegāde, presformu iegāde un kompozītmateriāla paraugu izstrāde un testēšana pie ražotāja, t.sk., veikta materiāla atbilstības formai pārbaude un vēja slodzes (materiāla stiprības) testēšana. Kā arī v</w:t>
      </w:r>
      <w:r w:rsidRPr="000A0C95">
        <w:rPr>
          <w:rFonts w:ascii="Times New Roman" w:hAnsi="Times New Roman" w:cs="Times New Roman"/>
          <w:color w:val="000000"/>
          <w:sz w:val="24"/>
          <w:szCs w:val="24"/>
        </w:rPr>
        <w:t xml:space="preserve">eiktas profesionālās konsultācijas par augu izvēli </w:t>
      </w:r>
      <w:r w:rsidRPr="000A0C95">
        <w:rPr>
          <w:rFonts w:ascii="Times New Roman" w:hAnsi="Times New Roman" w:cs="Times New Roman"/>
          <w:i/>
          <w:color w:val="000000"/>
          <w:sz w:val="24"/>
          <w:szCs w:val="24"/>
        </w:rPr>
        <w:t>zaļajai</w:t>
      </w:r>
      <w:r w:rsidRPr="000A0C95">
        <w:rPr>
          <w:rFonts w:ascii="Times New Roman" w:hAnsi="Times New Roman" w:cs="Times New Roman"/>
          <w:color w:val="000000"/>
          <w:sz w:val="24"/>
          <w:szCs w:val="24"/>
        </w:rPr>
        <w:t xml:space="preserve"> sienai ar mežsaimniecības un augkopības nozares ekspertiem. </w:t>
      </w:r>
      <w:r w:rsidRPr="000A0C95">
        <w:rPr>
          <w:rFonts w:ascii="Times New Roman" w:hAnsi="Times New Roman" w:cs="Times New Roman"/>
          <w:sz w:val="24"/>
          <w:szCs w:val="24"/>
        </w:rPr>
        <w:t xml:space="preserve">Tāpat apzinātas projekta mērījumu vajadzības, veikts trokšņa līmeņa monitorings un mērījumu datu apstrāde projekta īstenošanas teritorijā. </w:t>
      </w:r>
      <w:r w:rsidRPr="000A0C95">
        <w:rPr>
          <w:rFonts w:ascii="Times New Roman" w:hAnsi="Times New Roman" w:cs="Times New Roman"/>
          <w:color w:val="000000"/>
          <w:sz w:val="24"/>
          <w:szCs w:val="24"/>
        </w:rPr>
        <w:t>Iegādāta trokšņa mērījumu un monitoringa stacija. Sabiedrības līdzdalības un informēšanas pasākumu ietvaros i</w:t>
      </w:r>
      <w:r w:rsidRPr="000A0C95">
        <w:rPr>
          <w:rFonts w:ascii="Times New Roman" w:hAnsi="Times New Roman" w:cs="Times New Roman"/>
          <w:sz w:val="24"/>
          <w:szCs w:val="24"/>
        </w:rPr>
        <w:t>zveidota projekta mājas lapa (</w:t>
      </w:r>
      <w:r w:rsidRPr="0037480F">
        <w:rPr>
          <w:rFonts w:ascii="Times New Roman" w:hAnsi="Times New Roman" w:cs="Times New Roman"/>
          <w:sz w:val="24"/>
          <w:szCs w:val="24"/>
        </w:rPr>
        <w:t>www.troksnisaizsienas.lv</w:t>
      </w:r>
      <w:r w:rsidRPr="000A0C95">
        <w:rPr>
          <w:rFonts w:ascii="Times New Roman" w:hAnsi="Times New Roman" w:cs="Times New Roman"/>
          <w:sz w:val="24"/>
          <w:szCs w:val="24"/>
        </w:rPr>
        <w:t xml:space="preserve"> un </w:t>
      </w:r>
      <w:r w:rsidRPr="0037480F">
        <w:rPr>
          <w:rFonts w:ascii="Times New Roman" w:hAnsi="Times New Roman" w:cs="Times New Roman"/>
          <w:sz w:val="24"/>
          <w:szCs w:val="24"/>
        </w:rPr>
        <w:t>www.railnoisesolution.eu</w:t>
      </w:r>
      <w:r w:rsidRPr="000A0C95">
        <w:rPr>
          <w:rFonts w:ascii="Times New Roman" w:hAnsi="Times New Roman" w:cs="Times New Roman"/>
          <w:sz w:val="24"/>
          <w:szCs w:val="24"/>
        </w:rPr>
        <w:t xml:space="preserve">), izgatavoti projekta informatīvie bukleti latviešu un angļu valodās, izgatavoti 7 projekta informatīvie stendi, kas izvietoti projekta partneru birojos, kā arī Šķirotavas, Jāņavārtu un Daugmales pasažieru vilciena pieturvietās. Organizēts Starptautiskās trokšņa apzināšanās dienas </w:t>
      </w:r>
      <w:r w:rsidRPr="000A0C95">
        <w:rPr>
          <w:rFonts w:ascii="Times New Roman" w:hAnsi="Times New Roman" w:cs="Times New Roman"/>
          <w:i/>
          <w:sz w:val="24"/>
          <w:szCs w:val="24"/>
        </w:rPr>
        <w:t>(International Noise Awareness Day)</w:t>
      </w:r>
      <w:r w:rsidRPr="000A0C95">
        <w:rPr>
          <w:rFonts w:ascii="Times New Roman" w:hAnsi="Times New Roman" w:cs="Times New Roman"/>
          <w:sz w:val="24"/>
          <w:szCs w:val="24"/>
        </w:rPr>
        <w:t xml:space="preserve"> pasākums un „Klusuma diētas minūte” skolu audzēkņiem ES mājā Rīgā.</w:t>
      </w:r>
    </w:p>
    <w:p w:rsidR="00FD48DF" w:rsidRPr="000A0C95" w:rsidRDefault="00614B5C" w:rsidP="00FD48DF">
      <w:pPr>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pict>
          <v:group id="_x0000_s1072" editas="canvas" style="position:absolute;left:0;text-align:left;margin-left:2592.8pt;margin-top:0;width:255.75pt;height:199.5pt;z-index:251676672;mso-position-horizontal:right;mso-position-horizontal-relative:margin;mso-position-vertical:bottom;mso-position-vertical-relative:margin" coordorigin="2361,13893" coordsize="4435,3458">
            <o:lock v:ext="edit" aspectratio="t"/>
            <v:shape id="_x0000_s1073" type="#_x0000_t75" style="position:absolute;left:2361;top:13893;width:4435;height:3458" o:preferrelative="f">
              <v:fill o:detectmouseclick="t"/>
              <v:path o:extrusionok="t" o:connecttype="none"/>
              <o:lock v:ext="edit" text="t"/>
            </v:shape>
            <v:shape id="_x0000_s1074" type="#_x0000_t202" style="position:absolute;left:2361;top:16841;width:4432;height:510" stroked="f">
              <v:textbox style="mso-next-textbox:#_x0000_s1074">
                <w:txbxContent>
                  <w:p w:rsidR="00A04249" w:rsidRPr="00746321" w:rsidRDefault="00A04249" w:rsidP="00F57034">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Aklais purvs</w:t>
                    </w:r>
                  </w:p>
                  <w:p w:rsidR="00A04249" w:rsidRPr="00746321" w:rsidRDefault="00A04249" w:rsidP="00F57034">
                    <w:pPr>
                      <w:spacing w:after="0" w:line="240" w:lineRule="auto"/>
                      <w:ind w:left="-113"/>
                      <w:rPr>
                        <w:rFonts w:ascii="Times New Roman" w:hAnsi="Times New Roman" w:cs="Times New Roman"/>
                        <w:color w:val="0070C0"/>
                        <w:sz w:val="20"/>
                        <w:szCs w:val="20"/>
                      </w:rPr>
                    </w:pPr>
                    <w:r w:rsidRPr="00746321">
                      <w:rPr>
                        <w:rFonts w:ascii="Times New Roman" w:hAnsi="Times New Roman" w:cs="Times New Roman"/>
                        <w:color w:val="0070C0"/>
                        <w:sz w:val="20"/>
                        <w:szCs w:val="20"/>
                      </w:rPr>
                      <w:t xml:space="preserve">Autors: </w:t>
                    </w:r>
                    <w:r>
                      <w:rPr>
                        <w:rFonts w:ascii="Times New Roman" w:hAnsi="Times New Roman" w:cs="Times New Roman"/>
                        <w:color w:val="0070C0"/>
                        <w:sz w:val="20"/>
                        <w:szCs w:val="20"/>
                      </w:rPr>
                      <w:t>Māra Pakalne (http://www.purvi.lv)</w:t>
                    </w:r>
                  </w:p>
                </w:txbxContent>
              </v:textbox>
            </v:shape>
            <v:shape id="_x0000_s1075" type="#_x0000_t75" style="position:absolute;left:2361;top:13893;width:4435;height:2948">
              <v:imagedata r:id="rId73" o:title="Aklais purvs_2"/>
            </v:shape>
            <w10:wrap type="square" anchorx="margin" anchory="margin"/>
          </v:group>
        </w:pict>
      </w:r>
      <w:r w:rsidR="00FD48DF" w:rsidRPr="000A0C95">
        <w:rPr>
          <w:rFonts w:ascii="Times New Roman" w:hAnsi="Times New Roman" w:cs="Times New Roman"/>
          <w:sz w:val="24"/>
          <w:szCs w:val="24"/>
        </w:rPr>
        <w:t xml:space="preserve">2013.gadā pabeigta projekta </w:t>
      </w:r>
      <w:r w:rsidR="00FD48DF" w:rsidRPr="005C550F">
        <w:rPr>
          <w:rFonts w:ascii="Times New Roman" w:hAnsi="Times New Roman" w:cs="Times New Roman"/>
          <w:b/>
          <w:sz w:val="24"/>
          <w:szCs w:val="24"/>
        </w:rPr>
        <w:t>„Augstā purva biotopu atjaunošana īpaši aizsargājamās dabas teritorijās Latvijā”</w:t>
      </w:r>
      <w:r w:rsidR="00FD48DF" w:rsidRPr="000A0C95">
        <w:rPr>
          <w:rFonts w:ascii="Times New Roman" w:hAnsi="Times New Roman" w:cs="Times New Roman"/>
          <w:sz w:val="24"/>
          <w:szCs w:val="24"/>
        </w:rPr>
        <w:t xml:space="preserve"> īstenošana. Projekta vietās - Rožu purvā, Melnā ezera purvā, Aklajā purvā, Aizkraukles purvā un mežos 2013. gadā tika turpināti pastāvīgie hidroloģiskie un biotopu novērojumi. Sagatavota biotopu monitoringa atskaite par pastāvīgo novērojumu rezultātiem pēc aizsprostu būves Rožu purvam, Aklajam purvam un Aizkraukles purvam un mežiem. 21. Eiropas veģetācijas izpētes projektu seminārā Itālijā, Romā un Starptautiskajā seminārā „Mitrāju apsaimniekošana” Polijā, Varšavā prezentēts stenda referāts „Augstā purva biotopu atjaunošana Melnā ezera purvā Latvijā”. 56. Starptautiskās veģetācijas zinātnes asociācijas konferencē Igaunijā, Tartu prezentēts ziņojums „Augsto purvu pētījumi, monitorings un apsaimniekošana”. Lai </w:t>
      </w:r>
      <w:r w:rsidR="00FD48DF" w:rsidRPr="000A0C95">
        <w:rPr>
          <w:rFonts w:ascii="Times New Roman" w:hAnsi="Times New Roman" w:cs="Times New Roman"/>
          <w:sz w:val="24"/>
          <w:szCs w:val="24"/>
        </w:rPr>
        <w:lastRenderedPageBreak/>
        <w:t xml:space="preserve">iepazīstinātu interesentus ar purva dabas vērtībām – augiem, dzīvniekiem, biotopiem, sadarbībā ar Ogres fotoklubu sagatavota ceļojošā fotoizstāde „Purvu noslēpumi”, kas iekļauj 119 lielizmēra fotogrāfijas ar purvu augiem un dzīvniekiem. Fotoizstāde 2013. gadā izstādīta Dundagas, Lauberes, Slates un Salas bibliotēkās, Ikšķiles novada Tīnūžu pamatskolā un Latvijas Universitātes Botāniskajā dārzā. 2013. gada 17. maijā Latvijas Universitātes Botāniskajā dārzā tika prezentēta projekta filma „Purvu noslēpumi”, kurā 3 gadu garumā atspoguļotas gan projekta aktivitātes (braucienus uz projekta teritorijām, dabas aizsardzības plānu apspriedes, hidroloģisko novērojumu aku uzstādīšanu u.c.), gan arī augsto purvu biotopi projekta teritorijās. Filmas mērķis ir plašākai sabiedrībai parādīt gan projekta teritorijas, gan augsto purvu biotopu vērtības. Filma ierakstīta latviešu un angļu valodā un tās DVD tiks dāvināti Latvijas skolām un ar vides aizsardzību saistītām organizācijām. 2013.gada 13. augustā noticis LIFE+ projekta „Augstie purvi” noslēguma seminārs un ekskursija uz melnā ezera purvu. Projekta noslēgumā, apkopojot iegūtos rezultātus, sagatavota grāmata „Augsto purvu apsaimniekošana bioloģiskās daudzveidības saglabāšanai Latvijā”. Informācija par projektu pieejama projekta mājas lapā </w:t>
      </w:r>
      <w:r w:rsidR="00FD48DF" w:rsidRPr="0037480F">
        <w:rPr>
          <w:rFonts w:ascii="Times New Roman" w:hAnsi="Times New Roman" w:cs="Times New Roman"/>
          <w:sz w:val="24"/>
          <w:szCs w:val="24"/>
        </w:rPr>
        <w:t>www.purvi.lv</w:t>
      </w:r>
      <w:r w:rsidR="00FD48DF" w:rsidRPr="000A0C95">
        <w:rPr>
          <w:rFonts w:ascii="Times New Roman" w:hAnsi="Times New Roman" w:cs="Times New Roman"/>
          <w:sz w:val="24"/>
          <w:szCs w:val="24"/>
        </w:rPr>
        <w:t xml:space="preserve">. </w:t>
      </w:r>
    </w:p>
    <w:p w:rsidR="00FD48DF"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Projektā </w:t>
      </w:r>
      <w:r w:rsidRPr="005C550F">
        <w:rPr>
          <w:rFonts w:ascii="Times New Roman" w:hAnsi="Times New Roman" w:cs="Times New Roman"/>
          <w:b/>
          <w:sz w:val="24"/>
          <w:szCs w:val="24"/>
        </w:rPr>
        <w:t>„Reto rāpuļu un abinieku aizsardzība Latvijā”</w:t>
      </w:r>
      <w:r w:rsidRPr="000A0C95">
        <w:rPr>
          <w:rFonts w:ascii="Times New Roman" w:hAnsi="Times New Roman" w:cs="Times New Roman"/>
          <w:sz w:val="24"/>
          <w:szCs w:val="24"/>
        </w:rPr>
        <w:t xml:space="preserve"> renovētais „Reto rāpuļu un abinieku” centrs 2013.gadā uzsācis darbu tam paredzētajiem mērķiem – audzēt Latvijā reti sastopamo abinieku un rāpuļu mazuļus, kurus vēlāk var laist savvaļā. Tāpat tika turpināti novērojumi un ievākti nepieciešamie monitoringa paraugi visu triju sugu – Eiropas purva bruņurupuča </w:t>
      </w:r>
      <w:r w:rsidRPr="000A0C95">
        <w:rPr>
          <w:rFonts w:ascii="Times New Roman" w:hAnsi="Times New Roman" w:cs="Times New Roman"/>
          <w:i/>
          <w:sz w:val="24"/>
          <w:szCs w:val="24"/>
        </w:rPr>
        <w:t>Emys orbicularis</w:t>
      </w:r>
      <w:r w:rsidRPr="000A0C95">
        <w:rPr>
          <w:rFonts w:ascii="Times New Roman" w:hAnsi="Times New Roman" w:cs="Times New Roman"/>
          <w:sz w:val="24"/>
          <w:szCs w:val="24"/>
        </w:rPr>
        <w:t xml:space="preserve">, gludenās čūskas </w:t>
      </w:r>
      <w:r w:rsidRPr="000A0C95">
        <w:rPr>
          <w:rFonts w:ascii="Times New Roman" w:hAnsi="Times New Roman" w:cs="Times New Roman"/>
          <w:i/>
          <w:sz w:val="24"/>
          <w:szCs w:val="24"/>
        </w:rPr>
        <w:t>Coronella austriaca</w:t>
      </w:r>
      <w:r w:rsidRPr="000A0C95">
        <w:rPr>
          <w:rFonts w:ascii="Times New Roman" w:hAnsi="Times New Roman" w:cs="Times New Roman"/>
          <w:sz w:val="24"/>
          <w:szCs w:val="24"/>
        </w:rPr>
        <w:t xml:space="preserve"> un sarkanvēdera ugunskrupja </w:t>
      </w:r>
      <w:r w:rsidRPr="000A0C95">
        <w:rPr>
          <w:rFonts w:ascii="Times New Roman" w:hAnsi="Times New Roman" w:cs="Times New Roman"/>
          <w:i/>
          <w:sz w:val="24"/>
          <w:szCs w:val="24"/>
        </w:rPr>
        <w:t>Bombina bombina</w:t>
      </w:r>
      <w:r w:rsidRPr="000A0C95">
        <w:rPr>
          <w:rFonts w:ascii="Times New Roman" w:hAnsi="Times New Roman" w:cs="Times New Roman"/>
          <w:sz w:val="24"/>
          <w:szCs w:val="24"/>
        </w:rPr>
        <w:t xml:space="preserve"> dzīvotnēs. Sugai </w:t>
      </w:r>
      <w:r w:rsidRPr="000A0C95">
        <w:rPr>
          <w:rFonts w:ascii="Times New Roman" w:hAnsi="Times New Roman" w:cs="Times New Roman"/>
          <w:i/>
          <w:sz w:val="24"/>
          <w:szCs w:val="24"/>
        </w:rPr>
        <w:t>Coronella austriaca</w:t>
      </w:r>
      <w:r w:rsidRPr="000A0C95">
        <w:rPr>
          <w:rFonts w:ascii="Times New Roman" w:hAnsi="Times New Roman" w:cs="Times New Roman"/>
          <w:sz w:val="24"/>
          <w:szCs w:val="24"/>
        </w:rPr>
        <w:t xml:space="preserve"> izstrādāts aizsardzības plāns, kas palīdzēs šīs sugas saglabāšanai Latvijā. Sagatavoti nepieciešamie dokumenti Natura 2000 teritoriju izveidei sarkanvēdera ugunskrupim. Sugu apsaimniekošanas darbu ietvaros veikta biotopu uzlabošana un krūmu izciršana ap sugu dzīvotnēm 78,2 ha platībā, dzīvotņu skaita palielināšanai veikta jaunu 43 dīķu izveidošana un sugu esošo dzīvotņu kvalitātes uzlabošanai veikta esošo dīķu atjaunošana. Tāpat notiek veiksmīga sarkanvēdera ugunskrupja un Eiropas purva bruņurupuča sugu īpatņu skaita pavairošana. 2013. gadā pavairots, izaudzēts un izlaists dabā 1021 jauns sarkanvēdera ugunskrupis. Izdotas trīs brošūras (divās daļās) „Gludenās čūskas saglabāšana Latvijā: Projekts LIFE-HerpetoLatvia”, „Eiropas purva bruņurupuča saglabāšana Latvijā: Projekts LIFE-HerpetoLatvia” un „Sarkanvēdera ugunskrupja saglabāšana Latvijā: Projekts LIFE-HerpetoLatvia”.</w:t>
      </w:r>
    </w:p>
    <w:p w:rsidR="00FD48DF" w:rsidRPr="000A0C95" w:rsidRDefault="00614B5C" w:rsidP="00FD48DF">
      <w:pPr>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pict>
          <v:group id="_x0000_s1076" editas="canvas" style="position:absolute;left:0;text-align:left;margin-left:0;margin-top:0;width:205.95pt;height:219.85pt;z-index:251677696;mso-position-horizontal:left;mso-position-horizontal-relative:margin;mso-position-vertical:center;mso-position-vertical-relative:margin" coordorigin="2361,13893" coordsize="3570,3809">
            <o:lock v:ext="edit" aspectratio="t"/>
            <v:shape id="_x0000_s1077" type="#_x0000_t75" style="position:absolute;left:2361;top:13893;width:3570;height:3809" o:preferrelative="f">
              <v:fill o:detectmouseclick="t"/>
              <v:path o:extrusionok="t" o:connecttype="none"/>
              <o:lock v:ext="edit" text="t"/>
            </v:shape>
            <v:shape id="_x0000_s1078" type="#_x0000_t202" style="position:absolute;left:2361;top:16948;width:3570;height:754" stroked="f">
              <v:textbox style="mso-next-textbox:#_x0000_s1078">
                <w:txbxContent>
                  <w:p w:rsidR="00A04249" w:rsidRDefault="00A04249" w:rsidP="00F57034">
                    <w:pPr>
                      <w:spacing w:after="0" w:line="240" w:lineRule="auto"/>
                      <w:ind w:left="-113"/>
                      <w:jc w:val="both"/>
                      <w:rPr>
                        <w:rFonts w:ascii="Times New Roman" w:hAnsi="Times New Roman" w:cs="Times New Roman"/>
                        <w:b/>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 xml:space="preserve">Eiropas purva </w:t>
                    </w:r>
                  </w:p>
                  <w:p w:rsidR="00A04249" w:rsidRPr="0034346D" w:rsidRDefault="00A04249" w:rsidP="00F57034">
                    <w:pPr>
                      <w:spacing w:after="0" w:line="240" w:lineRule="auto"/>
                      <w:ind w:left="-113"/>
                      <w:jc w:val="both"/>
                      <w:rPr>
                        <w:rFonts w:ascii="Times New Roman" w:hAnsi="Times New Roman" w:cs="Times New Roman"/>
                        <w:i/>
                        <w:color w:val="0070C0"/>
                        <w:sz w:val="20"/>
                        <w:szCs w:val="20"/>
                      </w:rPr>
                    </w:pPr>
                    <w:r>
                      <w:rPr>
                        <w:rFonts w:ascii="Times New Roman" w:hAnsi="Times New Roman" w:cs="Times New Roman"/>
                        <w:b/>
                        <w:color w:val="0070C0"/>
                        <w:sz w:val="20"/>
                        <w:szCs w:val="20"/>
                      </w:rPr>
                      <w:t xml:space="preserve">bruņurupucis </w:t>
                    </w:r>
                    <w:r w:rsidRPr="0034346D">
                      <w:rPr>
                        <w:rFonts w:ascii="Times New Roman" w:hAnsi="Times New Roman" w:cs="Times New Roman"/>
                        <w:i/>
                        <w:color w:val="0070C0"/>
                        <w:sz w:val="20"/>
                        <w:szCs w:val="20"/>
                      </w:rPr>
                      <w:t>Emys orbicularis</w:t>
                    </w:r>
                  </w:p>
                  <w:p w:rsidR="00A04249" w:rsidRPr="00746321" w:rsidRDefault="00A04249" w:rsidP="00F57034">
                    <w:pPr>
                      <w:spacing w:after="0" w:line="240" w:lineRule="auto"/>
                      <w:ind w:left="-113"/>
                      <w:rPr>
                        <w:rFonts w:ascii="Times New Roman" w:hAnsi="Times New Roman" w:cs="Times New Roman"/>
                        <w:color w:val="0070C0"/>
                        <w:sz w:val="20"/>
                        <w:szCs w:val="20"/>
                      </w:rPr>
                    </w:pPr>
                    <w:r w:rsidRPr="00746321">
                      <w:rPr>
                        <w:rFonts w:ascii="Times New Roman" w:hAnsi="Times New Roman" w:cs="Times New Roman"/>
                        <w:color w:val="0070C0"/>
                        <w:sz w:val="20"/>
                        <w:szCs w:val="20"/>
                      </w:rPr>
                      <w:t xml:space="preserve">Autors: </w:t>
                    </w:r>
                    <w:r w:rsidRPr="0034346D">
                      <w:rPr>
                        <w:rFonts w:ascii="Times New Roman" w:hAnsi="Times New Roman" w:cs="Times New Roman"/>
                        <w:color w:val="0070C0"/>
                        <w:sz w:val="20"/>
                        <w:szCs w:val="20"/>
                      </w:rPr>
                      <w:t>http://www.life-herpetolatvia.biology.lv/</w:t>
                    </w:r>
                  </w:p>
                </w:txbxContent>
              </v:textbox>
            </v:shape>
            <v:shape id="_x0000_s1079" type="#_x0000_t75" style="position:absolute;left:2361;top:13893;width:3570;height:3055">
              <v:imagedata r:id="rId74" o:title="Eiropas purva brunurupucis_1"/>
            </v:shape>
            <w10:wrap type="square" anchorx="margin" anchory="margin"/>
          </v:group>
        </w:pict>
      </w:r>
      <w:r w:rsidR="00FD48DF" w:rsidRPr="000A0C95">
        <w:rPr>
          <w:rFonts w:ascii="Times New Roman" w:hAnsi="Times New Roman" w:cs="Times New Roman"/>
          <w:sz w:val="24"/>
          <w:szCs w:val="24"/>
        </w:rPr>
        <w:t xml:space="preserve">Projektā </w:t>
      </w:r>
      <w:r w:rsidR="00FD48DF" w:rsidRPr="005C550F">
        <w:rPr>
          <w:rFonts w:ascii="Times New Roman" w:hAnsi="Times New Roman" w:cs="Times New Roman"/>
          <w:b/>
          <w:sz w:val="24"/>
          <w:szCs w:val="24"/>
        </w:rPr>
        <w:t>„Ilgtspējīgas lauksaimniecības veicināšana globāli apdraudētas putnu sugas aizsardzībai lauku ainavā”</w:t>
      </w:r>
      <w:r w:rsidR="00FD48DF" w:rsidRPr="000A0C95">
        <w:rPr>
          <w:rFonts w:ascii="Times New Roman" w:hAnsi="Times New Roman" w:cs="Times New Roman"/>
          <w:sz w:val="24"/>
          <w:szCs w:val="24"/>
        </w:rPr>
        <w:t xml:space="preserve"> grīšļu ķauķa aizsardzībai 2013. gadā projekta teritorijā „Liepājas ezers” pabeigti krūmu un koku izciršanas darbi 114 ha platībā. Šajā teritorijā pabeigti arī niedru izvākšanas darbi 14,17 ha platībā un, izmantojot peldošu niedru pļāvēju "SEIGA", veikti pļaujas darbi 96,9 ha platībā. Projekta teritorijā „Pape” pabeigti krūmu un koku izciršanas darbi 3,2 ha platībā un pēc ligzdošanas sezonas veikti pirmreizējās pļaujas darbi 14 ha platībā. Sadarbībā ar projekta vadošo partneri - Baltijas Vides forumu Lietuvā, projekta ietvaros izdota rokasgrāmatu </w:t>
      </w:r>
      <w:r w:rsidR="00FD48DF" w:rsidRPr="000A0C95">
        <w:rPr>
          <w:rFonts w:ascii="Times New Roman" w:hAnsi="Times New Roman" w:cs="Times New Roman"/>
          <w:sz w:val="24"/>
          <w:szCs w:val="24"/>
        </w:rPr>
        <w:lastRenderedPageBreak/>
        <w:t>bērniem „Grīšļu ķauķis”, kā arī plakāts "Sugas neizzūd pa vienai". Rokasgrāmatā ietverta gan izzinoša informācija par grīšļu ķauķi - tā izskatu, dzīvotni, barību, dziesmu, gan praktiski uzdevumi. Lai novērtētu demonstrāciju atjaunošanas pasākumu efektivitāti grīšļu ķauķa vēsturiskajās ligzdošanas un caurceļošanas vietās, 2013.gadā abās projekta teritorijās veikts ligzdojošo putnu un biotopu monitorings.</w:t>
      </w:r>
    </w:p>
    <w:p w:rsidR="00AB0044" w:rsidRDefault="00FD48DF" w:rsidP="00AB0044">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2013. gadā projektā </w:t>
      </w:r>
      <w:r w:rsidRPr="005C550F">
        <w:rPr>
          <w:rFonts w:ascii="Times New Roman" w:hAnsi="Times New Roman" w:cs="Times New Roman"/>
          <w:b/>
          <w:sz w:val="24"/>
          <w:szCs w:val="24"/>
        </w:rPr>
        <w:t>„Griezes biotopu atjaunošana Natura 2000 teritorijā „Dvietes paliene””</w:t>
      </w:r>
      <w:r w:rsidRPr="000A0C95">
        <w:rPr>
          <w:rFonts w:ascii="Times New Roman" w:hAnsi="Times New Roman" w:cs="Times New Roman"/>
          <w:sz w:val="24"/>
          <w:szCs w:val="24"/>
        </w:rPr>
        <w:t xml:space="preserve"> turpinājās Dvietes palienes pļavu atjaunošanas darbi, izcērtot tajās ieaugušos krūmus un kokus. 2012. - 2013. gada ziemā atjaunoti 27,6 ha zālāju, zālāju atjaunošana turpinājās arī 2013. gada rudenī. Atjaunotajās zālāju platībās turpināja ganīties ‘Highlander’ šķirnes liellopi un ‘Konik’ zirgi (kopējā projekta laikā ierīkoto ganību platība ir 113 ha). Turpinājās sagatavošanās darbi Dvietes upes atjaunošanai. Pavasarī notika upes atjaunošanas hidroloģiskā modelēšana, ko veica SIA „Procesu izpētes un analīzes centrs”. Tā bija nepieciešama, lai atrastu tādus atjaunojamās upes gultnes parametrus, kas ļautu palielināt gruntsūdens līmeni projekta teritorijā, vienlaikus neietekmējot hidroloģiskos apstākļus ārpus Dvietes palienes. Projekta partneris Vides risinājumu institūts pabeidza griezei piemēroto biotopu modelēšanu, savietojot dzīvotnes raksturojošos datus, kas iegūti teritorijas lāzerskenēšanā, ar griežu sastopamības datiem Dvietes palienes dabas parkā. Modeļa izstrādē tika izmantotas divas metodes - lēmumu pieņemšanas atbalsta sistēmas princips un nišas faktoru analīze. Lai iepazītos ar pieredzi palieņu pļavu noganīšanā, 30.-31. maijā projekta darbinieki un Dvietes palienes zemes īpašnieki devās pieredzes apmaiņas braucienā uz agrāk īstenotu LIFE projektu vietām Pededzes lejtecē un Ziemeļgaujas ielejā. </w:t>
      </w:r>
    </w:p>
    <w:p w:rsidR="00AB0044" w:rsidRPr="00AB0044" w:rsidRDefault="00AB0044" w:rsidP="00AB0044">
      <w:pPr>
        <w:spacing w:before="120" w:after="0" w:line="240" w:lineRule="auto"/>
        <w:jc w:val="both"/>
        <w:rPr>
          <w:rFonts w:ascii="Times New Roman" w:hAnsi="Times New Roman" w:cs="Times New Roman"/>
          <w:sz w:val="24"/>
          <w:szCs w:val="24"/>
        </w:rPr>
      </w:pPr>
      <w:r w:rsidRPr="00AB0044">
        <w:rPr>
          <w:rFonts w:ascii="Times New Roman" w:hAnsi="Times New Roman" w:cs="Times New Roman"/>
          <w:sz w:val="24"/>
          <w:szCs w:val="24"/>
        </w:rPr>
        <w:t xml:space="preserve">Projektā </w:t>
      </w:r>
      <w:r w:rsidRPr="00AB0044">
        <w:rPr>
          <w:rFonts w:ascii="Times New Roman" w:hAnsi="Times New Roman" w:cs="Times New Roman"/>
          <w:bCs/>
          <w:sz w:val="24"/>
          <w:szCs w:val="24"/>
        </w:rPr>
        <w:t>„</w:t>
      </w:r>
      <w:r w:rsidRPr="00AB0044">
        <w:rPr>
          <w:rFonts w:ascii="Times New Roman" w:hAnsi="Times New Roman" w:cs="Times New Roman"/>
          <w:b/>
          <w:bCs/>
          <w:sz w:val="24"/>
          <w:szCs w:val="24"/>
        </w:rPr>
        <w:t>Fenoskandijas parkveida pļavu (6530*) un divu prioritāru vaboļu sugu apsaimniekošana: plānošana, sabiedrības iesaistīšana, inovācija”</w:t>
      </w:r>
      <w:r w:rsidRPr="00AB0044">
        <w:rPr>
          <w:rFonts w:ascii="Times New Roman" w:hAnsi="Times New Roman" w:cs="Times New Roman"/>
          <w:bCs/>
          <w:sz w:val="24"/>
          <w:szCs w:val="24"/>
        </w:rPr>
        <w:t xml:space="preserve"> </w:t>
      </w:r>
      <w:r>
        <w:rPr>
          <w:rFonts w:ascii="Times New Roman" w:hAnsi="Times New Roman" w:cs="Times New Roman"/>
          <w:bCs/>
          <w:sz w:val="24"/>
          <w:szCs w:val="24"/>
        </w:rPr>
        <w:t xml:space="preserve">2013. gadā izstrādāts </w:t>
      </w:r>
      <w:r w:rsidRPr="00AB0044">
        <w:rPr>
          <w:rFonts w:ascii="Times New Roman" w:hAnsi="Times New Roman" w:cs="Times New Roman"/>
          <w:bCs/>
          <w:sz w:val="24"/>
          <w:szCs w:val="24"/>
        </w:rPr>
        <w:t>p</w:t>
      </w:r>
      <w:r w:rsidRPr="00AB0044">
        <w:rPr>
          <w:rFonts w:ascii="Times New Roman" w:hAnsi="Times New Roman" w:cs="Times New Roman"/>
          <w:sz w:val="24"/>
          <w:szCs w:val="24"/>
        </w:rPr>
        <w:t>arkveida pļavu biotopu aizsardzības plān</w:t>
      </w:r>
      <w:r>
        <w:rPr>
          <w:rFonts w:ascii="Times New Roman" w:hAnsi="Times New Roman" w:cs="Times New Roman"/>
          <w:sz w:val="24"/>
          <w:szCs w:val="24"/>
        </w:rPr>
        <w:t>s</w:t>
      </w:r>
      <w:r w:rsidRPr="00AB0044">
        <w:rPr>
          <w:rFonts w:ascii="Times New Roman" w:hAnsi="Times New Roman" w:cs="Times New Roman"/>
          <w:sz w:val="24"/>
          <w:szCs w:val="24"/>
        </w:rPr>
        <w:t>, sugas aizsardzības plān</w:t>
      </w:r>
      <w:r>
        <w:rPr>
          <w:rFonts w:ascii="Times New Roman" w:hAnsi="Times New Roman" w:cs="Times New Roman"/>
          <w:sz w:val="24"/>
          <w:szCs w:val="24"/>
        </w:rPr>
        <w:t xml:space="preserve">s </w:t>
      </w:r>
      <w:r w:rsidRPr="00AB0044">
        <w:rPr>
          <w:rFonts w:ascii="Times New Roman" w:hAnsi="Times New Roman" w:cs="Times New Roman"/>
          <w:sz w:val="24"/>
          <w:szCs w:val="24"/>
        </w:rPr>
        <w:t xml:space="preserve">dzeltenkrūšu ēnvabolei </w:t>
      </w:r>
      <w:r w:rsidRPr="00AB0044">
        <w:rPr>
          <w:rFonts w:ascii="Times New Roman" w:hAnsi="Times New Roman" w:cs="Times New Roman"/>
          <w:i/>
          <w:sz w:val="24"/>
          <w:szCs w:val="24"/>
        </w:rPr>
        <w:t>Phryganophilus ruficollis</w:t>
      </w:r>
      <w:r w:rsidRPr="00AB0044">
        <w:rPr>
          <w:rFonts w:ascii="Times New Roman" w:hAnsi="Times New Roman" w:cs="Times New Roman"/>
          <w:sz w:val="24"/>
          <w:szCs w:val="24"/>
        </w:rPr>
        <w:t>, d</w:t>
      </w:r>
      <w:r>
        <w:rPr>
          <w:rFonts w:ascii="Times New Roman" w:hAnsi="Times New Roman" w:cs="Times New Roman"/>
          <w:sz w:val="24"/>
          <w:szCs w:val="24"/>
        </w:rPr>
        <w:t>abas aizsardzības plāns</w:t>
      </w:r>
      <w:r w:rsidRPr="00AB0044">
        <w:rPr>
          <w:rFonts w:ascii="Times New Roman" w:hAnsi="Times New Roman" w:cs="Times New Roman"/>
          <w:sz w:val="24"/>
          <w:szCs w:val="24"/>
        </w:rPr>
        <w:t xml:space="preserve"> dabas liegumam „Eglone”, ekoloģiskā tīkla plān</w:t>
      </w:r>
      <w:r>
        <w:rPr>
          <w:rFonts w:ascii="Times New Roman" w:hAnsi="Times New Roman" w:cs="Times New Roman"/>
          <w:sz w:val="24"/>
          <w:szCs w:val="24"/>
        </w:rPr>
        <w:t>s</w:t>
      </w:r>
      <w:r w:rsidRPr="00AB0044">
        <w:rPr>
          <w:rFonts w:ascii="Times New Roman" w:hAnsi="Times New Roman" w:cs="Times New Roman"/>
          <w:sz w:val="24"/>
          <w:szCs w:val="24"/>
        </w:rPr>
        <w:t xml:space="preserve"> reto sugu aizsardzības nodrošināšanai, </w:t>
      </w:r>
      <w:r>
        <w:rPr>
          <w:rFonts w:ascii="Times New Roman" w:hAnsi="Times New Roman" w:cs="Times New Roman"/>
          <w:sz w:val="24"/>
          <w:szCs w:val="24"/>
        </w:rPr>
        <w:t xml:space="preserve">kā arī veikti </w:t>
      </w:r>
      <w:r w:rsidRPr="00AB0044">
        <w:rPr>
          <w:rFonts w:ascii="Times New Roman" w:hAnsi="Times New Roman" w:cs="Times New Roman"/>
          <w:sz w:val="24"/>
          <w:szCs w:val="24"/>
        </w:rPr>
        <w:t>parkveida pļavu atjaunošanas un kopšanas darbi un bioloģiski vērtīgo koku – lapkoku praulgraužu dzīvotņu apsaimniekošanas darbi.</w:t>
      </w:r>
    </w:p>
    <w:p w:rsidR="00FD48DF" w:rsidRPr="000A0C95" w:rsidRDefault="00FD48DF" w:rsidP="00FD48DF">
      <w:pPr>
        <w:spacing w:before="120" w:after="0" w:line="240" w:lineRule="auto"/>
        <w:jc w:val="both"/>
        <w:rPr>
          <w:rFonts w:ascii="Times New Roman" w:hAnsi="Times New Roman" w:cs="Times New Roman"/>
          <w:sz w:val="24"/>
          <w:szCs w:val="24"/>
          <w:highlight w:val="yellow"/>
        </w:rPr>
      </w:pPr>
      <w:r w:rsidRPr="000A0C95">
        <w:rPr>
          <w:rFonts w:ascii="Times New Roman" w:hAnsi="Times New Roman" w:cs="Times New Roman"/>
          <w:sz w:val="24"/>
          <w:szCs w:val="24"/>
        </w:rPr>
        <w:t xml:space="preserve">Projekta </w:t>
      </w:r>
      <w:r w:rsidRPr="005C550F">
        <w:rPr>
          <w:rFonts w:ascii="Times New Roman" w:hAnsi="Times New Roman" w:cs="Times New Roman"/>
          <w:b/>
          <w:sz w:val="24"/>
          <w:szCs w:val="24"/>
        </w:rPr>
        <w:t>„Inovatīvas pieejas jūras bioloģiskās daudzveidības monitoringam un dabas vērtību aizsardzības stāvokļa novērtēšanai Baltijas jūrā”</w:t>
      </w:r>
      <w:r w:rsidRPr="000A0C95">
        <w:rPr>
          <w:rFonts w:ascii="Times New Roman" w:hAnsi="Times New Roman" w:cs="Times New Roman"/>
          <w:sz w:val="24"/>
          <w:szCs w:val="24"/>
        </w:rPr>
        <w:t xml:space="preserve"> ietvaros 2013. gadā eksperti veica jauno, inovatīvu indikatoru saraksta atjaunošanu un katram indikatoram izstrādāja faktu lapu. Četrās projekta pilotteritorijās Rīgas līcī un Irbes šaurumā (Latvija un Igaunija), Somu līcī (Igaunija un Somija), Dienvidrietumu Somijas piekrastē un Hānes līcī (Zviedrija) turpinājās izstrādāto monitoringa metožu un indikatoru pārbaudi, veicot uzskaites un ievācot un apstrādājot paraugus, veicot iegūto datu statistisko analīzi un vēsturisko datu pārbaudi, kā arī novērtējot monitoringa metožu rezultātus. Rezultātā izstrādāta jūras bioloģiskās daudzveidības novērtējuma metodoloģija un anketa par dzīvotņu un sugu aizsardzības stāvokli pilotteritorijās, kā arī uzsāka datu ievākšana. Tāpat izstrādāta metodika esošo un projektā piedāvāto monitoringa programmu sociālekonomiskajam un izmaksu efektivitātes novērtējumam, apkopota informācija par mērķiem nozaru politikas dokumentos saistībā ar vides aizsardzību, kā arī uzsākta rekomendāciju izstrāde attiecībā uz ietekmes uz jūras bioloģisko daudzveidību novērtēšanu Jūras vēja parkos. 2013. gada 21.-22. maijā Rīgā notika starptautisks seminārs par Ietekmes uz vidi novērtējumu jūras vēja parkos un citos lielos infrastruktūras objektos. Uz astoņiem prāmjiem maršrutos Rīga-Stokholma, Tallina-Stokholma, Helsinki-Stokholma un Tallina-Helsinki uzstādīti informatīvi plakāti par Baltijas jūras bioloģiskās daudzveidības monitoringā pielietotajām izpētes metodēm. Latvijā 2013. gadā notika trīs nacionālie pasākumi: apmācību seminārs dabas aizsardzības ekspertiem un inspektoriem par jūras krastā izskaloto aļģu </w:t>
      </w:r>
      <w:r w:rsidRPr="000A0C95">
        <w:rPr>
          <w:rFonts w:ascii="Times New Roman" w:hAnsi="Times New Roman" w:cs="Times New Roman"/>
          <w:sz w:val="24"/>
          <w:szCs w:val="24"/>
        </w:rPr>
        <w:lastRenderedPageBreak/>
        <w:t>noteikšanu ar mērķi iesaistīt sabiedrību brīvprātīgajā jūras bioloģiskās daudzveidības monitoringā, konference skolēniem un skolotājiem „Ūdens”, kā arī seminārs "Jūras monitorings Latvijā - sabiedriskā monitoringa perspektīva".</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Projekta </w:t>
      </w:r>
      <w:r w:rsidRPr="005C550F">
        <w:rPr>
          <w:rFonts w:ascii="Times New Roman" w:hAnsi="Times New Roman" w:cs="Times New Roman"/>
          <w:b/>
          <w:sz w:val="24"/>
          <w:szCs w:val="24"/>
        </w:rPr>
        <w:t>„Komunikācijas kampaņa Baltijas valstīs par bīstamām ķīmiskā vielām: NEREDZAMAIS KĻŪST REDZAMS (BaltInfoHaz)”</w:t>
      </w:r>
      <w:r w:rsidRPr="000A0C95">
        <w:rPr>
          <w:rFonts w:ascii="Times New Roman" w:hAnsi="Times New Roman" w:cs="Times New Roman"/>
          <w:sz w:val="24"/>
          <w:szCs w:val="24"/>
        </w:rPr>
        <w:t xml:space="preserve"> mērķis: samazināt bīstamo ķīmisko vielu daudzumu vidē, informējot sabiedrību par to kaitīgo ietekmi uz vidi un veselību un veicot preventīvas darbības to produktu patēriņa un klāsta samazināšanai, kuru sastāvā ir bīstamās ķīmiskās vielas. 2013.gadā uzsāktas tematiskās projekta kampaņas K-Rauta veikalos Latvijā, ieviešot īpašu cenu zīmi tām iekšdarbu krāsām, lakām un līmēm, kurās ir nosacīti mazāk bīstamo ķīmisko vielu, tāpat arī veiktas pārdevēju apmācības visos K-Rauta veikalos Latvijā. Veiktas apmācības topošajiem frizieriem par drošāku profesionālās kosmētikas izvēli sadarbībā ar Rīgas Stila un Modes profesionālo vidusskolu. Visā Latvijā īstenotas vairāk kā 20 tematiskās informācijas dienas iedzīvotājiem par drošāku ikdienā izmantojamo produktu izvēli. Veikta bērnistabu gaisa testēšana 15 mājsaimniecībās Latvijā, kā arī tai sekojoša formaldehīda testēšana līmētos koka produktos. Iesaistītajām mājsaimniecībām doti padomi gaisa kvalitātes uzlabošanai, kopējie rezultāti samērā plaši atspoguļoti masu medijos. Sadarbībā ar Liepājas Universitāti izstrādāta rokasgrāmata skolotājiem par bīstamo vielu sastopamību ikdienā, kā arī šīs tematikas pasniegšanu dažādu klašu grupu skolēniem.</w:t>
      </w:r>
    </w:p>
    <w:p w:rsidR="00FD48DF" w:rsidRPr="000A0C95" w:rsidRDefault="00FD48DF" w:rsidP="00FD48DF">
      <w:pPr>
        <w:spacing w:before="120" w:after="0" w:line="240" w:lineRule="auto"/>
        <w:jc w:val="both"/>
        <w:rPr>
          <w:rFonts w:ascii="Times New Roman" w:hAnsi="Times New Roman" w:cs="Times New Roman"/>
          <w:sz w:val="24"/>
          <w:szCs w:val="24"/>
          <w:lang w:eastAsia="lv-LV"/>
        </w:rPr>
      </w:pPr>
      <w:r w:rsidRPr="000A0C95">
        <w:rPr>
          <w:rFonts w:ascii="Times New Roman" w:hAnsi="Times New Roman" w:cs="Times New Roman"/>
          <w:sz w:val="24"/>
          <w:szCs w:val="24"/>
          <w:lang w:eastAsia="lv-LV"/>
        </w:rPr>
        <w:t>Dabas aizsardzības pārvalde īsteno 6 LIFE+ programmas projektus, no tiem 3 projektos – „</w:t>
      </w:r>
      <w:r w:rsidRPr="000A0C95">
        <w:rPr>
          <w:rFonts w:ascii="Times New Roman" w:hAnsi="Times New Roman" w:cs="Times New Roman"/>
          <w:sz w:val="24"/>
          <w:szCs w:val="24"/>
        </w:rPr>
        <w:t>Meža biotopu atjaunošana Gaujas Nacionālajā parkā”, „Ķemeru Nacionālā parka hidroloģiskā režīma atjaunošana” un „</w:t>
      </w:r>
      <w:r w:rsidRPr="000A0C95">
        <w:rPr>
          <w:rFonts w:ascii="Times New Roman" w:hAnsi="Times New Roman" w:cs="Times New Roman"/>
          <w:color w:val="000000"/>
          <w:sz w:val="24"/>
          <w:szCs w:val="24"/>
        </w:rPr>
        <w:t>Natura 2000 teritoriju nacionālā aizsardzības un apsaimniekošanas programma”</w:t>
      </w:r>
      <w:r w:rsidRPr="000A0C95">
        <w:rPr>
          <w:rFonts w:ascii="Times New Roman" w:hAnsi="Times New Roman" w:cs="Times New Roman"/>
          <w:sz w:val="24"/>
          <w:szCs w:val="24"/>
          <w:lang w:eastAsia="lv-LV"/>
        </w:rPr>
        <w:t xml:space="preserve"> ir vadošais partneris un 3 projektos – „</w:t>
      </w:r>
      <w:r w:rsidRPr="000A0C95">
        <w:rPr>
          <w:rFonts w:ascii="Times New Roman" w:hAnsi="Times New Roman" w:cs="Times New Roman"/>
          <w:sz w:val="24"/>
          <w:szCs w:val="24"/>
        </w:rPr>
        <w:t>Fenoskandijas parkveida pļavu (6530*) un divu prioritāru vaboļu sugu apsaimniekošana: plānošana, sabiedrības iesaistīšana, inovācija</w:t>
      </w:r>
      <w:r w:rsidRPr="000A0C95">
        <w:rPr>
          <w:rFonts w:ascii="Times New Roman" w:hAnsi="Times New Roman" w:cs="Times New Roman"/>
          <w:sz w:val="24"/>
          <w:szCs w:val="24"/>
          <w:lang w:eastAsia="lv-LV"/>
        </w:rPr>
        <w:t>”, „</w:t>
      </w:r>
      <w:r w:rsidRPr="000A0C95">
        <w:rPr>
          <w:rFonts w:ascii="Times New Roman" w:hAnsi="Times New Roman" w:cs="Times New Roman"/>
          <w:sz w:val="24"/>
          <w:szCs w:val="24"/>
        </w:rPr>
        <w:t>Reto rāpuļu un abinieku aizsardzība Latvijā”</w:t>
      </w:r>
      <w:r w:rsidRPr="000A0C95">
        <w:rPr>
          <w:rFonts w:ascii="Times New Roman" w:hAnsi="Times New Roman" w:cs="Times New Roman"/>
          <w:sz w:val="24"/>
          <w:szCs w:val="24"/>
          <w:lang w:eastAsia="lv-LV"/>
        </w:rPr>
        <w:t xml:space="preserve"> un „</w:t>
      </w:r>
      <w:r w:rsidRPr="000A0C95">
        <w:rPr>
          <w:rFonts w:ascii="Times New Roman" w:hAnsi="Times New Roman" w:cs="Times New Roman"/>
          <w:sz w:val="24"/>
          <w:szCs w:val="24"/>
        </w:rPr>
        <w:t>Inovatīvās pieejas jūras bioloģiskās daudzveidības monitoringam un Baltijas jūras dabas vērtību aizsardzības statusa novērtējums”</w:t>
      </w:r>
      <w:r w:rsidRPr="000A0C95">
        <w:rPr>
          <w:rFonts w:ascii="Times New Roman" w:hAnsi="Times New Roman" w:cs="Times New Roman"/>
          <w:sz w:val="24"/>
          <w:szCs w:val="24"/>
          <w:lang w:eastAsia="lv-LV"/>
        </w:rPr>
        <w:t xml:space="preserve"> sadarbības partneris.</w:t>
      </w:r>
    </w:p>
    <w:p w:rsidR="00FD48DF" w:rsidRPr="000A0C95" w:rsidRDefault="00FD48DF" w:rsidP="00FD48DF">
      <w:pPr>
        <w:spacing w:before="120" w:after="0" w:line="240" w:lineRule="auto"/>
        <w:jc w:val="both"/>
        <w:rPr>
          <w:rFonts w:ascii="Times New Roman" w:hAnsi="Times New Roman" w:cs="Times New Roman"/>
          <w:sz w:val="24"/>
          <w:szCs w:val="24"/>
          <w:lang w:eastAsia="lv-LV"/>
        </w:rPr>
      </w:pPr>
      <w:r w:rsidRPr="000A0C95">
        <w:rPr>
          <w:rFonts w:ascii="Times New Roman" w:hAnsi="Times New Roman" w:cs="Times New Roman"/>
          <w:sz w:val="24"/>
          <w:szCs w:val="24"/>
        </w:rPr>
        <w:t xml:space="preserve">Projektā </w:t>
      </w:r>
      <w:r w:rsidRPr="000A0C95">
        <w:rPr>
          <w:rFonts w:ascii="Times New Roman" w:hAnsi="Times New Roman" w:cs="Times New Roman"/>
          <w:b/>
          <w:bCs/>
          <w:sz w:val="24"/>
          <w:szCs w:val="24"/>
        </w:rPr>
        <w:t>„Mežu biotopu atjaunošana Gaujas Nacionālajā parkā”</w:t>
      </w:r>
      <w:r w:rsidRPr="000A0C95">
        <w:rPr>
          <w:rFonts w:ascii="Times New Roman" w:hAnsi="Times New Roman" w:cs="Times New Roman"/>
          <w:sz w:val="24"/>
          <w:szCs w:val="24"/>
        </w:rPr>
        <w:t xml:space="preserve"> 2013.gadā tika īstenoti divi pieredzes apmaiņas braucieni uz Zviedrijas un Somijas aizsargājamām dabas teritorijām. Zviedrijā iegūta informācija un pieredze par apsaimniekošanas pasākumu īstenošanu vecos vai dabīgos boreālajos mežos un biotopos, kas piemēroti Lapkoku praulgrauzim (Osmoderma eremita). Savukārt Somijā iegūta pieredze par dabīgu hidroloģisko apstākļu atjaunošanas pasākumiem purvos un purvainajos mežos, kas tiek īstenoti aizberot un dambējot meliorācijas grāvjus, un metodiku kontrolētās dedzināšanas jomā.</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Projektā „</w:t>
      </w:r>
      <w:r w:rsidRPr="000A0C95">
        <w:rPr>
          <w:rFonts w:ascii="Times New Roman" w:hAnsi="Times New Roman" w:cs="Times New Roman"/>
          <w:b/>
          <w:bCs/>
          <w:sz w:val="24"/>
          <w:szCs w:val="24"/>
        </w:rPr>
        <w:t>Ķemeru Nacionālā parka hidroloģiskā režīma atjaunošana</w:t>
      </w:r>
      <w:r w:rsidRPr="000A0C95">
        <w:rPr>
          <w:rFonts w:ascii="Times New Roman" w:hAnsi="Times New Roman" w:cs="Times New Roman"/>
          <w:sz w:val="24"/>
          <w:szCs w:val="24"/>
        </w:rPr>
        <w:t>”</w:t>
      </w:r>
      <w:r w:rsidRPr="000A0C95">
        <w:rPr>
          <w:rFonts w:ascii="Times New Roman" w:hAnsi="Times New Roman" w:cs="Times New Roman"/>
          <w:b/>
          <w:bCs/>
          <w:sz w:val="24"/>
          <w:szCs w:val="24"/>
        </w:rPr>
        <w:t xml:space="preserve"> </w:t>
      </w:r>
      <w:r w:rsidRPr="000A0C95">
        <w:rPr>
          <w:rFonts w:ascii="Times New Roman" w:hAnsi="Times New Roman" w:cs="Times New Roman"/>
          <w:bCs/>
          <w:sz w:val="24"/>
          <w:szCs w:val="24"/>
        </w:rPr>
        <w:t>t</w:t>
      </w:r>
      <w:r w:rsidRPr="000A0C95">
        <w:rPr>
          <w:rFonts w:ascii="Times New Roman" w:hAnsi="Times New Roman" w:cs="Times New Roman"/>
          <w:sz w:val="24"/>
          <w:szCs w:val="24"/>
        </w:rPr>
        <w:t>urpinājās darbs pie projekta teritoriju hidroloģiskās atjaunošanas programmu</w:t>
      </w:r>
      <w:r w:rsidRPr="000A0C95">
        <w:rPr>
          <w:rFonts w:ascii="Times New Roman" w:hAnsi="Times New Roman" w:cs="Times New Roman"/>
          <w:b/>
          <w:bCs/>
          <w:sz w:val="24"/>
          <w:szCs w:val="24"/>
        </w:rPr>
        <w:t xml:space="preserve"> </w:t>
      </w:r>
      <w:r w:rsidRPr="000A0C95">
        <w:rPr>
          <w:rFonts w:ascii="Times New Roman" w:hAnsi="Times New Roman" w:cs="Times New Roman"/>
          <w:sz w:val="24"/>
          <w:szCs w:val="24"/>
        </w:rPr>
        <w:t>izstrādes. Veikta projekta teritoriju hidroģeoloģiskā modelēšana, kā arī</w:t>
      </w:r>
      <w:r w:rsidRPr="000A0C95">
        <w:rPr>
          <w:rFonts w:ascii="Times New Roman" w:hAnsi="Times New Roman" w:cs="Times New Roman"/>
          <w:b/>
          <w:bCs/>
          <w:sz w:val="24"/>
          <w:szCs w:val="24"/>
        </w:rPr>
        <w:t xml:space="preserve"> </w:t>
      </w:r>
      <w:r w:rsidRPr="000A0C95">
        <w:rPr>
          <w:rFonts w:ascii="Times New Roman" w:hAnsi="Times New Roman" w:cs="Times New Roman"/>
          <w:sz w:val="24"/>
          <w:szCs w:val="24"/>
        </w:rPr>
        <w:t>veikta iepirkuma procedūra jauna hidroloģiskās ekspertīzes pakalpojumu</w:t>
      </w:r>
      <w:r w:rsidRPr="000A0C95">
        <w:rPr>
          <w:rFonts w:ascii="Times New Roman" w:hAnsi="Times New Roman" w:cs="Times New Roman"/>
          <w:b/>
          <w:bCs/>
          <w:sz w:val="24"/>
          <w:szCs w:val="24"/>
        </w:rPr>
        <w:t xml:space="preserve"> </w:t>
      </w:r>
      <w:r w:rsidRPr="000A0C95">
        <w:rPr>
          <w:rFonts w:ascii="Times New Roman" w:hAnsi="Times New Roman" w:cs="Times New Roman"/>
          <w:sz w:val="24"/>
          <w:szCs w:val="24"/>
        </w:rPr>
        <w:t>sniedzēja piesaistīšanai. Pabeigti ES nozīmes biotopu izpētes darbi.</w:t>
      </w:r>
      <w:r w:rsidRPr="000A0C95">
        <w:rPr>
          <w:rFonts w:ascii="Times New Roman" w:hAnsi="Times New Roman" w:cs="Times New Roman"/>
          <w:b/>
          <w:bCs/>
          <w:sz w:val="24"/>
          <w:szCs w:val="24"/>
        </w:rPr>
        <w:t xml:space="preserve"> </w:t>
      </w:r>
      <w:r w:rsidRPr="000A0C95">
        <w:rPr>
          <w:rFonts w:ascii="Times New Roman" w:hAnsi="Times New Roman" w:cs="Times New Roman"/>
          <w:sz w:val="24"/>
          <w:szCs w:val="24"/>
        </w:rPr>
        <w:t>Engures un Tukuma novados veikta projekta un pieguļošo teritoriju</w:t>
      </w:r>
      <w:r w:rsidRPr="000A0C95">
        <w:rPr>
          <w:rFonts w:ascii="Times New Roman" w:hAnsi="Times New Roman" w:cs="Times New Roman"/>
          <w:b/>
          <w:bCs/>
          <w:sz w:val="24"/>
          <w:szCs w:val="24"/>
        </w:rPr>
        <w:t xml:space="preserve"> </w:t>
      </w:r>
      <w:r w:rsidRPr="000A0C95">
        <w:rPr>
          <w:rFonts w:ascii="Times New Roman" w:hAnsi="Times New Roman" w:cs="Times New Roman"/>
          <w:sz w:val="24"/>
          <w:szCs w:val="24"/>
        </w:rPr>
        <w:t>iemērīšana. Noticis pieredzes apmaiņas brauciens</w:t>
      </w:r>
      <w:r w:rsidRPr="000A0C95">
        <w:rPr>
          <w:rFonts w:ascii="Times New Roman" w:hAnsi="Times New Roman" w:cs="Times New Roman"/>
          <w:b/>
          <w:bCs/>
          <w:sz w:val="24"/>
          <w:szCs w:val="24"/>
        </w:rPr>
        <w:t xml:space="preserve"> </w:t>
      </w:r>
      <w:r w:rsidRPr="000A0C95">
        <w:rPr>
          <w:rFonts w:ascii="Times New Roman" w:hAnsi="Times New Roman" w:cs="Times New Roman"/>
          <w:sz w:val="24"/>
          <w:szCs w:val="24"/>
        </w:rPr>
        <w:t xml:space="preserve">uz Vācijas un Beļģijas mitrāju atjaunošanas vietām. </w:t>
      </w:r>
    </w:p>
    <w:p w:rsidR="00FD48DF" w:rsidRPr="000A0C95" w:rsidRDefault="00FD48DF" w:rsidP="00FD48DF">
      <w:pPr>
        <w:spacing w:before="120" w:after="0" w:line="240" w:lineRule="auto"/>
        <w:jc w:val="both"/>
        <w:rPr>
          <w:rFonts w:ascii="Times New Roman" w:hAnsi="Times New Roman" w:cs="Times New Roman"/>
          <w:bCs/>
          <w:sz w:val="24"/>
          <w:szCs w:val="24"/>
        </w:rPr>
      </w:pPr>
      <w:r w:rsidRPr="000A0C95">
        <w:rPr>
          <w:rFonts w:ascii="Times New Roman" w:hAnsi="Times New Roman" w:cs="Times New Roman"/>
          <w:sz w:val="24"/>
          <w:szCs w:val="24"/>
        </w:rPr>
        <w:t>Projektā</w:t>
      </w:r>
      <w:r w:rsidRPr="000A0C95">
        <w:rPr>
          <w:rFonts w:ascii="Times New Roman" w:hAnsi="Times New Roman" w:cs="Times New Roman"/>
          <w:b/>
          <w:bCs/>
          <w:sz w:val="24"/>
          <w:szCs w:val="24"/>
        </w:rPr>
        <w:t xml:space="preserve"> „Natura 2000 teritoriju nacionālā aizsardzības un apsaimniekošanas programma (NAT-PROGRAMME)” </w:t>
      </w:r>
      <w:r w:rsidRPr="000A0C95">
        <w:rPr>
          <w:rFonts w:ascii="Times New Roman" w:hAnsi="Times New Roman" w:cs="Times New Roman"/>
          <w:bCs/>
          <w:sz w:val="24"/>
          <w:szCs w:val="24"/>
        </w:rPr>
        <w:t xml:space="preserve">uzsākts darbs pie grāmatas par </w:t>
      </w:r>
      <w:r w:rsidRPr="000A0C95">
        <w:rPr>
          <w:rFonts w:ascii="Times New Roman" w:hAnsi="Times New Roman" w:cs="Times New Roman"/>
          <w:sz w:val="24"/>
          <w:szCs w:val="24"/>
        </w:rPr>
        <w:t>biotopu apsaimniekošanu un Natura 2000 teritoriju aizsardzības programmu Latvijā veidošanas. Grāmatas publicēšana plānota 2016. gadā.</w:t>
      </w:r>
    </w:p>
    <w:p w:rsidR="00FD48DF" w:rsidRPr="000A0C95" w:rsidRDefault="00FD48DF" w:rsidP="005C550F">
      <w:pPr>
        <w:spacing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NAT-PROGRAMME ekspertu komanda veica apjomīgu darbu, izstrādājot stratēģisko plānošanas dokumentu „Prioritāro aizsardzības pasākumu programma Natura 2000 teritorijām </w:t>
      </w:r>
      <w:r w:rsidRPr="000A0C95">
        <w:rPr>
          <w:rFonts w:ascii="Times New Roman" w:hAnsi="Times New Roman" w:cs="Times New Roman"/>
          <w:sz w:val="24"/>
          <w:szCs w:val="24"/>
        </w:rPr>
        <w:lastRenderedPageBreak/>
        <w:t xml:space="preserve">Latvijā” (Priority Action Framework for Latvia 2014- 2020), kas nosaka gan prioritāros dabas aizsardzības virzienus, gan konkrētus biotopu atjaunošanas, aizsardzības pasākumus, kā arī citas prioritātes nākamajam finanšu plānošanas periodam. Tika noorganizēti 3 semināri, piesaistot nozares ekspertus. </w:t>
      </w:r>
    </w:p>
    <w:p w:rsidR="00FD48DF" w:rsidRPr="000A0C95" w:rsidRDefault="00FD48DF" w:rsidP="005C550F">
      <w:pPr>
        <w:spacing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2013. gadā ir apkopoti pieejamie dati par NATURA 2000 teritorijās un biotopos veiktajiem apsaimniekošanas un aizsardzības pasākumiem, uzsākts to ietekmes uz biotopu aizsardzību izvērtējums, apmeklētas vairāk kā 95 Natura 2000 teritorijas un noorganizēti 3 reģionālie semināri, tiekoties ar Plānošanas reģionu speciālistiem, iedzīvotājiem, valsts, pašvaldību darbiniekiem, nevalstisko organizāciju un uzņēmēju pārstāvjiem, un citiem interesentiem.</w:t>
      </w:r>
    </w:p>
    <w:p w:rsidR="00FD48DF" w:rsidRPr="000A0C95" w:rsidRDefault="00FD48DF" w:rsidP="005C550F">
      <w:pPr>
        <w:spacing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Biotopu apsaimniekošanas vadlīniju izstrāde ietver arī kāpu, mežu, zālāju, purvu, saldūdeņu, kā arī alu un atsegumu biotopu eksperimentālo apsaimniekošanas metožu izstrādi. Ir uzsākta monitoringa metožu izstrāde, veikts biotopu sākotnējā stāvokļa novērtējums un eksperimentālo pasākumu realizācija. 2013. gadā eksperimentālo metožu testēšana notikusi Mūsas un Salacas upēs, savukārt Gaujas, Ķemeru, Rāznas un Slīteres nacionālajos parkos izmēģinātas zālāju, mežu un purvu biotopu apsaimniekošanas metodes, kuru ietekme jānovērtē projekta darbības laikā.</w:t>
      </w:r>
    </w:p>
    <w:p w:rsidR="00FD48DF" w:rsidRPr="000A0C95" w:rsidRDefault="00FD48DF" w:rsidP="005C550F">
      <w:pPr>
        <w:spacing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Lai apsaimniekotājiem pašiem dotu iespēju noteikt biotopa kvalitāti un iespējamās apsaimniekošanas vajadzības, projekta eksperti izstrādājuši visu biotopu grupu stāvokļa kvalitātes novērtēšanas atslēgu (indikatorus).</w:t>
      </w:r>
    </w:p>
    <w:p w:rsidR="00FD48DF" w:rsidRPr="000A0C95" w:rsidRDefault="00FD48DF" w:rsidP="005C550F">
      <w:pPr>
        <w:spacing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Ar nolūku atvieglot dabas vērtību uzskaiti, ir iegādāti GPS aparāti, datori un ESRI datoru licences, un 2 apmācību semināros projekta eksperti un Dabas aizsardzības pārvaldes darbinieki apmācīti datu attālinātai ievadei nacionālajā dabas datu pārvaldības sistēmā „Ozols”. Sagatavots zālāju, virsāju un krūmāju biotopu datu slānis.</w:t>
      </w:r>
    </w:p>
    <w:p w:rsidR="00FD48DF" w:rsidRPr="000A0C95" w:rsidRDefault="00FD48DF" w:rsidP="005C550F">
      <w:pPr>
        <w:spacing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Izveidotas 5 biotopu darba grupas, kas semināros uzsākušas viedokļu apmaiņu, diskusijas par dažādiem ar biotopu aizsardzību un apsaimniekošanu saistītiem pasākumiem, tajās iesaistot gan starpnozaru speciālistus, gan meklējot saskares punktus dažādu normatīvo aktu un interešu robežās. Projekta dažādās aktivitātes, semināru norises, diskusiju rezultāti, problēmsituācijas, viedokļi un dokumentu projekti ir plaši atspoguļoti interneta vietnē (</w:t>
      </w:r>
      <w:r w:rsidRPr="005C550F">
        <w:rPr>
          <w:rFonts w:ascii="Times New Roman" w:hAnsi="Times New Roman" w:cs="Times New Roman"/>
          <w:sz w:val="24"/>
          <w:szCs w:val="24"/>
        </w:rPr>
        <w:t>http://www.daba.gov.lv/public/lat/projekti/life_nature1/nat_programme/</w:t>
      </w:r>
      <w:r w:rsidRPr="000A0C95">
        <w:rPr>
          <w:rFonts w:ascii="Times New Roman" w:hAnsi="Times New Roman" w:cs="Times New Roman"/>
          <w:sz w:val="24"/>
          <w:szCs w:val="24"/>
        </w:rPr>
        <w:t xml:space="preserve">). </w:t>
      </w:r>
    </w:p>
    <w:p w:rsidR="00FD48DF" w:rsidRPr="000A0C95" w:rsidRDefault="00FD48DF" w:rsidP="005C550F">
      <w:pPr>
        <w:spacing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Lai iepazītos gan ar veiksmīgu pieredzi, gan pieļautajām kļūdām biotopu aizsardzības un apsaimniekošanas jomā, noorganizēti pieredzes apmaiņas braucieni uz citu valstu dabas aizsardzības nozares organizācijām Igaunijā, Somijā, Polijā un Austrijā.</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Projektā</w:t>
      </w:r>
      <w:r w:rsidRPr="000A0C95">
        <w:rPr>
          <w:rFonts w:ascii="Times New Roman" w:hAnsi="Times New Roman" w:cs="Times New Roman"/>
          <w:b/>
          <w:bCs/>
          <w:sz w:val="24"/>
          <w:szCs w:val="24"/>
        </w:rPr>
        <w:t xml:space="preserve"> „Fenoskandijas parkveida pļavu (6530*) un divu prioritāru vaboļu sugu apsaimniekošana: plānošana, sabiedrības iesaistīšana, inovācija” </w:t>
      </w:r>
      <w:r w:rsidRPr="000A0C95">
        <w:rPr>
          <w:rFonts w:ascii="Times New Roman" w:hAnsi="Times New Roman" w:cs="Times New Roman"/>
          <w:sz w:val="24"/>
          <w:szCs w:val="24"/>
        </w:rPr>
        <w:t xml:space="preserve">noorganizēta skolnieku kampaņa - radošo darbu konkurss un aktivitātes dabā, kopā kampaņas dalībnieku skaits – 254 skolnieki no 13 skolām. Izgatavota stacionārā ekspozīcija „Dzīvība kokā” Slīteres Nacionālā parka dabas izglītības centrā. Noorganizētas praktiskās inspektoru apmācības </w:t>
      </w:r>
      <w:r w:rsidRPr="000A0C95">
        <w:rPr>
          <w:rFonts w:ascii="Times New Roman" w:hAnsi="Times New Roman" w:cs="Times New Roman"/>
          <w:color w:val="000000"/>
          <w:sz w:val="24"/>
          <w:szCs w:val="24"/>
        </w:rPr>
        <w:t>dažādas kvalitātes, aizaugšanas stadiju, atjaunošanas un uzturēšanas pakāpju parkveida pļavu un meža ganību atpazīšanā, kartēšanā, kā arī nemeža zemēs augošo koku novērtēšanā</w:t>
      </w:r>
      <w:r w:rsidRPr="000A0C95">
        <w:rPr>
          <w:rFonts w:ascii="Times New Roman" w:hAnsi="Times New Roman" w:cs="Times New Roman"/>
          <w:sz w:val="24"/>
          <w:szCs w:val="24"/>
        </w:rPr>
        <w:t xml:space="preserve">. Pabeigtas divas stacionārās izstādes, kas novietotas dabas izglītības centros Rāznas Nacionālajā parkā un Gaujas Nacionālajā parkā. Izgatavoti 3 informācijas stendi īpaši aizsargājamās dabas teritorijās Slīteres Nacionālais parks, Gaujas Nacionālais parks un dabas liegums „Eglone”. </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Projektā</w:t>
      </w:r>
      <w:r w:rsidRPr="000A0C95">
        <w:rPr>
          <w:rFonts w:ascii="Times New Roman" w:hAnsi="Times New Roman" w:cs="Times New Roman"/>
          <w:b/>
          <w:bCs/>
          <w:sz w:val="24"/>
          <w:szCs w:val="24"/>
        </w:rPr>
        <w:t xml:space="preserve"> „Inovatīvas pieejas jūras bioloģiskās daudzveidības monitoringam un Baltijas jūras dabas vērtību aizsardzības statusa novērtējums” </w:t>
      </w:r>
      <w:r w:rsidRPr="000A0C95">
        <w:rPr>
          <w:rFonts w:ascii="Times New Roman" w:hAnsi="Times New Roman" w:cs="Times New Roman"/>
          <w:sz w:val="24"/>
          <w:szCs w:val="24"/>
        </w:rPr>
        <w:t xml:space="preserve">noorganizēta konference Baltijas jūras projekta skolām ar kopējo dalībnieku skaitu – 80 skolnieki. Notikuši praktiskie apmācību semināri Dabas aizsardzības pārvaldes inspektoriem Salacgrīvā par jūras bioloģiskās daudzveidības monitoringa metodēm un Saulkrastos par izskaloto aļģu monitoringa metodēm. </w:t>
      </w:r>
      <w:r w:rsidRPr="000A0C95">
        <w:rPr>
          <w:rFonts w:ascii="Times New Roman" w:hAnsi="Times New Roman" w:cs="Times New Roman"/>
          <w:sz w:val="24"/>
          <w:szCs w:val="24"/>
        </w:rPr>
        <w:lastRenderedPageBreak/>
        <w:t>Veikta Latvijas Republikas jūras bioloģisko daudzveidību ietekmējošo politikas dokumentu analīze un sākts darbs pie rekomendāciju izstrādes laba jūras ekoloģiskā stāvokļa veicināšanai.</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Projektā </w:t>
      </w:r>
      <w:r w:rsidRPr="000A0C95">
        <w:rPr>
          <w:rFonts w:ascii="Times New Roman" w:hAnsi="Times New Roman" w:cs="Times New Roman"/>
          <w:b/>
          <w:bCs/>
          <w:sz w:val="24"/>
          <w:szCs w:val="24"/>
        </w:rPr>
        <w:t>„Reto rāpuļu un abinieku aizsardzība Latvijā”</w:t>
      </w:r>
      <w:r w:rsidRPr="000A0C95">
        <w:rPr>
          <w:rFonts w:ascii="Times New Roman" w:hAnsi="Times New Roman" w:cs="Times New Roman"/>
          <w:sz w:val="24"/>
          <w:szCs w:val="24"/>
        </w:rPr>
        <w:t xml:space="preserve"> 2013. gadā sagatavoti priekšlikumi divu jaunu mikroliegumu – Natura 2000 vietu izveidei sarkanvēdera ugunskrupja </w:t>
      </w:r>
      <w:r w:rsidRPr="000A0C95">
        <w:rPr>
          <w:rFonts w:ascii="Times New Roman" w:hAnsi="Times New Roman" w:cs="Times New Roman"/>
          <w:i/>
          <w:sz w:val="24"/>
          <w:szCs w:val="24"/>
        </w:rPr>
        <w:t>Bombina bombina</w:t>
      </w:r>
      <w:r w:rsidRPr="000A0C95">
        <w:rPr>
          <w:rFonts w:ascii="Times New Roman" w:hAnsi="Times New Roman" w:cs="Times New Roman"/>
          <w:sz w:val="24"/>
          <w:szCs w:val="24"/>
        </w:rPr>
        <w:t xml:space="preserve"> dzīvotņu aizsardzībai. </w:t>
      </w:r>
    </w:p>
    <w:p w:rsidR="007E36B5" w:rsidRPr="000A0C95" w:rsidRDefault="007E36B5" w:rsidP="00FD48DF">
      <w:pPr>
        <w:spacing w:before="120" w:after="0" w:line="240" w:lineRule="auto"/>
        <w:jc w:val="both"/>
        <w:rPr>
          <w:rFonts w:ascii="Times New Roman" w:hAnsi="Times New Roman" w:cs="Times New Roman"/>
          <w:sz w:val="24"/>
          <w:szCs w:val="24"/>
        </w:rPr>
      </w:pPr>
    </w:p>
    <w:bookmarkEnd w:id="40"/>
    <w:bookmarkEnd w:id="41"/>
    <w:bookmarkEnd w:id="42"/>
    <w:bookmarkEnd w:id="43"/>
    <w:bookmarkEnd w:id="44"/>
    <w:bookmarkEnd w:id="45"/>
    <w:bookmarkEnd w:id="46"/>
    <w:bookmarkEnd w:id="47"/>
    <w:bookmarkEnd w:id="48"/>
    <w:bookmarkEnd w:id="49"/>
    <w:bookmarkEnd w:id="50"/>
    <w:bookmarkEnd w:id="51"/>
    <w:p w:rsidR="00FD48DF" w:rsidRPr="000A0C95" w:rsidRDefault="00FD48DF" w:rsidP="00FD48DF">
      <w:pPr>
        <w:spacing w:before="120" w:after="0" w:line="240" w:lineRule="auto"/>
        <w:jc w:val="both"/>
        <w:rPr>
          <w:rFonts w:ascii="Times New Roman" w:hAnsi="Times New Roman" w:cs="Times New Roman"/>
          <w:b/>
          <w:color w:val="0070C0"/>
          <w:sz w:val="24"/>
          <w:szCs w:val="24"/>
        </w:rPr>
      </w:pPr>
      <w:r w:rsidRPr="000A0C95">
        <w:rPr>
          <w:rFonts w:ascii="Times New Roman" w:hAnsi="Times New Roman" w:cs="Times New Roman"/>
          <w:b/>
          <w:color w:val="0070C0"/>
          <w:sz w:val="24"/>
          <w:szCs w:val="24"/>
        </w:rPr>
        <w:t>ES struktūrfondu 3. mērķa „Eiropas teritoriālā sadarbība” 2007. - 2013. gadam Eiropas teritoriālās sadarbības programma</w:t>
      </w:r>
    </w:p>
    <w:p w:rsidR="00FD48DF" w:rsidRPr="000A0C95" w:rsidRDefault="00FD48DF" w:rsidP="00FD48DF">
      <w:pPr>
        <w:spacing w:before="120" w:after="0" w:line="240" w:lineRule="auto"/>
        <w:jc w:val="both"/>
        <w:rPr>
          <w:rFonts w:ascii="Times New Roman" w:hAnsi="Times New Roman" w:cs="Times New Roman"/>
          <w:bCs/>
          <w:color w:val="000000"/>
          <w:sz w:val="24"/>
          <w:szCs w:val="24"/>
          <w:lang w:eastAsia="lv-LV"/>
        </w:rPr>
      </w:pPr>
      <w:r w:rsidRPr="000A0C95">
        <w:rPr>
          <w:rFonts w:ascii="Times New Roman" w:hAnsi="Times New Roman" w:cs="Times New Roman"/>
          <w:bCs/>
          <w:color w:val="000000"/>
          <w:sz w:val="24"/>
          <w:szCs w:val="24"/>
          <w:lang w:eastAsia="lv-LV"/>
        </w:rPr>
        <w:t>2013.gadā projektu īstenošanā ieguldīti 0,59 milj</w:t>
      </w:r>
      <w:smartTag w:uri="schemas-tilde-lv/tildestengine" w:element="currency2">
        <w:smartTagPr>
          <w:attr w:name="currency_id" w:val="48"/>
          <w:attr w:name="currency_key" w:val="LVL"/>
          <w:attr w:name="currency_value" w:val="."/>
          <w:attr w:name="currency_text" w:val="latu"/>
        </w:smartTagPr>
        <w:r w:rsidRPr="000A0C95">
          <w:rPr>
            <w:rFonts w:ascii="Times New Roman" w:hAnsi="Times New Roman" w:cs="Times New Roman"/>
            <w:bCs/>
            <w:color w:val="000000"/>
            <w:sz w:val="24"/>
            <w:szCs w:val="24"/>
            <w:lang w:eastAsia="lv-LV"/>
          </w:rPr>
          <w:t>. latu</w:t>
        </w:r>
      </w:smartTag>
      <w:r w:rsidRPr="000A0C95">
        <w:rPr>
          <w:rFonts w:ascii="Times New Roman" w:hAnsi="Times New Roman" w:cs="Times New Roman"/>
          <w:bCs/>
          <w:color w:val="000000"/>
          <w:sz w:val="24"/>
          <w:szCs w:val="24"/>
          <w:lang w:eastAsia="lv-LV"/>
        </w:rPr>
        <w:t xml:space="preserve">, no kuriem ERAF līdzfinansējums </w:t>
      </w:r>
      <w:r w:rsidRPr="000A0C95">
        <w:rPr>
          <w:rFonts w:ascii="Times New Roman" w:hAnsi="Times New Roman" w:cs="Times New Roman"/>
          <w:sz w:val="24"/>
          <w:szCs w:val="24"/>
        </w:rPr>
        <w:t xml:space="preserve">– </w:t>
      </w:r>
      <w:r w:rsidRPr="000A0C95">
        <w:rPr>
          <w:rFonts w:ascii="Times New Roman" w:hAnsi="Times New Roman" w:cs="Times New Roman"/>
          <w:bCs/>
          <w:color w:val="000000"/>
          <w:sz w:val="24"/>
          <w:szCs w:val="24"/>
          <w:lang w:eastAsia="lv-LV"/>
        </w:rPr>
        <w:t xml:space="preserve">0,47 milj. latu un valsts budžeta finansējums ir 0,12 milj. latu. </w:t>
      </w:r>
      <w:bookmarkEnd w:id="24"/>
      <w:bookmarkEnd w:id="25"/>
    </w:p>
    <w:p w:rsidR="00FD48DF" w:rsidRPr="000A0C95" w:rsidRDefault="00FD48DF" w:rsidP="00FD48DF">
      <w:pPr>
        <w:tabs>
          <w:tab w:val="left" w:pos="0"/>
          <w:tab w:val="left" w:pos="709"/>
        </w:tabs>
        <w:spacing w:before="120" w:after="0" w:line="240" w:lineRule="auto"/>
        <w:jc w:val="both"/>
        <w:rPr>
          <w:rFonts w:ascii="Times New Roman" w:hAnsi="Times New Roman" w:cs="Times New Roman"/>
          <w:sz w:val="24"/>
          <w:szCs w:val="24"/>
        </w:rPr>
      </w:pPr>
      <w:r w:rsidRPr="000A0C95">
        <w:rPr>
          <w:rFonts w:ascii="Times New Roman" w:hAnsi="Times New Roman" w:cs="Times New Roman"/>
          <w:bCs/>
          <w:sz w:val="24"/>
          <w:szCs w:val="24"/>
        </w:rPr>
        <w:t>Eiropas kaimiņattiecību un partnerības instrumenta Eiropas teritoriālās sadarbības programmas</w:t>
      </w:r>
      <w:r w:rsidRPr="000A0C95">
        <w:rPr>
          <w:rFonts w:ascii="Times New Roman" w:hAnsi="Times New Roman" w:cs="Times New Roman"/>
          <w:sz w:val="24"/>
          <w:szCs w:val="24"/>
        </w:rPr>
        <w:t xml:space="preserve"> 2007. – 2013. gadam L</w:t>
      </w:r>
      <w:r w:rsidRPr="000A0C95">
        <w:rPr>
          <w:rFonts w:ascii="Times New Roman" w:hAnsi="Times New Roman" w:cs="Times New Roman"/>
          <w:bCs/>
          <w:sz w:val="24"/>
          <w:szCs w:val="24"/>
        </w:rPr>
        <w:t xml:space="preserve">atvijas, Igaunijas un Krievijas pārrobežu sadarbības programmas </w:t>
      </w:r>
      <w:r w:rsidRPr="000A0C95">
        <w:rPr>
          <w:rFonts w:ascii="Times New Roman" w:hAnsi="Times New Roman" w:cs="Times New Roman"/>
          <w:sz w:val="24"/>
          <w:szCs w:val="24"/>
        </w:rPr>
        <w:t xml:space="preserve">projektā </w:t>
      </w:r>
      <w:r w:rsidRPr="000A0C95">
        <w:rPr>
          <w:rFonts w:ascii="Times New Roman" w:hAnsi="Times New Roman" w:cs="Times New Roman"/>
          <w:b/>
          <w:sz w:val="24"/>
          <w:szCs w:val="24"/>
        </w:rPr>
        <w:t>„Dabas izglītības sekmēšana – efektīvs līdzeklis sabiedrības dabas apziņas veidošanai (People with Nature)”</w:t>
      </w:r>
      <w:r w:rsidRPr="000A0C95">
        <w:rPr>
          <w:rFonts w:ascii="Times New Roman" w:hAnsi="Times New Roman" w:cs="Times New Roman"/>
          <w:sz w:val="24"/>
          <w:szCs w:val="24"/>
        </w:rPr>
        <w:t xml:space="preserve"> izveidoti un atklāti 4 dabas izglītības centri, nodrošinot daudzveidīgas dabas izglītības iespējas; izdoti 4 bukleti par jaunizveidotajiem dabas izglītības centriem un to piedāvājumu; izveidots sajūtu laukums pie DIC „Rāzna” un mācību taka DIC „Vecupītes” tuvumā; izveidotas 3 izstādes ar interaktīviem elementiem, 3 lielizmēra maketi ar nacionālo parku teritorijām un sagatavotas 8 jaunas nodarbību programmas. Iesaistot dažādas mērķauditorijas, noorganizētas un novadītas - 17 mācību dienas un 6 bioloģiskās daudzveidības dienas, kopā 1175 dalībniekiem. Noorganizēts pieredzes apmaiņas brauciens uz Pleskavas apgabala aizsargājamām teritorijām un vides izglītības centriem, apmācību semināros apmācīti 67 cilvēki. </w:t>
      </w:r>
    </w:p>
    <w:p w:rsidR="00FD48DF" w:rsidRPr="000A0C95" w:rsidRDefault="00FD48DF" w:rsidP="00FD48DF">
      <w:pPr>
        <w:tabs>
          <w:tab w:val="left" w:pos="0"/>
          <w:tab w:val="left" w:pos="709"/>
        </w:tabs>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2013.gadā turpināta Latvijas un Lietuvas pārrobežu sadarbības programmas projekta</w:t>
      </w:r>
      <w:r w:rsidRPr="000A0C95">
        <w:rPr>
          <w:rFonts w:ascii="Times New Roman" w:hAnsi="Times New Roman" w:cs="Times New Roman"/>
          <w:b/>
          <w:bCs/>
          <w:sz w:val="24"/>
          <w:szCs w:val="24"/>
        </w:rPr>
        <w:t xml:space="preserve"> „</w:t>
      </w:r>
      <w:r w:rsidRPr="000A0C95">
        <w:rPr>
          <w:rFonts w:ascii="Times New Roman" w:hAnsi="Times New Roman" w:cs="Times New Roman"/>
          <w:b/>
          <w:sz w:val="24"/>
          <w:szCs w:val="24"/>
        </w:rPr>
        <w:t>Īpaši aizsargājamo dabas teritoriju Zemgalē un Ziemeļlietuvā apsaimniekošanas uzlabošana, radot ilgtspējīgu pamatu dabas teritoriju saudzīgai izmantošanai un dabas vērtību saglabāšanai”</w:t>
      </w:r>
      <w:r w:rsidRPr="000A0C95">
        <w:rPr>
          <w:rFonts w:ascii="Times New Roman" w:hAnsi="Times New Roman" w:cs="Times New Roman"/>
          <w:sz w:val="24"/>
          <w:szCs w:val="24"/>
        </w:rPr>
        <w:t xml:space="preserve"> īstenošana. Pilotprojektā „Dabas parka „Daugavas ieleja” dabas aizsardzības plāna sagatavošana un integrēšana teritorijas plānojumā” noorganizēti 3 semināri, kuros par dabas aizsardzības plānu izstrādes un integrēšanas teritorijas plānojumā problemātiku notikusi pieredzes apmaiņa un disk</w:t>
      </w:r>
      <w:bookmarkStart w:id="52" w:name="_GoBack"/>
      <w:bookmarkEnd w:id="52"/>
      <w:r w:rsidRPr="000A0C95">
        <w:rPr>
          <w:rFonts w:ascii="Times New Roman" w:hAnsi="Times New Roman" w:cs="Times New Roman"/>
          <w:sz w:val="24"/>
          <w:szCs w:val="24"/>
        </w:rPr>
        <w:t>usijas pašvaldību plānošanas speciālistu, dabas aizsardzības un teritorijas plānojumu izstrādātāju, ar plānošanas procesu uzraudzību saistīto valsts institūciju starpā. Notikusi paralēla dabas parka „Daugavas ieleja” dabas aizsardzības plāna un Aizkraukles novada attīstības plānošanas dokumentu: ilgtspējīgas attīstības stratēģijas, attīstības programmas un teritorijas plānojuma izstrāde, izmēģinot jaunas pieejas dabas aizsardzības plāna integrēšanai pašvaldības attīstības plānošanā. Notikušas 5 darba grupas sanāksmes un pieredzes apmaiņas ar Lietuvas plānošanas speciālistiem sanāksme, apspriežot plānu izstrādes un integrācijas jautājumus.</w:t>
      </w:r>
    </w:p>
    <w:p w:rsidR="00FD48DF" w:rsidRPr="000A0C95" w:rsidRDefault="00FD48DF" w:rsidP="005C550F">
      <w:pPr>
        <w:spacing w:after="0" w:line="240" w:lineRule="auto"/>
        <w:jc w:val="both"/>
        <w:rPr>
          <w:rFonts w:ascii="Times New Roman" w:hAnsi="Times New Roman" w:cs="Times New Roman"/>
          <w:sz w:val="24"/>
          <w:szCs w:val="24"/>
        </w:rPr>
      </w:pPr>
      <w:r w:rsidRPr="000A0C95">
        <w:rPr>
          <w:rFonts w:ascii="Times New Roman" w:hAnsi="Times New Roman" w:cs="Times New Roman"/>
          <w:color w:val="000000"/>
          <w:sz w:val="24"/>
          <w:szCs w:val="24"/>
        </w:rPr>
        <w:t>Lai cilvēki iepazītos ar Sabiedriskā monitoringa programmas būtību, nepieciešamību, Zemgales reģionā tika novadīti 20 semināri, kuros piedalījās vairāk nekā 450 cilvēki. Mērķgrupas – skolēni, strādājošie un pensionāri. Esam saņēmuši 210 novērojuma protokolus. Vislielākā atsaucība bija dižkoku un balto stārķu izpētē. Tika atklātas divas jaunas Lapkoku praulgrauža atradnes Rundāles novadā.</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2013. gadā noslēdzies Latvijas un Igaunijas pārrobežu sadarbības programmas projekts </w:t>
      </w:r>
      <w:r w:rsidRPr="000A0C95">
        <w:rPr>
          <w:rFonts w:ascii="Times New Roman" w:hAnsi="Times New Roman" w:cs="Times New Roman"/>
          <w:b/>
          <w:sz w:val="24"/>
          <w:szCs w:val="24"/>
        </w:rPr>
        <w:t xml:space="preserve">„Saskaņota dabas teritoriju apsaimniekošana Igaunijas un Latvijas pierobežā”. </w:t>
      </w:r>
      <w:r w:rsidRPr="000A0C95">
        <w:rPr>
          <w:rFonts w:ascii="Times New Roman" w:hAnsi="Times New Roman" w:cs="Times New Roman"/>
          <w:sz w:val="24"/>
          <w:szCs w:val="24"/>
        </w:rPr>
        <w:t xml:space="preserve">Pārskata periodā projektā pabeigta plānotā aizsargājamo sugu un biotopu inventarizācija projekta </w:t>
      </w:r>
      <w:r w:rsidRPr="000A0C95">
        <w:rPr>
          <w:rFonts w:ascii="Times New Roman" w:hAnsi="Times New Roman" w:cs="Times New Roman"/>
          <w:sz w:val="24"/>
          <w:szCs w:val="24"/>
        </w:rPr>
        <w:lastRenderedPageBreak/>
        <w:t xml:space="preserve">teritorijā. Izveidota partneru kopējā datu bāze par aizsargājamām sugām un biotopiem teritorijā, atbilstoša informācija elektroniskā formātā nodota arī VAS „Latvijas Valsts meži” un Valsts Mežu dienestam. Noorganizēti 5 praktiskie semināri par straujteču atjaunošanu un parkveida ainavas veidošanu, 2 semināri koku aizsardzībai no bebriem, kopā aizsargājot 138 vērtīgos kokus, 1 seminārs ozolu biokoku apsaimniekošanai. Notikuši 6 semināri par sabiedrisko monitoringu. 2 semināros pašvaldības un speciālisti iepazīstināti ar aizsargājamo sugu un biotopu inventarizācijas rezultātiem. Veikta upju straujteču biotopu atjaunošana 4,7 km garumā (Gaujā un Vecpalsā). Atjaunoti aizsargājami zālāju biotopi aizsargājamā ainavu apvidū (turpmāk tekstā – AAA) „Ziemeļgauja” 11,1 ha un AAA „Veclaicene” 6,9 ha. Publicēts buklets par inventarizācijas rezultātiem latviešu valodā 500 eksemplāros, kā arī buklets par visa projekta rezultātiem latviešu, angļu un igauņu valodās 1000 eksemplāros, izdota sabiedriskā monitoringa avīze latviešu un angļu valodās (500+50 ex). Noorganizēts pieredzes apmaiņas brauciens uz Francijas-Vācijas pārrobežu biosfēras rezervātu. Izstrādātas rekomendācijas saskaņotai dabas vērtību apsaimniekošanai, kas prezentētas Salacgrīvā, NVO forumā, kā arī seminārā Alūksnē. Noorganizēti 3 projekta rezultātu novērtēšanas semināri interesentiem. </w:t>
      </w:r>
    </w:p>
    <w:p w:rsidR="00FD48DF" w:rsidRPr="000A0C95" w:rsidRDefault="00FD48DF" w:rsidP="00FD48DF">
      <w:pPr>
        <w:spacing w:before="120" w:after="0" w:line="240" w:lineRule="auto"/>
        <w:jc w:val="both"/>
        <w:rPr>
          <w:rFonts w:ascii="Times New Roman" w:hAnsi="Times New Roman" w:cs="Times New Roman"/>
          <w:bCs/>
          <w:sz w:val="24"/>
          <w:szCs w:val="24"/>
        </w:rPr>
      </w:pPr>
      <w:r w:rsidRPr="000A0C95">
        <w:rPr>
          <w:rFonts w:ascii="Times New Roman" w:hAnsi="Times New Roman" w:cs="Times New Roman"/>
          <w:sz w:val="24"/>
          <w:szCs w:val="24"/>
        </w:rPr>
        <w:t xml:space="preserve">2013. gada jūlijā uzsākta </w:t>
      </w:r>
      <w:r w:rsidRPr="000A0C95">
        <w:rPr>
          <w:rFonts w:ascii="Times New Roman" w:hAnsi="Times New Roman" w:cs="Times New Roman"/>
          <w:bCs/>
          <w:sz w:val="24"/>
          <w:szCs w:val="24"/>
        </w:rPr>
        <w:t>Eiropas kaimiņattiecību un partnerības instrumenta Pārrobežu sadarbības programmas 2007-2013.gadam Latvijas, Lietuvas un Baltkrievijas pārrobežu sadarbības programmas projekta</w:t>
      </w:r>
      <w:r w:rsidRPr="000A0C95">
        <w:rPr>
          <w:rFonts w:ascii="Times New Roman" w:hAnsi="Times New Roman" w:cs="Times New Roman"/>
          <w:b/>
          <w:bCs/>
          <w:sz w:val="24"/>
          <w:szCs w:val="24"/>
        </w:rPr>
        <w:t xml:space="preserve"> „Pārrobežu aizsargājamās dabas teritorijas “Augšdaugava-Braslavas ezeri” izveide un priekšnoteikumu radīšana tās integrētai pārvaldībai” </w:t>
      </w:r>
      <w:r w:rsidRPr="000A0C95">
        <w:rPr>
          <w:rFonts w:ascii="Times New Roman" w:hAnsi="Times New Roman" w:cs="Times New Roman"/>
          <w:bCs/>
          <w:sz w:val="24"/>
          <w:szCs w:val="24"/>
        </w:rPr>
        <w:t>īstenošana.</w:t>
      </w:r>
    </w:p>
    <w:p w:rsidR="00FD48DF" w:rsidRPr="000A0C95" w:rsidRDefault="00FD48DF" w:rsidP="005C550F">
      <w:pPr>
        <w:spacing w:after="0" w:line="240" w:lineRule="auto"/>
        <w:jc w:val="both"/>
        <w:rPr>
          <w:rFonts w:ascii="Times New Roman" w:hAnsi="Times New Roman" w:cs="Times New Roman"/>
          <w:b/>
          <w:bCs/>
          <w:sz w:val="24"/>
          <w:szCs w:val="24"/>
        </w:rPr>
      </w:pPr>
      <w:r w:rsidRPr="000A0C95">
        <w:rPr>
          <w:rFonts w:ascii="Times New Roman" w:hAnsi="Times New Roman" w:cs="Times New Roman"/>
          <w:bCs/>
          <w:sz w:val="24"/>
          <w:szCs w:val="24"/>
        </w:rPr>
        <w:t xml:space="preserve">Projekta mērķis ir </w:t>
      </w:r>
      <w:r w:rsidRPr="000A0C95">
        <w:rPr>
          <w:rFonts w:ascii="Times New Roman" w:hAnsi="Times New Roman" w:cs="Times New Roman"/>
          <w:sz w:val="24"/>
          <w:szCs w:val="24"/>
        </w:rPr>
        <w:t>sniegt ieguldījumu pārrobežu aizsargājamo dabas teritoriju pārvaldības efektivitātē, ieviešot savstarpēji saskaņotas aktivitātes, kas paredz pārrobežu aizsargājamās dabas teritorijas izveidi starp Latviju un Baltkrieviju (ietverot AAA „Augšdaugava” un nacionālo parku „Braslavskije ozjora” Baltkrievijas pusē). Balstoties uz dabas vērtību izpēti, abās robežas pusēs tiks izstrādāts dabas pārvaldības plāns. Īpaši aizsargājamo dabas teritoriju atpazīstamībai tiks uzstādītas robežzīmes, stendi, tiks izdots buklets, izveidota virtuālā tūre, un izstrādāti interaktīvi risinājumi Naujenes muzeja un nacionālā parka „Braslavskije ozjora” Ekoloģiskās izglītības centra telpām. Pārskata periodā ir izstrādāta projekta mājas lapa, ir noorganizēta projektā iesaistīto pušu tikšanās ar mērķi pārrunāt pārrobežu aizsargājamās dabas teritorijas izveides aktuālākos jautājumus, kā arī veikti sagatavošanas darbi projekta aktivitāšu īstenošanai.</w:t>
      </w:r>
    </w:p>
    <w:p w:rsidR="00FD48DF" w:rsidRPr="000A0C95" w:rsidRDefault="00FD48DF" w:rsidP="00FD48DF">
      <w:pPr>
        <w:spacing w:before="120" w:after="0" w:line="240" w:lineRule="auto"/>
        <w:jc w:val="both"/>
        <w:rPr>
          <w:rFonts w:ascii="Times New Roman" w:hAnsi="Times New Roman" w:cs="Times New Roman"/>
          <w:sz w:val="24"/>
          <w:szCs w:val="24"/>
        </w:rPr>
      </w:pPr>
    </w:p>
    <w:p w:rsidR="00FD48DF" w:rsidRPr="004866B0" w:rsidRDefault="00FD48DF" w:rsidP="00FD48DF">
      <w:pPr>
        <w:spacing w:before="120" w:after="0" w:line="240" w:lineRule="auto"/>
        <w:jc w:val="both"/>
        <w:rPr>
          <w:rFonts w:ascii="Times New Roman" w:hAnsi="Times New Roman" w:cs="Times New Roman"/>
          <w:b/>
          <w:color w:val="0070C0"/>
          <w:sz w:val="24"/>
          <w:szCs w:val="24"/>
        </w:rPr>
      </w:pPr>
      <w:r w:rsidRPr="004866B0">
        <w:rPr>
          <w:rFonts w:ascii="Times New Roman" w:hAnsi="Times New Roman" w:cs="Times New Roman"/>
          <w:b/>
          <w:color w:val="0070C0"/>
          <w:sz w:val="24"/>
          <w:szCs w:val="24"/>
        </w:rPr>
        <w:t>Bioloģiskās daudzveidības saglabāšanas projekti</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2007. – 2013. gada ES finanšu plānošanas periodā bioloģiskās daudzveidības saglabāšanas pasākumiem pieejams Kohēzijas fonda finansējums aktivitātē „Infrastruktūras izveide Natura 2000 teritorijās” un ERAF finansējums aktivitātē „Bioloģiskās daudzveidības saglabāšana ex situ infrastruktūras izveide”. </w:t>
      </w:r>
    </w:p>
    <w:p w:rsidR="00FD48DF" w:rsidRPr="000A0C95" w:rsidRDefault="00FD48DF" w:rsidP="00FD48DF">
      <w:pPr>
        <w:spacing w:before="120" w:after="120" w:line="240" w:lineRule="auto"/>
        <w:jc w:val="both"/>
        <w:rPr>
          <w:rFonts w:ascii="Times New Roman" w:hAnsi="Times New Roman" w:cs="Times New Roman"/>
          <w:sz w:val="24"/>
          <w:szCs w:val="24"/>
        </w:rPr>
      </w:pPr>
      <w:r w:rsidRPr="000A0C95">
        <w:rPr>
          <w:rFonts w:ascii="Times New Roman" w:hAnsi="Times New Roman" w:cs="Times New Roman"/>
          <w:sz w:val="24"/>
          <w:szCs w:val="24"/>
        </w:rPr>
        <w:t xml:space="preserve">2013.gadā uzsākts </w:t>
      </w:r>
      <w:r w:rsidRPr="000A0C95">
        <w:rPr>
          <w:rFonts w:ascii="Times New Roman" w:hAnsi="Times New Roman" w:cs="Times New Roman"/>
          <w:b/>
          <w:sz w:val="24"/>
          <w:szCs w:val="24"/>
        </w:rPr>
        <w:t xml:space="preserve">bioloģiskās daudzveidības saglabāšanas </w:t>
      </w:r>
      <w:r w:rsidRPr="000A0C95">
        <w:rPr>
          <w:rFonts w:ascii="Times New Roman" w:hAnsi="Times New Roman" w:cs="Times New Roman"/>
          <w:b/>
          <w:i/>
          <w:sz w:val="24"/>
          <w:szCs w:val="24"/>
        </w:rPr>
        <w:t>ex situ</w:t>
      </w:r>
      <w:r w:rsidRPr="000A0C95">
        <w:rPr>
          <w:rFonts w:ascii="Times New Roman" w:hAnsi="Times New Roman" w:cs="Times New Roman"/>
          <w:b/>
          <w:sz w:val="24"/>
          <w:szCs w:val="24"/>
        </w:rPr>
        <w:t xml:space="preserve"> </w:t>
      </w:r>
      <w:r w:rsidRPr="000A0C95">
        <w:rPr>
          <w:rFonts w:ascii="Times New Roman" w:hAnsi="Times New Roman" w:cs="Times New Roman"/>
          <w:sz w:val="24"/>
          <w:szCs w:val="24"/>
        </w:rPr>
        <w:t xml:space="preserve">infrastruktūras projekts. Projektu 100% finansē ERAF un tam piešķirtais finansējums ir 2,12 milj. latu, Pārskata periodā </w:t>
      </w:r>
      <w:r w:rsidRPr="000A0C95">
        <w:rPr>
          <w:rFonts w:ascii="Times New Roman" w:hAnsi="Times New Roman" w:cs="Times New Roman"/>
          <w:i/>
          <w:sz w:val="24"/>
          <w:szCs w:val="24"/>
        </w:rPr>
        <w:t xml:space="preserve">ex situ </w:t>
      </w:r>
      <w:r w:rsidRPr="000A0C95">
        <w:rPr>
          <w:rFonts w:ascii="Times New Roman" w:hAnsi="Times New Roman" w:cs="Times New Roman"/>
          <w:sz w:val="24"/>
          <w:szCs w:val="24"/>
        </w:rPr>
        <w:t>infrastruktūras izveidē ieguldīti 1,01 milj. latu.</w:t>
      </w: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Projekts paredz Nacionālajā botāniskajā dārzā izveidot jaunu infrastruktūru reto un apdraudēto sugu saglabāšanai un pavairošanai, kā arī nacionālas nozīmes telpaugu genofonda kolekciju saglabāšanai. Šim nolūkam projekta ietvaros tiks uzbūvētas jaunas oranžērijas apmēram 3000 kvadrātmetru platībā. Izmantojot modernās tehnoloģijas oranžērijās, tiks nodrošināts atbilstošs mikroklimats ekoloģisko prasību ziņā dažādām augu kolekcijām. Mūsdienīgs tehniskais aprīkojums radīs iespēju kolekcijas izmantot vides izglītības vajadzībām.</w:t>
      </w:r>
    </w:p>
    <w:p w:rsidR="00FD48DF" w:rsidRPr="004866B0" w:rsidRDefault="00FD48DF" w:rsidP="00FD48DF">
      <w:pPr>
        <w:spacing w:before="120" w:after="0" w:line="240" w:lineRule="auto"/>
        <w:jc w:val="both"/>
        <w:rPr>
          <w:rStyle w:val="Strong"/>
          <w:rFonts w:ascii="Times New Roman" w:hAnsi="Times New Roman" w:cs="Times New Roman"/>
          <w:b w:val="0"/>
          <w:sz w:val="24"/>
          <w:szCs w:val="24"/>
        </w:rPr>
      </w:pPr>
      <w:r w:rsidRPr="000A0C95">
        <w:rPr>
          <w:rFonts w:ascii="Times New Roman" w:hAnsi="Times New Roman" w:cs="Times New Roman"/>
          <w:sz w:val="24"/>
          <w:szCs w:val="24"/>
        </w:rPr>
        <w:lastRenderedPageBreak/>
        <w:t>2013. gada 26. februārī VZI APP “Nacionālais botāniskais dārzs” parakstīja līgumu par projektā</w:t>
      </w:r>
      <w:r w:rsidRPr="000A0C95">
        <w:rPr>
          <w:rFonts w:ascii="Times New Roman" w:hAnsi="Times New Roman" w:cs="Times New Roman"/>
          <w:b/>
          <w:bCs/>
          <w:sz w:val="24"/>
          <w:szCs w:val="24"/>
        </w:rPr>
        <w:t xml:space="preserve"> </w:t>
      </w:r>
      <w:r w:rsidRPr="000A0C95">
        <w:rPr>
          <w:rFonts w:ascii="Times New Roman" w:hAnsi="Times New Roman" w:cs="Times New Roman"/>
          <w:sz w:val="24"/>
          <w:szCs w:val="24"/>
        </w:rPr>
        <w:t xml:space="preserve">plānoto objektu projektēšanu un būvniecību ar uzņēmēju SIA „ECOTEH </w:t>
      </w:r>
      <w:r w:rsidRPr="004866B0">
        <w:rPr>
          <w:rFonts w:ascii="Times New Roman" w:hAnsi="Times New Roman" w:cs="Times New Roman"/>
          <w:sz w:val="24"/>
          <w:szCs w:val="24"/>
        </w:rPr>
        <w:t xml:space="preserve">BŪVE” un </w:t>
      </w:r>
      <w:r w:rsidRPr="004866B0">
        <w:rPr>
          <w:rStyle w:val="Strong"/>
          <w:rFonts w:ascii="Times New Roman" w:hAnsi="Times New Roman" w:cs="Times New Roman"/>
          <w:b w:val="0"/>
          <w:sz w:val="24"/>
          <w:szCs w:val="24"/>
        </w:rPr>
        <w:t xml:space="preserve">14. novembrī </w:t>
      </w:r>
      <w:r w:rsidRPr="004866B0">
        <w:rPr>
          <w:rStyle w:val="Strong"/>
          <w:rFonts w:ascii="Times New Roman" w:hAnsi="Times New Roman" w:cs="Times New Roman"/>
          <w:b w:val="0"/>
          <w:i/>
          <w:sz w:val="24"/>
          <w:szCs w:val="24"/>
        </w:rPr>
        <w:t>ex situ</w:t>
      </w:r>
      <w:r w:rsidRPr="004866B0">
        <w:rPr>
          <w:rStyle w:val="Strong"/>
          <w:rFonts w:ascii="Times New Roman" w:hAnsi="Times New Roman" w:cs="Times New Roman"/>
          <w:b w:val="0"/>
          <w:sz w:val="24"/>
          <w:szCs w:val="24"/>
        </w:rPr>
        <w:t xml:space="preserve"> centra jauno oranžēriju pamatos tika iemūrēta kapsula ar vēstījumu nākamajām paaudzēm.</w:t>
      </w:r>
    </w:p>
    <w:p w:rsidR="00FD48DF" w:rsidRDefault="00614B5C" w:rsidP="00FD48DF">
      <w:pPr>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pict>
          <v:group id="_x0000_s1049" editas="canvas" style="position:absolute;left:0;text-align:left;margin-left:212.15pt;margin-top:88.85pt;width:255.6pt;height:211.55pt;z-index:251671552;mso-position-horizontal-relative:margin;mso-position-vertical-relative:margin" coordorigin="2361,13893" coordsize="4432,3666">
            <o:lock v:ext="edit" aspectratio="t"/>
            <v:shape id="_x0000_s1050" type="#_x0000_t75" style="position:absolute;left:2361;top:13893;width:4432;height:3666" o:preferrelative="f">
              <v:fill o:detectmouseclick="t"/>
              <v:path o:extrusionok="t" o:connecttype="none"/>
              <o:lock v:ext="edit" text="t"/>
            </v:shape>
            <v:shape id="_x0000_s1051" type="#_x0000_t202" style="position:absolute;left:2361;top:16841;width:4432;height:718" stroked="f">
              <v:textbox style="mso-next-textbox:#_x0000_s1051">
                <w:txbxContent>
                  <w:p w:rsidR="00A04249" w:rsidRDefault="00A04249" w:rsidP="00C56E48">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Kaņiera ezera niedrāja laipa</w:t>
                    </w:r>
                    <w:r w:rsidRPr="00772DB0">
                      <w:rPr>
                        <w:rFonts w:ascii="Times New Roman" w:hAnsi="Times New Roman" w:cs="Times New Roman"/>
                        <w:color w:val="0070C0"/>
                        <w:sz w:val="20"/>
                        <w:szCs w:val="20"/>
                      </w:rPr>
                      <w:t>;</w:t>
                    </w:r>
                    <w:r>
                      <w:rPr>
                        <w:rFonts w:ascii="Times New Roman" w:hAnsi="Times New Roman" w:cs="Times New Roman"/>
                        <w:b/>
                        <w:color w:val="0070C0"/>
                        <w:sz w:val="20"/>
                        <w:szCs w:val="20"/>
                      </w:rPr>
                      <w:t xml:space="preserve"> </w:t>
                    </w:r>
                    <w:r>
                      <w:rPr>
                        <w:rFonts w:ascii="Times New Roman" w:hAnsi="Times New Roman" w:cs="Times New Roman"/>
                        <w:color w:val="0070C0"/>
                        <w:sz w:val="20"/>
                        <w:szCs w:val="20"/>
                      </w:rPr>
                      <w:t>atklāta 2013.gada augustā</w:t>
                    </w:r>
                  </w:p>
                  <w:p w:rsidR="00A04249" w:rsidRPr="00772DB0" w:rsidRDefault="00A04249" w:rsidP="00C56E48">
                    <w:pPr>
                      <w:spacing w:after="0" w:line="240" w:lineRule="auto"/>
                      <w:ind w:left="-113"/>
                      <w:jc w:val="both"/>
                      <w:rPr>
                        <w:rFonts w:ascii="Times New Roman" w:hAnsi="Times New Roman" w:cs="Times New Roman"/>
                        <w:color w:val="0070C0"/>
                        <w:sz w:val="20"/>
                        <w:szCs w:val="20"/>
                      </w:rPr>
                    </w:pPr>
                    <w:r w:rsidRPr="00772DB0">
                      <w:rPr>
                        <w:rFonts w:ascii="Times New Roman" w:hAnsi="Times New Roman" w:cs="Times New Roman"/>
                        <w:color w:val="0070C0"/>
                        <w:sz w:val="20"/>
                        <w:szCs w:val="20"/>
                      </w:rPr>
                      <w:t>Dabas aizsardzības pārvaldes Kohēzijas fonda projekts</w:t>
                    </w:r>
                  </w:p>
                </w:txbxContent>
              </v:textbox>
            </v:shape>
            <v:shape id="_x0000_s1052" type="#_x0000_t75" style="position:absolute;left:2361;top:13893;width:4414;height:2948">
              <v:imagedata r:id="rId75" o:title="Kaniera laipa_1"/>
            </v:shape>
            <w10:wrap type="square" anchorx="margin" anchory="margin"/>
          </v:group>
        </w:pict>
      </w:r>
      <w:r>
        <w:rPr>
          <w:rFonts w:ascii="Times New Roman" w:hAnsi="Times New Roman" w:cs="Times New Roman"/>
          <w:noProof/>
          <w:sz w:val="24"/>
          <w:szCs w:val="24"/>
          <w:lang w:eastAsia="lv-LV"/>
        </w:rPr>
        <w:pict>
          <v:group id="_x0000_s1044" editas="canvas" style="position:absolute;left:0;text-align:left;margin-left:0;margin-top:356.95pt;width:254.9pt;height:165.4pt;z-index:251670528;mso-position-horizontal-relative:margin;mso-position-vertical-relative:margin" coordorigin="2361,13893" coordsize="4420,2867">
            <o:lock v:ext="edit" aspectratio="t"/>
            <v:shape id="_x0000_s1045" type="#_x0000_t75" style="position:absolute;left:2361;top:13893;width:4420;height:2867" o:preferrelative="f">
              <v:fill o:detectmouseclick="t"/>
              <v:path o:extrusionok="t" o:connecttype="none"/>
              <o:lock v:ext="edit" text="t"/>
            </v:shape>
            <v:shape id="_x0000_s1046" type="#_x0000_t202" style="position:absolute;left:2361;top:15664;width:2505;height:963" stroked="f">
              <v:textbox style="mso-next-textbox:#_x0000_s1046">
                <w:txbxContent>
                  <w:p w:rsidR="00A04249" w:rsidRDefault="00A04249" w:rsidP="00843F7A">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Kaņiera ezera pilskalna taka un skatu tornis</w:t>
                    </w:r>
                  </w:p>
                  <w:p w:rsidR="00A04249" w:rsidRPr="00772DB0" w:rsidRDefault="00A04249" w:rsidP="00843F7A">
                    <w:pPr>
                      <w:spacing w:after="0" w:line="240" w:lineRule="auto"/>
                      <w:ind w:left="-113"/>
                      <w:jc w:val="both"/>
                      <w:rPr>
                        <w:rFonts w:ascii="Times New Roman" w:hAnsi="Times New Roman" w:cs="Times New Roman"/>
                        <w:color w:val="0070C0"/>
                        <w:sz w:val="20"/>
                        <w:szCs w:val="20"/>
                      </w:rPr>
                    </w:pPr>
                    <w:r w:rsidRPr="00772DB0">
                      <w:rPr>
                        <w:rFonts w:ascii="Times New Roman" w:hAnsi="Times New Roman" w:cs="Times New Roman"/>
                        <w:color w:val="0070C0"/>
                        <w:sz w:val="20"/>
                        <w:szCs w:val="20"/>
                      </w:rPr>
                      <w:t>Dabas aizsardzības pārvaldes Kohēzijas fonda projekts</w:t>
                    </w:r>
                  </w:p>
                </w:txbxContent>
              </v:textbox>
            </v:shape>
            <v:shape id="_x0000_s1047" type="#_x0000_t75" style="position:absolute;left:2361;top:13893;width:2658;height:1771">
              <v:imagedata r:id="rId76" o:title="Kaniera laipa_2"/>
            </v:shape>
            <v:shape id="_x0000_s1048" type="#_x0000_t75" style="position:absolute;left:4501;top:14347;width:2734;height:1826;rotation:-90">
              <v:imagedata r:id="rId77" o:title="Kaniera tornis_1"/>
            </v:shape>
            <w10:wrap type="square" anchorx="margin" anchory="margin"/>
          </v:group>
        </w:pict>
      </w:r>
      <w:r w:rsidR="00FD48DF" w:rsidRPr="000A0C95">
        <w:rPr>
          <w:rFonts w:ascii="Times New Roman" w:hAnsi="Times New Roman" w:cs="Times New Roman"/>
          <w:sz w:val="24"/>
          <w:szCs w:val="24"/>
        </w:rPr>
        <w:t xml:space="preserve">2013.gadā turpinājās I un II kārtas projektu realizācija infrastruktūras izveidei </w:t>
      </w:r>
      <w:r w:rsidR="00FD48DF" w:rsidRPr="000A0C95">
        <w:rPr>
          <w:rFonts w:ascii="Times New Roman" w:hAnsi="Times New Roman" w:cs="Times New Roman"/>
          <w:b/>
          <w:sz w:val="24"/>
          <w:szCs w:val="24"/>
        </w:rPr>
        <w:t>Natura 2000 teritorijās</w:t>
      </w:r>
      <w:r w:rsidR="00FD48DF" w:rsidRPr="000A0C95">
        <w:rPr>
          <w:rFonts w:ascii="Times New Roman" w:hAnsi="Times New Roman" w:cs="Times New Roman"/>
          <w:sz w:val="24"/>
          <w:szCs w:val="24"/>
        </w:rPr>
        <w:t>. Projektus 100% finansē Kohēzijas fonds. Projekti tiek realizēti īpaši aizsargājamās dabas teritorijās, kas ir Eiropas nozīmes aizsargājamās dabas teritorijas (Natura 2000) – Rāznas nacionālais parks, Ķemeru nacionālais parks, Gaujas nacionālais parks, Slīteres nacionālais parks, Ziemeļvidzemes biosfēras rezervāts, Teiču dabas rezervāts, Krustkalnu dabas rezervāts, dabas liegums (turpmāk tekstā – DL) „Jašas un Bicānu ezers”, DL„Vīķu purvs”, DL „Lielupes grīvas pļavas”, DL „Cenas tīrelis”, DL „Burtnieku ezera pļavas”, DL „Dēliņkalns”, DL „Korneti - Peļļi”, DL „Randu pļavas”, DL „Vecdaugava”, DL „Užava”, DL „Liepājas ezers”, DL „Ziemupe”, DL „Vitrupes ieleja”, DL „Vidzemes akmeņainā jūrmala”, DL „Aklais purvs” DL „Zilaiskalns”, Ziemeļvidzemes biosfēras rezervāta dabas lieguma zona „Vidusburtnieks”, DL „Lubāna mitrājs”, DL „Rūjas paliene”, DL „Sedas purvs”, DL „Mežmuižas avoti”, dabas parks (turpmāk tekstā – DP) „Numernes valnis”, DP „Beberbeķi”, DP „Ragakāpa”, DP „Piejūra”, DP „Salacas ieleja”, DP „Piejūra”, DP „Ogres Zilie kalni”, DP „Daugavas ieleja”, DP „Abavas senleja”, DP „Pinku ezers”, DP „Sauka”, DP „Dvietes paliene”, DP „Embūte”, DP „Daugavas loki”, DP „Kuja”, DP „Ogres ieleja” DP „Pape”, AAA „Ziemeļgauja”, AAA ”Vestiena” ģeoloģiskais un ģeomorfoloģiskais dabas piemineklis „Skaistkalnes karsta kritenes”.</w:t>
      </w:r>
    </w:p>
    <w:p w:rsidR="00FD48DF" w:rsidRPr="000A0C95" w:rsidRDefault="00FD48DF" w:rsidP="00D829AB">
      <w:pPr>
        <w:spacing w:before="120" w:after="0" w:line="240" w:lineRule="auto"/>
        <w:jc w:val="both"/>
        <w:rPr>
          <w:rFonts w:ascii="Times New Roman" w:hAnsi="Times New Roman" w:cs="Times New Roman"/>
          <w:sz w:val="24"/>
          <w:szCs w:val="24"/>
          <w:lang w:eastAsia="lv-LV"/>
        </w:rPr>
      </w:pPr>
      <w:r w:rsidRPr="000A0C95">
        <w:rPr>
          <w:rFonts w:ascii="Times New Roman" w:hAnsi="Times New Roman" w:cs="Times New Roman"/>
          <w:sz w:val="24"/>
          <w:szCs w:val="24"/>
          <w:lang w:eastAsia="lv-LV"/>
        </w:rPr>
        <w:t>Rezultātā tiks saglabāta Latvijas daba, novērsti esošie un iespējamie draudi dabas vērtībām nākotnē, vienlaikus nodrošinot maksimāli efektīvu dabas resursu izlietojumu. (</w:t>
      </w:r>
      <w:r w:rsidR="00ED46CC">
        <w:rPr>
          <w:rFonts w:ascii="Times New Roman" w:hAnsi="Times New Roman" w:cs="Times New Roman"/>
          <w:i/>
          <w:sz w:val="24"/>
          <w:szCs w:val="24"/>
          <w:lang w:eastAsia="lv-LV"/>
        </w:rPr>
        <w:t>6</w:t>
      </w:r>
      <w:r w:rsidRPr="000A0C95">
        <w:rPr>
          <w:rFonts w:ascii="Times New Roman" w:hAnsi="Times New Roman" w:cs="Times New Roman"/>
          <w:i/>
          <w:sz w:val="24"/>
          <w:szCs w:val="24"/>
          <w:lang w:eastAsia="lv-LV"/>
        </w:rPr>
        <w:t>. tabula</w:t>
      </w:r>
      <w:r w:rsidRPr="000A0C95">
        <w:rPr>
          <w:rFonts w:ascii="Times New Roman" w:hAnsi="Times New Roman" w:cs="Times New Roman"/>
          <w:sz w:val="24"/>
          <w:szCs w:val="24"/>
          <w:lang w:eastAsia="lv-LV"/>
        </w:rPr>
        <w:t xml:space="preserve">) </w:t>
      </w:r>
    </w:p>
    <w:p w:rsidR="00306360" w:rsidRDefault="00306360" w:rsidP="00306360">
      <w:pPr>
        <w:shd w:val="clear" w:color="auto" w:fill="FFFFFF"/>
        <w:spacing w:before="120" w:after="0" w:line="240" w:lineRule="auto"/>
        <w:jc w:val="both"/>
        <w:rPr>
          <w:rFonts w:ascii="Times New Roman" w:hAnsi="Times New Roman" w:cs="Times New Roman"/>
          <w:i/>
          <w:sz w:val="24"/>
          <w:szCs w:val="24"/>
          <w:lang w:eastAsia="lv-LV"/>
        </w:rPr>
      </w:pPr>
    </w:p>
    <w:p w:rsidR="00306360" w:rsidRDefault="00306360" w:rsidP="00306360">
      <w:pPr>
        <w:shd w:val="clear" w:color="auto" w:fill="FFFFFF"/>
        <w:spacing w:before="120" w:after="0" w:line="240" w:lineRule="auto"/>
        <w:jc w:val="both"/>
        <w:rPr>
          <w:rFonts w:ascii="Times New Roman" w:hAnsi="Times New Roman" w:cs="Times New Roman"/>
          <w:i/>
          <w:sz w:val="24"/>
          <w:szCs w:val="24"/>
          <w:lang w:eastAsia="lv-LV"/>
        </w:rPr>
      </w:pPr>
    </w:p>
    <w:p w:rsidR="00306360" w:rsidRDefault="00306360" w:rsidP="00306360">
      <w:pPr>
        <w:shd w:val="clear" w:color="auto" w:fill="FFFFFF"/>
        <w:spacing w:before="120" w:after="0" w:line="240" w:lineRule="auto"/>
        <w:jc w:val="both"/>
        <w:rPr>
          <w:rFonts w:ascii="Times New Roman" w:hAnsi="Times New Roman" w:cs="Times New Roman"/>
          <w:i/>
          <w:sz w:val="24"/>
          <w:szCs w:val="24"/>
          <w:lang w:eastAsia="lv-LV"/>
        </w:rPr>
      </w:pPr>
    </w:p>
    <w:p w:rsidR="00306360" w:rsidRDefault="00306360" w:rsidP="00306360">
      <w:pPr>
        <w:shd w:val="clear" w:color="auto" w:fill="FFFFFF"/>
        <w:spacing w:before="120" w:after="0" w:line="240" w:lineRule="auto"/>
        <w:jc w:val="both"/>
        <w:rPr>
          <w:rFonts w:ascii="Times New Roman" w:hAnsi="Times New Roman" w:cs="Times New Roman"/>
          <w:i/>
          <w:sz w:val="24"/>
          <w:szCs w:val="24"/>
          <w:lang w:eastAsia="lv-LV"/>
        </w:rPr>
      </w:pPr>
    </w:p>
    <w:p w:rsidR="00306360" w:rsidRDefault="00306360" w:rsidP="00306360">
      <w:pPr>
        <w:shd w:val="clear" w:color="auto" w:fill="FFFFFF"/>
        <w:spacing w:before="120" w:after="0" w:line="240" w:lineRule="auto"/>
        <w:jc w:val="both"/>
        <w:rPr>
          <w:rFonts w:ascii="Times New Roman" w:hAnsi="Times New Roman" w:cs="Times New Roman"/>
          <w:i/>
          <w:sz w:val="24"/>
          <w:szCs w:val="24"/>
          <w:lang w:eastAsia="lv-LV"/>
        </w:rPr>
      </w:pPr>
    </w:p>
    <w:p w:rsidR="00FD48DF" w:rsidRPr="00ED46CC" w:rsidRDefault="00ED46CC" w:rsidP="00FD48DF">
      <w:pPr>
        <w:shd w:val="clear" w:color="auto" w:fill="FFFFFF"/>
        <w:spacing w:before="120" w:after="0" w:line="240" w:lineRule="auto"/>
        <w:jc w:val="both"/>
        <w:rPr>
          <w:rFonts w:ascii="Times New Roman" w:hAnsi="Times New Roman" w:cs="Times New Roman"/>
          <w:i/>
          <w:sz w:val="24"/>
          <w:szCs w:val="24"/>
          <w:lang w:eastAsia="lv-LV"/>
        </w:rPr>
      </w:pPr>
      <w:r>
        <w:rPr>
          <w:rFonts w:ascii="Times New Roman" w:hAnsi="Times New Roman" w:cs="Times New Roman"/>
          <w:i/>
          <w:sz w:val="24"/>
          <w:szCs w:val="24"/>
          <w:lang w:eastAsia="lv-LV"/>
        </w:rPr>
        <w:lastRenderedPageBreak/>
        <w:t>6</w:t>
      </w:r>
      <w:r w:rsidR="00FD48DF" w:rsidRPr="00ED46CC">
        <w:rPr>
          <w:rFonts w:ascii="Times New Roman" w:hAnsi="Times New Roman" w:cs="Times New Roman"/>
          <w:i/>
          <w:sz w:val="24"/>
          <w:szCs w:val="24"/>
          <w:lang w:eastAsia="lv-LV"/>
        </w:rPr>
        <w:t>. tabula. Projektu rezultātā izveidotā infrastruktūra</w:t>
      </w:r>
    </w:p>
    <w:tbl>
      <w:tblPr>
        <w:tblStyle w:val="TableGrid"/>
        <w:tblW w:w="0" w:type="auto"/>
        <w:tblLook w:val="04A0"/>
      </w:tblPr>
      <w:tblGrid>
        <w:gridCol w:w="4499"/>
        <w:gridCol w:w="1280"/>
        <w:gridCol w:w="993"/>
        <w:gridCol w:w="991"/>
        <w:gridCol w:w="1093"/>
      </w:tblGrid>
      <w:tr w:rsidR="00FD48DF" w:rsidRPr="00ED46CC" w:rsidTr="00694358">
        <w:tc>
          <w:tcPr>
            <w:tcW w:w="4499" w:type="dxa"/>
            <w:shd w:val="clear" w:color="auto" w:fill="8DB3E2" w:themeFill="text2" w:themeFillTint="66"/>
          </w:tcPr>
          <w:p w:rsidR="00FD48DF" w:rsidRPr="00ED46CC" w:rsidRDefault="00FD48DF" w:rsidP="00694358">
            <w:pPr>
              <w:jc w:val="center"/>
              <w:rPr>
                <w:rFonts w:ascii="Times New Roman" w:hAnsi="Times New Roman" w:cs="Times New Roman"/>
                <w:b/>
                <w:sz w:val="20"/>
                <w:szCs w:val="20"/>
                <w:lang w:val="lv-LV" w:eastAsia="lv-LV"/>
              </w:rPr>
            </w:pPr>
            <w:r w:rsidRPr="00ED46CC">
              <w:rPr>
                <w:rFonts w:ascii="Times New Roman" w:hAnsi="Times New Roman" w:cs="Times New Roman"/>
                <w:b/>
                <w:sz w:val="20"/>
                <w:szCs w:val="20"/>
                <w:lang w:val="lv-LV" w:eastAsia="lv-LV"/>
              </w:rPr>
              <w:t>Svarīgākie rezultāti</w:t>
            </w:r>
          </w:p>
        </w:tc>
        <w:tc>
          <w:tcPr>
            <w:tcW w:w="1280" w:type="dxa"/>
            <w:shd w:val="clear" w:color="auto" w:fill="8DB3E2" w:themeFill="text2" w:themeFillTint="66"/>
          </w:tcPr>
          <w:p w:rsidR="00FD48DF" w:rsidRPr="00ED46CC" w:rsidRDefault="00FD48DF" w:rsidP="00694358">
            <w:pPr>
              <w:jc w:val="center"/>
              <w:rPr>
                <w:rFonts w:ascii="Times New Roman" w:hAnsi="Times New Roman" w:cs="Times New Roman"/>
                <w:b/>
                <w:sz w:val="20"/>
                <w:szCs w:val="20"/>
                <w:lang w:val="lv-LV" w:eastAsia="lv-LV"/>
              </w:rPr>
            </w:pPr>
            <w:r w:rsidRPr="00ED46CC">
              <w:rPr>
                <w:rFonts w:ascii="Times New Roman" w:hAnsi="Times New Roman" w:cs="Times New Roman"/>
                <w:b/>
                <w:sz w:val="20"/>
                <w:szCs w:val="20"/>
                <w:lang w:val="lv-LV" w:eastAsia="lv-LV"/>
              </w:rPr>
              <w:t>mērvienība</w:t>
            </w:r>
          </w:p>
        </w:tc>
        <w:tc>
          <w:tcPr>
            <w:tcW w:w="993" w:type="dxa"/>
            <w:shd w:val="clear" w:color="auto" w:fill="8DB3E2" w:themeFill="text2" w:themeFillTint="66"/>
          </w:tcPr>
          <w:p w:rsidR="00FD48DF" w:rsidRPr="00ED46CC" w:rsidRDefault="00FD48DF" w:rsidP="00694358">
            <w:pPr>
              <w:jc w:val="center"/>
              <w:rPr>
                <w:rFonts w:ascii="Times New Roman" w:hAnsi="Times New Roman" w:cs="Times New Roman"/>
                <w:b/>
                <w:sz w:val="20"/>
                <w:szCs w:val="20"/>
                <w:lang w:val="lv-LV" w:eastAsia="lv-LV"/>
              </w:rPr>
            </w:pPr>
            <w:r w:rsidRPr="00ED46CC">
              <w:rPr>
                <w:rFonts w:ascii="Times New Roman" w:hAnsi="Times New Roman" w:cs="Times New Roman"/>
                <w:b/>
                <w:sz w:val="20"/>
                <w:szCs w:val="20"/>
                <w:lang w:val="lv-LV" w:eastAsia="lv-LV"/>
              </w:rPr>
              <w:t>I kārta</w:t>
            </w:r>
          </w:p>
        </w:tc>
        <w:tc>
          <w:tcPr>
            <w:tcW w:w="991" w:type="dxa"/>
            <w:shd w:val="clear" w:color="auto" w:fill="8DB3E2" w:themeFill="text2" w:themeFillTint="66"/>
          </w:tcPr>
          <w:p w:rsidR="00FD48DF" w:rsidRPr="00ED46CC" w:rsidRDefault="00FD48DF" w:rsidP="00694358">
            <w:pPr>
              <w:jc w:val="center"/>
              <w:rPr>
                <w:rFonts w:ascii="Times New Roman" w:hAnsi="Times New Roman" w:cs="Times New Roman"/>
                <w:b/>
                <w:sz w:val="20"/>
                <w:szCs w:val="20"/>
                <w:lang w:val="lv-LV" w:eastAsia="lv-LV"/>
              </w:rPr>
            </w:pPr>
            <w:r w:rsidRPr="00ED46CC">
              <w:rPr>
                <w:rFonts w:ascii="Times New Roman" w:hAnsi="Times New Roman" w:cs="Times New Roman"/>
                <w:b/>
                <w:sz w:val="20"/>
                <w:szCs w:val="20"/>
                <w:lang w:val="lv-LV" w:eastAsia="lv-LV"/>
              </w:rPr>
              <w:t>II kārta</w:t>
            </w:r>
          </w:p>
        </w:tc>
        <w:tc>
          <w:tcPr>
            <w:tcW w:w="1093" w:type="dxa"/>
            <w:shd w:val="clear" w:color="auto" w:fill="8DB3E2" w:themeFill="text2" w:themeFillTint="66"/>
          </w:tcPr>
          <w:p w:rsidR="00FD48DF" w:rsidRPr="00ED46CC" w:rsidRDefault="00FD48DF" w:rsidP="00694358">
            <w:pPr>
              <w:jc w:val="center"/>
              <w:rPr>
                <w:rFonts w:ascii="Times New Roman" w:hAnsi="Times New Roman" w:cs="Times New Roman"/>
                <w:b/>
                <w:sz w:val="20"/>
                <w:szCs w:val="20"/>
                <w:lang w:val="lv-LV" w:eastAsia="lv-LV"/>
              </w:rPr>
            </w:pPr>
            <w:r w:rsidRPr="00ED46CC">
              <w:rPr>
                <w:rFonts w:ascii="Times New Roman" w:hAnsi="Times New Roman" w:cs="Times New Roman"/>
                <w:b/>
                <w:sz w:val="20"/>
                <w:szCs w:val="20"/>
                <w:lang w:val="lv-LV" w:eastAsia="lv-LV"/>
              </w:rPr>
              <w:t>Kopā</w:t>
            </w:r>
          </w:p>
        </w:tc>
      </w:tr>
      <w:tr w:rsidR="00FD48DF" w:rsidRPr="00ED46CC" w:rsidTr="00694358">
        <w:tc>
          <w:tcPr>
            <w:tcW w:w="4499" w:type="dxa"/>
          </w:tcPr>
          <w:p w:rsidR="00FD48DF" w:rsidRPr="00ED46CC" w:rsidRDefault="00FD48DF" w:rsidP="00694358">
            <w:pP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Skatu torņi, platformas</w:t>
            </w:r>
          </w:p>
        </w:tc>
        <w:tc>
          <w:tcPr>
            <w:tcW w:w="1280"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gab.</w:t>
            </w:r>
          </w:p>
        </w:tc>
        <w:tc>
          <w:tcPr>
            <w:tcW w:w="9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13</w:t>
            </w:r>
          </w:p>
        </w:tc>
        <w:tc>
          <w:tcPr>
            <w:tcW w:w="991"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11</w:t>
            </w:r>
          </w:p>
        </w:tc>
        <w:tc>
          <w:tcPr>
            <w:tcW w:w="10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24</w:t>
            </w:r>
          </w:p>
        </w:tc>
      </w:tr>
      <w:tr w:rsidR="00FD48DF" w:rsidRPr="00ED46CC" w:rsidTr="00694358">
        <w:tc>
          <w:tcPr>
            <w:tcW w:w="4499" w:type="dxa"/>
          </w:tcPr>
          <w:p w:rsidR="00FD48DF" w:rsidRPr="00ED46CC" w:rsidRDefault="00FD48DF" w:rsidP="00694358">
            <w:pP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Takas (ar dažādiem segumiem), laipas, kāpnes</w:t>
            </w:r>
          </w:p>
        </w:tc>
        <w:tc>
          <w:tcPr>
            <w:tcW w:w="1280"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km</w:t>
            </w:r>
          </w:p>
        </w:tc>
        <w:tc>
          <w:tcPr>
            <w:tcW w:w="9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64</w:t>
            </w:r>
          </w:p>
        </w:tc>
        <w:tc>
          <w:tcPr>
            <w:tcW w:w="991"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25</w:t>
            </w:r>
          </w:p>
        </w:tc>
        <w:tc>
          <w:tcPr>
            <w:tcW w:w="10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89</w:t>
            </w:r>
          </w:p>
        </w:tc>
      </w:tr>
      <w:tr w:rsidR="00FD48DF" w:rsidRPr="00ED46CC" w:rsidTr="00694358">
        <w:tc>
          <w:tcPr>
            <w:tcW w:w="4499" w:type="dxa"/>
          </w:tcPr>
          <w:p w:rsidR="00FD48DF" w:rsidRPr="00ED46CC" w:rsidRDefault="00FD48DF" w:rsidP="00694358">
            <w:pP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Stāvlaukumi</w:t>
            </w:r>
          </w:p>
        </w:tc>
        <w:tc>
          <w:tcPr>
            <w:tcW w:w="1280"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gab.</w:t>
            </w:r>
          </w:p>
        </w:tc>
        <w:tc>
          <w:tcPr>
            <w:tcW w:w="9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15</w:t>
            </w:r>
          </w:p>
        </w:tc>
        <w:tc>
          <w:tcPr>
            <w:tcW w:w="991"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14</w:t>
            </w:r>
          </w:p>
        </w:tc>
        <w:tc>
          <w:tcPr>
            <w:tcW w:w="10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29</w:t>
            </w:r>
          </w:p>
        </w:tc>
      </w:tr>
      <w:tr w:rsidR="00FD48DF" w:rsidRPr="00ED46CC" w:rsidTr="00694358">
        <w:tc>
          <w:tcPr>
            <w:tcW w:w="4499" w:type="dxa"/>
          </w:tcPr>
          <w:p w:rsidR="00FD48DF" w:rsidRPr="00ED46CC" w:rsidRDefault="00FD48DF" w:rsidP="00694358">
            <w:pP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Informācijas stendi</w:t>
            </w:r>
          </w:p>
        </w:tc>
        <w:tc>
          <w:tcPr>
            <w:tcW w:w="1280"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gab.</w:t>
            </w:r>
          </w:p>
        </w:tc>
        <w:tc>
          <w:tcPr>
            <w:tcW w:w="9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139</w:t>
            </w:r>
          </w:p>
        </w:tc>
        <w:tc>
          <w:tcPr>
            <w:tcW w:w="991"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123</w:t>
            </w:r>
          </w:p>
        </w:tc>
        <w:tc>
          <w:tcPr>
            <w:tcW w:w="10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262</w:t>
            </w:r>
          </w:p>
        </w:tc>
      </w:tr>
      <w:tr w:rsidR="00FD48DF" w:rsidRPr="00ED46CC" w:rsidTr="00694358">
        <w:tc>
          <w:tcPr>
            <w:tcW w:w="4499" w:type="dxa"/>
          </w:tcPr>
          <w:p w:rsidR="00FD48DF" w:rsidRPr="00ED46CC" w:rsidRDefault="00FD48DF" w:rsidP="00694358">
            <w:pP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Robežzīmes</w:t>
            </w:r>
          </w:p>
        </w:tc>
        <w:tc>
          <w:tcPr>
            <w:tcW w:w="1280"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gab.</w:t>
            </w:r>
          </w:p>
        </w:tc>
        <w:tc>
          <w:tcPr>
            <w:tcW w:w="9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1516</w:t>
            </w:r>
          </w:p>
        </w:tc>
        <w:tc>
          <w:tcPr>
            <w:tcW w:w="991"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334</w:t>
            </w:r>
          </w:p>
        </w:tc>
        <w:tc>
          <w:tcPr>
            <w:tcW w:w="10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1850</w:t>
            </w:r>
          </w:p>
        </w:tc>
      </w:tr>
      <w:tr w:rsidR="00FD48DF" w:rsidRPr="00ED46CC" w:rsidTr="00694358">
        <w:tc>
          <w:tcPr>
            <w:tcW w:w="4499" w:type="dxa"/>
          </w:tcPr>
          <w:p w:rsidR="00FD48DF" w:rsidRPr="00ED46CC" w:rsidRDefault="00FD48DF" w:rsidP="00694358">
            <w:pP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Laivu ūdenī nolaišanas vietas</w:t>
            </w:r>
          </w:p>
        </w:tc>
        <w:tc>
          <w:tcPr>
            <w:tcW w:w="1280"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gab.</w:t>
            </w:r>
          </w:p>
        </w:tc>
        <w:tc>
          <w:tcPr>
            <w:tcW w:w="9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2</w:t>
            </w:r>
          </w:p>
        </w:tc>
        <w:tc>
          <w:tcPr>
            <w:tcW w:w="991"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21</w:t>
            </w:r>
          </w:p>
        </w:tc>
        <w:tc>
          <w:tcPr>
            <w:tcW w:w="10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23</w:t>
            </w:r>
          </w:p>
        </w:tc>
      </w:tr>
      <w:tr w:rsidR="00FD48DF" w:rsidRPr="00ED46CC" w:rsidTr="00694358">
        <w:tc>
          <w:tcPr>
            <w:tcW w:w="4499" w:type="dxa"/>
          </w:tcPr>
          <w:p w:rsidR="00FD48DF" w:rsidRPr="00ED46CC" w:rsidRDefault="00FD48DF" w:rsidP="00694358">
            <w:pP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Tualetes</w:t>
            </w:r>
          </w:p>
        </w:tc>
        <w:tc>
          <w:tcPr>
            <w:tcW w:w="1280"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gab.</w:t>
            </w:r>
          </w:p>
        </w:tc>
        <w:tc>
          <w:tcPr>
            <w:tcW w:w="9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20</w:t>
            </w:r>
          </w:p>
        </w:tc>
        <w:tc>
          <w:tcPr>
            <w:tcW w:w="991"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30</w:t>
            </w:r>
          </w:p>
        </w:tc>
        <w:tc>
          <w:tcPr>
            <w:tcW w:w="1093" w:type="dxa"/>
          </w:tcPr>
          <w:p w:rsidR="00FD48DF" w:rsidRPr="00ED46CC" w:rsidRDefault="00FD48DF" w:rsidP="00694358">
            <w:pPr>
              <w:jc w:val="center"/>
              <w:rPr>
                <w:rFonts w:ascii="Times New Roman" w:hAnsi="Times New Roman" w:cs="Times New Roman"/>
                <w:sz w:val="20"/>
                <w:szCs w:val="20"/>
                <w:lang w:val="lv-LV" w:eastAsia="lv-LV"/>
              </w:rPr>
            </w:pPr>
            <w:r w:rsidRPr="00ED46CC">
              <w:rPr>
                <w:rFonts w:ascii="Times New Roman" w:hAnsi="Times New Roman" w:cs="Times New Roman"/>
                <w:sz w:val="20"/>
                <w:szCs w:val="20"/>
                <w:lang w:val="lv-LV" w:eastAsia="lv-LV"/>
              </w:rPr>
              <w:t>50</w:t>
            </w:r>
          </w:p>
        </w:tc>
      </w:tr>
    </w:tbl>
    <w:p w:rsidR="00FD48DF" w:rsidRPr="000A0C95" w:rsidRDefault="00FD48DF" w:rsidP="00FD48DF">
      <w:pPr>
        <w:shd w:val="clear" w:color="auto" w:fill="FFFFFF"/>
        <w:spacing w:before="120" w:after="0" w:line="240" w:lineRule="auto"/>
        <w:jc w:val="both"/>
        <w:rPr>
          <w:rFonts w:ascii="Times New Roman" w:hAnsi="Times New Roman" w:cs="Times New Roman"/>
          <w:sz w:val="24"/>
          <w:szCs w:val="24"/>
          <w:lang w:eastAsia="lv-LV"/>
        </w:rPr>
      </w:pPr>
    </w:p>
    <w:p w:rsidR="00FD48DF" w:rsidRPr="000A0C95" w:rsidRDefault="00FD48DF" w:rsidP="00FD48DF">
      <w:pPr>
        <w:spacing w:before="120" w:after="0" w:line="240" w:lineRule="auto"/>
        <w:jc w:val="both"/>
        <w:rPr>
          <w:rFonts w:ascii="Times New Roman" w:hAnsi="Times New Roman" w:cs="Times New Roman"/>
          <w:sz w:val="24"/>
          <w:szCs w:val="24"/>
        </w:rPr>
      </w:pPr>
      <w:r w:rsidRPr="000A0C95">
        <w:rPr>
          <w:rFonts w:ascii="Times New Roman" w:hAnsi="Times New Roman" w:cs="Times New Roman"/>
          <w:sz w:val="24"/>
          <w:szCs w:val="24"/>
        </w:rPr>
        <w:t>Projektiem apstiprinātais Kohēzijas fonda finansējums ir 4,41 milj. latu. 2013. gadā ieguldīti 1,40 milj. latu KF finansējuma. (</w:t>
      </w:r>
      <w:r w:rsidR="00ED46CC" w:rsidRPr="00ED46CC">
        <w:rPr>
          <w:rFonts w:ascii="Times New Roman" w:hAnsi="Times New Roman" w:cs="Times New Roman"/>
          <w:i/>
          <w:sz w:val="24"/>
          <w:szCs w:val="24"/>
        </w:rPr>
        <w:t>23</w:t>
      </w:r>
      <w:r w:rsidRPr="00ED46CC">
        <w:rPr>
          <w:rFonts w:ascii="Times New Roman" w:hAnsi="Times New Roman" w:cs="Times New Roman"/>
          <w:i/>
          <w:sz w:val="24"/>
          <w:szCs w:val="24"/>
        </w:rPr>
        <w:t>. attēls</w:t>
      </w:r>
      <w:r w:rsidRPr="000A0C95">
        <w:rPr>
          <w:rFonts w:ascii="Times New Roman" w:hAnsi="Times New Roman" w:cs="Times New Roman"/>
          <w:sz w:val="24"/>
          <w:szCs w:val="24"/>
        </w:rPr>
        <w:t>)</w:t>
      </w:r>
    </w:p>
    <w:p w:rsidR="00FD48DF" w:rsidRPr="000A0C95" w:rsidRDefault="00FD48DF" w:rsidP="00FD48DF">
      <w:pPr>
        <w:spacing w:before="120" w:after="0" w:line="240" w:lineRule="auto"/>
        <w:jc w:val="center"/>
        <w:rPr>
          <w:rFonts w:ascii="Times New Roman" w:hAnsi="Times New Roman" w:cs="Times New Roman"/>
          <w:color w:val="00B050"/>
          <w:sz w:val="24"/>
          <w:szCs w:val="24"/>
        </w:rPr>
      </w:pPr>
      <w:r w:rsidRPr="000A0C95">
        <w:rPr>
          <w:rFonts w:ascii="Times New Roman" w:hAnsi="Times New Roman" w:cs="Times New Roman"/>
          <w:noProof/>
          <w:color w:val="00B050"/>
          <w:sz w:val="24"/>
          <w:szCs w:val="24"/>
          <w:lang w:eastAsia="lv-LV"/>
        </w:rPr>
        <w:drawing>
          <wp:inline distT="0" distB="0" distL="0" distR="0">
            <wp:extent cx="4572000" cy="2743200"/>
            <wp:effectExtent l="19050" t="0" r="0" b="0"/>
            <wp:docPr id="50"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D48DF" w:rsidRPr="000A0C95" w:rsidRDefault="00ED46CC" w:rsidP="00ED46CC">
      <w:pPr>
        <w:spacing w:after="0" w:line="240" w:lineRule="auto"/>
        <w:jc w:val="both"/>
        <w:rPr>
          <w:rFonts w:ascii="Times New Roman" w:hAnsi="Times New Roman" w:cs="Times New Roman"/>
          <w:i/>
          <w:sz w:val="24"/>
          <w:szCs w:val="24"/>
        </w:rPr>
      </w:pPr>
      <w:r w:rsidRPr="00ED46CC">
        <w:rPr>
          <w:rFonts w:ascii="Times New Roman" w:hAnsi="Times New Roman" w:cs="Times New Roman"/>
          <w:i/>
          <w:sz w:val="24"/>
          <w:szCs w:val="24"/>
        </w:rPr>
        <w:t>23</w:t>
      </w:r>
      <w:r w:rsidR="00FD48DF" w:rsidRPr="00ED46CC">
        <w:rPr>
          <w:rFonts w:ascii="Times New Roman" w:hAnsi="Times New Roman" w:cs="Times New Roman"/>
          <w:i/>
          <w:sz w:val="24"/>
          <w:szCs w:val="24"/>
        </w:rPr>
        <w:t>. attēls</w:t>
      </w:r>
      <w:r w:rsidR="00FD48DF" w:rsidRPr="000A0C95">
        <w:rPr>
          <w:rFonts w:ascii="Times New Roman" w:hAnsi="Times New Roman" w:cs="Times New Roman"/>
          <w:i/>
          <w:sz w:val="24"/>
          <w:szCs w:val="24"/>
        </w:rPr>
        <w:t>. Investīcijas</w:t>
      </w:r>
      <w:r w:rsidR="00FD48DF" w:rsidRPr="000A0C95">
        <w:rPr>
          <w:rFonts w:ascii="Times New Roman" w:hAnsi="Times New Roman" w:cs="Times New Roman"/>
          <w:sz w:val="24"/>
          <w:szCs w:val="24"/>
        </w:rPr>
        <w:t xml:space="preserve"> </w:t>
      </w:r>
      <w:r w:rsidR="00FD48DF" w:rsidRPr="000A0C95">
        <w:rPr>
          <w:rFonts w:ascii="Times New Roman" w:hAnsi="Times New Roman" w:cs="Times New Roman"/>
          <w:i/>
          <w:sz w:val="24"/>
          <w:szCs w:val="24"/>
        </w:rPr>
        <w:t>infrastruktūras izveidei Natura 2000 teritorijās, 2011.-2013., milj. LVL</w:t>
      </w:r>
    </w:p>
    <w:p w:rsidR="00DE2850" w:rsidRDefault="00DE2850" w:rsidP="00ED46CC">
      <w:pPr>
        <w:spacing w:before="120" w:after="0"/>
      </w:pPr>
    </w:p>
    <w:p w:rsidR="00ED46CC" w:rsidRDefault="00ED46CC">
      <w:r>
        <w:br w:type="page"/>
      </w:r>
    </w:p>
    <w:p w:rsidR="00F11B15" w:rsidRPr="00A72FD7" w:rsidRDefault="00F11B15" w:rsidP="00A72FD7">
      <w:pPr>
        <w:pStyle w:val="Heading1"/>
        <w:spacing w:before="120" w:after="240"/>
        <w:rPr>
          <w:rFonts w:ascii="Times New Roman" w:hAnsi="Times New Roman" w:cs="Times New Roman"/>
          <w:caps/>
          <w:color w:val="0070C0"/>
          <w:sz w:val="28"/>
          <w:szCs w:val="28"/>
        </w:rPr>
      </w:pPr>
      <w:bookmarkStart w:id="53" w:name="_Toc391887127"/>
      <w:r w:rsidRPr="00A72FD7">
        <w:rPr>
          <w:rFonts w:ascii="Times New Roman" w:hAnsi="Times New Roman" w:cs="Times New Roman"/>
          <w:caps/>
          <w:color w:val="0070C0"/>
          <w:sz w:val="28"/>
          <w:szCs w:val="28"/>
        </w:rPr>
        <w:lastRenderedPageBreak/>
        <w:t>Investīcijas vēsturiski piesārņoto vietu sanācijā</w:t>
      </w:r>
      <w:bookmarkEnd w:id="21"/>
      <w:bookmarkEnd w:id="53"/>
    </w:p>
    <w:p w:rsidR="00F11B15" w:rsidRPr="00A72FD7" w:rsidRDefault="00F11B15" w:rsidP="00A72FD7">
      <w:pPr>
        <w:spacing w:before="120" w:after="0" w:line="240" w:lineRule="auto"/>
        <w:jc w:val="both"/>
        <w:rPr>
          <w:rFonts w:ascii="Times New Roman" w:hAnsi="Times New Roman" w:cs="Times New Roman"/>
          <w:sz w:val="24"/>
          <w:szCs w:val="24"/>
        </w:rPr>
      </w:pPr>
      <w:r w:rsidRPr="00A72FD7">
        <w:rPr>
          <w:rFonts w:ascii="Times New Roman" w:hAnsi="Times New Roman" w:cs="Times New Roman"/>
          <w:sz w:val="24"/>
          <w:szCs w:val="24"/>
        </w:rPr>
        <w:t xml:space="preserve">Pārskata periodā ar ERAF finansējuma atbalstu pabeigti Jelgavas šķidro bīstamo atkritumu izgāztuves „Kosmoss” sanācijas darbi – no vēsturiskā piesārņojuma attīrīta piesārņota vieta 5,16 ha platībā, kā arī novērsta turpmāka piesārņojošo vielu, īpaši smago metālu, emisija no izgāztuves pazemes ūdeņos, un turpmāka piesārņojuma izplatīšanās izgāztuvei pieguļošās teritorijas gruntsūdeņos, virszemes ūdeņos, kā arī gruntī un augsnē. </w:t>
      </w:r>
    </w:p>
    <w:p w:rsidR="00F11B15" w:rsidRPr="00A72FD7" w:rsidRDefault="00F11B15" w:rsidP="00A72FD7">
      <w:pPr>
        <w:spacing w:before="120" w:after="0" w:line="240" w:lineRule="auto"/>
        <w:jc w:val="both"/>
        <w:rPr>
          <w:rFonts w:ascii="Times New Roman" w:hAnsi="Times New Roman" w:cs="Times New Roman"/>
          <w:sz w:val="24"/>
          <w:szCs w:val="24"/>
        </w:rPr>
      </w:pPr>
      <w:r w:rsidRPr="00A72FD7">
        <w:rPr>
          <w:rFonts w:ascii="Times New Roman" w:hAnsi="Times New Roman" w:cs="Times New Roman"/>
          <w:sz w:val="24"/>
          <w:szCs w:val="24"/>
        </w:rPr>
        <w:t xml:space="preserve">2013.gadā turpinājās pārējo trīs projektu – Olaines šķidro bīstamo atkritumu izgāztuves, </w:t>
      </w:r>
      <w:r w:rsidRPr="00A72FD7">
        <w:rPr>
          <w:rFonts w:ascii="Times New Roman" w:hAnsi="Times New Roman" w:cs="Times New Roman"/>
          <w:sz w:val="24"/>
          <w:szCs w:val="24"/>
          <w:lang w:eastAsia="lv-LV"/>
        </w:rPr>
        <w:t xml:space="preserve">Inčukalna sērskābo gudrona dīķu un Liepājas ostas Karostas kanāla sanācijas darbu </w:t>
      </w:r>
      <w:r w:rsidRPr="00A72FD7">
        <w:rPr>
          <w:rFonts w:ascii="Times New Roman" w:hAnsi="Times New Roman" w:cs="Times New Roman"/>
          <w:sz w:val="24"/>
          <w:szCs w:val="24"/>
        </w:rPr>
        <w:t xml:space="preserve">īstenošana. </w:t>
      </w:r>
    </w:p>
    <w:p w:rsidR="00F11B15" w:rsidRPr="00A72FD7" w:rsidRDefault="00F11B15" w:rsidP="00A72FD7">
      <w:pPr>
        <w:spacing w:before="120" w:after="0" w:line="240" w:lineRule="auto"/>
        <w:jc w:val="both"/>
        <w:rPr>
          <w:rFonts w:ascii="Times New Roman" w:hAnsi="Times New Roman" w:cs="Times New Roman"/>
          <w:sz w:val="24"/>
          <w:szCs w:val="24"/>
        </w:rPr>
      </w:pPr>
      <w:r w:rsidRPr="00A72FD7">
        <w:rPr>
          <w:rFonts w:ascii="Times New Roman" w:hAnsi="Times New Roman" w:cs="Times New Roman"/>
          <w:sz w:val="24"/>
          <w:szCs w:val="24"/>
        </w:rPr>
        <w:t>Vēsturiski piesārņoto vietu sanācijai pieejams KF un ERAF finansējums. Kopumā vēsturiski piesārņoto vietu sanācijas projektos ieguldīti 16,50 milj. latu, no tiem ES fondu finansējums ir 12,59 milj. latu, valsts budžeta finansējums – 3,53 milj. latu un projekta īstenotāja (Liepājas speciālās ekonomiskās zonas pārvalde) ieguldītie līdzekļi – 0,38 milj. latu (</w:t>
      </w:r>
      <w:r w:rsidR="00A534FC">
        <w:rPr>
          <w:rFonts w:ascii="Times New Roman" w:hAnsi="Times New Roman" w:cs="Times New Roman"/>
          <w:i/>
          <w:sz w:val="24"/>
          <w:szCs w:val="24"/>
        </w:rPr>
        <w:t>24</w:t>
      </w:r>
      <w:r w:rsidRPr="00A72FD7">
        <w:rPr>
          <w:rFonts w:ascii="Times New Roman" w:hAnsi="Times New Roman" w:cs="Times New Roman"/>
          <w:i/>
          <w:sz w:val="24"/>
          <w:szCs w:val="24"/>
        </w:rPr>
        <w:t>.attēls</w:t>
      </w:r>
      <w:r w:rsidRPr="00A72FD7">
        <w:rPr>
          <w:rFonts w:ascii="Times New Roman" w:hAnsi="Times New Roman" w:cs="Times New Roman"/>
          <w:sz w:val="24"/>
          <w:szCs w:val="24"/>
        </w:rPr>
        <w:t>).</w:t>
      </w:r>
    </w:p>
    <w:p w:rsidR="00F11B15" w:rsidRPr="00A72FD7" w:rsidRDefault="00F11B15" w:rsidP="00A72FD7">
      <w:pPr>
        <w:spacing w:before="120" w:after="0" w:line="240" w:lineRule="auto"/>
        <w:jc w:val="center"/>
        <w:rPr>
          <w:rFonts w:ascii="Times New Roman" w:hAnsi="Times New Roman" w:cs="Times New Roman"/>
          <w:sz w:val="24"/>
          <w:szCs w:val="24"/>
        </w:rPr>
      </w:pPr>
      <w:r w:rsidRPr="00A72FD7">
        <w:rPr>
          <w:rFonts w:ascii="Times New Roman" w:hAnsi="Times New Roman" w:cs="Times New Roman"/>
          <w:noProof/>
          <w:sz w:val="24"/>
          <w:szCs w:val="24"/>
          <w:lang w:eastAsia="lv-LV"/>
        </w:rPr>
        <w:drawing>
          <wp:inline distT="0" distB="0" distL="0" distR="0">
            <wp:extent cx="4572000" cy="2743200"/>
            <wp:effectExtent l="19050" t="0" r="0" b="0"/>
            <wp:docPr id="2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F11B15" w:rsidRPr="00A72FD7" w:rsidRDefault="00A534FC" w:rsidP="00A534FC">
      <w:pPr>
        <w:spacing w:after="0" w:line="240" w:lineRule="auto"/>
        <w:jc w:val="both"/>
        <w:rPr>
          <w:rFonts w:ascii="Times New Roman" w:hAnsi="Times New Roman" w:cs="Times New Roman"/>
          <w:i/>
          <w:sz w:val="24"/>
          <w:szCs w:val="24"/>
        </w:rPr>
      </w:pPr>
      <w:r>
        <w:rPr>
          <w:rFonts w:ascii="Times New Roman" w:hAnsi="Times New Roman" w:cs="Times New Roman"/>
          <w:i/>
          <w:color w:val="000000"/>
          <w:sz w:val="24"/>
          <w:szCs w:val="24"/>
          <w:lang w:eastAsia="lv-LV"/>
        </w:rPr>
        <w:t>24</w:t>
      </w:r>
      <w:r w:rsidR="00A72FD7" w:rsidRPr="00A72FD7">
        <w:rPr>
          <w:rFonts w:ascii="Times New Roman" w:hAnsi="Times New Roman" w:cs="Times New Roman"/>
          <w:i/>
          <w:color w:val="000000"/>
          <w:sz w:val="24"/>
          <w:szCs w:val="24"/>
          <w:lang w:eastAsia="lv-LV"/>
        </w:rPr>
        <w:t>.</w:t>
      </w:r>
      <w:r w:rsidR="00F11B15" w:rsidRPr="00A72FD7">
        <w:rPr>
          <w:rFonts w:ascii="Times New Roman" w:hAnsi="Times New Roman" w:cs="Times New Roman"/>
          <w:i/>
          <w:color w:val="000000"/>
          <w:sz w:val="24"/>
          <w:szCs w:val="24"/>
          <w:lang w:eastAsia="lv-LV"/>
        </w:rPr>
        <w:t xml:space="preserve"> attēls.</w:t>
      </w:r>
      <w:r w:rsidR="00F11B15" w:rsidRPr="00A72FD7">
        <w:rPr>
          <w:rFonts w:ascii="Times New Roman" w:hAnsi="Times New Roman" w:cs="Times New Roman"/>
          <w:color w:val="000000"/>
          <w:sz w:val="24"/>
          <w:szCs w:val="24"/>
          <w:lang w:eastAsia="lv-LV"/>
        </w:rPr>
        <w:t xml:space="preserve"> </w:t>
      </w:r>
      <w:r w:rsidR="00F11B15" w:rsidRPr="00A72FD7">
        <w:rPr>
          <w:rFonts w:ascii="Times New Roman" w:hAnsi="Times New Roman" w:cs="Times New Roman"/>
          <w:i/>
          <w:sz w:val="24"/>
          <w:szCs w:val="24"/>
        </w:rPr>
        <w:t>Investīcijas vēsturiski piesārņoto vietu sanācijā, milj. LVL</w:t>
      </w:r>
    </w:p>
    <w:p w:rsidR="00F11B15" w:rsidRPr="00A72FD7" w:rsidRDefault="00F11B15" w:rsidP="00A72FD7">
      <w:pPr>
        <w:spacing w:before="120" w:after="0" w:line="240" w:lineRule="auto"/>
        <w:jc w:val="both"/>
        <w:rPr>
          <w:rFonts w:ascii="Times New Roman" w:hAnsi="Times New Roman" w:cs="Times New Roman"/>
          <w:color w:val="000000"/>
          <w:sz w:val="24"/>
          <w:szCs w:val="24"/>
          <w:lang w:eastAsia="lv-LV"/>
        </w:rPr>
      </w:pPr>
    </w:p>
    <w:p w:rsidR="00F11B15" w:rsidRPr="00A72FD7" w:rsidRDefault="00F11B15" w:rsidP="00A72FD7">
      <w:pPr>
        <w:spacing w:before="120" w:after="0" w:line="240" w:lineRule="auto"/>
        <w:jc w:val="both"/>
        <w:rPr>
          <w:rFonts w:ascii="Times New Roman" w:hAnsi="Times New Roman" w:cs="Times New Roman"/>
          <w:color w:val="000000"/>
          <w:sz w:val="24"/>
          <w:szCs w:val="24"/>
          <w:lang w:eastAsia="lv-LV"/>
        </w:rPr>
      </w:pPr>
      <w:r w:rsidRPr="00A72FD7">
        <w:rPr>
          <w:rFonts w:ascii="Times New Roman" w:hAnsi="Times New Roman" w:cs="Times New Roman"/>
          <w:color w:val="000000"/>
          <w:sz w:val="24"/>
          <w:szCs w:val="24"/>
          <w:lang w:eastAsia="lv-LV"/>
        </w:rPr>
        <w:t>2013.gadā sanācijas darbos ieguldīti 3,08 milj. latu, no kuriem 2,52 milj. latu ir ES fondu finansējums (KF un ERAF līdzfinansējums), valsts budžeta finansējums sastādīja 0,20 milj. latu un privātais finansējums ir 0,36 milj. latu (</w:t>
      </w:r>
      <w:r w:rsidR="00A72FD7" w:rsidRPr="00A72FD7">
        <w:rPr>
          <w:rFonts w:ascii="Times New Roman" w:hAnsi="Times New Roman" w:cs="Times New Roman"/>
          <w:i/>
          <w:color w:val="000000"/>
          <w:sz w:val="24"/>
          <w:szCs w:val="24"/>
          <w:lang w:eastAsia="lv-LV"/>
        </w:rPr>
        <w:t>2</w:t>
      </w:r>
      <w:r w:rsidR="00A534FC">
        <w:rPr>
          <w:rFonts w:ascii="Times New Roman" w:hAnsi="Times New Roman" w:cs="Times New Roman"/>
          <w:i/>
          <w:color w:val="000000"/>
          <w:sz w:val="24"/>
          <w:szCs w:val="24"/>
          <w:lang w:eastAsia="lv-LV"/>
        </w:rPr>
        <w:t>5</w:t>
      </w:r>
      <w:r w:rsidRPr="00A72FD7">
        <w:rPr>
          <w:rFonts w:ascii="Times New Roman" w:hAnsi="Times New Roman" w:cs="Times New Roman"/>
          <w:i/>
          <w:color w:val="000000"/>
          <w:sz w:val="24"/>
          <w:szCs w:val="24"/>
          <w:lang w:eastAsia="lv-LV"/>
        </w:rPr>
        <w:t>.attēls</w:t>
      </w:r>
      <w:r w:rsidRPr="00A72FD7">
        <w:rPr>
          <w:rFonts w:ascii="Times New Roman" w:hAnsi="Times New Roman" w:cs="Times New Roman"/>
          <w:color w:val="000000"/>
          <w:sz w:val="24"/>
          <w:szCs w:val="24"/>
          <w:lang w:eastAsia="lv-LV"/>
        </w:rPr>
        <w:t xml:space="preserve">). </w:t>
      </w:r>
    </w:p>
    <w:p w:rsidR="00F11B15" w:rsidRPr="00A72FD7" w:rsidRDefault="00F11B15" w:rsidP="00A72FD7">
      <w:pPr>
        <w:spacing w:before="120" w:after="0" w:line="240" w:lineRule="auto"/>
        <w:jc w:val="center"/>
        <w:rPr>
          <w:rFonts w:ascii="Times New Roman" w:hAnsi="Times New Roman" w:cs="Times New Roman"/>
          <w:color w:val="000000"/>
          <w:sz w:val="24"/>
          <w:szCs w:val="24"/>
          <w:lang w:eastAsia="lv-LV"/>
        </w:rPr>
      </w:pPr>
      <w:r w:rsidRPr="00A72FD7">
        <w:rPr>
          <w:rFonts w:ascii="Times New Roman" w:hAnsi="Times New Roman" w:cs="Times New Roman"/>
          <w:noProof/>
          <w:color w:val="000000"/>
          <w:sz w:val="24"/>
          <w:szCs w:val="24"/>
          <w:lang w:eastAsia="lv-LV"/>
        </w:rPr>
        <w:lastRenderedPageBreak/>
        <w:drawing>
          <wp:inline distT="0" distB="0" distL="0" distR="0">
            <wp:extent cx="5486400" cy="2733675"/>
            <wp:effectExtent l="19050" t="0" r="0" b="0"/>
            <wp:docPr id="2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F11B15" w:rsidRDefault="00A72FD7" w:rsidP="00A534FC">
      <w:pPr>
        <w:spacing w:after="120" w:line="240" w:lineRule="auto"/>
        <w:jc w:val="both"/>
        <w:rPr>
          <w:rFonts w:ascii="Times New Roman" w:hAnsi="Times New Roman" w:cs="Times New Roman"/>
          <w:i/>
          <w:color w:val="000000"/>
          <w:sz w:val="24"/>
          <w:szCs w:val="24"/>
          <w:lang w:eastAsia="lv-LV"/>
        </w:rPr>
      </w:pPr>
      <w:r>
        <w:rPr>
          <w:rFonts w:ascii="Times New Roman" w:hAnsi="Times New Roman" w:cs="Times New Roman"/>
          <w:i/>
          <w:sz w:val="24"/>
          <w:szCs w:val="24"/>
          <w:lang w:eastAsia="lv-LV"/>
        </w:rPr>
        <w:t>2</w:t>
      </w:r>
      <w:r w:rsidR="00A534FC">
        <w:rPr>
          <w:rFonts w:ascii="Times New Roman" w:hAnsi="Times New Roman" w:cs="Times New Roman"/>
          <w:i/>
          <w:sz w:val="24"/>
          <w:szCs w:val="24"/>
          <w:lang w:eastAsia="lv-LV"/>
        </w:rPr>
        <w:t>5</w:t>
      </w:r>
      <w:r>
        <w:rPr>
          <w:rFonts w:ascii="Times New Roman" w:hAnsi="Times New Roman" w:cs="Times New Roman"/>
          <w:i/>
          <w:sz w:val="24"/>
          <w:szCs w:val="24"/>
          <w:lang w:eastAsia="lv-LV"/>
        </w:rPr>
        <w:t xml:space="preserve">. </w:t>
      </w:r>
      <w:r w:rsidR="00F11B15" w:rsidRPr="00A72FD7">
        <w:rPr>
          <w:rFonts w:ascii="Times New Roman" w:hAnsi="Times New Roman" w:cs="Times New Roman"/>
          <w:i/>
          <w:sz w:val="24"/>
          <w:szCs w:val="24"/>
          <w:lang w:eastAsia="lv-LV"/>
        </w:rPr>
        <w:t>attēls</w:t>
      </w:r>
      <w:r>
        <w:rPr>
          <w:rFonts w:ascii="Times New Roman" w:hAnsi="Times New Roman" w:cs="Times New Roman"/>
          <w:i/>
          <w:sz w:val="24"/>
          <w:szCs w:val="24"/>
          <w:lang w:eastAsia="lv-LV"/>
        </w:rPr>
        <w:t>.</w:t>
      </w:r>
      <w:r w:rsidR="00F11B15" w:rsidRPr="00A72FD7">
        <w:rPr>
          <w:rFonts w:ascii="Times New Roman" w:hAnsi="Times New Roman" w:cs="Times New Roman"/>
          <w:i/>
          <w:color w:val="000000"/>
          <w:sz w:val="24"/>
          <w:szCs w:val="24"/>
          <w:lang w:eastAsia="lv-LV"/>
        </w:rPr>
        <w:t xml:space="preserve"> Sanācijas projektos ieguldītais finansējums, 2013., milj. LVL </w:t>
      </w:r>
      <w:bookmarkStart w:id="54" w:name="OLE_LINK2"/>
    </w:p>
    <w:p w:rsidR="00665509" w:rsidRPr="00665509" w:rsidRDefault="00665509" w:rsidP="00A534FC">
      <w:pPr>
        <w:spacing w:after="120" w:line="240" w:lineRule="auto"/>
        <w:jc w:val="both"/>
        <w:rPr>
          <w:rFonts w:ascii="Times New Roman" w:hAnsi="Times New Roman" w:cs="Times New Roman"/>
          <w:color w:val="000000"/>
          <w:sz w:val="24"/>
          <w:szCs w:val="24"/>
          <w:lang w:eastAsia="lv-LV"/>
        </w:rPr>
      </w:pPr>
    </w:p>
    <w:p w:rsidR="00A534FC" w:rsidRDefault="00A534FC">
      <w:pPr>
        <w:rPr>
          <w:rFonts w:ascii="Times New Roman" w:hAnsi="Times New Roman" w:cs="Times New Roman"/>
          <w:color w:val="000000"/>
          <w:sz w:val="24"/>
          <w:szCs w:val="24"/>
          <w:lang w:eastAsia="lv-LV"/>
        </w:rPr>
      </w:pPr>
      <w:r>
        <w:rPr>
          <w:rFonts w:ascii="Times New Roman" w:hAnsi="Times New Roman" w:cs="Times New Roman"/>
          <w:color w:val="000000"/>
          <w:sz w:val="24"/>
          <w:szCs w:val="24"/>
          <w:lang w:eastAsia="lv-LV"/>
        </w:rPr>
        <w:br w:type="page"/>
      </w:r>
    </w:p>
    <w:p w:rsidR="00F11B15" w:rsidRPr="00A72FD7" w:rsidRDefault="00F11B15" w:rsidP="00A72FD7">
      <w:pPr>
        <w:pStyle w:val="Heading1"/>
        <w:spacing w:before="120" w:after="240"/>
        <w:rPr>
          <w:rFonts w:ascii="Times New Roman" w:hAnsi="Times New Roman" w:cs="Times New Roman"/>
          <w:caps/>
          <w:color w:val="0070C0"/>
          <w:sz w:val="28"/>
          <w:szCs w:val="28"/>
        </w:rPr>
      </w:pPr>
      <w:bookmarkStart w:id="55" w:name="_Toc329178275"/>
      <w:bookmarkStart w:id="56" w:name="_Toc391887128"/>
      <w:bookmarkEnd w:id="54"/>
      <w:r w:rsidRPr="00A72FD7">
        <w:rPr>
          <w:rFonts w:ascii="Times New Roman" w:hAnsi="Times New Roman" w:cs="Times New Roman"/>
          <w:caps/>
          <w:color w:val="0070C0"/>
          <w:sz w:val="28"/>
          <w:szCs w:val="28"/>
        </w:rPr>
        <w:lastRenderedPageBreak/>
        <w:t>Investīcijas vides risku novēršanā</w:t>
      </w:r>
      <w:bookmarkEnd w:id="55"/>
      <w:bookmarkEnd w:id="56"/>
    </w:p>
    <w:p w:rsidR="00F11B15" w:rsidRPr="00A72FD7" w:rsidRDefault="00F11B15" w:rsidP="00A72FD7">
      <w:pPr>
        <w:spacing w:before="120" w:after="0" w:line="240" w:lineRule="auto"/>
        <w:jc w:val="both"/>
        <w:rPr>
          <w:rFonts w:ascii="Times New Roman" w:hAnsi="Times New Roman" w:cs="Times New Roman"/>
          <w:sz w:val="24"/>
          <w:szCs w:val="24"/>
        </w:rPr>
      </w:pPr>
      <w:r w:rsidRPr="00A72FD7">
        <w:rPr>
          <w:rFonts w:ascii="Times New Roman" w:hAnsi="Times New Roman" w:cs="Times New Roman"/>
          <w:sz w:val="24"/>
          <w:szCs w:val="24"/>
        </w:rPr>
        <w:t>Hidrotehnisko būvju rekonstrukcijas plūdu draudu risku samazināšanai apakšaktivitātē 2013. gadā uzsākta divu projektu īstenošana – Lubāna ezera hidrotehnisko būvju kompleksa aizsargspēju palielināšana pieguļošo teritoriju aizsardzībai pret plūdu draudiem – 1.kārta Dienvidaustrumu dambja rekonstrukcija un Jāņa kolektora rekonstrukcija plūdu draudu novēršanai un samazināšanai Jelgavā. Lubāna ezera pieguļošajās teritorijās plānots likvidēt plūdu draudus veicot Dienvidaustrumu dambja rekonstrukciju 12 800 m garumā, Jelgavas pilsētā tiks rekonstruēts avārijas stāvoklī esošais Jāņa ielas kolektors, veicot pārbūvi posmā no Pasta ielas līdz izlaidei Driksas upē. Projektiem apstiprinātais kopējais finansējums ir 2,35 milj. latu, no tiem ERAF finansējums ir 2,24 milj. latu.</w:t>
      </w:r>
    </w:p>
    <w:p w:rsidR="00F11B15" w:rsidRPr="00A72FD7" w:rsidRDefault="00F11B15" w:rsidP="00A72FD7">
      <w:pPr>
        <w:spacing w:before="120" w:after="0" w:line="240" w:lineRule="auto"/>
        <w:rPr>
          <w:rFonts w:ascii="Times New Roman" w:hAnsi="Times New Roman" w:cs="Times New Roman"/>
          <w:sz w:val="24"/>
          <w:szCs w:val="24"/>
        </w:rPr>
      </w:pPr>
      <w:r w:rsidRPr="00A72FD7">
        <w:rPr>
          <w:rFonts w:ascii="Times New Roman" w:hAnsi="Times New Roman" w:cs="Times New Roman"/>
          <w:noProof/>
          <w:sz w:val="24"/>
          <w:szCs w:val="24"/>
          <w:lang w:eastAsia="lv-LV"/>
        </w:rPr>
        <w:drawing>
          <wp:inline distT="0" distB="0" distL="0" distR="0">
            <wp:extent cx="5229225" cy="2790825"/>
            <wp:effectExtent l="0" t="38100" r="0" b="0"/>
            <wp:docPr id="2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rsidR="00F11B15" w:rsidRPr="00A72FD7" w:rsidRDefault="00F11B15" w:rsidP="00A72FD7">
      <w:pPr>
        <w:spacing w:before="120" w:after="0" w:line="240" w:lineRule="auto"/>
        <w:jc w:val="both"/>
        <w:rPr>
          <w:rFonts w:ascii="Times New Roman" w:hAnsi="Times New Roman" w:cs="Times New Roman"/>
          <w:sz w:val="24"/>
          <w:szCs w:val="24"/>
        </w:rPr>
      </w:pPr>
    </w:p>
    <w:p w:rsidR="00F11B15" w:rsidRPr="00A72FD7" w:rsidRDefault="00F11B15" w:rsidP="00A72FD7">
      <w:pPr>
        <w:spacing w:before="120" w:after="0" w:line="240" w:lineRule="auto"/>
        <w:jc w:val="both"/>
        <w:rPr>
          <w:rFonts w:ascii="Times New Roman" w:hAnsi="Times New Roman" w:cs="Times New Roman"/>
          <w:noProof/>
          <w:sz w:val="24"/>
          <w:szCs w:val="24"/>
          <w:lang w:eastAsia="lv-LV"/>
        </w:rPr>
      </w:pPr>
      <w:r w:rsidRPr="00A72FD7">
        <w:rPr>
          <w:rFonts w:ascii="Times New Roman" w:hAnsi="Times New Roman" w:cs="Times New Roman"/>
          <w:color w:val="000000"/>
          <w:sz w:val="24"/>
          <w:szCs w:val="24"/>
          <w:lang w:eastAsia="lv-LV"/>
        </w:rPr>
        <w:t>2013. gadā hidrotehnisko būvju rekonstrukcijas un plūdu risku samazināšanas projektos ieguldīti 1,85 milj. latu, no kuriem 1,65 milj. latu ir ERAF līdzfinansējums un 0,20 milj. latu pašvaldību budžeta finansējums (</w:t>
      </w:r>
      <w:r w:rsidR="00A72FD7" w:rsidRPr="00A72FD7">
        <w:rPr>
          <w:rFonts w:ascii="Times New Roman" w:hAnsi="Times New Roman" w:cs="Times New Roman"/>
          <w:i/>
          <w:color w:val="000000"/>
          <w:sz w:val="24"/>
          <w:szCs w:val="24"/>
          <w:lang w:eastAsia="lv-LV"/>
        </w:rPr>
        <w:t>2</w:t>
      </w:r>
      <w:r w:rsidR="00A534FC">
        <w:rPr>
          <w:rFonts w:ascii="Times New Roman" w:hAnsi="Times New Roman" w:cs="Times New Roman"/>
          <w:i/>
          <w:color w:val="000000"/>
          <w:sz w:val="24"/>
          <w:szCs w:val="24"/>
          <w:lang w:eastAsia="lv-LV"/>
        </w:rPr>
        <w:t>6</w:t>
      </w:r>
      <w:r w:rsidRPr="00A72FD7">
        <w:rPr>
          <w:rFonts w:ascii="Times New Roman" w:hAnsi="Times New Roman" w:cs="Times New Roman"/>
          <w:i/>
          <w:color w:val="000000"/>
          <w:sz w:val="24"/>
          <w:szCs w:val="24"/>
          <w:lang w:eastAsia="lv-LV"/>
        </w:rPr>
        <w:t>. attēls</w:t>
      </w:r>
      <w:r w:rsidRPr="00A72FD7">
        <w:rPr>
          <w:rFonts w:ascii="Times New Roman" w:hAnsi="Times New Roman" w:cs="Times New Roman"/>
          <w:color w:val="000000"/>
          <w:sz w:val="24"/>
          <w:szCs w:val="24"/>
          <w:lang w:eastAsia="lv-LV"/>
        </w:rPr>
        <w:t>).</w:t>
      </w:r>
    </w:p>
    <w:p w:rsidR="00F11B15" w:rsidRPr="00A72FD7" w:rsidRDefault="00F11B15" w:rsidP="00A72FD7">
      <w:pPr>
        <w:spacing w:before="120" w:after="0" w:line="240" w:lineRule="auto"/>
        <w:jc w:val="center"/>
        <w:rPr>
          <w:rFonts w:ascii="Times New Roman" w:hAnsi="Times New Roman" w:cs="Times New Roman"/>
          <w:color w:val="000000"/>
          <w:sz w:val="24"/>
          <w:szCs w:val="24"/>
          <w:lang w:eastAsia="lv-LV"/>
        </w:rPr>
      </w:pPr>
      <w:r w:rsidRPr="00A72FD7">
        <w:rPr>
          <w:rFonts w:ascii="Times New Roman" w:hAnsi="Times New Roman" w:cs="Times New Roman"/>
          <w:noProof/>
          <w:color w:val="000000"/>
          <w:sz w:val="24"/>
          <w:szCs w:val="24"/>
          <w:lang w:eastAsia="lv-LV"/>
        </w:rPr>
        <w:lastRenderedPageBreak/>
        <w:drawing>
          <wp:inline distT="0" distB="0" distL="0" distR="0">
            <wp:extent cx="4572000" cy="2743200"/>
            <wp:effectExtent l="19050" t="0" r="0" b="0"/>
            <wp:docPr id="2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F11B15" w:rsidRDefault="00F11B15" w:rsidP="00A534FC">
      <w:pPr>
        <w:pStyle w:val="NormalWeb"/>
        <w:spacing w:before="0" w:beforeAutospacing="0" w:after="0" w:afterAutospacing="0"/>
        <w:jc w:val="both"/>
        <w:rPr>
          <w:i/>
          <w:color w:val="000000"/>
          <w:lang w:val="lv-LV" w:eastAsia="lv-LV"/>
        </w:rPr>
      </w:pPr>
      <w:r w:rsidRPr="00A72FD7">
        <w:rPr>
          <w:i/>
          <w:color w:val="000000"/>
          <w:lang w:val="lv-LV" w:eastAsia="lv-LV"/>
        </w:rPr>
        <w:t>2</w:t>
      </w:r>
      <w:r w:rsidR="00A534FC">
        <w:rPr>
          <w:i/>
          <w:color w:val="000000"/>
          <w:lang w:val="lv-LV" w:eastAsia="lv-LV"/>
        </w:rPr>
        <w:t>6</w:t>
      </w:r>
      <w:r w:rsidRPr="00A72FD7">
        <w:rPr>
          <w:i/>
          <w:color w:val="000000"/>
          <w:lang w:val="lv-LV" w:eastAsia="lv-LV"/>
        </w:rPr>
        <w:t>. attēls. Vides risku novēršanas projektos ieguldītais finansējums, 2013., milj. LVL</w:t>
      </w:r>
    </w:p>
    <w:p w:rsidR="00EB3B35" w:rsidRPr="00A72FD7" w:rsidRDefault="00EB3B35" w:rsidP="00A534FC">
      <w:pPr>
        <w:pStyle w:val="NormalWeb"/>
        <w:spacing w:before="0" w:beforeAutospacing="0" w:after="0" w:afterAutospacing="0"/>
        <w:jc w:val="both"/>
        <w:rPr>
          <w:lang w:val="lv-LV"/>
        </w:rPr>
      </w:pPr>
    </w:p>
    <w:p w:rsidR="00F11B15" w:rsidRPr="00306360" w:rsidRDefault="00614B5C" w:rsidP="00EB3B35">
      <w:pPr>
        <w:pStyle w:val="NormalWeb"/>
        <w:spacing w:before="120" w:beforeAutospacing="0" w:after="0" w:afterAutospacing="0"/>
        <w:jc w:val="both"/>
        <w:rPr>
          <w:lang w:val="lv-LV"/>
        </w:rPr>
      </w:pPr>
      <w:r w:rsidRPr="00614B5C">
        <w:rPr>
          <w:noProof/>
          <w:lang w:eastAsia="lv-LV"/>
        </w:rPr>
        <w:pict>
          <v:group id="_x0000_s1104" editas="canvas" style="position:absolute;left:0;text-align:left;margin-left:1941.75pt;margin-top:255.15pt;width:255.75pt;height:199.7pt;z-index:251679744;mso-position-horizontal:right;mso-position-horizontal-relative:margin;mso-position-vertical-relative:margin" coordorigin="2361,13893" coordsize="4435,3461">
            <o:lock v:ext="edit" aspectratio="t"/>
            <v:shape id="_x0000_s1105" type="#_x0000_t75" style="position:absolute;left:2361;top:13893;width:4435;height:3461" o:preferrelative="f">
              <v:fill o:detectmouseclick="t"/>
              <v:path o:extrusionok="t" o:connecttype="none"/>
              <o:lock v:ext="edit" text="t"/>
            </v:shape>
            <v:shape id="_x0000_s1106" type="#_x0000_t202" style="position:absolute;left:2361;top:16841;width:4432;height:513" stroked="f">
              <v:textbox style="mso-next-textbox:#_x0000_s1106">
                <w:txbxContent>
                  <w:p w:rsidR="00A04249" w:rsidRDefault="00A04249" w:rsidP="00831B94">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Jēkabpils aizsargdambis</w:t>
                    </w:r>
                  </w:p>
                  <w:p w:rsidR="00A04249" w:rsidRPr="00772DB0" w:rsidRDefault="00A04249" w:rsidP="00831B94">
                    <w:pPr>
                      <w:spacing w:after="0" w:line="240" w:lineRule="auto"/>
                      <w:ind w:left="-113"/>
                      <w:jc w:val="both"/>
                      <w:rPr>
                        <w:rFonts w:ascii="Times New Roman" w:hAnsi="Times New Roman" w:cs="Times New Roman"/>
                        <w:color w:val="0070C0"/>
                        <w:sz w:val="20"/>
                        <w:szCs w:val="20"/>
                      </w:rPr>
                    </w:pPr>
                    <w:r>
                      <w:rPr>
                        <w:rFonts w:ascii="Times New Roman" w:hAnsi="Times New Roman" w:cs="Times New Roman"/>
                        <w:color w:val="0070C0"/>
                        <w:sz w:val="20"/>
                        <w:szCs w:val="20"/>
                      </w:rPr>
                      <w:t>Jēkabpils novada pašvaldība ERAF</w:t>
                    </w:r>
                    <w:r w:rsidRPr="00772DB0">
                      <w:rPr>
                        <w:rFonts w:ascii="Times New Roman" w:hAnsi="Times New Roman" w:cs="Times New Roman"/>
                        <w:color w:val="0070C0"/>
                        <w:sz w:val="20"/>
                        <w:szCs w:val="20"/>
                      </w:rPr>
                      <w:t xml:space="preserve"> projekts</w:t>
                    </w:r>
                  </w:p>
                </w:txbxContent>
              </v:textbox>
            </v:shape>
            <v:shape id="_x0000_s1107" type="#_x0000_t75" style="position:absolute;left:2361;top:13893;width:4435;height:2948">
              <v:imagedata r:id="rId87" o:title="Jekabpils_pudi"/>
            </v:shape>
            <w10:wrap type="square" anchorx="margin" anchory="margin"/>
          </v:group>
        </w:pict>
      </w:r>
      <w:r w:rsidR="00F11B15" w:rsidRPr="00831B94">
        <w:rPr>
          <w:lang w:val="lv-LV"/>
        </w:rPr>
        <w:t xml:space="preserve">Pārskata periodā pilnībā pabeigti trīs projekti vides risku samazināšanai – t.sk. 2 projekti plūdu risku samazināšanas un 1 projekts hidrotehnisko būvju rekonstrukcijas plūdu draudu risku samazināšanai apakšaktivitātē. </w:t>
      </w:r>
      <w:r w:rsidR="00F11B15" w:rsidRPr="00614ADB">
        <w:rPr>
          <w:lang w:val="lv-LV"/>
        </w:rPr>
        <w:t xml:space="preserve">Jēkabpilī rekonstruēts </w:t>
      </w:r>
      <w:r w:rsidR="00F11B15" w:rsidRPr="00614ADB">
        <w:rPr>
          <w:color w:val="000000"/>
          <w:lang w:val="lv-LV"/>
        </w:rPr>
        <w:t xml:space="preserve">Daugavas kreisā un labā krasta aizsargdambis – attiecīgi 3,8 km un 1,1 km garumā, uzbūvējot to 600 līdz 800 cm augstumā, kā arī 150 metru garumā rekonstruēts labā krasta betona aizsargdambis. </w:t>
      </w:r>
      <w:r w:rsidR="00F11B15" w:rsidRPr="00A04249">
        <w:rPr>
          <w:color w:val="000000"/>
          <w:lang w:val="lv-LV"/>
        </w:rPr>
        <w:t xml:space="preserve">Dambji tika veidoti kā pilsētas promenāde, no kuras paveras skats uz pilsētu abos upes krastos, ar sakoptu vidi, bruģētiem gājēju un veloceliņiem, atpūtas vietām un soliņiem. </w:t>
      </w:r>
      <w:r w:rsidR="00F11B15" w:rsidRPr="00306360">
        <w:rPr>
          <w:color w:val="000000"/>
          <w:lang w:val="lv-LV"/>
        </w:rPr>
        <w:t>Š</w:t>
      </w:r>
      <w:r w:rsidR="00306360" w:rsidRPr="00306360">
        <w:rPr>
          <w:color w:val="000000"/>
          <w:lang w:val="lv-LV"/>
        </w:rPr>
        <w:t>i</w:t>
      </w:r>
      <w:r w:rsidR="00F11B15" w:rsidRPr="00306360">
        <w:rPr>
          <w:color w:val="000000"/>
          <w:lang w:val="lv-LV"/>
        </w:rPr>
        <w:t>s projekts, kā viens no pirmajiem aizsargdambju rekonstrukcijas projektiem, rādija piemēru, ka būves funkcionalitāti var savienot ar pilsētas ainavas uzlabošanu, aizsargājot iedzīvotājus pret plūdiem un vienlaicīgi uzlabojot pilsētvidi.</w:t>
      </w:r>
      <w:r w:rsidR="00F11B15" w:rsidRPr="00306360">
        <w:rPr>
          <w:lang w:val="lv-LV"/>
        </w:rPr>
        <w:t xml:space="preserve"> </w:t>
      </w:r>
    </w:p>
    <w:p w:rsidR="00F11B15" w:rsidRDefault="00614B5C" w:rsidP="00A72FD7">
      <w:pPr>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pict>
          <v:group id="_x0000_s1127" editas="canvas" style="position:absolute;left:0;text-align:left;margin-left:3pt;margin-top:499.15pt;width:256pt;height:200.95pt;z-index:251680768;mso-position-horizontal-relative:margin;mso-position-vertical-relative:margin" coordorigin="2361,13893" coordsize="4439,3482">
            <o:lock v:ext="edit" aspectratio="t"/>
            <v:shape id="_x0000_s1128" type="#_x0000_t75" style="position:absolute;left:2361;top:13893;width:4439;height:3482" o:preferrelative="f">
              <v:fill o:detectmouseclick="t"/>
              <v:path o:extrusionok="t" o:connecttype="none"/>
              <o:lock v:ext="edit" text="t"/>
            </v:shape>
            <v:shape id="_x0000_s1129" type="#_x0000_t202" style="position:absolute;left:2361;top:16841;width:4432;height:534" stroked="f">
              <v:textbox style="mso-next-textbox:#_x0000_s1129">
                <w:txbxContent>
                  <w:p w:rsidR="00306360" w:rsidRDefault="00306360" w:rsidP="00306360">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Rekonstruētais Pļaviņu aizsargdambis</w:t>
                    </w:r>
                  </w:p>
                  <w:p w:rsidR="00306360" w:rsidRPr="00746321" w:rsidRDefault="00306360" w:rsidP="00306360">
                    <w:pPr>
                      <w:spacing w:after="0" w:line="240" w:lineRule="auto"/>
                      <w:ind w:left="-113"/>
                      <w:jc w:val="both"/>
                      <w:rPr>
                        <w:rFonts w:ascii="Times New Roman" w:hAnsi="Times New Roman" w:cs="Times New Roman"/>
                        <w:color w:val="0070C0"/>
                        <w:sz w:val="20"/>
                        <w:szCs w:val="20"/>
                      </w:rPr>
                    </w:pPr>
                    <w:r>
                      <w:rPr>
                        <w:rFonts w:ascii="Times New Roman" w:hAnsi="Times New Roman" w:cs="Times New Roman"/>
                        <w:color w:val="0070C0"/>
                        <w:sz w:val="20"/>
                        <w:szCs w:val="20"/>
                      </w:rPr>
                      <w:t>Pļaviņu novada domes ERAF</w:t>
                    </w:r>
                    <w:r w:rsidRPr="00772DB0">
                      <w:rPr>
                        <w:rFonts w:ascii="Times New Roman" w:hAnsi="Times New Roman" w:cs="Times New Roman"/>
                        <w:color w:val="0070C0"/>
                        <w:sz w:val="20"/>
                        <w:szCs w:val="20"/>
                      </w:rPr>
                      <w:t xml:space="preserve"> projekts</w:t>
                    </w:r>
                  </w:p>
                </w:txbxContent>
              </v:textbox>
            </v:shape>
            <v:shape id="_x0000_s1130" type="#_x0000_t75" style="position:absolute;left:2361;top:13893;width:4439;height:2948">
              <v:imagedata r:id="rId88" o:title="Plavinas_pludi"/>
            </v:shape>
            <w10:wrap type="square" anchorx="margin" anchory="margin"/>
          </v:group>
        </w:pict>
      </w:r>
      <w:r w:rsidR="00F11B15" w:rsidRPr="00A72FD7">
        <w:rPr>
          <w:rFonts w:ascii="Times New Roman" w:hAnsi="Times New Roman" w:cs="Times New Roman"/>
          <w:sz w:val="24"/>
          <w:szCs w:val="24"/>
        </w:rPr>
        <w:t xml:space="preserve">Pļaviņu aizsargdambja rekonstrukcijas projektā rekonstruēts Daugavas upes labā krasta aizsargdambis (Pļaviņu posms – ~1.9km) un Aiviekstes upes labā krasta aizsargdambis (Gostiņu posms – ~0.7km). </w:t>
      </w:r>
    </w:p>
    <w:p w:rsidR="00306360" w:rsidRPr="00A72FD7" w:rsidRDefault="00306360" w:rsidP="00A72FD7">
      <w:pPr>
        <w:spacing w:before="120" w:after="0" w:line="240" w:lineRule="auto"/>
        <w:jc w:val="both"/>
        <w:rPr>
          <w:rFonts w:ascii="Times New Roman" w:hAnsi="Times New Roman" w:cs="Times New Roman"/>
          <w:sz w:val="24"/>
          <w:szCs w:val="24"/>
        </w:rPr>
      </w:pPr>
    </w:p>
    <w:p w:rsidR="00306360" w:rsidRDefault="00306360" w:rsidP="00A72FD7">
      <w:pPr>
        <w:spacing w:before="120" w:after="0" w:line="240" w:lineRule="auto"/>
        <w:jc w:val="both"/>
        <w:rPr>
          <w:rFonts w:ascii="Times New Roman" w:hAnsi="Times New Roman" w:cs="Times New Roman"/>
          <w:noProof/>
          <w:sz w:val="24"/>
          <w:szCs w:val="24"/>
          <w:lang w:eastAsia="lv-LV"/>
        </w:rPr>
      </w:pPr>
    </w:p>
    <w:p w:rsidR="00306360" w:rsidRDefault="00306360" w:rsidP="00A72FD7">
      <w:pPr>
        <w:spacing w:before="120" w:after="0" w:line="240" w:lineRule="auto"/>
        <w:jc w:val="both"/>
        <w:rPr>
          <w:rFonts w:ascii="Times New Roman" w:hAnsi="Times New Roman" w:cs="Times New Roman"/>
          <w:noProof/>
          <w:sz w:val="24"/>
          <w:szCs w:val="24"/>
          <w:lang w:eastAsia="lv-LV"/>
        </w:rPr>
      </w:pPr>
    </w:p>
    <w:p w:rsidR="00F11B15" w:rsidRPr="00A72FD7" w:rsidRDefault="00F11B15" w:rsidP="00A72FD7">
      <w:pPr>
        <w:spacing w:before="120" w:after="0" w:line="240" w:lineRule="auto"/>
        <w:jc w:val="both"/>
        <w:rPr>
          <w:rFonts w:ascii="Times New Roman" w:hAnsi="Times New Roman" w:cs="Times New Roman"/>
          <w:sz w:val="24"/>
          <w:szCs w:val="24"/>
        </w:rPr>
      </w:pPr>
      <w:r w:rsidRPr="00A72FD7">
        <w:rPr>
          <w:rFonts w:ascii="Times New Roman" w:hAnsi="Times New Roman" w:cs="Times New Roman"/>
          <w:sz w:val="24"/>
          <w:szCs w:val="24"/>
        </w:rPr>
        <w:lastRenderedPageBreak/>
        <w:t>J</w:t>
      </w:r>
      <w:r w:rsidRPr="00A72FD7">
        <w:rPr>
          <w:rFonts w:ascii="Times New Roman" w:hAnsi="Times New Roman" w:cs="Times New Roman"/>
          <w:color w:val="000000"/>
          <w:sz w:val="24"/>
          <w:szCs w:val="24"/>
          <w:lang w:eastAsia="lv-LV"/>
        </w:rPr>
        <w:t xml:space="preserve">elgavas pilsētā rekonstruētas astoņas caurtekas zem Kalnciema ceļa un tām izbūvēti pretplūdu vārsti, rekonstruēta lietus ūdens pārsūknēšanas stacija un ūdens attīrīšanas stacija, atjaunots Bērzu kapu meliorācijas sistēmas pieslēgums kolektoram, kā arī Loka maģistrāles kolektorā izbūvēti pretplūdu vārsti un pazemināts vienas caurtekas novietojums zem Loka maģistrāles, tā pasargājot no plūdiem Kalnciema ceļa labās puses teritoriju. </w:t>
      </w:r>
    </w:p>
    <w:p w:rsidR="00F11B15" w:rsidRDefault="00F11B15" w:rsidP="00A72FD7">
      <w:pPr>
        <w:spacing w:before="120" w:after="0" w:line="240" w:lineRule="auto"/>
        <w:jc w:val="both"/>
        <w:rPr>
          <w:rFonts w:ascii="Times New Roman" w:hAnsi="Times New Roman" w:cs="Times New Roman"/>
          <w:sz w:val="24"/>
          <w:szCs w:val="24"/>
        </w:rPr>
      </w:pPr>
      <w:r w:rsidRPr="00A72FD7">
        <w:rPr>
          <w:rFonts w:ascii="Times New Roman" w:hAnsi="Times New Roman" w:cs="Times New Roman"/>
          <w:color w:val="000000"/>
          <w:sz w:val="24"/>
          <w:szCs w:val="24"/>
          <w:lang w:eastAsia="lv-LV"/>
        </w:rPr>
        <w:t xml:space="preserve">2013.gadā </w:t>
      </w:r>
      <w:r w:rsidRPr="00A72FD7">
        <w:rPr>
          <w:rFonts w:ascii="Times New Roman" w:hAnsi="Times New Roman" w:cs="Times New Roman"/>
          <w:sz w:val="24"/>
          <w:szCs w:val="24"/>
        </w:rPr>
        <w:t>pabeigtas visas Babītes poldera sūkņu stacijas „Babīte” krājbaseina un maģistrālā kanāla rekonstrukcijas projektā plānotās aktivitātes, kā arī turpinājās Salas pagasta aizsargdambja rekonstrukcijas projekts un plūdu risku samazināšanas projekti Carnikavas un Ādažu novados.</w:t>
      </w:r>
    </w:p>
    <w:p w:rsidR="00A04249" w:rsidRPr="00A72FD7" w:rsidRDefault="00A04249" w:rsidP="00A72FD7">
      <w:pPr>
        <w:spacing w:before="120" w:after="0" w:line="240" w:lineRule="auto"/>
        <w:jc w:val="both"/>
        <w:rPr>
          <w:rFonts w:ascii="Times New Roman" w:hAnsi="Times New Roman" w:cs="Times New Roman"/>
          <w:sz w:val="24"/>
          <w:szCs w:val="24"/>
        </w:rPr>
      </w:pPr>
    </w:p>
    <w:p w:rsidR="00A534FC" w:rsidRDefault="00A534FC">
      <w:pPr>
        <w:rPr>
          <w:rFonts w:ascii="Times New Roman" w:hAnsi="Times New Roman" w:cs="Times New Roman"/>
          <w:sz w:val="24"/>
          <w:szCs w:val="24"/>
        </w:rPr>
      </w:pPr>
      <w:r>
        <w:rPr>
          <w:rFonts w:ascii="Times New Roman" w:hAnsi="Times New Roman" w:cs="Times New Roman"/>
          <w:sz w:val="24"/>
          <w:szCs w:val="24"/>
        </w:rPr>
        <w:br w:type="page"/>
      </w:r>
    </w:p>
    <w:p w:rsidR="00F11B15" w:rsidRPr="00A72FD7" w:rsidRDefault="00F11B15" w:rsidP="00A72FD7">
      <w:pPr>
        <w:pStyle w:val="Heading1"/>
        <w:spacing w:before="120" w:after="240"/>
        <w:rPr>
          <w:rFonts w:ascii="Times New Roman" w:hAnsi="Times New Roman" w:cs="Times New Roman"/>
          <w:caps/>
          <w:color w:val="0070C0"/>
          <w:sz w:val="28"/>
          <w:szCs w:val="28"/>
        </w:rPr>
      </w:pPr>
      <w:bookmarkStart w:id="57" w:name="_Toc329178276"/>
      <w:bookmarkStart w:id="58" w:name="_Toc391887129"/>
      <w:r w:rsidRPr="00A72FD7">
        <w:rPr>
          <w:rFonts w:ascii="Times New Roman" w:hAnsi="Times New Roman" w:cs="Times New Roman"/>
          <w:caps/>
          <w:color w:val="0070C0"/>
          <w:sz w:val="28"/>
          <w:szCs w:val="28"/>
        </w:rPr>
        <w:lastRenderedPageBreak/>
        <w:t>Investīcijas vides monitoringa sistēmas attīstībā</w:t>
      </w:r>
      <w:bookmarkEnd w:id="57"/>
      <w:bookmarkEnd w:id="58"/>
    </w:p>
    <w:p w:rsidR="00F11B15" w:rsidRPr="00A72FD7" w:rsidRDefault="00F11B15" w:rsidP="00A72FD7">
      <w:pPr>
        <w:spacing w:before="120" w:after="0" w:line="240" w:lineRule="auto"/>
        <w:jc w:val="both"/>
        <w:rPr>
          <w:rFonts w:ascii="Times New Roman" w:hAnsi="Times New Roman" w:cs="Times New Roman"/>
          <w:color w:val="000000"/>
          <w:sz w:val="24"/>
          <w:szCs w:val="24"/>
          <w:lang w:eastAsia="lv-LV"/>
        </w:rPr>
      </w:pPr>
      <w:r w:rsidRPr="00A72FD7">
        <w:rPr>
          <w:rFonts w:ascii="Times New Roman" w:hAnsi="Times New Roman" w:cs="Times New Roman"/>
          <w:sz w:val="24"/>
          <w:szCs w:val="24"/>
        </w:rPr>
        <w:t xml:space="preserve">Laikā no 2010. līdz 2013. gadam vides monitoringa un kontroles sistēmas uzlabošanā ieguldīti 4,06 milj. latu, no kuriem 4,06 milj. latu ir Kohēzijas fonda līdzfinansējums un 0,36 milj. latu valsts budžeta dotācija. </w:t>
      </w:r>
      <w:r w:rsidRPr="00A72FD7">
        <w:rPr>
          <w:rFonts w:ascii="Times New Roman" w:hAnsi="Times New Roman" w:cs="Times New Roman"/>
          <w:color w:val="000000"/>
          <w:sz w:val="24"/>
          <w:szCs w:val="24"/>
          <w:lang w:eastAsia="lv-LV"/>
        </w:rPr>
        <w:t xml:space="preserve">2013. gadā ieguldīti 1,02 milj. latu, no kuriem 0,92 milj. latu ir KF līdzfinansējums </w:t>
      </w:r>
      <w:r w:rsidRPr="00A72FD7">
        <w:rPr>
          <w:rFonts w:ascii="Times New Roman" w:hAnsi="Times New Roman" w:cs="Times New Roman"/>
          <w:i/>
          <w:color w:val="000000"/>
          <w:sz w:val="24"/>
          <w:szCs w:val="24"/>
          <w:lang w:eastAsia="lv-LV"/>
        </w:rPr>
        <w:t>(</w:t>
      </w:r>
      <w:r w:rsidR="00A72FD7" w:rsidRPr="00A72FD7">
        <w:rPr>
          <w:rFonts w:ascii="Times New Roman" w:hAnsi="Times New Roman" w:cs="Times New Roman"/>
          <w:i/>
          <w:color w:val="000000"/>
          <w:sz w:val="24"/>
          <w:szCs w:val="24"/>
          <w:lang w:eastAsia="lv-LV"/>
        </w:rPr>
        <w:t>2</w:t>
      </w:r>
      <w:r w:rsidR="00A534FC">
        <w:rPr>
          <w:rFonts w:ascii="Times New Roman" w:hAnsi="Times New Roman" w:cs="Times New Roman"/>
          <w:i/>
          <w:color w:val="000000"/>
          <w:sz w:val="24"/>
          <w:szCs w:val="24"/>
          <w:lang w:eastAsia="lv-LV"/>
        </w:rPr>
        <w:t>7</w:t>
      </w:r>
      <w:r w:rsidRPr="00A72FD7">
        <w:rPr>
          <w:rFonts w:ascii="Times New Roman" w:hAnsi="Times New Roman" w:cs="Times New Roman"/>
          <w:i/>
          <w:color w:val="000000"/>
          <w:sz w:val="24"/>
          <w:szCs w:val="24"/>
          <w:lang w:eastAsia="lv-LV"/>
        </w:rPr>
        <w:t>. attēls</w:t>
      </w:r>
      <w:r w:rsidRPr="00A72FD7">
        <w:rPr>
          <w:rFonts w:ascii="Times New Roman" w:hAnsi="Times New Roman" w:cs="Times New Roman"/>
          <w:color w:val="000000"/>
          <w:sz w:val="24"/>
          <w:szCs w:val="24"/>
          <w:lang w:eastAsia="lv-LV"/>
        </w:rPr>
        <w:t>).</w:t>
      </w:r>
    </w:p>
    <w:p w:rsidR="00F11B15" w:rsidRPr="00A72FD7" w:rsidRDefault="00F11B15" w:rsidP="00A72FD7">
      <w:pPr>
        <w:spacing w:before="120" w:after="0" w:line="240" w:lineRule="auto"/>
        <w:jc w:val="center"/>
        <w:rPr>
          <w:rFonts w:ascii="Times New Roman" w:hAnsi="Times New Roman" w:cs="Times New Roman"/>
          <w:color w:val="000000"/>
          <w:sz w:val="24"/>
          <w:szCs w:val="24"/>
          <w:lang w:eastAsia="lv-LV"/>
        </w:rPr>
      </w:pPr>
      <w:r w:rsidRPr="00A72FD7">
        <w:rPr>
          <w:rFonts w:ascii="Times New Roman" w:hAnsi="Times New Roman" w:cs="Times New Roman"/>
          <w:noProof/>
          <w:color w:val="000000"/>
          <w:sz w:val="24"/>
          <w:szCs w:val="24"/>
          <w:lang w:eastAsia="lv-LV"/>
        </w:rPr>
        <w:drawing>
          <wp:inline distT="0" distB="0" distL="0" distR="0">
            <wp:extent cx="5486400" cy="2303145"/>
            <wp:effectExtent l="19050" t="0" r="0" b="0"/>
            <wp:docPr id="3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11B15" w:rsidRPr="00A72FD7" w:rsidRDefault="00A534FC" w:rsidP="00A534FC">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27</w:t>
      </w:r>
      <w:r w:rsidR="00F11B15" w:rsidRPr="00A72FD7">
        <w:rPr>
          <w:rFonts w:ascii="Times New Roman" w:hAnsi="Times New Roman" w:cs="Times New Roman"/>
          <w:i/>
          <w:sz w:val="24"/>
          <w:szCs w:val="24"/>
        </w:rPr>
        <w:t>. attēls. Investīcijas vides monitoringa un kontroles sistēmas uzlabošanā, 2010.-2013., milj. LVL</w:t>
      </w:r>
    </w:p>
    <w:p w:rsidR="00A534FC" w:rsidRDefault="00A534FC" w:rsidP="00A72FD7">
      <w:pPr>
        <w:spacing w:before="120" w:after="0" w:line="240" w:lineRule="auto"/>
        <w:jc w:val="both"/>
        <w:rPr>
          <w:rFonts w:ascii="Times New Roman" w:hAnsi="Times New Roman" w:cs="Times New Roman"/>
          <w:color w:val="000000"/>
          <w:sz w:val="24"/>
          <w:szCs w:val="24"/>
          <w:lang w:eastAsia="lv-LV"/>
        </w:rPr>
      </w:pPr>
    </w:p>
    <w:p w:rsidR="00F11B15" w:rsidRDefault="00614B5C" w:rsidP="00A72FD7">
      <w:pPr>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pict>
          <v:group id="_x0000_s1080" editas="canvas" style="position:absolute;left:0;text-align:left;margin-left:0;margin-top:364.1pt;width:255.6pt;height:212.7pt;z-index:251678720;mso-position-horizontal-relative:margin;mso-position-vertical-relative:margin" coordorigin="2361,13893" coordsize="4432,3686">
            <o:lock v:ext="edit" aspectratio="t"/>
            <v:shape id="_x0000_s1081" type="#_x0000_t75" style="position:absolute;left:2361;top:13893;width:4432;height:3686" o:preferrelative="f">
              <v:fill o:detectmouseclick="t"/>
              <v:path o:extrusionok="t" o:connecttype="none"/>
              <o:lock v:ext="edit" text="t"/>
            </v:shape>
            <v:shape id="_x0000_s1082" type="#_x0000_t202" style="position:absolute;left:2361;top:16841;width:4432;height:738" stroked="f">
              <v:textbox style="mso-next-textbox:#_x0000_s1082">
                <w:txbxContent>
                  <w:p w:rsidR="00A04249" w:rsidRDefault="00A04249" w:rsidP="007E36B5">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Pazemes ūdens hidroloģisko novērojumu urbumi Ventspilī</w:t>
                    </w:r>
                  </w:p>
                  <w:p w:rsidR="00A04249" w:rsidRPr="00772DB0" w:rsidRDefault="00A04249" w:rsidP="007E36B5">
                    <w:pPr>
                      <w:spacing w:after="0" w:line="240" w:lineRule="auto"/>
                      <w:ind w:left="-113"/>
                      <w:jc w:val="both"/>
                      <w:rPr>
                        <w:rFonts w:ascii="Times New Roman" w:hAnsi="Times New Roman" w:cs="Times New Roman"/>
                        <w:color w:val="0070C0"/>
                        <w:sz w:val="20"/>
                        <w:szCs w:val="20"/>
                      </w:rPr>
                    </w:pPr>
                    <w:r>
                      <w:rPr>
                        <w:rFonts w:ascii="Times New Roman" w:hAnsi="Times New Roman" w:cs="Times New Roman"/>
                        <w:color w:val="0070C0"/>
                        <w:sz w:val="20"/>
                        <w:szCs w:val="20"/>
                      </w:rPr>
                      <w:t>Valsts vides dienesta</w:t>
                    </w:r>
                    <w:r w:rsidRPr="00772DB0">
                      <w:rPr>
                        <w:rFonts w:ascii="Times New Roman" w:hAnsi="Times New Roman" w:cs="Times New Roman"/>
                        <w:color w:val="0070C0"/>
                        <w:sz w:val="20"/>
                        <w:szCs w:val="20"/>
                      </w:rPr>
                      <w:t xml:space="preserve"> Kohēzijas fonda projekts</w:t>
                    </w:r>
                  </w:p>
                </w:txbxContent>
              </v:textbox>
            </v:shape>
            <v:shape id="_x0000_s1083" type="#_x0000_t75" style="position:absolute;left:2361;top:13893;width:4410;height:2948">
              <v:imagedata r:id="rId90" o:title="Pazemes urbumi"/>
            </v:shape>
            <w10:wrap type="square" anchorx="margin" anchory="margin"/>
          </v:group>
        </w:pict>
      </w:r>
      <w:r w:rsidR="00F11B15" w:rsidRPr="00A72FD7">
        <w:rPr>
          <w:rFonts w:ascii="Times New Roman" w:hAnsi="Times New Roman" w:cs="Times New Roman"/>
          <w:color w:val="000000"/>
          <w:sz w:val="24"/>
          <w:szCs w:val="24"/>
          <w:lang w:eastAsia="lv-LV"/>
        </w:rPr>
        <w:t xml:space="preserve">Par iepriekš minēto finansējumu 2013.gadā turpinājās septiņu vides monitoringa projektu īstenošana. Pazemes ūdens hidroģeoloģisko novērojumu programmas pilnveidošanas Lielupes un Ventas upju sateces baseinos projekta ietvaros </w:t>
      </w:r>
      <w:r w:rsidR="00F11B15" w:rsidRPr="00A72FD7">
        <w:rPr>
          <w:rFonts w:ascii="Times New Roman" w:hAnsi="Times New Roman" w:cs="Times New Roman"/>
          <w:color w:val="000000"/>
          <w:sz w:val="24"/>
          <w:szCs w:val="24"/>
        </w:rPr>
        <w:t>tika atjaunoti un ierīkoti jauni pazemes urbumi, kuros tika uzstādīts moderns, mūsdienu prasībām atbilstošs pazemes ūdens līmeņa mērīšanas aprīkojums. Uzsākta jauna, pēc pasūtījuma būvēta specializēta kuģa, kurš būtu piemērots zvejas un vides aizsardzības noteikumu ievērošanas kontrolei, kā arī vides monitoringa veikšanai jūrā, iegāde.</w:t>
      </w:r>
      <w:r w:rsidR="00F11B15" w:rsidRPr="00A72FD7">
        <w:rPr>
          <w:rFonts w:ascii="Times New Roman" w:hAnsi="Times New Roman" w:cs="Times New Roman"/>
          <w:sz w:val="24"/>
          <w:szCs w:val="24"/>
        </w:rPr>
        <w:t xml:space="preserve"> </w:t>
      </w:r>
      <w:r w:rsidR="00F11B15" w:rsidRPr="00A72FD7">
        <w:rPr>
          <w:rFonts w:ascii="Times New Roman" w:hAnsi="Times New Roman" w:cs="Times New Roman"/>
          <w:color w:val="000000"/>
          <w:sz w:val="24"/>
          <w:szCs w:val="24"/>
        </w:rPr>
        <w:t xml:space="preserve">Radiācijas monitoringa agrīnās brīdināšanas sistēmas modernizācijas projekta ietvaros veikta </w:t>
      </w:r>
      <w:r w:rsidR="00F11B15" w:rsidRPr="00A72FD7">
        <w:rPr>
          <w:rFonts w:ascii="Times New Roman" w:hAnsi="Times New Roman" w:cs="Times New Roman"/>
          <w:sz w:val="24"/>
          <w:szCs w:val="24"/>
        </w:rPr>
        <w:t>eksistējošo monitoringa staciju nomaiņu ar jaunām, papildus staciju uzstādīšana, moderna sakaru tīkla uzstādīšana. (</w:t>
      </w:r>
      <w:r w:rsidR="00A72FD7" w:rsidRPr="00A72FD7">
        <w:rPr>
          <w:rFonts w:ascii="Times New Roman" w:hAnsi="Times New Roman" w:cs="Times New Roman"/>
          <w:i/>
          <w:sz w:val="24"/>
          <w:szCs w:val="24"/>
        </w:rPr>
        <w:t>23</w:t>
      </w:r>
      <w:r w:rsidR="00F11B15" w:rsidRPr="00A72FD7">
        <w:rPr>
          <w:rFonts w:ascii="Times New Roman" w:hAnsi="Times New Roman" w:cs="Times New Roman"/>
          <w:i/>
          <w:sz w:val="24"/>
          <w:szCs w:val="24"/>
        </w:rPr>
        <w:t>. attēls</w:t>
      </w:r>
      <w:r w:rsidR="00F11B15" w:rsidRPr="00A72FD7">
        <w:rPr>
          <w:rFonts w:ascii="Times New Roman" w:hAnsi="Times New Roman" w:cs="Times New Roman"/>
          <w:sz w:val="24"/>
          <w:szCs w:val="24"/>
        </w:rPr>
        <w:t>)</w:t>
      </w:r>
    </w:p>
    <w:p w:rsidR="00A534FC" w:rsidRDefault="00614B5C" w:rsidP="00A72FD7">
      <w:pPr>
        <w:spacing w:before="120"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w:r>
      <w:r>
        <w:rPr>
          <w:rFonts w:ascii="Times New Roman" w:hAnsi="Times New Roman" w:cs="Times New Roman"/>
          <w:noProof/>
          <w:sz w:val="24"/>
          <w:szCs w:val="24"/>
          <w:lang w:eastAsia="lv-LV"/>
        </w:rPr>
        <w:pict>
          <v:group id="_x0000_s1084" editas="canvas" style="width:255.6pt;height:200.8pt;mso-position-horizontal-relative:char;mso-position-vertical-relative:line" coordorigin="2361,13893" coordsize="4432,3480">
            <o:lock v:ext="edit" aspectratio="t"/>
            <v:shape id="_x0000_s1085" type="#_x0000_t75" style="position:absolute;left:2361;top:13893;width:4432;height:3480" o:preferrelative="f">
              <v:fill o:detectmouseclick="t"/>
              <v:path o:extrusionok="t" o:connecttype="none"/>
              <o:lock v:ext="edit" text="t"/>
            </v:shape>
            <v:shape id="_x0000_s1086" type="#_x0000_t202" style="position:absolute;left:2361;top:16841;width:4432;height:532" stroked="f">
              <v:textbox style="mso-next-textbox:#_x0000_s1086">
                <w:txbxContent>
                  <w:p w:rsidR="00A04249" w:rsidRDefault="00A04249" w:rsidP="007E36B5">
                    <w:pPr>
                      <w:spacing w:after="0" w:line="240" w:lineRule="auto"/>
                      <w:ind w:left="-113"/>
                      <w:jc w:val="both"/>
                      <w:rPr>
                        <w:rFonts w:ascii="Times New Roman" w:hAnsi="Times New Roman" w:cs="Times New Roman"/>
                        <w:color w:val="0070C0"/>
                        <w:sz w:val="20"/>
                        <w:szCs w:val="20"/>
                      </w:rPr>
                    </w:pPr>
                    <w:r w:rsidRPr="00746321">
                      <w:rPr>
                        <w:rFonts w:ascii="Times New Roman" w:hAnsi="Times New Roman" w:cs="Times New Roman"/>
                        <w:b/>
                        <w:color w:val="0070C0"/>
                        <w:sz w:val="20"/>
                        <w:szCs w:val="20"/>
                      </w:rPr>
                      <w:t xml:space="preserve">Fotogrāfija: </w:t>
                    </w:r>
                    <w:r>
                      <w:rPr>
                        <w:rFonts w:ascii="Times New Roman" w:hAnsi="Times New Roman" w:cs="Times New Roman"/>
                        <w:b/>
                        <w:color w:val="0070C0"/>
                        <w:sz w:val="20"/>
                        <w:szCs w:val="20"/>
                      </w:rPr>
                      <w:t>Gāzu sastāva gaisā optiskais analizators</w:t>
                    </w:r>
                  </w:p>
                  <w:p w:rsidR="00A04249" w:rsidRPr="00772DB0" w:rsidRDefault="00A04249" w:rsidP="007E36B5">
                    <w:pPr>
                      <w:spacing w:after="0" w:line="240" w:lineRule="auto"/>
                      <w:ind w:left="-113"/>
                      <w:jc w:val="both"/>
                      <w:rPr>
                        <w:rFonts w:ascii="Times New Roman" w:hAnsi="Times New Roman" w:cs="Times New Roman"/>
                        <w:color w:val="0070C0"/>
                        <w:sz w:val="20"/>
                        <w:szCs w:val="20"/>
                      </w:rPr>
                    </w:pPr>
                    <w:r>
                      <w:rPr>
                        <w:rFonts w:ascii="Times New Roman" w:hAnsi="Times New Roman" w:cs="Times New Roman"/>
                        <w:color w:val="0070C0"/>
                        <w:sz w:val="20"/>
                        <w:szCs w:val="20"/>
                      </w:rPr>
                      <w:t>Valsts vides dienesta</w:t>
                    </w:r>
                    <w:r w:rsidRPr="00772DB0">
                      <w:rPr>
                        <w:rFonts w:ascii="Times New Roman" w:hAnsi="Times New Roman" w:cs="Times New Roman"/>
                        <w:color w:val="0070C0"/>
                        <w:sz w:val="20"/>
                        <w:szCs w:val="20"/>
                      </w:rPr>
                      <w:t xml:space="preserve"> Kohēzijas fonda projekts</w:t>
                    </w:r>
                  </w:p>
                </w:txbxContent>
              </v:textbox>
            </v:shape>
            <v:shape id="_x0000_s1087" type="#_x0000_t75" style="position:absolute;left:2361;top:13893;width:4415;height:2948">
              <v:imagedata r:id="rId91" o:title="Gaiss_1"/>
            </v:shape>
            <w10:wrap type="none"/>
            <w10:anchorlock/>
          </v:group>
        </w:pict>
      </w:r>
    </w:p>
    <w:p w:rsidR="00F11B15" w:rsidRPr="00A72FD7" w:rsidRDefault="00F11B15" w:rsidP="00A72FD7">
      <w:pPr>
        <w:spacing w:before="120" w:after="0" w:line="240" w:lineRule="auto"/>
        <w:jc w:val="both"/>
        <w:rPr>
          <w:rFonts w:ascii="Times New Roman" w:hAnsi="Times New Roman" w:cs="Times New Roman"/>
          <w:sz w:val="24"/>
          <w:szCs w:val="24"/>
        </w:rPr>
      </w:pPr>
      <w:r w:rsidRPr="00A72FD7">
        <w:rPr>
          <w:rFonts w:ascii="Times New Roman" w:hAnsi="Times New Roman" w:cs="Times New Roman"/>
          <w:noProof/>
          <w:sz w:val="24"/>
          <w:szCs w:val="24"/>
          <w:lang w:eastAsia="lv-LV"/>
        </w:rPr>
        <w:drawing>
          <wp:inline distT="0" distB="0" distL="0" distR="0">
            <wp:extent cx="5353050" cy="3533775"/>
            <wp:effectExtent l="19050" t="0" r="0" b="0"/>
            <wp:docPr id="3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F11B15" w:rsidRDefault="00A72FD7" w:rsidP="00A534FC">
      <w:pPr>
        <w:pStyle w:val="NormalWeb"/>
        <w:spacing w:before="0" w:beforeAutospacing="0" w:after="0" w:afterAutospacing="0"/>
        <w:jc w:val="both"/>
        <w:rPr>
          <w:i/>
          <w:color w:val="000000"/>
          <w:lang w:val="lv-LV" w:eastAsia="lv-LV"/>
        </w:rPr>
      </w:pPr>
      <w:r w:rsidRPr="00A72FD7">
        <w:rPr>
          <w:i/>
          <w:color w:val="000000"/>
          <w:lang w:val="lv-LV" w:eastAsia="lv-LV"/>
        </w:rPr>
        <w:t>23</w:t>
      </w:r>
      <w:r w:rsidR="00F11B15" w:rsidRPr="00A72FD7">
        <w:rPr>
          <w:i/>
          <w:color w:val="000000"/>
          <w:lang w:val="lv-LV" w:eastAsia="lv-LV"/>
        </w:rPr>
        <w:t xml:space="preserve">. attēls. 2013. gadā </w:t>
      </w:r>
      <w:r w:rsidR="00F11B15" w:rsidRPr="00A72FD7">
        <w:rPr>
          <w:i/>
        </w:rPr>
        <w:t xml:space="preserve">vides </w:t>
      </w:r>
      <w:r w:rsidR="00F11B15" w:rsidRPr="00A72FD7">
        <w:rPr>
          <w:i/>
          <w:lang w:val="lv-LV"/>
        </w:rPr>
        <w:t>monitoringa un kontroles sistēmas uzlabošanas</w:t>
      </w:r>
      <w:r w:rsidR="00F11B15" w:rsidRPr="00A72FD7">
        <w:rPr>
          <w:i/>
        </w:rPr>
        <w:t xml:space="preserve"> </w:t>
      </w:r>
      <w:r w:rsidR="00F11B15" w:rsidRPr="00A72FD7">
        <w:rPr>
          <w:i/>
          <w:color w:val="000000"/>
          <w:lang w:val="lv-LV" w:eastAsia="lv-LV"/>
        </w:rPr>
        <w:t>projektos ieguldītais finansējums, milj. LVL</w:t>
      </w:r>
    </w:p>
    <w:p w:rsidR="0081327C" w:rsidRDefault="0081327C" w:rsidP="0081327C">
      <w:pPr>
        <w:pStyle w:val="NormalWeb"/>
        <w:spacing w:before="120" w:beforeAutospacing="0" w:after="0" w:afterAutospacing="0"/>
        <w:jc w:val="both"/>
        <w:rPr>
          <w:color w:val="000000"/>
          <w:lang w:val="lv-LV" w:eastAsia="lv-LV"/>
        </w:rPr>
      </w:pPr>
    </w:p>
    <w:p w:rsidR="00E703C1" w:rsidRPr="00CF2888" w:rsidRDefault="00E703C1" w:rsidP="00CF2888">
      <w:pPr>
        <w:rPr>
          <w:rFonts w:ascii="Times New Roman" w:eastAsia="Times New Roman" w:hAnsi="Times New Roman" w:cs="Times New Roman"/>
          <w:color w:val="000000"/>
          <w:sz w:val="24"/>
          <w:szCs w:val="24"/>
          <w:lang w:eastAsia="lv-LV"/>
        </w:rPr>
      </w:pPr>
    </w:p>
    <w:sectPr w:rsidR="00E703C1" w:rsidRPr="00CF2888" w:rsidSect="00301C48">
      <w:footerReference w:type="default" r:id="rId93"/>
      <w:pgSz w:w="12240" w:h="15840" w:code="1"/>
      <w:pgMar w:top="1418" w:right="1325" w:bottom="1276" w:left="156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1093B" w:rsidRDefault="0021093B" w:rsidP="00154D99">
      <w:pPr>
        <w:spacing w:after="0" w:line="240" w:lineRule="auto"/>
      </w:pPr>
      <w:r>
        <w:separator/>
      </w:r>
    </w:p>
  </w:endnote>
  <w:endnote w:type="continuationSeparator" w:id="0">
    <w:p w:rsidR="0021093B" w:rsidRDefault="0021093B" w:rsidP="00154D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10002FF" w:usb1="4000ACFF" w:usb2="00000009" w:usb3="00000000" w:csb0="0000019F"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 w:name="Times New Roman Bold">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page" w:horzAnchor="margin" w:tblpXSpec="center" w:tblpYSpec="bottom"/>
      <w:tblW w:w="5000" w:type="pct"/>
      <w:tblLayout w:type="fixed"/>
      <w:tblLook w:val="04A0"/>
    </w:tblPr>
    <w:tblGrid>
      <w:gridCol w:w="7657"/>
      <w:gridCol w:w="1914"/>
    </w:tblGrid>
    <w:sdt>
      <w:sdtPr>
        <w:rPr>
          <w:rFonts w:asciiTheme="majorHAnsi" w:eastAsiaTheme="majorEastAsia" w:hAnsiTheme="majorHAnsi" w:cstheme="majorBidi"/>
          <w:sz w:val="20"/>
          <w:szCs w:val="20"/>
        </w:rPr>
        <w:id w:val="11890844"/>
        <w:docPartObj>
          <w:docPartGallery w:val="Page Numbers (Bottom of Page)"/>
          <w:docPartUnique/>
        </w:docPartObj>
      </w:sdtPr>
      <w:sdtEndPr>
        <w:rPr>
          <w:rFonts w:asciiTheme="minorHAnsi" w:eastAsiaTheme="minorHAnsi" w:hAnsiTheme="minorHAnsi" w:cstheme="minorBidi"/>
          <w:color w:val="0070C0"/>
          <w:sz w:val="22"/>
          <w:szCs w:val="22"/>
        </w:rPr>
      </w:sdtEndPr>
      <w:sdtContent>
        <w:tr w:rsidR="00A04249">
          <w:trPr>
            <w:trHeight w:val="727"/>
          </w:trPr>
          <w:tc>
            <w:tcPr>
              <w:tcW w:w="4000" w:type="pct"/>
              <w:tcBorders>
                <w:right w:val="triple" w:sz="4" w:space="0" w:color="4F81BD" w:themeColor="accent1"/>
              </w:tcBorders>
            </w:tcPr>
            <w:p w:rsidR="00A04249" w:rsidRDefault="00A04249">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rsidR="00A04249" w:rsidRPr="00610344" w:rsidRDefault="00614B5C">
              <w:pPr>
                <w:tabs>
                  <w:tab w:val="left" w:pos="1490"/>
                </w:tabs>
                <w:rPr>
                  <w:rFonts w:asciiTheme="majorHAnsi" w:hAnsiTheme="majorHAnsi"/>
                  <w:color w:val="0070C0"/>
                  <w:sz w:val="28"/>
                  <w:szCs w:val="28"/>
                </w:rPr>
              </w:pPr>
              <w:r w:rsidRPr="00610344">
                <w:rPr>
                  <w:rFonts w:ascii="Times New Roman" w:hAnsi="Times New Roman" w:cs="Times New Roman"/>
                  <w:color w:val="0070C0"/>
                  <w:sz w:val="28"/>
                  <w:szCs w:val="28"/>
                </w:rPr>
                <w:fldChar w:fldCharType="begin"/>
              </w:r>
              <w:r w:rsidR="00A04249" w:rsidRPr="00610344">
                <w:rPr>
                  <w:rFonts w:ascii="Times New Roman" w:hAnsi="Times New Roman" w:cs="Times New Roman"/>
                  <w:color w:val="0070C0"/>
                  <w:sz w:val="28"/>
                  <w:szCs w:val="28"/>
                </w:rPr>
                <w:instrText xml:space="preserve"> PAGE    \* MERGEFORMAT </w:instrText>
              </w:r>
              <w:r w:rsidRPr="00610344">
                <w:rPr>
                  <w:rFonts w:ascii="Times New Roman" w:hAnsi="Times New Roman" w:cs="Times New Roman"/>
                  <w:color w:val="0070C0"/>
                  <w:sz w:val="28"/>
                  <w:szCs w:val="28"/>
                </w:rPr>
                <w:fldChar w:fldCharType="separate"/>
              </w:r>
              <w:r w:rsidR="00B13533">
                <w:rPr>
                  <w:rFonts w:ascii="Times New Roman" w:hAnsi="Times New Roman" w:cs="Times New Roman"/>
                  <w:noProof/>
                  <w:color w:val="0070C0"/>
                  <w:sz w:val="28"/>
                  <w:szCs w:val="28"/>
                </w:rPr>
                <w:t>2</w:t>
              </w:r>
              <w:r w:rsidRPr="00610344">
                <w:rPr>
                  <w:rFonts w:ascii="Times New Roman" w:hAnsi="Times New Roman" w:cs="Times New Roman"/>
                  <w:color w:val="0070C0"/>
                  <w:sz w:val="28"/>
                  <w:szCs w:val="28"/>
                </w:rPr>
                <w:fldChar w:fldCharType="end"/>
              </w:r>
            </w:p>
          </w:tc>
        </w:tr>
      </w:sdtContent>
    </w:sdt>
  </w:tbl>
  <w:p w:rsidR="00A04249" w:rsidRDefault="00A0424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1093B" w:rsidRDefault="0021093B" w:rsidP="00154D99">
      <w:pPr>
        <w:spacing w:after="0" w:line="240" w:lineRule="auto"/>
      </w:pPr>
      <w:r>
        <w:separator/>
      </w:r>
    </w:p>
  </w:footnote>
  <w:footnote w:type="continuationSeparator" w:id="0">
    <w:p w:rsidR="0021093B" w:rsidRDefault="0021093B" w:rsidP="00154D99">
      <w:pPr>
        <w:spacing w:after="0" w:line="240" w:lineRule="auto"/>
      </w:pPr>
      <w:r>
        <w:continuationSeparator/>
      </w:r>
    </w:p>
  </w:footnote>
  <w:footnote w:id="1">
    <w:p w:rsidR="00A04249" w:rsidRDefault="00A04249" w:rsidP="005433BE">
      <w:pPr>
        <w:pStyle w:val="FootnoteText"/>
      </w:pPr>
      <w:r>
        <w:rPr>
          <w:rStyle w:val="FootnoteReference"/>
        </w:rPr>
        <w:footnoteRef/>
      </w:r>
      <w:r>
        <w:t xml:space="preserve"> Norādīta summa neietver KPFI projektu īstenotāju  ieguldītus finanšu līdzekļus. </w:t>
      </w:r>
    </w:p>
  </w:footnote>
  <w:footnote w:id="2">
    <w:p w:rsidR="00A04249" w:rsidRDefault="00A04249" w:rsidP="007F3949">
      <w:pPr>
        <w:pStyle w:val="FootnoteText"/>
      </w:pPr>
      <w:r>
        <w:rPr>
          <w:rStyle w:val="FootnoteReference"/>
        </w:rPr>
        <w:footnoteRef/>
      </w:r>
      <w:r>
        <w:t xml:space="preserve"> Minētā summa ietver arī tehniskās palīdzības finansējumu, kas tika ieguldīts ūdenssaimniecībā.</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A4CEB"/>
    <w:multiLevelType w:val="hybridMultilevel"/>
    <w:tmpl w:val="4A946650"/>
    <w:lvl w:ilvl="0" w:tplc="9FB8DA00">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nsid w:val="17B24CDF"/>
    <w:multiLevelType w:val="hybridMultilevel"/>
    <w:tmpl w:val="C6761692"/>
    <w:lvl w:ilvl="0" w:tplc="20A23542">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5E40908"/>
    <w:multiLevelType w:val="hybridMultilevel"/>
    <w:tmpl w:val="3D7C2258"/>
    <w:lvl w:ilvl="0" w:tplc="9FB8DA0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44033"/>
  </w:hdrShapeDefaults>
  <w:footnotePr>
    <w:footnote w:id="-1"/>
    <w:footnote w:id="0"/>
  </w:footnotePr>
  <w:endnotePr>
    <w:endnote w:id="-1"/>
    <w:endnote w:id="0"/>
  </w:endnotePr>
  <w:compat/>
  <w:rsids>
    <w:rsidRoot w:val="00107A87"/>
    <w:rsid w:val="0000007A"/>
    <w:rsid w:val="000205F8"/>
    <w:rsid w:val="00063E3D"/>
    <w:rsid w:val="000A0C95"/>
    <w:rsid w:val="000A1DDD"/>
    <w:rsid w:val="000D1791"/>
    <w:rsid w:val="000E6720"/>
    <w:rsid w:val="001005B3"/>
    <w:rsid w:val="00107A87"/>
    <w:rsid w:val="00117878"/>
    <w:rsid w:val="00136AAF"/>
    <w:rsid w:val="00154D99"/>
    <w:rsid w:val="00190222"/>
    <w:rsid w:val="001B6722"/>
    <w:rsid w:val="001F6C2A"/>
    <w:rsid w:val="0021093B"/>
    <w:rsid w:val="00217FFC"/>
    <w:rsid w:val="00226CDB"/>
    <w:rsid w:val="00276AEC"/>
    <w:rsid w:val="002F30D7"/>
    <w:rsid w:val="00301C48"/>
    <w:rsid w:val="00306360"/>
    <w:rsid w:val="0031084D"/>
    <w:rsid w:val="00325F1D"/>
    <w:rsid w:val="00333828"/>
    <w:rsid w:val="00352C91"/>
    <w:rsid w:val="0037480F"/>
    <w:rsid w:val="003B7104"/>
    <w:rsid w:val="004110AB"/>
    <w:rsid w:val="004348AA"/>
    <w:rsid w:val="00441721"/>
    <w:rsid w:val="00472DEB"/>
    <w:rsid w:val="004866B0"/>
    <w:rsid w:val="00493C08"/>
    <w:rsid w:val="004C22AA"/>
    <w:rsid w:val="004D5A02"/>
    <w:rsid w:val="004E5644"/>
    <w:rsid w:val="004F2570"/>
    <w:rsid w:val="005433BE"/>
    <w:rsid w:val="00567BBB"/>
    <w:rsid w:val="005C0654"/>
    <w:rsid w:val="005C06CD"/>
    <w:rsid w:val="005C550F"/>
    <w:rsid w:val="005C6B48"/>
    <w:rsid w:val="005F38A8"/>
    <w:rsid w:val="006072C1"/>
    <w:rsid w:val="00610344"/>
    <w:rsid w:val="00614ADB"/>
    <w:rsid w:val="00614B5C"/>
    <w:rsid w:val="00661568"/>
    <w:rsid w:val="0066456C"/>
    <w:rsid w:val="00665509"/>
    <w:rsid w:val="006853BA"/>
    <w:rsid w:val="00686194"/>
    <w:rsid w:val="00694358"/>
    <w:rsid w:val="0069709E"/>
    <w:rsid w:val="006D30F1"/>
    <w:rsid w:val="006F783C"/>
    <w:rsid w:val="00703CF2"/>
    <w:rsid w:val="00713966"/>
    <w:rsid w:val="007373CC"/>
    <w:rsid w:val="0076337D"/>
    <w:rsid w:val="007A0251"/>
    <w:rsid w:val="007B3592"/>
    <w:rsid w:val="007E36B5"/>
    <w:rsid w:val="007F3949"/>
    <w:rsid w:val="0081327C"/>
    <w:rsid w:val="008235DD"/>
    <w:rsid w:val="00831B94"/>
    <w:rsid w:val="00834913"/>
    <w:rsid w:val="00843F7A"/>
    <w:rsid w:val="0085581F"/>
    <w:rsid w:val="00883097"/>
    <w:rsid w:val="00886EAC"/>
    <w:rsid w:val="008A42D1"/>
    <w:rsid w:val="008B6694"/>
    <w:rsid w:val="008D0797"/>
    <w:rsid w:val="008D5B32"/>
    <w:rsid w:val="00977EBD"/>
    <w:rsid w:val="00997F78"/>
    <w:rsid w:val="009D0F47"/>
    <w:rsid w:val="009D728B"/>
    <w:rsid w:val="009F1F96"/>
    <w:rsid w:val="00A04249"/>
    <w:rsid w:val="00A107B5"/>
    <w:rsid w:val="00A4315E"/>
    <w:rsid w:val="00A534FC"/>
    <w:rsid w:val="00A610B6"/>
    <w:rsid w:val="00A72FD7"/>
    <w:rsid w:val="00A74C73"/>
    <w:rsid w:val="00A83A65"/>
    <w:rsid w:val="00AB0044"/>
    <w:rsid w:val="00AD1555"/>
    <w:rsid w:val="00AE13EA"/>
    <w:rsid w:val="00AE6FB6"/>
    <w:rsid w:val="00B13533"/>
    <w:rsid w:val="00B2747F"/>
    <w:rsid w:val="00B37469"/>
    <w:rsid w:val="00B64CA1"/>
    <w:rsid w:val="00BA7158"/>
    <w:rsid w:val="00BD75A4"/>
    <w:rsid w:val="00BF34CF"/>
    <w:rsid w:val="00C10C2B"/>
    <w:rsid w:val="00C167A1"/>
    <w:rsid w:val="00C23B0B"/>
    <w:rsid w:val="00C400F6"/>
    <w:rsid w:val="00C56E48"/>
    <w:rsid w:val="00C624CD"/>
    <w:rsid w:val="00CA0FF3"/>
    <w:rsid w:val="00CC5E5B"/>
    <w:rsid w:val="00CF2888"/>
    <w:rsid w:val="00D020FA"/>
    <w:rsid w:val="00D150C2"/>
    <w:rsid w:val="00D15C83"/>
    <w:rsid w:val="00D418DB"/>
    <w:rsid w:val="00D829AB"/>
    <w:rsid w:val="00D86493"/>
    <w:rsid w:val="00DC6F15"/>
    <w:rsid w:val="00DE2850"/>
    <w:rsid w:val="00E53F71"/>
    <w:rsid w:val="00E703C1"/>
    <w:rsid w:val="00E841E9"/>
    <w:rsid w:val="00E87282"/>
    <w:rsid w:val="00E969CF"/>
    <w:rsid w:val="00EA76B9"/>
    <w:rsid w:val="00EA7A20"/>
    <w:rsid w:val="00EB3B35"/>
    <w:rsid w:val="00ED46CC"/>
    <w:rsid w:val="00EE0CAC"/>
    <w:rsid w:val="00EF1B26"/>
    <w:rsid w:val="00F11B15"/>
    <w:rsid w:val="00F21722"/>
    <w:rsid w:val="00F21C74"/>
    <w:rsid w:val="00F267D4"/>
    <w:rsid w:val="00F50779"/>
    <w:rsid w:val="00F56E10"/>
    <w:rsid w:val="00F57034"/>
    <w:rsid w:val="00F85C91"/>
    <w:rsid w:val="00F9401F"/>
    <w:rsid w:val="00F960E0"/>
    <w:rsid w:val="00FD48DF"/>
  </w:rsids>
  <m:mathPr>
    <m:mathFont m:val="Cambria Math"/>
    <m:brkBin m:val="before"/>
    <m:brkBinSub m:val="--"/>
    <m:smallFrac m:val="off"/>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currency2"/>
  <w:shapeDefaults>
    <o:shapedefaults v:ext="edit" spidmax="44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828"/>
  </w:style>
  <w:style w:type="paragraph" w:styleId="Heading1">
    <w:name w:val="heading 1"/>
    <w:basedOn w:val="Normal"/>
    <w:next w:val="Normal"/>
    <w:link w:val="Heading1Char"/>
    <w:qFormat/>
    <w:rsid w:val="00EE0CAC"/>
    <w:pPr>
      <w:keepNext/>
      <w:spacing w:before="240" w:after="60" w:line="240" w:lineRule="auto"/>
      <w:outlineLvl w:val="0"/>
    </w:pPr>
    <w:rPr>
      <w:rFonts w:ascii="Arial" w:eastAsia="Times New Roman"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E0CAC"/>
    <w:rPr>
      <w:rFonts w:ascii="Arial" w:eastAsia="Times New Roman" w:hAnsi="Arial" w:cs="Arial"/>
      <w:b/>
      <w:bCs/>
      <w:kern w:val="32"/>
      <w:sz w:val="32"/>
      <w:szCs w:val="32"/>
    </w:rPr>
  </w:style>
  <w:style w:type="paragraph" w:styleId="NoSpacing">
    <w:name w:val="No Spacing"/>
    <w:link w:val="NoSpacingChar"/>
    <w:uiPriority w:val="1"/>
    <w:qFormat/>
    <w:rsid w:val="00EE0CA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E0CAC"/>
    <w:rPr>
      <w:rFonts w:eastAsiaTheme="minorEastAsia"/>
      <w:lang w:val="en-US"/>
    </w:rPr>
  </w:style>
  <w:style w:type="paragraph" w:styleId="BalloonText">
    <w:name w:val="Balloon Text"/>
    <w:basedOn w:val="Normal"/>
    <w:link w:val="BalloonTextChar"/>
    <w:uiPriority w:val="99"/>
    <w:semiHidden/>
    <w:unhideWhenUsed/>
    <w:rsid w:val="00EE0C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0CAC"/>
    <w:rPr>
      <w:rFonts w:ascii="Tahoma" w:hAnsi="Tahoma" w:cs="Tahoma"/>
      <w:sz w:val="16"/>
      <w:szCs w:val="16"/>
    </w:rPr>
  </w:style>
  <w:style w:type="paragraph" w:styleId="TOCHeading">
    <w:name w:val="TOC Heading"/>
    <w:basedOn w:val="Heading1"/>
    <w:next w:val="Normal"/>
    <w:uiPriority w:val="39"/>
    <w:unhideWhenUsed/>
    <w:qFormat/>
    <w:rsid w:val="00EE0CAC"/>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rPr>
  </w:style>
  <w:style w:type="paragraph" w:styleId="TOC1">
    <w:name w:val="toc 1"/>
    <w:basedOn w:val="Normal"/>
    <w:next w:val="Normal"/>
    <w:autoRedefine/>
    <w:uiPriority w:val="39"/>
    <w:unhideWhenUsed/>
    <w:rsid w:val="008D0797"/>
    <w:pPr>
      <w:tabs>
        <w:tab w:val="right" w:leader="dot" w:pos="9356"/>
      </w:tabs>
      <w:spacing w:after="100"/>
    </w:pPr>
    <w:rPr>
      <w:rFonts w:ascii="Times New Roman" w:hAnsi="Times New Roman" w:cs="Times New Roman"/>
      <w:caps/>
      <w:noProof/>
    </w:rPr>
  </w:style>
  <w:style w:type="character" w:styleId="Hyperlink">
    <w:name w:val="Hyperlink"/>
    <w:basedOn w:val="DefaultParagraphFont"/>
    <w:uiPriority w:val="99"/>
    <w:unhideWhenUsed/>
    <w:rsid w:val="00EE0CAC"/>
    <w:rPr>
      <w:color w:val="0000FF" w:themeColor="hyperlink"/>
      <w:u w:val="single"/>
    </w:rPr>
  </w:style>
  <w:style w:type="paragraph" w:styleId="FootnoteText">
    <w:name w:val="footnote text"/>
    <w:basedOn w:val="Normal"/>
    <w:link w:val="FootnoteTextChar"/>
    <w:uiPriority w:val="99"/>
    <w:semiHidden/>
    <w:unhideWhenUsed/>
    <w:rsid w:val="00154D99"/>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154D99"/>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154D99"/>
    <w:rPr>
      <w:vertAlign w:val="superscript"/>
    </w:rPr>
  </w:style>
  <w:style w:type="paragraph" w:styleId="Header">
    <w:name w:val="header"/>
    <w:basedOn w:val="Normal"/>
    <w:link w:val="HeaderChar"/>
    <w:uiPriority w:val="99"/>
    <w:semiHidden/>
    <w:unhideWhenUsed/>
    <w:rsid w:val="00610344"/>
    <w:pPr>
      <w:tabs>
        <w:tab w:val="center" w:pos="4153"/>
        <w:tab w:val="right" w:pos="8306"/>
      </w:tabs>
      <w:spacing w:after="0" w:line="240" w:lineRule="auto"/>
    </w:pPr>
  </w:style>
  <w:style w:type="character" w:customStyle="1" w:styleId="HeaderChar">
    <w:name w:val="Header Char"/>
    <w:basedOn w:val="DefaultParagraphFont"/>
    <w:link w:val="Header"/>
    <w:uiPriority w:val="99"/>
    <w:semiHidden/>
    <w:rsid w:val="00610344"/>
  </w:style>
  <w:style w:type="paragraph" w:styleId="Footer">
    <w:name w:val="footer"/>
    <w:basedOn w:val="Normal"/>
    <w:link w:val="FooterChar"/>
    <w:uiPriority w:val="99"/>
    <w:unhideWhenUsed/>
    <w:rsid w:val="00610344"/>
    <w:pPr>
      <w:tabs>
        <w:tab w:val="center" w:pos="4153"/>
        <w:tab w:val="right" w:pos="8306"/>
      </w:tabs>
      <w:spacing w:after="0" w:line="240" w:lineRule="auto"/>
    </w:pPr>
  </w:style>
  <w:style w:type="character" w:customStyle="1" w:styleId="FooterChar">
    <w:name w:val="Footer Char"/>
    <w:basedOn w:val="DefaultParagraphFont"/>
    <w:link w:val="Footer"/>
    <w:uiPriority w:val="99"/>
    <w:rsid w:val="00610344"/>
  </w:style>
  <w:style w:type="character" w:styleId="Strong">
    <w:name w:val="Strong"/>
    <w:basedOn w:val="DefaultParagraphFont"/>
    <w:uiPriority w:val="22"/>
    <w:qFormat/>
    <w:rsid w:val="007B3592"/>
    <w:rPr>
      <w:b/>
      <w:bCs/>
    </w:rPr>
  </w:style>
  <w:style w:type="paragraph" w:styleId="ListParagraph">
    <w:name w:val="List Paragraph"/>
    <w:basedOn w:val="Normal"/>
    <w:uiPriority w:val="34"/>
    <w:qFormat/>
    <w:rsid w:val="007B3592"/>
    <w:pPr>
      <w:spacing w:after="0" w:line="240" w:lineRule="auto"/>
      <w:ind w:left="720"/>
      <w:contextualSpacing/>
    </w:pPr>
    <w:rPr>
      <w:rFonts w:ascii="Times New Roman" w:eastAsia="Calibri" w:hAnsi="Times New Roman" w:cs="Times New Roman"/>
      <w:sz w:val="24"/>
      <w:szCs w:val="24"/>
    </w:rPr>
  </w:style>
  <w:style w:type="table" w:styleId="TableGrid">
    <w:name w:val="Table Grid"/>
    <w:basedOn w:val="TableNormal"/>
    <w:uiPriority w:val="59"/>
    <w:rsid w:val="007F394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11B15"/>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naiskr">
    <w:name w:val="naiskr"/>
    <w:basedOn w:val="Normal"/>
    <w:rsid w:val="0081327C"/>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styleId="EndnoteText">
    <w:name w:val="endnote text"/>
    <w:basedOn w:val="Normal"/>
    <w:link w:val="EndnoteTextChar"/>
    <w:uiPriority w:val="99"/>
    <w:semiHidden/>
    <w:unhideWhenUsed/>
    <w:rsid w:val="007A025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A0251"/>
    <w:rPr>
      <w:sz w:val="20"/>
      <w:szCs w:val="20"/>
    </w:rPr>
  </w:style>
  <w:style w:type="character" w:styleId="EndnoteReference">
    <w:name w:val="endnote reference"/>
    <w:basedOn w:val="DefaultParagraphFont"/>
    <w:uiPriority w:val="99"/>
    <w:semiHidden/>
    <w:unhideWhenUsed/>
    <w:rsid w:val="007A0251"/>
    <w:rPr>
      <w:vertAlign w:val="superscript"/>
    </w:rPr>
  </w:style>
  <w:style w:type="paragraph" w:customStyle="1" w:styleId="Default">
    <w:name w:val="Default"/>
    <w:rsid w:val="00F267D4"/>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1476946809">
      <w:bodyDiv w:val="1"/>
      <w:marLeft w:val="0"/>
      <w:marRight w:val="0"/>
      <w:marTop w:val="0"/>
      <w:marBottom w:val="0"/>
      <w:divBdr>
        <w:top w:val="none" w:sz="0" w:space="0" w:color="auto"/>
        <w:left w:val="none" w:sz="0" w:space="0" w:color="auto"/>
        <w:bottom w:val="none" w:sz="0" w:space="0" w:color="auto"/>
        <w:right w:val="none" w:sz="0" w:space="0" w:color="auto"/>
      </w:divBdr>
      <w:divsChild>
        <w:div w:id="1063715912">
          <w:marLeft w:val="547"/>
          <w:marRight w:val="0"/>
          <w:marTop w:val="0"/>
          <w:marBottom w:val="0"/>
          <w:divBdr>
            <w:top w:val="none" w:sz="0" w:space="0" w:color="auto"/>
            <w:left w:val="none" w:sz="0" w:space="0" w:color="auto"/>
            <w:bottom w:val="none" w:sz="0" w:space="0" w:color="auto"/>
            <w:right w:val="none" w:sz="0" w:space="0" w:color="auto"/>
          </w:divBdr>
        </w:div>
      </w:divsChild>
    </w:div>
    <w:div w:id="2051759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diagramColors" Target="diagrams/colors1.xml"/><Relationship Id="rId26" Type="http://schemas.openxmlformats.org/officeDocument/2006/relationships/diagramLayout" Target="diagrams/layout3.xml"/><Relationship Id="rId39" Type="http://schemas.openxmlformats.org/officeDocument/2006/relationships/chart" Target="charts/chart3.xml"/><Relationship Id="rId21" Type="http://schemas.openxmlformats.org/officeDocument/2006/relationships/diagramLayout" Target="diagrams/layout2.xml"/><Relationship Id="rId34" Type="http://schemas.openxmlformats.org/officeDocument/2006/relationships/diagramLayout" Target="diagrams/layout4.xml"/><Relationship Id="rId42" Type="http://schemas.openxmlformats.org/officeDocument/2006/relationships/chart" Target="charts/chart5.xml"/><Relationship Id="rId47" Type="http://schemas.openxmlformats.org/officeDocument/2006/relationships/chart" Target="charts/chart9.xml"/><Relationship Id="rId50" Type="http://schemas.openxmlformats.org/officeDocument/2006/relationships/chart" Target="charts/chart12.xml"/><Relationship Id="rId55" Type="http://schemas.openxmlformats.org/officeDocument/2006/relationships/image" Target="media/image13.jpeg"/><Relationship Id="rId63" Type="http://schemas.openxmlformats.org/officeDocument/2006/relationships/diagramData" Target="diagrams/data5.xml"/><Relationship Id="rId68" Type="http://schemas.openxmlformats.org/officeDocument/2006/relationships/diagramData" Target="diagrams/data6.xml"/><Relationship Id="rId76" Type="http://schemas.openxmlformats.org/officeDocument/2006/relationships/image" Target="media/image18.jpeg"/><Relationship Id="rId84" Type="http://schemas.openxmlformats.org/officeDocument/2006/relationships/diagramColors" Target="diagrams/colors7.xml"/><Relationship Id="rId89" Type="http://schemas.openxmlformats.org/officeDocument/2006/relationships/chart" Target="charts/chart25.xml"/><Relationship Id="rId7" Type="http://schemas.openxmlformats.org/officeDocument/2006/relationships/footnotes" Target="footnotes.xml"/><Relationship Id="rId71" Type="http://schemas.openxmlformats.org/officeDocument/2006/relationships/diagramColors" Target="diagrams/colors6.xml"/><Relationship Id="rId92" Type="http://schemas.openxmlformats.org/officeDocument/2006/relationships/chart" Target="charts/chart26.xml"/><Relationship Id="rId2" Type="http://schemas.openxmlformats.org/officeDocument/2006/relationships/customXml" Target="../customXml/item2.xml"/><Relationship Id="rId16" Type="http://schemas.openxmlformats.org/officeDocument/2006/relationships/diagramLayout" Target="diagrams/layout1.xml"/><Relationship Id="rId29" Type="http://schemas.microsoft.com/office/2007/relationships/diagramDrawing" Target="diagrams/drawing3.xml"/><Relationship Id="rId11" Type="http://schemas.openxmlformats.org/officeDocument/2006/relationships/image" Target="media/image3.jpeg"/><Relationship Id="rId24" Type="http://schemas.microsoft.com/office/2007/relationships/diagramDrawing" Target="diagrams/drawing2.xml"/><Relationship Id="rId32" Type="http://schemas.openxmlformats.org/officeDocument/2006/relationships/image" Target="media/image8.jpeg"/><Relationship Id="rId37" Type="http://schemas.microsoft.com/office/2007/relationships/diagramDrawing" Target="diagrams/drawing4.xml"/><Relationship Id="rId40" Type="http://schemas.openxmlformats.org/officeDocument/2006/relationships/chart" Target="charts/chart4.xml"/><Relationship Id="rId45" Type="http://schemas.openxmlformats.org/officeDocument/2006/relationships/chart" Target="charts/chart7.xml"/><Relationship Id="rId53" Type="http://schemas.openxmlformats.org/officeDocument/2006/relationships/image" Target="media/image11.jpeg"/><Relationship Id="rId58" Type="http://schemas.openxmlformats.org/officeDocument/2006/relationships/chart" Target="charts/chart16.xml"/><Relationship Id="rId66" Type="http://schemas.openxmlformats.org/officeDocument/2006/relationships/diagramColors" Target="diagrams/colors5.xml"/><Relationship Id="rId74" Type="http://schemas.openxmlformats.org/officeDocument/2006/relationships/image" Target="media/image16.jpeg"/><Relationship Id="rId79" Type="http://schemas.openxmlformats.org/officeDocument/2006/relationships/chart" Target="charts/chart22.xml"/><Relationship Id="rId87" Type="http://schemas.openxmlformats.org/officeDocument/2006/relationships/image" Target="media/image20.jpeg"/><Relationship Id="rId5" Type="http://schemas.openxmlformats.org/officeDocument/2006/relationships/settings" Target="settings.xml"/><Relationship Id="rId61" Type="http://schemas.openxmlformats.org/officeDocument/2006/relationships/chart" Target="charts/chart19.xml"/><Relationship Id="rId82" Type="http://schemas.openxmlformats.org/officeDocument/2006/relationships/diagramLayout" Target="diagrams/layout7.xml"/><Relationship Id="rId90" Type="http://schemas.openxmlformats.org/officeDocument/2006/relationships/image" Target="media/image22.jpeg"/><Relationship Id="rId95" Type="http://schemas.openxmlformats.org/officeDocument/2006/relationships/theme" Target="theme/theme1.xml"/><Relationship Id="rId19" Type="http://schemas.microsoft.com/office/2007/relationships/diagramDrawing" Target="diagrams/drawing1.xml"/><Relationship Id="rId14" Type="http://schemas.openxmlformats.org/officeDocument/2006/relationships/chart" Target="charts/chart1.xml"/><Relationship Id="rId22" Type="http://schemas.openxmlformats.org/officeDocument/2006/relationships/diagramQuickStyle" Target="diagrams/quickStyle2.xml"/><Relationship Id="rId27" Type="http://schemas.openxmlformats.org/officeDocument/2006/relationships/diagramQuickStyle" Target="diagrams/quickStyle3.xml"/><Relationship Id="rId30" Type="http://schemas.openxmlformats.org/officeDocument/2006/relationships/image" Target="media/image6.jpeg"/><Relationship Id="rId35" Type="http://schemas.openxmlformats.org/officeDocument/2006/relationships/diagramQuickStyle" Target="diagrams/quickStyle4.xml"/><Relationship Id="rId43" Type="http://schemas.openxmlformats.org/officeDocument/2006/relationships/chart" Target="charts/chart6.xml"/><Relationship Id="rId48" Type="http://schemas.openxmlformats.org/officeDocument/2006/relationships/chart" Target="charts/chart10.xml"/><Relationship Id="rId56" Type="http://schemas.openxmlformats.org/officeDocument/2006/relationships/image" Target="media/image14.jpeg"/><Relationship Id="rId64" Type="http://schemas.openxmlformats.org/officeDocument/2006/relationships/diagramLayout" Target="diagrams/layout5.xml"/><Relationship Id="rId69" Type="http://schemas.openxmlformats.org/officeDocument/2006/relationships/diagramLayout" Target="diagrams/layout6.xml"/><Relationship Id="rId77" Type="http://schemas.openxmlformats.org/officeDocument/2006/relationships/image" Target="media/image19.jpeg"/><Relationship Id="rId8" Type="http://schemas.openxmlformats.org/officeDocument/2006/relationships/endnotes" Target="endnotes.xml"/><Relationship Id="rId51" Type="http://schemas.openxmlformats.org/officeDocument/2006/relationships/chart" Target="charts/chart13.xml"/><Relationship Id="rId72" Type="http://schemas.microsoft.com/office/2007/relationships/diagramDrawing" Target="diagrams/drawing6.xml"/><Relationship Id="rId80" Type="http://schemas.openxmlformats.org/officeDocument/2006/relationships/chart" Target="charts/chart23.xml"/><Relationship Id="rId85" Type="http://schemas.microsoft.com/office/2007/relationships/diagramDrawing" Target="diagrams/drawing7.xml"/><Relationship Id="rId93"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diagramQuickStyle" Target="diagrams/quickStyle1.xml"/><Relationship Id="rId25" Type="http://schemas.openxmlformats.org/officeDocument/2006/relationships/diagramData" Target="diagrams/data3.xml"/><Relationship Id="rId33" Type="http://schemas.openxmlformats.org/officeDocument/2006/relationships/diagramData" Target="diagrams/data4.xml"/><Relationship Id="rId38" Type="http://schemas.openxmlformats.org/officeDocument/2006/relationships/chart" Target="charts/chart2.xml"/><Relationship Id="rId46" Type="http://schemas.openxmlformats.org/officeDocument/2006/relationships/chart" Target="charts/chart8.xml"/><Relationship Id="rId59" Type="http://schemas.openxmlformats.org/officeDocument/2006/relationships/chart" Target="charts/chart17.xml"/><Relationship Id="rId67" Type="http://schemas.microsoft.com/office/2007/relationships/diagramDrawing" Target="diagrams/drawing5.xml"/><Relationship Id="rId20" Type="http://schemas.openxmlformats.org/officeDocument/2006/relationships/diagramData" Target="diagrams/data2.xml"/><Relationship Id="rId41" Type="http://schemas.openxmlformats.org/officeDocument/2006/relationships/image" Target="media/image9.jpeg"/><Relationship Id="rId54" Type="http://schemas.openxmlformats.org/officeDocument/2006/relationships/image" Target="media/image12.jpeg"/><Relationship Id="rId62" Type="http://schemas.openxmlformats.org/officeDocument/2006/relationships/chart" Target="charts/chart20.xml"/><Relationship Id="rId70" Type="http://schemas.openxmlformats.org/officeDocument/2006/relationships/diagramQuickStyle" Target="diagrams/quickStyle6.xml"/><Relationship Id="rId75" Type="http://schemas.openxmlformats.org/officeDocument/2006/relationships/image" Target="media/image17.jpeg"/><Relationship Id="rId83" Type="http://schemas.openxmlformats.org/officeDocument/2006/relationships/diagramQuickStyle" Target="diagrams/quickStyle7.xml"/><Relationship Id="rId88" Type="http://schemas.openxmlformats.org/officeDocument/2006/relationships/image" Target="media/image21.jpeg"/><Relationship Id="rId9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diagramColors" Target="diagrams/colors3.xml"/><Relationship Id="rId36" Type="http://schemas.openxmlformats.org/officeDocument/2006/relationships/diagramColors" Target="diagrams/colors4.xml"/><Relationship Id="rId49" Type="http://schemas.openxmlformats.org/officeDocument/2006/relationships/chart" Target="charts/chart11.xml"/><Relationship Id="rId57" Type="http://schemas.openxmlformats.org/officeDocument/2006/relationships/chart" Target="charts/chart15.xml"/><Relationship Id="rId10" Type="http://schemas.openxmlformats.org/officeDocument/2006/relationships/image" Target="media/image2.jpeg"/><Relationship Id="rId31" Type="http://schemas.openxmlformats.org/officeDocument/2006/relationships/image" Target="media/image7.jpeg"/><Relationship Id="rId44" Type="http://schemas.openxmlformats.org/officeDocument/2006/relationships/image" Target="media/image10.jpeg"/><Relationship Id="rId52" Type="http://schemas.openxmlformats.org/officeDocument/2006/relationships/chart" Target="charts/chart14.xml"/><Relationship Id="rId60" Type="http://schemas.openxmlformats.org/officeDocument/2006/relationships/chart" Target="charts/chart18.xml"/><Relationship Id="rId65" Type="http://schemas.openxmlformats.org/officeDocument/2006/relationships/diagramQuickStyle" Target="diagrams/quickStyle5.xml"/><Relationship Id="rId73" Type="http://schemas.openxmlformats.org/officeDocument/2006/relationships/image" Target="media/image15.jpeg"/><Relationship Id="rId78" Type="http://schemas.openxmlformats.org/officeDocument/2006/relationships/chart" Target="charts/chart21.xml"/><Relationship Id="rId81" Type="http://schemas.openxmlformats.org/officeDocument/2006/relationships/diagramData" Target="diagrams/data7.xml"/><Relationship Id="rId86" Type="http://schemas.openxmlformats.org/officeDocument/2006/relationships/chart" Target="charts/chart24.xml"/><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santao\Documents\invozino_2013\Kopsavilkums_1995-201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santao\Documents\invozino_2013\Grafiki_201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santao\Documents\invozino_2013\Grafiki_201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santao\Documents\invozino_2013\Book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santao\Documents\invozino_2013\Book1.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antao\Documents\invozino_2013\Book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santao\Documents\invozino_2013\Book1.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santao\Documents\invozino_2013\Book1.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santao\Documents\invozino_2013\Book1.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santao\Documents\invozino_2013\Book1.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santao\Documents\invozino_2013\Book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antao\Documents\Book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lv-LV"/>
  <c:style val="27"/>
  <c:chart>
    <c:autoTitleDeleted val="1"/>
    <c:plotArea>
      <c:layout/>
      <c:areaChart>
        <c:grouping val="stacked"/>
        <c:ser>
          <c:idx val="0"/>
          <c:order val="0"/>
          <c:tx>
            <c:strRef>
              <c:f>'1995-2013'!$A$2</c:f>
              <c:strCache>
                <c:ptCount val="1"/>
                <c:pt idx="0">
                  <c:v>Valsts budžets</c:v>
                </c:pt>
              </c:strCache>
            </c:strRef>
          </c:tx>
          <c:cat>
            <c:strRef>
              <c:f>'1995-2013'!$B$1:$T$1</c:f>
              <c:strCache>
                <c:ptCount val="19"/>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strCache>
            </c:strRef>
          </c:cat>
          <c:val>
            <c:numRef>
              <c:f>'1995-2013'!$B$2:$T$2</c:f>
              <c:numCache>
                <c:formatCode>0.00</c:formatCode>
                <c:ptCount val="19"/>
                <c:pt idx="0">
                  <c:v>2.2000000000000002</c:v>
                </c:pt>
                <c:pt idx="1">
                  <c:v>3.2600000000000002</c:v>
                </c:pt>
                <c:pt idx="2">
                  <c:v>3.73</c:v>
                </c:pt>
                <c:pt idx="3">
                  <c:v>5.3949999999999934</c:v>
                </c:pt>
                <c:pt idx="4">
                  <c:v>6.9</c:v>
                </c:pt>
                <c:pt idx="5">
                  <c:v>13.044</c:v>
                </c:pt>
                <c:pt idx="6">
                  <c:v>12.77</c:v>
                </c:pt>
                <c:pt idx="7">
                  <c:v>10.62</c:v>
                </c:pt>
                <c:pt idx="8">
                  <c:v>8.1020000000000021</c:v>
                </c:pt>
                <c:pt idx="9">
                  <c:v>10.8</c:v>
                </c:pt>
                <c:pt idx="10">
                  <c:v>8.8760000000000048</c:v>
                </c:pt>
                <c:pt idx="11">
                  <c:v>13.591000000000001</c:v>
                </c:pt>
                <c:pt idx="12">
                  <c:v>28.164000000000001</c:v>
                </c:pt>
                <c:pt idx="13">
                  <c:v>35.132000000000012</c:v>
                </c:pt>
                <c:pt idx="14">
                  <c:v>22.287999999999986</c:v>
                </c:pt>
                <c:pt idx="15">
                  <c:v>2.569</c:v>
                </c:pt>
                <c:pt idx="16">
                  <c:v>3.6863945500000042</c:v>
                </c:pt>
                <c:pt idx="17">
                  <c:v>2.7840000000000011</c:v>
                </c:pt>
                <c:pt idx="18">
                  <c:v>1.3526132000000002</c:v>
                </c:pt>
              </c:numCache>
            </c:numRef>
          </c:val>
        </c:ser>
        <c:ser>
          <c:idx val="1"/>
          <c:order val="1"/>
          <c:tx>
            <c:strRef>
              <c:f>'1995-2013'!$A$3</c:f>
              <c:strCache>
                <c:ptCount val="1"/>
                <c:pt idx="0">
                  <c:v>Investīciju projekta realizētāja ieguldītie līdzekļi</c:v>
                </c:pt>
              </c:strCache>
            </c:strRef>
          </c:tx>
          <c:cat>
            <c:strRef>
              <c:f>'1995-2013'!$B$1:$T$1</c:f>
              <c:strCache>
                <c:ptCount val="19"/>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strCache>
            </c:strRef>
          </c:cat>
          <c:val>
            <c:numRef>
              <c:f>'1995-2013'!$B$3:$T$3</c:f>
              <c:numCache>
                <c:formatCode>0.00</c:formatCode>
                <c:ptCount val="19"/>
                <c:pt idx="0">
                  <c:v>1.2569999999999986</c:v>
                </c:pt>
                <c:pt idx="1">
                  <c:v>2.794</c:v>
                </c:pt>
                <c:pt idx="2">
                  <c:v>6.5780000000000003</c:v>
                </c:pt>
                <c:pt idx="3">
                  <c:v>8.7199999999999989</c:v>
                </c:pt>
                <c:pt idx="4">
                  <c:v>13.703000000000001</c:v>
                </c:pt>
                <c:pt idx="5">
                  <c:v>19.192999999999987</c:v>
                </c:pt>
                <c:pt idx="6">
                  <c:v>10.72</c:v>
                </c:pt>
                <c:pt idx="7">
                  <c:v>3.9</c:v>
                </c:pt>
                <c:pt idx="8">
                  <c:v>6.7669999999999995</c:v>
                </c:pt>
                <c:pt idx="9">
                  <c:v>5.74</c:v>
                </c:pt>
                <c:pt idx="10">
                  <c:v>9.4270000000000014</c:v>
                </c:pt>
                <c:pt idx="11">
                  <c:v>14.051</c:v>
                </c:pt>
                <c:pt idx="12">
                  <c:v>9.016</c:v>
                </c:pt>
                <c:pt idx="13">
                  <c:v>9.5720000000000027</c:v>
                </c:pt>
                <c:pt idx="14">
                  <c:v>23.552</c:v>
                </c:pt>
                <c:pt idx="15">
                  <c:v>13.904</c:v>
                </c:pt>
                <c:pt idx="16">
                  <c:v>11.746237999999998</c:v>
                </c:pt>
                <c:pt idx="17">
                  <c:v>3.96</c:v>
                </c:pt>
                <c:pt idx="18">
                  <c:v>10.782</c:v>
                </c:pt>
              </c:numCache>
            </c:numRef>
          </c:val>
        </c:ser>
        <c:ser>
          <c:idx val="2"/>
          <c:order val="2"/>
          <c:tx>
            <c:strRef>
              <c:f>'1995-2013'!$A$4</c:f>
              <c:strCache>
                <c:ptCount val="1"/>
                <c:pt idx="0">
                  <c:v>Ārvalstu finanšu palīdzība</c:v>
                </c:pt>
              </c:strCache>
            </c:strRef>
          </c:tx>
          <c:cat>
            <c:strRef>
              <c:f>'1995-2013'!$B$1:$T$1</c:f>
              <c:strCache>
                <c:ptCount val="19"/>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strCache>
            </c:strRef>
          </c:cat>
          <c:val>
            <c:numRef>
              <c:f>'1995-2013'!$B$4:$T$4</c:f>
              <c:numCache>
                <c:formatCode>0.00</c:formatCode>
                <c:ptCount val="19"/>
                <c:pt idx="0">
                  <c:v>1.1900000000000015</c:v>
                </c:pt>
                <c:pt idx="1">
                  <c:v>2.61</c:v>
                </c:pt>
                <c:pt idx="2">
                  <c:v>4.0339999999999998</c:v>
                </c:pt>
                <c:pt idx="3">
                  <c:v>7.4909999999999997</c:v>
                </c:pt>
                <c:pt idx="4">
                  <c:v>5.51</c:v>
                </c:pt>
                <c:pt idx="5">
                  <c:v>5.516</c:v>
                </c:pt>
                <c:pt idx="6">
                  <c:v>5.8559999999999945</c:v>
                </c:pt>
                <c:pt idx="7">
                  <c:v>2.508</c:v>
                </c:pt>
                <c:pt idx="8">
                  <c:v>5.6949999999999932</c:v>
                </c:pt>
                <c:pt idx="9">
                  <c:v>11.450000000000006</c:v>
                </c:pt>
                <c:pt idx="10">
                  <c:v>21.513999999999999</c:v>
                </c:pt>
                <c:pt idx="11">
                  <c:v>27.613000000000024</c:v>
                </c:pt>
                <c:pt idx="12">
                  <c:v>71.985000000000014</c:v>
                </c:pt>
                <c:pt idx="13">
                  <c:v>70.381999999999991</c:v>
                </c:pt>
                <c:pt idx="14">
                  <c:v>136.20299999999997</c:v>
                </c:pt>
                <c:pt idx="15">
                  <c:v>110.99900000000002</c:v>
                </c:pt>
                <c:pt idx="16">
                  <c:v>81.28582621000001</c:v>
                </c:pt>
                <c:pt idx="17">
                  <c:v>83.121999999999986</c:v>
                </c:pt>
                <c:pt idx="18">
                  <c:v>74.228028389999949</c:v>
                </c:pt>
              </c:numCache>
            </c:numRef>
          </c:val>
        </c:ser>
        <c:axId val="76128640"/>
        <c:axId val="76130176"/>
      </c:areaChart>
      <c:catAx>
        <c:axId val="76128640"/>
        <c:scaling>
          <c:orientation val="minMax"/>
        </c:scaling>
        <c:axPos val="b"/>
        <c:majorTickMark val="none"/>
        <c:tickLblPos val="nextTo"/>
        <c:crossAx val="76130176"/>
        <c:crosses val="autoZero"/>
        <c:auto val="1"/>
        <c:lblAlgn val="ctr"/>
        <c:lblOffset val="100"/>
      </c:catAx>
      <c:valAx>
        <c:axId val="76130176"/>
        <c:scaling>
          <c:orientation val="minMax"/>
        </c:scaling>
        <c:axPos val="l"/>
        <c:majorGridlines/>
        <c:numFmt formatCode="0" sourceLinked="0"/>
        <c:majorTickMark val="none"/>
        <c:tickLblPos val="nextTo"/>
        <c:crossAx val="76128640"/>
        <c:crosses val="autoZero"/>
        <c:crossBetween val="midCat"/>
      </c:valAx>
    </c:plotArea>
    <c:legend>
      <c:legendPos val="b"/>
    </c:legend>
    <c:plotVisOnly val="1"/>
  </c:chart>
  <c:spPr>
    <a:ln>
      <a:noFill/>
    </a:ln>
  </c:spPr>
  <c:txPr>
    <a:bodyPr/>
    <a:lstStyle/>
    <a:p>
      <a:pPr>
        <a:defRPr sz="900" baseline="0">
          <a:latin typeface="Times New Roman" pitchFamily="18" charset="0"/>
        </a:defRPr>
      </a:pPr>
      <a:endParaRPr lang="lv-LV"/>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lv-LV"/>
  <c:style val="35"/>
  <c:chart>
    <c:view3D>
      <c:rotX val="0"/>
      <c:rotY val="0"/>
      <c:perspective val="0"/>
    </c:view3D>
    <c:plotArea>
      <c:layout/>
      <c:bar3DChart>
        <c:barDir val="bar"/>
        <c:grouping val="clustered"/>
        <c:ser>
          <c:idx val="0"/>
          <c:order val="0"/>
          <c:tx>
            <c:strRef>
              <c:f>Grafiki_udeni!$A$154</c:f>
              <c:strCache>
                <c:ptCount val="1"/>
                <c:pt idx="0">
                  <c:v>CE&gt;100 000,                                    2 aglomerācijas</c:v>
                </c:pt>
              </c:strCache>
            </c:strRef>
          </c:tx>
          <c:spPr>
            <a:ln>
              <a:noFill/>
            </a:ln>
          </c:spPr>
          <c:cat>
            <c:strRef>
              <c:f>Grafiki_udeni!$B$153:$C$153</c:f>
              <c:strCache>
                <c:ptCount val="2"/>
                <c:pt idx="0">
                  <c:v>1995.-2013.</c:v>
                </c:pt>
                <c:pt idx="1">
                  <c:v>2013.</c:v>
                </c:pt>
              </c:strCache>
            </c:strRef>
          </c:cat>
          <c:val>
            <c:numRef>
              <c:f>Grafiki_udeni!$B$154:$C$154</c:f>
              <c:numCache>
                <c:formatCode>0%</c:formatCode>
                <c:ptCount val="2"/>
                <c:pt idx="0">
                  <c:v>0.24505866603669579</c:v>
                </c:pt>
                <c:pt idx="1">
                  <c:v>0.16390264914925695</c:v>
                </c:pt>
              </c:numCache>
            </c:numRef>
          </c:val>
        </c:ser>
        <c:ser>
          <c:idx val="1"/>
          <c:order val="1"/>
          <c:tx>
            <c:strRef>
              <c:f>Grafiki_udeni!$A$155</c:f>
              <c:strCache>
                <c:ptCount val="1"/>
                <c:pt idx="0">
                  <c:v>100 000&gt;CE&gt;10 000,                      23 aglomerācijas</c:v>
                </c:pt>
              </c:strCache>
            </c:strRef>
          </c:tx>
          <c:spPr>
            <a:ln>
              <a:noFill/>
            </a:ln>
          </c:spPr>
          <c:cat>
            <c:strRef>
              <c:f>Grafiki_udeni!$B$153:$C$153</c:f>
              <c:strCache>
                <c:ptCount val="2"/>
                <c:pt idx="0">
                  <c:v>1995.-2013.</c:v>
                </c:pt>
                <c:pt idx="1">
                  <c:v>2013.</c:v>
                </c:pt>
              </c:strCache>
            </c:strRef>
          </c:cat>
          <c:val>
            <c:numRef>
              <c:f>Grafiki_udeni!$B$155:$C$155</c:f>
              <c:numCache>
                <c:formatCode>0%</c:formatCode>
                <c:ptCount val="2"/>
                <c:pt idx="0">
                  <c:v>0.3947161193794842</c:v>
                </c:pt>
                <c:pt idx="1">
                  <c:v>0.25026922248546174</c:v>
                </c:pt>
              </c:numCache>
            </c:numRef>
          </c:val>
        </c:ser>
        <c:ser>
          <c:idx val="2"/>
          <c:order val="2"/>
          <c:tx>
            <c:strRef>
              <c:f>Grafiki_udeni!$A$156</c:f>
              <c:strCache>
                <c:ptCount val="1"/>
                <c:pt idx="0">
                  <c:v>10 000&gt;CE&gt;2 000,                          63 aglomerācijas</c:v>
                </c:pt>
              </c:strCache>
            </c:strRef>
          </c:tx>
          <c:spPr>
            <a:ln>
              <a:noFill/>
            </a:ln>
          </c:spPr>
          <c:cat>
            <c:strRef>
              <c:f>Grafiki_udeni!$B$153:$C$153</c:f>
              <c:strCache>
                <c:ptCount val="2"/>
                <c:pt idx="0">
                  <c:v>1995.-2013.</c:v>
                </c:pt>
                <c:pt idx="1">
                  <c:v>2013.</c:v>
                </c:pt>
              </c:strCache>
            </c:strRef>
          </c:cat>
          <c:val>
            <c:numRef>
              <c:f>Grafiki_udeni!$B$156:$C$156</c:f>
              <c:numCache>
                <c:formatCode>0%</c:formatCode>
                <c:ptCount val="2"/>
                <c:pt idx="0">
                  <c:v>0.22052917552563192</c:v>
                </c:pt>
                <c:pt idx="1">
                  <c:v>0.15205685978892974</c:v>
                </c:pt>
              </c:numCache>
            </c:numRef>
          </c:val>
        </c:ser>
        <c:ser>
          <c:idx val="3"/>
          <c:order val="3"/>
          <c:tx>
            <c:strRef>
              <c:f>Grafiki_udeni!$A$157</c:f>
              <c:strCache>
                <c:ptCount val="1"/>
                <c:pt idx="0">
                  <c:v>CE&lt;2 000,                                       600 apdzīvotās vietas</c:v>
                </c:pt>
              </c:strCache>
            </c:strRef>
          </c:tx>
          <c:spPr>
            <a:ln>
              <a:noFill/>
            </a:ln>
          </c:spPr>
          <c:cat>
            <c:strRef>
              <c:f>Grafiki_udeni!$B$153:$C$153</c:f>
              <c:strCache>
                <c:ptCount val="2"/>
                <c:pt idx="0">
                  <c:v>1995.-2013.</c:v>
                </c:pt>
                <c:pt idx="1">
                  <c:v>2013.</c:v>
                </c:pt>
              </c:strCache>
            </c:strRef>
          </c:cat>
          <c:val>
            <c:numRef>
              <c:f>Grafiki_udeni!$B$157:$C$157</c:f>
              <c:numCache>
                <c:formatCode>0%</c:formatCode>
                <c:ptCount val="2"/>
                <c:pt idx="0">
                  <c:v>0.13969603905819394</c:v>
                </c:pt>
                <c:pt idx="1">
                  <c:v>0.43377126857635151</c:v>
                </c:pt>
              </c:numCache>
            </c:numRef>
          </c:val>
        </c:ser>
        <c:shape val="cylinder"/>
        <c:axId val="100496896"/>
        <c:axId val="100498432"/>
        <c:axId val="0"/>
      </c:bar3DChart>
      <c:catAx>
        <c:axId val="100496896"/>
        <c:scaling>
          <c:orientation val="minMax"/>
        </c:scaling>
        <c:axPos val="l"/>
        <c:tickLblPos val="nextTo"/>
        <c:crossAx val="100498432"/>
        <c:crosses val="autoZero"/>
        <c:auto val="1"/>
        <c:lblAlgn val="ctr"/>
        <c:lblOffset val="100"/>
      </c:catAx>
      <c:valAx>
        <c:axId val="100498432"/>
        <c:scaling>
          <c:orientation val="minMax"/>
        </c:scaling>
        <c:axPos val="b"/>
        <c:majorGridlines/>
        <c:numFmt formatCode="0%" sourceLinked="1"/>
        <c:tickLblPos val="nextTo"/>
        <c:crossAx val="100496896"/>
        <c:crosses val="autoZero"/>
        <c:crossBetween val="between"/>
      </c:valAx>
    </c:plotArea>
    <c:legend>
      <c:legendPos val="r"/>
      <c:layout>
        <c:manualLayout>
          <c:xMode val="edge"/>
          <c:yMode val="edge"/>
          <c:x val="0.6443930446194287"/>
          <c:y val="0.192308253135026"/>
          <c:w val="0.33894028871391374"/>
          <c:h val="0.54593904928550663"/>
        </c:manualLayout>
      </c:layout>
    </c:legend>
    <c:plotVisOnly val="1"/>
  </c:chart>
  <c:spPr>
    <a:ln>
      <a:noFill/>
    </a:ln>
  </c:spPr>
  <c:txPr>
    <a:bodyPr/>
    <a:lstStyle/>
    <a:p>
      <a:pPr>
        <a:defRPr sz="900" baseline="0">
          <a:latin typeface="Times New Roman" pitchFamily="18" charset="0"/>
        </a:defRPr>
      </a:pPr>
      <a:endParaRPr lang="lv-LV"/>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lv-LV"/>
  <c:style val="35"/>
  <c:chart>
    <c:view3D>
      <c:rotX val="0"/>
      <c:rotY val="0"/>
      <c:rAngAx val="1"/>
    </c:view3D>
    <c:plotArea>
      <c:layout/>
      <c:bar3DChart>
        <c:barDir val="bar"/>
        <c:grouping val="clustered"/>
        <c:ser>
          <c:idx val="0"/>
          <c:order val="0"/>
          <c:tx>
            <c:strRef>
              <c:f>Grafiki_udeni!$A$162</c:f>
              <c:strCache>
                <c:ptCount val="1"/>
                <c:pt idx="0">
                  <c:v>Daugava - 38 aglomerācijas</c:v>
                </c:pt>
              </c:strCache>
            </c:strRef>
          </c:tx>
          <c:spPr>
            <a:ln>
              <a:noFill/>
            </a:ln>
          </c:spPr>
          <c:cat>
            <c:strRef>
              <c:f>Grafiki_udeni!$B$161:$C$161</c:f>
              <c:strCache>
                <c:ptCount val="2"/>
                <c:pt idx="0">
                  <c:v>1995.-2013.</c:v>
                </c:pt>
                <c:pt idx="1">
                  <c:v>2013.</c:v>
                </c:pt>
              </c:strCache>
            </c:strRef>
          </c:cat>
          <c:val>
            <c:numRef>
              <c:f>Grafiki_udeni!$B$162:$C$162</c:f>
              <c:numCache>
                <c:formatCode>0%</c:formatCode>
                <c:ptCount val="2"/>
                <c:pt idx="0">
                  <c:v>0.52627935263227565</c:v>
                </c:pt>
                <c:pt idx="1">
                  <c:v>0.47057827952830389</c:v>
                </c:pt>
              </c:numCache>
            </c:numRef>
          </c:val>
        </c:ser>
        <c:ser>
          <c:idx val="1"/>
          <c:order val="1"/>
          <c:tx>
            <c:strRef>
              <c:f>Grafiki_udeni!$A$163</c:f>
              <c:strCache>
                <c:ptCount val="1"/>
                <c:pt idx="0">
                  <c:v>Venta - 19 aglomerācijas</c:v>
                </c:pt>
              </c:strCache>
            </c:strRef>
          </c:tx>
          <c:spPr>
            <a:ln>
              <a:noFill/>
            </a:ln>
          </c:spPr>
          <c:cat>
            <c:strRef>
              <c:f>Grafiki_udeni!$B$161:$C$161</c:f>
              <c:strCache>
                <c:ptCount val="2"/>
                <c:pt idx="0">
                  <c:v>1995.-2013.</c:v>
                </c:pt>
                <c:pt idx="1">
                  <c:v>2013.</c:v>
                </c:pt>
              </c:strCache>
            </c:strRef>
          </c:cat>
          <c:val>
            <c:numRef>
              <c:f>Grafiki_udeni!$B$163:$C$163</c:f>
              <c:numCache>
                <c:formatCode>0%</c:formatCode>
                <c:ptCount val="2"/>
                <c:pt idx="0">
                  <c:v>0.21427640609133858</c:v>
                </c:pt>
                <c:pt idx="1">
                  <c:v>0.24412422454034821</c:v>
                </c:pt>
              </c:numCache>
            </c:numRef>
          </c:val>
        </c:ser>
        <c:ser>
          <c:idx val="2"/>
          <c:order val="2"/>
          <c:tx>
            <c:strRef>
              <c:f>Grafiki_udeni!$A$164</c:f>
              <c:strCache>
                <c:ptCount val="1"/>
                <c:pt idx="0">
                  <c:v>Gauja - 18 aglomerācijas</c:v>
                </c:pt>
              </c:strCache>
            </c:strRef>
          </c:tx>
          <c:spPr>
            <a:ln>
              <a:noFill/>
            </a:ln>
          </c:spPr>
          <c:cat>
            <c:strRef>
              <c:f>Grafiki_udeni!$B$161:$C$161</c:f>
              <c:strCache>
                <c:ptCount val="2"/>
                <c:pt idx="0">
                  <c:v>1995.-2013.</c:v>
                </c:pt>
                <c:pt idx="1">
                  <c:v>2013.</c:v>
                </c:pt>
              </c:strCache>
            </c:strRef>
          </c:cat>
          <c:val>
            <c:numRef>
              <c:f>Grafiki_udeni!$B$164:$C$164</c:f>
              <c:numCache>
                <c:formatCode>0%</c:formatCode>
                <c:ptCount val="2"/>
                <c:pt idx="0">
                  <c:v>0.13056244709310191</c:v>
                </c:pt>
                <c:pt idx="1">
                  <c:v>0.15485135914843945</c:v>
                </c:pt>
              </c:numCache>
            </c:numRef>
          </c:val>
        </c:ser>
        <c:ser>
          <c:idx val="3"/>
          <c:order val="3"/>
          <c:tx>
            <c:strRef>
              <c:f>Grafiki_udeni!$A$165</c:f>
              <c:strCache>
                <c:ptCount val="1"/>
                <c:pt idx="0">
                  <c:v>Lielupe - 13 aglomerācijas</c:v>
                </c:pt>
              </c:strCache>
            </c:strRef>
          </c:tx>
          <c:spPr>
            <a:ln>
              <a:noFill/>
            </a:ln>
          </c:spPr>
          <c:cat>
            <c:strRef>
              <c:f>Grafiki_udeni!$B$161:$C$161</c:f>
              <c:strCache>
                <c:ptCount val="2"/>
                <c:pt idx="0">
                  <c:v>1995.-2013.</c:v>
                </c:pt>
                <c:pt idx="1">
                  <c:v>2013.</c:v>
                </c:pt>
              </c:strCache>
            </c:strRef>
          </c:cat>
          <c:val>
            <c:numRef>
              <c:f>Grafiki_udeni!$B$165:$C$165</c:f>
              <c:numCache>
                <c:formatCode>0%</c:formatCode>
                <c:ptCount val="2"/>
                <c:pt idx="0">
                  <c:v>0.12888179418328655</c:v>
                </c:pt>
                <c:pt idx="1">
                  <c:v>0.13044613678291431</c:v>
                </c:pt>
              </c:numCache>
            </c:numRef>
          </c:val>
        </c:ser>
        <c:shape val="cylinder"/>
        <c:axId val="100750080"/>
        <c:axId val="100751616"/>
        <c:axId val="0"/>
      </c:bar3DChart>
      <c:catAx>
        <c:axId val="100750080"/>
        <c:scaling>
          <c:orientation val="minMax"/>
        </c:scaling>
        <c:axPos val="l"/>
        <c:tickLblPos val="nextTo"/>
        <c:crossAx val="100751616"/>
        <c:crosses val="autoZero"/>
        <c:auto val="1"/>
        <c:lblAlgn val="ctr"/>
        <c:lblOffset val="100"/>
      </c:catAx>
      <c:valAx>
        <c:axId val="100751616"/>
        <c:scaling>
          <c:orientation val="minMax"/>
        </c:scaling>
        <c:axPos val="b"/>
        <c:majorGridlines/>
        <c:numFmt formatCode="0%" sourceLinked="1"/>
        <c:tickLblPos val="nextTo"/>
        <c:crossAx val="100750080"/>
        <c:crosses val="autoZero"/>
        <c:crossBetween val="between"/>
      </c:valAx>
    </c:plotArea>
    <c:legend>
      <c:legendPos val="r"/>
    </c:legend>
    <c:plotVisOnly val="1"/>
  </c:chart>
  <c:spPr>
    <a:ln>
      <a:noFill/>
    </a:ln>
  </c:spPr>
  <c:txPr>
    <a:bodyPr/>
    <a:lstStyle/>
    <a:p>
      <a:pPr>
        <a:defRPr sz="900" baseline="0">
          <a:latin typeface="Times New Roman" pitchFamily="18" charset="0"/>
        </a:defRPr>
      </a:pPr>
      <a:endParaRPr lang="lv-LV"/>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lv-LV"/>
  <c:style val="35"/>
  <c:chart>
    <c:plotArea>
      <c:layout>
        <c:manualLayout>
          <c:layoutTarget val="inner"/>
          <c:xMode val="edge"/>
          <c:yMode val="edge"/>
          <c:x val="8.5850503981120263E-2"/>
          <c:y val="4.5548730961059485E-2"/>
          <c:w val="0.60226859877809391"/>
          <c:h val="0.73578454867054865"/>
        </c:manualLayout>
      </c:layout>
      <c:lineChart>
        <c:grouping val="standard"/>
        <c:ser>
          <c:idx val="0"/>
          <c:order val="0"/>
          <c:tx>
            <c:strRef>
              <c:f>[Grafiki_2013.xlsx]Grafiki_atkritumi!$A$2</c:f>
              <c:strCache>
                <c:ptCount val="1"/>
                <c:pt idx="0">
                  <c:v>Dāvinājumi (t.sk. ES fondi) - 76,91 milj. LVL</c:v>
                </c:pt>
              </c:strCache>
            </c:strRef>
          </c:tx>
          <c:marker>
            <c:symbol val="none"/>
          </c:marker>
          <c:cat>
            <c:strRef>
              <c:f>[Grafiki_2013.xlsx]Grafiki_atkritumi!$B$1:$T$1</c:f>
              <c:strCache>
                <c:ptCount val="19"/>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strCache>
            </c:strRef>
          </c:cat>
          <c:val>
            <c:numRef>
              <c:f>[Grafiki_2013.xlsx]Grafiki_atkritumi!$B$2:$T$2</c:f>
              <c:numCache>
                <c:formatCode>0.00</c:formatCode>
                <c:ptCount val="19"/>
                <c:pt idx="0">
                  <c:v>0</c:v>
                </c:pt>
                <c:pt idx="1">
                  <c:v>0</c:v>
                </c:pt>
                <c:pt idx="2">
                  <c:v>0</c:v>
                </c:pt>
                <c:pt idx="3">
                  <c:v>0.24400000000000024</c:v>
                </c:pt>
                <c:pt idx="4">
                  <c:v>0.35000000000000031</c:v>
                </c:pt>
                <c:pt idx="5">
                  <c:v>0.47300000000000031</c:v>
                </c:pt>
                <c:pt idx="6">
                  <c:v>0.61700000000000121</c:v>
                </c:pt>
                <c:pt idx="7">
                  <c:v>1.7689999999999972</c:v>
                </c:pt>
                <c:pt idx="8">
                  <c:v>2.2789999999999999</c:v>
                </c:pt>
                <c:pt idx="9">
                  <c:v>4.5519999999999996</c:v>
                </c:pt>
                <c:pt idx="10">
                  <c:v>2.7629999999999999</c:v>
                </c:pt>
                <c:pt idx="11">
                  <c:v>4.1490520000000002</c:v>
                </c:pt>
                <c:pt idx="12">
                  <c:v>8.7908189999999991</c:v>
                </c:pt>
                <c:pt idx="13">
                  <c:v>9.6795380000000026</c:v>
                </c:pt>
                <c:pt idx="14">
                  <c:v>14.658315999999999</c:v>
                </c:pt>
                <c:pt idx="15">
                  <c:v>7.1107099999999965</c:v>
                </c:pt>
                <c:pt idx="16">
                  <c:v>8.1566090000000067</c:v>
                </c:pt>
                <c:pt idx="17">
                  <c:v>5.7929999999999975</c:v>
                </c:pt>
                <c:pt idx="18">
                  <c:v>5.5239999999999965</c:v>
                </c:pt>
              </c:numCache>
            </c:numRef>
          </c:val>
        </c:ser>
        <c:ser>
          <c:idx val="1"/>
          <c:order val="1"/>
          <c:tx>
            <c:strRef>
              <c:f>[Grafiki_2013.xlsx]Grafiki_atkritumi!$A$3</c:f>
              <c:strCache>
                <c:ptCount val="1"/>
                <c:pt idx="0">
                  <c:v>Valsts budžets - 10,08 milj. LVL</c:v>
                </c:pt>
              </c:strCache>
            </c:strRef>
          </c:tx>
          <c:marker>
            <c:symbol val="none"/>
          </c:marker>
          <c:cat>
            <c:strRef>
              <c:f>[Grafiki_2013.xlsx]Grafiki_atkritumi!$B$1:$T$1</c:f>
              <c:strCache>
                <c:ptCount val="19"/>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strCache>
            </c:strRef>
          </c:cat>
          <c:val>
            <c:numRef>
              <c:f>[Grafiki_2013.xlsx]Grafiki_atkritumi!$B$3:$T$3</c:f>
              <c:numCache>
                <c:formatCode>0.00</c:formatCode>
                <c:ptCount val="19"/>
                <c:pt idx="0">
                  <c:v>0</c:v>
                </c:pt>
                <c:pt idx="1">
                  <c:v>0.12000000000000002</c:v>
                </c:pt>
                <c:pt idx="2">
                  <c:v>0</c:v>
                </c:pt>
                <c:pt idx="3">
                  <c:v>0.70000000000000062</c:v>
                </c:pt>
                <c:pt idx="4">
                  <c:v>0.62700000000000133</c:v>
                </c:pt>
                <c:pt idx="5">
                  <c:v>1.1160000000000001</c:v>
                </c:pt>
                <c:pt idx="6">
                  <c:v>0</c:v>
                </c:pt>
                <c:pt idx="7">
                  <c:v>0.37200000000000061</c:v>
                </c:pt>
                <c:pt idx="8">
                  <c:v>0.82800000000000062</c:v>
                </c:pt>
                <c:pt idx="9">
                  <c:v>0.18100000000000024</c:v>
                </c:pt>
                <c:pt idx="10">
                  <c:v>4.4000000000000032E-2</c:v>
                </c:pt>
                <c:pt idx="11">
                  <c:v>0.87441999999999998</c:v>
                </c:pt>
                <c:pt idx="12">
                  <c:v>1.9802490000000001</c:v>
                </c:pt>
                <c:pt idx="13">
                  <c:v>2.01898</c:v>
                </c:pt>
                <c:pt idx="14">
                  <c:v>1.218999999999997</c:v>
                </c:pt>
                <c:pt idx="15">
                  <c:v>0</c:v>
                </c:pt>
                <c:pt idx="16">
                  <c:v>0</c:v>
                </c:pt>
                <c:pt idx="17">
                  <c:v>0</c:v>
                </c:pt>
                <c:pt idx="18">
                  <c:v>0</c:v>
                </c:pt>
              </c:numCache>
            </c:numRef>
          </c:val>
        </c:ser>
        <c:ser>
          <c:idx val="2"/>
          <c:order val="2"/>
          <c:tx>
            <c:strRef>
              <c:f>[Grafiki_2013.xlsx]Grafiki_atkritumi!$A$4</c:f>
              <c:strCache>
                <c:ptCount val="1"/>
                <c:pt idx="0">
                  <c:v>Investīciju projektu īstenotāju līdzekļi - 28,05 milj. LVL</c:v>
                </c:pt>
              </c:strCache>
            </c:strRef>
          </c:tx>
          <c:marker>
            <c:symbol val="none"/>
          </c:marker>
          <c:cat>
            <c:strRef>
              <c:f>[Grafiki_2013.xlsx]Grafiki_atkritumi!$B$1:$T$1</c:f>
              <c:strCache>
                <c:ptCount val="19"/>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strCache>
            </c:strRef>
          </c:cat>
          <c:val>
            <c:numRef>
              <c:f>[Grafiki_2013.xlsx]Grafiki_atkritumi!$B$4:$T$4</c:f>
              <c:numCache>
                <c:formatCode>0.00</c:formatCode>
                <c:ptCount val="19"/>
                <c:pt idx="0">
                  <c:v>0</c:v>
                </c:pt>
                <c:pt idx="1">
                  <c:v>0</c:v>
                </c:pt>
                <c:pt idx="2">
                  <c:v>0</c:v>
                </c:pt>
                <c:pt idx="3">
                  <c:v>0.34900000000000031</c:v>
                </c:pt>
                <c:pt idx="4">
                  <c:v>0.20300000000000001</c:v>
                </c:pt>
                <c:pt idx="5">
                  <c:v>0.23100000000000001</c:v>
                </c:pt>
                <c:pt idx="6">
                  <c:v>0.70400000000000063</c:v>
                </c:pt>
                <c:pt idx="7">
                  <c:v>3.7840000000000011</c:v>
                </c:pt>
                <c:pt idx="8">
                  <c:v>4.2569999999999997</c:v>
                </c:pt>
                <c:pt idx="9">
                  <c:v>1.7240000000000002</c:v>
                </c:pt>
                <c:pt idx="10">
                  <c:v>0.30600000000000038</c:v>
                </c:pt>
                <c:pt idx="11">
                  <c:v>1.5411809999999999</c:v>
                </c:pt>
                <c:pt idx="12">
                  <c:v>1.7169979999999998</c:v>
                </c:pt>
                <c:pt idx="13">
                  <c:v>3.2890310000000058</c:v>
                </c:pt>
                <c:pt idx="14">
                  <c:v>0.29345100000000007</c:v>
                </c:pt>
                <c:pt idx="15">
                  <c:v>1.8090869999999999</c:v>
                </c:pt>
                <c:pt idx="16">
                  <c:v>3.2647040000000054</c:v>
                </c:pt>
                <c:pt idx="17">
                  <c:v>2.0739999999999998</c:v>
                </c:pt>
                <c:pt idx="18">
                  <c:v>2.5059999999999998</c:v>
                </c:pt>
              </c:numCache>
            </c:numRef>
          </c:val>
        </c:ser>
        <c:marker val="1"/>
        <c:axId val="100777344"/>
        <c:axId val="100779136"/>
      </c:lineChart>
      <c:catAx>
        <c:axId val="100777344"/>
        <c:scaling>
          <c:orientation val="minMax"/>
        </c:scaling>
        <c:axPos val="b"/>
        <c:numFmt formatCode="General" sourceLinked="1"/>
        <c:tickLblPos val="nextTo"/>
        <c:txPr>
          <a:bodyPr rot="-5400000" vert="horz"/>
          <a:lstStyle/>
          <a:p>
            <a:pPr>
              <a:defRPr/>
            </a:pPr>
            <a:endParaRPr lang="lv-LV"/>
          </a:p>
        </c:txPr>
        <c:crossAx val="100779136"/>
        <c:crosses val="autoZero"/>
        <c:auto val="1"/>
        <c:lblAlgn val="ctr"/>
        <c:lblOffset val="100"/>
        <c:tickLblSkip val="1"/>
      </c:catAx>
      <c:valAx>
        <c:axId val="100779136"/>
        <c:scaling>
          <c:orientation val="minMax"/>
        </c:scaling>
        <c:axPos val="l"/>
        <c:majorGridlines/>
        <c:numFmt formatCode="0.00" sourceLinked="1"/>
        <c:tickLblPos val="nextTo"/>
        <c:crossAx val="100777344"/>
        <c:crossesAt val="1"/>
        <c:crossBetween val="between"/>
      </c:valAx>
    </c:plotArea>
    <c:legend>
      <c:legendPos val="r"/>
      <c:layout>
        <c:manualLayout>
          <c:xMode val="edge"/>
          <c:yMode val="edge"/>
          <c:x val="0.71501374092944259"/>
          <c:y val="0.2789064410426989"/>
          <c:w val="0.28498625907055808"/>
          <c:h val="0.26322975612703126"/>
        </c:manualLayout>
      </c:layout>
    </c:legend>
    <c:plotVisOnly val="1"/>
  </c:chart>
  <c:spPr>
    <a:ln>
      <a:noFill/>
    </a:ln>
  </c:spPr>
  <c:txPr>
    <a:bodyPr/>
    <a:lstStyle/>
    <a:p>
      <a:pPr>
        <a:defRPr sz="900" baseline="0">
          <a:latin typeface="Times New Roman" pitchFamily="18" charset="0"/>
        </a:defRPr>
      </a:pPr>
      <a:endParaRPr lang="lv-LV"/>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lv-LV"/>
  <c:style val="35"/>
  <c:chart>
    <c:autoTitleDeleted val="1"/>
    <c:plotArea>
      <c:layout/>
      <c:lineChart>
        <c:grouping val="standard"/>
        <c:ser>
          <c:idx val="0"/>
          <c:order val="0"/>
          <c:tx>
            <c:strRef>
              <c:f>[Grafiki_2013.xlsx]Grafiki_atkritumi!$B$26</c:f>
              <c:strCache>
                <c:ptCount val="1"/>
                <c:pt idx="0">
                  <c:v>1995.-2013.</c:v>
                </c:pt>
              </c:strCache>
            </c:strRef>
          </c:tx>
          <c:cat>
            <c:strRef>
              <c:f>[Grafiki_2013.xlsx]Grafiki_atkritumi!$A$27:$A$29</c:f>
              <c:strCache>
                <c:ptCount val="3"/>
                <c:pt idx="0">
                  <c:v>Poligonu infrastruktūra</c:v>
                </c:pt>
                <c:pt idx="1">
                  <c:v>Sadzīves atkritumu izgāztuvju rekultivācija</c:v>
                </c:pt>
                <c:pt idx="2">
                  <c:v>Dalītās vākšanas punktu infrastruktūra</c:v>
                </c:pt>
              </c:strCache>
            </c:strRef>
          </c:cat>
          <c:val>
            <c:numRef>
              <c:f>[Grafiki_2013.xlsx]Grafiki_atkritumi!$B$27:$B$29</c:f>
              <c:numCache>
                <c:formatCode>0.00</c:formatCode>
                <c:ptCount val="3"/>
                <c:pt idx="0">
                  <c:v>94.490000000000023</c:v>
                </c:pt>
                <c:pt idx="1">
                  <c:v>11</c:v>
                </c:pt>
                <c:pt idx="2">
                  <c:v>9.5489999999999995</c:v>
                </c:pt>
              </c:numCache>
            </c:numRef>
          </c:val>
        </c:ser>
        <c:ser>
          <c:idx val="1"/>
          <c:order val="1"/>
          <c:tx>
            <c:strRef>
              <c:f>[Grafiki_2013.xlsx]Grafiki_atkritumi!$C$26</c:f>
              <c:strCache>
                <c:ptCount val="1"/>
                <c:pt idx="0">
                  <c:v>2013.</c:v>
                </c:pt>
              </c:strCache>
            </c:strRef>
          </c:tx>
          <c:cat>
            <c:strRef>
              <c:f>[Grafiki_2013.xlsx]Grafiki_atkritumi!$A$27:$A$29</c:f>
              <c:strCache>
                <c:ptCount val="3"/>
                <c:pt idx="0">
                  <c:v>Poligonu infrastruktūra</c:v>
                </c:pt>
                <c:pt idx="1">
                  <c:v>Sadzīves atkritumu izgāztuvju rekultivācija</c:v>
                </c:pt>
                <c:pt idx="2">
                  <c:v>Dalītās vākšanas punktu infrastruktūra</c:v>
                </c:pt>
              </c:strCache>
            </c:strRef>
          </c:cat>
          <c:val>
            <c:numRef>
              <c:f>[Grafiki_2013.xlsx]Grafiki_atkritumi!$C$27:$C$29</c:f>
              <c:numCache>
                <c:formatCode>0.00</c:formatCode>
                <c:ptCount val="3"/>
                <c:pt idx="0" formatCode="General">
                  <c:v>3.59</c:v>
                </c:pt>
                <c:pt idx="1">
                  <c:v>1.2889999999999973</c:v>
                </c:pt>
                <c:pt idx="2" formatCode="General">
                  <c:v>3.15</c:v>
                </c:pt>
              </c:numCache>
            </c:numRef>
          </c:val>
        </c:ser>
        <c:marker val="1"/>
        <c:axId val="101856384"/>
        <c:axId val="101857920"/>
      </c:lineChart>
      <c:catAx>
        <c:axId val="101856384"/>
        <c:scaling>
          <c:orientation val="minMax"/>
        </c:scaling>
        <c:axPos val="b"/>
        <c:numFmt formatCode="General" sourceLinked="1"/>
        <c:majorTickMark val="none"/>
        <c:tickLblPos val="nextTo"/>
        <c:crossAx val="101857920"/>
        <c:crosses val="autoZero"/>
        <c:auto val="1"/>
        <c:lblAlgn val="ctr"/>
        <c:lblOffset val="100"/>
      </c:catAx>
      <c:valAx>
        <c:axId val="101857920"/>
        <c:scaling>
          <c:orientation val="minMax"/>
        </c:scaling>
        <c:axPos val="l"/>
        <c:majorGridlines/>
        <c:numFmt formatCode="0.00" sourceLinked="1"/>
        <c:majorTickMark val="none"/>
        <c:tickLblPos val="nextTo"/>
        <c:crossAx val="101856384"/>
        <c:crosses val="autoZero"/>
        <c:crossBetween val="between"/>
      </c:valAx>
      <c:dTable>
        <c:showHorzBorder val="1"/>
        <c:showVertBorder val="1"/>
        <c:showOutline val="1"/>
        <c:showKeys val="1"/>
      </c:dTable>
    </c:plotArea>
    <c:plotVisOnly val="1"/>
  </c:chart>
  <c:spPr>
    <a:ln>
      <a:noFill/>
    </a:ln>
  </c:spPr>
  <c:txPr>
    <a:bodyPr/>
    <a:lstStyle/>
    <a:p>
      <a:pPr>
        <a:defRPr sz="900" baseline="0">
          <a:latin typeface="Times New Roman" pitchFamily="18" charset="0"/>
        </a:defRPr>
      </a:pPr>
      <a:endParaRPr lang="lv-LV"/>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lv-LV"/>
  <c:style val="27"/>
  <c:chart>
    <c:view3D>
      <c:rotX val="30"/>
      <c:perspective val="30"/>
    </c:view3D>
    <c:plotArea>
      <c:layout>
        <c:manualLayout>
          <c:layoutTarget val="inner"/>
          <c:xMode val="edge"/>
          <c:yMode val="edge"/>
          <c:x val="2.0833333333333412E-2"/>
          <c:y val="0.10879629629629729"/>
          <c:w val="0.81388888888889266"/>
          <c:h val="0.77314814814815302"/>
        </c:manualLayout>
      </c:layout>
      <c:pie3DChart>
        <c:varyColors val="1"/>
        <c:ser>
          <c:idx val="0"/>
          <c:order val="0"/>
          <c:explosion val="25"/>
          <c:dLbls>
            <c:dLbl>
              <c:idx val="0"/>
              <c:layout>
                <c:manualLayout>
                  <c:x val="-5.4666010498687724E-2"/>
                  <c:y val="-5.6483668708078159E-2"/>
                </c:manualLayout>
              </c:layout>
              <c:tx>
                <c:rich>
                  <a:bodyPr/>
                  <a:lstStyle/>
                  <a:p>
                    <a:r>
                      <a:rPr lang="lv-LV"/>
                      <a:t>Projektu īstenotāju finanšu līdzekļi; 2,54; 31%</a:t>
                    </a:r>
                  </a:p>
                </c:rich>
              </c:tx>
              <c:showLegendKey val="1"/>
              <c:showVal val="1"/>
              <c:showCatName val="1"/>
              <c:showPercent val="1"/>
            </c:dLbl>
            <c:dLbl>
              <c:idx val="1"/>
              <c:layout>
                <c:manualLayout>
                  <c:x val="1.3645888013998384E-2"/>
                  <c:y val="0.1692734762321377"/>
                </c:manualLayout>
              </c:layout>
              <c:tx>
                <c:rich>
                  <a:bodyPr/>
                  <a:lstStyle/>
                  <a:p>
                    <a:r>
                      <a:rPr lang="lv-LV"/>
                      <a:t>Kohēzijas fonda līdzekļi; 5,57; 69%</a:t>
                    </a:r>
                  </a:p>
                </c:rich>
              </c:tx>
              <c:showLegendKey val="1"/>
              <c:showVal val="1"/>
              <c:showCatName val="1"/>
              <c:showPercent val="1"/>
            </c:dLbl>
            <c:showLegendKey val="1"/>
            <c:showVal val="1"/>
            <c:showCatName val="1"/>
            <c:showPercent val="1"/>
            <c:showLeaderLines val="1"/>
          </c:dLbls>
          <c:cat>
            <c:strRef>
              <c:f>[Grafiki_2013.xlsx]Grafiki_atkritumi!$A$48:$A$49</c:f>
              <c:strCache>
                <c:ptCount val="2"/>
                <c:pt idx="0">
                  <c:v>Projektu īstenotāju finanšu līdzekļi </c:v>
                </c:pt>
                <c:pt idx="1">
                  <c:v>Kohēzijas fonda līdzekļi </c:v>
                </c:pt>
              </c:strCache>
            </c:strRef>
          </c:cat>
          <c:val>
            <c:numRef>
              <c:f>[Grafiki_2013.xlsx]Grafiki_atkritumi!$B$48:$B$49</c:f>
              <c:numCache>
                <c:formatCode>0.00</c:formatCode>
                <c:ptCount val="2"/>
                <c:pt idx="0">
                  <c:v>2.5059999999999998</c:v>
                </c:pt>
                <c:pt idx="1">
                  <c:v>5.5239999999999965</c:v>
                </c:pt>
              </c:numCache>
            </c:numRef>
          </c:val>
        </c:ser>
      </c:pie3DChart>
    </c:plotArea>
    <c:plotVisOnly val="1"/>
  </c:chart>
  <c:spPr>
    <a:ln>
      <a:noFill/>
    </a:ln>
  </c:spPr>
  <c:txPr>
    <a:bodyPr/>
    <a:lstStyle/>
    <a:p>
      <a:pPr>
        <a:defRPr sz="900" baseline="0">
          <a:latin typeface="Times New Roman" pitchFamily="18" charset="0"/>
        </a:defRPr>
      </a:pPr>
      <a:endParaRPr lang="lv-LV"/>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lv-LV"/>
  <c:style val="35"/>
  <c:chart>
    <c:view3D>
      <c:rotX val="0"/>
      <c:rotY val="0"/>
      <c:perspective val="0"/>
    </c:view3D>
    <c:plotArea>
      <c:layout/>
      <c:bar3DChart>
        <c:barDir val="bar"/>
        <c:grouping val="percentStacked"/>
        <c:ser>
          <c:idx val="0"/>
          <c:order val="0"/>
          <c:tx>
            <c:strRef>
              <c:f>Grafiki_atkritumi!$B$70</c:f>
              <c:strCache>
                <c:ptCount val="1"/>
                <c:pt idx="0">
                  <c:v>2010-2012</c:v>
                </c:pt>
              </c:strCache>
            </c:strRef>
          </c:tx>
          <c:spPr>
            <a:ln>
              <a:noFill/>
            </a:ln>
          </c:spPr>
          <c:dLbls>
            <c:dLbl>
              <c:idx val="0"/>
              <c:layout>
                <c:manualLayout>
                  <c:x val="2.5493945188018157E-3"/>
                  <c:y val="-2.3809523809523812E-2"/>
                </c:manualLayout>
              </c:layout>
              <c:showVal val="1"/>
            </c:dLbl>
            <c:showVal val="1"/>
          </c:dLbls>
          <c:cat>
            <c:strRef>
              <c:f>Grafiki_atkritumi!$A$71:$A$75</c:f>
              <c:strCache>
                <c:ptCount val="5"/>
                <c:pt idx="0">
                  <c:v>Latgales PR</c:v>
                </c:pt>
                <c:pt idx="1">
                  <c:v>Zemgales PR</c:v>
                </c:pt>
                <c:pt idx="2">
                  <c:v>Kurzemes PR</c:v>
                </c:pt>
                <c:pt idx="3">
                  <c:v>Vidzemes PR</c:v>
                </c:pt>
                <c:pt idx="4">
                  <c:v>Rīgas PR</c:v>
                </c:pt>
              </c:strCache>
            </c:strRef>
          </c:cat>
          <c:val>
            <c:numRef>
              <c:f>Grafiki_atkritumi!$B$71:$B$75</c:f>
              <c:numCache>
                <c:formatCode>General</c:formatCode>
                <c:ptCount val="5"/>
                <c:pt idx="0">
                  <c:v>3</c:v>
                </c:pt>
                <c:pt idx="1">
                  <c:v>13</c:v>
                </c:pt>
                <c:pt idx="2">
                  <c:v>5</c:v>
                </c:pt>
                <c:pt idx="3">
                  <c:v>19</c:v>
                </c:pt>
                <c:pt idx="4">
                  <c:v>1</c:v>
                </c:pt>
              </c:numCache>
            </c:numRef>
          </c:val>
        </c:ser>
        <c:ser>
          <c:idx val="1"/>
          <c:order val="1"/>
          <c:tx>
            <c:strRef>
              <c:f>Grafiki_atkritumi!$C$70</c:f>
              <c:strCache>
                <c:ptCount val="1"/>
                <c:pt idx="0">
                  <c:v>2013.</c:v>
                </c:pt>
              </c:strCache>
            </c:strRef>
          </c:tx>
          <c:spPr>
            <a:ln>
              <a:noFill/>
            </a:ln>
          </c:spPr>
          <c:dLbls>
            <c:dLbl>
              <c:idx val="0"/>
              <c:delete val="1"/>
            </c:dLbl>
            <c:spPr>
              <a:ln>
                <a:noFill/>
              </a:ln>
            </c:spPr>
            <c:showVal val="1"/>
          </c:dLbls>
          <c:cat>
            <c:strRef>
              <c:f>Grafiki_atkritumi!$A$71:$A$75</c:f>
              <c:strCache>
                <c:ptCount val="5"/>
                <c:pt idx="0">
                  <c:v>Latgales PR</c:v>
                </c:pt>
                <c:pt idx="1">
                  <c:v>Zemgales PR</c:v>
                </c:pt>
                <c:pt idx="2">
                  <c:v>Kurzemes PR</c:v>
                </c:pt>
                <c:pt idx="3">
                  <c:v>Vidzemes PR</c:v>
                </c:pt>
                <c:pt idx="4">
                  <c:v>Rīgas PR</c:v>
                </c:pt>
              </c:strCache>
            </c:strRef>
          </c:cat>
          <c:val>
            <c:numRef>
              <c:f>Grafiki_atkritumi!$C$71:$C$75</c:f>
              <c:numCache>
                <c:formatCode>General</c:formatCode>
                <c:ptCount val="5"/>
                <c:pt idx="0">
                  <c:v>0</c:v>
                </c:pt>
                <c:pt idx="1">
                  <c:v>3</c:v>
                </c:pt>
                <c:pt idx="2">
                  <c:v>1</c:v>
                </c:pt>
                <c:pt idx="3">
                  <c:v>4</c:v>
                </c:pt>
                <c:pt idx="4">
                  <c:v>2</c:v>
                </c:pt>
              </c:numCache>
            </c:numRef>
          </c:val>
        </c:ser>
        <c:ser>
          <c:idx val="2"/>
          <c:order val="2"/>
          <c:tx>
            <c:strRef>
              <c:f>Grafiki_atkritumi!$D$70</c:f>
              <c:strCache>
                <c:ptCount val="1"/>
                <c:pt idx="0">
                  <c:v>Rekultivējamo izgāztuvju skaits</c:v>
                </c:pt>
              </c:strCache>
            </c:strRef>
          </c:tx>
          <c:spPr>
            <a:ln>
              <a:noFill/>
            </a:ln>
          </c:spPr>
          <c:dLbls>
            <c:dLbl>
              <c:idx val="0"/>
              <c:delete val="1"/>
            </c:dLbl>
            <c:showVal val="1"/>
          </c:dLbls>
          <c:cat>
            <c:strRef>
              <c:f>Grafiki_atkritumi!$A$71:$A$75</c:f>
              <c:strCache>
                <c:ptCount val="5"/>
                <c:pt idx="0">
                  <c:v>Latgales PR</c:v>
                </c:pt>
                <c:pt idx="1">
                  <c:v>Zemgales PR</c:v>
                </c:pt>
                <c:pt idx="2">
                  <c:v>Kurzemes PR</c:v>
                </c:pt>
                <c:pt idx="3">
                  <c:v>Vidzemes PR</c:v>
                </c:pt>
                <c:pt idx="4">
                  <c:v>Rīgas PR</c:v>
                </c:pt>
              </c:strCache>
            </c:strRef>
          </c:cat>
          <c:val>
            <c:numRef>
              <c:f>Grafiki_atkritumi!$D$71:$D$75</c:f>
              <c:numCache>
                <c:formatCode>General</c:formatCode>
                <c:ptCount val="5"/>
                <c:pt idx="0">
                  <c:v>0</c:v>
                </c:pt>
                <c:pt idx="1">
                  <c:v>24</c:v>
                </c:pt>
                <c:pt idx="2">
                  <c:v>19</c:v>
                </c:pt>
                <c:pt idx="3">
                  <c:v>7</c:v>
                </c:pt>
                <c:pt idx="4">
                  <c:v>3</c:v>
                </c:pt>
              </c:numCache>
            </c:numRef>
          </c:val>
        </c:ser>
        <c:shape val="cylinder"/>
        <c:axId val="101929728"/>
        <c:axId val="101931264"/>
        <c:axId val="0"/>
      </c:bar3DChart>
      <c:catAx>
        <c:axId val="101929728"/>
        <c:scaling>
          <c:orientation val="minMax"/>
        </c:scaling>
        <c:axPos val="l"/>
        <c:tickLblPos val="nextTo"/>
        <c:crossAx val="101931264"/>
        <c:crosses val="autoZero"/>
        <c:auto val="1"/>
        <c:lblAlgn val="ctr"/>
        <c:lblOffset val="100"/>
      </c:catAx>
      <c:valAx>
        <c:axId val="101931264"/>
        <c:scaling>
          <c:orientation val="minMax"/>
        </c:scaling>
        <c:axPos val="b"/>
        <c:majorGridlines/>
        <c:numFmt formatCode="0%" sourceLinked="1"/>
        <c:tickLblPos val="nextTo"/>
        <c:crossAx val="101929728"/>
        <c:crosses val="autoZero"/>
        <c:crossBetween val="between"/>
      </c:valAx>
    </c:plotArea>
    <c:legend>
      <c:legendPos val="r"/>
      <c:layout>
        <c:manualLayout>
          <c:xMode val="edge"/>
          <c:yMode val="edge"/>
          <c:x val="0.77307349081364862"/>
          <c:y val="0.22198425196850397"/>
          <c:w val="0.17692650918635194"/>
          <c:h val="0.45111311905683921"/>
        </c:manualLayout>
      </c:layout>
    </c:legend>
    <c:plotVisOnly val="1"/>
  </c:chart>
  <c:spPr>
    <a:ln>
      <a:noFill/>
    </a:ln>
  </c:spPr>
  <c:txPr>
    <a:bodyPr/>
    <a:lstStyle/>
    <a:p>
      <a:pPr>
        <a:defRPr sz="900" baseline="0">
          <a:latin typeface="Times New Roman" pitchFamily="18" charset="0"/>
        </a:defRPr>
      </a:pPr>
      <a:endParaRPr lang="lv-LV"/>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lv-LV"/>
  <c:style val="35"/>
  <c:chart>
    <c:view3D>
      <c:rotX val="0"/>
      <c:rotY val="0"/>
      <c:rAngAx val="1"/>
    </c:view3D>
    <c:plotArea>
      <c:layout/>
      <c:bar3DChart>
        <c:barDir val="col"/>
        <c:grouping val="stacked"/>
        <c:ser>
          <c:idx val="0"/>
          <c:order val="0"/>
          <c:tx>
            <c:strRef>
              <c:f>Grafiki_atkritumi!$I$87:$I$88</c:f>
              <c:strCache>
                <c:ptCount val="1"/>
                <c:pt idx="0">
                  <c:v>2010.-2013.</c:v>
                </c:pt>
              </c:strCache>
            </c:strRef>
          </c:tx>
          <c:spPr>
            <a:ln>
              <a:noFill/>
            </a:ln>
          </c:spPr>
          <c:dLbls>
            <c:showVal val="1"/>
          </c:dLbls>
          <c:cat>
            <c:strRef>
              <c:f>Grafiki_atkritumi!$H$89:$H$93</c:f>
              <c:strCache>
                <c:ptCount val="5"/>
                <c:pt idx="0">
                  <c:v>Latgales PR</c:v>
                </c:pt>
                <c:pt idx="1">
                  <c:v>Zemgales PR</c:v>
                </c:pt>
                <c:pt idx="2">
                  <c:v>Kurzemes PR</c:v>
                </c:pt>
                <c:pt idx="3">
                  <c:v>Vidzemes PR</c:v>
                </c:pt>
                <c:pt idx="4">
                  <c:v>Rīgas PR</c:v>
                </c:pt>
              </c:strCache>
            </c:strRef>
          </c:cat>
          <c:val>
            <c:numRef>
              <c:f>Grafiki_atkritumi!$I$89:$I$93</c:f>
              <c:numCache>
                <c:formatCode>0.00</c:formatCode>
                <c:ptCount val="5"/>
                <c:pt idx="0">
                  <c:v>15.124000000000001</c:v>
                </c:pt>
                <c:pt idx="1">
                  <c:v>9.629999999999999</c:v>
                </c:pt>
                <c:pt idx="2">
                  <c:v>9.0400000000000009</c:v>
                </c:pt>
                <c:pt idx="3">
                  <c:v>29.35</c:v>
                </c:pt>
                <c:pt idx="4">
                  <c:v>0.77000000000000113</c:v>
                </c:pt>
              </c:numCache>
            </c:numRef>
          </c:val>
        </c:ser>
        <c:ser>
          <c:idx val="1"/>
          <c:order val="1"/>
          <c:tx>
            <c:strRef>
              <c:f>Grafiki_atkritumi!$J$87:$J$88</c:f>
              <c:strCache>
                <c:ptCount val="1"/>
                <c:pt idx="0">
                  <c:v>2013.</c:v>
                </c:pt>
              </c:strCache>
            </c:strRef>
          </c:tx>
          <c:spPr>
            <a:ln>
              <a:noFill/>
            </a:ln>
          </c:spPr>
          <c:dLbls>
            <c:dLbl>
              <c:idx val="0"/>
              <c:delete val="1"/>
            </c:dLbl>
            <c:dLbl>
              <c:idx val="1"/>
              <c:layout>
                <c:manualLayout>
                  <c:x val="8.3333333333333367E-3"/>
                  <c:y val="-0.10648148148148218"/>
                </c:manualLayout>
              </c:layout>
              <c:showVal val="1"/>
            </c:dLbl>
            <c:dLbl>
              <c:idx val="2"/>
              <c:delete val="1"/>
            </c:dLbl>
            <c:dLbl>
              <c:idx val="3"/>
              <c:layout>
                <c:manualLayout>
                  <c:x val="0"/>
                  <c:y val="-6.4814814814815352E-2"/>
                </c:manualLayout>
              </c:layout>
              <c:showVal val="1"/>
            </c:dLbl>
            <c:dLbl>
              <c:idx val="4"/>
              <c:layout>
                <c:manualLayout>
                  <c:x val="2.7777777777778178E-3"/>
                  <c:y val="-8.3333333333333343E-2"/>
                </c:manualLayout>
              </c:layout>
              <c:showVal val="1"/>
            </c:dLbl>
            <c:showVal val="1"/>
          </c:dLbls>
          <c:cat>
            <c:strRef>
              <c:f>Grafiki_atkritumi!$H$89:$H$93</c:f>
              <c:strCache>
                <c:ptCount val="5"/>
                <c:pt idx="0">
                  <c:v>Latgales PR</c:v>
                </c:pt>
                <c:pt idx="1">
                  <c:v>Zemgales PR</c:v>
                </c:pt>
                <c:pt idx="2">
                  <c:v>Kurzemes PR</c:v>
                </c:pt>
                <c:pt idx="3">
                  <c:v>Vidzemes PR</c:v>
                </c:pt>
                <c:pt idx="4">
                  <c:v>Rīgas PR</c:v>
                </c:pt>
              </c:strCache>
            </c:strRef>
          </c:cat>
          <c:val>
            <c:numRef>
              <c:f>Grafiki_atkritumi!$J$89:$J$93</c:f>
              <c:numCache>
                <c:formatCode>0.00</c:formatCode>
                <c:ptCount val="5"/>
                <c:pt idx="0">
                  <c:v>0</c:v>
                </c:pt>
                <c:pt idx="1">
                  <c:v>5.53</c:v>
                </c:pt>
                <c:pt idx="2">
                  <c:v>0</c:v>
                </c:pt>
                <c:pt idx="3">
                  <c:v>2.23</c:v>
                </c:pt>
                <c:pt idx="4">
                  <c:v>3.67</c:v>
                </c:pt>
              </c:numCache>
            </c:numRef>
          </c:val>
        </c:ser>
        <c:shape val="cylinder"/>
        <c:axId val="101965184"/>
        <c:axId val="101983360"/>
        <c:axId val="0"/>
      </c:bar3DChart>
      <c:catAx>
        <c:axId val="101965184"/>
        <c:scaling>
          <c:orientation val="minMax"/>
        </c:scaling>
        <c:axPos val="b"/>
        <c:tickLblPos val="nextTo"/>
        <c:crossAx val="101983360"/>
        <c:crosses val="autoZero"/>
        <c:auto val="1"/>
        <c:lblAlgn val="ctr"/>
        <c:lblOffset val="100"/>
      </c:catAx>
      <c:valAx>
        <c:axId val="101983360"/>
        <c:scaling>
          <c:orientation val="minMax"/>
        </c:scaling>
        <c:axPos val="l"/>
        <c:majorGridlines/>
        <c:numFmt formatCode="0" sourceLinked="0"/>
        <c:tickLblPos val="nextTo"/>
        <c:crossAx val="101965184"/>
        <c:crosses val="autoZero"/>
        <c:crossBetween val="between"/>
      </c:valAx>
    </c:plotArea>
    <c:legend>
      <c:legendPos val="r"/>
    </c:legend>
    <c:plotVisOnly val="1"/>
  </c:chart>
  <c:spPr>
    <a:ln>
      <a:noFill/>
    </a:ln>
  </c:spPr>
  <c:txPr>
    <a:bodyPr/>
    <a:lstStyle/>
    <a:p>
      <a:pPr>
        <a:defRPr sz="900" baseline="0">
          <a:latin typeface="Times New Roman" pitchFamily="18" charset="0"/>
        </a:defRPr>
      </a:pPr>
      <a:endParaRPr lang="lv-LV"/>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lv-LV"/>
  <c:style val="35"/>
  <c:chart>
    <c:view3D>
      <c:rAngAx val="1"/>
    </c:view3D>
    <c:plotArea>
      <c:layout/>
      <c:bar3DChart>
        <c:barDir val="col"/>
        <c:grouping val="standard"/>
        <c:ser>
          <c:idx val="0"/>
          <c:order val="0"/>
          <c:tx>
            <c:strRef>
              <c:f>[Grafiki_2013.xlsx]Grafiki_atkritumi!$B$106</c:f>
              <c:strCache>
                <c:ptCount val="1"/>
                <c:pt idx="0">
                  <c:v>2013.</c:v>
                </c:pt>
              </c:strCache>
            </c:strRef>
          </c:tx>
          <c:spPr>
            <a:ln>
              <a:noFill/>
            </a:ln>
          </c:spPr>
          <c:dLbls>
            <c:showVal val="1"/>
          </c:dLbls>
          <c:cat>
            <c:strRef>
              <c:f>[Grafiki_2013.xlsx]Grafiki_atkritumi!$A$107:$A$111</c:f>
              <c:strCache>
                <c:ptCount val="5"/>
                <c:pt idx="0">
                  <c:v>Latgales PR</c:v>
                </c:pt>
                <c:pt idx="1">
                  <c:v>Zemgales PR</c:v>
                </c:pt>
                <c:pt idx="2">
                  <c:v>Kurzemes PR</c:v>
                </c:pt>
                <c:pt idx="3">
                  <c:v>Vidzemes PR</c:v>
                </c:pt>
                <c:pt idx="4">
                  <c:v>Rīgas PR</c:v>
                </c:pt>
              </c:strCache>
            </c:strRef>
          </c:cat>
          <c:val>
            <c:numRef>
              <c:f>[Grafiki_2013.xlsx]Grafiki_atkritumi!$B$107:$B$111</c:f>
              <c:numCache>
                <c:formatCode>0.00</c:formatCode>
                <c:ptCount val="5"/>
                <c:pt idx="0">
                  <c:v>1.79</c:v>
                </c:pt>
                <c:pt idx="1">
                  <c:v>1.143</c:v>
                </c:pt>
                <c:pt idx="2">
                  <c:v>1.8049999999999975</c:v>
                </c:pt>
                <c:pt idx="3">
                  <c:v>1.1960000000000024</c:v>
                </c:pt>
                <c:pt idx="4">
                  <c:v>2.101</c:v>
                </c:pt>
              </c:numCache>
            </c:numRef>
          </c:val>
        </c:ser>
        <c:ser>
          <c:idx val="1"/>
          <c:order val="1"/>
          <c:tx>
            <c:strRef>
              <c:f>[Grafiki_2013.xlsx]Grafiki_atkritumi!$C$106</c:f>
              <c:strCache>
                <c:ptCount val="1"/>
                <c:pt idx="0">
                  <c:v>1995.-2013.</c:v>
                </c:pt>
              </c:strCache>
            </c:strRef>
          </c:tx>
          <c:dLbls>
            <c:showVal val="1"/>
          </c:dLbls>
          <c:cat>
            <c:strRef>
              <c:f>[Grafiki_2013.xlsx]Grafiki_atkritumi!$A$107:$A$111</c:f>
              <c:strCache>
                <c:ptCount val="5"/>
                <c:pt idx="0">
                  <c:v>Latgales PR</c:v>
                </c:pt>
                <c:pt idx="1">
                  <c:v>Zemgales PR</c:v>
                </c:pt>
                <c:pt idx="2">
                  <c:v>Kurzemes PR</c:v>
                </c:pt>
                <c:pt idx="3">
                  <c:v>Vidzemes PR</c:v>
                </c:pt>
                <c:pt idx="4">
                  <c:v>Rīgas PR</c:v>
                </c:pt>
              </c:strCache>
            </c:strRef>
          </c:cat>
          <c:val>
            <c:numRef>
              <c:f>[Grafiki_2013.xlsx]Grafiki_atkritumi!$C$107:$C$111</c:f>
              <c:numCache>
                <c:formatCode>0.00</c:formatCode>
                <c:ptCount val="5"/>
                <c:pt idx="0">
                  <c:v>17.603999999999999</c:v>
                </c:pt>
                <c:pt idx="1">
                  <c:v>15.93</c:v>
                </c:pt>
                <c:pt idx="2">
                  <c:v>26.979999999999986</c:v>
                </c:pt>
                <c:pt idx="3">
                  <c:v>18.114000000000047</c:v>
                </c:pt>
                <c:pt idx="4">
                  <c:v>36.409000000000006</c:v>
                </c:pt>
              </c:numCache>
            </c:numRef>
          </c:val>
        </c:ser>
        <c:shape val="cylinder"/>
        <c:axId val="102012800"/>
        <c:axId val="102014336"/>
        <c:axId val="102002688"/>
      </c:bar3DChart>
      <c:catAx>
        <c:axId val="102012800"/>
        <c:scaling>
          <c:orientation val="minMax"/>
        </c:scaling>
        <c:axPos val="b"/>
        <c:numFmt formatCode="General" sourceLinked="1"/>
        <c:tickLblPos val="nextTo"/>
        <c:crossAx val="102014336"/>
        <c:crosses val="autoZero"/>
        <c:auto val="1"/>
        <c:lblAlgn val="ctr"/>
        <c:lblOffset val="100"/>
      </c:catAx>
      <c:valAx>
        <c:axId val="102014336"/>
        <c:scaling>
          <c:orientation val="minMax"/>
        </c:scaling>
        <c:axPos val="l"/>
        <c:majorGridlines/>
        <c:numFmt formatCode="0.00" sourceLinked="1"/>
        <c:tickLblPos val="nextTo"/>
        <c:crossAx val="102012800"/>
        <c:crosses val="autoZero"/>
        <c:crossBetween val="between"/>
      </c:valAx>
      <c:serAx>
        <c:axId val="102002688"/>
        <c:scaling>
          <c:orientation val="minMax"/>
        </c:scaling>
        <c:delete val="1"/>
        <c:axPos val="b"/>
        <c:tickLblPos val="none"/>
        <c:crossAx val="102014336"/>
        <c:crosses val="autoZero"/>
      </c:serAx>
    </c:plotArea>
    <c:legend>
      <c:legendPos val="r"/>
    </c:legend>
    <c:plotVisOnly val="1"/>
  </c:chart>
  <c:spPr>
    <a:ln>
      <a:noFill/>
    </a:ln>
  </c:spPr>
  <c:txPr>
    <a:bodyPr/>
    <a:lstStyle/>
    <a:p>
      <a:pPr>
        <a:defRPr sz="900" baseline="0">
          <a:latin typeface="Times New Roman" pitchFamily="18" charset="0"/>
        </a:defRPr>
      </a:pPr>
      <a:endParaRPr lang="lv-LV"/>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lv-LV"/>
  <c:style val="35"/>
  <c:chart>
    <c:view3D>
      <c:rAngAx val="1"/>
    </c:view3D>
    <c:plotArea>
      <c:layout/>
      <c:bar3DChart>
        <c:barDir val="col"/>
        <c:grouping val="standard"/>
        <c:ser>
          <c:idx val="0"/>
          <c:order val="0"/>
          <c:tx>
            <c:strRef>
              <c:f>Grafiki_atkritumi!$B$127</c:f>
              <c:strCache>
                <c:ptCount val="1"/>
                <c:pt idx="0">
                  <c:v>2013.</c:v>
                </c:pt>
              </c:strCache>
            </c:strRef>
          </c:tx>
          <c:spPr>
            <a:ln>
              <a:noFill/>
            </a:ln>
          </c:spPr>
          <c:dLbls>
            <c:showVal val="1"/>
          </c:dLbls>
          <c:cat>
            <c:strRef>
              <c:f>Grafiki_atkritumi!$A$128:$A$132</c:f>
              <c:strCache>
                <c:ptCount val="5"/>
                <c:pt idx="0">
                  <c:v>Latgales PR</c:v>
                </c:pt>
                <c:pt idx="1">
                  <c:v>Zemgales PR</c:v>
                </c:pt>
                <c:pt idx="2">
                  <c:v>Kurzemes PR</c:v>
                </c:pt>
                <c:pt idx="3">
                  <c:v>Vidzemes PR</c:v>
                </c:pt>
                <c:pt idx="4">
                  <c:v>Rīgas PR</c:v>
                </c:pt>
              </c:strCache>
            </c:strRef>
          </c:cat>
          <c:val>
            <c:numRef>
              <c:f>Grafiki_atkritumi!$B$128:$B$132</c:f>
              <c:numCache>
                <c:formatCode>0</c:formatCode>
                <c:ptCount val="5"/>
                <c:pt idx="0">
                  <c:v>6.0950000000000006</c:v>
                </c:pt>
                <c:pt idx="1">
                  <c:v>4.5</c:v>
                </c:pt>
                <c:pt idx="2">
                  <c:v>6.9962962962962951</c:v>
                </c:pt>
                <c:pt idx="3">
                  <c:v>5.6660189573458988</c:v>
                </c:pt>
                <c:pt idx="4">
                  <c:v>2.0394077669902915</c:v>
                </c:pt>
              </c:numCache>
            </c:numRef>
          </c:val>
        </c:ser>
        <c:ser>
          <c:idx val="1"/>
          <c:order val="1"/>
          <c:tx>
            <c:strRef>
              <c:f>Grafiki_atkritumi!$C$127</c:f>
              <c:strCache>
                <c:ptCount val="1"/>
                <c:pt idx="0">
                  <c:v>1995.-2013.</c:v>
                </c:pt>
              </c:strCache>
            </c:strRef>
          </c:tx>
          <c:spPr>
            <a:ln>
              <a:noFill/>
            </a:ln>
          </c:spPr>
          <c:dLbls>
            <c:showVal val="1"/>
          </c:dLbls>
          <c:cat>
            <c:strRef>
              <c:f>Grafiki_atkritumi!$A$128:$A$132</c:f>
              <c:strCache>
                <c:ptCount val="5"/>
                <c:pt idx="0">
                  <c:v>Latgales PR</c:v>
                </c:pt>
                <c:pt idx="1">
                  <c:v>Zemgales PR</c:v>
                </c:pt>
                <c:pt idx="2">
                  <c:v>Kurzemes PR</c:v>
                </c:pt>
                <c:pt idx="3">
                  <c:v>Vidzemes PR</c:v>
                </c:pt>
                <c:pt idx="4">
                  <c:v>Rīgas PR</c:v>
                </c:pt>
              </c:strCache>
            </c:strRef>
          </c:cat>
          <c:val>
            <c:numRef>
              <c:f>Grafiki_atkritumi!$C$128:$C$132</c:f>
              <c:numCache>
                <c:formatCode>0</c:formatCode>
                <c:ptCount val="5"/>
                <c:pt idx="0">
                  <c:v>58</c:v>
                </c:pt>
                <c:pt idx="1">
                  <c:v>63</c:v>
                </c:pt>
                <c:pt idx="2">
                  <c:v>100</c:v>
                </c:pt>
                <c:pt idx="3">
                  <c:v>86</c:v>
                </c:pt>
                <c:pt idx="4">
                  <c:v>35</c:v>
                </c:pt>
              </c:numCache>
            </c:numRef>
          </c:val>
        </c:ser>
        <c:shape val="cylinder"/>
        <c:axId val="102053760"/>
        <c:axId val="102055296"/>
        <c:axId val="102004928"/>
      </c:bar3DChart>
      <c:catAx>
        <c:axId val="102053760"/>
        <c:scaling>
          <c:orientation val="minMax"/>
        </c:scaling>
        <c:axPos val="b"/>
        <c:tickLblPos val="nextTo"/>
        <c:crossAx val="102055296"/>
        <c:crosses val="autoZero"/>
        <c:auto val="1"/>
        <c:lblAlgn val="ctr"/>
        <c:lblOffset val="100"/>
      </c:catAx>
      <c:valAx>
        <c:axId val="102055296"/>
        <c:scaling>
          <c:orientation val="minMax"/>
        </c:scaling>
        <c:axPos val="l"/>
        <c:majorGridlines/>
        <c:numFmt formatCode="0" sourceLinked="1"/>
        <c:tickLblPos val="nextTo"/>
        <c:crossAx val="102053760"/>
        <c:crosses val="autoZero"/>
        <c:crossBetween val="between"/>
      </c:valAx>
      <c:serAx>
        <c:axId val="102004928"/>
        <c:scaling>
          <c:orientation val="minMax"/>
        </c:scaling>
        <c:delete val="1"/>
        <c:axPos val="b"/>
        <c:tickLblPos val="none"/>
        <c:crossAx val="102055296"/>
        <c:crosses val="autoZero"/>
      </c:serAx>
    </c:plotArea>
    <c:legend>
      <c:legendPos val="r"/>
    </c:legend>
    <c:plotVisOnly val="1"/>
  </c:chart>
  <c:spPr>
    <a:ln>
      <a:noFill/>
    </a:ln>
  </c:spPr>
  <c:txPr>
    <a:bodyPr/>
    <a:lstStyle/>
    <a:p>
      <a:pPr>
        <a:defRPr sz="900" baseline="0">
          <a:latin typeface="Times New Roman" pitchFamily="18" charset="0"/>
        </a:defRPr>
      </a:pPr>
      <a:endParaRPr lang="lv-LV"/>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lv-LV"/>
  <c:style val="35"/>
  <c:chart>
    <c:autoTitleDeleted val="1"/>
    <c:view3D>
      <c:rotX val="20"/>
      <c:rotY val="0"/>
      <c:rAngAx val="1"/>
    </c:view3D>
    <c:plotArea>
      <c:layout/>
      <c:bar3DChart>
        <c:barDir val="col"/>
        <c:grouping val="clustered"/>
        <c:ser>
          <c:idx val="0"/>
          <c:order val="0"/>
          <c:cat>
            <c:numRef>
              <c:f>KPFI!$A$1:$A$17</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KPFI!$B$1:$B$17</c:f>
              <c:numCache>
                <c:formatCode>#,##0.000</c:formatCode>
                <c:ptCount val="17"/>
                <c:pt idx="0">
                  <c:v>2.8177980000000002E-2</c:v>
                </c:pt>
                <c:pt idx="1">
                  <c:v>0.54996696999999528</c:v>
                </c:pt>
                <c:pt idx="2">
                  <c:v>0.34407271000000211</c:v>
                </c:pt>
                <c:pt idx="3">
                  <c:v>0.51600000000000001</c:v>
                </c:pt>
                <c:pt idx="4">
                  <c:v>0.31300000000000183</c:v>
                </c:pt>
                <c:pt idx="5">
                  <c:v>2.4889999999999999</c:v>
                </c:pt>
                <c:pt idx="6">
                  <c:v>6.0645459999999957E-2</c:v>
                </c:pt>
                <c:pt idx="7">
                  <c:v>1.3348481000000001</c:v>
                </c:pt>
                <c:pt idx="8">
                  <c:v>9.1000000000000025E-2</c:v>
                </c:pt>
                <c:pt idx="9">
                  <c:v>0.72700000000000065</c:v>
                </c:pt>
                <c:pt idx="10">
                  <c:v>4.5215943299999655</c:v>
                </c:pt>
                <c:pt idx="11">
                  <c:v>1.5980000000000001</c:v>
                </c:pt>
                <c:pt idx="12">
                  <c:v>1.7740000000000005</c:v>
                </c:pt>
                <c:pt idx="13">
                  <c:v>1.5047031099999999</c:v>
                </c:pt>
                <c:pt idx="14">
                  <c:v>1.7149999999999914</c:v>
                </c:pt>
                <c:pt idx="15">
                  <c:v>2.3329999999999838</c:v>
                </c:pt>
                <c:pt idx="16">
                  <c:v>1.230999999999991</c:v>
                </c:pt>
              </c:numCache>
            </c:numRef>
          </c:val>
        </c:ser>
        <c:dLbls>
          <c:showVal val="1"/>
        </c:dLbls>
        <c:shape val="cylinder"/>
        <c:axId val="102093568"/>
        <c:axId val="102095104"/>
        <c:axId val="0"/>
      </c:bar3DChart>
      <c:catAx>
        <c:axId val="102093568"/>
        <c:scaling>
          <c:orientation val="minMax"/>
        </c:scaling>
        <c:axPos val="b"/>
        <c:numFmt formatCode="General" sourceLinked="1"/>
        <c:majorTickMark val="none"/>
        <c:tickLblPos val="nextTo"/>
        <c:crossAx val="102095104"/>
        <c:crosses val="autoZero"/>
        <c:auto val="1"/>
        <c:lblAlgn val="ctr"/>
        <c:lblOffset val="100"/>
      </c:catAx>
      <c:valAx>
        <c:axId val="102095104"/>
        <c:scaling>
          <c:orientation val="minMax"/>
        </c:scaling>
        <c:axPos val="l"/>
        <c:majorGridlines/>
        <c:numFmt formatCode="#,##0.000" sourceLinked="1"/>
        <c:majorTickMark val="none"/>
        <c:tickLblPos val="nextTo"/>
        <c:crossAx val="102093568"/>
        <c:crosses val="autoZero"/>
        <c:crossBetween val="between"/>
      </c:valAx>
    </c:plotArea>
    <c:plotVisOnly val="1"/>
  </c:chart>
  <c:spPr>
    <a:ln>
      <a:noFill/>
    </a:ln>
  </c:spPr>
  <c:txPr>
    <a:bodyPr/>
    <a:lstStyle/>
    <a:p>
      <a:pPr>
        <a:defRPr sz="900" baseline="0">
          <a:latin typeface="Times New Roman" pitchFamily="18" charset="0"/>
        </a:defRPr>
      </a:pPr>
      <a:endParaRPr lang="lv-LV"/>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lv-LV"/>
  <c:style val="35"/>
  <c:chart>
    <c:plotArea>
      <c:layout>
        <c:manualLayout>
          <c:layoutTarget val="inner"/>
          <c:xMode val="edge"/>
          <c:yMode val="edge"/>
          <c:x val="6.2882214935209596E-2"/>
          <c:y val="1.98489751887812E-2"/>
          <c:w val="0.64484565476320033"/>
          <c:h val="0.86536691178064817"/>
        </c:manualLayout>
      </c:layout>
      <c:lineChart>
        <c:grouping val="standard"/>
        <c:ser>
          <c:idx val="0"/>
          <c:order val="0"/>
          <c:tx>
            <c:strRef>
              <c:f>Grafiki_udeni!$A$2</c:f>
              <c:strCache>
                <c:ptCount val="1"/>
                <c:pt idx="0">
                  <c:v>Dāvinājumi (t.sk. ES fondi) - 524,26 milj. LVL</c:v>
                </c:pt>
              </c:strCache>
            </c:strRef>
          </c:tx>
          <c:marker>
            <c:symbol val="none"/>
          </c:marker>
          <c:cat>
            <c:strRef>
              <c:f>Grafiki_udeni!$B$1:$Q$1</c:f>
              <c:strCache>
                <c:ptCount val="16"/>
                <c:pt idx="0">
                  <c:v>1995.-1998,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strCache>
            </c:strRef>
          </c:cat>
          <c:val>
            <c:numRef>
              <c:f>Grafiki_udeni!$B$2:$Q$2</c:f>
              <c:numCache>
                <c:formatCode>0.000</c:formatCode>
                <c:ptCount val="16"/>
                <c:pt idx="0" formatCode="0.00">
                  <c:v>13.81</c:v>
                </c:pt>
                <c:pt idx="1">
                  <c:v>5.0020000000000007</c:v>
                </c:pt>
                <c:pt idx="2">
                  <c:v>4.8360000000000012</c:v>
                </c:pt>
                <c:pt idx="3">
                  <c:v>4.2160000000000002</c:v>
                </c:pt>
                <c:pt idx="4">
                  <c:v>0.73900000000000265</c:v>
                </c:pt>
                <c:pt idx="5">
                  <c:v>3.2330000000000001</c:v>
                </c:pt>
                <c:pt idx="6">
                  <c:v>6.7850000000000001</c:v>
                </c:pt>
                <c:pt idx="7">
                  <c:v>17.524925000000035</c:v>
                </c:pt>
                <c:pt idx="8">
                  <c:v>22.606331000000001</c:v>
                </c:pt>
                <c:pt idx="9">
                  <c:v>57.503057000000005</c:v>
                </c:pt>
                <c:pt idx="10">
                  <c:v>54.689345000000003</c:v>
                </c:pt>
                <c:pt idx="11">
                  <c:v>106.96279412000001</c:v>
                </c:pt>
                <c:pt idx="12">
                  <c:v>92.279797486499064</c:v>
                </c:pt>
                <c:pt idx="13">
                  <c:v>46.629984759999999</c:v>
                </c:pt>
                <c:pt idx="14">
                  <c:v>48.69211076000046</c:v>
                </c:pt>
                <c:pt idx="15">
                  <c:v>38.753062679999999</c:v>
                </c:pt>
              </c:numCache>
            </c:numRef>
          </c:val>
        </c:ser>
        <c:ser>
          <c:idx val="1"/>
          <c:order val="1"/>
          <c:tx>
            <c:strRef>
              <c:f>Grafiki_udeni!$A$3</c:f>
              <c:strCache>
                <c:ptCount val="1"/>
                <c:pt idx="0">
                  <c:v>Valsts budžets - 111,84 milj. LVL</c:v>
                </c:pt>
              </c:strCache>
            </c:strRef>
          </c:tx>
          <c:marker>
            <c:symbol val="none"/>
          </c:marker>
          <c:cat>
            <c:strRef>
              <c:f>Grafiki_udeni!$B$1:$Q$1</c:f>
              <c:strCache>
                <c:ptCount val="16"/>
                <c:pt idx="0">
                  <c:v>1995.-1998,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strCache>
            </c:strRef>
          </c:cat>
          <c:val>
            <c:numRef>
              <c:f>Grafiki_udeni!$B$3:$Q$3</c:f>
              <c:numCache>
                <c:formatCode>0.000</c:formatCode>
                <c:ptCount val="16"/>
                <c:pt idx="0" formatCode="0.00">
                  <c:v>9.5350000000000001</c:v>
                </c:pt>
                <c:pt idx="1">
                  <c:v>5.843</c:v>
                </c:pt>
                <c:pt idx="2">
                  <c:v>7.78</c:v>
                </c:pt>
                <c:pt idx="3">
                  <c:v>2.8419999999999987</c:v>
                </c:pt>
                <c:pt idx="4">
                  <c:v>1.7220000000000009</c:v>
                </c:pt>
                <c:pt idx="5">
                  <c:v>2.2730000000000001</c:v>
                </c:pt>
                <c:pt idx="6">
                  <c:v>2.7457000000000011</c:v>
                </c:pt>
                <c:pt idx="7">
                  <c:v>4.7326599999999992</c:v>
                </c:pt>
                <c:pt idx="8">
                  <c:v>10.241820999999995</c:v>
                </c:pt>
                <c:pt idx="9">
                  <c:v>24.422544999999758</c:v>
                </c:pt>
                <c:pt idx="10">
                  <c:v>18.713540999999989</c:v>
                </c:pt>
                <c:pt idx="11">
                  <c:v>16.007369960000005</c:v>
                </c:pt>
                <c:pt idx="12">
                  <c:v>2.1791930801000001</c:v>
                </c:pt>
                <c:pt idx="13">
                  <c:v>1.30236551</c:v>
                </c:pt>
                <c:pt idx="14">
                  <c:v>1.0061338199999998</c:v>
                </c:pt>
                <c:pt idx="15">
                  <c:v>0.49434343000000008</c:v>
                </c:pt>
              </c:numCache>
            </c:numRef>
          </c:val>
        </c:ser>
        <c:ser>
          <c:idx val="2"/>
          <c:order val="2"/>
          <c:tx>
            <c:strRef>
              <c:f>Grafiki_udeni!$A$4</c:f>
              <c:strCache>
                <c:ptCount val="1"/>
                <c:pt idx="0">
                  <c:v>Investīciju projektu īstenotāju līdzekļi - 150,23 milj. LVL</c:v>
                </c:pt>
              </c:strCache>
            </c:strRef>
          </c:tx>
          <c:marker>
            <c:symbol val="none"/>
          </c:marker>
          <c:cat>
            <c:strRef>
              <c:f>Grafiki_udeni!$B$1:$Q$1</c:f>
              <c:strCache>
                <c:ptCount val="16"/>
                <c:pt idx="0">
                  <c:v>1995.-1998,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strCache>
            </c:strRef>
          </c:cat>
          <c:val>
            <c:numRef>
              <c:f>Grafiki_udeni!$B$4:$Q$4</c:f>
              <c:numCache>
                <c:formatCode>0.000</c:formatCode>
                <c:ptCount val="16"/>
                <c:pt idx="0" formatCode="0.00">
                  <c:v>19.466999999999889</c:v>
                </c:pt>
                <c:pt idx="1">
                  <c:v>13.437000000000001</c:v>
                </c:pt>
                <c:pt idx="2">
                  <c:v>18.864000000000001</c:v>
                </c:pt>
                <c:pt idx="3">
                  <c:v>10.411</c:v>
                </c:pt>
                <c:pt idx="4">
                  <c:v>0.11499999999999998</c:v>
                </c:pt>
                <c:pt idx="5">
                  <c:v>2.0759999999999987</c:v>
                </c:pt>
                <c:pt idx="6">
                  <c:v>3.6780999999999997</c:v>
                </c:pt>
                <c:pt idx="7">
                  <c:v>8.5926490000000246</c:v>
                </c:pt>
                <c:pt idx="8">
                  <c:v>11.333069</c:v>
                </c:pt>
                <c:pt idx="9">
                  <c:v>6.7453320000000003</c:v>
                </c:pt>
                <c:pt idx="10">
                  <c:v>6.1851919999999945</c:v>
                </c:pt>
                <c:pt idx="11">
                  <c:v>23.101840509999999</c:v>
                </c:pt>
                <c:pt idx="12">
                  <c:v>12.327127945499999</c:v>
                </c:pt>
                <c:pt idx="13">
                  <c:v>3.8160797799999977</c:v>
                </c:pt>
                <c:pt idx="14">
                  <c:v>2.8987581599999968</c:v>
                </c:pt>
                <c:pt idx="15">
                  <c:v>7.1852808099999645</c:v>
                </c:pt>
              </c:numCache>
            </c:numRef>
          </c:val>
        </c:ser>
        <c:ser>
          <c:idx val="3"/>
          <c:order val="3"/>
          <c:tx>
            <c:strRef>
              <c:f>Grafiki_udeni!$A$5</c:f>
              <c:strCache>
                <c:ptCount val="1"/>
                <c:pt idx="0">
                  <c:v>Kopā - 786,34 milj. LVL</c:v>
                </c:pt>
              </c:strCache>
            </c:strRef>
          </c:tx>
          <c:marker>
            <c:symbol val="none"/>
          </c:marker>
          <c:cat>
            <c:strRef>
              <c:f>Grafiki_udeni!$B$1:$Q$1</c:f>
              <c:strCache>
                <c:ptCount val="16"/>
                <c:pt idx="0">
                  <c:v>1995.-1998,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strCache>
            </c:strRef>
          </c:cat>
          <c:val>
            <c:numRef>
              <c:f>Grafiki_udeni!$B$5:$Q$5</c:f>
              <c:numCache>
                <c:formatCode>0.000</c:formatCode>
                <c:ptCount val="16"/>
                <c:pt idx="0" formatCode="0.00">
                  <c:v>42.811999999999998</c:v>
                </c:pt>
                <c:pt idx="1">
                  <c:v>24.281999999999989</c:v>
                </c:pt>
                <c:pt idx="2">
                  <c:v>31.479999999999986</c:v>
                </c:pt>
                <c:pt idx="3">
                  <c:v>17.46899999999982</c:v>
                </c:pt>
                <c:pt idx="4">
                  <c:v>2.5759999999999987</c:v>
                </c:pt>
                <c:pt idx="5">
                  <c:v>7.5820000000000007</c:v>
                </c:pt>
                <c:pt idx="6">
                  <c:v>13.208799999999998</c:v>
                </c:pt>
                <c:pt idx="7">
                  <c:v>30.850234</c:v>
                </c:pt>
                <c:pt idx="8">
                  <c:v>44.181220999999994</c:v>
                </c:pt>
                <c:pt idx="9">
                  <c:v>88.670933999999988</c:v>
                </c:pt>
                <c:pt idx="10">
                  <c:v>79.588077999999285</c:v>
                </c:pt>
                <c:pt idx="11">
                  <c:v>146.07200458999998</c:v>
                </c:pt>
                <c:pt idx="12">
                  <c:v>106.78611851209905</c:v>
                </c:pt>
                <c:pt idx="13">
                  <c:v>51.748430050000003</c:v>
                </c:pt>
                <c:pt idx="14">
                  <c:v>52.597002740000278</c:v>
                </c:pt>
                <c:pt idx="15">
                  <c:v>46.432686920000002</c:v>
                </c:pt>
              </c:numCache>
            </c:numRef>
          </c:val>
        </c:ser>
        <c:marker val="1"/>
        <c:axId val="98754944"/>
        <c:axId val="98756480"/>
      </c:lineChart>
      <c:catAx>
        <c:axId val="98754944"/>
        <c:scaling>
          <c:orientation val="minMax"/>
        </c:scaling>
        <c:axPos val="b"/>
        <c:tickLblPos val="nextTo"/>
        <c:txPr>
          <a:bodyPr rot="-5400000" vert="horz"/>
          <a:lstStyle/>
          <a:p>
            <a:pPr>
              <a:defRPr/>
            </a:pPr>
            <a:endParaRPr lang="lv-LV"/>
          </a:p>
        </c:txPr>
        <c:crossAx val="98756480"/>
        <c:crosses val="autoZero"/>
        <c:auto val="1"/>
        <c:lblAlgn val="ctr"/>
        <c:lblOffset val="100"/>
        <c:tickLblSkip val="1"/>
      </c:catAx>
      <c:valAx>
        <c:axId val="98756480"/>
        <c:scaling>
          <c:orientation val="minMax"/>
        </c:scaling>
        <c:axPos val="l"/>
        <c:majorGridlines/>
        <c:numFmt formatCode="0.00" sourceLinked="1"/>
        <c:tickLblPos val="nextTo"/>
        <c:crossAx val="98754944"/>
        <c:crossesAt val="1"/>
        <c:crossBetween val="between"/>
      </c:valAx>
    </c:plotArea>
    <c:legend>
      <c:legendPos val="r"/>
      <c:layout>
        <c:manualLayout>
          <c:xMode val="edge"/>
          <c:yMode val="edge"/>
          <c:x val="0.75219626319568855"/>
          <c:y val="0.15377145817937976"/>
          <c:w val="0.24780373680431694"/>
          <c:h val="0.80225602867602719"/>
        </c:manualLayout>
      </c:layout>
    </c:legend>
    <c:plotVisOnly val="1"/>
  </c:chart>
  <c:spPr>
    <a:ln>
      <a:noFill/>
    </a:ln>
  </c:spPr>
  <c:txPr>
    <a:bodyPr/>
    <a:lstStyle/>
    <a:p>
      <a:pPr>
        <a:defRPr sz="900" baseline="0">
          <a:latin typeface="Times New Roman" pitchFamily="18" charset="0"/>
        </a:defRPr>
      </a:pPr>
      <a:endParaRPr lang="lv-LV"/>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lv-LV"/>
  <c:style val="27"/>
  <c:chart>
    <c:autoTitleDeleted val="1"/>
    <c:plotArea>
      <c:layout/>
      <c:doughnutChart>
        <c:varyColors val="1"/>
        <c:ser>
          <c:idx val="0"/>
          <c:order val="0"/>
          <c:tx>
            <c:strRef>
              <c:f>KPFI!$B$27</c:f>
              <c:strCache>
                <c:ptCount val="1"/>
                <c:pt idx="0">
                  <c:v>%</c:v>
                </c:pt>
              </c:strCache>
            </c:strRef>
          </c:tx>
          <c:dLbls>
            <c:showVal val="1"/>
            <c:showLeaderLines val="1"/>
          </c:dLbls>
          <c:cat>
            <c:strRef>
              <c:f>KPFI!$A$28:$A$30</c:f>
              <c:strCache>
                <c:ptCount val="3"/>
                <c:pt idx="0">
                  <c:v>KPFI</c:v>
                </c:pt>
                <c:pt idx="1">
                  <c:v>Projektu īstenotāju izmantotie līdzekļi </c:v>
                </c:pt>
                <c:pt idx="2">
                  <c:v>Valsts budžets</c:v>
                </c:pt>
              </c:strCache>
            </c:strRef>
          </c:cat>
          <c:val>
            <c:numRef>
              <c:f>KPFI!$B$28:$B$30</c:f>
              <c:numCache>
                <c:formatCode>0%</c:formatCode>
                <c:ptCount val="3"/>
                <c:pt idx="0">
                  <c:v>0.6500000000000038</c:v>
                </c:pt>
                <c:pt idx="1">
                  <c:v>0.24000000000000021</c:v>
                </c:pt>
                <c:pt idx="2">
                  <c:v>0.11</c:v>
                </c:pt>
              </c:numCache>
            </c:numRef>
          </c:val>
        </c:ser>
        <c:firstSliceAng val="0"/>
        <c:holeSize val="50"/>
      </c:doughnutChart>
    </c:plotArea>
    <c:legend>
      <c:legendPos val="r"/>
    </c:legend>
    <c:plotVisOnly val="1"/>
  </c:chart>
  <c:spPr>
    <a:ln>
      <a:noFill/>
    </a:ln>
  </c:spPr>
  <c:txPr>
    <a:bodyPr/>
    <a:lstStyle/>
    <a:p>
      <a:pPr>
        <a:defRPr sz="900" baseline="0">
          <a:latin typeface="Times New Roman" pitchFamily="18" charset="0"/>
        </a:defRPr>
      </a:pPr>
      <a:endParaRPr lang="lv-LV"/>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lv-LV"/>
  <c:style val="35"/>
  <c:chart>
    <c:view3D>
      <c:rotX val="10"/>
      <c:rotY val="0"/>
      <c:perspective val="0"/>
    </c:view3D>
    <c:plotArea>
      <c:layout/>
      <c:bar3DChart>
        <c:barDir val="col"/>
        <c:grouping val="clustered"/>
        <c:ser>
          <c:idx val="0"/>
          <c:order val="0"/>
          <c:tx>
            <c:strRef>
              <c:f>Grafiki_Natura2000!$B$1</c:f>
              <c:strCache>
                <c:ptCount val="1"/>
                <c:pt idx="0">
                  <c:v>2011.</c:v>
                </c:pt>
              </c:strCache>
            </c:strRef>
          </c:tx>
          <c:spPr>
            <a:ln>
              <a:noFill/>
            </a:ln>
          </c:spPr>
          <c:dLbls>
            <c:dLbl>
              <c:idx val="0"/>
              <c:layout>
                <c:manualLayout>
                  <c:x val="5.5555555555555558E-3"/>
                  <c:y val="-2.7777777777778536E-2"/>
                </c:manualLayout>
              </c:layout>
              <c:showVal val="1"/>
            </c:dLbl>
            <c:showVal val="1"/>
          </c:dLbls>
          <c:cat>
            <c:strRef>
              <c:f>Grafiki_Natura2000!$A$2:$A$3</c:f>
              <c:strCache>
                <c:ptCount val="2"/>
                <c:pt idx="0">
                  <c:v>I kārta</c:v>
                </c:pt>
                <c:pt idx="1">
                  <c:v>II kārta</c:v>
                </c:pt>
              </c:strCache>
            </c:strRef>
          </c:cat>
          <c:val>
            <c:numRef>
              <c:f>Grafiki_Natura2000!$B$2:$B$3</c:f>
              <c:numCache>
                <c:formatCode>General</c:formatCode>
                <c:ptCount val="2"/>
                <c:pt idx="0">
                  <c:v>0.32000000000000334</c:v>
                </c:pt>
              </c:numCache>
            </c:numRef>
          </c:val>
        </c:ser>
        <c:ser>
          <c:idx val="1"/>
          <c:order val="1"/>
          <c:tx>
            <c:strRef>
              <c:f>Grafiki_Natura2000!$C$1</c:f>
              <c:strCache>
                <c:ptCount val="1"/>
                <c:pt idx="0">
                  <c:v>2013.</c:v>
                </c:pt>
              </c:strCache>
            </c:strRef>
          </c:tx>
          <c:spPr>
            <a:ln>
              <a:noFill/>
            </a:ln>
          </c:spPr>
          <c:dLbls>
            <c:dLbl>
              <c:idx val="0"/>
              <c:layout>
                <c:manualLayout>
                  <c:x val="8.3333333333333766E-3"/>
                  <c:y val="-1.3888888888889119E-2"/>
                </c:manualLayout>
              </c:layout>
              <c:showVal val="1"/>
            </c:dLbl>
            <c:dLbl>
              <c:idx val="1"/>
              <c:layout>
                <c:manualLayout>
                  <c:x val="2.7777777777778555E-3"/>
                  <c:y val="-5.0926290463692125E-2"/>
                </c:manualLayout>
              </c:layout>
              <c:showVal val="1"/>
            </c:dLbl>
            <c:showVal val="1"/>
          </c:dLbls>
          <c:cat>
            <c:strRef>
              <c:f>Grafiki_Natura2000!$A$2:$A$3</c:f>
              <c:strCache>
                <c:ptCount val="2"/>
                <c:pt idx="0">
                  <c:v>I kārta</c:v>
                </c:pt>
                <c:pt idx="1">
                  <c:v>II kārta</c:v>
                </c:pt>
              </c:strCache>
            </c:strRef>
          </c:cat>
          <c:val>
            <c:numRef>
              <c:f>Grafiki_Natura2000!$C$2:$C$3</c:f>
              <c:numCache>
                <c:formatCode>General</c:formatCode>
                <c:ptCount val="2"/>
                <c:pt idx="0">
                  <c:v>1.3800000000000001</c:v>
                </c:pt>
                <c:pt idx="1">
                  <c:v>2.0000000000000052E-2</c:v>
                </c:pt>
              </c:numCache>
            </c:numRef>
          </c:val>
        </c:ser>
        <c:shape val="cylinder"/>
        <c:axId val="36608640"/>
        <c:axId val="36610432"/>
        <c:axId val="0"/>
      </c:bar3DChart>
      <c:catAx>
        <c:axId val="36608640"/>
        <c:scaling>
          <c:orientation val="minMax"/>
        </c:scaling>
        <c:axPos val="b"/>
        <c:tickLblPos val="nextTo"/>
        <c:crossAx val="36610432"/>
        <c:crosses val="autoZero"/>
        <c:auto val="1"/>
        <c:lblAlgn val="ctr"/>
        <c:lblOffset val="100"/>
      </c:catAx>
      <c:valAx>
        <c:axId val="36610432"/>
        <c:scaling>
          <c:orientation val="minMax"/>
        </c:scaling>
        <c:axPos val="l"/>
        <c:majorGridlines/>
        <c:numFmt formatCode="General" sourceLinked="1"/>
        <c:tickLblPos val="nextTo"/>
        <c:crossAx val="36608640"/>
        <c:crosses val="autoZero"/>
        <c:crossBetween val="between"/>
      </c:valAx>
    </c:plotArea>
    <c:legend>
      <c:legendPos val="r"/>
    </c:legend>
    <c:plotVisOnly val="1"/>
  </c:chart>
  <c:spPr>
    <a:ln>
      <a:noFill/>
    </a:ln>
  </c:spPr>
  <c:txPr>
    <a:bodyPr/>
    <a:lstStyle/>
    <a:p>
      <a:pPr>
        <a:defRPr sz="900" baseline="0">
          <a:latin typeface="Times New Roman" pitchFamily="18" charset="0"/>
        </a:defRPr>
      </a:pPr>
      <a:endParaRPr lang="lv-LV"/>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lv-LV"/>
  <c:style val="27"/>
  <c:chart>
    <c:autoTitleDeleted val="1"/>
    <c:plotArea>
      <c:layout>
        <c:manualLayout>
          <c:layoutTarget val="inner"/>
          <c:xMode val="edge"/>
          <c:yMode val="edge"/>
          <c:x val="0.13750000000000001"/>
          <c:y val="0.11805555555555569"/>
          <c:w val="0.81388888888889421"/>
          <c:h val="0.77314814814815458"/>
        </c:manualLayout>
      </c:layout>
      <c:ofPieChart>
        <c:ofPieType val="pie"/>
        <c:varyColors val="1"/>
        <c:ser>
          <c:idx val="0"/>
          <c:order val="0"/>
          <c:dLbls>
            <c:dLbl>
              <c:idx val="1"/>
              <c:layout>
                <c:manualLayout>
                  <c:x val="2.0778652668416779E-5"/>
                  <c:y val="-5.8774059492563396E-2"/>
                </c:manualLayout>
              </c:layout>
              <c:dLblPos val="bestFit"/>
              <c:showVal val="1"/>
              <c:showCatName val="1"/>
              <c:showPercent val="1"/>
            </c:dLbl>
            <c:dLbl>
              <c:idx val="4"/>
              <c:layout>
                <c:manualLayout>
                  <c:x val="-0.15340113735783326"/>
                  <c:y val="1.2453703703703699E-2"/>
                </c:manualLayout>
              </c:layout>
              <c:tx>
                <c:rich>
                  <a:bodyPr/>
                  <a:lstStyle/>
                  <a:p>
                    <a:r>
                      <a:rPr lang="lv-LV"/>
                      <a:t>ES fondu finanšu līdzekļi</a:t>
                    </a:r>
                    <a:r>
                      <a:rPr lang="en-US"/>
                      <a:t>; 12,59; 77%</a:t>
                    </a:r>
                  </a:p>
                </c:rich>
              </c:tx>
              <c:dLblPos val="bestFit"/>
              <c:showVal val="1"/>
              <c:showCatName val="1"/>
              <c:showPercent val="1"/>
            </c:dLbl>
            <c:dLblPos val="bestFit"/>
            <c:showVal val="1"/>
            <c:showCatName val="1"/>
            <c:showPercent val="1"/>
            <c:showLeaderLines val="1"/>
          </c:dLbls>
          <c:cat>
            <c:strRef>
              <c:f>Grafiki_sanacija!$J$2:$J$5</c:f>
              <c:strCache>
                <c:ptCount val="4"/>
                <c:pt idx="0">
                  <c:v>Valsts budžets</c:v>
                </c:pt>
                <c:pt idx="1">
                  <c:v>Projekta īstenotāja finanšu līdzekļi</c:v>
                </c:pt>
                <c:pt idx="2">
                  <c:v>ERAF</c:v>
                </c:pt>
                <c:pt idx="3">
                  <c:v>KF</c:v>
                </c:pt>
              </c:strCache>
            </c:strRef>
          </c:cat>
          <c:val>
            <c:numRef>
              <c:f>Grafiki_sanacija!$K$2:$K$5</c:f>
              <c:numCache>
                <c:formatCode>General</c:formatCode>
                <c:ptCount val="4"/>
                <c:pt idx="0">
                  <c:v>3.53</c:v>
                </c:pt>
                <c:pt idx="1">
                  <c:v>0.38000000000000272</c:v>
                </c:pt>
                <c:pt idx="2">
                  <c:v>8.2200000000000006</c:v>
                </c:pt>
                <c:pt idx="3">
                  <c:v>4.37</c:v>
                </c:pt>
              </c:numCache>
            </c:numRef>
          </c:val>
        </c:ser>
        <c:dLbls>
          <c:showCatName val="1"/>
          <c:showPercent val="1"/>
        </c:dLbls>
        <c:gapWidth val="100"/>
        <c:secondPieSize val="125"/>
        <c:serLines/>
      </c:ofPieChart>
    </c:plotArea>
    <c:plotVisOnly val="1"/>
  </c:chart>
  <c:spPr>
    <a:ln>
      <a:noFill/>
    </a:ln>
  </c:spPr>
  <c:txPr>
    <a:bodyPr/>
    <a:lstStyle/>
    <a:p>
      <a:pPr>
        <a:defRPr sz="900" baseline="0">
          <a:latin typeface="Times New Roman" pitchFamily="18" charset="0"/>
        </a:defRPr>
      </a:pPr>
      <a:endParaRPr lang="lv-LV"/>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lv-LV"/>
  <c:style val="35"/>
  <c:chart>
    <c:view3D>
      <c:rotX val="10"/>
      <c:rotY val="30"/>
      <c:perspective val="50"/>
    </c:view3D>
    <c:plotArea>
      <c:layout>
        <c:manualLayout>
          <c:layoutTarget val="inner"/>
          <c:xMode val="edge"/>
          <c:yMode val="edge"/>
          <c:x val="7.7727738942452523E-2"/>
          <c:y val="5.0925826052565362E-2"/>
          <c:w val="0.63239063867018253"/>
          <c:h val="0.84633493729951248"/>
        </c:manualLayout>
      </c:layout>
      <c:bar3DChart>
        <c:barDir val="col"/>
        <c:grouping val="standard"/>
        <c:ser>
          <c:idx val="0"/>
          <c:order val="0"/>
          <c:tx>
            <c:strRef>
              <c:f>Grafiki_sanacija!$A$25</c:f>
              <c:strCache>
                <c:ptCount val="1"/>
                <c:pt idx="0">
                  <c:v>ES fondi</c:v>
                </c:pt>
              </c:strCache>
            </c:strRef>
          </c:tx>
          <c:spPr>
            <a:ln>
              <a:noFill/>
            </a:ln>
          </c:spPr>
          <c:dLbls>
            <c:dLbl>
              <c:idx val="2"/>
              <c:layout>
                <c:manualLayout>
                  <c:x val="1.8704074816299463E-2"/>
                  <c:y val="4.5662100456621817E-3"/>
                </c:manualLayout>
              </c:layout>
              <c:showVal val="1"/>
            </c:dLbl>
            <c:showVal val="1"/>
          </c:dLbls>
          <c:cat>
            <c:strRef>
              <c:f>Grafiki_sanacija!$B$24:$D$24</c:f>
              <c:strCache>
                <c:ptCount val="3"/>
                <c:pt idx="0">
                  <c:v>Inčukalns</c:v>
                </c:pt>
                <c:pt idx="1">
                  <c:v>Kosmoss</c:v>
                </c:pt>
                <c:pt idx="2">
                  <c:v>Karosta</c:v>
                </c:pt>
              </c:strCache>
            </c:strRef>
          </c:cat>
          <c:val>
            <c:numRef>
              <c:f>Grafiki_sanacija!$B$25:$D$25</c:f>
              <c:numCache>
                <c:formatCode>0.000</c:formatCode>
                <c:ptCount val="3"/>
                <c:pt idx="0">
                  <c:v>0.28400000000000031</c:v>
                </c:pt>
                <c:pt idx="1">
                  <c:v>0.17400000000000004</c:v>
                </c:pt>
                <c:pt idx="2">
                  <c:v>2.06</c:v>
                </c:pt>
              </c:numCache>
            </c:numRef>
          </c:val>
        </c:ser>
        <c:ser>
          <c:idx val="1"/>
          <c:order val="1"/>
          <c:tx>
            <c:strRef>
              <c:f>Grafiki_sanacija!$A$26</c:f>
              <c:strCache>
                <c:ptCount val="1"/>
                <c:pt idx="0">
                  <c:v>Valsts budžets</c:v>
                </c:pt>
              </c:strCache>
            </c:strRef>
          </c:tx>
          <c:spPr>
            <a:ln>
              <a:noFill/>
            </a:ln>
          </c:spPr>
          <c:dLbls>
            <c:showVal val="1"/>
          </c:dLbls>
          <c:cat>
            <c:strRef>
              <c:f>Grafiki_sanacija!$B$24:$D$24</c:f>
              <c:strCache>
                <c:ptCount val="3"/>
                <c:pt idx="0">
                  <c:v>Inčukalns</c:v>
                </c:pt>
                <c:pt idx="1">
                  <c:v>Kosmoss</c:v>
                </c:pt>
                <c:pt idx="2">
                  <c:v>Karosta</c:v>
                </c:pt>
              </c:strCache>
            </c:strRef>
          </c:cat>
          <c:val>
            <c:numRef>
              <c:f>Grafiki_sanacija!$B$26:$D$26</c:f>
              <c:numCache>
                <c:formatCode>0.000</c:formatCode>
                <c:ptCount val="3"/>
                <c:pt idx="0">
                  <c:v>0.12200000000000009</c:v>
                </c:pt>
                <c:pt idx="1">
                  <c:v>7.5000000000000011E-2</c:v>
                </c:pt>
              </c:numCache>
            </c:numRef>
          </c:val>
        </c:ser>
        <c:ser>
          <c:idx val="2"/>
          <c:order val="2"/>
          <c:tx>
            <c:strRef>
              <c:f>Grafiki_sanacija!$A$27</c:f>
              <c:strCache>
                <c:ptCount val="1"/>
                <c:pt idx="0">
                  <c:v>Projekta īstenotāja finanšu līdzekļi</c:v>
                </c:pt>
              </c:strCache>
            </c:strRef>
          </c:tx>
          <c:spPr>
            <a:ln>
              <a:noFill/>
            </a:ln>
          </c:spPr>
          <c:dLbls>
            <c:showVal val="1"/>
          </c:dLbls>
          <c:cat>
            <c:strRef>
              <c:f>Grafiki_sanacija!$B$24:$D$24</c:f>
              <c:strCache>
                <c:ptCount val="3"/>
                <c:pt idx="0">
                  <c:v>Inčukalns</c:v>
                </c:pt>
                <c:pt idx="1">
                  <c:v>Kosmoss</c:v>
                </c:pt>
                <c:pt idx="2">
                  <c:v>Karosta</c:v>
                </c:pt>
              </c:strCache>
            </c:strRef>
          </c:cat>
          <c:val>
            <c:numRef>
              <c:f>Grafiki_sanacija!$B$27:$D$27</c:f>
              <c:numCache>
                <c:formatCode>General</c:formatCode>
                <c:ptCount val="3"/>
                <c:pt idx="2" formatCode="0.000">
                  <c:v>0.36400000000000032</c:v>
                </c:pt>
              </c:numCache>
            </c:numRef>
          </c:val>
        </c:ser>
        <c:shape val="cylinder"/>
        <c:axId val="36655872"/>
        <c:axId val="36657408"/>
        <c:axId val="36638720"/>
      </c:bar3DChart>
      <c:catAx>
        <c:axId val="36655872"/>
        <c:scaling>
          <c:orientation val="minMax"/>
        </c:scaling>
        <c:axPos val="b"/>
        <c:tickLblPos val="nextTo"/>
        <c:txPr>
          <a:bodyPr rot="0" vert="horz"/>
          <a:lstStyle/>
          <a:p>
            <a:pPr>
              <a:defRPr/>
            </a:pPr>
            <a:endParaRPr lang="lv-LV"/>
          </a:p>
        </c:txPr>
        <c:crossAx val="36657408"/>
        <c:crosses val="autoZero"/>
        <c:auto val="1"/>
        <c:lblAlgn val="ctr"/>
        <c:lblOffset val="100"/>
      </c:catAx>
      <c:valAx>
        <c:axId val="36657408"/>
        <c:scaling>
          <c:orientation val="minMax"/>
        </c:scaling>
        <c:axPos val="l"/>
        <c:majorGridlines/>
        <c:numFmt formatCode="0.00" sourceLinked="0"/>
        <c:tickLblPos val="nextTo"/>
        <c:crossAx val="36655872"/>
        <c:crosses val="autoZero"/>
        <c:crossBetween val="between"/>
      </c:valAx>
      <c:serAx>
        <c:axId val="36638720"/>
        <c:scaling>
          <c:orientation val="minMax"/>
        </c:scaling>
        <c:delete val="1"/>
        <c:axPos val="b"/>
        <c:tickLblPos val="none"/>
        <c:crossAx val="36657408"/>
        <c:crosses val="autoZero"/>
      </c:serAx>
    </c:plotArea>
    <c:legend>
      <c:legendPos val="r"/>
      <c:layout>
        <c:manualLayout>
          <c:xMode val="edge"/>
          <c:yMode val="edge"/>
          <c:x val="0.72379571303588941"/>
          <c:y val="0.26175269757947284"/>
          <c:w val="0.2595376202974628"/>
          <c:h val="0.47649460484106182"/>
        </c:manualLayout>
      </c:layout>
    </c:legend>
    <c:plotVisOnly val="1"/>
  </c:chart>
  <c:spPr>
    <a:ln>
      <a:noFill/>
    </a:ln>
  </c:spPr>
  <c:txPr>
    <a:bodyPr/>
    <a:lstStyle/>
    <a:p>
      <a:pPr>
        <a:defRPr sz="900" baseline="0">
          <a:latin typeface="Times New Roman" pitchFamily="18" charset="0"/>
        </a:defRPr>
      </a:pPr>
      <a:endParaRPr lang="lv-LV"/>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lv-LV"/>
  <c:style val="35"/>
  <c:chart>
    <c:view3D>
      <c:rotX val="0"/>
      <c:rotY val="0"/>
      <c:perspective val="0"/>
    </c:view3D>
    <c:plotArea>
      <c:layout/>
      <c:bar3DChart>
        <c:barDir val="col"/>
        <c:grouping val="stacked"/>
        <c:ser>
          <c:idx val="0"/>
          <c:order val="0"/>
          <c:tx>
            <c:strRef>
              <c:f>'Grafiki_vides riski'!$D$1</c:f>
              <c:strCache>
                <c:ptCount val="1"/>
                <c:pt idx="0">
                  <c:v>ERAF</c:v>
                </c:pt>
              </c:strCache>
            </c:strRef>
          </c:tx>
          <c:spPr>
            <a:ln>
              <a:noFill/>
            </a:ln>
          </c:spPr>
          <c:dLbls>
            <c:showVal val="1"/>
          </c:dLbls>
          <c:cat>
            <c:strRef>
              <c:f>'Grafiki_vides riski'!$A$2:$A$7</c:f>
              <c:strCache>
                <c:ptCount val="6"/>
                <c:pt idx="0">
                  <c:v>Jēkabpils pilsētas pašvaldība</c:v>
                </c:pt>
                <c:pt idx="1">
                  <c:v>Pļaviņu novada dome</c:v>
                </c:pt>
                <c:pt idx="2">
                  <c:v>Salas novada pašvaldība</c:v>
                </c:pt>
                <c:pt idx="3">
                  <c:v>Carnikavas novada dome</c:v>
                </c:pt>
                <c:pt idx="4">
                  <c:v>Ādažu novada dome</c:v>
                </c:pt>
                <c:pt idx="5">
                  <c:v>Jelgavas pilsētas dome</c:v>
                </c:pt>
              </c:strCache>
            </c:strRef>
          </c:cat>
          <c:val>
            <c:numRef>
              <c:f>'Grafiki_vides riski'!$D$2:$D$7</c:f>
              <c:numCache>
                <c:formatCode>0.000</c:formatCode>
                <c:ptCount val="6"/>
                <c:pt idx="0">
                  <c:v>0.59804599999999997</c:v>
                </c:pt>
                <c:pt idx="1">
                  <c:v>7.6715000000000019E-2</c:v>
                </c:pt>
                <c:pt idx="2">
                  <c:v>0.19709900000000041</c:v>
                </c:pt>
                <c:pt idx="3">
                  <c:v>0.37236100000000188</c:v>
                </c:pt>
                <c:pt idx="4">
                  <c:v>9.9909000000000026E-2</c:v>
                </c:pt>
                <c:pt idx="5">
                  <c:v>0.30502500000000032</c:v>
                </c:pt>
              </c:numCache>
            </c:numRef>
          </c:val>
        </c:ser>
        <c:ser>
          <c:idx val="1"/>
          <c:order val="1"/>
          <c:tx>
            <c:strRef>
              <c:f>'Grafiki_vides riski'!$E$1</c:f>
              <c:strCache>
                <c:ptCount val="1"/>
                <c:pt idx="0">
                  <c:v>Pašvaldības budžeta finasējums</c:v>
                </c:pt>
              </c:strCache>
            </c:strRef>
          </c:tx>
          <c:spPr>
            <a:ln>
              <a:noFill/>
            </a:ln>
          </c:spPr>
          <c:dLbls>
            <c:dLbl>
              <c:idx val="0"/>
              <c:layout>
                <c:manualLayout>
                  <c:x val="2.7777777777778421E-3"/>
                  <c:y val="-2.7777777777778449E-2"/>
                </c:manualLayout>
              </c:layout>
              <c:showVal val="1"/>
            </c:dLbl>
            <c:dLbl>
              <c:idx val="1"/>
              <c:layout>
                <c:manualLayout>
                  <c:x val="2.7777777777778295E-3"/>
                  <c:y val="-4.6296296296296523E-2"/>
                </c:manualLayout>
              </c:layout>
              <c:showVal val="1"/>
            </c:dLbl>
            <c:dLbl>
              <c:idx val="2"/>
              <c:layout>
                <c:manualLayout>
                  <c:x val="0"/>
                  <c:y val="-4.1666666666666713E-2"/>
                </c:manualLayout>
              </c:layout>
              <c:showVal val="1"/>
            </c:dLbl>
            <c:dLbl>
              <c:idx val="5"/>
              <c:layout>
                <c:manualLayout>
                  <c:x val="0"/>
                  <c:y val="-4.1666666666666623E-2"/>
                </c:manualLayout>
              </c:layout>
              <c:showVal val="1"/>
            </c:dLbl>
            <c:showVal val="1"/>
          </c:dLbls>
          <c:cat>
            <c:strRef>
              <c:f>'Grafiki_vides riski'!$A$2:$A$7</c:f>
              <c:strCache>
                <c:ptCount val="6"/>
                <c:pt idx="0">
                  <c:v>Jēkabpils pilsētas pašvaldība</c:v>
                </c:pt>
                <c:pt idx="1">
                  <c:v>Pļaviņu novada dome</c:v>
                </c:pt>
                <c:pt idx="2">
                  <c:v>Salas novada pašvaldība</c:v>
                </c:pt>
                <c:pt idx="3">
                  <c:v>Carnikavas novada dome</c:v>
                </c:pt>
                <c:pt idx="4">
                  <c:v>Ādažu novada dome</c:v>
                </c:pt>
                <c:pt idx="5">
                  <c:v>Jelgavas pilsētas dome</c:v>
                </c:pt>
              </c:strCache>
            </c:strRef>
          </c:cat>
          <c:val>
            <c:numRef>
              <c:f>'Grafiki_vides riski'!$E$2:$E$7</c:f>
              <c:numCache>
                <c:formatCode>0.000</c:formatCode>
                <c:ptCount val="6"/>
                <c:pt idx="0">
                  <c:v>0.10553700000000002</c:v>
                </c:pt>
                <c:pt idx="1">
                  <c:v>5.2225000000000001E-2</c:v>
                </c:pt>
                <c:pt idx="2">
                  <c:v>3.4443000000000015E-2</c:v>
                </c:pt>
                <c:pt idx="5">
                  <c:v>1.0069E-2</c:v>
                </c:pt>
              </c:numCache>
            </c:numRef>
          </c:val>
        </c:ser>
        <c:shape val="cylinder"/>
        <c:axId val="38790272"/>
        <c:axId val="38791808"/>
        <c:axId val="0"/>
      </c:bar3DChart>
      <c:catAx>
        <c:axId val="38790272"/>
        <c:scaling>
          <c:orientation val="minMax"/>
        </c:scaling>
        <c:axPos val="b"/>
        <c:tickLblPos val="nextTo"/>
        <c:txPr>
          <a:bodyPr rot="-5400000" vert="horz"/>
          <a:lstStyle/>
          <a:p>
            <a:pPr>
              <a:defRPr/>
            </a:pPr>
            <a:endParaRPr lang="lv-LV"/>
          </a:p>
        </c:txPr>
        <c:crossAx val="38791808"/>
        <c:crosses val="autoZero"/>
        <c:auto val="1"/>
        <c:lblAlgn val="ctr"/>
        <c:lblOffset val="100"/>
      </c:catAx>
      <c:valAx>
        <c:axId val="38791808"/>
        <c:scaling>
          <c:orientation val="minMax"/>
        </c:scaling>
        <c:axPos val="l"/>
        <c:majorGridlines/>
        <c:numFmt formatCode="0.00" sourceLinked="0"/>
        <c:tickLblPos val="nextTo"/>
        <c:crossAx val="38790272"/>
        <c:crossesAt val="1"/>
        <c:crossBetween val="between"/>
      </c:valAx>
    </c:plotArea>
    <c:legend>
      <c:legendPos val="r"/>
    </c:legend>
  </c:chart>
  <c:spPr>
    <a:ln>
      <a:noFill/>
    </a:ln>
  </c:spPr>
  <c:txPr>
    <a:bodyPr/>
    <a:lstStyle/>
    <a:p>
      <a:pPr>
        <a:defRPr sz="900" baseline="0">
          <a:latin typeface="Times New Roman" pitchFamily="18" charset="0"/>
        </a:defRPr>
      </a:pPr>
      <a:endParaRPr lang="lv-LV"/>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lv-LV"/>
  <c:style val="35"/>
  <c:chart>
    <c:view3D>
      <c:rotY val="0"/>
      <c:rAngAx val="1"/>
    </c:view3D>
    <c:plotArea>
      <c:layout/>
      <c:bar3DChart>
        <c:barDir val="col"/>
        <c:grouping val="clustered"/>
        <c:ser>
          <c:idx val="0"/>
          <c:order val="0"/>
          <c:tx>
            <c:strRef>
              <c:f>Grafiki_monitorings!$A$3</c:f>
              <c:strCache>
                <c:ptCount val="1"/>
                <c:pt idx="0">
                  <c:v>KF</c:v>
                </c:pt>
              </c:strCache>
            </c:strRef>
          </c:tx>
          <c:spPr>
            <a:ln>
              <a:noFill/>
            </a:ln>
          </c:spPr>
          <c:dLbls>
            <c:showVal val="1"/>
          </c:dLbls>
          <c:cat>
            <c:strRef>
              <c:f>Grafiki_monitorings!$B$2:$E$2</c:f>
              <c:strCache>
                <c:ptCount val="4"/>
                <c:pt idx="0">
                  <c:v>2010.</c:v>
                </c:pt>
                <c:pt idx="1">
                  <c:v>2011.</c:v>
                </c:pt>
                <c:pt idx="2">
                  <c:v>2012.</c:v>
                </c:pt>
                <c:pt idx="3">
                  <c:v>2013.</c:v>
                </c:pt>
              </c:strCache>
            </c:strRef>
          </c:cat>
          <c:val>
            <c:numRef>
              <c:f>Grafiki_monitorings!$B$3:$E$3</c:f>
              <c:numCache>
                <c:formatCode>0.00</c:formatCode>
                <c:ptCount val="4"/>
                <c:pt idx="0" formatCode="General">
                  <c:v>1.1100000000000001</c:v>
                </c:pt>
                <c:pt idx="1">
                  <c:v>1</c:v>
                </c:pt>
                <c:pt idx="2" formatCode="General">
                  <c:v>1.02</c:v>
                </c:pt>
                <c:pt idx="3" formatCode="General">
                  <c:v>0.92</c:v>
                </c:pt>
              </c:numCache>
            </c:numRef>
          </c:val>
        </c:ser>
        <c:ser>
          <c:idx val="1"/>
          <c:order val="1"/>
          <c:tx>
            <c:strRef>
              <c:f>Grafiki_monitorings!$A$4</c:f>
              <c:strCache>
                <c:ptCount val="1"/>
                <c:pt idx="0">
                  <c:v>Valsts budžets</c:v>
                </c:pt>
              </c:strCache>
            </c:strRef>
          </c:tx>
          <c:spPr>
            <a:ln>
              <a:noFill/>
            </a:ln>
          </c:spPr>
          <c:dLbls>
            <c:showVal val="1"/>
          </c:dLbls>
          <c:cat>
            <c:strRef>
              <c:f>Grafiki_monitorings!$B$2:$E$2</c:f>
              <c:strCache>
                <c:ptCount val="4"/>
                <c:pt idx="0">
                  <c:v>2010.</c:v>
                </c:pt>
                <c:pt idx="1">
                  <c:v>2011.</c:v>
                </c:pt>
                <c:pt idx="2">
                  <c:v>2012.</c:v>
                </c:pt>
                <c:pt idx="3">
                  <c:v>2013.</c:v>
                </c:pt>
              </c:strCache>
            </c:strRef>
          </c:cat>
          <c:val>
            <c:numRef>
              <c:f>Grafiki_monitorings!$B$4:$E$4</c:f>
              <c:numCache>
                <c:formatCode>General</c:formatCode>
                <c:ptCount val="4"/>
                <c:pt idx="0" formatCode="0.00">
                  <c:v>0.2</c:v>
                </c:pt>
                <c:pt idx="1">
                  <c:v>0.05</c:v>
                </c:pt>
                <c:pt idx="2">
                  <c:v>4.0000000000000114E-3</c:v>
                </c:pt>
                <c:pt idx="3" formatCode="0.00">
                  <c:v>0.1</c:v>
                </c:pt>
              </c:numCache>
            </c:numRef>
          </c:val>
        </c:ser>
        <c:shape val="cylinder"/>
        <c:axId val="103502208"/>
        <c:axId val="103503744"/>
        <c:axId val="0"/>
      </c:bar3DChart>
      <c:catAx>
        <c:axId val="103502208"/>
        <c:scaling>
          <c:orientation val="minMax"/>
        </c:scaling>
        <c:axPos val="b"/>
        <c:tickLblPos val="nextTo"/>
        <c:crossAx val="103503744"/>
        <c:crosses val="autoZero"/>
        <c:auto val="1"/>
        <c:lblAlgn val="ctr"/>
        <c:lblOffset val="100"/>
      </c:catAx>
      <c:valAx>
        <c:axId val="103503744"/>
        <c:scaling>
          <c:orientation val="minMax"/>
        </c:scaling>
        <c:axPos val="l"/>
        <c:majorGridlines/>
        <c:numFmt formatCode="General" sourceLinked="1"/>
        <c:tickLblPos val="nextTo"/>
        <c:crossAx val="103502208"/>
        <c:crosses val="autoZero"/>
        <c:crossBetween val="between"/>
      </c:valAx>
    </c:plotArea>
    <c:legend>
      <c:legendPos val="r"/>
    </c:legend>
    <c:plotVisOnly val="1"/>
  </c:chart>
  <c:spPr>
    <a:ln>
      <a:noFill/>
    </a:ln>
  </c:spPr>
  <c:txPr>
    <a:bodyPr/>
    <a:lstStyle/>
    <a:p>
      <a:pPr>
        <a:defRPr sz="900" baseline="0">
          <a:latin typeface="Times New Roman" pitchFamily="18" charset="0"/>
        </a:defRPr>
      </a:pPr>
      <a:endParaRPr lang="lv-LV"/>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lv-LV"/>
  <c:style val="35"/>
  <c:chart>
    <c:view3D>
      <c:rotX val="0"/>
      <c:rotY val="0"/>
      <c:perspective val="0"/>
    </c:view3D>
    <c:plotArea>
      <c:layout/>
      <c:bar3DChart>
        <c:barDir val="col"/>
        <c:grouping val="stacked"/>
        <c:ser>
          <c:idx val="0"/>
          <c:order val="0"/>
          <c:tx>
            <c:strRef>
              <c:f>Grafiki_monitorings!$B$25</c:f>
              <c:strCache>
                <c:ptCount val="1"/>
                <c:pt idx="0">
                  <c:v>KF</c:v>
                </c:pt>
              </c:strCache>
            </c:strRef>
          </c:tx>
          <c:spPr>
            <a:ln>
              <a:noFill/>
            </a:ln>
          </c:spPr>
          <c:dLbls>
            <c:dLbl>
              <c:idx val="2"/>
              <c:layout>
                <c:manualLayout>
                  <c:x val="4.7449584816132914E-3"/>
                  <c:y val="-4.3126684636119024E-2"/>
                </c:manualLayout>
              </c:layout>
              <c:showVal val="1"/>
            </c:dLbl>
            <c:showVal val="1"/>
          </c:dLbls>
          <c:cat>
            <c:strRef>
              <c:f>Grafiki_monitorings!$A$26:$A$30</c:f>
              <c:strCache>
                <c:ptCount val="5"/>
                <c:pt idx="0">
                  <c:v>Virszemes ūdens un hidroloģiskā monitoringa sistēmas pilnveidošana Latvijā atbilstoši ES Ūdens struktūrdirektīvas 2000/60/EC prasībām  </c:v>
                </c:pt>
                <c:pt idx="1">
                  <c:v>Pazemes ūdens hidroģeoloģisko novērojumu programmas pilnveidošana, urbumu aprīkošana ar ūdens līmeņa mērītājiem Lielupes un Ventas upju sateces baseinos    </c:v>
                </c:pt>
                <c:pt idx="2">
                  <c:v>Aprīkojums virszemes un pazemes ūdens, gaisa paraugu ievākšanai un piesārņojošo vielu emisiju kontrolei vidē    </c:v>
                </c:pt>
                <c:pt idx="3">
                  <c:v>Specializēta kuģa iegāde zvejas kontroles un vides monitoringa veikšanai jūrā</c:v>
                </c:pt>
                <c:pt idx="4">
                  <c:v>Radiācijas monitoringa agrīnās brīdināšanas sistēmas modernizācija  </c:v>
                </c:pt>
              </c:strCache>
            </c:strRef>
          </c:cat>
          <c:val>
            <c:numRef>
              <c:f>Grafiki_monitorings!$B$26:$B$30</c:f>
              <c:numCache>
                <c:formatCode>#,##0.00</c:formatCode>
                <c:ptCount val="5"/>
                <c:pt idx="0">
                  <c:v>6.9570999999999994E-2</c:v>
                </c:pt>
                <c:pt idx="1">
                  <c:v>0.18393400000000173</c:v>
                </c:pt>
                <c:pt idx="2">
                  <c:v>2.4344999999999999E-2</c:v>
                </c:pt>
                <c:pt idx="3">
                  <c:v>0.57116800000000001</c:v>
                </c:pt>
                <c:pt idx="4">
                  <c:v>7.1318999999999994E-2</c:v>
                </c:pt>
              </c:numCache>
            </c:numRef>
          </c:val>
        </c:ser>
        <c:ser>
          <c:idx val="1"/>
          <c:order val="1"/>
          <c:tx>
            <c:strRef>
              <c:f>Grafiki_monitorings!$C$25</c:f>
              <c:strCache>
                <c:ptCount val="1"/>
                <c:pt idx="0">
                  <c:v>Valsts budžets</c:v>
                </c:pt>
              </c:strCache>
            </c:strRef>
          </c:tx>
          <c:spPr>
            <a:ln>
              <a:noFill/>
            </a:ln>
          </c:spPr>
          <c:dLbls>
            <c:dLbl>
              <c:idx val="4"/>
              <c:layout>
                <c:manualLayout>
                  <c:x val="7.1174377224200161E-3"/>
                  <c:y val="-2.5157232704402552E-2"/>
                </c:manualLayout>
              </c:layout>
              <c:showVal val="1"/>
            </c:dLbl>
            <c:showVal val="1"/>
          </c:dLbls>
          <c:cat>
            <c:strRef>
              <c:f>Grafiki_monitorings!$A$26:$A$30</c:f>
              <c:strCache>
                <c:ptCount val="5"/>
                <c:pt idx="0">
                  <c:v>Virszemes ūdens un hidroloģiskā monitoringa sistēmas pilnveidošana Latvijā atbilstoši ES Ūdens struktūrdirektīvas 2000/60/EC prasībām  </c:v>
                </c:pt>
                <c:pt idx="1">
                  <c:v>Pazemes ūdens hidroģeoloģisko novērojumu programmas pilnveidošana, urbumu aprīkošana ar ūdens līmeņa mērītājiem Lielupes un Ventas upju sateces baseinos    </c:v>
                </c:pt>
                <c:pt idx="2">
                  <c:v>Aprīkojums virszemes un pazemes ūdens, gaisa paraugu ievākšanai un piesārņojošo vielu emisiju kontrolei vidē    </c:v>
                </c:pt>
                <c:pt idx="3">
                  <c:v>Specializēta kuģa iegāde zvejas kontroles un vides monitoringa veikšanai jūrā</c:v>
                </c:pt>
                <c:pt idx="4">
                  <c:v>Radiācijas monitoringa agrīnās brīdināšanas sistēmas modernizācija  </c:v>
                </c:pt>
              </c:strCache>
            </c:strRef>
          </c:cat>
          <c:val>
            <c:numRef>
              <c:f>Grafiki_monitorings!$C$26:$C$30</c:f>
              <c:numCache>
                <c:formatCode>General</c:formatCode>
                <c:ptCount val="5"/>
                <c:pt idx="3" formatCode="#,##0.00">
                  <c:v>9.2980000000000007E-2</c:v>
                </c:pt>
                <c:pt idx="4" formatCode="#,##0.00">
                  <c:v>1.1610000000000007E-2</c:v>
                </c:pt>
              </c:numCache>
            </c:numRef>
          </c:val>
        </c:ser>
        <c:shape val="cylinder"/>
        <c:axId val="103533568"/>
        <c:axId val="106038016"/>
        <c:axId val="0"/>
      </c:bar3DChart>
      <c:catAx>
        <c:axId val="103533568"/>
        <c:scaling>
          <c:orientation val="minMax"/>
        </c:scaling>
        <c:axPos val="b"/>
        <c:tickLblPos val="nextTo"/>
        <c:txPr>
          <a:bodyPr rot="-5400000" vert="horz"/>
          <a:lstStyle/>
          <a:p>
            <a:pPr>
              <a:defRPr sz="800" baseline="0"/>
            </a:pPr>
            <a:endParaRPr lang="lv-LV"/>
          </a:p>
        </c:txPr>
        <c:crossAx val="106038016"/>
        <c:crosses val="autoZero"/>
        <c:auto val="1"/>
        <c:lblAlgn val="ctr"/>
        <c:lblOffset val="100"/>
      </c:catAx>
      <c:valAx>
        <c:axId val="106038016"/>
        <c:scaling>
          <c:orientation val="minMax"/>
        </c:scaling>
        <c:axPos val="l"/>
        <c:majorGridlines/>
        <c:numFmt formatCode="#,##0.00" sourceLinked="1"/>
        <c:tickLblPos val="nextTo"/>
        <c:crossAx val="103533568"/>
        <c:crosses val="autoZero"/>
        <c:crossBetween val="between"/>
      </c:valAx>
    </c:plotArea>
    <c:legend>
      <c:legendPos val="r"/>
    </c:legend>
    <c:plotVisOnly val="1"/>
  </c:chart>
  <c:spPr>
    <a:ln>
      <a:noFill/>
    </a:ln>
  </c:spPr>
  <c:txPr>
    <a:bodyPr/>
    <a:lstStyle/>
    <a:p>
      <a:pPr>
        <a:defRPr sz="900" baseline="0">
          <a:latin typeface="Times New Roman" pitchFamily="18" charset="0"/>
        </a:defRPr>
      </a:pPr>
      <a:endParaRPr lang="lv-LV"/>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lv-LV"/>
  <c:style val="35"/>
  <c:chart>
    <c:autoTitleDeleted val="1"/>
    <c:plotArea>
      <c:layout/>
      <c:barChart>
        <c:barDir val="col"/>
        <c:grouping val="clustered"/>
        <c:ser>
          <c:idx val="0"/>
          <c:order val="0"/>
          <c:tx>
            <c:strRef>
              <c:f>Grafiki_udeni!$B$25</c:f>
              <c:strCache>
                <c:ptCount val="1"/>
                <c:pt idx="0">
                  <c:v>1995.-2013.</c:v>
                </c:pt>
              </c:strCache>
            </c:strRef>
          </c:tx>
          <c:cat>
            <c:strRef>
              <c:f>Grafiki_udeni!$A$26:$A$27</c:f>
              <c:strCache>
                <c:ptCount val="2"/>
                <c:pt idx="0">
                  <c:v>Aglomerācijās ar CE &gt; 2000</c:v>
                </c:pt>
                <c:pt idx="1">
                  <c:v>Apdzīvotās vietas ar iedzīvotāju skaitu mazāku par 2000</c:v>
                </c:pt>
              </c:strCache>
            </c:strRef>
          </c:cat>
          <c:val>
            <c:numRef>
              <c:f>Grafiki_udeni!$B$26:$B$27</c:f>
              <c:numCache>
                <c:formatCode>0.00</c:formatCode>
                <c:ptCount val="2"/>
                <c:pt idx="0">
                  <c:v>679.899</c:v>
                </c:pt>
                <c:pt idx="1">
                  <c:v>106.43700000000022</c:v>
                </c:pt>
              </c:numCache>
            </c:numRef>
          </c:val>
        </c:ser>
        <c:ser>
          <c:idx val="1"/>
          <c:order val="1"/>
          <c:tx>
            <c:strRef>
              <c:f>Grafiki_udeni!$C$25</c:f>
              <c:strCache>
                <c:ptCount val="1"/>
                <c:pt idx="0">
                  <c:v>2013.</c:v>
                </c:pt>
              </c:strCache>
            </c:strRef>
          </c:tx>
          <c:cat>
            <c:strRef>
              <c:f>Grafiki_udeni!$A$26:$A$27</c:f>
              <c:strCache>
                <c:ptCount val="2"/>
                <c:pt idx="0">
                  <c:v>Aglomerācijās ar CE &gt; 2000</c:v>
                </c:pt>
                <c:pt idx="1">
                  <c:v>Apdzīvotās vietas ar iedzīvotāju skaitu mazāku par 2000</c:v>
                </c:pt>
              </c:strCache>
            </c:strRef>
          </c:cat>
          <c:val>
            <c:numRef>
              <c:f>Grafiki_udeni!$C$26:$C$27</c:f>
              <c:numCache>
                <c:formatCode>0.00</c:formatCode>
                <c:ptCount val="2"/>
                <c:pt idx="0">
                  <c:v>26.295999999999989</c:v>
                </c:pt>
                <c:pt idx="1">
                  <c:v>20.130000000000031</c:v>
                </c:pt>
              </c:numCache>
            </c:numRef>
          </c:val>
        </c:ser>
        <c:axId val="99948416"/>
        <c:axId val="99949952"/>
      </c:barChart>
      <c:catAx>
        <c:axId val="99948416"/>
        <c:scaling>
          <c:orientation val="minMax"/>
        </c:scaling>
        <c:delete val="1"/>
        <c:axPos val="b"/>
        <c:majorTickMark val="none"/>
        <c:tickLblPos val="none"/>
        <c:crossAx val="99949952"/>
        <c:crosses val="autoZero"/>
        <c:auto val="1"/>
        <c:lblAlgn val="ctr"/>
        <c:lblOffset val="100"/>
      </c:catAx>
      <c:valAx>
        <c:axId val="99949952"/>
        <c:scaling>
          <c:orientation val="minMax"/>
        </c:scaling>
        <c:axPos val="l"/>
        <c:majorGridlines/>
        <c:numFmt formatCode="0.00" sourceLinked="1"/>
        <c:majorTickMark val="none"/>
        <c:tickLblPos val="nextTo"/>
        <c:crossAx val="99948416"/>
        <c:crosses val="autoZero"/>
        <c:crossBetween val="between"/>
      </c:valAx>
      <c:dTable>
        <c:showHorzBorder val="1"/>
        <c:showVertBorder val="1"/>
        <c:showOutline val="1"/>
      </c:dTable>
    </c:plotArea>
    <c:plotVisOnly val="1"/>
  </c:chart>
  <c:spPr>
    <a:ln>
      <a:noFill/>
    </a:ln>
  </c:spPr>
  <c:txPr>
    <a:bodyPr/>
    <a:lstStyle/>
    <a:p>
      <a:pPr>
        <a:defRPr sz="900" baseline="0">
          <a:latin typeface="Times New Roman" pitchFamily="18" charset="0"/>
        </a:defRPr>
      </a:pPr>
      <a:endParaRPr lang="lv-LV"/>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lv-LV"/>
  <c:style val="27"/>
  <c:chart>
    <c:autoTitleDeleted val="1"/>
    <c:plotArea>
      <c:layout/>
      <c:ofPieChart>
        <c:ofPieType val="pie"/>
        <c:varyColors val="1"/>
        <c:ser>
          <c:idx val="0"/>
          <c:order val="0"/>
          <c:dLbls>
            <c:dLbl>
              <c:idx val="2"/>
              <c:layout>
                <c:manualLayout>
                  <c:x val="6.9379155730533687E-2"/>
                  <c:y val="0.19255285797608632"/>
                </c:manualLayout>
              </c:layout>
              <c:dLblPos val="bestFit"/>
              <c:showCatName val="1"/>
              <c:showPercent val="1"/>
            </c:dLbl>
            <c:dLbl>
              <c:idx val="3"/>
              <c:layout>
                <c:manualLayout>
                  <c:x val="-4.2035979877515513E-2"/>
                  <c:y val="-0.19514472149314668"/>
                </c:manualLayout>
              </c:layout>
              <c:dLblPos val="bestFit"/>
              <c:showCatName val="1"/>
              <c:showPercent val="1"/>
            </c:dLbl>
            <c:dLbl>
              <c:idx val="4"/>
              <c:layout>
                <c:manualLayout>
                  <c:x val="-0.21160454943132251"/>
                  <c:y val="-8.3799941673957708E-3"/>
                </c:manualLayout>
              </c:layout>
              <c:tx>
                <c:rich>
                  <a:bodyPr/>
                  <a:lstStyle/>
                  <a:p>
                    <a:r>
                      <a:rPr lang="lv-LV"/>
                      <a:t>ES fondu finanšu līdzekļi</a:t>
                    </a:r>
                    <a:r>
                      <a:rPr lang="en-US"/>
                      <a:t>
84%</a:t>
                    </a:r>
                  </a:p>
                </c:rich>
              </c:tx>
              <c:dLblPos val="bestFit"/>
              <c:showCatName val="1"/>
              <c:showPercent val="1"/>
            </c:dLbl>
            <c:dLblPos val="bestFit"/>
            <c:showCatName val="1"/>
            <c:showPercent val="1"/>
            <c:showLeaderLines val="1"/>
          </c:dLbls>
          <c:cat>
            <c:strRef>
              <c:f>Grafiki_udeni!$A$70:$A$73</c:f>
              <c:strCache>
                <c:ptCount val="4"/>
                <c:pt idx="0">
                  <c:v>Valsts budžets</c:v>
                </c:pt>
                <c:pt idx="1">
                  <c:v>Projektu īstenotāju finanšu līdzekļi</c:v>
                </c:pt>
                <c:pt idx="2">
                  <c:v>KF</c:v>
                </c:pt>
                <c:pt idx="3">
                  <c:v>ERAF</c:v>
                </c:pt>
              </c:strCache>
            </c:strRef>
          </c:cat>
          <c:val>
            <c:numRef>
              <c:f>Grafiki_udeni!$B$70:$B$73</c:f>
              <c:numCache>
                <c:formatCode>0%</c:formatCode>
                <c:ptCount val="4"/>
                <c:pt idx="0">
                  <c:v>1.0660751206064944E-2</c:v>
                </c:pt>
                <c:pt idx="1">
                  <c:v>0.15472088215024299</c:v>
                </c:pt>
                <c:pt idx="2">
                  <c:v>0.46</c:v>
                </c:pt>
                <c:pt idx="3">
                  <c:v>0.38000000000000239</c:v>
                </c:pt>
              </c:numCache>
            </c:numRef>
          </c:val>
        </c:ser>
        <c:dLbls>
          <c:showCatName val="1"/>
          <c:showPercent val="1"/>
        </c:dLbls>
        <c:gapWidth val="100"/>
        <c:secondPieSize val="75"/>
        <c:serLines/>
      </c:ofPieChart>
    </c:plotArea>
    <c:plotVisOnly val="1"/>
  </c:chart>
  <c:spPr>
    <a:ln>
      <a:noFill/>
    </a:ln>
  </c:spPr>
  <c:txPr>
    <a:bodyPr/>
    <a:lstStyle/>
    <a:p>
      <a:pPr>
        <a:defRPr sz="900" baseline="0">
          <a:latin typeface="Times New Roman" pitchFamily="18" charset="0"/>
        </a:defRPr>
      </a:pPr>
      <a:endParaRPr lang="lv-LV"/>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lv-LV"/>
  <c:style val="27"/>
  <c:chart>
    <c:title>
      <c:layout>
        <c:manualLayout>
          <c:xMode val="edge"/>
          <c:yMode val="edge"/>
          <c:x val="0.23806908862617138"/>
          <c:y val="0"/>
        </c:manualLayout>
      </c:layout>
    </c:title>
    <c:view3D>
      <c:rotX val="30"/>
      <c:perspective val="30"/>
    </c:view3D>
    <c:plotArea>
      <c:layout>
        <c:manualLayout>
          <c:layoutTarget val="inner"/>
          <c:xMode val="edge"/>
          <c:yMode val="edge"/>
          <c:x val="9.3239541022790043E-2"/>
          <c:y val="0.27432217314299612"/>
          <c:w val="0.79046616291118743"/>
          <c:h val="0.65417408189829962"/>
        </c:manualLayout>
      </c:layout>
      <c:pie3DChart>
        <c:varyColors val="1"/>
        <c:ser>
          <c:idx val="0"/>
          <c:order val="0"/>
          <c:tx>
            <c:strRef>
              <c:f>Grafiki_udeni!$A$39</c:f>
              <c:strCache>
                <c:ptCount val="1"/>
                <c:pt idx="0">
                  <c:v>Aglomerācijas ar CE &gt; 2000</c:v>
                </c:pt>
              </c:strCache>
            </c:strRef>
          </c:tx>
          <c:explosion val="25"/>
          <c:dLbls>
            <c:dLbl>
              <c:idx val="0"/>
              <c:layout>
                <c:manualLayout>
                  <c:x val="-0.67501055163493662"/>
                  <c:y val="-5.8023600708448114E-2"/>
                </c:manualLayout>
              </c:layout>
              <c:tx>
                <c:rich>
                  <a:bodyPr/>
                  <a:lstStyle/>
                  <a:p>
                    <a:r>
                      <a:rPr lang="en-US"/>
                      <a:t>KF</a:t>
                    </a:r>
                    <a:r>
                      <a:rPr lang="lv-LV" baseline="0"/>
                      <a:t>- </a:t>
                    </a:r>
                    <a:r>
                      <a:rPr lang="en-US"/>
                      <a:t>21,22</a:t>
                    </a:r>
                    <a:r>
                      <a:rPr lang="lv-LV"/>
                      <a:t> milj. latu jeb </a:t>
                    </a:r>
                    <a:r>
                      <a:rPr lang="en-US"/>
                      <a:t>81%</a:t>
                    </a:r>
                  </a:p>
                </c:rich>
              </c:tx>
              <c:showVal val="1"/>
              <c:showCatName val="1"/>
              <c:showPercent val="1"/>
            </c:dLbl>
            <c:dLbl>
              <c:idx val="1"/>
              <c:layout>
                <c:manualLayout>
                  <c:x val="9.424759405074366E-3"/>
                  <c:y val="-7.1313065033537584E-2"/>
                </c:manualLayout>
              </c:layout>
              <c:tx>
                <c:rich>
                  <a:bodyPr/>
                  <a:lstStyle/>
                  <a:p>
                    <a:r>
                      <a:rPr lang="en-US"/>
                      <a:t>Valsts budžets</a:t>
                    </a:r>
                    <a:r>
                      <a:rPr lang="lv-LV"/>
                      <a:t> - </a:t>
                    </a:r>
                    <a:r>
                      <a:rPr lang="en-US"/>
                      <a:t> 0,49</a:t>
                    </a:r>
                    <a:r>
                      <a:rPr lang="lv-LV"/>
                      <a:t> milj. latu jeb</a:t>
                    </a:r>
                    <a:r>
                      <a:rPr lang="en-US"/>
                      <a:t> 2%</a:t>
                    </a:r>
                  </a:p>
                </c:rich>
              </c:tx>
              <c:showVal val="1"/>
              <c:showCatName val="1"/>
              <c:showPercent val="1"/>
            </c:dLbl>
            <c:dLbl>
              <c:idx val="2"/>
              <c:layout>
                <c:manualLayout>
                  <c:x val="0.28247278888410238"/>
                  <c:y val="0.11592471672748229"/>
                </c:manualLayout>
              </c:layout>
              <c:tx>
                <c:rich>
                  <a:bodyPr/>
                  <a:lstStyle/>
                  <a:p>
                    <a:r>
                      <a:rPr lang="lv-LV"/>
                      <a:t>Projektu īstenotāju finanšu līdzekļi - 4,59 milj. latu jeb 17%</a:t>
                    </a:r>
                  </a:p>
                </c:rich>
              </c:tx>
              <c:showVal val="1"/>
              <c:showCatName val="1"/>
              <c:showPercent val="1"/>
            </c:dLbl>
            <c:showVal val="1"/>
            <c:showCatName val="1"/>
            <c:showPercent val="1"/>
            <c:showLeaderLines val="1"/>
          </c:dLbls>
          <c:cat>
            <c:strRef>
              <c:f>(Grafiki_udeni!$B$38,Grafiki_udeni!$D$38:$E$38)</c:f>
              <c:strCache>
                <c:ptCount val="3"/>
                <c:pt idx="0">
                  <c:v>KF</c:v>
                </c:pt>
                <c:pt idx="1">
                  <c:v>Valsts budžets</c:v>
                </c:pt>
                <c:pt idx="2">
                  <c:v>Projektu īstenotāju finanšu līdzekļi</c:v>
                </c:pt>
              </c:strCache>
            </c:strRef>
          </c:cat>
          <c:val>
            <c:numRef>
              <c:f>(Grafiki_udeni!$B$39,Grafiki_udeni!$D$39:$E$39)</c:f>
              <c:numCache>
                <c:formatCode>0.00</c:formatCode>
                <c:ptCount val="3"/>
                <c:pt idx="0">
                  <c:v>21.215</c:v>
                </c:pt>
                <c:pt idx="1">
                  <c:v>0.49400000000000038</c:v>
                </c:pt>
                <c:pt idx="2">
                  <c:v>4.5869999999999997</c:v>
                </c:pt>
              </c:numCache>
            </c:numRef>
          </c:val>
        </c:ser>
      </c:pie3DChart>
    </c:plotArea>
    <c:plotVisOnly val="1"/>
  </c:chart>
  <c:spPr>
    <a:ln>
      <a:noFill/>
    </a:ln>
  </c:spPr>
  <c:txPr>
    <a:bodyPr/>
    <a:lstStyle/>
    <a:p>
      <a:pPr>
        <a:defRPr sz="900" baseline="0">
          <a:latin typeface="Times New Roman" pitchFamily="18" charset="0"/>
        </a:defRPr>
      </a:pPr>
      <a:endParaRPr lang="lv-LV"/>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lv-LV"/>
  <c:style val="27"/>
  <c:chart>
    <c:title>
      <c:layout>
        <c:manualLayout>
          <c:xMode val="edge"/>
          <c:yMode val="edge"/>
          <c:x val="0.16630562846310867"/>
          <c:y val="0"/>
        </c:manualLayout>
      </c:layout>
    </c:title>
    <c:view3D>
      <c:rotX val="30"/>
      <c:perspective val="30"/>
    </c:view3D>
    <c:plotArea>
      <c:layout>
        <c:manualLayout>
          <c:layoutTarget val="inner"/>
          <c:xMode val="edge"/>
          <c:yMode val="edge"/>
          <c:x val="9.9536891221930768E-2"/>
          <c:y val="0.23987111367176664"/>
          <c:w val="0.87500029163021364"/>
          <c:h val="0.66031197319848189"/>
        </c:manualLayout>
      </c:layout>
      <c:pie3DChart>
        <c:varyColors val="1"/>
        <c:ser>
          <c:idx val="1"/>
          <c:order val="0"/>
          <c:tx>
            <c:strRef>
              <c:f>Grafiki_udeni!$A$40</c:f>
              <c:strCache>
                <c:ptCount val="1"/>
                <c:pt idx="0">
                  <c:v>Apdzīvotās vietas ar iedzīvotāju skaitu mazāku par 2000</c:v>
                </c:pt>
              </c:strCache>
            </c:strRef>
          </c:tx>
          <c:explosion val="25"/>
          <c:dLbls>
            <c:dLbl>
              <c:idx val="0"/>
              <c:layout>
                <c:manualLayout>
                  <c:x val="-0.58888670166228541"/>
                  <c:y val="-8.6785870516185526E-2"/>
                </c:manualLayout>
              </c:layout>
              <c:tx>
                <c:rich>
                  <a:bodyPr/>
                  <a:lstStyle/>
                  <a:p>
                    <a:r>
                      <a:rPr lang="lv-LV"/>
                      <a:t>ERAF</a:t>
                    </a:r>
                    <a:r>
                      <a:rPr lang="lv-LV" baseline="0"/>
                      <a:t> -</a:t>
                    </a:r>
                    <a:r>
                      <a:rPr lang="en-US"/>
                      <a:t>17,54</a:t>
                    </a:r>
                    <a:r>
                      <a:rPr lang="lv-LV"/>
                      <a:t> milj. latu jeb</a:t>
                    </a:r>
                    <a:r>
                      <a:rPr lang="en-US"/>
                      <a:t> 87%</a:t>
                    </a:r>
                  </a:p>
                </c:rich>
              </c:tx>
              <c:showVal val="1"/>
              <c:showCatName val="1"/>
              <c:showPercent val="1"/>
            </c:dLbl>
            <c:dLbl>
              <c:idx val="1"/>
              <c:layout>
                <c:manualLayout>
                  <c:x val="-8.7336832895888006E-2"/>
                  <c:y val="0.14074292796733898"/>
                </c:manualLayout>
              </c:layout>
              <c:tx>
                <c:rich>
                  <a:bodyPr/>
                  <a:lstStyle/>
                  <a:p>
                    <a:r>
                      <a:rPr lang="lv-LV"/>
                      <a:t>Projektu īstenotāju finanšu līdzekļi - </a:t>
                    </a:r>
                    <a:r>
                      <a:rPr lang="en-US"/>
                      <a:t>2,60</a:t>
                    </a:r>
                    <a:r>
                      <a:rPr lang="lv-LV"/>
                      <a:t> milj. latu jeb</a:t>
                    </a:r>
                    <a:r>
                      <a:rPr lang="en-US"/>
                      <a:t>13%</a:t>
                    </a:r>
                  </a:p>
                </c:rich>
              </c:tx>
              <c:showVal val="1"/>
              <c:showCatName val="1"/>
              <c:showPercent val="1"/>
            </c:dLbl>
            <c:showVal val="1"/>
            <c:showCatName val="1"/>
            <c:showPercent val="1"/>
            <c:showLeaderLines val="1"/>
          </c:dLbls>
          <c:cat>
            <c:numRef>
              <c:f>(Grafiki_udeni!$C$40,Grafiki_udeni!$E$40)</c:f>
              <c:numCache>
                <c:formatCode>0.00</c:formatCode>
                <c:ptCount val="2"/>
                <c:pt idx="0">
                  <c:v>17.538</c:v>
                </c:pt>
                <c:pt idx="1">
                  <c:v>2.5989999999999998</c:v>
                </c:pt>
              </c:numCache>
            </c:numRef>
          </c:cat>
          <c:val>
            <c:numRef>
              <c:f>(Grafiki_udeni!$C$40,Grafiki_udeni!$E$40)</c:f>
              <c:numCache>
                <c:formatCode>0.00</c:formatCode>
                <c:ptCount val="2"/>
                <c:pt idx="0">
                  <c:v>17.538</c:v>
                </c:pt>
                <c:pt idx="1">
                  <c:v>2.5989999999999998</c:v>
                </c:pt>
              </c:numCache>
            </c:numRef>
          </c:val>
        </c:ser>
      </c:pie3DChart>
    </c:plotArea>
    <c:plotVisOnly val="1"/>
  </c:chart>
  <c:spPr>
    <a:ln>
      <a:noFill/>
    </a:ln>
  </c:spPr>
  <c:txPr>
    <a:bodyPr/>
    <a:lstStyle/>
    <a:p>
      <a:pPr>
        <a:defRPr sz="900" baseline="0">
          <a:latin typeface="Times New Roman" pitchFamily="18" charset="0"/>
        </a:defRPr>
      </a:pPr>
      <a:endParaRPr lang="lv-LV"/>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lv-LV"/>
  <c:style val="27"/>
  <c:chart>
    <c:autoTitleDeleted val="1"/>
    <c:plotArea>
      <c:layout>
        <c:manualLayout>
          <c:layoutTarget val="inner"/>
          <c:xMode val="edge"/>
          <c:yMode val="edge"/>
          <c:x val="9.4689923253264224E-2"/>
          <c:y val="7.333973497215289E-2"/>
          <c:w val="0.52130848200936897"/>
          <c:h val="0.83706036745406809"/>
        </c:manualLayout>
      </c:layout>
      <c:doughnutChart>
        <c:varyColors val="1"/>
        <c:ser>
          <c:idx val="0"/>
          <c:order val="0"/>
          <c:explosion val="25"/>
          <c:dLbls>
            <c:showVal val="1"/>
            <c:showLeaderLines val="1"/>
          </c:dLbls>
          <c:cat>
            <c:strRef>
              <c:f>Grafiki_udeni!$A$95:$A$99</c:f>
              <c:strCache>
                <c:ptCount val="5"/>
                <c:pt idx="0">
                  <c:v>Rīgas PR</c:v>
                </c:pt>
                <c:pt idx="1">
                  <c:v>Kurzemes PR</c:v>
                </c:pt>
                <c:pt idx="2">
                  <c:v>Latgales PR</c:v>
                </c:pt>
                <c:pt idx="3">
                  <c:v>Vidzemes PR</c:v>
                </c:pt>
                <c:pt idx="4">
                  <c:v>Zemgales PR</c:v>
                </c:pt>
              </c:strCache>
            </c:strRef>
          </c:cat>
          <c:val>
            <c:numRef>
              <c:f>Grafiki_udeni!$B$95:$B$99</c:f>
              <c:numCache>
                <c:formatCode>0.00</c:formatCode>
                <c:ptCount val="5"/>
                <c:pt idx="0">
                  <c:v>10.630762099999998</c:v>
                </c:pt>
                <c:pt idx="1">
                  <c:v>4.8810279999999988</c:v>
                </c:pt>
                <c:pt idx="2">
                  <c:v>4.2068720000000024</c:v>
                </c:pt>
                <c:pt idx="3">
                  <c:v>3.1450120000000004</c:v>
                </c:pt>
                <c:pt idx="4">
                  <c:v>3.4321137599999996</c:v>
                </c:pt>
              </c:numCache>
            </c:numRef>
          </c:val>
        </c:ser>
        <c:dLbls>
          <c:showPercent val="1"/>
        </c:dLbls>
        <c:firstSliceAng val="0"/>
        <c:holeSize val="50"/>
      </c:doughnutChart>
    </c:plotArea>
    <c:legend>
      <c:legendPos val="r"/>
      <c:layout>
        <c:manualLayout>
          <c:xMode val="edge"/>
          <c:yMode val="edge"/>
          <c:x val="0.68451531058617765"/>
          <c:y val="0.12731365896336128"/>
          <c:w val="0.2607584305126418"/>
          <c:h val="0.69787678979151957"/>
        </c:manualLayout>
      </c:layout>
    </c:legend>
    <c:plotVisOnly val="1"/>
  </c:chart>
  <c:spPr>
    <a:ln>
      <a:noFill/>
    </a:ln>
  </c:spPr>
  <c:txPr>
    <a:bodyPr/>
    <a:lstStyle/>
    <a:p>
      <a:pPr>
        <a:defRPr sz="900" baseline="0">
          <a:latin typeface="Times New Roman" pitchFamily="18" charset="0"/>
        </a:defRPr>
      </a:pPr>
      <a:endParaRPr lang="lv-LV"/>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lv-LV"/>
  <c:style val="27"/>
  <c:chart>
    <c:autoTitleDeleted val="1"/>
    <c:plotArea>
      <c:layout>
        <c:manualLayout>
          <c:layoutTarget val="inner"/>
          <c:xMode val="edge"/>
          <c:yMode val="edge"/>
          <c:x val="6.6525532409714608E-2"/>
          <c:y val="6.79643733057958E-2"/>
          <c:w val="0.54050646200870467"/>
          <c:h val="0.87500021513704263"/>
        </c:manualLayout>
      </c:layout>
      <c:doughnutChart>
        <c:varyColors val="1"/>
        <c:ser>
          <c:idx val="0"/>
          <c:order val="0"/>
          <c:explosion val="25"/>
          <c:dLbls>
            <c:showVal val="1"/>
            <c:showLeaderLines val="1"/>
          </c:dLbls>
          <c:cat>
            <c:strRef>
              <c:f>Grafiki_udeni!$A$95:$A$99</c:f>
              <c:strCache>
                <c:ptCount val="5"/>
                <c:pt idx="0">
                  <c:v>Rīgas PR</c:v>
                </c:pt>
                <c:pt idx="1">
                  <c:v>Kurzemes PR</c:v>
                </c:pt>
                <c:pt idx="2">
                  <c:v>Latgales PR</c:v>
                </c:pt>
                <c:pt idx="3">
                  <c:v>Vidzemes PR</c:v>
                </c:pt>
                <c:pt idx="4">
                  <c:v>Zemgales PR</c:v>
                </c:pt>
              </c:strCache>
            </c:strRef>
          </c:cat>
          <c:val>
            <c:numRef>
              <c:f>Grafiki_udeni!$D$95:$D$99</c:f>
              <c:numCache>
                <c:formatCode>0.00</c:formatCode>
                <c:ptCount val="5"/>
                <c:pt idx="0">
                  <c:v>3.5799023199999978</c:v>
                </c:pt>
                <c:pt idx="1">
                  <c:v>3.13133529</c:v>
                </c:pt>
                <c:pt idx="2">
                  <c:v>3.1049458999999997</c:v>
                </c:pt>
                <c:pt idx="3">
                  <c:v>6.52030713</c:v>
                </c:pt>
                <c:pt idx="4">
                  <c:v>3.8004084199999757</c:v>
                </c:pt>
              </c:numCache>
            </c:numRef>
          </c:val>
        </c:ser>
        <c:dLbls>
          <c:showVal val="1"/>
        </c:dLbls>
        <c:firstSliceAng val="0"/>
        <c:holeSize val="50"/>
      </c:doughnutChart>
    </c:plotArea>
    <c:legend>
      <c:legendPos val="r"/>
      <c:layout>
        <c:manualLayout>
          <c:xMode val="edge"/>
          <c:yMode val="edge"/>
          <c:x val="0.71192082239720589"/>
          <c:y val="0.12458500064541178"/>
          <c:w val="0.24725632080800142"/>
          <c:h val="0.64047760423390065"/>
        </c:manualLayout>
      </c:layout>
    </c:legend>
    <c:plotVisOnly val="1"/>
  </c:chart>
  <c:spPr>
    <a:ln>
      <a:noFill/>
    </a:ln>
  </c:spPr>
  <c:txPr>
    <a:bodyPr/>
    <a:lstStyle/>
    <a:p>
      <a:pPr>
        <a:defRPr sz="900" baseline="0">
          <a:latin typeface="Times New Roman" pitchFamily="18" charset="0"/>
        </a:defRPr>
      </a:pPr>
      <a:endParaRPr lang="lv-LV"/>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lv-LV"/>
  <c:style val="35"/>
  <c:chart>
    <c:plotArea>
      <c:layout>
        <c:manualLayout>
          <c:layoutTarget val="inner"/>
          <c:xMode val="edge"/>
          <c:yMode val="edge"/>
          <c:x val="6.4321741032370983E-2"/>
          <c:y val="3.9320822162645222E-2"/>
          <c:w val="0.6801227034120737"/>
          <c:h val="0.86224624066763778"/>
        </c:manualLayout>
      </c:layout>
      <c:lineChart>
        <c:grouping val="standard"/>
        <c:ser>
          <c:idx val="0"/>
          <c:order val="0"/>
          <c:tx>
            <c:strRef>
              <c:f>Grafiki_udeni!$B$137</c:f>
              <c:strCache>
                <c:ptCount val="1"/>
                <c:pt idx="0">
                  <c:v>Apdzīvotās vietas ar iedzīvotāju skaitu mazāku par 2000</c:v>
                </c:pt>
              </c:strCache>
            </c:strRef>
          </c:tx>
          <c:marker>
            <c:symbol val="none"/>
          </c:marker>
          <c:dLbls>
            <c:dLbl>
              <c:idx val="0"/>
              <c:layout>
                <c:manualLayout>
                  <c:x val="-4.1666666666666692E-2"/>
                  <c:y val="-3.5746201966041113E-2"/>
                </c:manualLayout>
              </c:layout>
              <c:showVal val="1"/>
            </c:dLbl>
            <c:dLbl>
              <c:idx val="1"/>
              <c:layout>
                <c:manualLayout>
                  <c:x val="-4.1666666666666664E-2"/>
                  <c:y val="-2.8596961572832869E-2"/>
                </c:manualLayout>
              </c:layout>
              <c:showVal val="1"/>
            </c:dLbl>
            <c:dLbl>
              <c:idx val="3"/>
              <c:layout>
                <c:manualLayout>
                  <c:x val="-3.6111111111111212E-2"/>
                  <c:y val="-2.5022341376228791E-2"/>
                </c:manualLayout>
              </c:layout>
              <c:showVal val="1"/>
            </c:dLbl>
            <c:dLbl>
              <c:idx val="4"/>
              <c:layout>
                <c:manualLayout>
                  <c:x val="-1.3888888888889049E-2"/>
                  <c:y val="-3.2171581769436998E-2"/>
                </c:manualLayout>
              </c:layout>
              <c:showVal val="1"/>
            </c:dLbl>
            <c:showVal val="1"/>
          </c:dLbls>
          <c:cat>
            <c:strRef>
              <c:f>Grafiki_udeni!$A$138:$A$142</c:f>
              <c:strCache>
                <c:ptCount val="5"/>
                <c:pt idx="0">
                  <c:v>Rīgas PR</c:v>
                </c:pt>
                <c:pt idx="1">
                  <c:v>Kurzemes PR</c:v>
                </c:pt>
                <c:pt idx="2">
                  <c:v>Latgales PR</c:v>
                </c:pt>
                <c:pt idx="3">
                  <c:v>Vidzemes PR</c:v>
                </c:pt>
                <c:pt idx="4">
                  <c:v>Zemgales PR</c:v>
                </c:pt>
              </c:strCache>
            </c:strRef>
          </c:cat>
          <c:val>
            <c:numRef>
              <c:f>Grafiki_udeni!$B$138:$B$142</c:f>
              <c:numCache>
                <c:formatCode>0</c:formatCode>
                <c:ptCount val="5"/>
                <c:pt idx="0">
                  <c:v>3.4756333203883467</c:v>
                </c:pt>
                <c:pt idx="1">
                  <c:v>11.59753811111111</c:v>
                </c:pt>
                <c:pt idx="2">
                  <c:v>10.213637828947451</c:v>
                </c:pt>
                <c:pt idx="3">
                  <c:v>30.901929526066329</c:v>
                </c:pt>
                <c:pt idx="4">
                  <c:v>14.962237874015839</c:v>
                </c:pt>
              </c:numCache>
            </c:numRef>
          </c:val>
        </c:ser>
        <c:ser>
          <c:idx val="1"/>
          <c:order val="1"/>
          <c:tx>
            <c:strRef>
              <c:f>Grafiki_udeni!$C$137</c:f>
              <c:strCache>
                <c:ptCount val="1"/>
                <c:pt idx="0">
                  <c:v>Aglomerācijas ar CE &gt; 2000</c:v>
                </c:pt>
              </c:strCache>
            </c:strRef>
          </c:tx>
          <c:marker>
            <c:symbol val="none"/>
          </c:marker>
          <c:dLbls>
            <c:dLbl>
              <c:idx val="0"/>
              <c:layout>
                <c:manualLayout>
                  <c:x val="-3.8888888888888903E-2"/>
                  <c:y val="-2.1447721179624971E-2"/>
                </c:manualLayout>
              </c:layout>
              <c:showVal val="1"/>
            </c:dLbl>
            <c:dLbl>
              <c:idx val="1"/>
              <c:layout>
                <c:manualLayout>
                  <c:x val="-2.7777777777778269E-2"/>
                  <c:y val="-3.2171581769436998E-2"/>
                </c:manualLayout>
              </c:layout>
              <c:showVal val="1"/>
            </c:dLbl>
            <c:dLbl>
              <c:idx val="2"/>
              <c:layout>
                <c:manualLayout>
                  <c:x val="-2.500000000000005E-2"/>
                  <c:y val="-3.9320822162645222E-2"/>
                </c:manualLayout>
              </c:layout>
              <c:showVal val="1"/>
            </c:dLbl>
            <c:dLbl>
              <c:idx val="3"/>
              <c:layout>
                <c:manualLayout>
                  <c:x val="-3.333333333333334E-2"/>
                  <c:y val="-3.9320822162645222E-2"/>
                </c:manualLayout>
              </c:layout>
              <c:showVal val="1"/>
            </c:dLbl>
            <c:dLbl>
              <c:idx val="4"/>
              <c:layout>
                <c:manualLayout>
                  <c:x val="-3.6111111111111212E-2"/>
                  <c:y val="3.2171581769436998E-2"/>
                </c:manualLayout>
              </c:layout>
              <c:showVal val="1"/>
            </c:dLbl>
            <c:showVal val="1"/>
          </c:dLbls>
          <c:cat>
            <c:strRef>
              <c:f>Grafiki_udeni!$A$138:$A$142</c:f>
              <c:strCache>
                <c:ptCount val="5"/>
                <c:pt idx="0">
                  <c:v>Rīgas PR</c:v>
                </c:pt>
                <c:pt idx="1">
                  <c:v>Kurzemes PR</c:v>
                </c:pt>
                <c:pt idx="2">
                  <c:v>Latgales PR</c:v>
                </c:pt>
                <c:pt idx="3">
                  <c:v>Vidzemes PR</c:v>
                </c:pt>
                <c:pt idx="4">
                  <c:v>Zemgales PR</c:v>
                </c:pt>
              </c:strCache>
            </c:strRef>
          </c:cat>
          <c:val>
            <c:numRef>
              <c:f>Grafiki_udeni!$C$138:$C$142</c:f>
              <c:numCache>
                <c:formatCode>0</c:formatCode>
                <c:ptCount val="5"/>
                <c:pt idx="0">
                  <c:v>10.321128252427185</c:v>
                </c:pt>
                <c:pt idx="1">
                  <c:v>18.077881481481658</c:v>
                </c:pt>
                <c:pt idx="2">
                  <c:v>13.83839473684211</c:v>
                </c:pt>
                <c:pt idx="3">
                  <c:v>14.905270142180097</c:v>
                </c:pt>
                <c:pt idx="4">
                  <c:v>13.512258897637794</c:v>
                </c:pt>
              </c:numCache>
            </c:numRef>
          </c:val>
        </c:ser>
        <c:ser>
          <c:idx val="2"/>
          <c:order val="2"/>
          <c:tx>
            <c:strRef>
              <c:f>Grafiki_udeni!$D$137</c:f>
              <c:strCache>
                <c:ptCount val="1"/>
                <c:pt idx="0">
                  <c:v>Kopā</c:v>
                </c:pt>
              </c:strCache>
            </c:strRef>
          </c:tx>
          <c:marker>
            <c:symbol val="none"/>
          </c:marker>
          <c:dLbls>
            <c:dLbl>
              <c:idx val="0"/>
              <c:layout>
                <c:manualLayout>
                  <c:x val="-5.5555555555555455E-2"/>
                  <c:y val="-4.2895442359249414E-2"/>
                </c:manualLayout>
              </c:layout>
              <c:showVal val="1"/>
            </c:dLbl>
            <c:dLbl>
              <c:idx val="1"/>
              <c:layout>
                <c:manualLayout>
                  <c:x val="-4.1666666666666664E-2"/>
                  <c:y val="-2.5022341376228791E-2"/>
                </c:manualLayout>
              </c:layout>
              <c:showVal val="1"/>
            </c:dLbl>
            <c:dLbl>
              <c:idx val="2"/>
              <c:layout>
                <c:manualLayout>
                  <c:x val="-4.166666666666672E-2"/>
                  <c:y val="-7.1492403932083004E-2"/>
                </c:manualLayout>
              </c:layout>
              <c:showVal val="1"/>
            </c:dLbl>
            <c:dLbl>
              <c:idx val="3"/>
              <c:layout>
                <c:manualLayout>
                  <c:x val="-3.6111111111111212E-2"/>
                  <c:y val="-2.5022341376228791E-2"/>
                </c:manualLayout>
              </c:layout>
              <c:showVal val="1"/>
            </c:dLbl>
            <c:dLbl>
              <c:idx val="4"/>
              <c:layout>
                <c:manualLayout>
                  <c:x val="-1.6666666666666701E-2"/>
                  <c:y val="-5.0044682752457555E-2"/>
                </c:manualLayout>
              </c:layout>
              <c:showVal val="1"/>
            </c:dLbl>
            <c:showVal val="1"/>
          </c:dLbls>
          <c:cat>
            <c:strRef>
              <c:f>Grafiki_udeni!$A$138:$A$142</c:f>
              <c:strCache>
                <c:ptCount val="5"/>
                <c:pt idx="0">
                  <c:v>Rīgas PR</c:v>
                </c:pt>
                <c:pt idx="1">
                  <c:v>Kurzemes PR</c:v>
                </c:pt>
                <c:pt idx="2">
                  <c:v>Latgales PR</c:v>
                </c:pt>
                <c:pt idx="3">
                  <c:v>Vidzemes PR</c:v>
                </c:pt>
                <c:pt idx="4">
                  <c:v>Zemgales PR</c:v>
                </c:pt>
              </c:strCache>
            </c:strRef>
          </c:cat>
          <c:val>
            <c:numRef>
              <c:f>Grafiki_udeni!$D$138:$D$142</c:f>
              <c:numCache>
                <c:formatCode>0</c:formatCode>
                <c:ptCount val="5"/>
                <c:pt idx="0">
                  <c:v>13.796761572815518</c:v>
                </c:pt>
                <c:pt idx="1">
                  <c:v>29.675419592592586</c:v>
                </c:pt>
                <c:pt idx="2">
                  <c:v>24.05203256578929</c:v>
                </c:pt>
                <c:pt idx="3">
                  <c:v>45.807199668245914</c:v>
                </c:pt>
                <c:pt idx="4">
                  <c:v>28.474496771653527</c:v>
                </c:pt>
              </c:numCache>
            </c:numRef>
          </c:val>
        </c:ser>
        <c:marker val="1"/>
        <c:axId val="100440320"/>
        <c:axId val="100462592"/>
      </c:lineChart>
      <c:catAx>
        <c:axId val="100440320"/>
        <c:scaling>
          <c:orientation val="minMax"/>
        </c:scaling>
        <c:axPos val="b"/>
        <c:tickLblPos val="nextTo"/>
        <c:crossAx val="100462592"/>
        <c:crosses val="autoZero"/>
        <c:auto val="1"/>
        <c:lblAlgn val="ctr"/>
        <c:lblOffset val="100"/>
      </c:catAx>
      <c:valAx>
        <c:axId val="100462592"/>
        <c:scaling>
          <c:orientation val="minMax"/>
        </c:scaling>
        <c:axPos val="l"/>
        <c:majorGridlines/>
        <c:numFmt formatCode="0" sourceLinked="1"/>
        <c:tickLblPos val="nextTo"/>
        <c:crossAx val="100440320"/>
        <c:crosses val="autoZero"/>
        <c:crossBetween val="between"/>
      </c:valAx>
    </c:plotArea>
    <c:legend>
      <c:legendPos val="r"/>
      <c:layout>
        <c:manualLayout>
          <c:xMode val="edge"/>
          <c:yMode val="edge"/>
          <c:x val="0.77222222222222225"/>
          <c:y val="6.6062077360973304E-2"/>
          <c:w val="0.22500000000000001"/>
          <c:h val="0.87502480420511275"/>
        </c:manualLayout>
      </c:layout>
      <c:spPr>
        <a:ln>
          <a:noFill/>
        </a:ln>
      </c:spPr>
    </c:legend>
    <c:plotVisOnly val="1"/>
  </c:chart>
  <c:spPr>
    <a:ln>
      <a:noFill/>
    </a:ln>
  </c:spPr>
  <c:txPr>
    <a:bodyPr/>
    <a:lstStyle/>
    <a:p>
      <a:pPr>
        <a:defRPr sz="900" baseline="0">
          <a:latin typeface="Times New Roman" pitchFamily="18" charset="0"/>
        </a:defRPr>
      </a:pPr>
      <a:endParaRPr lang="lv-LV"/>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C16A2A-F689-4783-BCA9-CCE559D528CB}" type="doc">
      <dgm:prSet loTypeId="urn:microsoft.com/office/officeart/2005/8/layout/venn2" loCatId="relationship" qsTypeId="urn:microsoft.com/office/officeart/2005/8/quickstyle/3d4" qsCatId="3D" csTypeId="urn:microsoft.com/office/officeart/2005/8/colors/accent1_2" csCatId="accent1" phldr="1"/>
      <dgm:spPr/>
      <dgm:t>
        <a:bodyPr/>
        <a:lstStyle/>
        <a:p>
          <a:endParaRPr lang="lv-LV"/>
        </a:p>
      </dgm:t>
    </dgm:pt>
    <dgm:pt modelId="{758C1A01-F146-407C-868F-1904EAFC6ED2}">
      <dgm:prSet phldrT="[Text]" custT="1"/>
      <dgm:spPr/>
      <dgm:t>
        <a:bodyPr/>
        <a:lstStyle/>
        <a:p>
          <a:pPr algn="ctr"/>
          <a:r>
            <a:rPr lang="lv-LV" sz="900">
              <a:solidFill>
                <a:sysClr val="windowText" lastClr="000000"/>
              </a:solidFill>
              <a:latin typeface="Times New Roman" pitchFamily="18" charset="0"/>
              <a:cs typeface="Times New Roman" pitchFamily="18" charset="0"/>
            </a:rPr>
            <a:t>Projektu īstenotāju projektu finansēšanai izmantotie līdzekļi  - </a:t>
          </a:r>
          <a:r>
            <a:rPr lang="lv-LV" sz="900" b="1">
              <a:solidFill>
                <a:sysClr val="windowText" lastClr="000000"/>
              </a:solidFill>
              <a:latin typeface="Times New Roman" pitchFamily="18" charset="0"/>
              <a:cs typeface="Times New Roman" pitchFamily="18" charset="0"/>
            </a:rPr>
            <a:t>10,</a:t>
          </a:r>
          <a:r>
            <a:rPr lang="en-US" sz="900" b="1">
              <a:solidFill>
                <a:sysClr val="windowText" lastClr="000000"/>
              </a:solidFill>
              <a:latin typeface="Times New Roman" pitchFamily="18" charset="0"/>
              <a:cs typeface="Times New Roman" pitchFamily="18" charset="0"/>
            </a:rPr>
            <a:t>7</a:t>
          </a:r>
          <a:r>
            <a:rPr lang="lv-LV" sz="900" b="1">
              <a:solidFill>
                <a:sysClr val="windowText" lastClr="000000"/>
              </a:solidFill>
              <a:latin typeface="Times New Roman" pitchFamily="18" charset="0"/>
              <a:cs typeface="Times New Roman" pitchFamily="18" charset="0"/>
            </a:rPr>
            <a:t>8 milj. latu</a:t>
          </a:r>
        </a:p>
      </dgm:t>
    </dgm:pt>
    <dgm:pt modelId="{7E6B265D-ADC0-45FA-86C1-216087D5244E}" type="parTrans" cxnId="{83D65041-D320-4F52-8BB6-E1C64A213CB1}">
      <dgm:prSet/>
      <dgm:spPr/>
      <dgm:t>
        <a:bodyPr/>
        <a:lstStyle/>
        <a:p>
          <a:pPr algn="ctr"/>
          <a:endParaRPr lang="lv-LV" sz="900"/>
        </a:p>
      </dgm:t>
    </dgm:pt>
    <dgm:pt modelId="{A2595643-AF03-437E-8258-1B81F7BA3AFA}" type="sibTrans" cxnId="{83D65041-D320-4F52-8BB6-E1C64A213CB1}">
      <dgm:prSet/>
      <dgm:spPr/>
      <dgm:t>
        <a:bodyPr/>
        <a:lstStyle/>
        <a:p>
          <a:pPr algn="ctr"/>
          <a:endParaRPr lang="lv-LV" sz="900"/>
        </a:p>
      </dgm:t>
    </dgm:pt>
    <dgm:pt modelId="{82B10B0D-FD18-4243-9620-0486F282A727}">
      <dgm:prSet custT="1"/>
      <dgm:spPr/>
      <dgm:t>
        <a:bodyPr/>
        <a:lstStyle/>
        <a:p>
          <a:pPr algn="ctr"/>
          <a:r>
            <a:rPr lang="lv-LV" sz="900" baseline="0">
              <a:solidFill>
                <a:sysClr val="windowText" lastClr="000000"/>
              </a:solidFill>
              <a:latin typeface="Times New Roman" pitchFamily="18" charset="0"/>
            </a:rPr>
            <a:t>Ārvalstu finanšu palīdzība, t.sk. ES fondu līdzfinansējums -  </a:t>
          </a:r>
          <a:r>
            <a:rPr lang="lv-LV" sz="900" b="1" baseline="0">
              <a:solidFill>
                <a:sysClr val="windowText" lastClr="000000"/>
              </a:solidFill>
              <a:latin typeface="Times New Roman" pitchFamily="18" charset="0"/>
            </a:rPr>
            <a:t>74,2</a:t>
          </a:r>
          <a:r>
            <a:rPr lang="en-US" sz="900" b="1" baseline="0">
              <a:solidFill>
                <a:sysClr val="windowText" lastClr="000000"/>
              </a:solidFill>
              <a:latin typeface="Times New Roman" pitchFamily="18" charset="0"/>
            </a:rPr>
            <a:t>3</a:t>
          </a:r>
          <a:r>
            <a:rPr lang="lv-LV" sz="900" b="1" baseline="0">
              <a:solidFill>
                <a:sysClr val="windowText" lastClr="000000"/>
              </a:solidFill>
              <a:latin typeface="Times New Roman" pitchFamily="18" charset="0"/>
            </a:rPr>
            <a:t> milj. latu</a:t>
          </a:r>
        </a:p>
      </dgm:t>
    </dgm:pt>
    <dgm:pt modelId="{F89A1250-DEDF-44E8-A72C-DB961ACB1E39}" type="parTrans" cxnId="{1BEA497F-4B3D-4BEC-997F-5941CC624BF2}">
      <dgm:prSet/>
      <dgm:spPr/>
      <dgm:t>
        <a:bodyPr/>
        <a:lstStyle/>
        <a:p>
          <a:pPr algn="ctr"/>
          <a:endParaRPr lang="lv-LV" sz="900"/>
        </a:p>
      </dgm:t>
    </dgm:pt>
    <dgm:pt modelId="{ABD2F7B6-77F5-4720-BAEB-C19DDB3BD526}" type="sibTrans" cxnId="{1BEA497F-4B3D-4BEC-997F-5941CC624BF2}">
      <dgm:prSet/>
      <dgm:spPr/>
      <dgm:t>
        <a:bodyPr/>
        <a:lstStyle/>
        <a:p>
          <a:pPr algn="ctr"/>
          <a:endParaRPr lang="lv-LV" sz="900"/>
        </a:p>
      </dgm:t>
    </dgm:pt>
    <dgm:pt modelId="{B4C544E9-5103-4CF3-8F3B-59E23F70268F}">
      <dgm:prSet custT="1"/>
      <dgm:spPr/>
      <dgm:t>
        <a:bodyPr/>
        <a:lstStyle/>
        <a:p>
          <a:pPr algn="ctr"/>
          <a:r>
            <a:rPr lang="lv-LV" sz="900">
              <a:solidFill>
                <a:sysClr val="windowText" lastClr="000000"/>
              </a:solidFill>
              <a:latin typeface="Times New Roman" pitchFamily="18" charset="0"/>
              <a:cs typeface="Times New Roman" pitchFamily="18" charset="0"/>
            </a:rPr>
            <a:t>Valsts budžets </a:t>
          </a:r>
          <a:r>
            <a:rPr lang="lv-LV" sz="900" b="1">
              <a:solidFill>
                <a:sysClr val="windowText" lastClr="000000"/>
              </a:solidFill>
              <a:latin typeface="Times New Roman" pitchFamily="18" charset="0"/>
              <a:cs typeface="Times New Roman" pitchFamily="18" charset="0"/>
            </a:rPr>
            <a:t>- </a:t>
          </a:r>
        </a:p>
        <a:p>
          <a:pPr algn="ctr"/>
          <a:r>
            <a:rPr lang="lv-LV" sz="900" b="1">
              <a:solidFill>
                <a:sysClr val="windowText" lastClr="000000"/>
              </a:solidFill>
              <a:latin typeface="Times New Roman" pitchFamily="18" charset="0"/>
              <a:cs typeface="Times New Roman" pitchFamily="18" charset="0"/>
            </a:rPr>
            <a:t>1,35 milj. latu</a:t>
          </a:r>
        </a:p>
      </dgm:t>
    </dgm:pt>
    <dgm:pt modelId="{2C27E412-72BB-424E-A222-E6F0AD1C8AB2}" type="parTrans" cxnId="{3CD329C9-4965-4BC4-A6B8-7EDC20612318}">
      <dgm:prSet/>
      <dgm:spPr/>
      <dgm:t>
        <a:bodyPr/>
        <a:lstStyle/>
        <a:p>
          <a:pPr algn="ctr"/>
          <a:endParaRPr lang="lv-LV" sz="900"/>
        </a:p>
      </dgm:t>
    </dgm:pt>
    <dgm:pt modelId="{0D93ECBF-DE2B-4CED-A8DF-1A73A6564EC2}" type="sibTrans" cxnId="{3CD329C9-4965-4BC4-A6B8-7EDC20612318}">
      <dgm:prSet/>
      <dgm:spPr/>
      <dgm:t>
        <a:bodyPr/>
        <a:lstStyle/>
        <a:p>
          <a:pPr algn="ctr"/>
          <a:endParaRPr lang="lv-LV" sz="900"/>
        </a:p>
      </dgm:t>
    </dgm:pt>
    <dgm:pt modelId="{85B381D6-93C6-46E4-A695-B6A9842D7D6F}" type="pres">
      <dgm:prSet presAssocID="{4FC16A2A-F689-4783-BCA9-CCE559D528CB}" presName="Name0" presStyleCnt="0">
        <dgm:presLayoutVars>
          <dgm:chMax val="7"/>
          <dgm:resizeHandles val="exact"/>
        </dgm:presLayoutVars>
      </dgm:prSet>
      <dgm:spPr/>
      <dgm:t>
        <a:bodyPr/>
        <a:lstStyle/>
        <a:p>
          <a:endParaRPr lang="lv-LV"/>
        </a:p>
      </dgm:t>
    </dgm:pt>
    <dgm:pt modelId="{444C23DE-7698-4474-8E4C-05DC58C63242}" type="pres">
      <dgm:prSet presAssocID="{4FC16A2A-F689-4783-BCA9-CCE559D528CB}" presName="comp1" presStyleCnt="0"/>
      <dgm:spPr/>
    </dgm:pt>
    <dgm:pt modelId="{8F96CDB2-A5AD-46AF-92E7-237EC4FB6837}" type="pres">
      <dgm:prSet presAssocID="{4FC16A2A-F689-4783-BCA9-CCE559D528CB}" presName="circle1" presStyleLbl="node1" presStyleIdx="0" presStyleCnt="3" custScaleX="108108"/>
      <dgm:spPr/>
      <dgm:t>
        <a:bodyPr/>
        <a:lstStyle/>
        <a:p>
          <a:endParaRPr lang="lv-LV"/>
        </a:p>
      </dgm:t>
    </dgm:pt>
    <dgm:pt modelId="{51513E09-D547-4281-BEBC-CE35597EB425}" type="pres">
      <dgm:prSet presAssocID="{4FC16A2A-F689-4783-BCA9-CCE559D528CB}" presName="c1text" presStyleLbl="node1" presStyleIdx="0" presStyleCnt="3">
        <dgm:presLayoutVars>
          <dgm:bulletEnabled val="1"/>
        </dgm:presLayoutVars>
      </dgm:prSet>
      <dgm:spPr/>
      <dgm:t>
        <a:bodyPr/>
        <a:lstStyle/>
        <a:p>
          <a:endParaRPr lang="lv-LV"/>
        </a:p>
      </dgm:t>
    </dgm:pt>
    <dgm:pt modelId="{842BBBD6-710D-46EB-953A-E2E697A55B31}" type="pres">
      <dgm:prSet presAssocID="{4FC16A2A-F689-4783-BCA9-CCE559D528CB}" presName="comp2" presStyleCnt="0"/>
      <dgm:spPr/>
    </dgm:pt>
    <dgm:pt modelId="{9A6B6185-4617-4D61-89B5-9E562C85EF15}" type="pres">
      <dgm:prSet presAssocID="{4FC16A2A-F689-4783-BCA9-CCE559D528CB}" presName="circle2" presStyleLbl="node1" presStyleIdx="1" presStyleCnt="3"/>
      <dgm:spPr/>
      <dgm:t>
        <a:bodyPr/>
        <a:lstStyle/>
        <a:p>
          <a:endParaRPr lang="lv-LV"/>
        </a:p>
      </dgm:t>
    </dgm:pt>
    <dgm:pt modelId="{239F8673-26D4-4A21-8879-13861A86C216}" type="pres">
      <dgm:prSet presAssocID="{4FC16A2A-F689-4783-BCA9-CCE559D528CB}" presName="c2text" presStyleLbl="node1" presStyleIdx="1" presStyleCnt="3">
        <dgm:presLayoutVars>
          <dgm:bulletEnabled val="1"/>
        </dgm:presLayoutVars>
      </dgm:prSet>
      <dgm:spPr/>
      <dgm:t>
        <a:bodyPr/>
        <a:lstStyle/>
        <a:p>
          <a:endParaRPr lang="lv-LV"/>
        </a:p>
      </dgm:t>
    </dgm:pt>
    <dgm:pt modelId="{2E2B2BE8-ACA8-416B-855D-20F5E728B151}" type="pres">
      <dgm:prSet presAssocID="{4FC16A2A-F689-4783-BCA9-CCE559D528CB}" presName="comp3" presStyleCnt="0"/>
      <dgm:spPr/>
    </dgm:pt>
    <dgm:pt modelId="{6C040218-D5FB-4FC0-B2CD-473B1AA9A3B1}" type="pres">
      <dgm:prSet presAssocID="{4FC16A2A-F689-4783-BCA9-CCE559D528CB}" presName="circle3" presStyleLbl="node1" presStyleIdx="2" presStyleCnt="3"/>
      <dgm:spPr/>
      <dgm:t>
        <a:bodyPr/>
        <a:lstStyle/>
        <a:p>
          <a:endParaRPr lang="lv-LV"/>
        </a:p>
      </dgm:t>
    </dgm:pt>
    <dgm:pt modelId="{E383F58D-1A21-4D3E-9446-AC3A5CBAE5F0}" type="pres">
      <dgm:prSet presAssocID="{4FC16A2A-F689-4783-BCA9-CCE559D528CB}" presName="c3text" presStyleLbl="node1" presStyleIdx="2" presStyleCnt="3">
        <dgm:presLayoutVars>
          <dgm:bulletEnabled val="1"/>
        </dgm:presLayoutVars>
      </dgm:prSet>
      <dgm:spPr/>
      <dgm:t>
        <a:bodyPr/>
        <a:lstStyle/>
        <a:p>
          <a:endParaRPr lang="lv-LV"/>
        </a:p>
      </dgm:t>
    </dgm:pt>
  </dgm:ptLst>
  <dgm:cxnLst>
    <dgm:cxn modelId="{3CD329C9-4965-4BC4-A6B8-7EDC20612318}" srcId="{4FC16A2A-F689-4783-BCA9-CCE559D528CB}" destId="{B4C544E9-5103-4CF3-8F3B-59E23F70268F}" srcOrd="2" destOrd="0" parTransId="{2C27E412-72BB-424E-A222-E6F0AD1C8AB2}" sibTransId="{0D93ECBF-DE2B-4CED-A8DF-1A73A6564EC2}"/>
    <dgm:cxn modelId="{599989B7-EC61-465A-AC27-B955861756A9}" type="presOf" srcId="{82B10B0D-FD18-4243-9620-0486F282A727}" destId="{51513E09-D547-4281-BEBC-CE35597EB425}" srcOrd="1" destOrd="0" presId="urn:microsoft.com/office/officeart/2005/8/layout/venn2"/>
    <dgm:cxn modelId="{1BEA497F-4B3D-4BEC-997F-5941CC624BF2}" srcId="{4FC16A2A-F689-4783-BCA9-CCE559D528CB}" destId="{82B10B0D-FD18-4243-9620-0486F282A727}" srcOrd="0" destOrd="0" parTransId="{F89A1250-DEDF-44E8-A72C-DB961ACB1E39}" sibTransId="{ABD2F7B6-77F5-4720-BAEB-C19DDB3BD526}"/>
    <dgm:cxn modelId="{30B71624-663A-425A-BFC2-613151B93437}" type="presOf" srcId="{82B10B0D-FD18-4243-9620-0486F282A727}" destId="{8F96CDB2-A5AD-46AF-92E7-237EC4FB6837}" srcOrd="0" destOrd="0" presId="urn:microsoft.com/office/officeart/2005/8/layout/venn2"/>
    <dgm:cxn modelId="{6CE6AC33-C562-4DDD-B000-C34BA3FCFEF3}" type="presOf" srcId="{758C1A01-F146-407C-868F-1904EAFC6ED2}" destId="{9A6B6185-4617-4D61-89B5-9E562C85EF15}" srcOrd="0" destOrd="0" presId="urn:microsoft.com/office/officeart/2005/8/layout/venn2"/>
    <dgm:cxn modelId="{283E95E7-4081-41D3-B5D1-BEC3E5A1C24A}" type="presOf" srcId="{758C1A01-F146-407C-868F-1904EAFC6ED2}" destId="{239F8673-26D4-4A21-8879-13861A86C216}" srcOrd="1" destOrd="0" presId="urn:microsoft.com/office/officeart/2005/8/layout/venn2"/>
    <dgm:cxn modelId="{DD3163A6-E44C-428F-BA87-335416CA0CC8}" type="presOf" srcId="{B4C544E9-5103-4CF3-8F3B-59E23F70268F}" destId="{6C040218-D5FB-4FC0-B2CD-473B1AA9A3B1}" srcOrd="0" destOrd="0" presId="urn:microsoft.com/office/officeart/2005/8/layout/venn2"/>
    <dgm:cxn modelId="{83D65041-D320-4F52-8BB6-E1C64A213CB1}" srcId="{4FC16A2A-F689-4783-BCA9-CCE559D528CB}" destId="{758C1A01-F146-407C-868F-1904EAFC6ED2}" srcOrd="1" destOrd="0" parTransId="{7E6B265D-ADC0-45FA-86C1-216087D5244E}" sibTransId="{A2595643-AF03-437E-8258-1B81F7BA3AFA}"/>
    <dgm:cxn modelId="{FF543DB0-6FCE-401F-9100-F9817F79AD2E}" type="presOf" srcId="{B4C544E9-5103-4CF3-8F3B-59E23F70268F}" destId="{E383F58D-1A21-4D3E-9446-AC3A5CBAE5F0}" srcOrd="1" destOrd="0" presId="urn:microsoft.com/office/officeart/2005/8/layout/venn2"/>
    <dgm:cxn modelId="{1FA47198-F3C8-4FA3-972D-DD889BB76A00}" type="presOf" srcId="{4FC16A2A-F689-4783-BCA9-CCE559D528CB}" destId="{85B381D6-93C6-46E4-A695-B6A9842D7D6F}" srcOrd="0" destOrd="0" presId="urn:microsoft.com/office/officeart/2005/8/layout/venn2"/>
    <dgm:cxn modelId="{08BE454F-9382-48EA-976D-8DBEA50D6D22}" type="presParOf" srcId="{85B381D6-93C6-46E4-A695-B6A9842D7D6F}" destId="{444C23DE-7698-4474-8E4C-05DC58C63242}" srcOrd="0" destOrd="0" presId="urn:microsoft.com/office/officeart/2005/8/layout/venn2"/>
    <dgm:cxn modelId="{90CBB938-5F9E-43EE-8DC5-E4F84A538107}" type="presParOf" srcId="{444C23DE-7698-4474-8E4C-05DC58C63242}" destId="{8F96CDB2-A5AD-46AF-92E7-237EC4FB6837}" srcOrd="0" destOrd="0" presId="urn:microsoft.com/office/officeart/2005/8/layout/venn2"/>
    <dgm:cxn modelId="{1B746C74-D1D4-4C50-BDB4-B3F52492B857}" type="presParOf" srcId="{444C23DE-7698-4474-8E4C-05DC58C63242}" destId="{51513E09-D547-4281-BEBC-CE35597EB425}" srcOrd="1" destOrd="0" presId="urn:microsoft.com/office/officeart/2005/8/layout/venn2"/>
    <dgm:cxn modelId="{4F0A1BC4-9352-4A27-9379-560560C49DBF}" type="presParOf" srcId="{85B381D6-93C6-46E4-A695-B6A9842D7D6F}" destId="{842BBBD6-710D-46EB-953A-E2E697A55B31}" srcOrd="1" destOrd="0" presId="urn:microsoft.com/office/officeart/2005/8/layout/venn2"/>
    <dgm:cxn modelId="{F1FB73FA-8952-43D9-A7ED-90DC47B8CADF}" type="presParOf" srcId="{842BBBD6-710D-46EB-953A-E2E697A55B31}" destId="{9A6B6185-4617-4D61-89B5-9E562C85EF15}" srcOrd="0" destOrd="0" presId="urn:microsoft.com/office/officeart/2005/8/layout/venn2"/>
    <dgm:cxn modelId="{C2BD9100-6039-4FD7-AB93-284912B799AE}" type="presParOf" srcId="{842BBBD6-710D-46EB-953A-E2E697A55B31}" destId="{239F8673-26D4-4A21-8879-13861A86C216}" srcOrd="1" destOrd="0" presId="urn:microsoft.com/office/officeart/2005/8/layout/venn2"/>
    <dgm:cxn modelId="{2B3FFFA3-0E21-45E3-9847-C3F1137A298F}" type="presParOf" srcId="{85B381D6-93C6-46E4-A695-B6A9842D7D6F}" destId="{2E2B2BE8-ACA8-416B-855D-20F5E728B151}" srcOrd="2" destOrd="0" presId="urn:microsoft.com/office/officeart/2005/8/layout/venn2"/>
    <dgm:cxn modelId="{C08B7350-D1A9-4FF9-905C-9595F9C23AFD}" type="presParOf" srcId="{2E2B2BE8-ACA8-416B-855D-20F5E728B151}" destId="{6C040218-D5FB-4FC0-B2CD-473B1AA9A3B1}" srcOrd="0" destOrd="0" presId="urn:microsoft.com/office/officeart/2005/8/layout/venn2"/>
    <dgm:cxn modelId="{96A0B6DB-0FD1-4822-A0F0-46E4C3000FB4}" type="presParOf" srcId="{2E2B2BE8-ACA8-416B-855D-20F5E728B151}" destId="{E383F58D-1A21-4D3E-9446-AC3A5CBAE5F0}" srcOrd="1" destOrd="0" presId="urn:microsoft.com/office/officeart/2005/8/layout/venn2"/>
  </dgm:cxnLst>
  <dgm:bg/>
  <dgm:whole/>
  <dgm:extLst>
    <a:ext uri="http://schemas.microsoft.com/office/drawing/2008/diagram">
      <dsp:dataModelExt xmlns:dsp="http://schemas.microsoft.com/office/drawing/2008/diagram" xmlns=""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E4A81C7-18D9-4798-B2C7-4A9F95246F66}" type="doc">
      <dgm:prSet loTypeId="urn:microsoft.com/office/officeart/2005/8/layout/funnel1" loCatId="process" qsTypeId="urn:microsoft.com/office/officeart/2005/8/quickstyle/3d1" qsCatId="3D" csTypeId="urn:microsoft.com/office/officeart/2005/8/colors/accent1_5" csCatId="accent1" phldr="1"/>
      <dgm:spPr/>
      <dgm:t>
        <a:bodyPr/>
        <a:lstStyle/>
        <a:p>
          <a:endParaRPr lang="lv-LV"/>
        </a:p>
      </dgm:t>
    </dgm:pt>
    <dgm:pt modelId="{ADDA70CA-D3F6-434B-88CA-CBE3E6832F30}">
      <dgm:prSet phldrT="[Text]" custT="1"/>
      <dgm:spPr/>
      <dgm:t>
        <a:bodyPr/>
        <a:lstStyle/>
        <a:p>
          <a:r>
            <a:rPr lang="lv-LV" sz="1000" b="1">
              <a:solidFill>
                <a:sysClr val="windowText" lastClr="000000"/>
              </a:solidFill>
              <a:latin typeface="Times New Roman" pitchFamily="18" charset="0"/>
              <a:cs typeface="Times New Roman" pitchFamily="18" charset="0"/>
            </a:rPr>
            <a:t>KPFI</a:t>
          </a:r>
          <a:r>
            <a:rPr lang="lv-LV" sz="1000" b="0">
              <a:solidFill>
                <a:sysClr val="windowText" lastClr="000000"/>
              </a:solidFill>
              <a:latin typeface="Times New Roman" pitchFamily="18" charset="0"/>
              <a:cs typeface="Times New Roman" pitchFamily="18" charset="0"/>
            </a:rPr>
            <a:t> - 21,13 milj. latu</a:t>
          </a:r>
        </a:p>
        <a:p>
          <a:r>
            <a:rPr lang="lv-LV" sz="1000" b="1">
              <a:solidFill>
                <a:sysClr val="windowText" lastClr="000000"/>
              </a:solidFill>
              <a:latin typeface="Times New Roman" pitchFamily="18" charset="0"/>
              <a:cs typeface="Times New Roman" pitchFamily="18" charset="0"/>
            </a:rPr>
            <a:t>LIFE+</a:t>
          </a:r>
          <a:r>
            <a:rPr lang="lv-LV" sz="1000" b="0">
              <a:solidFill>
                <a:sysClr val="windowText" lastClr="000000"/>
              </a:solidFill>
              <a:latin typeface="Times New Roman" pitchFamily="18" charset="0"/>
              <a:cs typeface="Times New Roman" pitchFamily="18" charset="0"/>
            </a:rPr>
            <a:t> - 0,85 milj. latu</a:t>
          </a:r>
        </a:p>
      </dgm:t>
    </dgm:pt>
    <dgm:pt modelId="{08E9BD66-0731-4A66-8111-D27315EB4716}" type="parTrans" cxnId="{88604BF4-F2D8-4263-BCEE-8AEA0175FF87}">
      <dgm:prSet/>
      <dgm:spPr/>
      <dgm:t>
        <a:bodyPr/>
        <a:lstStyle/>
        <a:p>
          <a:endParaRPr lang="lv-LV"/>
        </a:p>
      </dgm:t>
    </dgm:pt>
    <dgm:pt modelId="{FC2BE9CF-3A14-4392-B1FE-ECF4B7C1C8DC}" type="sibTrans" cxnId="{88604BF4-F2D8-4263-BCEE-8AEA0175FF87}">
      <dgm:prSet/>
      <dgm:spPr/>
      <dgm:t>
        <a:bodyPr/>
        <a:lstStyle/>
        <a:p>
          <a:endParaRPr lang="lv-LV"/>
        </a:p>
      </dgm:t>
    </dgm:pt>
    <dgm:pt modelId="{D71AE5D5-7404-4438-89F0-4394FA09C647}">
      <dgm:prSet phldrT="[Text]" custT="1"/>
      <dgm:spPr/>
      <dgm:t>
        <a:bodyPr/>
        <a:lstStyle/>
        <a:p>
          <a:r>
            <a:rPr lang="lv-LV" sz="1000" b="1">
              <a:solidFill>
                <a:sysClr val="windowText" lastClr="000000"/>
              </a:solidFill>
              <a:latin typeface="Times New Roman" pitchFamily="18" charset="0"/>
              <a:cs typeface="Times New Roman" pitchFamily="18" charset="0"/>
            </a:rPr>
            <a:t>KF - </a:t>
          </a:r>
          <a:r>
            <a:rPr lang="lv-LV" sz="1000" b="0">
              <a:solidFill>
                <a:sysClr val="windowText" lastClr="000000"/>
              </a:solidFill>
              <a:latin typeface="Times New Roman" pitchFamily="18" charset="0"/>
              <a:cs typeface="Times New Roman" pitchFamily="18" charset="0"/>
            </a:rPr>
            <a:t>31,1</a:t>
          </a:r>
          <a:r>
            <a:rPr lang="en-US" sz="1000" b="0">
              <a:solidFill>
                <a:sysClr val="windowText" lastClr="000000"/>
              </a:solidFill>
              <a:latin typeface="Times New Roman" pitchFamily="18" charset="0"/>
              <a:cs typeface="Times New Roman" pitchFamily="18" charset="0"/>
            </a:rPr>
            <a:t>2</a:t>
          </a:r>
          <a:r>
            <a:rPr lang="lv-LV" sz="1000" b="0">
              <a:solidFill>
                <a:sysClr val="windowText" lastClr="000000"/>
              </a:solidFill>
              <a:latin typeface="Times New Roman" pitchFamily="18" charset="0"/>
              <a:cs typeface="Times New Roman" pitchFamily="18" charset="0"/>
            </a:rPr>
            <a:t> milj. latu</a:t>
          </a:r>
        </a:p>
        <a:p>
          <a:r>
            <a:rPr lang="lv-LV" sz="1000" b="1">
              <a:solidFill>
                <a:sysClr val="windowText" lastClr="000000"/>
              </a:solidFill>
              <a:latin typeface="Times New Roman" pitchFamily="18" charset="0"/>
              <a:cs typeface="Times New Roman" pitchFamily="18" charset="0"/>
            </a:rPr>
            <a:t>ERAF</a:t>
          </a:r>
          <a:r>
            <a:rPr lang="lv-LV" sz="1000" b="0">
              <a:solidFill>
                <a:sysClr val="windowText" lastClr="000000"/>
              </a:solidFill>
              <a:latin typeface="Times New Roman" pitchFamily="18" charset="0"/>
              <a:cs typeface="Times New Roman" pitchFamily="18" charset="0"/>
            </a:rPr>
            <a:t> - 20,66 milj. latu</a:t>
          </a:r>
        </a:p>
      </dgm:t>
    </dgm:pt>
    <dgm:pt modelId="{9870D791-160A-4AB5-9C6D-26CB7267F614}" type="parTrans" cxnId="{7DC2FFCA-4B39-4C9C-8D50-6FDAD2E3B8D9}">
      <dgm:prSet/>
      <dgm:spPr/>
      <dgm:t>
        <a:bodyPr/>
        <a:lstStyle/>
        <a:p>
          <a:endParaRPr lang="lv-LV"/>
        </a:p>
      </dgm:t>
    </dgm:pt>
    <dgm:pt modelId="{723F54EA-7B45-47E2-9395-921C3E76C476}" type="sibTrans" cxnId="{7DC2FFCA-4B39-4C9C-8D50-6FDAD2E3B8D9}">
      <dgm:prSet/>
      <dgm:spPr/>
      <dgm:t>
        <a:bodyPr/>
        <a:lstStyle/>
        <a:p>
          <a:endParaRPr lang="lv-LV"/>
        </a:p>
      </dgm:t>
    </dgm:pt>
    <dgm:pt modelId="{F2A5FA7A-1C67-4849-8238-84A23D4014CF}">
      <dgm:prSet phldrT="[Text]" custT="1"/>
      <dgm:spPr/>
      <dgm:t>
        <a:bodyPr/>
        <a:lstStyle/>
        <a:p>
          <a:r>
            <a:rPr lang="lv-LV" sz="1000" b="1">
              <a:solidFill>
                <a:sysClr val="windowText" lastClr="000000"/>
              </a:solidFill>
              <a:latin typeface="Times New Roman" pitchFamily="18" charset="0"/>
              <a:cs typeface="Times New Roman" pitchFamily="18" charset="0"/>
            </a:rPr>
            <a:t>Eiropas teritoriālās sadarbība s programma  </a:t>
          </a:r>
          <a:r>
            <a:rPr lang="lv-LV" sz="1000" b="0">
              <a:solidFill>
                <a:sysClr val="windowText" lastClr="000000"/>
              </a:solidFill>
              <a:latin typeface="Times New Roman" pitchFamily="18" charset="0"/>
              <a:cs typeface="Times New Roman" pitchFamily="18" charset="0"/>
            </a:rPr>
            <a:t>- 0,47 milj. latu</a:t>
          </a:r>
        </a:p>
      </dgm:t>
    </dgm:pt>
    <dgm:pt modelId="{6214B346-4431-4067-A44B-1CD940CBE248}" type="parTrans" cxnId="{D819673C-4F3A-4676-AF44-E64ED3F6492E}">
      <dgm:prSet/>
      <dgm:spPr/>
      <dgm:t>
        <a:bodyPr/>
        <a:lstStyle/>
        <a:p>
          <a:endParaRPr lang="lv-LV"/>
        </a:p>
      </dgm:t>
    </dgm:pt>
    <dgm:pt modelId="{7D0A3B54-B0B7-4EC4-8B79-37BD325F73B1}" type="sibTrans" cxnId="{D819673C-4F3A-4676-AF44-E64ED3F6492E}">
      <dgm:prSet/>
      <dgm:spPr/>
      <dgm:t>
        <a:bodyPr/>
        <a:lstStyle/>
        <a:p>
          <a:endParaRPr lang="lv-LV"/>
        </a:p>
      </dgm:t>
    </dgm:pt>
    <dgm:pt modelId="{7367A417-AA68-406C-90F4-8EEEBE39E85A}">
      <dgm:prSet phldrT="[Text]" custT="1"/>
      <dgm:spPr/>
      <dgm:t>
        <a:bodyPr/>
        <a:lstStyle/>
        <a:p>
          <a:r>
            <a:rPr lang="lv-LV" sz="1100" b="1">
              <a:solidFill>
                <a:sysClr val="windowText" lastClr="000000"/>
              </a:solidFill>
              <a:latin typeface="Times New Roman" pitchFamily="18" charset="0"/>
              <a:cs typeface="Times New Roman" pitchFamily="18" charset="0"/>
            </a:rPr>
            <a:t>Kopējās investīcijas - 74,2</a:t>
          </a:r>
          <a:r>
            <a:rPr lang="en-US" sz="1100" b="1">
              <a:solidFill>
                <a:sysClr val="windowText" lastClr="000000"/>
              </a:solidFill>
              <a:latin typeface="Times New Roman" pitchFamily="18" charset="0"/>
              <a:cs typeface="Times New Roman" pitchFamily="18" charset="0"/>
            </a:rPr>
            <a:t>3</a:t>
          </a:r>
          <a:r>
            <a:rPr lang="lv-LV" sz="1100" b="1">
              <a:solidFill>
                <a:sysClr val="windowText" lastClr="000000"/>
              </a:solidFill>
              <a:latin typeface="Times New Roman" pitchFamily="18" charset="0"/>
              <a:cs typeface="Times New Roman" pitchFamily="18" charset="0"/>
            </a:rPr>
            <a:t> milj. latu</a:t>
          </a:r>
        </a:p>
      </dgm:t>
    </dgm:pt>
    <dgm:pt modelId="{D92C8349-7059-4AD1-B83E-B98DB22E4A35}" type="parTrans" cxnId="{1D355B7F-65C6-4477-BA6B-68A2241B763E}">
      <dgm:prSet/>
      <dgm:spPr/>
      <dgm:t>
        <a:bodyPr/>
        <a:lstStyle/>
        <a:p>
          <a:endParaRPr lang="lv-LV"/>
        </a:p>
      </dgm:t>
    </dgm:pt>
    <dgm:pt modelId="{BE74E7C0-088E-4AF6-B82B-D940FF61632F}" type="sibTrans" cxnId="{1D355B7F-65C6-4477-BA6B-68A2241B763E}">
      <dgm:prSet/>
      <dgm:spPr/>
      <dgm:t>
        <a:bodyPr/>
        <a:lstStyle/>
        <a:p>
          <a:endParaRPr lang="lv-LV"/>
        </a:p>
      </dgm:t>
    </dgm:pt>
    <dgm:pt modelId="{B8C7303C-D52D-41E3-ADA5-B0F3452C2EAF}" type="pres">
      <dgm:prSet presAssocID="{1E4A81C7-18D9-4798-B2C7-4A9F95246F66}" presName="Name0" presStyleCnt="0">
        <dgm:presLayoutVars>
          <dgm:chMax val="4"/>
          <dgm:resizeHandles val="exact"/>
        </dgm:presLayoutVars>
      </dgm:prSet>
      <dgm:spPr/>
      <dgm:t>
        <a:bodyPr/>
        <a:lstStyle/>
        <a:p>
          <a:endParaRPr lang="lv-LV"/>
        </a:p>
      </dgm:t>
    </dgm:pt>
    <dgm:pt modelId="{9FC9BAD2-C304-46ED-8016-7F93D0C268AE}" type="pres">
      <dgm:prSet presAssocID="{1E4A81C7-18D9-4798-B2C7-4A9F95246F66}" presName="ellipse" presStyleLbl="trBgShp" presStyleIdx="0" presStyleCnt="1"/>
      <dgm:spPr/>
    </dgm:pt>
    <dgm:pt modelId="{47F32B16-E17B-4A66-8230-D3C7EFA6AC3A}" type="pres">
      <dgm:prSet presAssocID="{1E4A81C7-18D9-4798-B2C7-4A9F95246F66}" presName="arrow1" presStyleLbl="fgShp" presStyleIdx="0" presStyleCnt="1"/>
      <dgm:spPr/>
    </dgm:pt>
    <dgm:pt modelId="{E589E849-26F0-4CA6-99A1-EE5537C60BA7}" type="pres">
      <dgm:prSet presAssocID="{1E4A81C7-18D9-4798-B2C7-4A9F95246F66}" presName="rectangle" presStyleLbl="revTx" presStyleIdx="0" presStyleCnt="1">
        <dgm:presLayoutVars>
          <dgm:bulletEnabled val="1"/>
        </dgm:presLayoutVars>
      </dgm:prSet>
      <dgm:spPr/>
      <dgm:t>
        <a:bodyPr/>
        <a:lstStyle/>
        <a:p>
          <a:endParaRPr lang="lv-LV"/>
        </a:p>
      </dgm:t>
    </dgm:pt>
    <dgm:pt modelId="{4C8AACB3-B982-4A9B-9C55-A6DDF1A09AB2}" type="pres">
      <dgm:prSet presAssocID="{D71AE5D5-7404-4438-89F0-4394FA09C647}" presName="item1" presStyleLbl="node1" presStyleIdx="0" presStyleCnt="3" custScaleX="146011" custLinFactNeighborX="-7299" custLinFactNeighborY="-1043">
        <dgm:presLayoutVars>
          <dgm:bulletEnabled val="1"/>
        </dgm:presLayoutVars>
      </dgm:prSet>
      <dgm:spPr/>
      <dgm:t>
        <a:bodyPr/>
        <a:lstStyle/>
        <a:p>
          <a:endParaRPr lang="lv-LV"/>
        </a:p>
      </dgm:t>
    </dgm:pt>
    <dgm:pt modelId="{16E97617-E4B9-44FE-B9C9-B9F68C85C36B}" type="pres">
      <dgm:prSet presAssocID="{F2A5FA7A-1C67-4849-8238-84A23D4014CF}" presName="item2" presStyleLbl="node1" presStyleIdx="1" presStyleCnt="3" custScaleX="135979" custLinFactNeighborX="-3175" custLinFactNeighborY="-25397">
        <dgm:presLayoutVars>
          <dgm:bulletEnabled val="1"/>
        </dgm:presLayoutVars>
      </dgm:prSet>
      <dgm:spPr/>
      <dgm:t>
        <a:bodyPr/>
        <a:lstStyle/>
        <a:p>
          <a:endParaRPr lang="lv-LV"/>
        </a:p>
      </dgm:t>
    </dgm:pt>
    <dgm:pt modelId="{442869ED-9456-4008-959C-75958DEBAC3D}" type="pres">
      <dgm:prSet presAssocID="{7367A417-AA68-406C-90F4-8EEEBE39E85A}" presName="item3" presStyleLbl="node1" presStyleIdx="2" presStyleCnt="3" custScaleX="120952" custLinFactNeighborX="11469" custLinFactNeighborY="-1043">
        <dgm:presLayoutVars>
          <dgm:bulletEnabled val="1"/>
        </dgm:presLayoutVars>
      </dgm:prSet>
      <dgm:spPr/>
      <dgm:t>
        <a:bodyPr/>
        <a:lstStyle/>
        <a:p>
          <a:endParaRPr lang="lv-LV"/>
        </a:p>
      </dgm:t>
    </dgm:pt>
    <dgm:pt modelId="{79B701E2-21B7-4FBD-A2F3-124ADAB2B8F4}" type="pres">
      <dgm:prSet presAssocID="{1E4A81C7-18D9-4798-B2C7-4A9F95246F66}" presName="funnel" presStyleLbl="trAlignAcc1" presStyleIdx="0" presStyleCnt="1"/>
      <dgm:spPr/>
    </dgm:pt>
  </dgm:ptLst>
  <dgm:cxnLst>
    <dgm:cxn modelId="{5112D578-1C07-44F2-8237-C3E4DD6C855E}" type="presOf" srcId="{1E4A81C7-18D9-4798-B2C7-4A9F95246F66}" destId="{B8C7303C-D52D-41E3-ADA5-B0F3452C2EAF}" srcOrd="0" destOrd="0" presId="urn:microsoft.com/office/officeart/2005/8/layout/funnel1"/>
    <dgm:cxn modelId="{1D355B7F-65C6-4477-BA6B-68A2241B763E}" srcId="{1E4A81C7-18D9-4798-B2C7-4A9F95246F66}" destId="{7367A417-AA68-406C-90F4-8EEEBE39E85A}" srcOrd="3" destOrd="0" parTransId="{D92C8349-7059-4AD1-B83E-B98DB22E4A35}" sibTransId="{BE74E7C0-088E-4AF6-B82B-D940FF61632F}"/>
    <dgm:cxn modelId="{44E5BE76-9402-40C4-84B9-5E8637735BEE}" type="presOf" srcId="{7367A417-AA68-406C-90F4-8EEEBE39E85A}" destId="{E589E849-26F0-4CA6-99A1-EE5537C60BA7}" srcOrd="0" destOrd="0" presId="urn:microsoft.com/office/officeart/2005/8/layout/funnel1"/>
    <dgm:cxn modelId="{D819673C-4F3A-4676-AF44-E64ED3F6492E}" srcId="{1E4A81C7-18D9-4798-B2C7-4A9F95246F66}" destId="{F2A5FA7A-1C67-4849-8238-84A23D4014CF}" srcOrd="2" destOrd="0" parTransId="{6214B346-4431-4067-A44B-1CD940CBE248}" sibTransId="{7D0A3B54-B0B7-4EC4-8B79-37BD325F73B1}"/>
    <dgm:cxn modelId="{DF65F926-1944-4189-B77C-336797A89282}" type="presOf" srcId="{F2A5FA7A-1C67-4849-8238-84A23D4014CF}" destId="{4C8AACB3-B982-4A9B-9C55-A6DDF1A09AB2}" srcOrd="0" destOrd="0" presId="urn:microsoft.com/office/officeart/2005/8/layout/funnel1"/>
    <dgm:cxn modelId="{F0948D38-37CE-4D30-9AD2-6C17FDD87F64}" type="presOf" srcId="{ADDA70CA-D3F6-434B-88CA-CBE3E6832F30}" destId="{442869ED-9456-4008-959C-75958DEBAC3D}" srcOrd="0" destOrd="0" presId="urn:microsoft.com/office/officeart/2005/8/layout/funnel1"/>
    <dgm:cxn modelId="{88604BF4-F2D8-4263-BCEE-8AEA0175FF87}" srcId="{1E4A81C7-18D9-4798-B2C7-4A9F95246F66}" destId="{ADDA70CA-D3F6-434B-88CA-CBE3E6832F30}" srcOrd="0" destOrd="0" parTransId="{08E9BD66-0731-4A66-8111-D27315EB4716}" sibTransId="{FC2BE9CF-3A14-4392-B1FE-ECF4B7C1C8DC}"/>
    <dgm:cxn modelId="{784EE509-C3E9-439B-9E89-26144568504E}" type="presOf" srcId="{D71AE5D5-7404-4438-89F0-4394FA09C647}" destId="{16E97617-E4B9-44FE-B9C9-B9F68C85C36B}" srcOrd="0" destOrd="0" presId="urn:microsoft.com/office/officeart/2005/8/layout/funnel1"/>
    <dgm:cxn modelId="{7DC2FFCA-4B39-4C9C-8D50-6FDAD2E3B8D9}" srcId="{1E4A81C7-18D9-4798-B2C7-4A9F95246F66}" destId="{D71AE5D5-7404-4438-89F0-4394FA09C647}" srcOrd="1" destOrd="0" parTransId="{9870D791-160A-4AB5-9C6D-26CB7267F614}" sibTransId="{723F54EA-7B45-47E2-9395-921C3E76C476}"/>
    <dgm:cxn modelId="{E24D35A4-6861-4742-BC1B-97706E6AA603}" type="presParOf" srcId="{B8C7303C-D52D-41E3-ADA5-B0F3452C2EAF}" destId="{9FC9BAD2-C304-46ED-8016-7F93D0C268AE}" srcOrd="0" destOrd="0" presId="urn:microsoft.com/office/officeart/2005/8/layout/funnel1"/>
    <dgm:cxn modelId="{607118CE-D79D-42B4-B728-8591168B480B}" type="presParOf" srcId="{B8C7303C-D52D-41E3-ADA5-B0F3452C2EAF}" destId="{47F32B16-E17B-4A66-8230-D3C7EFA6AC3A}" srcOrd="1" destOrd="0" presId="urn:microsoft.com/office/officeart/2005/8/layout/funnel1"/>
    <dgm:cxn modelId="{FE24CA3C-56F7-423D-903D-981E2B21976D}" type="presParOf" srcId="{B8C7303C-D52D-41E3-ADA5-B0F3452C2EAF}" destId="{E589E849-26F0-4CA6-99A1-EE5537C60BA7}" srcOrd="2" destOrd="0" presId="urn:microsoft.com/office/officeart/2005/8/layout/funnel1"/>
    <dgm:cxn modelId="{35BADA90-7620-4ECB-B000-80218B7096ED}" type="presParOf" srcId="{B8C7303C-D52D-41E3-ADA5-B0F3452C2EAF}" destId="{4C8AACB3-B982-4A9B-9C55-A6DDF1A09AB2}" srcOrd="3" destOrd="0" presId="urn:microsoft.com/office/officeart/2005/8/layout/funnel1"/>
    <dgm:cxn modelId="{19D932EC-CF11-4D7F-934D-327971B5DD68}" type="presParOf" srcId="{B8C7303C-D52D-41E3-ADA5-B0F3452C2EAF}" destId="{16E97617-E4B9-44FE-B9C9-B9F68C85C36B}" srcOrd="4" destOrd="0" presId="urn:microsoft.com/office/officeart/2005/8/layout/funnel1"/>
    <dgm:cxn modelId="{3077E262-76BB-4E97-B2FF-8AC2B510CB19}" type="presParOf" srcId="{B8C7303C-D52D-41E3-ADA5-B0F3452C2EAF}" destId="{442869ED-9456-4008-959C-75958DEBAC3D}" srcOrd="5" destOrd="0" presId="urn:microsoft.com/office/officeart/2005/8/layout/funnel1"/>
    <dgm:cxn modelId="{7576B2CA-E2B9-4E82-BE4E-6F57CB7CFECA}" type="presParOf" srcId="{B8C7303C-D52D-41E3-ADA5-B0F3452C2EAF}" destId="{79B701E2-21B7-4FBD-A2F3-124ADAB2B8F4}" srcOrd="6" destOrd="0" presId="urn:microsoft.com/office/officeart/2005/8/layout/funnel1"/>
  </dgm:cxnLst>
  <dgm:bg/>
  <dgm:whole/>
  <dgm:extLst>
    <a:ext uri="http://schemas.microsoft.com/office/drawing/2008/diagram">
      <dsp:dataModelExt xmlns:dsp="http://schemas.microsoft.com/office/drawing/2008/diagram" xmlns=""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2FF2433-8888-4AEC-B69E-9EFF924B5C0E}" type="doc">
      <dgm:prSet loTypeId="urn:microsoft.com/office/officeart/2005/8/layout/radial1" loCatId="cycle" qsTypeId="urn:microsoft.com/office/officeart/2005/8/quickstyle/simple5" qsCatId="simple" csTypeId="urn:microsoft.com/office/officeart/2005/8/colors/accent1_2" csCatId="accent1" phldr="1"/>
      <dgm:spPr/>
      <dgm:t>
        <a:bodyPr/>
        <a:lstStyle/>
        <a:p>
          <a:endParaRPr lang="lv-LV"/>
        </a:p>
      </dgm:t>
    </dgm:pt>
    <dgm:pt modelId="{2E7626B1-038C-4527-8D00-A4125B3D9CCC}">
      <dgm:prSet phldrT="[Text]" custT="1"/>
      <dgm:spPr/>
      <dgm:t>
        <a:bodyPr/>
        <a:lstStyle/>
        <a:p>
          <a:r>
            <a:rPr lang="lv-LV" sz="1000" b="1">
              <a:solidFill>
                <a:sysClr val="windowText" lastClr="000000"/>
              </a:solidFill>
              <a:latin typeface="Times New Roman" pitchFamily="18" charset="0"/>
              <a:cs typeface="Times New Roman" pitchFamily="18" charset="0"/>
            </a:rPr>
            <a:t>8</a:t>
          </a:r>
          <a:r>
            <a:rPr lang="en-US" sz="1000" b="1">
              <a:solidFill>
                <a:sysClr val="windowText" lastClr="000000"/>
              </a:solidFill>
              <a:latin typeface="Times New Roman" pitchFamily="18" charset="0"/>
              <a:cs typeface="Times New Roman" pitchFamily="18" charset="0"/>
            </a:rPr>
            <a:t>6</a:t>
          </a:r>
          <a:r>
            <a:rPr lang="lv-LV" sz="1000" b="1">
              <a:solidFill>
                <a:sysClr val="windowText" lastClr="000000"/>
              </a:solidFill>
              <a:latin typeface="Times New Roman" pitchFamily="18" charset="0"/>
              <a:cs typeface="Times New Roman" pitchFamily="18" charset="0"/>
            </a:rPr>
            <a:t>,</a:t>
          </a:r>
          <a:r>
            <a:rPr lang="en-US" sz="1000" b="1">
              <a:solidFill>
                <a:sysClr val="windowText" lastClr="000000"/>
              </a:solidFill>
              <a:latin typeface="Times New Roman" pitchFamily="18" charset="0"/>
              <a:cs typeface="Times New Roman" pitchFamily="18" charset="0"/>
            </a:rPr>
            <a:t>3</a:t>
          </a:r>
          <a:r>
            <a:rPr lang="lv-LV" sz="1000" b="1">
              <a:solidFill>
                <a:sysClr val="windowText" lastClr="000000"/>
              </a:solidFill>
              <a:latin typeface="Times New Roman" pitchFamily="18" charset="0"/>
              <a:cs typeface="Times New Roman" pitchFamily="18" charset="0"/>
            </a:rPr>
            <a:t>6 milj. latu</a:t>
          </a:r>
        </a:p>
      </dgm:t>
    </dgm:pt>
    <dgm:pt modelId="{FF1105C9-0781-4A9E-9AA7-3A98E9327ACC}" type="parTrans" cxnId="{354B21FD-1A48-4480-AC0D-90595F6B122F}">
      <dgm:prSet/>
      <dgm:spPr/>
      <dgm:t>
        <a:bodyPr/>
        <a:lstStyle/>
        <a:p>
          <a:endParaRPr lang="lv-LV"/>
        </a:p>
      </dgm:t>
    </dgm:pt>
    <dgm:pt modelId="{B51367A0-3EF6-4D19-AA95-05C85F5BA595}" type="sibTrans" cxnId="{354B21FD-1A48-4480-AC0D-90595F6B122F}">
      <dgm:prSet/>
      <dgm:spPr/>
      <dgm:t>
        <a:bodyPr/>
        <a:lstStyle/>
        <a:p>
          <a:endParaRPr lang="lv-LV"/>
        </a:p>
      </dgm:t>
    </dgm:pt>
    <dgm:pt modelId="{E5FA7139-2F04-4EBC-907D-E057D9FE2972}">
      <dgm:prSet phldrT="[Text]" custT="1"/>
      <dgm:spPr/>
      <dgm:t>
        <a:bodyPr/>
        <a:lstStyle/>
        <a:p>
          <a:r>
            <a:rPr lang="lv-LV" sz="900">
              <a:solidFill>
                <a:sysClr val="windowText" lastClr="000000"/>
              </a:solidFill>
              <a:latin typeface="Times New Roman" pitchFamily="18" charset="0"/>
              <a:cs typeface="Times New Roman" pitchFamily="18" charset="0"/>
            </a:rPr>
            <a:t>Ūdenssaimniecības attīatība - </a:t>
          </a:r>
          <a:r>
            <a:rPr lang="lv-LV" sz="900" b="1">
              <a:solidFill>
                <a:sysClr val="windowText" lastClr="000000"/>
              </a:solidFill>
              <a:latin typeface="Times New Roman" pitchFamily="18" charset="0"/>
              <a:cs typeface="Times New Roman" pitchFamily="18" charset="0"/>
            </a:rPr>
            <a:t>46,43 milj. latu</a:t>
          </a:r>
        </a:p>
      </dgm:t>
    </dgm:pt>
    <dgm:pt modelId="{BB906129-EDBE-4908-9AF3-7E04ECF08659}" type="parTrans" cxnId="{1A583E1A-7037-407F-818F-F37A1F3CDDB9}">
      <dgm:prSet/>
      <dgm:spPr/>
      <dgm:t>
        <a:bodyPr/>
        <a:lstStyle/>
        <a:p>
          <a:endParaRPr lang="lv-LV"/>
        </a:p>
      </dgm:t>
    </dgm:pt>
    <dgm:pt modelId="{744BD35E-B2E6-463E-AADA-50C2DD1F6BF9}" type="sibTrans" cxnId="{1A583E1A-7037-407F-818F-F37A1F3CDDB9}">
      <dgm:prSet/>
      <dgm:spPr/>
      <dgm:t>
        <a:bodyPr/>
        <a:lstStyle/>
        <a:p>
          <a:endParaRPr lang="lv-LV"/>
        </a:p>
      </dgm:t>
    </dgm:pt>
    <dgm:pt modelId="{269C48EB-2998-4C2F-A00D-065C73350BC2}">
      <dgm:prSet phldrT="[Text]" custT="1"/>
      <dgm:spPr/>
      <dgm:t>
        <a:bodyPr/>
        <a:lstStyle/>
        <a:p>
          <a:r>
            <a:rPr lang="lv-LV" sz="900">
              <a:solidFill>
                <a:sysClr val="windowText" lastClr="000000"/>
              </a:solidFill>
              <a:latin typeface="Times New Roman" pitchFamily="18" charset="0"/>
              <a:cs typeface="Times New Roman" pitchFamily="18" charset="0"/>
            </a:rPr>
            <a:t>Siltumnīc-efekta gāzu emisiju samazināšana - </a:t>
          </a:r>
          <a:r>
            <a:rPr lang="lv-LV" sz="900" b="1">
              <a:solidFill>
                <a:sysClr val="windowText" lastClr="000000"/>
              </a:solidFill>
              <a:latin typeface="Times New Roman" pitchFamily="18" charset="0"/>
              <a:cs typeface="Times New Roman" pitchFamily="18" charset="0"/>
            </a:rPr>
            <a:t>21,13 milj. latu</a:t>
          </a:r>
        </a:p>
      </dgm:t>
    </dgm:pt>
    <dgm:pt modelId="{49366179-5427-49C0-9710-6DC2620F6452}" type="parTrans" cxnId="{B3FA19F3-4D4A-4FB7-91CF-73A0978F2104}">
      <dgm:prSet/>
      <dgm:spPr/>
      <dgm:t>
        <a:bodyPr/>
        <a:lstStyle/>
        <a:p>
          <a:endParaRPr lang="lv-LV"/>
        </a:p>
      </dgm:t>
    </dgm:pt>
    <dgm:pt modelId="{C4A4ED85-C22E-4D36-9712-6F750B12E76C}" type="sibTrans" cxnId="{B3FA19F3-4D4A-4FB7-91CF-73A0978F2104}">
      <dgm:prSet/>
      <dgm:spPr/>
      <dgm:t>
        <a:bodyPr/>
        <a:lstStyle/>
        <a:p>
          <a:endParaRPr lang="lv-LV"/>
        </a:p>
      </dgm:t>
    </dgm:pt>
    <dgm:pt modelId="{2ABAD836-F5D7-418A-AB50-B9895A1DD5DB}">
      <dgm:prSet phldrT="[Text]" custT="1"/>
      <dgm:spPr/>
      <dgm:t>
        <a:bodyPr/>
        <a:lstStyle/>
        <a:p>
          <a:r>
            <a:rPr lang="lv-LV" sz="900">
              <a:solidFill>
                <a:sysClr val="windowText" lastClr="000000"/>
              </a:solidFill>
              <a:latin typeface="Times New Roman" pitchFamily="18" charset="0"/>
              <a:cs typeface="Times New Roman" pitchFamily="18" charset="0"/>
            </a:rPr>
            <a:t>Atkritumu apsaimniekošana - </a:t>
          </a:r>
          <a:r>
            <a:rPr lang="lv-LV" sz="900" b="1">
              <a:solidFill>
                <a:sysClr val="windowText" lastClr="000000"/>
              </a:solidFill>
              <a:latin typeface="Times New Roman" pitchFamily="18" charset="0"/>
              <a:cs typeface="Times New Roman" pitchFamily="18" charset="0"/>
            </a:rPr>
            <a:t>8,</a:t>
          </a:r>
          <a:r>
            <a:rPr lang="en-US" sz="900" b="1">
              <a:solidFill>
                <a:sysClr val="windowText" lastClr="000000"/>
              </a:solidFill>
              <a:latin typeface="Times New Roman" pitchFamily="18" charset="0"/>
              <a:cs typeface="Times New Roman" pitchFamily="18" charset="0"/>
            </a:rPr>
            <a:t>03</a:t>
          </a:r>
          <a:r>
            <a:rPr lang="lv-LV" sz="900" b="1">
              <a:solidFill>
                <a:sysClr val="windowText" lastClr="000000"/>
              </a:solidFill>
              <a:latin typeface="Times New Roman" pitchFamily="18" charset="0"/>
              <a:cs typeface="Times New Roman" pitchFamily="18" charset="0"/>
            </a:rPr>
            <a:t> milj. latu </a:t>
          </a:r>
        </a:p>
      </dgm:t>
    </dgm:pt>
    <dgm:pt modelId="{DE2C33BD-E0F1-4495-9F7C-10A8A0BC8216}" type="parTrans" cxnId="{2A324F3A-70DC-49BF-B4CB-C202FEFCF605}">
      <dgm:prSet/>
      <dgm:spPr/>
      <dgm:t>
        <a:bodyPr/>
        <a:lstStyle/>
        <a:p>
          <a:endParaRPr lang="lv-LV"/>
        </a:p>
      </dgm:t>
    </dgm:pt>
    <dgm:pt modelId="{0A686CEA-0146-4261-A53C-DF1335D2367E}" type="sibTrans" cxnId="{2A324F3A-70DC-49BF-B4CB-C202FEFCF605}">
      <dgm:prSet/>
      <dgm:spPr/>
      <dgm:t>
        <a:bodyPr/>
        <a:lstStyle/>
        <a:p>
          <a:endParaRPr lang="lv-LV"/>
        </a:p>
      </dgm:t>
    </dgm:pt>
    <dgm:pt modelId="{1CC6C4CE-D99C-4E9D-A65A-DFCB79CEBF81}">
      <dgm:prSet phldrT="[Text]" custT="1"/>
      <dgm:spPr/>
      <dgm:t>
        <a:bodyPr/>
        <a:lstStyle/>
        <a:p>
          <a:r>
            <a:rPr lang="lv-LV" sz="900">
              <a:solidFill>
                <a:sysClr val="windowText" lastClr="000000"/>
              </a:solidFill>
              <a:latin typeface="Times New Roman" pitchFamily="18" charset="0"/>
              <a:cs typeface="Times New Roman" pitchFamily="18" charset="0"/>
            </a:rPr>
            <a:t>Vides monitorings - </a:t>
          </a:r>
          <a:r>
            <a:rPr lang="lv-LV" sz="900" b="1">
              <a:solidFill>
                <a:sysClr val="windowText" lastClr="000000"/>
              </a:solidFill>
              <a:latin typeface="Times New Roman" pitchFamily="18" charset="0"/>
              <a:cs typeface="Times New Roman" pitchFamily="18" charset="0"/>
            </a:rPr>
            <a:t>1,02 milj. latu</a:t>
          </a:r>
        </a:p>
      </dgm:t>
    </dgm:pt>
    <dgm:pt modelId="{D30E907E-235A-4949-BB61-5A3214D82ADC}" type="parTrans" cxnId="{33343E88-FD79-4B3A-9303-C981B24D3CDF}">
      <dgm:prSet/>
      <dgm:spPr/>
      <dgm:t>
        <a:bodyPr/>
        <a:lstStyle/>
        <a:p>
          <a:endParaRPr lang="lv-LV"/>
        </a:p>
      </dgm:t>
    </dgm:pt>
    <dgm:pt modelId="{3505CF0E-253C-47FC-B0FF-DBF087EE9966}" type="sibTrans" cxnId="{33343E88-FD79-4B3A-9303-C981B24D3CDF}">
      <dgm:prSet/>
      <dgm:spPr/>
      <dgm:t>
        <a:bodyPr/>
        <a:lstStyle/>
        <a:p>
          <a:endParaRPr lang="lv-LV"/>
        </a:p>
      </dgm:t>
    </dgm:pt>
    <dgm:pt modelId="{B8280622-A0A5-4F69-AD5F-FFB1E314960B}">
      <dgm:prSet phldrT="[Text]" custT="1"/>
      <dgm:spPr/>
      <dgm:t>
        <a:bodyPr/>
        <a:lstStyle/>
        <a:p>
          <a:r>
            <a:rPr lang="lv-LV" sz="900">
              <a:solidFill>
                <a:sysClr val="windowText" lastClr="000000"/>
              </a:solidFill>
              <a:latin typeface="Times New Roman" pitchFamily="18" charset="0"/>
              <a:cs typeface="Times New Roman" pitchFamily="18" charset="0"/>
            </a:rPr>
            <a:t>Vides risku samazināšana - </a:t>
          </a:r>
          <a:r>
            <a:rPr lang="lv-LV" sz="900" b="1">
              <a:solidFill>
                <a:sysClr val="windowText" lastClr="000000"/>
              </a:solidFill>
              <a:latin typeface="Times New Roman" pitchFamily="18" charset="0"/>
              <a:cs typeface="Times New Roman" pitchFamily="18" charset="0"/>
            </a:rPr>
            <a:t>1,86 milj. latu</a:t>
          </a:r>
          <a:endParaRPr lang="lv-LV" sz="900">
            <a:solidFill>
              <a:sysClr val="windowText" lastClr="000000"/>
            </a:solidFill>
            <a:latin typeface="Times New Roman" pitchFamily="18" charset="0"/>
            <a:cs typeface="Times New Roman" pitchFamily="18" charset="0"/>
          </a:endParaRPr>
        </a:p>
      </dgm:t>
    </dgm:pt>
    <dgm:pt modelId="{273054ED-15A5-402F-878E-0E2ADCCF5774}" type="parTrans" cxnId="{F71D19EA-2063-42EB-8B8A-97B92D151C18}">
      <dgm:prSet/>
      <dgm:spPr/>
      <dgm:t>
        <a:bodyPr/>
        <a:lstStyle/>
        <a:p>
          <a:endParaRPr lang="lv-LV"/>
        </a:p>
      </dgm:t>
    </dgm:pt>
    <dgm:pt modelId="{ACB05AF5-35A7-4891-AAD6-6AF5F985D8E9}" type="sibTrans" cxnId="{F71D19EA-2063-42EB-8B8A-97B92D151C18}">
      <dgm:prSet/>
      <dgm:spPr/>
      <dgm:t>
        <a:bodyPr/>
        <a:lstStyle/>
        <a:p>
          <a:endParaRPr lang="lv-LV"/>
        </a:p>
      </dgm:t>
    </dgm:pt>
    <dgm:pt modelId="{04D06B8A-4829-473C-8A03-A1425D5643D9}">
      <dgm:prSet phldrT="[Text]" custT="1"/>
      <dgm:spPr/>
      <dgm:t>
        <a:bodyPr/>
        <a:lstStyle/>
        <a:p>
          <a:r>
            <a:rPr lang="lv-LV" sz="900">
              <a:solidFill>
                <a:sysClr val="windowText" lastClr="000000"/>
              </a:solidFill>
              <a:latin typeface="Times New Roman" pitchFamily="18" charset="0"/>
              <a:cs typeface="Times New Roman" pitchFamily="18" charset="0"/>
            </a:rPr>
            <a:t>Piesārņoto vietu sanācija - </a:t>
          </a:r>
          <a:r>
            <a:rPr lang="lv-LV" sz="900" b="1">
              <a:solidFill>
                <a:sysClr val="windowText" lastClr="000000"/>
              </a:solidFill>
              <a:latin typeface="Times New Roman" pitchFamily="18" charset="0"/>
              <a:cs typeface="Times New Roman" pitchFamily="18" charset="0"/>
            </a:rPr>
            <a:t>3,07 milj. latu</a:t>
          </a:r>
          <a:endParaRPr lang="lv-LV" sz="900">
            <a:solidFill>
              <a:sysClr val="windowText" lastClr="000000"/>
            </a:solidFill>
            <a:latin typeface="Times New Roman" pitchFamily="18" charset="0"/>
            <a:cs typeface="Times New Roman" pitchFamily="18" charset="0"/>
          </a:endParaRPr>
        </a:p>
      </dgm:t>
    </dgm:pt>
    <dgm:pt modelId="{CC807058-817E-4EF9-9B43-55E5F760D6F5}" type="parTrans" cxnId="{0C06D410-67DE-4AC6-9335-0D2F02FF1E1D}">
      <dgm:prSet/>
      <dgm:spPr/>
      <dgm:t>
        <a:bodyPr/>
        <a:lstStyle/>
        <a:p>
          <a:endParaRPr lang="lv-LV"/>
        </a:p>
      </dgm:t>
    </dgm:pt>
    <dgm:pt modelId="{2F677FC8-4AE9-4E80-A7D6-3990EA6D3A04}" type="sibTrans" cxnId="{0C06D410-67DE-4AC6-9335-0D2F02FF1E1D}">
      <dgm:prSet/>
      <dgm:spPr/>
      <dgm:t>
        <a:bodyPr/>
        <a:lstStyle/>
        <a:p>
          <a:endParaRPr lang="lv-LV"/>
        </a:p>
      </dgm:t>
    </dgm:pt>
    <dgm:pt modelId="{AAB03C48-B7FB-4BE3-8829-58C100074E34}">
      <dgm:prSet phldrT="[Text]" custT="1"/>
      <dgm:spPr/>
      <dgm:t>
        <a:bodyPr/>
        <a:lstStyle/>
        <a:p>
          <a:r>
            <a:rPr lang="lv-LV" sz="900">
              <a:solidFill>
                <a:sysClr val="windowText" lastClr="000000"/>
              </a:solidFill>
              <a:latin typeface="Times New Roman" pitchFamily="18" charset="0"/>
              <a:cs typeface="Times New Roman" pitchFamily="18" charset="0"/>
            </a:rPr>
            <a:t>Dabas un bioloģiskās daudzveidības saglabāšana - </a:t>
          </a:r>
          <a:r>
            <a:rPr lang="lv-LV" sz="900" b="1">
              <a:solidFill>
                <a:sysClr val="windowText" lastClr="000000"/>
              </a:solidFill>
              <a:latin typeface="Times New Roman" pitchFamily="18" charset="0"/>
              <a:cs typeface="Times New Roman" pitchFamily="18" charset="0"/>
            </a:rPr>
            <a:t>2,41 milj. latu</a:t>
          </a:r>
          <a:endParaRPr lang="lv-LV" sz="900">
            <a:solidFill>
              <a:sysClr val="windowText" lastClr="000000"/>
            </a:solidFill>
            <a:latin typeface="Times New Roman" pitchFamily="18" charset="0"/>
            <a:cs typeface="Times New Roman" pitchFamily="18" charset="0"/>
          </a:endParaRPr>
        </a:p>
      </dgm:t>
    </dgm:pt>
    <dgm:pt modelId="{99E63034-95B5-44C2-83C2-58132205648D}" type="parTrans" cxnId="{1F7A9910-60B4-4F36-BA12-BC38C193C72E}">
      <dgm:prSet/>
      <dgm:spPr/>
      <dgm:t>
        <a:bodyPr/>
        <a:lstStyle/>
        <a:p>
          <a:endParaRPr lang="lv-LV"/>
        </a:p>
      </dgm:t>
    </dgm:pt>
    <dgm:pt modelId="{C1873C40-AC34-438D-BC53-271DDB4F7F20}" type="sibTrans" cxnId="{1F7A9910-60B4-4F36-BA12-BC38C193C72E}">
      <dgm:prSet/>
      <dgm:spPr/>
      <dgm:t>
        <a:bodyPr/>
        <a:lstStyle/>
        <a:p>
          <a:endParaRPr lang="lv-LV"/>
        </a:p>
      </dgm:t>
    </dgm:pt>
    <dgm:pt modelId="{AF428B56-7BB3-4399-B2BB-A19E87513481}">
      <dgm:prSet phldrT="[Text]" custT="1"/>
      <dgm:spPr/>
      <dgm:t>
        <a:bodyPr/>
        <a:lstStyle/>
        <a:p>
          <a:r>
            <a:rPr lang="lv-LV" sz="900">
              <a:solidFill>
                <a:sysClr val="windowText" lastClr="000000"/>
              </a:solidFill>
              <a:latin typeface="Times New Roman" pitchFamily="18" charset="0"/>
              <a:cs typeface="Times New Roman" pitchFamily="18" charset="0"/>
            </a:rPr>
            <a:t>ES struktūrfondu 3.mērķis "Eiropas teritoriālā sadarbība" - </a:t>
          </a:r>
          <a:r>
            <a:rPr lang="lv-LV" sz="900" b="1">
              <a:solidFill>
                <a:sysClr val="windowText" lastClr="000000"/>
              </a:solidFill>
              <a:latin typeface="Times New Roman" pitchFamily="18" charset="0"/>
              <a:cs typeface="Times New Roman" pitchFamily="18" charset="0"/>
            </a:rPr>
            <a:t>0,59 milj. latu</a:t>
          </a:r>
          <a:endParaRPr lang="lv-LV" sz="900">
            <a:solidFill>
              <a:sysClr val="windowText" lastClr="000000"/>
            </a:solidFill>
            <a:latin typeface="Times New Roman" pitchFamily="18" charset="0"/>
            <a:cs typeface="Times New Roman" pitchFamily="18" charset="0"/>
          </a:endParaRPr>
        </a:p>
      </dgm:t>
    </dgm:pt>
    <dgm:pt modelId="{0CAA161F-453A-4BC7-809B-25B785154F5E}" type="parTrans" cxnId="{E2817C13-6D90-44FC-99FA-8795B86FB1C4}">
      <dgm:prSet/>
      <dgm:spPr/>
      <dgm:t>
        <a:bodyPr/>
        <a:lstStyle/>
        <a:p>
          <a:endParaRPr lang="lv-LV"/>
        </a:p>
      </dgm:t>
    </dgm:pt>
    <dgm:pt modelId="{90907085-771C-454D-9CB4-A0DA46A1E029}" type="sibTrans" cxnId="{E2817C13-6D90-44FC-99FA-8795B86FB1C4}">
      <dgm:prSet/>
      <dgm:spPr/>
      <dgm:t>
        <a:bodyPr/>
        <a:lstStyle/>
        <a:p>
          <a:endParaRPr lang="lv-LV"/>
        </a:p>
      </dgm:t>
    </dgm:pt>
    <dgm:pt modelId="{13350FDD-846A-45C3-87C7-0299B5CA6556}">
      <dgm:prSet phldrT="[Text]" custT="1"/>
      <dgm:spPr/>
      <dgm:t>
        <a:bodyPr/>
        <a:lstStyle/>
        <a:p>
          <a:r>
            <a:rPr lang="lv-LV" sz="900">
              <a:solidFill>
                <a:sysClr val="windowText" lastClr="000000"/>
              </a:solidFill>
              <a:latin typeface="Times New Roman" pitchFamily="18" charset="0"/>
              <a:cs typeface="Times New Roman" pitchFamily="18" charset="0"/>
            </a:rPr>
            <a:t>LIFE+ programma - </a:t>
          </a:r>
          <a:r>
            <a:rPr lang="lv-LV" sz="900" b="1">
              <a:solidFill>
                <a:sysClr val="windowText" lastClr="000000"/>
              </a:solidFill>
              <a:latin typeface="Times New Roman" pitchFamily="18" charset="0"/>
              <a:cs typeface="Times New Roman" pitchFamily="18" charset="0"/>
            </a:rPr>
            <a:t>1,82 milj. latu</a:t>
          </a:r>
          <a:endParaRPr lang="lv-LV" sz="900">
            <a:solidFill>
              <a:sysClr val="windowText" lastClr="000000"/>
            </a:solidFill>
            <a:latin typeface="Times New Roman" pitchFamily="18" charset="0"/>
            <a:cs typeface="Times New Roman" pitchFamily="18" charset="0"/>
          </a:endParaRPr>
        </a:p>
      </dgm:t>
    </dgm:pt>
    <dgm:pt modelId="{4ACDE3DB-DF8D-41B5-9E8A-28F65B9D2E73}" type="parTrans" cxnId="{387F45C8-D5FA-4F00-96C4-06A1CB3AD053}">
      <dgm:prSet/>
      <dgm:spPr/>
      <dgm:t>
        <a:bodyPr/>
        <a:lstStyle/>
        <a:p>
          <a:endParaRPr lang="lv-LV"/>
        </a:p>
      </dgm:t>
    </dgm:pt>
    <dgm:pt modelId="{9A620B65-7726-4D8E-89A0-A2EFF7572DF9}" type="sibTrans" cxnId="{387F45C8-D5FA-4F00-96C4-06A1CB3AD053}">
      <dgm:prSet/>
      <dgm:spPr/>
      <dgm:t>
        <a:bodyPr/>
        <a:lstStyle/>
        <a:p>
          <a:endParaRPr lang="lv-LV"/>
        </a:p>
      </dgm:t>
    </dgm:pt>
    <dgm:pt modelId="{94F0A274-0A24-44EF-9858-F9478D13F73B}" type="pres">
      <dgm:prSet presAssocID="{32FF2433-8888-4AEC-B69E-9EFF924B5C0E}" presName="cycle" presStyleCnt="0">
        <dgm:presLayoutVars>
          <dgm:chMax val="1"/>
          <dgm:dir/>
          <dgm:animLvl val="ctr"/>
          <dgm:resizeHandles val="exact"/>
        </dgm:presLayoutVars>
      </dgm:prSet>
      <dgm:spPr/>
      <dgm:t>
        <a:bodyPr/>
        <a:lstStyle/>
        <a:p>
          <a:endParaRPr lang="lv-LV"/>
        </a:p>
      </dgm:t>
    </dgm:pt>
    <dgm:pt modelId="{E0031FED-B923-4748-AD5E-E50D2085789D}" type="pres">
      <dgm:prSet presAssocID="{2E7626B1-038C-4527-8D00-A4125B3D9CCC}" presName="centerShape" presStyleLbl="node0" presStyleIdx="0" presStyleCnt="1"/>
      <dgm:spPr/>
      <dgm:t>
        <a:bodyPr/>
        <a:lstStyle/>
        <a:p>
          <a:endParaRPr lang="lv-LV"/>
        </a:p>
      </dgm:t>
    </dgm:pt>
    <dgm:pt modelId="{9A3B3757-1335-4F45-B5F7-23CEA76A1F3F}" type="pres">
      <dgm:prSet presAssocID="{BB906129-EDBE-4908-9AF3-7E04ECF08659}" presName="Name9" presStyleLbl="parChTrans1D2" presStyleIdx="0" presStyleCnt="9"/>
      <dgm:spPr/>
      <dgm:t>
        <a:bodyPr/>
        <a:lstStyle/>
        <a:p>
          <a:endParaRPr lang="lv-LV"/>
        </a:p>
      </dgm:t>
    </dgm:pt>
    <dgm:pt modelId="{1FE10A0B-4CDD-4554-9149-B75387D26A3B}" type="pres">
      <dgm:prSet presAssocID="{BB906129-EDBE-4908-9AF3-7E04ECF08659}" presName="connTx" presStyleLbl="parChTrans1D2" presStyleIdx="0" presStyleCnt="9"/>
      <dgm:spPr/>
      <dgm:t>
        <a:bodyPr/>
        <a:lstStyle/>
        <a:p>
          <a:endParaRPr lang="lv-LV"/>
        </a:p>
      </dgm:t>
    </dgm:pt>
    <dgm:pt modelId="{38ED9167-3644-4FBB-B654-9227E4AC7CAB}" type="pres">
      <dgm:prSet presAssocID="{E5FA7139-2F04-4EBC-907D-E057D9FE2972}" presName="node" presStyleLbl="node1" presStyleIdx="0" presStyleCnt="9" custScaleX="192929" custScaleY="137643">
        <dgm:presLayoutVars>
          <dgm:bulletEnabled val="1"/>
        </dgm:presLayoutVars>
      </dgm:prSet>
      <dgm:spPr/>
      <dgm:t>
        <a:bodyPr/>
        <a:lstStyle/>
        <a:p>
          <a:endParaRPr lang="lv-LV"/>
        </a:p>
      </dgm:t>
    </dgm:pt>
    <dgm:pt modelId="{BF4105D8-18D8-44B0-AFD5-AB13666C1758}" type="pres">
      <dgm:prSet presAssocID="{49366179-5427-49C0-9710-6DC2620F6452}" presName="Name9" presStyleLbl="parChTrans1D2" presStyleIdx="1" presStyleCnt="9"/>
      <dgm:spPr/>
      <dgm:t>
        <a:bodyPr/>
        <a:lstStyle/>
        <a:p>
          <a:endParaRPr lang="lv-LV"/>
        </a:p>
      </dgm:t>
    </dgm:pt>
    <dgm:pt modelId="{D31B749F-D690-45FD-B3C7-0EF4B9A43343}" type="pres">
      <dgm:prSet presAssocID="{49366179-5427-49C0-9710-6DC2620F6452}" presName="connTx" presStyleLbl="parChTrans1D2" presStyleIdx="1" presStyleCnt="9"/>
      <dgm:spPr/>
      <dgm:t>
        <a:bodyPr/>
        <a:lstStyle/>
        <a:p>
          <a:endParaRPr lang="lv-LV"/>
        </a:p>
      </dgm:t>
    </dgm:pt>
    <dgm:pt modelId="{849756DE-030B-4DD2-A26F-594E88E8460C}" type="pres">
      <dgm:prSet presAssocID="{269C48EB-2998-4C2F-A00D-065C73350BC2}" presName="node" presStyleLbl="node1" presStyleIdx="1" presStyleCnt="9" custScaleX="145484" custScaleY="120973">
        <dgm:presLayoutVars>
          <dgm:bulletEnabled val="1"/>
        </dgm:presLayoutVars>
      </dgm:prSet>
      <dgm:spPr/>
      <dgm:t>
        <a:bodyPr/>
        <a:lstStyle/>
        <a:p>
          <a:endParaRPr lang="lv-LV"/>
        </a:p>
      </dgm:t>
    </dgm:pt>
    <dgm:pt modelId="{1182DD33-97DB-4DF9-B44F-EB4F01EAE637}" type="pres">
      <dgm:prSet presAssocID="{DE2C33BD-E0F1-4495-9F7C-10A8A0BC8216}" presName="Name9" presStyleLbl="parChTrans1D2" presStyleIdx="2" presStyleCnt="9"/>
      <dgm:spPr/>
      <dgm:t>
        <a:bodyPr/>
        <a:lstStyle/>
        <a:p>
          <a:endParaRPr lang="lv-LV"/>
        </a:p>
      </dgm:t>
    </dgm:pt>
    <dgm:pt modelId="{ED2A62F6-D6E5-4413-9537-19DDADD35994}" type="pres">
      <dgm:prSet presAssocID="{DE2C33BD-E0F1-4495-9F7C-10A8A0BC8216}" presName="connTx" presStyleLbl="parChTrans1D2" presStyleIdx="2" presStyleCnt="9"/>
      <dgm:spPr/>
      <dgm:t>
        <a:bodyPr/>
        <a:lstStyle/>
        <a:p>
          <a:endParaRPr lang="lv-LV"/>
        </a:p>
      </dgm:t>
    </dgm:pt>
    <dgm:pt modelId="{51D73096-CE27-49E3-99B4-E129A7B50F78}" type="pres">
      <dgm:prSet presAssocID="{2ABAD836-F5D7-418A-AB50-B9895A1DD5DB}" presName="node" presStyleLbl="node1" presStyleIdx="2" presStyleCnt="9" custScaleX="168584" custScaleY="109032">
        <dgm:presLayoutVars>
          <dgm:bulletEnabled val="1"/>
        </dgm:presLayoutVars>
      </dgm:prSet>
      <dgm:spPr/>
      <dgm:t>
        <a:bodyPr/>
        <a:lstStyle/>
        <a:p>
          <a:endParaRPr lang="lv-LV"/>
        </a:p>
      </dgm:t>
    </dgm:pt>
    <dgm:pt modelId="{19EE9DB9-02C6-4EC1-ABCB-25A1319B4443}" type="pres">
      <dgm:prSet presAssocID="{CC807058-817E-4EF9-9B43-55E5F760D6F5}" presName="Name9" presStyleLbl="parChTrans1D2" presStyleIdx="3" presStyleCnt="9"/>
      <dgm:spPr/>
      <dgm:t>
        <a:bodyPr/>
        <a:lstStyle/>
        <a:p>
          <a:endParaRPr lang="lv-LV"/>
        </a:p>
      </dgm:t>
    </dgm:pt>
    <dgm:pt modelId="{EA1BF43B-52D3-4E17-88D9-082FD5BA9594}" type="pres">
      <dgm:prSet presAssocID="{CC807058-817E-4EF9-9B43-55E5F760D6F5}" presName="connTx" presStyleLbl="parChTrans1D2" presStyleIdx="3" presStyleCnt="9"/>
      <dgm:spPr/>
      <dgm:t>
        <a:bodyPr/>
        <a:lstStyle/>
        <a:p>
          <a:endParaRPr lang="lv-LV"/>
        </a:p>
      </dgm:t>
    </dgm:pt>
    <dgm:pt modelId="{C754A8FF-06E2-4AE3-8051-9D24C73CEBE4}" type="pres">
      <dgm:prSet presAssocID="{04D06B8A-4829-473C-8A03-A1425D5643D9}" presName="node" presStyleLbl="node1" presStyleIdx="3" presStyleCnt="9" custScaleX="122499" custScaleY="107051">
        <dgm:presLayoutVars>
          <dgm:bulletEnabled val="1"/>
        </dgm:presLayoutVars>
      </dgm:prSet>
      <dgm:spPr/>
      <dgm:t>
        <a:bodyPr/>
        <a:lstStyle/>
        <a:p>
          <a:endParaRPr lang="lv-LV"/>
        </a:p>
      </dgm:t>
    </dgm:pt>
    <dgm:pt modelId="{AB1F077E-E9F5-415D-BA0D-914626A5EC2B}" type="pres">
      <dgm:prSet presAssocID="{99E63034-95B5-44C2-83C2-58132205648D}" presName="Name9" presStyleLbl="parChTrans1D2" presStyleIdx="4" presStyleCnt="9"/>
      <dgm:spPr/>
      <dgm:t>
        <a:bodyPr/>
        <a:lstStyle/>
        <a:p>
          <a:endParaRPr lang="lv-LV"/>
        </a:p>
      </dgm:t>
    </dgm:pt>
    <dgm:pt modelId="{77E5ABF1-A154-4E9E-8A33-48BE5CA24C84}" type="pres">
      <dgm:prSet presAssocID="{99E63034-95B5-44C2-83C2-58132205648D}" presName="connTx" presStyleLbl="parChTrans1D2" presStyleIdx="4" presStyleCnt="9"/>
      <dgm:spPr/>
      <dgm:t>
        <a:bodyPr/>
        <a:lstStyle/>
        <a:p>
          <a:endParaRPr lang="lv-LV"/>
        </a:p>
      </dgm:t>
    </dgm:pt>
    <dgm:pt modelId="{20350A92-6EFD-4869-9541-6AEA077C6F9F}" type="pres">
      <dgm:prSet presAssocID="{AAB03C48-B7FB-4BE3-8829-58C100074E34}" presName="node" presStyleLbl="node1" presStyleIdx="4" presStyleCnt="9" custScaleX="139885" custScaleY="125283">
        <dgm:presLayoutVars>
          <dgm:bulletEnabled val="1"/>
        </dgm:presLayoutVars>
      </dgm:prSet>
      <dgm:spPr/>
      <dgm:t>
        <a:bodyPr/>
        <a:lstStyle/>
        <a:p>
          <a:endParaRPr lang="lv-LV"/>
        </a:p>
      </dgm:t>
    </dgm:pt>
    <dgm:pt modelId="{80C5D2F6-1D95-4821-96C4-043BBD97DB52}" type="pres">
      <dgm:prSet presAssocID="{273054ED-15A5-402F-878E-0E2ADCCF5774}" presName="Name9" presStyleLbl="parChTrans1D2" presStyleIdx="5" presStyleCnt="9"/>
      <dgm:spPr/>
      <dgm:t>
        <a:bodyPr/>
        <a:lstStyle/>
        <a:p>
          <a:endParaRPr lang="lv-LV"/>
        </a:p>
      </dgm:t>
    </dgm:pt>
    <dgm:pt modelId="{C40EB97A-3E20-43A1-A86D-A6605F37F449}" type="pres">
      <dgm:prSet presAssocID="{273054ED-15A5-402F-878E-0E2ADCCF5774}" presName="connTx" presStyleLbl="parChTrans1D2" presStyleIdx="5" presStyleCnt="9"/>
      <dgm:spPr/>
      <dgm:t>
        <a:bodyPr/>
        <a:lstStyle/>
        <a:p>
          <a:endParaRPr lang="lv-LV"/>
        </a:p>
      </dgm:t>
    </dgm:pt>
    <dgm:pt modelId="{3CE8928D-3079-4C5B-9ACC-19A5EDD1631D}" type="pres">
      <dgm:prSet presAssocID="{B8280622-A0A5-4F69-AD5F-FFB1E314960B}" presName="node" presStyleLbl="node1" presStyleIdx="5" presStyleCnt="9" custScaleX="134375" custScaleY="129849">
        <dgm:presLayoutVars>
          <dgm:bulletEnabled val="1"/>
        </dgm:presLayoutVars>
      </dgm:prSet>
      <dgm:spPr/>
      <dgm:t>
        <a:bodyPr/>
        <a:lstStyle/>
        <a:p>
          <a:endParaRPr lang="lv-LV"/>
        </a:p>
      </dgm:t>
    </dgm:pt>
    <dgm:pt modelId="{C53820B9-779A-46DC-B03E-2B2E3BF28523}" type="pres">
      <dgm:prSet presAssocID="{D30E907E-235A-4949-BB61-5A3214D82ADC}" presName="Name9" presStyleLbl="parChTrans1D2" presStyleIdx="6" presStyleCnt="9"/>
      <dgm:spPr/>
      <dgm:t>
        <a:bodyPr/>
        <a:lstStyle/>
        <a:p>
          <a:endParaRPr lang="lv-LV"/>
        </a:p>
      </dgm:t>
    </dgm:pt>
    <dgm:pt modelId="{7DED9217-F8D7-4B72-BDE5-FF4C3D1225E6}" type="pres">
      <dgm:prSet presAssocID="{D30E907E-235A-4949-BB61-5A3214D82ADC}" presName="connTx" presStyleLbl="parChTrans1D2" presStyleIdx="6" presStyleCnt="9"/>
      <dgm:spPr/>
      <dgm:t>
        <a:bodyPr/>
        <a:lstStyle/>
        <a:p>
          <a:endParaRPr lang="lv-LV"/>
        </a:p>
      </dgm:t>
    </dgm:pt>
    <dgm:pt modelId="{612AE97D-75D6-4E65-90B5-DECB0C6793E1}" type="pres">
      <dgm:prSet presAssocID="{1CC6C4CE-D99C-4E9D-A65A-DFCB79CEBF81}" presName="node" presStyleLbl="node1" presStyleIdx="6" presStyleCnt="9" custScaleX="121869" custScaleY="111651">
        <dgm:presLayoutVars>
          <dgm:bulletEnabled val="1"/>
        </dgm:presLayoutVars>
      </dgm:prSet>
      <dgm:spPr/>
      <dgm:t>
        <a:bodyPr/>
        <a:lstStyle/>
        <a:p>
          <a:endParaRPr lang="lv-LV"/>
        </a:p>
      </dgm:t>
    </dgm:pt>
    <dgm:pt modelId="{A4136872-9AC9-4B86-8FDF-745F1E77DDAE}" type="pres">
      <dgm:prSet presAssocID="{0CAA161F-453A-4BC7-809B-25B785154F5E}" presName="Name9" presStyleLbl="parChTrans1D2" presStyleIdx="7" presStyleCnt="9"/>
      <dgm:spPr/>
      <dgm:t>
        <a:bodyPr/>
        <a:lstStyle/>
        <a:p>
          <a:endParaRPr lang="lv-LV"/>
        </a:p>
      </dgm:t>
    </dgm:pt>
    <dgm:pt modelId="{D77D03A0-B110-4A73-A4A0-A269B50497C3}" type="pres">
      <dgm:prSet presAssocID="{0CAA161F-453A-4BC7-809B-25B785154F5E}" presName="connTx" presStyleLbl="parChTrans1D2" presStyleIdx="7" presStyleCnt="9"/>
      <dgm:spPr/>
      <dgm:t>
        <a:bodyPr/>
        <a:lstStyle/>
        <a:p>
          <a:endParaRPr lang="lv-LV"/>
        </a:p>
      </dgm:t>
    </dgm:pt>
    <dgm:pt modelId="{E8F9BB02-8937-44E1-B38C-718511D588A3}" type="pres">
      <dgm:prSet presAssocID="{AF428B56-7BB3-4399-B2BB-A19E87513481}" presName="node" presStyleLbl="node1" presStyleIdx="7" presStyleCnt="9" custScaleX="176987" custScaleY="119851">
        <dgm:presLayoutVars>
          <dgm:bulletEnabled val="1"/>
        </dgm:presLayoutVars>
      </dgm:prSet>
      <dgm:spPr/>
      <dgm:t>
        <a:bodyPr/>
        <a:lstStyle/>
        <a:p>
          <a:endParaRPr lang="lv-LV"/>
        </a:p>
      </dgm:t>
    </dgm:pt>
    <dgm:pt modelId="{F5C3CEB4-36EB-4ED1-8AB0-AB146A7B8DEF}" type="pres">
      <dgm:prSet presAssocID="{4ACDE3DB-DF8D-41B5-9E8A-28F65B9D2E73}" presName="Name9" presStyleLbl="parChTrans1D2" presStyleIdx="8" presStyleCnt="9"/>
      <dgm:spPr/>
      <dgm:t>
        <a:bodyPr/>
        <a:lstStyle/>
        <a:p>
          <a:endParaRPr lang="lv-LV"/>
        </a:p>
      </dgm:t>
    </dgm:pt>
    <dgm:pt modelId="{C79D96E9-1454-422B-89B8-3B15EC4CD488}" type="pres">
      <dgm:prSet presAssocID="{4ACDE3DB-DF8D-41B5-9E8A-28F65B9D2E73}" presName="connTx" presStyleLbl="parChTrans1D2" presStyleIdx="8" presStyleCnt="9"/>
      <dgm:spPr/>
      <dgm:t>
        <a:bodyPr/>
        <a:lstStyle/>
        <a:p>
          <a:endParaRPr lang="lv-LV"/>
        </a:p>
      </dgm:t>
    </dgm:pt>
    <dgm:pt modelId="{6526A5AE-423F-4293-9F4D-7030F113BABB}" type="pres">
      <dgm:prSet presAssocID="{13350FDD-846A-45C3-87C7-0299B5CA6556}" presName="node" presStyleLbl="node1" presStyleIdx="8" presStyleCnt="9" custScaleX="142622" custScaleY="104319">
        <dgm:presLayoutVars>
          <dgm:bulletEnabled val="1"/>
        </dgm:presLayoutVars>
      </dgm:prSet>
      <dgm:spPr/>
      <dgm:t>
        <a:bodyPr/>
        <a:lstStyle/>
        <a:p>
          <a:endParaRPr lang="lv-LV"/>
        </a:p>
      </dgm:t>
    </dgm:pt>
  </dgm:ptLst>
  <dgm:cxnLst>
    <dgm:cxn modelId="{1F7A9910-60B4-4F36-BA12-BC38C193C72E}" srcId="{2E7626B1-038C-4527-8D00-A4125B3D9CCC}" destId="{AAB03C48-B7FB-4BE3-8829-58C100074E34}" srcOrd="4" destOrd="0" parTransId="{99E63034-95B5-44C2-83C2-58132205648D}" sibTransId="{C1873C40-AC34-438D-BC53-271DDB4F7F20}"/>
    <dgm:cxn modelId="{4184B278-0A51-4F2A-8723-455A32BC7E99}" type="presOf" srcId="{D30E907E-235A-4949-BB61-5A3214D82ADC}" destId="{7DED9217-F8D7-4B72-BDE5-FF4C3D1225E6}" srcOrd="1" destOrd="0" presId="urn:microsoft.com/office/officeart/2005/8/layout/radial1"/>
    <dgm:cxn modelId="{1F15EE67-B63A-44A3-99C1-72500DE3FE33}" type="presOf" srcId="{DE2C33BD-E0F1-4495-9F7C-10A8A0BC8216}" destId="{1182DD33-97DB-4DF9-B44F-EB4F01EAE637}" srcOrd="0" destOrd="0" presId="urn:microsoft.com/office/officeart/2005/8/layout/radial1"/>
    <dgm:cxn modelId="{CAF35288-B596-4CC8-B63E-7EC175A4B3AB}" type="presOf" srcId="{2ABAD836-F5D7-418A-AB50-B9895A1DD5DB}" destId="{51D73096-CE27-49E3-99B4-E129A7B50F78}" srcOrd="0" destOrd="0" presId="urn:microsoft.com/office/officeart/2005/8/layout/radial1"/>
    <dgm:cxn modelId="{143D2FCE-4431-4491-84A4-562A77CB07D5}" type="presOf" srcId="{D30E907E-235A-4949-BB61-5A3214D82ADC}" destId="{C53820B9-779A-46DC-B03E-2B2E3BF28523}" srcOrd="0" destOrd="0" presId="urn:microsoft.com/office/officeart/2005/8/layout/radial1"/>
    <dgm:cxn modelId="{563AADD9-5132-4ACF-AD7F-D6CA9383B5D8}" type="presOf" srcId="{CC807058-817E-4EF9-9B43-55E5F760D6F5}" destId="{EA1BF43B-52D3-4E17-88D9-082FD5BA9594}" srcOrd="1" destOrd="0" presId="urn:microsoft.com/office/officeart/2005/8/layout/radial1"/>
    <dgm:cxn modelId="{015A4528-83EF-42E7-9F8A-21BDCE2840EE}" type="presOf" srcId="{99E63034-95B5-44C2-83C2-58132205648D}" destId="{AB1F077E-E9F5-415D-BA0D-914626A5EC2B}" srcOrd="0" destOrd="0" presId="urn:microsoft.com/office/officeart/2005/8/layout/radial1"/>
    <dgm:cxn modelId="{33343E88-FD79-4B3A-9303-C981B24D3CDF}" srcId="{2E7626B1-038C-4527-8D00-A4125B3D9CCC}" destId="{1CC6C4CE-D99C-4E9D-A65A-DFCB79CEBF81}" srcOrd="6" destOrd="0" parTransId="{D30E907E-235A-4949-BB61-5A3214D82ADC}" sibTransId="{3505CF0E-253C-47FC-B0FF-DBF087EE9966}"/>
    <dgm:cxn modelId="{6C981278-B254-4065-A68B-0FE6232F055C}" type="presOf" srcId="{273054ED-15A5-402F-878E-0E2ADCCF5774}" destId="{80C5D2F6-1D95-4821-96C4-043BBD97DB52}" srcOrd="0" destOrd="0" presId="urn:microsoft.com/office/officeart/2005/8/layout/radial1"/>
    <dgm:cxn modelId="{456C43E5-61A2-4F0E-B8CE-F650AB765057}" type="presOf" srcId="{4ACDE3DB-DF8D-41B5-9E8A-28F65B9D2E73}" destId="{C79D96E9-1454-422B-89B8-3B15EC4CD488}" srcOrd="1" destOrd="0" presId="urn:microsoft.com/office/officeart/2005/8/layout/radial1"/>
    <dgm:cxn modelId="{08044C5F-137A-4481-A26B-ADFDD48ECD0C}" type="presOf" srcId="{B8280622-A0A5-4F69-AD5F-FFB1E314960B}" destId="{3CE8928D-3079-4C5B-9ACC-19A5EDD1631D}" srcOrd="0" destOrd="0" presId="urn:microsoft.com/office/officeart/2005/8/layout/radial1"/>
    <dgm:cxn modelId="{B69FC5DB-EB6E-49E3-AE93-54186C39E837}" type="presOf" srcId="{4ACDE3DB-DF8D-41B5-9E8A-28F65B9D2E73}" destId="{F5C3CEB4-36EB-4ED1-8AB0-AB146A7B8DEF}" srcOrd="0" destOrd="0" presId="urn:microsoft.com/office/officeart/2005/8/layout/radial1"/>
    <dgm:cxn modelId="{354B21FD-1A48-4480-AC0D-90595F6B122F}" srcId="{32FF2433-8888-4AEC-B69E-9EFF924B5C0E}" destId="{2E7626B1-038C-4527-8D00-A4125B3D9CCC}" srcOrd="0" destOrd="0" parTransId="{FF1105C9-0781-4A9E-9AA7-3A98E9327ACC}" sibTransId="{B51367A0-3EF6-4D19-AA95-05C85F5BA595}"/>
    <dgm:cxn modelId="{089EF14A-7FDE-48E1-AE45-679056C1C73E}" type="presOf" srcId="{AAB03C48-B7FB-4BE3-8829-58C100074E34}" destId="{20350A92-6EFD-4869-9541-6AEA077C6F9F}" srcOrd="0" destOrd="0" presId="urn:microsoft.com/office/officeart/2005/8/layout/radial1"/>
    <dgm:cxn modelId="{0C06D410-67DE-4AC6-9335-0D2F02FF1E1D}" srcId="{2E7626B1-038C-4527-8D00-A4125B3D9CCC}" destId="{04D06B8A-4829-473C-8A03-A1425D5643D9}" srcOrd="3" destOrd="0" parTransId="{CC807058-817E-4EF9-9B43-55E5F760D6F5}" sibTransId="{2F677FC8-4AE9-4E80-A7D6-3990EA6D3A04}"/>
    <dgm:cxn modelId="{E2817C13-6D90-44FC-99FA-8795B86FB1C4}" srcId="{2E7626B1-038C-4527-8D00-A4125B3D9CCC}" destId="{AF428B56-7BB3-4399-B2BB-A19E87513481}" srcOrd="7" destOrd="0" parTransId="{0CAA161F-453A-4BC7-809B-25B785154F5E}" sibTransId="{90907085-771C-454D-9CB4-A0DA46A1E029}"/>
    <dgm:cxn modelId="{E0AD0C8C-5C87-46F7-9C64-257AA5BC1B88}" type="presOf" srcId="{49366179-5427-49C0-9710-6DC2620F6452}" destId="{D31B749F-D690-45FD-B3C7-0EF4B9A43343}" srcOrd="1" destOrd="0" presId="urn:microsoft.com/office/officeart/2005/8/layout/radial1"/>
    <dgm:cxn modelId="{2077EB45-420C-48CC-AA60-B079944D4B77}" type="presOf" srcId="{AF428B56-7BB3-4399-B2BB-A19E87513481}" destId="{E8F9BB02-8937-44E1-B38C-718511D588A3}" srcOrd="0" destOrd="0" presId="urn:microsoft.com/office/officeart/2005/8/layout/radial1"/>
    <dgm:cxn modelId="{0D5567D0-85C4-4E6C-9FF7-C61F26314FEF}" type="presOf" srcId="{CC807058-817E-4EF9-9B43-55E5F760D6F5}" destId="{19EE9DB9-02C6-4EC1-ABCB-25A1319B4443}" srcOrd="0" destOrd="0" presId="urn:microsoft.com/office/officeart/2005/8/layout/radial1"/>
    <dgm:cxn modelId="{387F45C8-D5FA-4F00-96C4-06A1CB3AD053}" srcId="{2E7626B1-038C-4527-8D00-A4125B3D9CCC}" destId="{13350FDD-846A-45C3-87C7-0299B5CA6556}" srcOrd="8" destOrd="0" parTransId="{4ACDE3DB-DF8D-41B5-9E8A-28F65B9D2E73}" sibTransId="{9A620B65-7726-4D8E-89A0-A2EFF7572DF9}"/>
    <dgm:cxn modelId="{873DC608-84DB-4548-A802-F55C50977FD4}" type="presOf" srcId="{13350FDD-846A-45C3-87C7-0299B5CA6556}" destId="{6526A5AE-423F-4293-9F4D-7030F113BABB}" srcOrd="0" destOrd="0" presId="urn:microsoft.com/office/officeart/2005/8/layout/radial1"/>
    <dgm:cxn modelId="{05AB80B1-C228-4856-AF70-94369BAF78FC}" type="presOf" srcId="{04D06B8A-4829-473C-8A03-A1425D5643D9}" destId="{C754A8FF-06E2-4AE3-8051-9D24C73CEBE4}" srcOrd="0" destOrd="0" presId="urn:microsoft.com/office/officeart/2005/8/layout/radial1"/>
    <dgm:cxn modelId="{99BBD464-2498-48E9-A9A4-2CE22BDFD440}" type="presOf" srcId="{32FF2433-8888-4AEC-B69E-9EFF924B5C0E}" destId="{94F0A274-0A24-44EF-9858-F9478D13F73B}" srcOrd="0" destOrd="0" presId="urn:microsoft.com/office/officeart/2005/8/layout/radial1"/>
    <dgm:cxn modelId="{543899E1-EA3B-45B6-8527-7C3A441D17BA}" type="presOf" srcId="{E5FA7139-2F04-4EBC-907D-E057D9FE2972}" destId="{38ED9167-3644-4FBB-B654-9227E4AC7CAB}" srcOrd="0" destOrd="0" presId="urn:microsoft.com/office/officeart/2005/8/layout/radial1"/>
    <dgm:cxn modelId="{DF31C7BF-0913-466B-9AE1-71D15517B0E6}" type="presOf" srcId="{1CC6C4CE-D99C-4E9D-A65A-DFCB79CEBF81}" destId="{612AE97D-75D6-4E65-90B5-DECB0C6793E1}" srcOrd="0" destOrd="0" presId="urn:microsoft.com/office/officeart/2005/8/layout/radial1"/>
    <dgm:cxn modelId="{695C9A91-891B-4CBA-9547-3451DC9F9ABC}" type="presOf" srcId="{99E63034-95B5-44C2-83C2-58132205648D}" destId="{77E5ABF1-A154-4E9E-8A33-48BE5CA24C84}" srcOrd="1" destOrd="0" presId="urn:microsoft.com/office/officeart/2005/8/layout/radial1"/>
    <dgm:cxn modelId="{DC7838E4-AA40-4A61-898B-740ED38B8390}" type="presOf" srcId="{BB906129-EDBE-4908-9AF3-7E04ECF08659}" destId="{1FE10A0B-4CDD-4554-9149-B75387D26A3B}" srcOrd="1" destOrd="0" presId="urn:microsoft.com/office/officeart/2005/8/layout/radial1"/>
    <dgm:cxn modelId="{F71D19EA-2063-42EB-8B8A-97B92D151C18}" srcId="{2E7626B1-038C-4527-8D00-A4125B3D9CCC}" destId="{B8280622-A0A5-4F69-AD5F-FFB1E314960B}" srcOrd="5" destOrd="0" parTransId="{273054ED-15A5-402F-878E-0E2ADCCF5774}" sibTransId="{ACB05AF5-35A7-4891-AAD6-6AF5F985D8E9}"/>
    <dgm:cxn modelId="{087FD4DE-E8DA-4EEC-A312-F3AA07B40B0E}" type="presOf" srcId="{49366179-5427-49C0-9710-6DC2620F6452}" destId="{BF4105D8-18D8-44B0-AFD5-AB13666C1758}" srcOrd="0" destOrd="0" presId="urn:microsoft.com/office/officeart/2005/8/layout/radial1"/>
    <dgm:cxn modelId="{11507013-7D79-4FB3-8E6B-6C6BFC8104B8}" type="presOf" srcId="{0CAA161F-453A-4BC7-809B-25B785154F5E}" destId="{A4136872-9AC9-4B86-8FDF-745F1E77DDAE}" srcOrd="0" destOrd="0" presId="urn:microsoft.com/office/officeart/2005/8/layout/radial1"/>
    <dgm:cxn modelId="{64A5B371-748B-454F-84FF-76A5685D15C6}" type="presOf" srcId="{2E7626B1-038C-4527-8D00-A4125B3D9CCC}" destId="{E0031FED-B923-4748-AD5E-E50D2085789D}" srcOrd="0" destOrd="0" presId="urn:microsoft.com/office/officeart/2005/8/layout/radial1"/>
    <dgm:cxn modelId="{1A583E1A-7037-407F-818F-F37A1F3CDDB9}" srcId="{2E7626B1-038C-4527-8D00-A4125B3D9CCC}" destId="{E5FA7139-2F04-4EBC-907D-E057D9FE2972}" srcOrd="0" destOrd="0" parTransId="{BB906129-EDBE-4908-9AF3-7E04ECF08659}" sibTransId="{744BD35E-B2E6-463E-AADA-50C2DD1F6BF9}"/>
    <dgm:cxn modelId="{2A324F3A-70DC-49BF-B4CB-C202FEFCF605}" srcId="{2E7626B1-038C-4527-8D00-A4125B3D9CCC}" destId="{2ABAD836-F5D7-418A-AB50-B9895A1DD5DB}" srcOrd="2" destOrd="0" parTransId="{DE2C33BD-E0F1-4495-9F7C-10A8A0BC8216}" sibTransId="{0A686CEA-0146-4261-A53C-DF1335D2367E}"/>
    <dgm:cxn modelId="{B3FA19F3-4D4A-4FB7-91CF-73A0978F2104}" srcId="{2E7626B1-038C-4527-8D00-A4125B3D9CCC}" destId="{269C48EB-2998-4C2F-A00D-065C73350BC2}" srcOrd="1" destOrd="0" parTransId="{49366179-5427-49C0-9710-6DC2620F6452}" sibTransId="{C4A4ED85-C22E-4D36-9712-6F750B12E76C}"/>
    <dgm:cxn modelId="{45EC8093-D514-4AA3-A4B5-F6EE39804752}" type="presOf" srcId="{BB906129-EDBE-4908-9AF3-7E04ECF08659}" destId="{9A3B3757-1335-4F45-B5F7-23CEA76A1F3F}" srcOrd="0" destOrd="0" presId="urn:microsoft.com/office/officeart/2005/8/layout/radial1"/>
    <dgm:cxn modelId="{6A7CB83F-5A0E-4B24-B32C-F538904BBB53}" type="presOf" srcId="{273054ED-15A5-402F-878E-0E2ADCCF5774}" destId="{C40EB97A-3E20-43A1-A86D-A6605F37F449}" srcOrd="1" destOrd="0" presId="urn:microsoft.com/office/officeart/2005/8/layout/radial1"/>
    <dgm:cxn modelId="{EF6E7612-5DC1-41E3-8CE4-FF29E8E6C073}" type="presOf" srcId="{0CAA161F-453A-4BC7-809B-25B785154F5E}" destId="{D77D03A0-B110-4A73-A4A0-A269B50497C3}" srcOrd="1" destOrd="0" presId="urn:microsoft.com/office/officeart/2005/8/layout/radial1"/>
    <dgm:cxn modelId="{28F8E1CF-2BE6-4071-ADC0-89EB6440C378}" type="presOf" srcId="{269C48EB-2998-4C2F-A00D-065C73350BC2}" destId="{849756DE-030B-4DD2-A26F-594E88E8460C}" srcOrd="0" destOrd="0" presId="urn:microsoft.com/office/officeart/2005/8/layout/radial1"/>
    <dgm:cxn modelId="{FAF91E10-3C30-4B09-A68D-89FB14E26CE0}" type="presOf" srcId="{DE2C33BD-E0F1-4495-9F7C-10A8A0BC8216}" destId="{ED2A62F6-D6E5-4413-9537-19DDADD35994}" srcOrd="1" destOrd="0" presId="urn:microsoft.com/office/officeart/2005/8/layout/radial1"/>
    <dgm:cxn modelId="{BC3650C6-7F4C-44E1-868A-8E74089814B7}" type="presParOf" srcId="{94F0A274-0A24-44EF-9858-F9478D13F73B}" destId="{E0031FED-B923-4748-AD5E-E50D2085789D}" srcOrd="0" destOrd="0" presId="urn:microsoft.com/office/officeart/2005/8/layout/radial1"/>
    <dgm:cxn modelId="{7335B37F-E613-4B0B-92CA-F76FC815C67C}" type="presParOf" srcId="{94F0A274-0A24-44EF-9858-F9478D13F73B}" destId="{9A3B3757-1335-4F45-B5F7-23CEA76A1F3F}" srcOrd="1" destOrd="0" presId="urn:microsoft.com/office/officeart/2005/8/layout/radial1"/>
    <dgm:cxn modelId="{49E52609-A943-4F09-92BB-C22ABBE240DD}" type="presParOf" srcId="{9A3B3757-1335-4F45-B5F7-23CEA76A1F3F}" destId="{1FE10A0B-4CDD-4554-9149-B75387D26A3B}" srcOrd="0" destOrd="0" presId="urn:microsoft.com/office/officeart/2005/8/layout/radial1"/>
    <dgm:cxn modelId="{A7BFF82D-EB2F-4CF3-AA28-042216676685}" type="presParOf" srcId="{94F0A274-0A24-44EF-9858-F9478D13F73B}" destId="{38ED9167-3644-4FBB-B654-9227E4AC7CAB}" srcOrd="2" destOrd="0" presId="urn:microsoft.com/office/officeart/2005/8/layout/radial1"/>
    <dgm:cxn modelId="{87E47BBB-F242-42C1-9538-19C32817F11D}" type="presParOf" srcId="{94F0A274-0A24-44EF-9858-F9478D13F73B}" destId="{BF4105D8-18D8-44B0-AFD5-AB13666C1758}" srcOrd="3" destOrd="0" presId="urn:microsoft.com/office/officeart/2005/8/layout/radial1"/>
    <dgm:cxn modelId="{F5A8315C-8BA9-4716-A56F-70EF788B8482}" type="presParOf" srcId="{BF4105D8-18D8-44B0-AFD5-AB13666C1758}" destId="{D31B749F-D690-45FD-B3C7-0EF4B9A43343}" srcOrd="0" destOrd="0" presId="urn:microsoft.com/office/officeart/2005/8/layout/radial1"/>
    <dgm:cxn modelId="{ED2ADFD6-1DC3-4056-B7E9-7DD51551B024}" type="presParOf" srcId="{94F0A274-0A24-44EF-9858-F9478D13F73B}" destId="{849756DE-030B-4DD2-A26F-594E88E8460C}" srcOrd="4" destOrd="0" presId="urn:microsoft.com/office/officeart/2005/8/layout/radial1"/>
    <dgm:cxn modelId="{26B741D7-A193-4724-923D-6AE2556C94A1}" type="presParOf" srcId="{94F0A274-0A24-44EF-9858-F9478D13F73B}" destId="{1182DD33-97DB-4DF9-B44F-EB4F01EAE637}" srcOrd="5" destOrd="0" presId="urn:microsoft.com/office/officeart/2005/8/layout/radial1"/>
    <dgm:cxn modelId="{BFCF2F47-3ADA-4F4A-A9D7-8AA18BC9B67D}" type="presParOf" srcId="{1182DD33-97DB-4DF9-B44F-EB4F01EAE637}" destId="{ED2A62F6-D6E5-4413-9537-19DDADD35994}" srcOrd="0" destOrd="0" presId="urn:microsoft.com/office/officeart/2005/8/layout/radial1"/>
    <dgm:cxn modelId="{B4D17BB5-F26A-455A-A54E-EFFAFF750ACF}" type="presParOf" srcId="{94F0A274-0A24-44EF-9858-F9478D13F73B}" destId="{51D73096-CE27-49E3-99B4-E129A7B50F78}" srcOrd="6" destOrd="0" presId="urn:microsoft.com/office/officeart/2005/8/layout/radial1"/>
    <dgm:cxn modelId="{F68215BA-E900-4271-9570-51B93F345B46}" type="presParOf" srcId="{94F0A274-0A24-44EF-9858-F9478D13F73B}" destId="{19EE9DB9-02C6-4EC1-ABCB-25A1319B4443}" srcOrd="7" destOrd="0" presId="urn:microsoft.com/office/officeart/2005/8/layout/radial1"/>
    <dgm:cxn modelId="{7FE5F0AC-0391-44EA-8908-3FBDAE89EC98}" type="presParOf" srcId="{19EE9DB9-02C6-4EC1-ABCB-25A1319B4443}" destId="{EA1BF43B-52D3-4E17-88D9-082FD5BA9594}" srcOrd="0" destOrd="0" presId="urn:microsoft.com/office/officeart/2005/8/layout/radial1"/>
    <dgm:cxn modelId="{EA266C97-681E-4351-BFAC-16264DBE1CA1}" type="presParOf" srcId="{94F0A274-0A24-44EF-9858-F9478D13F73B}" destId="{C754A8FF-06E2-4AE3-8051-9D24C73CEBE4}" srcOrd="8" destOrd="0" presId="urn:microsoft.com/office/officeart/2005/8/layout/radial1"/>
    <dgm:cxn modelId="{31F13C6F-1380-4DBF-8ABC-CBBE9F6B9177}" type="presParOf" srcId="{94F0A274-0A24-44EF-9858-F9478D13F73B}" destId="{AB1F077E-E9F5-415D-BA0D-914626A5EC2B}" srcOrd="9" destOrd="0" presId="urn:microsoft.com/office/officeart/2005/8/layout/radial1"/>
    <dgm:cxn modelId="{BF03FBE8-0B5F-47D9-958A-D46DB241AB81}" type="presParOf" srcId="{AB1F077E-E9F5-415D-BA0D-914626A5EC2B}" destId="{77E5ABF1-A154-4E9E-8A33-48BE5CA24C84}" srcOrd="0" destOrd="0" presId="urn:microsoft.com/office/officeart/2005/8/layout/radial1"/>
    <dgm:cxn modelId="{DA2291CA-8655-4859-9A40-C30C7DC945AD}" type="presParOf" srcId="{94F0A274-0A24-44EF-9858-F9478D13F73B}" destId="{20350A92-6EFD-4869-9541-6AEA077C6F9F}" srcOrd="10" destOrd="0" presId="urn:microsoft.com/office/officeart/2005/8/layout/radial1"/>
    <dgm:cxn modelId="{2B588877-7896-49D4-9DE9-78443E675574}" type="presParOf" srcId="{94F0A274-0A24-44EF-9858-F9478D13F73B}" destId="{80C5D2F6-1D95-4821-96C4-043BBD97DB52}" srcOrd="11" destOrd="0" presId="urn:microsoft.com/office/officeart/2005/8/layout/radial1"/>
    <dgm:cxn modelId="{9C867354-7E9F-4AEB-BA87-4AD866838DB3}" type="presParOf" srcId="{80C5D2F6-1D95-4821-96C4-043BBD97DB52}" destId="{C40EB97A-3E20-43A1-A86D-A6605F37F449}" srcOrd="0" destOrd="0" presId="urn:microsoft.com/office/officeart/2005/8/layout/radial1"/>
    <dgm:cxn modelId="{4470AF49-167A-4FDE-B776-6DE6E8AFE3E3}" type="presParOf" srcId="{94F0A274-0A24-44EF-9858-F9478D13F73B}" destId="{3CE8928D-3079-4C5B-9ACC-19A5EDD1631D}" srcOrd="12" destOrd="0" presId="urn:microsoft.com/office/officeart/2005/8/layout/radial1"/>
    <dgm:cxn modelId="{0B6239F5-6CEF-4D3F-A8D6-3305F1EFBFE6}" type="presParOf" srcId="{94F0A274-0A24-44EF-9858-F9478D13F73B}" destId="{C53820B9-779A-46DC-B03E-2B2E3BF28523}" srcOrd="13" destOrd="0" presId="urn:microsoft.com/office/officeart/2005/8/layout/radial1"/>
    <dgm:cxn modelId="{706D4627-9DAD-466E-98D1-91A8355ED368}" type="presParOf" srcId="{C53820B9-779A-46DC-B03E-2B2E3BF28523}" destId="{7DED9217-F8D7-4B72-BDE5-FF4C3D1225E6}" srcOrd="0" destOrd="0" presId="urn:microsoft.com/office/officeart/2005/8/layout/radial1"/>
    <dgm:cxn modelId="{03A78BA5-B257-423E-975B-D4683E15BC71}" type="presParOf" srcId="{94F0A274-0A24-44EF-9858-F9478D13F73B}" destId="{612AE97D-75D6-4E65-90B5-DECB0C6793E1}" srcOrd="14" destOrd="0" presId="urn:microsoft.com/office/officeart/2005/8/layout/radial1"/>
    <dgm:cxn modelId="{E75E7637-4DE0-4D02-88B0-CA586A64BF2D}" type="presParOf" srcId="{94F0A274-0A24-44EF-9858-F9478D13F73B}" destId="{A4136872-9AC9-4B86-8FDF-745F1E77DDAE}" srcOrd="15" destOrd="0" presId="urn:microsoft.com/office/officeart/2005/8/layout/radial1"/>
    <dgm:cxn modelId="{D62663BF-1E36-4399-87B2-15F94894D9C0}" type="presParOf" srcId="{A4136872-9AC9-4B86-8FDF-745F1E77DDAE}" destId="{D77D03A0-B110-4A73-A4A0-A269B50497C3}" srcOrd="0" destOrd="0" presId="urn:microsoft.com/office/officeart/2005/8/layout/radial1"/>
    <dgm:cxn modelId="{C045BFFA-0F28-49C9-A4C0-F619422CD145}" type="presParOf" srcId="{94F0A274-0A24-44EF-9858-F9478D13F73B}" destId="{E8F9BB02-8937-44E1-B38C-718511D588A3}" srcOrd="16" destOrd="0" presId="urn:microsoft.com/office/officeart/2005/8/layout/radial1"/>
    <dgm:cxn modelId="{3B1C7010-87D2-4F56-9907-2F6BD748474A}" type="presParOf" srcId="{94F0A274-0A24-44EF-9858-F9478D13F73B}" destId="{F5C3CEB4-36EB-4ED1-8AB0-AB146A7B8DEF}" srcOrd="17" destOrd="0" presId="urn:microsoft.com/office/officeart/2005/8/layout/radial1"/>
    <dgm:cxn modelId="{AD586A3B-9B9E-48FA-8528-A2B91D5CD3FF}" type="presParOf" srcId="{F5C3CEB4-36EB-4ED1-8AB0-AB146A7B8DEF}" destId="{C79D96E9-1454-422B-89B8-3B15EC4CD488}" srcOrd="0" destOrd="0" presId="urn:microsoft.com/office/officeart/2005/8/layout/radial1"/>
    <dgm:cxn modelId="{12699C4A-B020-4603-9415-63730B5F5E45}" type="presParOf" srcId="{94F0A274-0A24-44EF-9858-F9478D13F73B}" destId="{6526A5AE-423F-4293-9F4D-7030F113BABB}" srcOrd="18" destOrd="0" presId="urn:microsoft.com/office/officeart/2005/8/layout/radial1"/>
  </dgm:cxnLst>
  <dgm:bg/>
  <dgm:whole/>
  <dgm:extLst>
    <a:ext uri="http://schemas.microsoft.com/office/drawing/2008/diagram">
      <dsp:dataModelExt xmlns:dsp="http://schemas.microsoft.com/office/drawing/2008/diagram" xmlns=""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681D5BF-398F-4E64-B468-01D847D763DE}" type="doc">
      <dgm:prSet loTypeId="urn:microsoft.com/office/officeart/2005/8/layout/arrow2" loCatId="process" qsTypeId="urn:microsoft.com/office/officeart/2005/8/quickstyle/simple5" qsCatId="simple" csTypeId="urn:microsoft.com/office/officeart/2005/8/colors/accent1_2" csCatId="accent1" phldr="1"/>
      <dgm:spPr/>
    </dgm:pt>
    <dgm:pt modelId="{DE97164D-12C6-421B-A884-4A20EB227CED}">
      <dgm:prSet phldrT="[Text]" custT="1"/>
      <dgm:spPr/>
      <dgm:t>
        <a:bodyPr/>
        <a:lstStyle/>
        <a:p>
          <a:pPr algn="l"/>
          <a:r>
            <a:rPr lang="lv-LV" sz="1000">
              <a:latin typeface="Times New Roman" pitchFamily="18" charset="0"/>
              <a:cs typeface="Times New Roman" pitchFamily="18" charset="0"/>
            </a:rPr>
            <a:t>2008.-2010.g. - </a:t>
          </a:r>
        </a:p>
        <a:p>
          <a:pPr algn="l"/>
          <a:r>
            <a:rPr lang="lv-LV" sz="1000">
              <a:latin typeface="Times New Roman" pitchFamily="18" charset="0"/>
              <a:cs typeface="Times New Roman" pitchFamily="18" charset="0"/>
            </a:rPr>
            <a:t>368 projekti</a:t>
          </a:r>
        </a:p>
      </dgm:t>
    </dgm:pt>
    <dgm:pt modelId="{40B97525-E11A-4C3B-890C-8A6B3A3E9F9C}" type="parTrans" cxnId="{77DA2975-A564-40C8-A9FC-C9CFA8B79EBB}">
      <dgm:prSet/>
      <dgm:spPr/>
      <dgm:t>
        <a:bodyPr/>
        <a:lstStyle/>
        <a:p>
          <a:pPr algn="l"/>
          <a:endParaRPr lang="lv-LV" sz="1000">
            <a:latin typeface="Times New Roman" pitchFamily="18" charset="0"/>
            <a:cs typeface="Times New Roman" pitchFamily="18" charset="0"/>
          </a:endParaRPr>
        </a:p>
      </dgm:t>
    </dgm:pt>
    <dgm:pt modelId="{7BA2029D-3DEE-4A8A-AEE5-8CA44F985922}" type="sibTrans" cxnId="{77DA2975-A564-40C8-A9FC-C9CFA8B79EBB}">
      <dgm:prSet/>
      <dgm:spPr/>
      <dgm:t>
        <a:bodyPr/>
        <a:lstStyle/>
        <a:p>
          <a:pPr algn="l"/>
          <a:endParaRPr lang="lv-LV" sz="1000">
            <a:latin typeface="Times New Roman" pitchFamily="18" charset="0"/>
            <a:cs typeface="Times New Roman" pitchFamily="18" charset="0"/>
          </a:endParaRPr>
        </a:p>
      </dgm:t>
    </dgm:pt>
    <dgm:pt modelId="{7594F25D-37BF-4D22-97C1-65ED91940D45}">
      <dgm:prSet custT="1"/>
      <dgm:spPr/>
      <dgm:t>
        <a:bodyPr/>
        <a:lstStyle/>
        <a:p>
          <a:pPr algn="l"/>
          <a:r>
            <a:rPr lang="lv-LV" sz="1000">
              <a:latin typeface="Times New Roman" pitchFamily="18" charset="0"/>
              <a:cs typeface="Times New Roman" pitchFamily="18" charset="0"/>
            </a:rPr>
            <a:t>2011.g. - </a:t>
          </a:r>
        </a:p>
        <a:p>
          <a:pPr algn="l"/>
          <a:r>
            <a:rPr lang="lv-LV" sz="1000">
              <a:latin typeface="Times New Roman" pitchFamily="18" charset="0"/>
              <a:cs typeface="Times New Roman" pitchFamily="18" charset="0"/>
            </a:rPr>
            <a:t>1532 projekti</a:t>
          </a:r>
        </a:p>
      </dgm:t>
    </dgm:pt>
    <dgm:pt modelId="{170899D5-6EB5-4225-9FC6-D134837C9ACD}" type="parTrans" cxnId="{3F0C3BD1-F538-4400-8FED-7284CDFA5F78}">
      <dgm:prSet/>
      <dgm:spPr/>
      <dgm:t>
        <a:bodyPr/>
        <a:lstStyle/>
        <a:p>
          <a:pPr algn="l"/>
          <a:endParaRPr lang="lv-LV" sz="1000">
            <a:latin typeface="Times New Roman" pitchFamily="18" charset="0"/>
            <a:cs typeface="Times New Roman" pitchFamily="18" charset="0"/>
          </a:endParaRPr>
        </a:p>
      </dgm:t>
    </dgm:pt>
    <dgm:pt modelId="{CC221E40-9602-40B1-9396-37417C99BAB4}" type="sibTrans" cxnId="{3F0C3BD1-F538-4400-8FED-7284CDFA5F78}">
      <dgm:prSet/>
      <dgm:spPr/>
      <dgm:t>
        <a:bodyPr/>
        <a:lstStyle/>
        <a:p>
          <a:pPr algn="l"/>
          <a:endParaRPr lang="lv-LV" sz="1000">
            <a:latin typeface="Times New Roman" pitchFamily="18" charset="0"/>
            <a:cs typeface="Times New Roman" pitchFamily="18" charset="0"/>
          </a:endParaRPr>
        </a:p>
      </dgm:t>
    </dgm:pt>
    <dgm:pt modelId="{0F0A109E-750C-4135-936E-B8E23F98451A}">
      <dgm:prSet custT="1"/>
      <dgm:spPr/>
      <dgm:t>
        <a:bodyPr/>
        <a:lstStyle/>
        <a:p>
          <a:pPr algn="l"/>
          <a:r>
            <a:rPr lang="lv-LV" sz="1000">
              <a:latin typeface="Times New Roman" pitchFamily="18" charset="0"/>
              <a:cs typeface="Times New Roman" pitchFamily="18" charset="0"/>
            </a:rPr>
            <a:t>2012.g. - </a:t>
          </a:r>
        </a:p>
        <a:p>
          <a:pPr algn="l"/>
          <a:r>
            <a:rPr lang="lv-LV" sz="1000">
              <a:latin typeface="Times New Roman" pitchFamily="18" charset="0"/>
              <a:cs typeface="Times New Roman" pitchFamily="18" charset="0"/>
            </a:rPr>
            <a:t>1289 projekti</a:t>
          </a:r>
        </a:p>
      </dgm:t>
    </dgm:pt>
    <dgm:pt modelId="{53F55F58-5675-4B52-B6C7-40FC6271B32D}" type="parTrans" cxnId="{0A0414CA-EA0B-441C-8D84-1BFF522FB7FE}">
      <dgm:prSet/>
      <dgm:spPr/>
      <dgm:t>
        <a:bodyPr/>
        <a:lstStyle/>
        <a:p>
          <a:pPr algn="l"/>
          <a:endParaRPr lang="lv-LV" sz="1000">
            <a:latin typeface="Times New Roman" pitchFamily="18" charset="0"/>
            <a:cs typeface="Times New Roman" pitchFamily="18" charset="0"/>
          </a:endParaRPr>
        </a:p>
      </dgm:t>
    </dgm:pt>
    <dgm:pt modelId="{31A3DA7F-B86E-4150-9B50-C539208E8FAD}" type="sibTrans" cxnId="{0A0414CA-EA0B-441C-8D84-1BFF522FB7FE}">
      <dgm:prSet/>
      <dgm:spPr/>
      <dgm:t>
        <a:bodyPr/>
        <a:lstStyle/>
        <a:p>
          <a:pPr algn="l"/>
          <a:endParaRPr lang="lv-LV" sz="1000">
            <a:latin typeface="Times New Roman" pitchFamily="18" charset="0"/>
            <a:cs typeface="Times New Roman" pitchFamily="18" charset="0"/>
          </a:endParaRPr>
        </a:p>
      </dgm:t>
    </dgm:pt>
    <dgm:pt modelId="{09862F33-018F-4874-88B3-66911627B7AD}">
      <dgm:prSet custT="1"/>
      <dgm:spPr/>
      <dgm:t>
        <a:bodyPr/>
        <a:lstStyle/>
        <a:p>
          <a:pPr algn="l"/>
          <a:r>
            <a:rPr lang="lv-LV" sz="1000" b="1">
              <a:latin typeface="Times New Roman" pitchFamily="18" charset="0"/>
              <a:cs typeface="Times New Roman" pitchFamily="18" charset="0"/>
            </a:rPr>
            <a:t>2013.g. - </a:t>
          </a:r>
        </a:p>
        <a:p>
          <a:pPr algn="l"/>
          <a:r>
            <a:rPr lang="lv-LV" sz="1000" b="1">
              <a:latin typeface="Times New Roman" pitchFamily="18" charset="0"/>
              <a:cs typeface="Times New Roman" pitchFamily="18" charset="0"/>
            </a:rPr>
            <a:t>337 projekti</a:t>
          </a:r>
        </a:p>
      </dgm:t>
    </dgm:pt>
    <dgm:pt modelId="{C7648108-2AC2-45B0-B240-3263F28E3CA4}" type="parTrans" cxnId="{C4AE4E6D-54BD-453E-AA10-2A0FB2BE45D7}">
      <dgm:prSet/>
      <dgm:spPr/>
      <dgm:t>
        <a:bodyPr/>
        <a:lstStyle/>
        <a:p>
          <a:pPr algn="l"/>
          <a:endParaRPr lang="lv-LV"/>
        </a:p>
      </dgm:t>
    </dgm:pt>
    <dgm:pt modelId="{347ED9E4-409B-4A27-978F-2A00F533BB35}" type="sibTrans" cxnId="{C4AE4E6D-54BD-453E-AA10-2A0FB2BE45D7}">
      <dgm:prSet/>
      <dgm:spPr/>
      <dgm:t>
        <a:bodyPr/>
        <a:lstStyle/>
        <a:p>
          <a:pPr algn="l"/>
          <a:endParaRPr lang="lv-LV"/>
        </a:p>
      </dgm:t>
    </dgm:pt>
    <dgm:pt modelId="{6F1E9CDB-E09E-4AB5-A321-D6372B29DD23}" type="pres">
      <dgm:prSet presAssocID="{E681D5BF-398F-4E64-B468-01D847D763DE}" presName="arrowDiagram" presStyleCnt="0">
        <dgm:presLayoutVars>
          <dgm:chMax val="5"/>
          <dgm:dir/>
          <dgm:resizeHandles val="exact"/>
        </dgm:presLayoutVars>
      </dgm:prSet>
      <dgm:spPr/>
    </dgm:pt>
    <dgm:pt modelId="{A5AE39FD-A428-423C-A217-9D23EFD8D5F7}" type="pres">
      <dgm:prSet presAssocID="{E681D5BF-398F-4E64-B468-01D847D763DE}" presName="arrow" presStyleLbl="bgShp" presStyleIdx="0" presStyleCnt="1"/>
      <dgm:spPr/>
    </dgm:pt>
    <dgm:pt modelId="{A1747D87-4362-41B3-89F1-378C04C7E243}" type="pres">
      <dgm:prSet presAssocID="{E681D5BF-398F-4E64-B468-01D847D763DE}" presName="arrowDiagram4" presStyleCnt="0"/>
      <dgm:spPr/>
    </dgm:pt>
    <dgm:pt modelId="{D1EFE79A-CEB1-4A00-AF2F-B955633F17F5}" type="pres">
      <dgm:prSet presAssocID="{DE97164D-12C6-421B-A884-4A20EB227CED}" presName="bullet4a" presStyleLbl="node1" presStyleIdx="0" presStyleCnt="4"/>
      <dgm:spPr/>
    </dgm:pt>
    <dgm:pt modelId="{2C1CAD22-2DF9-43EB-A1AD-AAE8FC6D9081}" type="pres">
      <dgm:prSet presAssocID="{DE97164D-12C6-421B-A884-4A20EB227CED}" presName="textBox4a" presStyleLbl="revTx" presStyleIdx="0" presStyleCnt="4" custScaleX="164758" custLinFactNeighborX="34535" custLinFactNeighborY="0">
        <dgm:presLayoutVars>
          <dgm:bulletEnabled val="1"/>
        </dgm:presLayoutVars>
      </dgm:prSet>
      <dgm:spPr/>
      <dgm:t>
        <a:bodyPr/>
        <a:lstStyle/>
        <a:p>
          <a:endParaRPr lang="lv-LV"/>
        </a:p>
      </dgm:t>
    </dgm:pt>
    <dgm:pt modelId="{2376D700-CB94-4D23-ABFF-C37C8094AAA9}" type="pres">
      <dgm:prSet presAssocID="{7594F25D-37BF-4D22-97C1-65ED91940D45}" presName="bullet4b" presStyleLbl="node1" presStyleIdx="1" presStyleCnt="4"/>
      <dgm:spPr/>
    </dgm:pt>
    <dgm:pt modelId="{82A530C4-AB3C-45E5-B99E-DA833BC86915}" type="pres">
      <dgm:prSet presAssocID="{7594F25D-37BF-4D22-97C1-65ED91940D45}" presName="textBox4b" presStyleLbl="revTx" presStyleIdx="1" presStyleCnt="4">
        <dgm:presLayoutVars>
          <dgm:bulletEnabled val="1"/>
        </dgm:presLayoutVars>
      </dgm:prSet>
      <dgm:spPr/>
      <dgm:t>
        <a:bodyPr/>
        <a:lstStyle/>
        <a:p>
          <a:endParaRPr lang="lv-LV"/>
        </a:p>
      </dgm:t>
    </dgm:pt>
    <dgm:pt modelId="{11A487D1-1A5C-4765-8067-C0833EAB7862}" type="pres">
      <dgm:prSet presAssocID="{0F0A109E-750C-4135-936E-B8E23F98451A}" presName="bullet4c" presStyleLbl="node1" presStyleIdx="2" presStyleCnt="4"/>
      <dgm:spPr/>
    </dgm:pt>
    <dgm:pt modelId="{21A76A7B-2D4D-44E6-AF64-A7E1F0CFFA26}" type="pres">
      <dgm:prSet presAssocID="{0F0A109E-750C-4135-936E-B8E23F98451A}" presName="textBox4c" presStyleLbl="revTx" presStyleIdx="2" presStyleCnt="4">
        <dgm:presLayoutVars>
          <dgm:bulletEnabled val="1"/>
        </dgm:presLayoutVars>
      </dgm:prSet>
      <dgm:spPr/>
      <dgm:t>
        <a:bodyPr/>
        <a:lstStyle/>
        <a:p>
          <a:endParaRPr lang="lv-LV"/>
        </a:p>
      </dgm:t>
    </dgm:pt>
    <dgm:pt modelId="{E2B12FB0-00D7-471D-9E22-F9DB97999528}" type="pres">
      <dgm:prSet presAssocID="{09862F33-018F-4874-88B3-66911627B7AD}" presName="bullet4d" presStyleLbl="node1" presStyleIdx="3" presStyleCnt="4"/>
      <dgm:spPr/>
    </dgm:pt>
    <dgm:pt modelId="{2E8BB321-7EFA-4BD8-B245-980375E6805E}" type="pres">
      <dgm:prSet presAssocID="{09862F33-018F-4874-88B3-66911627B7AD}" presName="textBox4d" presStyleLbl="revTx" presStyleIdx="3" presStyleCnt="4">
        <dgm:presLayoutVars>
          <dgm:bulletEnabled val="1"/>
        </dgm:presLayoutVars>
      </dgm:prSet>
      <dgm:spPr/>
      <dgm:t>
        <a:bodyPr/>
        <a:lstStyle/>
        <a:p>
          <a:endParaRPr lang="lv-LV"/>
        </a:p>
      </dgm:t>
    </dgm:pt>
  </dgm:ptLst>
  <dgm:cxnLst>
    <dgm:cxn modelId="{28C9BAA4-4DFD-4FF6-B1B9-D4EC6CE0D526}" type="presOf" srcId="{E681D5BF-398F-4E64-B468-01D847D763DE}" destId="{6F1E9CDB-E09E-4AB5-A321-D6372B29DD23}" srcOrd="0" destOrd="0" presId="urn:microsoft.com/office/officeart/2005/8/layout/arrow2"/>
    <dgm:cxn modelId="{C4AE4E6D-54BD-453E-AA10-2A0FB2BE45D7}" srcId="{E681D5BF-398F-4E64-B468-01D847D763DE}" destId="{09862F33-018F-4874-88B3-66911627B7AD}" srcOrd="3" destOrd="0" parTransId="{C7648108-2AC2-45B0-B240-3263F28E3CA4}" sibTransId="{347ED9E4-409B-4A27-978F-2A00F533BB35}"/>
    <dgm:cxn modelId="{3F0C3BD1-F538-4400-8FED-7284CDFA5F78}" srcId="{E681D5BF-398F-4E64-B468-01D847D763DE}" destId="{7594F25D-37BF-4D22-97C1-65ED91940D45}" srcOrd="1" destOrd="0" parTransId="{170899D5-6EB5-4225-9FC6-D134837C9ACD}" sibTransId="{CC221E40-9602-40B1-9396-37417C99BAB4}"/>
    <dgm:cxn modelId="{888D8CD7-3C73-4104-92D1-DF9E0ECE5B0D}" type="presOf" srcId="{09862F33-018F-4874-88B3-66911627B7AD}" destId="{2E8BB321-7EFA-4BD8-B245-980375E6805E}" srcOrd="0" destOrd="0" presId="urn:microsoft.com/office/officeart/2005/8/layout/arrow2"/>
    <dgm:cxn modelId="{77DA2975-A564-40C8-A9FC-C9CFA8B79EBB}" srcId="{E681D5BF-398F-4E64-B468-01D847D763DE}" destId="{DE97164D-12C6-421B-A884-4A20EB227CED}" srcOrd="0" destOrd="0" parTransId="{40B97525-E11A-4C3B-890C-8A6B3A3E9F9C}" sibTransId="{7BA2029D-3DEE-4A8A-AEE5-8CA44F985922}"/>
    <dgm:cxn modelId="{BC874E9D-E246-4F6D-A133-A34FD48D0431}" type="presOf" srcId="{DE97164D-12C6-421B-A884-4A20EB227CED}" destId="{2C1CAD22-2DF9-43EB-A1AD-AAE8FC6D9081}" srcOrd="0" destOrd="0" presId="urn:microsoft.com/office/officeart/2005/8/layout/arrow2"/>
    <dgm:cxn modelId="{AEF3F7BB-4641-40B3-A3DB-B1C8E58763DE}" type="presOf" srcId="{7594F25D-37BF-4D22-97C1-65ED91940D45}" destId="{82A530C4-AB3C-45E5-B99E-DA833BC86915}" srcOrd="0" destOrd="0" presId="urn:microsoft.com/office/officeart/2005/8/layout/arrow2"/>
    <dgm:cxn modelId="{0A0414CA-EA0B-441C-8D84-1BFF522FB7FE}" srcId="{E681D5BF-398F-4E64-B468-01D847D763DE}" destId="{0F0A109E-750C-4135-936E-B8E23F98451A}" srcOrd="2" destOrd="0" parTransId="{53F55F58-5675-4B52-B6C7-40FC6271B32D}" sibTransId="{31A3DA7F-B86E-4150-9B50-C539208E8FAD}"/>
    <dgm:cxn modelId="{B5553840-23B4-4332-B8E1-1556CC5F6AEC}" type="presOf" srcId="{0F0A109E-750C-4135-936E-B8E23F98451A}" destId="{21A76A7B-2D4D-44E6-AF64-A7E1F0CFFA26}" srcOrd="0" destOrd="0" presId="urn:microsoft.com/office/officeart/2005/8/layout/arrow2"/>
    <dgm:cxn modelId="{1C8CB7EF-F7CC-4DB5-BE0C-6F770C902351}" type="presParOf" srcId="{6F1E9CDB-E09E-4AB5-A321-D6372B29DD23}" destId="{A5AE39FD-A428-423C-A217-9D23EFD8D5F7}" srcOrd="0" destOrd="0" presId="urn:microsoft.com/office/officeart/2005/8/layout/arrow2"/>
    <dgm:cxn modelId="{899C0097-1BE7-402F-8F75-16CAA3CF4AA7}" type="presParOf" srcId="{6F1E9CDB-E09E-4AB5-A321-D6372B29DD23}" destId="{A1747D87-4362-41B3-89F1-378C04C7E243}" srcOrd="1" destOrd="0" presId="urn:microsoft.com/office/officeart/2005/8/layout/arrow2"/>
    <dgm:cxn modelId="{08C1C4A6-00EB-414C-B7DE-0FEC81ECC23C}" type="presParOf" srcId="{A1747D87-4362-41B3-89F1-378C04C7E243}" destId="{D1EFE79A-CEB1-4A00-AF2F-B955633F17F5}" srcOrd="0" destOrd="0" presId="urn:microsoft.com/office/officeart/2005/8/layout/arrow2"/>
    <dgm:cxn modelId="{8C80B678-72BD-4D90-AC9F-9202BD2B0D3E}" type="presParOf" srcId="{A1747D87-4362-41B3-89F1-378C04C7E243}" destId="{2C1CAD22-2DF9-43EB-A1AD-AAE8FC6D9081}" srcOrd="1" destOrd="0" presId="urn:microsoft.com/office/officeart/2005/8/layout/arrow2"/>
    <dgm:cxn modelId="{48C7C610-3F71-4D11-863F-B1F8B924347A}" type="presParOf" srcId="{A1747D87-4362-41B3-89F1-378C04C7E243}" destId="{2376D700-CB94-4D23-ABFF-C37C8094AAA9}" srcOrd="2" destOrd="0" presId="urn:microsoft.com/office/officeart/2005/8/layout/arrow2"/>
    <dgm:cxn modelId="{9A8F1F84-CE95-4C07-877B-26C5E5DCC4E5}" type="presParOf" srcId="{A1747D87-4362-41B3-89F1-378C04C7E243}" destId="{82A530C4-AB3C-45E5-B99E-DA833BC86915}" srcOrd="3" destOrd="0" presId="urn:microsoft.com/office/officeart/2005/8/layout/arrow2"/>
    <dgm:cxn modelId="{393078E2-97AE-45F6-B669-546C19E0C896}" type="presParOf" srcId="{A1747D87-4362-41B3-89F1-378C04C7E243}" destId="{11A487D1-1A5C-4765-8067-C0833EAB7862}" srcOrd="4" destOrd="0" presId="urn:microsoft.com/office/officeart/2005/8/layout/arrow2"/>
    <dgm:cxn modelId="{59EFA0A7-38DE-4152-AF91-6F7B56DA2F46}" type="presParOf" srcId="{A1747D87-4362-41B3-89F1-378C04C7E243}" destId="{21A76A7B-2D4D-44E6-AF64-A7E1F0CFFA26}" srcOrd="5" destOrd="0" presId="urn:microsoft.com/office/officeart/2005/8/layout/arrow2"/>
    <dgm:cxn modelId="{C1ACEF16-7DE3-4EB9-BFA0-FA76B371117F}" type="presParOf" srcId="{A1747D87-4362-41B3-89F1-378C04C7E243}" destId="{E2B12FB0-00D7-471D-9E22-F9DB97999528}" srcOrd="6" destOrd="0" presId="urn:microsoft.com/office/officeart/2005/8/layout/arrow2"/>
    <dgm:cxn modelId="{4DD27337-B149-4C6D-AEF5-022F8A01F4CD}" type="presParOf" srcId="{A1747D87-4362-41B3-89F1-378C04C7E243}" destId="{2E8BB321-7EFA-4BD8-B245-980375E6805E}" srcOrd="7" destOrd="0" presId="urn:microsoft.com/office/officeart/2005/8/layout/arrow2"/>
  </dgm:cxnLst>
  <dgm:bg/>
  <dgm:whole/>
  <dgm:extLst>
    <a:ext uri="http://schemas.microsoft.com/office/drawing/2008/diagram">
      <dsp:dataModelExt xmlns:dsp="http://schemas.microsoft.com/office/drawing/2008/diagram" xmlns=""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6CD5B50-B946-4748-B11E-C2B56F4BC422}" type="doc">
      <dgm:prSet loTypeId="urn:microsoft.com/office/officeart/2005/8/layout/radial4" loCatId="relationship" qsTypeId="urn:microsoft.com/office/officeart/2005/8/quickstyle/simple5" qsCatId="simple" csTypeId="urn:microsoft.com/office/officeart/2005/8/colors/accent1_2" csCatId="accent1" phldr="1"/>
      <dgm:spPr/>
      <dgm:t>
        <a:bodyPr/>
        <a:lstStyle/>
        <a:p>
          <a:endParaRPr lang="lv-LV"/>
        </a:p>
      </dgm:t>
    </dgm:pt>
    <dgm:pt modelId="{B9650078-9652-4359-8302-4850A1B6908E}">
      <dgm:prSet phldrT="[Text]" custT="1"/>
      <dgm:spPr/>
      <dgm:t>
        <a:bodyPr/>
        <a:lstStyle/>
        <a:p>
          <a:pPr algn="ctr"/>
          <a:r>
            <a:rPr lang="lv-LV" sz="1100" b="1">
              <a:solidFill>
                <a:sysClr val="windowText" lastClr="000000"/>
              </a:solidFill>
              <a:latin typeface="Times New Roman" pitchFamily="18" charset="0"/>
              <a:cs typeface="Times New Roman" pitchFamily="18" charset="0"/>
            </a:rPr>
            <a:t>ES fondu un programmu kopējās investīcijas - 3,37 milj. latu</a:t>
          </a:r>
        </a:p>
      </dgm:t>
    </dgm:pt>
    <dgm:pt modelId="{A82A12CB-2CF4-4DA3-B45B-B8196306B650}" type="parTrans" cxnId="{28C73AC0-C7E8-469C-B6E3-94E683AD59E3}">
      <dgm:prSet/>
      <dgm:spPr/>
      <dgm:t>
        <a:bodyPr/>
        <a:lstStyle/>
        <a:p>
          <a:pPr algn="ctr"/>
          <a:endParaRPr lang="lv-LV"/>
        </a:p>
      </dgm:t>
    </dgm:pt>
    <dgm:pt modelId="{39B3D772-09D0-45E9-9BF9-D3ED0D70CE3F}" type="sibTrans" cxnId="{28C73AC0-C7E8-469C-B6E3-94E683AD59E3}">
      <dgm:prSet/>
      <dgm:spPr/>
      <dgm:t>
        <a:bodyPr/>
        <a:lstStyle/>
        <a:p>
          <a:pPr algn="ctr"/>
          <a:endParaRPr lang="lv-LV"/>
        </a:p>
      </dgm:t>
    </dgm:pt>
    <dgm:pt modelId="{4155A84A-9313-4AB8-B974-9970478A8122}">
      <dgm:prSet phldrT="[Text]" custT="1"/>
      <dgm:spPr/>
      <dgm:t>
        <a:bodyPr/>
        <a:lstStyle/>
        <a:p>
          <a:pPr algn="ctr"/>
          <a:r>
            <a:rPr lang="lv-LV" sz="1000">
              <a:solidFill>
                <a:sysClr val="windowText" lastClr="000000"/>
              </a:solidFill>
              <a:latin typeface="Times New Roman" pitchFamily="18" charset="0"/>
              <a:cs typeface="Times New Roman" pitchFamily="18" charset="0"/>
            </a:rPr>
            <a:t>LIFE+ programma - </a:t>
          </a:r>
          <a:r>
            <a:rPr lang="lv-LV" sz="1000" b="1">
              <a:solidFill>
                <a:sysClr val="windowText" lastClr="000000"/>
              </a:solidFill>
              <a:latin typeface="Times New Roman" pitchFamily="18" charset="0"/>
              <a:cs typeface="Times New Roman" pitchFamily="18" charset="0"/>
            </a:rPr>
            <a:t>0,85 milj. latu</a:t>
          </a:r>
          <a:endParaRPr lang="lv-LV" sz="1000">
            <a:solidFill>
              <a:sysClr val="windowText" lastClr="000000"/>
            </a:solidFill>
            <a:latin typeface="Times New Roman" pitchFamily="18" charset="0"/>
            <a:cs typeface="Times New Roman" pitchFamily="18" charset="0"/>
          </a:endParaRPr>
        </a:p>
      </dgm:t>
    </dgm:pt>
    <dgm:pt modelId="{09B91C2A-B4A8-4468-B767-25BA9EB3F0EE}" type="parTrans" cxnId="{9BC3BB53-8703-416A-9C92-6DFC095C6C85}">
      <dgm:prSet/>
      <dgm:spPr/>
      <dgm:t>
        <a:bodyPr/>
        <a:lstStyle/>
        <a:p>
          <a:pPr algn="ctr"/>
          <a:endParaRPr lang="lv-LV"/>
        </a:p>
      </dgm:t>
    </dgm:pt>
    <dgm:pt modelId="{B88F5075-23D2-4B56-90DE-713605ACF15B}" type="sibTrans" cxnId="{9BC3BB53-8703-416A-9C92-6DFC095C6C85}">
      <dgm:prSet/>
      <dgm:spPr/>
      <dgm:t>
        <a:bodyPr/>
        <a:lstStyle/>
        <a:p>
          <a:pPr algn="ctr"/>
          <a:endParaRPr lang="lv-LV"/>
        </a:p>
      </dgm:t>
    </dgm:pt>
    <dgm:pt modelId="{1EC1D6AF-54F2-46BE-A8FA-4C7D12A5878E}">
      <dgm:prSet phldrT="[Text]" custT="1"/>
      <dgm:spPr/>
      <dgm:t>
        <a:bodyPr/>
        <a:lstStyle/>
        <a:p>
          <a:pPr algn="ctr"/>
          <a:r>
            <a:rPr lang="lv-LV" sz="1000">
              <a:solidFill>
                <a:sysClr val="windowText" lastClr="000000"/>
              </a:solidFill>
              <a:latin typeface="Times New Roman" pitchFamily="18" charset="0"/>
              <a:cs typeface="Times New Roman" pitchFamily="18" charset="0"/>
            </a:rPr>
            <a:t>Kohēzijas fonds - </a:t>
          </a:r>
          <a:r>
            <a:rPr lang="lv-LV" sz="1000" b="1">
              <a:solidFill>
                <a:sysClr val="windowText" lastClr="000000"/>
              </a:solidFill>
              <a:latin typeface="Times New Roman" pitchFamily="18" charset="0"/>
              <a:cs typeface="Times New Roman" pitchFamily="18" charset="0"/>
            </a:rPr>
            <a:t>1,40 milj. latu</a:t>
          </a:r>
        </a:p>
      </dgm:t>
    </dgm:pt>
    <dgm:pt modelId="{41602FFA-BDE5-4E7B-BB79-712F49C69528}" type="parTrans" cxnId="{D1F6F192-AAE1-4EC1-8A41-82AF1AD33C7D}">
      <dgm:prSet/>
      <dgm:spPr/>
      <dgm:t>
        <a:bodyPr/>
        <a:lstStyle/>
        <a:p>
          <a:pPr algn="ctr"/>
          <a:endParaRPr lang="lv-LV"/>
        </a:p>
      </dgm:t>
    </dgm:pt>
    <dgm:pt modelId="{4B49FA74-F991-4278-B21A-D9C64AB6CB8F}" type="sibTrans" cxnId="{D1F6F192-AAE1-4EC1-8A41-82AF1AD33C7D}">
      <dgm:prSet/>
      <dgm:spPr/>
      <dgm:t>
        <a:bodyPr/>
        <a:lstStyle/>
        <a:p>
          <a:pPr algn="ctr"/>
          <a:endParaRPr lang="lv-LV"/>
        </a:p>
      </dgm:t>
    </dgm:pt>
    <dgm:pt modelId="{FC05354E-7652-4AF4-A561-57284FBDAC66}">
      <dgm:prSet phldrT="[Text]" custT="1"/>
      <dgm:spPr/>
      <dgm:t>
        <a:bodyPr/>
        <a:lstStyle/>
        <a:p>
          <a:pPr algn="ctr"/>
          <a:r>
            <a:rPr lang="lv-LV" sz="1000">
              <a:solidFill>
                <a:sysClr val="windowText" lastClr="000000"/>
              </a:solidFill>
              <a:latin typeface="Times New Roman" pitchFamily="18" charset="0"/>
              <a:cs typeface="Times New Roman" pitchFamily="18" charset="0"/>
            </a:rPr>
            <a:t>ERAF </a:t>
          </a:r>
          <a:r>
            <a:rPr lang="lv-LV" sz="1000" b="1">
              <a:solidFill>
                <a:sysClr val="windowText" lastClr="000000"/>
              </a:solidFill>
              <a:latin typeface="Times New Roman" pitchFamily="18" charset="0"/>
              <a:cs typeface="Times New Roman" pitchFamily="18" charset="0"/>
            </a:rPr>
            <a:t>- 1,48 milj. latu</a:t>
          </a:r>
        </a:p>
      </dgm:t>
    </dgm:pt>
    <dgm:pt modelId="{57ABEF7C-E143-4E45-A87F-6FED8E092773}" type="parTrans" cxnId="{975ACA9C-05C1-418C-8419-5F93D6F78C9F}">
      <dgm:prSet/>
      <dgm:spPr/>
      <dgm:t>
        <a:bodyPr/>
        <a:lstStyle/>
        <a:p>
          <a:pPr algn="ctr"/>
          <a:endParaRPr lang="lv-LV"/>
        </a:p>
      </dgm:t>
    </dgm:pt>
    <dgm:pt modelId="{BAE6F396-65E8-4C4F-8498-AB61F5C24A05}" type="sibTrans" cxnId="{975ACA9C-05C1-418C-8419-5F93D6F78C9F}">
      <dgm:prSet/>
      <dgm:spPr/>
      <dgm:t>
        <a:bodyPr/>
        <a:lstStyle/>
        <a:p>
          <a:pPr algn="ctr"/>
          <a:endParaRPr lang="lv-LV"/>
        </a:p>
      </dgm:t>
    </dgm:pt>
    <dgm:pt modelId="{268997A3-D4CF-43E3-811A-018B5CB3E852}" type="pres">
      <dgm:prSet presAssocID="{D6CD5B50-B946-4748-B11E-C2B56F4BC422}" presName="cycle" presStyleCnt="0">
        <dgm:presLayoutVars>
          <dgm:chMax val="1"/>
          <dgm:dir/>
          <dgm:animLvl val="ctr"/>
          <dgm:resizeHandles val="exact"/>
        </dgm:presLayoutVars>
      </dgm:prSet>
      <dgm:spPr/>
      <dgm:t>
        <a:bodyPr/>
        <a:lstStyle/>
        <a:p>
          <a:endParaRPr lang="lv-LV"/>
        </a:p>
      </dgm:t>
    </dgm:pt>
    <dgm:pt modelId="{5D7CB0B5-B277-4F70-BD96-A25E66E7E135}" type="pres">
      <dgm:prSet presAssocID="{B9650078-9652-4359-8302-4850A1B6908E}" presName="centerShape" presStyleLbl="node0" presStyleIdx="0" presStyleCnt="1"/>
      <dgm:spPr/>
      <dgm:t>
        <a:bodyPr/>
        <a:lstStyle/>
        <a:p>
          <a:endParaRPr lang="lv-LV"/>
        </a:p>
      </dgm:t>
    </dgm:pt>
    <dgm:pt modelId="{50B26F9F-7545-48D3-9B4D-0418EC2F5465}" type="pres">
      <dgm:prSet presAssocID="{09B91C2A-B4A8-4468-B767-25BA9EB3F0EE}" presName="parTrans" presStyleLbl="bgSibTrans2D1" presStyleIdx="0" presStyleCnt="3"/>
      <dgm:spPr/>
      <dgm:t>
        <a:bodyPr/>
        <a:lstStyle/>
        <a:p>
          <a:endParaRPr lang="lv-LV"/>
        </a:p>
      </dgm:t>
    </dgm:pt>
    <dgm:pt modelId="{30B4E0F4-5DF5-4C30-AE7B-40A6808BAD12}" type="pres">
      <dgm:prSet presAssocID="{4155A84A-9313-4AB8-B974-9970478A8122}" presName="node" presStyleLbl="node1" presStyleIdx="0" presStyleCnt="3">
        <dgm:presLayoutVars>
          <dgm:bulletEnabled val="1"/>
        </dgm:presLayoutVars>
      </dgm:prSet>
      <dgm:spPr/>
      <dgm:t>
        <a:bodyPr/>
        <a:lstStyle/>
        <a:p>
          <a:endParaRPr lang="lv-LV"/>
        </a:p>
      </dgm:t>
    </dgm:pt>
    <dgm:pt modelId="{6E08FC7D-4465-4E70-A10F-7E809E772E64}" type="pres">
      <dgm:prSet presAssocID="{41602FFA-BDE5-4E7B-BB79-712F49C69528}" presName="parTrans" presStyleLbl="bgSibTrans2D1" presStyleIdx="1" presStyleCnt="3"/>
      <dgm:spPr/>
      <dgm:t>
        <a:bodyPr/>
        <a:lstStyle/>
        <a:p>
          <a:endParaRPr lang="lv-LV"/>
        </a:p>
      </dgm:t>
    </dgm:pt>
    <dgm:pt modelId="{D3B88DDF-8CDD-4FD8-A826-A1C75B39D4EA}" type="pres">
      <dgm:prSet presAssocID="{1EC1D6AF-54F2-46BE-A8FA-4C7D12A5878E}" presName="node" presStyleLbl="node1" presStyleIdx="1" presStyleCnt="3">
        <dgm:presLayoutVars>
          <dgm:bulletEnabled val="1"/>
        </dgm:presLayoutVars>
      </dgm:prSet>
      <dgm:spPr/>
      <dgm:t>
        <a:bodyPr/>
        <a:lstStyle/>
        <a:p>
          <a:endParaRPr lang="lv-LV"/>
        </a:p>
      </dgm:t>
    </dgm:pt>
    <dgm:pt modelId="{3A7371EA-F6E6-44E9-B15C-F3270B956F02}" type="pres">
      <dgm:prSet presAssocID="{57ABEF7C-E143-4E45-A87F-6FED8E092773}" presName="parTrans" presStyleLbl="bgSibTrans2D1" presStyleIdx="2" presStyleCnt="3"/>
      <dgm:spPr/>
      <dgm:t>
        <a:bodyPr/>
        <a:lstStyle/>
        <a:p>
          <a:endParaRPr lang="lv-LV"/>
        </a:p>
      </dgm:t>
    </dgm:pt>
    <dgm:pt modelId="{26BC86CC-F67B-4CA8-98F0-C62EC34CB267}" type="pres">
      <dgm:prSet presAssocID="{FC05354E-7652-4AF4-A561-57284FBDAC66}" presName="node" presStyleLbl="node1" presStyleIdx="2" presStyleCnt="3">
        <dgm:presLayoutVars>
          <dgm:bulletEnabled val="1"/>
        </dgm:presLayoutVars>
      </dgm:prSet>
      <dgm:spPr/>
      <dgm:t>
        <a:bodyPr/>
        <a:lstStyle/>
        <a:p>
          <a:endParaRPr lang="lv-LV"/>
        </a:p>
      </dgm:t>
    </dgm:pt>
  </dgm:ptLst>
  <dgm:cxnLst>
    <dgm:cxn modelId="{ADAFCEF3-BD7B-451F-87FD-28743BB2BEAE}" type="presOf" srcId="{57ABEF7C-E143-4E45-A87F-6FED8E092773}" destId="{3A7371EA-F6E6-44E9-B15C-F3270B956F02}" srcOrd="0" destOrd="0" presId="urn:microsoft.com/office/officeart/2005/8/layout/radial4"/>
    <dgm:cxn modelId="{E9BC7F66-883C-45B6-AAC7-9B5A3791A97A}" type="presOf" srcId="{4155A84A-9313-4AB8-B974-9970478A8122}" destId="{30B4E0F4-5DF5-4C30-AE7B-40A6808BAD12}" srcOrd="0" destOrd="0" presId="urn:microsoft.com/office/officeart/2005/8/layout/radial4"/>
    <dgm:cxn modelId="{9BC3BB53-8703-416A-9C92-6DFC095C6C85}" srcId="{B9650078-9652-4359-8302-4850A1B6908E}" destId="{4155A84A-9313-4AB8-B974-9970478A8122}" srcOrd="0" destOrd="0" parTransId="{09B91C2A-B4A8-4468-B767-25BA9EB3F0EE}" sibTransId="{B88F5075-23D2-4B56-90DE-713605ACF15B}"/>
    <dgm:cxn modelId="{8EE32360-4617-47FB-98BF-C4677801D0A4}" type="presOf" srcId="{FC05354E-7652-4AF4-A561-57284FBDAC66}" destId="{26BC86CC-F67B-4CA8-98F0-C62EC34CB267}" srcOrd="0" destOrd="0" presId="urn:microsoft.com/office/officeart/2005/8/layout/radial4"/>
    <dgm:cxn modelId="{266B7C3D-25DF-44A5-A54B-51B2585788E3}" type="presOf" srcId="{41602FFA-BDE5-4E7B-BB79-712F49C69528}" destId="{6E08FC7D-4465-4E70-A10F-7E809E772E64}" srcOrd="0" destOrd="0" presId="urn:microsoft.com/office/officeart/2005/8/layout/radial4"/>
    <dgm:cxn modelId="{D1F6F192-AAE1-4EC1-8A41-82AF1AD33C7D}" srcId="{B9650078-9652-4359-8302-4850A1B6908E}" destId="{1EC1D6AF-54F2-46BE-A8FA-4C7D12A5878E}" srcOrd="1" destOrd="0" parTransId="{41602FFA-BDE5-4E7B-BB79-712F49C69528}" sibTransId="{4B49FA74-F991-4278-B21A-D9C64AB6CB8F}"/>
    <dgm:cxn modelId="{8DC44F2D-1CA0-417F-B2DF-9F57520EB236}" type="presOf" srcId="{D6CD5B50-B946-4748-B11E-C2B56F4BC422}" destId="{268997A3-D4CF-43E3-811A-018B5CB3E852}" srcOrd="0" destOrd="0" presId="urn:microsoft.com/office/officeart/2005/8/layout/radial4"/>
    <dgm:cxn modelId="{432F07F3-191C-48E6-BC47-8834C8D2D98C}" type="presOf" srcId="{09B91C2A-B4A8-4468-B767-25BA9EB3F0EE}" destId="{50B26F9F-7545-48D3-9B4D-0418EC2F5465}" srcOrd="0" destOrd="0" presId="urn:microsoft.com/office/officeart/2005/8/layout/radial4"/>
    <dgm:cxn modelId="{975ACA9C-05C1-418C-8419-5F93D6F78C9F}" srcId="{B9650078-9652-4359-8302-4850A1B6908E}" destId="{FC05354E-7652-4AF4-A561-57284FBDAC66}" srcOrd="2" destOrd="0" parTransId="{57ABEF7C-E143-4E45-A87F-6FED8E092773}" sibTransId="{BAE6F396-65E8-4C4F-8498-AB61F5C24A05}"/>
    <dgm:cxn modelId="{A7D8D0E6-125F-4D24-BE3A-D441BD64A4C2}" type="presOf" srcId="{B9650078-9652-4359-8302-4850A1B6908E}" destId="{5D7CB0B5-B277-4F70-BD96-A25E66E7E135}" srcOrd="0" destOrd="0" presId="urn:microsoft.com/office/officeart/2005/8/layout/radial4"/>
    <dgm:cxn modelId="{28C73AC0-C7E8-469C-B6E3-94E683AD59E3}" srcId="{D6CD5B50-B946-4748-B11E-C2B56F4BC422}" destId="{B9650078-9652-4359-8302-4850A1B6908E}" srcOrd="0" destOrd="0" parTransId="{A82A12CB-2CF4-4DA3-B45B-B8196306B650}" sibTransId="{39B3D772-09D0-45E9-9BF9-D3ED0D70CE3F}"/>
    <dgm:cxn modelId="{682FF912-CAC9-4123-B507-16CC41765302}" type="presOf" srcId="{1EC1D6AF-54F2-46BE-A8FA-4C7D12A5878E}" destId="{D3B88DDF-8CDD-4FD8-A826-A1C75B39D4EA}" srcOrd="0" destOrd="0" presId="urn:microsoft.com/office/officeart/2005/8/layout/radial4"/>
    <dgm:cxn modelId="{A2BF39A8-B66D-4746-A920-401EE8CBA0D2}" type="presParOf" srcId="{268997A3-D4CF-43E3-811A-018B5CB3E852}" destId="{5D7CB0B5-B277-4F70-BD96-A25E66E7E135}" srcOrd="0" destOrd="0" presId="urn:microsoft.com/office/officeart/2005/8/layout/radial4"/>
    <dgm:cxn modelId="{247A72A2-EA7E-4375-BC59-E29FB4342E20}" type="presParOf" srcId="{268997A3-D4CF-43E3-811A-018B5CB3E852}" destId="{50B26F9F-7545-48D3-9B4D-0418EC2F5465}" srcOrd="1" destOrd="0" presId="urn:microsoft.com/office/officeart/2005/8/layout/radial4"/>
    <dgm:cxn modelId="{5095A98E-2BA5-4ACC-8D06-19D2A51CA1A4}" type="presParOf" srcId="{268997A3-D4CF-43E3-811A-018B5CB3E852}" destId="{30B4E0F4-5DF5-4C30-AE7B-40A6808BAD12}" srcOrd="2" destOrd="0" presId="urn:microsoft.com/office/officeart/2005/8/layout/radial4"/>
    <dgm:cxn modelId="{4F06AAB5-B773-4312-B57A-FFC1AEC3A674}" type="presParOf" srcId="{268997A3-D4CF-43E3-811A-018B5CB3E852}" destId="{6E08FC7D-4465-4E70-A10F-7E809E772E64}" srcOrd="3" destOrd="0" presId="urn:microsoft.com/office/officeart/2005/8/layout/radial4"/>
    <dgm:cxn modelId="{8001B97B-3896-41B4-8A23-38964F8513CD}" type="presParOf" srcId="{268997A3-D4CF-43E3-811A-018B5CB3E852}" destId="{D3B88DDF-8CDD-4FD8-A826-A1C75B39D4EA}" srcOrd="4" destOrd="0" presId="urn:microsoft.com/office/officeart/2005/8/layout/radial4"/>
    <dgm:cxn modelId="{2AB16C1A-5983-4CFF-8B7E-994DDC517571}" type="presParOf" srcId="{268997A3-D4CF-43E3-811A-018B5CB3E852}" destId="{3A7371EA-F6E6-44E9-B15C-F3270B956F02}" srcOrd="5" destOrd="0" presId="urn:microsoft.com/office/officeart/2005/8/layout/radial4"/>
    <dgm:cxn modelId="{1FB000C3-ED70-4CEE-97BD-316B120CD477}" type="presParOf" srcId="{268997A3-D4CF-43E3-811A-018B5CB3E852}" destId="{26BC86CC-F67B-4CA8-98F0-C62EC34CB267}" srcOrd="6" destOrd="0" presId="urn:microsoft.com/office/officeart/2005/8/layout/radial4"/>
  </dgm:cxnLst>
  <dgm:bg/>
  <dgm:whole/>
  <dgm:extLst>
    <a:ext uri="http://schemas.microsoft.com/office/drawing/2008/diagram">
      <dsp:dataModelExt xmlns:dsp="http://schemas.microsoft.com/office/drawing/2008/diagram" xmlns="" relId="rId6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961F062-6EAF-4F6A-9FCF-5F9DAAB988C9}" type="doc">
      <dgm:prSet loTypeId="urn:microsoft.com/office/officeart/2005/8/layout/target3" loCatId="list" qsTypeId="urn:microsoft.com/office/officeart/2005/8/quickstyle/simple5" qsCatId="simple" csTypeId="urn:microsoft.com/office/officeart/2005/8/colors/accent1_3" csCatId="accent1" phldr="1"/>
      <dgm:spPr/>
    </dgm:pt>
    <dgm:pt modelId="{A2C22B2A-3D83-44C8-AF56-D767AFDC50D6}">
      <dgm:prSet phldrT="[Text]" custT="1"/>
      <dgm:spPr/>
      <dgm:t>
        <a:bodyPr/>
        <a:lstStyle/>
        <a:p>
          <a:pPr algn="ctr"/>
          <a:r>
            <a:rPr lang="lv-LV" sz="1100">
              <a:latin typeface="Times New Roman" pitchFamily="18" charset="0"/>
              <a:cs typeface="Times New Roman" pitchFamily="18" charset="0"/>
            </a:rPr>
            <a:t>Projektu īstentāju līdzekļi - 0,53 milj. latu</a:t>
          </a:r>
        </a:p>
      </dgm:t>
    </dgm:pt>
    <dgm:pt modelId="{5232C2C2-0906-445C-9419-AC4AFC02D1C9}" type="parTrans" cxnId="{48475966-34A6-4303-BF21-2A5D5815EF49}">
      <dgm:prSet/>
      <dgm:spPr/>
      <dgm:t>
        <a:bodyPr/>
        <a:lstStyle/>
        <a:p>
          <a:pPr algn="ctr"/>
          <a:endParaRPr lang="lv-LV" sz="1100">
            <a:latin typeface="Times New Roman" pitchFamily="18" charset="0"/>
            <a:cs typeface="Times New Roman" pitchFamily="18" charset="0"/>
          </a:endParaRPr>
        </a:p>
      </dgm:t>
    </dgm:pt>
    <dgm:pt modelId="{08DF7463-5868-4F1D-A653-1D6189CEB412}" type="sibTrans" cxnId="{48475966-34A6-4303-BF21-2A5D5815EF49}">
      <dgm:prSet/>
      <dgm:spPr/>
      <dgm:t>
        <a:bodyPr/>
        <a:lstStyle/>
        <a:p>
          <a:pPr algn="ctr"/>
          <a:endParaRPr lang="lv-LV" sz="1100">
            <a:latin typeface="Times New Roman" pitchFamily="18" charset="0"/>
            <a:cs typeface="Times New Roman" pitchFamily="18" charset="0"/>
          </a:endParaRPr>
        </a:p>
      </dgm:t>
    </dgm:pt>
    <dgm:pt modelId="{49E56778-DC53-449B-BE28-650C34FF26DA}">
      <dgm:prSet phldrT="[Text]" custT="1"/>
      <dgm:spPr/>
      <dgm:t>
        <a:bodyPr/>
        <a:lstStyle/>
        <a:p>
          <a:pPr algn="ctr"/>
          <a:r>
            <a:rPr lang="lv-LV" sz="1100">
              <a:latin typeface="Times New Roman" pitchFamily="18" charset="0"/>
              <a:cs typeface="Times New Roman" pitchFamily="18" charset="0"/>
            </a:rPr>
            <a:t>Kopējās investīcijas - 1,82 milj. latu</a:t>
          </a:r>
        </a:p>
      </dgm:t>
    </dgm:pt>
    <dgm:pt modelId="{DEC485FC-ECB4-4ABE-89C0-E486050C6288}" type="parTrans" cxnId="{630DDB61-A06E-41B7-B507-0BE90D6FE303}">
      <dgm:prSet/>
      <dgm:spPr/>
      <dgm:t>
        <a:bodyPr/>
        <a:lstStyle/>
        <a:p>
          <a:pPr algn="ctr"/>
          <a:endParaRPr lang="lv-LV"/>
        </a:p>
      </dgm:t>
    </dgm:pt>
    <dgm:pt modelId="{7B3821D0-E467-4F38-A3BC-7A64B2B7963B}" type="sibTrans" cxnId="{630DDB61-A06E-41B7-B507-0BE90D6FE303}">
      <dgm:prSet/>
      <dgm:spPr/>
      <dgm:t>
        <a:bodyPr/>
        <a:lstStyle/>
        <a:p>
          <a:pPr algn="ctr"/>
          <a:endParaRPr lang="lv-LV"/>
        </a:p>
      </dgm:t>
    </dgm:pt>
    <dgm:pt modelId="{859D5B97-A2D9-4A30-8398-20A3B64C5FFD}">
      <dgm:prSet phldrT="[Text]" custT="1"/>
      <dgm:spPr/>
      <dgm:t>
        <a:bodyPr/>
        <a:lstStyle/>
        <a:p>
          <a:pPr algn="ctr"/>
          <a:r>
            <a:rPr lang="lv-LV" sz="1100" b="1">
              <a:latin typeface="Times New Roman" pitchFamily="18" charset="0"/>
              <a:cs typeface="Times New Roman" pitchFamily="18" charset="0"/>
            </a:rPr>
            <a:t>LIFE+</a:t>
          </a:r>
          <a:r>
            <a:rPr lang="lv-LV" sz="1100">
              <a:latin typeface="Times New Roman" pitchFamily="18" charset="0"/>
              <a:cs typeface="Times New Roman" pitchFamily="18" charset="0"/>
            </a:rPr>
            <a:t> finansējums - </a:t>
          </a:r>
          <a:r>
            <a:rPr lang="lv-LV" sz="1100" b="1">
              <a:latin typeface="Times New Roman" pitchFamily="18" charset="0"/>
              <a:cs typeface="Times New Roman" pitchFamily="18" charset="0"/>
            </a:rPr>
            <a:t>0,85 milj. latu</a:t>
          </a:r>
          <a:endParaRPr lang="lv-LV" sz="1100">
            <a:latin typeface="Times New Roman" pitchFamily="18" charset="0"/>
            <a:cs typeface="Times New Roman" pitchFamily="18" charset="0"/>
          </a:endParaRPr>
        </a:p>
      </dgm:t>
    </dgm:pt>
    <dgm:pt modelId="{606040E2-FADE-45C5-B5EA-7D8FF6D49924}" type="parTrans" cxnId="{A128F634-30CA-409C-A62C-B18DC630C0FD}">
      <dgm:prSet/>
      <dgm:spPr/>
      <dgm:t>
        <a:bodyPr/>
        <a:lstStyle/>
        <a:p>
          <a:pPr algn="ctr"/>
          <a:endParaRPr lang="lv-LV"/>
        </a:p>
      </dgm:t>
    </dgm:pt>
    <dgm:pt modelId="{94B7E06C-F954-4142-8431-3AB8CBA234A5}" type="sibTrans" cxnId="{A128F634-30CA-409C-A62C-B18DC630C0FD}">
      <dgm:prSet/>
      <dgm:spPr/>
      <dgm:t>
        <a:bodyPr/>
        <a:lstStyle/>
        <a:p>
          <a:pPr algn="ctr"/>
          <a:endParaRPr lang="lv-LV"/>
        </a:p>
      </dgm:t>
    </dgm:pt>
    <dgm:pt modelId="{E6A07754-5435-4CB6-B597-9302DEFEF890}" type="pres">
      <dgm:prSet presAssocID="{C961F062-6EAF-4F6A-9FCF-5F9DAAB988C9}" presName="Name0" presStyleCnt="0">
        <dgm:presLayoutVars>
          <dgm:chMax val="7"/>
          <dgm:dir/>
          <dgm:animLvl val="lvl"/>
          <dgm:resizeHandles val="exact"/>
        </dgm:presLayoutVars>
      </dgm:prSet>
      <dgm:spPr/>
    </dgm:pt>
    <dgm:pt modelId="{DBC174C6-73CB-4E6F-A432-57069C78885A}" type="pres">
      <dgm:prSet presAssocID="{49E56778-DC53-449B-BE28-650C34FF26DA}" presName="circle1" presStyleLbl="node1" presStyleIdx="0" presStyleCnt="3"/>
      <dgm:spPr/>
    </dgm:pt>
    <dgm:pt modelId="{5CC42BC0-7282-476B-B094-94A96B63CD4B}" type="pres">
      <dgm:prSet presAssocID="{49E56778-DC53-449B-BE28-650C34FF26DA}" presName="space" presStyleCnt="0"/>
      <dgm:spPr/>
    </dgm:pt>
    <dgm:pt modelId="{692353A8-8959-450F-B798-A6F578C77B5E}" type="pres">
      <dgm:prSet presAssocID="{49E56778-DC53-449B-BE28-650C34FF26DA}" presName="rect1" presStyleLbl="alignAcc1" presStyleIdx="0" presStyleCnt="3"/>
      <dgm:spPr/>
      <dgm:t>
        <a:bodyPr/>
        <a:lstStyle/>
        <a:p>
          <a:endParaRPr lang="lv-LV"/>
        </a:p>
      </dgm:t>
    </dgm:pt>
    <dgm:pt modelId="{6ABCF3B8-6FAE-4313-BBD6-6C2E8CAF6EB8}" type="pres">
      <dgm:prSet presAssocID="{859D5B97-A2D9-4A30-8398-20A3B64C5FFD}" presName="vertSpace2" presStyleLbl="node1" presStyleIdx="0" presStyleCnt="3"/>
      <dgm:spPr/>
    </dgm:pt>
    <dgm:pt modelId="{E8435763-8612-4EA4-9818-9A98D6034F77}" type="pres">
      <dgm:prSet presAssocID="{859D5B97-A2D9-4A30-8398-20A3B64C5FFD}" presName="circle2" presStyleLbl="node1" presStyleIdx="1" presStyleCnt="3"/>
      <dgm:spPr/>
    </dgm:pt>
    <dgm:pt modelId="{6B6C9398-8809-4D5D-9CF3-A16BAC49E251}" type="pres">
      <dgm:prSet presAssocID="{859D5B97-A2D9-4A30-8398-20A3B64C5FFD}" presName="rect2" presStyleLbl="alignAcc1" presStyleIdx="1" presStyleCnt="3"/>
      <dgm:spPr/>
      <dgm:t>
        <a:bodyPr/>
        <a:lstStyle/>
        <a:p>
          <a:endParaRPr lang="lv-LV"/>
        </a:p>
      </dgm:t>
    </dgm:pt>
    <dgm:pt modelId="{9A3F8D77-DBB1-4C3A-97E4-12494152A89A}" type="pres">
      <dgm:prSet presAssocID="{A2C22B2A-3D83-44C8-AF56-D767AFDC50D6}" presName="vertSpace3" presStyleLbl="node1" presStyleIdx="1" presStyleCnt="3"/>
      <dgm:spPr/>
    </dgm:pt>
    <dgm:pt modelId="{7C48149D-9464-4D91-A27A-6F096FE2F507}" type="pres">
      <dgm:prSet presAssocID="{A2C22B2A-3D83-44C8-AF56-D767AFDC50D6}" presName="circle3" presStyleLbl="node1" presStyleIdx="2" presStyleCnt="3"/>
      <dgm:spPr/>
    </dgm:pt>
    <dgm:pt modelId="{6491FBE1-4318-4833-B157-94DE05BE6179}" type="pres">
      <dgm:prSet presAssocID="{A2C22B2A-3D83-44C8-AF56-D767AFDC50D6}" presName="rect3" presStyleLbl="alignAcc1" presStyleIdx="2" presStyleCnt="3"/>
      <dgm:spPr/>
      <dgm:t>
        <a:bodyPr/>
        <a:lstStyle/>
        <a:p>
          <a:endParaRPr lang="lv-LV"/>
        </a:p>
      </dgm:t>
    </dgm:pt>
    <dgm:pt modelId="{6FE055C9-C523-40E5-9271-50C7CA8FD7CD}" type="pres">
      <dgm:prSet presAssocID="{49E56778-DC53-449B-BE28-650C34FF26DA}" presName="rect1ParTxNoCh" presStyleLbl="alignAcc1" presStyleIdx="2" presStyleCnt="3">
        <dgm:presLayoutVars>
          <dgm:chMax val="1"/>
          <dgm:bulletEnabled val="1"/>
        </dgm:presLayoutVars>
      </dgm:prSet>
      <dgm:spPr/>
      <dgm:t>
        <a:bodyPr/>
        <a:lstStyle/>
        <a:p>
          <a:endParaRPr lang="lv-LV"/>
        </a:p>
      </dgm:t>
    </dgm:pt>
    <dgm:pt modelId="{DD9C5CC6-2E6C-4775-AF5A-61CF23A496CA}" type="pres">
      <dgm:prSet presAssocID="{859D5B97-A2D9-4A30-8398-20A3B64C5FFD}" presName="rect2ParTxNoCh" presStyleLbl="alignAcc1" presStyleIdx="2" presStyleCnt="3">
        <dgm:presLayoutVars>
          <dgm:chMax val="1"/>
          <dgm:bulletEnabled val="1"/>
        </dgm:presLayoutVars>
      </dgm:prSet>
      <dgm:spPr/>
      <dgm:t>
        <a:bodyPr/>
        <a:lstStyle/>
        <a:p>
          <a:endParaRPr lang="lv-LV"/>
        </a:p>
      </dgm:t>
    </dgm:pt>
    <dgm:pt modelId="{42CC94E3-4C38-4DFC-A78C-FB6E497BA0A3}" type="pres">
      <dgm:prSet presAssocID="{A2C22B2A-3D83-44C8-AF56-D767AFDC50D6}" presName="rect3ParTxNoCh" presStyleLbl="alignAcc1" presStyleIdx="2" presStyleCnt="3">
        <dgm:presLayoutVars>
          <dgm:chMax val="1"/>
          <dgm:bulletEnabled val="1"/>
        </dgm:presLayoutVars>
      </dgm:prSet>
      <dgm:spPr/>
      <dgm:t>
        <a:bodyPr/>
        <a:lstStyle/>
        <a:p>
          <a:endParaRPr lang="lv-LV"/>
        </a:p>
      </dgm:t>
    </dgm:pt>
  </dgm:ptLst>
  <dgm:cxnLst>
    <dgm:cxn modelId="{A128F634-30CA-409C-A62C-B18DC630C0FD}" srcId="{C961F062-6EAF-4F6A-9FCF-5F9DAAB988C9}" destId="{859D5B97-A2D9-4A30-8398-20A3B64C5FFD}" srcOrd="1" destOrd="0" parTransId="{606040E2-FADE-45C5-B5EA-7D8FF6D49924}" sibTransId="{94B7E06C-F954-4142-8431-3AB8CBA234A5}"/>
    <dgm:cxn modelId="{FE7E5DAA-EC3D-45AD-8E7E-7C525053D6C6}" type="presOf" srcId="{A2C22B2A-3D83-44C8-AF56-D767AFDC50D6}" destId="{42CC94E3-4C38-4DFC-A78C-FB6E497BA0A3}" srcOrd="1" destOrd="0" presId="urn:microsoft.com/office/officeart/2005/8/layout/target3"/>
    <dgm:cxn modelId="{FA49D3DA-286F-459C-AB3A-09A28D797953}" type="presOf" srcId="{A2C22B2A-3D83-44C8-AF56-D767AFDC50D6}" destId="{6491FBE1-4318-4833-B157-94DE05BE6179}" srcOrd="0" destOrd="0" presId="urn:microsoft.com/office/officeart/2005/8/layout/target3"/>
    <dgm:cxn modelId="{630DDB61-A06E-41B7-B507-0BE90D6FE303}" srcId="{C961F062-6EAF-4F6A-9FCF-5F9DAAB988C9}" destId="{49E56778-DC53-449B-BE28-650C34FF26DA}" srcOrd="0" destOrd="0" parTransId="{DEC485FC-ECB4-4ABE-89C0-E486050C6288}" sibTransId="{7B3821D0-E467-4F38-A3BC-7A64B2B7963B}"/>
    <dgm:cxn modelId="{3A614B09-1010-40BD-8258-9AF9C31D747F}" type="presOf" srcId="{C961F062-6EAF-4F6A-9FCF-5F9DAAB988C9}" destId="{E6A07754-5435-4CB6-B597-9302DEFEF890}" srcOrd="0" destOrd="0" presId="urn:microsoft.com/office/officeart/2005/8/layout/target3"/>
    <dgm:cxn modelId="{48475966-34A6-4303-BF21-2A5D5815EF49}" srcId="{C961F062-6EAF-4F6A-9FCF-5F9DAAB988C9}" destId="{A2C22B2A-3D83-44C8-AF56-D767AFDC50D6}" srcOrd="2" destOrd="0" parTransId="{5232C2C2-0906-445C-9419-AC4AFC02D1C9}" sibTransId="{08DF7463-5868-4F1D-A653-1D6189CEB412}"/>
    <dgm:cxn modelId="{D72D2FC2-3432-4136-BD62-0B94091BAAAB}" type="presOf" srcId="{859D5B97-A2D9-4A30-8398-20A3B64C5FFD}" destId="{DD9C5CC6-2E6C-4775-AF5A-61CF23A496CA}" srcOrd="1" destOrd="0" presId="urn:microsoft.com/office/officeart/2005/8/layout/target3"/>
    <dgm:cxn modelId="{D40B7CC0-DE46-4545-87F7-50B3E24B8986}" type="presOf" srcId="{49E56778-DC53-449B-BE28-650C34FF26DA}" destId="{692353A8-8959-450F-B798-A6F578C77B5E}" srcOrd="0" destOrd="0" presId="urn:microsoft.com/office/officeart/2005/8/layout/target3"/>
    <dgm:cxn modelId="{6321AD8C-2EEB-4DC7-BDE0-6CE754F12833}" type="presOf" srcId="{859D5B97-A2D9-4A30-8398-20A3B64C5FFD}" destId="{6B6C9398-8809-4D5D-9CF3-A16BAC49E251}" srcOrd="0" destOrd="0" presId="urn:microsoft.com/office/officeart/2005/8/layout/target3"/>
    <dgm:cxn modelId="{246A7E82-1EF3-4D75-905E-E557B7CC95A6}" type="presOf" srcId="{49E56778-DC53-449B-BE28-650C34FF26DA}" destId="{6FE055C9-C523-40E5-9271-50C7CA8FD7CD}" srcOrd="1" destOrd="0" presId="urn:microsoft.com/office/officeart/2005/8/layout/target3"/>
    <dgm:cxn modelId="{471D8CD8-88C9-43E3-AEC9-71431192EA08}" type="presParOf" srcId="{E6A07754-5435-4CB6-B597-9302DEFEF890}" destId="{DBC174C6-73CB-4E6F-A432-57069C78885A}" srcOrd="0" destOrd="0" presId="urn:microsoft.com/office/officeart/2005/8/layout/target3"/>
    <dgm:cxn modelId="{F85D8709-A472-469F-BFEF-05C382EDB975}" type="presParOf" srcId="{E6A07754-5435-4CB6-B597-9302DEFEF890}" destId="{5CC42BC0-7282-476B-B094-94A96B63CD4B}" srcOrd="1" destOrd="0" presId="urn:microsoft.com/office/officeart/2005/8/layout/target3"/>
    <dgm:cxn modelId="{5C9C81C9-F660-47AB-91C3-CF12E2E94230}" type="presParOf" srcId="{E6A07754-5435-4CB6-B597-9302DEFEF890}" destId="{692353A8-8959-450F-B798-A6F578C77B5E}" srcOrd="2" destOrd="0" presId="urn:microsoft.com/office/officeart/2005/8/layout/target3"/>
    <dgm:cxn modelId="{FE73E520-6BA7-4002-B0F3-AB3DEA9F5CFA}" type="presParOf" srcId="{E6A07754-5435-4CB6-B597-9302DEFEF890}" destId="{6ABCF3B8-6FAE-4313-BBD6-6C2E8CAF6EB8}" srcOrd="3" destOrd="0" presId="urn:microsoft.com/office/officeart/2005/8/layout/target3"/>
    <dgm:cxn modelId="{E2406116-C450-499D-8D9F-FF89B9ED0CFD}" type="presParOf" srcId="{E6A07754-5435-4CB6-B597-9302DEFEF890}" destId="{E8435763-8612-4EA4-9818-9A98D6034F77}" srcOrd="4" destOrd="0" presId="urn:microsoft.com/office/officeart/2005/8/layout/target3"/>
    <dgm:cxn modelId="{429C59EF-8ED8-4E6D-BDB3-7EA6488BFC4C}" type="presParOf" srcId="{E6A07754-5435-4CB6-B597-9302DEFEF890}" destId="{6B6C9398-8809-4D5D-9CF3-A16BAC49E251}" srcOrd="5" destOrd="0" presId="urn:microsoft.com/office/officeart/2005/8/layout/target3"/>
    <dgm:cxn modelId="{AC3F922B-5788-454E-9D36-A678CC4421A4}" type="presParOf" srcId="{E6A07754-5435-4CB6-B597-9302DEFEF890}" destId="{9A3F8D77-DBB1-4C3A-97E4-12494152A89A}" srcOrd="6" destOrd="0" presId="urn:microsoft.com/office/officeart/2005/8/layout/target3"/>
    <dgm:cxn modelId="{AF953008-F856-4763-A1AF-F70FFAB6F3BB}" type="presParOf" srcId="{E6A07754-5435-4CB6-B597-9302DEFEF890}" destId="{7C48149D-9464-4D91-A27A-6F096FE2F507}" srcOrd="7" destOrd="0" presId="urn:microsoft.com/office/officeart/2005/8/layout/target3"/>
    <dgm:cxn modelId="{8FE386E7-C4D0-413A-9573-B21EC788D2E1}" type="presParOf" srcId="{E6A07754-5435-4CB6-B597-9302DEFEF890}" destId="{6491FBE1-4318-4833-B157-94DE05BE6179}" srcOrd="8" destOrd="0" presId="urn:microsoft.com/office/officeart/2005/8/layout/target3"/>
    <dgm:cxn modelId="{CE11229C-FFE2-489F-BA9A-BC49F232F74E}" type="presParOf" srcId="{E6A07754-5435-4CB6-B597-9302DEFEF890}" destId="{6FE055C9-C523-40E5-9271-50C7CA8FD7CD}" srcOrd="9" destOrd="0" presId="urn:microsoft.com/office/officeart/2005/8/layout/target3"/>
    <dgm:cxn modelId="{7C4CCE1E-D179-4296-8998-2275AC812936}" type="presParOf" srcId="{E6A07754-5435-4CB6-B597-9302DEFEF890}" destId="{DD9C5CC6-2E6C-4775-AF5A-61CF23A496CA}" srcOrd="10" destOrd="0" presId="urn:microsoft.com/office/officeart/2005/8/layout/target3"/>
    <dgm:cxn modelId="{E7281A0B-A8EC-445A-BCD8-C565022FB9E4}" type="presParOf" srcId="{E6A07754-5435-4CB6-B597-9302DEFEF890}" destId="{42CC94E3-4C38-4DFC-A78C-FB6E497BA0A3}" srcOrd="11" destOrd="0" presId="urn:microsoft.com/office/officeart/2005/8/layout/target3"/>
  </dgm:cxnLst>
  <dgm:bg>
    <a:noFill/>
  </dgm:bg>
  <dgm:whole>
    <a:ln>
      <a:noFill/>
    </a:ln>
  </dgm:whole>
  <dgm:extLst>
    <a:ext uri="http://schemas.microsoft.com/office/drawing/2008/diagram">
      <dsp:dataModelExt xmlns:dsp="http://schemas.microsoft.com/office/drawing/2008/diagram" xmlns="" relId="rId7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9ABCB3E-7B07-4C41-B4CF-7E447DB8CEF4}" type="doc">
      <dgm:prSet loTypeId="urn:microsoft.com/office/officeart/2005/8/layout/hierarchy3" loCatId="hierarchy" qsTypeId="urn:microsoft.com/office/officeart/2005/8/quickstyle/simple1" qsCatId="simple" csTypeId="urn:microsoft.com/office/officeart/2005/8/colors/accent1_2" csCatId="accent1" phldr="1"/>
      <dgm:spPr>
        <a:scene3d>
          <a:camera prst="orthographicFront">
            <a:rot lat="0" lon="0" rev="0"/>
          </a:camera>
          <a:lightRig rig="threePt" dir="t"/>
        </a:scene3d>
      </dgm:spPr>
      <dgm:t>
        <a:bodyPr/>
        <a:lstStyle/>
        <a:p>
          <a:endParaRPr lang="lv-LV"/>
        </a:p>
      </dgm:t>
    </dgm:pt>
    <dgm:pt modelId="{0E07E37D-7D01-41FC-8FBA-434C5271D059}">
      <dgm:prSet phldrT="[Text]" custT="1"/>
      <dgm:spPr/>
      <dgm:t>
        <a:bodyPr/>
        <a:lstStyle/>
        <a:p>
          <a:pPr algn="ctr"/>
          <a:r>
            <a:rPr lang="lv-LV" sz="1000" b="1">
              <a:solidFill>
                <a:sysClr val="windowText" lastClr="000000"/>
              </a:solidFill>
              <a:latin typeface="Times New Roman" pitchFamily="18" charset="0"/>
              <a:cs typeface="Times New Roman" pitchFamily="18" charset="0"/>
            </a:rPr>
            <a:t>Lubāna ezera hidrotehnisko būvju kompleksa aizsargspēju palielināšana pieguļošo teritoriju aizsardzībai pret plūdu draudiem – 1.kārta Dienvidaustrumu dambja rekonstrukcija  </a:t>
          </a:r>
        </a:p>
      </dgm:t>
    </dgm:pt>
    <dgm:pt modelId="{D875A2E5-8B3C-42AB-819A-260926549846}" type="parTrans" cxnId="{EC8D7BD6-F96C-4C0F-A34D-BA61D994BCF1}">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50DF6F45-FB33-4A1F-BC29-6B4371262F4B}" type="sibTrans" cxnId="{EC8D7BD6-F96C-4C0F-A34D-BA61D994BCF1}">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9D27038E-7F5C-49BE-A985-5FE69934C2C9}">
      <dgm:prSet phldrT="[Text]" custT="1"/>
      <dgm:spPr/>
      <dgm:t>
        <a:bodyPr/>
        <a:lstStyle/>
        <a:p>
          <a:pPr algn="ctr"/>
          <a:r>
            <a:rPr lang="lv-LV" sz="1000">
              <a:solidFill>
                <a:sysClr val="windowText" lastClr="000000"/>
              </a:solidFill>
              <a:latin typeface="Times New Roman" pitchFamily="18" charset="0"/>
              <a:cs typeface="Times New Roman" pitchFamily="18" charset="0"/>
            </a:rPr>
            <a:t>ERAF - 1,33 milj. LVL</a:t>
          </a:r>
        </a:p>
      </dgm:t>
    </dgm:pt>
    <dgm:pt modelId="{DB833C2C-B81A-459D-B78C-F27B8C05497D}" type="parTrans" cxnId="{B355DEE7-AE19-46F4-895E-0A8D6D29CC0F}">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AB1F0104-064C-41A1-845D-35A91C1D7A60}" type="sibTrans" cxnId="{B355DEE7-AE19-46F4-895E-0A8D6D29CC0F}">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41AE5065-BA5C-416B-97CE-90E86DE39518}">
      <dgm:prSet phldrT="[Text]" custT="1"/>
      <dgm:spPr/>
      <dgm:t>
        <a:bodyPr/>
        <a:lstStyle/>
        <a:p>
          <a:pPr algn="ctr"/>
          <a:r>
            <a:rPr lang="lv-LV" sz="1000" b="1">
              <a:solidFill>
                <a:sysClr val="windowText" lastClr="000000"/>
              </a:solidFill>
              <a:latin typeface="Times New Roman" pitchFamily="18" charset="0"/>
              <a:cs typeface="Times New Roman" pitchFamily="18" charset="0"/>
            </a:rPr>
            <a:t>Jāņa kolektora rekonstrukcija plūdu draudu novēršanai un samazināšanai Jelgavā</a:t>
          </a:r>
        </a:p>
      </dgm:t>
    </dgm:pt>
    <dgm:pt modelId="{5605D2E8-0671-4630-A3E2-7361B197BBDE}" type="parTrans" cxnId="{1523F56C-4709-4454-B446-F6A7E16F04A2}">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71D40BF5-F576-4BB0-8FE0-9DF1B408C0DF}" type="sibTrans" cxnId="{1523F56C-4709-4454-B446-F6A7E16F04A2}">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632DF1DC-7DD4-47D9-AFAF-00C32D4D2A24}">
      <dgm:prSet phldrT="[Text]" custT="1"/>
      <dgm:spPr/>
      <dgm:t>
        <a:bodyPr/>
        <a:lstStyle/>
        <a:p>
          <a:pPr algn="ctr"/>
          <a:r>
            <a:rPr lang="lv-LV" sz="1000">
              <a:solidFill>
                <a:sysClr val="windowText" lastClr="000000"/>
              </a:solidFill>
              <a:latin typeface="Times New Roman" pitchFamily="18" charset="0"/>
              <a:cs typeface="Times New Roman" pitchFamily="18" charset="0"/>
            </a:rPr>
            <a:t>ERAF - 0,91 milj. LVL</a:t>
          </a:r>
        </a:p>
      </dgm:t>
    </dgm:pt>
    <dgm:pt modelId="{3AD376E4-46F8-4780-BFC4-058E84101904}" type="parTrans" cxnId="{7B7BB49A-9262-426D-A8C3-52B07D1ECA6D}">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A316228A-EA42-4E77-8856-27F3F7D8A94C}" type="sibTrans" cxnId="{7B7BB49A-9262-426D-A8C3-52B07D1ECA6D}">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C0E27519-A5BD-49DF-9010-5AC21EDF480B}">
      <dgm:prSet phldrT="[Text]" custT="1"/>
      <dgm:spPr/>
      <dgm:t>
        <a:bodyPr/>
        <a:lstStyle/>
        <a:p>
          <a:pPr algn="ctr"/>
          <a:r>
            <a:rPr lang="lv-LV" sz="1000">
              <a:solidFill>
                <a:sysClr val="windowText" lastClr="000000"/>
              </a:solidFill>
              <a:latin typeface="Times New Roman" pitchFamily="18" charset="0"/>
              <a:cs typeface="Times New Roman" pitchFamily="18" charset="0"/>
            </a:rPr>
            <a:t>Pašvaldības budžeta finansējums - 0,11 milj. LVL</a:t>
          </a:r>
        </a:p>
      </dgm:t>
    </dgm:pt>
    <dgm:pt modelId="{0D2D6197-C306-42AA-8DF2-5AD582FD31DA}" type="parTrans" cxnId="{3C19EFB2-9742-4989-86D3-41E50F52A5AE}">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A215D4F9-6501-4F8F-B41B-C683F3E07419}" type="sibTrans" cxnId="{3C19EFB2-9742-4989-86D3-41E50F52A5AE}">
      <dgm:prSet/>
      <dgm:spPr/>
      <dgm:t>
        <a:bodyPr/>
        <a:lstStyle/>
        <a:p>
          <a:pPr algn="ctr"/>
          <a:endParaRPr lang="lv-LV" sz="1000">
            <a:solidFill>
              <a:sysClr val="windowText" lastClr="000000"/>
            </a:solidFill>
            <a:latin typeface="Times New Roman" pitchFamily="18" charset="0"/>
            <a:cs typeface="Times New Roman" pitchFamily="18" charset="0"/>
          </a:endParaRPr>
        </a:p>
      </dgm:t>
    </dgm:pt>
    <dgm:pt modelId="{C0E338BB-983C-4AB8-9399-01DE790EB93C}" type="pres">
      <dgm:prSet presAssocID="{D9ABCB3E-7B07-4C41-B4CF-7E447DB8CEF4}" presName="diagram" presStyleCnt="0">
        <dgm:presLayoutVars>
          <dgm:chPref val="1"/>
          <dgm:dir/>
          <dgm:animOne val="branch"/>
          <dgm:animLvl val="lvl"/>
          <dgm:resizeHandles/>
        </dgm:presLayoutVars>
      </dgm:prSet>
      <dgm:spPr/>
      <dgm:t>
        <a:bodyPr/>
        <a:lstStyle/>
        <a:p>
          <a:endParaRPr lang="lv-LV"/>
        </a:p>
      </dgm:t>
    </dgm:pt>
    <dgm:pt modelId="{7718F811-37D2-4B93-BC64-FC4F2502FC59}" type="pres">
      <dgm:prSet presAssocID="{0E07E37D-7D01-41FC-8FBA-434C5271D059}" presName="root" presStyleCnt="0"/>
      <dgm:spPr/>
    </dgm:pt>
    <dgm:pt modelId="{AEEC298B-5D53-45F5-B0B0-72565B3C579F}" type="pres">
      <dgm:prSet presAssocID="{0E07E37D-7D01-41FC-8FBA-434C5271D059}" presName="rootComposite" presStyleCnt="0"/>
      <dgm:spPr/>
    </dgm:pt>
    <dgm:pt modelId="{5FA6A349-3737-4BAE-9B58-3DC1CFCB19E2}" type="pres">
      <dgm:prSet presAssocID="{0E07E37D-7D01-41FC-8FBA-434C5271D059}" presName="rootText" presStyleLbl="node1" presStyleIdx="0" presStyleCnt="2" custScaleX="146150" custScaleY="149356"/>
      <dgm:spPr/>
      <dgm:t>
        <a:bodyPr/>
        <a:lstStyle/>
        <a:p>
          <a:endParaRPr lang="lv-LV"/>
        </a:p>
      </dgm:t>
    </dgm:pt>
    <dgm:pt modelId="{D4C74A3B-3B4E-4B38-AB45-C8EE6403EC88}" type="pres">
      <dgm:prSet presAssocID="{0E07E37D-7D01-41FC-8FBA-434C5271D059}" presName="rootConnector" presStyleLbl="node1" presStyleIdx="0" presStyleCnt="2"/>
      <dgm:spPr/>
      <dgm:t>
        <a:bodyPr/>
        <a:lstStyle/>
        <a:p>
          <a:endParaRPr lang="lv-LV"/>
        </a:p>
      </dgm:t>
    </dgm:pt>
    <dgm:pt modelId="{583221A8-A395-477C-B4FC-090822227B77}" type="pres">
      <dgm:prSet presAssocID="{0E07E37D-7D01-41FC-8FBA-434C5271D059}" presName="childShape" presStyleCnt="0"/>
      <dgm:spPr/>
    </dgm:pt>
    <dgm:pt modelId="{64EEF127-6F01-4767-B9B0-E53F468F748A}" type="pres">
      <dgm:prSet presAssocID="{DB833C2C-B81A-459D-B78C-F27B8C05497D}" presName="Name13" presStyleLbl="parChTrans1D2" presStyleIdx="0" presStyleCnt="3"/>
      <dgm:spPr/>
      <dgm:t>
        <a:bodyPr/>
        <a:lstStyle/>
        <a:p>
          <a:endParaRPr lang="lv-LV"/>
        </a:p>
      </dgm:t>
    </dgm:pt>
    <dgm:pt modelId="{7EDF827F-3CB8-45DA-80BA-9B386ED0D093}" type="pres">
      <dgm:prSet presAssocID="{9D27038E-7F5C-49BE-A985-5FE69934C2C9}" presName="childText" presStyleLbl="bgAcc1" presStyleIdx="0" presStyleCnt="3">
        <dgm:presLayoutVars>
          <dgm:bulletEnabled val="1"/>
        </dgm:presLayoutVars>
      </dgm:prSet>
      <dgm:spPr/>
      <dgm:t>
        <a:bodyPr/>
        <a:lstStyle/>
        <a:p>
          <a:endParaRPr lang="lv-LV"/>
        </a:p>
      </dgm:t>
    </dgm:pt>
    <dgm:pt modelId="{136E5366-854F-4977-AC28-EF32DC489FA0}" type="pres">
      <dgm:prSet presAssocID="{41AE5065-BA5C-416B-97CE-90E86DE39518}" presName="root" presStyleCnt="0"/>
      <dgm:spPr/>
    </dgm:pt>
    <dgm:pt modelId="{99F9862C-769A-429C-BC52-4E1A62A3BCEA}" type="pres">
      <dgm:prSet presAssocID="{41AE5065-BA5C-416B-97CE-90E86DE39518}" presName="rootComposite" presStyleCnt="0"/>
      <dgm:spPr/>
    </dgm:pt>
    <dgm:pt modelId="{3266447E-A205-45AC-A5E6-A637E80161CD}" type="pres">
      <dgm:prSet presAssocID="{41AE5065-BA5C-416B-97CE-90E86DE39518}" presName="rootText" presStyleLbl="node1" presStyleIdx="1" presStyleCnt="2"/>
      <dgm:spPr/>
      <dgm:t>
        <a:bodyPr/>
        <a:lstStyle/>
        <a:p>
          <a:endParaRPr lang="lv-LV"/>
        </a:p>
      </dgm:t>
    </dgm:pt>
    <dgm:pt modelId="{F64A26A6-6577-43D3-A736-B9E3CEDF81D9}" type="pres">
      <dgm:prSet presAssocID="{41AE5065-BA5C-416B-97CE-90E86DE39518}" presName="rootConnector" presStyleLbl="node1" presStyleIdx="1" presStyleCnt="2"/>
      <dgm:spPr/>
      <dgm:t>
        <a:bodyPr/>
        <a:lstStyle/>
        <a:p>
          <a:endParaRPr lang="lv-LV"/>
        </a:p>
      </dgm:t>
    </dgm:pt>
    <dgm:pt modelId="{CDB935F8-E10C-43B9-8F39-73723A2EC142}" type="pres">
      <dgm:prSet presAssocID="{41AE5065-BA5C-416B-97CE-90E86DE39518}" presName="childShape" presStyleCnt="0"/>
      <dgm:spPr/>
    </dgm:pt>
    <dgm:pt modelId="{2DEF3468-150C-48B4-BC55-0A2436E06BA7}" type="pres">
      <dgm:prSet presAssocID="{3AD376E4-46F8-4780-BFC4-058E84101904}" presName="Name13" presStyleLbl="parChTrans1D2" presStyleIdx="1" presStyleCnt="3"/>
      <dgm:spPr/>
      <dgm:t>
        <a:bodyPr/>
        <a:lstStyle/>
        <a:p>
          <a:endParaRPr lang="lv-LV"/>
        </a:p>
      </dgm:t>
    </dgm:pt>
    <dgm:pt modelId="{6301F416-0321-4E61-AED8-A795E0ED4A03}" type="pres">
      <dgm:prSet presAssocID="{632DF1DC-7DD4-47D9-AFAF-00C32D4D2A24}" presName="childText" presStyleLbl="bgAcc1" presStyleIdx="1" presStyleCnt="3">
        <dgm:presLayoutVars>
          <dgm:bulletEnabled val="1"/>
        </dgm:presLayoutVars>
      </dgm:prSet>
      <dgm:spPr/>
      <dgm:t>
        <a:bodyPr/>
        <a:lstStyle/>
        <a:p>
          <a:endParaRPr lang="lv-LV"/>
        </a:p>
      </dgm:t>
    </dgm:pt>
    <dgm:pt modelId="{31644C2E-D6BD-4D59-A293-8F2A1AFA0F69}" type="pres">
      <dgm:prSet presAssocID="{0D2D6197-C306-42AA-8DF2-5AD582FD31DA}" presName="Name13" presStyleLbl="parChTrans1D2" presStyleIdx="2" presStyleCnt="3"/>
      <dgm:spPr/>
      <dgm:t>
        <a:bodyPr/>
        <a:lstStyle/>
        <a:p>
          <a:endParaRPr lang="lv-LV"/>
        </a:p>
      </dgm:t>
    </dgm:pt>
    <dgm:pt modelId="{954A7FA3-6634-41D2-839C-812FEA97AD07}" type="pres">
      <dgm:prSet presAssocID="{C0E27519-A5BD-49DF-9010-5AC21EDF480B}" presName="childText" presStyleLbl="bgAcc1" presStyleIdx="2" presStyleCnt="3">
        <dgm:presLayoutVars>
          <dgm:bulletEnabled val="1"/>
        </dgm:presLayoutVars>
      </dgm:prSet>
      <dgm:spPr/>
      <dgm:t>
        <a:bodyPr/>
        <a:lstStyle/>
        <a:p>
          <a:endParaRPr lang="lv-LV"/>
        </a:p>
      </dgm:t>
    </dgm:pt>
  </dgm:ptLst>
  <dgm:cxnLst>
    <dgm:cxn modelId="{73ADF2D3-6E42-497A-8BC9-59F6A3EA85F9}" type="presOf" srcId="{9D27038E-7F5C-49BE-A985-5FE69934C2C9}" destId="{7EDF827F-3CB8-45DA-80BA-9B386ED0D093}" srcOrd="0" destOrd="0" presId="urn:microsoft.com/office/officeart/2005/8/layout/hierarchy3"/>
    <dgm:cxn modelId="{3C19EFB2-9742-4989-86D3-41E50F52A5AE}" srcId="{41AE5065-BA5C-416B-97CE-90E86DE39518}" destId="{C0E27519-A5BD-49DF-9010-5AC21EDF480B}" srcOrd="1" destOrd="0" parTransId="{0D2D6197-C306-42AA-8DF2-5AD582FD31DA}" sibTransId="{A215D4F9-6501-4F8F-B41B-C683F3E07419}"/>
    <dgm:cxn modelId="{2665A16B-1525-499E-9FB5-FC7A09D74C0D}" type="presOf" srcId="{DB833C2C-B81A-459D-B78C-F27B8C05497D}" destId="{64EEF127-6F01-4767-B9B0-E53F468F748A}" srcOrd="0" destOrd="0" presId="urn:microsoft.com/office/officeart/2005/8/layout/hierarchy3"/>
    <dgm:cxn modelId="{98954822-288E-4669-8F52-C48937A67AEE}" type="presOf" srcId="{41AE5065-BA5C-416B-97CE-90E86DE39518}" destId="{F64A26A6-6577-43D3-A736-B9E3CEDF81D9}" srcOrd="1" destOrd="0" presId="urn:microsoft.com/office/officeart/2005/8/layout/hierarchy3"/>
    <dgm:cxn modelId="{EC8D7BD6-F96C-4C0F-A34D-BA61D994BCF1}" srcId="{D9ABCB3E-7B07-4C41-B4CF-7E447DB8CEF4}" destId="{0E07E37D-7D01-41FC-8FBA-434C5271D059}" srcOrd="0" destOrd="0" parTransId="{D875A2E5-8B3C-42AB-819A-260926549846}" sibTransId="{50DF6F45-FB33-4A1F-BC29-6B4371262F4B}"/>
    <dgm:cxn modelId="{5A214D4F-B783-42FC-8712-A0BC3962D237}" type="presOf" srcId="{0E07E37D-7D01-41FC-8FBA-434C5271D059}" destId="{D4C74A3B-3B4E-4B38-AB45-C8EE6403EC88}" srcOrd="1" destOrd="0" presId="urn:microsoft.com/office/officeart/2005/8/layout/hierarchy3"/>
    <dgm:cxn modelId="{79C87E6A-6A10-44F7-8070-DBE2B4137FC7}" type="presOf" srcId="{D9ABCB3E-7B07-4C41-B4CF-7E447DB8CEF4}" destId="{C0E338BB-983C-4AB8-9399-01DE790EB93C}" srcOrd="0" destOrd="0" presId="urn:microsoft.com/office/officeart/2005/8/layout/hierarchy3"/>
    <dgm:cxn modelId="{C930E153-7BF0-467F-8115-DA5254F37595}" type="presOf" srcId="{C0E27519-A5BD-49DF-9010-5AC21EDF480B}" destId="{954A7FA3-6634-41D2-839C-812FEA97AD07}" srcOrd="0" destOrd="0" presId="urn:microsoft.com/office/officeart/2005/8/layout/hierarchy3"/>
    <dgm:cxn modelId="{1D29DCE4-E6A9-4B8C-BC2C-FACD1E3BA061}" type="presOf" srcId="{0D2D6197-C306-42AA-8DF2-5AD582FD31DA}" destId="{31644C2E-D6BD-4D59-A293-8F2A1AFA0F69}" srcOrd="0" destOrd="0" presId="urn:microsoft.com/office/officeart/2005/8/layout/hierarchy3"/>
    <dgm:cxn modelId="{7B7BB49A-9262-426D-A8C3-52B07D1ECA6D}" srcId="{41AE5065-BA5C-416B-97CE-90E86DE39518}" destId="{632DF1DC-7DD4-47D9-AFAF-00C32D4D2A24}" srcOrd="0" destOrd="0" parTransId="{3AD376E4-46F8-4780-BFC4-058E84101904}" sibTransId="{A316228A-EA42-4E77-8856-27F3F7D8A94C}"/>
    <dgm:cxn modelId="{FE1DAFDA-2414-492D-9C7C-C33CD94263EB}" type="presOf" srcId="{41AE5065-BA5C-416B-97CE-90E86DE39518}" destId="{3266447E-A205-45AC-A5E6-A637E80161CD}" srcOrd="0" destOrd="0" presId="urn:microsoft.com/office/officeart/2005/8/layout/hierarchy3"/>
    <dgm:cxn modelId="{DE22AC38-027E-439C-86F9-6F335C1E129B}" type="presOf" srcId="{0E07E37D-7D01-41FC-8FBA-434C5271D059}" destId="{5FA6A349-3737-4BAE-9B58-3DC1CFCB19E2}" srcOrd="0" destOrd="0" presId="urn:microsoft.com/office/officeart/2005/8/layout/hierarchy3"/>
    <dgm:cxn modelId="{1523F56C-4709-4454-B446-F6A7E16F04A2}" srcId="{D9ABCB3E-7B07-4C41-B4CF-7E447DB8CEF4}" destId="{41AE5065-BA5C-416B-97CE-90E86DE39518}" srcOrd="1" destOrd="0" parTransId="{5605D2E8-0671-4630-A3E2-7361B197BBDE}" sibTransId="{71D40BF5-F576-4BB0-8FE0-9DF1B408C0DF}"/>
    <dgm:cxn modelId="{077540D7-B43C-4113-9D5F-6AB54A2B176F}" type="presOf" srcId="{632DF1DC-7DD4-47D9-AFAF-00C32D4D2A24}" destId="{6301F416-0321-4E61-AED8-A795E0ED4A03}" srcOrd="0" destOrd="0" presId="urn:microsoft.com/office/officeart/2005/8/layout/hierarchy3"/>
    <dgm:cxn modelId="{B355DEE7-AE19-46F4-895E-0A8D6D29CC0F}" srcId="{0E07E37D-7D01-41FC-8FBA-434C5271D059}" destId="{9D27038E-7F5C-49BE-A985-5FE69934C2C9}" srcOrd="0" destOrd="0" parTransId="{DB833C2C-B81A-459D-B78C-F27B8C05497D}" sibTransId="{AB1F0104-064C-41A1-845D-35A91C1D7A60}"/>
    <dgm:cxn modelId="{8F516D7C-B789-4278-8215-AF7BF0077254}" type="presOf" srcId="{3AD376E4-46F8-4780-BFC4-058E84101904}" destId="{2DEF3468-150C-48B4-BC55-0A2436E06BA7}" srcOrd="0" destOrd="0" presId="urn:microsoft.com/office/officeart/2005/8/layout/hierarchy3"/>
    <dgm:cxn modelId="{D9456A88-5A04-42F7-B9FA-F209FC9657D8}" type="presParOf" srcId="{C0E338BB-983C-4AB8-9399-01DE790EB93C}" destId="{7718F811-37D2-4B93-BC64-FC4F2502FC59}" srcOrd="0" destOrd="0" presId="urn:microsoft.com/office/officeart/2005/8/layout/hierarchy3"/>
    <dgm:cxn modelId="{AF722C7E-CEC1-4FD1-8B38-E47A1F6EA83B}" type="presParOf" srcId="{7718F811-37D2-4B93-BC64-FC4F2502FC59}" destId="{AEEC298B-5D53-45F5-B0B0-72565B3C579F}" srcOrd="0" destOrd="0" presId="urn:microsoft.com/office/officeart/2005/8/layout/hierarchy3"/>
    <dgm:cxn modelId="{2C07B551-37CF-46D3-A2C4-C4C8C80582E7}" type="presParOf" srcId="{AEEC298B-5D53-45F5-B0B0-72565B3C579F}" destId="{5FA6A349-3737-4BAE-9B58-3DC1CFCB19E2}" srcOrd="0" destOrd="0" presId="urn:microsoft.com/office/officeart/2005/8/layout/hierarchy3"/>
    <dgm:cxn modelId="{6D95F2FB-C198-46B8-90E3-3F42FD838211}" type="presParOf" srcId="{AEEC298B-5D53-45F5-B0B0-72565B3C579F}" destId="{D4C74A3B-3B4E-4B38-AB45-C8EE6403EC88}" srcOrd="1" destOrd="0" presId="urn:microsoft.com/office/officeart/2005/8/layout/hierarchy3"/>
    <dgm:cxn modelId="{01A28452-C839-4809-856A-432D24B9D93B}" type="presParOf" srcId="{7718F811-37D2-4B93-BC64-FC4F2502FC59}" destId="{583221A8-A395-477C-B4FC-090822227B77}" srcOrd="1" destOrd="0" presId="urn:microsoft.com/office/officeart/2005/8/layout/hierarchy3"/>
    <dgm:cxn modelId="{A4B9D38E-5A9B-43A3-8986-7EA174F50513}" type="presParOf" srcId="{583221A8-A395-477C-B4FC-090822227B77}" destId="{64EEF127-6F01-4767-B9B0-E53F468F748A}" srcOrd="0" destOrd="0" presId="urn:microsoft.com/office/officeart/2005/8/layout/hierarchy3"/>
    <dgm:cxn modelId="{2413BB4C-7B4E-4AEE-A93B-8C0F091BEBFD}" type="presParOf" srcId="{583221A8-A395-477C-B4FC-090822227B77}" destId="{7EDF827F-3CB8-45DA-80BA-9B386ED0D093}" srcOrd="1" destOrd="0" presId="urn:microsoft.com/office/officeart/2005/8/layout/hierarchy3"/>
    <dgm:cxn modelId="{8AAE8A92-986F-4E86-B7C6-AE758F2B79D4}" type="presParOf" srcId="{C0E338BB-983C-4AB8-9399-01DE790EB93C}" destId="{136E5366-854F-4977-AC28-EF32DC489FA0}" srcOrd="1" destOrd="0" presId="urn:microsoft.com/office/officeart/2005/8/layout/hierarchy3"/>
    <dgm:cxn modelId="{97AA955E-F7E9-49C0-9DB4-CFA94A915D16}" type="presParOf" srcId="{136E5366-854F-4977-AC28-EF32DC489FA0}" destId="{99F9862C-769A-429C-BC52-4E1A62A3BCEA}" srcOrd="0" destOrd="0" presId="urn:microsoft.com/office/officeart/2005/8/layout/hierarchy3"/>
    <dgm:cxn modelId="{59B57283-1319-40DD-9F33-96DBA3A9FB10}" type="presParOf" srcId="{99F9862C-769A-429C-BC52-4E1A62A3BCEA}" destId="{3266447E-A205-45AC-A5E6-A637E80161CD}" srcOrd="0" destOrd="0" presId="urn:microsoft.com/office/officeart/2005/8/layout/hierarchy3"/>
    <dgm:cxn modelId="{2AA696B3-FB52-4FEE-B77C-A241054197BD}" type="presParOf" srcId="{99F9862C-769A-429C-BC52-4E1A62A3BCEA}" destId="{F64A26A6-6577-43D3-A736-B9E3CEDF81D9}" srcOrd="1" destOrd="0" presId="urn:microsoft.com/office/officeart/2005/8/layout/hierarchy3"/>
    <dgm:cxn modelId="{35DA3D01-2609-4ECC-A788-02F481331888}" type="presParOf" srcId="{136E5366-854F-4977-AC28-EF32DC489FA0}" destId="{CDB935F8-E10C-43B9-8F39-73723A2EC142}" srcOrd="1" destOrd="0" presId="urn:microsoft.com/office/officeart/2005/8/layout/hierarchy3"/>
    <dgm:cxn modelId="{F973D9D6-B79D-46DE-9DAD-76112CB9CD87}" type="presParOf" srcId="{CDB935F8-E10C-43B9-8F39-73723A2EC142}" destId="{2DEF3468-150C-48B4-BC55-0A2436E06BA7}" srcOrd="0" destOrd="0" presId="urn:microsoft.com/office/officeart/2005/8/layout/hierarchy3"/>
    <dgm:cxn modelId="{383DECBB-77BA-4BF9-8C61-1C1C511C17C5}" type="presParOf" srcId="{CDB935F8-E10C-43B9-8F39-73723A2EC142}" destId="{6301F416-0321-4E61-AED8-A795E0ED4A03}" srcOrd="1" destOrd="0" presId="urn:microsoft.com/office/officeart/2005/8/layout/hierarchy3"/>
    <dgm:cxn modelId="{A72D9DFB-EE25-485F-9160-C9ED7C222645}" type="presParOf" srcId="{CDB935F8-E10C-43B9-8F39-73723A2EC142}" destId="{31644C2E-D6BD-4D59-A293-8F2A1AFA0F69}" srcOrd="2" destOrd="0" presId="urn:microsoft.com/office/officeart/2005/8/layout/hierarchy3"/>
    <dgm:cxn modelId="{B98CB689-7C30-4449-BFBD-4B8038820DAA}" type="presParOf" srcId="{CDB935F8-E10C-43B9-8F39-73723A2EC142}" destId="{954A7FA3-6634-41D2-839C-812FEA97AD07}" srcOrd="3" destOrd="0" presId="urn:microsoft.com/office/officeart/2005/8/layout/hierarchy3"/>
  </dgm:cxnLst>
  <dgm:bg/>
  <dgm:whole/>
  <dgm:extLst>
    <a:ext uri="http://schemas.microsoft.com/office/drawing/2008/diagram">
      <dsp:dataModelExt xmlns:dsp="http://schemas.microsoft.com/office/drawing/2008/diagram" xmlns="" relId="rId8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F96CDB2-A5AD-46AF-92E7-237EC4FB6837}">
      <dsp:nvSpPr>
        <dsp:cNvPr id="0" name=""/>
        <dsp:cNvSpPr/>
      </dsp:nvSpPr>
      <dsp:spPr>
        <a:xfrm>
          <a:off x="1219201" y="0"/>
          <a:ext cx="3047996" cy="2819399"/>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lv-LV" sz="900" kern="1200" baseline="0">
              <a:solidFill>
                <a:sysClr val="windowText" lastClr="000000"/>
              </a:solidFill>
              <a:latin typeface="Times New Roman" pitchFamily="18" charset="0"/>
            </a:rPr>
            <a:t>Ārvalstu finanšu palīdzība, t.sk. ES fondu līdzfinansējums -  </a:t>
          </a:r>
          <a:r>
            <a:rPr lang="lv-LV" sz="900" b="1" kern="1200" baseline="0">
              <a:solidFill>
                <a:sysClr val="windowText" lastClr="000000"/>
              </a:solidFill>
              <a:latin typeface="Times New Roman" pitchFamily="18" charset="0"/>
            </a:rPr>
            <a:t>74,2</a:t>
          </a:r>
          <a:r>
            <a:rPr lang="en-US" sz="900" b="1" kern="1200" baseline="0">
              <a:solidFill>
                <a:sysClr val="windowText" lastClr="000000"/>
              </a:solidFill>
              <a:latin typeface="Times New Roman" pitchFamily="18" charset="0"/>
            </a:rPr>
            <a:t>3</a:t>
          </a:r>
          <a:r>
            <a:rPr lang="lv-LV" sz="900" b="1" kern="1200" baseline="0">
              <a:solidFill>
                <a:sysClr val="windowText" lastClr="000000"/>
              </a:solidFill>
              <a:latin typeface="Times New Roman" pitchFamily="18" charset="0"/>
            </a:rPr>
            <a:t> milj. latu</a:t>
          </a:r>
        </a:p>
      </dsp:txBody>
      <dsp:txXfrm>
        <a:off x="2210562" y="140969"/>
        <a:ext cx="1065274" cy="422910"/>
      </dsp:txXfrm>
    </dsp:sp>
    <dsp:sp modelId="{9A6B6185-4617-4D61-89B5-9E562C85EF15}">
      <dsp:nvSpPr>
        <dsp:cNvPr id="0" name=""/>
        <dsp:cNvSpPr/>
      </dsp:nvSpPr>
      <dsp:spPr>
        <a:xfrm>
          <a:off x="1685924" y="704849"/>
          <a:ext cx="2114550" cy="2114550"/>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Projektu īstenotāju projektu finansēšanai izmantotie līdzekļi  - </a:t>
          </a:r>
          <a:r>
            <a:rPr lang="lv-LV" sz="900" b="1" kern="1200">
              <a:solidFill>
                <a:sysClr val="windowText" lastClr="000000"/>
              </a:solidFill>
              <a:latin typeface="Times New Roman" pitchFamily="18" charset="0"/>
              <a:cs typeface="Times New Roman" pitchFamily="18" charset="0"/>
            </a:rPr>
            <a:t>10,</a:t>
          </a:r>
          <a:r>
            <a:rPr lang="en-US" sz="900" b="1" kern="1200">
              <a:solidFill>
                <a:sysClr val="windowText" lastClr="000000"/>
              </a:solidFill>
              <a:latin typeface="Times New Roman" pitchFamily="18" charset="0"/>
              <a:cs typeface="Times New Roman" pitchFamily="18" charset="0"/>
            </a:rPr>
            <a:t>7</a:t>
          </a:r>
          <a:r>
            <a:rPr lang="lv-LV" sz="900" b="1" kern="1200">
              <a:solidFill>
                <a:sysClr val="windowText" lastClr="000000"/>
              </a:solidFill>
              <a:latin typeface="Times New Roman" pitchFamily="18" charset="0"/>
              <a:cs typeface="Times New Roman" pitchFamily="18" charset="0"/>
            </a:rPr>
            <a:t>8 milj. latu</a:t>
          </a:r>
        </a:p>
      </dsp:txBody>
      <dsp:txXfrm>
        <a:off x="2250509" y="837009"/>
        <a:ext cx="985380" cy="396478"/>
      </dsp:txXfrm>
    </dsp:sp>
    <dsp:sp modelId="{6C040218-D5FB-4FC0-B2CD-473B1AA9A3B1}">
      <dsp:nvSpPr>
        <dsp:cNvPr id="0" name=""/>
        <dsp:cNvSpPr/>
      </dsp:nvSpPr>
      <dsp:spPr>
        <a:xfrm>
          <a:off x="2038350" y="1409699"/>
          <a:ext cx="1409699" cy="1409699"/>
        </a:xfrm>
        <a:prstGeom prst="ellipse">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Valsts budžets </a:t>
          </a:r>
          <a:r>
            <a:rPr lang="lv-LV" sz="900" b="1" kern="1200">
              <a:solidFill>
                <a:sysClr val="windowText" lastClr="000000"/>
              </a:solidFill>
              <a:latin typeface="Times New Roman" pitchFamily="18" charset="0"/>
              <a:cs typeface="Times New Roman" pitchFamily="18" charset="0"/>
            </a:rPr>
            <a:t>- </a:t>
          </a:r>
        </a:p>
        <a:p>
          <a:pPr lvl="0" algn="ctr" defTabSz="400050">
            <a:lnSpc>
              <a:spcPct val="90000"/>
            </a:lnSpc>
            <a:spcBef>
              <a:spcPct val="0"/>
            </a:spcBef>
            <a:spcAft>
              <a:spcPct val="35000"/>
            </a:spcAft>
          </a:pPr>
          <a:r>
            <a:rPr lang="lv-LV" sz="900" b="1" kern="1200">
              <a:solidFill>
                <a:sysClr val="windowText" lastClr="000000"/>
              </a:solidFill>
              <a:latin typeface="Times New Roman" pitchFamily="18" charset="0"/>
              <a:cs typeface="Times New Roman" pitchFamily="18" charset="0"/>
            </a:rPr>
            <a:t>1,35 milj. latu</a:t>
          </a:r>
        </a:p>
      </dsp:txBody>
      <dsp:txXfrm>
        <a:off x="2244795" y="1762124"/>
        <a:ext cx="996808" cy="704849"/>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FC9BAD2-C304-46ED-8016-7F93D0C268AE}">
      <dsp:nvSpPr>
        <dsp:cNvPr id="0" name=""/>
        <dsp:cNvSpPr/>
      </dsp:nvSpPr>
      <dsp:spPr>
        <a:xfrm>
          <a:off x="1429779" y="131951"/>
          <a:ext cx="2618720" cy="909447"/>
        </a:xfrm>
        <a:prstGeom prst="ellipse">
          <a:avLst/>
        </a:prstGeom>
        <a:solidFill>
          <a:schemeClr val="accent1">
            <a:tint val="50000"/>
            <a:alpha val="40000"/>
            <a:hueOff val="0"/>
            <a:satOff val="0"/>
            <a:lumOff val="0"/>
            <a:alphaOff val="0"/>
          </a:schemeClr>
        </a:solidFill>
        <a:ln>
          <a:noFill/>
        </a:ln>
        <a:effectLst/>
        <a:scene3d>
          <a:camera prst="orthographicFront"/>
          <a:lightRig rig="flat" dir="t"/>
        </a:scene3d>
        <a:sp3d z="-190500" extrusionH="12700" prstMaterial="matte"/>
      </dsp:spPr>
      <dsp:style>
        <a:lnRef idx="0">
          <a:scrgbClr r="0" g="0" b="0"/>
        </a:lnRef>
        <a:fillRef idx="1">
          <a:scrgbClr r="0" g="0" b="0"/>
        </a:fillRef>
        <a:effectRef idx="0">
          <a:scrgbClr r="0" g="0" b="0"/>
        </a:effectRef>
        <a:fontRef idx="minor"/>
      </dsp:style>
    </dsp:sp>
    <dsp:sp modelId="{47F32B16-E17B-4A66-8230-D3C7EFA6AC3A}">
      <dsp:nvSpPr>
        <dsp:cNvPr id="0" name=""/>
        <dsp:cNvSpPr/>
      </dsp:nvSpPr>
      <dsp:spPr>
        <a:xfrm>
          <a:off x="2489448" y="2358878"/>
          <a:ext cx="507503" cy="324802"/>
        </a:xfrm>
        <a:prstGeom prst="downArrow">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 modelId="{E589E849-26F0-4CA6-99A1-EE5537C60BA7}">
      <dsp:nvSpPr>
        <dsp:cNvPr id="0" name=""/>
        <dsp:cNvSpPr/>
      </dsp:nvSpPr>
      <dsp:spPr>
        <a:xfrm>
          <a:off x="1525190" y="2618720"/>
          <a:ext cx="2436018" cy="6090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lv-LV" sz="1100" b="1" kern="1200">
              <a:solidFill>
                <a:sysClr val="windowText" lastClr="000000"/>
              </a:solidFill>
              <a:latin typeface="Times New Roman" pitchFamily="18" charset="0"/>
              <a:cs typeface="Times New Roman" pitchFamily="18" charset="0"/>
            </a:rPr>
            <a:t>Kopējās investīcijas - 74,2</a:t>
          </a:r>
          <a:r>
            <a:rPr lang="en-US" sz="1100" b="1" kern="1200">
              <a:solidFill>
                <a:sysClr val="windowText" lastClr="000000"/>
              </a:solidFill>
              <a:latin typeface="Times New Roman" pitchFamily="18" charset="0"/>
              <a:cs typeface="Times New Roman" pitchFamily="18" charset="0"/>
            </a:rPr>
            <a:t>3</a:t>
          </a:r>
          <a:r>
            <a:rPr lang="lv-LV" sz="1100" b="1" kern="1200">
              <a:solidFill>
                <a:sysClr val="windowText" lastClr="000000"/>
              </a:solidFill>
              <a:latin typeface="Times New Roman" pitchFamily="18" charset="0"/>
              <a:cs typeface="Times New Roman" pitchFamily="18" charset="0"/>
            </a:rPr>
            <a:t> milj. latu</a:t>
          </a:r>
        </a:p>
      </dsp:txBody>
      <dsp:txXfrm>
        <a:off x="1525190" y="2618720"/>
        <a:ext cx="2436018" cy="609004"/>
      </dsp:txXfrm>
    </dsp:sp>
    <dsp:sp modelId="{4C8AACB3-B982-4A9B-9C55-A6DDF1A09AB2}">
      <dsp:nvSpPr>
        <dsp:cNvPr id="0" name=""/>
        <dsp:cNvSpPr/>
      </dsp:nvSpPr>
      <dsp:spPr>
        <a:xfrm>
          <a:off x="2105023" y="1102108"/>
          <a:ext cx="1333820" cy="913507"/>
        </a:xfrm>
        <a:prstGeom prst="ellipse">
          <a:avLst/>
        </a:prstGeom>
        <a:gradFill rotWithShape="0">
          <a:gsLst>
            <a:gs pos="0">
              <a:schemeClr val="accent1">
                <a:alpha val="90000"/>
                <a:hueOff val="0"/>
                <a:satOff val="0"/>
                <a:lumOff val="0"/>
                <a:alphaOff val="0"/>
                <a:shade val="51000"/>
                <a:satMod val="130000"/>
              </a:schemeClr>
            </a:gs>
            <a:gs pos="80000">
              <a:schemeClr val="accent1">
                <a:alpha val="90000"/>
                <a:hueOff val="0"/>
                <a:satOff val="0"/>
                <a:lumOff val="0"/>
                <a:alphaOff val="0"/>
                <a:shade val="93000"/>
                <a:satMod val="130000"/>
              </a:schemeClr>
            </a:gs>
            <a:gs pos="100000">
              <a:schemeClr val="accent1">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Eiropas teritoriālās sadarbība s programma  </a:t>
          </a:r>
          <a:r>
            <a:rPr lang="lv-LV" sz="1000" b="0" kern="1200">
              <a:solidFill>
                <a:sysClr val="windowText" lastClr="000000"/>
              </a:solidFill>
              <a:latin typeface="Times New Roman" pitchFamily="18" charset="0"/>
              <a:cs typeface="Times New Roman" pitchFamily="18" charset="0"/>
            </a:rPr>
            <a:t>- 0,47 milj. latu</a:t>
          </a:r>
        </a:p>
      </dsp:txBody>
      <dsp:txXfrm>
        <a:off x="2105023" y="1102108"/>
        <a:ext cx="1333820" cy="913507"/>
      </dsp:txXfrm>
    </dsp:sp>
    <dsp:sp modelId="{16E97617-E4B9-44FE-B9C9-B9F68C85C36B}">
      <dsp:nvSpPr>
        <dsp:cNvPr id="0" name=""/>
        <dsp:cNvSpPr/>
      </dsp:nvSpPr>
      <dsp:spPr>
        <a:xfrm>
          <a:off x="1534852" y="194299"/>
          <a:ext cx="1242177" cy="913507"/>
        </a:xfrm>
        <a:prstGeom prst="ellipse">
          <a:avLst/>
        </a:prstGeom>
        <a:gradFill rotWithShape="0">
          <a:gsLst>
            <a:gs pos="0">
              <a:schemeClr val="accent1">
                <a:alpha val="90000"/>
                <a:hueOff val="0"/>
                <a:satOff val="0"/>
                <a:lumOff val="0"/>
                <a:alphaOff val="-20000"/>
                <a:shade val="51000"/>
                <a:satMod val="130000"/>
              </a:schemeClr>
            </a:gs>
            <a:gs pos="80000">
              <a:schemeClr val="accent1">
                <a:alpha val="90000"/>
                <a:hueOff val="0"/>
                <a:satOff val="0"/>
                <a:lumOff val="0"/>
                <a:alphaOff val="-20000"/>
                <a:shade val="93000"/>
                <a:satMod val="130000"/>
              </a:schemeClr>
            </a:gs>
            <a:gs pos="100000">
              <a:schemeClr val="accent1">
                <a:alpha val="90000"/>
                <a:hueOff val="0"/>
                <a:satOff val="0"/>
                <a:lumOff val="0"/>
                <a:alpha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KF - </a:t>
          </a:r>
          <a:r>
            <a:rPr lang="lv-LV" sz="1000" b="0" kern="1200">
              <a:solidFill>
                <a:sysClr val="windowText" lastClr="000000"/>
              </a:solidFill>
              <a:latin typeface="Times New Roman" pitchFamily="18" charset="0"/>
              <a:cs typeface="Times New Roman" pitchFamily="18" charset="0"/>
            </a:rPr>
            <a:t>31,1</a:t>
          </a:r>
          <a:r>
            <a:rPr lang="en-US" sz="1000" b="0" kern="1200">
              <a:solidFill>
                <a:sysClr val="windowText" lastClr="000000"/>
              </a:solidFill>
              <a:latin typeface="Times New Roman" pitchFamily="18" charset="0"/>
              <a:cs typeface="Times New Roman" pitchFamily="18" charset="0"/>
            </a:rPr>
            <a:t>2</a:t>
          </a:r>
          <a:r>
            <a:rPr lang="lv-LV" sz="1000" b="0" kern="1200">
              <a:solidFill>
                <a:sysClr val="windowText" lastClr="000000"/>
              </a:solidFill>
              <a:latin typeface="Times New Roman" pitchFamily="18" charset="0"/>
              <a:cs typeface="Times New Roman" pitchFamily="18" charset="0"/>
            </a:rPr>
            <a:t> milj. latu</a:t>
          </a:r>
        </a:p>
        <a:p>
          <a:pPr lvl="0" algn="ctr"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ERAF</a:t>
          </a:r>
          <a:r>
            <a:rPr lang="lv-LV" sz="1000" b="0" kern="1200">
              <a:solidFill>
                <a:sysClr val="windowText" lastClr="000000"/>
              </a:solidFill>
              <a:latin typeface="Times New Roman" pitchFamily="18" charset="0"/>
              <a:cs typeface="Times New Roman" pitchFamily="18" charset="0"/>
            </a:rPr>
            <a:t> - 20,66 milj. latu</a:t>
          </a:r>
        </a:p>
      </dsp:txBody>
      <dsp:txXfrm>
        <a:off x="1534852" y="194299"/>
        <a:ext cx="1242177" cy="913507"/>
      </dsp:txXfrm>
    </dsp:sp>
    <dsp:sp modelId="{442869ED-9456-4008-959C-75958DEBAC3D}">
      <dsp:nvSpPr>
        <dsp:cNvPr id="0" name=""/>
        <dsp:cNvSpPr/>
      </dsp:nvSpPr>
      <dsp:spPr>
        <a:xfrm>
          <a:off x="2671070" y="195909"/>
          <a:ext cx="1104905" cy="913507"/>
        </a:xfrm>
        <a:prstGeom prst="ellipse">
          <a:avLst/>
        </a:prstGeom>
        <a:gradFill rotWithShape="0">
          <a:gsLst>
            <a:gs pos="0">
              <a:schemeClr val="accent1">
                <a:alpha val="90000"/>
                <a:hueOff val="0"/>
                <a:satOff val="0"/>
                <a:lumOff val="0"/>
                <a:alphaOff val="-40000"/>
                <a:shade val="51000"/>
                <a:satMod val="130000"/>
              </a:schemeClr>
            </a:gs>
            <a:gs pos="80000">
              <a:schemeClr val="accent1">
                <a:alpha val="90000"/>
                <a:hueOff val="0"/>
                <a:satOff val="0"/>
                <a:lumOff val="0"/>
                <a:alphaOff val="-40000"/>
                <a:shade val="93000"/>
                <a:satMod val="130000"/>
              </a:schemeClr>
            </a:gs>
            <a:gs pos="100000">
              <a:schemeClr val="accent1">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KPFI</a:t>
          </a:r>
          <a:r>
            <a:rPr lang="lv-LV" sz="1000" b="0" kern="1200">
              <a:solidFill>
                <a:sysClr val="windowText" lastClr="000000"/>
              </a:solidFill>
              <a:latin typeface="Times New Roman" pitchFamily="18" charset="0"/>
              <a:cs typeface="Times New Roman" pitchFamily="18" charset="0"/>
            </a:rPr>
            <a:t> - 21,13 milj. latu</a:t>
          </a:r>
        </a:p>
        <a:p>
          <a:pPr lvl="0" algn="ctr"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LIFE+</a:t>
          </a:r>
          <a:r>
            <a:rPr lang="lv-LV" sz="1000" b="0" kern="1200">
              <a:solidFill>
                <a:sysClr val="windowText" lastClr="000000"/>
              </a:solidFill>
              <a:latin typeface="Times New Roman" pitchFamily="18" charset="0"/>
              <a:cs typeface="Times New Roman" pitchFamily="18" charset="0"/>
            </a:rPr>
            <a:t> - 0,85 milj. latu</a:t>
          </a:r>
        </a:p>
      </dsp:txBody>
      <dsp:txXfrm>
        <a:off x="2671070" y="195909"/>
        <a:ext cx="1104905" cy="913507"/>
      </dsp:txXfrm>
    </dsp:sp>
    <dsp:sp modelId="{79B701E2-21B7-4FBD-A2F3-124ADAB2B8F4}">
      <dsp:nvSpPr>
        <dsp:cNvPr id="0" name=""/>
        <dsp:cNvSpPr/>
      </dsp:nvSpPr>
      <dsp:spPr>
        <a:xfrm>
          <a:off x="1322189" y="20300"/>
          <a:ext cx="2842021" cy="2273617"/>
        </a:xfrm>
        <a:prstGeom prst="funnel">
          <a:avLst/>
        </a:prstGeom>
        <a:solidFill>
          <a:schemeClr val="lt1">
            <a:alpha val="40000"/>
            <a:hueOff val="0"/>
            <a:satOff val="0"/>
            <a:lumOff val="0"/>
            <a:alphaOff val="0"/>
          </a:schemeClr>
        </a:solidFill>
        <a:ln w="9525" cap="flat" cmpd="sng" algn="ctr">
          <a:solidFill>
            <a:schemeClr val="accent1">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0031FED-B923-4748-AD5E-E50D2085789D}">
      <dsp:nvSpPr>
        <dsp:cNvPr id="0" name=""/>
        <dsp:cNvSpPr/>
      </dsp:nvSpPr>
      <dsp:spPr>
        <a:xfrm>
          <a:off x="2419183" y="1313958"/>
          <a:ext cx="676455" cy="676455"/>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8</a:t>
          </a:r>
          <a:r>
            <a:rPr lang="en-US" sz="1000" b="1" kern="1200">
              <a:solidFill>
                <a:sysClr val="windowText" lastClr="000000"/>
              </a:solidFill>
              <a:latin typeface="Times New Roman" pitchFamily="18" charset="0"/>
              <a:cs typeface="Times New Roman" pitchFamily="18" charset="0"/>
            </a:rPr>
            <a:t>6</a:t>
          </a:r>
          <a:r>
            <a:rPr lang="lv-LV" sz="1000" b="1" kern="1200">
              <a:solidFill>
                <a:sysClr val="windowText" lastClr="000000"/>
              </a:solidFill>
              <a:latin typeface="Times New Roman" pitchFamily="18" charset="0"/>
              <a:cs typeface="Times New Roman" pitchFamily="18" charset="0"/>
            </a:rPr>
            <a:t>,</a:t>
          </a:r>
          <a:r>
            <a:rPr lang="en-US" sz="1000" b="1" kern="1200">
              <a:solidFill>
                <a:sysClr val="windowText" lastClr="000000"/>
              </a:solidFill>
              <a:latin typeface="Times New Roman" pitchFamily="18" charset="0"/>
              <a:cs typeface="Times New Roman" pitchFamily="18" charset="0"/>
            </a:rPr>
            <a:t>3</a:t>
          </a:r>
          <a:r>
            <a:rPr lang="lv-LV" sz="1000" b="1" kern="1200">
              <a:solidFill>
                <a:sysClr val="windowText" lastClr="000000"/>
              </a:solidFill>
              <a:latin typeface="Times New Roman" pitchFamily="18" charset="0"/>
              <a:cs typeface="Times New Roman" pitchFamily="18" charset="0"/>
            </a:rPr>
            <a:t>6 milj. latu</a:t>
          </a:r>
        </a:p>
      </dsp:txBody>
      <dsp:txXfrm>
        <a:off x="2419183" y="1313958"/>
        <a:ext cx="676455" cy="676455"/>
      </dsp:txXfrm>
    </dsp:sp>
    <dsp:sp modelId="{9A3B3757-1335-4F45-B5F7-23CEA76A1F3F}">
      <dsp:nvSpPr>
        <dsp:cNvPr id="0" name=""/>
        <dsp:cNvSpPr/>
      </dsp:nvSpPr>
      <dsp:spPr>
        <a:xfrm rot="16200000">
          <a:off x="2515832" y="1061284"/>
          <a:ext cx="483155" cy="22193"/>
        </a:xfrm>
        <a:custGeom>
          <a:avLst/>
          <a:gdLst/>
          <a:ahLst/>
          <a:cxnLst/>
          <a:rect l="0" t="0" r="0" b="0"/>
          <a:pathLst>
            <a:path>
              <a:moveTo>
                <a:pt x="0" y="11096"/>
              </a:moveTo>
              <a:lnTo>
                <a:pt x="483155"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16200000">
        <a:off x="2745331" y="1060302"/>
        <a:ext cx="24157" cy="24157"/>
      </dsp:txXfrm>
    </dsp:sp>
    <dsp:sp modelId="{38ED9167-3644-4FBB-B654-9227E4AC7CAB}">
      <dsp:nvSpPr>
        <dsp:cNvPr id="0" name=""/>
        <dsp:cNvSpPr/>
      </dsp:nvSpPr>
      <dsp:spPr>
        <a:xfrm>
          <a:off x="2104871" y="-100289"/>
          <a:ext cx="1305078" cy="931093"/>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Ūdenssaimniecības attīatība - </a:t>
          </a:r>
          <a:r>
            <a:rPr lang="lv-LV" sz="900" b="1" kern="1200">
              <a:solidFill>
                <a:sysClr val="windowText" lastClr="000000"/>
              </a:solidFill>
              <a:latin typeface="Times New Roman" pitchFamily="18" charset="0"/>
              <a:cs typeface="Times New Roman" pitchFamily="18" charset="0"/>
            </a:rPr>
            <a:t>46,43 milj. latu</a:t>
          </a:r>
        </a:p>
      </dsp:txBody>
      <dsp:txXfrm>
        <a:off x="2104871" y="-100289"/>
        <a:ext cx="1305078" cy="931093"/>
      </dsp:txXfrm>
    </dsp:sp>
    <dsp:sp modelId="{BF4105D8-18D8-44B0-AFD5-AB13666C1758}">
      <dsp:nvSpPr>
        <dsp:cNvPr id="0" name=""/>
        <dsp:cNvSpPr/>
      </dsp:nvSpPr>
      <dsp:spPr>
        <a:xfrm rot="18600000">
          <a:off x="2883611" y="1186397"/>
          <a:ext cx="510662" cy="22193"/>
        </a:xfrm>
        <a:custGeom>
          <a:avLst/>
          <a:gdLst/>
          <a:ahLst/>
          <a:cxnLst/>
          <a:rect l="0" t="0" r="0" b="0"/>
          <a:pathLst>
            <a:path>
              <a:moveTo>
                <a:pt x="0" y="11096"/>
              </a:moveTo>
              <a:lnTo>
                <a:pt x="510662"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18600000">
        <a:off x="3126176" y="1184727"/>
        <a:ext cx="25533" cy="25533"/>
      </dsp:txXfrm>
    </dsp:sp>
    <dsp:sp modelId="{849756DE-030B-4DD2-A26F-594E88E8460C}">
      <dsp:nvSpPr>
        <dsp:cNvPr id="0" name=""/>
        <dsp:cNvSpPr/>
      </dsp:nvSpPr>
      <dsp:spPr>
        <a:xfrm>
          <a:off x="3092565" y="257177"/>
          <a:ext cx="984134" cy="818328"/>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Siltumnīc-efekta gāzu emisiju samazināšana - </a:t>
          </a:r>
          <a:r>
            <a:rPr lang="lv-LV" sz="900" b="1" kern="1200">
              <a:solidFill>
                <a:sysClr val="windowText" lastClr="000000"/>
              </a:solidFill>
              <a:latin typeface="Times New Roman" pitchFamily="18" charset="0"/>
              <a:cs typeface="Times New Roman" pitchFamily="18" charset="0"/>
            </a:rPr>
            <a:t>21,13 milj. latu</a:t>
          </a:r>
        </a:p>
      </dsp:txBody>
      <dsp:txXfrm>
        <a:off x="3092565" y="257177"/>
        <a:ext cx="984134" cy="818328"/>
      </dsp:txXfrm>
    </dsp:sp>
    <dsp:sp modelId="{1182DD33-97DB-4DF9-B44F-EB4F01EAE637}">
      <dsp:nvSpPr>
        <dsp:cNvPr id="0" name=""/>
        <dsp:cNvSpPr/>
      </dsp:nvSpPr>
      <dsp:spPr>
        <a:xfrm rot="21000000">
          <a:off x="3087536" y="1548487"/>
          <a:ext cx="390096" cy="22193"/>
        </a:xfrm>
        <a:custGeom>
          <a:avLst/>
          <a:gdLst/>
          <a:ahLst/>
          <a:cxnLst/>
          <a:rect l="0" t="0" r="0" b="0"/>
          <a:pathLst>
            <a:path>
              <a:moveTo>
                <a:pt x="0" y="11096"/>
              </a:moveTo>
              <a:lnTo>
                <a:pt x="390096"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21000000">
        <a:off x="3272832" y="1549831"/>
        <a:ext cx="19504" cy="19504"/>
      </dsp:txXfrm>
    </dsp:sp>
    <dsp:sp modelId="{51D73096-CE27-49E3-99B4-E129A7B50F78}">
      <dsp:nvSpPr>
        <dsp:cNvPr id="0" name=""/>
        <dsp:cNvSpPr/>
      </dsp:nvSpPr>
      <dsp:spPr>
        <a:xfrm>
          <a:off x="3454591" y="1059937"/>
          <a:ext cx="1140395" cy="73755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Atkritumu apsaimniekošana - </a:t>
          </a:r>
          <a:r>
            <a:rPr lang="lv-LV" sz="900" b="1" kern="1200">
              <a:solidFill>
                <a:sysClr val="windowText" lastClr="000000"/>
              </a:solidFill>
              <a:latin typeface="Times New Roman" pitchFamily="18" charset="0"/>
              <a:cs typeface="Times New Roman" pitchFamily="18" charset="0"/>
            </a:rPr>
            <a:t>8,</a:t>
          </a:r>
          <a:r>
            <a:rPr lang="en-US" sz="900" b="1" kern="1200">
              <a:solidFill>
                <a:sysClr val="windowText" lastClr="000000"/>
              </a:solidFill>
              <a:latin typeface="Times New Roman" pitchFamily="18" charset="0"/>
              <a:cs typeface="Times New Roman" pitchFamily="18" charset="0"/>
            </a:rPr>
            <a:t>03</a:t>
          </a:r>
          <a:r>
            <a:rPr lang="lv-LV" sz="900" b="1" kern="1200">
              <a:solidFill>
                <a:sysClr val="windowText" lastClr="000000"/>
              </a:solidFill>
              <a:latin typeface="Times New Roman" pitchFamily="18" charset="0"/>
              <a:cs typeface="Times New Roman" pitchFamily="18" charset="0"/>
            </a:rPr>
            <a:t> milj. latu </a:t>
          </a:r>
        </a:p>
      </dsp:txBody>
      <dsp:txXfrm>
        <a:off x="3454591" y="1059937"/>
        <a:ext cx="1140395" cy="737552"/>
      </dsp:txXfrm>
    </dsp:sp>
    <dsp:sp modelId="{19EE9DB9-02C6-4EC1-ABCB-25A1319B4443}">
      <dsp:nvSpPr>
        <dsp:cNvPr id="0" name=""/>
        <dsp:cNvSpPr/>
      </dsp:nvSpPr>
      <dsp:spPr>
        <a:xfrm rot="1800000">
          <a:off x="3013512" y="1947585"/>
          <a:ext cx="549528" cy="22193"/>
        </a:xfrm>
        <a:custGeom>
          <a:avLst/>
          <a:gdLst/>
          <a:ahLst/>
          <a:cxnLst/>
          <a:rect l="0" t="0" r="0" b="0"/>
          <a:pathLst>
            <a:path>
              <a:moveTo>
                <a:pt x="0" y="11096"/>
              </a:moveTo>
              <a:lnTo>
                <a:pt x="549528"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1800000">
        <a:off x="3274538" y="1944944"/>
        <a:ext cx="27476" cy="27476"/>
      </dsp:txXfrm>
    </dsp:sp>
    <dsp:sp modelId="{C754A8FF-06E2-4AE3-8051-9D24C73CEBE4}">
      <dsp:nvSpPr>
        <dsp:cNvPr id="0" name=""/>
        <dsp:cNvSpPr/>
      </dsp:nvSpPr>
      <dsp:spPr>
        <a:xfrm>
          <a:off x="3457598" y="1933575"/>
          <a:ext cx="828650" cy="72415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Piesārņoto vietu sanācija - </a:t>
          </a:r>
          <a:r>
            <a:rPr lang="lv-LV" sz="900" b="1" kern="1200">
              <a:solidFill>
                <a:sysClr val="windowText" lastClr="000000"/>
              </a:solidFill>
              <a:latin typeface="Times New Roman" pitchFamily="18" charset="0"/>
              <a:cs typeface="Times New Roman" pitchFamily="18" charset="0"/>
            </a:rPr>
            <a:t>3,07 milj. latu</a:t>
          </a:r>
          <a:endParaRPr lang="lv-LV" sz="900" kern="1200">
            <a:solidFill>
              <a:sysClr val="windowText" lastClr="000000"/>
            </a:solidFill>
            <a:latin typeface="Times New Roman" pitchFamily="18" charset="0"/>
            <a:cs typeface="Times New Roman" pitchFamily="18" charset="0"/>
          </a:endParaRPr>
        </a:p>
      </dsp:txBody>
      <dsp:txXfrm>
        <a:off x="3457598" y="1933575"/>
        <a:ext cx="828650" cy="724152"/>
      </dsp:txXfrm>
    </dsp:sp>
    <dsp:sp modelId="{AB1F077E-E9F5-415D-BA0D-914626A5EC2B}">
      <dsp:nvSpPr>
        <dsp:cNvPr id="0" name=""/>
        <dsp:cNvSpPr/>
      </dsp:nvSpPr>
      <dsp:spPr>
        <a:xfrm rot="4200000">
          <a:off x="2702026" y="2203225"/>
          <a:ext cx="519969" cy="22193"/>
        </a:xfrm>
        <a:custGeom>
          <a:avLst/>
          <a:gdLst/>
          <a:ahLst/>
          <a:cxnLst/>
          <a:rect l="0" t="0" r="0" b="0"/>
          <a:pathLst>
            <a:path>
              <a:moveTo>
                <a:pt x="0" y="11096"/>
              </a:moveTo>
              <a:lnTo>
                <a:pt x="519969"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4200000">
        <a:off x="2949012" y="2201322"/>
        <a:ext cx="25998" cy="25998"/>
      </dsp:txXfrm>
    </dsp:sp>
    <dsp:sp modelId="{20350A92-6EFD-4869-9541-6AEA077C6F9F}">
      <dsp:nvSpPr>
        <dsp:cNvPr id="0" name=""/>
        <dsp:cNvSpPr/>
      </dsp:nvSpPr>
      <dsp:spPr>
        <a:xfrm>
          <a:off x="2724436" y="2437762"/>
          <a:ext cx="946259" cy="847483"/>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Dabas un bioloģiskās daudzveidības saglabāšana - </a:t>
          </a:r>
          <a:r>
            <a:rPr lang="lv-LV" sz="900" b="1" kern="1200">
              <a:solidFill>
                <a:sysClr val="windowText" lastClr="000000"/>
              </a:solidFill>
              <a:latin typeface="Times New Roman" pitchFamily="18" charset="0"/>
              <a:cs typeface="Times New Roman" pitchFamily="18" charset="0"/>
            </a:rPr>
            <a:t>2,41 milj. latu</a:t>
          </a:r>
          <a:endParaRPr lang="lv-LV" sz="900" kern="1200">
            <a:solidFill>
              <a:sysClr val="windowText" lastClr="000000"/>
            </a:solidFill>
            <a:latin typeface="Times New Roman" pitchFamily="18" charset="0"/>
            <a:cs typeface="Times New Roman" pitchFamily="18" charset="0"/>
          </a:endParaRPr>
        </a:p>
      </dsp:txBody>
      <dsp:txXfrm>
        <a:off x="2724436" y="2437762"/>
        <a:ext cx="946259" cy="847483"/>
      </dsp:txXfrm>
    </dsp:sp>
    <dsp:sp modelId="{80C5D2F6-1D95-4821-96C4-043BBD97DB52}">
      <dsp:nvSpPr>
        <dsp:cNvPr id="0" name=""/>
        <dsp:cNvSpPr/>
      </dsp:nvSpPr>
      <dsp:spPr>
        <a:xfrm rot="6600000">
          <a:off x="2300987" y="2197510"/>
          <a:ext cx="507805" cy="22193"/>
        </a:xfrm>
        <a:custGeom>
          <a:avLst/>
          <a:gdLst/>
          <a:ahLst/>
          <a:cxnLst/>
          <a:rect l="0" t="0" r="0" b="0"/>
          <a:pathLst>
            <a:path>
              <a:moveTo>
                <a:pt x="0" y="11096"/>
              </a:moveTo>
              <a:lnTo>
                <a:pt x="507805"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6600000">
        <a:off x="2542194" y="2195911"/>
        <a:ext cx="25390" cy="25390"/>
      </dsp:txXfrm>
    </dsp:sp>
    <dsp:sp modelId="{3CE8928D-3079-4C5B-9ACC-19A5EDD1631D}">
      <dsp:nvSpPr>
        <dsp:cNvPr id="0" name=""/>
        <dsp:cNvSpPr/>
      </dsp:nvSpPr>
      <dsp:spPr>
        <a:xfrm>
          <a:off x="1862761" y="2422319"/>
          <a:ext cx="908986" cy="878370"/>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Vides risku samazināšana - </a:t>
          </a:r>
          <a:r>
            <a:rPr lang="lv-LV" sz="900" b="1" kern="1200">
              <a:solidFill>
                <a:sysClr val="windowText" lastClr="000000"/>
              </a:solidFill>
              <a:latin typeface="Times New Roman" pitchFamily="18" charset="0"/>
              <a:cs typeface="Times New Roman" pitchFamily="18" charset="0"/>
            </a:rPr>
            <a:t>1,86 milj. latu</a:t>
          </a:r>
          <a:endParaRPr lang="lv-LV" sz="900" kern="1200">
            <a:solidFill>
              <a:sysClr val="windowText" lastClr="000000"/>
            </a:solidFill>
            <a:latin typeface="Times New Roman" pitchFamily="18" charset="0"/>
            <a:cs typeface="Times New Roman" pitchFamily="18" charset="0"/>
          </a:endParaRPr>
        </a:p>
      </dsp:txBody>
      <dsp:txXfrm>
        <a:off x="1862761" y="2422319"/>
        <a:ext cx="908986" cy="878370"/>
      </dsp:txXfrm>
    </dsp:sp>
    <dsp:sp modelId="{C53820B9-779A-46DC-B03E-2B2E3BF28523}">
      <dsp:nvSpPr>
        <dsp:cNvPr id="0" name=""/>
        <dsp:cNvSpPr/>
      </dsp:nvSpPr>
      <dsp:spPr>
        <a:xfrm rot="9000000">
          <a:off x="1955044" y="1946710"/>
          <a:ext cx="546029" cy="22193"/>
        </a:xfrm>
        <a:custGeom>
          <a:avLst/>
          <a:gdLst/>
          <a:ahLst/>
          <a:cxnLst/>
          <a:rect l="0" t="0" r="0" b="0"/>
          <a:pathLst>
            <a:path>
              <a:moveTo>
                <a:pt x="0" y="11096"/>
              </a:moveTo>
              <a:lnTo>
                <a:pt x="546029"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9000000">
        <a:off x="2214408" y="1944156"/>
        <a:ext cx="27301" cy="27301"/>
      </dsp:txXfrm>
    </dsp:sp>
    <dsp:sp modelId="{612AE97D-75D6-4E65-90B5-DECB0C6793E1}">
      <dsp:nvSpPr>
        <dsp:cNvPr id="0" name=""/>
        <dsp:cNvSpPr/>
      </dsp:nvSpPr>
      <dsp:spPr>
        <a:xfrm>
          <a:off x="1230702" y="1918016"/>
          <a:ext cx="824389" cy="755269"/>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Vides monitorings - </a:t>
          </a:r>
          <a:r>
            <a:rPr lang="lv-LV" sz="900" b="1" kern="1200">
              <a:solidFill>
                <a:sysClr val="windowText" lastClr="000000"/>
              </a:solidFill>
              <a:latin typeface="Times New Roman" pitchFamily="18" charset="0"/>
              <a:cs typeface="Times New Roman" pitchFamily="18" charset="0"/>
            </a:rPr>
            <a:t>1,02 milj. latu</a:t>
          </a:r>
        </a:p>
      </dsp:txBody>
      <dsp:txXfrm>
        <a:off x="1230702" y="1918016"/>
        <a:ext cx="824389" cy="755269"/>
      </dsp:txXfrm>
    </dsp:sp>
    <dsp:sp modelId="{A4136872-9AC9-4B86-8FDF-745F1E77DDAE}">
      <dsp:nvSpPr>
        <dsp:cNvPr id="0" name=""/>
        <dsp:cNvSpPr/>
      </dsp:nvSpPr>
      <dsp:spPr>
        <a:xfrm rot="11400000">
          <a:off x="2066596" y="1551060"/>
          <a:ext cx="360462" cy="22193"/>
        </a:xfrm>
        <a:custGeom>
          <a:avLst/>
          <a:gdLst/>
          <a:ahLst/>
          <a:cxnLst/>
          <a:rect l="0" t="0" r="0" b="0"/>
          <a:pathLst>
            <a:path>
              <a:moveTo>
                <a:pt x="0" y="11096"/>
              </a:moveTo>
              <a:lnTo>
                <a:pt x="360462"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11400000">
        <a:off x="2237816" y="1553145"/>
        <a:ext cx="18023" cy="18023"/>
      </dsp:txXfrm>
    </dsp:sp>
    <dsp:sp modelId="{E8F9BB02-8937-44E1-B38C-718511D588A3}">
      <dsp:nvSpPr>
        <dsp:cNvPr id="0" name=""/>
        <dsp:cNvSpPr/>
      </dsp:nvSpPr>
      <dsp:spPr>
        <a:xfrm>
          <a:off x="891413" y="1023344"/>
          <a:ext cx="1197237" cy="810738"/>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ES struktūrfondu 3.mērķis "Eiropas teritoriālā sadarbība" - </a:t>
          </a:r>
          <a:r>
            <a:rPr lang="lv-LV" sz="900" b="1" kern="1200">
              <a:solidFill>
                <a:sysClr val="windowText" lastClr="000000"/>
              </a:solidFill>
              <a:latin typeface="Times New Roman" pitchFamily="18" charset="0"/>
              <a:cs typeface="Times New Roman" pitchFamily="18" charset="0"/>
            </a:rPr>
            <a:t>0,59 milj. latu</a:t>
          </a:r>
          <a:endParaRPr lang="lv-LV" sz="900" kern="1200">
            <a:solidFill>
              <a:sysClr val="windowText" lastClr="000000"/>
            </a:solidFill>
            <a:latin typeface="Times New Roman" pitchFamily="18" charset="0"/>
            <a:cs typeface="Times New Roman" pitchFamily="18" charset="0"/>
          </a:endParaRPr>
        </a:p>
      </dsp:txBody>
      <dsp:txXfrm>
        <a:off x="891413" y="1023344"/>
        <a:ext cx="1197237" cy="810738"/>
      </dsp:txXfrm>
    </dsp:sp>
    <dsp:sp modelId="{F5C3CEB4-36EB-4ED1-8AB0-AB146A7B8DEF}">
      <dsp:nvSpPr>
        <dsp:cNvPr id="0" name=""/>
        <dsp:cNvSpPr/>
      </dsp:nvSpPr>
      <dsp:spPr>
        <a:xfrm rot="13800000">
          <a:off x="2083186" y="1168975"/>
          <a:ext cx="556146" cy="22193"/>
        </a:xfrm>
        <a:custGeom>
          <a:avLst/>
          <a:gdLst/>
          <a:ahLst/>
          <a:cxnLst/>
          <a:rect l="0" t="0" r="0" b="0"/>
          <a:pathLst>
            <a:path>
              <a:moveTo>
                <a:pt x="0" y="11096"/>
              </a:moveTo>
              <a:lnTo>
                <a:pt x="556146" y="1109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lv-LV" sz="500" kern="1200"/>
        </a:p>
      </dsp:txBody>
      <dsp:txXfrm rot="13800000">
        <a:off x="2347356" y="1166168"/>
        <a:ext cx="27807" cy="27807"/>
      </dsp:txXfrm>
    </dsp:sp>
    <dsp:sp modelId="{6526A5AE-423F-4293-9F4D-7030F113BABB}">
      <dsp:nvSpPr>
        <dsp:cNvPr id="0" name=""/>
        <dsp:cNvSpPr/>
      </dsp:nvSpPr>
      <dsp:spPr>
        <a:xfrm>
          <a:off x="1447801" y="313505"/>
          <a:ext cx="964773" cy="705671"/>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lv-LV" sz="900" kern="1200">
              <a:solidFill>
                <a:sysClr val="windowText" lastClr="000000"/>
              </a:solidFill>
              <a:latin typeface="Times New Roman" pitchFamily="18" charset="0"/>
              <a:cs typeface="Times New Roman" pitchFamily="18" charset="0"/>
            </a:rPr>
            <a:t>LIFE+ programma - </a:t>
          </a:r>
          <a:r>
            <a:rPr lang="lv-LV" sz="900" b="1" kern="1200">
              <a:solidFill>
                <a:sysClr val="windowText" lastClr="000000"/>
              </a:solidFill>
              <a:latin typeface="Times New Roman" pitchFamily="18" charset="0"/>
              <a:cs typeface="Times New Roman" pitchFamily="18" charset="0"/>
            </a:rPr>
            <a:t>1,82 milj. latu</a:t>
          </a:r>
          <a:endParaRPr lang="lv-LV" sz="900" kern="1200">
            <a:solidFill>
              <a:sysClr val="windowText" lastClr="000000"/>
            </a:solidFill>
            <a:latin typeface="Times New Roman" pitchFamily="18" charset="0"/>
            <a:cs typeface="Times New Roman" pitchFamily="18" charset="0"/>
          </a:endParaRPr>
        </a:p>
      </dsp:txBody>
      <dsp:txXfrm>
        <a:off x="1447801" y="313505"/>
        <a:ext cx="964773" cy="705671"/>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5AE39FD-A428-423C-A217-9D23EFD8D5F7}">
      <dsp:nvSpPr>
        <dsp:cNvPr id="0" name=""/>
        <dsp:cNvSpPr/>
      </dsp:nvSpPr>
      <dsp:spPr>
        <a:xfrm>
          <a:off x="288607" y="0"/>
          <a:ext cx="3870960" cy="2419349"/>
        </a:xfrm>
        <a:prstGeom prst="swooshArrow">
          <a:avLst>
            <a:gd name="adj1" fmla="val 25000"/>
            <a:gd name="adj2" fmla="val 25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D1EFE79A-CEB1-4A00-AF2F-B955633F17F5}">
      <dsp:nvSpPr>
        <dsp:cNvPr id="0" name=""/>
        <dsp:cNvSpPr/>
      </dsp:nvSpPr>
      <dsp:spPr>
        <a:xfrm>
          <a:off x="669897" y="1799028"/>
          <a:ext cx="89032" cy="89032"/>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2C1CAD22-2DF9-43EB-A1AD-AAE8FC6D9081}">
      <dsp:nvSpPr>
        <dsp:cNvPr id="0" name=""/>
        <dsp:cNvSpPr/>
      </dsp:nvSpPr>
      <dsp:spPr>
        <a:xfrm>
          <a:off x="728684" y="1843544"/>
          <a:ext cx="1090589" cy="5758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7176" tIns="0" rIns="0" bIns="0" numCol="1" spcCol="1270" anchor="t" anchorCtr="0">
          <a:noAutofit/>
        </a:bodyPr>
        <a:lstStyle/>
        <a:p>
          <a:pPr lvl="0" algn="l" defTabSz="444500">
            <a:lnSpc>
              <a:spcPct val="90000"/>
            </a:lnSpc>
            <a:spcBef>
              <a:spcPct val="0"/>
            </a:spcBef>
            <a:spcAft>
              <a:spcPct val="35000"/>
            </a:spcAft>
          </a:pPr>
          <a:r>
            <a:rPr lang="lv-LV" sz="1000" kern="1200">
              <a:latin typeface="Times New Roman" pitchFamily="18" charset="0"/>
              <a:cs typeface="Times New Roman" pitchFamily="18" charset="0"/>
            </a:rPr>
            <a:t>2008.-2010.g. - </a:t>
          </a:r>
        </a:p>
        <a:p>
          <a:pPr lvl="0" algn="l" defTabSz="444500">
            <a:lnSpc>
              <a:spcPct val="90000"/>
            </a:lnSpc>
            <a:spcBef>
              <a:spcPct val="0"/>
            </a:spcBef>
            <a:spcAft>
              <a:spcPct val="35000"/>
            </a:spcAft>
          </a:pPr>
          <a:r>
            <a:rPr lang="lv-LV" sz="1000" kern="1200">
              <a:latin typeface="Times New Roman" pitchFamily="18" charset="0"/>
              <a:cs typeface="Times New Roman" pitchFamily="18" charset="0"/>
            </a:rPr>
            <a:t>368 projekti</a:t>
          </a:r>
        </a:p>
      </dsp:txBody>
      <dsp:txXfrm>
        <a:off x="728684" y="1843544"/>
        <a:ext cx="1090589" cy="575805"/>
      </dsp:txXfrm>
    </dsp:sp>
    <dsp:sp modelId="{2376D700-CB94-4D23-ABFF-C37C8094AAA9}">
      <dsp:nvSpPr>
        <dsp:cNvPr id="0" name=""/>
        <dsp:cNvSpPr/>
      </dsp:nvSpPr>
      <dsp:spPr>
        <a:xfrm>
          <a:off x="1298928" y="1236287"/>
          <a:ext cx="154838" cy="154838"/>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82A530C4-AB3C-45E5-B99E-DA833BC86915}">
      <dsp:nvSpPr>
        <dsp:cNvPr id="0" name=""/>
        <dsp:cNvSpPr/>
      </dsp:nvSpPr>
      <dsp:spPr>
        <a:xfrm>
          <a:off x="1376347" y="1313707"/>
          <a:ext cx="812901" cy="11056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046" tIns="0" rIns="0" bIns="0" numCol="1" spcCol="1270" anchor="t" anchorCtr="0">
          <a:noAutofit/>
        </a:bodyPr>
        <a:lstStyle/>
        <a:p>
          <a:pPr lvl="0" algn="l" defTabSz="444500">
            <a:lnSpc>
              <a:spcPct val="90000"/>
            </a:lnSpc>
            <a:spcBef>
              <a:spcPct val="0"/>
            </a:spcBef>
            <a:spcAft>
              <a:spcPct val="35000"/>
            </a:spcAft>
          </a:pPr>
          <a:r>
            <a:rPr lang="lv-LV" sz="1000" kern="1200">
              <a:latin typeface="Times New Roman" pitchFamily="18" charset="0"/>
              <a:cs typeface="Times New Roman" pitchFamily="18" charset="0"/>
            </a:rPr>
            <a:t>2011.g. - </a:t>
          </a:r>
        </a:p>
        <a:p>
          <a:pPr lvl="0" algn="l" defTabSz="444500">
            <a:lnSpc>
              <a:spcPct val="90000"/>
            </a:lnSpc>
            <a:spcBef>
              <a:spcPct val="0"/>
            </a:spcBef>
            <a:spcAft>
              <a:spcPct val="35000"/>
            </a:spcAft>
          </a:pPr>
          <a:r>
            <a:rPr lang="lv-LV" sz="1000" kern="1200">
              <a:latin typeface="Times New Roman" pitchFamily="18" charset="0"/>
              <a:cs typeface="Times New Roman" pitchFamily="18" charset="0"/>
            </a:rPr>
            <a:t>1532 projekti</a:t>
          </a:r>
        </a:p>
      </dsp:txBody>
      <dsp:txXfrm>
        <a:off x="1376347" y="1313707"/>
        <a:ext cx="812901" cy="1105642"/>
      </dsp:txXfrm>
    </dsp:sp>
    <dsp:sp modelId="{11A487D1-1A5C-4765-8067-C0833EAB7862}">
      <dsp:nvSpPr>
        <dsp:cNvPr id="0" name=""/>
        <dsp:cNvSpPr/>
      </dsp:nvSpPr>
      <dsp:spPr>
        <a:xfrm>
          <a:off x="2102152" y="821611"/>
          <a:ext cx="205160" cy="205160"/>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21A76A7B-2D4D-44E6-AF64-A7E1F0CFFA26}">
      <dsp:nvSpPr>
        <dsp:cNvPr id="0" name=""/>
        <dsp:cNvSpPr/>
      </dsp:nvSpPr>
      <dsp:spPr>
        <a:xfrm>
          <a:off x="2204732" y="924191"/>
          <a:ext cx="812901" cy="14951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8710" tIns="0" rIns="0" bIns="0" numCol="1" spcCol="1270" anchor="t" anchorCtr="0">
          <a:noAutofit/>
        </a:bodyPr>
        <a:lstStyle/>
        <a:p>
          <a:pPr lvl="0" algn="l" defTabSz="444500">
            <a:lnSpc>
              <a:spcPct val="90000"/>
            </a:lnSpc>
            <a:spcBef>
              <a:spcPct val="0"/>
            </a:spcBef>
            <a:spcAft>
              <a:spcPct val="35000"/>
            </a:spcAft>
          </a:pPr>
          <a:r>
            <a:rPr lang="lv-LV" sz="1000" kern="1200">
              <a:latin typeface="Times New Roman" pitchFamily="18" charset="0"/>
              <a:cs typeface="Times New Roman" pitchFamily="18" charset="0"/>
            </a:rPr>
            <a:t>2012.g. - </a:t>
          </a:r>
        </a:p>
        <a:p>
          <a:pPr lvl="0" algn="l" defTabSz="444500">
            <a:lnSpc>
              <a:spcPct val="90000"/>
            </a:lnSpc>
            <a:spcBef>
              <a:spcPct val="0"/>
            </a:spcBef>
            <a:spcAft>
              <a:spcPct val="35000"/>
            </a:spcAft>
          </a:pPr>
          <a:r>
            <a:rPr lang="lv-LV" sz="1000" kern="1200">
              <a:latin typeface="Times New Roman" pitchFamily="18" charset="0"/>
              <a:cs typeface="Times New Roman" pitchFamily="18" charset="0"/>
            </a:rPr>
            <a:t>1289 projekti</a:t>
          </a:r>
        </a:p>
      </dsp:txBody>
      <dsp:txXfrm>
        <a:off x="2204732" y="924191"/>
        <a:ext cx="812901" cy="1495158"/>
      </dsp:txXfrm>
    </dsp:sp>
    <dsp:sp modelId="{E2B12FB0-00D7-471D-9E22-F9DB97999528}">
      <dsp:nvSpPr>
        <dsp:cNvPr id="0" name=""/>
        <dsp:cNvSpPr/>
      </dsp:nvSpPr>
      <dsp:spPr>
        <a:xfrm>
          <a:off x="2976989" y="547256"/>
          <a:ext cx="274838" cy="274838"/>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2E8BB321-7EFA-4BD8-B245-980375E6805E}">
      <dsp:nvSpPr>
        <dsp:cNvPr id="0" name=""/>
        <dsp:cNvSpPr/>
      </dsp:nvSpPr>
      <dsp:spPr>
        <a:xfrm>
          <a:off x="3114408" y="684676"/>
          <a:ext cx="812901" cy="17346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5631" tIns="0" rIns="0" bIns="0" numCol="1" spcCol="1270" anchor="t" anchorCtr="0">
          <a:noAutofit/>
        </a:bodyPr>
        <a:lstStyle/>
        <a:p>
          <a:pPr lvl="0" algn="l" defTabSz="444500">
            <a:lnSpc>
              <a:spcPct val="90000"/>
            </a:lnSpc>
            <a:spcBef>
              <a:spcPct val="0"/>
            </a:spcBef>
            <a:spcAft>
              <a:spcPct val="35000"/>
            </a:spcAft>
          </a:pPr>
          <a:r>
            <a:rPr lang="lv-LV" sz="1000" b="1" kern="1200">
              <a:latin typeface="Times New Roman" pitchFamily="18" charset="0"/>
              <a:cs typeface="Times New Roman" pitchFamily="18" charset="0"/>
            </a:rPr>
            <a:t>2013.g. - </a:t>
          </a:r>
        </a:p>
        <a:p>
          <a:pPr lvl="0" algn="l" defTabSz="444500">
            <a:lnSpc>
              <a:spcPct val="90000"/>
            </a:lnSpc>
            <a:spcBef>
              <a:spcPct val="0"/>
            </a:spcBef>
            <a:spcAft>
              <a:spcPct val="35000"/>
            </a:spcAft>
          </a:pPr>
          <a:r>
            <a:rPr lang="lv-LV" sz="1000" b="1" kern="1200">
              <a:latin typeface="Times New Roman" pitchFamily="18" charset="0"/>
              <a:cs typeface="Times New Roman" pitchFamily="18" charset="0"/>
            </a:rPr>
            <a:t>337 projekti</a:t>
          </a:r>
        </a:p>
      </dsp:txBody>
      <dsp:txXfrm>
        <a:off x="3114408" y="684676"/>
        <a:ext cx="812901" cy="1734673"/>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D7CB0B5-B277-4F70-BD96-A25E66E7E135}">
      <dsp:nvSpPr>
        <dsp:cNvPr id="0" name=""/>
        <dsp:cNvSpPr/>
      </dsp:nvSpPr>
      <dsp:spPr>
        <a:xfrm>
          <a:off x="2013385" y="1739549"/>
          <a:ext cx="1459628" cy="1459628"/>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lv-LV" sz="1100" b="1" kern="1200">
              <a:solidFill>
                <a:sysClr val="windowText" lastClr="000000"/>
              </a:solidFill>
              <a:latin typeface="Times New Roman" pitchFamily="18" charset="0"/>
              <a:cs typeface="Times New Roman" pitchFamily="18" charset="0"/>
            </a:rPr>
            <a:t>ES fondu un programmu kopējās investīcijas - 3,37 milj. latu</a:t>
          </a:r>
        </a:p>
      </dsp:txBody>
      <dsp:txXfrm>
        <a:off x="2013385" y="1739549"/>
        <a:ext cx="1459628" cy="1459628"/>
      </dsp:txXfrm>
    </dsp:sp>
    <dsp:sp modelId="{50B26F9F-7545-48D3-9B4D-0418EC2F5465}">
      <dsp:nvSpPr>
        <dsp:cNvPr id="0" name=""/>
        <dsp:cNvSpPr/>
      </dsp:nvSpPr>
      <dsp:spPr>
        <a:xfrm rot="12900000">
          <a:off x="1074621" y="1484629"/>
          <a:ext cx="1118566" cy="415994"/>
        </a:xfrm>
        <a:prstGeom prst="leftArrow">
          <a:avLst>
            <a:gd name="adj1" fmla="val 60000"/>
            <a:gd name="adj2" fmla="val 50000"/>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30B4E0F4-5DF5-4C30-AE7B-40A6808BAD12}">
      <dsp:nvSpPr>
        <dsp:cNvPr id="0" name=""/>
        <dsp:cNvSpPr/>
      </dsp:nvSpPr>
      <dsp:spPr>
        <a:xfrm>
          <a:off x="482442" y="817176"/>
          <a:ext cx="1386647" cy="110931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lv-LV" sz="1000" kern="1200">
              <a:solidFill>
                <a:sysClr val="windowText" lastClr="000000"/>
              </a:solidFill>
              <a:latin typeface="Times New Roman" pitchFamily="18" charset="0"/>
              <a:cs typeface="Times New Roman" pitchFamily="18" charset="0"/>
            </a:rPr>
            <a:t>LIFE+ programma - </a:t>
          </a:r>
          <a:r>
            <a:rPr lang="lv-LV" sz="1000" b="1" kern="1200">
              <a:solidFill>
                <a:sysClr val="windowText" lastClr="000000"/>
              </a:solidFill>
              <a:latin typeface="Times New Roman" pitchFamily="18" charset="0"/>
              <a:cs typeface="Times New Roman" pitchFamily="18" charset="0"/>
            </a:rPr>
            <a:t>0,85 milj. latu</a:t>
          </a:r>
          <a:endParaRPr lang="lv-LV" sz="1000" kern="1200">
            <a:solidFill>
              <a:sysClr val="windowText" lastClr="000000"/>
            </a:solidFill>
            <a:latin typeface="Times New Roman" pitchFamily="18" charset="0"/>
            <a:cs typeface="Times New Roman" pitchFamily="18" charset="0"/>
          </a:endParaRPr>
        </a:p>
      </dsp:txBody>
      <dsp:txXfrm>
        <a:off x="482442" y="817176"/>
        <a:ext cx="1386647" cy="1109317"/>
      </dsp:txXfrm>
    </dsp:sp>
    <dsp:sp modelId="{6E08FC7D-4465-4E70-A10F-7E809E772E64}">
      <dsp:nvSpPr>
        <dsp:cNvPr id="0" name=""/>
        <dsp:cNvSpPr/>
      </dsp:nvSpPr>
      <dsp:spPr>
        <a:xfrm rot="16200000">
          <a:off x="2183916" y="907167"/>
          <a:ext cx="1118566" cy="415994"/>
        </a:xfrm>
        <a:prstGeom prst="leftArrow">
          <a:avLst>
            <a:gd name="adj1" fmla="val 60000"/>
            <a:gd name="adj2" fmla="val 50000"/>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D3B88DDF-8CDD-4FD8-A826-A1C75B39D4EA}">
      <dsp:nvSpPr>
        <dsp:cNvPr id="0" name=""/>
        <dsp:cNvSpPr/>
      </dsp:nvSpPr>
      <dsp:spPr>
        <a:xfrm>
          <a:off x="2049876" y="1221"/>
          <a:ext cx="1386647" cy="110931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lv-LV" sz="1000" kern="1200">
              <a:solidFill>
                <a:sysClr val="windowText" lastClr="000000"/>
              </a:solidFill>
              <a:latin typeface="Times New Roman" pitchFamily="18" charset="0"/>
              <a:cs typeface="Times New Roman" pitchFamily="18" charset="0"/>
            </a:rPr>
            <a:t>Kohēzijas fonds - </a:t>
          </a:r>
          <a:r>
            <a:rPr lang="lv-LV" sz="1000" b="1" kern="1200">
              <a:solidFill>
                <a:sysClr val="windowText" lastClr="000000"/>
              </a:solidFill>
              <a:latin typeface="Times New Roman" pitchFamily="18" charset="0"/>
              <a:cs typeface="Times New Roman" pitchFamily="18" charset="0"/>
            </a:rPr>
            <a:t>1,40 milj. latu</a:t>
          </a:r>
        </a:p>
      </dsp:txBody>
      <dsp:txXfrm>
        <a:off x="2049876" y="1221"/>
        <a:ext cx="1386647" cy="1109317"/>
      </dsp:txXfrm>
    </dsp:sp>
    <dsp:sp modelId="{3A7371EA-F6E6-44E9-B15C-F3270B956F02}">
      <dsp:nvSpPr>
        <dsp:cNvPr id="0" name=""/>
        <dsp:cNvSpPr/>
      </dsp:nvSpPr>
      <dsp:spPr>
        <a:xfrm rot="19500000">
          <a:off x="3293211" y="1484629"/>
          <a:ext cx="1118566" cy="415994"/>
        </a:xfrm>
        <a:prstGeom prst="leftArrow">
          <a:avLst>
            <a:gd name="adj1" fmla="val 60000"/>
            <a:gd name="adj2" fmla="val 50000"/>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26BC86CC-F67B-4CA8-98F0-C62EC34CB267}">
      <dsp:nvSpPr>
        <dsp:cNvPr id="0" name=""/>
        <dsp:cNvSpPr/>
      </dsp:nvSpPr>
      <dsp:spPr>
        <a:xfrm>
          <a:off x="3617309" y="817176"/>
          <a:ext cx="1386647" cy="110931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lv-LV" sz="1000" kern="1200">
              <a:solidFill>
                <a:sysClr val="windowText" lastClr="000000"/>
              </a:solidFill>
              <a:latin typeface="Times New Roman" pitchFamily="18" charset="0"/>
              <a:cs typeface="Times New Roman" pitchFamily="18" charset="0"/>
            </a:rPr>
            <a:t>ERAF </a:t>
          </a:r>
          <a:r>
            <a:rPr lang="lv-LV" sz="1000" b="1" kern="1200">
              <a:solidFill>
                <a:sysClr val="windowText" lastClr="000000"/>
              </a:solidFill>
              <a:latin typeface="Times New Roman" pitchFamily="18" charset="0"/>
              <a:cs typeface="Times New Roman" pitchFamily="18" charset="0"/>
            </a:rPr>
            <a:t>- 1,48 milj. latu</a:t>
          </a:r>
        </a:p>
      </dsp:txBody>
      <dsp:txXfrm>
        <a:off x="3617309" y="817176"/>
        <a:ext cx="1386647" cy="1109317"/>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BC174C6-73CB-4E6F-A432-57069C78885A}">
      <dsp:nvSpPr>
        <dsp:cNvPr id="0" name=""/>
        <dsp:cNvSpPr/>
      </dsp:nvSpPr>
      <dsp:spPr>
        <a:xfrm>
          <a:off x="0" y="0"/>
          <a:ext cx="2000250" cy="2000250"/>
        </a:xfrm>
        <a:prstGeom prst="pie">
          <a:avLst>
            <a:gd name="adj1" fmla="val 5400000"/>
            <a:gd name="adj2" fmla="val 16200000"/>
          </a:avLst>
        </a:prstGeom>
        <a:gradFill rotWithShape="0">
          <a:gsLst>
            <a:gs pos="0">
              <a:schemeClr val="accent1">
                <a:shade val="80000"/>
                <a:hueOff val="0"/>
                <a:satOff val="0"/>
                <a:lumOff val="0"/>
                <a:alphaOff val="0"/>
                <a:shade val="51000"/>
                <a:satMod val="130000"/>
              </a:schemeClr>
            </a:gs>
            <a:gs pos="80000">
              <a:schemeClr val="accent1">
                <a:shade val="80000"/>
                <a:hueOff val="0"/>
                <a:satOff val="0"/>
                <a:lumOff val="0"/>
                <a:alphaOff val="0"/>
                <a:shade val="93000"/>
                <a:satMod val="130000"/>
              </a:schemeClr>
            </a:gs>
            <a:gs pos="100000">
              <a:schemeClr val="accent1">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692353A8-8959-450F-B798-A6F578C77B5E}">
      <dsp:nvSpPr>
        <dsp:cNvPr id="0" name=""/>
        <dsp:cNvSpPr/>
      </dsp:nvSpPr>
      <dsp:spPr>
        <a:xfrm>
          <a:off x="1000125" y="0"/>
          <a:ext cx="3133724" cy="2000250"/>
        </a:xfrm>
        <a:prstGeom prst="rect">
          <a:avLst/>
        </a:prstGeom>
        <a:solidFill>
          <a:schemeClr val="lt1">
            <a:alpha val="90000"/>
            <a:hueOff val="0"/>
            <a:satOff val="0"/>
            <a:lumOff val="0"/>
            <a:alphaOff val="0"/>
          </a:schemeClr>
        </a:solidFill>
        <a:ln w="9525" cap="flat" cmpd="sng" algn="ctr">
          <a:solidFill>
            <a:schemeClr val="accent1">
              <a:shade val="8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lv-LV" sz="1100" kern="1200">
              <a:latin typeface="Times New Roman" pitchFamily="18" charset="0"/>
              <a:cs typeface="Times New Roman" pitchFamily="18" charset="0"/>
            </a:rPr>
            <a:t>Kopējās investīcijas - 1,82 milj. latu</a:t>
          </a:r>
        </a:p>
      </dsp:txBody>
      <dsp:txXfrm>
        <a:off x="1000125" y="0"/>
        <a:ext cx="3133724" cy="600076"/>
      </dsp:txXfrm>
    </dsp:sp>
    <dsp:sp modelId="{E8435763-8612-4EA4-9818-9A98D6034F77}">
      <dsp:nvSpPr>
        <dsp:cNvPr id="0" name=""/>
        <dsp:cNvSpPr/>
      </dsp:nvSpPr>
      <dsp:spPr>
        <a:xfrm>
          <a:off x="350044" y="600076"/>
          <a:ext cx="1300161" cy="1300161"/>
        </a:xfrm>
        <a:prstGeom prst="pie">
          <a:avLst>
            <a:gd name="adj1" fmla="val 5400000"/>
            <a:gd name="adj2" fmla="val 16200000"/>
          </a:avLst>
        </a:prstGeom>
        <a:gradFill rotWithShape="0">
          <a:gsLst>
            <a:gs pos="0">
              <a:schemeClr val="accent1">
                <a:shade val="80000"/>
                <a:hueOff val="153123"/>
                <a:satOff val="-2196"/>
                <a:lumOff val="12807"/>
                <a:alphaOff val="0"/>
                <a:shade val="51000"/>
                <a:satMod val="130000"/>
              </a:schemeClr>
            </a:gs>
            <a:gs pos="80000">
              <a:schemeClr val="accent1">
                <a:shade val="80000"/>
                <a:hueOff val="153123"/>
                <a:satOff val="-2196"/>
                <a:lumOff val="12807"/>
                <a:alphaOff val="0"/>
                <a:shade val="93000"/>
                <a:satMod val="130000"/>
              </a:schemeClr>
            </a:gs>
            <a:gs pos="100000">
              <a:schemeClr val="accent1">
                <a:shade val="80000"/>
                <a:hueOff val="153123"/>
                <a:satOff val="-2196"/>
                <a:lumOff val="1280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6B6C9398-8809-4D5D-9CF3-A16BAC49E251}">
      <dsp:nvSpPr>
        <dsp:cNvPr id="0" name=""/>
        <dsp:cNvSpPr/>
      </dsp:nvSpPr>
      <dsp:spPr>
        <a:xfrm>
          <a:off x="1000125" y="600076"/>
          <a:ext cx="3133724" cy="1300161"/>
        </a:xfrm>
        <a:prstGeom prst="rect">
          <a:avLst/>
        </a:prstGeom>
        <a:solidFill>
          <a:schemeClr val="lt1">
            <a:alpha val="90000"/>
            <a:hueOff val="0"/>
            <a:satOff val="0"/>
            <a:lumOff val="0"/>
            <a:alphaOff val="0"/>
          </a:schemeClr>
        </a:solidFill>
        <a:ln w="9525" cap="flat" cmpd="sng" algn="ctr">
          <a:solidFill>
            <a:schemeClr val="accent1">
              <a:shade val="80000"/>
              <a:hueOff val="153123"/>
              <a:satOff val="-2196"/>
              <a:lumOff val="12807"/>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lv-LV" sz="1100" b="1" kern="1200">
              <a:latin typeface="Times New Roman" pitchFamily="18" charset="0"/>
              <a:cs typeface="Times New Roman" pitchFamily="18" charset="0"/>
            </a:rPr>
            <a:t>LIFE+</a:t>
          </a:r>
          <a:r>
            <a:rPr lang="lv-LV" sz="1100" kern="1200">
              <a:latin typeface="Times New Roman" pitchFamily="18" charset="0"/>
              <a:cs typeface="Times New Roman" pitchFamily="18" charset="0"/>
            </a:rPr>
            <a:t> finansējums - </a:t>
          </a:r>
          <a:r>
            <a:rPr lang="lv-LV" sz="1100" b="1" kern="1200">
              <a:latin typeface="Times New Roman" pitchFamily="18" charset="0"/>
              <a:cs typeface="Times New Roman" pitchFamily="18" charset="0"/>
            </a:rPr>
            <a:t>0,85 milj. latu</a:t>
          </a:r>
          <a:endParaRPr lang="lv-LV" sz="1100" kern="1200">
            <a:latin typeface="Times New Roman" pitchFamily="18" charset="0"/>
            <a:cs typeface="Times New Roman" pitchFamily="18" charset="0"/>
          </a:endParaRPr>
        </a:p>
      </dsp:txBody>
      <dsp:txXfrm>
        <a:off x="1000125" y="600076"/>
        <a:ext cx="3133724" cy="600074"/>
      </dsp:txXfrm>
    </dsp:sp>
    <dsp:sp modelId="{7C48149D-9464-4D91-A27A-6F096FE2F507}">
      <dsp:nvSpPr>
        <dsp:cNvPr id="0" name=""/>
        <dsp:cNvSpPr/>
      </dsp:nvSpPr>
      <dsp:spPr>
        <a:xfrm>
          <a:off x="700087" y="1200150"/>
          <a:ext cx="600074" cy="600074"/>
        </a:xfrm>
        <a:prstGeom prst="pie">
          <a:avLst>
            <a:gd name="adj1" fmla="val 5400000"/>
            <a:gd name="adj2" fmla="val 16200000"/>
          </a:avLst>
        </a:prstGeom>
        <a:gradFill rotWithShape="0">
          <a:gsLst>
            <a:gs pos="0">
              <a:schemeClr val="accent1">
                <a:shade val="80000"/>
                <a:hueOff val="306246"/>
                <a:satOff val="-4392"/>
                <a:lumOff val="25615"/>
                <a:alphaOff val="0"/>
                <a:shade val="51000"/>
                <a:satMod val="130000"/>
              </a:schemeClr>
            </a:gs>
            <a:gs pos="80000">
              <a:schemeClr val="accent1">
                <a:shade val="80000"/>
                <a:hueOff val="306246"/>
                <a:satOff val="-4392"/>
                <a:lumOff val="25615"/>
                <a:alphaOff val="0"/>
                <a:shade val="93000"/>
                <a:satMod val="130000"/>
              </a:schemeClr>
            </a:gs>
            <a:gs pos="100000">
              <a:schemeClr val="accent1">
                <a:shade val="80000"/>
                <a:hueOff val="306246"/>
                <a:satOff val="-4392"/>
                <a:lumOff val="256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6491FBE1-4318-4833-B157-94DE05BE6179}">
      <dsp:nvSpPr>
        <dsp:cNvPr id="0" name=""/>
        <dsp:cNvSpPr/>
      </dsp:nvSpPr>
      <dsp:spPr>
        <a:xfrm>
          <a:off x="1000125" y="1200150"/>
          <a:ext cx="3133724" cy="600074"/>
        </a:xfrm>
        <a:prstGeom prst="rect">
          <a:avLst/>
        </a:prstGeom>
        <a:solidFill>
          <a:schemeClr val="lt1">
            <a:alpha val="90000"/>
            <a:hueOff val="0"/>
            <a:satOff val="0"/>
            <a:lumOff val="0"/>
            <a:alphaOff val="0"/>
          </a:schemeClr>
        </a:solidFill>
        <a:ln w="9525" cap="flat" cmpd="sng" algn="ctr">
          <a:solidFill>
            <a:schemeClr val="accent1">
              <a:shade val="80000"/>
              <a:hueOff val="306246"/>
              <a:satOff val="-4392"/>
              <a:lumOff val="25615"/>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lv-LV" sz="1100" kern="1200">
              <a:latin typeface="Times New Roman" pitchFamily="18" charset="0"/>
              <a:cs typeface="Times New Roman" pitchFamily="18" charset="0"/>
            </a:rPr>
            <a:t>Projektu īstentāju līdzekļi - 0,53 milj. latu</a:t>
          </a:r>
        </a:p>
      </dsp:txBody>
      <dsp:txXfrm>
        <a:off x="1000125" y="1200150"/>
        <a:ext cx="3133724" cy="600074"/>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FA6A349-3737-4BAE-9B58-3DC1CFCB19E2}">
      <dsp:nvSpPr>
        <dsp:cNvPr id="0" name=""/>
        <dsp:cNvSpPr/>
      </dsp:nvSpPr>
      <dsp:spPr>
        <a:xfrm>
          <a:off x="454523" y="1292"/>
          <a:ext cx="2328577" cy="118982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Lubāna ezera hidrotehnisko būvju kompleksa aizsargspēju palielināšana pieguļošo teritoriju aizsardzībai pret plūdu draudiem – 1.kārta Dienvidaustrumu dambja rekonstrukcija  </a:t>
          </a:r>
        </a:p>
      </dsp:txBody>
      <dsp:txXfrm>
        <a:off x="454523" y="1292"/>
        <a:ext cx="2328577" cy="1189829"/>
      </dsp:txXfrm>
    </dsp:sp>
    <dsp:sp modelId="{64EEF127-6F01-4767-B9B0-E53F468F748A}">
      <dsp:nvSpPr>
        <dsp:cNvPr id="0" name=""/>
        <dsp:cNvSpPr/>
      </dsp:nvSpPr>
      <dsp:spPr>
        <a:xfrm>
          <a:off x="687381" y="1191122"/>
          <a:ext cx="232857" cy="597479"/>
        </a:xfrm>
        <a:custGeom>
          <a:avLst/>
          <a:gdLst/>
          <a:ahLst/>
          <a:cxnLst/>
          <a:rect l="0" t="0" r="0" b="0"/>
          <a:pathLst>
            <a:path>
              <a:moveTo>
                <a:pt x="0" y="0"/>
              </a:moveTo>
              <a:lnTo>
                <a:pt x="0" y="597479"/>
              </a:lnTo>
              <a:lnTo>
                <a:pt x="232857" y="597479"/>
              </a:lnTo>
            </a:path>
          </a:pathLst>
        </a:custGeom>
        <a:noFill/>
        <a:ln w="25400" cap="flat" cmpd="sng" algn="ctr">
          <a:solidFill>
            <a:schemeClr val="accent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7EDF827F-3CB8-45DA-80BA-9B386ED0D093}">
      <dsp:nvSpPr>
        <dsp:cNvPr id="0" name=""/>
        <dsp:cNvSpPr/>
      </dsp:nvSpPr>
      <dsp:spPr>
        <a:xfrm>
          <a:off x="920239" y="1390282"/>
          <a:ext cx="1274623" cy="796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solidFill>
                <a:sysClr val="windowText" lastClr="000000"/>
              </a:solidFill>
              <a:latin typeface="Times New Roman" pitchFamily="18" charset="0"/>
              <a:cs typeface="Times New Roman" pitchFamily="18" charset="0"/>
            </a:rPr>
            <a:t>ERAF - 1,33 milj. LVL</a:t>
          </a:r>
        </a:p>
      </dsp:txBody>
      <dsp:txXfrm>
        <a:off x="920239" y="1390282"/>
        <a:ext cx="1274623" cy="796639"/>
      </dsp:txXfrm>
    </dsp:sp>
    <dsp:sp modelId="{3266447E-A205-45AC-A5E6-A637E80161CD}">
      <dsp:nvSpPr>
        <dsp:cNvPr id="0" name=""/>
        <dsp:cNvSpPr/>
      </dsp:nvSpPr>
      <dsp:spPr>
        <a:xfrm>
          <a:off x="3181421" y="1292"/>
          <a:ext cx="1593279" cy="7966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Jāņa kolektora rekonstrukcija plūdu draudu novēršanai un samazināšanai Jelgavā</a:t>
          </a:r>
        </a:p>
      </dsp:txBody>
      <dsp:txXfrm>
        <a:off x="3181421" y="1292"/>
        <a:ext cx="1593279" cy="796639"/>
      </dsp:txXfrm>
    </dsp:sp>
    <dsp:sp modelId="{2DEF3468-150C-48B4-BC55-0A2436E06BA7}">
      <dsp:nvSpPr>
        <dsp:cNvPr id="0" name=""/>
        <dsp:cNvSpPr/>
      </dsp:nvSpPr>
      <dsp:spPr>
        <a:xfrm>
          <a:off x="3340749" y="797932"/>
          <a:ext cx="159327" cy="597479"/>
        </a:xfrm>
        <a:custGeom>
          <a:avLst/>
          <a:gdLst/>
          <a:ahLst/>
          <a:cxnLst/>
          <a:rect l="0" t="0" r="0" b="0"/>
          <a:pathLst>
            <a:path>
              <a:moveTo>
                <a:pt x="0" y="0"/>
              </a:moveTo>
              <a:lnTo>
                <a:pt x="0" y="597479"/>
              </a:lnTo>
              <a:lnTo>
                <a:pt x="159327" y="597479"/>
              </a:lnTo>
            </a:path>
          </a:pathLst>
        </a:custGeom>
        <a:noFill/>
        <a:ln w="25400" cap="flat" cmpd="sng" algn="ctr">
          <a:solidFill>
            <a:schemeClr val="accent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6301F416-0321-4E61-AED8-A795E0ED4A03}">
      <dsp:nvSpPr>
        <dsp:cNvPr id="0" name=""/>
        <dsp:cNvSpPr/>
      </dsp:nvSpPr>
      <dsp:spPr>
        <a:xfrm>
          <a:off x="3500077" y="997092"/>
          <a:ext cx="1274623" cy="796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solidFill>
                <a:sysClr val="windowText" lastClr="000000"/>
              </a:solidFill>
              <a:latin typeface="Times New Roman" pitchFamily="18" charset="0"/>
              <a:cs typeface="Times New Roman" pitchFamily="18" charset="0"/>
            </a:rPr>
            <a:t>ERAF - 0,91 milj. LVL</a:t>
          </a:r>
        </a:p>
      </dsp:txBody>
      <dsp:txXfrm>
        <a:off x="3500077" y="997092"/>
        <a:ext cx="1274623" cy="796639"/>
      </dsp:txXfrm>
    </dsp:sp>
    <dsp:sp modelId="{31644C2E-D6BD-4D59-A293-8F2A1AFA0F69}">
      <dsp:nvSpPr>
        <dsp:cNvPr id="0" name=""/>
        <dsp:cNvSpPr/>
      </dsp:nvSpPr>
      <dsp:spPr>
        <a:xfrm>
          <a:off x="3340749" y="797932"/>
          <a:ext cx="159327" cy="1593279"/>
        </a:xfrm>
        <a:custGeom>
          <a:avLst/>
          <a:gdLst/>
          <a:ahLst/>
          <a:cxnLst/>
          <a:rect l="0" t="0" r="0" b="0"/>
          <a:pathLst>
            <a:path>
              <a:moveTo>
                <a:pt x="0" y="0"/>
              </a:moveTo>
              <a:lnTo>
                <a:pt x="0" y="1593279"/>
              </a:lnTo>
              <a:lnTo>
                <a:pt x="159327" y="1593279"/>
              </a:lnTo>
            </a:path>
          </a:pathLst>
        </a:custGeom>
        <a:noFill/>
        <a:ln w="25400" cap="flat" cmpd="sng" algn="ctr">
          <a:solidFill>
            <a:schemeClr val="accent1">
              <a:shade val="60000"/>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0">
          <a:scrgbClr r="0" g="0" b="0"/>
        </a:fillRef>
        <a:effectRef idx="0">
          <a:scrgbClr r="0" g="0" b="0"/>
        </a:effectRef>
        <a:fontRef idx="minor"/>
      </dsp:style>
    </dsp:sp>
    <dsp:sp modelId="{954A7FA3-6634-41D2-839C-812FEA97AD07}">
      <dsp:nvSpPr>
        <dsp:cNvPr id="0" name=""/>
        <dsp:cNvSpPr/>
      </dsp:nvSpPr>
      <dsp:spPr>
        <a:xfrm>
          <a:off x="3500077" y="1992892"/>
          <a:ext cx="1274623" cy="7966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a:scene3d>
          <a:camera prst="orthographicFront">
            <a:rot lat="0" lon="0" rev="0"/>
          </a:camera>
          <a:lightRig rig="threePt" dir="t"/>
        </a:scene3d>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lv-LV" sz="1000" kern="1200">
              <a:solidFill>
                <a:sysClr val="windowText" lastClr="000000"/>
              </a:solidFill>
              <a:latin typeface="Times New Roman" pitchFamily="18" charset="0"/>
              <a:cs typeface="Times New Roman" pitchFamily="18" charset="0"/>
            </a:rPr>
            <a:t>Pašvaldības budžeta finansējums - 0,11 milj. LVL</a:t>
          </a:r>
        </a:p>
      </dsp:txBody>
      <dsp:txXfrm>
        <a:off x="3500077" y="1992892"/>
        <a:ext cx="1274623" cy="796639"/>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2.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5.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18C559D-00BB-4F21-B70A-DC1A3EA51D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42</Pages>
  <Words>41177</Words>
  <Characters>23472</Characters>
  <Application>Microsoft Office Word</Application>
  <DocSecurity>0</DocSecurity>
  <Lines>195</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64520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Ziņojums par vides investīcijām</dc:title>
  <dc:creator/>
  <cp:lastModifiedBy>santao</cp:lastModifiedBy>
  <cp:revision>6</cp:revision>
  <cp:lastPrinted>2014-05-13T11:37:00Z</cp:lastPrinted>
  <dcterms:created xsi:type="dcterms:W3CDTF">2014-06-30T07:22:00Z</dcterms:created>
  <dcterms:modified xsi:type="dcterms:W3CDTF">2014-06-30T08:05:00Z</dcterms:modified>
</cp:coreProperties>
</file>