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C2" w:rsidRPr="00785F43" w:rsidRDefault="000005C2" w:rsidP="00CD098E">
      <w:pPr>
        <w:spacing w:after="0" w:line="240" w:lineRule="auto"/>
        <w:jc w:val="both"/>
        <w:rPr>
          <w:rFonts w:ascii="Verdana" w:hAnsi="Verdana"/>
          <w:b/>
          <w:bCs/>
          <w:sz w:val="28"/>
          <w:szCs w:val="28"/>
          <w:lang w:eastAsia="lv-LV"/>
        </w:rPr>
      </w:pPr>
      <w:r w:rsidRPr="00785F43">
        <w:rPr>
          <w:rFonts w:ascii="TimesNewRomanPSMT" w:hAnsi="TimesNewRomanPSMT" w:cs="TimesNewRomanPSMT"/>
          <w:b/>
          <w:sz w:val="24"/>
          <w:szCs w:val="24"/>
        </w:rPr>
        <w:t xml:space="preserve">Atgādinām, ka saskaņā ar 18.12.2007. Ministru kabineta noteikumu Nr.912 </w:t>
      </w:r>
      <w:r w:rsidRPr="00785F43">
        <w:rPr>
          <w:rFonts w:ascii="Times New Roman" w:hAnsi="Times New Roman"/>
          <w:b/>
          <w:sz w:val="24"/>
          <w:szCs w:val="24"/>
        </w:rPr>
        <w:t>„</w:t>
      </w:r>
      <w:r w:rsidRPr="00785F43">
        <w:rPr>
          <w:rFonts w:ascii="Times New Roman" w:hAnsi="Times New Roman"/>
          <w:b/>
          <w:bCs/>
          <w:sz w:val="24"/>
          <w:szCs w:val="24"/>
          <w:lang w:eastAsia="lv-LV"/>
        </w:rPr>
        <w:t>Ūdensapgādes, notekūdeņu savākšanas un attīrīšanas būvju būvniecības kārtība”</w:t>
      </w:r>
      <w:r w:rsidRPr="00785F43">
        <w:rPr>
          <w:rFonts w:ascii="Times New Roman" w:hAnsi="Times New Roman"/>
          <w:b/>
          <w:sz w:val="24"/>
          <w:szCs w:val="24"/>
        </w:rPr>
        <w:t xml:space="preserve"> 8.punktu</w:t>
      </w:r>
      <w:r w:rsidRPr="00785F43">
        <w:rPr>
          <w:rFonts w:ascii="TimesNewRomanPSMT" w:hAnsi="TimesNewRomanPSMT" w:cs="TimesNewRomanPSMT"/>
          <w:b/>
          <w:sz w:val="24"/>
          <w:szCs w:val="24"/>
        </w:rPr>
        <w:t xml:space="preserve"> iesniedzot izvērtēšanai tehniski ekonomisko pamatojumu (</w:t>
      </w:r>
      <w:r w:rsidRPr="00785F43">
        <w:rPr>
          <w:rFonts w:ascii="TimesNewRomanPSMT" w:hAnsi="TimesNewRomanPSMT" w:cs="TimesNewRomanPSMT"/>
          <w:b/>
          <w:i/>
          <w:sz w:val="24"/>
          <w:szCs w:val="24"/>
        </w:rPr>
        <w:t>turpmāk - TEP</w:t>
      </w:r>
      <w:r w:rsidRPr="00785F43">
        <w:rPr>
          <w:rFonts w:ascii="TimesNewRomanPSMT" w:hAnsi="TimesNewRomanPSMT" w:cs="TimesNewRomanPSMT"/>
          <w:b/>
          <w:sz w:val="24"/>
          <w:szCs w:val="24"/>
        </w:rPr>
        <w:t>) tam pielikumā ir jāpievieno pašvaldības lēmums par TEP apstiprināšanu vai saskaņošanu.</w:t>
      </w:r>
    </w:p>
    <w:p w:rsidR="000005C2" w:rsidRPr="00785F43" w:rsidRDefault="000005C2" w:rsidP="00CD098E">
      <w:pPr>
        <w:autoSpaceDE w:val="0"/>
        <w:autoSpaceDN w:val="0"/>
        <w:adjustRightInd w:val="0"/>
        <w:spacing w:after="0" w:line="240" w:lineRule="auto"/>
        <w:jc w:val="both"/>
        <w:rPr>
          <w:rFonts w:ascii="TimesNewRomanPSMT" w:hAnsi="TimesNewRomanPSMT" w:cs="TimesNewRomanPSMT"/>
          <w:sz w:val="23"/>
          <w:szCs w:val="23"/>
        </w:rPr>
      </w:pPr>
    </w:p>
    <w:p w:rsidR="000005C2" w:rsidRPr="00785F43" w:rsidRDefault="000005C2" w:rsidP="00CD098E">
      <w:pPr>
        <w:autoSpaceDE w:val="0"/>
        <w:autoSpaceDN w:val="0"/>
        <w:adjustRightInd w:val="0"/>
        <w:spacing w:after="0" w:line="240" w:lineRule="auto"/>
        <w:ind w:firstLine="360"/>
        <w:jc w:val="both"/>
        <w:rPr>
          <w:rFonts w:ascii="TimesNewRomanPSMT" w:hAnsi="TimesNewRomanPSMT" w:cs="TimesNewRomanPSMT"/>
          <w:sz w:val="23"/>
          <w:szCs w:val="23"/>
        </w:rPr>
      </w:pPr>
      <w:r w:rsidRPr="00785F43">
        <w:rPr>
          <w:rFonts w:ascii="TimesNewRomanPSMT" w:hAnsi="TimesNewRomanPSMT" w:cs="TimesNewRomanPSMT"/>
          <w:sz w:val="23"/>
          <w:szCs w:val="23"/>
        </w:rPr>
        <w:t>No 2009.gada, ņemot vērā, ka pašvaldību sēdes pārsvarā notiek reizi mēnesī, Ūdenssaimniecības būvju būvniecības projektu vērtēšanas komisija (</w:t>
      </w:r>
      <w:r w:rsidRPr="00785F43">
        <w:rPr>
          <w:rFonts w:ascii="TimesNewRomanPSMT" w:hAnsi="TimesNewRomanPSMT" w:cs="TimesNewRomanPSMT"/>
          <w:i/>
          <w:sz w:val="23"/>
          <w:szCs w:val="23"/>
        </w:rPr>
        <w:t>turpmāk - ŪBK</w:t>
      </w:r>
      <w:r w:rsidRPr="00785F43">
        <w:rPr>
          <w:rFonts w:ascii="TimesNewRomanPSMT" w:hAnsi="TimesNewRomanPSMT" w:cs="TimesNewRomanPSMT"/>
          <w:sz w:val="23"/>
          <w:szCs w:val="23"/>
        </w:rPr>
        <w:t>) uzsāka TEP vērtēšanu arī gadījumos, ja tam ir pievienots pašvaldības lēmuma projekts par TEP apstiprināšanu vai saskaņošanu. Taču izvērtējot līdzšinējo ŪBK darba pieredzi un iesniegto dokumentu kvalitāti, kā arī apstiprināto projektu realizācijas gaitu un izvērtējot konstatētās problēmas ir secināts, ka ūdenssaimniecības projektu sagatavošanas un realizācijas posmā ir izveidojusies sekojoša situācija:</w:t>
      </w:r>
    </w:p>
    <w:p w:rsidR="000005C2" w:rsidRPr="00785F43" w:rsidRDefault="000005C2" w:rsidP="00CD098E">
      <w:pPr>
        <w:autoSpaceDE w:val="0"/>
        <w:autoSpaceDN w:val="0"/>
        <w:adjustRightInd w:val="0"/>
        <w:spacing w:after="0" w:line="240" w:lineRule="auto"/>
        <w:jc w:val="both"/>
        <w:rPr>
          <w:rFonts w:ascii="TimesNewRomanPSMT" w:hAnsi="TimesNewRomanPSMT" w:cs="TimesNewRomanPSMT"/>
          <w:sz w:val="23"/>
          <w:szCs w:val="23"/>
        </w:rPr>
      </w:pPr>
    </w:p>
    <w:p w:rsidR="000005C2" w:rsidRPr="00785F43" w:rsidRDefault="000005C2" w:rsidP="00CD098E">
      <w:pPr>
        <w:pStyle w:val="ListParagraph"/>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785F43">
        <w:rPr>
          <w:rFonts w:ascii="TimesNewRomanPSMT" w:hAnsi="TimesNewRomanPSMT" w:cs="TimesNewRomanPSMT"/>
          <w:sz w:val="24"/>
          <w:szCs w:val="24"/>
        </w:rPr>
        <w:t>Izstrādāto un ŪBK izvērtēšanai iesniegto TEP kvalitāte ir būtiski pasliktinājusies, Konsultantu izstrādātie TEP nereti tiek iesniegti nepabeigti vai neņemot vērā ŪBK iepriekš sniegtos komentārus un iebildumus.</w:t>
      </w:r>
    </w:p>
    <w:p w:rsidR="000005C2" w:rsidRPr="00785F43" w:rsidRDefault="000005C2" w:rsidP="00CD098E">
      <w:pPr>
        <w:pStyle w:val="ListParagraph"/>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785F43">
        <w:rPr>
          <w:rFonts w:ascii="TimesNewRomanPSMT" w:hAnsi="TimesNewRomanPSMT" w:cs="TimesNewRomanPSMT"/>
          <w:sz w:val="23"/>
          <w:szCs w:val="23"/>
        </w:rPr>
        <w:t>~95% gadījumu TEP tiek iesniegti bez spēkā esoša pašvaldības lēmuma, kā rezultātā ŪBK nav pārliecības, ka projekta pieteicējs ir iepazinies ar Konsultanta sagatavoto dokumentāciju</w:t>
      </w:r>
      <w:r w:rsidRPr="00785F43">
        <w:rPr>
          <w:rFonts w:ascii="TimesNewRomanPSMT" w:hAnsi="TimesNewRomanPSMT" w:cs="TimesNewRomanPSMT"/>
          <w:sz w:val="24"/>
          <w:szCs w:val="24"/>
        </w:rPr>
        <w:t xml:space="preserve">. ŪBK līdzšinējā pieredze ar </w:t>
      </w:r>
      <w:proofErr w:type="spellStart"/>
      <w:r w:rsidRPr="00785F43">
        <w:rPr>
          <w:rFonts w:ascii="TimesNewRomanPSMT" w:hAnsi="TimesNewRomanPSMT" w:cs="TimesNewRomanPSMT"/>
          <w:sz w:val="24"/>
          <w:szCs w:val="24"/>
        </w:rPr>
        <w:t>problēmsituācijām</w:t>
      </w:r>
      <w:proofErr w:type="spellEnd"/>
      <w:r w:rsidRPr="00785F43">
        <w:rPr>
          <w:rFonts w:ascii="TimesNewRomanPSMT" w:hAnsi="TimesNewRomanPSMT" w:cs="TimesNewRomanPSMT"/>
          <w:sz w:val="24"/>
          <w:szCs w:val="24"/>
        </w:rPr>
        <w:t xml:space="preserve"> projekta īstenošanas laikā un projekta grozījumu dokumentāciju liecina, ka finansējuma saņēmējs, kas vienīgais nes juridisko atbildību par projekta īstenošanu, paļaujoties tikai uz </w:t>
      </w:r>
      <w:r w:rsidR="00DC119F">
        <w:rPr>
          <w:rFonts w:ascii="TimesNewRomanPSMT" w:hAnsi="TimesNewRomanPSMT" w:cs="TimesNewRomanPSMT"/>
          <w:sz w:val="24"/>
          <w:szCs w:val="24"/>
        </w:rPr>
        <w:t>k</w:t>
      </w:r>
      <w:r w:rsidR="00DC119F" w:rsidRPr="00785F43">
        <w:rPr>
          <w:rFonts w:ascii="TimesNewRomanPSMT" w:hAnsi="TimesNewRomanPSMT" w:cs="TimesNewRomanPSMT"/>
          <w:sz w:val="24"/>
          <w:szCs w:val="24"/>
        </w:rPr>
        <w:t xml:space="preserve">onsultanta </w:t>
      </w:r>
      <w:r w:rsidRPr="00785F43">
        <w:rPr>
          <w:rFonts w:ascii="TimesNewRomanPSMT" w:hAnsi="TimesNewRomanPSMT" w:cs="TimesNewRomanPSMT"/>
          <w:sz w:val="24"/>
          <w:szCs w:val="24"/>
        </w:rPr>
        <w:t>veikto pamatojošās dokumentācijas sagatavošanu un neveicot izstrādātās dokumentācijas pārbaudi, pakļauj projektu būtiskiem realizācijas riskiem. Ļoti bieži projekta īstenošanas gaitā tiek konstatēts, ka TEP izstrādes laikā ir pieļautas būtiskas kļūdas, kuru labošanai jau pēc projekta iesnieguma apstiprināšanas un līguma par projekta ieviešanu parakstīšanas ir nepieciešamas ievērojamas papildus izmaksas un laiks, tādējādi apdraudot iespēju realizēt projektu noteiktajā termiņā un plānotajā finansējuma apjomā Visbiežāk pieļautās neatbilstības projekta sagatavošanas posmā attiecas uz faktiskajam, stāvoklim neatbilstošu esošās infrastruktūras tehniskā stāvokļa izvērtējumu un tai sekojošo TEP prioritāro aktivitāšu izvēli, kā rezultātā veidojas situācija, ka konsultants, neapspriežoties ar projekta pieteicēju, izvirza pieņēmumus un izvēlas prioritātes, kuras neatbilst vai tikai daļēji atbilst faktiskai situācijai un pakalpojuma sniedzēja vīzijai par turpmāko attīstību.  Apstiprinot TEP un projekta iesniegumu ar šādām nepareizi un nepamatoti izvirzītām prioritātēm un risinājumiem, projekta īstenošanas gaitā projekta pieteicējam daudz sarežģītākos apstākļos jārisina problēmas, kuras būtu iespējams novērst, ja jau sākotnēji projekta sagatavošanas posmā (TEP izstrādē) tiktu iesaistīts finansējuma saņēmēja pārstāvis(-</w:t>
      </w:r>
      <w:proofErr w:type="spellStart"/>
      <w:r w:rsidRPr="00785F43">
        <w:rPr>
          <w:rFonts w:ascii="TimesNewRomanPSMT" w:hAnsi="TimesNewRomanPSMT" w:cs="TimesNewRomanPSMT"/>
          <w:sz w:val="24"/>
          <w:szCs w:val="24"/>
        </w:rPr>
        <w:t>ji</w:t>
      </w:r>
      <w:proofErr w:type="spellEnd"/>
      <w:r w:rsidRPr="00785F43">
        <w:rPr>
          <w:rFonts w:ascii="TimesNewRomanPSMT" w:hAnsi="TimesNewRomanPSMT" w:cs="TimesNewRomanPSMT"/>
          <w:sz w:val="24"/>
          <w:szCs w:val="24"/>
        </w:rPr>
        <w:t>) , kurš turpmāk būtu arī atbildīgs par projekta realizāciju. Kā jau norādīts, tad gandrīz vienmēr būtiskas izmaiņas projekta īstenošanās laikā ir saistītas ar būtiskiem izmaksu pieaugumiem un laika grafika nobīdēm, kas vistiešākajā veidā var ietekmēt ūdenssaimniecības pakalpojumu tarifus konkrētajā apdzīvotājā vietā.</w:t>
      </w:r>
    </w:p>
    <w:p w:rsidR="00C31D43" w:rsidRPr="00DC119F" w:rsidRDefault="000005C2">
      <w:pPr>
        <w:pStyle w:val="ListParagraph"/>
        <w:numPr>
          <w:ilvl w:val="0"/>
          <w:numId w:val="1"/>
        </w:numPr>
        <w:autoSpaceDE w:val="0"/>
        <w:autoSpaceDN w:val="0"/>
        <w:adjustRightInd w:val="0"/>
        <w:spacing w:after="0" w:line="240" w:lineRule="auto"/>
        <w:jc w:val="both"/>
        <w:rPr>
          <w:rFonts w:ascii="Times New Roman" w:hAnsi="Times New Roman"/>
          <w:sz w:val="24"/>
          <w:szCs w:val="24"/>
          <w:u w:val="single"/>
        </w:rPr>
      </w:pPr>
      <w:r w:rsidRPr="00DC119F">
        <w:rPr>
          <w:rFonts w:ascii="Times New Roman" w:hAnsi="Times New Roman"/>
          <w:sz w:val="24"/>
          <w:szCs w:val="24"/>
        </w:rPr>
        <w:t xml:space="preserve">Papildus atgādinām, ka 28.07.2008 Ministru kabineta noteikumu Nr.606 </w:t>
      </w:r>
      <w:r w:rsidRPr="00DC119F">
        <w:rPr>
          <w:rFonts w:ascii="Times New Roman" w:hAnsi="Times New Roman"/>
          <w:bCs/>
          <w:sz w:val="24"/>
          <w:szCs w:val="24"/>
          <w:lang w:eastAsia="lv-LV"/>
        </w:rPr>
        <w:t>Noteikumi par darbības programmas “Infrastruktūra un pakalpojumi” papildinājuma 3.4.1.1.aktivitāti “Ūdenssaimniecības infrastruktūras attīstība apdzīvotās vietās ar iedzīvotāju skaitu līdz 2000”</w:t>
      </w:r>
      <w:r w:rsidRPr="00785F43">
        <w:rPr>
          <w:rFonts w:ascii="Times New Roman" w:hAnsi="Times New Roman"/>
          <w:bCs/>
          <w:sz w:val="24"/>
          <w:szCs w:val="24"/>
          <w:lang w:eastAsia="lv-LV"/>
        </w:rPr>
        <w:t xml:space="preserve"> 56.6 punktu</w:t>
      </w:r>
      <w:r w:rsidRPr="00DC119F">
        <w:rPr>
          <w:rFonts w:ascii="TimesNewRomanPSMT" w:hAnsi="TimesNewRomanPSMT" w:cs="TimesNewRomanPSMT"/>
          <w:sz w:val="24"/>
          <w:szCs w:val="24"/>
        </w:rPr>
        <w:t xml:space="preserve">, veicot </w:t>
      </w:r>
      <w:r w:rsidRPr="00DC119F">
        <w:rPr>
          <w:rFonts w:ascii="Times New Roman" w:hAnsi="Times New Roman"/>
          <w:sz w:val="24"/>
          <w:szCs w:val="24"/>
        </w:rPr>
        <w:t xml:space="preserve">ūdenssaimniecības tarifu izstrādi, jāņem vērā TEP izstrādātā tarifu dinamika un apjoms, taču nepareiza un situācijai neatbilstoša prioritāšu un risinājumu </w:t>
      </w:r>
      <w:r w:rsidRPr="00DC119F">
        <w:rPr>
          <w:rFonts w:ascii="Times New Roman" w:hAnsi="Times New Roman"/>
          <w:sz w:val="24"/>
          <w:szCs w:val="24"/>
        </w:rPr>
        <w:lastRenderedPageBreak/>
        <w:t>izvēle TEP stadijā var būtiski palielināt  pakalpojumu tarifus. ŪBK</w:t>
      </w:r>
      <w:r w:rsidR="00DC119F">
        <w:rPr>
          <w:rFonts w:ascii="Times New Roman" w:hAnsi="Times New Roman"/>
          <w:sz w:val="24"/>
          <w:szCs w:val="24"/>
        </w:rPr>
        <w:t>,</w:t>
      </w:r>
      <w:r w:rsidRPr="00DC119F">
        <w:rPr>
          <w:rFonts w:ascii="Times New Roman" w:hAnsi="Times New Roman"/>
          <w:sz w:val="24"/>
          <w:szCs w:val="24"/>
        </w:rPr>
        <w:t xml:space="preserve"> izskatot izvērtēšanai iesniegtos </w:t>
      </w:r>
      <w:proofErr w:type="spellStart"/>
      <w:r w:rsidRPr="00DC119F">
        <w:rPr>
          <w:rFonts w:ascii="Times New Roman" w:hAnsi="Times New Roman"/>
          <w:sz w:val="24"/>
          <w:szCs w:val="24"/>
        </w:rPr>
        <w:t>TEPus</w:t>
      </w:r>
      <w:proofErr w:type="spellEnd"/>
      <w:r w:rsidR="00DC119F">
        <w:rPr>
          <w:rFonts w:ascii="Times New Roman" w:hAnsi="Times New Roman"/>
          <w:sz w:val="24"/>
          <w:szCs w:val="24"/>
        </w:rPr>
        <w:t>,</w:t>
      </w:r>
      <w:r w:rsidRPr="00DC119F">
        <w:rPr>
          <w:rFonts w:ascii="Times New Roman" w:hAnsi="Times New Roman"/>
          <w:sz w:val="24"/>
          <w:szCs w:val="24"/>
        </w:rPr>
        <w:t xml:space="preserve"> nevar gūt pārliecību, ka </w:t>
      </w:r>
      <w:r w:rsidR="000462D9">
        <w:rPr>
          <w:rFonts w:ascii="Times New Roman" w:hAnsi="Times New Roman"/>
          <w:sz w:val="24"/>
          <w:szCs w:val="24"/>
        </w:rPr>
        <w:t>lēmuma pieņēmēji</w:t>
      </w:r>
      <w:r w:rsidRPr="00DC119F">
        <w:rPr>
          <w:rFonts w:ascii="Times New Roman" w:hAnsi="Times New Roman"/>
          <w:sz w:val="24"/>
          <w:szCs w:val="24"/>
        </w:rPr>
        <w:t xml:space="preserve"> ir informēti par plānotajiem pakalpojumu tarifiem, tāpēc </w:t>
      </w:r>
      <w:r w:rsidRPr="00DC119F">
        <w:rPr>
          <w:rFonts w:ascii="Times New Roman" w:hAnsi="Times New Roman"/>
          <w:sz w:val="24"/>
          <w:szCs w:val="24"/>
          <w:u w:val="single"/>
        </w:rPr>
        <w:t>turpmāk lūdzam pašvaldības lēmumu par TEP apstiprināšanu vai saskaņošanu aprakstošajā daļā iekļaut arī informāciju par plānotajiem ūdenssaimniecības tarifiem 5 gadu uzraudzības periodā.</w:t>
      </w:r>
    </w:p>
    <w:p w:rsidR="000005C2" w:rsidRPr="00785F43" w:rsidRDefault="000005C2" w:rsidP="0061479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85F43">
        <w:rPr>
          <w:rFonts w:ascii="Times New Roman" w:hAnsi="Times New Roman"/>
          <w:sz w:val="24"/>
          <w:szCs w:val="24"/>
        </w:rPr>
        <w:t>Tāpat ir konstatēti vairāki gadījumi, kad TEP akcepts tiek izsniegts, bet projekta iesniegumu projekta pieteicējs neiesniedz un projekts netiek īstenots dažādu iemeslu dēļ – nepietiekams līdzekļu apjoms līdzfinansējuma nodrošināšanai, pašvaldībai nepieņemami augsts plānotais investīciju un prognozētais tarifu apjoms, politiska rakstura nesask</w:t>
      </w:r>
      <w:bookmarkStart w:id="0" w:name="_GoBack"/>
      <w:bookmarkEnd w:id="0"/>
      <w:r w:rsidRPr="00785F43">
        <w:rPr>
          <w:rFonts w:ascii="Times New Roman" w:hAnsi="Times New Roman"/>
          <w:sz w:val="24"/>
          <w:szCs w:val="24"/>
        </w:rPr>
        <w:t xml:space="preserve">aņas pašvaldībā </w:t>
      </w:r>
      <w:proofErr w:type="spellStart"/>
      <w:r w:rsidRPr="00785F43">
        <w:rPr>
          <w:rFonts w:ascii="Times New Roman" w:hAnsi="Times New Roman"/>
          <w:sz w:val="24"/>
          <w:szCs w:val="24"/>
        </w:rPr>
        <w:t>u.c</w:t>
      </w:r>
      <w:proofErr w:type="spellEnd"/>
      <w:r w:rsidRPr="00785F43">
        <w:rPr>
          <w:rFonts w:ascii="Times New Roman" w:hAnsi="Times New Roman"/>
          <w:sz w:val="24"/>
          <w:szCs w:val="24"/>
        </w:rPr>
        <w:t>. -  attiecīgi TEP sagatavošanā ieguldītie līdzekļi un arī ŪBK kapacitāte šādus projektus vairākkārtējā vērtēšanā ir izmantota nelietderīgi.</w:t>
      </w:r>
    </w:p>
    <w:p w:rsidR="000005C2" w:rsidRPr="000462D9" w:rsidRDefault="000005C2" w:rsidP="0061479C">
      <w:pPr>
        <w:pStyle w:val="ListParagraph"/>
        <w:autoSpaceDE w:val="0"/>
        <w:autoSpaceDN w:val="0"/>
        <w:adjustRightInd w:val="0"/>
        <w:spacing w:after="0" w:line="240" w:lineRule="auto"/>
        <w:jc w:val="both"/>
        <w:rPr>
          <w:rFonts w:ascii="Times New Roman" w:hAnsi="Times New Roman"/>
          <w:sz w:val="24"/>
          <w:szCs w:val="24"/>
        </w:rPr>
      </w:pPr>
    </w:p>
    <w:p w:rsidR="000005C2" w:rsidRPr="00790ABC" w:rsidRDefault="000005C2" w:rsidP="00CD098E">
      <w:pPr>
        <w:jc w:val="both"/>
        <w:rPr>
          <w:rFonts w:ascii="Tahoma" w:hAnsi="Tahoma" w:cs="Tahoma"/>
          <w:color w:val="4B6659"/>
          <w:sz w:val="17"/>
          <w:szCs w:val="17"/>
          <w:lang w:eastAsia="lv-LV"/>
        </w:rPr>
      </w:pPr>
      <w:r w:rsidRPr="00785F43">
        <w:rPr>
          <w:rFonts w:ascii="TimesNewRomanPSMT" w:hAnsi="TimesNewRomanPSMT" w:cs="TimesNewRomanPSMT"/>
          <w:sz w:val="24"/>
          <w:szCs w:val="24"/>
        </w:rPr>
        <w:t xml:space="preserve">Ņemot vērā augstāk minēto un faktu, ka 2012.gada rudenī 3.4.1.1.aktivitātes </w:t>
      </w:r>
      <w:r w:rsidRPr="00785F43">
        <w:rPr>
          <w:rFonts w:ascii="Times New Roman" w:hAnsi="Times New Roman"/>
          <w:sz w:val="24"/>
          <w:szCs w:val="24"/>
        </w:rPr>
        <w:t xml:space="preserve">„Ūdenssaimniecības infrastruktūras attīstība apdzīvotās vietās ar iedzīvotāju skaitu līdz 2000” ietvaros tiks izsludināta </w:t>
      </w:r>
      <w:r w:rsidRPr="00785F43">
        <w:rPr>
          <w:rFonts w:ascii="TimesNewRomanPSMT" w:hAnsi="TimesNewRomanPSMT" w:cs="TimesNewRomanPSMT"/>
          <w:sz w:val="24"/>
          <w:szCs w:val="24"/>
        </w:rPr>
        <w:t xml:space="preserve">7.projektu atlases kārtu, </w:t>
      </w:r>
      <w:r w:rsidRPr="00785F43">
        <w:rPr>
          <w:rFonts w:ascii="Times New Roman" w:hAnsi="Times New Roman"/>
          <w:sz w:val="24"/>
          <w:szCs w:val="24"/>
        </w:rPr>
        <w:t xml:space="preserve">kas būs </w:t>
      </w:r>
      <w:r w:rsidRPr="00785F43">
        <w:rPr>
          <w:rFonts w:ascii="Times New Roman" w:hAnsi="Times New Roman"/>
          <w:b/>
          <w:sz w:val="24"/>
          <w:szCs w:val="24"/>
          <w:u w:val="single"/>
        </w:rPr>
        <w:t xml:space="preserve">pēdējā </w:t>
      </w:r>
      <w:r w:rsidRPr="00785F43">
        <w:rPr>
          <w:rFonts w:ascii="Times New Roman" w:hAnsi="Times New Roman"/>
          <w:sz w:val="24"/>
          <w:szCs w:val="24"/>
        </w:rPr>
        <w:t xml:space="preserve">atlases kārta šīs aktivitātes ietvaros, kā arī, ņemot vērā ļoti augsto potenciālo projekta pieteicēju aktivitāti un ŪBK ierobežoto kapacitāti, turpmāk, lai nodrošinātu maksimāli efektīvu ŪBK kapacitātes izmantošanu un TEP akceptus saņemtu pēc iespējas vairāk tādu projektu, kuru vēlme un iespēja realizēt projektu noteiktajā termiņā ir pamatota - </w:t>
      </w:r>
      <w:r w:rsidRPr="00785F43">
        <w:rPr>
          <w:rFonts w:ascii="Times New Roman" w:hAnsi="Times New Roman"/>
          <w:b/>
          <w:sz w:val="24"/>
          <w:szCs w:val="24"/>
          <w:u w:val="single"/>
        </w:rPr>
        <w:t xml:space="preserve">turpmāk prioritāri tiks izvērtēti tie </w:t>
      </w:r>
      <w:proofErr w:type="spellStart"/>
      <w:r w:rsidRPr="00785F43">
        <w:rPr>
          <w:rFonts w:ascii="Times New Roman" w:hAnsi="Times New Roman"/>
          <w:b/>
          <w:sz w:val="24"/>
          <w:szCs w:val="24"/>
          <w:u w:val="single"/>
        </w:rPr>
        <w:t>TEPi</w:t>
      </w:r>
      <w:proofErr w:type="spellEnd"/>
      <w:r w:rsidRPr="00785F43">
        <w:rPr>
          <w:rFonts w:ascii="Times New Roman" w:hAnsi="Times New Roman"/>
          <w:b/>
          <w:sz w:val="24"/>
          <w:szCs w:val="24"/>
          <w:u w:val="single"/>
        </w:rPr>
        <w:t>, kuriem būs pievienots spēkā esošs pašvaldības lēmums par TEP apstiprināšanu vai saskaņošanu.</w:t>
      </w:r>
    </w:p>
    <w:sectPr w:rsidR="000005C2" w:rsidRPr="00790ABC" w:rsidSect="00C2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BA"/>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43B9"/>
    <w:multiLevelType w:val="hybridMultilevel"/>
    <w:tmpl w:val="EBB40F9C"/>
    <w:lvl w:ilvl="0" w:tplc="7D7225C2">
      <w:start w:val="1"/>
      <w:numFmt w:val="decimal"/>
      <w:lvlText w:val="%1)"/>
      <w:lvlJc w:val="left"/>
      <w:pPr>
        <w:ind w:left="720" w:hanging="360"/>
      </w:pPr>
      <w:rPr>
        <w:rFonts w:cs="Times New Roman" w:hint="default"/>
        <w:sz w:val="23"/>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0B9"/>
    <w:rsid w:val="000005C2"/>
    <w:rsid w:val="0001158C"/>
    <w:rsid w:val="000462D9"/>
    <w:rsid w:val="001B1763"/>
    <w:rsid w:val="002F770A"/>
    <w:rsid w:val="0049599E"/>
    <w:rsid w:val="005630B9"/>
    <w:rsid w:val="0061479C"/>
    <w:rsid w:val="00635CE6"/>
    <w:rsid w:val="006B4AAC"/>
    <w:rsid w:val="00785F43"/>
    <w:rsid w:val="00790ABC"/>
    <w:rsid w:val="008E5C15"/>
    <w:rsid w:val="00934071"/>
    <w:rsid w:val="009C504B"/>
    <w:rsid w:val="00AC33B3"/>
    <w:rsid w:val="00BD7DD4"/>
    <w:rsid w:val="00C220E7"/>
    <w:rsid w:val="00C31D43"/>
    <w:rsid w:val="00CD098E"/>
    <w:rsid w:val="00CE4A23"/>
    <w:rsid w:val="00D30059"/>
    <w:rsid w:val="00DA02D5"/>
    <w:rsid w:val="00DC119F"/>
    <w:rsid w:val="00E36325"/>
    <w:rsid w:val="00E46137"/>
    <w:rsid w:val="00E57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ABC"/>
    <w:pPr>
      <w:ind w:left="720"/>
      <w:contextualSpacing/>
    </w:pPr>
  </w:style>
  <w:style w:type="character" w:styleId="CommentReference">
    <w:name w:val="annotation reference"/>
    <w:uiPriority w:val="99"/>
    <w:semiHidden/>
    <w:rsid w:val="00790ABC"/>
    <w:rPr>
      <w:rFonts w:cs="Times New Roman"/>
      <w:sz w:val="16"/>
      <w:szCs w:val="16"/>
    </w:rPr>
  </w:style>
  <w:style w:type="paragraph" w:styleId="CommentText">
    <w:name w:val="annotation text"/>
    <w:basedOn w:val="Normal"/>
    <w:link w:val="CommentTextChar"/>
    <w:uiPriority w:val="99"/>
    <w:semiHidden/>
    <w:rsid w:val="00790ABC"/>
    <w:pPr>
      <w:spacing w:line="240" w:lineRule="auto"/>
    </w:pPr>
    <w:rPr>
      <w:sz w:val="20"/>
      <w:szCs w:val="20"/>
    </w:rPr>
  </w:style>
  <w:style w:type="character" w:customStyle="1" w:styleId="CommentTextChar">
    <w:name w:val="Comment Text Char"/>
    <w:link w:val="CommentText"/>
    <w:uiPriority w:val="99"/>
    <w:semiHidden/>
    <w:locked/>
    <w:rsid w:val="00790ABC"/>
    <w:rPr>
      <w:rFonts w:cs="Times New Roman"/>
      <w:sz w:val="20"/>
      <w:szCs w:val="20"/>
    </w:rPr>
  </w:style>
  <w:style w:type="paragraph" w:styleId="CommentSubject">
    <w:name w:val="annotation subject"/>
    <w:basedOn w:val="CommentText"/>
    <w:next w:val="CommentText"/>
    <w:link w:val="CommentSubjectChar"/>
    <w:uiPriority w:val="99"/>
    <w:semiHidden/>
    <w:rsid w:val="00790ABC"/>
    <w:rPr>
      <w:b/>
      <w:bCs/>
    </w:rPr>
  </w:style>
  <w:style w:type="character" w:customStyle="1" w:styleId="CommentSubjectChar">
    <w:name w:val="Comment Subject Char"/>
    <w:link w:val="CommentSubject"/>
    <w:uiPriority w:val="99"/>
    <w:semiHidden/>
    <w:locked/>
    <w:rsid w:val="00790ABC"/>
    <w:rPr>
      <w:rFonts w:cs="Times New Roman"/>
      <w:b/>
      <w:bCs/>
      <w:sz w:val="20"/>
      <w:szCs w:val="20"/>
    </w:rPr>
  </w:style>
  <w:style w:type="paragraph" w:styleId="BalloonText">
    <w:name w:val="Balloon Text"/>
    <w:basedOn w:val="Normal"/>
    <w:link w:val="BalloonTextChar"/>
    <w:uiPriority w:val="99"/>
    <w:semiHidden/>
    <w:rsid w:val="00790A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0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1546">
      <w:marLeft w:val="45"/>
      <w:marRight w:val="45"/>
      <w:marTop w:val="90"/>
      <w:marBottom w:val="90"/>
      <w:divBdr>
        <w:top w:val="none" w:sz="0" w:space="0" w:color="auto"/>
        <w:left w:val="none" w:sz="0" w:space="0" w:color="auto"/>
        <w:bottom w:val="none" w:sz="0" w:space="0" w:color="auto"/>
        <w:right w:val="none" w:sz="0" w:space="0" w:color="auto"/>
      </w:divBdr>
      <w:divsChild>
        <w:div w:id="1060131545">
          <w:marLeft w:val="0"/>
          <w:marRight w:val="0"/>
          <w:marTop w:val="0"/>
          <w:marBottom w:val="567"/>
          <w:divBdr>
            <w:top w:val="none" w:sz="0" w:space="0" w:color="auto"/>
            <w:left w:val="none" w:sz="0" w:space="0" w:color="auto"/>
            <w:bottom w:val="none" w:sz="0" w:space="0" w:color="auto"/>
            <w:right w:val="none" w:sz="0" w:space="0" w:color="auto"/>
          </w:divBdr>
        </w:div>
      </w:divsChild>
    </w:div>
    <w:div w:id="1060131548">
      <w:marLeft w:val="45"/>
      <w:marRight w:val="45"/>
      <w:marTop w:val="90"/>
      <w:marBottom w:val="90"/>
      <w:divBdr>
        <w:top w:val="none" w:sz="0" w:space="0" w:color="auto"/>
        <w:left w:val="none" w:sz="0" w:space="0" w:color="auto"/>
        <w:bottom w:val="none" w:sz="0" w:space="0" w:color="auto"/>
        <w:right w:val="none" w:sz="0" w:space="0" w:color="auto"/>
      </w:divBdr>
      <w:divsChild>
        <w:div w:id="106013154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3325</Words>
  <Characters>1896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Gleizde</dc:creator>
  <cp:keywords/>
  <dc:description/>
  <cp:lastModifiedBy>Maija Gleizde</cp:lastModifiedBy>
  <cp:revision>6</cp:revision>
  <dcterms:created xsi:type="dcterms:W3CDTF">2012-08-17T11:32:00Z</dcterms:created>
  <dcterms:modified xsi:type="dcterms:W3CDTF">2012-08-17T12:53:00Z</dcterms:modified>
</cp:coreProperties>
</file>