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DB" w:rsidRPr="007D6273" w:rsidRDefault="003908DB" w:rsidP="003908DB">
      <w:pPr>
        <w:jc w:val="center"/>
        <w:rPr>
          <w:b/>
          <w:sz w:val="28"/>
          <w:szCs w:val="28"/>
        </w:rPr>
      </w:pPr>
      <w:bookmarkStart w:id="0" w:name="_GoBack"/>
      <w:bookmarkEnd w:id="0"/>
      <w:r w:rsidRPr="007D6273">
        <w:rPr>
          <w:b/>
          <w:sz w:val="28"/>
          <w:szCs w:val="28"/>
        </w:rPr>
        <w:t xml:space="preserve">Ministru kabineta </w:t>
      </w:r>
      <w:r w:rsidR="00330635" w:rsidRPr="007D6273">
        <w:rPr>
          <w:b/>
          <w:sz w:val="28"/>
          <w:szCs w:val="28"/>
        </w:rPr>
        <w:t>noteikumu</w:t>
      </w:r>
      <w:r w:rsidRPr="007D6273">
        <w:rPr>
          <w:b/>
          <w:sz w:val="28"/>
          <w:szCs w:val="28"/>
        </w:rPr>
        <w:t xml:space="preserve"> projekta</w:t>
      </w:r>
    </w:p>
    <w:p w:rsidR="003908DB" w:rsidRPr="007D6273" w:rsidRDefault="003908DB" w:rsidP="002B6636">
      <w:pPr>
        <w:spacing w:after="120"/>
        <w:jc w:val="center"/>
        <w:rPr>
          <w:b/>
          <w:sz w:val="28"/>
          <w:szCs w:val="28"/>
        </w:rPr>
      </w:pPr>
      <w:r w:rsidRPr="007D6273">
        <w:rPr>
          <w:b/>
          <w:sz w:val="28"/>
          <w:szCs w:val="28"/>
        </w:rPr>
        <w:t>„</w:t>
      </w:r>
      <w:r w:rsidR="006E381C" w:rsidRPr="007D6273">
        <w:rPr>
          <w:b/>
          <w:sz w:val="28"/>
          <w:szCs w:val="28"/>
        </w:rPr>
        <w:t>D</w:t>
      </w:r>
      <w:r w:rsidR="00BA0050" w:rsidRPr="007D6273">
        <w:rPr>
          <w:b/>
          <w:sz w:val="28"/>
          <w:szCs w:val="28"/>
        </w:rPr>
        <w:t>arbības programmas „</w:t>
      </w:r>
      <w:r w:rsidR="006E381C" w:rsidRPr="007D6273">
        <w:rPr>
          <w:b/>
          <w:sz w:val="28"/>
          <w:szCs w:val="28"/>
        </w:rPr>
        <w:t>Izaugsme un nodarbinātība”</w:t>
      </w:r>
      <w:r w:rsidR="00330635" w:rsidRPr="007D6273">
        <w:rPr>
          <w:b/>
          <w:sz w:val="28"/>
          <w:szCs w:val="28"/>
        </w:rPr>
        <w:t xml:space="preserve"> </w:t>
      </w:r>
      <w:r w:rsidR="00DC3977" w:rsidRPr="007D6273">
        <w:rPr>
          <w:b/>
          <w:sz w:val="28"/>
          <w:szCs w:val="28"/>
        </w:rPr>
        <w:t>5.6.2</w:t>
      </w:r>
      <w:r w:rsidR="00BA0050" w:rsidRPr="007D6273">
        <w:rPr>
          <w:b/>
          <w:sz w:val="28"/>
          <w:szCs w:val="28"/>
        </w:rPr>
        <w:t>.</w:t>
      </w:r>
      <w:r w:rsidR="00330635" w:rsidRPr="007D6273">
        <w:rPr>
          <w:b/>
          <w:sz w:val="28"/>
          <w:szCs w:val="28"/>
        </w:rPr>
        <w:t>specifiskā atbalsta mērķa</w:t>
      </w:r>
      <w:r w:rsidR="00BA0050" w:rsidRPr="007D6273">
        <w:rPr>
          <w:b/>
          <w:sz w:val="28"/>
          <w:szCs w:val="28"/>
        </w:rPr>
        <w:t xml:space="preserve"> „</w:t>
      </w:r>
      <w:r w:rsidR="00DC3977" w:rsidRPr="007D6273">
        <w:rPr>
          <w:b/>
          <w:sz w:val="28"/>
          <w:szCs w:val="28"/>
        </w:rPr>
        <w:t xml:space="preserve">Teritoriju </w:t>
      </w:r>
      <w:proofErr w:type="spellStart"/>
      <w:r w:rsidR="00DC3977" w:rsidRPr="007D6273">
        <w:rPr>
          <w:b/>
          <w:sz w:val="28"/>
          <w:szCs w:val="28"/>
        </w:rPr>
        <w:t>revitalizācija</w:t>
      </w:r>
      <w:proofErr w:type="spellEnd"/>
      <w:r w:rsidR="00DC3977" w:rsidRPr="007D6273">
        <w:rPr>
          <w:b/>
          <w:sz w:val="28"/>
          <w:szCs w:val="28"/>
        </w:rPr>
        <w:t>, reģenerējot degradētās teritorijas atbilstoši pašvaldību integrētajām attīstības programmām</w:t>
      </w:r>
      <w:r w:rsidR="00330635" w:rsidRPr="007D6273">
        <w:rPr>
          <w:b/>
          <w:sz w:val="28"/>
          <w:szCs w:val="28"/>
        </w:rPr>
        <w:t xml:space="preserve">” </w:t>
      </w:r>
      <w:r w:rsidR="00BA0050" w:rsidRPr="007D6273">
        <w:rPr>
          <w:b/>
          <w:sz w:val="28"/>
          <w:szCs w:val="28"/>
        </w:rPr>
        <w:t>īstenošan</w:t>
      </w:r>
      <w:r w:rsidR="006E381C" w:rsidRPr="007D6273">
        <w:rPr>
          <w:b/>
          <w:sz w:val="28"/>
          <w:szCs w:val="28"/>
        </w:rPr>
        <w:t>as noteikumi</w:t>
      </w:r>
      <w:r w:rsidRPr="007D6273">
        <w:rPr>
          <w:b/>
          <w:sz w:val="28"/>
          <w:szCs w:val="28"/>
        </w:rPr>
        <w:t>” sākotnējās ietekmes novērtējuma ziņojums (anotācija)</w:t>
      </w:r>
    </w:p>
    <w:p w:rsidR="00FE1C57" w:rsidRPr="007D6273" w:rsidRDefault="00FE1C57" w:rsidP="002B6636">
      <w:pPr>
        <w:spacing w:after="120"/>
        <w:jc w:val="cente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C61A59" w:rsidRPr="007D6273" w:rsidTr="00041DD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pStyle w:val="ListParagraph"/>
              <w:tabs>
                <w:tab w:val="left" w:pos="2268"/>
                <w:tab w:val="left" w:pos="2410"/>
              </w:tabs>
              <w:ind w:left="1080"/>
              <w:jc w:val="center"/>
              <w:rPr>
                <w:b/>
                <w:sz w:val="24"/>
                <w:szCs w:val="24"/>
                <w:lang w:eastAsia="en-US"/>
              </w:rPr>
            </w:pPr>
            <w:r w:rsidRPr="007D6273">
              <w:rPr>
                <w:b/>
                <w:bCs/>
                <w:sz w:val="24"/>
                <w:szCs w:val="24"/>
              </w:rPr>
              <w:t>I. Tiesību akta projekta izstrādes nepieciešamība</w:t>
            </w:r>
          </w:p>
        </w:tc>
      </w:tr>
      <w:tr w:rsidR="00C61A59" w:rsidRPr="007D6273"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jc w:val="center"/>
              <w:rPr>
                <w:lang w:eastAsia="en-US"/>
              </w:rPr>
            </w:pPr>
            <w:r w:rsidRPr="007D6273">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tabs>
                <w:tab w:val="left" w:pos="1904"/>
              </w:tabs>
              <w:rPr>
                <w:lang w:eastAsia="en-US"/>
              </w:rPr>
            </w:pPr>
            <w:r w:rsidRPr="007D6273">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952" w:rsidRPr="00476794" w:rsidRDefault="009B0952" w:rsidP="009B0952">
            <w:pPr>
              <w:pStyle w:val="ListParagraph"/>
              <w:tabs>
                <w:tab w:val="left" w:pos="317"/>
              </w:tabs>
              <w:spacing w:before="60" w:after="60"/>
              <w:ind w:left="34"/>
              <w:jc w:val="both"/>
              <w:rPr>
                <w:sz w:val="24"/>
                <w:szCs w:val="24"/>
                <w:shd w:val="clear" w:color="auto" w:fill="FFFFFF"/>
              </w:rPr>
            </w:pPr>
            <w:r w:rsidRPr="00476794">
              <w:rPr>
                <w:sz w:val="24"/>
                <w:szCs w:val="24"/>
              </w:rPr>
              <w:t xml:space="preserve">Ministru kabineta (turpmāk – MK) </w:t>
            </w:r>
            <w:r w:rsidR="0086228E" w:rsidRPr="00476794">
              <w:rPr>
                <w:sz w:val="24"/>
                <w:szCs w:val="24"/>
                <w:shd w:val="clear" w:color="auto" w:fill="FFFFFF"/>
              </w:rPr>
              <w:t xml:space="preserve">noteikumu projekts </w:t>
            </w:r>
            <w:r w:rsidR="0086228E" w:rsidRPr="00476794">
              <w:rPr>
                <w:sz w:val="24"/>
                <w:szCs w:val="24"/>
              </w:rPr>
              <w:t>„</w:t>
            </w:r>
            <w:r w:rsidR="006E381C" w:rsidRPr="00476794">
              <w:rPr>
                <w:sz w:val="24"/>
                <w:szCs w:val="24"/>
              </w:rPr>
              <w:t>D</w:t>
            </w:r>
            <w:r w:rsidR="0086228E" w:rsidRPr="00476794">
              <w:rPr>
                <w:sz w:val="24"/>
                <w:szCs w:val="24"/>
              </w:rPr>
              <w:t xml:space="preserve">arbības programmas „Izaugsme un nodarbinātība” </w:t>
            </w:r>
            <w:r w:rsidR="00DC3977" w:rsidRPr="00476794">
              <w:rPr>
                <w:sz w:val="24"/>
                <w:szCs w:val="24"/>
              </w:rPr>
              <w:t>5.6.2</w:t>
            </w:r>
            <w:r w:rsidR="0086228E" w:rsidRPr="00476794">
              <w:rPr>
                <w:sz w:val="24"/>
                <w:szCs w:val="24"/>
              </w:rPr>
              <w:t>.specifiskā atbalsta mērķa „</w:t>
            </w:r>
            <w:r w:rsidR="00DC3977" w:rsidRPr="00476794">
              <w:rPr>
                <w:sz w:val="24"/>
                <w:szCs w:val="24"/>
              </w:rPr>
              <w:t xml:space="preserve">Teritoriju </w:t>
            </w:r>
            <w:proofErr w:type="spellStart"/>
            <w:r w:rsidR="00DC3977" w:rsidRPr="00476794">
              <w:rPr>
                <w:sz w:val="24"/>
                <w:szCs w:val="24"/>
              </w:rPr>
              <w:t>revitalizācija</w:t>
            </w:r>
            <w:proofErr w:type="spellEnd"/>
            <w:r w:rsidR="00DC3977" w:rsidRPr="00476794">
              <w:rPr>
                <w:sz w:val="24"/>
                <w:szCs w:val="24"/>
              </w:rPr>
              <w:t>, reģenerējot degradētās teritorijas atbilstoši pašvaldību integrētajām attīstības programmām</w:t>
            </w:r>
            <w:r w:rsidR="0086228E" w:rsidRPr="00476794">
              <w:rPr>
                <w:sz w:val="24"/>
                <w:szCs w:val="24"/>
              </w:rPr>
              <w:t>” īstenošan</w:t>
            </w:r>
            <w:r w:rsidR="006E381C" w:rsidRPr="00476794">
              <w:rPr>
                <w:sz w:val="24"/>
                <w:szCs w:val="24"/>
              </w:rPr>
              <w:t>as noteikumi</w:t>
            </w:r>
            <w:r w:rsidR="0086228E" w:rsidRPr="00476794">
              <w:rPr>
                <w:sz w:val="24"/>
                <w:szCs w:val="24"/>
              </w:rPr>
              <w:t>” (turpmāk –</w:t>
            </w:r>
            <w:r w:rsidRPr="00476794">
              <w:rPr>
                <w:sz w:val="24"/>
                <w:szCs w:val="24"/>
              </w:rPr>
              <w:t xml:space="preserve"> </w:t>
            </w:r>
            <w:r w:rsidR="0086228E" w:rsidRPr="00476794">
              <w:rPr>
                <w:sz w:val="24"/>
                <w:szCs w:val="24"/>
              </w:rPr>
              <w:t xml:space="preserve">noteikumu projekts) </w:t>
            </w:r>
            <w:r w:rsidRPr="00476794">
              <w:rPr>
                <w:sz w:val="24"/>
                <w:szCs w:val="24"/>
                <w:shd w:val="clear" w:color="auto" w:fill="FFFFFF"/>
              </w:rPr>
              <w:t>izstrādāts atbilstoši:</w:t>
            </w:r>
          </w:p>
          <w:p w:rsidR="009B0952" w:rsidRPr="00720768" w:rsidRDefault="009B0952" w:rsidP="00720768">
            <w:pPr>
              <w:pStyle w:val="ListParagraph"/>
              <w:numPr>
                <w:ilvl w:val="0"/>
                <w:numId w:val="14"/>
              </w:numPr>
              <w:tabs>
                <w:tab w:val="left" w:pos="635"/>
              </w:tabs>
              <w:spacing w:before="60" w:after="60"/>
              <w:ind w:left="391" w:hanging="357"/>
              <w:contextualSpacing w:val="0"/>
              <w:jc w:val="both"/>
              <w:rPr>
                <w:iCs/>
                <w:sz w:val="24"/>
                <w:szCs w:val="24"/>
              </w:rPr>
            </w:pPr>
            <w:r w:rsidRPr="00720768">
              <w:rPr>
                <w:iCs/>
                <w:sz w:val="24"/>
                <w:szCs w:val="24"/>
              </w:rPr>
              <w:t>Eiropas Savienības struktūrfondu un Kohēzijas fonda 2014.-2020.gada plānošanas perioda vadības likuma 20.panta</w:t>
            </w:r>
            <w:r w:rsidR="006B21A3" w:rsidRPr="00720768">
              <w:rPr>
                <w:iCs/>
                <w:sz w:val="24"/>
                <w:szCs w:val="24"/>
              </w:rPr>
              <w:t xml:space="preserve"> 6.un</w:t>
            </w:r>
            <w:r w:rsidRPr="00720768">
              <w:rPr>
                <w:iCs/>
                <w:sz w:val="24"/>
                <w:szCs w:val="24"/>
              </w:rPr>
              <w:t xml:space="preserve"> 13.punktam;</w:t>
            </w:r>
          </w:p>
          <w:p w:rsidR="00531C22" w:rsidRPr="00720768" w:rsidRDefault="009B0952" w:rsidP="00720768">
            <w:pPr>
              <w:pStyle w:val="ListParagraph"/>
              <w:numPr>
                <w:ilvl w:val="0"/>
                <w:numId w:val="14"/>
              </w:numPr>
              <w:tabs>
                <w:tab w:val="left" w:pos="635"/>
              </w:tabs>
              <w:spacing w:before="60" w:after="60"/>
              <w:ind w:left="391" w:hanging="357"/>
              <w:contextualSpacing w:val="0"/>
              <w:jc w:val="both"/>
              <w:rPr>
                <w:iCs/>
                <w:sz w:val="24"/>
                <w:szCs w:val="24"/>
              </w:rPr>
            </w:pPr>
            <w:r w:rsidRPr="00720768">
              <w:rPr>
                <w:iCs/>
                <w:sz w:val="24"/>
                <w:szCs w:val="24"/>
              </w:rPr>
              <w:t xml:space="preserve">MK 2014.gada 23.septembra sēdes protokola Nr.50, 47.§ 3.punktā Vides aizsardzības un reģionālās attīstības ministrijai (turpmāk – VARAM) uzdotajam, kas paredz VARAM līdz 2015.gada 31.janvārim sagatavot un iesniegt izskatīšanai MK noteikumu projektu, pamatojoties uz MK 2014.gada 23.septembra sēdē (protokols Nr.50, 47.§) izskatīto informatīvo ziņojumu „Par pilsētvides un </w:t>
            </w:r>
            <w:proofErr w:type="spellStart"/>
            <w:r w:rsidRPr="00720768">
              <w:rPr>
                <w:iCs/>
                <w:sz w:val="24"/>
                <w:szCs w:val="24"/>
              </w:rPr>
              <w:t>policentriskās</w:t>
            </w:r>
            <w:proofErr w:type="spellEnd"/>
            <w:r w:rsidRPr="00720768">
              <w:rPr>
                <w:iCs/>
                <w:sz w:val="24"/>
                <w:szCs w:val="24"/>
              </w:rPr>
              <w:t xml:space="preserve"> attīstības investīciju ieviešanas principiem Eiropas Savienības fondos 2014.-2020.gadam” (turpmāk – Informatīvais ziņojums), un iekļaujot tajā noteikto finansējuma sadalījumu starp pašvaldību grupām.</w:t>
            </w:r>
          </w:p>
          <w:p w:rsidR="008641E6" w:rsidRPr="00720768" w:rsidRDefault="008641E6" w:rsidP="00720768">
            <w:pPr>
              <w:pStyle w:val="ListParagraph"/>
              <w:numPr>
                <w:ilvl w:val="0"/>
                <w:numId w:val="14"/>
              </w:numPr>
              <w:tabs>
                <w:tab w:val="left" w:pos="635"/>
              </w:tabs>
              <w:spacing w:before="60" w:after="60"/>
              <w:ind w:left="391" w:hanging="357"/>
              <w:contextualSpacing w:val="0"/>
              <w:jc w:val="both"/>
              <w:rPr>
                <w:iCs/>
                <w:sz w:val="24"/>
                <w:szCs w:val="24"/>
              </w:rPr>
            </w:pPr>
            <w:r w:rsidRPr="00720768">
              <w:rPr>
                <w:iCs/>
                <w:sz w:val="24"/>
                <w:szCs w:val="24"/>
              </w:rPr>
              <w:t>Partnerības līgumam Eiropas Savienības investīciju fondu 2014.-2020.gada plānošanas periodam</w:t>
            </w:r>
            <w:r w:rsidR="00F43994" w:rsidRPr="00720768">
              <w:rPr>
                <w:iCs/>
                <w:sz w:val="24"/>
                <w:szCs w:val="24"/>
              </w:rPr>
              <w:t xml:space="preserve"> </w:t>
            </w:r>
            <w:r w:rsidR="00AF6EDB" w:rsidRPr="00720768">
              <w:rPr>
                <w:iCs/>
                <w:sz w:val="24"/>
                <w:szCs w:val="24"/>
              </w:rPr>
              <w:t>(turpmāk – Partnerības līgums)</w:t>
            </w:r>
            <w:r w:rsidRPr="00720768">
              <w:rPr>
                <w:iCs/>
                <w:sz w:val="24"/>
                <w:szCs w:val="24"/>
              </w:rPr>
              <w:t>;</w:t>
            </w:r>
          </w:p>
          <w:p w:rsidR="00AF6EDB" w:rsidRPr="00720768" w:rsidRDefault="008641E6" w:rsidP="00720768">
            <w:pPr>
              <w:pStyle w:val="ListParagraph"/>
              <w:numPr>
                <w:ilvl w:val="0"/>
                <w:numId w:val="14"/>
              </w:numPr>
              <w:tabs>
                <w:tab w:val="left" w:pos="635"/>
              </w:tabs>
              <w:spacing w:before="60" w:after="60"/>
              <w:ind w:left="391" w:hanging="357"/>
              <w:contextualSpacing w:val="0"/>
              <w:jc w:val="both"/>
              <w:rPr>
                <w:iCs/>
                <w:sz w:val="24"/>
                <w:szCs w:val="24"/>
              </w:rPr>
            </w:pPr>
            <w:r w:rsidRPr="00720768">
              <w:rPr>
                <w:iCs/>
                <w:sz w:val="24"/>
                <w:szCs w:val="24"/>
              </w:rPr>
              <w:t>Eiropas Savienības struktūrfondu un Kohēzijas fonda 2014.-2020.gada plānošanas perioda darbības programmai „Izaugsme un nodarbinātība” (turpmāk - darbības programma)</w:t>
            </w:r>
            <w:r w:rsidR="00AF6EDB" w:rsidRPr="00720768">
              <w:rPr>
                <w:iCs/>
                <w:sz w:val="24"/>
                <w:szCs w:val="24"/>
              </w:rPr>
              <w:t>;</w:t>
            </w:r>
          </w:p>
          <w:p w:rsidR="00B5412E" w:rsidRPr="007D6273" w:rsidRDefault="00AF6EDB" w:rsidP="00720768">
            <w:pPr>
              <w:pStyle w:val="ListParagraph"/>
              <w:numPr>
                <w:ilvl w:val="0"/>
                <w:numId w:val="14"/>
              </w:numPr>
              <w:tabs>
                <w:tab w:val="left" w:pos="635"/>
              </w:tabs>
              <w:spacing w:before="60" w:after="60"/>
              <w:ind w:left="391" w:hanging="357"/>
              <w:contextualSpacing w:val="0"/>
              <w:jc w:val="both"/>
              <w:rPr>
                <w:sz w:val="24"/>
                <w:szCs w:val="24"/>
              </w:rPr>
            </w:pPr>
            <w:r w:rsidRPr="00476794">
              <w:rPr>
                <w:iCs/>
                <w:sz w:val="24"/>
                <w:szCs w:val="24"/>
              </w:rPr>
              <w:t xml:space="preserve">MK 2015.gada </w:t>
            </w:r>
            <w:r w:rsidR="00EB703F" w:rsidRPr="00476794">
              <w:rPr>
                <w:iCs/>
                <w:sz w:val="24"/>
                <w:szCs w:val="24"/>
              </w:rPr>
              <w:t>13</w:t>
            </w:r>
            <w:r w:rsidRPr="00476794">
              <w:rPr>
                <w:iCs/>
                <w:sz w:val="24"/>
                <w:szCs w:val="24"/>
              </w:rPr>
              <w:t>.</w:t>
            </w:r>
            <w:r w:rsidR="00EB703F" w:rsidRPr="00476794">
              <w:rPr>
                <w:iCs/>
                <w:sz w:val="24"/>
                <w:szCs w:val="24"/>
              </w:rPr>
              <w:t xml:space="preserve">oktobra </w:t>
            </w:r>
            <w:r w:rsidRPr="00476794">
              <w:rPr>
                <w:iCs/>
                <w:sz w:val="24"/>
                <w:szCs w:val="24"/>
              </w:rPr>
              <w:t>sēdes protokola Nr.</w:t>
            </w:r>
            <w:r w:rsidR="00C645F3" w:rsidRPr="00476794">
              <w:rPr>
                <w:iCs/>
                <w:sz w:val="24"/>
                <w:szCs w:val="24"/>
              </w:rPr>
              <w:t xml:space="preserve">54 </w:t>
            </w:r>
            <w:r w:rsidRPr="00476794">
              <w:rPr>
                <w:iCs/>
                <w:sz w:val="24"/>
                <w:szCs w:val="24"/>
              </w:rPr>
              <w:t>3</w:t>
            </w:r>
            <w:r w:rsidR="00C645F3" w:rsidRPr="00476794">
              <w:rPr>
                <w:iCs/>
                <w:sz w:val="24"/>
                <w:szCs w:val="24"/>
              </w:rPr>
              <w:t>2</w:t>
            </w:r>
            <w:r w:rsidRPr="00476794">
              <w:rPr>
                <w:iCs/>
                <w:sz w:val="24"/>
                <w:szCs w:val="24"/>
              </w:rPr>
              <w:t xml:space="preserve">.§ </w:t>
            </w:r>
            <w:r w:rsidR="00C645F3" w:rsidRPr="00476794">
              <w:rPr>
                <w:iCs/>
                <w:sz w:val="24"/>
                <w:szCs w:val="24"/>
              </w:rPr>
              <w:t>rīkojuma projekt</w:t>
            </w:r>
            <w:r w:rsidR="00AD5CD7" w:rsidRPr="00476794">
              <w:rPr>
                <w:iCs/>
                <w:sz w:val="24"/>
                <w:szCs w:val="24"/>
              </w:rPr>
              <w:t>a</w:t>
            </w:r>
            <w:r w:rsidR="00C645F3" w:rsidRPr="00476794">
              <w:rPr>
                <w:iCs/>
                <w:sz w:val="24"/>
                <w:szCs w:val="24"/>
              </w:rPr>
              <w:t xml:space="preserve"> </w:t>
            </w:r>
            <w:r w:rsidRPr="00476794">
              <w:rPr>
                <w:iCs/>
                <w:sz w:val="24"/>
                <w:szCs w:val="24"/>
              </w:rPr>
              <w:t>„</w:t>
            </w:r>
            <w:r w:rsidR="00C645F3" w:rsidRPr="00476794">
              <w:rPr>
                <w:iCs/>
                <w:sz w:val="24"/>
                <w:szCs w:val="24"/>
              </w:rPr>
              <w:t>Par</w:t>
            </w:r>
            <w:r w:rsidRPr="00476794">
              <w:rPr>
                <w:iCs/>
                <w:sz w:val="24"/>
                <w:szCs w:val="24"/>
              </w:rPr>
              <w:t xml:space="preserve"> integrēto teritoriālo investīciju </w:t>
            </w:r>
            <w:r w:rsidR="00C645F3" w:rsidRPr="00476794">
              <w:rPr>
                <w:iCs/>
                <w:sz w:val="24"/>
                <w:szCs w:val="24"/>
              </w:rPr>
              <w:t>specifisko atbalsta mērķu finansējuma kopējo apjomu katram nacionālas nozīmes attīstības centram un kopējiem rezultatīvajiem rādītājiem nacionālas nozīmes attīstības centru grupai”</w:t>
            </w:r>
            <w:r w:rsidRPr="00476794">
              <w:rPr>
                <w:iCs/>
                <w:sz w:val="24"/>
                <w:szCs w:val="24"/>
              </w:rPr>
              <w:t xml:space="preserve"> </w:t>
            </w:r>
            <w:r w:rsidR="00FF5194" w:rsidRPr="00476794">
              <w:rPr>
                <w:iCs/>
                <w:sz w:val="24"/>
                <w:szCs w:val="24"/>
              </w:rPr>
              <w:t xml:space="preserve">(turpmāk – MK rīkojuma projekts) </w:t>
            </w:r>
            <w:r w:rsidR="00C645F3" w:rsidRPr="00476794">
              <w:rPr>
                <w:iCs/>
                <w:sz w:val="24"/>
                <w:szCs w:val="24"/>
              </w:rPr>
              <w:t>2</w:t>
            </w:r>
            <w:r w:rsidRPr="00476794">
              <w:rPr>
                <w:iCs/>
                <w:sz w:val="24"/>
                <w:szCs w:val="24"/>
              </w:rPr>
              <w:t xml:space="preserve">.punktam, kas paredz nacionālās nozīmes attīstības centriem papildu finansējumu 53 000 000 </w:t>
            </w:r>
            <w:proofErr w:type="spellStart"/>
            <w:r w:rsidRPr="00476794">
              <w:rPr>
                <w:i/>
                <w:iCs/>
                <w:sz w:val="24"/>
                <w:szCs w:val="24"/>
              </w:rPr>
              <w:t>euro</w:t>
            </w:r>
            <w:proofErr w:type="spellEnd"/>
            <w:r w:rsidRPr="00476794">
              <w:rPr>
                <w:iCs/>
                <w:sz w:val="24"/>
                <w:szCs w:val="24"/>
              </w:rPr>
              <w:t xml:space="preserve"> apmērā Eiropas Savienības struktūrfondu un Kohēzijas fonda 2014.-2020.gada plānošanas perioda integrētu teritoriālo investīciju papildus projektu īstenošanai,</w:t>
            </w:r>
            <w:r w:rsidR="00AD5CD7" w:rsidRPr="00476794">
              <w:rPr>
                <w:iCs/>
                <w:sz w:val="24"/>
                <w:szCs w:val="24"/>
              </w:rPr>
              <w:t xml:space="preserve"> </w:t>
            </w:r>
            <w:r w:rsidR="00C645F3" w:rsidRPr="00476794">
              <w:rPr>
                <w:iCs/>
                <w:sz w:val="24"/>
                <w:szCs w:val="24"/>
              </w:rPr>
              <w:t xml:space="preserve">un </w:t>
            </w:r>
            <w:r w:rsidRPr="00476794">
              <w:rPr>
                <w:sz w:val="24"/>
                <w:szCs w:val="24"/>
              </w:rPr>
              <w:lastRenderedPageBreak/>
              <w:t xml:space="preserve">5.6.2.specifiskā atbalsta mērķa „Teritoriju </w:t>
            </w:r>
            <w:proofErr w:type="spellStart"/>
            <w:r w:rsidRPr="00476794">
              <w:rPr>
                <w:sz w:val="24"/>
                <w:szCs w:val="24"/>
              </w:rPr>
              <w:t>revitalizācija</w:t>
            </w:r>
            <w:proofErr w:type="spellEnd"/>
            <w:r w:rsidRPr="00476794">
              <w:rPr>
                <w:sz w:val="24"/>
                <w:szCs w:val="24"/>
              </w:rPr>
              <w:t>, reģenerējot degradētās teritorijas atbilstoši pašvaldību integrētajām attīstības programmām”</w:t>
            </w:r>
            <w:r w:rsidR="00F43994" w:rsidRPr="00476794">
              <w:rPr>
                <w:sz w:val="24"/>
                <w:szCs w:val="24"/>
              </w:rPr>
              <w:t xml:space="preserve"> </w:t>
            </w:r>
            <w:r w:rsidRPr="00476794">
              <w:rPr>
                <w:sz w:val="24"/>
                <w:szCs w:val="24"/>
              </w:rPr>
              <w:t xml:space="preserve">(turpmāk – SAM) ietvaros </w:t>
            </w:r>
            <w:r w:rsidRPr="00476794">
              <w:rPr>
                <w:iCs/>
                <w:sz w:val="24"/>
                <w:szCs w:val="24"/>
              </w:rPr>
              <w:t xml:space="preserve">nacionālās nozīmes attīstības centriem papildus piešķirt </w:t>
            </w:r>
            <w:proofErr w:type="spellStart"/>
            <w:r w:rsidRPr="00476794">
              <w:rPr>
                <w:sz w:val="24"/>
                <w:szCs w:val="24"/>
              </w:rPr>
              <w:t>virssaistību</w:t>
            </w:r>
            <w:proofErr w:type="spellEnd"/>
            <w:r w:rsidRPr="00476794">
              <w:rPr>
                <w:sz w:val="24"/>
                <w:szCs w:val="24"/>
              </w:rPr>
              <w:t xml:space="preserve"> finansējum</w:t>
            </w:r>
            <w:r w:rsidR="00F43994" w:rsidRPr="00476794">
              <w:rPr>
                <w:sz w:val="24"/>
                <w:szCs w:val="24"/>
              </w:rPr>
              <w:t>u</w:t>
            </w:r>
            <w:r w:rsidRPr="00476794">
              <w:rPr>
                <w:iCs/>
                <w:sz w:val="24"/>
                <w:szCs w:val="24"/>
              </w:rPr>
              <w:t xml:space="preserve"> </w:t>
            </w:r>
            <w:r w:rsidR="0025082A" w:rsidRPr="00476794">
              <w:rPr>
                <w:sz w:val="24"/>
                <w:szCs w:val="24"/>
              </w:rPr>
              <w:t>28 099 280</w:t>
            </w:r>
            <w:r w:rsidRPr="00476794">
              <w:rPr>
                <w:sz w:val="24"/>
                <w:szCs w:val="24"/>
              </w:rPr>
              <w:t xml:space="preserve"> </w:t>
            </w:r>
            <w:proofErr w:type="spellStart"/>
            <w:r w:rsidRPr="00476794">
              <w:rPr>
                <w:i/>
                <w:iCs/>
                <w:sz w:val="24"/>
                <w:szCs w:val="24"/>
              </w:rPr>
              <w:t>euro</w:t>
            </w:r>
            <w:proofErr w:type="spellEnd"/>
            <w:r w:rsidRPr="00476794">
              <w:rPr>
                <w:iCs/>
                <w:sz w:val="24"/>
                <w:szCs w:val="24"/>
              </w:rPr>
              <w:t xml:space="preserve"> apmērā</w:t>
            </w:r>
            <w:r w:rsidRPr="00476794">
              <w:rPr>
                <w:sz w:val="24"/>
                <w:szCs w:val="24"/>
              </w:rPr>
              <w:t>.</w:t>
            </w:r>
          </w:p>
        </w:tc>
      </w:tr>
      <w:tr w:rsidR="00C61A59" w:rsidRPr="007D6273"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155D30">
            <w:pPr>
              <w:jc w:val="center"/>
              <w:rPr>
                <w:lang w:eastAsia="en-US"/>
              </w:rPr>
            </w:pPr>
            <w:r w:rsidRPr="007D6273">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1A59" w:rsidRPr="007D6273" w:rsidRDefault="00C61A59" w:rsidP="00CA1F44">
            <w:pPr>
              <w:jc w:val="both"/>
              <w:rPr>
                <w:lang w:eastAsia="en-US"/>
              </w:rPr>
            </w:pPr>
            <w:r w:rsidRPr="007D6273">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07ED6" w:rsidRPr="00476794" w:rsidRDefault="003977A7" w:rsidP="003D1C4A">
            <w:pPr>
              <w:autoSpaceDE w:val="0"/>
              <w:autoSpaceDN w:val="0"/>
              <w:spacing w:after="120"/>
              <w:jc w:val="both"/>
            </w:pPr>
            <w:r w:rsidRPr="00476794">
              <w:t>Eiropas Komisija 2014.gada 11.novembrī apstiprināja Latvijas izstrādāto darbības programmu</w:t>
            </w:r>
            <w:r w:rsidR="003D1C4A" w:rsidRPr="00476794">
              <w:t>, kurā</w:t>
            </w:r>
            <w:r w:rsidR="006F4417" w:rsidRPr="00476794">
              <w:t xml:space="preserve"> noteikts, ka </w:t>
            </w:r>
            <w:r w:rsidR="00AF6EDB" w:rsidRPr="00476794">
              <w:t>SAM</w:t>
            </w:r>
            <w:r w:rsidR="009B0952" w:rsidRPr="00476794">
              <w:t xml:space="preserve"> īstenošanas rezultātā tiks nodrošināta videi draudzīga un vides ilgtspēju veicinoša teritoriāla izaugsme un jaunu darbavietu radīšana, </w:t>
            </w:r>
            <w:proofErr w:type="spellStart"/>
            <w:r w:rsidR="009B0952" w:rsidRPr="00476794">
              <w:t>revitalizējot</w:t>
            </w:r>
            <w:proofErr w:type="spellEnd"/>
            <w:r w:rsidR="009B0952" w:rsidRPr="00476794">
              <w:t xml:space="preserve"> pilsētvidi un reģenerējot degradētās teritorijas, ņemot vērā, ka saskaņā ar VARAM 2013.gadā veikto nacionālas un reģionālas nozīmes attīstības centru pašvaldību analīzi tika konstatēts, ka Latvijā pašlaik ir 5826 ha degradētās teritoriju platības, kuru attīstību pašvaldības novērtēja kā perspektīvu. No 5826 ha degradētajām platībām tiek plānots </w:t>
            </w:r>
            <w:proofErr w:type="spellStart"/>
            <w:r w:rsidR="009B0952" w:rsidRPr="00476794">
              <w:t>revitalizēt</w:t>
            </w:r>
            <w:proofErr w:type="spellEnd"/>
            <w:r w:rsidR="009B0952" w:rsidRPr="00476794">
              <w:t xml:space="preserve"> 556 ha jeb 9,54% degradēto teritoriju</w:t>
            </w:r>
            <w:r w:rsidR="009B0952" w:rsidRPr="00476794">
              <w:rPr>
                <w:rStyle w:val="FootnoteReference"/>
              </w:rPr>
              <w:footnoteReference w:id="1"/>
            </w:r>
            <w:r w:rsidR="00E40DF3" w:rsidRPr="00476794">
              <w:t>.</w:t>
            </w:r>
            <w:r w:rsidR="0095371D" w:rsidRPr="00476794">
              <w:t xml:space="preserve"> </w:t>
            </w:r>
            <w:r w:rsidR="00584CAB" w:rsidRPr="00476794">
              <w:t>VARAM sākotnējais apkopojums par pašvaldību attīstības programmās norādīto pašvaldību prioritāru projektu ietvaros atjaunojamo degradēto teritoriju platību liecina,</w:t>
            </w:r>
            <w:r w:rsidR="003A656D" w:rsidRPr="00476794">
              <w:t xml:space="preserve"> ka tiks atjaunoti vismaz 567</w:t>
            </w:r>
            <w:r w:rsidR="00584CAB" w:rsidRPr="00476794">
              <w:t xml:space="preserve"> ha. Minētajā aprēķinā nav norādīts pašvaldību, kas nav nacionālas un reģionālas nozīmes attīstības centri</w:t>
            </w:r>
            <w:r w:rsidR="003A656D" w:rsidRPr="00476794">
              <w:t>,</w:t>
            </w:r>
            <w:r w:rsidR="00584CAB" w:rsidRPr="00476794">
              <w:t xml:space="preserve"> plānotais atjaunoto degradēto teritoriju apjoms. </w:t>
            </w:r>
          </w:p>
          <w:p w:rsidR="009B0952" w:rsidRPr="00476794" w:rsidRDefault="009B0952" w:rsidP="009B0952">
            <w:pPr>
              <w:pStyle w:val="Default"/>
              <w:spacing w:after="120"/>
              <w:jc w:val="both"/>
              <w:rPr>
                <w:color w:val="auto"/>
              </w:rPr>
            </w:pPr>
            <w:r w:rsidRPr="00476794">
              <w:rPr>
                <w:color w:val="auto"/>
              </w:rPr>
              <w:t>Lai nodrošinātu SAM ieviešanu, 2014.gada 23.</w:t>
            </w:r>
            <w:r w:rsidR="00C12F7E" w:rsidRPr="00476794">
              <w:rPr>
                <w:color w:val="auto"/>
              </w:rPr>
              <w:t xml:space="preserve">septembra MK sēdē </w:t>
            </w:r>
            <w:r w:rsidRPr="00476794">
              <w:rPr>
                <w:color w:val="auto"/>
              </w:rPr>
              <w:t xml:space="preserve">(protokols Nr.50, 47.§) tika izskatīts Informatīvais ziņojums, </w:t>
            </w:r>
            <w:r w:rsidR="00C12F7E" w:rsidRPr="00476794">
              <w:rPr>
                <w:color w:val="auto"/>
              </w:rPr>
              <w:t xml:space="preserve">kas </w:t>
            </w:r>
            <w:r w:rsidRPr="00476794">
              <w:rPr>
                <w:color w:val="auto"/>
              </w:rPr>
              <w:t xml:space="preserve">nosaka 2014.–2020.gada plānošanas periodā VARAM pārziņā esošo specifisko atbalsta mērķu reģionālās attīstības jomā ieviešanas principus un mehānismu, kā arī indikatīvo laika grafiku un prasības pašvaldību attīstības programmu saturam. </w:t>
            </w:r>
          </w:p>
          <w:p w:rsidR="00FF3F8B" w:rsidRPr="00476794" w:rsidRDefault="00FF3F8B" w:rsidP="00FF3F8B">
            <w:pPr>
              <w:spacing w:after="120"/>
              <w:jc w:val="both"/>
              <w:rPr>
                <w:rFonts w:eastAsia="Times New Roman"/>
                <w:szCs w:val="22"/>
                <w:lang w:eastAsia="en-US"/>
              </w:rPr>
            </w:pPr>
            <w:r w:rsidRPr="00476794">
              <w:rPr>
                <w:rFonts w:eastAsia="Times New Roman"/>
                <w:szCs w:val="22"/>
                <w:lang w:eastAsia="en-US"/>
              </w:rPr>
              <w:t xml:space="preserve">Pašreizējās tendences ekonomiskajā aktivitātē un privāto investīciju piesaistē reģionos liecina, ka nozīmīga problēma saimnieciskās darbības </w:t>
            </w:r>
            <w:r w:rsidR="00C12F7E" w:rsidRPr="00476794">
              <w:rPr>
                <w:rFonts w:eastAsia="Times New Roman"/>
                <w:szCs w:val="22"/>
                <w:lang w:eastAsia="en-US"/>
              </w:rPr>
              <w:t xml:space="preserve">attīstībai </w:t>
            </w:r>
            <w:r w:rsidRPr="00476794">
              <w:rPr>
                <w:rFonts w:eastAsia="Times New Roman"/>
                <w:szCs w:val="22"/>
                <w:lang w:eastAsia="en-US"/>
              </w:rPr>
              <w:t xml:space="preserve">ir nepilnīga </w:t>
            </w:r>
            <w:r w:rsidR="00C12F7E" w:rsidRPr="00476794">
              <w:rPr>
                <w:rFonts w:eastAsia="Times New Roman"/>
                <w:szCs w:val="22"/>
                <w:lang w:eastAsia="en-US"/>
              </w:rPr>
              <w:t>publiskā un inženierkomunikāciju</w:t>
            </w:r>
            <w:r w:rsidRPr="00476794">
              <w:rPr>
                <w:rFonts w:eastAsia="Times New Roman"/>
                <w:szCs w:val="22"/>
                <w:lang w:eastAsia="en-US"/>
              </w:rPr>
              <w:t xml:space="preserve"> infrastruktūra. </w:t>
            </w:r>
          </w:p>
          <w:p w:rsidR="00FF3F8B" w:rsidRPr="00476794" w:rsidRDefault="00FF3F8B" w:rsidP="009B0952">
            <w:pPr>
              <w:pStyle w:val="Default"/>
              <w:spacing w:after="120"/>
              <w:jc w:val="both"/>
              <w:rPr>
                <w:rFonts w:eastAsia="Times New Roman"/>
                <w:color w:val="auto"/>
                <w:szCs w:val="22"/>
                <w:lang w:eastAsia="en-US"/>
              </w:rPr>
            </w:pPr>
            <w:r w:rsidRPr="00476794">
              <w:rPr>
                <w:rFonts w:eastAsia="Times New Roman"/>
                <w:color w:val="auto"/>
                <w:szCs w:val="22"/>
                <w:lang w:eastAsia="en-US"/>
              </w:rPr>
              <w:t xml:space="preserve">Lai uzlabotu bijušo rūpniecisko teritoriju un citu degradēto teritoriju pievilcību, tādējādi veicinot nodarbinātības iespēju uzlabošanos iedzīvotājiem nacionālas un reģionālas nozīmes attīstības centros, un īpaši, Latgales plānošanas </w:t>
            </w:r>
            <w:r w:rsidR="00386907" w:rsidRPr="00476794">
              <w:rPr>
                <w:rFonts w:eastAsia="Times New Roman"/>
                <w:color w:val="auto"/>
                <w:szCs w:val="22"/>
                <w:lang w:eastAsia="en-US"/>
              </w:rPr>
              <w:t xml:space="preserve">reģiona </w:t>
            </w:r>
            <w:r w:rsidR="007F75B3" w:rsidRPr="00476794">
              <w:rPr>
                <w:rFonts w:eastAsia="Times New Roman"/>
                <w:color w:val="auto"/>
                <w:szCs w:val="22"/>
                <w:lang w:eastAsia="en-US"/>
              </w:rPr>
              <w:t xml:space="preserve">attīstības </w:t>
            </w:r>
            <w:r w:rsidR="00386907" w:rsidRPr="00476794">
              <w:rPr>
                <w:rFonts w:eastAsia="Times New Roman"/>
                <w:color w:val="auto"/>
                <w:szCs w:val="22"/>
                <w:lang w:eastAsia="en-US"/>
              </w:rPr>
              <w:t>programmas pielikumā noteikt</w:t>
            </w:r>
            <w:r w:rsidR="007F75B3" w:rsidRPr="00476794">
              <w:rPr>
                <w:rFonts w:eastAsia="Times New Roman"/>
                <w:color w:val="auto"/>
                <w:szCs w:val="22"/>
                <w:lang w:eastAsia="en-US"/>
              </w:rPr>
              <w:t>o</w:t>
            </w:r>
            <w:r w:rsidR="00386907" w:rsidRPr="00476794">
              <w:rPr>
                <w:rFonts w:eastAsia="Times New Roman"/>
                <w:color w:val="auto"/>
                <w:szCs w:val="22"/>
                <w:lang w:eastAsia="en-US"/>
              </w:rPr>
              <w:t xml:space="preserve"> teritorij</w:t>
            </w:r>
            <w:r w:rsidR="007F75B3" w:rsidRPr="00476794">
              <w:rPr>
                <w:rFonts w:eastAsia="Times New Roman"/>
                <w:color w:val="auto"/>
                <w:szCs w:val="22"/>
                <w:lang w:eastAsia="en-US"/>
              </w:rPr>
              <w:t>u pašvaldībās</w:t>
            </w:r>
            <w:r w:rsidRPr="00476794">
              <w:rPr>
                <w:rFonts w:eastAsia="Times New Roman"/>
                <w:color w:val="auto"/>
                <w:szCs w:val="22"/>
                <w:lang w:eastAsia="en-US"/>
              </w:rPr>
              <w:t xml:space="preserve">, nepieciešams veikt ieguldījumus </w:t>
            </w:r>
            <w:r w:rsidRPr="00476794">
              <w:rPr>
                <w:color w:val="auto"/>
              </w:rPr>
              <w:t>rūpniecisko teritoriju un citu uzņēmējdarbībai plānoto vai izmantoto degradēto teritoriju atjaunošanā, un pielāgot tās jaunu uzņēmumu izvietošanai tajās vai esošo paplašināšanai, lai sekmētu nodarbinātību un ekonomisko aktivitāti pašvaldībās.</w:t>
            </w:r>
            <w:r w:rsidR="00866E4A" w:rsidRPr="00476794">
              <w:rPr>
                <w:color w:val="auto"/>
              </w:rPr>
              <w:t xml:space="preserve"> </w:t>
            </w:r>
            <w:r w:rsidR="00D42898" w:rsidRPr="00476794">
              <w:rPr>
                <w:rFonts w:eastAsia="Times New Roman"/>
                <w:color w:val="auto"/>
                <w:szCs w:val="22"/>
                <w:lang w:eastAsia="en-US"/>
              </w:rPr>
              <w:t xml:space="preserve">Plānošanas dokumentos izvirzītie uzdevumi attiecībā uz SAM īstenošanu un sociāli ekonomiskās situācijas apraksts </w:t>
            </w:r>
            <w:r w:rsidR="00D42898" w:rsidRPr="00476794">
              <w:rPr>
                <w:rFonts w:eastAsia="Times New Roman"/>
                <w:color w:val="auto"/>
                <w:szCs w:val="22"/>
                <w:lang w:eastAsia="en-US"/>
              </w:rPr>
              <w:lastRenderedPageBreak/>
              <w:t xml:space="preserve">par Latgales plānošanas </w:t>
            </w:r>
            <w:r w:rsidR="007C545E" w:rsidRPr="00476794">
              <w:rPr>
                <w:rFonts w:eastAsia="Times New Roman"/>
                <w:color w:val="auto"/>
                <w:szCs w:val="22"/>
                <w:lang w:eastAsia="en-US"/>
              </w:rPr>
              <w:t xml:space="preserve">reģiona attīstības programmas pielikumā </w:t>
            </w:r>
            <w:r w:rsidR="007F75B3" w:rsidRPr="00476794">
              <w:rPr>
                <w:rFonts w:eastAsia="Times New Roman"/>
                <w:color w:val="auto"/>
                <w:szCs w:val="22"/>
                <w:lang w:eastAsia="en-US"/>
              </w:rPr>
              <w:t>noteikto</w:t>
            </w:r>
            <w:r w:rsidR="007C545E" w:rsidRPr="00476794">
              <w:rPr>
                <w:rFonts w:eastAsia="Times New Roman"/>
                <w:color w:val="auto"/>
                <w:szCs w:val="22"/>
                <w:lang w:eastAsia="en-US"/>
              </w:rPr>
              <w:t xml:space="preserve"> teritorij</w:t>
            </w:r>
            <w:r w:rsidR="007F75B3" w:rsidRPr="00476794">
              <w:rPr>
                <w:rFonts w:eastAsia="Times New Roman"/>
                <w:color w:val="auto"/>
                <w:szCs w:val="22"/>
                <w:lang w:eastAsia="en-US"/>
              </w:rPr>
              <w:t>u pašvaldībām</w:t>
            </w:r>
            <w:r w:rsidR="007C545E" w:rsidRPr="00476794">
              <w:rPr>
                <w:rFonts w:eastAsia="Times New Roman"/>
                <w:color w:val="auto"/>
                <w:szCs w:val="22"/>
                <w:lang w:eastAsia="en-US"/>
              </w:rPr>
              <w:t xml:space="preserve"> </w:t>
            </w:r>
            <w:r w:rsidR="00D42898" w:rsidRPr="00476794">
              <w:rPr>
                <w:rFonts w:eastAsia="Times New Roman"/>
                <w:color w:val="auto"/>
                <w:szCs w:val="22"/>
                <w:lang w:eastAsia="en-US"/>
              </w:rPr>
              <w:t>pieejams VARAM tīmekļa vietnē</w:t>
            </w:r>
            <w:r w:rsidR="00D42898" w:rsidRPr="00476794">
              <w:rPr>
                <w:rStyle w:val="FootnoteReference"/>
                <w:rFonts w:eastAsia="Times New Roman"/>
                <w:color w:val="auto"/>
                <w:szCs w:val="22"/>
                <w:lang w:eastAsia="en-US"/>
              </w:rPr>
              <w:footnoteReference w:id="2"/>
            </w:r>
            <w:r w:rsidR="00D42898" w:rsidRPr="00476794">
              <w:rPr>
                <w:rFonts w:eastAsia="Times New Roman"/>
                <w:color w:val="auto"/>
                <w:szCs w:val="22"/>
                <w:lang w:eastAsia="en-US"/>
              </w:rPr>
              <w:t>.</w:t>
            </w:r>
            <w:r w:rsidR="00866E4A" w:rsidRPr="00476794">
              <w:rPr>
                <w:rFonts w:eastAsia="Times New Roman"/>
                <w:color w:val="auto"/>
                <w:szCs w:val="22"/>
                <w:lang w:eastAsia="en-US"/>
              </w:rPr>
              <w:t xml:space="preserve"> MK noteikumu projekts izstrādāts, lai risinātu iepriekš minētās problēmas, īstenojot SAM paredzētos atbalsta pasākumus.</w:t>
            </w:r>
          </w:p>
          <w:p w:rsidR="00D55776" w:rsidRPr="00476794" w:rsidRDefault="003D1C4A" w:rsidP="00D55776">
            <w:pPr>
              <w:pStyle w:val="Default"/>
              <w:spacing w:after="120"/>
              <w:jc w:val="both"/>
              <w:rPr>
                <w:color w:val="auto"/>
              </w:rPr>
            </w:pPr>
            <w:r w:rsidRPr="00476794">
              <w:rPr>
                <w:color w:val="auto"/>
              </w:rPr>
              <w:t xml:space="preserve">Pilsētvides un </w:t>
            </w:r>
            <w:proofErr w:type="spellStart"/>
            <w:r w:rsidRPr="00476794">
              <w:rPr>
                <w:color w:val="auto"/>
              </w:rPr>
              <w:t>policentriskās</w:t>
            </w:r>
            <w:proofErr w:type="spellEnd"/>
            <w:r w:rsidRPr="00476794">
              <w:rPr>
                <w:color w:val="auto"/>
              </w:rPr>
              <w:t xml:space="preserve"> attīstības investīcijas līdz šim tika veiktas </w:t>
            </w:r>
            <w:r w:rsidR="00866E4A" w:rsidRPr="00476794">
              <w:rPr>
                <w:color w:val="auto"/>
              </w:rPr>
              <w:t>Eiropas Savienības struktūrfondu un Kohēzijas fonda 2007.-2013.gada plānošanas perioda 3.darbības programmas „Infrastruktūra un pakalpojumi” papildinājuma 3.6.prioritātes „</w:t>
            </w:r>
            <w:proofErr w:type="spellStart"/>
            <w:r w:rsidR="00866E4A" w:rsidRPr="00476794">
              <w:rPr>
                <w:color w:val="auto"/>
              </w:rPr>
              <w:t>Policentriska</w:t>
            </w:r>
            <w:proofErr w:type="spellEnd"/>
            <w:r w:rsidR="00866E4A" w:rsidRPr="00476794">
              <w:rPr>
                <w:color w:val="auto"/>
              </w:rPr>
              <w:t xml:space="preserve"> attīstība” </w:t>
            </w:r>
            <w:r w:rsidR="000F5BF5" w:rsidRPr="00476794">
              <w:rPr>
                <w:color w:val="auto"/>
              </w:rPr>
              <w:t xml:space="preserve">aktivitāšu </w:t>
            </w:r>
            <w:r w:rsidR="00866E4A" w:rsidRPr="00476794">
              <w:rPr>
                <w:color w:val="auto"/>
              </w:rPr>
              <w:t xml:space="preserve">(turpmāk – </w:t>
            </w:r>
            <w:proofErr w:type="spellStart"/>
            <w:r w:rsidR="00866E4A" w:rsidRPr="00476794">
              <w:rPr>
                <w:color w:val="auto"/>
              </w:rPr>
              <w:t>policentriskās</w:t>
            </w:r>
            <w:proofErr w:type="spellEnd"/>
            <w:r w:rsidR="00866E4A" w:rsidRPr="00476794">
              <w:rPr>
                <w:color w:val="auto"/>
              </w:rPr>
              <w:t xml:space="preserve"> aktivitātes)</w:t>
            </w:r>
            <w:r w:rsidRPr="00476794">
              <w:rPr>
                <w:color w:val="auto"/>
              </w:rPr>
              <w:t xml:space="preserve"> ietvaros. Tādejādi </w:t>
            </w:r>
            <w:proofErr w:type="spellStart"/>
            <w:r w:rsidRPr="00476794">
              <w:rPr>
                <w:color w:val="auto"/>
              </w:rPr>
              <w:t>policentrisko</w:t>
            </w:r>
            <w:proofErr w:type="spellEnd"/>
            <w:r w:rsidRPr="00476794">
              <w:rPr>
                <w:color w:val="auto"/>
              </w:rPr>
              <w:t xml:space="preserve"> aktivitāšu finansējumu</w:t>
            </w:r>
            <w:r w:rsidRPr="00476794" w:rsidDel="003D1C4A">
              <w:rPr>
                <w:color w:val="auto"/>
              </w:rPr>
              <w:t xml:space="preserve"> </w:t>
            </w:r>
            <w:r w:rsidR="00D55776" w:rsidRPr="00476794">
              <w:rPr>
                <w:color w:val="auto"/>
              </w:rPr>
              <w:t xml:space="preserve">348,5 </w:t>
            </w:r>
            <w:proofErr w:type="spellStart"/>
            <w:r w:rsidR="00D55776" w:rsidRPr="00476794">
              <w:rPr>
                <w:color w:val="auto"/>
              </w:rPr>
              <w:t>milj.</w:t>
            </w:r>
            <w:r w:rsidR="00E5249E" w:rsidRPr="00476794">
              <w:rPr>
                <w:i/>
                <w:color w:val="auto"/>
              </w:rPr>
              <w:t>euro</w:t>
            </w:r>
            <w:proofErr w:type="spellEnd"/>
            <w:r w:rsidR="00866E4A" w:rsidRPr="00476794">
              <w:rPr>
                <w:color w:val="auto"/>
              </w:rPr>
              <w:t xml:space="preserve"> </w:t>
            </w:r>
            <w:r w:rsidR="00D55776" w:rsidRPr="00476794">
              <w:rPr>
                <w:color w:val="auto"/>
              </w:rPr>
              <w:t xml:space="preserve">apmērā </w:t>
            </w:r>
            <w:r w:rsidRPr="00476794">
              <w:rPr>
                <w:color w:val="auto"/>
              </w:rPr>
              <w:t xml:space="preserve">novirzot </w:t>
            </w:r>
            <w:r w:rsidR="00866E4A" w:rsidRPr="00476794">
              <w:rPr>
                <w:color w:val="auto"/>
              </w:rPr>
              <w:t>3</w:t>
            </w:r>
            <w:r w:rsidR="00D55776" w:rsidRPr="00476794">
              <w:rPr>
                <w:color w:val="auto"/>
              </w:rPr>
              <w:t>6</w:t>
            </w:r>
            <w:r w:rsidR="00866E4A" w:rsidRPr="00476794">
              <w:rPr>
                <w:color w:val="auto"/>
              </w:rPr>
              <w:t xml:space="preserve"> pilsētu un novadu pašvaldību teritorijās publiskās infrastruktūras sakārtošanai ar ietekmi uz pilsētvides un </w:t>
            </w:r>
            <w:proofErr w:type="spellStart"/>
            <w:r w:rsidR="00866E4A" w:rsidRPr="00476794">
              <w:rPr>
                <w:color w:val="auto"/>
              </w:rPr>
              <w:t>pilsētreģionu</w:t>
            </w:r>
            <w:proofErr w:type="spellEnd"/>
            <w:r w:rsidR="00866E4A" w:rsidRPr="00476794">
              <w:rPr>
                <w:color w:val="auto"/>
              </w:rPr>
              <w:t xml:space="preserve"> konkurētspējas, sasniedzamības, pieejamības un pievilcības faktoru attīstību, kā arī funkcionālo saišu veidošanu starp attīstības centriem un to piegulošajām teritorijām, un to nepieciešamība pamatota pašvaldību attīstības programmās.</w:t>
            </w:r>
            <w:r w:rsidRPr="00476794">
              <w:rPr>
                <w:color w:val="auto"/>
              </w:rPr>
              <w:t xml:space="preserve"> </w:t>
            </w:r>
            <w:r w:rsidR="00D55776" w:rsidRPr="00476794">
              <w:rPr>
                <w:color w:val="auto"/>
              </w:rPr>
              <w:t xml:space="preserve">Vērtējot </w:t>
            </w:r>
            <w:r w:rsidRPr="00476794">
              <w:rPr>
                <w:color w:val="auto"/>
              </w:rPr>
              <w:t xml:space="preserve">līdzšinējo </w:t>
            </w:r>
            <w:proofErr w:type="spellStart"/>
            <w:r w:rsidRPr="00476794">
              <w:rPr>
                <w:color w:val="auto"/>
              </w:rPr>
              <w:t>policentrisko</w:t>
            </w:r>
            <w:proofErr w:type="spellEnd"/>
            <w:r w:rsidRPr="00476794">
              <w:rPr>
                <w:color w:val="auto"/>
              </w:rPr>
              <w:t xml:space="preserve"> aktivitāšu </w:t>
            </w:r>
            <w:r w:rsidR="00D55776" w:rsidRPr="00476794">
              <w:rPr>
                <w:color w:val="auto"/>
              </w:rPr>
              <w:t>investīciju sadalījumu teritoriālā griezumā, secināms, ka kopumā lielākā investīciju daļa 33% ir novirzīta Latgales reģionam, 28% Kurzemes, 17% Vidzemes un 17% Zemgales reģionam, savukārt visnelielākā investīciju daļa novirzīta Rīgas reģiona pašvaldībām (ieskaitot Rīgu) – 4%.</w:t>
            </w:r>
          </w:p>
          <w:p w:rsidR="005447FF" w:rsidRPr="00476794" w:rsidRDefault="00D55776" w:rsidP="005447FF">
            <w:pPr>
              <w:pStyle w:val="Default"/>
              <w:spacing w:after="120"/>
              <w:jc w:val="both"/>
              <w:rPr>
                <w:color w:val="auto"/>
              </w:rPr>
            </w:pPr>
            <w:r w:rsidRPr="00476794">
              <w:rPr>
                <w:color w:val="auto"/>
              </w:rPr>
              <w:t>Līdzšinējās investīcijas 3.6.1.1.aktivitātē</w:t>
            </w:r>
            <w:r w:rsidRPr="00476794">
              <w:rPr>
                <w:rStyle w:val="FootnoteReference"/>
                <w:color w:val="auto"/>
              </w:rPr>
              <w:footnoteReference w:id="3"/>
            </w:r>
            <w:r w:rsidRPr="00476794">
              <w:rPr>
                <w:color w:val="auto"/>
              </w:rPr>
              <w:t xml:space="preserve">, kas veido lielāko </w:t>
            </w:r>
            <w:proofErr w:type="spellStart"/>
            <w:r w:rsidRPr="00476794">
              <w:rPr>
                <w:color w:val="auto"/>
              </w:rPr>
              <w:t>policentrisko</w:t>
            </w:r>
            <w:proofErr w:type="spellEnd"/>
            <w:r w:rsidRPr="00476794">
              <w:rPr>
                <w:color w:val="auto"/>
              </w:rPr>
              <w:t xml:space="preserve"> aktivitāšu daļu (72%), raksturo trīs virzieni, kas izriet no </w:t>
            </w:r>
            <w:proofErr w:type="spellStart"/>
            <w:r w:rsidRPr="00476794">
              <w:rPr>
                <w:color w:val="auto"/>
              </w:rPr>
              <w:t>policentrisko</w:t>
            </w:r>
            <w:proofErr w:type="spellEnd"/>
            <w:r w:rsidRPr="00476794">
              <w:rPr>
                <w:color w:val="auto"/>
              </w:rPr>
              <w:t xml:space="preserve"> aktivitāšu uzraudzības rādītājiem. Šie virzieni ir </w:t>
            </w:r>
            <w:r w:rsidRPr="00476794">
              <w:rPr>
                <w:rFonts w:eastAsia="Times New Roman"/>
                <w:color w:val="auto"/>
              </w:rPr>
              <w:t xml:space="preserve">pilsētvides atjaunošana un/vai </w:t>
            </w:r>
            <w:proofErr w:type="spellStart"/>
            <w:r w:rsidRPr="00476794">
              <w:rPr>
                <w:rFonts w:eastAsia="Times New Roman"/>
                <w:color w:val="auto"/>
              </w:rPr>
              <w:t>revitalizācija</w:t>
            </w:r>
            <w:proofErr w:type="spellEnd"/>
            <w:r w:rsidRPr="00476794">
              <w:rPr>
                <w:rFonts w:eastAsia="Times New Roman"/>
                <w:color w:val="auto"/>
              </w:rPr>
              <w:t xml:space="preserve">, nodrošinot pilsētu ilgtspējīgu attīstību un uzlabojot to pievilcību; kopienas attīstības sekmēšana, uzlabojot pakalpojumu pieejamību, nodrošinot vienādas tiesības visām iedzīvotāju grupām; kā arī pilsētu konkurētspējas veicināšana, t.sk., sekmējot uzņēmējdarbības un tehnoloģiju attīstību. Līdz 2014.gada beigām vislielākais pabeigto projektu investīciju īpatsvars (77%) ir veikts projektos, kas vērsti uz pilsētvides atjaunošanu un/vai </w:t>
            </w:r>
            <w:proofErr w:type="spellStart"/>
            <w:r w:rsidRPr="00476794">
              <w:rPr>
                <w:rFonts w:eastAsia="Times New Roman"/>
                <w:color w:val="auto"/>
              </w:rPr>
              <w:t>revitalizāciju</w:t>
            </w:r>
            <w:proofErr w:type="spellEnd"/>
            <w:r w:rsidRPr="00476794">
              <w:rPr>
                <w:rFonts w:eastAsia="Times New Roman"/>
                <w:color w:val="auto"/>
              </w:rPr>
              <w:t xml:space="preserve">, nodrošinot pilsētu ilgtspējīgu attīstību un uzlabojot to pievilcību. Tikai salīdzinoši neliela daļa (11%) ir projekti, kas sekmē pilsētu konkurētspējas veicināšanu, t.sk., sekmējot uzņēmējdarbības un tehnoloģiju attīstību </w:t>
            </w:r>
            <w:r w:rsidR="005447FF" w:rsidRPr="00476794">
              <w:rPr>
                <w:rFonts w:eastAsia="Times New Roman"/>
                <w:color w:val="auto"/>
              </w:rPr>
              <w:t>(</w:t>
            </w:r>
            <w:r w:rsidR="00E5249E" w:rsidRPr="00476794">
              <w:rPr>
                <w:rFonts w:eastAsia="Times New Roman"/>
                <w:color w:val="auto"/>
              </w:rPr>
              <w:t>p</w:t>
            </w:r>
            <w:r w:rsidR="005447FF" w:rsidRPr="00476794">
              <w:rPr>
                <w:rFonts w:eastAsia="Times New Roman"/>
                <w:color w:val="auto"/>
              </w:rPr>
              <w:t xml:space="preserve">lašāka informācija un kartogrāfiskais materiāls par </w:t>
            </w:r>
            <w:r w:rsidR="005447FF" w:rsidRPr="00476794">
              <w:rPr>
                <w:color w:val="auto"/>
              </w:rPr>
              <w:t xml:space="preserve">datiem par iedzīvotāju skaita izmaiņām, bezdarba līmeni, individuālo komersantu un komercsabiedrību skaitu, iedzīvotāju </w:t>
            </w:r>
            <w:r w:rsidR="005447FF" w:rsidRPr="00476794">
              <w:rPr>
                <w:color w:val="auto"/>
              </w:rPr>
              <w:lastRenderedPageBreak/>
              <w:t>ienākuma nodokli pašvaldību teritorijās reģionos ir pieejam</w:t>
            </w:r>
            <w:r w:rsidR="000F5BF5" w:rsidRPr="00476794">
              <w:rPr>
                <w:color w:val="auto"/>
              </w:rPr>
              <w:t>a</w:t>
            </w:r>
            <w:r w:rsidR="005447FF" w:rsidRPr="00476794">
              <w:rPr>
                <w:color w:val="auto"/>
              </w:rPr>
              <w:t xml:space="preserve"> VARAM tīmekļa vietnē</w:t>
            </w:r>
            <w:r w:rsidR="005447FF" w:rsidRPr="00476794">
              <w:rPr>
                <w:rStyle w:val="FootnoteReference"/>
                <w:color w:val="auto"/>
              </w:rPr>
              <w:footnoteReference w:id="4"/>
            </w:r>
            <w:r w:rsidR="005447FF" w:rsidRPr="00476794">
              <w:rPr>
                <w:color w:val="auto"/>
              </w:rPr>
              <w:t>)</w:t>
            </w:r>
            <w:r w:rsidR="00E5249E" w:rsidRPr="00476794">
              <w:rPr>
                <w:color w:val="auto"/>
              </w:rPr>
              <w:t>.</w:t>
            </w:r>
          </w:p>
          <w:p w:rsidR="004459CA" w:rsidRPr="00476794" w:rsidRDefault="00866E4A" w:rsidP="009B0952">
            <w:pPr>
              <w:pStyle w:val="Default"/>
              <w:spacing w:after="120"/>
              <w:jc w:val="both"/>
              <w:rPr>
                <w:color w:val="auto"/>
              </w:rPr>
            </w:pPr>
            <w:r w:rsidRPr="00476794">
              <w:rPr>
                <w:color w:val="auto"/>
              </w:rPr>
              <w:t xml:space="preserve">Salīdzinot ar </w:t>
            </w:r>
            <w:proofErr w:type="spellStart"/>
            <w:r w:rsidRPr="00476794">
              <w:rPr>
                <w:color w:val="auto"/>
              </w:rPr>
              <w:t>policentriskajām</w:t>
            </w:r>
            <w:proofErr w:type="spellEnd"/>
            <w:r w:rsidRPr="00476794">
              <w:rPr>
                <w:color w:val="auto"/>
              </w:rPr>
              <w:t xml:space="preserve"> aktivitātēm, kas paredzēja atbalstu teritorijas atjaunošanai, konkurētspējas celšanai vai pilsētas attīstībai, kas vērsta uz saimnieciskās darbības, satiksmes, sociālās, izglītības, kultūras vai tūrisma infrastruktūras attīstību vai izveidi atbilstoši pašvaldības attīstības programmā noteiktajām prioritātēm,</w:t>
            </w:r>
            <w:r w:rsidR="004459CA" w:rsidRPr="00476794">
              <w:rPr>
                <w:color w:val="auto"/>
              </w:rPr>
              <w:t xml:space="preserve"> SAM īstenošanā tiek akcentēta degradēto teritoriju atjaunošana atbilstoši pašvaldību integrētajām attīstības programmām, tādējādi veicinot nodarbinātību pašvaldībās.</w:t>
            </w:r>
            <w:r w:rsidR="003A3021" w:rsidRPr="00476794">
              <w:rPr>
                <w:color w:val="auto"/>
              </w:rPr>
              <w:t xml:space="preserve"> Minētā pieeja SAM ietvaros krasi atšķiras no līdzšinējās pieredzes un īstenotajiem projektiem,</w:t>
            </w:r>
            <w:r w:rsidR="001133AB" w:rsidRPr="00476794">
              <w:rPr>
                <w:color w:val="auto"/>
              </w:rPr>
              <w:t xml:space="preserve"> jo SAM sasniedzamie rezultāti tiks vērtēti</w:t>
            </w:r>
            <w:r w:rsidR="003A3021" w:rsidRPr="00476794">
              <w:rPr>
                <w:color w:val="auto"/>
              </w:rPr>
              <w:t xml:space="preserve"> </w:t>
            </w:r>
            <w:r w:rsidR="001133AB" w:rsidRPr="00476794">
              <w:rPr>
                <w:color w:val="auto"/>
              </w:rPr>
              <w:t>g</w:t>
            </w:r>
            <w:r w:rsidR="003A3021" w:rsidRPr="00476794">
              <w:rPr>
                <w:color w:val="auto"/>
              </w:rPr>
              <w:t>an nodarbinātības rādītāju griezumā, gan komersantu nefi</w:t>
            </w:r>
            <w:r w:rsidR="00720768">
              <w:rPr>
                <w:color w:val="auto"/>
              </w:rPr>
              <w:t xml:space="preserve">nanšu investīciju apjoma ziņā. </w:t>
            </w:r>
          </w:p>
          <w:p w:rsidR="001931E9" w:rsidRPr="00476794" w:rsidRDefault="00171811" w:rsidP="00F86873">
            <w:pPr>
              <w:pStyle w:val="Default"/>
              <w:spacing w:after="120"/>
              <w:jc w:val="both"/>
              <w:rPr>
                <w:color w:val="auto"/>
              </w:rPr>
            </w:pPr>
            <w:r w:rsidRPr="00476794">
              <w:rPr>
                <w:color w:val="auto"/>
              </w:rPr>
              <w:t xml:space="preserve">Jānorāda, ka līdztekus SAM </w:t>
            </w:r>
            <w:r w:rsidR="001931E9" w:rsidRPr="00476794">
              <w:rPr>
                <w:color w:val="auto"/>
              </w:rPr>
              <w:t xml:space="preserve">5.6.2. </w:t>
            </w:r>
            <w:r w:rsidRPr="00476794">
              <w:rPr>
                <w:color w:val="auto"/>
              </w:rPr>
              <w:t xml:space="preserve">ieviešanai Eiropas Savienības fondu 2014.-2020.gada plānošanas periodā ir plānots īstenot arī </w:t>
            </w:r>
            <w:r w:rsidR="000F5BF5" w:rsidRPr="00476794">
              <w:rPr>
                <w:color w:val="auto"/>
              </w:rPr>
              <w:t xml:space="preserve">specifisko </w:t>
            </w:r>
            <w:r w:rsidRPr="00476794">
              <w:rPr>
                <w:color w:val="auto"/>
              </w:rPr>
              <w:t xml:space="preserve">atbalsta mērķi 3.3.1. „Palielināt privāto investīciju apjomu nacionālas un reģionālas nozīmes centros, veicot ieguldījumus uzņēmējdarbībai nozīmīgā infrastruktūrā atbilstoši pašvaldības integrētajām attīstības programmām” (turpmāk – SAM 3.3.1.). Abus </w:t>
            </w:r>
            <w:r w:rsidR="001931E9" w:rsidRPr="00476794">
              <w:rPr>
                <w:color w:val="auto"/>
              </w:rPr>
              <w:t xml:space="preserve">specifiskos </w:t>
            </w:r>
            <w:r w:rsidRPr="00476794">
              <w:rPr>
                <w:color w:val="auto"/>
              </w:rPr>
              <w:t>atbalsta mērķus vieno nosacījumi, kas paredz, īstenojot publiskās infrastruktūras projektus, kā projekta rezultātu nodrošināt jaunu darbavietu un privāto investīciju veidošanos privātajā sektorā, tādejādi sekmējot nodarbinātību un ekonomisko aktivitāti.</w:t>
            </w:r>
          </w:p>
          <w:p w:rsidR="00F769CB" w:rsidRPr="00476794" w:rsidRDefault="00F769CB" w:rsidP="001931E9">
            <w:pPr>
              <w:pStyle w:val="Default"/>
              <w:spacing w:after="120"/>
              <w:jc w:val="both"/>
              <w:rPr>
                <w:color w:val="auto"/>
              </w:rPr>
            </w:pPr>
            <w:r w:rsidRPr="00476794">
              <w:rPr>
                <w:color w:val="auto"/>
              </w:rPr>
              <w:t xml:space="preserve">Kopumā </w:t>
            </w:r>
            <w:r w:rsidR="001931E9" w:rsidRPr="00476794">
              <w:rPr>
                <w:color w:val="auto"/>
              </w:rPr>
              <w:t>SAM 5.6.2. ietvaros investīcijas tiek koncentrētas tikai pašvaldību definētajās degradētajās teritorijās</w:t>
            </w:r>
            <w:r w:rsidRPr="00476794">
              <w:rPr>
                <w:color w:val="auto"/>
              </w:rPr>
              <w:t>, bet</w:t>
            </w:r>
            <w:r w:rsidR="001931E9" w:rsidRPr="00476794">
              <w:rPr>
                <w:color w:val="auto"/>
              </w:rPr>
              <w:t xml:space="preserve"> SAM 3.3.1. ietvaros investīcijas tiks veiktas ar komercdarbību saistītā teritorijā</w:t>
            </w:r>
            <w:r w:rsidRPr="00476794">
              <w:rPr>
                <w:color w:val="auto"/>
              </w:rPr>
              <w:t>, līdz ar to, tiks nodrošināta demarkācija un investīcijas SAM 3.3.1. ietvaros netiks veiktas degradētajās teritorijās, kuras saņems atbalstu SAM 5.6.2. ietvaros. Demarkācija tiks nodrošināta Reģionālās attīstības koordinācijas padomē projektu ideju līmenī.</w:t>
            </w:r>
          </w:p>
          <w:p w:rsidR="00F769CB" w:rsidRPr="00476794" w:rsidRDefault="00F769CB" w:rsidP="00F769CB">
            <w:pPr>
              <w:pStyle w:val="Default"/>
              <w:spacing w:after="120"/>
              <w:jc w:val="both"/>
              <w:rPr>
                <w:color w:val="auto"/>
              </w:rPr>
            </w:pPr>
            <w:r w:rsidRPr="00476794">
              <w:rPr>
                <w:color w:val="auto"/>
              </w:rPr>
              <w:t xml:space="preserve">SAM </w:t>
            </w:r>
            <w:r w:rsidR="001931E9" w:rsidRPr="00476794">
              <w:rPr>
                <w:color w:val="auto"/>
              </w:rPr>
              <w:t>5.6.2.</w:t>
            </w:r>
            <w:r w:rsidRPr="00476794">
              <w:rPr>
                <w:color w:val="auto"/>
              </w:rPr>
              <w:t xml:space="preserve"> un SAM </w:t>
            </w:r>
            <w:r w:rsidR="001931E9" w:rsidRPr="00476794">
              <w:rPr>
                <w:color w:val="auto"/>
              </w:rPr>
              <w:t>3.3.1.</w:t>
            </w:r>
            <w:r w:rsidRPr="00476794">
              <w:rPr>
                <w:color w:val="auto"/>
              </w:rPr>
              <w:t xml:space="preserve"> būtiskākās atšķirības ir šādas:</w:t>
            </w:r>
          </w:p>
          <w:p w:rsidR="00F769CB" w:rsidRPr="00476794" w:rsidRDefault="00F769CB" w:rsidP="00F769CB">
            <w:pPr>
              <w:pStyle w:val="naisf"/>
              <w:numPr>
                <w:ilvl w:val="0"/>
                <w:numId w:val="20"/>
              </w:numPr>
              <w:spacing w:before="0" w:beforeAutospacing="0" w:after="0" w:afterAutospacing="0"/>
              <w:ind w:right="-57"/>
              <w:jc w:val="both"/>
              <w:rPr>
                <w:rFonts w:eastAsia="Calibri"/>
              </w:rPr>
            </w:pPr>
            <w:r w:rsidRPr="00476794">
              <w:rPr>
                <w:rFonts w:eastAsia="Calibri"/>
              </w:rPr>
              <w:t>Atšķirīgi mērķi.</w:t>
            </w:r>
          </w:p>
          <w:p w:rsidR="00F769CB" w:rsidRPr="00476794" w:rsidRDefault="00F769CB" w:rsidP="00F769CB">
            <w:pPr>
              <w:pStyle w:val="naisf"/>
              <w:spacing w:before="0" w:beforeAutospacing="0" w:after="120" w:afterAutospacing="0"/>
              <w:ind w:right="-57"/>
              <w:jc w:val="both"/>
              <w:rPr>
                <w:rFonts w:eastAsia="Calibri"/>
              </w:rPr>
            </w:pPr>
            <w:r w:rsidRPr="00476794">
              <w:rPr>
                <w:rFonts w:eastAsia="Calibri"/>
              </w:rPr>
              <w:t xml:space="preserve">Kā būtiskākā atšķirība ir minama abu SAM dažādie mērķi un tas, ka demarkācijas kritērijs ir investīciju mērķis, nevis teritorijas veids. Ja SAM </w:t>
            </w:r>
            <w:r w:rsidR="001931E9" w:rsidRPr="00476794">
              <w:rPr>
                <w:rFonts w:eastAsia="Calibri"/>
              </w:rPr>
              <w:t xml:space="preserve">5.6.2. gadījumā investīcijas tiks veiktas teritoriju </w:t>
            </w:r>
            <w:proofErr w:type="spellStart"/>
            <w:r w:rsidR="001931E9" w:rsidRPr="00476794">
              <w:rPr>
                <w:rFonts w:eastAsia="Calibri"/>
              </w:rPr>
              <w:t>revitalizācijā</w:t>
            </w:r>
            <w:proofErr w:type="spellEnd"/>
            <w:r w:rsidR="001931E9" w:rsidRPr="00476794">
              <w:rPr>
                <w:rFonts w:eastAsia="Calibri"/>
              </w:rPr>
              <w:t xml:space="preserve">, reģenerējot degradētās teritorijas, kuras pašvaldība ir definējusi kā degradētas un kuras atbilst Partnerības līgumā noteiktajai degradēto teritoriju definīcijai, kas paredz, ka degradētā teritorija ir vieta (teritorija (ne visos gadījumos ar negatīvu ietekmi uz vidi), ēka vai ēku komplekss), kas iepriekš tikusi izmantota </w:t>
            </w:r>
            <w:r w:rsidR="001931E9" w:rsidRPr="00476794">
              <w:rPr>
                <w:rFonts w:eastAsia="Calibri"/>
              </w:rPr>
              <w:lastRenderedPageBreak/>
              <w:t>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r w:rsidRPr="00476794">
              <w:rPr>
                <w:rFonts w:eastAsia="Calibri"/>
              </w:rPr>
              <w:t>, tad SAM</w:t>
            </w:r>
            <w:r w:rsidR="001931E9" w:rsidRPr="00476794">
              <w:rPr>
                <w:rFonts w:eastAsia="Calibri"/>
              </w:rPr>
              <w:t xml:space="preserve"> 3.3.1. gadījumā plānots palielināt privāto investīciju apjomu reģionos (ārpus Rīgas pilsētas), veicot ieguldījumus komercdarbības attīstībai.</w:t>
            </w:r>
            <w:r w:rsidR="001931E9" w:rsidRPr="00476794" w:rsidDel="001931E9">
              <w:rPr>
                <w:rFonts w:eastAsia="Calibri"/>
              </w:rPr>
              <w:t xml:space="preserve"> </w:t>
            </w:r>
            <w:r w:rsidRPr="00476794">
              <w:rPr>
                <w:rFonts w:eastAsia="Calibri"/>
              </w:rPr>
              <w:t xml:space="preserve"> </w:t>
            </w:r>
          </w:p>
          <w:p w:rsidR="00F769CB" w:rsidRPr="00476794" w:rsidRDefault="00F769CB" w:rsidP="00F769CB">
            <w:pPr>
              <w:pStyle w:val="naisf"/>
              <w:numPr>
                <w:ilvl w:val="0"/>
                <w:numId w:val="20"/>
              </w:numPr>
              <w:spacing w:before="0" w:beforeAutospacing="0" w:after="0" w:afterAutospacing="0"/>
              <w:ind w:right="-57"/>
              <w:jc w:val="both"/>
              <w:rPr>
                <w:rFonts w:eastAsia="Calibri"/>
              </w:rPr>
            </w:pPr>
            <w:r w:rsidRPr="00476794">
              <w:rPr>
                <w:rFonts w:eastAsia="Calibri"/>
              </w:rPr>
              <w:t>Atšķirības iznākuma rādītājos.</w:t>
            </w:r>
          </w:p>
          <w:p w:rsidR="00F769CB" w:rsidRPr="00476794" w:rsidRDefault="00F769CB" w:rsidP="00F769CB">
            <w:pPr>
              <w:pStyle w:val="naisf"/>
              <w:spacing w:before="0" w:beforeAutospacing="0" w:after="120" w:afterAutospacing="0"/>
              <w:ind w:left="28" w:right="-57"/>
              <w:jc w:val="both"/>
              <w:rPr>
                <w:rFonts w:eastAsia="Calibri"/>
              </w:rPr>
            </w:pPr>
            <w:r w:rsidRPr="00476794">
              <w:rPr>
                <w:rFonts w:eastAsia="Calibri"/>
              </w:rPr>
              <w:t xml:space="preserve">Ņemot vērā atšķirīgos abu SAM mērķus, ir noteikti arī atšķirīgi iznākuma rādītāji. SAM 5.6.2. ietvaros tiks palielināts </w:t>
            </w:r>
            <w:proofErr w:type="spellStart"/>
            <w:r w:rsidRPr="00476794">
              <w:rPr>
                <w:rFonts w:eastAsia="Calibri"/>
              </w:rPr>
              <w:t>revitalizēto</w:t>
            </w:r>
            <w:proofErr w:type="spellEnd"/>
            <w:r w:rsidRPr="00476794">
              <w:rPr>
                <w:rFonts w:eastAsia="Calibri"/>
              </w:rPr>
              <w:t>/atjaunoto  teritoriju apmērs (ha), kas atbilst tieši SAM 5.6.2. plānotajam iznākuma rādītājam. Savukārt veicot investīcijas SAM 3.3.1. ietvaros, tiek uzska</w:t>
            </w:r>
            <w:r w:rsidR="00C12F7E" w:rsidRPr="00476794">
              <w:rPr>
                <w:rFonts w:eastAsia="Calibri"/>
              </w:rPr>
              <w:t>i</w:t>
            </w:r>
            <w:r w:rsidRPr="00476794">
              <w:rPr>
                <w:rFonts w:eastAsia="Calibri"/>
              </w:rPr>
              <w:t>tīts labumu guvušo komersantu skaits. SAM 3.3.1. ietvaros netiek uzskaitīta projektā veikto ieguldījumu teritorija, kā arī netiek izdalīti iespējamie teritorijas veidi, jo tas neatbilst SAM 3.3.1. mērķim.</w:t>
            </w:r>
          </w:p>
          <w:p w:rsidR="00F769CB" w:rsidRPr="00476794" w:rsidRDefault="00F769CB" w:rsidP="00F769CB">
            <w:pPr>
              <w:pStyle w:val="Default"/>
              <w:numPr>
                <w:ilvl w:val="0"/>
                <w:numId w:val="20"/>
              </w:numPr>
              <w:jc w:val="both"/>
              <w:rPr>
                <w:color w:val="auto"/>
              </w:rPr>
            </w:pPr>
            <w:r w:rsidRPr="00476794">
              <w:rPr>
                <w:bCs/>
                <w:color w:val="auto"/>
              </w:rPr>
              <w:t>Atšķirības intervences kodos.</w:t>
            </w:r>
          </w:p>
          <w:p w:rsidR="00F769CB" w:rsidRPr="00476794" w:rsidRDefault="00F769CB" w:rsidP="00F769CB">
            <w:pPr>
              <w:pStyle w:val="Default"/>
              <w:spacing w:after="120"/>
              <w:jc w:val="both"/>
              <w:rPr>
                <w:color w:val="auto"/>
              </w:rPr>
            </w:pPr>
            <w:r w:rsidRPr="00476794">
              <w:rPr>
                <w:color w:val="auto"/>
              </w:rPr>
              <w:t xml:space="preserve">Ieguldījumi SAM </w:t>
            </w:r>
            <w:r w:rsidR="005A14F4" w:rsidRPr="00476794">
              <w:rPr>
                <w:color w:val="auto"/>
              </w:rPr>
              <w:t>5.6.2.</w:t>
            </w:r>
            <w:r w:rsidRPr="00476794">
              <w:rPr>
                <w:color w:val="auto"/>
              </w:rPr>
              <w:t xml:space="preserve"> ietvaros </w:t>
            </w:r>
            <w:r w:rsidRPr="00476794">
              <w:rPr>
                <w:bCs/>
                <w:color w:val="auto"/>
              </w:rPr>
              <w:t xml:space="preserve">galvenokārt ir plānoti saskaņā ar intervences kodu </w:t>
            </w:r>
            <w:r w:rsidR="005A14F4" w:rsidRPr="00476794">
              <w:rPr>
                <w:color w:val="auto"/>
              </w:rPr>
              <w:t>89 (rūpniecībā izmantotās un piesārņotās zemes rehabilitācija)</w:t>
            </w:r>
            <w:r w:rsidRPr="00476794">
              <w:rPr>
                <w:color w:val="auto"/>
              </w:rPr>
              <w:t xml:space="preserve">, atšķirībā no SAM </w:t>
            </w:r>
            <w:r w:rsidR="005A14F4" w:rsidRPr="00476794">
              <w:rPr>
                <w:color w:val="auto"/>
              </w:rPr>
              <w:t xml:space="preserve">3.3.1. </w:t>
            </w:r>
            <w:r w:rsidRPr="00476794">
              <w:rPr>
                <w:color w:val="auto"/>
              </w:rPr>
              <w:t>investīcijām, kas paredz ieguldījumus</w:t>
            </w:r>
            <w:r w:rsidR="004D37A0" w:rsidRPr="00476794">
              <w:rPr>
                <w:color w:val="auto"/>
              </w:rPr>
              <w:t xml:space="preserve"> </w:t>
            </w:r>
            <w:r w:rsidRPr="00476794">
              <w:rPr>
                <w:color w:val="auto"/>
              </w:rPr>
              <w:t xml:space="preserve">galvenokārt </w:t>
            </w:r>
            <w:r w:rsidR="00C12F7E" w:rsidRPr="00476794">
              <w:rPr>
                <w:color w:val="auto"/>
              </w:rPr>
              <w:t xml:space="preserve">plānotus </w:t>
            </w:r>
            <w:r w:rsidRPr="00476794">
              <w:rPr>
                <w:color w:val="auto"/>
              </w:rPr>
              <w:t>saskaņā ar intervences kodu</w:t>
            </w:r>
            <w:r w:rsidR="005A14F4" w:rsidRPr="00476794">
              <w:rPr>
                <w:color w:val="auto"/>
              </w:rPr>
              <w:t xml:space="preserve"> </w:t>
            </w:r>
            <w:r w:rsidR="005A14F4" w:rsidRPr="00476794">
              <w:rPr>
                <w:bCs/>
                <w:color w:val="auto"/>
              </w:rPr>
              <w:t>72 (MVU uzņēmējdarbības infrastruktūra (tostarp rūpnieciskie parki un zonas))</w:t>
            </w:r>
            <w:r w:rsidRPr="00476794">
              <w:rPr>
                <w:color w:val="auto"/>
              </w:rPr>
              <w:t xml:space="preserve">. </w:t>
            </w:r>
          </w:p>
          <w:p w:rsidR="00F769CB" w:rsidRPr="00476794" w:rsidRDefault="00F769CB" w:rsidP="00F769CB">
            <w:pPr>
              <w:pStyle w:val="Default"/>
              <w:numPr>
                <w:ilvl w:val="0"/>
                <w:numId w:val="20"/>
              </w:numPr>
              <w:ind w:left="385" w:hanging="357"/>
              <w:jc w:val="both"/>
              <w:rPr>
                <w:color w:val="auto"/>
              </w:rPr>
            </w:pPr>
            <w:r w:rsidRPr="00476794">
              <w:rPr>
                <w:bCs/>
                <w:color w:val="auto"/>
              </w:rPr>
              <w:t>Atšķirības vērtēšanas kritērijos.</w:t>
            </w:r>
          </w:p>
          <w:p w:rsidR="00F769CB" w:rsidRPr="00476794" w:rsidRDefault="00F769CB" w:rsidP="00F769CB">
            <w:pPr>
              <w:pStyle w:val="Default"/>
              <w:spacing w:after="120"/>
              <w:jc w:val="both"/>
              <w:rPr>
                <w:color w:val="auto"/>
              </w:rPr>
            </w:pPr>
            <w:r w:rsidRPr="00476794">
              <w:rPr>
                <w:color w:val="auto"/>
              </w:rPr>
              <w:t>Atšķirības ir noteiktas arī projektu iesniegumu vērtēšanas kritērijos</w:t>
            </w:r>
            <w:r w:rsidR="005A14F4" w:rsidRPr="00476794">
              <w:rPr>
                <w:color w:val="auto"/>
              </w:rPr>
              <w:t>.</w:t>
            </w:r>
            <w:r w:rsidRPr="00476794">
              <w:rPr>
                <w:color w:val="auto"/>
              </w:rPr>
              <w:t xml:space="preserve"> </w:t>
            </w:r>
            <w:r w:rsidR="005A14F4" w:rsidRPr="00476794">
              <w:rPr>
                <w:color w:val="auto"/>
              </w:rPr>
              <w:t xml:space="preserve">Atšķirībā no </w:t>
            </w:r>
            <w:r w:rsidRPr="00476794">
              <w:rPr>
                <w:color w:val="auto"/>
              </w:rPr>
              <w:t xml:space="preserve">SAM </w:t>
            </w:r>
            <w:r w:rsidR="005A14F4" w:rsidRPr="00476794">
              <w:rPr>
                <w:color w:val="auto"/>
              </w:rPr>
              <w:t>5.6.2., SAM 3.3.1.</w:t>
            </w:r>
            <w:r w:rsidRPr="00476794">
              <w:rPr>
                <w:color w:val="auto"/>
              </w:rPr>
              <w:t>ietvaros izvirz</w:t>
            </w:r>
            <w:r w:rsidR="005A14F4" w:rsidRPr="00476794">
              <w:rPr>
                <w:color w:val="auto"/>
              </w:rPr>
              <w:t>īti</w:t>
            </w:r>
            <w:r w:rsidRPr="00476794">
              <w:rPr>
                <w:color w:val="auto"/>
              </w:rPr>
              <w:t xml:space="preserve"> papildus kritērij</w:t>
            </w:r>
            <w:r w:rsidR="005A14F4" w:rsidRPr="00476794">
              <w:rPr>
                <w:color w:val="auto"/>
              </w:rPr>
              <w:t>i</w:t>
            </w:r>
            <w:r w:rsidRPr="00476794">
              <w:rPr>
                <w:color w:val="auto"/>
              </w:rPr>
              <w:t xml:space="preserve">, kas paredz vērtēt atbalstu saņēmušo komersantu skaitu un sniedz papildus punktus, ja komersants, kuru projekta iesniedzējs ir norādījis kā labuma guvēju, nodarbojas ar ražošanu, saražoto produkciju vai pakalpojumus eksportē vai pārstāv viedās specializācijas jomu. </w:t>
            </w:r>
          </w:p>
          <w:p w:rsidR="00F769CB" w:rsidRPr="00476794" w:rsidRDefault="00F769CB" w:rsidP="00F769CB">
            <w:pPr>
              <w:pStyle w:val="Default"/>
              <w:numPr>
                <w:ilvl w:val="0"/>
                <w:numId w:val="20"/>
              </w:numPr>
              <w:ind w:left="385" w:hanging="357"/>
              <w:jc w:val="both"/>
              <w:rPr>
                <w:color w:val="auto"/>
              </w:rPr>
            </w:pPr>
            <w:r w:rsidRPr="00476794">
              <w:rPr>
                <w:bCs/>
                <w:color w:val="auto"/>
              </w:rPr>
              <w:t>Atšķirīgas teritorijas pašvaldības ietvaros un projektu nepārklāšanās.</w:t>
            </w:r>
          </w:p>
          <w:p w:rsidR="00F769CB" w:rsidRPr="00476794" w:rsidRDefault="00F769CB" w:rsidP="00F769CB">
            <w:pPr>
              <w:pStyle w:val="Default"/>
              <w:spacing w:after="120"/>
              <w:jc w:val="both"/>
              <w:rPr>
                <w:color w:val="auto"/>
              </w:rPr>
            </w:pPr>
            <w:r w:rsidRPr="00476794">
              <w:rPr>
                <w:color w:val="auto"/>
              </w:rPr>
              <w:t xml:space="preserve">SAM 5.6.2. ietvaros pašvaldībai ir jāpamato, ka projektā iekļautā teritorija atbilst Partnerības līgumā iekļautajai degradētās teritorijas definīcijai. Savukārt SAM 3.3.1. ietvaros netiek izdalīti iespējamie teritorijas veidi, jo tas neatbilst SAM 3.3.1. mērķim, kas paredz, ka ieguldījumi SAM 3.3.1. ietvaros tiek veikti, lai atbalstītu komersantus, nevis, lai </w:t>
            </w:r>
            <w:proofErr w:type="spellStart"/>
            <w:r w:rsidRPr="00476794">
              <w:rPr>
                <w:color w:val="auto"/>
              </w:rPr>
              <w:t>revitalizētu</w:t>
            </w:r>
            <w:proofErr w:type="spellEnd"/>
            <w:r w:rsidRPr="00476794">
              <w:rPr>
                <w:color w:val="auto"/>
              </w:rPr>
              <w:t xml:space="preserve"> konkrētu degradētu teritoriju. </w:t>
            </w:r>
            <w:r w:rsidRPr="00476794">
              <w:rPr>
                <w:bCs/>
                <w:color w:val="auto"/>
              </w:rPr>
              <w:t>I</w:t>
            </w:r>
            <w:r w:rsidRPr="00476794">
              <w:rPr>
                <w:color w:val="auto"/>
              </w:rPr>
              <w:t xml:space="preserve">zskatot un saskaņojot projekta idejas un projektu konceptus Reģionālās attīstības koordinācijas padomē, tiks vērtēta projektu nepārklāšanās ar citiem nacionāla līmeņa projektiem, ņemot vērā projektos plānotās darbības un pievienoto kartogrāfisko materiālu, nodrošinot SAM 3.3.1. un SAM 5.6.2. darbību (teritoriju) nepārklāšanos, t.i., </w:t>
            </w:r>
            <w:r w:rsidRPr="00476794">
              <w:rPr>
                <w:bCs/>
                <w:color w:val="auto"/>
              </w:rPr>
              <w:t xml:space="preserve">ka </w:t>
            </w:r>
            <w:r w:rsidRPr="00476794">
              <w:rPr>
                <w:bCs/>
                <w:color w:val="auto"/>
              </w:rPr>
              <w:lastRenderedPageBreak/>
              <w:t>investīcijas SAM 3.3.1. ietvaros netiek veiktas degradētajās teritorijās, kuras ir definētas kā atbalstāmās teritorijas SAM 5.6.2. ietvaros</w:t>
            </w:r>
            <w:r w:rsidRPr="00476794">
              <w:rPr>
                <w:color w:val="auto"/>
              </w:rPr>
              <w:t>. Līdz ar to arī praktiskā līmenī tiks novērsta projektu pārklāšanās.</w:t>
            </w:r>
          </w:p>
          <w:p w:rsidR="00F769CB" w:rsidRPr="00476794" w:rsidRDefault="00F769CB" w:rsidP="00F769CB">
            <w:pPr>
              <w:pStyle w:val="naisc"/>
              <w:spacing w:before="0" w:beforeAutospacing="0" w:after="120" w:afterAutospacing="0"/>
              <w:jc w:val="both"/>
            </w:pPr>
            <w:r w:rsidRPr="00476794">
              <w:t xml:space="preserve">Vienlaikus ir identificēta SAM </w:t>
            </w:r>
            <w:r w:rsidR="00C12F7E" w:rsidRPr="00476794">
              <w:t>5.6.2</w:t>
            </w:r>
            <w:r w:rsidRPr="00476794">
              <w:t>. potenciālā sinerģija ar Zemkopības ministrijas pārziņā esošajām programmām. Arī demarkācija ar šādiem pasākumiem projektu līmenī tiks ņemta vērā, saskaņojot projektu idejas un projektu ideju konceptus Reģionālās attīstības koordinācijas padomē, kā arī veicot projektu iesniegumu vērtēšanu šādiem pasākumiem:</w:t>
            </w:r>
          </w:p>
          <w:p w:rsidR="00F769CB" w:rsidRPr="00476794" w:rsidRDefault="00F769CB" w:rsidP="00F769CB">
            <w:pPr>
              <w:pStyle w:val="naisc"/>
              <w:spacing w:before="0" w:beforeAutospacing="0" w:after="0" w:afterAutospacing="0"/>
              <w:ind w:left="352"/>
              <w:jc w:val="both"/>
            </w:pPr>
            <w:r w:rsidRPr="00476794">
              <w:t>1) „Zvejas ostas un izkraušanas vietas”;</w:t>
            </w:r>
          </w:p>
          <w:p w:rsidR="00F769CB" w:rsidRPr="00476794" w:rsidRDefault="00F769CB" w:rsidP="00F769CB">
            <w:pPr>
              <w:pStyle w:val="Default"/>
              <w:ind w:left="352"/>
              <w:jc w:val="both"/>
              <w:rPr>
                <w:color w:val="auto"/>
              </w:rPr>
            </w:pPr>
            <w:r w:rsidRPr="00476794">
              <w:rPr>
                <w:color w:val="auto"/>
              </w:rPr>
              <w:t>2) „Pamatpakalpojumi un ciematu atjaunošana lauku apvidos”;</w:t>
            </w:r>
          </w:p>
          <w:p w:rsidR="005A14F4" w:rsidRPr="00476794" w:rsidRDefault="00F769CB" w:rsidP="005A14F4">
            <w:pPr>
              <w:pStyle w:val="Default"/>
              <w:ind w:left="352"/>
              <w:jc w:val="both"/>
              <w:rPr>
                <w:color w:val="auto"/>
              </w:rPr>
            </w:pPr>
            <w:r w:rsidRPr="00476794">
              <w:rPr>
                <w:color w:val="auto"/>
              </w:rPr>
              <w:t>3) „Ieguldījumi materiālajos aktīvos”.</w:t>
            </w:r>
          </w:p>
          <w:p w:rsidR="00F769CB" w:rsidRPr="00476794" w:rsidRDefault="00F769CB" w:rsidP="00783923">
            <w:pPr>
              <w:pStyle w:val="Default"/>
              <w:spacing w:before="120" w:after="120"/>
              <w:jc w:val="both"/>
              <w:rPr>
                <w:color w:val="auto"/>
              </w:rPr>
            </w:pPr>
            <w:r w:rsidRPr="00476794">
              <w:rPr>
                <w:color w:val="auto"/>
              </w:rPr>
              <w:t xml:space="preserve">Reģionālās attīstības koordinācijas padomē projektu ideju līmenī tiks nodrošināta arī SAM </w:t>
            </w:r>
            <w:r w:rsidR="00783923" w:rsidRPr="00476794">
              <w:rPr>
                <w:color w:val="auto"/>
              </w:rPr>
              <w:t>5.6.2</w:t>
            </w:r>
            <w:r w:rsidRPr="00476794">
              <w:rPr>
                <w:color w:val="auto"/>
              </w:rPr>
              <w:t xml:space="preserve">. demarkācija ar Ekonomikas ministrijas pasākumu Nr.3.1.1.5. </w:t>
            </w:r>
            <w:r w:rsidR="00783923" w:rsidRPr="00476794">
              <w:rPr>
                <w:color w:val="auto"/>
              </w:rPr>
              <w:t>„</w:t>
            </w:r>
            <w:r w:rsidRPr="00476794">
              <w:rPr>
                <w:color w:val="auto"/>
              </w:rPr>
              <w:t xml:space="preserve">Atbalsts ieguldījumiem ražošanas telpu un infrastruktūras izveidei vai rekonstrukcijai”, kur finansējuma saņēmēji ir mazie un vidējie komersanti, nevis pašvaldības, to iestādes un citi subjekti, kas SAM </w:t>
            </w:r>
            <w:r w:rsidR="00783923" w:rsidRPr="00476794">
              <w:rPr>
                <w:color w:val="auto"/>
              </w:rPr>
              <w:t>5.6.2.</w:t>
            </w:r>
            <w:r w:rsidRPr="00476794">
              <w:rPr>
                <w:color w:val="auto"/>
              </w:rPr>
              <w:t xml:space="preserve"> projektu ietvaros plāno veikt ieguldījumus publiskas personas īpašumā esošā publiskajā infrastruktūrā vai sadales sistēmas operatora īpašumā esošajās inženierkomunikācijās. </w:t>
            </w:r>
          </w:p>
          <w:p w:rsidR="00F86873" w:rsidRPr="00476794" w:rsidRDefault="00F86873" w:rsidP="00F86873">
            <w:pPr>
              <w:pStyle w:val="Default"/>
              <w:spacing w:after="120"/>
              <w:jc w:val="both"/>
              <w:rPr>
                <w:color w:val="auto"/>
              </w:rPr>
            </w:pPr>
            <w:r w:rsidRPr="00476794">
              <w:rPr>
                <w:color w:val="auto"/>
              </w:rPr>
              <w:t>MK noteikumu projekts paredz SAM īstenošanas nosacījumus, mērķi</w:t>
            </w:r>
            <w:r w:rsidR="001133AB" w:rsidRPr="00476794">
              <w:rPr>
                <w:color w:val="auto"/>
              </w:rPr>
              <w:t xml:space="preserve"> </w:t>
            </w:r>
            <w:r w:rsidRPr="00476794">
              <w:rPr>
                <w:color w:val="auto"/>
              </w:rPr>
              <w:t xml:space="preserve">un sasniedzamos iznākuma un finanšu rādītājus, </w:t>
            </w:r>
            <w:r w:rsidR="001133AB" w:rsidRPr="00476794">
              <w:rPr>
                <w:color w:val="auto"/>
              </w:rPr>
              <w:t xml:space="preserve">mērķa grupu, </w:t>
            </w:r>
            <w:r w:rsidRPr="00476794">
              <w:rPr>
                <w:color w:val="auto"/>
              </w:rPr>
              <w:t>SAM pieejamo finansējumu, projektu iesniedzēju un sadarbības partneru loku un tiem noteiktās prasības, atbalstāmo darbību un izmaksu attiecināmības nosacījumus, t.sk. valsts atbalsta komercdarbībai nosacījumus</w:t>
            </w:r>
            <w:r w:rsidR="00F769CB" w:rsidRPr="00476794">
              <w:rPr>
                <w:color w:val="auto"/>
              </w:rPr>
              <w:t xml:space="preserve"> un atmaksājamās palīdzības nosacījumus.</w:t>
            </w:r>
          </w:p>
          <w:p w:rsidR="004459CA" w:rsidRPr="00476794" w:rsidRDefault="00F86873" w:rsidP="00D07ED6">
            <w:pPr>
              <w:pStyle w:val="Default"/>
              <w:spacing w:after="120"/>
              <w:jc w:val="both"/>
              <w:rPr>
                <w:color w:val="auto"/>
              </w:rPr>
            </w:pPr>
            <w:r w:rsidRPr="00476794">
              <w:rPr>
                <w:color w:val="auto"/>
              </w:rPr>
              <w:t xml:space="preserve">SAM tiek īstenots ar mērķi Eiropas Reģionālās attīstības fonda (turpmāk – ERAF) finansējumu novirzīt projektiem, kas nodrošinātu degradēto teritoriju </w:t>
            </w:r>
            <w:proofErr w:type="spellStart"/>
            <w:r w:rsidRPr="00476794">
              <w:rPr>
                <w:color w:val="auto"/>
              </w:rPr>
              <w:t>revitalizāciju</w:t>
            </w:r>
            <w:proofErr w:type="spellEnd"/>
            <w:r w:rsidRPr="00476794">
              <w:rPr>
                <w:color w:val="auto"/>
              </w:rPr>
              <w:t>, reģenerējot degradētās teritorijas atbilstoši pašvaldību attīstības programmām</w:t>
            </w:r>
            <w:r w:rsidR="00F13404" w:rsidRPr="00476794">
              <w:rPr>
                <w:color w:val="auto"/>
              </w:rPr>
              <w:t xml:space="preserve"> (kuras saskaņotas </w:t>
            </w:r>
            <w:r w:rsidR="00817C98" w:rsidRPr="00476794">
              <w:rPr>
                <w:color w:val="auto"/>
              </w:rPr>
              <w:t xml:space="preserve">Reģionālās </w:t>
            </w:r>
            <w:r w:rsidR="00F13404" w:rsidRPr="00476794">
              <w:rPr>
                <w:color w:val="auto"/>
              </w:rPr>
              <w:t xml:space="preserve">attīstības </w:t>
            </w:r>
            <w:r w:rsidR="00817C98" w:rsidRPr="00476794">
              <w:rPr>
                <w:color w:val="auto"/>
              </w:rPr>
              <w:t xml:space="preserve">koordinācijas </w:t>
            </w:r>
            <w:r w:rsidR="00F13404" w:rsidRPr="00476794">
              <w:rPr>
                <w:color w:val="auto"/>
              </w:rPr>
              <w:t>padomē)</w:t>
            </w:r>
            <w:r w:rsidRPr="00476794">
              <w:rPr>
                <w:color w:val="auto"/>
              </w:rPr>
              <w:t>, vienlaikus palielinot privāto investīciju apjomu reģionos un nodrošinot ekonomisko aktivitāt</w:t>
            </w:r>
            <w:r w:rsidR="001133AB" w:rsidRPr="00476794">
              <w:rPr>
                <w:color w:val="auto"/>
              </w:rPr>
              <w:t>i un nodarbinātības veicināšanu</w:t>
            </w:r>
            <w:r w:rsidR="004459CA" w:rsidRPr="00476794">
              <w:rPr>
                <w:color w:val="auto"/>
              </w:rPr>
              <w:t>.</w:t>
            </w:r>
          </w:p>
          <w:p w:rsidR="00C220D8" w:rsidRPr="00476794" w:rsidRDefault="00C220D8" w:rsidP="006C36E9">
            <w:pPr>
              <w:pStyle w:val="Default"/>
              <w:jc w:val="both"/>
              <w:rPr>
                <w:color w:val="auto"/>
                <w:u w:val="single"/>
              </w:rPr>
            </w:pPr>
            <w:r w:rsidRPr="00476794">
              <w:rPr>
                <w:color w:val="auto"/>
                <w:u w:val="single"/>
              </w:rPr>
              <w:t xml:space="preserve">SAM atlases veids, </w:t>
            </w:r>
            <w:r w:rsidR="004459CA" w:rsidRPr="00476794">
              <w:rPr>
                <w:color w:val="auto"/>
                <w:u w:val="single"/>
              </w:rPr>
              <w:t>atlases kārtas</w:t>
            </w:r>
          </w:p>
          <w:p w:rsidR="00B40D29" w:rsidRPr="00476794" w:rsidRDefault="004459CA" w:rsidP="00B40D29">
            <w:pPr>
              <w:pStyle w:val="Default"/>
              <w:spacing w:after="120"/>
              <w:jc w:val="both"/>
              <w:rPr>
                <w:color w:val="auto"/>
              </w:rPr>
            </w:pPr>
            <w:r w:rsidRPr="00476794">
              <w:rPr>
                <w:color w:val="auto"/>
              </w:rPr>
              <w:t>MK noteikumu projektā paredzēts, ka SAM īsteno ierobežotas projektu iesniegumu atlases veidā, trijās atlases kārtās</w:t>
            </w:r>
            <w:r w:rsidR="00B40D29" w:rsidRPr="00476794">
              <w:rPr>
                <w:color w:val="auto"/>
              </w:rPr>
              <w:t>:</w:t>
            </w:r>
          </w:p>
          <w:p w:rsidR="001133AB" w:rsidRPr="00476794" w:rsidRDefault="004459CA" w:rsidP="00295DB8">
            <w:pPr>
              <w:numPr>
                <w:ilvl w:val="0"/>
                <w:numId w:val="1"/>
              </w:numPr>
              <w:spacing w:after="120"/>
              <w:ind w:left="459" w:hanging="425"/>
              <w:jc w:val="both"/>
              <w:rPr>
                <w:rFonts w:eastAsia="Times New Roman"/>
                <w:bCs/>
                <w:lang w:eastAsia="en-US"/>
              </w:rPr>
            </w:pPr>
            <w:r w:rsidRPr="00476794">
              <w:rPr>
                <w:rFonts w:eastAsia="Times New Roman"/>
                <w:bCs/>
                <w:lang w:eastAsia="en-US"/>
              </w:rPr>
              <w:t xml:space="preserve">Pirmā atlases kārta </w:t>
            </w:r>
            <w:r w:rsidR="00D07ED6" w:rsidRPr="00476794">
              <w:rPr>
                <w:rFonts w:eastAsia="Times New Roman"/>
                <w:bCs/>
                <w:lang w:eastAsia="en-US"/>
              </w:rPr>
              <w:t>„</w:t>
            </w:r>
            <w:r w:rsidR="00161A23" w:rsidRPr="00476794">
              <w:t xml:space="preserve">Ieguldījumi degradēto teritoriju </w:t>
            </w:r>
            <w:proofErr w:type="spellStart"/>
            <w:r w:rsidR="00161A23" w:rsidRPr="00476794">
              <w:t>revitalizācijā</w:t>
            </w:r>
            <w:proofErr w:type="spellEnd"/>
            <w:r w:rsidR="00161A23" w:rsidRPr="00476794">
              <w:t xml:space="preserve"> nacionālas nozīmes attīstības centr</w:t>
            </w:r>
            <w:r w:rsidR="005B3E05" w:rsidRPr="00476794">
              <w:t>u pašvaldībās</w:t>
            </w:r>
            <w:r w:rsidR="00D07ED6" w:rsidRPr="00476794">
              <w:rPr>
                <w:rFonts w:eastAsia="Times New Roman"/>
                <w:bCs/>
                <w:lang w:eastAsia="en-US"/>
              </w:rPr>
              <w:t xml:space="preserve">” (turpmāk – </w:t>
            </w:r>
            <w:r w:rsidR="00D3436F" w:rsidRPr="00476794">
              <w:rPr>
                <w:rFonts w:eastAsia="Times New Roman"/>
                <w:bCs/>
                <w:lang w:eastAsia="en-US"/>
              </w:rPr>
              <w:t>Pirmā atlases kārta)</w:t>
            </w:r>
            <w:r w:rsidR="001133AB" w:rsidRPr="00476794">
              <w:rPr>
                <w:rFonts w:eastAsia="Times New Roman"/>
                <w:bCs/>
                <w:lang w:eastAsia="en-US"/>
              </w:rPr>
              <w:t>;</w:t>
            </w:r>
            <w:r w:rsidR="00D3436F" w:rsidRPr="00476794">
              <w:rPr>
                <w:rFonts w:eastAsia="Times New Roman"/>
                <w:bCs/>
                <w:lang w:eastAsia="en-US"/>
              </w:rPr>
              <w:t xml:space="preserve"> </w:t>
            </w:r>
          </w:p>
          <w:p w:rsidR="00D07ED6" w:rsidRPr="00476794" w:rsidRDefault="00D3436F" w:rsidP="00295DB8">
            <w:pPr>
              <w:numPr>
                <w:ilvl w:val="0"/>
                <w:numId w:val="1"/>
              </w:numPr>
              <w:spacing w:after="120"/>
              <w:ind w:left="459" w:hanging="425"/>
              <w:jc w:val="both"/>
              <w:rPr>
                <w:rFonts w:eastAsia="Times New Roman"/>
                <w:bCs/>
                <w:lang w:eastAsia="en-US"/>
              </w:rPr>
            </w:pPr>
            <w:r w:rsidRPr="00476794">
              <w:rPr>
                <w:rFonts w:eastAsia="Times New Roman"/>
                <w:bCs/>
                <w:lang w:eastAsia="en-US"/>
              </w:rPr>
              <w:lastRenderedPageBreak/>
              <w:t xml:space="preserve">Otrā atlases kārta </w:t>
            </w:r>
            <w:r w:rsidR="00D07ED6" w:rsidRPr="00476794">
              <w:rPr>
                <w:rFonts w:eastAsia="Times New Roman"/>
                <w:bCs/>
                <w:lang w:eastAsia="en-US"/>
              </w:rPr>
              <w:t>„</w:t>
            </w:r>
            <w:r w:rsidR="00161A23" w:rsidRPr="00476794">
              <w:t xml:space="preserve">Ieguldījumi degradēto teritoriju </w:t>
            </w:r>
            <w:proofErr w:type="spellStart"/>
            <w:r w:rsidR="00161A23" w:rsidRPr="00476794">
              <w:t>revitalizācijā</w:t>
            </w:r>
            <w:proofErr w:type="spellEnd"/>
            <w:r w:rsidR="00161A23" w:rsidRPr="00476794">
              <w:t xml:space="preserve"> reģionālas nozīmes attīstības centr</w:t>
            </w:r>
            <w:r w:rsidR="005B3E05" w:rsidRPr="00476794">
              <w:t>u pašvaldībās</w:t>
            </w:r>
            <w:r w:rsidR="00D07ED6" w:rsidRPr="00476794">
              <w:t xml:space="preserve">” </w:t>
            </w:r>
            <w:r w:rsidR="00D07ED6" w:rsidRPr="00476794">
              <w:rPr>
                <w:rFonts w:eastAsia="Times New Roman"/>
                <w:bCs/>
                <w:lang w:eastAsia="en-US"/>
              </w:rPr>
              <w:t xml:space="preserve">(turpmāk – </w:t>
            </w:r>
            <w:r w:rsidRPr="00476794">
              <w:rPr>
                <w:rFonts w:eastAsia="Times New Roman"/>
                <w:bCs/>
                <w:lang w:eastAsia="en-US"/>
              </w:rPr>
              <w:t>Otrā atlases kārta</w:t>
            </w:r>
            <w:r w:rsidR="00D07ED6" w:rsidRPr="00476794">
              <w:rPr>
                <w:rFonts w:eastAsia="Times New Roman"/>
                <w:bCs/>
                <w:lang w:eastAsia="en-US"/>
              </w:rPr>
              <w:t>)</w:t>
            </w:r>
            <w:r w:rsidR="00D07ED6" w:rsidRPr="00476794">
              <w:t>;</w:t>
            </w:r>
          </w:p>
          <w:p w:rsidR="00D07ED6" w:rsidRPr="00476794" w:rsidRDefault="00D3436F" w:rsidP="00295DB8">
            <w:pPr>
              <w:numPr>
                <w:ilvl w:val="0"/>
                <w:numId w:val="1"/>
              </w:numPr>
              <w:spacing w:after="120"/>
              <w:ind w:left="459" w:hanging="425"/>
              <w:jc w:val="both"/>
              <w:rPr>
                <w:rFonts w:eastAsia="Times New Roman"/>
                <w:bCs/>
                <w:lang w:eastAsia="en-US"/>
              </w:rPr>
            </w:pPr>
            <w:r w:rsidRPr="00476794">
              <w:t xml:space="preserve">Trešā atlases kārta </w:t>
            </w:r>
            <w:r w:rsidR="00D07ED6" w:rsidRPr="00476794">
              <w:t>„</w:t>
            </w:r>
            <w:r w:rsidR="00161A23" w:rsidRPr="00476794">
              <w:t xml:space="preserve">Ieguldījumi degradēto teritoriju </w:t>
            </w:r>
            <w:proofErr w:type="spellStart"/>
            <w:r w:rsidR="00161A23" w:rsidRPr="00476794">
              <w:t>revitalizācijā</w:t>
            </w:r>
            <w:proofErr w:type="spellEnd"/>
            <w:r w:rsidR="00161A23" w:rsidRPr="00476794">
              <w:t xml:space="preserve"> Latgales plānošanas reģiona </w:t>
            </w:r>
            <w:r w:rsidR="007F75B3" w:rsidRPr="00476794">
              <w:t xml:space="preserve">attīstības </w:t>
            </w:r>
            <w:r w:rsidR="00386907" w:rsidRPr="00476794">
              <w:t>programmas pielikumā noteikto teritoriju</w:t>
            </w:r>
            <w:r w:rsidR="00161A23" w:rsidRPr="00476794">
              <w:t xml:space="preserve"> pašvaldībā</w:t>
            </w:r>
            <w:r w:rsidR="00386907" w:rsidRPr="00476794">
              <w:t>s</w:t>
            </w:r>
            <w:r w:rsidR="00D07ED6" w:rsidRPr="00476794">
              <w:t xml:space="preserve">” </w:t>
            </w:r>
            <w:r w:rsidR="00D07ED6" w:rsidRPr="00476794">
              <w:rPr>
                <w:rFonts w:eastAsia="Times New Roman"/>
                <w:bCs/>
                <w:lang w:eastAsia="en-US"/>
              </w:rPr>
              <w:t xml:space="preserve">(turpmāk – </w:t>
            </w:r>
            <w:r w:rsidRPr="00476794">
              <w:t>Trešā atlases kārta</w:t>
            </w:r>
            <w:r w:rsidR="00D07ED6" w:rsidRPr="00476794">
              <w:rPr>
                <w:rFonts w:eastAsia="Times New Roman"/>
                <w:bCs/>
                <w:lang w:eastAsia="en-US"/>
              </w:rPr>
              <w:t>)</w:t>
            </w:r>
            <w:r w:rsidR="00D07ED6" w:rsidRPr="00476794">
              <w:t>.</w:t>
            </w:r>
          </w:p>
          <w:p w:rsidR="00B40D29" w:rsidRPr="00476794" w:rsidRDefault="00D3436F" w:rsidP="00B40D29">
            <w:pPr>
              <w:spacing w:before="120"/>
              <w:jc w:val="both"/>
              <w:rPr>
                <w:u w:val="single"/>
              </w:rPr>
            </w:pPr>
            <w:r w:rsidRPr="00476794">
              <w:rPr>
                <w:u w:val="single"/>
              </w:rPr>
              <w:t>Sadarbības partneri</w:t>
            </w:r>
          </w:p>
          <w:p w:rsidR="006F0031" w:rsidRPr="00476794" w:rsidRDefault="009D0175" w:rsidP="009D0175">
            <w:pPr>
              <w:spacing w:after="120"/>
              <w:jc w:val="both"/>
            </w:pPr>
            <w:r w:rsidRPr="00476794">
              <w:t xml:space="preserve">MK noteikumu projekts paredz iespēju projekta īstenošanā iesaistīt sadarbības partnerus, pusēm slēdzot rakstveida sadarbības līgumu par pušu pienākumiem, tiesībām un atbildību projekta mērķa un </w:t>
            </w:r>
            <w:r w:rsidR="005C7B4D" w:rsidRPr="00476794">
              <w:t xml:space="preserve">iznākuma </w:t>
            </w:r>
            <w:r w:rsidRPr="00476794">
              <w:t xml:space="preserve">rādītāju sasniegšanai. </w:t>
            </w:r>
            <w:r w:rsidR="006F0031" w:rsidRPr="00476794">
              <w:t>Viena projekta ietvaros projekta iesniedzējs var piesaistīt vairākus sadarbības partnerus.</w:t>
            </w:r>
          </w:p>
          <w:p w:rsidR="009D0175" w:rsidRPr="00476794" w:rsidRDefault="009D0175" w:rsidP="009D0175">
            <w:pPr>
              <w:spacing w:after="120"/>
              <w:jc w:val="both"/>
            </w:pPr>
            <w:r w:rsidRPr="00476794">
              <w:t>Sadarbības partneri projektā var būt gan pašvaldības</w:t>
            </w:r>
            <w:r w:rsidR="006F0031" w:rsidRPr="00476794">
              <w:t xml:space="preserve">, </w:t>
            </w:r>
            <w:r w:rsidR="005C7B4D" w:rsidRPr="00476794">
              <w:t xml:space="preserve">gan </w:t>
            </w:r>
            <w:r w:rsidR="003056B1" w:rsidRPr="00476794">
              <w:t>pašvaldīb</w:t>
            </w:r>
            <w:r w:rsidR="00455289" w:rsidRPr="00476794">
              <w:t>u</w:t>
            </w:r>
            <w:r w:rsidR="003056B1" w:rsidRPr="00476794">
              <w:t xml:space="preserve"> </w:t>
            </w:r>
            <w:r w:rsidR="006F0031" w:rsidRPr="00476794">
              <w:t xml:space="preserve">izveidotas iestādes, </w:t>
            </w:r>
            <w:r w:rsidR="00697E36" w:rsidRPr="00476794">
              <w:t>gan pašvaldīb</w:t>
            </w:r>
            <w:r w:rsidR="00455289" w:rsidRPr="00476794">
              <w:t>u</w:t>
            </w:r>
            <w:r w:rsidR="00697E36" w:rsidRPr="00476794">
              <w:t xml:space="preserve"> kapitālsabiedrība</w:t>
            </w:r>
            <w:r w:rsidR="00455289" w:rsidRPr="00476794">
              <w:t>s</w:t>
            </w:r>
            <w:r w:rsidR="00697E36" w:rsidRPr="00476794">
              <w:t xml:space="preserve">, kas veic pašvaldības deleģēto pārvaldes uzdevumu izpildi, gan </w:t>
            </w:r>
            <w:r w:rsidR="00040201" w:rsidRPr="00476794">
              <w:t xml:space="preserve">komersanti kā </w:t>
            </w:r>
            <w:r w:rsidR="00697E36" w:rsidRPr="00476794">
              <w:t xml:space="preserve">sabiedrisko (ūdenssaimniecības un (vai) siltumapgādes) pakalpojumu sniedzēji, </w:t>
            </w:r>
            <w:r w:rsidRPr="00476794">
              <w:t>gan komersanti</w:t>
            </w:r>
            <w:r w:rsidR="00667D1D" w:rsidRPr="00476794">
              <w:t xml:space="preserve">, kas ir </w:t>
            </w:r>
            <w:r w:rsidR="00817C98" w:rsidRPr="00476794">
              <w:t>mazie</w:t>
            </w:r>
            <w:r w:rsidR="005C7B4D" w:rsidRPr="00476794">
              <w:t xml:space="preserve"> (sīkie)</w:t>
            </w:r>
            <w:r w:rsidR="00817C98" w:rsidRPr="00476794">
              <w:t xml:space="preserve"> un vidējie </w:t>
            </w:r>
            <w:r w:rsidR="005C7B4D" w:rsidRPr="00476794">
              <w:t>komersanti bez valst</w:t>
            </w:r>
            <w:r w:rsidR="00CC37B4" w:rsidRPr="00476794">
              <w:t>s vai pašvaldību kapitāla daļas.</w:t>
            </w:r>
            <w:r w:rsidR="005C7B4D" w:rsidRPr="00476794">
              <w:t xml:space="preserve"> MK noteikumu projekta izpratnē komersants</w:t>
            </w:r>
            <w:r w:rsidR="00455289" w:rsidRPr="00476794">
              <w:t xml:space="preserve"> kā sadarbības partneris, izņemot sabiedrisko pakalpojumu sniedzēju,</w:t>
            </w:r>
            <w:r w:rsidR="005C7B4D" w:rsidRPr="00476794">
              <w:t xml:space="preserve"> ir mazais (sīkais) un vidējais komersants bez valsts vai pašvaldību kapitāla daļas, individuālais komersants, kā arī zemnieku un zvejnieku saimniecība (turpmāk – privātais komersants). Projekta sadarbības partneriem, neatkarīgi no to juridiskās formas, attiecīgajai izmaksu pozīcijai projektā ir jānodrošina sadarbības partnera līdzfinansējuma daļa</w:t>
            </w:r>
            <w:r w:rsidRPr="00476794">
              <w:t xml:space="preserve">. </w:t>
            </w:r>
          </w:p>
          <w:p w:rsidR="00C12F7E" w:rsidRPr="00476794" w:rsidRDefault="00C12F7E" w:rsidP="00D3436F">
            <w:pPr>
              <w:spacing w:after="120"/>
              <w:jc w:val="both"/>
            </w:pPr>
            <w:r w:rsidRPr="00476794">
              <w:t>MK noteikumu projekts paredz izņēmumu attiecībā uz Pirmās atlases kārtas projektiem</w:t>
            </w:r>
            <w:r w:rsidR="00040201" w:rsidRPr="00476794">
              <w:t xml:space="preserve"> un trešās atlases kārtas nacionālas nozīmes attīstības centru pašvaldībām, to iestādēm un nacionālas nozīmes attīstības centru pašvaldību kapitālsabiedrīb</w:t>
            </w:r>
            <w:r w:rsidR="00A57790" w:rsidRPr="00476794">
              <w:t>ām, kas veic pašvaldības deleģēto pārvaldes uzdevumu izpildi</w:t>
            </w:r>
            <w:r w:rsidRPr="00476794">
              <w:t xml:space="preserve">, nosakot ierobežojumu, ka </w:t>
            </w:r>
            <w:r w:rsidR="00040201" w:rsidRPr="00476794">
              <w:t>minēto atlases kārtu ietvaros nacionālas nozīmes attīstības centru pašvaldībām, to iestādēm un nacionālas nozīmes attīstības centru pašvaldību kapitālsabiedrīb</w:t>
            </w:r>
            <w:r w:rsidR="00A57790" w:rsidRPr="00476794">
              <w:t>ām, kas veic pašvaldības deleģēto pārvaldes uzdevumu izpildi,</w:t>
            </w:r>
            <w:r w:rsidR="00040201" w:rsidRPr="00476794">
              <w:t xml:space="preserve"> </w:t>
            </w:r>
            <w:r w:rsidRPr="00476794">
              <w:t>sadarbības partneris nevar būt tāds privātais komersants (piemēram, zvejnieku un zemnieku saimniecības vai mazie (sīkie) un vidējie komersanti), kas nodarbojas ar primāro lauksaimniecisko ražošanu, zvejas un akvakultūras produktu ražošanu, vai zvejas un akvakultūras produktu apstrādi.</w:t>
            </w:r>
          </w:p>
          <w:p w:rsidR="00D3436F" w:rsidRPr="00476794" w:rsidRDefault="006F0031" w:rsidP="00D3436F">
            <w:pPr>
              <w:spacing w:after="120"/>
              <w:jc w:val="both"/>
            </w:pPr>
            <w:r w:rsidRPr="00476794">
              <w:t>Pašvaldību s</w:t>
            </w:r>
            <w:r w:rsidR="00D3436F" w:rsidRPr="00476794">
              <w:t xml:space="preserve">adarbības projekti paredzēti galvenokārt </w:t>
            </w:r>
            <w:r w:rsidR="00D3436F" w:rsidRPr="00476794">
              <w:rPr>
                <w:u w:val="single"/>
              </w:rPr>
              <w:t>Trešās atlases kārtas</w:t>
            </w:r>
            <w:r w:rsidR="00D3436F" w:rsidRPr="00476794">
              <w:t xml:space="preserve"> ietvaros</w:t>
            </w:r>
            <w:r w:rsidR="00A3640A" w:rsidRPr="00476794">
              <w:t xml:space="preserve"> (skat. anotācijas sadaļu „SAM ieviešanas mehānisms”)</w:t>
            </w:r>
            <w:r w:rsidR="00D3436F" w:rsidRPr="00476794">
              <w:t xml:space="preserve">. </w:t>
            </w:r>
          </w:p>
          <w:p w:rsidR="00B40D29" w:rsidRPr="00476794" w:rsidRDefault="00B40D29" w:rsidP="00B40D29">
            <w:pPr>
              <w:spacing w:before="120"/>
              <w:jc w:val="both"/>
              <w:rPr>
                <w:u w:val="single"/>
              </w:rPr>
            </w:pPr>
            <w:r w:rsidRPr="00476794">
              <w:rPr>
                <w:u w:val="single"/>
              </w:rPr>
              <w:t xml:space="preserve">Sadarbība </w:t>
            </w:r>
            <w:r w:rsidR="006C36E9" w:rsidRPr="00476794">
              <w:rPr>
                <w:u w:val="single"/>
              </w:rPr>
              <w:t xml:space="preserve">ar </w:t>
            </w:r>
            <w:r w:rsidR="005C7B4D" w:rsidRPr="00476794">
              <w:rPr>
                <w:u w:val="single"/>
              </w:rPr>
              <w:t xml:space="preserve">privāto </w:t>
            </w:r>
            <w:r w:rsidR="006C36E9" w:rsidRPr="00476794">
              <w:rPr>
                <w:u w:val="single"/>
              </w:rPr>
              <w:t>komersantu projekta ietvaros</w:t>
            </w:r>
          </w:p>
          <w:p w:rsidR="007A5850" w:rsidRPr="00476794" w:rsidRDefault="007A5850" w:rsidP="002B7502">
            <w:pPr>
              <w:spacing w:after="120"/>
              <w:jc w:val="both"/>
              <w:outlineLvl w:val="0"/>
            </w:pPr>
            <w:r w:rsidRPr="00476794">
              <w:lastRenderedPageBreak/>
              <w:t>Ņemot vērā darbības programmā noteikto, ka SAM sniedz papildinošu atbalstu privātajiem komersantiem, investējot infrastruktūrā atbilstoši pašvaldību integrētajās attīstības programmās noteiktajam, kur ir privātā sektora pieprasījums un kas paredz privātā sektora investīcijas, kas ir tieši vērstas uz ekonomiskās aktivitātes veicināšanu un liecina par privāto investoru gatavību veikt ieguldījumus, lai nodrošinātu SAM mērķa ietvaros plānoto rādītāju sasniegšanu</w:t>
            </w:r>
            <w:r w:rsidR="00BA14E9" w:rsidRPr="00476794">
              <w:t>,</w:t>
            </w:r>
            <w:r w:rsidR="002B7502" w:rsidRPr="00476794">
              <w:t xml:space="preserve"> </w:t>
            </w:r>
            <w:r w:rsidRPr="00476794">
              <w:t xml:space="preserve">MK noteikumu projekts paredz, ka projekta iesniedzējs sadarbību ar privāto komersantu apliecina, projekta iesniegumam pievienojot starp projekta iesniedzēju un privāto komersantu noslēgtu sadarbības līgumu vai </w:t>
            </w:r>
            <w:r w:rsidR="009716C8" w:rsidRPr="00476794">
              <w:t xml:space="preserve">attiecīgā </w:t>
            </w:r>
            <w:r w:rsidRPr="00476794">
              <w:t xml:space="preserve">komersanta rakstisku apliecinājumu par interesi, kurā iekļauta informācija vismaz par to, ka </w:t>
            </w:r>
            <w:r w:rsidR="009716C8" w:rsidRPr="00476794">
              <w:t>tā</w:t>
            </w:r>
            <w:r w:rsidRPr="00476794">
              <w:t xml:space="preserve"> attīstībai ir nepieciešama infrastruktūra, kuru plānots attīstīt projekta ietvaros un, kurā iekļautā informācija liecina par </w:t>
            </w:r>
            <w:r w:rsidR="00EB6461" w:rsidRPr="00476794">
              <w:t xml:space="preserve">attiecīgā </w:t>
            </w:r>
            <w:r w:rsidRPr="00476794">
              <w:t>komersanta apņemšanos nodrošināt viena vai vairāku projektā plānoto iznākuma rādītāju sasniegšanu.</w:t>
            </w:r>
          </w:p>
          <w:p w:rsidR="007A5850" w:rsidRPr="00476794" w:rsidRDefault="007A5850" w:rsidP="002B7502">
            <w:pPr>
              <w:spacing w:after="120"/>
              <w:jc w:val="both"/>
              <w:outlineLvl w:val="0"/>
            </w:pPr>
            <w:r w:rsidRPr="00476794">
              <w:t>Privāto komersantu kā sadarbības partneri projektā var paredzēt jebkurā gadījumā, kad sadarbības partneris plāno ieguldīt publiskajā īpašumā</w:t>
            </w:r>
            <w:r w:rsidR="00C12F7E" w:rsidRPr="00476794">
              <w:t>, kas tiks izmantots privātā komersanta interesēs</w:t>
            </w:r>
            <w:r w:rsidRPr="00476794">
              <w:t>. Piemēram, ja projektā paredzēta gāzes vai elektroenerģijas infrastruktūras būvniecība vai pārbūve (līdz elektroenerģijas un gāzes skaitītājam privātā komersanta īpašumā), palielinot jaudu, konkrētam, iepriekš zināmam privātajam komersantam ražošanas vai pakalpojumu jaudas palielināšanai. Sadarbības līgumu ar privāto komersantu var slēgt arī tajos gadījumos, kad projektā plānoti ieguldījumi projekta iesniedzēja – publiskas personas - īpašumā esošajā infrastruktūrā</w:t>
            </w:r>
            <w:r w:rsidR="002B7502" w:rsidRPr="00476794">
              <w:t xml:space="preserve">, kas tiks izmantota </w:t>
            </w:r>
            <w:r w:rsidR="0030161F" w:rsidRPr="00476794">
              <w:t xml:space="preserve">privātā </w:t>
            </w:r>
            <w:r w:rsidR="002B7502" w:rsidRPr="00476794">
              <w:t>komersanta interesēs</w:t>
            </w:r>
            <w:r w:rsidRPr="00476794">
              <w:t xml:space="preserve">. </w:t>
            </w:r>
          </w:p>
          <w:p w:rsidR="007A5850" w:rsidRPr="00476794" w:rsidRDefault="007A5850" w:rsidP="002B7502">
            <w:pPr>
              <w:spacing w:after="120"/>
              <w:jc w:val="both"/>
            </w:pPr>
            <w:r w:rsidRPr="00476794">
              <w:t>Privātā komersanta apņemšanās sasniegt iznākuma rādītājus ir nepieciešama visos gadījumos, kad ar privāto komersantu</w:t>
            </w:r>
            <w:r w:rsidR="00741280" w:rsidRPr="00476794">
              <w:t xml:space="preserve"> ir noslēgts sadarbības līgums, kā arī visos gadījumos</w:t>
            </w:r>
            <w:r w:rsidR="00C77BD5" w:rsidRPr="00476794">
              <w:t>, kad</w:t>
            </w:r>
            <w:r w:rsidRPr="00476794">
              <w:t xml:space="preserve"> sadarbības līgums</w:t>
            </w:r>
            <w:r w:rsidR="00741280" w:rsidRPr="00476794">
              <w:t xml:space="preserve"> nav noslēgts</w:t>
            </w:r>
            <w:r w:rsidRPr="00476794">
              <w:t>, bet privātais komersants</w:t>
            </w:r>
            <w:r w:rsidR="002B7502" w:rsidRPr="00476794">
              <w:t xml:space="preserve"> </w:t>
            </w:r>
            <w:r w:rsidRPr="00476794">
              <w:t>ir projekta ietvaros plānotās publiskās infrastruktūras lietotājs vai potenciālais izsoles dalībnieks.</w:t>
            </w:r>
          </w:p>
          <w:p w:rsidR="00C77BD5" w:rsidRPr="00476794" w:rsidRDefault="00C77BD5" w:rsidP="002B7502">
            <w:pPr>
              <w:spacing w:after="120"/>
              <w:jc w:val="both"/>
            </w:pPr>
            <w:r w:rsidRPr="00476794">
              <w:t xml:space="preserve">Vienlaikus jānorāda, ka apliecinājums par interesi </w:t>
            </w:r>
            <w:r w:rsidR="00C12F7E" w:rsidRPr="00476794">
              <w:t xml:space="preserve">privātajam </w:t>
            </w:r>
            <w:r w:rsidRPr="00476794">
              <w:t>komersantam nedod nekādas priekšrocības, pretendējot izsolē uz infrastruktūras īri.</w:t>
            </w:r>
          </w:p>
          <w:p w:rsidR="00B40D29" w:rsidRPr="00476794" w:rsidRDefault="00B40D29" w:rsidP="006C36E9">
            <w:pPr>
              <w:jc w:val="both"/>
              <w:rPr>
                <w:u w:val="single"/>
              </w:rPr>
            </w:pPr>
            <w:r w:rsidRPr="00476794">
              <w:rPr>
                <w:u w:val="single"/>
              </w:rPr>
              <w:t>S</w:t>
            </w:r>
            <w:r w:rsidR="00610740" w:rsidRPr="00476794">
              <w:rPr>
                <w:u w:val="single"/>
              </w:rPr>
              <w:t>AM iznākuma</w:t>
            </w:r>
            <w:r w:rsidR="00816351" w:rsidRPr="00476794">
              <w:rPr>
                <w:u w:val="single"/>
              </w:rPr>
              <w:t>,</w:t>
            </w:r>
            <w:r w:rsidR="00610740" w:rsidRPr="00476794">
              <w:rPr>
                <w:u w:val="single"/>
              </w:rPr>
              <w:t xml:space="preserve"> finanšu </w:t>
            </w:r>
            <w:r w:rsidR="00816351" w:rsidRPr="00476794">
              <w:rPr>
                <w:u w:val="single"/>
              </w:rPr>
              <w:t xml:space="preserve">un rezultāta </w:t>
            </w:r>
            <w:r w:rsidR="00610740" w:rsidRPr="00476794">
              <w:rPr>
                <w:u w:val="single"/>
              </w:rPr>
              <w:t>rādītāji</w:t>
            </w:r>
          </w:p>
          <w:p w:rsidR="00610740" w:rsidRPr="00476794" w:rsidRDefault="00610740" w:rsidP="00610740">
            <w:pPr>
              <w:spacing w:after="120"/>
              <w:jc w:val="both"/>
            </w:pPr>
            <w:r w:rsidRPr="00476794">
              <w:t xml:space="preserve">MK noteikumu projekts nosaka SAM ietvaros plānotos projekta līmeņa iznākuma </w:t>
            </w:r>
            <w:r w:rsidR="002E0DAE" w:rsidRPr="00476794">
              <w:t xml:space="preserve">un SAM līmeņa rezultāta </w:t>
            </w:r>
            <w:r w:rsidRPr="00476794">
              <w:t xml:space="preserve">rādītājus, kas sasniedzami līdz 2023.gada 31.decembrim, vienlaikus nosakot arī </w:t>
            </w:r>
            <w:r w:rsidR="00442708" w:rsidRPr="00476794">
              <w:t>finanšu</w:t>
            </w:r>
            <w:r w:rsidRPr="00476794">
              <w:t xml:space="preserve"> rādītāja starpposma vērtību, kas sasniedzama līdz 2018.gada 31.decembrim.</w:t>
            </w:r>
          </w:p>
          <w:p w:rsidR="002E0DAE" w:rsidRPr="00476794" w:rsidRDefault="002E0DAE" w:rsidP="002E0DAE">
            <w:pPr>
              <w:spacing w:after="120"/>
              <w:jc w:val="both"/>
            </w:pPr>
            <w:r w:rsidRPr="00476794">
              <w:t xml:space="preserve">Iznākuma rādītāju (tajā skaitā atjaunoto degradēto teritoriju platība, jaunizveidoto darbavietu skaits komersantos </w:t>
            </w:r>
            <w:r w:rsidRPr="00476794">
              <w:lastRenderedPageBreak/>
              <w:t>atbalstītajās teritorijās un komersantu, kuri atrodas atbalstītajā teritorijā</w:t>
            </w:r>
            <w:r w:rsidR="00040201" w:rsidRPr="00476794">
              <w:t>,</w:t>
            </w:r>
            <w:r w:rsidRPr="00476794">
              <w:t xml:space="preserve"> nefinanšu investīcijas) starpposma vērtības uz 2018.gadu netiek plānotas, jo tās nav paredzētas darbības programmā noteiktajā prioritārā virziena snieguma ietvarā. Vienlaikus tiks veikta iznākuma rādītāju uzraudzība atbilstoši Reģionālās attīstības koordinācijas padomē apstiprinātajās pašvaldību attīstības programmās un projektu ideju konceptos plānotajiem sasniedzamajiem iznākuma rādītājiem. Plānošanas perioda gaitā Finanšu ministrija tiks informēta par iznākuma rādītāju sasniegšanu. </w:t>
            </w:r>
          </w:p>
          <w:p w:rsidR="00610740" w:rsidRPr="00476794" w:rsidRDefault="00610740" w:rsidP="006C36E9">
            <w:pPr>
              <w:tabs>
                <w:tab w:val="left" w:pos="993"/>
              </w:tabs>
              <w:spacing w:after="120"/>
              <w:jc w:val="both"/>
              <w:outlineLvl w:val="0"/>
            </w:pPr>
            <w:r w:rsidRPr="00476794">
              <w:t>Lai nodrošinātu darbības programmā noteiktā SAM rezultāta rādītāja</w:t>
            </w:r>
            <w:r w:rsidRPr="00476794">
              <w:rPr>
                <w:rStyle w:val="FootnoteReference"/>
              </w:rPr>
              <w:footnoteReference w:id="5"/>
            </w:r>
            <w:r w:rsidRPr="00476794">
              <w:t xml:space="preserve"> sasniegšanu un efektīvu SAM ietvaros pieejamā finansējuma ieguldīšanu, stimulējot pašvaldības izvēlēties tādu degradēto teritoriju attīstību, kuras dotu maksimālu ekonomisko atdevi un ieguldījumu nodarbinātības veicināšanā pašvaldībā, papildu darbības programmā noteiktajam iznākuma rādītājam</w:t>
            </w:r>
            <w:r w:rsidRPr="00476794">
              <w:rPr>
                <w:rStyle w:val="FootnoteReference"/>
              </w:rPr>
              <w:footnoteReference w:id="6"/>
            </w:r>
            <w:r w:rsidRPr="00476794">
              <w:t xml:space="preserve"> par degradēto teritoriju platību, </w:t>
            </w:r>
            <w:r w:rsidR="00E261AD" w:rsidRPr="00476794">
              <w:t xml:space="preserve">kā arī novērtētu SAM investīciju ietekmi uz rezultāta rādītāju sasniegšanu, </w:t>
            </w:r>
            <w:r w:rsidRPr="00476794">
              <w:t xml:space="preserve">MK noteikumu projekts paredz noteikt šādus nacionāla līmeņa iznākuma rādītājus: </w:t>
            </w:r>
          </w:p>
          <w:p w:rsidR="00610740" w:rsidRPr="00476794" w:rsidRDefault="00FF24F4" w:rsidP="006C36E9">
            <w:pPr>
              <w:numPr>
                <w:ilvl w:val="2"/>
                <w:numId w:val="2"/>
              </w:numPr>
              <w:tabs>
                <w:tab w:val="left" w:pos="743"/>
              </w:tabs>
              <w:spacing w:after="120"/>
              <w:ind w:left="743" w:hanging="426"/>
              <w:jc w:val="both"/>
              <w:outlineLvl w:val="0"/>
            </w:pPr>
            <w:r w:rsidRPr="00476794">
              <w:t>komersantu, kuri atrodas atbalstītajā teritorijā, nefinanšu investīcijas pašu nemateriālajos ieguldījumos un</w:t>
            </w:r>
            <w:r w:rsidR="00610740" w:rsidRPr="00476794">
              <w:t xml:space="preserve"> pamatlīdzekļos;</w:t>
            </w:r>
          </w:p>
          <w:p w:rsidR="00610740" w:rsidRPr="00476794" w:rsidRDefault="00FF24F4" w:rsidP="006C36E9">
            <w:pPr>
              <w:numPr>
                <w:ilvl w:val="2"/>
                <w:numId w:val="2"/>
              </w:numPr>
              <w:tabs>
                <w:tab w:val="left" w:pos="743"/>
              </w:tabs>
              <w:spacing w:after="120"/>
              <w:ind w:left="743" w:hanging="426"/>
              <w:jc w:val="both"/>
              <w:outlineLvl w:val="0"/>
            </w:pPr>
            <w:r w:rsidRPr="00476794">
              <w:t>jaunizveidoto darbavietu skaits atbalstītajās teritorijās</w:t>
            </w:r>
            <w:r w:rsidR="00610740" w:rsidRPr="00476794">
              <w:t>.</w:t>
            </w:r>
          </w:p>
          <w:p w:rsidR="00081026" w:rsidRPr="00476794" w:rsidRDefault="00081026" w:rsidP="00081026">
            <w:pPr>
              <w:spacing w:after="120"/>
              <w:jc w:val="both"/>
              <w:rPr>
                <w:rStyle w:val="cspklasifikatorscodename"/>
              </w:rPr>
            </w:pPr>
            <w:r w:rsidRPr="00476794">
              <w:rPr>
                <w:rStyle w:val="cspklasifikatorscodename"/>
              </w:rPr>
              <w:t xml:space="preserve">SAM ietekmes novērtējums tiks veikts vismaz reizi gadā, VARAM aprēķinot un nosakot darbības programmā plānotā rezultāta rādītāja (strādājošo skaits (privātā sektorā) </w:t>
            </w:r>
            <w:r w:rsidR="00C05CCA" w:rsidRPr="00476794">
              <w:rPr>
                <w:rStyle w:val="cspklasifikatorscodename"/>
              </w:rPr>
              <w:t>komersantos</w:t>
            </w:r>
            <w:r w:rsidRPr="00476794">
              <w:rPr>
                <w:rStyle w:val="cspklasifikatorscodename"/>
              </w:rPr>
              <w:t>) aktuālo vērtību, balstoties uz Centrālās statistikas pārvaldes datiem</w:t>
            </w:r>
            <w:r w:rsidR="00E261AD" w:rsidRPr="00476794">
              <w:rPr>
                <w:rStyle w:val="cspklasifikatorscodename"/>
              </w:rPr>
              <w:t xml:space="preserve"> un identificējot </w:t>
            </w:r>
            <w:r w:rsidR="00E261AD" w:rsidRPr="00476794">
              <w:t>SAM investīciju ietekmi uz rezultāta rādītāju sasniegšanu</w:t>
            </w:r>
            <w:r w:rsidRPr="00476794">
              <w:rPr>
                <w:rStyle w:val="cspklasifikatorscodename"/>
              </w:rPr>
              <w:t xml:space="preserve">. </w:t>
            </w:r>
          </w:p>
          <w:p w:rsidR="00515DF1" w:rsidRPr="00476794" w:rsidRDefault="00515DF1" w:rsidP="006C36E9">
            <w:pPr>
              <w:spacing w:after="120"/>
              <w:jc w:val="both"/>
            </w:pPr>
            <w:r w:rsidRPr="00476794">
              <w:t xml:space="preserve">MK noteikumu projekts paredz trīs galvenos nosacījumus, pēc kuriem nacionālā līmeņa iznākuma rādītāju vērtības ir uzskatāmas par atbilstošām. Izstrādājot minēto normu, ir ņemts vērā iespējamais risks, ka projekta īstenošanas laikā tiek veiktas izmaiņas komersanta darbībā, kas varētu negatīvi ietekmēt projekta sasniedzamos rezultātus, vai tiek radīti jauni uzņēmumi, kas gūst labumu no projekta ietvaros veiktajām investīcijām infrastruktūrā. Tādejādi tiek pieļauts, ka projekta īstenošanas rezultātā radīto </w:t>
            </w:r>
            <w:r w:rsidR="00442708" w:rsidRPr="00476794">
              <w:t xml:space="preserve">iznākuma </w:t>
            </w:r>
            <w:r w:rsidRPr="00476794">
              <w:t>rādītāju vērtībā tiek ieskaitītas tādas vērtības, kas ir saistītas ar komersantiem</w:t>
            </w:r>
            <w:r w:rsidR="008B0BFB" w:rsidRPr="00476794">
              <w:t>,</w:t>
            </w:r>
            <w:r w:rsidR="00442708" w:rsidRPr="00476794">
              <w:t xml:space="preserve"> </w:t>
            </w:r>
            <w:r w:rsidRPr="00476794">
              <w:t>kas</w:t>
            </w:r>
            <w:r w:rsidR="008B0BFB" w:rsidRPr="00476794">
              <w:t xml:space="preserve"> atrodas atbalstītajā teritorijā, kurā </w:t>
            </w:r>
            <w:r w:rsidRPr="00476794">
              <w:t xml:space="preserve">projekta </w:t>
            </w:r>
            <w:r w:rsidR="009B20AD" w:rsidRPr="00476794">
              <w:t xml:space="preserve">ietvaros </w:t>
            </w:r>
            <w:r w:rsidR="008B0BFB" w:rsidRPr="00476794">
              <w:t xml:space="preserve">veiktas investīcijas </w:t>
            </w:r>
            <w:r w:rsidR="009B20AD" w:rsidRPr="00476794">
              <w:t>publisk</w:t>
            </w:r>
            <w:r w:rsidRPr="00476794">
              <w:t>ajā infrastruktūrā</w:t>
            </w:r>
            <w:r w:rsidR="009B20AD" w:rsidRPr="00476794">
              <w:t xml:space="preserve"> un</w:t>
            </w:r>
            <w:r w:rsidR="0048546D" w:rsidRPr="00476794">
              <w:t xml:space="preserve"> kas saistītas ar investīcijām</w:t>
            </w:r>
            <w:r w:rsidR="009B20AD" w:rsidRPr="00476794">
              <w:t xml:space="preserve"> inženierkomunikāciju atzaros līdz pašvaldības īpašumam vai </w:t>
            </w:r>
            <w:r w:rsidR="009B20AD" w:rsidRPr="00476794">
              <w:lastRenderedPageBreak/>
              <w:t xml:space="preserve">līdz </w:t>
            </w:r>
            <w:r w:rsidR="00C05CCA" w:rsidRPr="00476794">
              <w:t xml:space="preserve">elektroenerģijas un gāzes skaitītājam </w:t>
            </w:r>
            <w:r w:rsidR="00442708" w:rsidRPr="00476794">
              <w:t xml:space="preserve">privātā </w:t>
            </w:r>
            <w:r w:rsidR="009B20AD" w:rsidRPr="00476794">
              <w:t xml:space="preserve">komersanta </w:t>
            </w:r>
            <w:r w:rsidR="00C05CCA" w:rsidRPr="00476794">
              <w:t>īpašumā</w:t>
            </w:r>
            <w:r w:rsidRPr="00476794">
              <w:t>. Papildus jāņem vērā, ja komersanta</w:t>
            </w:r>
            <w:r w:rsidR="0057390A" w:rsidRPr="00476794">
              <w:t xml:space="preserve"> (tajā skaitā privātā komersanta)</w:t>
            </w:r>
            <w:r w:rsidRPr="00476794">
              <w:t xml:space="preserve"> statuss mainās projekta īstenošanas posmā, tas ir uzskatāms par dabisku komersanta attīstības posmu, ko veicinājušas projekta investīcijas, un šī komersanta sasniegtos rādītājus ieskaita projekta sasniedzamajos </w:t>
            </w:r>
            <w:r w:rsidR="00442708" w:rsidRPr="00476794">
              <w:t xml:space="preserve">iznākuma </w:t>
            </w:r>
            <w:r w:rsidRPr="00476794">
              <w:t>rādītājos.</w:t>
            </w:r>
          </w:p>
          <w:p w:rsidR="00EB0A16" w:rsidRPr="00476794" w:rsidRDefault="008F639A" w:rsidP="00EB0A16">
            <w:pPr>
              <w:spacing w:after="120"/>
              <w:jc w:val="both"/>
            </w:pPr>
            <w:r w:rsidRPr="00476794">
              <w:t>MK noteikumu projektā ir noteikts ierobežojums atsevišķām tautsaimniecības nozarēm, lai tādejādi veicinātu projektu investīciju novirzīšanu projektiem, kur labuma guvējs ir komersants, kurš ražo un rada pievienoto vērtību</w:t>
            </w:r>
            <w:r w:rsidR="00EB0A16" w:rsidRPr="00476794">
              <w:t xml:space="preserve">. Būtiski, ka atbalstāmā nozare tiek noteikta komersanta pamatdarbībā projekta īstenošanas vietā, piemēram, ja projekta teritorijā atrodas mazumtirdzniecības uzņēmums, kas ražo konditorijas izstrādājumus, bet tā pamatdarbība joprojām ir mazumtirdzniecība, tad šāda uzņēmuma rādītāji netiek ieskaitīti projekta </w:t>
            </w:r>
            <w:r w:rsidR="001355E2" w:rsidRPr="00476794">
              <w:t xml:space="preserve">iznākuma </w:t>
            </w:r>
            <w:r w:rsidR="00EB0A16" w:rsidRPr="00476794">
              <w:t xml:space="preserve">rādītāju sasniedzamajās vērtībās. </w:t>
            </w:r>
          </w:p>
          <w:p w:rsidR="00515DF1" w:rsidRPr="00476794" w:rsidRDefault="00515DF1" w:rsidP="001355E2">
            <w:pPr>
              <w:spacing w:after="120"/>
              <w:jc w:val="both"/>
            </w:pPr>
            <w:r w:rsidRPr="00476794">
              <w:t xml:space="preserve">Trešais nosacījums rādītāju vērtību attiecināmībai ir laika periods, kad tās radušās (ne agrāk kā </w:t>
            </w:r>
            <w:r w:rsidR="001355E2" w:rsidRPr="00476794">
              <w:t>vien</w:t>
            </w:r>
            <w:r w:rsidR="00E32F20" w:rsidRPr="00476794">
              <w:t>u</w:t>
            </w:r>
            <w:r w:rsidR="001355E2" w:rsidRPr="00476794">
              <w:t xml:space="preserve"> </w:t>
            </w:r>
            <w:r w:rsidR="0025082A" w:rsidRPr="00476794">
              <w:t xml:space="preserve">kalendāra </w:t>
            </w:r>
            <w:r w:rsidR="001355E2" w:rsidRPr="00476794">
              <w:t>gad</w:t>
            </w:r>
            <w:r w:rsidR="00E32F20" w:rsidRPr="00476794">
              <w:t>u</w:t>
            </w:r>
            <w:r w:rsidRPr="00476794">
              <w:t xml:space="preserve"> pirms projekta iesniegšanas</w:t>
            </w:r>
            <w:r w:rsidR="00E261AD" w:rsidRPr="00476794">
              <w:t>, kas atbilst pašvaldību attīstības programmu izstrādes laikā pieņemtajiem lēmumiem par plānotajiem projektiem un to rezultātiem,</w:t>
            </w:r>
            <w:r w:rsidRPr="00476794">
              <w:t xml:space="preserve"> un ne vēlāk kā </w:t>
            </w:r>
            <w:r w:rsidR="001355E2" w:rsidRPr="00476794">
              <w:t>trešajā kalendāra gadā</w:t>
            </w:r>
            <w:r w:rsidRPr="00476794">
              <w:t xml:space="preserve"> pēc projekta</w:t>
            </w:r>
            <w:r w:rsidR="00D74529" w:rsidRPr="00476794">
              <w:t xml:space="preserve"> </w:t>
            </w:r>
            <w:r w:rsidR="00D74529" w:rsidRPr="00476794">
              <w:rPr>
                <w:rStyle w:val="cspklasifikatorscodename"/>
              </w:rPr>
              <w:t>noslēguma maksājuma veikšanas</w:t>
            </w:r>
            <w:r w:rsidR="001355E2" w:rsidRPr="00476794">
              <w:t>, nepārsniedzot 2023.gada 31.decembri</w:t>
            </w:r>
            <w:r w:rsidRPr="00476794">
              <w:t xml:space="preserve">). Valsts ieņēmumu dienesta sniegtā informācija par komersanta vidējo darbavietu skaitu gada ietvaros un </w:t>
            </w:r>
            <w:r w:rsidR="001355E2" w:rsidRPr="00476794">
              <w:t>komersanta</w:t>
            </w:r>
            <w:r w:rsidRPr="00476794">
              <w:t xml:space="preserve"> bilances informācija par nefinanšu investīcijām tiks atzīta par ticamu datu avotu. Ja </w:t>
            </w:r>
            <w:r w:rsidR="00E32F20" w:rsidRPr="00476794">
              <w:t xml:space="preserve">iznākuma </w:t>
            </w:r>
            <w:r w:rsidR="001355E2" w:rsidRPr="00476794">
              <w:t>rādītāji noteiktajā</w:t>
            </w:r>
            <w:r w:rsidRPr="00476794">
              <w:t xml:space="preserve"> laikā pēc projekta pabeigšanas netiek sasniegti,</w:t>
            </w:r>
            <w:r w:rsidR="00E261AD" w:rsidRPr="00476794">
              <w:t xml:space="preserve"> piemēro atmaksājam</w:t>
            </w:r>
            <w:r w:rsidR="00D74529" w:rsidRPr="00476794">
              <w:t>ā</w:t>
            </w:r>
            <w:r w:rsidR="00E261AD" w:rsidRPr="00476794">
              <w:t>s palīdzības mehānismu, t.i.,</w:t>
            </w:r>
            <w:r w:rsidRPr="00476794">
              <w:t xml:space="preserve"> </w:t>
            </w:r>
            <w:r w:rsidR="00E261AD" w:rsidRPr="00476794">
              <w:t xml:space="preserve">projekta iesniedzējs atmaksā </w:t>
            </w:r>
            <w:r w:rsidR="001355E2" w:rsidRPr="00476794">
              <w:t xml:space="preserve">Centrālajai finanšu un līgumu aģentūrai kā </w:t>
            </w:r>
            <w:r w:rsidR="00E261AD" w:rsidRPr="00476794">
              <w:t xml:space="preserve">sadarbības iestādei </w:t>
            </w:r>
            <w:r w:rsidR="001355E2" w:rsidRPr="00476794">
              <w:t xml:space="preserve">(turpmāk – sadarbības iestāde) </w:t>
            </w:r>
            <w:r w:rsidR="00256E03" w:rsidRPr="00476794">
              <w:t xml:space="preserve">ERAF </w:t>
            </w:r>
            <w:r w:rsidR="00A7195B" w:rsidRPr="00476794">
              <w:t xml:space="preserve">un </w:t>
            </w:r>
            <w:proofErr w:type="spellStart"/>
            <w:r w:rsidR="00A7195B" w:rsidRPr="00476794">
              <w:t>virssaistību</w:t>
            </w:r>
            <w:proofErr w:type="spellEnd"/>
            <w:r w:rsidR="00A7195B" w:rsidRPr="00476794">
              <w:t xml:space="preserve"> finansējumu proporcionāli tā </w:t>
            </w:r>
            <w:r w:rsidR="00040201" w:rsidRPr="00476794">
              <w:t xml:space="preserve">iznākuma </w:t>
            </w:r>
            <w:r w:rsidR="00A7195B" w:rsidRPr="00476794">
              <w:t>rādītāja vērtībai, kuras izpilde proporcionāli ir vismazākā. MK noteikumu projektā ir paredzēta atmaksājamās palīdzības atmaksas kārtība, kas paredz, ka lēmumu par atmaksājamā finansējuma apmēru sadarbības iestāde pieņem sešu mēnešu laikā pēc apstiprinātajā projekta iesniegumā noteiktā iznākuma rādītāju sasniegšanas termiņa beigām. Ja finansējumu nav iespējams atmaksāt divpadsmit mēnešu laikā, iesaistītās puses var vienoties par atmaksājamā finansējuma atmaksas grafiku, kas kopumā nepārsniedz divdesmit četrus mēnešus. Jautājums par atmaksājamā finansējuma atmaksu, ja netiek sasniegti projekta iznākuma rādītāji, ir neatraujami saistīts ar projekta īstenošanu un ir uzskatāms par projekta īstenošanas procesa sastāvdaļu, līdz ar to uzskatāms, ka šajā gadījumā pilnībā tiks ievērots likuma „Par valsts budžetu 2015.gadam” 14.panta astotās daļas 2.punktā paredzētais.</w:t>
            </w:r>
          </w:p>
          <w:p w:rsidR="009B20AD" w:rsidRPr="00476794" w:rsidRDefault="009B20AD" w:rsidP="009B20AD">
            <w:pPr>
              <w:spacing w:after="120"/>
              <w:jc w:val="both"/>
            </w:pPr>
            <w:r w:rsidRPr="00476794">
              <w:lastRenderedPageBreak/>
              <w:t xml:space="preserve">Ņemot vērā, ka SAM ietvaros atbalsts tiek sniegts degradēto teritoriju atjaunošanai, tajā skaitā komercdarbībai nozīmīgas publiskās infrastruktūras un inženierkomunikāciju </w:t>
            </w:r>
            <w:r w:rsidR="00EA1975" w:rsidRPr="00476794">
              <w:t xml:space="preserve">(pašvaldības, sabiedrisko pakalpojumu sniedzēja vai sadales sistēmas operatora, piemēram, AS „Sadales tīkli”, AS „Latvijas gāze” īpašumā kā atzars līdz </w:t>
            </w:r>
            <w:r w:rsidR="00C12F7E" w:rsidRPr="00476794">
              <w:t xml:space="preserve">privātā </w:t>
            </w:r>
            <w:r w:rsidR="00EA1975" w:rsidRPr="00476794">
              <w:t xml:space="preserve">komersanta īpašumam) </w:t>
            </w:r>
            <w:r w:rsidRPr="00476794">
              <w:t>attīstīšanai, nevis darbavietu izveidei vai ieguldījumiem</w:t>
            </w:r>
            <w:r w:rsidR="00E10FBD" w:rsidRPr="00476794">
              <w:t xml:space="preserve"> privātā </w:t>
            </w:r>
            <w:r w:rsidRPr="00476794">
              <w:t xml:space="preserve">komersanta pamatlīdzekļos, MK noteikumu projektā noteikts, ka iznākuma rādītāju sasniegšana tiek fiksēta vienreiz, pēc tam, kad finansējuma saņēmējs par to informē sadarbības iestādi, un </w:t>
            </w:r>
            <w:r w:rsidRPr="00476794">
              <w:rPr>
                <w:rStyle w:val="cspklasifikatorscodename"/>
              </w:rPr>
              <w:t xml:space="preserve">sadarbības iestāde turpmāko </w:t>
            </w:r>
            <w:r w:rsidR="00E10FBD" w:rsidRPr="00476794">
              <w:rPr>
                <w:rStyle w:val="cspklasifikatorscodename"/>
              </w:rPr>
              <w:t xml:space="preserve">iznākuma </w:t>
            </w:r>
            <w:r w:rsidRPr="00476794">
              <w:rPr>
                <w:rStyle w:val="cspklasifikatorscodename"/>
              </w:rPr>
              <w:t>rādītāja izpildes kontroli neveic. Sadarbības iestāde uzrauga projekta ietvaros veikto fizisko ieguldījumu ilgtspēju, t.i., pārliecinās, ka finansējuma saņēmējs veic projekta ietvaros attīstītās infrastruktūras uzturēšanu un ī</w:t>
            </w:r>
            <w:r w:rsidRPr="00476794">
              <w:t>pašuma vai turējuma tiesības attiecībā uz atbalstītajiem infrastruktūras objektiem nemaina vismaz piecus gadus pēc projekta īstenošanas</w:t>
            </w:r>
            <w:r w:rsidR="00683296" w:rsidRPr="00476794">
              <w:t>, izņemot gadījumus, kad pašvaldība ātrāk izpērk nomāto īpašumu no privātpersonas</w:t>
            </w:r>
            <w:r w:rsidRPr="00476794">
              <w:t>.</w:t>
            </w:r>
          </w:p>
          <w:p w:rsidR="00515DF1" w:rsidRPr="00476794" w:rsidRDefault="00515DF1" w:rsidP="00B40D29">
            <w:pPr>
              <w:spacing w:after="120"/>
              <w:jc w:val="both"/>
            </w:pPr>
            <w:r w:rsidRPr="00476794">
              <w:t xml:space="preserve">MK noteikumu projekts paredz, ka </w:t>
            </w:r>
            <w:r w:rsidR="00AD4E42" w:rsidRPr="00476794">
              <w:t xml:space="preserve">nacionāla līmeņa </w:t>
            </w:r>
            <w:r w:rsidRPr="00476794">
              <w:t>iznā</w:t>
            </w:r>
            <w:r w:rsidR="00AD4E42" w:rsidRPr="00476794">
              <w:t>kuma rādītāja</w:t>
            </w:r>
            <w:r w:rsidRPr="00476794">
              <w:t xml:space="preserve"> sasniegšanai piešķirtā finansējuma ietvaros vienas jaunas privātā sektora darbavietas radīšanai </w:t>
            </w:r>
            <w:r w:rsidR="009B20AD" w:rsidRPr="00476794">
              <w:t xml:space="preserve">degradēto teritoriju </w:t>
            </w:r>
            <w:r w:rsidRPr="00476794">
              <w:t xml:space="preserve">infrastruktūrā iegulda </w:t>
            </w:r>
            <w:r w:rsidR="00201CB6" w:rsidRPr="00476794">
              <w:t xml:space="preserve">vidēji </w:t>
            </w:r>
            <w:r w:rsidRPr="00476794">
              <w:t>ne vairāk kā</w:t>
            </w:r>
            <w:proofErr w:type="gramStart"/>
            <w:r w:rsidRPr="00476794">
              <w:t xml:space="preserve"> </w:t>
            </w:r>
            <w:r w:rsidR="00201CB6" w:rsidRPr="00476794">
              <w:t xml:space="preserve"> </w:t>
            </w:r>
            <w:proofErr w:type="gramEnd"/>
            <w:r w:rsidR="00201CB6" w:rsidRPr="00476794">
              <w:t xml:space="preserve">60 </w:t>
            </w:r>
            <w:r w:rsidR="00834A15" w:rsidRPr="00476794">
              <w:t xml:space="preserve">966 </w:t>
            </w:r>
            <w:proofErr w:type="spellStart"/>
            <w:r w:rsidRPr="00476794">
              <w:rPr>
                <w:i/>
              </w:rPr>
              <w:t>euro</w:t>
            </w:r>
            <w:proofErr w:type="spellEnd"/>
            <w:r w:rsidRPr="00476794">
              <w:t xml:space="preserve"> ERAF finansējuma</w:t>
            </w:r>
            <w:r w:rsidR="00201CB6" w:rsidRPr="00476794">
              <w:t xml:space="preserve"> (</w:t>
            </w:r>
            <w:r w:rsidR="00834A15" w:rsidRPr="00476794">
              <w:t xml:space="preserve">264 </w:t>
            </w:r>
            <w:r w:rsidR="007D0358" w:rsidRPr="00476794">
              <w:t>623 652</w:t>
            </w:r>
            <w:r w:rsidR="00201CB6" w:rsidRPr="00476794">
              <w:t xml:space="preserve"> : </w:t>
            </w:r>
            <w:r w:rsidR="00834A15" w:rsidRPr="00476794">
              <w:t xml:space="preserve">4 </w:t>
            </w:r>
            <w:r w:rsidR="007D0358" w:rsidRPr="00476794">
              <w:t>34</w:t>
            </w:r>
            <w:r w:rsidR="00720768">
              <w:t>1</w:t>
            </w:r>
            <w:r w:rsidR="007D0358" w:rsidRPr="00476794">
              <w:t xml:space="preserve"> </w:t>
            </w:r>
            <w:r w:rsidR="00201CB6" w:rsidRPr="00476794">
              <w:t>= 60 </w:t>
            </w:r>
            <w:r w:rsidR="00720768">
              <w:t>959</w:t>
            </w:r>
            <w:r w:rsidR="007D0358" w:rsidRPr="00476794">
              <w:t xml:space="preserve"> </w:t>
            </w:r>
            <w:proofErr w:type="spellStart"/>
            <w:r w:rsidR="007B0916" w:rsidRPr="00476794">
              <w:rPr>
                <w:i/>
              </w:rPr>
              <w:t>euro</w:t>
            </w:r>
            <w:proofErr w:type="spellEnd"/>
            <w:r w:rsidR="00201CB6" w:rsidRPr="00476794">
              <w:t>/</w:t>
            </w:r>
            <w:r w:rsidR="007A5371" w:rsidRPr="00476794">
              <w:t xml:space="preserve">jaunradītā </w:t>
            </w:r>
            <w:r w:rsidR="00201CB6" w:rsidRPr="00476794">
              <w:t>darbav</w:t>
            </w:r>
            <w:r w:rsidR="007A5371" w:rsidRPr="00476794">
              <w:t>ieta</w:t>
            </w:r>
            <w:r w:rsidR="00201CB6" w:rsidRPr="00476794">
              <w:t>)</w:t>
            </w:r>
            <w:r w:rsidRPr="00476794">
              <w:t>. Atbilstoši SAM rādītāju pasei</w:t>
            </w:r>
            <w:r w:rsidR="00031E6C" w:rsidRPr="00476794">
              <w:rPr>
                <w:rStyle w:val="FootnoteReference"/>
              </w:rPr>
              <w:footnoteReference w:id="7"/>
            </w:r>
            <w:r w:rsidRPr="00476794">
              <w:t xml:space="preserve"> rezultāta mērķa vērtība ir noteikta balstoties uz Ekonomikas ministrijas 2012.gada informatīvo ziņojumu par darba tirgus vidēja termiņa un ilgtermiņa prognozēm</w:t>
            </w:r>
            <w:r w:rsidR="00972377" w:rsidRPr="00476794">
              <w:rPr>
                <w:rStyle w:val="FootnoteReference"/>
              </w:rPr>
              <w:footnoteReference w:id="8"/>
            </w:r>
            <w:r w:rsidRPr="00476794">
              <w:t>, ekstrapolējot nodarbināto iedzīvotāju skaita vājas izaugsmes scenārija prognozi uz 2023.gadu</w:t>
            </w:r>
            <w:r w:rsidR="00201CB6" w:rsidRPr="00476794">
              <w:t>,</w:t>
            </w:r>
            <w:r w:rsidRPr="00476794">
              <w:t xml:space="preserve"> </w:t>
            </w:r>
            <w:r w:rsidR="00201CB6" w:rsidRPr="00476794">
              <w:t>ņ</w:t>
            </w:r>
            <w:r w:rsidRPr="00476794">
              <w:t>emot vērā Finanšu ministrijas Makroekonomisko pieņēmumu un prognožu skaitliskās vērtības (publicētas 2013.gada 2.jūlijā)</w:t>
            </w:r>
            <w:r w:rsidR="00201CB6" w:rsidRPr="00476794">
              <w:t xml:space="preserve"> un</w:t>
            </w:r>
            <w:r w:rsidRPr="00476794">
              <w:t xml:space="preserve"> diskontējot darba vietas izmaksas. Lai radītu labvēlīgākus apstākļus projektu iesniedzējiem, kuri projektu īstenošanai plāno piesaistīt lielāku pašu finansējumu, nekā minimāli noteiktais, vidējās darba vietas izmaksas tiek piemērotas tikai ERAF daļai</w:t>
            </w:r>
            <w:r w:rsidR="00AD4E42" w:rsidRPr="00476794">
              <w:t>.</w:t>
            </w:r>
          </w:p>
          <w:p w:rsidR="00AD4E42" w:rsidRPr="00476794" w:rsidRDefault="00AD4E42" w:rsidP="00AD4E42">
            <w:pPr>
              <w:spacing w:after="120"/>
              <w:jc w:val="both"/>
            </w:pPr>
            <w:r w:rsidRPr="00476794">
              <w:t xml:space="preserve">Lai </w:t>
            </w:r>
            <w:r w:rsidR="00E10FBD" w:rsidRPr="00476794">
              <w:t xml:space="preserve">neizraisītu </w:t>
            </w:r>
            <w:r w:rsidRPr="00476794">
              <w:t xml:space="preserve">situāciju, ka </w:t>
            </w:r>
            <w:r w:rsidRPr="00476794">
              <w:rPr>
                <w:rFonts w:eastAsia="Times New Roman"/>
                <w:szCs w:val="22"/>
                <w:lang w:eastAsia="en-US"/>
              </w:rPr>
              <w:t>ekonomiskā aktivitāte un privāto investīciju piesaiste reģionos</w:t>
            </w:r>
            <w:r w:rsidRPr="00476794">
              <w:t xml:space="preserve"> </w:t>
            </w:r>
            <w:r w:rsidR="00E10FBD" w:rsidRPr="00476794">
              <w:t>ne</w:t>
            </w:r>
            <w:r w:rsidRPr="00476794">
              <w:t xml:space="preserve">rada </w:t>
            </w:r>
            <w:r w:rsidR="00E10FBD" w:rsidRPr="00476794">
              <w:t xml:space="preserve">pozitīvu </w:t>
            </w:r>
            <w:r w:rsidRPr="00476794">
              <w:t>nodarbinātības tendenci, MK noteikumu projekts paredz, ka viena projekta ietvaros tiek radītas vismaz divas jaunas darbavietas.</w:t>
            </w:r>
          </w:p>
          <w:p w:rsidR="00FE0DEF" w:rsidRPr="00476794" w:rsidRDefault="00FE0DEF" w:rsidP="00AD4E42">
            <w:pPr>
              <w:spacing w:after="120"/>
              <w:jc w:val="both"/>
            </w:pPr>
            <w:r w:rsidRPr="00476794">
              <w:t>Ņemot vērā, ka projektu orientācija uz sasniedzamajiem iznākuma rādītājiem var būt atšķirīga (vienā projektā var būt lielāks uzsvars uz nefinanšu investīcijā</w:t>
            </w:r>
            <w:r w:rsidR="00A54FAF" w:rsidRPr="00476794">
              <w:t>m</w:t>
            </w:r>
            <w:r w:rsidRPr="00476794">
              <w:t xml:space="preserve">, citā projektā – uz </w:t>
            </w:r>
            <w:r w:rsidRPr="00476794">
              <w:lastRenderedPageBreak/>
              <w:t xml:space="preserve">jaunizveidotām darbavietām), kā arī to, ka objektīvu apstākļu dēļ ne visos projektos vienlaikus būs iespējams uz vienu </w:t>
            </w:r>
            <w:proofErr w:type="spellStart"/>
            <w:r w:rsidR="007B0916" w:rsidRPr="00476794">
              <w:rPr>
                <w:i/>
              </w:rPr>
              <w:t>euro</w:t>
            </w:r>
            <w:proofErr w:type="spellEnd"/>
            <w:r w:rsidRPr="00476794">
              <w:t xml:space="preserve"> ERAF finansējuma piesaistīt vienu </w:t>
            </w:r>
            <w:proofErr w:type="spellStart"/>
            <w:r w:rsidR="007B0916" w:rsidRPr="00476794">
              <w:rPr>
                <w:i/>
              </w:rPr>
              <w:t>euro</w:t>
            </w:r>
            <w:proofErr w:type="spellEnd"/>
            <w:r w:rsidRPr="00476794">
              <w:t xml:space="preserve"> privātās nefinanšu investīcijas un radīt jaunas darbavietas</w:t>
            </w:r>
            <w:r w:rsidR="00A54FAF" w:rsidRPr="00476794">
              <w:t>, par kurām vidējais ieguldījums nepārsniedz 60 </w:t>
            </w:r>
            <w:r w:rsidR="003915ED" w:rsidRPr="00476794">
              <w:t>9</w:t>
            </w:r>
            <w:r w:rsidR="00720768">
              <w:t>59</w:t>
            </w:r>
            <w:r w:rsidR="003915ED" w:rsidRPr="00476794">
              <w:t xml:space="preserve"> </w:t>
            </w:r>
            <w:proofErr w:type="spellStart"/>
            <w:r w:rsidR="007B0916" w:rsidRPr="00476794">
              <w:rPr>
                <w:i/>
              </w:rPr>
              <w:t>euro</w:t>
            </w:r>
            <w:proofErr w:type="spellEnd"/>
            <w:r w:rsidR="00A54FAF" w:rsidRPr="00476794">
              <w:t xml:space="preserve"> ERAF finansējuma, tiek pieļauts elastības mehānisms iznākuma rādītāju sasniegšanā, kur atsevišķos projektos iznākuma rādītāju ekvivalentu naudas izteiksmē, piemēram, ja projekta ERAF finansējums ir viens miljons </w:t>
            </w:r>
            <w:proofErr w:type="spellStart"/>
            <w:r w:rsidR="007B0916" w:rsidRPr="00476794">
              <w:rPr>
                <w:i/>
              </w:rPr>
              <w:t>e</w:t>
            </w:r>
            <w:r w:rsidR="007A5371" w:rsidRPr="00476794">
              <w:rPr>
                <w:i/>
              </w:rPr>
              <w:t>u</w:t>
            </w:r>
            <w:r w:rsidR="007B0916" w:rsidRPr="00476794">
              <w:rPr>
                <w:i/>
              </w:rPr>
              <w:t>ro</w:t>
            </w:r>
            <w:proofErr w:type="spellEnd"/>
            <w:r w:rsidR="00A54FAF" w:rsidRPr="00476794">
              <w:t xml:space="preserve">, ir jāsasniedz vismaz viena </w:t>
            </w:r>
            <w:r w:rsidR="007A5371" w:rsidRPr="00476794">
              <w:t xml:space="preserve">miljona </w:t>
            </w:r>
            <w:proofErr w:type="spellStart"/>
            <w:r w:rsidR="007B0916" w:rsidRPr="00476794">
              <w:rPr>
                <w:i/>
              </w:rPr>
              <w:t>euro</w:t>
            </w:r>
            <w:proofErr w:type="spellEnd"/>
            <w:r w:rsidR="007A5371" w:rsidRPr="00476794">
              <w:t xml:space="preserve"> </w:t>
            </w:r>
            <w:r w:rsidR="00A54FAF" w:rsidRPr="00476794">
              <w:t>apmērā</w:t>
            </w:r>
            <w:r w:rsidR="00B11155" w:rsidRPr="00476794">
              <w:t xml:space="preserve">, summējot nefinanšu investīcijas un jaunas darbavietas ekvivalentu, paredzot, ka uz vienu jaunu darbavietu neiegulda vairāk kā 41 000 </w:t>
            </w:r>
            <w:proofErr w:type="spellStart"/>
            <w:r w:rsidR="007B0916" w:rsidRPr="00476794">
              <w:rPr>
                <w:i/>
              </w:rPr>
              <w:t>euro</w:t>
            </w:r>
            <w:proofErr w:type="spellEnd"/>
            <w:r w:rsidR="00B11155" w:rsidRPr="00476794">
              <w:t xml:space="preserve"> ERAF finansējuma</w:t>
            </w:r>
            <w:r w:rsidR="00A54FAF" w:rsidRPr="00476794">
              <w:t xml:space="preserve"> (normālā gadījumā iznākuma rādītāju ekvivalentam uz vienu miljonu </w:t>
            </w:r>
            <w:proofErr w:type="spellStart"/>
            <w:r w:rsidR="007B0916" w:rsidRPr="00476794">
              <w:rPr>
                <w:i/>
              </w:rPr>
              <w:t>euro</w:t>
            </w:r>
            <w:proofErr w:type="spellEnd"/>
            <w:r w:rsidR="00A54FAF" w:rsidRPr="00476794">
              <w:t xml:space="preserve"> ERAF finansējuma jābūt divu miljonu </w:t>
            </w:r>
            <w:proofErr w:type="spellStart"/>
            <w:r w:rsidR="007B0916" w:rsidRPr="00476794">
              <w:rPr>
                <w:i/>
              </w:rPr>
              <w:t>euro</w:t>
            </w:r>
            <w:proofErr w:type="spellEnd"/>
            <w:r w:rsidR="00A54FAF" w:rsidRPr="00476794">
              <w:t xml:space="preserve"> apmērā). Tomēr, ja šādu elastības mehānismu atsevišķos projektos izmanto, tad tas nozīmē, ka </w:t>
            </w:r>
            <w:r w:rsidR="00AD4342" w:rsidRPr="00476794">
              <w:t xml:space="preserve">citos </w:t>
            </w:r>
            <w:r w:rsidR="006229D6" w:rsidRPr="00476794">
              <w:t xml:space="preserve">attiecīgās </w:t>
            </w:r>
            <w:r w:rsidR="00AD4342" w:rsidRPr="00476794">
              <w:t xml:space="preserve">pašvaldības attīstības programmā plānotajos </w:t>
            </w:r>
            <w:r w:rsidR="00A54FAF" w:rsidRPr="00476794">
              <w:t>5.6.2.SAM projektos ir jāparedz lielāka iznākuma rādītāju sasniegšanas efektivitāte, lai kopumā tiktu izpildītas darbības programmā norādītās iznākuma rādītāju vērtības, kuru ek</w:t>
            </w:r>
            <w:r w:rsidR="00B11155" w:rsidRPr="00476794">
              <w:t>vivalentā vērtība naudas izteiksmē attiecībā pret ERAF finansējumu ir 2:1.</w:t>
            </w:r>
          </w:p>
          <w:p w:rsidR="00AD4E42" w:rsidRPr="00476794" w:rsidRDefault="00F91136" w:rsidP="00AD4E42">
            <w:pPr>
              <w:spacing w:after="120"/>
              <w:jc w:val="both"/>
            </w:pPr>
            <w:r w:rsidRPr="00476794">
              <w:t xml:space="preserve">Izmantojot kombinēšanas principu, ir pieļaujams, ka, ja pašvaldības (projekta iesniedzēja) attīstības programmas investīciju plānā ir iekļauti vairāki projekti, kurus plānots īstenot vienas atlases kārtas ietvaros, tad projekta iesniedzējs projektā vienas jaunas darbavietas radīšanai var paredzēt izmaksas </w:t>
            </w:r>
            <w:r w:rsidR="00AA45F0" w:rsidRPr="00476794">
              <w:t xml:space="preserve">pat </w:t>
            </w:r>
            <w:r w:rsidRPr="00476794">
              <w:t xml:space="preserve">līdz 60 000 </w:t>
            </w:r>
            <w:proofErr w:type="spellStart"/>
            <w:r w:rsidRPr="00476794">
              <w:rPr>
                <w:i/>
              </w:rPr>
              <w:t>euro</w:t>
            </w:r>
            <w:proofErr w:type="spellEnd"/>
            <w:r w:rsidRPr="00476794">
              <w:t xml:space="preserve"> ERAF finansējuma, nodrošinot, ka kopumā vienas atlases kārtas projektos vienas jaunas darba vietas radīšanai izmaksas</w:t>
            </w:r>
            <w:r w:rsidR="00AA45F0" w:rsidRPr="00476794">
              <w:t xml:space="preserve"> projektos, kuros izmantot</w:t>
            </w:r>
            <w:r w:rsidR="00040201" w:rsidRPr="00476794">
              <w:t>s</w:t>
            </w:r>
            <w:r w:rsidR="00AA45F0" w:rsidRPr="00476794">
              <w:t xml:space="preserve"> elastības mehānisms,</w:t>
            </w:r>
            <w:r w:rsidRPr="00476794">
              <w:t xml:space="preserve"> nav lielākas par 41 000 </w:t>
            </w:r>
            <w:proofErr w:type="spellStart"/>
            <w:r w:rsidRPr="00476794">
              <w:rPr>
                <w:i/>
              </w:rPr>
              <w:t>euro</w:t>
            </w:r>
            <w:proofErr w:type="spellEnd"/>
            <w:r w:rsidRPr="00476794">
              <w:t xml:space="preserve"> ERAF finansējuma</w:t>
            </w:r>
            <w:r w:rsidR="00AA45F0" w:rsidRPr="00476794">
              <w:t xml:space="preserve"> (kopumā</w:t>
            </w:r>
            <w:r w:rsidR="00C15D25" w:rsidRPr="00476794">
              <w:t xml:space="preserve"> paliek spēkā, ka</w:t>
            </w:r>
            <w:r w:rsidR="00AA45F0" w:rsidRPr="00476794">
              <w:t xml:space="preserve"> visos vienas pašvaldības </w:t>
            </w:r>
            <w:r w:rsidR="006229D6" w:rsidRPr="00476794">
              <w:t xml:space="preserve">attīstības programmā plānotajos 5.6.2.SAM </w:t>
            </w:r>
            <w:r w:rsidR="00AA45F0" w:rsidRPr="00476794">
              <w:t>projektos, kuros elastības mehānisms tiek gan izmantots, gan arī netiek izmantots, vienlaikus projektā</w:t>
            </w:r>
            <w:r w:rsidR="00C15D25" w:rsidRPr="00476794">
              <w:t xml:space="preserve"> vidēji</w:t>
            </w:r>
            <w:r w:rsidR="00AA45F0" w:rsidRPr="00476794">
              <w:t xml:space="preserve"> ir jāpiesaista gan privātās nefinanšu investīcijas 1:1 attiecībā pret ERAF finansējumu, gan arī vidēji uz vienu jaunu darbavietu </w:t>
            </w:r>
            <w:r w:rsidR="00C15D25" w:rsidRPr="00476794">
              <w:t>jāiegulda ne vairāk kā 60 </w:t>
            </w:r>
            <w:r w:rsidR="003915ED" w:rsidRPr="00476794">
              <w:t>9</w:t>
            </w:r>
            <w:r w:rsidR="00720768">
              <w:t>59</w:t>
            </w:r>
            <w:r w:rsidR="003915ED" w:rsidRPr="00476794">
              <w:t xml:space="preserve"> </w:t>
            </w:r>
            <w:proofErr w:type="spellStart"/>
            <w:r w:rsidR="007B0916" w:rsidRPr="00476794">
              <w:rPr>
                <w:i/>
              </w:rPr>
              <w:t>euro</w:t>
            </w:r>
            <w:proofErr w:type="spellEnd"/>
            <w:r w:rsidR="00C15D25" w:rsidRPr="00476794">
              <w:t xml:space="preserve"> ERAF finansējuma)</w:t>
            </w:r>
            <w:r w:rsidRPr="00476794">
              <w:t>.</w:t>
            </w:r>
            <w:r w:rsidR="00834A15" w:rsidRPr="00476794">
              <w:t xml:space="preserve"> Lai nodrošinātu SAM kopējo iznākuma rādītāju vērtību sasniegšanu, Reģionālās attīstības koordinācijas padomē tiks apstiprinātas tikai tādas attīstības programmas, kurās individuālo projektu ideju rādītāju vērtības summā nodrošinās nepieciešamo jaunradīto darbavietu skaitu un privāto investīc</w:t>
            </w:r>
            <w:r w:rsidR="00780309" w:rsidRPr="00476794">
              <w:t xml:space="preserve">iju apjomu, vienlaikus vērtējot, lai </w:t>
            </w:r>
            <w:r w:rsidR="00834A15" w:rsidRPr="00476794">
              <w:t>netiek noteikts nepamatoti liels rādītāju apjoms pret salīdzinoši mazu finansējuma apjomu kā pēdējais projekts, ja pašvaldība plāno īstenot vairākus projektus. Minētais princips tiks piemērots arī vērtējot pašvaldību ierosinātos grozījumus pašvaldības attīstības programmas investīciju plānā turpmākajos SAM ieviešanas gados</w:t>
            </w:r>
            <w:r w:rsidR="00040201" w:rsidRPr="00476794">
              <w:t>.</w:t>
            </w:r>
            <w:r w:rsidR="00780309" w:rsidRPr="00476794">
              <w:t xml:space="preserve"> </w:t>
            </w:r>
            <w:r w:rsidR="00780309" w:rsidRPr="00476794">
              <w:rPr>
                <w:bCs/>
              </w:rPr>
              <w:t xml:space="preserve">Tāpat </w:t>
            </w:r>
            <w:r w:rsidR="00780309" w:rsidRPr="00476794">
              <w:rPr>
                <w:bCs/>
              </w:rPr>
              <w:lastRenderedPageBreak/>
              <w:t>saskaņojot  pašvaldību attīstības programmas,  tiks ņemts vērā katrai atlases kārtai (pašvaldību grupai) noteiktais rādītāju apjoms.</w:t>
            </w:r>
          </w:p>
          <w:p w:rsidR="00834A15" w:rsidRPr="00476794" w:rsidRDefault="00040201" w:rsidP="00834A15">
            <w:pPr>
              <w:spacing w:after="120"/>
              <w:jc w:val="both"/>
            </w:pPr>
            <w:r w:rsidRPr="00476794">
              <w:rPr>
                <w:kern w:val="24"/>
              </w:rPr>
              <w:t xml:space="preserve">Eiropas Savienības struktūrfondu un Kohēzijas fonda </w:t>
            </w:r>
            <w:r w:rsidRPr="00476794">
              <w:t>2014.–2020.gada plānošanas perioda Uzraudzības komitej</w:t>
            </w:r>
            <w:r w:rsidR="00EB703F" w:rsidRPr="00476794">
              <w:t>as 2015.gada 30.aprīļa sēdē</w:t>
            </w:r>
            <w:r w:rsidRPr="00476794">
              <w:t xml:space="preserve"> </w:t>
            </w:r>
            <w:r w:rsidR="00834A15" w:rsidRPr="00476794">
              <w:t>apstiprinātie projektu iesniegumu vērtēšanas kritēriji nosaka, ka  sadarbības iestāde (kā arī pilsētu komisijas pirmās atlases kārtas ietvaros) var apstiprināt tikai tādus projektus, kuri ir  pamatoti Reģionālās attīstības koordinācijas padomē saskaņotajā pašvaldības attīstības programmā un atspoguļoti investīciju plānā. Savukārt Reģionālās attīstības koordinācijas padomes nolikums nosaka, ka investīciju plānā tiek atspoguļots gan projekta iznākuma rādītāju, gan finansējuma apjoms, kas tiks norādīts  Reģionālās attīstības koordinācijas padomes lēmumā, kas tiks nosūtīts sadarbības iestādei (kā arī pilsētu komisija</w:t>
            </w:r>
            <w:r w:rsidRPr="00476794">
              <w:t>i</w:t>
            </w:r>
            <w:r w:rsidR="00834A15" w:rsidRPr="00476794">
              <w:t xml:space="preserve"> pirmās atlases kārtas ietvaros) u</w:t>
            </w:r>
            <w:r w:rsidRPr="00476794">
              <w:t>n</w:t>
            </w:r>
            <w:r w:rsidR="00834A15" w:rsidRPr="00476794">
              <w:t xml:space="preserve"> tiks izmantots projektu iesniegumu vērtēšanas komisijas darbā, nodrošinot, ka visi projekti, ja pašvaldība</w:t>
            </w:r>
            <w:r w:rsidRPr="00476794">
              <w:t>s attīstības programmā ir</w:t>
            </w:r>
            <w:r w:rsidR="00834A15" w:rsidRPr="00476794">
              <w:t xml:space="preserve"> plāno</w:t>
            </w:r>
            <w:r w:rsidRPr="00476794">
              <w:t>ts</w:t>
            </w:r>
            <w:r w:rsidR="00834A15" w:rsidRPr="00476794">
              <w:t xml:space="preserve"> īstenot vairākus projektus, kopā (summāri) nodrošina SAM kopējo iznākuma rādītāju sasniegšanu.</w:t>
            </w:r>
          </w:p>
          <w:p w:rsidR="00834A15" w:rsidRPr="00476794" w:rsidRDefault="00834A15" w:rsidP="00834A15">
            <w:pPr>
              <w:spacing w:after="120"/>
              <w:jc w:val="both"/>
            </w:pPr>
            <w:r w:rsidRPr="00476794">
              <w:t xml:space="preserve">Vienlaikus norādām, ka katru gadu VARAM, sagatavojot progresa ziņojumu, informēs Finanšu ministriju par rādītāju izpildes korelāciju ar apgūto ERAF finansējuma apjomu. Vienlaikus sadarbības iestāde veiks jau apstiprināto individuālo projektu īstenošanas uzraudzību atbilstoši civiltiesiskajā līgumā vai vienošanās par projekta īstenošanu noteiktajam, kas ietver arī plānoto iznākuma rādītāju sasniegšanas kontroli un ERAF finansējuma pilnu vai daļēju atmaksāšanu gadījumā, kad rādītāji netiek sasniegti vai tiek sasniegti daļēji. Lai nodrošinātu SAM kopējo rādītāju vērtību sasniegšanu, VARAM nepieciešamības gadījumā ierosinās izdarīt grozījumus MK noteikumos par SAM īstenošanu, kas paredz ne tikai atmaksāto finansējumu novirzīt jauniem projektiem papildu iznākuma rādītāju sasniegšanai (šobrīd MK noteikumu projekts paredz, ka atmaksāto finansējumu izmanto attiecīgās atlases kārtas ietvaros), bet arī  finansējumu, par kuru VARAM saskatīs risku tā savlaicīgai apguvei un SAM rādītāju sasniegšanai (piemēram, ja ilgstoši netiks iesniegti Reģionālās Koordinācijas padomē saskaņoti projekti). </w:t>
            </w:r>
            <w:r w:rsidR="00780309" w:rsidRPr="00476794">
              <w:t>Vienlaikus MK noteikumu projekts ir papildināts ar normu, kas dod tiesības sadarbības iestādei (pēc atbildīgās iestādes ierosinājuma) pārskatīt finansējuma apjomu apstiprinātajiem projektiem un, saskaņojot ar atbildīgo iestādi, proporcionāli samazināt projektiem piešķirto ERAF finansējumu gadījumos, ja pašvaldība, kura īsteno vairākus projektus, nenodrošina kopumā vienas atlases kārtas projektos nepieciešamo atbilstošo rādītāju apjomu</w:t>
            </w:r>
            <w:r w:rsidR="0077767F" w:rsidRPr="00476794">
              <w:t xml:space="preserve">. </w:t>
            </w:r>
          </w:p>
          <w:p w:rsidR="00A456C8" w:rsidRPr="00476794" w:rsidRDefault="00AD4E42" w:rsidP="00A456C8">
            <w:pPr>
              <w:spacing w:after="120"/>
              <w:jc w:val="both"/>
            </w:pPr>
            <w:r w:rsidRPr="00476794">
              <w:lastRenderedPageBreak/>
              <w:t xml:space="preserve">Ņemot vērā, ka SAM ietvaros netiek sniegts tiešs atbalsts komersantiem to ražošanas procesu uzlabošanai vai citām tiešajām investīcijām, SAM noteiktās nacionāla līmeņa iznākuma rādītāju vērtības objektīvi var sasniegt tikai noteiktā laikā pēc projekta pabeigšanas. Tāpēc MK noteikumu projekts paredz, ka iznākuma rādītāju vērtības jāsasniedz ne vēlāk kā </w:t>
            </w:r>
            <w:r w:rsidR="00E10FBD" w:rsidRPr="00476794">
              <w:t xml:space="preserve">trīs </w:t>
            </w:r>
            <w:r w:rsidR="0025082A" w:rsidRPr="00476794">
              <w:t xml:space="preserve">kalendāra </w:t>
            </w:r>
            <w:r w:rsidR="00E10FBD" w:rsidRPr="00476794">
              <w:t>gadu</w:t>
            </w:r>
            <w:r w:rsidRPr="00476794">
              <w:t xml:space="preserve"> laikā pēc projekta pabeigšanas</w:t>
            </w:r>
            <w:r w:rsidR="00E10FBD" w:rsidRPr="00476794">
              <w:t>, nepārsniedzot 2023.gada 31.decembri</w:t>
            </w:r>
            <w:r w:rsidRPr="00476794">
              <w:t xml:space="preserve">. </w:t>
            </w:r>
            <w:r w:rsidR="00A456C8" w:rsidRPr="00476794">
              <w:rPr>
                <w:rStyle w:val="cspklasifikatorscodename"/>
              </w:rPr>
              <w:t>Kā norādīts pētījumā par darba tirgu reģionālā aspektā</w:t>
            </w:r>
            <w:r w:rsidR="00A456C8" w:rsidRPr="00476794">
              <w:rPr>
                <w:rStyle w:val="FootnoteReference"/>
              </w:rPr>
              <w:footnoteReference w:id="9"/>
            </w:r>
            <w:r w:rsidR="00A456C8" w:rsidRPr="00476794">
              <w:rPr>
                <w:rStyle w:val="cspklasifikatorscodename"/>
              </w:rPr>
              <w:t xml:space="preserve">, būtiskākais faktors </w:t>
            </w:r>
            <w:r w:rsidR="00A456C8" w:rsidRPr="00476794">
              <w:rPr>
                <w:rFonts w:eastAsia="Times New Roman"/>
                <w:bCs/>
                <w:lang w:eastAsia="en-US"/>
              </w:rPr>
              <w:t xml:space="preserve">reģiona darba tirgus konkurētspējas saglabāšanā un stiprināšanā ir pašvaldībās un reģionos strādājošo uzņēmēju un strādājošo darbinieku saglabāšana sava novada vai reģiona robežās. Būtiski, ka projektu rezultātā sasniegtā privātā sektora jaunradīto darbavietu skaita vērtība var rasties arī trīs gadu periodā pēc projekta </w:t>
            </w:r>
            <w:r w:rsidR="00315AC7" w:rsidRPr="00476794">
              <w:t>noslēguma maksājuma veikšanas</w:t>
            </w:r>
            <w:r w:rsidR="00A456C8" w:rsidRPr="00476794">
              <w:rPr>
                <w:rFonts w:eastAsia="Times New Roman"/>
                <w:bCs/>
                <w:lang w:eastAsia="en-US"/>
              </w:rPr>
              <w:t xml:space="preserve">. </w:t>
            </w:r>
            <w:r w:rsidR="00E10FBD" w:rsidRPr="00476794">
              <w:rPr>
                <w:rFonts w:eastAsia="Times New Roman"/>
                <w:bCs/>
                <w:lang w:eastAsia="en-US"/>
              </w:rPr>
              <w:t>Detalizēta informācija par rādītāju sasniegšanu un sasniegtās vērtības novērtēšanu tiks noteikta SAM projektu iesniegumu vērtēšanas kritēriju piemērošanas metodikā un VARAM izstrādātajos metodiskajos ieteikumos projektu sagatavošanai, vērtēšanai, ieviešanai un uzraudzībai.</w:t>
            </w:r>
          </w:p>
          <w:p w:rsidR="00AD4E42" w:rsidRPr="00476794" w:rsidRDefault="00081026" w:rsidP="00AD4E42">
            <w:pPr>
              <w:spacing w:after="120"/>
              <w:jc w:val="both"/>
              <w:rPr>
                <w:rFonts w:eastAsia="Times New Roman"/>
                <w:bCs/>
                <w:lang w:eastAsia="en-US"/>
              </w:rPr>
            </w:pPr>
            <w:r w:rsidRPr="00476794">
              <w:t>MK n</w:t>
            </w:r>
            <w:r w:rsidR="00AD4E42" w:rsidRPr="00476794">
              <w:t xml:space="preserve">oteikumu projekts nosaka, </w:t>
            </w:r>
            <w:r w:rsidRPr="00476794">
              <w:t xml:space="preserve">ka </w:t>
            </w:r>
            <w:r w:rsidR="00AD4E42" w:rsidRPr="00476794">
              <w:t xml:space="preserve">pašvaldību attīstības programmas ir priekšnosacījums ieguldījumu veikšanai SAM ietvaros. </w:t>
            </w:r>
            <w:r w:rsidR="00AD4E42" w:rsidRPr="00476794">
              <w:rPr>
                <w:rFonts w:eastAsia="Times New Roman"/>
                <w:bCs/>
                <w:lang w:eastAsia="en-US"/>
              </w:rPr>
              <w:t xml:space="preserve">Plānojot investīcijas degradēto teritoriju atjaunošanā, pašvaldībām ir atbildīgi jāizvērtē </w:t>
            </w:r>
            <w:r w:rsidR="00AD4E42" w:rsidRPr="00476794">
              <w:rPr>
                <w:rStyle w:val="cspklasifikatorscodename"/>
              </w:rPr>
              <w:t>integrētajās attīstības programmās iekļaujamās projektu idejas. L</w:t>
            </w:r>
            <w:r w:rsidR="00AD4E42" w:rsidRPr="00476794">
              <w:rPr>
                <w:rFonts w:eastAsia="Times New Roman"/>
                <w:bCs/>
                <w:lang w:eastAsia="en-US"/>
              </w:rPr>
              <w:t xml:space="preserve">ai nodrošinātu rezultātu sasniegšanu un saglabāšanu projektā, pašvaldībām ir vēlams sadarboties ar privātā sektora pārstāvjiem dažādās investīciju plānošanas un projektu īstenošanas stadijās. </w:t>
            </w:r>
          </w:p>
          <w:p w:rsidR="00BF08DE" w:rsidRPr="00476794" w:rsidRDefault="004B3F98" w:rsidP="006C36E9">
            <w:pPr>
              <w:jc w:val="both"/>
              <w:rPr>
                <w:rStyle w:val="cspklasifikatorscodename"/>
                <w:u w:val="single"/>
              </w:rPr>
            </w:pPr>
            <w:r w:rsidRPr="00476794">
              <w:rPr>
                <w:rStyle w:val="cspklasifikatorscodename"/>
                <w:u w:val="single"/>
              </w:rPr>
              <w:t>Finansējums</w:t>
            </w:r>
          </w:p>
          <w:p w:rsidR="00E56438" w:rsidRDefault="00E56438" w:rsidP="009E3A59">
            <w:pPr>
              <w:spacing w:after="120"/>
              <w:jc w:val="both"/>
            </w:pPr>
            <w:r w:rsidRPr="00476794">
              <w:rPr>
                <w:rStyle w:val="cspklasifikatorscodename"/>
              </w:rPr>
              <w:t>MK noteikumu projekts nosaka SAM pieejamo finansējuma apjomu</w:t>
            </w:r>
            <w:r w:rsidR="00D74529" w:rsidRPr="00476794">
              <w:rPr>
                <w:rStyle w:val="cspklasifikatorscodename"/>
              </w:rPr>
              <w:t>, tajā skaitā sadalījumā pa finansējuma avotiem</w:t>
            </w:r>
            <w:r w:rsidR="00A456C8" w:rsidRPr="00476794">
              <w:rPr>
                <w:rStyle w:val="cspklasifikatorscodename"/>
              </w:rPr>
              <w:t xml:space="preserve">. </w:t>
            </w:r>
            <w:r w:rsidRPr="00476794">
              <w:rPr>
                <w:rStyle w:val="cspklasifikatorscodename"/>
              </w:rPr>
              <w:t>Vienlaikus MK noteikumu projekts nosaka</w:t>
            </w:r>
            <w:r w:rsidRPr="00476794">
              <w:rPr>
                <w:i/>
              </w:rPr>
              <w:t xml:space="preserve"> </w:t>
            </w:r>
            <w:r w:rsidRPr="00476794">
              <w:rPr>
                <w:rStyle w:val="cspklasifikatorscodename"/>
              </w:rPr>
              <w:t xml:space="preserve">katrai atlases kārtai pieejamo finansējumu, kura sadalījums sākotnēji tika noteikts Informatīvajā ziņojumā, un </w:t>
            </w:r>
            <w:r w:rsidRPr="00476794">
              <w:t>snieguma rezervi</w:t>
            </w:r>
            <w:r w:rsidRPr="00476794">
              <w:rPr>
                <w:rStyle w:val="FootnoteReference"/>
              </w:rPr>
              <w:footnoteReference w:id="10"/>
            </w:r>
            <w:r w:rsidRPr="00476794">
              <w:t xml:space="preserve"> </w:t>
            </w:r>
            <w:r w:rsidR="001A7C13" w:rsidRPr="00476794">
              <w:t xml:space="preserve">6,1 </w:t>
            </w:r>
            <w:r w:rsidRPr="00476794">
              <w:t>procent</w:t>
            </w:r>
            <w:r w:rsidR="001A7C13" w:rsidRPr="00476794">
              <w:t>a</w:t>
            </w:r>
            <w:r w:rsidRPr="00476794">
              <w:t xml:space="preserve"> </w:t>
            </w:r>
            <w:r w:rsidR="00C26A95" w:rsidRPr="00476794">
              <w:t xml:space="preserve">jeb 14 426 861 </w:t>
            </w:r>
            <w:proofErr w:type="spellStart"/>
            <w:r w:rsidR="00C26A95" w:rsidRPr="00476794">
              <w:rPr>
                <w:i/>
              </w:rPr>
              <w:t>euro</w:t>
            </w:r>
            <w:proofErr w:type="spellEnd"/>
            <w:r w:rsidR="00C26A95" w:rsidRPr="00476794">
              <w:t xml:space="preserve"> </w:t>
            </w:r>
            <w:r w:rsidRPr="00476794">
              <w:t>apjomā</w:t>
            </w:r>
            <w:r w:rsidR="00D74529" w:rsidRPr="00476794">
              <w:t xml:space="preserve"> no ERAF finansējuma</w:t>
            </w:r>
            <w:r w:rsidR="001A7C13" w:rsidRPr="00476794">
              <w:t>. Snieguma rezerve 6,1 procenta apjomā tiek aprēķināta katrai projektu iesniegumu atlases kārtai atsevišķi atkarībā</w:t>
            </w:r>
            <w:r w:rsidRPr="00476794">
              <w:t xml:space="preserve"> no attiecīgajai </w:t>
            </w:r>
            <w:r w:rsidRPr="00476794">
              <w:rPr>
                <w:rStyle w:val="cspklasifikatorscodename"/>
              </w:rPr>
              <w:t xml:space="preserve">atlases kārtai </w:t>
            </w:r>
            <w:r w:rsidRPr="00476794">
              <w:t>paredzētā ERAF finansējuma</w:t>
            </w:r>
            <w:r w:rsidR="001A7C13" w:rsidRPr="00476794">
              <w:t xml:space="preserve"> apjoma</w:t>
            </w:r>
            <w:r w:rsidRPr="00476794">
              <w:t>.</w:t>
            </w:r>
          </w:p>
          <w:p w:rsidR="00061B83" w:rsidRDefault="00061B83" w:rsidP="00061B83">
            <w:pPr>
              <w:spacing w:after="120"/>
              <w:jc w:val="both"/>
              <w:rPr>
                <w:color w:val="1F497D"/>
              </w:rPr>
            </w:pPr>
            <w:r>
              <w:t xml:space="preserve">Ņemot vērā snieguma rezerves apjomu, sadarbības iestāde līdz 2018.gada 31.decembrim slēdz vienošanās vai civiltiesiskos līgumus par projektu īstenošanu tādā apjomā, </w:t>
            </w:r>
            <w:r>
              <w:lastRenderedPageBreak/>
              <w:t>kas nepārsniedz 93,9 procentus no kopējā SAM ietvaros pieejamā ERAF finansējuma.  </w:t>
            </w:r>
          </w:p>
          <w:p w:rsidR="00061B83" w:rsidRPr="002C65E4" w:rsidRDefault="00061B83" w:rsidP="00061B83">
            <w:pPr>
              <w:spacing w:after="120"/>
              <w:jc w:val="both"/>
            </w:pPr>
            <w:r w:rsidRPr="002C65E4">
              <w:t>Reģionālās attīstības koordinācijas padomē s</w:t>
            </w:r>
            <w:r>
              <w:t>askaņojot katras atlases kārtas ietvaros īstenojamo projektu ideju sarakstu, nepieciešams attiecīgās atlases kārtas ietvaros vienoties par tiem projektiem, kuri tiks iesniegti sadarbības iestādē un apstiprināti ERAF finansējuma saņemšanai līdz 2018.gada beigām, un par projektiem, kuri attiecīgās atlases kārtas ietvaros tiks iesniegti un apstiprināti pēc 2018.gada 31.decembra, ja tiks izpildīts prioritātei</w:t>
            </w:r>
            <w:r w:rsidRPr="002C65E4">
              <w:t xml:space="preserve"> „Vides aizsardzība un resursu izmantošanas efektivitāte”</w:t>
            </w:r>
            <w:r>
              <w:t xml:space="preserve"> noteiktais snieguma ietvars</w:t>
            </w:r>
            <w:r w:rsidRPr="002C65E4">
              <w:t>, un šo projektu finansējuma proporcija atbilst līdz</w:t>
            </w:r>
            <w:r>
              <w:t xml:space="preserve"> 2018.gada 31.decembrim</w:t>
            </w:r>
            <w:r w:rsidRPr="002C65E4">
              <w:t xml:space="preserve"> pieejamā finansējuma un snieguma rezerves proporcijai</w:t>
            </w:r>
            <w:r>
              <w:t xml:space="preserve">. </w:t>
            </w:r>
          </w:p>
          <w:p w:rsidR="00061B83" w:rsidRDefault="00061B83" w:rsidP="00061B83">
            <w:pPr>
              <w:spacing w:after="120"/>
              <w:jc w:val="both"/>
            </w:pPr>
            <w:r>
              <w:t xml:space="preserve">Ja </w:t>
            </w:r>
            <w:r w:rsidRPr="002C65E4">
              <w:t>Reģionālās attīstības koordinācijas padomē, s</w:t>
            </w:r>
            <w:r>
              <w:t xml:space="preserve">askaņojot katras atlases kārtas ietvaros īstenojamo projektu ideju sarakstu, neizdodas attiecīgās atlases kārtas ietvaros vienoties par tiem projektiem, kuri tiks iesniegti sadarbības iestādē un apstiprināti ERAF finansējuma saņemšanai līdz 2018.gada beigām, ievērojot </w:t>
            </w:r>
            <w:r w:rsidRPr="002C65E4">
              <w:t>līdz</w:t>
            </w:r>
            <w:r>
              <w:t xml:space="preserve"> 2018.gada 31.decembrim</w:t>
            </w:r>
            <w:r w:rsidRPr="002C65E4">
              <w:t xml:space="preserve"> pieejamā finansējuma un snieguma rezerves proporciju,</w:t>
            </w:r>
            <w:r>
              <w:t xml:space="preserve"> </w:t>
            </w:r>
            <w:r w:rsidRPr="002C65E4">
              <w:t>Reģionālās attīstības koordinācijas padomē</w:t>
            </w:r>
            <w:r>
              <w:t xml:space="preserve"> </w:t>
            </w:r>
            <w:r w:rsidRPr="002C65E4">
              <w:t>jāvienojas par konkrētas projektu iesniegumu atlases kārtas projektu ideju samazināto ERAF līdzfinansējuma likmi tiem projektiem</w:t>
            </w:r>
            <w:r>
              <w:t xml:space="preserve">, kuri tiks iesniegti sadarbības iestādē un apstiprināti ERAF finansējuma saņemšanai līdz 2018.gada beigām, ievērojot </w:t>
            </w:r>
            <w:r w:rsidRPr="002C65E4">
              <w:t xml:space="preserve">līdz </w:t>
            </w:r>
            <w:r>
              <w:t>2018.gada 31.decembrim</w:t>
            </w:r>
            <w:r w:rsidRPr="002C65E4">
              <w:t xml:space="preserve"> pieejamo finansējuma apjomu</w:t>
            </w:r>
            <w:r>
              <w:t xml:space="preserve">. </w:t>
            </w:r>
          </w:p>
          <w:p w:rsidR="00061B83" w:rsidRDefault="00061B83" w:rsidP="00061B83">
            <w:pPr>
              <w:spacing w:after="120"/>
              <w:jc w:val="both"/>
            </w:pPr>
            <w:r w:rsidRPr="002C65E4">
              <w:t>Katrs projekta iesniegums tiek plānots tā, lai par pieejamo finansējumu sasniegtu tādu pabeigtību, kas ļauj objektu nodot ekspluatācijā, sasniegt projekta mērķi un atbilstošos iznākuma rādītājus (neatkarīgi no tā, vai projektu plānots iesniegt un apstiprināt līdz 2018.gada beigām vai pēc 2018.gada 31.decembra, katru projektu vērtē kā atsevišķu finansiāli dzīvotspējīgu projektu)</w:t>
            </w:r>
            <w:r>
              <w:t>.</w:t>
            </w:r>
          </w:p>
          <w:p w:rsidR="00061B83" w:rsidRPr="002C65E4" w:rsidRDefault="00061B83" w:rsidP="00061B83">
            <w:pPr>
              <w:spacing w:after="120"/>
              <w:jc w:val="both"/>
            </w:pPr>
            <w:r>
              <w:t>No 2019.gada 1.janvāra atbildīgā iestāde pēc Eiropas Komisijas lēmuma par snieguma ietvara izpildi var ierosināt palielināt katrai atlases kārtai pieejamo attiecināmo finansējumu, kā rezultātā var tikt uzsākti jauni projekti (jauni infrastruktūras objekti) vai veikti grozījumi esošajos projektos</w:t>
            </w:r>
            <w:r w:rsidRPr="002C65E4">
              <w:t>,</w:t>
            </w:r>
            <w:r>
              <w:t xml:space="preserve"> </w:t>
            </w:r>
            <w:r w:rsidRPr="002C65E4">
              <w:t>palielinot projektu ERAF līdzfinansējuma likmi, nodrošinot</w:t>
            </w:r>
            <w:r>
              <w:t xml:space="preserve"> SAM ietvaros pieejamā kopējā ERAF finansējuma</w:t>
            </w:r>
            <w:r w:rsidRPr="002C65E4">
              <w:t xml:space="preserve"> sadalījumu tiem projektiem, kuri pēc Reģionālās attīstības koordinācijas padomes vienošanās bija plānoti īstenošanai pēc 2018.gada 31.decembra vai kuru ietvaros iepriekš bija piemērota samazināta ERAF līdzfinansējuma intensitāte.</w:t>
            </w:r>
            <w:r>
              <w:t xml:space="preserve"> </w:t>
            </w:r>
          </w:p>
          <w:p w:rsidR="00687E37" w:rsidRPr="00476794" w:rsidRDefault="00687E37" w:rsidP="00687E37">
            <w:pPr>
              <w:spacing w:after="120"/>
              <w:jc w:val="both"/>
            </w:pPr>
            <w:r w:rsidRPr="00476794">
              <w:t xml:space="preserve">MK noteikumu projekts paredz, ka SAM ietvaros nacionālas nozīmes attīstības centriem ir pieejams </w:t>
            </w:r>
            <w:proofErr w:type="spellStart"/>
            <w:r w:rsidRPr="00476794">
              <w:t>virssaistību</w:t>
            </w:r>
            <w:proofErr w:type="spellEnd"/>
            <w:r w:rsidRPr="00476794">
              <w:t xml:space="preserve"> </w:t>
            </w:r>
            <w:r w:rsidRPr="00476794">
              <w:lastRenderedPageBreak/>
              <w:t xml:space="preserve">finansējums. Izmantojot </w:t>
            </w:r>
            <w:proofErr w:type="spellStart"/>
            <w:r w:rsidRPr="00476794">
              <w:t>virssaistību</w:t>
            </w:r>
            <w:proofErr w:type="spellEnd"/>
            <w:r w:rsidRPr="00476794">
              <w:t xml:space="preserve"> finansējumu, uz to ir attiecināmi visi ERAF finansējuma izmantošanas nosacījumi, tajā skaitā, projektā plānojot iznākuma rādītājus jānodrošina, ka piešķirtā </w:t>
            </w:r>
            <w:proofErr w:type="spellStart"/>
            <w:r w:rsidRPr="00476794">
              <w:t>virssaistību</w:t>
            </w:r>
            <w:proofErr w:type="spellEnd"/>
            <w:r w:rsidRPr="00476794">
              <w:t xml:space="preserve"> finansējuma ietvaros vidēji vienas jaunizveidotas darbavietas radīšanai infrastruktūrā iegulda ne vairāk kā 41 000 </w:t>
            </w:r>
            <w:proofErr w:type="spellStart"/>
            <w:r w:rsidRPr="00476794">
              <w:rPr>
                <w:i/>
              </w:rPr>
              <w:t>euro</w:t>
            </w:r>
            <w:proofErr w:type="spellEnd"/>
            <w:r w:rsidRPr="00476794">
              <w:t xml:space="preserve"> ERAF finansējuma un piesaista komersantu investīcijas projektā piešķirtā ERAF finansējuma apmērā. </w:t>
            </w:r>
          </w:p>
          <w:p w:rsidR="009E3A59" w:rsidRPr="00476794" w:rsidRDefault="001A7C13" w:rsidP="009E3A59">
            <w:pPr>
              <w:spacing w:after="120"/>
              <w:jc w:val="both"/>
            </w:pPr>
            <w:r w:rsidRPr="00476794">
              <w:t>Viena</w:t>
            </w:r>
            <w:r w:rsidR="00E56438" w:rsidRPr="00476794">
              <w:t xml:space="preserve"> </w:t>
            </w:r>
            <w:r w:rsidR="009E3A59" w:rsidRPr="00476794">
              <w:t xml:space="preserve">projekta </w:t>
            </w:r>
            <w:r w:rsidRPr="00476794">
              <w:t xml:space="preserve">kopējais </w:t>
            </w:r>
            <w:r w:rsidR="00D07ED6" w:rsidRPr="00476794">
              <w:t xml:space="preserve">izmaksu apmērs </w:t>
            </w:r>
            <w:r w:rsidR="009E3A59" w:rsidRPr="00476794">
              <w:t xml:space="preserve">nevar būt </w:t>
            </w:r>
            <w:r w:rsidR="00D07ED6" w:rsidRPr="00476794">
              <w:t xml:space="preserve">mazāks par </w:t>
            </w:r>
            <w:r w:rsidR="00FA2CAA" w:rsidRPr="00476794">
              <w:t>100</w:t>
            </w:r>
            <w:r w:rsidR="00D07ED6" w:rsidRPr="00476794">
              <w:t xml:space="preserve"> 000 </w:t>
            </w:r>
            <w:proofErr w:type="spellStart"/>
            <w:r w:rsidR="00D07ED6" w:rsidRPr="00476794">
              <w:rPr>
                <w:i/>
              </w:rPr>
              <w:t>euro</w:t>
            </w:r>
            <w:proofErr w:type="spellEnd"/>
            <w:r w:rsidR="00E56438" w:rsidRPr="00476794">
              <w:t xml:space="preserve">, kas </w:t>
            </w:r>
            <w:r w:rsidR="009E3A59" w:rsidRPr="00476794">
              <w:t>ietver gan attiecināmās, gan neattiecināmās izmaksas.</w:t>
            </w:r>
          </w:p>
          <w:p w:rsidR="001A7C13" w:rsidRPr="00476794" w:rsidRDefault="001A7C13" w:rsidP="003152CB">
            <w:pPr>
              <w:spacing w:after="120"/>
              <w:jc w:val="both"/>
              <w:outlineLvl w:val="0"/>
            </w:pPr>
            <w:r w:rsidRPr="00476794">
              <w:t>MK noteikumu projekts nosaka avansa piešķiršanas nosacījumus un avansa apmēru</w:t>
            </w:r>
            <w:r w:rsidR="00C34010" w:rsidRPr="00476794">
              <w:t>, kas var būt</w:t>
            </w:r>
            <w:r w:rsidRPr="00476794">
              <w:t xml:space="preserve"> līdz 90 procentiem no projektam piešķirtā ERAF</w:t>
            </w:r>
            <w:r w:rsidR="00687E37" w:rsidRPr="00476794">
              <w:t xml:space="preserve"> un </w:t>
            </w:r>
            <w:proofErr w:type="spellStart"/>
            <w:r w:rsidR="00687E37" w:rsidRPr="00476794">
              <w:t>virssaistību</w:t>
            </w:r>
            <w:proofErr w:type="spellEnd"/>
            <w:r w:rsidRPr="00476794">
              <w:t xml:space="preserve"> finansējuma. Šāds avansa apjoms pieļaujams, ņemot vērā projektu iesniegumu vērtēšanas kritērijos noteiktās prasības, kas paredz augstu gatavības pakāpi ar būvniecību saistīto projekta darbību tehniskajai dokumentācijai projekta iesnieguma iesniegšanas brīdī. Pieļaujami gadījumi, kad par projekta būvniecības darbībām projekta iesnieguma iesniegšanas brīdī jau ir noslēgts būvdarbu līgums un uzsākti būvdarbi. Jāņem vērā arī izmaksu veikšanas periods, </w:t>
            </w:r>
            <w:r w:rsidR="00377108" w:rsidRPr="00476794">
              <w:t xml:space="preserve">piemēram, projektos, </w:t>
            </w:r>
            <w:r w:rsidRPr="00476794">
              <w:t xml:space="preserve">kas </w:t>
            </w:r>
            <w:r w:rsidR="00377108" w:rsidRPr="00476794">
              <w:t xml:space="preserve">nav saistīti ar </w:t>
            </w:r>
            <w:r w:rsidRPr="00476794">
              <w:t xml:space="preserve">valsts </w:t>
            </w:r>
            <w:r w:rsidR="00377108" w:rsidRPr="00476794">
              <w:t xml:space="preserve">atbalstu </w:t>
            </w:r>
            <w:r w:rsidRPr="00476794">
              <w:t>komercdarbībai pirms projekta iesnieguma iesniegšanas</w:t>
            </w:r>
            <w:r w:rsidR="00377108" w:rsidRPr="00476794">
              <w:t xml:space="preserve"> var būt veiktas </w:t>
            </w:r>
            <w:r w:rsidRPr="00476794">
              <w:t>projekta pamatojošās dokumentācijas sagatavošanas izmaksas, nekustamā īpašuma iegādes izmaksas, ja nekustamā īpašuma iegāde nepieciešama projekta darbību īstenošanai (attiecināmas, ja izmaksas veiktas pēc 2014.gada 1.janvāra),</w:t>
            </w:r>
            <w:r w:rsidR="00C34010" w:rsidRPr="00476794">
              <w:t xml:space="preserve"> un</w:t>
            </w:r>
            <w:r w:rsidRPr="00476794">
              <w:t xml:space="preserve"> būvdarbu izmaksas (attiecināmas, ja tās veiktas pēc MK noteikumu spēkā stāšanas dienas). </w:t>
            </w:r>
          </w:p>
          <w:p w:rsidR="00667D1D" w:rsidRPr="00476794" w:rsidRDefault="001A7C13" w:rsidP="003152CB">
            <w:pPr>
              <w:spacing w:after="120"/>
              <w:jc w:val="both"/>
            </w:pPr>
            <w:r w:rsidRPr="00476794">
              <w:t>Avansa apjoms katram projektam ir individuāls. Nosakot projekta avansa apmēru, ir jāņem vērā finansējuma saņēmēja spēja sešu mēnešu laikā pēc avansa maksājuma saņemšanas iesniegt sadarbības iestādē maksājuma pieprasījumu piešķirtā avansa maksājuma apmērā.</w:t>
            </w:r>
          </w:p>
          <w:p w:rsidR="009E3A59" w:rsidRPr="00476794" w:rsidRDefault="009E3A59" w:rsidP="006C36E9">
            <w:pPr>
              <w:jc w:val="both"/>
              <w:rPr>
                <w:u w:val="single"/>
              </w:rPr>
            </w:pPr>
            <w:r w:rsidRPr="00476794">
              <w:rPr>
                <w:u w:val="single"/>
              </w:rPr>
              <w:t>Izmaksu attiecināmība</w:t>
            </w:r>
          </w:p>
          <w:p w:rsidR="00887A35" w:rsidRPr="00476794" w:rsidRDefault="00887A35" w:rsidP="00887A35">
            <w:pPr>
              <w:spacing w:after="120"/>
              <w:jc w:val="both"/>
              <w:outlineLvl w:val="0"/>
            </w:pPr>
            <w:r w:rsidRPr="00476794">
              <w:t>MK noteikumu projekts nosaka projektos atbalstāmo darbību ietvaru</w:t>
            </w:r>
            <w:r w:rsidR="00A456C8" w:rsidRPr="00476794">
              <w:t>,</w:t>
            </w:r>
            <w:r w:rsidRPr="00476794">
              <w:t xml:space="preserve"> kas sekmē SAM iznākuma rādītāju sasniegšanu.</w:t>
            </w:r>
          </w:p>
          <w:p w:rsidR="00740EE9" w:rsidRPr="00476794" w:rsidRDefault="00586FBF" w:rsidP="00740EE9">
            <w:pPr>
              <w:spacing w:after="120"/>
              <w:jc w:val="both"/>
              <w:outlineLvl w:val="0"/>
            </w:pPr>
            <w:r w:rsidRPr="00476794">
              <w:t>A</w:t>
            </w:r>
            <w:r w:rsidR="006C36E9" w:rsidRPr="00476794">
              <w:t>tbals</w:t>
            </w:r>
            <w:r w:rsidR="00740EE9" w:rsidRPr="00476794">
              <w:t>tāmās darbības MK noteikumu proje</w:t>
            </w:r>
            <w:r w:rsidR="00A456C8" w:rsidRPr="00476794">
              <w:t>ktā ir norādīta</w:t>
            </w:r>
            <w:r w:rsidR="00740EE9" w:rsidRPr="00476794">
              <w:t>s s</w:t>
            </w:r>
            <w:r w:rsidR="004B3F98" w:rsidRPr="00476794">
              <w:t>askaņā ar darbības programmā noteikto</w:t>
            </w:r>
            <w:r w:rsidR="004B3F98" w:rsidRPr="00476794">
              <w:rPr>
                <w:rStyle w:val="FootnoteReference"/>
              </w:rPr>
              <w:footnoteReference w:id="11"/>
            </w:r>
            <w:r w:rsidR="004B3F98" w:rsidRPr="00476794">
              <w:t xml:space="preserve">, ka ieguldījumus SAM ietvaros veic rūpniecisko teritoriju un citu uzņēmējdarbībai plānoto vai izmantoto degradēto teritoriju atjaunošanā, kas tiks pielāgotas jaunu uzņēmumu izvietošanai tajās vai esošo paplašināšanai, lai sekmētu </w:t>
            </w:r>
            <w:r w:rsidR="004B3F98" w:rsidRPr="00476794">
              <w:lastRenderedPageBreak/>
              <w:t>nodarbinātību un ekonomisko aktivitāti pašvaldībās</w:t>
            </w:r>
            <w:r w:rsidR="00740EE9" w:rsidRPr="00476794">
              <w:t xml:space="preserve">. </w:t>
            </w:r>
          </w:p>
          <w:p w:rsidR="004B3F98" w:rsidRPr="00476794" w:rsidRDefault="00EC3A85" w:rsidP="00740EE9">
            <w:pPr>
              <w:spacing w:after="120"/>
              <w:jc w:val="both"/>
              <w:outlineLvl w:val="0"/>
              <w:rPr>
                <w:bCs/>
              </w:rPr>
            </w:pPr>
            <w:r w:rsidRPr="00476794">
              <w:rPr>
                <w:bCs/>
                <w:lang w:eastAsia="en-US"/>
              </w:rPr>
              <w:t>Degradēto teritoriju nosaka pašvaldība, izvērtējot teritorijas atbilstību degradētās teritorijas pazīmēm, kas noteiktas Partnerības līguma 355.rindkopā</w:t>
            </w:r>
            <w:r w:rsidRPr="00476794">
              <w:rPr>
                <w:rStyle w:val="FootnoteReference"/>
                <w:bCs/>
                <w:lang w:eastAsia="en-US"/>
              </w:rPr>
              <w:footnoteReference w:id="12"/>
            </w:r>
            <w:r w:rsidRPr="00476794">
              <w:rPr>
                <w:bCs/>
                <w:lang w:eastAsia="en-US"/>
              </w:rPr>
              <w:t>.</w:t>
            </w:r>
            <w:r w:rsidRPr="00476794">
              <w:rPr>
                <w:bCs/>
              </w:rPr>
              <w:t xml:space="preserve"> </w:t>
            </w:r>
          </w:p>
          <w:p w:rsidR="00C15D25" w:rsidRPr="00476794" w:rsidRDefault="00C15D25" w:rsidP="00122CD7">
            <w:pPr>
              <w:spacing w:after="120"/>
              <w:jc w:val="both"/>
            </w:pPr>
            <w:r w:rsidRPr="00476794">
              <w:t>Par atjaunotu teritoriju uzskata tādu teritoriju, kas iepriekš bijusi degradētā teritorija –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 un kas ir pielāgota jaunu komersantu izv</w:t>
            </w:r>
            <w:r w:rsidR="00720768">
              <w:t xml:space="preserve">ietošanai vai esošo komersantu </w:t>
            </w:r>
            <w:r w:rsidRPr="00476794">
              <w:t>paplašināšanai, lai sekmētu nodarbinātību un ekonomisko aktivitāti pašvaldībās.</w:t>
            </w:r>
          </w:p>
          <w:p w:rsidR="003A43F0" w:rsidRPr="00476794" w:rsidRDefault="00683E2E" w:rsidP="00122CD7">
            <w:pPr>
              <w:spacing w:after="120"/>
              <w:jc w:val="both"/>
            </w:pPr>
            <w:r w:rsidRPr="00476794">
              <w:t xml:space="preserve">MK noteikumu projektā paredzētas attiecināmās un neattiecināmās izmaksas, kas nepieciešamas projektā plānoto darbību īstenošanai. </w:t>
            </w:r>
          </w:p>
          <w:p w:rsidR="00122CD7" w:rsidRPr="00476794" w:rsidRDefault="00586FBF" w:rsidP="00122CD7">
            <w:pPr>
              <w:spacing w:after="120"/>
              <w:jc w:val="both"/>
            </w:pPr>
            <w:r w:rsidRPr="00476794">
              <w:t xml:space="preserve">Attiecināmajās izmaksās ir iekļaujamas projekta vadības personāla </w:t>
            </w:r>
            <w:r w:rsidR="003A43F0" w:rsidRPr="00476794">
              <w:t xml:space="preserve">atlīdzības </w:t>
            </w:r>
            <w:r w:rsidRPr="00476794">
              <w:t xml:space="preserve">izmaksas; projekta pamatojošās dokumentācijas sagatavošanas izmaksas; jaunas būves būvniecības, esošas būves pārbūves, atjaunošanas vai restaurācijas izmaksas, t.sk. </w:t>
            </w:r>
            <w:r w:rsidR="00570730" w:rsidRPr="00894FEB">
              <w:rPr>
                <w:bCs/>
              </w:rPr>
              <w:t xml:space="preserve">būvprojektā paredzēto </w:t>
            </w:r>
            <w:r w:rsidR="000714D2" w:rsidRPr="00894FEB">
              <w:rPr>
                <w:bCs/>
              </w:rPr>
              <w:t xml:space="preserve">stacionāro iekārtu (kas nav ražošanas iekārtas) vai stacionārā aprīkojuma iegādes un uzstādīšanas izmaksas, kas nepieciešamas ēkas vai tās daļas pieņemšanai ekspluatācijā, </w:t>
            </w:r>
            <w:r w:rsidRPr="00476794">
              <w:t>inženierkomunikāciju izmaksas</w:t>
            </w:r>
            <w:r w:rsidR="003A43F0" w:rsidRPr="00476794">
              <w:t>, dzeramā ūdens ieguves, sagatavošanas un piegādes infrastruktūras, sadzīves notekūdeņu savākšanas, attīrīšanas un novadīšanas infrastruktūras, izņemot ražošanas notekūdeņu priekšattīrīšanu, dūņu pārstrādi un apsaimniekošanu, izmaksas</w:t>
            </w:r>
            <w:r w:rsidRPr="00476794">
              <w:t>; terit</w:t>
            </w:r>
            <w:r w:rsidR="00E113BC" w:rsidRPr="00476794">
              <w:t>orijas labiekārtošanas</w:t>
            </w:r>
            <w:r w:rsidR="000038C3" w:rsidRPr="00476794">
              <w:t xml:space="preserve"> un teritorijas sanācijas</w:t>
            </w:r>
            <w:r w:rsidR="00E113BC" w:rsidRPr="00476794">
              <w:t xml:space="preserve"> izmaksas</w:t>
            </w:r>
            <w:r w:rsidRPr="00476794">
              <w:t>; autoruzraudzības</w:t>
            </w:r>
            <w:r w:rsidR="005A5360" w:rsidRPr="00476794">
              <w:t xml:space="preserve">, </w:t>
            </w:r>
            <w:r w:rsidRPr="00476794">
              <w:t xml:space="preserve">būvuzraudzības </w:t>
            </w:r>
            <w:r w:rsidR="005A5360" w:rsidRPr="00476794">
              <w:t xml:space="preserve">un arheoloģiskās uzraudzības </w:t>
            </w:r>
            <w:r w:rsidRPr="00476794">
              <w:t xml:space="preserve">izmaksas; pievienotās vērtības nodokļa maksājumi; nekustamā īpašuma iegādes izmaksas; publicitātes </w:t>
            </w:r>
            <w:r w:rsidR="00C34010" w:rsidRPr="00476794">
              <w:t xml:space="preserve">pasākumu </w:t>
            </w:r>
            <w:r w:rsidRPr="00476794">
              <w:t>izmaksas; neparedzētie izdevumi un izmaksas, kas saistītas ar būves nodošanu ekspluatācijā</w:t>
            </w:r>
            <w:r w:rsidR="00122CD7" w:rsidRPr="00476794">
              <w:t xml:space="preserve">. </w:t>
            </w:r>
          </w:p>
          <w:p w:rsidR="003152CB" w:rsidRPr="00476794" w:rsidRDefault="00C74082" w:rsidP="00C74082">
            <w:pPr>
              <w:spacing w:after="120"/>
              <w:jc w:val="both"/>
            </w:pPr>
            <w:r w:rsidRPr="00476794">
              <w:t xml:space="preserve">Ceļu infrastruktūras izmaksas ietver likumā „Par autoceļiem” noteikto autoceļa kompleksā definēto ietilpstošo infrastruktūru. Lai saglabātu vienotu pieeju ielu un ceļu infrastruktūras izmaksām SAM projektos, arī uz ielu infrastruktūru tiek piemērota autoceļu kompleksā ietilpstošā </w:t>
            </w:r>
            <w:r w:rsidRPr="00476794">
              <w:lastRenderedPageBreak/>
              <w:t xml:space="preserve">infrastruktūra, piemēram, zemes klātne, ceļa braucamā daļa, mākslīgās būves, ceļu inženierbūves, satiksmes organizācijas tehniskie līdzekļi u.tml. </w:t>
            </w:r>
          </w:p>
          <w:p w:rsidR="003152CB" w:rsidRPr="00476794" w:rsidRDefault="003152CB" w:rsidP="003152CB">
            <w:pPr>
              <w:spacing w:after="120"/>
              <w:jc w:val="both"/>
            </w:pPr>
            <w:r w:rsidRPr="00476794">
              <w:t xml:space="preserve">Projektu ietvaros veicot satiksmes pārvaldu, ielu vai ceļu būvniecību, pārbūvi vai atjaunošanu, nav atbalstāmas sabiedriskā pasažieru transporta pakalpojumiem nepieciešamās infrastruktūras izmaksas, uz kurām ir attiecināmi Eiropas Parlamenta un Padomes Regulas Nr.1370/2007 par sabiedriskā pasažieru transporta pakalpojumiem, izmantojot dzelzceļu un autoceļus, un ar ko atceļ Padomes regulu (EEK) Nr.1191/69 un Padomes Regulu (RRK) Nr.1107/70 </w:t>
            </w:r>
            <w:r w:rsidRPr="00476794">
              <w:rPr>
                <w:bCs/>
              </w:rPr>
              <w:t xml:space="preserve">(ES Oficiālais Vēstnesis, 2007.gada 3.decembris, </w:t>
            </w:r>
            <w:proofErr w:type="spellStart"/>
            <w:r w:rsidRPr="00476794">
              <w:rPr>
                <w:bCs/>
              </w:rPr>
              <w:t>Nr.L</w:t>
            </w:r>
            <w:proofErr w:type="spellEnd"/>
            <w:r w:rsidRPr="00476794">
              <w:rPr>
                <w:bCs/>
              </w:rPr>
              <w:t xml:space="preserve"> 315/1) </w:t>
            </w:r>
            <w:r w:rsidRPr="00476794">
              <w:t xml:space="preserve">nosacījumi. </w:t>
            </w:r>
          </w:p>
          <w:p w:rsidR="006046AE" w:rsidRPr="00476794" w:rsidRDefault="00244957" w:rsidP="006046AE">
            <w:pPr>
              <w:pStyle w:val="naisc"/>
              <w:spacing w:before="0" w:beforeAutospacing="0" w:after="120" w:afterAutospacing="0"/>
              <w:jc w:val="both"/>
            </w:pPr>
            <w:r w:rsidRPr="00476794">
              <w:t>MK noteikumu projektā plānotās sanācijas darbu izmaksas atbilst SAM mērķim, kas</w:t>
            </w:r>
            <w:r w:rsidR="006046AE" w:rsidRPr="00476794">
              <w:t xml:space="preserve"> vērsts uz degradēto teritoriju, tajā skaitā bijušo rūpniecisko teritoriju atjaunošanu, kas var ietvert arī zemes virskārtas attīrīšanu no piesārņojuma,</w:t>
            </w:r>
            <w:r w:rsidRPr="00476794">
              <w:t xml:space="preserve"> tajā skaitā vēsturiskā piesārņojuma,</w:t>
            </w:r>
            <w:r w:rsidR="006046AE" w:rsidRPr="00476794">
              <w:t xml:space="preserve"> ja nedarboj</w:t>
            </w:r>
            <w:r w:rsidRPr="00476794">
              <w:t>as vides aizsardzības princips „</w:t>
            </w:r>
            <w:r w:rsidR="006046AE" w:rsidRPr="00476794">
              <w:t>piesārņotājs maksā”, kas noteikts Vides aizsardzības likumā, t.i. persona sedz izdevumus, kas saistīti ar tās darbības dēļ radīta piesārņojuma novērtēšanu, novēršanu, ierobežoša</w:t>
            </w:r>
            <w:r w:rsidRPr="00476794">
              <w:t xml:space="preserve">nu un seku likvidēšanu. </w:t>
            </w:r>
            <w:r w:rsidR="00BB0C05" w:rsidRPr="00476794">
              <w:t>Sanācijas darbi atbilst l</w:t>
            </w:r>
            <w:r w:rsidRPr="00476794">
              <w:t>ikumā „</w:t>
            </w:r>
            <w:r w:rsidR="006046AE" w:rsidRPr="00476794">
              <w:t>Par piesārņojumu” noteikt</w:t>
            </w:r>
            <w:r w:rsidR="00BB0C05" w:rsidRPr="00476794">
              <w:t>ajai definīcijai</w:t>
            </w:r>
            <w:r w:rsidR="006046AE" w:rsidRPr="00476794">
              <w:t>, ka</w:t>
            </w:r>
            <w:r w:rsidR="00BB0C05" w:rsidRPr="00476794">
              <w:t>s paredz, ka</w:t>
            </w:r>
            <w:r w:rsidR="006046AE" w:rsidRPr="00476794">
              <w:t xml:space="preserve"> sanācija ir piesārņotas vietas attīrīšana un atveseļošana vismaz līdz tādai pakāpei, ka turpmāk cilvēku veselība vai vide netiek apdraudēta un attiecīgo teritoriju iespējams izmantot noteiktai saimnieciskai darbībai.</w:t>
            </w:r>
          </w:p>
          <w:p w:rsidR="00C12F7E" w:rsidRPr="00476794" w:rsidRDefault="00C12F7E" w:rsidP="00C74082">
            <w:pPr>
              <w:spacing w:after="120"/>
              <w:jc w:val="both"/>
            </w:pPr>
            <w:r w:rsidRPr="00476794">
              <w:t>MK noteikumu projektā paredzēts, ka projekta darbības un izmaksas brīvostas pārvaldes un speciālās ekonomiskās zonas pārvaldes projektos var veikt tikai ārpus teritorijas, kurā tiek veikta ostas pamatdarbība, ar ko saprot kravu pārkraušanu.</w:t>
            </w:r>
          </w:p>
          <w:p w:rsidR="00C74082" w:rsidRPr="00476794" w:rsidRDefault="00C74082" w:rsidP="00C74082">
            <w:pPr>
              <w:spacing w:after="120"/>
              <w:jc w:val="both"/>
            </w:pPr>
            <w:r w:rsidRPr="00476794">
              <w:t>Neparedzētie izdevumi projektos ir plānojami atbilstoši vadlīnijām attiecināmo un neattiecināmo izmaksu noteikšanai 2014.-2020.gada plānošanas periodā</w:t>
            </w:r>
            <w:r w:rsidRPr="00476794">
              <w:rPr>
                <w:rStyle w:val="FootnoteReference"/>
              </w:rPr>
              <w:footnoteReference w:id="13"/>
            </w:r>
            <w:r w:rsidRPr="00476794">
              <w:t>, kas paredz, ka par neparedzamiem apstākļiem projektos uzskatāmi dabas apstākļi (piemēram, ilgstošas lietusgāzes, sals u.tml.), trešo personu radīti apstākļi (piemēram, izmaiņas normatīvajos aktos, izejmateriālu sadārdzināšanās) un tehniski iemesli (piemēram, iepriekš nezināma grunts sastāva specifika, noplūdes, specifiski konstatējumi attiecībā uz drošības noteikumu ievērošanu). Nosakot neparedzēto izmaksu ierobežojumu projektā - piecu procentu apmērā no projekta kopējām attiecināmajām tiešajām izmaksām, ir ņemta vērā Eiropas Savienības fondu 2007</w:t>
            </w:r>
            <w:r w:rsidR="001B4B83" w:rsidRPr="00476794">
              <w:t>.</w:t>
            </w:r>
            <w:r w:rsidRPr="00476794">
              <w:t xml:space="preserve">-2013.gada </w:t>
            </w:r>
            <w:r w:rsidRPr="00476794">
              <w:lastRenderedPageBreak/>
              <w:t>plānošanas perioda pieredze, kas liecina, ka neatkarīgi no projekta gatavības pakāpes, neparedzēto izmaksu iekļaušana projektos mazi</w:t>
            </w:r>
            <w:r w:rsidR="00B53FCC">
              <w:t>na projektu īstenošanas riskus.</w:t>
            </w:r>
          </w:p>
          <w:p w:rsidR="00683E2E" w:rsidRPr="00476794" w:rsidRDefault="00683E2E" w:rsidP="00683E2E">
            <w:pPr>
              <w:spacing w:after="120"/>
              <w:jc w:val="both"/>
            </w:pPr>
            <w:r w:rsidRPr="00476794">
              <w:t xml:space="preserve">Lai </w:t>
            </w:r>
            <w:r w:rsidR="00C74082" w:rsidRPr="00476794">
              <w:t>veicinātu uz SAM mērķi un rezultātu orientētu investīciju veikšanu</w:t>
            </w:r>
            <w:r w:rsidRPr="00476794">
              <w:t>, MK noteikumu projektā vairākām izmaksu pozīcijām tiek noteikti procentuālie ierobežojumi</w:t>
            </w:r>
            <w:r w:rsidR="00C74082" w:rsidRPr="00476794">
              <w:t>,</w:t>
            </w:r>
            <w:r w:rsidRPr="00476794">
              <w:t xml:space="preserve"> </w:t>
            </w:r>
            <w:r w:rsidR="00C74082" w:rsidRPr="00476794">
              <w:t xml:space="preserve">piemēram, projekta pamatojošās dokumentācijas sagatavošanas, autoruzraudzības, būvuzraudzības un arheoloģiskās uzraudzības, notekūdeņu attīrīšanas un dzeramā ūdens ieguves un sagatavošanas infrastruktūras, </w:t>
            </w:r>
            <w:r w:rsidR="008C475E" w:rsidRPr="00476794">
              <w:t xml:space="preserve">teritorijas labiekārtošanas, kas ietver teritorijas apzaļumošanu, labiekārtojuma elementu uzstādīšanu, gājēju celiņu, </w:t>
            </w:r>
            <w:proofErr w:type="spellStart"/>
            <w:r w:rsidR="008C475E" w:rsidRPr="00476794">
              <w:t>velo</w:t>
            </w:r>
            <w:proofErr w:type="spellEnd"/>
            <w:r w:rsidR="008C475E" w:rsidRPr="00476794">
              <w:t xml:space="preserve"> celiņu un cietā seguma laukuma būvniecību</w:t>
            </w:r>
            <w:r w:rsidR="00AD59B7" w:rsidRPr="00476794">
              <w:t xml:space="preserve"> (tai skaitā pamatnes sagatavošanu un nostiprināšanu)</w:t>
            </w:r>
            <w:r w:rsidR="008C475E" w:rsidRPr="00476794">
              <w:t xml:space="preserve">, pārbūvi vai atjaunošanu, </w:t>
            </w:r>
            <w:r w:rsidR="00C74082" w:rsidRPr="00476794">
              <w:t>nekustamā īpašuma iegādes un publicitātes pasākumu izmaksām, neparedzētajiem izdevumiem</w:t>
            </w:r>
            <w:r w:rsidRPr="00476794">
              <w:t>.</w:t>
            </w:r>
          </w:p>
          <w:p w:rsidR="008C475E" w:rsidRPr="00476794" w:rsidRDefault="008C7EE9" w:rsidP="00683E2E">
            <w:pPr>
              <w:spacing w:after="120"/>
              <w:jc w:val="both"/>
            </w:pPr>
            <w:r w:rsidRPr="00476794">
              <w:t>A</w:t>
            </w:r>
            <w:r w:rsidR="008C475E" w:rsidRPr="00476794">
              <w:t xml:space="preserve">tkarībā no pašvaldības ekonomiskās specializācijas, SAM ietvaros var </w:t>
            </w:r>
            <w:r w:rsidRPr="00476794">
              <w:t>iesniegt</w:t>
            </w:r>
            <w:r w:rsidR="008C475E" w:rsidRPr="00476794">
              <w:t xml:space="preserve"> projekt</w:t>
            </w:r>
            <w:r w:rsidRPr="00476794">
              <w:t>us</w:t>
            </w:r>
            <w:r w:rsidR="008C475E" w:rsidRPr="00476794">
              <w:t xml:space="preserve">, kur teritorijas labiekārtošanas </w:t>
            </w:r>
            <w:r w:rsidRPr="00476794">
              <w:t xml:space="preserve">izmaksas </w:t>
            </w:r>
            <w:r w:rsidR="008C475E" w:rsidRPr="00476794">
              <w:t xml:space="preserve">(tai skaitā teritorijas apzaļumošana, labiekārtojuma elementu uzstādīšana, gājēju celiņu, </w:t>
            </w:r>
            <w:proofErr w:type="spellStart"/>
            <w:r w:rsidR="008C475E" w:rsidRPr="00476794">
              <w:t>velo</w:t>
            </w:r>
            <w:proofErr w:type="spellEnd"/>
            <w:r w:rsidR="008C475E" w:rsidRPr="00476794">
              <w:t xml:space="preserve"> celiņu un cietā seguma laukuma būvniecība, pārbūve vai atjaunošana) projektā var sasniegt 50 procentus no projekta kopējām attiecināmajām izmaksām</w:t>
            </w:r>
            <w:r w:rsidRPr="00476794">
              <w:t xml:space="preserve"> ar nosacījumu, ka projektā tiek sasniegts gan privātā sektorā jaunradīto darbavietu iznākuma rādītājs pilnā apmērā (nekombinējot to ar privāto investīciju rādītāju), gan privāto investīciju iznākuma rādītājs pilnā apmērā (nekombinējot to ar jaunradīto darbavietu rādītāju)</w:t>
            </w:r>
            <w:r w:rsidR="008C475E" w:rsidRPr="00476794">
              <w:t>.</w:t>
            </w:r>
          </w:p>
          <w:p w:rsidR="00122CD7" w:rsidRPr="00476794" w:rsidRDefault="00122CD7" w:rsidP="00122CD7">
            <w:pPr>
              <w:spacing w:after="120"/>
              <w:jc w:val="both"/>
            </w:pPr>
            <w:r w:rsidRPr="00476794">
              <w:t>Atbilstoši metodikai par netiešo izmaksu vienotās likmes piemērošanu projekta izmaksu atzīšanā</w:t>
            </w:r>
            <w:r w:rsidRPr="00476794">
              <w:rPr>
                <w:rStyle w:val="FootnoteReference"/>
              </w:rPr>
              <w:footnoteReference w:id="14"/>
            </w:r>
            <w:r w:rsidRPr="00476794">
              <w:t xml:space="preserve"> vadības personāla netiešajām izmaksām ir piemērojama vienotās likmes metode, </w:t>
            </w:r>
            <w:r w:rsidR="00F57477" w:rsidRPr="00476794">
              <w:t>tādam projektam vai projekta daļai, kas nav saistīta ar</w:t>
            </w:r>
            <w:r w:rsidRPr="00476794">
              <w:t xml:space="preserve"> valsts atbalstu komercsabiedrībai</w:t>
            </w:r>
            <w:r w:rsidR="00F57477" w:rsidRPr="00476794">
              <w:t>, tādejādi samazinot administratīvo slogu projekta īstenošanas laikā projekta iesniedzējam un sadarbības iestādei</w:t>
            </w:r>
            <w:r w:rsidRPr="00476794">
              <w:t>.</w:t>
            </w:r>
          </w:p>
          <w:p w:rsidR="00683E2E" w:rsidRPr="00476794" w:rsidRDefault="00586FBF" w:rsidP="00683E2E">
            <w:pPr>
              <w:spacing w:after="120"/>
              <w:jc w:val="both"/>
            </w:pPr>
            <w:r w:rsidRPr="00476794">
              <w:t>Neattiecināmajās izmaksās iekļaujamas tās izmaksas, kas pārsniedz attiecināmo izmaksu apjomu, izmaksas, kas nav noteiktas kā attiecināmās izmaksas, bet ir tieši saistītas ar projektu un ir nepieciešamas projekta mērķa sasniegšanai,</w:t>
            </w:r>
            <w:r w:rsidR="00262140" w:rsidRPr="00476794">
              <w:t xml:space="preserve"> bet valsts atbalsta komercdarbībai gadījumā jāievēro, ka projekta neattiecināmās izmaksas nefinansē no publiskajiem resursiem</w:t>
            </w:r>
            <w:r w:rsidR="00683E2E" w:rsidRPr="00476794">
              <w:t>.</w:t>
            </w:r>
            <w:r w:rsidR="0025082A" w:rsidRPr="00476794">
              <w:t xml:space="preserve"> Neattiecināmās izmaksas finansējuma saņēmējs sedz no saviem līdzekļiem.</w:t>
            </w:r>
          </w:p>
          <w:p w:rsidR="005528BE" w:rsidRPr="00476794" w:rsidRDefault="005F5380" w:rsidP="005528BE">
            <w:pPr>
              <w:spacing w:after="120"/>
              <w:jc w:val="both"/>
            </w:pPr>
            <w:r w:rsidRPr="00476794">
              <w:t xml:space="preserve">MK noteikumu projekts paredz, ka projekta izmaksas ir attiecināmas no šo noteikumu spēkā stāšanās dienas, izņemot projekta pamatojošās dokumentācijas sagatavošanas </w:t>
            </w:r>
            <w:r w:rsidRPr="00476794">
              <w:lastRenderedPageBreak/>
              <w:t xml:space="preserve">izmaksas un </w:t>
            </w:r>
            <w:r w:rsidR="00683296" w:rsidRPr="00476794">
              <w:t>nekustamā īpašuma iegādes</w:t>
            </w:r>
            <w:r w:rsidR="00683296" w:rsidRPr="00476794" w:rsidDel="00683296">
              <w:t xml:space="preserve"> </w:t>
            </w:r>
            <w:r w:rsidR="00683296" w:rsidRPr="00476794">
              <w:t xml:space="preserve">(tajā skaitā, </w:t>
            </w:r>
            <w:r w:rsidRPr="00476794">
              <w:t>pievienotās vērtības nodokļa maksājumu izmaksas</w:t>
            </w:r>
            <w:r w:rsidR="00683296" w:rsidRPr="00476794">
              <w:t>)</w:t>
            </w:r>
            <w:r w:rsidRPr="00476794">
              <w:t>, kas ir attiecināmas, ja tās veiktas pēc 2014.gada 1.janvāra</w:t>
            </w:r>
            <w:r w:rsidR="00683296" w:rsidRPr="00476794">
              <w:t>, izņemot</w:t>
            </w:r>
            <w:r w:rsidRPr="00476794">
              <w:t xml:space="preserve"> </w:t>
            </w:r>
            <w:r w:rsidR="00683296" w:rsidRPr="00476794">
              <w:t xml:space="preserve">valsts </w:t>
            </w:r>
            <w:r w:rsidRPr="00476794">
              <w:t>atbalsta komercdarbībai gadījumā</w:t>
            </w:r>
            <w:r w:rsidR="00683296" w:rsidRPr="00476794">
              <w:t>, kad</w:t>
            </w:r>
            <w:r w:rsidRPr="00476794">
              <w:t xml:space="preserve"> izmaksas ir attiecināmas no projekta iesnieguma iesniegšanas brīža.</w:t>
            </w:r>
            <w:r w:rsidR="00262140" w:rsidRPr="00476794">
              <w:t xml:space="preserve"> Valsts atbalsta gadījumā projekta pamatojošās dokumentācijas sagatavošanas izmaksas pirms projekta iesnieguma iesniegšanas ir pieļaujamas tikai kā </w:t>
            </w:r>
            <w:proofErr w:type="spellStart"/>
            <w:r w:rsidR="00262140" w:rsidRPr="00476794">
              <w:rPr>
                <w:i/>
              </w:rPr>
              <w:t>de</w:t>
            </w:r>
            <w:proofErr w:type="spellEnd"/>
            <w:r w:rsidR="00262140" w:rsidRPr="00476794">
              <w:rPr>
                <w:i/>
              </w:rPr>
              <w:t xml:space="preserve"> </w:t>
            </w:r>
            <w:proofErr w:type="spellStart"/>
            <w:r w:rsidR="00262140" w:rsidRPr="00476794">
              <w:rPr>
                <w:i/>
              </w:rPr>
              <w:t>minimis</w:t>
            </w:r>
            <w:proofErr w:type="spellEnd"/>
            <w:r w:rsidR="00262140" w:rsidRPr="00476794">
              <w:t xml:space="preserve"> atbalsts</w:t>
            </w:r>
            <w:r w:rsidR="005528BE" w:rsidRPr="00476794">
              <w:t xml:space="preserve"> šajā gadījumā projekta pamatojošās dokumentācijas sagatavošanas izmaksas ir attiecināmas no 2014.gada 1.janvāra. Šāds termiņš pamatots ar to, ka līdztekus MK noteikumu projekta izstrādei projektu iesniedzēji ir uzsākuši projektu pamatojošās dokumentācijas sagatavošanu, lai nodrošinātu augstu projektu gatavību iesniegšanas stadijā uzreiz pēc projektu iesniegumu atlases izsludināšanas un varētu uzsākt būvdarbus jau tuvākajā būvdarbu sezonā. </w:t>
            </w:r>
          </w:p>
          <w:p w:rsidR="00893BC6" w:rsidRPr="00476794" w:rsidRDefault="00893BC6" w:rsidP="00683E2E">
            <w:pPr>
              <w:spacing w:after="120"/>
              <w:jc w:val="both"/>
            </w:pPr>
            <w:r w:rsidRPr="00476794">
              <w:t>Attiecībā uz īpašumtiesību nosacījumiem MK noteikumu projekts pieļauj investīciju ieguldījumus projekta iesniedzēja īpašumā vai publiskas personas īpašumā, kura turējuma tiesības projekta iesniedzējs ir ieguvis uz termiņu, kas nav īsākas par pieciem gadiem no projekta noslēguma maksājuma veikšanas finansējuma saņēmējam. MK noteikumu projekts pieļauj investīciju ieguldījumus arī sadarbības partnera īpašumā, ja sadarbības partneris ir pašvaldība vai tās izveidota iestāde, pašvaldības kapitālsabiedrība, kas veic pašvaldības deleģēto pārvaldes uzdevumu izpildi, vai sabiedrisko pakalpojumu sniedzējs.</w:t>
            </w:r>
            <w:r w:rsidR="00E11380" w:rsidRPr="00476794">
              <w:t xml:space="preserve"> Projektu ietvaros ir pieļaujama arī ieguldījumu veikšana šādos gadījumos:</w:t>
            </w:r>
          </w:p>
          <w:p w:rsidR="00E11380" w:rsidRPr="00476794" w:rsidRDefault="00E11380" w:rsidP="00E11380">
            <w:pPr>
              <w:numPr>
                <w:ilvl w:val="0"/>
                <w:numId w:val="26"/>
              </w:numPr>
              <w:spacing w:after="120"/>
              <w:jc w:val="both"/>
            </w:pPr>
            <w:r w:rsidRPr="00476794">
              <w:rPr>
                <w:rStyle w:val="msoins0"/>
                <w:rFonts w:eastAsia="Times New Roman"/>
              </w:rPr>
              <w:t>jaunas pašvaldības ēkas būvniecībai uz zemes īpašuma, kuru pašvaldība nomā no privātpersonas, ja nomas līgums nav īsāks par pieciem gadiem no projekta noslēguma maksājuma veikšanas finansējuma saņēmējam</w:t>
            </w:r>
            <w:r w:rsidRPr="00476794">
              <w:t>;</w:t>
            </w:r>
          </w:p>
          <w:p w:rsidR="00E11380" w:rsidRPr="00476794" w:rsidRDefault="0025082A" w:rsidP="00E11380">
            <w:pPr>
              <w:numPr>
                <w:ilvl w:val="0"/>
                <w:numId w:val="26"/>
              </w:numPr>
              <w:spacing w:after="120"/>
              <w:jc w:val="both"/>
              <w:rPr>
                <w:rStyle w:val="msoins0"/>
              </w:rPr>
            </w:pPr>
            <w:r w:rsidRPr="00476794">
              <w:rPr>
                <w:rStyle w:val="msoins0"/>
                <w:rFonts w:eastAsia="Times New Roman"/>
              </w:rPr>
              <w:t xml:space="preserve">zemes īpašumā vai būvē, kuru </w:t>
            </w:r>
            <w:r w:rsidR="00E11380" w:rsidRPr="00476794">
              <w:rPr>
                <w:rStyle w:val="msoins0"/>
                <w:rFonts w:eastAsia="Times New Roman"/>
              </w:rPr>
              <w:t>pašvaldība</w:t>
            </w:r>
            <w:r w:rsidRPr="00476794">
              <w:rPr>
                <w:rStyle w:val="msoins0"/>
                <w:rFonts w:eastAsia="Times New Roman"/>
              </w:rPr>
              <w:t xml:space="preserve"> nomā</w:t>
            </w:r>
            <w:r w:rsidR="00E11380" w:rsidRPr="00476794">
              <w:rPr>
                <w:rStyle w:val="msoins0"/>
                <w:rFonts w:eastAsia="Times New Roman"/>
              </w:rPr>
              <w:t xml:space="preserve"> no privātpersonas, ja nomas līgums paredz attiecīgi pašvaldības nomātā zemes īpašuma vai būves izpirkšanu</w:t>
            </w:r>
            <w:r w:rsidR="00E11380" w:rsidRPr="00476794">
              <w:rPr>
                <w:rStyle w:val="msoins0"/>
                <w:bCs/>
              </w:rPr>
              <w:t xml:space="preserve"> (šādu nekustamo īpašumu MK noteikumu projekta izpratnē uzskata par pašvaldības īpašumu).</w:t>
            </w:r>
          </w:p>
          <w:p w:rsidR="005F5380" w:rsidRPr="00476794" w:rsidRDefault="005F5380" w:rsidP="005F5380">
            <w:pPr>
              <w:spacing w:after="120"/>
              <w:jc w:val="both"/>
            </w:pPr>
            <w:r w:rsidRPr="00476794">
              <w:t xml:space="preserve">Vienlaikus, lai nodrošinātu projekta rezultātu ilgtspēju, tiek noteikts, ka </w:t>
            </w:r>
            <w:r w:rsidR="00893BC6" w:rsidRPr="00476794">
              <w:t xml:space="preserve">gan </w:t>
            </w:r>
            <w:r w:rsidRPr="00476794">
              <w:t>īpašuma</w:t>
            </w:r>
            <w:r w:rsidR="00893BC6" w:rsidRPr="00476794">
              <w:t>, gan</w:t>
            </w:r>
            <w:r w:rsidRPr="00476794">
              <w:t xml:space="preserve"> turējuma tiesības attiecībā uz infrastruktūras objektiem nemaina vismaz piecus gadus pēc projekta </w:t>
            </w:r>
            <w:r w:rsidR="009F65D6" w:rsidRPr="00476794">
              <w:t>noslēguma maksājuma veikšanas finansējuma saņēmējam</w:t>
            </w:r>
            <w:r w:rsidR="00D012FF" w:rsidRPr="00476794">
              <w:t>, izņemot gadījumus, kad pašvaldība ātrāk izpērk nomāto īpašumu no privātpersonas</w:t>
            </w:r>
            <w:r w:rsidRPr="00476794">
              <w:t>.</w:t>
            </w:r>
          </w:p>
          <w:p w:rsidR="00683E2E" w:rsidRPr="00476794" w:rsidRDefault="00683E2E" w:rsidP="00683E2E">
            <w:pPr>
              <w:spacing w:after="120"/>
              <w:jc w:val="both"/>
            </w:pPr>
            <w:r w:rsidRPr="00476794">
              <w:t xml:space="preserve">MK noteikumu projektā noteikts projekta īstenošanas maksimālais termiņš – </w:t>
            </w:r>
            <w:r w:rsidR="009F65D6" w:rsidRPr="00476794">
              <w:t>2022</w:t>
            </w:r>
            <w:r w:rsidRPr="00476794">
              <w:t>.gada 31.decembris.</w:t>
            </w:r>
          </w:p>
          <w:p w:rsidR="003A683E" w:rsidRPr="00476794" w:rsidRDefault="003A683E" w:rsidP="006C36E9">
            <w:pPr>
              <w:jc w:val="both"/>
              <w:rPr>
                <w:rFonts w:ascii="EUAlbertina" w:hAnsi="EUAlbertina" w:cs="EUAlbertina"/>
                <w:u w:val="single"/>
              </w:rPr>
            </w:pPr>
            <w:r w:rsidRPr="00476794">
              <w:rPr>
                <w:rFonts w:ascii="EUAlbertina" w:hAnsi="EUAlbertina" w:cs="EUAlbertina"/>
                <w:u w:val="single"/>
              </w:rPr>
              <w:t>Valsts atbalsta komer</w:t>
            </w:r>
            <w:r w:rsidR="00683E2E" w:rsidRPr="00476794">
              <w:rPr>
                <w:rFonts w:ascii="EUAlbertina" w:hAnsi="EUAlbertina" w:cs="EUAlbertina"/>
                <w:u w:val="single"/>
              </w:rPr>
              <w:t>cdarbībai saņemšanas nosacījumi</w:t>
            </w:r>
            <w:r w:rsidR="004C6AE0" w:rsidRPr="00476794">
              <w:rPr>
                <w:rFonts w:ascii="EUAlbertina" w:hAnsi="EUAlbertina" w:cs="EUAlbertina"/>
                <w:u w:val="single"/>
              </w:rPr>
              <w:t xml:space="preserve"> un </w:t>
            </w:r>
            <w:r w:rsidR="004C6AE0" w:rsidRPr="00476794">
              <w:rPr>
                <w:rFonts w:ascii="EUAlbertina" w:hAnsi="EUAlbertina" w:cs="EUAlbertina"/>
                <w:u w:val="single"/>
              </w:rPr>
              <w:lastRenderedPageBreak/>
              <w:t>atmaksājamā palīdzība</w:t>
            </w:r>
          </w:p>
          <w:p w:rsidR="00C12A1D" w:rsidRPr="00476794" w:rsidRDefault="00683E2E" w:rsidP="003A683E">
            <w:pPr>
              <w:spacing w:after="120"/>
              <w:jc w:val="both"/>
              <w:rPr>
                <w:rFonts w:ascii="EUAlbertina" w:hAnsi="EUAlbertina" w:cs="EUAlbertina"/>
              </w:rPr>
            </w:pPr>
            <w:r w:rsidRPr="00476794">
              <w:rPr>
                <w:rFonts w:ascii="EUAlbertina" w:hAnsi="EUAlbertina" w:cs="EUAlbertina"/>
              </w:rPr>
              <w:t xml:space="preserve">Izstrādājot MK noteikumu projektu, ir ņemtas vērā ar valsts atbalsta </w:t>
            </w:r>
            <w:r w:rsidR="00893BC6" w:rsidRPr="00476794">
              <w:rPr>
                <w:rFonts w:ascii="EUAlbertina" w:hAnsi="EUAlbertina" w:cs="EUAlbertina"/>
              </w:rPr>
              <w:t xml:space="preserve">komercdarbībai </w:t>
            </w:r>
            <w:r w:rsidRPr="00476794">
              <w:rPr>
                <w:rFonts w:ascii="EUAlbertina" w:hAnsi="EUAlbertina" w:cs="EUAlbertina"/>
              </w:rPr>
              <w:t xml:space="preserve">saņemšanu saistītās normas. </w:t>
            </w:r>
          </w:p>
          <w:p w:rsidR="00893BC6" w:rsidRPr="00476794" w:rsidRDefault="00893BC6" w:rsidP="00893BC6">
            <w:pPr>
              <w:spacing w:before="120"/>
              <w:jc w:val="both"/>
              <w:outlineLvl w:val="0"/>
            </w:pPr>
            <w:r w:rsidRPr="00476794">
              <w:rPr>
                <w:rFonts w:ascii="EUAlbertina" w:hAnsi="EUAlbertina" w:cs="EUAlbertina"/>
              </w:rPr>
              <w:t xml:space="preserve">MK noteikumu projekta ietvaros ir pieļaujams valsts </w:t>
            </w:r>
            <w:r w:rsidRPr="00476794">
              <w:t>atbalsts komercdarbībai saskaņā ar:</w:t>
            </w:r>
          </w:p>
          <w:p w:rsidR="00893BC6" w:rsidRPr="00476794" w:rsidRDefault="00893BC6" w:rsidP="00893BC6">
            <w:pPr>
              <w:numPr>
                <w:ilvl w:val="0"/>
                <w:numId w:val="21"/>
              </w:numPr>
              <w:spacing w:before="120"/>
              <w:ind w:left="493"/>
              <w:jc w:val="both"/>
              <w:outlineLvl w:val="0"/>
            </w:pPr>
            <w:r w:rsidRPr="00476794">
              <w:t xml:space="preserve">Komisijas 2014.gada 17.jūnija regulas (ES) Nr.651/2014, ar ko noteiktas atbalsta kategorijas atzīst par saderīgām ar iekšējo tirgu, piemērojot Līguma 107. un 108.pantu </w:t>
            </w:r>
            <w:r w:rsidRPr="00476794">
              <w:rPr>
                <w:bCs/>
              </w:rPr>
              <w:t xml:space="preserve">(ES Oficiālais Vēstnesis, 2014.gada 26.jūnijs, </w:t>
            </w:r>
            <w:proofErr w:type="spellStart"/>
            <w:r w:rsidRPr="00476794">
              <w:rPr>
                <w:bCs/>
              </w:rPr>
              <w:t>Nr.L</w:t>
            </w:r>
            <w:proofErr w:type="spellEnd"/>
            <w:r w:rsidRPr="00476794">
              <w:rPr>
                <w:bCs/>
              </w:rPr>
              <w:t xml:space="preserve"> 187/1) (turpmāk </w:t>
            </w:r>
            <w:r w:rsidRPr="00476794">
              <w:t>–</w:t>
            </w:r>
            <w:r w:rsidRPr="00476794">
              <w:rPr>
                <w:bCs/>
              </w:rPr>
              <w:t xml:space="preserve"> Komisijas regula Nr.651/2014)</w:t>
            </w:r>
            <w:r w:rsidRPr="00476794">
              <w:t xml:space="preserve"> 14., 48.un 56.pantu, ja atbalstu plānots piešķirt mazajiem (sīkajiem) vai vidējiem komersantiem</w:t>
            </w:r>
            <w:r w:rsidR="00262140" w:rsidRPr="00476794">
              <w:t>, pašvaldībām, pašvaldību iestādēm, pašvaldību kapitālsabiedrībām, kas veic pašvaldības deleģēto pārvaldes uzdevumu izpildi</w:t>
            </w:r>
            <w:r w:rsidRPr="00476794">
              <w:t>;</w:t>
            </w:r>
          </w:p>
          <w:p w:rsidR="00893BC6" w:rsidRPr="00476794" w:rsidRDefault="00893BC6" w:rsidP="00893BC6">
            <w:pPr>
              <w:numPr>
                <w:ilvl w:val="0"/>
                <w:numId w:val="21"/>
              </w:numPr>
              <w:spacing w:before="120"/>
              <w:ind w:left="493"/>
              <w:jc w:val="both"/>
              <w:outlineLvl w:val="0"/>
            </w:pPr>
            <w:r w:rsidRPr="00476794">
              <w:t xml:space="preserve">Komisijas 2014.gada 25.jūnija regulas (ES) Nr.702/2014, ar kuru konkrētas atbalsta kategorijas lauksaimniecības un mežsaimniecības nozarē un lauku apvidos atzīst par saderīgām ar iekšējo tirgu, piemērojot Līguma par Eiropas Savienības darbību 107.un 108.pantu </w:t>
            </w:r>
            <w:r w:rsidRPr="00476794">
              <w:rPr>
                <w:bCs/>
              </w:rPr>
              <w:t xml:space="preserve">(ES Oficiālais Vēstnesis, 2014.gada 1.jūlijs, </w:t>
            </w:r>
            <w:proofErr w:type="spellStart"/>
            <w:r w:rsidRPr="00476794">
              <w:rPr>
                <w:bCs/>
              </w:rPr>
              <w:t>Nr.L</w:t>
            </w:r>
            <w:proofErr w:type="spellEnd"/>
            <w:r w:rsidRPr="00476794">
              <w:rPr>
                <w:bCs/>
              </w:rPr>
              <w:t xml:space="preserve"> 193/1)</w:t>
            </w:r>
            <w:r w:rsidRPr="00476794">
              <w:t xml:space="preserve"> </w:t>
            </w:r>
            <w:r w:rsidRPr="00476794">
              <w:rPr>
                <w:bCs/>
              </w:rPr>
              <w:t xml:space="preserve">(turpmāk </w:t>
            </w:r>
            <w:r w:rsidRPr="00476794">
              <w:t>–</w:t>
            </w:r>
            <w:r w:rsidRPr="00476794">
              <w:rPr>
                <w:bCs/>
              </w:rPr>
              <w:t xml:space="preserve"> Komisijas regula Nr.702/2014)</w:t>
            </w:r>
            <w:r w:rsidRPr="00476794">
              <w:t xml:space="preserve"> 14.pantu, ja atbalstu plānots piešķirt </w:t>
            </w:r>
            <w:r w:rsidR="00D34C3B" w:rsidRPr="00476794">
              <w:t xml:space="preserve">privātajiem </w:t>
            </w:r>
            <w:r w:rsidRPr="00476794">
              <w:t>komersantiem, kas nodarbojas ar primāro lauksaimniecību;</w:t>
            </w:r>
          </w:p>
          <w:p w:rsidR="00893BC6" w:rsidRPr="00476794" w:rsidRDefault="00893BC6" w:rsidP="00893BC6">
            <w:pPr>
              <w:numPr>
                <w:ilvl w:val="0"/>
                <w:numId w:val="21"/>
              </w:numPr>
              <w:spacing w:before="120"/>
              <w:ind w:left="493"/>
              <w:jc w:val="both"/>
              <w:outlineLvl w:val="0"/>
            </w:pPr>
            <w:r w:rsidRPr="00476794">
              <w:t xml:space="preserve">Komisijas 2014.gada 16.decembra regulas (ES) Nr.1388/2014, ar ko konkrētas atbalsta kategorijas uzņēmumiem, kuri nodarbojas ar zvejas un akvakultūras produktu ražošanu, apstrādi un tirdzniecību, atzīst par saderīgām ar iekšējo tirgu, piemērojot Līguma par Eiropas Savienības darbību 107. un 108.pantu </w:t>
            </w:r>
            <w:r w:rsidRPr="00476794">
              <w:rPr>
                <w:bCs/>
              </w:rPr>
              <w:t xml:space="preserve">(ES Oficiālais Vēstnesis, 2014.gada 24.decembris, </w:t>
            </w:r>
            <w:proofErr w:type="spellStart"/>
            <w:r w:rsidRPr="00476794">
              <w:rPr>
                <w:bCs/>
              </w:rPr>
              <w:t>Nr.L</w:t>
            </w:r>
            <w:proofErr w:type="spellEnd"/>
            <w:r w:rsidRPr="00476794">
              <w:rPr>
                <w:bCs/>
              </w:rPr>
              <w:t xml:space="preserve"> 369)</w:t>
            </w:r>
            <w:r w:rsidRPr="00476794">
              <w:t xml:space="preserve"> </w:t>
            </w:r>
            <w:r w:rsidRPr="00476794">
              <w:rPr>
                <w:bCs/>
              </w:rPr>
              <w:t xml:space="preserve">(turpmāk </w:t>
            </w:r>
            <w:r w:rsidRPr="00476794">
              <w:t>–</w:t>
            </w:r>
            <w:r w:rsidRPr="00476794">
              <w:rPr>
                <w:bCs/>
              </w:rPr>
              <w:t xml:space="preserve"> Komisijas regula Nr.1388/2014) </w:t>
            </w:r>
            <w:r w:rsidRPr="00476794">
              <w:t xml:space="preserve">27., 28., 31.un 42.pantu, ja atbalstu plānots piešķirt zvejnieku saimniecībām un </w:t>
            </w:r>
            <w:r w:rsidR="00D34C3B" w:rsidRPr="00476794">
              <w:t xml:space="preserve">privātajiem </w:t>
            </w:r>
            <w:r w:rsidRPr="00476794">
              <w:t xml:space="preserve">komersantiem, kas nodarbojas ar zvejas un akvakultūras produktu ražošanu, apstrādi un tirdzniecību. </w:t>
            </w:r>
          </w:p>
          <w:p w:rsidR="00893BC6" w:rsidRPr="00476794" w:rsidRDefault="00893BC6" w:rsidP="00893BC6">
            <w:pPr>
              <w:spacing w:before="120"/>
              <w:jc w:val="both"/>
              <w:outlineLvl w:val="0"/>
            </w:pPr>
            <w:r w:rsidRPr="00476794">
              <w:t xml:space="preserve">Savukārt projekta iesnieguma sagatavošanas izmaksas pirms projekta iesnieguma iesniegšanas valsts atbalsta komercdarbībai gadījumā ir pieļaujamas kā </w:t>
            </w:r>
            <w:proofErr w:type="spellStart"/>
            <w:r w:rsidRPr="00476794">
              <w:rPr>
                <w:i/>
              </w:rPr>
              <w:t>de</w:t>
            </w:r>
            <w:proofErr w:type="spellEnd"/>
            <w:r w:rsidRPr="00476794">
              <w:rPr>
                <w:i/>
              </w:rPr>
              <w:t xml:space="preserve"> </w:t>
            </w:r>
            <w:proofErr w:type="spellStart"/>
            <w:r w:rsidRPr="00476794">
              <w:rPr>
                <w:i/>
              </w:rPr>
              <w:t>minimis</w:t>
            </w:r>
            <w:proofErr w:type="spellEnd"/>
            <w:r w:rsidRPr="00476794">
              <w:t xml:space="preserve"> atbalsts saskaņā ar:</w:t>
            </w:r>
          </w:p>
          <w:p w:rsidR="00893BC6" w:rsidRPr="00476794" w:rsidRDefault="00893BC6" w:rsidP="00893BC6">
            <w:pPr>
              <w:numPr>
                <w:ilvl w:val="0"/>
                <w:numId w:val="22"/>
              </w:numPr>
              <w:spacing w:before="120"/>
              <w:ind w:left="493"/>
              <w:jc w:val="both"/>
              <w:outlineLvl w:val="0"/>
            </w:pPr>
            <w:r w:rsidRPr="00476794">
              <w:t>Komisijas 2013.gada 18.decembra Regulu (ES) Nr.</w:t>
            </w:r>
            <w:hyperlink r:id="rId12" w:tgtFrame="_blank" w:history="1">
              <w:r w:rsidRPr="00476794">
                <w:rPr>
                  <w:rStyle w:val="Hyperlink"/>
                  <w:color w:val="auto"/>
                  <w:u w:val="none"/>
                </w:rPr>
                <w:t>1407/2013</w:t>
              </w:r>
            </w:hyperlink>
            <w:r w:rsidRPr="00476794">
              <w:t xml:space="preserve"> par Līguma par ES darbību </w:t>
            </w:r>
            <w:hyperlink r:id="rId13" w:anchor="p107" w:tgtFrame="_blank" w:history="1">
              <w:r w:rsidRPr="00476794">
                <w:rPr>
                  <w:rStyle w:val="Hyperlink"/>
                  <w:color w:val="auto"/>
                  <w:u w:val="none"/>
                </w:rPr>
                <w:t xml:space="preserve">107. </w:t>
              </w:r>
            </w:hyperlink>
            <w:r w:rsidRPr="00476794">
              <w:t xml:space="preserve">un </w:t>
            </w:r>
            <w:hyperlink r:id="rId14" w:anchor="p108" w:tgtFrame="_blank" w:history="1">
              <w:r w:rsidRPr="00476794">
                <w:rPr>
                  <w:rStyle w:val="Hyperlink"/>
                  <w:color w:val="auto"/>
                  <w:u w:val="none"/>
                </w:rPr>
                <w:t>108. panta</w:t>
              </w:r>
            </w:hyperlink>
            <w:r w:rsidRPr="00476794">
              <w:t xml:space="preserve"> piemērošanu </w:t>
            </w:r>
            <w:proofErr w:type="spellStart"/>
            <w:r w:rsidRPr="00476794">
              <w:rPr>
                <w:i/>
                <w:iCs/>
              </w:rPr>
              <w:t>de</w:t>
            </w:r>
            <w:proofErr w:type="spellEnd"/>
            <w:r w:rsidRPr="00476794">
              <w:rPr>
                <w:i/>
                <w:iCs/>
              </w:rPr>
              <w:t xml:space="preserve"> </w:t>
            </w:r>
            <w:proofErr w:type="spellStart"/>
            <w:r w:rsidRPr="00476794">
              <w:rPr>
                <w:i/>
                <w:iCs/>
              </w:rPr>
              <w:t>minimis</w:t>
            </w:r>
            <w:proofErr w:type="spellEnd"/>
            <w:r w:rsidRPr="00476794">
              <w:t xml:space="preserve"> atbalstam (ES Oficiālais Vēstnesis, 2013.gada 24.decembris </w:t>
            </w:r>
            <w:proofErr w:type="spellStart"/>
            <w:r w:rsidRPr="00476794">
              <w:t>Nr.L</w:t>
            </w:r>
            <w:proofErr w:type="spellEnd"/>
            <w:r w:rsidRPr="00476794">
              <w:t xml:space="preserve"> 352) (turpmāk – Komisijas regula Nr.</w:t>
            </w:r>
            <w:hyperlink r:id="rId15" w:tgtFrame="_blank" w:history="1">
              <w:r w:rsidRPr="00476794">
                <w:rPr>
                  <w:rStyle w:val="Hyperlink"/>
                  <w:color w:val="auto"/>
                  <w:u w:val="none"/>
                </w:rPr>
                <w:t>1407/2013</w:t>
              </w:r>
            </w:hyperlink>
            <w:r w:rsidRPr="00476794">
              <w:t>);</w:t>
            </w:r>
          </w:p>
          <w:p w:rsidR="00893BC6" w:rsidRPr="00476794" w:rsidRDefault="00893BC6" w:rsidP="00893BC6">
            <w:pPr>
              <w:numPr>
                <w:ilvl w:val="0"/>
                <w:numId w:val="22"/>
              </w:numPr>
              <w:spacing w:before="120"/>
              <w:ind w:left="493"/>
              <w:jc w:val="both"/>
              <w:outlineLvl w:val="0"/>
            </w:pPr>
            <w:r w:rsidRPr="00476794">
              <w:lastRenderedPageBreak/>
              <w:t>Komisijas 2014.gada 27.jūnija Regulu (EK) Nr.</w:t>
            </w:r>
            <w:hyperlink r:id="rId16" w:tgtFrame="_blank" w:history="1">
              <w:r w:rsidRPr="00476794">
                <w:rPr>
                  <w:rStyle w:val="Hyperlink"/>
                  <w:color w:val="auto"/>
                  <w:u w:val="none"/>
                </w:rPr>
                <w:t>717/2014</w:t>
              </w:r>
            </w:hyperlink>
            <w:r w:rsidRPr="00476794">
              <w:t xml:space="preserve"> par Līguma par ES darbību 107. un 108.panta piemērošanu </w:t>
            </w:r>
            <w:proofErr w:type="spellStart"/>
            <w:r w:rsidRPr="00476794">
              <w:rPr>
                <w:i/>
                <w:iCs/>
              </w:rPr>
              <w:t>de</w:t>
            </w:r>
            <w:proofErr w:type="spellEnd"/>
            <w:r w:rsidRPr="00476794">
              <w:rPr>
                <w:i/>
                <w:iCs/>
              </w:rPr>
              <w:t xml:space="preserve"> </w:t>
            </w:r>
            <w:proofErr w:type="spellStart"/>
            <w:r w:rsidRPr="00476794">
              <w:rPr>
                <w:i/>
                <w:iCs/>
              </w:rPr>
              <w:t>minimis</w:t>
            </w:r>
            <w:proofErr w:type="spellEnd"/>
            <w:r w:rsidRPr="00476794">
              <w:t xml:space="preserve"> atbalstam zvejniecības un akvakultūras nozarē (ES Oficiālais Vēstnesis, 2014. gada 28. jūnijs, Nr. L 190) (turpmāk – Komisijas regula Nr.</w:t>
            </w:r>
            <w:hyperlink r:id="rId17" w:tgtFrame="_blank" w:history="1">
              <w:r w:rsidRPr="00476794">
                <w:rPr>
                  <w:rStyle w:val="Hyperlink"/>
                  <w:color w:val="auto"/>
                  <w:u w:val="none"/>
                </w:rPr>
                <w:t>717/2014</w:t>
              </w:r>
            </w:hyperlink>
            <w:r w:rsidRPr="00476794">
              <w:t>) attiecībā uz zivsaimniecības uzņēmumiem, kas darbojas saskaņā ar Eiropas Parlamenta un Padomes 2013.gada 11.decembra Regulu (ES) Nr.</w:t>
            </w:r>
            <w:hyperlink r:id="rId18" w:tgtFrame="_blank" w:history="1">
              <w:r w:rsidRPr="00476794">
                <w:rPr>
                  <w:rStyle w:val="Hyperlink"/>
                  <w:color w:val="auto"/>
                  <w:u w:val="none"/>
                </w:rPr>
                <w:t>1379/2013</w:t>
              </w:r>
            </w:hyperlink>
            <w:r w:rsidRPr="00476794">
              <w:t xml:space="preserve"> par zvejas un akvakultūras produktu tirgu kopīgo organizāciju un ar ko groza Padomes Regulas (EK) Nr.</w:t>
            </w:r>
            <w:hyperlink r:id="rId19" w:tgtFrame="_blank" w:history="1">
              <w:r w:rsidRPr="00476794">
                <w:rPr>
                  <w:rStyle w:val="Hyperlink"/>
                  <w:color w:val="auto"/>
                  <w:u w:val="none"/>
                </w:rPr>
                <w:t>1184/2006</w:t>
              </w:r>
            </w:hyperlink>
            <w:r w:rsidRPr="00476794">
              <w:t xml:space="preserve"> un (EK) Nr.1224/2009 un atceļ Padomes Regulu (EK) Nr. </w:t>
            </w:r>
            <w:hyperlink r:id="rId20" w:tgtFrame="_blank" w:history="1">
              <w:r w:rsidRPr="00476794">
                <w:rPr>
                  <w:rStyle w:val="Hyperlink"/>
                  <w:color w:val="auto"/>
                  <w:u w:val="none"/>
                </w:rPr>
                <w:t>104/2000</w:t>
              </w:r>
            </w:hyperlink>
            <w:r w:rsidRPr="00476794">
              <w:t xml:space="preserve"> (ES Oficiālais Vēstnesis, 2013.gada 28.decembris, </w:t>
            </w:r>
            <w:proofErr w:type="spellStart"/>
            <w:r w:rsidRPr="00476794">
              <w:t>Nr.L</w:t>
            </w:r>
            <w:proofErr w:type="spellEnd"/>
            <w:r w:rsidRPr="00476794">
              <w:t xml:space="preserve"> 354);</w:t>
            </w:r>
          </w:p>
          <w:p w:rsidR="00893BC6" w:rsidRPr="00476794" w:rsidRDefault="00893BC6" w:rsidP="008712F1">
            <w:pPr>
              <w:numPr>
                <w:ilvl w:val="0"/>
                <w:numId w:val="22"/>
              </w:numPr>
              <w:spacing w:before="120" w:after="240"/>
              <w:ind w:left="493"/>
              <w:jc w:val="both"/>
              <w:outlineLvl w:val="0"/>
            </w:pPr>
            <w:r w:rsidRPr="00476794">
              <w:t>Komisijas 2013.gada 18.decembra Regulu (ES) Nr.</w:t>
            </w:r>
            <w:hyperlink r:id="rId21" w:tgtFrame="_blank" w:history="1">
              <w:r w:rsidRPr="00476794">
                <w:rPr>
                  <w:rStyle w:val="Hyperlink"/>
                  <w:color w:val="auto"/>
                  <w:u w:val="none"/>
                </w:rPr>
                <w:t>1408/2013</w:t>
              </w:r>
            </w:hyperlink>
            <w:r w:rsidRPr="00476794">
              <w:t xml:space="preserve"> par Līguma par ES darbību 107. un 108. panta piemērošanu </w:t>
            </w:r>
            <w:proofErr w:type="spellStart"/>
            <w:r w:rsidRPr="00476794">
              <w:rPr>
                <w:i/>
                <w:iCs/>
              </w:rPr>
              <w:t>de</w:t>
            </w:r>
            <w:proofErr w:type="spellEnd"/>
            <w:r w:rsidRPr="00476794">
              <w:rPr>
                <w:i/>
                <w:iCs/>
              </w:rPr>
              <w:t xml:space="preserve"> </w:t>
            </w:r>
            <w:proofErr w:type="spellStart"/>
            <w:r w:rsidRPr="00476794">
              <w:rPr>
                <w:i/>
                <w:iCs/>
              </w:rPr>
              <w:t>minimis</w:t>
            </w:r>
            <w:proofErr w:type="spellEnd"/>
            <w:r w:rsidRPr="00476794">
              <w:t xml:space="preserve"> atbalstam lauksaimniecības nozarē (ES Oficiālais Vēstnesis, 2013.gada 24.decembris, Nr. L 352) (turpmāk - Komisijas regula Nr.</w:t>
            </w:r>
            <w:hyperlink r:id="rId22" w:tgtFrame="_blank" w:history="1">
              <w:r w:rsidRPr="00476794">
                <w:rPr>
                  <w:rStyle w:val="Hyperlink"/>
                  <w:color w:val="auto"/>
                  <w:u w:val="none"/>
                </w:rPr>
                <w:t>1408/2013</w:t>
              </w:r>
            </w:hyperlink>
            <w:r w:rsidRPr="00476794">
              <w:t>).</w:t>
            </w:r>
          </w:p>
          <w:p w:rsidR="00D012FF" w:rsidRPr="00476794" w:rsidRDefault="00D012FF" w:rsidP="00D012FF">
            <w:pPr>
              <w:spacing w:before="120" w:after="120"/>
              <w:jc w:val="both"/>
              <w:rPr>
                <w:rFonts w:ascii="EUAlbertina" w:hAnsi="EUAlbertina" w:cs="EUAlbertina"/>
              </w:rPr>
            </w:pPr>
            <w:r w:rsidRPr="00476794">
              <w:rPr>
                <w:rFonts w:ascii="EUAlbertina" w:hAnsi="EUAlbertina" w:cs="EUAlbertina"/>
              </w:rPr>
              <w:t xml:space="preserve">Ņemot vērā MK noteikumu projektā noteikto ierobežojumu, ka </w:t>
            </w:r>
            <w:r w:rsidRPr="00476794">
              <w:t>pirmās atlases kārtas projektos</w:t>
            </w:r>
            <w:r w:rsidR="003A1CEC" w:rsidRPr="00476794">
              <w:t xml:space="preserve"> un trešās atlases kārtas nacionālas nozīmes attīstības centru pašvaldībām, to iestādēm un nacionālas nozīmes attīstības centru pašvaldību kapitālsabiedrībām, kas veic pašvaldības deleģēto pārvaldes uzdevumu izpildi,</w:t>
            </w:r>
            <w:r w:rsidRPr="00476794">
              <w:t xml:space="preserve"> sadarbības partneris nevar būt tāds privātais komersants (piemēram, zvejnieku un zemnieku saimniecības vai mazie (sīkie) un vidējie komersanti), kas nodarbojas ar primāro lauksaimniecisko ražošanu, zvejas un akvakultūras produktu ražošanu vai zvejas un akvakultūras produktu apstrādi, uz </w:t>
            </w:r>
            <w:r w:rsidR="003A1CEC" w:rsidRPr="00476794">
              <w:t>p</w:t>
            </w:r>
            <w:r w:rsidRPr="00476794">
              <w:t>irm</w:t>
            </w:r>
            <w:r w:rsidR="003A1CEC" w:rsidRPr="00476794">
              <w:t>o</w:t>
            </w:r>
            <w:r w:rsidRPr="00476794">
              <w:t xml:space="preserve"> atlases kārt</w:t>
            </w:r>
            <w:r w:rsidR="003A1CEC" w:rsidRPr="00476794">
              <w:t>u un trešās atlases kārtas nacionālas nozīmes attīstības centru pašvaldībām, to iestādēm un nacionālas nozīmes attīstības centru pašvaldību kapitālsabiedrībām, kas veic pašvaldības deleģēto pārvaldes uzdevumu izpildi,</w:t>
            </w:r>
            <w:r w:rsidRPr="00476794">
              <w:t xml:space="preserve"> nav attiecināmi </w:t>
            </w:r>
            <w:r w:rsidRPr="00476794">
              <w:rPr>
                <w:bCs/>
              </w:rPr>
              <w:t xml:space="preserve">Komisijas regulas Nr.702/2014, Komisijas regulas Nr.1388/2014, </w:t>
            </w:r>
            <w:r w:rsidRPr="00476794">
              <w:t>Komisijas regulas Nr.</w:t>
            </w:r>
            <w:hyperlink r:id="rId23" w:tgtFrame="_blank" w:history="1">
              <w:r w:rsidRPr="00476794">
                <w:rPr>
                  <w:rStyle w:val="Hyperlink"/>
                  <w:color w:val="auto"/>
                  <w:u w:val="none"/>
                </w:rPr>
                <w:t>717/2014</w:t>
              </w:r>
            </w:hyperlink>
            <w:r w:rsidRPr="00476794">
              <w:rPr>
                <w:rStyle w:val="Hyperlink"/>
                <w:color w:val="auto"/>
                <w:u w:val="none"/>
              </w:rPr>
              <w:t xml:space="preserve"> un </w:t>
            </w:r>
            <w:r w:rsidRPr="00476794">
              <w:t>Komisijas regulas Nr.</w:t>
            </w:r>
            <w:hyperlink r:id="rId24" w:tgtFrame="_blank" w:history="1">
              <w:r w:rsidRPr="00476794">
                <w:rPr>
                  <w:rStyle w:val="Hyperlink"/>
                  <w:color w:val="auto"/>
                  <w:u w:val="none"/>
                </w:rPr>
                <w:t>1408/2013</w:t>
              </w:r>
            </w:hyperlink>
            <w:r w:rsidRPr="00476794">
              <w:rPr>
                <w:rStyle w:val="Hyperlink"/>
                <w:color w:val="auto"/>
                <w:u w:val="none"/>
              </w:rPr>
              <w:t xml:space="preserve"> nosacījumi.</w:t>
            </w:r>
          </w:p>
          <w:p w:rsidR="00C12A1D" w:rsidRPr="00476794" w:rsidRDefault="00C12A1D" w:rsidP="003013F9">
            <w:pPr>
              <w:autoSpaceDE w:val="0"/>
              <w:autoSpaceDN w:val="0"/>
              <w:adjustRightInd w:val="0"/>
              <w:spacing w:after="120"/>
              <w:jc w:val="both"/>
              <w:rPr>
                <w:rFonts w:ascii="EUAlbertina" w:hAnsi="EUAlbertina" w:cs="EUAlbertina"/>
              </w:rPr>
            </w:pPr>
            <w:r w:rsidRPr="00476794">
              <w:rPr>
                <w:rFonts w:ascii="EUAlbertina" w:hAnsi="EUAlbertina" w:cs="EUAlbertina"/>
              </w:rPr>
              <w:t xml:space="preserve">Nepieciešamības gadījumā projekta iesniedzējs projekta ietvaros var plānot nepieciešamo inženierkomunikāciju ierīkošanu vai attīstību atbilstoši </w:t>
            </w:r>
            <w:r w:rsidR="00C80AC9" w:rsidRPr="00476794">
              <w:rPr>
                <w:rFonts w:ascii="EUAlbertina" w:hAnsi="EUAlbertina" w:cs="EUAlbertina"/>
              </w:rPr>
              <w:t>privāto</w:t>
            </w:r>
            <w:r w:rsidRPr="00476794">
              <w:rPr>
                <w:rFonts w:ascii="EUAlbertina" w:hAnsi="EUAlbertina" w:cs="EUAlbertina"/>
              </w:rPr>
              <w:t xml:space="preserve"> komersantu vajadzībām, t.sk., elektroenerģijas </w:t>
            </w:r>
            <w:r w:rsidR="009F65D6" w:rsidRPr="00476794">
              <w:rPr>
                <w:rFonts w:ascii="EUAlbertina" w:hAnsi="EUAlbertina" w:cs="EUAlbertina"/>
              </w:rPr>
              <w:t xml:space="preserve">un gāzes </w:t>
            </w:r>
            <w:r w:rsidRPr="00476794">
              <w:rPr>
                <w:rFonts w:ascii="EUAlbertina" w:hAnsi="EUAlbertina" w:cs="EUAlbertina"/>
              </w:rPr>
              <w:t xml:space="preserve">pieslēgumu ierīkošanu, īstenot to kā daļu no infrastruktūras uzlabojumiem pašvaldības projektā, ievērojot MK </w:t>
            </w:r>
            <w:r w:rsidR="009F65D6" w:rsidRPr="00476794">
              <w:rPr>
                <w:rFonts w:ascii="EUAlbertina" w:hAnsi="EUAlbertina" w:cs="EUAlbertina"/>
              </w:rPr>
              <w:t>noteikumu projektā</w:t>
            </w:r>
            <w:r w:rsidRPr="00476794">
              <w:rPr>
                <w:rFonts w:ascii="EUAlbertina" w:hAnsi="EUAlbertina" w:cs="EUAlbertina"/>
              </w:rPr>
              <w:t xml:space="preserve"> noteiktos valsts atbalsta</w:t>
            </w:r>
            <w:r w:rsidR="009F65D6" w:rsidRPr="00476794">
              <w:rPr>
                <w:rFonts w:ascii="EUAlbertina" w:hAnsi="EUAlbertina" w:cs="EUAlbertina"/>
              </w:rPr>
              <w:t xml:space="preserve"> komercdarbībai</w:t>
            </w:r>
            <w:r w:rsidRPr="00476794">
              <w:rPr>
                <w:rFonts w:ascii="EUAlbertina" w:hAnsi="EUAlbertina" w:cs="EUAlbertina"/>
              </w:rPr>
              <w:t xml:space="preserve"> nosacījumus.</w:t>
            </w:r>
          </w:p>
          <w:p w:rsidR="003A683E" w:rsidRPr="00476794" w:rsidRDefault="009F65D6" w:rsidP="003A683E">
            <w:pPr>
              <w:spacing w:after="120"/>
              <w:jc w:val="both"/>
            </w:pPr>
            <w:r w:rsidRPr="00476794">
              <w:t>Atbalsta intensitātes</w:t>
            </w:r>
            <w:r w:rsidR="00683E2E" w:rsidRPr="00476794">
              <w:t xml:space="preserve"> dažādām darbībām</w:t>
            </w:r>
            <w:r w:rsidR="00E6433B" w:rsidRPr="00476794">
              <w:t xml:space="preserve"> un izmaksu pozīcijām</w:t>
            </w:r>
            <w:r w:rsidR="00683E2E" w:rsidRPr="00476794">
              <w:t xml:space="preserve"> viena projekta ietvaros var būt atšķirīga</w:t>
            </w:r>
            <w:r w:rsidR="005820B2" w:rsidRPr="00476794">
              <w:t>s</w:t>
            </w:r>
            <w:r w:rsidR="00683E2E" w:rsidRPr="00476794">
              <w:t xml:space="preserve"> un tiek </w:t>
            </w:r>
            <w:r w:rsidR="00683E2E" w:rsidRPr="00476794">
              <w:lastRenderedPageBreak/>
              <w:t>piemērota</w:t>
            </w:r>
            <w:r w:rsidR="005820B2" w:rsidRPr="00476794">
              <w:t>s</w:t>
            </w:r>
            <w:r w:rsidR="00683E2E" w:rsidRPr="00476794">
              <w:t xml:space="preserve"> atkarībā no darbības ietvaros izveidotās infrastruktūras izmantošanas veida</w:t>
            </w:r>
            <w:r w:rsidR="003A683E" w:rsidRPr="00476794">
              <w:t xml:space="preserve">. </w:t>
            </w:r>
          </w:p>
          <w:p w:rsidR="00E111FF" w:rsidRPr="00476794" w:rsidRDefault="00BE6482" w:rsidP="00BE6482">
            <w:pPr>
              <w:spacing w:after="120"/>
              <w:jc w:val="both"/>
            </w:pPr>
            <w:r w:rsidRPr="00476794">
              <w:t xml:space="preserve">Piemēram, projekta ietvaros plānotajām darbību izmaksām publiskajā infrastruktūrā, ja tā ir publiski pieejama, piemēro 85 procentus ERAF līdzfinansējumu, bet projekta ietvaros plānotajām gāzes un elektroenerģijas infrastruktūras ierīkošana izmaksām, ja minētā infrastruktūra ir nepieciešama </w:t>
            </w:r>
            <w:r w:rsidR="009F65D6" w:rsidRPr="00476794">
              <w:t xml:space="preserve">privātajam </w:t>
            </w:r>
            <w:r w:rsidRPr="00476794">
              <w:t xml:space="preserve">komersantam (infrastruktūras izbūvi līdz </w:t>
            </w:r>
            <w:r w:rsidR="006436A9" w:rsidRPr="00476794">
              <w:t xml:space="preserve">elektroenerģijas un gāzes skaitītājam privātā </w:t>
            </w:r>
            <w:r w:rsidRPr="00476794">
              <w:t xml:space="preserve">komersanta īpašumam līdzfinansē </w:t>
            </w:r>
            <w:r w:rsidR="006436A9" w:rsidRPr="00476794">
              <w:t xml:space="preserve">privātais </w:t>
            </w:r>
            <w:r w:rsidRPr="00476794">
              <w:t>komersants kā sadarbības partneris, bet atbalstītie infrastruktūras objekti pēc projekta īstenošanas ir sadales sistēmas operatora</w:t>
            </w:r>
            <w:r w:rsidR="00A06E26" w:rsidRPr="00476794">
              <w:t xml:space="preserve"> īpašumā</w:t>
            </w:r>
            <w:r w:rsidRPr="00476794">
              <w:t>) piemēro 55</w:t>
            </w:r>
            <w:r w:rsidR="006436A9" w:rsidRPr="00476794">
              <w:t>, 50</w:t>
            </w:r>
            <w:r w:rsidRPr="00476794">
              <w:t xml:space="preserve"> vai 45 procentus ERAF līdzfinansējumu (atkarībā no </w:t>
            </w:r>
            <w:r w:rsidR="006436A9" w:rsidRPr="00476794">
              <w:t>privāt</w:t>
            </w:r>
            <w:r w:rsidR="00E111FF" w:rsidRPr="00476794">
              <w:t>ā</w:t>
            </w:r>
            <w:r w:rsidR="006436A9" w:rsidRPr="00476794">
              <w:t xml:space="preserve"> </w:t>
            </w:r>
            <w:r w:rsidRPr="00476794">
              <w:t>komersanta statusa).</w:t>
            </w:r>
            <w:r w:rsidR="00D66982" w:rsidRPr="00476794">
              <w:t xml:space="preserve"> Pārējām</w:t>
            </w:r>
            <w:r w:rsidR="003525DB" w:rsidRPr="00476794">
              <w:t xml:space="preserve"> </w:t>
            </w:r>
            <w:r w:rsidR="00310B09" w:rsidRPr="00476794">
              <w:t xml:space="preserve">izmaksām </w:t>
            </w:r>
            <w:r w:rsidR="00D66982" w:rsidRPr="00476794">
              <w:t>(piemēram, projekta sagatavošanas izmaksas, būvuzraudzība</w:t>
            </w:r>
            <w:r w:rsidR="00CD4CE5" w:rsidRPr="00476794">
              <w:t>s izmaksas</w:t>
            </w:r>
            <w:r w:rsidR="00D66982" w:rsidRPr="00476794">
              <w:t>, pievienotās vērtības nodoklis u.c. izmaksas)</w:t>
            </w:r>
            <w:r w:rsidR="003525DB" w:rsidRPr="00476794">
              <w:t xml:space="preserve">, kas ir saistītas ar </w:t>
            </w:r>
            <w:r w:rsidR="00D66982" w:rsidRPr="00476794">
              <w:t>tām izmaksām, kurām atkarībā no ieguldījuma veida piemēro īpašu valsts atbalsta komercdarbībai regulējumu, piemēro tādu pašu atbalsta intensitāti, kā projekta pamatizmaksām. Tā saucamajos kombinētajos projektos, kuros paredzēti ieguldījumi gan ar valsts atbalstu komercdarbībai saistītos, gan nesaistītos objektos</w:t>
            </w:r>
            <w:r w:rsidR="00503771" w:rsidRPr="00476794">
              <w:t>,</w:t>
            </w:r>
            <w:r w:rsidR="00D66982" w:rsidRPr="00476794">
              <w:t xml:space="preserve"> ar pamatizmaksām saistītajām izmaksām piemēro atbilstošo atbalsta intensitāti.</w:t>
            </w:r>
          </w:p>
          <w:p w:rsidR="00E111FF" w:rsidRPr="00476794" w:rsidRDefault="00E111FF" w:rsidP="00BE6482">
            <w:pPr>
              <w:spacing w:after="120"/>
              <w:jc w:val="both"/>
            </w:pPr>
            <w:r w:rsidRPr="00476794">
              <w:t>Savukārt, ja šādu projektu īsteno pašvaldība bez sadarbības partnera, tad līdzfinansējuma likme pašvaldībai ir atkarīga no starpības starp attiecināmajām izmaksām un pamatdarbības peļņas no ieguldījuma, tomēr ERAF līdzfinansējuma likme jebkurā gadījumā nedrīkst būt lielāka par 85%.</w:t>
            </w:r>
            <w:r w:rsidR="003525DB" w:rsidRPr="00476794">
              <w:t xml:space="preserve"> Piemēram, ja pašvaldība plāno projektu, kura attiecināmās izmaksas ir viens miljons </w:t>
            </w:r>
            <w:proofErr w:type="spellStart"/>
            <w:r w:rsidR="00C80AC9" w:rsidRPr="00476794">
              <w:rPr>
                <w:i/>
              </w:rPr>
              <w:t>euro</w:t>
            </w:r>
            <w:proofErr w:type="spellEnd"/>
            <w:r w:rsidR="003525DB" w:rsidRPr="00476794">
              <w:t xml:space="preserve">, un finanšu analīze parāda, ka pamatdarbības peļņa no ieguldījuma ir 50 000 </w:t>
            </w:r>
            <w:proofErr w:type="spellStart"/>
            <w:r w:rsidR="007B0916" w:rsidRPr="00476794">
              <w:rPr>
                <w:i/>
              </w:rPr>
              <w:t>euro</w:t>
            </w:r>
            <w:proofErr w:type="spellEnd"/>
            <w:r w:rsidR="003525DB" w:rsidRPr="00476794">
              <w:t xml:space="preserve"> (5%), ERAF līdzfinansējuma likme tāpat ir 85%, taču, ja pamatdarbības peļņa no ieguldījuma ir 300 000 </w:t>
            </w:r>
            <w:proofErr w:type="spellStart"/>
            <w:r w:rsidR="007B0916" w:rsidRPr="00476794">
              <w:rPr>
                <w:i/>
              </w:rPr>
              <w:t>euro</w:t>
            </w:r>
            <w:proofErr w:type="spellEnd"/>
            <w:r w:rsidR="003525DB" w:rsidRPr="00476794">
              <w:t xml:space="preserve"> (30%), tad ERAF līdzfinansējuma likme ir 70%.</w:t>
            </w:r>
          </w:p>
          <w:p w:rsidR="00BE6482" w:rsidRPr="00476794" w:rsidRDefault="00642BFC" w:rsidP="00BE6482">
            <w:pPr>
              <w:spacing w:after="120"/>
              <w:jc w:val="both"/>
            </w:pPr>
            <w:r w:rsidRPr="00476794">
              <w:t xml:space="preserve">Komersantam kā sabiedriskā </w:t>
            </w:r>
            <w:r w:rsidR="00BE6482" w:rsidRPr="00476794">
              <w:t xml:space="preserve">pakalpojuma sniedzējam ūdensapgādes, siltumapgādes, sadzīves kanalizācijas un notekūdeņu savākšanas un novadīšanas infrastruktūras ierīkošanai ERAF finansējums </w:t>
            </w:r>
            <w:r w:rsidR="00C66B8B" w:rsidRPr="00476794">
              <w:t>ir</w:t>
            </w:r>
            <w:r w:rsidR="00BE6482" w:rsidRPr="00476794">
              <w:t xml:space="preserve"> 85</w:t>
            </w:r>
            <w:r w:rsidR="00C66B8B" w:rsidRPr="00476794">
              <w:t xml:space="preserve"> procenti</w:t>
            </w:r>
            <w:r w:rsidR="00BE6482" w:rsidRPr="00476794">
              <w:t xml:space="preserve"> (izbūvētā infrastruktūra paliek projekta </w:t>
            </w:r>
            <w:r w:rsidR="00893BC6" w:rsidRPr="00476794">
              <w:t xml:space="preserve">sadarbības </w:t>
            </w:r>
            <w:r w:rsidR="00BE6482" w:rsidRPr="00476794">
              <w:t>partnera - sabiedrisko pakalpojumu sniedzēja īpašumā). Ja sabiedriskā pakalpojuma sniedzējam rodas neto ieņēmumi</w:t>
            </w:r>
            <w:r w:rsidR="003525DB" w:rsidRPr="00476794">
              <w:t xml:space="preserve"> (pamatdarbības peļņa no ieguldījuma)</w:t>
            </w:r>
            <w:r w:rsidR="00BE6482" w:rsidRPr="00476794">
              <w:t>, ERAF finansējums ir atbilstošs deficīta likmei, ja tā ir mazāka par 85</w:t>
            </w:r>
            <w:r w:rsidR="00C66B8B" w:rsidRPr="00476794">
              <w:t xml:space="preserve"> procentiem</w:t>
            </w:r>
            <w:r w:rsidR="00BE6482" w:rsidRPr="00476794">
              <w:t>.</w:t>
            </w:r>
          </w:p>
          <w:p w:rsidR="006436A9" w:rsidRPr="00476794" w:rsidRDefault="006436A9" w:rsidP="008712F1">
            <w:pPr>
              <w:spacing w:after="120"/>
              <w:jc w:val="both"/>
            </w:pPr>
            <w:r w:rsidRPr="00476794">
              <w:t xml:space="preserve">Neskatoties uz to, ka MK noteikumu projekts paredz atbalstīt infrastruktūras projektu īstenošanu privātā sektora saimnieciskās darbības attīstībai, projektu iesniedzējiem – pašvaldībām un to iestādēm, kā arī </w:t>
            </w:r>
            <w:r w:rsidR="00893BC6" w:rsidRPr="00476794">
              <w:t xml:space="preserve">pašvaldību </w:t>
            </w:r>
            <w:r w:rsidR="00893BC6" w:rsidRPr="00476794">
              <w:lastRenderedPageBreak/>
              <w:t>kapitālsabiedrībām</w:t>
            </w:r>
            <w:r w:rsidRPr="00476794">
              <w:t xml:space="preserve">, kas veic pašvaldības deleģēto pārvaldes uzdevumu izpildi, </w:t>
            </w:r>
            <w:r w:rsidRPr="00476794">
              <w:rPr>
                <w:bCs/>
                <w:u w:val="single"/>
              </w:rPr>
              <w:t>projekti ir jāīsteno tikai likuma „Par pašvaldībām</w:t>
            </w:r>
            <w:r w:rsidRPr="00476794">
              <w:t>” 15.pantā noteikto pašvaldību autonomo funkciju ietvaros. Vienlaikus MK noteikumu projekts pieļauj tikai tādu valsts atbalsta projektu īstenošanu, kuru darbības atbilst valsts atbalsta komercdarbībai regulās ietvertajām attiecīgajām</w:t>
            </w:r>
            <w:r w:rsidRPr="00476794">
              <w:rPr>
                <w:bCs/>
                <w:u w:val="single"/>
              </w:rPr>
              <w:t xml:space="preserve"> atbalsta kategorijām</w:t>
            </w:r>
            <w:r w:rsidR="00262140" w:rsidRPr="00476794">
              <w:rPr>
                <w:bCs/>
              </w:rPr>
              <w:t>.</w:t>
            </w:r>
          </w:p>
          <w:p w:rsidR="006259C0" w:rsidRPr="00476794" w:rsidRDefault="006259C0" w:rsidP="006259C0">
            <w:pPr>
              <w:spacing w:after="120"/>
              <w:jc w:val="both"/>
            </w:pPr>
            <w:r w:rsidRPr="00476794">
              <w:t>MK noteikumu projektā noteikti nosacījumi, kurus nepieciešams izvērtēt, sniedzot valsts atbalstu</w:t>
            </w:r>
            <w:r w:rsidR="00FB6C42" w:rsidRPr="00476794">
              <w:t xml:space="preserve"> komercdarbībai</w:t>
            </w:r>
            <w:r w:rsidRPr="00476794">
              <w:t>, tajā skaitā piemērojamā valsts atbalsta intensitāte, specifiskie nosacījumi konkrētā mērķa ietvaros noteiktām attiecināmajām izmaksām, grūtībās nonākušu uzņēmumu definīcija, nosacījumi par atbalsta summēšanu (</w:t>
            </w:r>
            <w:proofErr w:type="spellStart"/>
            <w:r w:rsidRPr="00476794">
              <w:t>kumulēšanu</w:t>
            </w:r>
            <w:proofErr w:type="spellEnd"/>
            <w:r w:rsidRPr="00476794">
              <w:t>) ar citu valsta atbalstu</w:t>
            </w:r>
            <w:r w:rsidR="00C66B8B" w:rsidRPr="00476794">
              <w:t xml:space="preserve"> un citi nosacījumi</w:t>
            </w:r>
            <w:r w:rsidRPr="00476794">
              <w:t>.</w:t>
            </w:r>
          </w:p>
          <w:p w:rsidR="00FB6C42" w:rsidRPr="00476794" w:rsidRDefault="00FB6C42" w:rsidP="006259C0">
            <w:pPr>
              <w:spacing w:after="120"/>
              <w:jc w:val="both"/>
            </w:pPr>
            <w:r w:rsidRPr="00476794">
              <w:t xml:space="preserve">Atbilstoši MK noteikumu </w:t>
            </w:r>
            <w:r w:rsidRPr="00476794">
              <w:rPr>
                <w:bCs/>
              </w:rPr>
              <w:t>projektā noteiktajam projekta iesniedzējam un sadarbības partnerim ir jāievēro no valsts atbalsta komercdarbībai regulējuma izrietošas pazīmes, un gadījumā, ja izpildās vismaz viena no pazīmēm, attiecīgais saimnieciskās darbības veicējs nevar būt projekta iesniedzējs vai projekta sadarbības partneris, piemēram, tam ar tiesas spriedumu ir pasludināts maksātnespējas process, tam ir augsts zaudējumu apjoms un zaudējumu dēļ ir zaudēta vairāk nekā puse no grāmatvedības uzskaitē uzrādītā kapitāla, tas nav atmaksājis glābšanas pabalsta ietvaros saņemto aizdevumu, tas nav mazais (sīkais) un vidējais komersants. Ņemot vērā ar</w:t>
            </w:r>
            <w:r w:rsidRPr="00476794">
              <w:t xml:space="preserve"> Eiropas Komisijas vēstulē</w:t>
            </w:r>
            <w:r w:rsidRPr="00476794">
              <w:rPr>
                <w:rStyle w:val="FootnoteReference"/>
              </w:rPr>
              <w:footnoteReference w:id="15"/>
            </w:r>
            <w:r w:rsidRPr="00476794">
              <w:t xml:space="preserve"> </w:t>
            </w:r>
            <w:r w:rsidRPr="00476794">
              <w:rPr>
                <w:bCs/>
              </w:rPr>
              <w:t>saskaņoto pieeju, projekta iesniedzējs vai sadarbības partneris SAM ietvaros (pašvaldība, pašvaldības iestāde, pašvaldības kapitālsabiedrība, kas veic pašvaldības deleģēto pārvaldes uzdevumu (kā projekta iesniedzējs vai sadarbības partneris), brīvostas pārvalde un speciālās ekonomiskās zonas pārvalde (kā projekta iesniedzējs), sabiedrisko (ūdenssaimniecības un (vai) siltumapgādes) pakalpojumu sniedzējs (kā sadarbības partneris)</w:t>
            </w:r>
            <w:r w:rsidR="006D14EA" w:rsidRPr="00476794">
              <w:rPr>
                <w:bCs/>
              </w:rPr>
              <w:t>)</w:t>
            </w:r>
            <w:r w:rsidRPr="00476794">
              <w:rPr>
                <w:bCs/>
              </w:rPr>
              <w:t xml:space="preserve"> ir uzskatāms par lielo komersantu atbilstoši valsts atbalsta komercdarbībai nosacījumiem, ja tas veic ieguldījumus publiskajā infrastruktūrā un inženierkomunikācijās, kas nepieciešamas mazo (sīko) un vidējo uzņēmumu saimnieciskās darbības attīstībai un nodarbinātības veicināšanai kopumā</w:t>
            </w:r>
            <w:r w:rsidRPr="00476794">
              <w:t>.</w:t>
            </w:r>
          </w:p>
          <w:p w:rsidR="00482738" w:rsidRPr="00476794" w:rsidRDefault="006E41E9" w:rsidP="00482738">
            <w:pPr>
              <w:spacing w:after="120"/>
              <w:jc w:val="both"/>
            </w:pPr>
            <w:r w:rsidRPr="00476794">
              <w:t xml:space="preserve">MK noteikumu projektā noteikts, ka </w:t>
            </w:r>
            <w:r w:rsidR="0025082A" w:rsidRPr="00476794">
              <w:t xml:space="preserve">privāto </w:t>
            </w:r>
            <w:r w:rsidRPr="00476794">
              <w:t>komersantu, kurš nomās</w:t>
            </w:r>
            <w:r w:rsidR="00482738" w:rsidRPr="00476794">
              <w:t xml:space="preserve"> projekta </w:t>
            </w:r>
            <w:r w:rsidRPr="00476794">
              <w:t>ietvaros attīstīto teritoriju</w:t>
            </w:r>
            <w:r w:rsidR="00482738" w:rsidRPr="00476794">
              <w:t xml:space="preserve"> vai </w:t>
            </w:r>
            <w:r w:rsidRPr="00476794">
              <w:t xml:space="preserve">ēku, vai </w:t>
            </w:r>
            <w:r w:rsidR="0025082A" w:rsidRPr="00476794">
              <w:t xml:space="preserve">privāto </w:t>
            </w:r>
            <w:r w:rsidRPr="00476794">
              <w:t>komersantu</w:t>
            </w:r>
            <w:r w:rsidR="0025082A" w:rsidRPr="00476794">
              <w:t xml:space="preserve"> un pašvaldības kapitālsabiedrību</w:t>
            </w:r>
            <w:r w:rsidRPr="00476794">
              <w:t xml:space="preserve">, </w:t>
            </w:r>
            <w:r w:rsidR="0025082A" w:rsidRPr="00476794">
              <w:t xml:space="preserve">kas </w:t>
            </w:r>
            <w:r w:rsidRPr="00476794">
              <w:t xml:space="preserve">veiks nekustamā īpašuma apsaimniekošanu, izvēlas </w:t>
            </w:r>
            <w:r w:rsidR="00482738" w:rsidRPr="00476794">
              <w:t xml:space="preserve">atklātā, pārredzamā un nediskriminējošā veidā par infrastruktūras izmantošanu nosakot tirgus cenu. </w:t>
            </w:r>
            <w:r w:rsidRPr="00476794">
              <w:t xml:space="preserve">Vienlaikus jāņem vērā, ka MK noteikumu projekts paredz, ka projekta iznākuma </w:t>
            </w:r>
            <w:r w:rsidRPr="00476794">
              <w:lastRenderedPageBreak/>
              <w:t xml:space="preserve">rādītāju vērtībās nav ieskaitāmi tādi </w:t>
            </w:r>
            <w:r w:rsidR="0025082A" w:rsidRPr="00476794">
              <w:t xml:space="preserve">privātie </w:t>
            </w:r>
            <w:r w:rsidRPr="00476794">
              <w:t>komersanti, kuru pamatdarbības veids ir operācijas ar nekustamo īpašumu (NACE kods: L).</w:t>
            </w:r>
          </w:p>
          <w:p w:rsidR="001420D7" w:rsidRPr="00476794" w:rsidRDefault="00C12A1D" w:rsidP="001420D7">
            <w:pPr>
              <w:spacing w:after="120"/>
              <w:jc w:val="both"/>
            </w:pPr>
            <w:r w:rsidRPr="00476794">
              <w:t xml:space="preserve">Lai novērstu dubultā finansējuma risku, MK </w:t>
            </w:r>
            <w:r w:rsidR="00754917" w:rsidRPr="00476794">
              <w:t xml:space="preserve">noteikumu projektā </w:t>
            </w:r>
            <w:r w:rsidRPr="00476794">
              <w:t>noteikts, ka gadījumos, ja</w:t>
            </w:r>
            <w:r w:rsidR="00C42BF4" w:rsidRPr="00476794">
              <w:t xml:space="preserve"> projekta iesniedzējam vai sadarbības partnerim </w:t>
            </w:r>
            <w:r w:rsidR="007D3A13" w:rsidRPr="00476794">
              <w:t>elektroenerģijas</w:t>
            </w:r>
            <w:r w:rsidR="00C42BF4" w:rsidRPr="00476794">
              <w:t xml:space="preserve"> </w:t>
            </w:r>
            <w:r w:rsidR="007D3A13" w:rsidRPr="00476794">
              <w:t>infrastruktūras</w:t>
            </w:r>
            <w:r w:rsidR="00C42BF4" w:rsidRPr="00476794">
              <w:t xml:space="preserve"> ierīkošanas izmaksas kompensē sadales sistēmas operators, </w:t>
            </w:r>
            <w:r w:rsidR="001420D7" w:rsidRPr="00476794">
              <w:t xml:space="preserve">finansējuma saņēmējs atmaksā sadarbības iestādei izmaksu </w:t>
            </w:r>
            <w:r w:rsidR="00754917" w:rsidRPr="00476794">
              <w:t xml:space="preserve">kompensācijas </w:t>
            </w:r>
            <w:r w:rsidR="001420D7" w:rsidRPr="00476794">
              <w:t xml:space="preserve">ERAF </w:t>
            </w:r>
            <w:r w:rsidR="00754917" w:rsidRPr="00476794">
              <w:t>finansējuma daļu</w:t>
            </w:r>
            <w:r w:rsidR="001420D7" w:rsidRPr="00476794">
              <w:t xml:space="preserve">. </w:t>
            </w:r>
          </w:p>
          <w:p w:rsidR="00C23035" w:rsidRPr="00476794" w:rsidRDefault="001420D7" w:rsidP="00C23035">
            <w:pPr>
              <w:spacing w:after="120"/>
              <w:jc w:val="both"/>
            </w:pPr>
            <w:r w:rsidRPr="00476794">
              <w:t xml:space="preserve">Atmaksāto sadales sistēmas operatora kompensēto finansējumu un iznākuma rādītāju neizpildes gadījumā atmaksāto finansējumu uzskata par </w:t>
            </w:r>
            <w:r w:rsidRPr="00476794">
              <w:rPr>
                <w:u w:val="single"/>
              </w:rPr>
              <w:t>atmaksājamo palīdzību</w:t>
            </w:r>
            <w:r w:rsidRPr="00476794">
              <w:t xml:space="preserve"> atbilstoši </w:t>
            </w:r>
            <w:r w:rsidRPr="00476794">
              <w:rPr>
                <w:bCs/>
              </w:rPr>
              <w:t xml:space="preserve">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Eiropas Parlamenta un Padomes 2013.gada 17.decembra Regula (ES) Nr.1303/2013) </w:t>
            </w:r>
            <w:r w:rsidR="00754917" w:rsidRPr="00476794">
              <w:rPr>
                <w:bCs/>
              </w:rPr>
              <w:t>67</w:t>
            </w:r>
            <w:r w:rsidRPr="00476794">
              <w:rPr>
                <w:bCs/>
              </w:rPr>
              <w:t>.</w:t>
            </w:r>
            <w:r w:rsidR="00754917" w:rsidRPr="00476794">
              <w:rPr>
                <w:bCs/>
              </w:rPr>
              <w:t>, 68.un 69.</w:t>
            </w:r>
            <w:r w:rsidRPr="00476794">
              <w:rPr>
                <w:bCs/>
              </w:rPr>
              <w:t xml:space="preserve">pantā noteiktajam. Izpildot Eiropas Parlamenta un Padomes 2013.gada 17.decembra Regulas (ES) Nr.1303/2013 67.pantā noteikto, MK noteikumu projekts paredz, ka atmaksāto palīdzību </w:t>
            </w:r>
            <w:r w:rsidRPr="00476794">
              <w:t>atkārtoti izmanto projektu īstenošanai attiecīgās atlases kārtas ietvaros.</w:t>
            </w:r>
            <w:r w:rsidR="006D14EA" w:rsidRPr="00476794">
              <w:t xml:space="preserve"> </w:t>
            </w:r>
            <w:r w:rsidR="00C23035" w:rsidRPr="00476794">
              <w:t xml:space="preserve">MK noteikumu projekta ietvaros valsts atbalsta komercdarbībai piešķīrums ir subsīdija (grants) </w:t>
            </w:r>
            <w:r w:rsidR="00C23035" w:rsidRPr="00476794">
              <w:rPr>
                <w:bCs/>
              </w:rPr>
              <w:t>Komisijas regulas Nr.651/2014</w:t>
            </w:r>
            <w:r w:rsidR="00C23035" w:rsidRPr="00476794">
              <w:t xml:space="preserve">, </w:t>
            </w:r>
            <w:r w:rsidR="00C23035" w:rsidRPr="00476794">
              <w:rPr>
                <w:bCs/>
              </w:rPr>
              <w:t>Komisijas regulas Nr.702/2014 un Komisijas regulas Nr.1388/2014 izpratnē.</w:t>
            </w:r>
          </w:p>
          <w:p w:rsidR="00754917" w:rsidRPr="00476794" w:rsidRDefault="00754917" w:rsidP="001420D7">
            <w:pPr>
              <w:spacing w:after="120"/>
              <w:jc w:val="both"/>
              <w:rPr>
                <w:bCs/>
              </w:rPr>
            </w:pPr>
            <w:r w:rsidRPr="00476794">
              <w:t>Ņemot vērā valsts atbalsta komercdarbībai regulējumu, projektam (projekta daļai) uz kuru attiecināmi valsts atbalsta komercdarbībai nosacījumi, nav pieļaujama finansējuma palielināšana, jo finansējuma palielinājuma gadījumā neizpildās stimulējošās ietekmes nosacījumi.</w:t>
            </w:r>
          </w:p>
          <w:p w:rsidR="00122CD7" w:rsidRPr="00476794" w:rsidRDefault="00122CD7" w:rsidP="009F50FD">
            <w:pPr>
              <w:jc w:val="both"/>
              <w:rPr>
                <w:u w:val="single"/>
              </w:rPr>
            </w:pPr>
            <w:r w:rsidRPr="00476794">
              <w:rPr>
                <w:u w:val="single"/>
              </w:rPr>
              <w:t xml:space="preserve">SAM </w:t>
            </w:r>
            <w:r w:rsidR="00A3640A" w:rsidRPr="00476794">
              <w:rPr>
                <w:u w:val="single"/>
              </w:rPr>
              <w:t>ieviešanas mehānisms</w:t>
            </w:r>
          </w:p>
          <w:p w:rsidR="00C12A1D" w:rsidRPr="00476794" w:rsidRDefault="00445972" w:rsidP="00445972">
            <w:pPr>
              <w:autoSpaceDE w:val="0"/>
              <w:autoSpaceDN w:val="0"/>
              <w:adjustRightInd w:val="0"/>
              <w:spacing w:after="120"/>
              <w:jc w:val="both"/>
              <w:rPr>
                <w:rFonts w:ascii="EUAlbertina" w:hAnsi="EUAlbertina" w:cs="EUAlbertina"/>
              </w:rPr>
            </w:pPr>
            <w:r w:rsidRPr="00476794">
              <w:rPr>
                <w:rFonts w:ascii="EUAlbertina" w:hAnsi="EUAlbertina" w:cs="EUAlbertina"/>
              </w:rPr>
              <w:t xml:space="preserve">MK </w:t>
            </w:r>
            <w:r w:rsidR="00FE74F0" w:rsidRPr="00476794">
              <w:rPr>
                <w:rFonts w:ascii="EUAlbertina" w:hAnsi="EUAlbertina" w:cs="EUAlbertina"/>
              </w:rPr>
              <w:t>noteikumu projekts nosaka, ka aps</w:t>
            </w:r>
            <w:r w:rsidRPr="00476794">
              <w:rPr>
                <w:rFonts w:ascii="EUAlbertina" w:hAnsi="EUAlbertina" w:cs="EUAlbertina"/>
              </w:rPr>
              <w:t xml:space="preserve">tiprināta pašvaldību attīstības programma ir priekšnosacījums investīcijām SAM ietvaros. Visas projektu idejas tiek iekļautas pašvaldību attīstības programmas investīciju plānā. Detalizēts SAM atbalsta piešķiršanas mehānisms ir aprakstīts Informatīvajā ziņojumā. </w:t>
            </w:r>
          </w:p>
          <w:p w:rsidR="00C23035" w:rsidRPr="00476794" w:rsidRDefault="00C12A1D" w:rsidP="00C23035">
            <w:pPr>
              <w:autoSpaceDE w:val="0"/>
              <w:autoSpaceDN w:val="0"/>
              <w:adjustRightInd w:val="0"/>
              <w:spacing w:after="120"/>
              <w:jc w:val="both"/>
            </w:pPr>
            <w:r w:rsidRPr="00476794">
              <w:t xml:space="preserve">MK noteikumi </w:t>
            </w:r>
            <w:r w:rsidR="00C23035" w:rsidRPr="00476794">
              <w:t xml:space="preserve">paredz </w:t>
            </w:r>
            <w:r w:rsidRPr="00476794">
              <w:t>Reģionālās attīstības koordinācijas padom</w:t>
            </w:r>
            <w:r w:rsidR="005276AF" w:rsidRPr="00476794">
              <w:t>es iesaisti</w:t>
            </w:r>
            <w:r w:rsidRPr="00476794">
              <w:t xml:space="preserve">, kā arī tās funkcijas katras atlases kārtas </w:t>
            </w:r>
            <w:r w:rsidRPr="00476794">
              <w:lastRenderedPageBreak/>
              <w:t>ietvaros.</w:t>
            </w:r>
            <w:r w:rsidR="000E7587" w:rsidRPr="00476794">
              <w:t xml:space="preserve"> Reģionālās attīstības koordinācijas padome tiek veidota kā konsultatīva institūcija ar plašu pārstāvniecību</w:t>
            </w:r>
            <w:r w:rsidR="000E7587" w:rsidRPr="00476794">
              <w:rPr>
                <w:rStyle w:val="FootnoteReference"/>
              </w:rPr>
              <w:footnoteReference w:id="16"/>
            </w:r>
            <w:r w:rsidR="000E7587" w:rsidRPr="00476794">
              <w:t>, jo tā ne tikai saskaņos pašvaldību attīstības programmas, bet arī sniegs atzinumu par projektu nepārklāšanos ar nacionāla līmeņa projektiem</w:t>
            </w:r>
            <w:r w:rsidR="000E7587" w:rsidRPr="00476794">
              <w:rPr>
                <w:rStyle w:val="FootnoteReference"/>
              </w:rPr>
              <w:footnoteReference w:id="17"/>
            </w:r>
            <w:r w:rsidR="000E7587" w:rsidRPr="00476794">
              <w:t xml:space="preserve">. Tās sastāvā tiek iekļauti VARAM Finanšu ministrijas, Izglītības un zinātnes ministrijas, Labklājības ministrijas, Zemkopības ministrijas, Ekonomikas ministrijas, Satiksmes ministrijas, Kultūras ministrijas, Veselības ministrijas, Latvijas Pašvaldību savienības, Latvijas Lielo pilsētu asociācijas, </w:t>
            </w:r>
            <w:proofErr w:type="spellStart"/>
            <w:r w:rsidR="000E7587" w:rsidRPr="00476794">
              <w:t>Pārresoru</w:t>
            </w:r>
            <w:proofErr w:type="spellEnd"/>
            <w:r w:rsidR="000E7587" w:rsidRPr="00476794">
              <w:t xml:space="preserve"> koordinācijas centra, Latvijas Tirdzniecības un rūpniecības kameras, Latvijas Darba devēju konfederācijas</w:t>
            </w:r>
            <w:r w:rsidR="00754917" w:rsidRPr="00476794">
              <w:t>, Reģionālo attīstības centru apvienības</w:t>
            </w:r>
            <w:r w:rsidR="000E7587" w:rsidRPr="00476794">
              <w:t xml:space="preserve"> un plānošanas </w:t>
            </w:r>
            <w:r w:rsidR="00754917" w:rsidRPr="00476794">
              <w:t>reģionu pārstāvji</w:t>
            </w:r>
            <w:r w:rsidR="000E7587" w:rsidRPr="00476794">
              <w:t xml:space="preserve">, kā arī </w:t>
            </w:r>
            <w:r w:rsidR="00754917" w:rsidRPr="00476794">
              <w:t xml:space="preserve">sadarbības iestādes </w:t>
            </w:r>
            <w:r w:rsidR="000E7587" w:rsidRPr="00476794">
              <w:t>un Valsts reģionālās attīstības aģentūra</w:t>
            </w:r>
            <w:r w:rsidR="00754917" w:rsidRPr="00476794">
              <w:t>s pārstāvji</w:t>
            </w:r>
            <w:r w:rsidR="000E7587" w:rsidRPr="00476794">
              <w:t xml:space="preserve"> – novērotāja statusā.</w:t>
            </w:r>
            <w:r w:rsidR="00C23035" w:rsidRPr="00476794">
              <w:t xml:space="preserve"> SAM ietvaros Reģionālās attīstības Koordinācijas padomes iesaiste nodrošina vairāku līmeņu kontroles mehānismu, lai apstiprināšanai tiktu virzīti MK noteikumu projekta nosacījumiem atbilstoši projekti. Kā minēts iepriekš, aprakstot demarkācijas aspektus, saskaņojot projektu idejas un projektu ideju konceptus Reģionālās attīstības Koordinācijas padomē, tiks vērtēta projektu darbību nepārklāšanās. Vienlaikus tiks kontrolēta plānoto darbību atbilstība SAM mērķim un sasniedzamo iznākuma rādītāju apjoms, kā arī ieguldījumu publiskajā infrastruktūrā un inženierkomunikācijās atbilstība plānotajiem intervences kodiem. </w:t>
            </w:r>
          </w:p>
          <w:p w:rsidR="00C23035" w:rsidRPr="00476794" w:rsidRDefault="00C23035" w:rsidP="00C23035">
            <w:pPr>
              <w:autoSpaceDE w:val="0"/>
              <w:autoSpaceDN w:val="0"/>
              <w:adjustRightInd w:val="0"/>
              <w:spacing w:after="120"/>
              <w:jc w:val="both"/>
            </w:pPr>
            <w:r w:rsidRPr="00476794">
              <w:t>Intervences kodi un būtiskākās attiecīgās attiecināmās izmaksas SAM ietvaros būvniecībai ir šādas:</w:t>
            </w:r>
          </w:p>
          <w:tbl>
            <w:tblPr>
              <w:tblW w:w="0" w:type="auto"/>
              <w:tblCellMar>
                <w:left w:w="0" w:type="dxa"/>
                <w:right w:w="0" w:type="dxa"/>
              </w:tblCellMar>
              <w:tblLook w:val="04A0" w:firstRow="1" w:lastRow="0" w:firstColumn="1" w:lastColumn="0" w:noHBand="0" w:noVBand="1"/>
            </w:tblPr>
            <w:tblGrid>
              <w:gridCol w:w="521"/>
              <w:gridCol w:w="2210"/>
              <w:gridCol w:w="3128"/>
            </w:tblGrid>
            <w:tr w:rsidR="00CE73D8" w:rsidRPr="00476794" w:rsidTr="00CE73D8">
              <w:tc>
                <w:tcPr>
                  <w:tcW w:w="561" w:type="dxa"/>
                  <w:tcBorders>
                    <w:top w:val="single" w:sz="8" w:space="0" w:color="000000"/>
                    <w:left w:val="single" w:sz="8" w:space="0" w:color="000000"/>
                    <w:right w:val="single" w:sz="4" w:space="0" w:color="auto"/>
                  </w:tcBorders>
                  <w:tcMar>
                    <w:top w:w="0" w:type="dxa"/>
                    <w:left w:w="108" w:type="dxa"/>
                    <w:bottom w:w="0" w:type="dxa"/>
                    <w:right w:w="108" w:type="dxa"/>
                  </w:tcMar>
                  <w:vAlign w:val="center"/>
                  <w:hideMark/>
                </w:tcPr>
                <w:p w:rsidR="00CE73D8" w:rsidRPr="00476794" w:rsidRDefault="00CE73D8" w:rsidP="00CE73D8">
                  <w:pPr>
                    <w:autoSpaceDE w:val="0"/>
                    <w:autoSpaceDN w:val="0"/>
                    <w:spacing w:after="120"/>
                    <w:jc w:val="center"/>
                    <w:rPr>
                      <w:rFonts w:eastAsiaTheme="minorHAnsi"/>
                      <w:sz w:val="22"/>
                      <w:szCs w:val="22"/>
                    </w:rPr>
                  </w:pPr>
                </w:p>
              </w:tc>
              <w:tc>
                <w:tcPr>
                  <w:tcW w:w="3263" w:type="dxa"/>
                  <w:tcBorders>
                    <w:top w:val="single" w:sz="8" w:space="0" w:color="000000"/>
                    <w:left w:val="single" w:sz="4" w:space="0" w:color="auto"/>
                    <w:right w:val="single" w:sz="4" w:space="0" w:color="auto"/>
                  </w:tcBorders>
                  <w:vAlign w:val="center"/>
                </w:tcPr>
                <w:p w:rsidR="00CE73D8" w:rsidRPr="00476794" w:rsidRDefault="00CE73D8" w:rsidP="00CE73D8">
                  <w:pPr>
                    <w:autoSpaceDE w:val="0"/>
                    <w:autoSpaceDN w:val="0"/>
                    <w:spacing w:after="120"/>
                    <w:jc w:val="center"/>
                    <w:rPr>
                      <w:sz w:val="22"/>
                      <w:szCs w:val="22"/>
                    </w:rPr>
                  </w:pPr>
                  <w:r w:rsidRPr="00476794">
                    <w:rPr>
                      <w:sz w:val="22"/>
                      <w:szCs w:val="22"/>
                    </w:rPr>
                    <w:t>Intervences koda</w:t>
                  </w:r>
                </w:p>
              </w:tc>
              <w:tc>
                <w:tcPr>
                  <w:tcW w:w="5032" w:type="dxa"/>
                  <w:vMerge w:val="restart"/>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CE73D8" w:rsidRPr="00476794" w:rsidRDefault="00CE73D8" w:rsidP="00CE73D8">
                  <w:pPr>
                    <w:autoSpaceDE w:val="0"/>
                    <w:autoSpaceDN w:val="0"/>
                    <w:spacing w:after="120"/>
                    <w:jc w:val="center"/>
                    <w:rPr>
                      <w:rFonts w:eastAsiaTheme="minorHAnsi"/>
                      <w:sz w:val="22"/>
                      <w:szCs w:val="22"/>
                    </w:rPr>
                  </w:pPr>
                  <w:r w:rsidRPr="00476794">
                    <w:rPr>
                      <w:sz w:val="22"/>
                      <w:szCs w:val="22"/>
                    </w:rPr>
                    <w:t>Attiecināmās izmaksas būvniecībai</w:t>
                  </w:r>
                </w:p>
              </w:tc>
            </w:tr>
            <w:tr w:rsidR="00CE73D8" w:rsidRPr="00476794" w:rsidTr="00CE73D8">
              <w:tc>
                <w:tcPr>
                  <w:tcW w:w="560"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CE73D8" w:rsidRPr="00476794" w:rsidRDefault="00CE73D8" w:rsidP="00CE73D8">
                  <w:pPr>
                    <w:autoSpaceDE w:val="0"/>
                    <w:autoSpaceDN w:val="0"/>
                    <w:spacing w:after="120"/>
                    <w:jc w:val="center"/>
                    <w:rPr>
                      <w:rFonts w:eastAsiaTheme="minorHAnsi"/>
                      <w:sz w:val="22"/>
                      <w:szCs w:val="22"/>
                    </w:rPr>
                  </w:pPr>
                  <w:r w:rsidRPr="00476794">
                    <w:rPr>
                      <w:sz w:val="22"/>
                      <w:szCs w:val="22"/>
                    </w:rPr>
                    <w:t>Nr.</w:t>
                  </w:r>
                </w:p>
              </w:tc>
              <w:tc>
                <w:tcPr>
                  <w:tcW w:w="3264" w:type="dxa"/>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hideMark/>
                </w:tcPr>
                <w:p w:rsidR="00CE73D8" w:rsidRPr="00476794" w:rsidRDefault="00CE73D8" w:rsidP="00CE73D8">
                  <w:pPr>
                    <w:autoSpaceDE w:val="0"/>
                    <w:autoSpaceDN w:val="0"/>
                    <w:spacing w:after="120"/>
                    <w:jc w:val="center"/>
                    <w:rPr>
                      <w:rFonts w:eastAsiaTheme="minorHAnsi"/>
                      <w:sz w:val="22"/>
                      <w:szCs w:val="22"/>
                    </w:rPr>
                  </w:pPr>
                  <w:r w:rsidRPr="00476794">
                    <w:rPr>
                      <w:sz w:val="22"/>
                      <w:szCs w:val="22"/>
                    </w:rPr>
                    <w:t>Nosaukums</w:t>
                  </w: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CE73D8" w:rsidRPr="00476794" w:rsidRDefault="00CE73D8" w:rsidP="00CE73D8">
                  <w:pPr>
                    <w:rPr>
                      <w:rFonts w:eastAsiaTheme="minorHAnsi"/>
                      <w:sz w:val="22"/>
                      <w:szCs w:val="22"/>
                    </w:rPr>
                  </w:pPr>
                </w:p>
              </w:tc>
            </w:tr>
            <w:tr w:rsidR="00CE73D8" w:rsidRPr="00476794" w:rsidTr="00CE73D8">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120"/>
                    <w:jc w:val="both"/>
                    <w:rPr>
                      <w:rFonts w:eastAsiaTheme="minorHAnsi"/>
                      <w:sz w:val="22"/>
                      <w:szCs w:val="22"/>
                    </w:rPr>
                  </w:pPr>
                  <w:r w:rsidRPr="00476794">
                    <w:rPr>
                      <w:sz w:val="22"/>
                      <w:szCs w:val="22"/>
                    </w:rPr>
                    <w:t>5</w:t>
                  </w:r>
                </w:p>
              </w:tc>
              <w:tc>
                <w:tcPr>
                  <w:tcW w:w="3264"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60"/>
                    <w:jc w:val="both"/>
                    <w:rPr>
                      <w:rFonts w:eastAsiaTheme="minorHAnsi"/>
                      <w:sz w:val="22"/>
                      <w:szCs w:val="22"/>
                    </w:rPr>
                  </w:pPr>
                  <w:r w:rsidRPr="00476794">
                    <w:rPr>
                      <w:sz w:val="22"/>
                      <w:szCs w:val="22"/>
                    </w:rPr>
                    <w:t>Elektroenerģija (uzglabāšana un pārvade)</w:t>
                  </w:r>
                </w:p>
              </w:tc>
              <w:tc>
                <w:tcPr>
                  <w:tcW w:w="5032"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pStyle w:val="ListParagraph"/>
                    <w:autoSpaceDE w:val="0"/>
                    <w:autoSpaceDN w:val="0"/>
                    <w:spacing w:after="60"/>
                    <w:ind w:left="317" w:hanging="283"/>
                    <w:jc w:val="both"/>
                    <w:rPr>
                      <w:rFonts w:eastAsiaTheme="minorHAnsi"/>
                    </w:rPr>
                  </w:pPr>
                  <w:r w:rsidRPr="00476794">
                    <w:rPr>
                      <w:bCs/>
                    </w:rPr>
                    <w:t xml:space="preserve">a)    </w:t>
                  </w:r>
                  <w:r w:rsidRPr="00476794">
                    <w:t xml:space="preserve">Elektroenerģijas infrastruktūras (sadales sistēmas operatora īpašumā esoša atzara) būvniecība vai pārbūve (jaudas palielināšana) ar atsevišķiem MK noteikumu projektā atrunātiem izņēmumiem;  </w:t>
                  </w:r>
                </w:p>
                <w:p w:rsidR="00CE73D8" w:rsidRPr="00476794" w:rsidRDefault="00CE73D8" w:rsidP="00CE73D8">
                  <w:pPr>
                    <w:pStyle w:val="ListParagraph"/>
                    <w:autoSpaceDE w:val="0"/>
                    <w:autoSpaceDN w:val="0"/>
                    <w:spacing w:after="60"/>
                    <w:ind w:left="317" w:hanging="283"/>
                    <w:jc w:val="both"/>
                  </w:pPr>
                  <w:r w:rsidRPr="00476794">
                    <w:rPr>
                      <w:bCs/>
                    </w:rPr>
                    <w:t xml:space="preserve">b)   </w:t>
                  </w:r>
                  <w:r w:rsidRPr="00476794">
                    <w:t>Virszemes un pazemes komunikāciju infrastruktūras pārbūve MK noteikumu projektā atrunātajos gadījumos.</w:t>
                  </w:r>
                </w:p>
              </w:tc>
            </w:tr>
            <w:tr w:rsidR="00CE73D8" w:rsidRPr="00476794" w:rsidTr="00CE73D8">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120"/>
                    <w:jc w:val="both"/>
                    <w:rPr>
                      <w:rFonts w:eastAsiaTheme="minorHAnsi"/>
                      <w:sz w:val="22"/>
                      <w:szCs w:val="22"/>
                    </w:rPr>
                  </w:pPr>
                  <w:r w:rsidRPr="00476794">
                    <w:rPr>
                      <w:sz w:val="22"/>
                      <w:szCs w:val="22"/>
                    </w:rPr>
                    <w:t>7</w:t>
                  </w:r>
                </w:p>
              </w:tc>
              <w:tc>
                <w:tcPr>
                  <w:tcW w:w="3264"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60"/>
                    <w:jc w:val="both"/>
                    <w:rPr>
                      <w:rFonts w:eastAsiaTheme="minorHAnsi"/>
                      <w:sz w:val="22"/>
                      <w:szCs w:val="22"/>
                    </w:rPr>
                  </w:pPr>
                  <w:r w:rsidRPr="00476794">
                    <w:rPr>
                      <w:sz w:val="22"/>
                      <w:szCs w:val="22"/>
                    </w:rPr>
                    <w:t>Dabasgāze</w:t>
                  </w:r>
                </w:p>
              </w:tc>
              <w:tc>
                <w:tcPr>
                  <w:tcW w:w="5032"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pStyle w:val="ListParagraph"/>
                    <w:autoSpaceDE w:val="0"/>
                    <w:autoSpaceDN w:val="0"/>
                    <w:spacing w:after="60"/>
                    <w:ind w:left="317" w:hanging="283"/>
                    <w:jc w:val="both"/>
                    <w:rPr>
                      <w:rFonts w:eastAsiaTheme="minorHAnsi"/>
                    </w:rPr>
                  </w:pPr>
                  <w:r w:rsidRPr="00476794">
                    <w:rPr>
                      <w:bCs/>
                    </w:rPr>
                    <w:t xml:space="preserve">a)    </w:t>
                  </w:r>
                  <w:r w:rsidRPr="00476794">
                    <w:t xml:space="preserve">Gāzes infrastruktūras </w:t>
                  </w:r>
                  <w:r w:rsidRPr="00476794">
                    <w:lastRenderedPageBreak/>
                    <w:t>(sadales sistēmas operatora īpašumā esoša atzara) būvniecība vai pārbūve (jaudas palielināšana);</w:t>
                  </w:r>
                </w:p>
                <w:p w:rsidR="00CE73D8" w:rsidRPr="00476794" w:rsidRDefault="00CE73D8" w:rsidP="00CE73D8">
                  <w:pPr>
                    <w:pStyle w:val="ListParagraph"/>
                    <w:autoSpaceDE w:val="0"/>
                    <w:autoSpaceDN w:val="0"/>
                    <w:spacing w:after="60"/>
                    <w:ind w:left="317" w:hanging="283"/>
                    <w:jc w:val="both"/>
                  </w:pPr>
                  <w:r w:rsidRPr="00476794">
                    <w:rPr>
                      <w:bCs/>
                    </w:rPr>
                    <w:t xml:space="preserve">b)   </w:t>
                  </w:r>
                  <w:r w:rsidRPr="00476794">
                    <w:t>Virszemes un pazemes komunikāciju infrastruktūras pārbūve MK noteikumu projektā atrunātajos gadījumos.</w:t>
                  </w:r>
                </w:p>
              </w:tc>
            </w:tr>
            <w:tr w:rsidR="00CE73D8" w:rsidRPr="00476794" w:rsidTr="00CE73D8">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120"/>
                    <w:jc w:val="both"/>
                    <w:rPr>
                      <w:rFonts w:eastAsiaTheme="minorHAnsi"/>
                      <w:sz w:val="22"/>
                      <w:szCs w:val="22"/>
                    </w:rPr>
                  </w:pPr>
                  <w:r w:rsidRPr="00476794">
                    <w:rPr>
                      <w:sz w:val="22"/>
                      <w:szCs w:val="22"/>
                    </w:rPr>
                    <w:lastRenderedPageBreak/>
                    <w:t>21</w:t>
                  </w:r>
                </w:p>
              </w:tc>
              <w:tc>
                <w:tcPr>
                  <w:tcW w:w="3264"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60"/>
                    <w:jc w:val="both"/>
                    <w:rPr>
                      <w:rFonts w:eastAsiaTheme="minorHAnsi"/>
                      <w:sz w:val="22"/>
                      <w:szCs w:val="22"/>
                    </w:rPr>
                  </w:pPr>
                  <w:r w:rsidRPr="00476794">
                    <w:rPr>
                      <w:sz w:val="22"/>
                      <w:szCs w:val="22"/>
                    </w:rPr>
                    <w:t>Ūdens apsaimniekošana un dzeramā ūdens saglabāšana (tostarp upju baseinu apsaimniekošana, ūdens apgāde, konkrēti pasākumi, lai pielāgotos klimata pārmaiņām, rajonu un patērētāju patēriņa uzskaitīšana, iekasēšanas sistēmas un noplūdes mazināšana)</w:t>
                  </w:r>
                </w:p>
              </w:tc>
              <w:tc>
                <w:tcPr>
                  <w:tcW w:w="5032"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pStyle w:val="ListParagraph"/>
                    <w:autoSpaceDE w:val="0"/>
                    <w:autoSpaceDN w:val="0"/>
                    <w:spacing w:after="60"/>
                    <w:ind w:left="317" w:hanging="283"/>
                    <w:jc w:val="both"/>
                    <w:rPr>
                      <w:rFonts w:eastAsiaTheme="minorHAnsi"/>
                    </w:rPr>
                  </w:pPr>
                  <w:r w:rsidRPr="00476794">
                    <w:rPr>
                      <w:bCs/>
                    </w:rPr>
                    <w:t xml:space="preserve">a)    </w:t>
                  </w:r>
                  <w:r w:rsidRPr="00476794">
                    <w:t>Ūdenssaimniecības infrastruktūras (kas ir sabiedriskā pakalpojuma sniedzēja īpašumā) būvniecība vai pārbūve (jaudas palielināšana);</w:t>
                  </w:r>
                </w:p>
                <w:p w:rsidR="00CE73D8" w:rsidRPr="00476794" w:rsidRDefault="00CE73D8" w:rsidP="00CE73D8">
                  <w:pPr>
                    <w:pStyle w:val="ListParagraph"/>
                    <w:autoSpaceDE w:val="0"/>
                    <w:autoSpaceDN w:val="0"/>
                    <w:spacing w:after="60"/>
                    <w:ind w:left="317" w:hanging="283"/>
                    <w:jc w:val="both"/>
                  </w:pPr>
                  <w:r w:rsidRPr="00476794">
                    <w:rPr>
                      <w:bCs/>
                    </w:rPr>
                    <w:t xml:space="preserve">b)   </w:t>
                  </w:r>
                  <w:r w:rsidRPr="00476794">
                    <w:t>Virszemes un pazemes komunikāciju infrastruktūras pārbūve MK noteikumu projektā atrunātajos gadījumos.</w:t>
                  </w:r>
                </w:p>
              </w:tc>
            </w:tr>
            <w:tr w:rsidR="00CE73D8" w:rsidRPr="00476794" w:rsidTr="00CE73D8">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120"/>
                    <w:jc w:val="both"/>
                    <w:rPr>
                      <w:rFonts w:eastAsiaTheme="minorHAnsi"/>
                      <w:sz w:val="22"/>
                      <w:szCs w:val="22"/>
                    </w:rPr>
                  </w:pPr>
                  <w:r w:rsidRPr="00476794">
                    <w:rPr>
                      <w:sz w:val="22"/>
                      <w:szCs w:val="22"/>
                    </w:rPr>
                    <w:t>34</w:t>
                  </w:r>
                </w:p>
              </w:tc>
              <w:tc>
                <w:tcPr>
                  <w:tcW w:w="3264"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60"/>
                    <w:jc w:val="both"/>
                    <w:rPr>
                      <w:rFonts w:eastAsiaTheme="minorHAnsi"/>
                      <w:sz w:val="22"/>
                      <w:szCs w:val="22"/>
                    </w:rPr>
                  </w:pPr>
                  <w:r w:rsidRPr="00476794">
                    <w:rPr>
                      <w:sz w:val="22"/>
                      <w:szCs w:val="22"/>
                    </w:rPr>
                    <w:t>Citi rekonstruēti vai uzlaboti ceļi (maģistrāles, valsts, reģionālie vai vietējie)</w:t>
                  </w:r>
                </w:p>
              </w:tc>
              <w:tc>
                <w:tcPr>
                  <w:tcW w:w="5032"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F522F9">
                  <w:pPr>
                    <w:autoSpaceDE w:val="0"/>
                    <w:autoSpaceDN w:val="0"/>
                    <w:spacing w:after="60"/>
                    <w:jc w:val="both"/>
                    <w:rPr>
                      <w:rFonts w:eastAsiaTheme="minorHAnsi"/>
                      <w:sz w:val="22"/>
                      <w:szCs w:val="22"/>
                    </w:rPr>
                  </w:pPr>
                  <w:r w:rsidRPr="00476794">
                    <w:rPr>
                      <w:sz w:val="22"/>
                      <w:szCs w:val="22"/>
                    </w:rPr>
                    <w:t xml:space="preserve">Satiksmes pārvadu, ielu vai ceļu (tai skaitā ar grants segumu, ja būvē jaunu ceļu, caurteku un inženierbūvju ceļa vai ielas pārvadīšanai pār šķērsli) un ar to saistītās infrastruktūras būvniecība, pārbūve vai atjaunošana kā funkcionāls savienojums </w:t>
                  </w:r>
                  <w:r w:rsidRPr="00476794">
                    <w:rPr>
                      <w:sz w:val="22"/>
                      <w:szCs w:val="22"/>
                      <w:u w:val="single"/>
                    </w:rPr>
                    <w:t>pie degradētās teritorijas</w:t>
                  </w:r>
                  <w:r w:rsidRPr="00476794">
                    <w:rPr>
                      <w:sz w:val="22"/>
                      <w:szCs w:val="22"/>
                    </w:rPr>
                    <w:t>, nepārsniedzot divu kilometru garumu, tai skaitā lietus ūdens kanalizācijas infrastruktūras un ielu apgaismojuma būvniecība, pārbūve vai atjaunošana.</w:t>
                  </w:r>
                </w:p>
              </w:tc>
            </w:tr>
            <w:tr w:rsidR="00CE73D8" w:rsidRPr="00476794" w:rsidTr="00CE73D8">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120"/>
                    <w:jc w:val="both"/>
                    <w:rPr>
                      <w:rFonts w:eastAsiaTheme="minorHAnsi"/>
                      <w:sz w:val="22"/>
                      <w:szCs w:val="22"/>
                    </w:rPr>
                  </w:pPr>
                  <w:r w:rsidRPr="00476794">
                    <w:rPr>
                      <w:sz w:val="22"/>
                      <w:szCs w:val="22"/>
                    </w:rPr>
                    <w:t>89</w:t>
                  </w:r>
                </w:p>
              </w:tc>
              <w:tc>
                <w:tcPr>
                  <w:tcW w:w="3264"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autoSpaceDE w:val="0"/>
                    <w:autoSpaceDN w:val="0"/>
                    <w:spacing w:after="60"/>
                    <w:jc w:val="both"/>
                    <w:rPr>
                      <w:rFonts w:eastAsiaTheme="minorHAnsi"/>
                      <w:sz w:val="22"/>
                      <w:szCs w:val="22"/>
                    </w:rPr>
                  </w:pPr>
                  <w:r w:rsidRPr="00476794">
                    <w:rPr>
                      <w:sz w:val="22"/>
                      <w:szCs w:val="22"/>
                    </w:rPr>
                    <w:t>Rūpniecībā izmantotās un piesārņotās zemes rehabilitācija</w:t>
                  </w:r>
                </w:p>
                <w:p w:rsidR="00CE73D8" w:rsidRPr="00476794" w:rsidRDefault="00CE73D8" w:rsidP="00CE73D8">
                  <w:pPr>
                    <w:autoSpaceDE w:val="0"/>
                    <w:autoSpaceDN w:val="0"/>
                    <w:spacing w:after="60"/>
                    <w:jc w:val="both"/>
                    <w:rPr>
                      <w:rFonts w:eastAsiaTheme="minorHAnsi"/>
                      <w:sz w:val="22"/>
                      <w:szCs w:val="22"/>
                    </w:rPr>
                  </w:pPr>
                </w:p>
              </w:tc>
              <w:tc>
                <w:tcPr>
                  <w:tcW w:w="5032" w:type="dxa"/>
                  <w:tcBorders>
                    <w:top w:val="nil"/>
                    <w:left w:val="nil"/>
                    <w:bottom w:val="single" w:sz="8" w:space="0" w:color="000000"/>
                    <w:right w:val="single" w:sz="8" w:space="0" w:color="000000"/>
                  </w:tcBorders>
                  <w:tcMar>
                    <w:top w:w="0" w:type="dxa"/>
                    <w:left w:w="108" w:type="dxa"/>
                    <w:bottom w:w="0" w:type="dxa"/>
                    <w:right w:w="108" w:type="dxa"/>
                  </w:tcMar>
                  <w:hideMark/>
                </w:tcPr>
                <w:p w:rsidR="00CE73D8" w:rsidRPr="00476794" w:rsidRDefault="00CE73D8" w:rsidP="00CE73D8">
                  <w:pPr>
                    <w:pStyle w:val="ListParagraph"/>
                    <w:autoSpaceDE w:val="0"/>
                    <w:autoSpaceDN w:val="0"/>
                    <w:spacing w:after="60"/>
                    <w:ind w:left="30"/>
                    <w:jc w:val="both"/>
                    <w:rPr>
                      <w:rFonts w:eastAsiaTheme="minorHAnsi"/>
                    </w:rPr>
                  </w:pPr>
                  <w:r w:rsidRPr="00476794">
                    <w:t xml:space="preserve">Publiskās infrastruktūras attīstības </w:t>
                  </w:r>
                  <w:r w:rsidRPr="00476794">
                    <w:rPr>
                      <w:u w:val="single"/>
                    </w:rPr>
                    <w:t>pašvaldības noteiktajā degradētajā teritorijā</w:t>
                  </w:r>
                  <w:r w:rsidRPr="00476794">
                    <w:t>, tajā skaitā:</w:t>
                  </w:r>
                </w:p>
                <w:p w:rsidR="00CE73D8" w:rsidRPr="00476794" w:rsidRDefault="00CE73D8" w:rsidP="00075C28">
                  <w:pPr>
                    <w:pStyle w:val="ListParagraph"/>
                    <w:autoSpaceDE w:val="0"/>
                    <w:autoSpaceDN w:val="0"/>
                    <w:spacing w:after="60"/>
                    <w:ind w:left="17" w:hanging="17"/>
                    <w:jc w:val="both"/>
                  </w:pPr>
                  <w:r w:rsidRPr="00476794">
                    <w:t>a)      Teritorijas labiekārtošana izņemot izmaksas, kas attiecas uz mazām arhitektūras formām ar māksliniecisko vērtību:</w:t>
                  </w:r>
                </w:p>
                <w:p w:rsidR="00CE73D8" w:rsidRPr="00476794" w:rsidRDefault="00CE73D8" w:rsidP="00075C28">
                  <w:pPr>
                    <w:pStyle w:val="ListParagraph"/>
                    <w:autoSpaceDE w:val="0"/>
                    <w:autoSpaceDN w:val="0"/>
                    <w:spacing w:after="60"/>
                    <w:ind w:left="458"/>
                    <w:jc w:val="both"/>
                  </w:pPr>
                  <w:r w:rsidRPr="00476794">
                    <w:t xml:space="preserve">-graustu demontāža, teritorijas attīrīšana, teritorijas sanācijas pasākumi, cietā seguma laukuma būvniecība, pārbūve vai atjaunošana rūpnieciskās apbūves </w:t>
                  </w:r>
                  <w:r w:rsidRPr="00476794">
                    <w:lastRenderedPageBreak/>
                    <w:t xml:space="preserve">teritorijā; </w:t>
                  </w:r>
                </w:p>
                <w:p w:rsidR="00CE73D8" w:rsidRPr="00476794" w:rsidRDefault="00CE73D8" w:rsidP="00075C28">
                  <w:pPr>
                    <w:pStyle w:val="ListParagraph"/>
                    <w:autoSpaceDE w:val="0"/>
                    <w:autoSpaceDN w:val="0"/>
                    <w:spacing w:after="60"/>
                    <w:ind w:left="458"/>
                    <w:jc w:val="both"/>
                  </w:pPr>
                  <w:r w:rsidRPr="00476794">
                    <w:t xml:space="preserve">-teritorijas apzaļumošana, labiekārtojuma elementu uzstādīšana (soliņi, apgaismojums, atkritumu urnas), gājēju celiņu, </w:t>
                  </w:r>
                  <w:proofErr w:type="spellStart"/>
                  <w:r w:rsidRPr="00476794">
                    <w:t>velo</w:t>
                  </w:r>
                  <w:proofErr w:type="spellEnd"/>
                  <w:r w:rsidRPr="00476794">
                    <w:t xml:space="preserve"> celiņu, cietā seguma laukuma būvniecība, pārbūve vai atjaunošana (20% - 50% ierobežojums).</w:t>
                  </w:r>
                </w:p>
                <w:p w:rsidR="00CE73D8" w:rsidRPr="00476794" w:rsidRDefault="00CE73D8" w:rsidP="00075C28">
                  <w:pPr>
                    <w:pStyle w:val="ListParagraph"/>
                    <w:autoSpaceDE w:val="0"/>
                    <w:autoSpaceDN w:val="0"/>
                    <w:spacing w:after="60"/>
                    <w:ind w:left="64"/>
                    <w:jc w:val="both"/>
                  </w:pPr>
                  <w:r w:rsidRPr="00476794">
                    <w:t xml:space="preserve">b)      Ēku un to saistītās infrastruktūras būvniecība, pārbūve, atjaunošana vai </w:t>
                  </w:r>
                  <w:r w:rsidRPr="00894FEB">
                    <w:t xml:space="preserve">restaurācija </w:t>
                  </w:r>
                  <w:r w:rsidR="00E34BC5" w:rsidRPr="00894FEB">
                    <w:rPr>
                      <w:bCs/>
                    </w:rPr>
                    <w:t xml:space="preserve">(tai skaitā būvprojektā paredzēto stacionāro iekārtu (izņemot ražošanas iekārtas) vai stacionārā aprīkojuma, kas nepieciešamas būves vai tās daļas pieņemšanai ekspluatācijā, iegāde un uzstādīšana) </w:t>
                  </w:r>
                  <w:r w:rsidRPr="00894FEB">
                    <w:t xml:space="preserve">un ēkas funkcionalitātes </w:t>
                  </w:r>
                  <w:r w:rsidRPr="00476794">
                    <w:t>nodrošināšanai nepieciešamo visu sabiedrisko pakalpojumu pieslēgumu būvniecība, pārbūve vai atjaunošana;</w:t>
                  </w:r>
                </w:p>
                <w:p w:rsidR="00CE73D8" w:rsidRPr="00476794" w:rsidRDefault="00CE73D8" w:rsidP="00075C28">
                  <w:pPr>
                    <w:pStyle w:val="ListParagraph"/>
                    <w:autoSpaceDE w:val="0"/>
                    <w:autoSpaceDN w:val="0"/>
                    <w:spacing w:after="60"/>
                    <w:ind w:left="64"/>
                    <w:jc w:val="both"/>
                  </w:pPr>
                  <w:r w:rsidRPr="00476794">
                    <w:t>c)       Siltumapgādes infrastruktūras būvniecība vai pārbūve (jaudas palielināšana);</w:t>
                  </w:r>
                </w:p>
                <w:p w:rsidR="00CE73D8" w:rsidRPr="00476794" w:rsidRDefault="00CE73D8" w:rsidP="00075C28">
                  <w:pPr>
                    <w:pStyle w:val="ListParagraph"/>
                    <w:autoSpaceDE w:val="0"/>
                    <w:autoSpaceDN w:val="0"/>
                    <w:spacing w:after="60"/>
                    <w:ind w:left="64"/>
                    <w:jc w:val="both"/>
                  </w:pPr>
                  <w:r w:rsidRPr="00476794">
                    <w:t xml:space="preserve">d)      Ielu vai ceļu un ar to saistītās infrastruktūras būvniecība, pārbūve vai atjaunošana pašvaldības noteiktajā ar komercdarbību saistītajā teritorijā (neieskaitot funkcionālu savienojumu līdz tai); </w:t>
                  </w:r>
                </w:p>
                <w:p w:rsidR="00CE73D8" w:rsidRPr="00476794" w:rsidRDefault="00CE73D8" w:rsidP="00075C28">
                  <w:pPr>
                    <w:pStyle w:val="ListParagraph"/>
                    <w:autoSpaceDE w:val="0"/>
                    <w:autoSpaceDN w:val="0"/>
                    <w:spacing w:after="60"/>
                    <w:ind w:left="64"/>
                    <w:jc w:val="both"/>
                  </w:pPr>
                  <w:r w:rsidRPr="00476794">
                    <w:t>e)      Virszemes un pazemes komunikāciju infrastruktūras pārbūve MK noteikumu projektā atrunātajos gadījumos.</w:t>
                  </w:r>
                </w:p>
              </w:tc>
            </w:tr>
          </w:tbl>
          <w:p w:rsidR="000E7587" w:rsidRPr="00476794" w:rsidRDefault="00CE73D8" w:rsidP="000E7587">
            <w:pPr>
              <w:autoSpaceDE w:val="0"/>
              <w:autoSpaceDN w:val="0"/>
              <w:adjustRightInd w:val="0"/>
              <w:spacing w:after="120"/>
              <w:jc w:val="both"/>
            </w:pPr>
            <w:r w:rsidRPr="00476794">
              <w:lastRenderedPageBreak/>
              <w:t xml:space="preserve">Atbilstoši darbības programmā noteiktajam, MK noteikumu projektā ir iekļauts mehānisms, kas nodrošinās, ka visas investīcijas publiskajā infrastruktūrā un inženierkomunikācijās tiks balstītas uz komersantu pieprasījumu. Līdz ar to reālais finansējuma sadalījums starp intervences kodiem būs zināms pēc projektu atlases, atbalstot projektus ar augstākiem rezultātiem un atbilstoši komersantu pieprasījumam konkrētajam infrastruktūras veidam. Šobrīd nav pamata uzskatīt, ka viss SAM ietvaros pieejamais finansējums tiks novirzīts tikai pašvaldību ielu vai ceļu infrastruktūras attīstībai. Būtisku investīciju </w:t>
            </w:r>
            <w:r w:rsidRPr="00476794">
              <w:lastRenderedPageBreak/>
              <w:t xml:space="preserve">sadalījuma pa intervences kodiem izmaiņu gadījumā VARAM informēs Finanšu ministriju par potenciālajiem riskiem. </w:t>
            </w:r>
          </w:p>
          <w:p w:rsidR="00C12A1D" w:rsidRPr="00476794" w:rsidRDefault="00BA48CE" w:rsidP="000E7587">
            <w:pPr>
              <w:autoSpaceDE w:val="0"/>
              <w:autoSpaceDN w:val="0"/>
              <w:adjustRightInd w:val="0"/>
              <w:spacing w:after="120"/>
              <w:jc w:val="both"/>
            </w:pPr>
            <w:r w:rsidRPr="00476794">
              <w:t>MK noteikumu projekts nosaka, ka</w:t>
            </w:r>
            <w:r w:rsidRPr="00476794">
              <w:rPr>
                <w:u w:val="single"/>
              </w:rPr>
              <w:t xml:space="preserve"> Pirmās atlases kārtas</w:t>
            </w:r>
            <w:r w:rsidRPr="00476794">
              <w:t xml:space="preserve"> īstenošanai vadošā iestāde slēdz deleģēšanas līgumu ar Daugavpils, Jelgavas, Jēkabpils, Jūrmalas, Liepājas, Rēzeknes,</w:t>
            </w:r>
            <w:r w:rsidR="009F50FD" w:rsidRPr="00476794">
              <w:t xml:space="preserve"> Rīgas, </w:t>
            </w:r>
            <w:r w:rsidRPr="00476794">
              <w:t>Valmieras un Ventspils pilsētas pašvaldībām, deleģējot tām projektu atlases veikšanas funkciju</w:t>
            </w:r>
            <w:r w:rsidR="0056422C" w:rsidRPr="00476794">
              <w:rPr>
                <w:rStyle w:val="FootnoteReference"/>
              </w:rPr>
              <w:footnoteReference w:id="18"/>
            </w:r>
            <w:r w:rsidR="0056422C" w:rsidRPr="00476794">
              <w:t xml:space="preserve"> </w:t>
            </w:r>
            <w:r w:rsidRPr="00476794">
              <w:t>(turpmāk – deleģēšanas līgums). Pašvaldība, ar kuru noslēgts deleģēšanas līgums, organizē projektu iesniegumu atlasi, kā arī izstrādā projektu iesniegumu atlases nolikumu</w:t>
            </w:r>
            <w:r w:rsidR="00CE73D8" w:rsidRPr="00476794">
              <w:t>, saskaņojot to ar VARAM</w:t>
            </w:r>
            <w:r w:rsidR="001244CA" w:rsidRPr="00476794">
              <w:t>.</w:t>
            </w:r>
          </w:p>
          <w:p w:rsidR="00F522F9" w:rsidRPr="00476794" w:rsidRDefault="00F522F9" w:rsidP="00F522F9">
            <w:pPr>
              <w:spacing w:after="120"/>
              <w:jc w:val="both"/>
            </w:pPr>
            <w:r w:rsidRPr="00476794">
              <w:t xml:space="preserve">Atbilstoši Reģionālās attīstības koordinācijas padomes nolikumam Reģionālās attīstības koordinācijas padome izskata un saskaņo nacionālas nozīmes attīstības centru pašvaldību izstrādātās attīstības programmas, kurās ir iekļautas integrētas darbības pilsētu ekonomisko, vides, klimata, demogrāfisko un sociālo problēmu risināšanai. Reģionālās attīstības koordinācijas padome apstiprina SAM finansējuma un sasniedzamo iznākuma rādītāju sadalījumu starp nacionālās nozīmes attīstības centriem. Projektu iesniegumu vērtēšanu veic republikas pilsētas pašvaldības izveidota projektu iesniegumu vērtēšanas komisija. Projektu pēc tā izvērtēšanas republikas pilsētas pašvaldības projektu iesniegumu vērtēšanas komisijā un galīgās pārbaudes par projekta iesnieguma atbilstību normatīvajam aktam par SAM īstenošanu un projekta iesnieguma vērtēšanas kritērijiem veikšanas (atbilstoši deleģēšanas līgumā noteiktajam) un lēmuma par projekta apstiprināšanu, vai atzinuma par nosacījumu izpildi, iesniedz sadarbības iestādē vienošanās par projekta īstenošanu noslēgšanai. </w:t>
            </w:r>
          </w:p>
          <w:p w:rsidR="0003292D" w:rsidRPr="00476794" w:rsidRDefault="00F522F9" w:rsidP="0003292D">
            <w:pPr>
              <w:spacing w:after="120"/>
              <w:jc w:val="both"/>
            </w:pPr>
            <w:r w:rsidRPr="00476794">
              <w:t xml:space="preserve">Nosacījumi par grozījumiem SAM finansējuma un sasniedzamo iznākuma rādītāju sadalījumā, ko veiks biedrība „Latvijas Lielo pilsētu asociācija”, </w:t>
            </w:r>
            <w:r w:rsidR="00642BFC" w:rsidRPr="00476794">
              <w:t xml:space="preserve">ir </w:t>
            </w:r>
            <w:r w:rsidRPr="00476794">
              <w:t>noteikti Reģionālās attīstības koordinācijas padomes nolikumā</w:t>
            </w:r>
            <w:r w:rsidR="00642BFC" w:rsidRPr="00476794">
              <w:t>.</w:t>
            </w:r>
          </w:p>
          <w:p w:rsidR="00FE5D68" w:rsidRPr="00476794" w:rsidRDefault="00BA48CE" w:rsidP="00BA48CE">
            <w:pPr>
              <w:spacing w:after="120"/>
              <w:jc w:val="both"/>
            </w:pPr>
            <w:r w:rsidRPr="00476794">
              <w:rPr>
                <w:u w:val="single"/>
              </w:rPr>
              <w:t xml:space="preserve">Otrās </w:t>
            </w:r>
            <w:r w:rsidR="00FE5D68" w:rsidRPr="00476794">
              <w:rPr>
                <w:u w:val="single"/>
              </w:rPr>
              <w:t xml:space="preserve">un Trešās </w:t>
            </w:r>
            <w:r w:rsidRPr="00476794">
              <w:rPr>
                <w:u w:val="single"/>
              </w:rPr>
              <w:t>atlases kārtas</w:t>
            </w:r>
            <w:r w:rsidRPr="00476794">
              <w:t xml:space="preserve"> ietvaros projektu iesniegumu atlasi organizē </w:t>
            </w:r>
            <w:r w:rsidR="00C83748" w:rsidRPr="00476794">
              <w:t>sadarbības iestāde</w:t>
            </w:r>
            <w:r w:rsidRPr="00476794">
              <w:t xml:space="preserve">, kas izstrādā projektu iesniegumu atlases nolikumu. </w:t>
            </w:r>
          </w:p>
          <w:p w:rsidR="00FE5D68" w:rsidRPr="00476794" w:rsidRDefault="00BA48CE" w:rsidP="00BA48CE">
            <w:pPr>
              <w:spacing w:after="120"/>
              <w:jc w:val="both"/>
            </w:pPr>
            <w:r w:rsidRPr="00476794">
              <w:t>VARAM izvērtē reģionālas nozīmes attīstības centru pašvaldību izstrādātās attīstības progra</w:t>
            </w:r>
            <w:r w:rsidR="00FE5D68" w:rsidRPr="00476794">
              <w:t>mmas, tajās norādītās prioritārā</w:t>
            </w:r>
            <w:r w:rsidRPr="00476794">
              <w:t>s un alternatīvās projektu idejas, kuras</w:t>
            </w:r>
            <w:r w:rsidR="00FE5D68" w:rsidRPr="00476794">
              <w:t xml:space="preserve"> </w:t>
            </w:r>
            <w:r w:rsidRPr="00476794">
              <w:t xml:space="preserve">pašvaldība plāno īstenot SAM </w:t>
            </w:r>
            <w:r w:rsidR="00FE5D68" w:rsidRPr="00476794">
              <w:rPr>
                <w:u w:val="single"/>
              </w:rPr>
              <w:t>Otrās atlases kārtas</w:t>
            </w:r>
            <w:r w:rsidR="00FE5D68" w:rsidRPr="00476794">
              <w:t xml:space="preserve"> </w:t>
            </w:r>
            <w:r w:rsidRPr="00476794">
              <w:t xml:space="preserve">ietvaros. </w:t>
            </w:r>
            <w:r w:rsidR="001D367F" w:rsidRPr="00476794">
              <w:t xml:space="preserve">Atbilstoši </w:t>
            </w:r>
            <w:r w:rsidR="001D367F" w:rsidRPr="00476794">
              <w:lastRenderedPageBreak/>
              <w:t>Reģionālās attīstības koordinācijas padomes nolikumam</w:t>
            </w:r>
            <w:r w:rsidRPr="00476794">
              <w:t xml:space="preserve"> Reģionālās attīstības koordinācijas padome </w:t>
            </w:r>
            <w:r w:rsidR="00C83748" w:rsidRPr="00476794">
              <w:t xml:space="preserve">izskata un </w:t>
            </w:r>
            <w:r w:rsidRPr="00476794">
              <w:t>saskaņo pašvaldību izstrādātās attīstības programmas</w:t>
            </w:r>
            <w:r w:rsidR="009261F3" w:rsidRPr="00476794">
              <w:t>, apstiprina</w:t>
            </w:r>
            <w:r w:rsidRPr="00476794">
              <w:t xml:space="preserve"> </w:t>
            </w:r>
            <w:r w:rsidR="00E84574" w:rsidRPr="00476794">
              <w:t xml:space="preserve">projektu iesniedzēju sarakstu par finansējuma apmēru un atbilstošajiem sasniedzamajiem </w:t>
            </w:r>
            <w:r w:rsidR="00C83748" w:rsidRPr="00476794">
              <w:t xml:space="preserve">iznākuma </w:t>
            </w:r>
            <w:r w:rsidR="00E84574" w:rsidRPr="00476794">
              <w:t>rādītājiem katram projekta iesniedzējam</w:t>
            </w:r>
            <w:r w:rsidR="001D367F" w:rsidRPr="00476794">
              <w:t>, ko VARAM</w:t>
            </w:r>
            <w:r w:rsidRPr="00476794">
              <w:t xml:space="preserve"> iesniedz MK. </w:t>
            </w:r>
          </w:p>
          <w:p w:rsidR="00FE5D68" w:rsidRPr="00476794" w:rsidRDefault="00FE5D68" w:rsidP="00152051">
            <w:pPr>
              <w:spacing w:after="120"/>
              <w:jc w:val="both"/>
            </w:pPr>
            <w:r w:rsidRPr="00476794">
              <w:t>VARAM izvērtē Latgales plānošanas reģiona</w:t>
            </w:r>
            <w:r w:rsidR="00152051" w:rsidRPr="00476794">
              <w:t xml:space="preserve"> </w:t>
            </w:r>
            <w:r w:rsidR="007F75B3" w:rsidRPr="00476794">
              <w:t xml:space="preserve">attīstības </w:t>
            </w:r>
            <w:r w:rsidR="000D3C27" w:rsidRPr="00476794">
              <w:t xml:space="preserve">programmas pielikumā </w:t>
            </w:r>
            <w:r w:rsidR="007F75B3" w:rsidRPr="00476794">
              <w:t>noteikto</w:t>
            </w:r>
            <w:r w:rsidR="000D3C27" w:rsidRPr="00476794">
              <w:t xml:space="preserve"> teritoriju </w:t>
            </w:r>
            <w:r w:rsidR="00152051" w:rsidRPr="00476794">
              <w:t xml:space="preserve">pašvaldību, kas ir projekta iesniedzējas </w:t>
            </w:r>
            <w:r w:rsidR="00152051" w:rsidRPr="00476794">
              <w:rPr>
                <w:u w:val="single"/>
              </w:rPr>
              <w:t>Trešās atlases kārtas</w:t>
            </w:r>
            <w:r w:rsidR="00152051" w:rsidRPr="00476794">
              <w:t xml:space="preserve"> ietvaros, </w:t>
            </w:r>
            <w:r w:rsidRPr="00476794">
              <w:t xml:space="preserve">izstrādātās attīstības programmas, tajās norādītās prioritārās un alternatīvās projektu idejas (konceptus), kuras pašvaldība plāno īstenot SAM </w:t>
            </w:r>
            <w:r w:rsidR="00152051" w:rsidRPr="00476794">
              <w:rPr>
                <w:u w:val="single"/>
              </w:rPr>
              <w:t>Trešās</w:t>
            </w:r>
            <w:r w:rsidRPr="00476794">
              <w:rPr>
                <w:u w:val="single"/>
              </w:rPr>
              <w:t xml:space="preserve"> atlases kārtas</w:t>
            </w:r>
            <w:r w:rsidR="00152051" w:rsidRPr="00476794">
              <w:t xml:space="preserve"> ietvaros</w:t>
            </w:r>
            <w:r w:rsidRPr="00476794">
              <w:t xml:space="preserve">. </w:t>
            </w:r>
            <w:r w:rsidR="001D367F" w:rsidRPr="00476794">
              <w:t xml:space="preserve">Atbilstoši Reģionālās attīstības koordinācijas padomes nolikumam </w:t>
            </w:r>
            <w:r w:rsidRPr="00476794">
              <w:t xml:space="preserve">Reģionālās attīstības koordinācijas padome </w:t>
            </w:r>
            <w:r w:rsidR="00C83748" w:rsidRPr="00476794">
              <w:t xml:space="preserve">izskata un </w:t>
            </w:r>
            <w:r w:rsidRPr="00476794">
              <w:t>saskaņo pašvaldību izstrādātās attīstības programmas</w:t>
            </w:r>
            <w:r w:rsidR="009261F3" w:rsidRPr="00476794">
              <w:t>, apstiprina</w:t>
            </w:r>
            <w:r w:rsidRPr="00476794">
              <w:t xml:space="preserve"> </w:t>
            </w:r>
            <w:r w:rsidR="00E84574" w:rsidRPr="00476794">
              <w:t xml:space="preserve">projektu iesniedzēju sarakstu par finansējuma apmēru un atbilstošajiem sasniedzamajiem </w:t>
            </w:r>
            <w:r w:rsidR="00C83748" w:rsidRPr="00476794">
              <w:t xml:space="preserve">iznākuma </w:t>
            </w:r>
            <w:r w:rsidR="00E84574" w:rsidRPr="00476794">
              <w:t>rādītājiem katram projekta iesniedzējam</w:t>
            </w:r>
            <w:r w:rsidR="001D367F" w:rsidRPr="00476794">
              <w:t>, ko VARAM</w:t>
            </w:r>
            <w:r w:rsidRPr="00476794">
              <w:t xml:space="preserve"> iesniedz MK. </w:t>
            </w:r>
          </w:p>
          <w:p w:rsidR="00152051" w:rsidRPr="00476794" w:rsidRDefault="009261F3" w:rsidP="00373043">
            <w:pPr>
              <w:spacing w:after="120"/>
              <w:jc w:val="both"/>
            </w:pPr>
            <w:r w:rsidRPr="00476794">
              <w:t xml:space="preserve">Lai nodrošinātu sadarbības projektu īstenošanu Latgales plānošanas reģiona attīstības </w:t>
            </w:r>
            <w:r w:rsidR="007C545E" w:rsidRPr="00476794">
              <w:t>programmas pielikumā noteiktajās teritorijās</w:t>
            </w:r>
            <w:r w:rsidRPr="00476794">
              <w:t>,</w:t>
            </w:r>
            <w:r w:rsidR="00152051" w:rsidRPr="00476794">
              <w:t xml:space="preserve"> SAM </w:t>
            </w:r>
            <w:r w:rsidR="00152051" w:rsidRPr="00476794">
              <w:rPr>
                <w:u w:val="single"/>
              </w:rPr>
              <w:t>Trešajā atlases kārtā</w:t>
            </w:r>
            <w:r w:rsidR="00152051" w:rsidRPr="00476794">
              <w:t xml:space="preserve"> projekta iesniedzējs nodrošina, ka:</w:t>
            </w:r>
          </w:p>
          <w:p w:rsidR="00152051" w:rsidRPr="00476794" w:rsidRDefault="00152051" w:rsidP="00373043">
            <w:pPr>
              <w:numPr>
                <w:ilvl w:val="1"/>
                <w:numId w:val="16"/>
              </w:numPr>
              <w:tabs>
                <w:tab w:val="left" w:pos="459"/>
              </w:tabs>
              <w:spacing w:after="120"/>
              <w:ind w:left="459" w:hanging="283"/>
              <w:jc w:val="both"/>
              <w:outlineLvl w:val="0"/>
            </w:pPr>
            <w:r w:rsidRPr="00476794">
              <w:t>projekt</w:t>
            </w:r>
            <w:r w:rsidR="00EE0B0C" w:rsidRPr="00476794">
              <w:t xml:space="preserve">s </w:t>
            </w:r>
            <w:r w:rsidRPr="00476794">
              <w:t xml:space="preserve">ir atspoguļots Latgales plānošanas reģiona attīstības </w:t>
            </w:r>
            <w:r w:rsidR="00EE0B0C" w:rsidRPr="00476794">
              <w:t>programmas</w:t>
            </w:r>
            <w:r w:rsidRPr="00476794">
              <w:t>, kas ir saskaņota ar VARAM</w:t>
            </w:r>
            <w:r w:rsidR="00EE0B0C" w:rsidRPr="00476794">
              <w:t>, pielikumā</w:t>
            </w:r>
            <w:r w:rsidRPr="00476794">
              <w:t>;</w:t>
            </w:r>
          </w:p>
          <w:p w:rsidR="00152051" w:rsidRPr="00476794" w:rsidRDefault="00152051" w:rsidP="00373043">
            <w:pPr>
              <w:numPr>
                <w:ilvl w:val="1"/>
                <w:numId w:val="16"/>
              </w:numPr>
              <w:tabs>
                <w:tab w:val="left" w:pos="459"/>
              </w:tabs>
              <w:spacing w:after="120"/>
              <w:ind w:left="459" w:hanging="283"/>
              <w:jc w:val="both"/>
              <w:outlineLvl w:val="0"/>
            </w:pPr>
            <w:r w:rsidRPr="00476794">
              <w:t>Latgales</w:t>
            </w:r>
            <w:r w:rsidR="00B639D7" w:rsidRPr="00476794">
              <w:t xml:space="preserve"> plānošanas reģiona </w:t>
            </w:r>
            <w:r w:rsidR="007C545E" w:rsidRPr="00476794">
              <w:t xml:space="preserve">attīstības programmas pielikumā minēto teritoriju </w:t>
            </w:r>
            <w:r w:rsidR="00B639D7" w:rsidRPr="00476794">
              <w:t xml:space="preserve">pašvaldību </w:t>
            </w:r>
            <w:r w:rsidRPr="00476794">
              <w:t>sadarbības projektos sadarbības pamatā ir kopīgi sociālekonomiski mērķi;</w:t>
            </w:r>
          </w:p>
          <w:p w:rsidR="00152051" w:rsidRPr="00476794" w:rsidRDefault="00152051" w:rsidP="00373043">
            <w:pPr>
              <w:numPr>
                <w:ilvl w:val="1"/>
                <w:numId w:val="16"/>
              </w:numPr>
              <w:tabs>
                <w:tab w:val="left" w:pos="459"/>
              </w:tabs>
              <w:spacing w:after="120"/>
              <w:ind w:left="459" w:hanging="283"/>
              <w:jc w:val="both"/>
              <w:outlineLvl w:val="0"/>
            </w:pPr>
            <w:r w:rsidRPr="00476794">
              <w:t>projektā ar sadarbības partneri sadarbības partnera statusā iesaista vismaz vienu Latgales plānošanas reģiona pašvaldību, kas nav nacionālas vai reģionālas nozīmes attīstības centrs.</w:t>
            </w:r>
          </w:p>
          <w:p w:rsidR="00747FC9" w:rsidRPr="00476794" w:rsidRDefault="0038152E" w:rsidP="0038152E">
            <w:pPr>
              <w:spacing w:after="120"/>
              <w:jc w:val="both"/>
            </w:pPr>
            <w:r w:rsidRPr="00476794">
              <w:t xml:space="preserve">MK noteikumu projekts paredz </w:t>
            </w:r>
            <w:r w:rsidRPr="00476794">
              <w:rPr>
                <w:u w:val="single"/>
              </w:rPr>
              <w:t>Trešās atlases kārtas</w:t>
            </w:r>
            <w:r w:rsidRPr="00476794">
              <w:t xml:space="preserve"> ietvaros īstenot gan sadarbības projektu</w:t>
            </w:r>
            <w:r w:rsidR="009261F3" w:rsidRPr="00476794">
              <w:t>s</w:t>
            </w:r>
            <w:r w:rsidRPr="00476794">
              <w:t xml:space="preserve"> starp nacionālās vai reģionālās nozīmes attīstības centra pašvaldību un tā apkārtējām pašvaldībām, gan individuālus nacionālas vai reģionālas nozīmes attīstības centru projektus. Kā norādīts arī Informatīvajā ziņojumā, sadarbības projektu iesniedz pašvaldība partnerībā ar citām pašvaldībām, kurā tiek plānoti ieguldījumi gan projekta iesnieguma iesniedzēja pašvaldībā, gan projekta partneru pašvaldībā. Projektā iekļauto objektu izvietojums netiek ierobežots - svarīga ir objektu savstarpēja saistība/papildinātība pēc būtības (projektā iekļautajiem objektiem nav jāatrodas tikai uz abu pašvaldību robežas, tie var atrasties jebkur abu pašvaldību teritorijā).</w:t>
            </w:r>
            <w:r w:rsidR="005242BB" w:rsidRPr="00476794">
              <w:t xml:space="preserve"> Ar </w:t>
            </w:r>
            <w:r w:rsidR="005242BB" w:rsidRPr="00476794">
              <w:lastRenderedPageBreak/>
              <w:t>augstākminētajiem sociālekonomiskajiem mērķiem MK noteikumu projekta ietvaros saprot tādus kopīgus mērķus, kas nodrošina saimnieciskās darbības aktivitātes palielināšanos, bezdarba samazināšanu un nodarbinātības pieaugumu pašvaldību teritorijās, vienlaikus par kopīgiem sociālekonomiskajiem mērķiem liecina projektā piedāvāto objektu tīkls, piemēram, industriālo teritoriju tīkls vairākās pašvaldībās, izejmateriālu ieguves un ražošanas vietas sasniedzamības jautājumu risināšana. Atbilstoši Reģionālās attīstības koordinācijas padomes nolikumā noteiktajam, Reģionālās attīstības koordinācijas padomē tiks pieņemts lēmums par projektu idejās plānotā ERAF finansējuma un iznākuma rādītāju apjomu, kas balstīts uz Latgales plānošanas reģiona attīstības programmas pielikumu, tajā skaitā izvērtējot sadarbības projektos plānotās potenciālās teritorijas (pašvaldības), to pamatojumu un kopīgos sociālekonomiskos mērķus.</w:t>
            </w:r>
          </w:p>
          <w:p w:rsidR="0038152E" w:rsidRPr="00476794" w:rsidRDefault="0038152E" w:rsidP="0038152E">
            <w:pPr>
              <w:spacing w:after="120"/>
              <w:jc w:val="both"/>
            </w:pPr>
            <w:r w:rsidRPr="00476794">
              <w:rPr>
                <w:rFonts w:eastAsia="Times New Roman"/>
                <w:szCs w:val="22"/>
                <w:lang w:eastAsia="en-US"/>
              </w:rPr>
              <w:t>Sociāli ekonomiskās situācijas apraksts, kas pamato investīciju nepieciešamību Latgales plānošanas reģion</w:t>
            </w:r>
            <w:r w:rsidR="007C545E" w:rsidRPr="00476794">
              <w:rPr>
                <w:rFonts w:eastAsia="Times New Roman"/>
                <w:szCs w:val="22"/>
                <w:lang w:eastAsia="en-US"/>
              </w:rPr>
              <w:t>a attīstības programmas pielikumā minētajās teritorijās</w:t>
            </w:r>
            <w:r w:rsidR="00B639D7" w:rsidRPr="00476794">
              <w:rPr>
                <w:rFonts w:eastAsia="Times New Roman"/>
                <w:szCs w:val="22"/>
                <w:lang w:eastAsia="en-US"/>
              </w:rPr>
              <w:t>, pieejams VARAM tīmekļa vietnē</w:t>
            </w:r>
            <w:r w:rsidR="00B639D7" w:rsidRPr="00476794">
              <w:rPr>
                <w:rStyle w:val="FootnoteReference"/>
                <w:rFonts w:eastAsia="Times New Roman"/>
                <w:szCs w:val="22"/>
                <w:lang w:eastAsia="en-US"/>
              </w:rPr>
              <w:footnoteReference w:id="19"/>
            </w:r>
            <w:r w:rsidRPr="00476794">
              <w:rPr>
                <w:rFonts w:eastAsia="Times New Roman"/>
                <w:szCs w:val="22"/>
                <w:lang w:eastAsia="en-US"/>
              </w:rPr>
              <w:t>.</w:t>
            </w:r>
          </w:p>
          <w:p w:rsidR="00BA48CE" w:rsidRPr="00476794" w:rsidRDefault="00BA48CE" w:rsidP="00BA48CE">
            <w:pPr>
              <w:spacing w:after="120"/>
              <w:jc w:val="both"/>
            </w:pPr>
            <w:r w:rsidRPr="00476794">
              <w:t xml:space="preserve">Projektu iesniegumu vērtēšanu </w:t>
            </w:r>
            <w:r w:rsidR="00FE5D68" w:rsidRPr="00476794">
              <w:rPr>
                <w:u w:val="single"/>
              </w:rPr>
              <w:t>Otrās un Trešās atlases kārtas</w:t>
            </w:r>
            <w:r w:rsidR="00FE5D68" w:rsidRPr="00476794">
              <w:t xml:space="preserve"> ietvaros </w:t>
            </w:r>
            <w:r w:rsidRPr="00476794">
              <w:t xml:space="preserve">veic </w:t>
            </w:r>
            <w:r w:rsidR="00C83748" w:rsidRPr="00476794">
              <w:t xml:space="preserve">sadarbības iestāde </w:t>
            </w:r>
            <w:r w:rsidRPr="00476794">
              <w:t xml:space="preserve">un pēc projekta iesnieguma apstiprināšanas noslēdz vienošanos ar projekta iesniedzēju par projekta īstenošanu. </w:t>
            </w:r>
          </w:p>
          <w:p w:rsidR="00893FBD" w:rsidRPr="00476794" w:rsidRDefault="00BA48CE" w:rsidP="0056422C">
            <w:pPr>
              <w:spacing w:after="120"/>
              <w:jc w:val="both"/>
            </w:pPr>
            <w:r w:rsidRPr="00476794">
              <w:t xml:space="preserve">Lai nodrošinātu SAM līmeņa rādītāju sasniegšanu, </w:t>
            </w:r>
            <w:r w:rsidR="001D367F" w:rsidRPr="00476794">
              <w:t>atbilstoši Reģionālās attīstības koordinācijas padomes nolikumam</w:t>
            </w:r>
            <w:r w:rsidRPr="00476794">
              <w:t xml:space="preserve"> īstenojot </w:t>
            </w:r>
            <w:r w:rsidRPr="00476794">
              <w:rPr>
                <w:u w:val="single"/>
              </w:rPr>
              <w:t>Pirmo</w:t>
            </w:r>
            <w:r w:rsidR="0038152E" w:rsidRPr="00476794">
              <w:rPr>
                <w:u w:val="single"/>
              </w:rPr>
              <w:t>,</w:t>
            </w:r>
            <w:r w:rsidRPr="00476794">
              <w:rPr>
                <w:u w:val="single"/>
              </w:rPr>
              <w:t xml:space="preserve"> Otro </w:t>
            </w:r>
            <w:r w:rsidR="0038152E" w:rsidRPr="00476794">
              <w:rPr>
                <w:u w:val="single"/>
              </w:rPr>
              <w:t xml:space="preserve">un Trešo </w:t>
            </w:r>
            <w:r w:rsidRPr="00476794">
              <w:rPr>
                <w:u w:val="single"/>
              </w:rPr>
              <w:t>atlases kārtu</w:t>
            </w:r>
            <w:r w:rsidRPr="00476794">
              <w:t xml:space="preserve">, grozījumus projektu iesniedzēju sarakstā par finansējuma apmēru un atbilstošajiem sasniedzamajiem rādītājiem katram projekta iesniedzējam saskaņo Reģionālās </w:t>
            </w:r>
            <w:r w:rsidR="009261F3" w:rsidRPr="00476794">
              <w:t xml:space="preserve">attīstības koordinācijas padomē, vienlaikus piemērojot atsevišķu kārtību integrētu teritoriālo investīciju projektiem </w:t>
            </w:r>
            <w:r w:rsidR="009261F3" w:rsidRPr="00476794">
              <w:rPr>
                <w:u w:val="single"/>
              </w:rPr>
              <w:t>Pirmās atlases kārtas</w:t>
            </w:r>
            <w:r w:rsidR="009261F3" w:rsidRPr="00476794">
              <w:t xml:space="preserve"> ietvaros</w:t>
            </w:r>
            <w:r w:rsidR="00A44322" w:rsidRPr="00476794">
              <w:t xml:space="preserve">, ja izmaiņas projektā nepārsniedz 20 procentus no projekta kopējā finansējuma apmēra un ja, veicot izmaiņas projektu līmenī, SAM kopējās sasniedzamo </w:t>
            </w:r>
            <w:r w:rsidR="00C83748" w:rsidRPr="00476794">
              <w:t xml:space="preserve">iznākuma </w:t>
            </w:r>
            <w:r w:rsidR="00A44322" w:rsidRPr="00476794">
              <w:t>rādītāju vērtības nesamazinās</w:t>
            </w:r>
            <w:r w:rsidR="009261F3" w:rsidRPr="00476794">
              <w:t>.</w:t>
            </w:r>
          </w:p>
          <w:p w:rsidR="00B722BF" w:rsidRPr="00476794" w:rsidRDefault="00B722BF" w:rsidP="00B722BF">
            <w:pPr>
              <w:jc w:val="both"/>
              <w:rPr>
                <w:rFonts w:eastAsia="Times New Roman"/>
                <w:szCs w:val="22"/>
                <w:u w:val="single"/>
                <w:lang w:eastAsia="en-US"/>
              </w:rPr>
            </w:pPr>
            <w:r w:rsidRPr="00476794">
              <w:rPr>
                <w:rFonts w:eastAsia="Times New Roman"/>
                <w:szCs w:val="22"/>
                <w:u w:val="single"/>
                <w:lang w:eastAsia="en-US"/>
              </w:rPr>
              <w:t>Citi nosacījumi</w:t>
            </w:r>
          </w:p>
          <w:p w:rsidR="00B722BF" w:rsidRPr="00476794" w:rsidRDefault="00B722BF" w:rsidP="00B722BF">
            <w:pPr>
              <w:spacing w:after="120"/>
              <w:jc w:val="both"/>
            </w:pPr>
            <w:r w:rsidRPr="00476794">
              <w:t xml:space="preserve">MK noteikumu projekts paredz, ka projekta iesniedzējs veic izmaksu un ieguvumu analīzi </w:t>
            </w:r>
            <w:r w:rsidR="00C83748" w:rsidRPr="00476794">
              <w:t>(</w:t>
            </w:r>
            <w:r w:rsidR="001D367F" w:rsidRPr="00476794">
              <w:t xml:space="preserve">ekonomisko analīzi un </w:t>
            </w:r>
            <w:r w:rsidR="00C83748" w:rsidRPr="00476794">
              <w:t xml:space="preserve">finanšu </w:t>
            </w:r>
            <w:r w:rsidR="001D367F" w:rsidRPr="00476794">
              <w:t>analīzi), paredzot, ka</w:t>
            </w:r>
            <w:r w:rsidR="00C83748" w:rsidRPr="00476794">
              <w:t xml:space="preserve"> projekta ekonomiskā ienesīguma norma ir lielāka par sociālo diskonta likmi (5 procenti) un projekta ekonomiskā neto </w:t>
            </w:r>
            <w:r w:rsidR="001D367F" w:rsidRPr="00476794">
              <w:t xml:space="preserve">pašreizējā </w:t>
            </w:r>
            <w:r w:rsidR="00C83748" w:rsidRPr="00476794">
              <w:t>vērtība ir lielāka par nulli.</w:t>
            </w:r>
          </w:p>
          <w:p w:rsidR="00CE73D8" w:rsidRPr="00476794" w:rsidRDefault="00CE73D8" w:rsidP="00CE73D8">
            <w:pPr>
              <w:spacing w:after="120"/>
              <w:jc w:val="both"/>
            </w:pPr>
            <w:r w:rsidRPr="00476794">
              <w:t xml:space="preserve">Projekta pārskata periodu (projekta dzīves ciklu) nosaka atbilstoši Komisijas 2014.gada 3.marta Deleģētās Regulas </w:t>
            </w:r>
            <w:r w:rsidRPr="00476794">
              <w:lastRenderedPageBreak/>
              <w:t>(ES)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Nr.480/2014) I pielikumam, kas piemērojams atkarībā no projekta investīciju jomas. Saskaņā ar minētās regulas I pielikumu atkarībā no nozares ir noteikti šādi projekta pārskata periodi:</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95"/>
              <w:gridCol w:w="2474"/>
            </w:tblGrid>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jc w:val="center"/>
                  </w:pPr>
                  <w:r w:rsidRPr="00476794">
                    <w:rPr>
                      <w:sz w:val="22"/>
                      <w:szCs w:val="22"/>
                    </w:rPr>
                    <w:t>Nozare</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jc w:val="center"/>
                  </w:pPr>
                  <w:r w:rsidRPr="00476794">
                    <w:rPr>
                      <w:sz w:val="22"/>
                      <w:szCs w:val="22"/>
                    </w:rPr>
                    <w:t>Pārskata periods (gadi)</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Dzelzceļš</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30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Ūdensapgāde/sanitārija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30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Ceļi</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25–30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Atkritumu apsaimniekošana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25–30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Ostas un lidostas</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25</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Pilsētas transports</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25–30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Enerģija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15–25</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Pētniecība un inovācija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15–25</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Platjosla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15–20</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Uzņēmējdarbības infrastruktūra</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10–15</w:t>
                  </w:r>
                </w:p>
              </w:tc>
            </w:tr>
            <w:tr w:rsidR="00CE73D8" w:rsidRPr="00476794" w:rsidTr="00CE73D8">
              <w:trPr>
                <w:tblCellSpacing w:w="0" w:type="dxa"/>
              </w:trPr>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Citas nozares</w:t>
                  </w:r>
                </w:p>
              </w:tc>
              <w:tc>
                <w:tcPr>
                  <w:tcW w:w="0" w:type="auto"/>
                  <w:tcBorders>
                    <w:top w:val="single" w:sz="4" w:space="0" w:color="auto"/>
                    <w:left w:val="single" w:sz="4" w:space="0" w:color="auto"/>
                    <w:bottom w:val="single" w:sz="4" w:space="0" w:color="auto"/>
                    <w:right w:val="single" w:sz="4" w:space="0" w:color="auto"/>
                  </w:tcBorders>
                </w:tcPr>
                <w:p w:rsidR="00CE73D8" w:rsidRPr="00476794" w:rsidRDefault="00CE73D8" w:rsidP="00CE73D8">
                  <w:pPr>
                    <w:spacing w:before="100" w:beforeAutospacing="1" w:after="100" w:afterAutospacing="1"/>
                  </w:pPr>
                  <w:r w:rsidRPr="00476794">
                    <w:rPr>
                      <w:sz w:val="22"/>
                      <w:szCs w:val="22"/>
                    </w:rPr>
                    <w:t>10–15</w:t>
                  </w:r>
                </w:p>
              </w:tc>
            </w:tr>
          </w:tbl>
          <w:p w:rsidR="00CE73D8" w:rsidRPr="00476794" w:rsidRDefault="00CE73D8" w:rsidP="00B722BF">
            <w:pPr>
              <w:spacing w:after="120"/>
              <w:jc w:val="both"/>
            </w:pPr>
          </w:p>
          <w:p w:rsidR="00B722BF" w:rsidRPr="00476794" w:rsidRDefault="00B722BF" w:rsidP="00B722BF">
            <w:pPr>
              <w:spacing w:after="120"/>
              <w:jc w:val="both"/>
            </w:pPr>
            <w:r w:rsidRPr="00476794">
              <w:t>MK noteikumu projektā tiek noteikti gadījumi, kādos sadarbības iestādei ir tiesības vienpusēji atkāpties no noslēgtās vienošanās ar finansējuma saņēmēju par projekta īstenošanu</w:t>
            </w:r>
            <w:r w:rsidR="00C83748" w:rsidRPr="00476794">
              <w:t xml:space="preserve">, kas detalizēti tiks norādīti </w:t>
            </w:r>
            <w:r w:rsidR="00C83748" w:rsidRPr="00476794">
              <w:rPr>
                <w:bCs/>
              </w:rPr>
              <w:t>vienošanās vai civiltiesiskajā līgumā par projekta īstenošanu</w:t>
            </w:r>
            <w:r w:rsidR="00C83748" w:rsidRPr="00476794">
              <w:t>.</w:t>
            </w:r>
          </w:p>
          <w:p w:rsidR="006D14EA" w:rsidRPr="00476794" w:rsidRDefault="006D14EA" w:rsidP="00B722BF">
            <w:pPr>
              <w:spacing w:after="120"/>
              <w:jc w:val="both"/>
            </w:pPr>
            <w:r w:rsidRPr="00476794">
              <w:t>MK noteikumu projektā ir paredzēts nosacījums, ka gadījumā, ja projekta ietvaros tiek plānoti ieguldījumi ēkās, projekta iesniedzējs projekta iesniegumā norāda enerģijas patēriņu pirms projekta īstenošanas (megavatstundas), kā arī finansējuma saņēmējam ir pienākums informēt sadarbības iestādi par enerģijas patēriņu pēc projekta īstenošanas (megavatstundas). Projektu iesniegumā norādītie dati tiks uzkrāti Kohēzijas politikas fondu vadības informācijas sistēmā 2014.–2020.gadam.</w:t>
            </w:r>
            <w:r w:rsidRPr="00476794">
              <w:rPr>
                <w:rFonts w:ascii="Arial" w:hAnsi="Arial" w:cs="Arial"/>
              </w:rPr>
              <w:t xml:space="preserve"> </w:t>
            </w:r>
            <w:r w:rsidRPr="00476794">
              <w:t>Vienotas energoefektivitātes prasības, to piemērošanas un enerģijas patēriņa monitoringa kārtību izstrādā Ekonomikas ministrija, ņemot vērā Ministru kabineta 2010.gada 30.septembra noteikumu Nr.923 „Kārtība, kādā uzskaita valsts enerģijas galapatēriņa ietaupījumu un nodrošina energoefektivitātes monitoringa sistēmas darbību” 3.punktā noteikto, ka energoefektivitātes monitoringa sistēmas darbību nodrošina Ekonomikas ministrija.</w:t>
            </w:r>
          </w:p>
          <w:p w:rsidR="005A6A60" w:rsidRPr="00476794" w:rsidRDefault="005A6A60" w:rsidP="005A6A60">
            <w:pPr>
              <w:spacing w:after="120"/>
              <w:jc w:val="both"/>
            </w:pPr>
            <w:r w:rsidRPr="00476794">
              <w:t xml:space="preserve">SAM ir netieša ietekme gan uz horizontālo principu </w:t>
            </w:r>
            <w:r w:rsidRPr="00476794">
              <w:lastRenderedPageBreak/>
              <w:t xml:space="preserve">„Vienlīdzīgas iespējas”, gan uz horizontālo principu „Ilgtspējīga attīstība”. </w:t>
            </w:r>
          </w:p>
          <w:p w:rsidR="005A6A60" w:rsidRPr="00476794" w:rsidRDefault="005A6A60" w:rsidP="005A6A60">
            <w:pPr>
              <w:spacing w:after="120"/>
              <w:jc w:val="both"/>
            </w:pPr>
            <w:r w:rsidRPr="00476794">
              <w:t>Ietekme uz horizontālo principu „Vienlīdzīgas iespējas” ir vides un informācijas pieejamības veicināšana un projektu vērtēšanā tiks piešķirti papildu punkti projektiem, kas paredzēs specifiskas vides un informācijas pieejamību veicinošas darbības papildu būvnormatīvos noteiktajam. Lai nodrošinātu šī principa uzraudzību, tiks uzkrāti dati par horizontālā rādītāja sasniegšanu, proti, objektu skaits, kuros ERAF ieguldījumu rezultātā ir nodrošināta vides un informācijas pieejamība.</w:t>
            </w:r>
          </w:p>
          <w:p w:rsidR="005A6A60" w:rsidRPr="00476794" w:rsidRDefault="005A6A60" w:rsidP="005A6A60">
            <w:pPr>
              <w:spacing w:after="120"/>
              <w:jc w:val="both"/>
            </w:pPr>
            <w:r w:rsidRPr="00476794">
              <w:t>Ietekme uz horizontālo principu „Ilgtspējīga attīstība” ir zaļā publiskā iepirkuma principu ievērošana publiskajos iepirkumos un projektu vērtēšanā tiks piešķirti papildu punkti projektiem, kas paredzēs zaļā iepirkuma nosacījumus projekta ietvaros veicamajos publiskajos iepirkumos. Lai nodrošinātu šī principa uzraudzību, tiks uzkrāti dati par horizontālā rādītāja sasniegšanu veikto zaļo publisko iepirkumu summa (</w:t>
            </w:r>
            <w:proofErr w:type="spellStart"/>
            <w:r w:rsidRPr="00476794">
              <w:rPr>
                <w:i/>
              </w:rPr>
              <w:t>euro</w:t>
            </w:r>
            <w:proofErr w:type="spellEnd"/>
            <w:r w:rsidRPr="00476794">
              <w:t>) projektu ietvaros.</w:t>
            </w:r>
          </w:p>
          <w:p w:rsidR="004E6128" w:rsidRPr="00476794" w:rsidRDefault="004E6128" w:rsidP="005A6A60">
            <w:pPr>
              <w:spacing w:after="120"/>
              <w:jc w:val="both"/>
            </w:pPr>
            <w:r w:rsidRPr="00476794">
              <w:t xml:space="preserve">MK noteikumu projektā iekļauts nosacījums, ka projekta iesniedzējs iesniedz sadarbības iestādei informāciju par privāto komersantu skaitu, </w:t>
            </w:r>
            <w:r w:rsidRPr="00476794">
              <w:rPr>
                <w:bCs/>
              </w:rPr>
              <w:t>kuri guvuši labumu no projekta ietvaros veiktajām investīcijām un atbilst mazās (sīkās) vai vidējās komercsabiedrības statusam atbilstoši Komisijas regulas Nr</w:t>
            </w:r>
            <w:r w:rsidR="00490077" w:rsidRPr="00476794">
              <w:rPr>
                <w:bCs/>
              </w:rPr>
              <w:t xml:space="preserve">.651/2014 </w:t>
            </w:r>
            <w:r w:rsidRPr="00476794">
              <w:rPr>
                <w:bCs/>
              </w:rPr>
              <w:t xml:space="preserve">1.pielikumam, Komisijas regulas Nr.702/2014 1.pielikumam vai Komisijas regulas Nr.1388/2014 1.pielikumam. Plānots, ka informācija par </w:t>
            </w:r>
            <w:r w:rsidR="00490077" w:rsidRPr="00476794">
              <w:rPr>
                <w:bCs/>
              </w:rPr>
              <w:t>minēto pr</w:t>
            </w:r>
            <w:r w:rsidR="007249F6" w:rsidRPr="00476794">
              <w:rPr>
                <w:bCs/>
              </w:rPr>
              <w:t>i</w:t>
            </w:r>
            <w:r w:rsidR="00490077" w:rsidRPr="00476794">
              <w:rPr>
                <w:bCs/>
              </w:rPr>
              <w:t xml:space="preserve">vāto komersantu </w:t>
            </w:r>
            <w:r w:rsidRPr="00476794">
              <w:rPr>
                <w:bCs/>
              </w:rPr>
              <w:t>skaitu</w:t>
            </w:r>
            <w:r w:rsidR="00490077" w:rsidRPr="00476794">
              <w:t xml:space="preserve">, </w:t>
            </w:r>
            <w:r w:rsidR="00490077" w:rsidRPr="00476794">
              <w:rPr>
                <w:bCs/>
              </w:rPr>
              <w:t xml:space="preserve">kuri guvuši labumu no projekta ietvaros veiktajām investīcijām, </w:t>
            </w:r>
            <w:r w:rsidRPr="00476794">
              <w:rPr>
                <w:bCs/>
              </w:rPr>
              <w:t xml:space="preserve">izrietēs no projekta </w:t>
            </w:r>
            <w:r w:rsidR="00490077" w:rsidRPr="00476794">
              <w:rPr>
                <w:bCs/>
              </w:rPr>
              <w:t>dokumentācijas.</w:t>
            </w:r>
          </w:p>
          <w:p w:rsidR="005D42F4" w:rsidRPr="004B5FA5" w:rsidRDefault="00C83748" w:rsidP="005D42F4">
            <w:pPr>
              <w:spacing w:after="120"/>
              <w:jc w:val="both"/>
            </w:pPr>
            <w:r w:rsidRPr="00476794">
              <w:t xml:space="preserve">Papildus MK noteikumu projektam tiek pievienots MK sēdes </w:t>
            </w:r>
            <w:proofErr w:type="spellStart"/>
            <w:r w:rsidRPr="00476794">
              <w:t>protokollēmuma</w:t>
            </w:r>
            <w:proofErr w:type="spellEnd"/>
            <w:r w:rsidRPr="00476794">
              <w:t xml:space="preserve"> projekts, kas paredz </w:t>
            </w:r>
            <w:r w:rsidR="001D367F" w:rsidRPr="00476794">
              <w:t xml:space="preserve">sadarbības iestādei, Daugavpils, Jēkabpils, Jelgavas, Jūrmalas, Liepājas, Rēzeknes, </w:t>
            </w:r>
            <w:r w:rsidR="00BA094B" w:rsidRPr="00476794">
              <w:t xml:space="preserve">Rīgas, </w:t>
            </w:r>
            <w:r w:rsidR="001D367F" w:rsidRPr="00476794">
              <w:t>Valmieras un Ventspils pilsētas pašvaldībām uzaicinājumus iesniegt projektu iesniegumus</w:t>
            </w:r>
            <w:r w:rsidRPr="00476794">
              <w:t xml:space="preserve"> SAM </w:t>
            </w:r>
            <w:r w:rsidR="00BA094B" w:rsidRPr="00476794">
              <w:t xml:space="preserve">ietvaros nosūtīt tikai pēc informācijas no VARAM saņemšanas par to, ka no </w:t>
            </w:r>
            <w:r w:rsidRPr="00476794">
              <w:t xml:space="preserve">Eiropas </w:t>
            </w:r>
            <w:r w:rsidR="00BA094B" w:rsidRPr="00476794">
              <w:t xml:space="preserve">Komisijas saņemts apstiprinājums par </w:t>
            </w:r>
            <w:r w:rsidR="00D57AAC" w:rsidRPr="00476794">
              <w:t xml:space="preserve">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ietvaros </w:t>
            </w:r>
            <w:r w:rsidR="00D57AAC" w:rsidRPr="004B5FA5">
              <w:t>plānoto pasākumu</w:t>
            </w:r>
            <w:r w:rsidR="00BA094B" w:rsidRPr="004B5FA5">
              <w:t xml:space="preserve"> atbilstību valsts atbalsta nosacījumiem</w:t>
            </w:r>
            <w:r w:rsidRPr="004B5FA5">
              <w:t>.</w:t>
            </w:r>
            <w:r w:rsidR="008E4459" w:rsidRPr="004B5FA5">
              <w:t xml:space="preserve"> </w:t>
            </w:r>
            <w:r w:rsidR="00D57AAC" w:rsidRPr="004B5FA5">
              <w:t xml:space="preserve">Vienlaikus </w:t>
            </w:r>
            <w:proofErr w:type="spellStart"/>
            <w:r w:rsidR="00D57AAC" w:rsidRPr="004B5FA5">
              <w:t>p</w:t>
            </w:r>
            <w:r w:rsidR="008E4459" w:rsidRPr="004B5FA5">
              <w:t>rotokollēmumā</w:t>
            </w:r>
            <w:proofErr w:type="spellEnd"/>
            <w:r w:rsidR="008E4459" w:rsidRPr="004B5FA5">
              <w:t xml:space="preserve"> iekļaut</w:t>
            </w:r>
            <w:r w:rsidR="005D42F4" w:rsidRPr="004B5FA5">
              <w:t>i</w:t>
            </w:r>
            <w:r w:rsidR="008E4459" w:rsidRPr="004B5FA5">
              <w:t xml:space="preserve"> </w:t>
            </w:r>
            <w:r w:rsidR="005D42F4" w:rsidRPr="004B5FA5">
              <w:t>nosacījumi</w:t>
            </w:r>
            <w:r w:rsidR="008E4459" w:rsidRPr="004B5FA5">
              <w:t>, kas paredz</w:t>
            </w:r>
            <w:r w:rsidR="005D42F4" w:rsidRPr="004B5FA5">
              <w:t>:</w:t>
            </w:r>
          </w:p>
          <w:p w:rsidR="00C83748" w:rsidRPr="004B5FA5" w:rsidRDefault="008E4459" w:rsidP="005D42F4">
            <w:pPr>
              <w:pStyle w:val="ListParagraph"/>
              <w:numPr>
                <w:ilvl w:val="2"/>
                <w:numId w:val="16"/>
              </w:numPr>
              <w:spacing w:after="120"/>
              <w:ind w:left="459" w:hanging="425"/>
              <w:jc w:val="both"/>
              <w:rPr>
                <w:sz w:val="24"/>
                <w:szCs w:val="24"/>
              </w:rPr>
            </w:pPr>
            <w:r w:rsidRPr="004B5FA5">
              <w:rPr>
                <w:sz w:val="24"/>
                <w:szCs w:val="24"/>
              </w:rPr>
              <w:t xml:space="preserve">VARAM sadarbībā ar Finanšu ministriju saskaņot ar Eiropas Komisiju </w:t>
            </w:r>
            <w:r w:rsidR="00894FEB" w:rsidRPr="004B5FA5">
              <w:rPr>
                <w:sz w:val="24"/>
                <w:szCs w:val="24"/>
              </w:rPr>
              <w:t xml:space="preserve">MK noteikumu projektu, tajā skaitā </w:t>
            </w:r>
            <w:r w:rsidRPr="004B5FA5">
              <w:rPr>
                <w:sz w:val="24"/>
                <w:szCs w:val="24"/>
              </w:rPr>
              <w:lastRenderedPageBreak/>
              <w:t xml:space="preserve">iespēju SAM ietvaros sniegt atbalstu projekta ietvaros izveidotās infrastruktūras attīstībai nepieciešamo </w:t>
            </w:r>
            <w:r w:rsidR="00A27A0C" w:rsidRPr="004B5FA5">
              <w:rPr>
                <w:sz w:val="24"/>
                <w:szCs w:val="24"/>
              </w:rPr>
              <w:t xml:space="preserve">kustamu </w:t>
            </w:r>
            <w:r w:rsidRPr="004B5FA5">
              <w:rPr>
                <w:sz w:val="24"/>
                <w:szCs w:val="24"/>
              </w:rPr>
              <w:t>iekārtu un aprīkojuma iegādei un uzstādīšanai</w:t>
            </w:r>
            <w:r w:rsidR="005D42F4" w:rsidRPr="004B5FA5">
              <w:rPr>
                <w:sz w:val="24"/>
                <w:szCs w:val="24"/>
              </w:rPr>
              <w:t>;</w:t>
            </w:r>
          </w:p>
          <w:p w:rsidR="005D42F4" w:rsidRPr="00476794" w:rsidRDefault="005D42F4" w:rsidP="005D42F4">
            <w:pPr>
              <w:pStyle w:val="ListParagraph"/>
              <w:numPr>
                <w:ilvl w:val="2"/>
                <w:numId w:val="16"/>
              </w:numPr>
              <w:spacing w:after="120"/>
              <w:ind w:left="459" w:hanging="425"/>
              <w:jc w:val="both"/>
            </w:pPr>
            <w:r w:rsidRPr="004B5FA5">
              <w:rPr>
                <w:sz w:val="24"/>
                <w:szCs w:val="24"/>
              </w:rPr>
              <w:t xml:space="preserve">VARAM sadarbībā ar Finanšu ministriju sagatavot un iesniegt līdz 2015.gada 30.novembrim Eiropas Komisijai jautājumu par to, vai, sniedzot atbalstu Komisijas regulas Nr.651/2014 56.panta ietvaros, ir pieļaujams atbalsts infrastruktūras attīstībai nepieciešamo </w:t>
            </w:r>
            <w:r w:rsidR="00A27A0C" w:rsidRPr="004B5FA5">
              <w:rPr>
                <w:sz w:val="24"/>
                <w:szCs w:val="24"/>
              </w:rPr>
              <w:t xml:space="preserve">kustamu </w:t>
            </w:r>
            <w:r w:rsidRPr="004B5FA5">
              <w:rPr>
                <w:sz w:val="24"/>
                <w:szCs w:val="24"/>
              </w:rPr>
              <w:t>iekārtu un aprīkojuma iegādei un uzstādīšanai.</w:t>
            </w:r>
          </w:p>
        </w:tc>
      </w:tr>
      <w:tr w:rsidR="00330C43" w:rsidRPr="007D6273"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7D6273" w:rsidRDefault="00330C43" w:rsidP="00330C43">
            <w:pPr>
              <w:jc w:val="center"/>
              <w:rPr>
                <w:lang w:eastAsia="en-US"/>
              </w:rPr>
            </w:pPr>
            <w:r w:rsidRPr="007D6273">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7D6273" w:rsidRDefault="00330C43" w:rsidP="00330C43">
            <w:pPr>
              <w:rPr>
                <w:lang w:eastAsia="en-US"/>
              </w:rPr>
            </w:pPr>
            <w:r w:rsidRPr="007D6273">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893FBD" w:rsidRPr="00476794" w:rsidRDefault="00B722BF" w:rsidP="00524736">
            <w:pPr>
              <w:spacing w:after="120"/>
              <w:jc w:val="both"/>
            </w:pPr>
            <w:r w:rsidRPr="00476794">
              <w:t>MK noteikumu projekts ir izstrādāts pamatojoties uz Informatīvajā ziņojumā noteiktajiem SAM ieviešanas principiem, kura izstrādē iesaistīta Finanšu ministrija,</w:t>
            </w:r>
            <w:r w:rsidR="005276AF" w:rsidRPr="00476794">
              <w:t xml:space="preserve"> Ekonomikas ministrija, Zemkopības ministrija,</w:t>
            </w:r>
            <w:r w:rsidRPr="00476794">
              <w:t xml:space="preserve"> plānošanas reģioni, Latvijas Pašvaldību savienība un </w:t>
            </w:r>
            <w:r w:rsidR="00E713AD" w:rsidRPr="00476794">
              <w:t>Latvijas Lielo pilsētu asociācija</w:t>
            </w:r>
            <w:r w:rsidRPr="00476794">
              <w:t>.</w:t>
            </w:r>
          </w:p>
        </w:tc>
      </w:tr>
      <w:tr w:rsidR="00330C43" w:rsidRPr="007D6273" w:rsidTr="00041DD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30C43" w:rsidRPr="007D6273" w:rsidRDefault="00330C43" w:rsidP="00330C43">
            <w:pPr>
              <w:jc w:val="center"/>
              <w:rPr>
                <w:lang w:eastAsia="en-US"/>
              </w:rPr>
            </w:pPr>
            <w:r w:rsidRPr="007D6273">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30C43" w:rsidRPr="007D6273" w:rsidRDefault="00330C43" w:rsidP="00330C43">
            <w:pPr>
              <w:rPr>
                <w:lang w:eastAsia="en-US"/>
              </w:rPr>
            </w:pPr>
            <w:r w:rsidRPr="007D6273">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476794" w:rsidRDefault="00717FBB" w:rsidP="005272F6">
            <w:pPr>
              <w:jc w:val="both"/>
            </w:pPr>
            <w:r w:rsidRPr="00476794">
              <w:t>Projekta iesniegumu vērtēšanas kritērij</w:t>
            </w:r>
            <w:r w:rsidR="005272F6" w:rsidRPr="00476794">
              <w:t>i</w:t>
            </w:r>
            <w:r w:rsidRPr="00476794">
              <w:t>, kurus piemēros SAM ietvaros projektu iesniegumu vērtēšanā, ir apstiprināt</w:t>
            </w:r>
            <w:r w:rsidR="005272F6" w:rsidRPr="00476794">
              <w:t>i</w:t>
            </w:r>
            <w:r w:rsidRPr="00476794">
              <w:t xml:space="preserve"> 2014. – 2020.gada plānošanas perioda </w:t>
            </w:r>
            <w:r w:rsidR="00E20DDB" w:rsidRPr="00476794">
              <w:t xml:space="preserve">2015.gada 30.aprīļa </w:t>
            </w:r>
            <w:r w:rsidR="00E20DDB" w:rsidRPr="00476794">
              <w:rPr>
                <w:kern w:val="24"/>
              </w:rPr>
              <w:t xml:space="preserve">Eiropas Savienības struktūrfondu un Kohēzijas fonda </w:t>
            </w:r>
            <w:r w:rsidR="00E20DDB" w:rsidRPr="00476794">
              <w:t>2014.–2020.gada plānošanas perioda Uzraudzības komitejā,</w:t>
            </w:r>
            <w:r w:rsidRPr="00476794">
              <w:t xml:space="preserve"> kuras sastāvā ir iekļauta arī sociālie, nevalstiskā sektora un reģionālie partneri.</w:t>
            </w:r>
          </w:p>
        </w:tc>
      </w:tr>
    </w:tbl>
    <w:p w:rsidR="00E64024" w:rsidRDefault="00E64024" w:rsidP="00C61A59">
      <w:pPr>
        <w:jc w:val="both"/>
      </w:pPr>
    </w:p>
    <w:p w:rsidR="00D52964" w:rsidRPr="007D6273" w:rsidRDefault="00D52964" w:rsidP="00C61A59">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7D6273"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705" w:rsidRPr="007D6273" w:rsidRDefault="00A40705" w:rsidP="00BF08DE">
            <w:pPr>
              <w:pStyle w:val="ListParagraph"/>
              <w:tabs>
                <w:tab w:val="left" w:pos="2268"/>
                <w:tab w:val="left" w:pos="2410"/>
              </w:tabs>
              <w:ind w:left="1080"/>
              <w:jc w:val="center"/>
              <w:rPr>
                <w:b/>
                <w:sz w:val="24"/>
                <w:szCs w:val="24"/>
                <w:lang w:eastAsia="en-US"/>
              </w:rPr>
            </w:pPr>
            <w:r w:rsidRPr="007D6273">
              <w:rPr>
                <w:b/>
                <w:bCs/>
                <w:sz w:val="24"/>
                <w:szCs w:val="24"/>
              </w:rPr>
              <w:t>II. Tiesību akta projekta ietekme uz sabiedrību, tautsaimniecības attīstību un administratīvo slogu</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40705" w:rsidRPr="007D6273" w:rsidRDefault="00A40705" w:rsidP="00BF08DE">
            <w:pPr>
              <w:jc w:val="center"/>
              <w:rPr>
                <w:lang w:eastAsia="en-US"/>
              </w:rPr>
            </w:pPr>
            <w:r w:rsidRPr="007D6273">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40705" w:rsidRPr="007D6273" w:rsidRDefault="00A40705" w:rsidP="00BF08DE">
            <w:pPr>
              <w:rPr>
                <w:lang w:eastAsia="en-US"/>
              </w:rPr>
            </w:pPr>
            <w:r w:rsidRPr="007D6273">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705" w:rsidRPr="00476794" w:rsidRDefault="00A40705" w:rsidP="00CC0839">
            <w:pPr>
              <w:jc w:val="both"/>
              <w:rPr>
                <w:bCs/>
                <w:lang w:eastAsia="en-US"/>
              </w:rPr>
            </w:pPr>
            <w:r w:rsidRPr="00476794">
              <w:rPr>
                <w:bCs/>
                <w:lang w:eastAsia="en-US"/>
              </w:rPr>
              <w:t xml:space="preserve">SAM ietvaros plānotie projektu iesniedzēji, t.sk. </w:t>
            </w:r>
            <w:r w:rsidR="00C67BFC" w:rsidRPr="00476794">
              <w:rPr>
                <w:rFonts w:eastAsia="Times New Roman"/>
              </w:rPr>
              <w:t>nacionālas un reģionālas nozīmes attīstības centru pašvaldības un to funkci</w:t>
            </w:r>
            <w:r w:rsidR="00B722BF" w:rsidRPr="00476794">
              <w:rPr>
                <w:rFonts w:eastAsia="Times New Roman"/>
              </w:rPr>
              <w:t>onālās teritorijas (t.sk. novadu</w:t>
            </w:r>
            <w:r w:rsidR="00C67BFC" w:rsidRPr="00476794">
              <w:rPr>
                <w:rFonts w:eastAsia="Times New Roman"/>
              </w:rPr>
              <w:t xml:space="preserve"> teritorija</w:t>
            </w:r>
            <w:r w:rsidR="00CC0839" w:rsidRPr="00476794">
              <w:rPr>
                <w:rFonts w:eastAsia="Times New Roman"/>
              </w:rPr>
              <w:t>s</w:t>
            </w:r>
            <w:r w:rsidR="00C67BFC" w:rsidRPr="00476794">
              <w:rPr>
                <w:rFonts w:eastAsia="Times New Roman"/>
              </w:rPr>
              <w:t xml:space="preserve"> ārpus attīstības centra un apkārtējās pašvaldības, īpaši Latgales </w:t>
            </w:r>
            <w:r w:rsidR="007720C1" w:rsidRPr="00476794">
              <w:rPr>
                <w:rFonts w:eastAsia="Times New Roman"/>
              </w:rPr>
              <w:t xml:space="preserve">plānošanas </w:t>
            </w:r>
            <w:r w:rsidR="00C67BFC" w:rsidRPr="00476794">
              <w:rPr>
                <w:rFonts w:eastAsia="Times New Roman"/>
              </w:rPr>
              <w:t>reģiona</w:t>
            </w:r>
            <w:r w:rsidR="007720C1" w:rsidRPr="00476794">
              <w:rPr>
                <w:rFonts w:eastAsia="Times New Roman"/>
              </w:rPr>
              <w:t xml:space="preserve"> </w:t>
            </w:r>
            <w:r w:rsidR="007F75B3" w:rsidRPr="00476794">
              <w:rPr>
                <w:rFonts w:eastAsia="Times New Roman"/>
              </w:rPr>
              <w:t xml:space="preserve">attīstības </w:t>
            </w:r>
            <w:r w:rsidR="007720C1" w:rsidRPr="00476794">
              <w:rPr>
                <w:rFonts w:eastAsia="Times New Roman"/>
              </w:rPr>
              <w:t xml:space="preserve">programmas pielikumā minēto teritoriju </w:t>
            </w:r>
            <w:r w:rsidR="00C67BFC" w:rsidRPr="00476794">
              <w:rPr>
                <w:rFonts w:eastAsia="Times New Roman"/>
              </w:rPr>
              <w:t>pašvaldības)</w:t>
            </w:r>
            <w:r w:rsidR="00B722BF" w:rsidRPr="00476794">
              <w:rPr>
                <w:rFonts w:eastAsia="Times New Roman"/>
              </w:rPr>
              <w:t xml:space="preserve">, </w:t>
            </w:r>
            <w:r w:rsidR="00B722BF" w:rsidRPr="00476794">
              <w:rPr>
                <w:bCs/>
                <w:lang w:eastAsia="en-US"/>
              </w:rPr>
              <w:t>mazie</w:t>
            </w:r>
            <w:r w:rsidR="00E20DDB" w:rsidRPr="00476794">
              <w:rPr>
                <w:bCs/>
                <w:lang w:eastAsia="en-US"/>
              </w:rPr>
              <w:t xml:space="preserve"> (sīkie)</w:t>
            </w:r>
            <w:r w:rsidR="00B722BF" w:rsidRPr="00476794">
              <w:rPr>
                <w:bCs/>
                <w:lang w:eastAsia="en-US"/>
              </w:rPr>
              <w:t xml:space="preserve"> un vidējie komersanti, kuru saimnieciskās darbības attīstībai ir būtiski, ka</w:t>
            </w:r>
            <w:r w:rsidR="002F0429" w:rsidRPr="00476794">
              <w:rPr>
                <w:bCs/>
                <w:lang w:eastAsia="en-US"/>
              </w:rPr>
              <w:t xml:space="preserve"> pašvaldība, īstenojot projektus SAM ietvaros</w:t>
            </w:r>
            <w:r w:rsidR="00B722BF" w:rsidRPr="00476794">
              <w:rPr>
                <w:bCs/>
                <w:lang w:eastAsia="en-US"/>
              </w:rPr>
              <w:t>, veic ieguldījumus publiskajā infrastruktūrā</w:t>
            </w:r>
            <w:r w:rsidR="009B74A5" w:rsidRPr="00476794">
              <w:rPr>
                <w:bCs/>
                <w:lang w:eastAsia="en-US"/>
              </w:rPr>
              <w:t xml:space="preserve"> un inženierkomunikācijās</w:t>
            </w:r>
            <w:r w:rsidR="00B722BF" w:rsidRPr="00476794">
              <w:rPr>
                <w:bCs/>
                <w:lang w:eastAsia="en-US"/>
              </w:rPr>
              <w:t xml:space="preserve">.  </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jc w:val="center"/>
            </w:pPr>
            <w:r w:rsidRPr="007D6273">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rPr>
                <w:rFonts w:ascii="Arial" w:hAnsi="Arial" w:cs="Arial"/>
                <w:sz w:val="20"/>
                <w:szCs w:val="20"/>
              </w:rPr>
            </w:pPr>
            <w:r w:rsidRPr="007D6273">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476794" w:rsidRDefault="00A40705" w:rsidP="00BF08DE">
            <w:pPr>
              <w:pStyle w:val="ListParagraph"/>
              <w:tabs>
                <w:tab w:val="left" w:pos="317"/>
              </w:tabs>
              <w:spacing w:before="60" w:after="60"/>
              <w:ind w:left="34"/>
              <w:jc w:val="both"/>
              <w:rPr>
                <w:bCs/>
                <w:sz w:val="24"/>
                <w:szCs w:val="24"/>
                <w:lang w:eastAsia="en-US"/>
              </w:rPr>
            </w:pPr>
            <w:r w:rsidRPr="00476794">
              <w:rPr>
                <w:bCs/>
                <w:sz w:val="24"/>
                <w:szCs w:val="24"/>
                <w:lang w:eastAsia="en-US"/>
              </w:rPr>
              <w:t xml:space="preserve">MK noteikumu projekts paredz veikto investīciju rezultātā līdz 2023.gada 31.decembrim </w:t>
            </w:r>
            <w:r w:rsidR="00B722BF" w:rsidRPr="00476794">
              <w:rPr>
                <w:bCs/>
                <w:sz w:val="24"/>
                <w:szCs w:val="24"/>
                <w:lang w:eastAsia="en-US"/>
              </w:rPr>
              <w:t xml:space="preserve">attīstīt vismaz </w:t>
            </w:r>
            <w:r w:rsidR="0025082A" w:rsidRPr="00476794">
              <w:rPr>
                <w:bCs/>
                <w:sz w:val="24"/>
                <w:szCs w:val="24"/>
                <w:lang w:eastAsia="en-US"/>
              </w:rPr>
              <w:t xml:space="preserve">622 </w:t>
            </w:r>
            <w:r w:rsidR="00E47961" w:rsidRPr="00476794">
              <w:rPr>
                <w:bCs/>
                <w:sz w:val="24"/>
                <w:szCs w:val="24"/>
                <w:lang w:eastAsia="en-US"/>
              </w:rPr>
              <w:t>hektāru</w:t>
            </w:r>
            <w:r w:rsidR="0025082A" w:rsidRPr="00476794">
              <w:rPr>
                <w:bCs/>
                <w:sz w:val="24"/>
                <w:szCs w:val="24"/>
                <w:lang w:eastAsia="en-US"/>
              </w:rPr>
              <w:t>s</w:t>
            </w:r>
            <w:r w:rsidR="00E47961" w:rsidRPr="00476794">
              <w:rPr>
                <w:bCs/>
                <w:sz w:val="24"/>
                <w:szCs w:val="24"/>
                <w:lang w:eastAsia="en-US"/>
              </w:rPr>
              <w:t xml:space="preserve"> degradēto teritoriju, </w:t>
            </w:r>
            <w:r w:rsidRPr="00476794">
              <w:rPr>
                <w:bCs/>
                <w:sz w:val="24"/>
                <w:szCs w:val="24"/>
                <w:lang w:eastAsia="en-US"/>
              </w:rPr>
              <w:t xml:space="preserve">radīt </w:t>
            </w:r>
            <w:r w:rsidR="002752CF" w:rsidRPr="00476794">
              <w:rPr>
                <w:sz w:val="24"/>
                <w:szCs w:val="24"/>
              </w:rPr>
              <w:t>4341</w:t>
            </w:r>
            <w:r w:rsidR="002752CF" w:rsidRPr="00476794">
              <w:rPr>
                <w:bCs/>
                <w:sz w:val="24"/>
                <w:szCs w:val="24"/>
                <w:lang w:eastAsia="en-US"/>
              </w:rPr>
              <w:t xml:space="preserve"> jaunu darbavietu </w:t>
            </w:r>
            <w:r w:rsidRPr="00476794">
              <w:rPr>
                <w:bCs/>
                <w:sz w:val="24"/>
                <w:szCs w:val="24"/>
                <w:lang w:eastAsia="en-US"/>
              </w:rPr>
              <w:t xml:space="preserve">un palielināt privātās investīcijas reģionos vismaz </w:t>
            </w:r>
            <w:r w:rsidR="00B54760" w:rsidRPr="00476794">
              <w:rPr>
                <w:bCs/>
                <w:sz w:val="24"/>
                <w:szCs w:val="24"/>
                <w:lang w:eastAsia="en-US"/>
              </w:rPr>
              <w:t>264</w:t>
            </w:r>
            <w:r w:rsidR="0025082A" w:rsidRPr="00476794">
              <w:rPr>
                <w:bCs/>
                <w:sz w:val="24"/>
                <w:szCs w:val="24"/>
                <w:lang w:eastAsia="en-US"/>
              </w:rPr>
              <w:t>,6</w:t>
            </w:r>
            <w:r w:rsidR="00B54760" w:rsidRPr="00476794">
              <w:rPr>
                <w:bCs/>
                <w:sz w:val="24"/>
                <w:szCs w:val="24"/>
                <w:lang w:eastAsia="en-US"/>
              </w:rPr>
              <w:t xml:space="preserve"> </w:t>
            </w:r>
            <w:r w:rsidRPr="00476794">
              <w:rPr>
                <w:bCs/>
                <w:sz w:val="24"/>
                <w:szCs w:val="24"/>
                <w:lang w:eastAsia="en-US"/>
              </w:rPr>
              <w:t xml:space="preserve">milj. </w:t>
            </w:r>
            <w:proofErr w:type="spellStart"/>
            <w:r w:rsidRPr="00476794">
              <w:rPr>
                <w:bCs/>
                <w:i/>
                <w:sz w:val="24"/>
                <w:szCs w:val="24"/>
                <w:lang w:eastAsia="en-US"/>
              </w:rPr>
              <w:t>euro</w:t>
            </w:r>
            <w:proofErr w:type="spellEnd"/>
            <w:r w:rsidRPr="00476794">
              <w:rPr>
                <w:bCs/>
                <w:sz w:val="24"/>
                <w:szCs w:val="24"/>
                <w:lang w:eastAsia="en-US"/>
              </w:rPr>
              <w:t xml:space="preserve"> apmērā (</w:t>
            </w:r>
            <w:r w:rsidR="00B54760" w:rsidRPr="00476794">
              <w:rPr>
                <w:bCs/>
                <w:sz w:val="24"/>
                <w:szCs w:val="24"/>
                <w:lang w:eastAsia="en-US"/>
              </w:rPr>
              <w:t xml:space="preserve">komersantu, kuri atrodas atbalstītajā teritorijā, </w:t>
            </w:r>
            <w:r w:rsidRPr="00476794">
              <w:rPr>
                <w:bCs/>
                <w:sz w:val="24"/>
                <w:szCs w:val="24"/>
                <w:lang w:eastAsia="en-US"/>
              </w:rPr>
              <w:t xml:space="preserve">nefinanšu investīcijas </w:t>
            </w:r>
            <w:r w:rsidR="00B54760" w:rsidRPr="00476794">
              <w:rPr>
                <w:bCs/>
                <w:sz w:val="24"/>
                <w:szCs w:val="24"/>
                <w:lang w:eastAsia="en-US"/>
              </w:rPr>
              <w:t>pašu nemateriālajos ieguldījumos un</w:t>
            </w:r>
            <w:r w:rsidRPr="00476794">
              <w:rPr>
                <w:bCs/>
                <w:sz w:val="24"/>
                <w:szCs w:val="24"/>
                <w:lang w:eastAsia="en-US"/>
              </w:rPr>
              <w:t xml:space="preserve"> pamatlīdzekļos).</w:t>
            </w:r>
          </w:p>
          <w:p w:rsidR="00904C5A" w:rsidRPr="00476794" w:rsidRDefault="00904C5A" w:rsidP="00BF08DE">
            <w:pPr>
              <w:pStyle w:val="ListParagraph"/>
              <w:tabs>
                <w:tab w:val="left" w:pos="317"/>
              </w:tabs>
              <w:spacing w:before="60" w:after="60"/>
              <w:ind w:left="34"/>
              <w:jc w:val="both"/>
              <w:rPr>
                <w:bCs/>
                <w:sz w:val="24"/>
                <w:szCs w:val="24"/>
                <w:lang w:eastAsia="en-US"/>
              </w:rPr>
            </w:pPr>
            <w:r w:rsidRPr="00476794">
              <w:rPr>
                <w:rStyle w:val="cspklasifikatorscodename"/>
                <w:sz w:val="24"/>
                <w:szCs w:val="24"/>
              </w:rPr>
              <w:t xml:space="preserve">Sasniegtās vērtība par </w:t>
            </w:r>
            <w:r w:rsidR="00667DBE" w:rsidRPr="00476794">
              <w:rPr>
                <w:rStyle w:val="cspklasifikatorscodename"/>
                <w:sz w:val="24"/>
                <w:szCs w:val="24"/>
              </w:rPr>
              <w:t>radītajām darbavietām un veiktajām nefinanšu investīcijām</w:t>
            </w:r>
            <w:r w:rsidRPr="00476794">
              <w:rPr>
                <w:rStyle w:val="cspklasifikatorscodename"/>
                <w:sz w:val="24"/>
                <w:szCs w:val="24"/>
              </w:rPr>
              <w:t xml:space="preserve"> atspoguļos investīciju ietekmi (tajā skaitā arī </w:t>
            </w:r>
            <w:proofErr w:type="spellStart"/>
            <w:r w:rsidRPr="00476794">
              <w:rPr>
                <w:rStyle w:val="cspklasifikatorscodename"/>
                <w:sz w:val="24"/>
                <w:szCs w:val="24"/>
              </w:rPr>
              <w:t>multiplikatīvo</w:t>
            </w:r>
            <w:proofErr w:type="spellEnd"/>
            <w:r w:rsidRPr="00476794">
              <w:rPr>
                <w:rStyle w:val="cspklasifikatorscodename"/>
                <w:sz w:val="24"/>
                <w:szCs w:val="24"/>
              </w:rPr>
              <w:t xml:space="preserve"> ietekmi) visā Latvijas teritorijā. </w:t>
            </w:r>
            <w:r w:rsidR="00667DBE" w:rsidRPr="00476794">
              <w:rPr>
                <w:rStyle w:val="cspklasifikatorscodename"/>
                <w:sz w:val="24"/>
                <w:szCs w:val="24"/>
              </w:rPr>
              <w:t>Nodarbinātības rādītāja aktuālās vērtības noteikšanu un r</w:t>
            </w:r>
            <w:r w:rsidRPr="00476794">
              <w:rPr>
                <w:rStyle w:val="cspklasifikatorscodename"/>
                <w:sz w:val="24"/>
                <w:szCs w:val="24"/>
              </w:rPr>
              <w:t>ādītāj</w:t>
            </w:r>
            <w:r w:rsidR="00667DBE" w:rsidRPr="00476794">
              <w:rPr>
                <w:rStyle w:val="cspklasifikatorscodename"/>
                <w:sz w:val="24"/>
                <w:szCs w:val="24"/>
              </w:rPr>
              <w:t>u</w:t>
            </w:r>
            <w:r w:rsidRPr="00476794">
              <w:rPr>
                <w:rStyle w:val="cspklasifikatorscodename"/>
                <w:sz w:val="24"/>
                <w:szCs w:val="24"/>
              </w:rPr>
              <w:t xml:space="preserve"> </w:t>
            </w:r>
            <w:r w:rsidR="00667DBE" w:rsidRPr="00476794">
              <w:rPr>
                <w:rStyle w:val="cspklasifikatorscodename"/>
                <w:sz w:val="24"/>
                <w:szCs w:val="24"/>
              </w:rPr>
              <w:t>izpildes aprēķinu veiks VARAM,</w:t>
            </w:r>
            <w:r w:rsidRPr="00476794">
              <w:rPr>
                <w:rStyle w:val="cspklasifikatorscodename"/>
                <w:sz w:val="24"/>
                <w:szCs w:val="24"/>
              </w:rPr>
              <w:t xml:space="preserve"> </w:t>
            </w:r>
            <w:r w:rsidR="00667DBE" w:rsidRPr="00476794">
              <w:rPr>
                <w:rStyle w:val="cspklasifikatorscodename"/>
                <w:sz w:val="24"/>
                <w:szCs w:val="24"/>
              </w:rPr>
              <w:t xml:space="preserve">nodarbinātības </w:t>
            </w:r>
            <w:r w:rsidRPr="00476794">
              <w:rPr>
                <w:rStyle w:val="cspklasifikatorscodename"/>
                <w:sz w:val="24"/>
                <w:szCs w:val="24"/>
              </w:rPr>
              <w:lastRenderedPageBreak/>
              <w:t xml:space="preserve">rādītāja izpildes progresa aprēķinā </w:t>
            </w:r>
            <w:r w:rsidR="00667DBE" w:rsidRPr="00476794">
              <w:rPr>
                <w:rStyle w:val="cspklasifikatorscodename"/>
                <w:sz w:val="24"/>
                <w:szCs w:val="24"/>
              </w:rPr>
              <w:t>izmantojot</w:t>
            </w:r>
            <w:r w:rsidRPr="00476794">
              <w:rPr>
                <w:rStyle w:val="cspklasifikatorscodename"/>
                <w:sz w:val="24"/>
                <w:szCs w:val="24"/>
              </w:rPr>
              <w:t xml:space="preserve"> ikgadēj</w:t>
            </w:r>
            <w:r w:rsidR="00667DBE" w:rsidRPr="00476794">
              <w:rPr>
                <w:rStyle w:val="cspklasifikatorscodename"/>
                <w:sz w:val="24"/>
                <w:szCs w:val="24"/>
              </w:rPr>
              <w:t>os</w:t>
            </w:r>
            <w:r w:rsidRPr="00476794">
              <w:rPr>
                <w:rStyle w:val="cspklasifikatorscodename"/>
                <w:sz w:val="24"/>
                <w:szCs w:val="24"/>
              </w:rPr>
              <w:t xml:space="preserve"> Centrālās statistikas pārvaldes dat</w:t>
            </w:r>
            <w:r w:rsidR="00667DBE" w:rsidRPr="00476794">
              <w:rPr>
                <w:rStyle w:val="cspklasifikatorscodename"/>
                <w:sz w:val="24"/>
                <w:szCs w:val="24"/>
              </w:rPr>
              <w:t>us</w:t>
            </w:r>
            <w:r w:rsidR="00A44322" w:rsidRPr="00476794">
              <w:rPr>
                <w:rStyle w:val="cspklasifikatorscodename"/>
                <w:sz w:val="24"/>
                <w:szCs w:val="24"/>
              </w:rPr>
              <w:t xml:space="preserve"> un identificējot SAM investīciju ieguldījumu rezultāta rādītāju sasniegšanā</w:t>
            </w:r>
            <w:r w:rsidRPr="00476794">
              <w:rPr>
                <w:rStyle w:val="cspklasifikatorscodename"/>
                <w:sz w:val="24"/>
                <w:szCs w:val="24"/>
              </w:rPr>
              <w:t>.</w:t>
            </w:r>
            <w:r w:rsidR="00667DBE" w:rsidRPr="00476794">
              <w:rPr>
                <w:rStyle w:val="cspklasifikatorscodename"/>
                <w:sz w:val="24"/>
                <w:szCs w:val="24"/>
              </w:rPr>
              <w:t xml:space="preserve"> Savukārt nefinanšu investīciju apjoms un </w:t>
            </w:r>
            <w:proofErr w:type="spellStart"/>
            <w:r w:rsidR="00667DBE" w:rsidRPr="00476794">
              <w:rPr>
                <w:rStyle w:val="cspklasifikatorscodename"/>
                <w:sz w:val="24"/>
                <w:szCs w:val="24"/>
              </w:rPr>
              <w:t>revitalizēto</w:t>
            </w:r>
            <w:proofErr w:type="spellEnd"/>
            <w:r w:rsidR="00667DBE" w:rsidRPr="00476794">
              <w:rPr>
                <w:rStyle w:val="cspklasifikatorscodename"/>
                <w:sz w:val="24"/>
                <w:szCs w:val="24"/>
              </w:rPr>
              <w:t xml:space="preserve"> degradēto teritoriju platība tiks norādīta projektu iesniegumos un to aprēķinam tiks izmantota projektu iesniegumos norādītā informācija.</w:t>
            </w:r>
          </w:p>
          <w:p w:rsidR="00A40705" w:rsidRPr="00476794" w:rsidRDefault="00B722BF" w:rsidP="007E5A24">
            <w:pPr>
              <w:pStyle w:val="ListParagraph"/>
              <w:tabs>
                <w:tab w:val="left" w:pos="317"/>
              </w:tabs>
              <w:spacing w:before="60" w:after="60"/>
              <w:ind w:left="34"/>
              <w:jc w:val="both"/>
              <w:rPr>
                <w:bCs/>
                <w:sz w:val="24"/>
                <w:szCs w:val="24"/>
                <w:lang w:eastAsia="en-US"/>
              </w:rPr>
            </w:pPr>
            <w:r w:rsidRPr="00476794">
              <w:rPr>
                <w:bCs/>
                <w:sz w:val="24"/>
                <w:szCs w:val="24"/>
                <w:lang w:eastAsia="en-US"/>
              </w:rPr>
              <w:t xml:space="preserve">Vērtējot projektu īstenošanas ietekmi uz administratīvajām procedūrām un to izmaksām, nav identificēts administratīvā sloga palielinājums ne potenciālajiem finansējuma saņēmējiem, ne fondu vadībā iesaistītajām institūcijām. MK noteikumu projekts nosaka, ka projekta attiecināmajās izmaksās ir iekļaujamas projekta </w:t>
            </w:r>
            <w:r w:rsidR="007E5A24" w:rsidRPr="00476794">
              <w:rPr>
                <w:bCs/>
                <w:sz w:val="24"/>
                <w:szCs w:val="24"/>
                <w:lang w:eastAsia="en-US"/>
              </w:rPr>
              <w:t xml:space="preserve">vadības personāla atlīdzības un projekta pamatojošās dokumentācijas sagatavošanas </w:t>
            </w:r>
            <w:r w:rsidRPr="00476794">
              <w:rPr>
                <w:bCs/>
                <w:sz w:val="24"/>
                <w:szCs w:val="24"/>
                <w:lang w:eastAsia="en-US"/>
              </w:rPr>
              <w:t>izmaksas, tādejādi samazinot administratīvo izmaksu slogu uz projekta iesniedzēja budžetu.</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jc w:val="center"/>
            </w:pPr>
            <w:r w:rsidRPr="007D6273">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rPr>
                <w:rFonts w:ascii="Arial" w:hAnsi="Arial" w:cs="Arial"/>
                <w:sz w:val="20"/>
                <w:szCs w:val="20"/>
              </w:rPr>
            </w:pPr>
            <w:r w:rsidRPr="007D6273">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7D6273" w:rsidRDefault="002F0429" w:rsidP="00813BE9">
            <w:pPr>
              <w:pStyle w:val="ListParagraph"/>
              <w:tabs>
                <w:tab w:val="left" w:pos="317"/>
              </w:tabs>
              <w:spacing w:before="60" w:after="60"/>
              <w:ind w:left="34"/>
              <w:jc w:val="both"/>
              <w:rPr>
                <w:bCs/>
                <w:sz w:val="24"/>
                <w:szCs w:val="24"/>
                <w:lang w:eastAsia="en-US"/>
              </w:rPr>
            </w:pPr>
            <w:r w:rsidRPr="007D6273">
              <w:rPr>
                <w:bCs/>
                <w:sz w:val="24"/>
                <w:szCs w:val="24"/>
                <w:lang w:eastAsia="en-US"/>
              </w:rPr>
              <w:t xml:space="preserve">ES fondu administrēšanas izmaksas plānots segt no </w:t>
            </w:r>
            <w:r w:rsidRPr="007D6273">
              <w:rPr>
                <w:sz w:val="24"/>
                <w:szCs w:val="24"/>
              </w:rPr>
              <w:t>Eiropas Savienības struktūrfondu un Kohēzijas fonda 2014.-2020.gada plānošanas perioda</w:t>
            </w:r>
            <w:r w:rsidRPr="007D6273">
              <w:rPr>
                <w:bCs/>
                <w:sz w:val="24"/>
                <w:szCs w:val="24"/>
                <w:lang w:eastAsia="en-US"/>
              </w:rPr>
              <w:t xml:space="preserve"> tehniskās palīdzības projekta līdzekļiem.</w:t>
            </w:r>
          </w:p>
        </w:tc>
      </w:tr>
      <w:tr w:rsidR="00A40705" w:rsidRPr="007D6273"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jc w:val="center"/>
            </w:pPr>
            <w:r w:rsidRPr="007D6273">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0705" w:rsidRPr="007D6273" w:rsidRDefault="00A40705" w:rsidP="00BF08DE">
            <w:pPr>
              <w:rPr>
                <w:rFonts w:ascii="Arial" w:hAnsi="Arial" w:cs="Arial"/>
                <w:sz w:val="20"/>
                <w:szCs w:val="20"/>
              </w:rPr>
            </w:pPr>
            <w:r w:rsidRPr="007D6273">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40705" w:rsidRPr="007D6273" w:rsidRDefault="00A40705" w:rsidP="00BF08DE">
            <w:pPr>
              <w:pStyle w:val="ListParagraph"/>
              <w:tabs>
                <w:tab w:val="left" w:pos="317"/>
              </w:tabs>
              <w:spacing w:before="60" w:after="60"/>
              <w:ind w:left="34"/>
              <w:jc w:val="both"/>
              <w:rPr>
                <w:bCs/>
                <w:sz w:val="24"/>
                <w:szCs w:val="24"/>
                <w:lang w:eastAsia="en-US"/>
              </w:rPr>
            </w:pPr>
            <w:r w:rsidRPr="007D6273">
              <w:rPr>
                <w:bCs/>
                <w:sz w:val="24"/>
                <w:szCs w:val="24"/>
                <w:lang w:eastAsia="en-US"/>
              </w:rPr>
              <w:t>Nav.</w:t>
            </w:r>
          </w:p>
        </w:tc>
      </w:tr>
    </w:tbl>
    <w:p w:rsidR="00E51DE7" w:rsidRDefault="00E51DE7" w:rsidP="00C61A59">
      <w:pPr>
        <w:jc w:val="both"/>
      </w:pPr>
    </w:p>
    <w:p w:rsidR="00D52964" w:rsidRPr="007D6273" w:rsidRDefault="00D52964" w:rsidP="00C61A59">
      <w:pPr>
        <w:jc w:val="both"/>
      </w:pPr>
    </w:p>
    <w:tbl>
      <w:tblPr>
        <w:tblW w:w="9214" w:type="dxa"/>
        <w:tblInd w:w="-34" w:type="dxa"/>
        <w:tblLayout w:type="fixed"/>
        <w:tblCellMar>
          <w:left w:w="0" w:type="dxa"/>
          <w:right w:w="0" w:type="dxa"/>
        </w:tblCellMar>
        <w:tblLook w:val="04A0" w:firstRow="1" w:lastRow="0" w:firstColumn="1" w:lastColumn="0" w:noHBand="0" w:noVBand="1"/>
      </w:tblPr>
      <w:tblGrid>
        <w:gridCol w:w="2410"/>
        <w:gridCol w:w="1163"/>
        <w:gridCol w:w="1247"/>
        <w:gridCol w:w="1559"/>
        <w:gridCol w:w="1418"/>
        <w:gridCol w:w="1417"/>
      </w:tblGrid>
      <w:tr w:rsidR="00E51DE7" w:rsidRPr="007D6273" w:rsidTr="00D92D99">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pStyle w:val="ListParagraph"/>
              <w:ind w:left="1080"/>
              <w:jc w:val="center"/>
              <w:rPr>
                <w:b/>
                <w:bCs/>
                <w:sz w:val="24"/>
                <w:szCs w:val="24"/>
                <w:lang w:eastAsia="en-US"/>
              </w:rPr>
            </w:pPr>
            <w:r w:rsidRPr="007D6273">
              <w:rPr>
                <w:b/>
                <w:bCs/>
                <w:sz w:val="24"/>
                <w:szCs w:val="24"/>
              </w:rPr>
              <w:t>III. Tiesību akta projekta ietekme uz valsts budžetu un pašvaldību budžetiem</w:t>
            </w:r>
          </w:p>
        </w:tc>
      </w:tr>
      <w:tr w:rsidR="00E51DE7" w:rsidRPr="007D6273" w:rsidTr="00D92D99">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Rādītāji</w:t>
            </w:r>
          </w:p>
        </w:tc>
        <w:tc>
          <w:tcPr>
            <w:tcW w:w="24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2015.gads</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Turpmākie trīs gadi (</w:t>
            </w:r>
            <w:proofErr w:type="spellStart"/>
            <w:r w:rsidRPr="007D6273">
              <w:rPr>
                <w:b/>
                <w:bCs/>
              </w:rPr>
              <w:t>euro</w:t>
            </w:r>
            <w:proofErr w:type="spellEnd"/>
            <w:r w:rsidRPr="007D6273">
              <w:rPr>
                <w:b/>
                <w:bCs/>
              </w:rPr>
              <w:t>)</w:t>
            </w:r>
          </w:p>
        </w:tc>
      </w:tr>
      <w:tr w:rsidR="00E51DE7" w:rsidRPr="007D6273"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7D6273" w:rsidRDefault="00E51DE7">
            <w:pPr>
              <w:rPr>
                <w:b/>
                <w:bCs/>
                <w:lang w:eastAsia="en-US"/>
              </w:rPr>
            </w:pPr>
          </w:p>
        </w:tc>
        <w:tc>
          <w:tcPr>
            <w:tcW w:w="2410" w:type="dxa"/>
            <w:gridSpan w:val="2"/>
            <w:vMerge/>
            <w:tcBorders>
              <w:top w:val="nil"/>
              <w:left w:val="nil"/>
              <w:bottom w:val="single" w:sz="8" w:space="0" w:color="auto"/>
              <w:right w:val="single" w:sz="8" w:space="0" w:color="auto"/>
            </w:tcBorders>
            <w:vAlign w:val="center"/>
            <w:hideMark/>
          </w:tcPr>
          <w:p w:rsidR="00E51DE7" w:rsidRPr="007D6273" w:rsidRDefault="00E51DE7">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2016.g.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2017.g.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2018.g.</w:t>
            </w:r>
          </w:p>
        </w:tc>
      </w:tr>
      <w:tr w:rsidR="00E51DE7" w:rsidRPr="007D6273" w:rsidTr="00D92D99">
        <w:tc>
          <w:tcPr>
            <w:tcW w:w="2410" w:type="dxa"/>
            <w:vMerge/>
            <w:tcBorders>
              <w:top w:val="nil"/>
              <w:left w:val="single" w:sz="8" w:space="0" w:color="auto"/>
              <w:bottom w:val="single" w:sz="8" w:space="0" w:color="auto"/>
              <w:right w:val="single" w:sz="8" w:space="0" w:color="auto"/>
            </w:tcBorders>
            <w:vAlign w:val="center"/>
            <w:hideMark/>
          </w:tcPr>
          <w:p w:rsidR="00E51DE7" w:rsidRPr="007D6273" w:rsidRDefault="00E51DE7">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saskaņā ar valsts budžetu kārtējam gadam</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b/>
                <w:bCs/>
                <w:lang w:eastAsia="en-US"/>
              </w:rPr>
            </w:pPr>
            <w:r w:rsidRPr="007D6273">
              <w:rPr>
                <w:b/>
                <w:bCs/>
              </w:rPr>
              <w:t>izmaiņas, salīdzinot ar kārtējo (n) gadu</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center"/>
              <w:rPr>
                <w:lang w:eastAsia="en-US"/>
              </w:rPr>
            </w:pPr>
            <w:r w:rsidRPr="007D6273">
              <w:t>6</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25 840 000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51 680 000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51 680 000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1.1. valsts pamatbudžets, tai skaitā ieņēmumi no maksas pakalpojumiem un citi pašu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25 840 000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51 680 000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51 680 000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1.2.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1.3.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30 400 000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60 800 000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60 800 000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lastRenderedPageBreak/>
              <w:t>2.1.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26 723 549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53 447 097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53 447 097</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2.2. valsts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2.3.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3 676 451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7 352 903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7 352 903</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-4 560 000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-9 120 000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-9 120 000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3.1. valsts pamatbudžets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-883 549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-1 767 097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-1 767 097</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3.2. speciālais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rPr>
                <w:lang w:eastAsia="en-US"/>
              </w:rPr>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3.3. pašvaldību budžets</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rsidP="00BB2BB2">
            <w:pPr>
              <w:jc w:val="right"/>
              <w:rPr>
                <w:lang w:eastAsia="en-US"/>
              </w:rPr>
            </w:pPr>
            <w:r w:rsidRPr="007D6273">
              <w:rPr>
                <w:lang w:eastAsia="en-US"/>
              </w:rPr>
              <w:t>-</w:t>
            </w:r>
            <w:r w:rsidR="00BB2BB2" w:rsidRPr="007D6273">
              <w:rPr>
                <w:lang w:eastAsia="en-US"/>
              </w:rPr>
              <w:t>3 676 451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-7 352 903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BB2BB2">
            <w:pPr>
              <w:jc w:val="right"/>
              <w:rPr>
                <w:lang w:eastAsia="en-US"/>
              </w:rPr>
            </w:pPr>
            <w:r w:rsidRPr="007D6273">
              <w:rPr>
                <w:lang w:eastAsia="en-US"/>
              </w:rPr>
              <w:t>-7 352 903</w:t>
            </w:r>
          </w:p>
        </w:tc>
      </w:tr>
      <w:tr w:rsidR="00E51DE7" w:rsidRPr="007D6273" w:rsidTr="00D92D99">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x</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 Precizēta finansiālā ietekme:</w:t>
            </w:r>
          </w:p>
        </w:tc>
        <w:tc>
          <w:tcPr>
            <w:tcW w:w="11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x</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5.1. valsts pamatbudžets</w:t>
            </w:r>
          </w:p>
        </w:tc>
        <w:tc>
          <w:tcPr>
            <w:tcW w:w="1163" w:type="dxa"/>
            <w:vMerge/>
            <w:tcBorders>
              <w:top w:val="nil"/>
              <w:left w:val="nil"/>
              <w:bottom w:val="single" w:sz="8" w:space="0" w:color="auto"/>
              <w:right w:val="single" w:sz="8" w:space="0" w:color="auto"/>
            </w:tcBorders>
            <w:vAlign w:val="center"/>
            <w:hideMark/>
          </w:tcPr>
          <w:p w:rsidR="00E51DE7" w:rsidRPr="007D6273"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5.2. speciālais budžets</w:t>
            </w:r>
          </w:p>
        </w:tc>
        <w:tc>
          <w:tcPr>
            <w:tcW w:w="1163" w:type="dxa"/>
            <w:vMerge/>
            <w:tcBorders>
              <w:top w:val="nil"/>
              <w:left w:val="nil"/>
              <w:bottom w:val="single" w:sz="8" w:space="0" w:color="auto"/>
              <w:right w:val="single" w:sz="8" w:space="0" w:color="auto"/>
            </w:tcBorders>
            <w:vAlign w:val="center"/>
            <w:hideMark/>
          </w:tcPr>
          <w:p w:rsidR="00E51DE7" w:rsidRPr="007D6273"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E51DE7"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7" w:rsidRPr="007D6273" w:rsidRDefault="00E51DE7">
            <w:pPr>
              <w:rPr>
                <w:lang w:eastAsia="en-US"/>
              </w:rPr>
            </w:pPr>
            <w:r w:rsidRPr="007D6273">
              <w:t>5.3. pašvaldību budžets</w:t>
            </w:r>
          </w:p>
        </w:tc>
        <w:tc>
          <w:tcPr>
            <w:tcW w:w="1163" w:type="dxa"/>
            <w:vMerge/>
            <w:tcBorders>
              <w:top w:val="nil"/>
              <w:left w:val="nil"/>
              <w:bottom w:val="single" w:sz="8" w:space="0" w:color="auto"/>
              <w:right w:val="single" w:sz="8" w:space="0" w:color="auto"/>
            </w:tcBorders>
            <w:vAlign w:val="center"/>
            <w:hideMark/>
          </w:tcPr>
          <w:p w:rsidR="00E51DE7" w:rsidRPr="007D6273" w:rsidRDefault="00E51DE7">
            <w:pPr>
              <w:rPr>
                <w:lang w:eastAsia="en-US"/>
              </w:rPr>
            </w:pP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DE7" w:rsidRPr="007D6273" w:rsidRDefault="00E51DE7">
            <w:pPr>
              <w:jc w:val="right"/>
              <w:rPr>
                <w:lang w:eastAsia="en-US"/>
              </w:rPr>
            </w:pPr>
            <w:r w:rsidRPr="007D6273">
              <w:t>0</w:t>
            </w: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t>6. Detalizēts ieņēmumu un izdevumu aprēķins (ja nepieciešams, detalizētu ieņēmumu un izdevumu aprēķinu var pievienot anotācijas pielikumā):</w:t>
            </w:r>
          </w:p>
        </w:tc>
        <w:tc>
          <w:tcPr>
            <w:tcW w:w="6804" w:type="dxa"/>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7E5A24" w:rsidRPr="00476794" w:rsidRDefault="007B0916" w:rsidP="007E5A24">
            <w:pPr>
              <w:spacing w:after="120"/>
              <w:jc w:val="both"/>
            </w:pPr>
            <w:r w:rsidRPr="00476794">
              <w:rPr>
                <w:shd w:val="clear" w:color="auto" w:fill="FFFFFF"/>
              </w:rPr>
              <w:t>SAM ietvaros</w:t>
            </w:r>
            <w:r w:rsidRPr="00476794">
              <w:rPr>
                <w:rFonts w:eastAsia="PMingLiU"/>
              </w:rPr>
              <w:t xml:space="preserve"> </w:t>
            </w:r>
            <w:r w:rsidR="001F30FD" w:rsidRPr="00476794">
              <w:rPr>
                <w:rFonts w:eastAsia="PMingLiU"/>
              </w:rPr>
              <w:t xml:space="preserve">pieejamais </w:t>
            </w:r>
            <w:r w:rsidRPr="00476794">
              <w:rPr>
                <w:rFonts w:eastAsia="PMingLiU"/>
              </w:rPr>
              <w:t xml:space="preserve">finansējums plānots </w:t>
            </w:r>
            <w:r w:rsidR="00892B69" w:rsidRPr="00476794">
              <w:rPr>
                <w:rFonts w:eastAsia="PMingLiU"/>
              </w:rPr>
              <w:t>311 321 944</w:t>
            </w:r>
            <w:r w:rsidRPr="00476794">
              <w:rPr>
                <w:rFonts w:eastAsia="PMingLiU"/>
              </w:rPr>
              <w:t xml:space="preserve"> </w:t>
            </w:r>
            <w:proofErr w:type="spellStart"/>
            <w:r w:rsidRPr="00476794">
              <w:rPr>
                <w:i/>
              </w:rPr>
              <w:t>euro</w:t>
            </w:r>
            <w:proofErr w:type="spellEnd"/>
            <w:r w:rsidRPr="00476794">
              <w:rPr>
                <w:rFonts w:eastAsia="PMingLiU"/>
              </w:rPr>
              <w:t xml:space="preserve"> apmērā, tai skaitā, ERAF finansējums </w:t>
            </w:r>
            <w:r w:rsidR="00646220" w:rsidRPr="00476794">
              <w:rPr>
                <w:rFonts w:eastAsia="PMingLiU"/>
              </w:rPr>
              <w:t xml:space="preserve">264 </w:t>
            </w:r>
            <w:r w:rsidR="00892B69" w:rsidRPr="00476794">
              <w:rPr>
                <w:rFonts w:eastAsia="PMingLiU"/>
              </w:rPr>
              <w:t>623 652</w:t>
            </w:r>
            <w:r w:rsidRPr="00476794">
              <w:rPr>
                <w:rFonts w:eastAsia="PMingLiU"/>
              </w:rPr>
              <w:t xml:space="preserve"> </w:t>
            </w:r>
            <w:proofErr w:type="spellStart"/>
            <w:r w:rsidRPr="00476794">
              <w:rPr>
                <w:i/>
              </w:rPr>
              <w:t>euro</w:t>
            </w:r>
            <w:proofErr w:type="spellEnd"/>
            <w:r w:rsidR="00646220" w:rsidRPr="00476794">
              <w:rPr>
                <w:i/>
              </w:rPr>
              <w:t xml:space="preserve">, </w:t>
            </w:r>
            <w:r w:rsidR="00646220" w:rsidRPr="00476794">
              <w:t xml:space="preserve">kur </w:t>
            </w:r>
            <w:r w:rsidR="00892B69" w:rsidRPr="00476794">
              <w:t>28 099 280</w:t>
            </w:r>
            <w:r w:rsidR="00646220" w:rsidRPr="00476794">
              <w:t xml:space="preserve"> </w:t>
            </w:r>
            <w:proofErr w:type="spellStart"/>
            <w:r w:rsidR="00646220" w:rsidRPr="00476794">
              <w:rPr>
                <w:i/>
              </w:rPr>
              <w:t>euro</w:t>
            </w:r>
            <w:proofErr w:type="spellEnd"/>
            <w:r w:rsidR="00646220" w:rsidRPr="00476794">
              <w:t xml:space="preserve"> ir </w:t>
            </w:r>
            <w:proofErr w:type="spellStart"/>
            <w:r w:rsidR="00646220" w:rsidRPr="00476794">
              <w:t>virssaistību</w:t>
            </w:r>
            <w:proofErr w:type="spellEnd"/>
            <w:r w:rsidR="00646220" w:rsidRPr="00476794">
              <w:t xml:space="preserve"> finansējums,</w:t>
            </w:r>
            <w:r w:rsidRPr="00476794">
              <w:rPr>
                <w:rFonts w:eastAsia="PMingLiU"/>
              </w:rPr>
              <w:t xml:space="preserve"> un nacionālais finansējums </w:t>
            </w:r>
            <w:r w:rsidR="00646220" w:rsidRPr="00476794">
              <w:rPr>
                <w:rFonts w:eastAsia="PMingLiU"/>
              </w:rPr>
              <w:t xml:space="preserve">46 </w:t>
            </w:r>
            <w:r w:rsidR="00892B69" w:rsidRPr="00476794">
              <w:rPr>
                <w:rFonts w:eastAsia="PMingLiU"/>
              </w:rPr>
              <w:t>698 292</w:t>
            </w:r>
            <w:r w:rsidRPr="00476794">
              <w:rPr>
                <w:rFonts w:eastAsia="PMingLiU"/>
              </w:rPr>
              <w:t xml:space="preserve"> </w:t>
            </w:r>
            <w:proofErr w:type="spellStart"/>
            <w:r w:rsidRPr="00476794">
              <w:rPr>
                <w:i/>
              </w:rPr>
              <w:t>euro</w:t>
            </w:r>
            <w:proofErr w:type="spellEnd"/>
            <w:r w:rsidRPr="00476794">
              <w:rPr>
                <w:rFonts w:eastAsia="PMingLiU"/>
              </w:rPr>
              <w:t xml:space="preserve">. </w:t>
            </w:r>
            <w:r w:rsidR="007E5A24" w:rsidRPr="00476794">
              <w:rPr>
                <w:rFonts w:eastAsia="PMingLiU"/>
              </w:rPr>
              <w:t xml:space="preserve">Atbilstoši </w:t>
            </w:r>
            <w:r w:rsidR="007720C1" w:rsidRPr="00476794">
              <w:rPr>
                <w:rFonts w:eastAsia="PMingLiU"/>
              </w:rPr>
              <w:t xml:space="preserve">MK rīkojuma projektam </w:t>
            </w:r>
            <w:proofErr w:type="spellStart"/>
            <w:r w:rsidR="00646220" w:rsidRPr="00476794">
              <w:rPr>
                <w:rFonts w:eastAsia="PMingLiU"/>
              </w:rPr>
              <w:t>virssaistību</w:t>
            </w:r>
            <w:proofErr w:type="spellEnd"/>
            <w:r w:rsidR="00646220" w:rsidRPr="00476794">
              <w:rPr>
                <w:rFonts w:eastAsia="PMingLiU"/>
              </w:rPr>
              <w:t xml:space="preserve"> finansējums plānots </w:t>
            </w:r>
            <w:r w:rsidR="007E5A24" w:rsidRPr="00476794">
              <w:t>Pirmās atlases kārtas</w:t>
            </w:r>
            <w:r w:rsidR="001F30FD" w:rsidRPr="00476794">
              <w:t xml:space="preserve"> ietvaros</w:t>
            </w:r>
            <w:r w:rsidR="007E5A24" w:rsidRPr="00476794">
              <w:t>, kura ietekme uz valsts budžetu plānota ne ātrāk kā 2019.gadā.</w:t>
            </w:r>
          </w:p>
          <w:p w:rsidR="008F2BB0" w:rsidRPr="00476794" w:rsidRDefault="007B0916" w:rsidP="007E78E8">
            <w:pPr>
              <w:spacing w:after="120"/>
              <w:jc w:val="both"/>
              <w:rPr>
                <w:rFonts w:eastAsia="PMingLiU"/>
              </w:rPr>
            </w:pPr>
            <w:r w:rsidRPr="00476794">
              <w:rPr>
                <w:rFonts w:eastAsia="PMingLiU"/>
              </w:rPr>
              <w:t>Budžeta ieņēmumi ir maksimāli iespējamā finansējuma ERAF daļa 85 procentu apmērā no projekta publiskā finansējuma (attiecināmām izmaksām).</w:t>
            </w:r>
          </w:p>
          <w:p w:rsidR="008F2BB0" w:rsidRPr="00476794" w:rsidRDefault="007B0916" w:rsidP="007E78E8">
            <w:pPr>
              <w:spacing w:after="120"/>
              <w:jc w:val="both"/>
              <w:rPr>
                <w:rFonts w:eastAsia="PMingLiU"/>
              </w:rPr>
            </w:pPr>
            <w:r w:rsidRPr="00476794">
              <w:rPr>
                <w:rFonts w:eastAsia="PMingLiU"/>
              </w:rPr>
              <w:t>Budžeta izdevumi ir projektu ieviešanai nepieciešamie līdzekļi.</w:t>
            </w:r>
          </w:p>
          <w:p w:rsidR="008F2BB0" w:rsidRPr="00476794" w:rsidRDefault="007B0916" w:rsidP="007E78E8">
            <w:pPr>
              <w:spacing w:after="120"/>
              <w:jc w:val="both"/>
              <w:rPr>
                <w:rFonts w:eastAsia="PMingLiU"/>
              </w:rPr>
            </w:pPr>
            <w:r w:rsidRPr="00476794">
              <w:rPr>
                <w:rFonts w:eastAsia="PMingLiU"/>
              </w:rPr>
              <w:t xml:space="preserve">Projektus plānots ieviest no 2016.gada 1.pusgada līdz 2022.gada 31.decembrim. Pieņemot, ka projektu iesniegumu atlases kārtu izsludināšanas sākumā paredzams salīdzinoši mazāks apstiprināto projektu skaits, 2016.gadā plānots finansējuma apjoms indikatīvi </w:t>
            </w:r>
            <w:r w:rsidR="003C4F0B" w:rsidRPr="00476794">
              <w:rPr>
                <w:rFonts w:eastAsia="PMingLiU"/>
              </w:rPr>
              <w:t>9,</w:t>
            </w:r>
            <w:r w:rsidR="00892B69" w:rsidRPr="00476794">
              <w:rPr>
                <w:rFonts w:eastAsia="PMingLiU"/>
              </w:rPr>
              <w:t xml:space="preserve">7 </w:t>
            </w:r>
            <w:r w:rsidRPr="00476794">
              <w:rPr>
                <w:rFonts w:eastAsia="PMingLiU"/>
              </w:rPr>
              <w:t xml:space="preserve">procentu apmērā no SAM pieejamā finansējuma. Prognozējams, ka apstiprināto projektu apjoms ievērojami palielināsies 2017.un 2018.gadā. Ņemot vērā SAM noteikto sertificējamo izdevumu mērķi, kas uz 2018.gada 31.decembri noteikts 58 873 907 </w:t>
            </w:r>
            <w:proofErr w:type="spellStart"/>
            <w:r w:rsidRPr="00476794">
              <w:rPr>
                <w:rFonts w:eastAsia="PMingLiU"/>
                <w:i/>
              </w:rPr>
              <w:t>euro</w:t>
            </w:r>
            <w:proofErr w:type="spellEnd"/>
            <w:r w:rsidRPr="00476794">
              <w:rPr>
                <w:rFonts w:eastAsia="PMingLiU"/>
              </w:rPr>
              <w:t xml:space="preserve"> apmērā, kā arī pieaugošo apstiprināto projektu skaitu un iespējamos avansu maksājumus, 2017.un 2018.gada finansējums plānots indikatīvi </w:t>
            </w:r>
            <w:r w:rsidR="003C4F0B" w:rsidRPr="00476794">
              <w:rPr>
                <w:rFonts w:eastAsia="PMingLiU"/>
              </w:rPr>
              <w:t xml:space="preserve">39 </w:t>
            </w:r>
            <w:r w:rsidRPr="00476794">
              <w:rPr>
                <w:rFonts w:eastAsia="PMingLiU"/>
              </w:rPr>
              <w:t xml:space="preserve">procentu apmērā no SAM pieejamā finansējuma. Attiecīgi laika periodā no 2019.gada līdz 2022.gadam plānots </w:t>
            </w:r>
            <w:r w:rsidRPr="00476794">
              <w:rPr>
                <w:rFonts w:eastAsia="PMingLiU"/>
              </w:rPr>
              <w:lastRenderedPageBreak/>
              <w:t xml:space="preserve">nodrošināt atlikušā SAM finansējuma apguvi. Prognozējot budžeta izdevumus un finansiālo ietekmi, tiek ņemts vērā, ka </w:t>
            </w:r>
            <w:r w:rsidRPr="00476794">
              <w:t xml:space="preserve">atbilstoši MK 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 Aprēķinātais valsts budžeta dotācijas apjoms ir indikatīvs un var samazināties, jo SAM ietvaros ir iespējami tādi projektu iesniedzēji, kuriem valsts budžeta dotācija netiek piešķirta. </w:t>
            </w:r>
          </w:p>
          <w:p w:rsidR="008F2BB0" w:rsidRPr="00476794" w:rsidRDefault="008F2BB0" w:rsidP="007E78E8">
            <w:pPr>
              <w:spacing w:after="120"/>
              <w:jc w:val="both"/>
              <w:rPr>
                <w:i/>
                <w:lang w:eastAsia="en-US"/>
              </w:rPr>
            </w:pPr>
            <w:r w:rsidRPr="00476794">
              <w:rPr>
                <w:rFonts w:eastAsia="PMingLiU"/>
              </w:rPr>
              <w:t>2016.gadam</w:t>
            </w:r>
            <w:r w:rsidR="007B0916" w:rsidRPr="00476794">
              <w:rPr>
                <w:rFonts w:eastAsia="PMingLiU"/>
              </w:rPr>
              <w:t xml:space="preserve"> kopējās izmaksas ir </w:t>
            </w:r>
            <w:r w:rsidR="007B0916" w:rsidRPr="00476794">
              <w:rPr>
                <w:lang w:eastAsia="en-US"/>
              </w:rPr>
              <w:t xml:space="preserve">30 400 000 </w:t>
            </w:r>
            <w:proofErr w:type="spellStart"/>
            <w:r w:rsidR="007B0916" w:rsidRPr="00476794">
              <w:rPr>
                <w:i/>
                <w:lang w:eastAsia="en-US"/>
              </w:rPr>
              <w:t>euro</w:t>
            </w:r>
            <w:proofErr w:type="spellEnd"/>
            <w:r w:rsidR="007B0916" w:rsidRPr="00476794">
              <w:rPr>
                <w:i/>
                <w:lang w:eastAsia="en-US"/>
              </w:rPr>
              <w:t xml:space="preserve">, </w:t>
            </w:r>
            <w:r w:rsidR="007B0916" w:rsidRPr="00476794">
              <w:rPr>
                <w:lang w:eastAsia="en-US"/>
              </w:rPr>
              <w:t xml:space="preserve">tajā skaitā ERAF finansējums 25 840 000 </w:t>
            </w:r>
            <w:proofErr w:type="spellStart"/>
            <w:r w:rsidR="007B0916" w:rsidRPr="00476794">
              <w:rPr>
                <w:i/>
                <w:lang w:eastAsia="en-US"/>
              </w:rPr>
              <w:t>euro</w:t>
            </w:r>
            <w:proofErr w:type="spellEnd"/>
            <w:r w:rsidR="007B0916" w:rsidRPr="00476794">
              <w:rPr>
                <w:lang w:eastAsia="en-US"/>
              </w:rPr>
              <w:t xml:space="preserve">, bet projektu iesniedzēju līdzfinansējums 4 560 000 </w:t>
            </w:r>
            <w:proofErr w:type="spellStart"/>
            <w:r w:rsidR="007B0916" w:rsidRPr="00476794">
              <w:rPr>
                <w:i/>
                <w:lang w:eastAsia="en-US"/>
              </w:rPr>
              <w:t>euro</w:t>
            </w:r>
            <w:proofErr w:type="spellEnd"/>
            <w:r w:rsidR="007B0916" w:rsidRPr="00476794">
              <w:rPr>
                <w:i/>
                <w:lang w:eastAsia="en-US"/>
              </w:rPr>
              <w:t>.</w:t>
            </w:r>
          </w:p>
          <w:p w:rsidR="008F2BB0" w:rsidRPr="00476794" w:rsidRDefault="008F2BB0" w:rsidP="007E78E8">
            <w:pPr>
              <w:spacing w:after="120"/>
              <w:jc w:val="both"/>
              <w:rPr>
                <w:i/>
                <w:lang w:eastAsia="en-US"/>
              </w:rPr>
            </w:pPr>
            <w:r w:rsidRPr="00476794">
              <w:rPr>
                <w:lang w:eastAsia="en-US"/>
              </w:rPr>
              <w:t>No 2017.līdz 2018.gadam</w:t>
            </w:r>
            <w:r w:rsidR="007B0916" w:rsidRPr="00476794">
              <w:rPr>
                <w:lang w:eastAsia="en-US"/>
              </w:rPr>
              <w:t xml:space="preserve"> </w:t>
            </w:r>
            <w:r w:rsidR="007B0916" w:rsidRPr="00476794">
              <w:rPr>
                <w:rFonts w:eastAsia="PMingLiU"/>
              </w:rPr>
              <w:t xml:space="preserve">izmaksas ir </w:t>
            </w:r>
            <w:r w:rsidR="007B0916" w:rsidRPr="00476794">
              <w:rPr>
                <w:lang w:eastAsia="en-US"/>
              </w:rPr>
              <w:t xml:space="preserve">121 600 000 </w:t>
            </w:r>
            <w:proofErr w:type="spellStart"/>
            <w:r w:rsidR="007B0916" w:rsidRPr="00476794">
              <w:rPr>
                <w:i/>
                <w:lang w:eastAsia="en-US"/>
              </w:rPr>
              <w:t>euro</w:t>
            </w:r>
            <w:proofErr w:type="spellEnd"/>
            <w:r w:rsidR="007B0916" w:rsidRPr="00476794">
              <w:rPr>
                <w:i/>
                <w:lang w:eastAsia="en-US"/>
              </w:rPr>
              <w:t xml:space="preserve">, </w:t>
            </w:r>
            <w:r w:rsidR="007B0916" w:rsidRPr="00476794">
              <w:rPr>
                <w:lang w:eastAsia="en-US"/>
              </w:rPr>
              <w:t xml:space="preserve">tajā skaitā ERAF finansējums 103 360 000 </w:t>
            </w:r>
            <w:proofErr w:type="spellStart"/>
            <w:r w:rsidR="007B0916" w:rsidRPr="00476794">
              <w:rPr>
                <w:i/>
                <w:lang w:eastAsia="en-US"/>
              </w:rPr>
              <w:t>euro</w:t>
            </w:r>
            <w:proofErr w:type="spellEnd"/>
            <w:r w:rsidR="007B0916" w:rsidRPr="00476794">
              <w:rPr>
                <w:lang w:eastAsia="en-US"/>
              </w:rPr>
              <w:t xml:space="preserve">, bet projektu iesniedzēju līdzfinansējums 18 240 000 </w:t>
            </w:r>
            <w:proofErr w:type="spellStart"/>
            <w:r w:rsidR="007B0916" w:rsidRPr="00476794">
              <w:rPr>
                <w:i/>
                <w:lang w:eastAsia="en-US"/>
              </w:rPr>
              <w:t>euro</w:t>
            </w:r>
            <w:proofErr w:type="spellEnd"/>
            <w:r w:rsidR="007B0916" w:rsidRPr="00476794">
              <w:rPr>
                <w:i/>
                <w:lang w:eastAsia="en-US"/>
              </w:rPr>
              <w:t>.</w:t>
            </w:r>
          </w:p>
          <w:p w:rsidR="008F2BB0" w:rsidRPr="00476794" w:rsidRDefault="008F2BB0" w:rsidP="00892B69">
            <w:pPr>
              <w:spacing w:after="120"/>
              <w:jc w:val="both"/>
              <w:rPr>
                <w:rFonts w:ascii="Calibri" w:eastAsia="Times New Roman" w:hAnsi="Calibri"/>
              </w:rPr>
            </w:pPr>
            <w:r w:rsidRPr="00476794">
              <w:rPr>
                <w:lang w:eastAsia="en-US"/>
              </w:rPr>
              <w:t>No 2019.līdz 2022.gadam</w:t>
            </w:r>
            <w:r w:rsidR="007B0916" w:rsidRPr="00476794">
              <w:rPr>
                <w:lang w:eastAsia="en-US"/>
              </w:rPr>
              <w:t xml:space="preserve"> </w:t>
            </w:r>
            <w:r w:rsidR="007B0916" w:rsidRPr="00476794">
              <w:rPr>
                <w:rFonts w:eastAsia="PMingLiU"/>
              </w:rPr>
              <w:t xml:space="preserve">izmaksas ir </w:t>
            </w:r>
            <w:r w:rsidR="00892B69" w:rsidRPr="00476794">
              <w:rPr>
                <w:lang w:eastAsia="en-US"/>
              </w:rPr>
              <w:t>159 321 944</w:t>
            </w:r>
            <w:r w:rsidR="007B0916" w:rsidRPr="00476794">
              <w:rPr>
                <w:lang w:eastAsia="en-US"/>
              </w:rPr>
              <w:t xml:space="preserve"> </w:t>
            </w:r>
            <w:proofErr w:type="spellStart"/>
            <w:r w:rsidR="007B0916" w:rsidRPr="00476794">
              <w:rPr>
                <w:i/>
                <w:lang w:eastAsia="en-US"/>
              </w:rPr>
              <w:t>euro</w:t>
            </w:r>
            <w:proofErr w:type="spellEnd"/>
            <w:r w:rsidR="007B0916" w:rsidRPr="00476794">
              <w:rPr>
                <w:i/>
                <w:lang w:eastAsia="en-US"/>
              </w:rPr>
              <w:t xml:space="preserve">, </w:t>
            </w:r>
            <w:r w:rsidR="007B0916" w:rsidRPr="00476794">
              <w:rPr>
                <w:lang w:eastAsia="en-US"/>
              </w:rPr>
              <w:t xml:space="preserve">tajā skaitā ERAF finansējums </w:t>
            </w:r>
            <w:r w:rsidR="00892B69" w:rsidRPr="00476794">
              <w:rPr>
                <w:lang w:eastAsia="en-US"/>
              </w:rPr>
              <w:t>135 423 652</w:t>
            </w:r>
            <w:r w:rsidR="007B0916" w:rsidRPr="00476794">
              <w:rPr>
                <w:lang w:eastAsia="en-US"/>
              </w:rPr>
              <w:t xml:space="preserve"> </w:t>
            </w:r>
            <w:proofErr w:type="spellStart"/>
            <w:r w:rsidR="007B0916" w:rsidRPr="00476794">
              <w:rPr>
                <w:i/>
                <w:lang w:eastAsia="en-US"/>
              </w:rPr>
              <w:t>euro</w:t>
            </w:r>
            <w:proofErr w:type="spellEnd"/>
            <w:r w:rsidR="007B0916" w:rsidRPr="00476794">
              <w:rPr>
                <w:lang w:eastAsia="en-US"/>
              </w:rPr>
              <w:t xml:space="preserve">, bet projektu iesniedzēju līdzfinansējums </w:t>
            </w:r>
            <w:r w:rsidR="00892B69" w:rsidRPr="00476794">
              <w:rPr>
                <w:lang w:eastAsia="en-US"/>
              </w:rPr>
              <w:t>23 898 292</w:t>
            </w:r>
            <w:r w:rsidR="007B0916" w:rsidRPr="00476794">
              <w:rPr>
                <w:lang w:eastAsia="en-US"/>
              </w:rPr>
              <w:t xml:space="preserve"> </w:t>
            </w:r>
            <w:proofErr w:type="spellStart"/>
            <w:r w:rsidR="007B0916" w:rsidRPr="00476794">
              <w:rPr>
                <w:i/>
                <w:lang w:eastAsia="en-US"/>
              </w:rPr>
              <w:t>euro</w:t>
            </w:r>
            <w:proofErr w:type="spellEnd"/>
            <w:r w:rsidR="007B0916" w:rsidRPr="00476794">
              <w:rPr>
                <w:i/>
                <w:lang w:eastAsia="en-US"/>
              </w:rPr>
              <w:t>.</w:t>
            </w: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t>6.1. detalizēts ieņēmumu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8F2BB0" w:rsidRPr="00476794" w:rsidRDefault="008F2BB0">
            <w:pPr>
              <w:rPr>
                <w:rFonts w:ascii="Calibri" w:eastAsia="Times New Roman" w:hAnsi="Calibri"/>
              </w:rPr>
            </w:pP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t>6.2. detalizēts izdevumu aprēķins</w:t>
            </w:r>
          </w:p>
        </w:tc>
        <w:tc>
          <w:tcPr>
            <w:tcW w:w="6804" w:type="dxa"/>
            <w:gridSpan w:val="5"/>
            <w:vMerge/>
            <w:tcBorders>
              <w:top w:val="nil"/>
              <w:left w:val="single" w:sz="8" w:space="0" w:color="auto"/>
              <w:bottom w:val="single" w:sz="8" w:space="0" w:color="auto"/>
              <w:right w:val="single" w:sz="8" w:space="0" w:color="auto"/>
            </w:tcBorders>
            <w:vAlign w:val="center"/>
            <w:hideMark/>
          </w:tcPr>
          <w:p w:rsidR="008F2BB0" w:rsidRPr="00476794" w:rsidRDefault="008F2BB0">
            <w:pPr>
              <w:rPr>
                <w:rFonts w:ascii="Calibri" w:eastAsia="Times New Roman" w:hAnsi="Calibri"/>
              </w:rPr>
            </w:pPr>
          </w:p>
        </w:tc>
      </w:tr>
      <w:tr w:rsidR="008F2BB0" w:rsidRPr="007D6273" w:rsidTr="00D92D99">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2BB0" w:rsidRPr="007D6273" w:rsidRDefault="008F2BB0">
            <w:pPr>
              <w:rPr>
                <w:lang w:eastAsia="en-US"/>
              </w:rPr>
            </w:pPr>
            <w:r w:rsidRPr="007D6273">
              <w:lastRenderedPageBreak/>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rsidR="008F2BB0" w:rsidRPr="00476794" w:rsidRDefault="007B0916" w:rsidP="008F2BB0">
            <w:pPr>
              <w:pStyle w:val="naisf"/>
              <w:spacing w:before="0" w:beforeAutospacing="0" w:after="120" w:afterAutospacing="0"/>
              <w:jc w:val="both"/>
              <w:rPr>
                <w:lang w:eastAsia="en-US"/>
              </w:rPr>
            </w:pPr>
            <w:r w:rsidRPr="00476794">
              <w:rPr>
                <w:lang w:eastAsia="en-US"/>
              </w:rPr>
              <w:t>Finansējuma sadalījums pa gadiem ir norādīts indikatīvi un var mainīties SAM ieviešanas gaitā atbilstoši faktiskajai situācijai.</w:t>
            </w:r>
            <w:proofErr w:type="gramStart"/>
            <w:r w:rsidRPr="00476794">
              <w:rPr>
                <w:lang w:eastAsia="en-US"/>
              </w:rPr>
              <w:t xml:space="preserve">  </w:t>
            </w:r>
            <w:proofErr w:type="gramEnd"/>
            <w:r w:rsidRPr="00476794">
              <w:rPr>
                <w:lang w:eastAsia="en-US"/>
              </w:rPr>
              <w:t>Projektiem nepieciešamais finansējums tiks pieprasīts no budžeta programmas 80.00.00 „Nesadalītais finansējums Eiropas Savienības politiku instrumentu un pārējās ārvalstu finanšu palīdzības līdzfinansēto projektu un pasākumu īstenošanai”.</w:t>
            </w:r>
          </w:p>
        </w:tc>
      </w:tr>
    </w:tbl>
    <w:p w:rsidR="00D92D99" w:rsidRDefault="00D92D99" w:rsidP="00D92D99">
      <w:pPr>
        <w:rPr>
          <w:lang w:eastAsia="en-US"/>
        </w:rPr>
      </w:pPr>
    </w:p>
    <w:p w:rsidR="00D52964" w:rsidRPr="007D6273" w:rsidRDefault="00D52964" w:rsidP="00D92D99">
      <w:pPr>
        <w:rPr>
          <w:lang w:eastAsia="en-US"/>
        </w:rPr>
      </w:pPr>
    </w:p>
    <w:tbl>
      <w:tblPr>
        <w:tblW w:w="91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21"/>
      </w:tblGrid>
      <w:tr w:rsidR="00391449" w:rsidRPr="007D6273" w:rsidTr="00D92D99">
        <w:trPr>
          <w:trHeight w:val="421"/>
        </w:trPr>
        <w:tc>
          <w:tcPr>
            <w:tcW w:w="9192" w:type="dxa"/>
            <w:gridSpan w:val="3"/>
            <w:vAlign w:val="center"/>
          </w:tcPr>
          <w:p w:rsidR="00391449" w:rsidRPr="007D6273" w:rsidRDefault="00391449" w:rsidP="00BF08DE">
            <w:pPr>
              <w:pStyle w:val="naisnod"/>
              <w:spacing w:before="0" w:beforeAutospacing="0" w:after="0" w:afterAutospacing="0"/>
              <w:ind w:left="57" w:right="57"/>
              <w:jc w:val="center"/>
            </w:pPr>
            <w:r w:rsidRPr="007D6273">
              <w:rPr>
                <w:b/>
              </w:rPr>
              <w:t>V. Tiesību akta projekta atbilstība Latvijas Republikas starptautiskajām saistībām</w:t>
            </w:r>
          </w:p>
        </w:tc>
      </w:tr>
      <w:tr w:rsidR="00391449" w:rsidRPr="007D6273" w:rsidTr="00D92D99">
        <w:trPr>
          <w:trHeight w:val="553"/>
        </w:trPr>
        <w:tc>
          <w:tcPr>
            <w:tcW w:w="333" w:type="dxa"/>
          </w:tcPr>
          <w:p w:rsidR="00391449" w:rsidRPr="007D6273" w:rsidRDefault="00391449" w:rsidP="00BF08DE">
            <w:pPr>
              <w:ind w:left="57" w:right="57"/>
              <w:jc w:val="both"/>
              <w:rPr>
                <w:bCs/>
              </w:rPr>
            </w:pPr>
            <w:r w:rsidRPr="007D6273">
              <w:rPr>
                <w:bCs/>
              </w:rPr>
              <w:t>1.</w:t>
            </w:r>
          </w:p>
        </w:tc>
        <w:tc>
          <w:tcPr>
            <w:tcW w:w="2838" w:type="dxa"/>
          </w:tcPr>
          <w:p w:rsidR="00391449" w:rsidRPr="007D6273" w:rsidRDefault="00391449" w:rsidP="00BF08DE">
            <w:pPr>
              <w:ind w:left="57" w:right="57"/>
            </w:pPr>
            <w:r w:rsidRPr="007D6273">
              <w:t>Saistības pret Eiropas Savienību</w:t>
            </w:r>
          </w:p>
        </w:tc>
        <w:tc>
          <w:tcPr>
            <w:tcW w:w="6021" w:type="dxa"/>
          </w:tcPr>
          <w:p w:rsidR="00391449" w:rsidRPr="00476794" w:rsidRDefault="00391449" w:rsidP="00BF08DE">
            <w:pPr>
              <w:shd w:val="clear" w:color="auto" w:fill="FFFFFF"/>
              <w:spacing w:after="120"/>
              <w:ind w:left="57" w:right="113"/>
              <w:jc w:val="both"/>
              <w:rPr>
                <w:bCs/>
              </w:rPr>
            </w:pPr>
            <w:r w:rsidRPr="00476794">
              <w:rPr>
                <w:bCs/>
              </w:rPr>
              <w:t>MK noteikumu projekts paredz, ka finanšu atbalstu komercdarbībai SAM ietvaros sniedz saskaņā ar:</w:t>
            </w:r>
          </w:p>
          <w:p w:rsidR="00667D1D" w:rsidRPr="00476794" w:rsidRDefault="00667D1D" w:rsidP="00667D1D">
            <w:pPr>
              <w:numPr>
                <w:ilvl w:val="0"/>
                <w:numId w:val="11"/>
              </w:numPr>
              <w:shd w:val="clear" w:color="auto" w:fill="FFFFFF"/>
              <w:spacing w:after="120"/>
              <w:ind w:right="113"/>
              <w:jc w:val="both"/>
              <w:rPr>
                <w:bCs/>
              </w:rPr>
            </w:pPr>
            <w:r w:rsidRPr="00476794">
              <w:rPr>
                <w:bCs/>
              </w:rPr>
              <w:t>Eiropas Parlamenta un Padomes 2013.gada 17.decembra Regulu (ES) Nr.1303/2013;</w:t>
            </w:r>
          </w:p>
          <w:p w:rsidR="00E20DDB" w:rsidRPr="00476794" w:rsidRDefault="00E20DDB" w:rsidP="002F0429">
            <w:pPr>
              <w:numPr>
                <w:ilvl w:val="0"/>
                <w:numId w:val="11"/>
              </w:numPr>
              <w:shd w:val="clear" w:color="auto" w:fill="FFFFFF"/>
              <w:spacing w:after="120"/>
              <w:ind w:right="113"/>
              <w:jc w:val="both"/>
              <w:rPr>
                <w:bCs/>
              </w:rPr>
            </w:pPr>
            <w:r w:rsidRPr="00476794">
              <w:rPr>
                <w:bCs/>
              </w:rPr>
              <w:t>Komisijas regulu Nr.651/2014</w:t>
            </w:r>
            <w:r w:rsidR="005272F6" w:rsidRPr="00476794">
              <w:rPr>
                <w:bCs/>
              </w:rPr>
              <w:t>;</w:t>
            </w:r>
          </w:p>
          <w:p w:rsidR="00E20DDB" w:rsidRPr="00476794" w:rsidRDefault="00E20DDB" w:rsidP="002F0429">
            <w:pPr>
              <w:numPr>
                <w:ilvl w:val="0"/>
                <w:numId w:val="11"/>
              </w:numPr>
              <w:shd w:val="clear" w:color="auto" w:fill="FFFFFF"/>
              <w:spacing w:after="120"/>
              <w:ind w:right="113"/>
              <w:jc w:val="both"/>
              <w:rPr>
                <w:bCs/>
              </w:rPr>
            </w:pPr>
            <w:r w:rsidRPr="00476794">
              <w:rPr>
                <w:bCs/>
              </w:rPr>
              <w:t>Komisijas regulu Nr.702/2014;</w:t>
            </w:r>
          </w:p>
          <w:p w:rsidR="00E20DDB" w:rsidRPr="00476794" w:rsidRDefault="00E20DDB" w:rsidP="002F0429">
            <w:pPr>
              <w:numPr>
                <w:ilvl w:val="0"/>
                <w:numId w:val="11"/>
              </w:numPr>
              <w:shd w:val="clear" w:color="auto" w:fill="FFFFFF"/>
              <w:spacing w:after="120"/>
              <w:ind w:right="113"/>
              <w:jc w:val="both"/>
              <w:rPr>
                <w:bCs/>
              </w:rPr>
            </w:pPr>
            <w:r w:rsidRPr="00476794">
              <w:rPr>
                <w:bCs/>
              </w:rPr>
              <w:t>Eiropas Parlamenta un Padomes 2006.gada 20.decembra regulu (EK) Nr.1893/2006 ar ko izveido NACE 2. red. saimniecisko darbību statistisko klasifikāciju, kā arī groza Padomes Regulu (EEK) Nr.3037/90 un dažas EK regulas par īpašām statistikas jomām (turpmāk - Eiropas Parlamenta un Padomes Regula (ES) Nr.1893/2006);</w:t>
            </w:r>
          </w:p>
          <w:p w:rsidR="00E20DDB" w:rsidRPr="00476794" w:rsidRDefault="00E20DDB" w:rsidP="002F0429">
            <w:pPr>
              <w:numPr>
                <w:ilvl w:val="0"/>
                <w:numId w:val="11"/>
              </w:numPr>
              <w:shd w:val="clear" w:color="auto" w:fill="FFFFFF"/>
              <w:spacing w:after="120"/>
              <w:ind w:right="113"/>
              <w:jc w:val="both"/>
              <w:rPr>
                <w:bCs/>
              </w:rPr>
            </w:pPr>
            <w:r w:rsidRPr="00476794">
              <w:t>Komisijas regul</w:t>
            </w:r>
            <w:r w:rsidR="007E5A24" w:rsidRPr="00476794">
              <w:t>u</w:t>
            </w:r>
            <w:r w:rsidRPr="00476794">
              <w:t xml:space="preserve"> Nr.480/2014;</w:t>
            </w:r>
          </w:p>
          <w:p w:rsidR="00E20DDB" w:rsidRPr="00476794" w:rsidRDefault="00E20DDB" w:rsidP="002F0429">
            <w:pPr>
              <w:numPr>
                <w:ilvl w:val="0"/>
                <w:numId w:val="11"/>
              </w:numPr>
              <w:shd w:val="clear" w:color="auto" w:fill="FFFFFF"/>
              <w:spacing w:after="120"/>
              <w:ind w:right="113"/>
              <w:jc w:val="both"/>
              <w:rPr>
                <w:bCs/>
              </w:rPr>
            </w:pPr>
            <w:r w:rsidRPr="00476794">
              <w:rPr>
                <w:bCs/>
              </w:rPr>
              <w:t>Komisijas regul</w:t>
            </w:r>
            <w:r w:rsidR="007E5A24" w:rsidRPr="00476794">
              <w:rPr>
                <w:bCs/>
              </w:rPr>
              <w:t>u</w:t>
            </w:r>
            <w:r w:rsidRPr="00476794">
              <w:rPr>
                <w:bCs/>
              </w:rPr>
              <w:t xml:space="preserve"> Nr.1388/2014</w:t>
            </w:r>
            <w:r w:rsidR="005272F6" w:rsidRPr="00476794">
              <w:rPr>
                <w:bCs/>
              </w:rPr>
              <w:t>;</w:t>
            </w:r>
          </w:p>
          <w:p w:rsidR="007E5A24" w:rsidRPr="00476794" w:rsidRDefault="00E20DDB" w:rsidP="006F2B6B">
            <w:pPr>
              <w:numPr>
                <w:ilvl w:val="0"/>
                <w:numId w:val="11"/>
              </w:numPr>
              <w:shd w:val="clear" w:color="auto" w:fill="FFFFFF"/>
              <w:spacing w:after="120"/>
              <w:ind w:right="113"/>
              <w:jc w:val="both"/>
              <w:rPr>
                <w:bCs/>
              </w:rPr>
            </w:pPr>
            <w:r w:rsidRPr="00476794">
              <w:t xml:space="preserve">Komisijas lēmumu (20.12.2011.) par Līguma par </w:t>
            </w:r>
            <w:r w:rsidRPr="00476794">
              <w:lastRenderedPageBreak/>
              <w:t>Eiropas Savienības darbību 106.panta 2.punkta piemērošanu valsts atbalstam attiecībā uz kompensāciju par sabiedriskajiem pakalpojumiem dažiem uzņēmumiem, kuriem uzticēts sniegt pakalpojumus ar vispārēju tautsaimniecisku nozīmi (turpmāk – Komisijas lēmums)</w:t>
            </w:r>
            <w:r w:rsidR="007E5A24" w:rsidRPr="00476794">
              <w:t>;</w:t>
            </w:r>
          </w:p>
          <w:p w:rsidR="007E5A24" w:rsidRPr="00476794" w:rsidRDefault="007E5A24" w:rsidP="007E5A24">
            <w:pPr>
              <w:numPr>
                <w:ilvl w:val="0"/>
                <w:numId w:val="11"/>
              </w:numPr>
              <w:shd w:val="clear" w:color="auto" w:fill="FFFFFF"/>
              <w:spacing w:after="120"/>
              <w:ind w:right="113"/>
              <w:jc w:val="both"/>
              <w:rPr>
                <w:rStyle w:val="Hyperlink"/>
                <w:bCs/>
                <w:color w:val="auto"/>
                <w:u w:val="none"/>
              </w:rPr>
            </w:pPr>
            <w:r w:rsidRPr="00476794">
              <w:t>Komisijas regulu Nr.</w:t>
            </w:r>
            <w:hyperlink r:id="rId25" w:tgtFrame="_blank" w:history="1">
              <w:r w:rsidRPr="00476794">
                <w:rPr>
                  <w:rStyle w:val="Hyperlink"/>
                  <w:color w:val="auto"/>
                  <w:u w:val="none"/>
                </w:rPr>
                <w:t>1407/2013</w:t>
              </w:r>
            </w:hyperlink>
            <w:r w:rsidRPr="00476794">
              <w:rPr>
                <w:rStyle w:val="Hyperlink"/>
                <w:color w:val="auto"/>
                <w:u w:val="none"/>
              </w:rPr>
              <w:t>;</w:t>
            </w:r>
          </w:p>
          <w:p w:rsidR="007E5A24" w:rsidRPr="00476794" w:rsidRDefault="007E5A24" w:rsidP="007E5A24">
            <w:pPr>
              <w:numPr>
                <w:ilvl w:val="0"/>
                <w:numId w:val="11"/>
              </w:numPr>
              <w:shd w:val="clear" w:color="auto" w:fill="FFFFFF"/>
              <w:spacing w:after="120"/>
              <w:ind w:right="113"/>
              <w:jc w:val="both"/>
              <w:rPr>
                <w:rStyle w:val="Hyperlink"/>
                <w:bCs/>
                <w:color w:val="auto"/>
                <w:u w:val="none"/>
              </w:rPr>
            </w:pPr>
            <w:r w:rsidRPr="00476794">
              <w:t>Komisijas regulu Nr.</w:t>
            </w:r>
            <w:hyperlink r:id="rId26" w:tgtFrame="_blank" w:history="1">
              <w:r w:rsidRPr="00476794">
                <w:rPr>
                  <w:rStyle w:val="Hyperlink"/>
                  <w:color w:val="auto"/>
                  <w:u w:val="none"/>
                </w:rPr>
                <w:t>717/2014</w:t>
              </w:r>
            </w:hyperlink>
            <w:r w:rsidRPr="00476794">
              <w:rPr>
                <w:rStyle w:val="Hyperlink"/>
                <w:color w:val="auto"/>
                <w:u w:val="none"/>
              </w:rPr>
              <w:t>;</w:t>
            </w:r>
          </w:p>
          <w:p w:rsidR="00391449" w:rsidRPr="007D6273" w:rsidRDefault="007E5A24" w:rsidP="007E5A24">
            <w:pPr>
              <w:numPr>
                <w:ilvl w:val="0"/>
                <w:numId w:val="11"/>
              </w:numPr>
              <w:shd w:val="clear" w:color="auto" w:fill="FFFFFF"/>
              <w:spacing w:after="120"/>
              <w:ind w:right="113"/>
              <w:jc w:val="both"/>
              <w:rPr>
                <w:bCs/>
              </w:rPr>
            </w:pPr>
            <w:r w:rsidRPr="00476794">
              <w:t>Komisijas regulu Nr.</w:t>
            </w:r>
            <w:hyperlink r:id="rId27" w:tgtFrame="_blank" w:history="1">
              <w:r w:rsidRPr="00476794">
                <w:rPr>
                  <w:rStyle w:val="Hyperlink"/>
                  <w:color w:val="auto"/>
                  <w:u w:val="none"/>
                </w:rPr>
                <w:t>1408/2013</w:t>
              </w:r>
            </w:hyperlink>
            <w:r w:rsidRPr="00476794">
              <w:t>.</w:t>
            </w:r>
          </w:p>
        </w:tc>
      </w:tr>
      <w:tr w:rsidR="00391449" w:rsidRPr="007D6273" w:rsidTr="00D92D99">
        <w:trPr>
          <w:trHeight w:val="339"/>
        </w:trPr>
        <w:tc>
          <w:tcPr>
            <w:tcW w:w="333" w:type="dxa"/>
          </w:tcPr>
          <w:p w:rsidR="00391449" w:rsidRPr="007D6273" w:rsidRDefault="00391449" w:rsidP="00BF08DE">
            <w:pPr>
              <w:ind w:left="57" w:right="57"/>
              <w:jc w:val="both"/>
              <w:rPr>
                <w:bCs/>
              </w:rPr>
            </w:pPr>
            <w:r w:rsidRPr="007D6273">
              <w:rPr>
                <w:bCs/>
              </w:rPr>
              <w:lastRenderedPageBreak/>
              <w:t>2.</w:t>
            </w:r>
          </w:p>
        </w:tc>
        <w:tc>
          <w:tcPr>
            <w:tcW w:w="2838" w:type="dxa"/>
          </w:tcPr>
          <w:p w:rsidR="00391449" w:rsidRPr="007D6273" w:rsidRDefault="00391449" w:rsidP="00BF08DE">
            <w:pPr>
              <w:ind w:left="57" w:right="57"/>
            </w:pPr>
            <w:r w:rsidRPr="007D6273">
              <w:t>Citas starptautiskās saistības</w:t>
            </w:r>
          </w:p>
        </w:tc>
        <w:tc>
          <w:tcPr>
            <w:tcW w:w="6021" w:type="dxa"/>
          </w:tcPr>
          <w:p w:rsidR="00391449" w:rsidRPr="007D6273" w:rsidRDefault="00391449" w:rsidP="00BF08DE">
            <w:pPr>
              <w:shd w:val="clear" w:color="auto" w:fill="FFFFFF"/>
              <w:ind w:left="57" w:right="113"/>
              <w:jc w:val="both"/>
              <w:rPr>
                <w:kern w:val="24"/>
              </w:rPr>
            </w:pPr>
            <w:r w:rsidRPr="007D6273">
              <w:rPr>
                <w:iCs/>
              </w:rPr>
              <w:t>MK noteikumu projekts šo jomu neskar.</w:t>
            </w:r>
          </w:p>
        </w:tc>
      </w:tr>
      <w:tr w:rsidR="00391449" w:rsidRPr="007D6273" w:rsidTr="00D92D99">
        <w:trPr>
          <w:trHeight w:val="476"/>
        </w:trPr>
        <w:tc>
          <w:tcPr>
            <w:tcW w:w="333" w:type="dxa"/>
          </w:tcPr>
          <w:p w:rsidR="00391449" w:rsidRPr="007D6273" w:rsidRDefault="00391449" w:rsidP="00BF08DE">
            <w:pPr>
              <w:ind w:left="57" w:right="57"/>
              <w:jc w:val="both"/>
              <w:rPr>
                <w:bCs/>
              </w:rPr>
            </w:pPr>
            <w:r w:rsidRPr="007D6273">
              <w:rPr>
                <w:bCs/>
              </w:rPr>
              <w:t>3.</w:t>
            </w:r>
          </w:p>
        </w:tc>
        <w:tc>
          <w:tcPr>
            <w:tcW w:w="2838" w:type="dxa"/>
          </w:tcPr>
          <w:p w:rsidR="00391449" w:rsidRPr="007D6273" w:rsidRDefault="00391449" w:rsidP="00BF08DE">
            <w:pPr>
              <w:ind w:left="57" w:right="57"/>
            </w:pPr>
            <w:r w:rsidRPr="007D6273">
              <w:t>Cita informācija</w:t>
            </w:r>
          </w:p>
        </w:tc>
        <w:tc>
          <w:tcPr>
            <w:tcW w:w="6021" w:type="dxa"/>
          </w:tcPr>
          <w:p w:rsidR="00391449" w:rsidRPr="007D6273" w:rsidRDefault="00391449" w:rsidP="00BF08DE">
            <w:pPr>
              <w:shd w:val="clear" w:color="auto" w:fill="FFFFFF"/>
              <w:ind w:left="57" w:right="113"/>
              <w:jc w:val="both"/>
            </w:pPr>
            <w:r w:rsidRPr="007D6273">
              <w:t xml:space="preserve">Nav. </w:t>
            </w:r>
          </w:p>
        </w:tc>
      </w:tr>
    </w:tbl>
    <w:p w:rsidR="00041551" w:rsidRPr="007D6273" w:rsidRDefault="00041551" w:rsidP="00391449">
      <w:pPr>
        <w:jc w:val="center"/>
        <w:rPr>
          <w:lang w:eastAsia="en-US"/>
        </w:rPr>
      </w:pPr>
    </w:p>
    <w:p w:rsidR="00FE1C57" w:rsidRPr="007D6273" w:rsidRDefault="00FE1C57"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517"/>
        <w:gridCol w:w="1843"/>
        <w:gridCol w:w="2409"/>
      </w:tblGrid>
      <w:tr w:rsidR="00391449" w:rsidRPr="007D6273" w:rsidTr="00153B99">
        <w:tc>
          <w:tcPr>
            <w:tcW w:w="9180" w:type="dxa"/>
            <w:gridSpan w:val="4"/>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pStyle w:val="naisnod"/>
              <w:spacing w:before="0" w:beforeAutospacing="0" w:after="0" w:afterAutospacing="0" w:line="276" w:lineRule="auto"/>
              <w:jc w:val="center"/>
              <w:rPr>
                <w:lang w:eastAsia="en-US"/>
              </w:rPr>
            </w:pPr>
            <w:r w:rsidRPr="007D6273">
              <w:rPr>
                <w:b/>
                <w:lang w:eastAsia="en-US"/>
              </w:rPr>
              <w:t>1.tabula. Tiesību akta projekta atbilstība ES tiesību aktiem</w:t>
            </w:r>
          </w:p>
        </w:tc>
      </w:tr>
      <w:tr w:rsidR="00391449" w:rsidRPr="007D6273"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lang w:eastAsia="en-US"/>
              </w:rPr>
            </w:pPr>
            <w:r w:rsidRPr="007D6273">
              <w:t>Attiecīgā ES tiesību akta datums, numurs un nosaukums</w:t>
            </w:r>
          </w:p>
        </w:tc>
        <w:tc>
          <w:tcPr>
            <w:tcW w:w="6769" w:type="dxa"/>
            <w:gridSpan w:val="3"/>
            <w:tcBorders>
              <w:top w:val="single" w:sz="4" w:space="0" w:color="auto"/>
              <w:left w:val="single" w:sz="4" w:space="0" w:color="auto"/>
              <w:bottom w:val="single" w:sz="4" w:space="0" w:color="auto"/>
              <w:right w:val="single" w:sz="4" w:space="0" w:color="auto"/>
            </w:tcBorders>
            <w:hideMark/>
          </w:tcPr>
          <w:p w:rsidR="00E20DDB" w:rsidRPr="007D6273" w:rsidRDefault="002F0429" w:rsidP="00A27A0C">
            <w:pPr>
              <w:pStyle w:val="naiskr"/>
              <w:numPr>
                <w:ilvl w:val="2"/>
                <w:numId w:val="27"/>
              </w:numPr>
              <w:tabs>
                <w:tab w:val="left" w:pos="566"/>
              </w:tabs>
              <w:spacing w:before="0" w:beforeAutospacing="0" w:after="0" w:afterAutospacing="0" w:line="276" w:lineRule="auto"/>
              <w:ind w:left="566" w:hanging="425"/>
              <w:jc w:val="both"/>
              <w:rPr>
                <w:lang w:eastAsia="en-US"/>
              </w:rPr>
            </w:pPr>
            <w:r w:rsidRPr="007D6273">
              <w:rPr>
                <w:lang w:eastAsia="en-US"/>
              </w:rPr>
              <w:t>Komisijas regula Nr.</w:t>
            </w:r>
            <w:r w:rsidRPr="007D6273">
              <w:rPr>
                <w:bCs/>
              </w:rPr>
              <w:t>651/2014</w:t>
            </w:r>
            <w:r w:rsidR="00E20DDB" w:rsidRPr="007D6273">
              <w:rPr>
                <w:lang w:eastAsia="en-US"/>
              </w:rPr>
              <w:t>;</w:t>
            </w:r>
          </w:p>
          <w:p w:rsidR="00E20DDB" w:rsidRPr="00476794" w:rsidRDefault="00E20DDB"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rPr>
                <w:bCs/>
              </w:rPr>
              <w:t>Eiropas Parlamenta un Padomes Regula (ES) Nr.1893/2006;</w:t>
            </w:r>
          </w:p>
          <w:p w:rsidR="00E20DDB" w:rsidRPr="00476794" w:rsidRDefault="00E20DDB"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rPr>
                <w:lang w:eastAsia="en-US"/>
              </w:rPr>
              <w:t>Eiropas Parlamenta un Padomes regula Nr.1303/2013;</w:t>
            </w:r>
          </w:p>
          <w:p w:rsidR="001704A0" w:rsidRPr="00476794" w:rsidRDefault="001704A0"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rPr>
                <w:lang w:eastAsia="en-US"/>
              </w:rPr>
              <w:t>Komisijas regula Nr.702/2014;</w:t>
            </w:r>
          </w:p>
          <w:p w:rsidR="001704A0" w:rsidRPr="00476794" w:rsidRDefault="001704A0"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rPr>
                <w:lang w:eastAsia="en-US"/>
              </w:rPr>
              <w:t>Komisijas regula Nr.480/2014;</w:t>
            </w:r>
          </w:p>
          <w:p w:rsidR="001704A0" w:rsidRPr="00476794" w:rsidRDefault="001704A0"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rPr>
                <w:bCs/>
              </w:rPr>
              <w:t>Komisijas regula Nr.1388/2014;</w:t>
            </w:r>
          </w:p>
          <w:p w:rsidR="007E5A24" w:rsidRPr="00476794" w:rsidRDefault="001704A0"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t>Komisijas lēmums</w:t>
            </w:r>
            <w:r w:rsidR="007E5A24" w:rsidRPr="00476794">
              <w:t>;</w:t>
            </w:r>
          </w:p>
          <w:p w:rsidR="007E5A24" w:rsidRPr="00476794" w:rsidRDefault="007E5A24" w:rsidP="00A27A0C">
            <w:pPr>
              <w:pStyle w:val="naiskr"/>
              <w:numPr>
                <w:ilvl w:val="2"/>
                <w:numId w:val="27"/>
              </w:numPr>
              <w:tabs>
                <w:tab w:val="left" w:pos="566"/>
              </w:tabs>
              <w:spacing w:before="0" w:beforeAutospacing="0" w:after="0" w:afterAutospacing="0" w:line="276" w:lineRule="auto"/>
              <w:ind w:left="67" w:firstLine="74"/>
              <w:jc w:val="both"/>
              <w:rPr>
                <w:rStyle w:val="Hyperlink"/>
                <w:color w:val="auto"/>
                <w:u w:val="none"/>
                <w:lang w:eastAsia="en-US"/>
              </w:rPr>
            </w:pPr>
            <w:r w:rsidRPr="00476794">
              <w:t>Komisijas regula Nr.</w:t>
            </w:r>
            <w:hyperlink r:id="rId28" w:tgtFrame="_blank" w:history="1">
              <w:r w:rsidRPr="00476794">
                <w:rPr>
                  <w:rStyle w:val="Hyperlink"/>
                  <w:color w:val="auto"/>
                  <w:u w:val="none"/>
                </w:rPr>
                <w:t>1407/2013</w:t>
              </w:r>
            </w:hyperlink>
            <w:r w:rsidRPr="00476794">
              <w:rPr>
                <w:rStyle w:val="Hyperlink"/>
                <w:color w:val="auto"/>
                <w:u w:val="none"/>
              </w:rPr>
              <w:t>;</w:t>
            </w:r>
          </w:p>
          <w:p w:rsidR="007E5A24" w:rsidRPr="00476794" w:rsidRDefault="007E5A24" w:rsidP="00A27A0C">
            <w:pPr>
              <w:pStyle w:val="naiskr"/>
              <w:numPr>
                <w:ilvl w:val="2"/>
                <w:numId w:val="27"/>
              </w:numPr>
              <w:tabs>
                <w:tab w:val="left" w:pos="566"/>
              </w:tabs>
              <w:spacing w:before="0" w:beforeAutospacing="0" w:after="0" w:afterAutospacing="0" w:line="276" w:lineRule="auto"/>
              <w:ind w:left="67" w:firstLine="74"/>
              <w:jc w:val="both"/>
              <w:rPr>
                <w:rStyle w:val="Hyperlink"/>
                <w:color w:val="auto"/>
                <w:u w:val="none"/>
                <w:lang w:eastAsia="en-US"/>
              </w:rPr>
            </w:pPr>
            <w:r w:rsidRPr="00476794">
              <w:t>Komisijas regula Nr.</w:t>
            </w:r>
            <w:hyperlink r:id="rId29" w:tgtFrame="_blank" w:history="1">
              <w:r w:rsidRPr="00476794">
                <w:rPr>
                  <w:rStyle w:val="Hyperlink"/>
                  <w:color w:val="auto"/>
                  <w:u w:val="none"/>
                </w:rPr>
                <w:t>717/2014</w:t>
              </w:r>
            </w:hyperlink>
            <w:r w:rsidRPr="00476794">
              <w:rPr>
                <w:rStyle w:val="Hyperlink"/>
                <w:color w:val="auto"/>
                <w:u w:val="none"/>
              </w:rPr>
              <w:t>;</w:t>
            </w:r>
          </w:p>
          <w:p w:rsidR="00391449" w:rsidRPr="007D6273" w:rsidRDefault="007E5A24" w:rsidP="00A27A0C">
            <w:pPr>
              <w:pStyle w:val="naiskr"/>
              <w:numPr>
                <w:ilvl w:val="2"/>
                <w:numId w:val="27"/>
              </w:numPr>
              <w:tabs>
                <w:tab w:val="left" w:pos="566"/>
              </w:tabs>
              <w:spacing w:before="0" w:beforeAutospacing="0" w:after="0" w:afterAutospacing="0" w:line="276" w:lineRule="auto"/>
              <w:ind w:left="67" w:firstLine="74"/>
              <w:jc w:val="both"/>
              <w:rPr>
                <w:lang w:eastAsia="en-US"/>
              </w:rPr>
            </w:pPr>
            <w:r w:rsidRPr="00476794">
              <w:t>Komisijas regula Nr.</w:t>
            </w:r>
            <w:hyperlink r:id="rId30" w:tgtFrame="_blank" w:history="1">
              <w:r w:rsidRPr="00476794">
                <w:rPr>
                  <w:rStyle w:val="Hyperlink"/>
                  <w:color w:val="auto"/>
                  <w:u w:val="none"/>
                </w:rPr>
                <w:t>1408/2013</w:t>
              </w:r>
            </w:hyperlink>
            <w:r w:rsidRPr="00476794">
              <w:t>.</w:t>
            </w:r>
          </w:p>
        </w:tc>
      </w:tr>
      <w:tr w:rsidR="00391449" w:rsidRPr="007D6273"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A</w:t>
            </w:r>
          </w:p>
        </w:tc>
        <w:tc>
          <w:tcPr>
            <w:tcW w:w="2517"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B</w:t>
            </w:r>
          </w:p>
        </w:tc>
        <w:tc>
          <w:tcPr>
            <w:tcW w:w="1843"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C</w:t>
            </w:r>
          </w:p>
        </w:tc>
        <w:tc>
          <w:tcPr>
            <w:tcW w:w="2409"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D</w:t>
            </w:r>
          </w:p>
        </w:tc>
      </w:tr>
      <w:tr w:rsidR="00391449" w:rsidRPr="007D6273" w:rsidTr="00153B99">
        <w:tc>
          <w:tcPr>
            <w:tcW w:w="2411"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rPr>
                <w:lang w:eastAsia="en-US"/>
              </w:rPr>
            </w:pPr>
            <w:r w:rsidRPr="007D6273">
              <w:t xml:space="preserve">Attiecīgā ES tiesību akta panta numurs (uzskaitot katru tiesību akta </w:t>
            </w:r>
            <w:r w:rsidRPr="007D6273">
              <w:br/>
              <w:t>vienību – pantu, daļu, punktu, apakšpunktu)</w:t>
            </w:r>
          </w:p>
        </w:tc>
        <w:tc>
          <w:tcPr>
            <w:tcW w:w="2517"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rPr>
                <w:lang w:eastAsia="en-US"/>
              </w:rPr>
            </w:pPr>
            <w:r w:rsidRPr="007D6273">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pPr>
            <w:r w:rsidRPr="007D6273">
              <w:t>Informācija par to, vai šīs tabulas A ailē minētās ES tiesību akta vienības tiek pārņemtas vai ieviestas pilnībā vai daļēji.</w:t>
            </w:r>
          </w:p>
          <w:p w:rsidR="00391449" w:rsidRPr="007D6273" w:rsidRDefault="00391449" w:rsidP="00B37409">
            <w:pPr>
              <w:jc w:val="both"/>
            </w:pPr>
            <w:r w:rsidRPr="007D6273">
              <w:t xml:space="preserve">Ja attiecīgā ES tiesību akta vienība tiek pārņemta vai ieviesta daļēji, – sniedz attiecīgu skaidrojumu, kā arī precīzi norāda, kad un kādā veidā ES tiesību akta </w:t>
            </w:r>
            <w:r w:rsidRPr="007D6273">
              <w:lastRenderedPageBreak/>
              <w:t>vienība tiks pārņemta vai ieviesta pilnībā.</w:t>
            </w:r>
          </w:p>
          <w:p w:rsidR="00391449" w:rsidRPr="007D6273" w:rsidRDefault="00391449" w:rsidP="00B37409">
            <w:pPr>
              <w:jc w:val="both"/>
              <w:rPr>
                <w:lang w:eastAsia="en-US"/>
              </w:rPr>
            </w:pPr>
            <w:r w:rsidRPr="007D6273">
              <w:t>Norāda institūciju, kas ir atbildīga par šo saistību izpildi pilnībā</w:t>
            </w:r>
          </w:p>
        </w:tc>
        <w:tc>
          <w:tcPr>
            <w:tcW w:w="2409"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37409">
            <w:pPr>
              <w:jc w:val="both"/>
            </w:pPr>
            <w:r w:rsidRPr="007D6273">
              <w:lastRenderedPageBreak/>
              <w:t>Informācija par to, vai šīs tabulas B ailē minētās projekta vienības paredz stingrākas prasības nekā šīs tabulas A ailē minētās ES tiesību akta vienības.</w:t>
            </w:r>
          </w:p>
          <w:p w:rsidR="00391449" w:rsidRPr="007D6273" w:rsidRDefault="00391449" w:rsidP="00B37409">
            <w:pPr>
              <w:jc w:val="both"/>
            </w:pPr>
            <w:r w:rsidRPr="007D6273">
              <w:t>Ja projekts satur stingrākas prasības nekā attiecīgais ES tiesību akts, – norāda pamatojumu un samērīgumu.</w:t>
            </w:r>
          </w:p>
          <w:p w:rsidR="00391449" w:rsidRPr="007D6273" w:rsidRDefault="00391449" w:rsidP="00B37409">
            <w:pPr>
              <w:jc w:val="both"/>
              <w:rPr>
                <w:lang w:eastAsia="en-US"/>
              </w:rPr>
            </w:pPr>
            <w:r w:rsidRPr="007D6273">
              <w:t xml:space="preserve">Norāda iespējamās alternatīvas (t.sk. alternatīvas, kas neparedz tiesiskā regulējuma izstrādi) – kādos gadījumos būtu </w:t>
            </w:r>
            <w:r w:rsidRPr="007D6273">
              <w:lastRenderedPageBreak/>
              <w:t>iespējams izvairīties no stingrāku prasību noteikšanas, nekā paredzēts attiecīgajos ES tiesību aktos</w:t>
            </w:r>
          </w:p>
        </w:tc>
      </w:tr>
      <w:tr w:rsidR="005272F6" w:rsidRPr="007D6273" w:rsidTr="00153B99">
        <w:tc>
          <w:tcPr>
            <w:tcW w:w="2411" w:type="dxa"/>
            <w:tcBorders>
              <w:top w:val="single" w:sz="4" w:space="0" w:color="auto"/>
              <w:left w:val="single" w:sz="4" w:space="0" w:color="auto"/>
              <w:bottom w:val="single" w:sz="4" w:space="0" w:color="auto"/>
              <w:right w:val="single" w:sz="4" w:space="0" w:color="auto"/>
            </w:tcBorders>
            <w:hideMark/>
          </w:tcPr>
          <w:p w:rsidR="005272F6" w:rsidRPr="00721CD2" w:rsidRDefault="005272F6" w:rsidP="006C49C8">
            <w:pPr>
              <w:jc w:val="both"/>
              <w:rPr>
                <w:lang w:eastAsia="en-US"/>
              </w:rPr>
            </w:pPr>
            <w:r w:rsidRPr="00721CD2">
              <w:lastRenderedPageBreak/>
              <w:t xml:space="preserve">Komisijas regulas Nr.651/2014 </w:t>
            </w:r>
            <w:r w:rsidR="00E839C9" w:rsidRPr="00721CD2">
              <w:t>1.panta 2.punkta c un d apakšpunkts, 3., 4.punkta a apakšpunkts un 5.punkts</w:t>
            </w:r>
            <w:r w:rsidRPr="00721CD2">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5272F6" w:rsidRPr="00721CD2" w:rsidRDefault="005272F6" w:rsidP="003A7E06">
            <w:pPr>
              <w:jc w:val="both"/>
              <w:rPr>
                <w:iCs/>
                <w:lang w:eastAsia="en-US"/>
              </w:rPr>
            </w:pPr>
            <w:r w:rsidRPr="00721CD2">
              <w:t xml:space="preserve">MK noteikumu projekta </w:t>
            </w:r>
            <w:r w:rsidR="003A7E06" w:rsidRPr="00721CD2">
              <w:t>60</w:t>
            </w:r>
            <w:r w:rsidRPr="00721CD2">
              <w:t xml:space="preserve">.1.1., </w:t>
            </w:r>
            <w:r w:rsidR="003A7E06" w:rsidRPr="00721CD2">
              <w:t>60</w:t>
            </w:r>
            <w:r w:rsidRPr="00721CD2">
              <w:t xml:space="preserve">.1.2., </w:t>
            </w:r>
            <w:r w:rsidR="003A7E06" w:rsidRPr="00721CD2">
              <w:t>60</w:t>
            </w:r>
            <w:r w:rsidRPr="00721CD2">
              <w:t xml:space="preserve">.1.3.un </w:t>
            </w:r>
            <w:r w:rsidR="003A7E06" w:rsidRPr="00721CD2">
              <w:t>60</w:t>
            </w:r>
            <w:r w:rsidRPr="00721CD2">
              <w:t>.1.4.apakšpunkts</w:t>
            </w:r>
          </w:p>
        </w:tc>
        <w:tc>
          <w:tcPr>
            <w:tcW w:w="1843" w:type="dxa"/>
            <w:tcBorders>
              <w:top w:val="single" w:sz="4" w:space="0" w:color="auto"/>
              <w:left w:val="single" w:sz="4" w:space="0" w:color="auto"/>
              <w:bottom w:val="single" w:sz="4" w:space="0" w:color="auto"/>
              <w:right w:val="single" w:sz="4" w:space="0" w:color="auto"/>
            </w:tcBorders>
            <w:hideMark/>
          </w:tcPr>
          <w:p w:rsidR="005272F6" w:rsidRPr="00721CD2" w:rsidRDefault="005272F6" w:rsidP="006C49C8">
            <w:pPr>
              <w:jc w:val="center"/>
              <w:rPr>
                <w:iCs/>
                <w:lang w:eastAsia="en-US"/>
              </w:rPr>
            </w:pPr>
            <w:r w:rsidRPr="00721CD2">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hideMark/>
          </w:tcPr>
          <w:p w:rsidR="005272F6" w:rsidRPr="00721CD2" w:rsidRDefault="005272F6" w:rsidP="006C49C8">
            <w:pPr>
              <w:jc w:val="center"/>
              <w:rPr>
                <w:iCs/>
              </w:rPr>
            </w:pPr>
            <w:r w:rsidRPr="00721CD2">
              <w:rPr>
                <w:iCs/>
              </w:rPr>
              <w:t>Neparedz</w:t>
            </w:r>
            <w:r w:rsidRPr="00721CD2" w:rsidDel="00090613">
              <w:rPr>
                <w:iCs/>
              </w:rPr>
              <w:t xml:space="preserve"> </w:t>
            </w:r>
            <w:r w:rsidRPr="00721CD2">
              <w:rPr>
                <w:iCs/>
              </w:rPr>
              <w:t>stingrākas prasības</w:t>
            </w:r>
          </w:p>
        </w:tc>
      </w:tr>
      <w:tr w:rsidR="00E71B37" w:rsidRPr="007D6273" w:rsidTr="00153B99">
        <w:tc>
          <w:tcPr>
            <w:tcW w:w="2411" w:type="dxa"/>
            <w:tcBorders>
              <w:top w:val="single" w:sz="4" w:space="0" w:color="auto"/>
              <w:left w:val="single" w:sz="4" w:space="0" w:color="auto"/>
              <w:bottom w:val="single" w:sz="4" w:space="0" w:color="auto"/>
              <w:right w:val="single" w:sz="4" w:space="0" w:color="auto"/>
            </w:tcBorders>
          </w:tcPr>
          <w:p w:rsidR="00E71B37" w:rsidRPr="00721CD2" w:rsidRDefault="00E71B37" w:rsidP="00047956">
            <w:pPr>
              <w:jc w:val="both"/>
            </w:pPr>
            <w:r w:rsidRPr="00721CD2">
              <w:t xml:space="preserve">Komisijas regulas Nr.651/2014 2.panta </w:t>
            </w:r>
            <w:r w:rsidR="00047956" w:rsidRPr="00721CD2">
              <w:t>18</w:t>
            </w:r>
            <w:r w:rsidRPr="00721CD2">
              <w:t>.punkts</w:t>
            </w:r>
          </w:p>
        </w:tc>
        <w:tc>
          <w:tcPr>
            <w:tcW w:w="2517" w:type="dxa"/>
            <w:tcBorders>
              <w:top w:val="single" w:sz="4" w:space="0" w:color="auto"/>
              <w:left w:val="single" w:sz="4" w:space="0" w:color="auto"/>
              <w:bottom w:val="single" w:sz="4" w:space="0" w:color="auto"/>
              <w:right w:val="single" w:sz="4" w:space="0" w:color="auto"/>
            </w:tcBorders>
          </w:tcPr>
          <w:p w:rsidR="00E71B37" w:rsidRPr="00721CD2" w:rsidRDefault="00E71B37" w:rsidP="00047956">
            <w:pPr>
              <w:jc w:val="both"/>
            </w:pPr>
            <w:r w:rsidRPr="00721CD2">
              <w:t xml:space="preserve">MK noteikumu projekta </w:t>
            </w:r>
            <w:r w:rsidR="00047956" w:rsidRPr="00721CD2">
              <w:t>37</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E71B37" w:rsidRPr="00721CD2" w:rsidRDefault="00E71B37"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E71B37" w:rsidRPr="00721CD2" w:rsidRDefault="00E71B37" w:rsidP="00BC0DFF">
            <w:pPr>
              <w:jc w:val="center"/>
              <w:rPr>
                <w:iCs/>
              </w:rPr>
            </w:pPr>
            <w:r w:rsidRPr="00721CD2">
              <w:rPr>
                <w:iCs/>
              </w:rPr>
              <w:t>Neparedz</w:t>
            </w:r>
            <w:r w:rsidRPr="00721CD2" w:rsidDel="00090613">
              <w:rPr>
                <w:iCs/>
              </w:rPr>
              <w:t xml:space="preserve"> </w:t>
            </w:r>
            <w:r w:rsidRPr="00721CD2">
              <w:rPr>
                <w:iCs/>
              </w:rPr>
              <w:t>stingrākas prasības</w:t>
            </w:r>
          </w:p>
        </w:tc>
      </w:tr>
      <w:tr w:rsidR="00D91F40" w:rsidRPr="007D6273" w:rsidTr="00153B99">
        <w:tc>
          <w:tcPr>
            <w:tcW w:w="2411" w:type="dxa"/>
            <w:tcBorders>
              <w:top w:val="single" w:sz="4" w:space="0" w:color="auto"/>
              <w:left w:val="single" w:sz="4" w:space="0" w:color="auto"/>
              <w:bottom w:val="single" w:sz="4" w:space="0" w:color="auto"/>
              <w:right w:val="single" w:sz="4" w:space="0" w:color="auto"/>
            </w:tcBorders>
          </w:tcPr>
          <w:p w:rsidR="00D91F40" w:rsidRPr="00721CD2" w:rsidRDefault="00D91F40" w:rsidP="00E47D51">
            <w:pPr>
              <w:jc w:val="both"/>
            </w:pPr>
            <w:r w:rsidRPr="00721CD2">
              <w:t>Komisijas regulas Nr.651/2014 2.panta 29.un 49.apakšpunkts</w:t>
            </w:r>
          </w:p>
        </w:tc>
        <w:tc>
          <w:tcPr>
            <w:tcW w:w="2517" w:type="dxa"/>
            <w:tcBorders>
              <w:top w:val="single" w:sz="4" w:space="0" w:color="auto"/>
              <w:left w:val="single" w:sz="4" w:space="0" w:color="auto"/>
              <w:bottom w:val="single" w:sz="4" w:space="0" w:color="auto"/>
              <w:right w:val="single" w:sz="4" w:space="0" w:color="auto"/>
            </w:tcBorders>
          </w:tcPr>
          <w:p w:rsidR="00D91F40" w:rsidRPr="00721CD2" w:rsidRDefault="00D91F40" w:rsidP="00E47D51">
            <w:pPr>
              <w:jc w:val="both"/>
            </w:pPr>
            <w:r w:rsidRPr="00721CD2">
              <w:t>MK noteikumu projekta 51.punkts</w:t>
            </w:r>
          </w:p>
        </w:tc>
        <w:tc>
          <w:tcPr>
            <w:tcW w:w="1843"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Neparedz</w:t>
            </w:r>
            <w:r w:rsidRPr="00721CD2" w:rsidDel="00090613">
              <w:rPr>
                <w:iCs/>
              </w:rPr>
              <w:t xml:space="preserve"> </w:t>
            </w:r>
            <w:r w:rsidRPr="00721CD2">
              <w:rPr>
                <w:iCs/>
              </w:rPr>
              <w:t>stingrākas prasības</w:t>
            </w:r>
          </w:p>
        </w:tc>
      </w:tr>
      <w:tr w:rsidR="00D91F40" w:rsidRPr="007D6273" w:rsidTr="00153B99">
        <w:tc>
          <w:tcPr>
            <w:tcW w:w="2411" w:type="dxa"/>
            <w:tcBorders>
              <w:top w:val="single" w:sz="4" w:space="0" w:color="auto"/>
              <w:left w:val="single" w:sz="4" w:space="0" w:color="auto"/>
              <w:bottom w:val="single" w:sz="4" w:space="0" w:color="auto"/>
              <w:right w:val="single" w:sz="4" w:space="0" w:color="auto"/>
            </w:tcBorders>
          </w:tcPr>
          <w:p w:rsidR="00D91F40" w:rsidRPr="00721CD2" w:rsidRDefault="00D91F40" w:rsidP="00047956">
            <w:pPr>
              <w:jc w:val="both"/>
            </w:pPr>
            <w:r w:rsidRPr="00721CD2">
              <w:t>Komisijas regulas Nr.651/2014</w:t>
            </w:r>
            <w:proofErr w:type="gramStart"/>
            <w:r w:rsidRPr="00721CD2">
              <w:t xml:space="preserve">  </w:t>
            </w:r>
            <w:proofErr w:type="gramEnd"/>
            <w:r w:rsidR="00047956" w:rsidRPr="00721CD2">
              <w:t>8</w:t>
            </w:r>
            <w:r w:rsidRPr="00721CD2">
              <w:t>.pants</w:t>
            </w:r>
          </w:p>
        </w:tc>
        <w:tc>
          <w:tcPr>
            <w:tcW w:w="2517" w:type="dxa"/>
            <w:tcBorders>
              <w:top w:val="single" w:sz="4" w:space="0" w:color="auto"/>
              <w:left w:val="single" w:sz="4" w:space="0" w:color="auto"/>
              <w:bottom w:val="single" w:sz="4" w:space="0" w:color="auto"/>
              <w:right w:val="single" w:sz="4" w:space="0" w:color="auto"/>
            </w:tcBorders>
          </w:tcPr>
          <w:p w:rsidR="00D91F40" w:rsidRPr="00721CD2" w:rsidRDefault="00D91F40" w:rsidP="003A7E06">
            <w:pPr>
              <w:jc w:val="both"/>
            </w:pPr>
            <w:r w:rsidRPr="00721CD2">
              <w:t xml:space="preserve">MK noteikumu projekta </w:t>
            </w:r>
            <w:r w:rsidR="003A7E06" w:rsidRPr="00721CD2">
              <w:t>62</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Neparedz</w:t>
            </w:r>
            <w:r w:rsidRPr="00721CD2" w:rsidDel="00090613">
              <w:rPr>
                <w:iCs/>
              </w:rPr>
              <w:t xml:space="preserve"> </w:t>
            </w:r>
            <w:r w:rsidRPr="00721CD2">
              <w:rPr>
                <w:iCs/>
              </w:rPr>
              <w:t>stingrākas prasības</w:t>
            </w:r>
          </w:p>
        </w:tc>
      </w:tr>
      <w:tr w:rsidR="00D91F40" w:rsidRPr="007D6273" w:rsidTr="00153B99">
        <w:tc>
          <w:tcPr>
            <w:tcW w:w="2411" w:type="dxa"/>
            <w:tcBorders>
              <w:top w:val="single" w:sz="4" w:space="0" w:color="auto"/>
              <w:left w:val="single" w:sz="4" w:space="0" w:color="auto"/>
              <w:bottom w:val="single" w:sz="4" w:space="0" w:color="auto"/>
              <w:right w:val="single" w:sz="4" w:space="0" w:color="auto"/>
            </w:tcBorders>
          </w:tcPr>
          <w:p w:rsidR="00D91F40" w:rsidRPr="00721CD2" w:rsidRDefault="00D91F40" w:rsidP="00E71B37">
            <w:pPr>
              <w:jc w:val="both"/>
            </w:pPr>
            <w:r w:rsidRPr="00721CD2">
              <w:t xml:space="preserve">Komisijas regulas Nr.651/2014 4.panta 1.punkta x un </w:t>
            </w:r>
            <w:proofErr w:type="spellStart"/>
            <w:r w:rsidRPr="00721CD2">
              <w:t>cc</w:t>
            </w:r>
            <w:proofErr w:type="spellEnd"/>
            <w:r w:rsidRPr="00721CD2">
              <w:t xml:space="preserve"> apakšpunkts</w:t>
            </w:r>
          </w:p>
        </w:tc>
        <w:tc>
          <w:tcPr>
            <w:tcW w:w="2517" w:type="dxa"/>
            <w:tcBorders>
              <w:top w:val="single" w:sz="4" w:space="0" w:color="auto"/>
              <w:left w:val="single" w:sz="4" w:space="0" w:color="auto"/>
              <w:bottom w:val="single" w:sz="4" w:space="0" w:color="auto"/>
              <w:right w:val="single" w:sz="4" w:space="0" w:color="auto"/>
            </w:tcBorders>
          </w:tcPr>
          <w:p w:rsidR="00D91F40" w:rsidRPr="00721CD2" w:rsidRDefault="00D91F40" w:rsidP="003A7E06">
            <w:pPr>
              <w:jc w:val="both"/>
            </w:pPr>
            <w:r w:rsidRPr="00721CD2">
              <w:t xml:space="preserve">MK noteikumu projekta </w:t>
            </w:r>
            <w:r w:rsidR="003A7E06" w:rsidRPr="00721CD2">
              <w:t>60</w:t>
            </w:r>
            <w:r w:rsidRPr="00721CD2">
              <w:t>.1.5.apakšpunkts</w:t>
            </w:r>
          </w:p>
        </w:tc>
        <w:tc>
          <w:tcPr>
            <w:tcW w:w="1843" w:type="dxa"/>
            <w:tcBorders>
              <w:top w:val="single" w:sz="4" w:space="0" w:color="auto"/>
              <w:left w:val="single" w:sz="4" w:space="0" w:color="auto"/>
              <w:bottom w:val="single" w:sz="4" w:space="0" w:color="auto"/>
              <w:right w:val="single" w:sz="4" w:space="0" w:color="auto"/>
            </w:tcBorders>
          </w:tcPr>
          <w:p w:rsidR="00D91F40" w:rsidRPr="00721CD2" w:rsidRDefault="00D91F40"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D91F40" w:rsidRPr="00721CD2" w:rsidRDefault="00D91F40" w:rsidP="006C49C8">
            <w:pPr>
              <w:jc w:val="center"/>
              <w:rPr>
                <w:iCs/>
              </w:rPr>
            </w:pPr>
            <w:r w:rsidRPr="00721CD2">
              <w:rPr>
                <w:iCs/>
              </w:rPr>
              <w:t>Neparedz</w:t>
            </w:r>
            <w:r w:rsidRPr="00721CD2" w:rsidDel="00090613">
              <w:rPr>
                <w:iCs/>
              </w:rPr>
              <w:t xml:space="preserve"> </w:t>
            </w:r>
            <w:r w:rsidRPr="00721CD2">
              <w:rPr>
                <w:iCs/>
              </w:rPr>
              <w:t>stingrākas prasības</w:t>
            </w:r>
          </w:p>
        </w:tc>
      </w:tr>
      <w:tr w:rsidR="00D91F40" w:rsidRPr="007D6273" w:rsidTr="00153B99">
        <w:tc>
          <w:tcPr>
            <w:tcW w:w="2411"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both"/>
            </w:pPr>
            <w:r w:rsidRPr="00721CD2">
              <w:t>Komisijas regulas Nr.651/2014 6.panta 2.punkts</w:t>
            </w:r>
          </w:p>
        </w:tc>
        <w:tc>
          <w:tcPr>
            <w:tcW w:w="2517" w:type="dxa"/>
            <w:tcBorders>
              <w:top w:val="single" w:sz="4" w:space="0" w:color="auto"/>
              <w:left w:val="single" w:sz="4" w:space="0" w:color="auto"/>
              <w:bottom w:val="single" w:sz="4" w:space="0" w:color="auto"/>
              <w:right w:val="single" w:sz="4" w:space="0" w:color="auto"/>
            </w:tcBorders>
          </w:tcPr>
          <w:p w:rsidR="00D91F40" w:rsidRPr="00721CD2" w:rsidRDefault="00D91F40" w:rsidP="003A7E06">
            <w:pPr>
              <w:jc w:val="both"/>
            </w:pPr>
            <w:r w:rsidRPr="00721CD2">
              <w:t xml:space="preserve">MK noteikumu projekta </w:t>
            </w:r>
            <w:r w:rsidR="003A7E06" w:rsidRPr="00721CD2">
              <w:t>61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Neparedz</w:t>
            </w:r>
            <w:r w:rsidRPr="00721CD2" w:rsidDel="00090613">
              <w:rPr>
                <w:iCs/>
              </w:rPr>
              <w:t xml:space="preserve"> </w:t>
            </w:r>
            <w:r w:rsidRPr="00721CD2">
              <w:rPr>
                <w:iCs/>
              </w:rPr>
              <w:t>stingrākas prasības</w:t>
            </w:r>
          </w:p>
        </w:tc>
      </w:tr>
      <w:tr w:rsidR="00D91F40" w:rsidRPr="007D6273" w:rsidTr="00153B99">
        <w:tc>
          <w:tcPr>
            <w:tcW w:w="2411"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both"/>
            </w:pPr>
            <w:r w:rsidRPr="00721CD2">
              <w:t>Komisijas regulas Nr.651/2014 9.panta 1., 2. un 4.punkts</w:t>
            </w:r>
          </w:p>
        </w:tc>
        <w:tc>
          <w:tcPr>
            <w:tcW w:w="2517" w:type="dxa"/>
            <w:tcBorders>
              <w:top w:val="single" w:sz="4" w:space="0" w:color="auto"/>
              <w:left w:val="single" w:sz="4" w:space="0" w:color="auto"/>
              <w:bottom w:val="single" w:sz="4" w:space="0" w:color="auto"/>
              <w:right w:val="single" w:sz="4" w:space="0" w:color="auto"/>
            </w:tcBorders>
          </w:tcPr>
          <w:p w:rsidR="00D91F40" w:rsidRPr="00721CD2" w:rsidRDefault="00D91F40" w:rsidP="003A7E06">
            <w:pPr>
              <w:jc w:val="both"/>
            </w:pPr>
            <w:r w:rsidRPr="00721CD2">
              <w:t xml:space="preserve">MK noteikumu projekta </w:t>
            </w:r>
            <w:r w:rsidR="003A7E06" w:rsidRPr="00721CD2">
              <w:t>71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D91F40" w:rsidRPr="00721CD2" w:rsidRDefault="00D91F40" w:rsidP="00BC0DFF">
            <w:pPr>
              <w:jc w:val="center"/>
              <w:rPr>
                <w:iCs/>
              </w:rPr>
            </w:pPr>
            <w:r w:rsidRPr="00721CD2">
              <w:rPr>
                <w:iCs/>
              </w:rPr>
              <w:t>Neparedz</w:t>
            </w:r>
            <w:r w:rsidRPr="00721CD2" w:rsidDel="00090613">
              <w:rPr>
                <w:iCs/>
              </w:rPr>
              <w:t xml:space="preserve"> </w:t>
            </w:r>
            <w:r w:rsidRPr="00721CD2">
              <w:rPr>
                <w:iCs/>
              </w:rPr>
              <w:t>stingrākas prasības</w:t>
            </w:r>
          </w:p>
        </w:tc>
      </w:tr>
      <w:tr w:rsidR="00961D98" w:rsidRPr="007D6273" w:rsidTr="00153B99">
        <w:tc>
          <w:tcPr>
            <w:tcW w:w="2411" w:type="dxa"/>
            <w:tcBorders>
              <w:top w:val="single" w:sz="4" w:space="0" w:color="auto"/>
              <w:left w:val="single" w:sz="4" w:space="0" w:color="auto"/>
              <w:bottom w:val="single" w:sz="4" w:space="0" w:color="auto"/>
              <w:right w:val="single" w:sz="4" w:space="0" w:color="auto"/>
            </w:tcBorders>
          </w:tcPr>
          <w:p w:rsidR="00961D98" w:rsidRPr="00721CD2" w:rsidRDefault="00961D98" w:rsidP="00BC0DFF">
            <w:pPr>
              <w:jc w:val="both"/>
            </w:pPr>
            <w:r w:rsidRPr="00721CD2">
              <w:t>Komisijas regulas Nr.651/2014</w:t>
            </w:r>
            <w:proofErr w:type="gramStart"/>
            <w:r w:rsidRPr="00721CD2">
              <w:t xml:space="preserve">  </w:t>
            </w:r>
            <w:proofErr w:type="gramEnd"/>
            <w:r w:rsidRPr="00721CD2">
              <w:t>12.pants</w:t>
            </w:r>
          </w:p>
        </w:tc>
        <w:tc>
          <w:tcPr>
            <w:tcW w:w="2517" w:type="dxa"/>
            <w:tcBorders>
              <w:top w:val="single" w:sz="4" w:space="0" w:color="auto"/>
              <w:left w:val="single" w:sz="4" w:space="0" w:color="auto"/>
              <w:bottom w:val="single" w:sz="4" w:space="0" w:color="auto"/>
              <w:right w:val="single" w:sz="4" w:space="0" w:color="auto"/>
            </w:tcBorders>
          </w:tcPr>
          <w:p w:rsidR="00961D98" w:rsidRPr="00721CD2" w:rsidRDefault="00961D98" w:rsidP="00047956">
            <w:pPr>
              <w:jc w:val="both"/>
            </w:pPr>
            <w:r w:rsidRPr="00721CD2">
              <w:t xml:space="preserve">MK noteikumu projekta </w:t>
            </w:r>
            <w:r w:rsidR="00047956" w:rsidRPr="00721CD2">
              <w:t>43</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961D98" w:rsidRPr="00721CD2" w:rsidRDefault="00961D98" w:rsidP="00BC0DFF">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961D98" w:rsidRPr="00721CD2" w:rsidRDefault="00961D98" w:rsidP="00BC0DFF">
            <w:pPr>
              <w:jc w:val="center"/>
              <w:rPr>
                <w:iCs/>
              </w:rPr>
            </w:pPr>
            <w:r w:rsidRPr="00721CD2">
              <w:rPr>
                <w:iCs/>
              </w:rPr>
              <w:t>Neparedz</w:t>
            </w:r>
            <w:r w:rsidRPr="00721CD2" w:rsidDel="00090613">
              <w:rPr>
                <w:iCs/>
              </w:rPr>
              <w:t xml:space="preserve"> </w:t>
            </w:r>
            <w:r w:rsidRPr="00721CD2">
              <w:rPr>
                <w:iCs/>
              </w:rPr>
              <w:t>stingrākas prasības</w:t>
            </w:r>
          </w:p>
        </w:tc>
      </w:tr>
      <w:tr w:rsidR="00961D98" w:rsidRPr="007D6273" w:rsidTr="00153B99">
        <w:tc>
          <w:tcPr>
            <w:tcW w:w="2411" w:type="dxa"/>
            <w:tcBorders>
              <w:top w:val="single" w:sz="4" w:space="0" w:color="auto"/>
              <w:left w:val="single" w:sz="4" w:space="0" w:color="auto"/>
              <w:bottom w:val="single" w:sz="4" w:space="0" w:color="auto"/>
              <w:right w:val="single" w:sz="4" w:space="0" w:color="auto"/>
            </w:tcBorders>
          </w:tcPr>
          <w:p w:rsidR="00961D98" w:rsidRPr="00721CD2" w:rsidRDefault="00961D98" w:rsidP="00047956">
            <w:pPr>
              <w:jc w:val="both"/>
            </w:pPr>
            <w:r w:rsidRPr="00721CD2">
              <w:t>Komisijas regulas Nr.651/2014 13.</w:t>
            </w:r>
            <w:r w:rsidR="00047956" w:rsidRPr="00721CD2">
              <w:t>panta a un d apakšpunkts</w:t>
            </w:r>
          </w:p>
        </w:tc>
        <w:tc>
          <w:tcPr>
            <w:tcW w:w="2517" w:type="dxa"/>
            <w:tcBorders>
              <w:top w:val="single" w:sz="4" w:space="0" w:color="auto"/>
              <w:left w:val="single" w:sz="4" w:space="0" w:color="auto"/>
              <w:bottom w:val="single" w:sz="4" w:space="0" w:color="auto"/>
              <w:right w:val="single" w:sz="4" w:space="0" w:color="auto"/>
            </w:tcBorders>
          </w:tcPr>
          <w:p w:rsidR="00961D98" w:rsidRPr="00721CD2" w:rsidRDefault="00961D98" w:rsidP="003A7E06">
            <w:pPr>
              <w:jc w:val="both"/>
            </w:pPr>
            <w:r w:rsidRPr="00721CD2">
              <w:t xml:space="preserve">MK noteikumu projekta </w:t>
            </w:r>
            <w:r w:rsidR="003A7E06" w:rsidRPr="00721CD2">
              <w:t>60</w:t>
            </w:r>
            <w:r w:rsidRPr="00721CD2">
              <w:t>.1.6.apakšpunkts</w:t>
            </w:r>
          </w:p>
        </w:tc>
        <w:tc>
          <w:tcPr>
            <w:tcW w:w="1843" w:type="dxa"/>
            <w:tcBorders>
              <w:top w:val="single" w:sz="4" w:space="0" w:color="auto"/>
              <w:left w:val="single" w:sz="4" w:space="0" w:color="auto"/>
              <w:bottom w:val="single" w:sz="4" w:space="0" w:color="auto"/>
              <w:right w:val="single" w:sz="4" w:space="0" w:color="auto"/>
            </w:tcBorders>
          </w:tcPr>
          <w:p w:rsidR="00961D98" w:rsidRPr="00721CD2" w:rsidRDefault="00961D98"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961D98" w:rsidRPr="00721CD2" w:rsidRDefault="00961D98" w:rsidP="006C49C8">
            <w:pPr>
              <w:jc w:val="center"/>
              <w:rPr>
                <w:iCs/>
              </w:rPr>
            </w:pPr>
            <w:r w:rsidRPr="00721CD2">
              <w:rPr>
                <w:iCs/>
              </w:rPr>
              <w:t>Neparedz</w:t>
            </w:r>
            <w:r w:rsidRPr="00721CD2" w:rsidDel="00090613">
              <w:rPr>
                <w:iCs/>
              </w:rPr>
              <w:t xml:space="preserve"> </w:t>
            </w:r>
            <w:r w:rsidRPr="00721CD2">
              <w:rPr>
                <w:iCs/>
              </w:rPr>
              <w:t>stingrākas prasības</w:t>
            </w:r>
          </w:p>
        </w:tc>
      </w:tr>
      <w:tr w:rsidR="00961D98" w:rsidRPr="007D6273" w:rsidTr="00153B99">
        <w:tc>
          <w:tcPr>
            <w:tcW w:w="2411" w:type="dxa"/>
            <w:tcBorders>
              <w:top w:val="single" w:sz="4" w:space="0" w:color="auto"/>
              <w:left w:val="single" w:sz="4" w:space="0" w:color="auto"/>
              <w:bottom w:val="single" w:sz="4" w:space="0" w:color="auto"/>
              <w:right w:val="single" w:sz="4" w:space="0" w:color="auto"/>
            </w:tcBorders>
          </w:tcPr>
          <w:p w:rsidR="00961D98" w:rsidRPr="00721CD2" w:rsidRDefault="00961D98" w:rsidP="006C49C8">
            <w:pPr>
              <w:jc w:val="both"/>
            </w:pPr>
            <w:r w:rsidRPr="00721CD2">
              <w:t>Komisijas regulas Nr.651/2014</w:t>
            </w:r>
            <w:proofErr w:type="gramStart"/>
            <w:r w:rsidRPr="00721CD2">
              <w:t xml:space="preserve">  </w:t>
            </w:r>
            <w:proofErr w:type="gramEnd"/>
            <w:r w:rsidRPr="00721CD2">
              <w:t>14.pants</w:t>
            </w:r>
          </w:p>
        </w:tc>
        <w:tc>
          <w:tcPr>
            <w:tcW w:w="2517" w:type="dxa"/>
            <w:tcBorders>
              <w:top w:val="single" w:sz="4" w:space="0" w:color="auto"/>
              <w:left w:val="single" w:sz="4" w:space="0" w:color="auto"/>
              <w:bottom w:val="single" w:sz="4" w:space="0" w:color="auto"/>
              <w:right w:val="single" w:sz="4" w:space="0" w:color="auto"/>
            </w:tcBorders>
          </w:tcPr>
          <w:p w:rsidR="00961D98" w:rsidRPr="00721CD2" w:rsidRDefault="00961D98" w:rsidP="00536CC7">
            <w:pPr>
              <w:jc w:val="both"/>
            </w:pPr>
            <w:r w:rsidRPr="00721CD2">
              <w:t>MK noteikumu projekta</w:t>
            </w:r>
            <w:r w:rsidR="00CF6C1A" w:rsidRPr="00721CD2">
              <w:t xml:space="preserve"> </w:t>
            </w:r>
            <w:r w:rsidRPr="00721CD2">
              <w:t>19.3.1, 19.5.</w:t>
            </w:r>
            <w:r w:rsidR="00047956" w:rsidRPr="00721CD2">
              <w:t xml:space="preserve">, </w:t>
            </w:r>
            <w:r w:rsidR="00536CC7" w:rsidRPr="00721CD2">
              <w:t>70</w:t>
            </w:r>
            <w:r w:rsidR="00047956" w:rsidRPr="00721CD2">
              <w:t>.1.</w:t>
            </w:r>
            <w:r w:rsidR="00CF6C1A" w:rsidRPr="00721CD2">
              <w:t xml:space="preserve"> </w:t>
            </w:r>
            <w:r w:rsidRPr="00721CD2">
              <w:t xml:space="preserve">apakšpunkts un </w:t>
            </w:r>
            <w:r w:rsidR="00047956" w:rsidRPr="00721CD2">
              <w:t>21</w:t>
            </w:r>
            <w:r w:rsidRPr="00721CD2">
              <w:t>. un 42.punkts</w:t>
            </w:r>
          </w:p>
        </w:tc>
        <w:tc>
          <w:tcPr>
            <w:tcW w:w="1843" w:type="dxa"/>
            <w:tcBorders>
              <w:top w:val="single" w:sz="4" w:space="0" w:color="auto"/>
              <w:left w:val="single" w:sz="4" w:space="0" w:color="auto"/>
              <w:bottom w:val="single" w:sz="4" w:space="0" w:color="auto"/>
              <w:right w:val="single" w:sz="4" w:space="0" w:color="auto"/>
            </w:tcBorders>
          </w:tcPr>
          <w:p w:rsidR="00961D98" w:rsidRPr="00721CD2" w:rsidRDefault="00961D98" w:rsidP="006C49C8">
            <w:pPr>
              <w:jc w:val="center"/>
              <w:rPr>
                <w:iCs/>
              </w:rPr>
            </w:pPr>
            <w:r w:rsidRPr="00721CD2">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tcPr>
          <w:p w:rsidR="00961D98" w:rsidRPr="00721CD2" w:rsidRDefault="00961D98" w:rsidP="006C49C8">
            <w:pPr>
              <w:jc w:val="center"/>
              <w:rPr>
                <w:iCs/>
              </w:rPr>
            </w:pPr>
            <w:r w:rsidRPr="00721CD2">
              <w:rPr>
                <w:iCs/>
              </w:rPr>
              <w:t>Neparedz</w:t>
            </w:r>
            <w:r w:rsidRPr="00721CD2" w:rsidDel="00090613">
              <w:rPr>
                <w:iCs/>
              </w:rPr>
              <w:t xml:space="preserve"> </w:t>
            </w:r>
            <w:r w:rsidRPr="00721CD2">
              <w:rPr>
                <w:iCs/>
              </w:rPr>
              <w:t>stingrākas prasības</w:t>
            </w:r>
          </w:p>
        </w:tc>
      </w:tr>
      <w:tr w:rsidR="00047956" w:rsidRPr="007D6273" w:rsidTr="00153B99">
        <w:tc>
          <w:tcPr>
            <w:tcW w:w="2411" w:type="dxa"/>
            <w:tcBorders>
              <w:top w:val="single" w:sz="4" w:space="0" w:color="auto"/>
              <w:left w:val="single" w:sz="4" w:space="0" w:color="auto"/>
              <w:bottom w:val="single" w:sz="4" w:space="0" w:color="auto"/>
              <w:right w:val="single" w:sz="4" w:space="0" w:color="auto"/>
            </w:tcBorders>
          </w:tcPr>
          <w:p w:rsidR="00047956" w:rsidRPr="00721CD2" w:rsidRDefault="00047956" w:rsidP="006C49C8">
            <w:pPr>
              <w:jc w:val="both"/>
            </w:pPr>
            <w:r w:rsidRPr="00721CD2">
              <w:t>Komisijas regulas Nr.651/2014 14.panta 13.punkts</w:t>
            </w:r>
          </w:p>
        </w:tc>
        <w:tc>
          <w:tcPr>
            <w:tcW w:w="2517" w:type="dxa"/>
            <w:tcBorders>
              <w:top w:val="single" w:sz="4" w:space="0" w:color="auto"/>
              <w:left w:val="single" w:sz="4" w:space="0" w:color="auto"/>
              <w:bottom w:val="single" w:sz="4" w:space="0" w:color="auto"/>
              <w:right w:val="single" w:sz="4" w:space="0" w:color="auto"/>
            </w:tcBorders>
          </w:tcPr>
          <w:p w:rsidR="00047956" w:rsidRPr="00721CD2" w:rsidRDefault="00047956" w:rsidP="00536CC7">
            <w:pPr>
              <w:jc w:val="both"/>
            </w:pPr>
            <w:r w:rsidRPr="00721CD2">
              <w:t xml:space="preserve">MK noteikumu projekta </w:t>
            </w:r>
            <w:r w:rsidR="00536CC7" w:rsidRPr="00721CD2">
              <w:t>60</w:t>
            </w:r>
            <w:r w:rsidRPr="00721CD2">
              <w:t>.1.7.apakšpunkts</w:t>
            </w:r>
          </w:p>
        </w:tc>
        <w:tc>
          <w:tcPr>
            <w:tcW w:w="1843" w:type="dxa"/>
            <w:tcBorders>
              <w:top w:val="single" w:sz="4" w:space="0" w:color="auto"/>
              <w:left w:val="single" w:sz="4" w:space="0" w:color="auto"/>
              <w:bottom w:val="single" w:sz="4" w:space="0" w:color="auto"/>
              <w:right w:val="single" w:sz="4" w:space="0" w:color="auto"/>
            </w:tcBorders>
          </w:tcPr>
          <w:p w:rsidR="00047956" w:rsidRPr="00721CD2" w:rsidRDefault="00047956"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047956" w:rsidRPr="00721CD2" w:rsidRDefault="00047956" w:rsidP="006C49C8">
            <w:pPr>
              <w:jc w:val="center"/>
              <w:rPr>
                <w:iCs/>
              </w:rPr>
            </w:pPr>
            <w:r w:rsidRPr="00721CD2">
              <w:rPr>
                <w:iCs/>
              </w:rPr>
              <w:t xml:space="preserve">Neparedz stingrākas prasības </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t>Komisijas regulas Nr.651/2014 48.pants</w:t>
            </w:r>
          </w:p>
          <w:p w:rsidR="00CF6C1A" w:rsidRPr="00721CD2" w:rsidRDefault="00CF6C1A" w:rsidP="006C49C8">
            <w:pPr>
              <w:jc w:val="both"/>
            </w:pP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B53FCC" w:rsidP="00536CC7">
            <w:pPr>
              <w:jc w:val="both"/>
            </w:pPr>
            <w:r>
              <w:t xml:space="preserve">MK noteikumu projekta 19.2.1. </w:t>
            </w:r>
            <w:r w:rsidR="00CF6C1A" w:rsidRPr="00721CD2">
              <w:t xml:space="preserve">un </w:t>
            </w:r>
            <w:r w:rsidR="00536CC7" w:rsidRPr="00721CD2">
              <w:t>70</w:t>
            </w:r>
            <w:r w:rsidR="00CF6C1A" w:rsidRPr="00721CD2">
              <w:t>.2.apakšpunkts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w:t>
            </w:r>
            <w:r w:rsidR="0007318B" w:rsidRPr="00721CD2">
              <w:rPr>
                <w:iCs/>
              </w:rPr>
              <w:t>s</w:t>
            </w:r>
            <w:r w:rsidRPr="00721CD2">
              <w:rPr>
                <w:iCs/>
              </w:rPr>
              <w:t xml:space="preserve"> tiek ieviesta</w:t>
            </w:r>
            <w:r w:rsidR="0007318B" w:rsidRPr="00721CD2">
              <w:rPr>
                <w:iCs/>
              </w:rPr>
              <w:t>s</w:t>
            </w:r>
            <w:r w:rsidRPr="00721CD2">
              <w:rPr>
                <w:iCs/>
              </w:rPr>
              <w:t xml:space="preserve">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t>Komisijas regulas Nr.651/2014 56.pants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19.2.2., un </w:t>
            </w:r>
            <w:r w:rsidR="00536CC7" w:rsidRPr="00721CD2">
              <w:lastRenderedPageBreak/>
              <w:t>70</w:t>
            </w:r>
            <w:r w:rsidRPr="00721CD2">
              <w:t>.2. 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lastRenderedPageBreak/>
              <w:t>Vienība</w:t>
            </w:r>
            <w:r w:rsidR="0007318B" w:rsidRPr="00721CD2">
              <w:rPr>
                <w:iCs/>
              </w:rPr>
              <w:t>s</w:t>
            </w:r>
            <w:r w:rsidRPr="00721CD2">
              <w:rPr>
                <w:iCs/>
              </w:rPr>
              <w:t xml:space="preserve"> tiek ieviesta</w:t>
            </w:r>
            <w:r w:rsidR="0007318B" w:rsidRPr="00721CD2">
              <w:rPr>
                <w:iCs/>
              </w:rPr>
              <w:t>s</w:t>
            </w:r>
            <w:r w:rsidRPr="00721CD2">
              <w:rPr>
                <w:iCs/>
              </w:rPr>
              <w:t xml:space="preserve">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07318B" w:rsidRPr="007D6273" w:rsidTr="00153B99">
        <w:tc>
          <w:tcPr>
            <w:tcW w:w="2411"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both"/>
              <w:rPr>
                <w:lang w:eastAsia="en-US"/>
              </w:rPr>
            </w:pPr>
            <w:r w:rsidRPr="00721CD2">
              <w:lastRenderedPageBreak/>
              <w:t>Komisijas regulas Nr.651/2014 56.panta 3.punkts</w:t>
            </w:r>
          </w:p>
        </w:tc>
        <w:tc>
          <w:tcPr>
            <w:tcW w:w="2517" w:type="dxa"/>
            <w:tcBorders>
              <w:top w:val="single" w:sz="4" w:space="0" w:color="auto"/>
              <w:left w:val="single" w:sz="4" w:space="0" w:color="auto"/>
              <w:bottom w:val="single" w:sz="4" w:space="0" w:color="auto"/>
              <w:right w:val="single" w:sz="4" w:space="0" w:color="auto"/>
            </w:tcBorders>
          </w:tcPr>
          <w:p w:rsidR="0007318B" w:rsidRPr="00721CD2" w:rsidRDefault="0007318B" w:rsidP="00CF6C1A">
            <w:pPr>
              <w:jc w:val="both"/>
            </w:pPr>
            <w:r w:rsidRPr="00721CD2">
              <w:t>MK noteikumu projekta 33.punkts</w:t>
            </w:r>
          </w:p>
        </w:tc>
        <w:tc>
          <w:tcPr>
            <w:tcW w:w="1843"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center"/>
              <w:rPr>
                <w:iCs/>
              </w:rPr>
            </w:pPr>
            <w:r w:rsidRPr="00721CD2">
              <w:rPr>
                <w:iCs/>
              </w:rPr>
              <w:t>Neparedz stingrākas prasības</w:t>
            </w:r>
          </w:p>
        </w:tc>
      </w:tr>
      <w:tr w:rsidR="0007318B" w:rsidRPr="007D6273" w:rsidTr="00153B99">
        <w:tc>
          <w:tcPr>
            <w:tcW w:w="2411"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both"/>
              <w:rPr>
                <w:lang w:eastAsia="en-US"/>
              </w:rPr>
            </w:pPr>
            <w:r w:rsidRPr="00721CD2">
              <w:t>Komisijas regulas Nr.651/2014 14.panta 4.punkts, 48.panta 4.punkts un 56.panta 5.punkts</w:t>
            </w:r>
          </w:p>
        </w:tc>
        <w:tc>
          <w:tcPr>
            <w:tcW w:w="2517" w:type="dxa"/>
            <w:tcBorders>
              <w:top w:val="single" w:sz="4" w:space="0" w:color="auto"/>
              <w:left w:val="single" w:sz="4" w:space="0" w:color="auto"/>
              <w:bottom w:val="single" w:sz="4" w:space="0" w:color="auto"/>
              <w:right w:val="single" w:sz="4" w:space="0" w:color="auto"/>
            </w:tcBorders>
          </w:tcPr>
          <w:p w:rsidR="0007318B" w:rsidRPr="00721CD2" w:rsidRDefault="0007318B" w:rsidP="0007318B">
            <w:pPr>
              <w:jc w:val="both"/>
            </w:pPr>
            <w:r w:rsidRPr="00721CD2">
              <w:t>MK noteikumu projekta 52.punkts</w:t>
            </w:r>
          </w:p>
        </w:tc>
        <w:tc>
          <w:tcPr>
            <w:tcW w:w="1843"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center"/>
              <w:rPr>
                <w:iCs/>
              </w:rPr>
            </w:pPr>
            <w:r w:rsidRPr="00721CD2">
              <w:rPr>
                <w:iCs/>
              </w:rPr>
              <w:t>Neparedz stingrākas prasības</w:t>
            </w:r>
          </w:p>
        </w:tc>
      </w:tr>
      <w:tr w:rsidR="0007318B" w:rsidRPr="007D6273" w:rsidTr="00153B99">
        <w:tc>
          <w:tcPr>
            <w:tcW w:w="2411"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both"/>
              <w:rPr>
                <w:lang w:eastAsia="en-US"/>
              </w:rPr>
            </w:pPr>
            <w:r w:rsidRPr="00721CD2">
              <w:t>Komisijas regulas Nr.651/2014 8.pants</w:t>
            </w:r>
          </w:p>
        </w:tc>
        <w:tc>
          <w:tcPr>
            <w:tcW w:w="2517" w:type="dxa"/>
            <w:tcBorders>
              <w:top w:val="single" w:sz="4" w:space="0" w:color="auto"/>
              <w:left w:val="single" w:sz="4" w:space="0" w:color="auto"/>
              <w:bottom w:val="single" w:sz="4" w:space="0" w:color="auto"/>
              <w:right w:val="single" w:sz="4" w:space="0" w:color="auto"/>
            </w:tcBorders>
          </w:tcPr>
          <w:p w:rsidR="0007318B" w:rsidRPr="00721CD2" w:rsidRDefault="0007318B" w:rsidP="00536CC7">
            <w:pPr>
              <w:jc w:val="both"/>
            </w:pPr>
            <w:r w:rsidRPr="00721CD2">
              <w:t xml:space="preserve">MK noteikumu projekta </w:t>
            </w:r>
            <w:r w:rsidR="00536CC7" w:rsidRPr="00721CD2">
              <w:t>62</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07318B" w:rsidRPr="00721CD2" w:rsidRDefault="0007318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07318B" w:rsidRPr="00721CD2" w:rsidRDefault="0007318B" w:rsidP="008712F1">
            <w:pPr>
              <w:jc w:val="both"/>
              <w:rPr>
                <w:iCs/>
              </w:rPr>
            </w:pPr>
            <w:r w:rsidRPr="00721CD2">
              <w:rPr>
                <w:iCs/>
              </w:rPr>
              <w:t xml:space="preserve">Paredz stingrākas prasības, jo </w:t>
            </w:r>
            <w:r w:rsidRPr="00721CD2">
              <w:t xml:space="preserve">Komisijas regulas Nr.651/2014 </w:t>
            </w:r>
            <w:r w:rsidRPr="00721CD2">
              <w:rPr>
                <w:lang w:eastAsia="en-US"/>
              </w:rPr>
              <w:t xml:space="preserve">ietvaros piešķirto atbalstu nevar </w:t>
            </w:r>
            <w:proofErr w:type="spellStart"/>
            <w:r w:rsidRPr="00721CD2">
              <w:rPr>
                <w:lang w:eastAsia="en-US"/>
              </w:rPr>
              <w:t>kumulēt</w:t>
            </w:r>
            <w:proofErr w:type="spellEnd"/>
            <w:r w:rsidRPr="00721CD2">
              <w:rPr>
                <w:lang w:eastAsia="en-US"/>
              </w:rPr>
              <w:t xml:space="preserve"> ar citu atbalstu. Izņēmums ir atbalsts sabiedrisko pakalpojumu sniedzējiem, kuriem kumulācija tiek pieļauta, tomēr kopējais atbalsta apjoms nedrīkst pārsniegt noteiktu slieksni. Stingrākas prasības ir samērīgas, jo neietekmēs gala rezultātu. </w:t>
            </w:r>
          </w:p>
        </w:tc>
      </w:tr>
      <w:tr w:rsidR="005172AA" w:rsidRPr="007D6273" w:rsidTr="00153B99">
        <w:tc>
          <w:tcPr>
            <w:tcW w:w="2411" w:type="dxa"/>
            <w:tcBorders>
              <w:top w:val="single" w:sz="4" w:space="0" w:color="auto"/>
              <w:left w:val="single" w:sz="4" w:space="0" w:color="auto"/>
              <w:bottom w:val="single" w:sz="4" w:space="0" w:color="auto"/>
              <w:right w:val="single" w:sz="4" w:space="0" w:color="auto"/>
            </w:tcBorders>
          </w:tcPr>
          <w:p w:rsidR="005172AA" w:rsidRPr="00721CD2" w:rsidRDefault="005172AA" w:rsidP="006C49C8">
            <w:pPr>
              <w:jc w:val="both"/>
              <w:rPr>
                <w:lang w:eastAsia="en-US"/>
              </w:rPr>
            </w:pPr>
            <w:r w:rsidRPr="00721CD2">
              <w:t>Komisijas regulas Nr.651/2014 6.panta 2.punkts</w:t>
            </w:r>
          </w:p>
        </w:tc>
        <w:tc>
          <w:tcPr>
            <w:tcW w:w="2517" w:type="dxa"/>
            <w:tcBorders>
              <w:top w:val="single" w:sz="4" w:space="0" w:color="auto"/>
              <w:left w:val="single" w:sz="4" w:space="0" w:color="auto"/>
              <w:bottom w:val="single" w:sz="4" w:space="0" w:color="auto"/>
              <w:right w:val="single" w:sz="4" w:space="0" w:color="auto"/>
            </w:tcBorders>
          </w:tcPr>
          <w:p w:rsidR="005172AA" w:rsidRPr="00721CD2" w:rsidRDefault="005172AA" w:rsidP="00536CC7">
            <w:pPr>
              <w:jc w:val="both"/>
            </w:pPr>
            <w:r w:rsidRPr="00721CD2">
              <w:t xml:space="preserve">MK noteikumu projekta </w:t>
            </w:r>
            <w:r w:rsidR="00536CC7" w:rsidRPr="00721CD2">
              <w:t>68</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5172AA" w:rsidRPr="00721CD2" w:rsidRDefault="005172A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5172AA" w:rsidRPr="00721CD2" w:rsidRDefault="005172A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 xml:space="preserve">Komisijas regulas Nr.651/2014 </w:t>
            </w:r>
            <w:r w:rsidRPr="00721CD2">
              <w:rPr>
                <w:bCs/>
              </w:rPr>
              <w:t xml:space="preserve">I </w:t>
            </w:r>
            <w:r w:rsidR="0085603D" w:rsidRPr="00721CD2">
              <w:t>PIELIKUMA 2.pants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172AA">
            <w:pPr>
              <w:jc w:val="both"/>
            </w:pPr>
            <w:r w:rsidRPr="00721CD2">
              <w:t>MK noteikumu projekta 35.2. 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8731B1" w:rsidRPr="007D6273" w:rsidTr="00153B99">
        <w:tc>
          <w:tcPr>
            <w:tcW w:w="2411" w:type="dxa"/>
            <w:tcBorders>
              <w:top w:val="single" w:sz="4" w:space="0" w:color="auto"/>
              <w:left w:val="single" w:sz="4" w:space="0" w:color="auto"/>
              <w:bottom w:val="single" w:sz="4" w:space="0" w:color="auto"/>
              <w:right w:val="single" w:sz="4" w:space="0" w:color="auto"/>
            </w:tcBorders>
          </w:tcPr>
          <w:p w:rsidR="008731B1" w:rsidRPr="00721CD2" w:rsidRDefault="008731B1" w:rsidP="006C49C8">
            <w:pPr>
              <w:jc w:val="both"/>
              <w:rPr>
                <w:bCs/>
              </w:rPr>
            </w:pPr>
            <w:r w:rsidRPr="00721CD2">
              <w:t>Komisijas regulas Nr.651/2014 I PIELIKUMA 3.panta 2.daļa</w:t>
            </w:r>
          </w:p>
        </w:tc>
        <w:tc>
          <w:tcPr>
            <w:tcW w:w="2517" w:type="dxa"/>
            <w:tcBorders>
              <w:top w:val="single" w:sz="4" w:space="0" w:color="auto"/>
              <w:left w:val="single" w:sz="4" w:space="0" w:color="auto"/>
              <w:bottom w:val="single" w:sz="4" w:space="0" w:color="auto"/>
              <w:right w:val="single" w:sz="4" w:space="0" w:color="auto"/>
            </w:tcBorders>
          </w:tcPr>
          <w:p w:rsidR="008731B1" w:rsidRPr="00721CD2" w:rsidRDefault="008731B1" w:rsidP="008C1D46">
            <w:pPr>
              <w:jc w:val="both"/>
            </w:pPr>
            <w:r w:rsidRPr="00721CD2">
              <w:t xml:space="preserve">MK noteikumu projekta </w:t>
            </w:r>
            <w:r w:rsidR="008C1D46" w:rsidRPr="00721CD2">
              <w:t>9.1.1.apakš</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8731B1" w:rsidRPr="00721CD2" w:rsidRDefault="008731B1"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8731B1" w:rsidRPr="00721CD2" w:rsidRDefault="008731B1" w:rsidP="008731B1">
            <w:pPr>
              <w:jc w:val="both"/>
              <w:rPr>
                <w:iCs/>
              </w:rPr>
            </w:pPr>
            <w:r w:rsidRPr="00721CD2">
              <w:rPr>
                <w:iCs/>
              </w:rPr>
              <w:t>Paredzētas stingrākas prasības, nepieļaujot komersantā valsts vai pašvaldību daļas.</w:t>
            </w:r>
          </w:p>
          <w:p w:rsidR="008731B1" w:rsidRPr="00721CD2" w:rsidRDefault="008731B1" w:rsidP="008712F1">
            <w:pPr>
              <w:jc w:val="both"/>
              <w:rPr>
                <w:iCs/>
              </w:rPr>
            </w:pPr>
            <w:r w:rsidRPr="00721CD2">
              <w:rPr>
                <w:iCs/>
              </w:rPr>
              <w:t xml:space="preserve">Regula </w:t>
            </w:r>
            <w:r w:rsidRPr="00721CD2">
              <w:t xml:space="preserve">Nr.651/2014 </w:t>
            </w:r>
            <w:r w:rsidRPr="00721CD2">
              <w:rPr>
                <w:iCs/>
              </w:rPr>
              <w:t xml:space="preserve">pieļauj valsts vai pašvaldību daļas komersantā līdz 25%, tomēr ir neskaidra vajadzība pašvaldībām pēc īpašumtiesībām šādos komersantos, ņemot vērā pašvaldības autonomās funkcijas. Turklāt, atbalstot </w:t>
            </w:r>
            <w:r w:rsidRPr="00721CD2">
              <w:rPr>
                <w:iCs/>
              </w:rPr>
              <w:lastRenderedPageBreak/>
              <w:t>šādus komersantus, paaugstinās risks par negodīgu konkurenci, kā arī neefektīvu komercdarbību ilgtermiņā.</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bCs/>
              </w:rPr>
              <w:lastRenderedPageBreak/>
              <w:t>Eiropas Parlamenta un Padomes Regulas (ES) Nr.1893/2006 I pielikums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FC2EAB">
            <w:pPr>
              <w:jc w:val="both"/>
            </w:pPr>
            <w:r w:rsidRPr="00721CD2">
              <w:t xml:space="preserve">MK noteikumu projekta </w:t>
            </w:r>
            <w:r w:rsidR="00FC2EAB" w:rsidRPr="00721CD2">
              <w:t>28</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Eiropas Parlamenta un Padomes regulas Nr.1303/2013</w:t>
            </w:r>
            <w:r w:rsidRPr="00721CD2">
              <w:rPr>
                <w:bCs/>
              </w:rPr>
              <w:t xml:space="preserve"> 67., 68. un 69.pants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MK noteikumu projekta 18.</w:t>
            </w:r>
            <w:r w:rsidR="00FB028F" w:rsidRPr="00721CD2">
              <w:t xml:space="preserve">un </w:t>
            </w:r>
            <w:r w:rsidR="00536CC7" w:rsidRPr="00721CD2">
              <w:t>55</w:t>
            </w:r>
            <w:r w:rsidR="00FB028F" w:rsidRPr="00721CD2">
              <w:t>.</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 xml:space="preserve">Komisijas regulas Nr.702/2014 </w:t>
            </w:r>
            <w:r w:rsidRPr="00721CD2">
              <w:rPr>
                <w:bCs/>
              </w:rPr>
              <w:t>1.panta 1.punkta a (i).apakšpunkts, 1.panta 3., 4., 5., 6. un 7.punkts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60</w:t>
            </w:r>
            <w:r w:rsidRPr="00721CD2">
              <w:t xml:space="preserve">.2.1., </w:t>
            </w:r>
            <w:r w:rsidR="00536CC7" w:rsidRPr="00721CD2">
              <w:t>60</w:t>
            </w:r>
            <w:r w:rsidRPr="00721CD2">
              <w:t>.2.2.apakšpunkts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Vienības tiek ieviestas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5B3A81">
            <w:pPr>
              <w:jc w:val="both"/>
              <w:rPr>
                <w:lang w:eastAsia="en-US"/>
              </w:rPr>
            </w:pPr>
            <w:r w:rsidRPr="00721CD2">
              <w:rPr>
                <w:lang w:eastAsia="en-US"/>
              </w:rPr>
              <w:t xml:space="preserve">Komisijas regulas Nr.702/2014 2.panta </w:t>
            </w:r>
            <w:r w:rsidR="005B3A81" w:rsidRPr="00721CD2">
              <w:rPr>
                <w:lang w:eastAsia="en-US"/>
              </w:rPr>
              <w:t>21</w:t>
            </w:r>
            <w:r w:rsidRPr="00721CD2">
              <w:rPr>
                <w:lang w:eastAsia="en-US"/>
              </w:rPr>
              <w:t>.</w:t>
            </w:r>
            <w:r w:rsidR="005B3A81" w:rsidRPr="00721CD2">
              <w:rPr>
                <w:lang w:eastAsia="en-US"/>
              </w:rPr>
              <w:t>apakš</w:t>
            </w:r>
            <w:r w:rsidRPr="00721CD2">
              <w:rPr>
                <w:lang w:eastAsia="en-US"/>
              </w:rPr>
              <w:t>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B3A81">
            <w:pPr>
              <w:jc w:val="both"/>
            </w:pPr>
            <w:r w:rsidRPr="00721CD2">
              <w:t xml:space="preserve">MK noteikumu projekta </w:t>
            </w:r>
            <w:r w:rsidR="005B3A81" w:rsidRPr="00721CD2">
              <w:t>51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Komisijas regulas Nr.702/2014 4.panta 1.punkta a apakšpunkts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60</w:t>
            </w:r>
            <w:r w:rsidRPr="00721CD2">
              <w:t>.2.3.apakšpunkts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5B3A81">
            <w:pPr>
              <w:jc w:val="both"/>
            </w:pPr>
            <w:r w:rsidRPr="00721CD2">
              <w:rPr>
                <w:lang w:eastAsia="en-US"/>
              </w:rPr>
              <w:t xml:space="preserve">Komisijas regulas Nr.702/2014 </w:t>
            </w:r>
            <w:r w:rsidRPr="00721CD2">
              <w:rPr>
                <w:bCs/>
              </w:rPr>
              <w:t>6.panta 2.punkts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FC2EAB" w:rsidRPr="00721CD2">
              <w:t>51</w:t>
            </w:r>
            <w:r w:rsidRPr="00721CD2">
              <w:t>.</w:t>
            </w:r>
            <w:r w:rsidR="00FC2EAB" w:rsidRPr="00721CD2">
              <w:t xml:space="preserve">, </w:t>
            </w:r>
            <w:r w:rsidR="00536CC7" w:rsidRPr="00721CD2">
              <w:t>61</w:t>
            </w:r>
            <w:r w:rsidR="00FC2EAB" w:rsidRPr="00721CD2">
              <w:t>.</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 xml:space="preserve">Komisijas regulas Nr.702/2014 </w:t>
            </w:r>
            <w:r w:rsidRPr="00721CD2">
              <w:rPr>
                <w:bCs/>
              </w:rPr>
              <w:t>9.panta 2., 3. un 4.punkts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71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 xml:space="preserve">Komisijas regulas Nr.702/2014 </w:t>
            </w:r>
            <w:r w:rsidRPr="00721CD2">
              <w:rPr>
                <w:bCs/>
              </w:rPr>
              <w:t>14.panta 12.punkta c apakšpunkts un 13.punkta c apakšpunkts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122586">
            <w:pPr>
              <w:jc w:val="both"/>
            </w:pPr>
            <w:r w:rsidRPr="00721CD2">
              <w:t>MK noteikumu projekta 19.3.2.</w:t>
            </w:r>
            <w:r w:rsidR="00122586" w:rsidRPr="00721CD2" w:rsidDel="00122586">
              <w:t xml:space="preserve"> </w:t>
            </w:r>
            <w:r w:rsidRPr="00721CD2">
              <w:t>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2E2524" w:rsidRPr="007D6273" w:rsidTr="00153B99">
        <w:tc>
          <w:tcPr>
            <w:tcW w:w="2411" w:type="dxa"/>
            <w:tcBorders>
              <w:top w:val="single" w:sz="4" w:space="0" w:color="auto"/>
              <w:left w:val="single" w:sz="4" w:space="0" w:color="auto"/>
              <w:bottom w:val="single" w:sz="4" w:space="0" w:color="auto"/>
              <w:right w:val="single" w:sz="4" w:space="0" w:color="auto"/>
            </w:tcBorders>
          </w:tcPr>
          <w:p w:rsidR="002E2524" w:rsidRPr="00721CD2" w:rsidRDefault="002E2524" w:rsidP="006C49C8">
            <w:pPr>
              <w:jc w:val="both"/>
              <w:rPr>
                <w:lang w:eastAsia="en-US"/>
              </w:rPr>
            </w:pPr>
            <w:r w:rsidRPr="00721CD2">
              <w:rPr>
                <w:lang w:eastAsia="en-US"/>
              </w:rPr>
              <w:t>Komisijas regulas Nr.702/2014 14.pants</w:t>
            </w:r>
          </w:p>
        </w:tc>
        <w:tc>
          <w:tcPr>
            <w:tcW w:w="2517" w:type="dxa"/>
            <w:tcBorders>
              <w:top w:val="single" w:sz="4" w:space="0" w:color="auto"/>
              <w:left w:val="single" w:sz="4" w:space="0" w:color="auto"/>
              <w:bottom w:val="single" w:sz="4" w:space="0" w:color="auto"/>
              <w:right w:val="single" w:sz="4" w:space="0" w:color="auto"/>
            </w:tcBorders>
          </w:tcPr>
          <w:p w:rsidR="002E2524" w:rsidRPr="00721CD2" w:rsidRDefault="002E2524" w:rsidP="00536CC7">
            <w:pPr>
              <w:jc w:val="both"/>
            </w:pPr>
            <w:r w:rsidRPr="00721CD2">
              <w:t xml:space="preserve">MK noteikumu projekta </w:t>
            </w:r>
            <w:r w:rsidR="00536CC7" w:rsidRPr="00721CD2">
              <w:t>70</w:t>
            </w:r>
            <w:r w:rsidRPr="00721CD2">
              <w:t>.3.apakšpunkts</w:t>
            </w:r>
          </w:p>
        </w:tc>
        <w:tc>
          <w:tcPr>
            <w:tcW w:w="1843" w:type="dxa"/>
            <w:tcBorders>
              <w:top w:val="single" w:sz="4" w:space="0" w:color="auto"/>
              <w:left w:val="single" w:sz="4" w:space="0" w:color="auto"/>
              <w:bottom w:val="single" w:sz="4" w:space="0" w:color="auto"/>
              <w:right w:val="single" w:sz="4" w:space="0" w:color="auto"/>
            </w:tcBorders>
          </w:tcPr>
          <w:p w:rsidR="002E2524" w:rsidRPr="00721CD2" w:rsidRDefault="002E2524" w:rsidP="006C49C8">
            <w:pPr>
              <w:jc w:val="center"/>
              <w:rPr>
                <w:iCs/>
              </w:rPr>
            </w:pPr>
            <w:r w:rsidRPr="00721CD2">
              <w:rPr>
                <w:iCs/>
              </w:rPr>
              <w:t>Vienība tiek ieviestas pilnībā</w:t>
            </w:r>
          </w:p>
        </w:tc>
        <w:tc>
          <w:tcPr>
            <w:tcW w:w="2409" w:type="dxa"/>
            <w:tcBorders>
              <w:top w:val="single" w:sz="4" w:space="0" w:color="auto"/>
              <w:left w:val="single" w:sz="4" w:space="0" w:color="auto"/>
              <w:bottom w:val="single" w:sz="4" w:space="0" w:color="auto"/>
              <w:right w:val="single" w:sz="4" w:space="0" w:color="auto"/>
            </w:tcBorders>
          </w:tcPr>
          <w:p w:rsidR="002E2524" w:rsidRPr="00721CD2" w:rsidRDefault="002E2524"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 xml:space="preserve">Komisijas regulas Nr.702/2014 </w:t>
            </w:r>
            <w:r w:rsidRPr="00721CD2">
              <w:rPr>
                <w:bCs/>
              </w:rPr>
              <w:t>I PIELIKUMS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2E2524">
            <w:pPr>
              <w:jc w:val="both"/>
            </w:pPr>
            <w:r w:rsidRPr="00721CD2">
              <w:t>MK noteikumu projekta 28.punkts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Komisijas regula Nr.702/2014 3.pants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62</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 xml:space="preserve">Komisijas regulas Nr.1388/2014 </w:t>
            </w:r>
            <w:r w:rsidRPr="00721CD2">
              <w:rPr>
                <w:bCs/>
              </w:rPr>
              <w:t>1.panta 1., 3., 4.punkts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60</w:t>
            </w:r>
            <w:r w:rsidRPr="00721CD2">
              <w:t xml:space="preserve">.3.1., </w:t>
            </w:r>
            <w:r w:rsidR="00536CC7" w:rsidRPr="00721CD2">
              <w:t>60</w:t>
            </w:r>
            <w:r w:rsidRPr="00721CD2">
              <w:t xml:space="preserve">.3.2., </w:t>
            </w:r>
            <w:r w:rsidR="00536CC7" w:rsidRPr="00721CD2">
              <w:lastRenderedPageBreak/>
              <w:t>60</w:t>
            </w:r>
            <w:r w:rsidRPr="00721CD2">
              <w:t>.3.3.apakšpunkts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lastRenderedPageBreak/>
              <w:t>Vienības tiek ieviestas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lastRenderedPageBreak/>
              <w:t xml:space="preserve">Komisijas regulas Nr.1388/2014 </w:t>
            </w:r>
            <w:r w:rsidRPr="00721CD2">
              <w:rPr>
                <w:bCs/>
              </w:rPr>
              <w:t>2.pants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60</w:t>
            </w:r>
            <w:r w:rsidRPr="00721CD2">
              <w:t>.3.4.apakšpunkts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4859BF" w:rsidRPr="007D6273" w:rsidTr="00153B99">
        <w:tc>
          <w:tcPr>
            <w:tcW w:w="2411"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both"/>
              <w:rPr>
                <w:lang w:eastAsia="en-US"/>
              </w:rPr>
            </w:pPr>
            <w:r w:rsidRPr="00721CD2">
              <w:rPr>
                <w:lang w:eastAsia="en-US"/>
              </w:rPr>
              <w:t>Komisijas regulas Nr.1388/2014 6.panta 2.punkts</w:t>
            </w:r>
          </w:p>
        </w:tc>
        <w:tc>
          <w:tcPr>
            <w:tcW w:w="2517" w:type="dxa"/>
            <w:tcBorders>
              <w:top w:val="single" w:sz="4" w:space="0" w:color="auto"/>
              <w:left w:val="single" w:sz="4" w:space="0" w:color="auto"/>
              <w:bottom w:val="single" w:sz="4" w:space="0" w:color="auto"/>
              <w:right w:val="single" w:sz="4" w:space="0" w:color="auto"/>
            </w:tcBorders>
          </w:tcPr>
          <w:p w:rsidR="004859BF" w:rsidRPr="00721CD2" w:rsidRDefault="004859BF" w:rsidP="00536CC7">
            <w:pPr>
              <w:jc w:val="both"/>
            </w:pPr>
            <w:r w:rsidRPr="00721CD2">
              <w:t xml:space="preserve">MK noteikumu projekta </w:t>
            </w:r>
            <w:r w:rsidR="00536CC7" w:rsidRPr="00721CD2">
              <w:t>61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Komisijas regulas Nr.1388/2014</w:t>
            </w:r>
            <w:proofErr w:type="gramStart"/>
            <w:r w:rsidRPr="00721CD2">
              <w:rPr>
                <w:lang w:eastAsia="en-US"/>
              </w:rPr>
              <w:t xml:space="preserve"> </w:t>
            </w:r>
            <w:r w:rsidR="00FC2EAB" w:rsidRPr="00721CD2">
              <w:rPr>
                <w:lang w:eastAsia="en-US"/>
              </w:rPr>
              <w:t xml:space="preserve"> </w:t>
            </w:r>
            <w:proofErr w:type="gramEnd"/>
            <w:r w:rsidRPr="00721CD2">
              <w:rPr>
                <w:lang w:eastAsia="en-US"/>
              </w:rPr>
              <w:t>9.panta 1.un 3.punkts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71</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Komisijas regulas Nr.1388/2014 27., 28., 31., 42.pants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MK noteikumu projekta 19.4.</w:t>
            </w:r>
            <w:r w:rsidR="00421A2E" w:rsidRPr="00721CD2">
              <w:t xml:space="preserve">, </w:t>
            </w:r>
            <w:r w:rsidR="00536CC7" w:rsidRPr="00721CD2">
              <w:t>70</w:t>
            </w:r>
            <w:r w:rsidR="00421A2E" w:rsidRPr="00721CD2">
              <w:t xml:space="preserve">.4. </w:t>
            </w:r>
            <w:r w:rsidRPr="00721CD2">
              <w:t>apakšpunkts</w:t>
            </w:r>
            <w:r w:rsidR="00421A2E" w:rsidRPr="00721CD2">
              <w:t>, 51 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w:t>
            </w:r>
            <w:r w:rsidR="004859BF" w:rsidRPr="00721CD2">
              <w:rPr>
                <w:iCs/>
              </w:rPr>
              <w:t>s</w:t>
            </w:r>
            <w:r w:rsidRPr="00721CD2">
              <w:rPr>
                <w:iCs/>
              </w:rPr>
              <w:t xml:space="preserve"> tiek ieviesta</w:t>
            </w:r>
            <w:r w:rsidR="004859BF" w:rsidRPr="00721CD2">
              <w:rPr>
                <w:iCs/>
              </w:rPr>
              <w:t>s</w:t>
            </w:r>
            <w:r w:rsidRPr="00721CD2">
              <w:rPr>
                <w:iCs/>
              </w:rPr>
              <w:t xml:space="preserve">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 xml:space="preserve">Komisijas regulas Nr.1388/2014 </w:t>
            </w:r>
            <w:r w:rsidRPr="00721CD2">
              <w:rPr>
                <w:bCs/>
              </w:rPr>
              <w:t>I PIELIKUMS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7560EE">
            <w:pPr>
              <w:jc w:val="both"/>
            </w:pPr>
            <w:r w:rsidRPr="00721CD2">
              <w:t>MK noteikumu projekta 28.punkts, 35.2. apakšpunkts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w:t>
            </w:r>
            <w:r w:rsidR="004859BF" w:rsidRPr="00721CD2">
              <w:rPr>
                <w:iCs/>
              </w:rPr>
              <w:t>s</w:t>
            </w:r>
            <w:r w:rsidRPr="00721CD2">
              <w:rPr>
                <w:iCs/>
              </w:rPr>
              <w:t xml:space="preserve"> tiek ieviesta</w:t>
            </w:r>
            <w:r w:rsidR="004859BF" w:rsidRPr="00721CD2">
              <w:rPr>
                <w:iCs/>
              </w:rPr>
              <w:t>s</w:t>
            </w:r>
            <w:r w:rsidRPr="00721CD2">
              <w:rPr>
                <w:iCs/>
              </w:rPr>
              <w:t xml:space="preserve">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rPr>
                <w:lang w:eastAsia="en-US"/>
              </w:rPr>
            </w:pPr>
            <w:r w:rsidRPr="00721CD2">
              <w:rPr>
                <w:lang w:eastAsia="en-US"/>
              </w:rPr>
              <w:t>Komisijas regula Nr.1388/2014 4.pants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536CC7">
            <w:pPr>
              <w:jc w:val="both"/>
            </w:pPr>
            <w:r w:rsidRPr="00721CD2">
              <w:t xml:space="preserve">MK noteikumu projekta </w:t>
            </w:r>
            <w:r w:rsidR="00536CC7" w:rsidRPr="00721CD2">
              <w:t>62</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w:t>
            </w:r>
            <w:r w:rsidRPr="00721CD2" w:rsidDel="00090613">
              <w:rPr>
                <w:iCs/>
              </w:rPr>
              <w:t xml:space="preserve"> </w:t>
            </w:r>
            <w:r w:rsidRPr="00721CD2">
              <w:rPr>
                <w:iCs/>
              </w:rPr>
              <w:t>stingrākas prasības</w:t>
            </w:r>
          </w:p>
        </w:tc>
      </w:tr>
      <w:tr w:rsidR="00CF6C1A" w:rsidRPr="007D6273" w:rsidTr="00153B99">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rPr>
                <w:lang w:eastAsia="en-US"/>
              </w:rPr>
              <w:t xml:space="preserve">Komisijas regulas Nr.480/2014 </w:t>
            </w:r>
            <w:r w:rsidRPr="00721CD2">
              <w:rPr>
                <w:bCs/>
              </w:rPr>
              <w:t>1.pielikums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7560EE">
            <w:pPr>
              <w:jc w:val="both"/>
            </w:pPr>
            <w:r w:rsidRPr="00721CD2">
              <w:t xml:space="preserve">MK noteikumu projekta </w:t>
            </w:r>
            <w:r w:rsidR="00421A2E" w:rsidRPr="00721CD2">
              <w:t>36</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CF6C1A" w:rsidRPr="007D6273" w:rsidTr="008712F1">
        <w:trPr>
          <w:trHeight w:val="1132"/>
        </w:trPr>
        <w:tc>
          <w:tcPr>
            <w:tcW w:w="2411"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both"/>
            </w:pPr>
            <w:r w:rsidRPr="00721CD2">
              <w:t xml:space="preserve">Komisijas lēmuma </w:t>
            </w:r>
            <w:r w:rsidRPr="00721CD2">
              <w:rPr>
                <w:bCs/>
              </w:rPr>
              <w:t>4.pants</w:t>
            </w:r>
          </w:p>
        </w:tc>
        <w:tc>
          <w:tcPr>
            <w:tcW w:w="2517" w:type="dxa"/>
            <w:tcBorders>
              <w:top w:val="single" w:sz="4" w:space="0" w:color="auto"/>
              <w:left w:val="single" w:sz="4" w:space="0" w:color="auto"/>
              <w:bottom w:val="single" w:sz="4" w:space="0" w:color="auto"/>
              <w:right w:val="single" w:sz="4" w:space="0" w:color="auto"/>
            </w:tcBorders>
          </w:tcPr>
          <w:p w:rsidR="00CF6C1A" w:rsidRPr="00721CD2" w:rsidRDefault="00CF6C1A" w:rsidP="004859BF">
            <w:pPr>
              <w:jc w:val="both"/>
            </w:pPr>
            <w:r w:rsidRPr="00721CD2">
              <w:t xml:space="preserve">MK noteikumu projekta </w:t>
            </w:r>
            <w:r w:rsidR="004859BF" w:rsidRPr="00721CD2">
              <w:t>32.7</w:t>
            </w:r>
            <w:r w:rsidRPr="00721CD2">
              <w:t>.</w:t>
            </w:r>
            <w:r w:rsidR="00421A2E" w:rsidRPr="00721CD2">
              <w:t xml:space="preserve"> punkts</w:t>
            </w:r>
          </w:p>
        </w:tc>
        <w:tc>
          <w:tcPr>
            <w:tcW w:w="1843"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CF6C1A" w:rsidRPr="00721CD2" w:rsidRDefault="00CF6C1A" w:rsidP="006C49C8">
            <w:pPr>
              <w:jc w:val="center"/>
              <w:rPr>
                <w:iCs/>
              </w:rPr>
            </w:pPr>
            <w:r w:rsidRPr="00721CD2">
              <w:rPr>
                <w:iCs/>
              </w:rPr>
              <w:t>Neparedz stingrākas prasības</w:t>
            </w:r>
          </w:p>
        </w:tc>
      </w:tr>
      <w:tr w:rsidR="004859BF"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both"/>
            </w:pPr>
            <w:r w:rsidRPr="00721CD2">
              <w:rPr>
                <w:lang w:eastAsia="en-US"/>
              </w:rPr>
              <w:t>Komisijas regulas Nr.1407/2013 3.panta 1.un 2.punkts</w:t>
            </w:r>
          </w:p>
        </w:tc>
        <w:tc>
          <w:tcPr>
            <w:tcW w:w="2517" w:type="dxa"/>
            <w:tcBorders>
              <w:top w:val="single" w:sz="4" w:space="0" w:color="auto"/>
              <w:left w:val="single" w:sz="4" w:space="0" w:color="auto"/>
              <w:bottom w:val="single" w:sz="4" w:space="0" w:color="auto"/>
              <w:right w:val="single" w:sz="4" w:space="0" w:color="auto"/>
            </w:tcBorders>
          </w:tcPr>
          <w:p w:rsidR="004859BF" w:rsidRPr="00721CD2" w:rsidRDefault="004859BF" w:rsidP="00536CC7">
            <w:pPr>
              <w:jc w:val="both"/>
            </w:pPr>
            <w:r w:rsidRPr="00721CD2">
              <w:t xml:space="preserve">MK noteikumu projekta </w:t>
            </w:r>
            <w:r w:rsidR="00536CC7" w:rsidRPr="00721CD2">
              <w:t>63</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Neparedz stingrākas prasības</w:t>
            </w:r>
          </w:p>
        </w:tc>
      </w:tr>
      <w:tr w:rsidR="004859BF"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both"/>
            </w:pPr>
            <w:r w:rsidRPr="00721CD2">
              <w:rPr>
                <w:lang w:eastAsia="en-US"/>
              </w:rPr>
              <w:t>Komisijas regulas Nr.1407/2013 1.panta 1.punkts</w:t>
            </w:r>
          </w:p>
        </w:tc>
        <w:tc>
          <w:tcPr>
            <w:tcW w:w="2517" w:type="dxa"/>
            <w:tcBorders>
              <w:top w:val="single" w:sz="4" w:space="0" w:color="auto"/>
              <w:left w:val="single" w:sz="4" w:space="0" w:color="auto"/>
              <w:bottom w:val="single" w:sz="4" w:space="0" w:color="auto"/>
              <w:right w:val="single" w:sz="4" w:space="0" w:color="auto"/>
            </w:tcBorders>
          </w:tcPr>
          <w:p w:rsidR="004859BF" w:rsidRPr="00721CD2" w:rsidRDefault="004859BF" w:rsidP="00536CC7">
            <w:pPr>
              <w:jc w:val="both"/>
            </w:pPr>
            <w:r w:rsidRPr="00721CD2">
              <w:t xml:space="preserve">MK noteikumu projekta </w:t>
            </w:r>
            <w:r w:rsidR="00536CC7" w:rsidRPr="00721CD2">
              <w:t>64</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4859BF" w:rsidRPr="00721CD2" w:rsidRDefault="004859BF"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t>Komisijas regulas Nr.1407/2013 3.panta 4.punkts, 2.panta 2.punkts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536CC7">
            <w:pPr>
              <w:jc w:val="both"/>
            </w:pPr>
            <w:r w:rsidRPr="00721CD2">
              <w:t xml:space="preserve">MK noteikumu projekta </w:t>
            </w:r>
            <w:r w:rsidR="00536CC7" w:rsidRPr="00721CD2">
              <w:t>65</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t>Komisijas regulas Nr.1407/2013 6.panta 4.punkts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536CC7">
            <w:pPr>
              <w:jc w:val="both"/>
            </w:pPr>
            <w:r w:rsidRPr="00721CD2">
              <w:t xml:space="preserve">MK noteikumu projekta </w:t>
            </w:r>
            <w:r w:rsidR="00536CC7" w:rsidRPr="00721CD2">
              <w:t>66</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t>Komisijas regulas Nr.1407/2013 7.panta 4.punkts un 8.pants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536CC7">
            <w:pPr>
              <w:jc w:val="both"/>
            </w:pPr>
            <w:r w:rsidRPr="00721CD2">
              <w:t xml:space="preserve">MK noteikumu projekta </w:t>
            </w:r>
            <w:r w:rsidR="00536CC7" w:rsidRPr="00721CD2">
              <w:t>67</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t>Komisijas regula Nr.717/2014 3.panta 1.un 2.punkts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731EDB">
            <w:pPr>
              <w:jc w:val="both"/>
            </w:pPr>
            <w:r w:rsidRPr="00721CD2">
              <w:t>MK noteikumu projekta 6</w:t>
            </w:r>
            <w:r w:rsidR="00536CC7" w:rsidRPr="00721CD2">
              <w:t>3</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lastRenderedPageBreak/>
              <w:t>Komisijas regulas Nr.717/2014 1.panta 1.punkts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536CC7">
            <w:pPr>
              <w:jc w:val="both"/>
            </w:pPr>
            <w:r w:rsidRPr="00721CD2">
              <w:t xml:space="preserve">MK noteikumu projekta </w:t>
            </w:r>
            <w:r w:rsidR="00536CC7" w:rsidRPr="00721CD2">
              <w:t>64</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731EDB"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both"/>
              <w:rPr>
                <w:lang w:eastAsia="en-US"/>
              </w:rPr>
            </w:pPr>
            <w:r w:rsidRPr="00721CD2">
              <w:rPr>
                <w:lang w:eastAsia="en-US"/>
              </w:rPr>
              <w:t>Komisijas regulas Nr.717/2014 3.panta 2.punkts, 2.panta 2.punkts</w:t>
            </w:r>
          </w:p>
        </w:tc>
        <w:tc>
          <w:tcPr>
            <w:tcW w:w="2517" w:type="dxa"/>
            <w:tcBorders>
              <w:top w:val="single" w:sz="4" w:space="0" w:color="auto"/>
              <w:left w:val="single" w:sz="4" w:space="0" w:color="auto"/>
              <w:bottom w:val="single" w:sz="4" w:space="0" w:color="auto"/>
              <w:right w:val="single" w:sz="4" w:space="0" w:color="auto"/>
            </w:tcBorders>
          </w:tcPr>
          <w:p w:rsidR="00731EDB" w:rsidRPr="00721CD2" w:rsidRDefault="00731EDB" w:rsidP="00536CC7">
            <w:pPr>
              <w:jc w:val="both"/>
            </w:pPr>
            <w:r w:rsidRPr="00721CD2">
              <w:t xml:space="preserve">MK noteikumu projekta </w:t>
            </w:r>
            <w:r w:rsidR="00536CC7" w:rsidRPr="00721CD2">
              <w:t>65</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731EDB" w:rsidRPr="00721CD2" w:rsidRDefault="00731EDB" w:rsidP="006C49C8">
            <w:pPr>
              <w:jc w:val="center"/>
              <w:rPr>
                <w:iCs/>
              </w:rPr>
            </w:pPr>
            <w:r w:rsidRPr="00721CD2">
              <w:rPr>
                <w:iCs/>
              </w:rPr>
              <w:t>Neparedz stingrākas prasības</w:t>
            </w:r>
          </w:p>
        </w:tc>
      </w:tr>
      <w:tr w:rsidR="008B6F16"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both"/>
              <w:rPr>
                <w:lang w:eastAsia="en-US"/>
              </w:rPr>
            </w:pPr>
            <w:r w:rsidRPr="00721CD2">
              <w:t>Komisijas regulas Nr.717/2014 6.panta 4.punkts</w:t>
            </w:r>
          </w:p>
        </w:tc>
        <w:tc>
          <w:tcPr>
            <w:tcW w:w="2517" w:type="dxa"/>
            <w:tcBorders>
              <w:top w:val="single" w:sz="4" w:space="0" w:color="auto"/>
              <w:left w:val="single" w:sz="4" w:space="0" w:color="auto"/>
              <w:bottom w:val="single" w:sz="4" w:space="0" w:color="auto"/>
              <w:right w:val="single" w:sz="4" w:space="0" w:color="auto"/>
            </w:tcBorders>
          </w:tcPr>
          <w:p w:rsidR="008B6F16" w:rsidRPr="00721CD2" w:rsidRDefault="008B6F16" w:rsidP="00536CC7">
            <w:pPr>
              <w:jc w:val="both"/>
            </w:pPr>
            <w:r w:rsidRPr="00721CD2">
              <w:t xml:space="preserve">MK noteikumu projekta </w:t>
            </w:r>
            <w:r w:rsidR="00536CC7" w:rsidRPr="00721CD2">
              <w:t>66</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t>Neparedz stingrākas prasības</w:t>
            </w:r>
          </w:p>
        </w:tc>
      </w:tr>
      <w:tr w:rsidR="008B6F16"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both"/>
              <w:rPr>
                <w:lang w:eastAsia="en-US"/>
              </w:rPr>
            </w:pPr>
            <w:r w:rsidRPr="00721CD2">
              <w:t>Komisijas regulas Nr.717/2014 7.panta 4.punkts un 8.pants</w:t>
            </w:r>
          </w:p>
        </w:tc>
        <w:tc>
          <w:tcPr>
            <w:tcW w:w="2517" w:type="dxa"/>
            <w:tcBorders>
              <w:top w:val="single" w:sz="4" w:space="0" w:color="auto"/>
              <w:left w:val="single" w:sz="4" w:space="0" w:color="auto"/>
              <w:bottom w:val="single" w:sz="4" w:space="0" w:color="auto"/>
              <w:right w:val="single" w:sz="4" w:space="0" w:color="auto"/>
            </w:tcBorders>
          </w:tcPr>
          <w:p w:rsidR="008B6F16" w:rsidRPr="00721CD2" w:rsidRDefault="008B6F16" w:rsidP="00536CC7">
            <w:pPr>
              <w:jc w:val="both"/>
            </w:pPr>
            <w:r w:rsidRPr="00721CD2">
              <w:t xml:space="preserve">MK noteikumu projekta </w:t>
            </w:r>
            <w:r w:rsidR="00536CC7" w:rsidRPr="00721CD2">
              <w:t>67</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t>Neparedz stingrākas prasības</w:t>
            </w:r>
          </w:p>
        </w:tc>
      </w:tr>
      <w:tr w:rsidR="008B6F16"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both"/>
              <w:rPr>
                <w:lang w:eastAsia="en-US"/>
              </w:rPr>
            </w:pPr>
            <w:r w:rsidRPr="00721CD2">
              <w:rPr>
                <w:lang w:eastAsia="en-US"/>
              </w:rPr>
              <w:t>Komisijas regula Nr.1408/2013 3.panta 1.un 2.punkts</w:t>
            </w:r>
          </w:p>
        </w:tc>
        <w:tc>
          <w:tcPr>
            <w:tcW w:w="2517" w:type="dxa"/>
            <w:tcBorders>
              <w:top w:val="single" w:sz="4" w:space="0" w:color="auto"/>
              <w:left w:val="single" w:sz="4" w:space="0" w:color="auto"/>
              <w:bottom w:val="single" w:sz="4" w:space="0" w:color="auto"/>
              <w:right w:val="single" w:sz="4" w:space="0" w:color="auto"/>
            </w:tcBorders>
          </w:tcPr>
          <w:p w:rsidR="008B6F16" w:rsidRPr="00721CD2" w:rsidRDefault="008B6F16" w:rsidP="00536CC7">
            <w:pPr>
              <w:jc w:val="both"/>
            </w:pPr>
            <w:r w:rsidRPr="00721CD2">
              <w:t xml:space="preserve">MK noteikumu projekta </w:t>
            </w:r>
            <w:r w:rsidR="00536CC7" w:rsidRPr="00721CD2">
              <w:t>63</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8B6F16" w:rsidRPr="00721CD2" w:rsidRDefault="008B6F16" w:rsidP="006C49C8">
            <w:pPr>
              <w:jc w:val="center"/>
              <w:rPr>
                <w:iCs/>
              </w:rPr>
            </w:pPr>
            <w:r w:rsidRPr="00721CD2">
              <w:rPr>
                <w:iCs/>
              </w:rPr>
              <w:t>Neparedz stingrākas prasības</w:t>
            </w:r>
          </w:p>
        </w:tc>
      </w:tr>
      <w:tr w:rsidR="00BA25E9"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both"/>
              <w:rPr>
                <w:lang w:eastAsia="en-US"/>
              </w:rPr>
            </w:pPr>
            <w:r w:rsidRPr="00721CD2">
              <w:rPr>
                <w:lang w:eastAsia="en-US"/>
              </w:rPr>
              <w:t>Komisijas regulas Nr.1408/2013 1.panta 1.punkts</w:t>
            </w:r>
          </w:p>
        </w:tc>
        <w:tc>
          <w:tcPr>
            <w:tcW w:w="2517" w:type="dxa"/>
            <w:tcBorders>
              <w:top w:val="single" w:sz="4" w:space="0" w:color="auto"/>
              <w:left w:val="single" w:sz="4" w:space="0" w:color="auto"/>
              <w:bottom w:val="single" w:sz="4" w:space="0" w:color="auto"/>
              <w:right w:val="single" w:sz="4" w:space="0" w:color="auto"/>
            </w:tcBorders>
          </w:tcPr>
          <w:p w:rsidR="00BA25E9" w:rsidRPr="00721CD2" w:rsidRDefault="00BA25E9" w:rsidP="00536CC7">
            <w:pPr>
              <w:jc w:val="both"/>
            </w:pPr>
            <w:r w:rsidRPr="00721CD2">
              <w:t xml:space="preserve">MK noteikumu projekta </w:t>
            </w:r>
            <w:r w:rsidR="00536CC7" w:rsidRPr="00721CD2">
              <w:t>64</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rPr>
                <w:iCs/>
              </w:rPr>
              <w:t>Neparedz stingrākas prasības</w:t>
            </w:r>
          </w:p>
        </w:tc>
      </w:tr>
      <w:tr w:rsidR="00BA25E9"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both"/>
              <w:rPr>
                <w:lang w:eastAsia="en-US"/>
              </w:rPr>
            </w:pPr>
            <w:r w:rsidRPr="00721CD2">
              <w:rPr>
                <w:lang w:eastAsia="en-US"/>
              </w:rPr>
              <w:t>Komisijas regulas Nr.1408/2013 3.panta 2.punkts, 2.panta 2.punkts</w:t>
            </w:r>
          </w:p>
        </w:tc>
        <w:tc>
          <w:tcPr>
            <w:tcW w:w="2517" w:type="dxa"/>
            <w:tcBorders>
              <w:top w:val="single" w:sz="4" w:space="0" w:color="auto"/>
              <w:left w:val="single" w:sz="4" w:space="0" w:color="auto"/>
              <w:bottom w:val="single" w:sz="4" w:space="0" w:color="auto"/>
              <w:right w:val="single" w:sz="4" w:space="0" w:color="auto"/>
            </w:tcBorders>
          </w:tcPr>
          <w:p w:rsidR="00BA25E9" w:rsidRPr="00721CD2" w:rsidRDefault="00BA25E9" w:rsidP="00536CC7">
            <w:pPr>
              <w:jc w:val="both"/>
            </w:pPr>
            <w:r w:rsidRPr="00721CD2">
              <w:t xml:space="preserve">MK noteikumu projekta </w:t>
            </w:r>
            <w:r w:rsidR="00536CC7" w:rsidRPr="00721CD2">
              <w:t>65</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rPr>
                <w:iCs/>
              </w:rPr>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rPr>
                <w:iCs/>
              </w:rPr>
              <w:t>Neparedz stingrākas prasības</w:t>
            </w:r>
          </w:p>
        </w:tc>
      </w:tr>
      <w:tr w:rsidR="00BA25E9"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both"/>
              <w:rPr>
                <w:lang w:eastAsia="en-US"/>
              </w:rPr>
            </w:pPr>
            <w:r w:rsidRPr="00721CD2">
              <w:t>Komisijas regulas Nr.1408/2013 6.panta 4.punkts</w:t>
            </w:r>
          </w:p>
        </w:tc>
        <w:tc>
          <w:tcPr>
            <w:tcW w:w="2517" w:type="dxa"/>
            <w:tcBorders>
              <w:top w:val="single" w:sz="4" w:space="0" w:color="auto"/>
              <w:left w:val="single" w:sz="4" w:space="0" w:color="auto"/>
              <w:bottom w:val="single" w:sz="4" w:space="0" w:color="auto"/>
              <w:right w:val="single" w:sz="4" w:space="0" w:color="auto"/>
            </w:tcBorders>
          </w:tcPr>
          <w:p w:rsidR="00BA25E9" w:rsidRPr="00721CD2" w:rsidRDefault="00BA25E9" w:rsidP="00536CC7">
            <w:pPr>
              <w:jc w:val="both"/>
            </w:pPr>
            <w:r w:rsidRPr="00721CD2">
              <w:t xml:space="preserve">MK noteikumu projekta </w:t>
            </w:r>
            <w:r w:rsidR="00536CC7" w:rsidRPr="00721CD2">
              <w:t>66</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t>Neparedz stingrākas prasības</w:t>
            </w:r>
          </w:p>
        </w:tc>
      </w:tr>
      <w:tr w:rsidR="00BA25E9" w:rsidRPr="007D6273" w:rsidTr="00153B99">
        <w:trPr>
          <w:trHeight w:val="1132"/>
        </w:trPr>
        <w:tc>
          <w:tcPr>
            <w:tcW w:w="2411"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both"/>
              <w:rPr>
                <w:lang w:eastAsia="en-US"/>
              </w:rPr>
            </w:pPr>
            <w:r w:rsidRPr="00721CD2">
              <w:t>Komisijas regulas Nr.1408/2013 7.panta 4.punkts un 8.pants</w:t>
            </w:r>
          </w:p>
        </w:tc>
        <w:tc>
          <w:tcPr>
            <w:tcW w:w="2517" w:type="dxa"/>
            <w:tcBorders>
              <w:top w:val="single" w:sz="4" w:space="0" w:color="auto"/>
              <w:left w:val="single" w:sz="4" w:space="0" w:color="auto"/>
              <w:bottom w:val="single" w:sz="4" w:space="0" w:color="auto"/>
              <w:right w:val="single" w:sz="4" w:space="0" w:color="auto"/>
            </w:tcBorders>
          </w:tcPr>
          <w:p w:rsidR="00BA25E9" w:rsidRPr="00721CD2" w:rsidRDefault="00BA25E9" w:rsidP="00536CC7">
            <w:pPr>
              <w:jc w:val="both"/>
            </w:pPr>
            <w:r w:rsidRPr="00721CD2">
              <w:t xml:space="preserve">MK noteikumu projekta </w:t>
            </w:r>
            <w:r w:rsidR="00536CC7" w:rsidRPr="00721CD2">
              <w:t>67</w:t>
            </w:r>
            <w:r w:rsidRPr="00721CD2">
              <w:t>.punkts</w:t>
            </w:r>
          </w:p>
        </w:tc>
        <w:tc>
          <w:tcPr>
            <w:tcW w:w="1843"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t>Vienība tiek ieviesta pilnībā</w:t>
            </w:r>
          </w:p>
        </w:tc>
        <w:tc>
          <w:tcPr>
            <w:tcW w:w="2409" w:type="dxa"/>
            <w:tcBorders>
              <w:top w:val="single" w:sz="4" w:space="0" w:color="auto"/>
              <w:left w:val="single" w:sz="4" w:space="0" w:color="auto"/>
              <w:bottom w:val="single" w:sz="4" w:space="0" w:color="auto"/>
              <w:right w:val="single" w:sz="4" w:space="0" w:color="auto"/>
            </w:tcBorders>
          </w:tcPr>
          <w:p w:rsidR="00BA25E9" w:rsidRPr="00721CD2" w:rsidRDefault="00BA25E9" w:rsidP="006C49C8">
            <w:pPr>
              <w:jc w:val="center"/>
              <w:rPr>
                <w:iCs/>
              </w:rPr>
            </w:pPr>
            <w:r w:rsidRPr="00721CD2">
              <w:t>Neparedz stingrākas prasības</w:t>
            </w:r>
          </w:p>
        </w:tc>
      </w:tr>
      <w:tr w:rsidR="00A75273"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A75273" w:rsidRPr="007D6273" w:rsidRDefault="00A75273"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A75273" w:rsidRPr="007D6273" w:rsidRDefault="00A75273" w:rsidP="00BF08DE">
            <w:pPr>
              <w:rPr>
                <w:iCs/>
              </w:rPr>
            </w:pPr>
          </w:p>
        </w:tc>
      </w:tr>
      <w:tr w:rsidR="00A75273"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A75273" w:rsidRPr="007D6273" w:rsidRDefault="00A75273"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A75273" w:rsidRPr="007D6273" w:rsidRDefault="00A75273" w:rsidP="00BF08DE">
            <w:pPr>
              <w:rPr>
                <w:iCs/>
              </w:rPr>
            </w:pPr>
          </w:p>
        </w:tc>
      </w:tr>
      <w:tr w:rsidR="00CF6C1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r w:rsidRPr="007D6273">
              <w:t>Kā ir izmantota ES tiesību aktā paredzētā rīcības brīvība dalībvalstij pārņemt vai ieviest noteiktas ES tiesību akta normas?</w:t>
            </w:r>
          </w:p>
          <w:p w:rsidR="00CF6C1A" w:rsidRPr="007D6273" w:rsidRDefault="00CF6C1A" w:rsidP="00BF08DE">
            <w:pPr>
              <w:rPr>
                <w:i/>
                <w:lang w:eastAsia="en-US"/>
              </w:rPr>
            </w:pPr>
            <w:r w:rsidRPr="007D6273">
              <w:t>Kādēļ?</w:t>
            </w:r>
          </w:p>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pPr>
              <w:rPr>
                <w:lang w:eastAsia="en-US"/>
              </w:rPr>
            </w:pPr>
            <w:r w:rsidRPr="007D6273">
              <w:rPr>
                <w:iCs/>
              </w:rPr>
              <w:t>MK noteikumu projekts šo jomu neskar.</w:t>
            </w:r>
          </w:p>
        </w:tc>
      </w:tr>
      <w:tr w:rsidR="00CF6C1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pPr>
              <w:rPr>
                <w:iCs/>
              </w:rPr>
            </w:pPr>
          </w:p>
        </w:tc>
      </w:tr>
      <w:tr w:rsidR="00CF6C1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pPr>
              <w:rPr>
                <w:i/>
                <w:lang w:eastAsia="en-US"/>
              </w:rPr>
            </w:pPr>
            <w:r w:rsidRPr="007D627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52"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C66B8B">
            <w:pPr>
              <w:jc w:val="both"/>
            </w:pPr>
            <w:r w:rsidRPr="007D6273">
              <w:rPr>
                <w:iCs/>
              </w:rPr>
              <w:t xml:space="preserve">VARAM 20 darba dienu laikā pēc šo MK noteikumu apstiprināšanas sniegs kopsavilkuma informāciju Eiropas Komisijai saskaņā ar </w:t>
            </w:r>
            <w:r w:rsidRPr="007D6273">
              <w:t>Komisijas regulas Nr.651/2014 11.pantu.</w:t>
            </w:r>
          </w:p>
          <w:p w:rsidR="00CF6C1A" w:rsidRPr="007D6273" w:rsidRDefault="00CF6C1A" w:rsidP="00BF08DE">
            <w:pPr>
              <w:rPr>
                <w:lang w:eastAsia="en-US"/>
              </w:rPr>
            </w:pPr>
          </w:p>
        </w:tc>
      </w:tr>
      <w:tr w:rsidR="00CF6C1A" w:rsidRPr="007D6273" w:rsidTr="00153B99">
        <w:tc>
          <w:tcPr>
            <w:tcW w:w="4928" w:type="dxa"/>
            <w:gridSpan w:val="2"/>
            <w:tcBorders>
              <w:top w:val="single" w:sz="4" w:space="0" w:color="auto"/>
              <w:left w:val="single" w:sz="4" w:space="0" w:color="auto"/>
              <w:bottom w:val="single" w:sz="4" w:space="0" w:color="auto"/>
              <w:right w:val="single" w:sz="4" w:space="0" w:color="auto"/>
            </w:tcBorders>
            <w:hideMark/>
          </w:tcPr>
          <w:p w:rsidR="00CF6C1A" w:rsidRPr="007D6273" w:rsidRDefault="00CF6C1A" w:rsidP="00BF08DE">
            <w:pPr>
              <w:pStyle w:val="naiskr"/>
              <w:spacing w:before="0" w:beforeAutospacing="0" w:after="0" w:afterAutospacing="0" w:line="276" w:lineRule="auto"/>
              <w:rPr>
                <w:i/>
                <w:lang w:eastAsia="en-US"/>
              </w:rPr>
            </w:pPr>
            <w:r w:rsidRPr="007D6273">
              <w:rPr>
                <w:lang w:eastAsia="en-US"/>
              </w:rPr>
              <w:t>Cita informācija</w:t>
            </w:r>
          </w:p>
        </w:tc>
        <w:tc>
          <w:tcPr>
            <w:tcW w:w="4252" w:type="dxa"/>
            <w:gridSpan w:val="2"/>
            <w:tcBorders>
              <w:top w:val="single" w:sz="4" w:space="0" w:color="auto"/>
              <w:left w:val="single" w:sz="4" w:space="0" w:color="auto"/>
              <w:bottom w:val="single" w:sz="4" w:space="0" w:color="auto"/>
              <w:right w:val="single" w:sz="4" w:space="0" w:color="auto"/>
            </w:tcBorders>
            <w:hideMark/>
          </w:tcPr>
          <w:p w:rsidR="00153B99" w:rsidRPr="00721CD2" w:rsidRDefault="00153B99" w:rsidP="00153B99">
            <w:pPr>
              <w:spacing w:after="120"/>
              <w:jc w:val="both"/>
            </w:pPr>
            <w:r w:rsidRPr="00721CD2">
              <w:t xml:space="preserve">Uz anotācijas </w:t>
            </w:r>
            <w:proofErr w:type="spellStart"/>
            <w:r w:rsidRPr="00721CD2">
              <w:t>V.sadaļas</w:t>
            </w:r>
            <w:proofErr w:type="spellEnd"/>
            <w:r w:rsidRPr="00721CD2">
              <w:t xml:space="preserve"> 1.tabulā iekļautajiem MK noteikumu projekta punktiem ir attiecināms valsts atbalsta </w:t>
            </w:r>
            <w:r w:rsidRPr="00721CD2">
              <w:lastRenderedPageBreak/>
              <w:t>komercdarbībai regulējums.</w:t>
            </w:r>
          </w:p>
          <w:p w:rsidR="00153B99" w:rsidRPr="00721CD2" w:rsidRDefault="00153B99" w:rsidP="00153B99">
            <w:pPr>
              <w:spacing w:after="120"/>
              <w:jc w:val="both"/>
              <w:rPr>
                <w:bCs/>
              </w:rPr>
            </w:pPr>
            <w:r w:rsidRPr="00721CD2">
              <w:rPr>
                <w:bCs/>
              </w:rPr>
              <w:t xml:space="preserve">Eiropas Komisijas pieņemtie normatīvie akti (regulas, vadlīnijas) nosaka maksimāli pieļaujamās atkāpes no vispārējā aizlieguma sniegt valsts atbalstu. Saskaņā ar Komisijas regulas Nr.651/2014 3.pantu, atbalsts ir uzskatāms par saderīgu ar iekšējo tirgu </w:t>
            </w:r>
            <w:r w:rsidRPr="00721CD2">
              <w:t>Līguma par Eiropas Savienības darbību</w:t>
            </w:r>
            <w:r w:rsidRPr="00721CD2">
              <w:rPr>
                <w:bCs/>
              </w:rPr>
              <w:t xml:space="preserve"> 107.panta 2. vai 3.punkta nozīmē un ir atbrīvots no </w:t>
            </w:r>
            <w:r w:rsidRPr="00721CD2">
              <w:t>Līguma par Eiropas Savienības darbību</w:t>
            </w:r>
            <w:r w:rsidRPr="00721CD2">
              <w:rPr>
                <w:bCs/>
              </w:rPr>
              <w:t xml:space="preserve"> 108.panta 3.punktā noteiktās paziņošanas prasības, ja plānotais atbalsts atbilst minētās regulas </w:t>
            </w:r>
            <w:proofErr w:type="spellStart"/>
            <w:r w:rsidRPr="00721CD2">
              <w:rPr>
                <w:bCs/>
              </w:rPr>
              <w:t>I.nodaļā</w:t>
            </w:r>
            <w:proofErr w:type="spellEnd"/>
            <w:r w:rsidRPr="00721CD2">
              <w:rPr>
                <w:bCs/>
              </w:rPr>
              <w:t xml:space="preserve"> un </w:t>
            </w:r>
            <w:proofErr w:type="spellStart"/>
            <w:r w:rsidRPr="00721CD2">
              <w:rPr>
                <w:bCs/>
              </w:rPr>
              <w:t>III.nodaļā</w:t>
            </w:r>
            <w:proofErr w:type="spellEnd"/>
            <w:r w:rsidRPr="00721CD2">
              <w:rPr>
                <w:bCs/>
              </w:rPr>
              <w:t xml:space="preserve"> ietvertajiem nosacījumiem (ņemot vērā attiecīgo atbalsta kategoriju). </w:t>
            </w:r>
          </w:p>
          <w:p w:rsidR="00CF6C1A" w:rsidRPr="007D6273" w:rsidRDefault="00153B99" w:rsidP="00153B99">
            <w:pPr>
              <w:jc w:val="both"/>
              <w:rPr>
                <w:lang w:eastAsia="en-US"/>
              </w:rPr>
            </w:pPr>
            <w:r w:rsidRPr="00721CD2">
              <w:rPr>
                <w:bCs/>
              </w:rPr>
              <w:t>Eiropas Komisijas izdotie normatīvie akti neierobežo dalībvalstis piemērot ierobežojošākus nosacījumus to prasību ietvaros, ko ir savos normatīvajos aktos definējusi Eiropas Komisija. Kopienas tiesa lietā 40/69 (</w:t>
            </w:r>
            <w:proofErr w:type="spellStart"/>
            <w:r w:rsidRPr="00721CD2">
              <w:rPr>
                <w:bCs/>
              </w:rPr>
              <w:t>Hauptzollamt</w:t>
            </w:r>
            <w:proofErr w:type="spellEnd"/>
            <w:r w:rsidRPr="00721CD2">
              <w:rPr>
                <w:bCs/>
              </w:rPr>
              <w:t xml:space="preserve"> </w:t>
            </w:r>
            <w:proofErr w:type="spellStart"/>
            <w:r w:rsidRPr="00721CD2">
              <w:rPr>
                <w:bCs/>
              </w:rPr>
              <w:t>Hamburg</w:t>
            </w:r>
            <w:proofErr w:type="spellEnd"/>
            <w:r w:rsidRPr="00721CD2">
              <w:rPr>
                <w:bCs/>
              </w:rPr>
              <w:t xml:space="preserve"> </w:t>
            </w:r>
            <w:proofErr w:type="spellStart"/>
            <w:r w:rsidRPr="00721CD2">
              <w:rPr>
                <w:bCs/>
              </w:rPr>
              <w:t>Oberelbe</w:t>
            </w:r>
            <w:proofErr w:type="spellEnd"/>
            <w:r w:rsidRPr="00721CD2">
              <w:rPr>
                <w:bCs/>
              </w:rPr>
              <w:t xml:space="preserve">/ </w:t>
            </w:r>
            <w:proofErr w:type="spellStart"/>
            <w:r w:rsidRPr="00721CD2">
              <w:rPr>
                <w:bCs/>
              </w:rPr>
              <w:t>Bollmann</w:t>
            </w:r>
            <w:proofErr w:type="spellEnd"/>
            <w:r w:rsidRPr="00721CD2">
              <w:rPr>
                <w:bCs/>
              </w:rPr>
              <w:t>) atzina, ka dalībvalstis nedrīkst mainīt Kopienas regulas darbības jomu un papildināt tās noteikumus. Tai pat laikā, dalībvalstīm, rīkojoties ar tai pieejamajiem publiskajiem finanšu resursiem, pastāv rīcības brīvība noteikt ierobežojošākus nosacījumus, nekā tas ir noteikts attiecīgajā Eiropas Savienības normatīvajā aktā valsts atbalsta jomā, nepārkāpjot jau minētos saderības ar Eiropas Savienības iekšējo tirgu kritērijus.</w:t>
            </w:r>
          </w:p>
        </w:tc>
      </w:tr>
    </w:tbl>
    <w:p w:rsidR="00041551" w:rsidRPr="007D6273" w:rsidRDefault="00041551" w:rsidP="00391449">
      <w:pPr>
        <w:jc w:val="center"/>
        <w:rPr>
          <w:lang w:eastAsia="en-US"/>
        </w:rPr>
      </w:pPr>
    </w:p>
    <w:p w:rsidR="00FE1C57" w:rsidRPr="007D6273" w:rsidRDefault="00FE1C57" w:rsidP="00391449">
      <w:pPr>
        <w:jc w:val="center"/>
        <w:rPr>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096"/>
        <w:gridCol w:w="2700"/>
      </w:tblGrid>
      <w:tr w:rsidR="00391449" w:rsidRPr="007D6273" w:rsidTr="00D92D99">
        <w:tc>
          <w:tcPr>
            <w:tcW w:w="9180" w:type="dxa"/>
            <w:gridSpan w:val="3"/>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pStyle w:val="naisnod"/>
              <w:spacing w:before="0" w:beforeAutospacing="0" w:after="0" w:afterAutospacing="0" w:line="276" w:lineRule="auto"/>
              <w:jc w:val="center"/>
              <w:rPr>
                <w:b/>
                <w:lang w:eastAsia="en-US"/>
              </w:rPr>
            </w:pPr>
            <w:r w:rsidRPr="007D6273">
              <w:rPr>
                <w:b/>
                <w:lang w:eastAsia="en-US"/>
              </w:rPr>
              <w:t>2.tabula. Ar tiesību akta projektu uzņemtās saistības, kas izriet no starptautiskajiem tiesību aktiem vai starptautiskas institūcijas vai organizācijas dokumentiem</w:t>
            </w:r>
          </w:p>
          <w:p w:rsidR="00391449" w:rsidRPr="007D6273" w:rsidRDefault="00391449" w:rsidP="00BF08DE">
            <w:pPr>
              <w:jc w:val="center"/>
              <w:rPr>
                <w:lang w:eastAsia="en-US"/>
              </w:rPr>
            </w:pPr>
            <w:r w:rsidRPr="007D6273">
              <w:rPr>
                <w:b/>
              </w:rPr>
              <w:t>Pasākumi šo saistību izpildei</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t>Attiecīgā starptautiskā tiesību akta vai starptautiskas institūcijas vai organizācijas dokumenta (turpmāk – starptautiskais dokuments) datums, numurs un nosaukums</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tabs>
                <w:tab w:val="left" w:pos="325"/>
              </w:tabs>
              <w:rPr>
                <w:i/>
                <w:lang w:eastAsia="en-US"/>
              </w:rPr>
            </w:pPr>
            <w:r w:rsidRPr="007D6273">
              <w:rPr>
                <w:iCs/>
              </w:rPr>
              <w:t>MK noteikumu projekts šo jomu neskar.</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A</w:t>
            </w:r>
          </w:p>
        </w:tc>
        <w:tc>
          <w:tcPr>
            <w:tcW w:w="3096"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B</w:t>
            </w:r>
          </w:p>
        </w:tc>
        <w:tc>
          <w:tcPr>
            <w:tcW w:w="2700"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jc w:val="center"/>
              <w:rPr>
                <w:lang w:eastAsia="en-US"/>
              </w:rPr>
            </w:pPr>
            <w:r w:rsidRPr="007D6273">
              <w:t>C</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pPr>
            <w:r w:rsidRPr="007D6273">
              <w:t xml:space="preserve">Starptautiskās saistības (pēc </w:t>
            </w:r>
            <w:r w:rsidRPr="007D6273">
              <w:lastRenderedPageBreak/>
              <w:t>būtības), kas izriet no norādītā starptautiskā dokumenta.</w:t>
            </w:r>
          </w:p>
          <w:p w:rsidR="00391449" w:rsidRPr="007D6273" w:rsidRDefault="00391449" w:rsidP="00D60AFC">
            <w:pPr>
              <w:jc w:val="both"/>
              <w:rPr>
                <w:lang w:eastAsia="en-US"/>
              </w:rPr>
            </w:pPr>
            <w:r w:rsidRPr="007D6273">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lastRenderedPageBreak/>
              <w:t xml:space="preserve">Ja pasākumi vai uzdevumi, ar </w:t>
            </w:r>
            <w:r w:rsidRPr="007D6273">
              <w:lastRenderedPageBreak/>
              <w:t>ko tiks izpildītas starptautiskās saistības, tiek noteikti projektā, norāda attiecīgo projekta vienību vai norāda dokumentu, kurā sniegts izvērsts skaidrojums, kādā veidā tiks nodrošināta starptautisko saistību izpilde</w:t>
            </w:r>
          </w:p>
        </w:tc>
        <w:tc>
          <w:tcPr>
            <w:tcW w:w="2700"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pPr>
            <w:r w:rsidRPr="007D6273">
              <w:lastRenderedPageBreak/>
              <w:t xml:space="preserve">Informācija par to, vai </w:t>
            </w:r>
            <w:r w:rsidRPr="007D6273">
              <w:lastRenderedPageBreak/>
              <w:t>starptautiskās saistības, kas minētas šīs tabulas A ailē, tiek izpildītas pilnībā vai daļēji.</w:t>
            </w:r>
          </w:p>
          <w:p w:rsidR="00391449" w:rsidRPr="007D6273" w:rsidRDefault="00391449" w:rsidP="00D60AFC">
            <w:pPr>
              <w:jc w:val="both"/>
            </w:pPr>
            <w:r w:rsidRPr="007D6273">
              <w:t>Ja attiecīgās starptautiskās saistības tiek izpildītas daļēji, sniedz attiecīgu skaidrojumu, kā arī precīzi norāda, kad un kādā veidā starptautiskās saistības tiks izpildītas pilnībā.</w:t>
            </w:r>
          </w:p>
          <w:p w:rsidR="00391449" w:rsidRPr="007D6273" w:rsidRDefault="00391449" w:rsidP="00D60AFC">
            <w:pPr>
              <w:jc w:val="both"/>
              <w:rPr>
                <w:lang w:eastAsia="en-US"/>
              </w:rPr>
            </w:pPr>
            <w:r w:rsidRPr="007D6273">
              <w:t>Norāda institūciju, kas ir atbildīga par šo saistību izpildi pilnībā</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rPr>
                <w:iCs/>
              </w:rPr>
              <w:lastRenderedPageBreak/>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rPr>
                <w:iCs/>
              </w:rPr>
              <w:t>MK noteikumu projekts šo jomu neskar.</w:t>
            </w:r>
          </w:p>
        </w:tc>
        <w:tc>
          <w:tcPr>
            <w:tcW w:w="2700"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rPr>
                <w:iCs/>
              </w:rPr>
              <w:t>MK noteikumu projekts šo jomu neskar.</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D60AFC">
            <w:pPr>
              <w:jc w:val="both"/>
              <w:rPr>
                <w:lang w:eastAsia="en-US"/>
              </w:rPr>
            </w:pPr>
            <w:r w:rsidRPr="007D6273">
              <w:t>Vai starptautiskajā dokumentā paredzētās saistības nav pretrunā ar jau esošajām Latvijas Republikas starptautiskajām saistībām</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i/>
                <w:lang w:eastAsia="en-US"/>
              </w:rPr>
            </w:pPr>
            <w:r w:rsidRPr="007D6273">
              <w:rPr>
                <w:iCs/>
              </w:rPr>
              <w:t>MK noteikumu projekts šo jomu neskar.</w:t>
            </w:r>
          </w:p>
        </w:tc>
      </w:tr>
      <w:tr w:rsidR="00391449" w:rsidRPr="007D6273" w:rsidTr="00D92D99">
        <w:tc>
          <w:tcPr>
            <w:tcW w:w="3384" w:type="dxa"/>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lang w:eastAsia="en-US"/>
              </w:rPr>
            </w:pPr>
            <w:r w:rsidRPr="007D6273">
              <w:t>Cita informācija</w:t>
            </w:r>
          </w:p>
        </w:tc>
        <w:tc>
          <w:tcPr>
            <w:tcW w:w="5796" w:type="dxa"/>
            <w:gridSpan w:val="2"/>
            <w:tcBorders>
              <w:top w:val="single" w:sz="4" w:space="0" w:color="auto"/>
              <w:left w:val="single" w:sz="4" w:space="0" w:color="auto"/>
              <w:bottom w:val="single" w:sz="4" w:space="0" w:color="auto"/>
              <w:right w:val="single" w:sz="4" w:space="0" w:color="auto"/>
            </w:tcBorders>
            <w:hideMark/>
          </w:tcPr>
          <w:p w:rsidR="00391449" w:rsidRPr="007D6273" w:rsidRDefault="00391449" w:rsidP="00BF08DE">
            <w:pPr>
              <w:rPr>
                <w:lang w:eastAsia="en-US"/>
              </w:rPr>
            </w:pPr>
            <w:r w:rsidRPr="007D6273">
              <w:t>Nav.</w:t>
            </w:r>
          </w:p>
        </w:tc>
      </w:tr>
    </w:tbl>
    <w:p w:rsidR="00041551" w:rsidRPr="007D6273" w:rsidRDefault="00041551" w:rsidP="00D02ABF">
      <w:pPr>
        <w:jc w:val="center"/>
        <w:rPr>
          <w:lang w:eastAsia="en-US"/>
        </w:rPr>
      </w:pPr>
    </w:p>
    <w:p w:rsidR="00FE1C57" w:rsidRPr="007D6273" w:rsidRDefault="00FE1C57" w:rsidP="00D02ABF">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D02ABF" w:rsidRPr="007D6273" w:rsidTr="00D92D99">
        <w:trPr>
          <w:trHeight w:val="421"/>
        </w:trPr>
        <w:tc>
          <w:tcPr>
            <w:tcW w:w="9214" w:type="dxa"/>
            <w:gridSpan w:val="3"/>
            <w:vAlign w:val="center"/>
          </w:tcPr>
          <w:p w:rsidR="00D02ABF" w:rsidRPr="007D6273" w:rsidRDefault="00D02ABF" w:rsidP="003425D3">
            <w:pPr>
              <w:pStyle w:val="naisnod"/>
              <w:spacing w:before="0" w:beforeAutospacing="0" w:after="0" w:afterAutospacing="0"/>
              <w:ind w:left="57" w:right="57"/>
              <w:jc w:val="center"/>
            </w:pPr>
            <w:r w:rsidRPr="007D6273">
              <w:rPr>
                <w:b/>
              </w:rPr>
              <w:t>VI. Sabiedrības līdzdalība un komunikācijas aktivitātes</w:t>
            </w:r>
          </w:p>
        </w:tc>
      </w:tr>
      <w:tr w:rsidR="00D02ABF" w:rsidRPr="007D6273" w:rsidTr="00D92D99">
        <w:trPr>
          <w:trHeight w:val="553"/>
        </w:trPr>
        <w:tc>
          <w:tcPr>
            <w:tcW w:w="315" w:type="dxa"/>
          </w:tcPr>
          <w:p w:rsidR="00D02ABF" w:rsidRPr="007D6273" w:rsidRDefault="00D02ABF" w:rsidP="003425D3">
            <w:pPr>
              <w:ind w:left="57" w:right="57"/>
              <w:jc w:val="both"/>
              <w:rPr>
                <w:bCs/>
              </w:rPr>
            </w:pPr>
            <w:r w:rsidRPr="007D6273">
              <w:rPr>
                <w:bCs/>
              </w:rPr>
              <w:t>1.</w:t>
            </w:r>
          </w:p>
        </w:tc>
        <w:tc>
          <w:tcPr>
            <w:tcW w:w="2842" w:type="dxa"/>
          </w:tcPr>
          <w:p w:rsidR="00D02ABF" w:rsidRPr="007D6273" w:rsidRDefault="00D02ABF" w:rsidP="003425D3">
            <w:pPr>
              <w:tabs>
                <w:tab w:val="left" w:pos="170"/>
              </w:tabs>
              <w:ind w:left="57" w:right="57"/>
            </w:pPr>
            <w:r w:rsidRPr="007D6273">
              <w:t>Plānotās sabiedrības līdzdalības un komunikācijas aktivitātes saistībā ar projektu</w:t>
            </w:r>
          </w:p>
        </w:tc>
        <w:tc>
          <w:tcPr>
            <w:tcW w:w="6057" w:type="dxa"/>
          </w:tcPr>
          <w:p w:rsidR="00D02ABF" w:rsidRPr="00721CD2" w:rsidRDefault="00B5655C" w:rsidP="00B30C49">
            <w:pPr>
              <w:shd w:val="clear" w:color="auto" w:fill="FFFFFF"/>
              <w:spacing w:after="120"/>
              <w:ind w:left="57" w:right="113"/>
              <w:jc w:val="both"/>
            </w:pPr>
            <w:r w:rsidRPr="00721CD2">
              <w:t xml:space="preserve">Atbilstoši normatīvo aktu prasībām VARAM tīmekļa vietnē ievietota informācija par MK noteikumu projektu un par tā virzību. Tiek organizētas regulāras sanāksmes ar Latvijas Pašvaldību savienību, Latvijas Lielo pilsētu asociāciju, kā arī </w:t>
            </w:r>
            <w:r w:rsidR="00483402" w:rsidRPr="00721CD2">
              <w:t xml:space="preserve">turpinās </w:t>
            </w:r>
            <w:r w:rsidRPr="00721CD2">
              <w:t xml:space="preserve">komunikācija ar </w:t>
            </w:r>
            <w:r w:rsidR="00483402" w:rsidRPr="00721CD2">
              <w:t xml:space="preserve">pašvaldībām, Reģionālo attīstības centru apvienību un plānošanas reģioniem, t.sk. </w:t>
            </w:r>
            <w:r w:rsidRPr="00721CD2">
              <w:t xml:space="preserve">Latgales plānošanas reģionu un </w:t>
            </w:r>
            <w:r w:rsidR="00483402" w:rsidRPr="00721CD2">
              <w:t xml:space="preserve">Latgales plānošanas reģiona </w:t>
            </w:r>
            <w:r w:rsidRPr="00721CD2">
              <w:t>pašvaldībām</w:t>
            </w:r>
            <w:r w:rsidR="00483402" w:rsidRPr="00721CD2">
              <w:t>.</w:t>
            </w:r>
          </w:p>
        </w:tc>
      </w:tr>
      <w:tr w:rsidR="00D02ABF" w:rsidRPr="007D6273" w:rsidTr="00D92D99">
        <w:trPr>
          <w:trHeight w:val="339"/>
        </w:trPr>
        <w:tc>
          <w:tcPr>
            <w:tcW w:w="315" w:type="dxa"/>
          </w:tcPr>
          <w:p w:rsidR="00D02ABF" w:rsidRPr="007D6273" w:rsidRDefault="00D02ABF" w:rsidP="003425D3">
            <w:pPr>
              <w:ind w:left="57" w:right="57"/>
              <w:jc w:val="both"/>
              <w:rPr>
                <w:bCs/>
              </w:rPr>
            </w:pPr>
            <w:r w:rsidRPr="007D6273">
              <w:rPr>
                <w:bCs/>
              </w:rPr>
              <w:t>2.</w:t>
            </w:r>
          </w:p>
        </w:tc>
        <w:tc>
          <w:tcPr>
            <w:tcW w:w="2842" w:type="dxa"/>
          </w:tcPr>
          <w:p w:rsidR="00D02ABF" w:rsidRPr="007D6273" w:rsidRDefault="00D02ABF" w:rsidP="003425D3">
            <w:pPr>
              <w:ind w:left="57" w:right="57"/>
            </w:pPr>
            <w:r w:rsidRPr="007D6273">
              <w:t>Sabiedrības līdzdalība projekta izstrādē</w:t>
            </w:r>
          </w:p>
        </w:tc>
        <w:tc>
          <w:tcPr>
            <w:tcW w:w="6057" w:type="dxa"/>
          </w:tcPr>
          <w:p w:rsidR="00B5655C" w:rsidRPr="00721CD2" w:rsidRDefault="00B5655C" w:rsidP="00B5655C">
            <w:pPr>
              <w:shd w:val="clear" w:color="auto" w:fill="FFFFFF"/>
              <w:spacing w:after="120"/>
              <w:ind w:left="57" w:right="113"/>
              <w:jc w:val="both"/>
            </w:pPr>
            <w:r w:rsidRPr="00721CD2">
              <w:t>Informatīvā ziņojuma, kurā noteikts investīciju ietvars VARAM pārziņā esošo specifisko atbalsta mērķu īstenošanai reģionālās attīstības jomā 2014.–2020.gada plānošanas periodā un kas nosaka MK noteikumu projektā ietvertos SAM īstenošanas pamatprincipus, izstrādē iesaistītas tādas nevalstiskās organizācijas kā Latvijas Pa</w:t>
            </w:r>
            <w:r w:rsidR="00E713AD" w:rsidRPr="00721CD2">
              <w:t>švaldību savienība un Latvijas L</w:t>
            </w:r>
            <w:r w:rsidRPr="00721CD2">
              <w:t xml:space="preserve">ielo </w:t>
            </w:r>
            <w:r w:rsidR="00E713AD" w:rsidRPr="00721CD2">
              <w:t>pilsētu</w:t>
            </w:r>
            <w:r w:rsidRPr="00721CD2">
              <w:t xml:space="preserve"> asociācija.</w:t>
            </w:r>
          </w:p>
          <w:p w:rsidR="00B5655C" w:rsidRPr="00721CD2" w:rsidRDefault="00B5655C" w:rsidP="00B5655C">
            <w:pPr>
              <w:shd w:val="clear" w:color="auto" w:fill="FFFFFF"/>
              <w:spacing w:after="120"/>
              <w:ind w:left="57" w:right="113"/>
              <w:jc w:val="both"/>
              <w:rPr>
                <w:kern w:val="24"/>
              </w:rPr>
            </w:pPr>
            <w:r w:rsidRPr="00721CD2">
              <w:rPr>
                <w:bCs/>
                <w:kern w:val="24"/>
              </w:rPr>
              <w:t xml:space="preserve">2014.gada 14.un 15.oktobrī </w:t>
            </w:r>
            <w:r w:rsidR="00175B07" w:rsidRPr="00721CD2">
              <w:rPr>
                <w:bCs/>
                <w:kern w:val="24"/>
              </w:rPr>
              <w:t xml:space="preserve">un 2015.gada 15.aprīlī </w:t>
            </w:r>
            <w:r w:rsidRPr="00721CD2">
              <w:rPr>
                <w:bCs/>
                <w:kern w:val="24"/>
              </w:rPr>
              <w:t xml:space="preserve">VARAM organizēja seminārus pašvaldībām, lai informētu par </w:t>
            </w:r>
            <w:r w:rsidR="003C4F0B" w:rsidRPr="00721CD2">
              <w:rPr>
                <w:bCs/>
                <w:kern w:val="24"/>
              </w:rPr>
              <w:t>SAM</w:t>
            </w:r>
            <w:r w:rsidRPr="00721CD2">
              <w:rPr>
                <w:bCs/>
                <w:kern w:val="24"/>
              </w:rPr>
              <w:t xml:space="preserve"> investīciju ieviešanas principiem un mehānismu. Semināru laikā </w:t>
            </w:r>
            <w:r w:rsidRPr="00721CD2">
              <w:rPr>
                <w:kern w:val="24"/>
              </w:rPr>
              <w:t>uzklausīti un iespēju robežās ņemti vērā pašvaldību pārstāvju viedokļi un ierosinājumi.</w:t>
            </w:r>
            <w:r w:rsidR="00C83346" w:rsidRPr="00721CD2">
              <w:rPr>
                <w:kern w:val="24"/>
              </w:rPr>
              <w:t xml:space="preserve"> Piemēram, semināru rezultātā atvieglotas prasības </w:t>
            </w:r>
            <w:r w:rsidR="00175B07" w:rsidRPr="00721CD2">
              <w:rPr>
                <w:kern w:val="24"/>
              </w:rPr>
              <w:t xml:space="preserve">privātajiem </w:t>
            </w:r>
            <w:r w:rsidR="00C83346" w:rsidRPr="00721CD2">
              <w:rPr>
                <w:kern w:val="24"/>
              </w:rPr>
              <w:t xml:space="preserve">komersantiem attiecībā uz iesniedzamajiem dokumentiem, gadījumā, </w:t>
            </w:r>
            <w:r w:rsidR="00C83346" w:rsidRPr="00721CD2">
              <w:t xml:space="preserve">ja </w:t>
            </w:r>
            <w:r w:rsidR="00175B07" w:rsidRPr="00721CD2">
              <w:lastRenderedPageBreak/>
              <w:t xml:space="preserve">privātais </w:t>
            </w:r>
            <w:r w:rsidR="00C83346" w:rsidRPr="00721CD2">
              <w:t xml:space="preserve">komersants pašvaldībai ir apliecinājis, ka veiks nefinanšu investīcijas vismaz 500 000 </w:t>
            </w:r>
            <w:r w:rsidR="00C83346" w:rsidRPr="00721CD2">
              <w:rPr>
                <w:i/>
              </w:rPr>
              <w:t>euro</w:t>
            </w:r>
            <w:r w:rsidR="00C83346" w:rsidRPr="00721CD2">
              <w:t xml:space="preserve"> apmērā</w:t>
            </w:r>
            <w:r w:rsidR="00C83346" w:rsidRPr="00721CD2">
              <w:rPr>
                <w:kern w:val="24"/>
              </w:rPr>
              <w:t xml:space="preserve"> (bankas garantijas vēstule vairs nav noteikta kā obligāta prasība, to var aizvietot ar </w:t>
            </w:r>
            <w:r w:rsidR="00175B07" w:rsidRPr="00721CD2">
              <w:rPr>
                <w:kern w:val="24"/>
              </w:rPr>
              <w:t xml:space="preserve">privātā </w:t>
            </w:r>
            <w:r w:rsidR="00C83346" w:rsidRPr="00721CD2">
              <w:t xml:space="preserve">komersanta </w:t>
            </w:r>
            <w:r w:rsidR="00993D16" w:rsidRPr="00721CD2">
              <w:t xml:space="preserve">apliecinājumu </w:t>
            </w:r>
            <w:r w:rsidR="00C83346" w:rsidRPr="00721CD2">
              <w:t>par dalību atbalsta programmās, finanšu aprēķinu, depozīta izrakstu vai citu dokumentu)</w:t>
            </w:r>
            <w:r w:rsidR="00C83346" w:rsidRPr="00721CD2">
              <w:rPr>
                <w:kern w:val="24"/>
              </w:rPr>
              <w:t>.</w:t>
            </w:r>
          </w:p>
          <w:p w:rsidR="00B5655C" w:rsidRPr="00721CD2" w:rsidRDefault="00B5655C" w:rsidP="00B5655C">
            <w:pPr>
              <w:shd w:val="clear" w:color="auto" w:fill="FFFFFF"/>
              <w:spacing w:after="120"/>
              <w:ind w:left="57" w:right="113"/>
              <w:jc w:val="both"/>
              <w:rPr>
                <w:kern w:val="24"/>
              </w:rPr>
            </w:pPr>
            <w:r w:rsidRPr="00721CD2">
              <w:rPr>
                <w:kern w:val="24"/>
              </w:rPr>
              <w:t>2014.gada novembrī VARAM nodrošināja dalību vadošās iestādes organizētajos semināros, kas notika visos plānošanas reģionos, kur tika sniegta informācija par SAM ietvaros plānotajām investīcijām, uzklausīti pašvaldību, nevalstiskā sektora pārstāvju un iedzīvotāju viedokļi.</w:t>
            </w:r>
            <w:r w:rsidRPr="00721CD2" w:rsidDel="00130B8C">
              <w:rPr>
                <w:kern w:val="24"/>
              </w:rPr>
              <w:t xml:space="preserve"> </w:t>
            </w:r>
          </w:p>
          <w:p w:rsidR="00D02ABF" w:rsidRPr="00721CD2" w:rsidRDefault="000F6AD5" w:rsidP="00041551">
            <w:pPr>
              <w:shd w:val="clear" w:color="auto" w:fill="FFFFFF"/>
              <w:spacing w:after="120"/>
              <w:ind w:left="57" w:right="113"/>
              <w:jc w:val="both"/>
              <w:rPr>
                <w:kern w:val="24"/>
              </w:rPr>
            </w:pPr>
            <w:r w:rsidRPr="00721CD2">
              <w:rPr>
                <w:kern w:val="24"/>
              </w:rPr>
              <w:t>Vienlaikus pašvaldības, kuras ir noteiktas kā projektu iesniedzēji SAM ietvaros, izmanto iespēju pašvaldību attīstības programmu izstrādes procesā piedalīties individuālās un grupu sanāksmēs VARAM, pārrunājot pašvaldību attīstības programmu investīciju plānos iekļaujamos projektu konceptus un to atbilstību</w:t>
            </w:r>
            <w:r w:rsidRPr="00721CD2">
              <w:rPr>
                <w:rFonts w:eastAsia="Times New Roman"/>
                <w:szCs w:val="22"/>
                <w:lang w:eastAsia="en-US"/>
              </w:rPr>
              <w:t xml:space="preserve"> plānošanas dokumentos noteiktajiem reģionālas jomas investīciju plānošanas politikas virzieniem</w:t>
            </w:r>
            <w:r w:rsidR="00041551" w:rsidRPr="00721CD2">
              <w:rPr>
                <w:rFonts w:eastAsia="Times New Roman"/>
                <w:szCs w:val="22"/>
                <w:lang w:eastAsia="en-US"/>
              </w:rPr>
              <w:t>.</w:t>
            </w:r>
          </w:p>
        </w:tc>
      </w:tr>
      <w:tr w:rsidR="00D02ABF" w:rsidRPr="007D6273" w:rsidTr="00D92D99">
        <w:trPr>
          <w:trHeight w:val="476"/>
        </w:trPr>
        <w:tc>
          <w:tcPr>
            <w:tcW w:w="315" w:type="dxa"/>
          </w:tcPr>
          <w:p w:rsidR="00D02ABF" w:rsidRPr="007D6273" w:rsidRDefault="00D02ABF" w:rsidP="003425D3">
            <w:pPr>
              <w:ind w:left="57" w:right="57"/>
              <w:jc w:val="both"/>
              <w:rPr>
                <w:bCs/>
              </w:rPr>
            </w:pPr>
            <w:r w:rsidRPr="007D6273">
              <w:rPr>
                <w:bCs/>
              </w:rPr>
              <w:lastRenderedPageBreak/>
              <w:t>3.</w:t>
            </w:r>
          </w:p>
        </w:tc>
        <w:tc>
          <w:tcPr>
            <w:tcW w:w="2842" w:type="dxa"/>
          </w:tcPr>
          <w:p w:rsidR="00D02ABF" w:rsidRPr="007D6273" w:rsidRDefault="00D02ABF" w:rsidP="003425D3">
            <w:pPr>
              <w:ind w:left="57" w:right="57"/>
            </w:pPr>
            <w:r w:rsidRPr="007D6273">
              <w:t>Sabiedrības līdzdalības rezultāti</w:t>
            </w:r>
          </w:p>
        </w:tc>
        <w:tc>
          <w:tcPr>
            <w:tcW w:w="6057" w:type="dxa"/>
          </w:tcPr>
          <w:p w:rsidR="000F6AD5" w:rsidRPr="007D6273" w:rsidRDefault="000F6AD5" w:rsidP="000F6AD5">
            <w:pPr>
              <w:shd w:val="clear" w:color="auto" w:fill="FFFFFF"/>
              <w:spacing w:after="120"/>
              <w:ind w:left="57" w:right="113"/>
              <w:jc w:val="both"/>
            </w:pPr>
            <w:r w:rsidRPr="007D6273">
              <w:t>Izstrādāti šādi dokumenti:</w:t>
            </w:r>
          </w:p>
          <w:p w:rsidR="000F6AD5" w:rsidRPr="007D6273" w:rsidRDefault="000F6AD5" w:rsidP="000F6AD5">
            <w:pPr>
              <w:numPr>
                <w:ilvl w:val="0"/>
                <w:numId w:val="17"/>
              </w:numPr>
              <w:shd w:val="clear" w:color="auto" w:fill="FFFFFF"/>
              <w:spacing w:after="120"/>
              <w:ind w:right="113"/>
              <w:jc w:val="both"/>
            </w:pPr>
            <w:r w:rsidRPr="007D6273">
              <w:t xml:space="preserve">Informatīvais ziņojums, kurā noteikts investīciju ietvars VARAM pārziņā esošo specifisko atbalsta mērķu īstenošanai reģionālās attīstības jomā 2014.–2020.gada plānošanas periodā (izskatīts </w:t>
            </w:r>
            <w:r w:rsidRPr="007D6273">
              <w:rPr>
                <w:bCs/>
                <w:lang w:eastAsia="en-US"/>
              </w:rPr>
              <w:t>MK 2014.gada 23.septembra sēdē (protokols Nr.50, 47.§)).</w:t>
            </w:r>
          </w:p>
          <w:p w:rsidR="000F6AD5" w:rsidRPr="00B30C49" w:rsidRDefault="000F6AD5" w:rsidP="000F6AD5">
            <w:pPr>
              <w:numPr>
                <w:ilvl w:val="0"/>
                <w:numId w:val="17"/>
              </w:numPr>
              <w:shd w:val="clear" w:color="auto" w:fill="FFFFFF"/>
              <w:spacing w:after="120"/>
              <w:ind w:right="113"/>
              <w:jc w:val="both"/>
            </w:pPr>
            <w:r w:rsidRPr="007D6273">
              <w:t xml:space="preserve">MK noteikumu projekts, kas paredz kārtību, kādā īsteno SAM, nosaka SAM mērķi, pieejamo finansējumu, prasības projekta iesniedzējam un projekta sadarbības partnerim, atbalstāmo darbību un izmaksu attiecināmības nosacījumus, SAM īstenošanas </w:t>
            </w:r>
            <w:r w:rsidRPr="00B30C49">
              <w:t>nosacījumus.</w:t>
            </w:r>
          </w:p>
          <w:p w:rsidR="00D02ABF" w:rsidRPr="007D6273" w:rsidRDefault="000F6AD5" w:rsidP="00175B07">
            <w:pPr>
              <w:numPr>
                <w:ilvl w:val="0"/>
                <w:numId w:val="17"/>
              </w:numPr>
              <w:shd w:val="clear" w:color="auto" w:fill="FFFFFF"/>
              <w:spacing w:after="120"/>
              <w:ind w:right="113"/>
              <w:jc w:val="both"/>
            </w:pPr>
            <w:r w:rsidRPr="00B30C49">
              <w:t xml:space="preserve">Projektu iesniegumu vērtēšanas kritēriju </w:t>
            </w:r>
            <w:r w:rsidR="00175B07" w:rsidRPr="00B30C49">
              <w:t>komplekts un projektu iesniegumu vērtēšanas kritēriju piemērošanas metodika, kas saskaņoti</w:t>
            </w:r>
            <w:r w:rsidRPr="00B30C49">
              <w:t xml:space="preserve">, </w:t>
            </w:r>
            <w:r w:rsidRPr="00B30C49">
              <w:rPr>
                <w:kern w:val="24"/>
              </w:rPr>
              <w:t xml:space="preserve">Eiropas Savienības struktūrfondu un Kohēzijas fonda </w:t>
            </w:r>
            <w:r w:rsidRPr="00B30C49">
              <w:t>2014.–2020.gada plānošanas perioda Uzraudzības komitejā</w:t>
            </w:r>
            <w:r w:rsidR="00175B07" w:rsidRPr="00B30C49">
              <w:t xml:space="preserve"> 2015.gada 30.maijā</w:t>
            </w:r>
            <w:r w:rsidRPr="00B30C49">
              <w:t>.</w:t>
            </w:r>
          </w:p>
        </w:tc>
      </w:tr>
      <w:tr w:rsidR="00D02ABF" w:rsidRPr="007D6273" w:rsidTr="00B4412D">
        <w:trPr>
          <w:trHeight w:val="357"/>
        </w:trPr>
        <w:tc>
          <w:tcPr>
            <w:tcW w:w="315" w:type="dxa"/>
          </w:tcPr>
          <w:p w:rsidR="00D02ABF" w:rsidRPr="007D6273" w:rsidRDefault="00D02ABF" w:rsidP="003425D3">
            <w:pPr>
              <w:ind w:left="57" w:right="57"/>
              <w:jc w:val="both"/>
              <w:rPr>
                <w:bCs/>
              </w:rPr>
            </w:pPr>
            <w:r w:rsidRPr="007D6273">
              <w:rPr>
                <w:bCs/>
              </w:rPr>
              <w:t>4.</w:t>
            </w:r>
          </w:p>
        </w:tc>
        <w:tc>
          <w:tcPr>
            <w:tcW w:w="2842" w:type="dxa"/>
          </w:tcPr>
          <w:p w:rsidR="00D02ABF" w:rsidRPr="007D6273" w:rsidRDefault="00D02ABF" w:rsidP="003425D3">
            <w:pPr>
              <w:ind w:left="57" w:right="57"/>
            </w:pPr>
            <w:r w:rsidRPr="007D6273">
              <w:t>Cita informācija</w:t>
            </w:r>
          </w:p>
        </w:tc>
        <w:tc>
          <w:tcPr>
            <w:tcW w:w="6057" w:type="dxa"/>
          </w:tcPr>
          <w:p w:rsidR="00D02ABF" w:rsidRPr="007D6273" w:rsidRDefault="00D02ABF" w:rsidP="003425D3">
            <w:pPr>
              <w:ind w:left="57" w:right="113"/>
              <w:jc w:val="both"/>
            </w:pPr>
            <w:r w:rsidRPr="007D6273">
              <w:t>Nav.</w:t>
            </w:r>
          </w:p>
        </w:tc>
      </w:tr>
    </w:tbl>
    <w:p w:rsidR="00D02ABF" w:rsidRDefault="00D02ABF" w:rsidP="00D02ABF">
      <w:pPr>
        <w:jc w:val="both"/>
      </w:pPr>
    </w:p>
    <w:p w:rsidR="00FE1C57" w:rsidRPr="007D6273" w:rsidRDefault="00FE1C57" w:rsidP="00D02ABF">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D02ABF" w:rsidRPr="007D6273" w:rsidTr="00B4412D">
        <w:trPr>
          <w:trHeight w:val="421"/>
        </w:trPr>
        <w:tc>
          <w:tcPr>
            <w:tcW w:w="9214" w:type="dxa"/>
            <w:gridSpan w:val="3"/>
            <w:vAlign w:val="center"/>
          </w:tcPr>
          <w:p w:rsidR="00D02ABF" w:rsidRPr="007D6273" w:rsidRDefault="00D02ABF" w:rsidP="003425D3">
            <w:pPr>
              <w:pStyle w:val="naisnod"/>
              <w:spacing w:before="0" w:beforeAutospacing="0" w:after="0" w:afterAutospacing="0"/>
              <w:ind w:left="57" w:right="57"/>
              <w:jc w:val="center"/>
            </w:pPr>
            <w:r w:rsidRPr="007D6273">
              <w:rPr>
                <w:b/>
              </w:rPr>
              <w:t>VII. Tiesību akta projekta izpildes nodrošināšana un tās ietekme uz institūcijām</w:t>
            </w:r>
          </w:p>
        </w:tc>
      </w:tr>
      <w:tr w:rsidR="00D02ABF" w:rsidRPr="007D6273" w:rsidTr="00B4412D">
        <w:trPr>
          <w:trHeight w:val="553"/>
        </w:trPr>
        <w:tc>
          <w:tcPr>
            <w:tcW w:w="333" w:type="dxa"/>
          </w:tcPr>
          <w:p w:rsidR="00D02ABF" w:rsidRPr="007D6273" w:rsidRDefault="00D02ABF" w:rsidP="003425D3">
            <w:pPr>
              <w:ind w:left="57" w:right="57"/>
              <w:jc w:val="both"/>
              <w:rPr>
                <w:bCs/>
              </w:rPr>
            </w:pPr>
            <w:r w:rsidRPr="007D6273">
              <w:rPr>
                <w:bCs/>
              </w:rPr>
              <w:t>1.</w:t>
            </w:r>
          </w:p>
        </w:tc>
        <w:tc>
          <w:tcPr>
            <w:tcW w:w="2838" w:type="dxa"/>
          </w:tcPr>
          <w:p w:rsidR="00D02ABF" w:rsidRPr="007D6273" w:rsidRDefault="00D02ABF" w:rsidP="003425D3">
            <w:pPr>
              <w:ind w:left="57" w:right="57"/>
            </w:pPr>
            <w:r w:rsidRPr="007D6273">
              <w:t>Projekta izpildē iesaistītās institūcijas</w:t>
            </w:r>
          </w:p>
        </w:tc>
        <w:tc>
          <w:tcPr>
            <w:tcW w:w="6043" w:type="dxa"/>
          </w:tcPr>
          <w:p w:rsidR="00D02ABF" w:rsidRPr="007D6273" w:rsidRDefault="000F6AD5" w:rsidP="00224F48">
            <w:pPr>
              <w:shd w:val="clear" w:color="auto" w:fill="FFFFFF"/>
              <w:ind w:left="57" w:right="113"/>
              <w:jc w:val="both"/>
            </w:pPr>
            <w:r w:rsidRPr="007D6273">
              <w:t>VARAM kā atbildīgā iestāde, sadarbības iestāde un potenciālie projektu iesniedzēji (t</w:t>
            </w:r>
            <w:r w:rsidR="00672B13" w:rsidRPr="007D6273">
              <w:t>.sk. pašvaldības un to iestādes</w:t>
            </w:r>
            <w:r w:rsidR="00175B07" w:rsidRPr="007D6273">
              <w:t xml:space="preserve">, </w:t>
            </w:r>
            <w:r w:rsidR="007E5A24" w:rsidRPr="00B30C49">
              <w:t>pašvaldību kapitālsabiedrības</w:t>
            </w:r>
            <w:r w:rsidR="00175B07" w:rsidRPr="00B30C49">
              <w:t>, kas veic pašvaldību deleģētos pārvaldes uzdevumus</w:t>
            </w:r>
            <w:r w:rsidRPr="00B30C49">
              <w:t>).</w:t>
            </w:r>
          </w:p>
        </w:tc>
      </w:tr>
      <w:tr w:rsidR="00D02ABF" w:rsidRPr="007D6273" w:rsidTr="00B4412D">
        <w:trPr>
          <w:trHeight w:val="339"/>
        </w:trPr>
        <w:tc>
          <w:tcPr>
            <w:tcW w:w="333" w:type="dxa"/>
          </w:tcPr>
          <w:p w:rsidR="00D02ABF" w:rsidRPr="007D6273" w:rsidRDefault="00D02ABF" w:rsidP="003425D3">
            <w:pPr>
              <w:ind w:left="57" w:right="57"/>
              <w:jc w:val="both"/>
              <w:rPr>
                <w:bCs/>
              </w:rPr>
            </w:pPr>
            <w:r w:rsidRPr="007D6273">
              <w:rPr>
                <w:bCs/>
              </w:rPr>
              <w:t>2.</w:t>
            </w:r>
          </w:p>
        </w:tc>
        <w:tc>
          <w:tcPr>
            <w:tcW w:w="2838" w:type="dxa"/>
          </w:tcPr>
          <w:p w:rsidR="00D02ABF" w:rsidRPr="007D6273" w:rsidRDefault="00D02ABF" w:rsidP="003425D3">
            <w:pPr>
              <w:ind w:left="57" w:right="57"/>
            </w:pPr>
            <w:r w:rsidRPr="007D6273">
              <w:t xml:space="preserve">Projekta izpildes ietekme uz pārvaldes funkcijām un </w:t>
            </w:r>
            <w:r w:rsidRPr="007D6273">
              <w:lastRenderedPageBreak/>
              <w:t xml:space="preserve">institucionālo struktūru. </w:t>
            </w:r>
          </w:p>
          <w:p w:rsidR="00D02ABF" w:rsidRPr="007D6273" w:rsidRDefault="00D02ABF" w:rsidP="00B4412D">
            <w:pPr>
              <w:ind w:left="57" w:right="57"/>
            </w:pPr>
            <w:r w:rsidRPr="007D6273">
              <w:t>Jaunu institūciju izveide, esošu institūciju likvidācija vai reorganizācija, to ietekme uz institūcijas cilvēkresursiem</w:t>
            </w:r>
          </w:p>
        </w:tc>
        <w:tc>
          <w:tcPr>
            <w:tcW w:w="6043" w:type="dxa"/>
          </w:tcPr>
          <w:p w:rsidR="00D02ABF" w:rsidRPr="007D6273" w:rsidRDefault="00D02ABF" w:rsidP="003425D3">
            <w:pPr>
              <w:shd w:val="clear" w:color="auto" w:fill="FFFFFF"/>
              <w:ind w:left="57" w:right="113"/>
              <w:jc w:val="both"/>
              <w:rPr>
                <w:kern w:val="24"/>
              </w:rPr>
            </w:pPr>
            <w:r w:rsidRPr="007D6273">
              <w:lastRenderedPageBreak/>
              <w:t>Nav plānota jaunu institūciju izveide, esošu institūciju likvidācija vai reorga</w:t>
            </w:r>
            <w:r w:rsidRPr="007D6273">
              <w:softHyphen/>
              <w:t>nizācija.</w:t>
            </w:r>
          </w:p>
        </w:tc>
      </w:tr>
      <w:tr w:rsidR="00D02ABF" w:rsidRPr="007D6273" w:rsidTr="00B4412D">
        <w:trPr>
          <w:trHeight w:val="351"/>
        </w:trPr>
        <w:tc>
          <w:tcPr>
            <w:tcW w:w="333" w:type="dxa"/>
          </w:tcPr>
          <w:p w:rsidR="00D02ABF" w:rsidRPr="007D6273" w:rsidRDefault="00D02ABF" w:rsidP="003425D3">
            <w:pPr>
              <w:ind w:left="57" w:right="57"/>
              <w:jc w:val="both"/>
              <w:rPr>
                <w:bCs/>
              </w:rPr>
            </w:pPr>
            <w:r w:rsidRPr="007D6273">
              <w:rPr>
                <w:bCs/>
              </w:rPr>
              <w:lastRenderedPageBreak/>
              <w:t>3.</w:t>
            </w:r>
          </w:p>
        </w:tc>
        <w:tc>
          <w:tcPr>
            <w:tcW w:w="2838" w:type="dxa"/>
          </w:tcPr>
          <w:p w:rsidR="00D02ABF" w:rsidRPr="007D6273" w:rsidRDefault="00D02ABF" w:rsidP="003425D3">
            <w:pPr>
              <w:ind w:left="57" w:right="57"/>
            </w:pPr>
            <w:r w:rsidRPr="007D6273">
              <w:t>Cita informācija</w:t>
            </w:r>
          </w:p>
        </w:tc>
        <w:tc>
          <w:tcPr>
            <w:tcW w:w="6043" w:type="dxa"/>
          </w:tcPr>
          <w:p w:rsidR="00D02ABF" w:rsidRPr="007D6273" w:rsidRDefault="00D02ABF" w:rsidP="003425D3">
            <w:pPr>
              <w:shd w:val="clear" w:color="auto" w:fill="FFFFFF"/>
              <w:ind w:left="57" w:right="113"/>
              <w:jc w:val="both"/>
            </w:pPr>
            <w:r w:rsidRPr="007D6273">
              <w:t xml:space="preserve">Nav. </w:t>
            </w:r>
          </w:p>
        </w:tc>
      </w:tr>
    </w:tbl>
    <w:p w:rsidR="00FE1C57" w:rsidRPr="007D6273" w:rsidRDefault="00FE1C57" w:rsidP="00693999">
      <w:pPr>
        <w:ind w:firstLine="720"/>
        <w:jc w:val="both"/>
      </w:pPr>
    </w:p>
    <w:p w:rsidR="00693999" w:rsidRPr="007D6273" w:rsidRDefault="008F23E8" w:rsidP="00693999">
      <w:pPr>
        <w:ind w:firstLine="720"/>
        <w:jc w:val="both"/>
      </w:pPr>
      <w:r w:rsidRPr="007D6273">
        <w:t>Anotāci</w:t>
      </w:r>
      <w:r w:rsidR="00B5655C" w:rsidRPr="007D6273">
        <w:t>jas IV.</w:t>
      </w:r>
      <w:r w:rsidR="00693999" w:rsidRPr="007D6273">
        <w:t>sadaļa –</w:t>
      </w:r>
      <w:r w:rsidR="00F638B2" w:rsidRPr="007D6273">
        <w:t xml:space="preserve"> </w:t>
      </w:r>
      <w:r w:rsidR="00B5655C" w:rsidRPr="007D6273">
        <w:t xml:space="preserve">MK noteikumu </w:t>
      </w:r>
      <w:r w:rsidR="00F638B2" w:rsidRPr="007D6273">
        <w:rPr>
          <w:iCs/>
        </w:rPr>
        <w:t xml:space="preserve">projekts </w:t>
      </w:r>
      <w:r w:rsidR="00B5655C" w:rsidRPr="007D6273">
        <w:rPr>
          <w:iCs/>
        </w:rPr>
        <w:t>šo jomu</w:t>
      </w:r>
      <w:r w:rsidR="00F638B2" w:rsidRPr="007D6273">
        <w:rPr>
          <w:iCs/>
        </w:rPr>
        <w:t xml:space="preserve"> neskar.</w:t>
      </w:r>
    </w:p>
    <w:p w:rsidR="00C61A59" w:rsidRPr="007D6273" w:rsidRDefault="00C61A59" w:rsidP="00D7163F">
      <w:pPr>
        <w:jc w:val="both"/>
      </w:pPr>
    </w:p>
    <w:p w:rsidR="002969F4" w:rsidRPr="007D6273" w:rsidRDefault="00C83346" w:rsidP="00C83346">
      <w:pPr>
        <w:tabs>
          <w:tab w:val="left" w:pos="5271"/>
        </w:tabs>
        <w:jc w:val="both"/>
      </w:pPr>
      <w:r w:rsidRPr="007D6273">
        <w:tab/>
      </w:r>
    </w:p>
    <w:p w:rsidR="00D7163F" w:rsidRPr="007D6273" w:rsidRDefault="00D7163F" w:rsidP="00D7163F">
      <w:pPr>
        <w:jc w:val="both"/>
      </w:pPr>
      <w:r w:rsidRPr="007D6273">
        <w:t>Vides aizsardzības un reģionālās</w:t>
      </w:r>
    </w:p>
    <w:p w:rsidR="00D7163F" w:rsidRPr="007D6273" w:rsidRDefault="00D7163F" w:rsidP="00D7163F">
      <w:pPr>
        <w:jc w:val="both"/>
      </w:pPr>
      <w:r w:rsidRPr="007D6273">
        <w:t>attīstības ministrijas ministrs</w:t>
      </w:r>
      <w:r w:rsidRPr="007D6273">
        <w:tab/>
      </w:r>
      <w:r w:rsidR="002B4D5F" w:rsidRPr="007D6273">
        <w:tab/>
      </w:r>
      <w:r w:rsidR="002B4D5F" w:rsidRPr="007D6273">
        <w:tab/>
      </w:r>
      <w:r w:rsidRPr="007D6273">
        <w:tab/>
      </w:r>
      <w:r w:rsidRPr="007D6273">
        <w:tab/>
      </w:r>
      <w:r w:rsidRPr="007D6273">
        <w:tab/>
      </w:r>
      <w:r w:rsidRPr="007D6273">
        <w:tab/>
      </w:r>
      <w:r w:rsidRPr="007D6273">
        <w:tab/>
      </w:r>
      <w:r w:rsidR="002B4D5F" w:rsidRPr="007D6273">
        <w:t>K.Gerhards</w:t>
      </w:r>
    </w:p>
    <w:p w:rsidR="00D7163F" w:rsidRPr="007D6273" w:rsidRDefault="00D7163F" w:rsidP="00D7163F">
      <w:pPr>
        <w:jc w:val="both"/>
      </w:pPr>
    </w:p>
    <w:p w:rsidR="00D7163F" w:rsidRPr="007D6273" w:rsidRDefault="00D7163F" w:rsidP="00D7163F">
      <w:pPr>
        <w:jc w:val="both"/>
      </w:pPr>
      <w:r w:rsidRPr="007D6273">
        <w:t>Vīza:</w:t>
      </w:r>
    </w:p>
    <w:p w:rsidR="00D7163F" w:rsidRPr="007D6273" w:rsidRDefault="00397D44" w:rsidP="00D7163F">
      <w:pPr>
        <w:jc w:val="both"/>
      </w:pPr>
      <w:r w:rsidRPr="007D6273">
        <w:t>Vides aizsardzības un reģionālās</w:t>
      </w:r>
    </w:p>
    <w:p w:rsidR="00D7163F" w:rsidRPr="007D6273" w:rsidRDefault="00D7163F" w:rsidP="00041551">
      <w:pPr>
        <w:spacing w:after="120"/>
        <w:jc w:val="both"/>
      </w:pPr>
      <w:r w:rsidRPr="007D6273">
        <w:t>attīstības ministrijas valsts sekretārs</w:t>
      </w:r>
      <w:r w:rsidRPr="007D6273">
        <w:tab/>
      </w:r>
      <w:r w:rsidRPr="007D6273">
        <w:tab/>
      </w:r>
      <w:r w:rsidRPr="007D6273">
        <w:tab/>
      </w:r>
      <w:r w:rsidRPr="007D6273">
        <w:tab/>
      </w:r>
      <w:r w:rsidRPr="007D6273">
        <w:tab/>
      </w:r>
      <w:r w:rsidRPr="007D6273">
        <w:tab/>
      </w:r>
      <w:r w:rsidRPr="007D6273">
        <w:tab/>
        <w:t>G.Puķītis</w:t>
      </w:r>
    </w:p>
    <w:p w:rsidR="008712F1" w:rsidRDefault="008712F1"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Default="00D52964" w:rsidP="003908DB">
      <w:pPr>
        <w:jc w:val="both"/>
        <w:rPr>
          <w:sz w:val="20"/>
          <w:szCs w:val="20"/>
        </w:rPr>
      </w:pPr>
    </w:p>
    <w:p w:rsidR="00D52964" w:rsidRPr="007D6273" w:rsidRDefault="00D52964" w:rsidP="003908DB">
      <w:pPr>
        <w:jc w:val="both"/>
        <w:rPr>
          <w:sz w:val="20"/>
          <w:szCs w:val="20"/>
        </w:rPr>
      </w:pPr>
    </w:p>
    <w:p w:rsidR="003908DB" w:rsidRPr="007D6273" w:rsidRDefault="00B95A95" w:rsidP="003908DB">
      <w:pPr>
        <w:jc w:val="both"/>
        <w:rPr>
          <w:sz w:val="20"/>
          <w:szCs w:val="20"/>
        </w:rPr>
      </w:pPr>
      <w:r>
        <w:rPr>
          <w:sz w:val="20"/>
          <w:szCs w:val="20"/>
        </w:rPr>
        <w:t>0</w:t>
      </w:r>
      <w:r w:rsidR="00417A4C">
        <w:rPr>
          <w:sz w:val="20"/>
          <w:szCs w:val="20"/>
        </w:rPr>
        <w:t>4</w:t>
      </w:r>
      <w:r w:rsidR="002C6683" w:rsidRPr="007D6273">
        <w:rPr>
          <w:sz w:val="20"/>
          <w:szCs w:val="20"/>
        </w:rPr>
        <w:t>.</w:t>
      </w:r>
      <w:r>
        <w:rPr>
          <w:sz w:val="20"/>
          <w:szCs w:val="20"/>
        </w:rPr>
        <w:t>11</w:t>
      </w:r>
      <w:r w:rsidR="002C6683" w:rsidRPr="007D6273">
        <w:rPr>
          <w:sz w:val="20"/>
          <w:szCs w:val="20"/>
        </w:rPr>
        <w:t>.2015</w:t>
      </w:r>
      <w:proofErr w:type="gramStart"/>
      <w:r w:rsidR="007D6273" w:rsidRPr="007D6273">
        <w:rPr>
          <w:sz w:val="20"/>
          <w:szCs w:val="20"/>
        </w:rPr>
        <w:t xml:space="preserve">  </w:t>
      </w:r>
      <w:proofErr w:type="gramEnd"/>
      <w:r w:rsidR="00D52964">
        <w:rPr>
          <w:sz w:val="20"/>
          <w:szCs w:val="20"/>
        </w:rPr>
        <w:t>12</w:t>
      </w:r>
      <w:r w:rsidR="007D6273" w:rsidRPr="007D6273">
        <w:rPr>
          <w:sz w:val="20"/>
          <w:szCs w:val="20"/>
        </w:rPr>
        <w:t>:</w:t>
      </w:r>
      <w:r w:rsidR="00D52964">
        <w:rPr>
          <w:sz w:val="20"/>
          <w:szCs w:val="20"/>
        </w:rPr>
        <w:t>14</w:t>
      </w:r>
    </w:p>
    <w:p w:rsidR="003908DB" w:rsidRPr="007D6273" w:rsidRDefault="004B5FA5" w:rsidP="003908DB">
      <w:pPr>
        <w:jc w:val="both"/>
        <w:rPr>
          <w:sz w:val="20"/>
          <w:szCs w:val="20"/>
        </w:rPr>
      </w:pPr>
      <w:r>
        <w:rPr>
          <w:sz w:val="20"/>
          <w:szCs w:val="20"/>
        </w:rPr>
        <w:t>13 058</w:t>
      </w:r>
    </w:p>
    <w:p w:rsidR="003908DB" w:rsidRPr="007D6273" w:rsidRDefault="00B76139" w:rsidP="003908DB">
      <w:pPr>
        <w:jc w:val="both"/>
        <w:rPr>
          <w:sz w:val="20"/>
          <w:szCs w:val="20"/>
        </w:rPr>
      </w:pPr>
      <w:r w:rsidRPr="007D6273">
        <w:rPr>
          <w:sz w:val="20"/>
          <w:szCs w:val="20"/>
        </w:rPr>
        <w:t>E.Nīmane</w:t>
      </w:r>
    </w:p>
    <w:p w:rsidR="00F011E6" w:rsidRPr="007D6273" w:rsidRDefault="003908DB" w:rsidP="00AE4C67">
      <w:pPr>
        <w:jc w:val="both"/>
      </w:pPr>
      <w:r w:rsidRPr="007D6273">
        <w:rPr>
          <w:sz w:val="20"/>
          <w:szCs w:val="20"/>
        </w:rPr>
        <w:t>66016</w:t>
      </w:r>
      <w:r w:rsidR="00B76139" w:rsidRPr="007D6273">
        <w:rPr>
          <w:sz w:val="20"/>
          <w:szCs w:val="20"/>
        </w:rPr>
        <w:t>776</w:t>
      </w:r>
      <w:r w:rsidR="00AE4C67" w:rsidRPr="007D6273">
        <w:rPr>
          <w:sz w:val="20"/>
          <w:szCs w:val="20"/>
        </w:rPr>
        <w:t xml:space="preserve">, </w:t>
      </w:r>
      <w:hyperlink r:id="rId31" w:history="1">
        <w:r w:rsidR="00B76139" w:rsidRPr="007D6273">
          <w:rPr>
            <w:rStyle w:val="Hyperlink"/>
            <w:color w:val="auto"/>
            <w:sz w:val="20"/>
            <w:szCs w:val="20"/>
          </w:rPr>
          <w:t>evita.nimane@varam.gov.lv</w:t>
        </w:r>
      </w:hyperlink>
    </w:p>
    <w:p w:rsidR="00AE4C67" w:rsidRPr="007D6273" w:rsidRDefault="00AE4C67" w:rsidP="00AE4C67">
      <w:pPr>
        <w:pStyle w:val="Header"/>
        <w:rPr>
          <w:sz w:val="20"/>
          <w:szCs w:val="20"/>
        </w:rPr>
      </w:pPr>
    </w:p>
    <w:p w:rsidR="00AE4C67" w:rsidRPr="007D6273" w:rsidRDefault="00AE4C67" w:rsidP="00AE4C67">
      <w:pPr>
        <w:pStyle w:val="Header"/>
        <w:rPr>
          <w:sz w:val="20"/>
          <w:szCs w:val="20"/>
        </w:rPr>
      </w:pPr>
      <w:r w:rsidRPr="007D6273">
        <w:rPr>
          <w:sz w:val="20"/>
          <w:szCs w:val="20"/>
        </w:rPr>
        <w:t>R.Timermanis</w:t>
      </w:r>
    </w:p>
    <w:p w:rsidR="00AE4C67" w:rsidRPr="007D6273" w:rsidRDefault="00AE4C67" w:rsidP="00AE4C67">
      <w:pPr>
        <w:pStyle w:val="Header"/>
        <w:tabs>
          <w:tab w:val="clear" w:pos="4153"/>
          <w:tab w:val="clear" w:pos="8306"/>
        </w:tabs>
        <w:rPr>
          <w:sz w:val="20"/>
          <w:szCs w:val="20"/>
        </w:rPr>
      </w:pPr>
      <w:r w:rsidRPr="007D6273">
        <w:rPr>
          <w:sz w:val="20"/>
          <w:szCs w:val="20"/>
        </w:rPr>
        <w:t xml:space="preserve">66016709, </w:t>
      </w:r>
      <w:hyperlink r:id="rId32" w:history="1">
        <w:r w:rsidR="00393592" w:rsidRPr="007D6273">
          <w:rPr>
            <w:rStyle w:val="Hyperlink"/>
            <w:color w:val="auto"/>
            <w:sz w:val="20"/>
            <w:szCs w:val="20"/>
          </w:rPr>
          <w:t>ritvars.timermanis@varam.gov.lv</w:t>
        </w:r>
      </w:hyperlink>
    </w:p>
    <w:p w:rsidR="00393592" w:rsidRPr="007D6273" w:rsidRDefault="00393592" w:rsidP="00AE4C67">
      <w:pPr>
        <w:pStyle w:val="Header"/>
        <w:tabs>
          <w:tab w:val="clear" w:pos="4153"/>
          <w:tab w:val="clear" w:pos="8306"/>
        </w:tabs>
        <w:rPr>
          <w:sz w:val="20"/>
          <w:szCs w:val="20"/>
        </w:rPr>
      </w:pPr>
    </w:p>
    <w:sectPr w:rsidR="00393592" w:rsidRPr="007D6273" w:rsidSect="00FE1C57">
      <w:headerReference w:type="default" r:id="rId33"/>
      <w:footerReference w:type="even" r:id="rId34"/>
      <w:footerReference w:type="default" r:id="rId35"/>
      <w:headerReference w:type="first" r:id="rId36"/>
      <w:footerReference w:type="first" r:id="rId37"/>
      <w:pgSz w:w="11906" w:h="16838"/>
      <w:pgMar w:top="1418" w:right="1134" w:bottom="1418"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83" w:rsidRDefault="00061B83">
      <w:r>
        <w:separator/>
      </w:r>
    </w:p>
  </w:endnote>
  <w:endnote w:type="continuationSeparator" w:id="0">
    <w:p w:rsidR="00061B83" w:rsidRDefault="0006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83" w:rsidRPr="00186C21" w:rsidRDefault="00061B83"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83" w:rsidRPr="00330635" w:rsidRDefault="00061B83" w:rsidP="007B559D">
    <w:pPr>
      <w:jc w:val="both"/>
      <w:rPr>
        <w:sz w:val="20"/>
        <w:szCs w:val="20"/>
      </w:rPr>
    </w:pPr>
    <w:r w:rsidRPr="00551742">
      <w:rPr>
        <w:bCs/>
        <w:sz w:val="20"/>
        <w:szCs w:val="20"/>
      </w:rPr>
      <w:t>VARAMAnot_</w:t>
    </w:r>
    <w:r>
      <w:rPr>
        <w:bCs/>
        <w:sz w:val="20"/>
        <w:szCs w:val="20"/>
      </w:rPr>
      <w:t>04112015</w:t>
    </w:r>
    <w:r w:rsidRPr="00551742">
      <w:rPr>
        <w:bCs/>
        <w:sz w:val="20"/>
        <w:szCs w:val="20"/>
      </w:rPr>
      <w:t>_</w:t>
    </w:r>
    <w:r>
      <w:rPr>
        <w:bCs/>
        <w:sz w:val="20"/>
        <w:szCs w:val="20"/>
      </w:rPr>
      <w:t>VSS392</w:t>
    </w:r>
    <w:r w:rsidRPr="00330635">
      <w:rPr>
        <w:bCs/>
        <w:sz w:val="20"/>
        <w:szCs w:val="20"/>
      </w:rPr>
      <w:t xml:space="preserve">; </w:t>
    </w:r>
    <w:r w:rsidRPr="00A975EA">
      <w:rPr>
        <w:bCs/>
        <w:sz w:val="20"/>
        <w:szCs w:val="20"/>
      </w:rPr>
      <w:t>„</w:t>
    </w:r>
    <w:r>
      <w:rPr>
        <w:bCs/>
        <w:sz w:val="20"/>
        <w:szCs w:val="20"/>
      </w:rPr>
      <w:t>D</w:t>
    </w:r>
    <w:r w:rsidRPr="00A975EA">
      <w:rPr>
        <w:bCs/>
        <w:sz w:val="20"/>
        <w:szCs w:val="20"/>
      </w:rPr>
      <w:t>arbības programmas „Izaugsme un nodarbinātība</w:t>
    </w:r>
    <w:r>
      <w:rPr>
        <w:bCs/>
        <w:sz w:val="20"/>
        <w:szCs w:val="20"/>
      </w:rPr>
      <w:t>”</w:t>
    </w:r>
    <w:r w:rsidRPr="00A975EA">
      <w:rPr>
        <w:bCs/>
        <w:sz w:val="20"/>
        <w:szCs w:val="20"/>
      </w:rPr>
      <w:t xml:space="preserve"> </w:t>
    </w:r>
    <w:r>
      <w:rPr>
        <w:bCs/>
        <w:sz w:val="20"/>
        <w:szCs w:val="20"/>
      </w:rPr>
      <w:t>5.6.2</w:t>
    </w:r>
    <w:r w:rsidRPr="00A975EA">
      <w:rPr>
        <w:bCs/>
        <w:sz w:val="20"/>
        <w:szCs w:val="20"/>
      </w:rPr>
      <w:t>.specifiskā atbalsta mērķa „</w:t>
    </w:r>
    <w:r w:rsidRPr="007B559D">
      <w:rPr>
        <w:bCs/>
        <w:sz w:val="20"/>
        <w:szCs w:val="20"/>
      </w:rPr>
      <w:t>Teritoriju revitalizācija, reģenerējot degradētās teritorijas atbilstoši pašvaldību integrētajām attīstības programmām</w:t>
    </w:r>
    <w:r w:rsidRPr="00A975EA">
      <w:rPr>
        <w:bCs/>
        <w:sz w:val="20"/>
        <w:szCs w:val="20"/>
      </w:rPr>
      <w:t>” īstenošan</w:t>
    </w:r>
    <w:r>
      <w:rPr>
        <w:bCs/>
        <w:sz w:val="20"/>
        <w:szCs w:val="20"/>
      </w:rPr>
      <w:t>as noteikumi</w:t>
    </w:r>
    <w:r w:rsidRPr="00A975EA">
      <w:rPr>
        <w:bCs/>
        <w:sz w:val="20"/>
        <w:szCs w:val="20"/>
      </w:rPr>
      <w:t>” sākotnējās ietekmes novērtējuma ziņojums (anotācija)</w:t>
    </w:r>
  </w:p>
  <w:p w:rsidR="00061B83" w:rsidRPr="00330635" w:rsidRDefault="00061B83" w:rsidP="0033063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83" w:rsidRPr="00330635" w:rsidRDefault="00061B83" w:rsidP="007B559D">
    <w:pPr>
      <w:jc w:val="both"/>
      <w:rPr>
        <w:sz w:val="20"/>
        <w:szCs w:val="20"/>
      </w:rPr>
    </w:pPr>
    <w:r w:rsidRPr="00551742">
      <w:rPr>
        <w:bCs/>
        <w:sz w:val="20"/>
        <w:szCs w:val="20"/>
      </w:rPr>
      <w:t>VARAMAnot_</w:t>
    </w:r>
    <w:r>
      <w:rPr>
        <w:bCs/>
        <w:sz w:val="20"/>
        <w:szCs w:val="20"/>
      </w:rPr>
      <w:t>04112015</w:t>
    </w:r>
    <w:r w:rsidRPr="00551742">
      <w:rPr>
        <w:bCs/>
        <w:sz w:val="20"/>
        <w:szCs w:val="20"/>
      </w:rPr>
      <w:t>_</w:t>
    </w:r>
    <w:r>
      <w:rPr>
        <w:bCs/>
        <w:sz w:val="20"/>
        <w:szCs w:val="20"/>
      </w:rPr>
      <w:t>VSS392</w:t>
    </w:r>
    <w:r w:rsidRPr="00330635">
      <w:rPr>
        <w:bCs/>
        <w:sz w:val="20"/>
        <w:szCs w:val="20"/>
      </w:rPr>
      <w:t xml:space="preserve">; </w:t>
    </w:r>
    <w:r w:rsidRPr="00A975EA">
      <w:rPr>
        <w:bCs/>
        <w:sz w:val="20"/>
        <w:szCs w:val="20"/>
      </w:rPr>
      <w:t>„</w:t>
    </w:r>
    <w:r>
      <w:rPr>
        <w:bCs/>
        <w:sz w:val="20"/>
        <w:szCs w:val="20"/>
      </w:rPr>
      <w:t>D</w:t>
    </w:r>
    <w:r w:rsidRPr="00A975EA">
      <w:rPr>
        <w:bCs/>
        <w:sz w:val="20"/>
        <w:szCs w:val="20"/>
      </w:rPr>
      <w:t>arbības programmas „Izaugsme un nodarbinātība</w:t>
    </w:r>
    <w:r>
      <w:rPr>
        <w:bCs/>
        <w:sz w:val="20"/>
        <w:szCs w:val="20"/>
      </w:rPr>
      <w:t>”</w:t>
    </w:r>
    <w:r w:rsidRPr="00A975EA">
      <w:rPr>
        <w:bCs/>
        <w:sz w:val="20"/>
        <w:szCs w:val="20"/>
      </w:rPr>
      <w:t xml:space="preserve"> </w:t>
    </w:r>
    <w:r>
      <w:rPr>
        <w:bCs/>
        <w:sz w:val="20"/>
        <w:szCs w:val="20"/>
      </w:rPr>
      <w:t>5.6.2</w:t>
    </w:r>
    <w:r w:rsidRPr="00A975EA">
      <w:rPr>
        <w:bCs/>
        <w:sz w:val="20"/>
        <w:szCs w:val="20"/>
      </w:rPr>
      <w:t>.specifiskā atbalsta mērķa „</w:t>
    </w:r>
    <w:r w:rsidRPr="007B559D">
      <w:rPr>
        <w:bCs/>
        <w:sz w:val="20"/>
        <w:szCs w:val="20"/>
      </w:rPr>
      <w:t>Teritoriju revitalizācija, reģenerējot degradētās teritorijas atbilstoši pašvaldību integrētajām attīstības programmām</w:t>
    </w:r>
    <w:r w:rsidRPr="00A975EA">
      <w:rPr>
        <w:bCs/>
        <w:sz w:val="20"/>
        <w:szCs w:val="20"/>
      </w:rPr>
      <w:t>” īstenošan</w:t>
    </w:r>
    <w:r>
      <w:rPr>
        <w:bCs/>
        <w:sz w:val="20"/>
        <w:szCs w:val="20"/>
      </w:rPr>
      <w:t>as noteikumi</w:t>
    </w:r>
    <w:r w:rsidRPr="00A975EA">
      <w:rPr>
        <w:bCs/>
        <w:sz w:val="20"/>
        <w:szCs w:val="20"/>
      </w:rPr>
      <w:t>” sākotnējās ietekmes novērtējuma ziņojums (anotācija)</w:t>
    </w:r>
  </w:p>
  <w:p w:rsidR="00061B83" w:rsidRPr="00330635" w:rsidRDefault="00061B83" w:rsidP="008032CD">
    <w:pPr>
      <w:pStyle w:val="BodyText2"/>
      <w:spacing w:line="240" w:lineRule="auto"/>
      <w:jc w:val="both"/>
      <w:rPr>
        <w:b w:val="0"/>
        <w:bCs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83" w:rsidRDefault="00061B83">
      <w:r>
        <w:separator/>
      </w:r>
    </w:p>
  </w:footnote>
  <w:footnote w:type="continuationSeparator" w:id="0">
    <w:p w:rsidR="00061B83" w:rsidRDefault="00061B83">
      <w:r>
        <w:continuationSeparator/>
      </w:r>
    </w:p>
  </w:footnote>
  <w:footnote w:id="1">
    <w:p w:rsidR="00061B83" w:rsidRPr="00FF3F8B" w:rsidRDefault="00061B83">
      <w:pPr>
        <w:pStyle w:val="FootnoteText"/>
        <w:rPr>
          <w:lang w:val="lv-LV"/>
        </w:rPr>
      </w:pPr>
      <w:r w:rsidRPr="00FF3F8B">
        <w:rPr>
          <w:rStyle w:val="FootnoteReference"/>
          <w:lang w:val="lv-LV"/>
        </w:rPr>
        <w:footnoteRef/>
      </w:r>
      <w:r w:rsidRPr="00FF3F8B">
        <w:rPr>
          <w:lang w:val="lv-LV"/>
        </w:rPr>
        <w:t xml:space="preserve"> </w:t>
      </w:r>
      <w:r w:rsidRPr="00FF3F8B">
        <w:rPr>
          <w:bCs/>
          <w:lang w:val="lv-LV"/>
        </w:rPr>
        <w:t>Darbības programmas „Izaugsme un nodarbinātība”, 485.rindkopa.</w:t>
      </w:r>
    </w:p>
  </w:footnote>
  <w:footnote w:id="2">
    <w:p w:rsidR="00061B83" w:rsidRPr="00BC1414" w:rsidRDefault="00061B83" w:rsidP="00D42898">
      <w:pPr>
        <w:pStyle w:val="FootnoteText"/>
        <w:rPr>
          <w:lang w:val="lv-LV"/>
        </w:rPr>
      </w:pPr>
      <w:r>
        <w:rPr>
          <w:rStyle w:val="FootnoteReference"/>
        </w:rPr>
        <w:footnoteRef/>
      </w:r>
      <w:r>
        <w:t xml:space="preserve"> </w:t>
      </w:r>
      <w:proofErr w:type="spellStart"/>
      <w:r>
        <w:t>Pieejams</w:t>
      </w:r>
      <w:proofErr w:type="spellEnd"/>
      <w:r>
        <w:t xml:space="preserve">: </w:t>
      </w:r>
      <w:r w:rsidRPr="00BC1414">
        <w:t>http://www.varam.gov.lv/lat/fondi/kohez/2014_2020/?doc=19270</w:t>
      </w:r>
    </w:p>
  </w:footnote>
  <w:footnote w:id="3">
    <w:p w:rsidR="00061B83" w:rsidRPr="00DB16CD" w:rsidRDefault="00061B83" w:rsidP="00D55776">
      <w:pPr>
        <w:pStyle w:val="FootnoteText"/>
        <w:spacing w:after="120"/>
        <w:jc w:val="both"/>
        <w:rPr>
          <w:lang w:val="lv-LV"/>
        </w:rPr>
      </w:pPr>
      <w:r>
        <w:rPr>
          <w:rStyle w:val="FootnoteReference"/>
        </w:rPr>
        <w:footnoteRef/>
      </w:r>
      <w:r w:rsidRPr="00DB16CD">
        <w:rPr>
          <w:lang w:val="lv-LV"/>
        </w:rPr>
        <w:t xml:space="preserve"> </w:t>
      </w:r>
      <w:r>
        <w:rPr>
          <w:lang w:val="lv-LV"/>
        </w:rPr>
        <w:t>Eiropas Savienības fondu 2007.-2013.gada plānošanas perioda darbības programmas „Infrastruktūra un pakalpojumi” 3.6.1.1.aktivitāte „Nacionālas un reģionālas nozīmes attīstības centru izaugsmes veicināšana līdzsvarotai valsts attīstībai”.</w:t>
      </w:r>
    </w:p>
  </w:footnote>
  <w:footnote w:id="4">
    <w:p w:rsidR="00061B83" w:rsidRPr="00141A9C" w:rsidRDefault="00061B83" w:rsidP="005447FF">
      <w:pPr>
        <w:pStyle w:val="FootnoteText"/>
        <w:rPr>
          <w:lang w:val="lv-LV"/>
        </w:rPr>
      </w:pPr>
      <w:r>
        <w:rPr>
          <w:rStyle w:val="FootnoteReference"/>
        </w:rPr>
        <w:footnoteRef/>
      </w:r>
      <w:r w:rsidRPr="00141A9C">
        <w:rPr>
          <w:lang w:val="lv-LV"/>
        </w:rPr>
        <w:t xml:space="preserve"> </w:t>
      </w:r>
      <w:r w:rsidRPr="00473170">
        <w:rPr>
          <w:lang w:val="lv-LV"/>
        </w:rPr>
        <w:t>Pieejams</w:t>
      </w:r>
      <w:r>
        <w:t xml:space="preserve">: </w:t>
      </w:r>
      <w:r w:rsidRPr="00BC1414">
        <w:t>http://www.varam.gov.lv/lat/fondi/kohez/2014_2020/?doc=19270</w:t>
      </w:r>
    </w:p>
  </w:footnote>
  <w:footnote w:id="5">
    <w:p w:rsidR="00061B83" w:rsidRPr="00027C48" w:rsidRDefault="00061B83" w:rsidP="00610740">
      <w:pPr>
        <w:pStyle w:val="FootnoteText"/>
        <w:rPr>
          <w:lang w:val="lv-LV"/>
        </w:rPr>
      </w:pPr>
      <w:r w:rsidRPr="00027C48">
        <w:rPr>
          <w:rStyle w:val="FootnoteReference"/>
          <w:lang w:val="lv-LV"/>
        </w:rPr>
        <w:footnoteRef/>
      </w:r>
      <w:r w:rsidRPr="00027C48">
        <w:rPr>
          <w:lang w:val="lv-LV"/>
        </w:rPr>
        <w:t xml:space="preserve"> Darbības programma</w:t>
      </w:r>
      <w:r>
        <w:rPr>
          <w:lang w:val="lv-LV"/>
        </w:rPr>
        <w:t xml:space="preserve"> „Izaugsme un nodarbinātība” 486</w:t>
      </w:r>
      <w:r w:rsidRPr="00027C48">
        <w:rPr>
          <w:lang w:val="lv-LV"/>
        </w:rPr>
        <w:t>.</w:t>
      </w:r>
      <w:r>
        <w:rPr>
          <w:lang w:val="lv-LV"/>
        </w:rPr>
        <w:t xml:space="preserve"> </w:t>
      </w:r>
      <w:r w:rsidRPr="00027C48">
        <w:rPr>
          <w:lang w:val="lv-LV"/>
        </w:rPr>
        <w:t>rindkopa.</w:t>
      </w:r>
    </w:p>
  </w:footnote>
  <w:footnote w:id="6">
    <w:p w:rsidR="00061B83" w:rsidRPr="00027C48" w:rsidRDefault="00061B83" w:rsidP="00610740">
      <w:pPr>
        <w:pStyle w:val="FootnoteText"/>
        <w:rPr>
          <w:lang w:val="lv-LV"/>
        </w:rPr>
      </w:pPr>
      <w:r w:rsidRPr="00027C48">
        <w:rPr>
          <w:rStyle w:val="FootnoteReference"/>
          <w:lang w:val="lv-LV"/>
        </w:rPr>
        <w:footnoteRef/>
      </w:r>
      <w:r w:rsidRPr="00027C48">
        <w:rPr>
          <w:lang w:val="lv-LV"/>
        </w:rPr>
        <w:t xml:space="preserve"> Darbības programma</w:t>
      </w:r>
      <w:r>
        <w:rPr>
          <w:lang w:val="lv-LV"/>
        </w:rPr>
        <w:t xml:space="preserve"> „Izaugsme un nodarbinātība” 506</w:t>
      </w:r>
      <w:r w:rsidRPr="00027C48">
        <w:rPr>
          <w:lang w:val="lv-LV"/>
        </w:rPr>
        <w:t>.</w:t>
      </w:r>
      <w:r>
        <w:rPr>
          <w:lang w:val="lv-LV"/>
        </w:rPr>
        <w:t xml:space="preserve"> </w:t>
      </w:r>
      <w:r w:rsidRPr="00027C48">
        <w:rPr>
          <w:lang w:val="lv-LV"/>
        </w:rPr>
        <w:t>rindkopa.</w:t>
      </w:r>
    </w:p>
  </w:footnote>
  <w:footnote w:id="7">
    <w:p w:rsidR="00061B83" w:rsidRPr="00D52964" w:rsidRDefault="00061B83" w:rsidP="005820B2">
      <w:pPr>
        <w:pStyle w:val="FootnoteText"/>
        <w:jc w:val="both"/>
        <w:rPr>
          <w:lang w:val="lv-LV"/>
        </w:rPr>
      </w:pPr>
      <w:r w:rsidRPr="00D52964">
        <w:rPr>
          <w:rStyle w:val="FootnoteReference"/>
        </w:rPr>
        <w:footnoteRef/>
      </w:r>
      <w:r w:rsidRPr="00D52964">
        <w:rPr>
          <w:lang w:val="lv-LV"/>
        </w:rPr>
        <w:t xml:space="preserve"> Pieejams: </w:t>
      </w:r>
      <w:hyperlink r:id="rId1" w:history="1">
        <w:r w:rsidRPr="00D52964">
          <w:rPr>
            <w:rStyle w:val="Hyperlink"/>
            <w:lang w:val="lv-LV"/>
          </w:rPr>
          <w:t>http://www.esfondi.lv/page.php?id=1149</w:t>
        </w:r>
      </w:hyperlink>
      <w:r w:rsidRPr="00D52964">
        <w:rPr>
          <w:lang w:val="lv-LV"/>
        </w:rPr>
        <w:t xml:space="preserve"> (Darbības programmas „Izaugsme un nodarbinātība” rādītāju noteikšanas aprakti)</w:t>
      </w:r>
    </w:p>
  </w:footnote>
  <w:footnote w:id="8">
    <w:p w:rsidR="00061B83" w:rsidRPr="00972377" w:rsidRDefault="00061B83" w:rsidP="00DE47EE">
      <w:pPr>
        <w:pStyle w:val="FootnoteText"/>
        <w:spacing w:after="120"/>
        <w:rPr>
          <w:lang w:val="lv-LV"/>
        </w:rPr>
      </w:pPr>
      <w:r>
        <w:rPr>
          <w:rStyle w:val="FootnoteReference"/>
        </w:rPr>
        <w:footnoteRef/>
      </w:r>
      <w:r w:rsidRPr="00972377">
        <w:rPr>
          <w:lang w:val="lv-LV"/>
        </w:rPr>
        <w:t xml:space="preserve"> </w:t>
      </w:r>
      <w:proofErr w:type="spellStart"/>
      <w:r w:rsidRPr="00256E03">
        <w:t>Pieejams</w:t>
      </w:r>
      <w:proofErr w:type="spellEnd"/>
      <w:r w:rsidRPr="00256E03">
        <w:t>:</w:t>
      </w:r>
      <w:r w:rsidRPr="00256E03">
        <w:rPr>
          <w:lang w:val="lv-LV"/>
        </w:rPr>
        <w:t xml:space="preserve"> </w:t>
      </w:r>
      <w:hyperlink r:id="rId2" w:history="1">
        <w:r w:rsidRPr="00256E03">
          <w:rPr>
            <w:rStyle w:val="Hyperlink"/>
          </w:rPr>
          <w:t>https://www.em.gov.lv/files/tautsaimniecibas_attistiba/dsp/EMZino_02_260612.pdf</w:t>
        </w:r>
      </w:hyperlink>
    </w:p>
  </w:footnote>
  <w:footnote w:id="9">
    <w:p w:rsidR="00061B83" w:rsidRPr="007A7CE8" w:rsidRDefault="00061B83" w:rsidP="00A456C8">
      <w:pPr>
        <w:pStyle w:val="FootnoteText"/>
        <w:jc w:val="both"/>
        <w:rPr>
          <w:lang w:val="lv-LV"/>
        </w:rPr>
      </w:pPr>
      <w:r w:rsidRPr="00027C48">
        <w:rPr>
          <w:rStyle w:val="FootnoteReference"/>
          <w:rFonts w:eastAsia="Calibri"/>
          <w:lang w:val="lv-LV"/>
        </w:rPr>
        <w:footnoteRef/>
      </w:r>
      <w:r w:rsidRPr="00027C48">
        <w:rPr>
          <w:lang w:val="lv-LV"/>
        </w:rPr>
        <w:t xml:space="preserve"> </w:t>
      </w:r>
      <w:r w:rsidRPr="00027C48">
        <w:rPr>
          <w:rStyle w:val="cspklasifikatorscodename"/>
          <w:lang w:val="lv-LV"/>
        </w:rPr>
        <w:t>Nodarbinātības valsts aģentūras pasūt</w:t>
      </w:r>
      <w:r w:rsidRPr="007A7CE8">
        <w:rPr>
          <w:rStyle w:val="cspklasifikatorscodename"/>
          <w:lang w:val="lv-LV"/>
        </w:rPr>
        <w:t>ītais pētījums „Darba tirgus specifisko reģionālo problēmu identificēšana un pasākumu izstrādāšana reģionālā darba tirgus konkurētspējas stiprināšanai”</w:t>
      </w:r>
      <w:r w:rsidRPr="007A7CE8">
        <w:rPr>
          <w:lang w:val="lv-LV"/>
        </w:rPr>
        <w:t xml:space="preserve">. </w:t>
      </w:r>
    </w:p>
    <w:p w:rsidR="00061B83" w:rsidRPr="00027C48" w:rsidRDefault="00061B83" w:rsidP="00A456C8">
      <w:pPr>
        <w:pStyle w:val="FootnoteText"/>
        <w:spacing w:after="120"/>
        <w:jc w:val="both"/>
        <w:rPr>
          <w:lang w:val="lv-LV"/>
        </w:rPr>
      </w:pPr>
      <w:r w:rsidRPr="00027C48">
        <w:rPr>
          <w:lang w:val="lv-LV"/>
        </w:rPr>
        <w:t xml:space="preserve">Pieejams: </w:t>
      </w:r>
      <w:hyperlink r:id="rId3" w:history="1">
        <w:r w:rsidRPr="00027C48">
          <w:rPr>
            <w:rStyle w:val="Hyperlink"/>
            <w:lang w:val="lv-LV"/>
          </w:rPr>
          <w:t>http://www.nva.gov.lv/docs/28_53abbd1dd43556.21255150.pdf</w:t>
        </w:r>
      </w:hyperlink>
    </w:p>
  </w:footnote>
  <w:footnote w:id="10">
    <w:p w:rsidR="00061B83" w:rsidRPr="00027C48" w:rsidRDefault="00061B83" w:rsidP="00E56438">
      <w:pPr>
        <w:pStyle w:val="FootnoteText"/>
        <w:rPr>
          <w:lang w:val="lv-LV"/>
        </w:rPr>
      </w:pPr>
      <w:r w:rsidRPr="00027C48">
        <w:rPr>
          <w:rStyle w:val="FootnoteReference"/>
          <w:lang w:val="lv-LV"/>
        </w:rPr>
        <w:footnoteRef/>
      </w:r>
      <w:r w:rsidRPr="00027C48">
        <w:rPr>
          <w:lang w:val="lv-LV"/>
        </w:rPr>
        <w:t xml:space="preserve"> Snieguma rezerve tiek paredzēta atbilstoši regulas Nr.1303/2013</w:t>
      </w:r>
      <w:r w:rsidRPr="00027C48">
        <w:rPr>
          <w:rStyle w:val="FootnoteReference"/>
          <w:lang w:val="lv-LV"/>
        </w:rPr>
        <w:footnoteRef/>
      </w:r>
      <w:r w:rsidRPr="00027C48">
        <w:rPr>
          <w:lang w:val="lv-LV"/>
        </w:rPr>
        <w:t xml:space="preserve"> 20.pantam.</w:t>
      </w:r>
    </w:p>
  </w:footnote>
  <w:footnote w:id="11">
    <w:p w:rsidR="00061B83" w:rsidRPr="00866E4A" w:rsidRDefault="00061B83" w:rsidP="00586FBF">
      <w:pPr>
        <w:pStyle w:val="FootnoteText"/>
        <w:spacing w:after="120"/>
        <w:rPr>
          <w:lang w:val="lv-LV"/>
        </w:rPr>
      </w:pPr>
      <w:r>
        <w:rPr>
          <w:rStyle w:val="FootnoteReference"/>
        </w:rPr>
        <w:footnoteRef/>
      </w:r>
      <w:r>
        <w:t xml:space="preserve"> </w:t>
      </w:r>
      <w:r w:rsidRPr="00FF3F8B">
        <w:rPr>
          <w:bCs/>
          <w:lang w:val="lv-LV"/>
        </w:rPr>
        <w:t xml:space="preserve">Darbības programmas </w:t>
      </w:r>
      <w:r>
        <w:rPr>
          <w:bCs/>
          <w:lang w:val="lv-LV"/>
        </w:rPr>
        <w:t>„Izaugsme un nodarbinātība”, 501</w:t>
      </w:r>
      <w:r w:rsidRPr="00FF3F8B">
        <w:rPr>
          <w:bCs/>
          <w:lang w:val="lv-LV"/>
        </w:rPr>
        <w:t>.</w:t>
      </w:r>
      <w:r>
        <w:rPr>
          <w:bCs/>
          <w:lang w:val="lv-LV"/>
        </w:rPr>
        <w:t xml:space="preserve"> </w:t>
      </w:r>
      <w:r w:rsidRPr="00FF3F8B">
        <w:rPr>
          <w:bCs/>
          <w:lang w:val="lv-LV"/>
        </w:rPr>
        <w:t>rindkopa</w:t>
      </w:r>
      <w:r>
        <w:rPr>
          <w:bCs/>
          <w:lang w:val="lv-LV"/>
        </w:rPr>
        <w:t>.</w:t>
      </w:r>
    </w:p>
  </w:footnote>
  <w:footnote w:id="12">
    <w:p w:rsidR="00061B83" w:rsidRPr="00EC3A85" w:rsidRDefault="00061B83" w:rsidP="00586FBF">
      <w:pPr>
        <w:pStyle w:val="FootnoteText"/>
        <w:spacing w:after="120"/>
        <w:jc w:val="both"/>
        <w:rPr>
          <w:lang w:val="lv-LV"/>
        </w:rPr>
      </w:pPr>
      <w:r>
        <w:rPr>
          <w:rStyle w:val="FootnoteReference"/>
        </w:rPr>
        <w:footnoteRef/>
      </w:r>
      <w:r w:rsidRPr="00EC3A85">
        <w:rPr>
          <w:lang w:val="lv-LV"/>
        </w:rPr>
        <w:t xml:space="preserve"> </w:t>
      </w:r>
      <w:r>
        <w:rPr>
          <w:lang w:val="lv-LV"/>
        </w:rPr>
        <w:t xml:space="preserve">Partnerības līgums, 97.lpp., </w:t>
      </w:r>
      <w:r w:rsidRPr="00EC3A85">
        <w:rPr>
          <w:lang w:val="lv-LV"/>
        </w:rPr>
        <w:t xml:space="preserve">zemsvītras atsauce Nr.143. „Degradētā teritorija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 </w:t>
      </w:r>
    </w:p>
  </w:footnote>
  <w:footnote w:id="13">
    <w:p w:rsidR="00061B83" w:rsidRPr="002B2CF2" w:rsidRDefault="00061B83" w:rsidP="00054025">
      <w:pPr>
        <w:pStyle w:val="FootnoteText"/>
        <w:tabs>
          <w:tab w:val="left" w:pos="9071"/>
        </w:tabs>
        <w:spacing w:after="60"/>
        <w:ind w:right="-1"/>
        <w:jc w:val="both"/>
        <w:rPr>
          <w:b/>
          <w:lang w:val="lv-LV"/>
        </w:rPr>
      </w:pPr>
      <w:r w:rsidRPr="00B53FCC">
        <w:rPr>
          <w:rStyle w:val="FootnoteReference"/>
        </w:rPr>
        <w:footnoteRef/>
      </w:r>
      <w:r w:rsidRPr="00B53FCC">
        <w:rPr>
          <w:lang w:val="lv-LV"/>
        </w:rPr>
        <w:t xml:space="preserve"> Finanšu ministrijas 2015.gada 2.jūnija vadlīnijas Nr.2.1. „Vadlīnijās attiecināmo un neattiecināmo izmaksu noteikšanai 2014.-2020.gada plānošanas periodā”</w:t>
      </w:r>
    </w:p>
  </w:footnote>
  <w:footnote w:id="14">
    <w:p w:rsidR="00061B83" w:rsidRPr="00FF3F8B" w:rsidRDefault="00061B83" w:rsidP="00586FBF">
      <w:pPr>
        <w:pStyle w:val="FootnoteText"/>
        <w:spacing w:after="120"/>
        <w:jc w:val="both"/>
        <w:rPr>
          <w:lang w:val="lv-LV"/>
        </w:rPr>
      </w:pPr>
      <w:r w:rsidRPr="00FF3F8B">
        <w:rPr>
          <w:rStyle w:val="FootnoteReference"/>
          <w:rFonts w:eastAsia="Calibri"/>
          <w:lang w:val="lv-LV"/>
        </w:rPr>
        <w:footnoteRef/>
      </w:r>
      <w:r w:rsidRPr="00FF3F8B">
        <w:rPr>
          <w:lang w:val="lv-LV"/>
        </w:rPr>
        <w:t xml:space="preserve"> Finanšu ministrijas metodika „Metodika par netiešo izmaksu vienotās likmes piemērošanu projekta izmaksu atzīšanā” (2014.gada 22.decembris)</w:t>
      </w:r>
    </w:p>
  </w:footnote>
  <w:footnote w:id="15">
    <w:p w:rsidR="00061B83" w:rsidRPr="00B53FCC" w:rsidRDefault="00061B83" w:rsidP="00D52964">
      <w:pPr>
        <w:pStyle w:val="FootnoteText"/>
        <w:tabs>
          <w:tab w:val="left" w:pos="9071"/>
        </w:tabs>
        <w:ind w:right="-1"/>
        <w:jc w:val="both"/>
        <w:rPr>
          <w:lang w:val="lv-LV"/>
        </w:rPr>
      </w:pPr>
      <w:r w:rsidRPr="00B53FCC">
        <w:rPr>
          <w:rStyle w:val="FootnoteReference"/>
          <w:lang w:val="lv-LV"/>
        </w:rPr>
        <w:footnoteRef/>
      </w:r>
      <w:r w:rsidRPr="00B53FCC">
        <w:rPr>
          <w:lang w:val="lv-LV"/>
        </w:rPr>
        <w:t xml:space="preserve"> Eiropas Komisijas 2015.gada 29.janvāra vēstule Nr.(2015)354635 „</w:t>
      </w:r>
      <w:proofErr w:type="spellStart"/>
      <w:r w:rsidRPr="00B53FCC">
        <w:rPr>
          <w:lang w:val="lv-LV"/>
        </w:rPr>
        <w:t>Support</w:t>
      </w:r>
      <w:proofErr w:type="spellEnd"/>
      <w:r w:rsidRPr="00B53FCC">
        <w:rPr>
          <w:lang w:val="lv-LV"/>
        </w:rPr>
        <w:t xml:space="preserve"> to </w:t>
      </w:r>
      <w:proofErr w:type="spellStart"/>
      <w:r w:rsidRPr="00B53FCC">
        <w:rPr>
          <w:lang w:val="lv-LV"/>
        </w:rPr>
        <w:t>large</w:t>
      </w:r>
      <w:proofErr w:type="spellEnd"/>
      <w:r w:rsidRPr="00B53FCC">
        <w:rPr>
          <w:lang w:val="lv-LV"/>
        </w:rPr>
        <w:t xml:space="preserve"> </w:t>
      </w:r>
      <w:proofErr w:type="spellStart"/>
      <w:r w:rsidRPr="00B53FCC">
        <w:rPr>
          <w:lang w:val="lv-LV"/>
        </w:rPr>
        <w:t>enterprises</w:t>
      </w:r>
      <w:proofErr w:type="spellEnd"/>
      <w:r w:rsidRPr="00B53FCC">
        <w:rPr>
          <w:lang w:val="lv-LV"/>
        </w:rPr>
        <w:t xml:space="preserve"> </w:t>
      </w:r>
      <w:proofErr w:type="spellStart"/>
      <w:r w:rsidRPr="00B53FCC">
        <w:rPr>
          <w:lang w:val="lv-LV"/>
        </w:rPr>
        <w:t>under</w:t>
      </w:r>
      <w:proofErr w:type="spellEnd"/>
      <w:r w:rsidRPr="00B53FCC">
        <w:rPr>
          <w:lang w:val="lv-LV"/>
        </w:rPr>
        <w:t xml:space="preserve"> </w:t>
      </w:r>
      <w:proofErr w:type="spellStart"/>
      <w:r w:rsidRPr="00B53FCC">
        <w:rPr>
          <w:lang w:val="lv-LV"/>
        </w:rPr>
        <w:t>Tematic</w:t>
      </w:r>
      <w:proofErr w:type="spellEnd"/>
      <w:r w:rsidRPr="00B53FCC">
        <w:rPr>
          <w:lang w:val="lv-LV"/>
        </w:rPr>
        <w:t xml:space="preserve"> </w:t>
      </w:r>
      <w:proofErr w:type="spellStart"/>
      <w:r w:rsidRPr="00B53FCC">
        <w:rPr>
          <w:lang w:val="lv-LV"/>
        </w:rPr>
        <w:t>objective</w:t>
      </w:r>
      <w:proofErr w:type="spellEnd"/>
      <w:r w:rsidRPr="00B53FCC">
        <w:rPr>
          <w:lang w:val="lv-LV"/>
        </w:rPr>
        <w:t xml:space="preserve"> 3 </w:t>
      </w:r>
      <w:proofErr w:type="spellStart"/>
      <w:r w:rsidRPr="00B53FCC">
        <w:rPr>
          <w:lang w:val="lv-LV"/>
        </w:rPr>
        <w:t>and</w:t>
      </w:r>
      <w:proofErr w:type="spellEnd"/>
      <w:r w:rsidRPr="00B53FCC">
        <w:rPr>
          <w:lang w:val="lv-LV"/>
        </w:rPr>
        <w:t xml:space="preserve"> </w:t>
      </w:r>
      <w:proofErr w:type="spellStart"/>
      <w:r w:rsidRPr="00B53FCC">
        <w:rPr>
          <w:lang w:val="lv-LV"/>
        </w:rPr>
        <w:t>Thematic</w:t>
      </w:r>
      <w:proofErr w:type="spellEnd"/>
      <w:r w:rsidRPr="00B53FCC">
        <w:rPr>
          <w:lang w:val="lv-LV"/>
        </w:rPr>
        <w:t xml:space="preserve"> </w:t>
      </w:r>
      <w:proofErr w:type="spellStart"/>
      <w:r w:rsidRPr="00B53FCC">
        <w:rPr>
          <w:lang w:val="lv-LV"/>
        </w:rPr>
        <w:t>objective</w:t>
      </w:r>
      <w:proofErr w:type="spellEnd"/>
      <w:r w:rsidRPr="00B53FCC">
        <w:rPr>
          <w:lang w:val="lv-LV"/>
        </w:rPr>
        <w:t xml:space="preserve"> 5”</w:t>
      </w:r>
    </w:p>
  </w:footnote>
  <w:footnote w:id="16">
    <w:p w:rsidR="00061B83" w:rsidRPr="00027C48" w:rsidRDefault="00061B83" w:rsidP="000E7587">
      <w:pPr>
        <w:pStyle w:val="FootnoteText"/>
        <w:spacing w:after="120"/>
        <w:jc w:val="both"/>
        <w:rPr>
          <w:lang w:val="lv-LV"/>
        </w:rPr>
      </w:pPr>
      <w:r w:rsidRPr="00027C48">
        <w:rPr>
          <w:rStyle w:val="FootnoteReference"/>
          <w:lang w:val="lv-LV"/>
        </w:rPr>
        <w:footnoteRef/>
      </w:r>
      <w:r w:rsidRPr="00027C48">
        <w:rPr>
          <w:lang w:val="lv-LV"/>
        </w:rPr>
        <w:t xml:space="preserve"> Darbības programma “Izaugsme un nodarbinātība”, 1097.rindkopa.</w:t>
      </w:r>
    </w:p>
  </w:footnote>
  <w:footnote w:id="17">
    <w:p w:rsidR="00061B83" w:rsidRPr="00C314DD" w:rsidRDefault="00061B83" w:rsidP="000E7587">
      <w:pPr>
        <w:pStyle w:val="FootnoteText"/>
        <w:jc w:val="both"/>
        <w:rPr>
          <w:lang w:val="lv-LV"/>
        </w:rPr>
      </w:pPr>
      <w:r w:rsidRPr="00C314DD">
        <w:rPr>
          <w:rStyle w:val="FootnoteReference"/>
          <w:lang w:val="lv-LV"/>
        </w:rPr>
        <w:footnoteRef/>
      </w:r>
      <w:r w:rsidRPr="00C314DD">
        <w:rPr>
          <w:lang w:val="lv-LV"/>
        </w:rPr>
        <w:t xml:space="preserve"> Partnerības līgums 2014.-2020.gada plānošanas perioda Eiropas struktūrfondu un investīciju fondu īstenošanai</w:t>
      </w:r>
      <w:r>
        <w:rPr>
          <w:lang w:val="lv-LV"/>
        </w:rPr>
        <w:t>, 670.rindkopa</w:t>
      </w:r>
      <w:r w:rsidRPr="00C314DD">
        <w:rPr>
          <w:lang w:val="lv-LV"/>
        </w:rPr>
        <w:t>.</w:t>
      </w:r>
    </w:p>
  </w:footnote>
  <w:footnote w:id="18">
    <w:p w:rsidR="00061B83" w:rsidRPr="0056422C" w:rsidRDefault="00061B83" w:rsidP="00E04370">
      <w:pPr>
        <w:pStyle w:val="FootnoteText"/>
        <w:spacing w:after="120"/>
        <w:jc w:val="both"/>
        <w:rPr>
          <w:lang w:val="lv-LV"/>
        </w:rPr>
      </w:pPr>
      <w:r>
        <w:rPr>
          <w:rStyle w:val="FootnoteReference"/>
        </w:rPr>
        <w:footnoteRef/>
      </w:r>
      <w:r>
        <w:t xml:space="preserve"> </w:t>
      </w:r>
      <w:proofErr w:type="spellStart"/>
      <w:r>
        <w:t>Atbilstoši</w:t>
      </w:r>
      <w:proofErr w:type="spellEnd"/>
      <w:r>
        <w:t xml:space="preserve"> </w:t>
      </w:r>
      <w:r w:rsidRPr="00172F58">
        <w:rPr>
          <w:lang w:val="lv-LV"/>
        </w:rPr>
        <w:t xml:space="preserve">Eiropas Parlamenta </w:t>
      </w:r>
      <w:proofErr w:type="gramStart"/>
      <w:r w:rsidRPr="00172F58">
        <w:rPr>
          <w:lang w:val="lv-LV"/>
        </w:rPr>
        <w:t>un</w:t>
      </w:r>
      <w:proofErr w:type="gramEnd"/>
      <w:r w:rsidRPr="00172F58">
        <w:rPr>
          <w:lang w:val="lv-LV"/>
        </w:rPr>
        <w:t xml:space="preserve"> Padomes 2013. gada 17. decembra regulas (ES) Nr. </w:t>
      </w:r>
      <w:hyperlink r:id="rId4" w:tgtFrame="_blank" w:history="1">
        <w:r w:rsidRPr="00172F58">
          <w:rPr>
            <w:rStyle w:val="Hyperlink"/>
            <w:lang w:val="lv-LV"/>
          </w:rPr>
          <w:t>1301/2013</w:t>
        </w:r>
      </w:hyperlink>
      <w:r w:rsidRPr="00172F58">
        <w:rPr>
          <w:lang w:val="lv-LV"/>
        </w:rPr>
        <w:t xml:space="preserve"> par Eiropas Reģionālās attīstības fondu un īpašiem noteikumiem attiecībā uz mērķi „Investīcijas izaugsmei un nodarbinātībai” un ar ko atceļ regulu (EK) Nr. </w:t>
      </w:r>
      <w:hyperlink r:id="rId5" w:tgtFrame="_blank" w:history="1">
        <w:r w:rsidRPr="00172F58">
          <w:rPr>
            <w:rStyle w:val="Hyperlink"/>
            <w:lang w:val="lv-LV"/>
          </w:rPr>
          <w:t>1080/2006</w:t>
        </w:r>
      </w:hyperlink>
      <w:r w:rsidRPr="00172F58">
        <w:rPr>
          <w:lang w:val="lv-LV"/>
        </w:rPr>
        <w:t xml:space="preserve"> 7. panta 4. un 5. punktam un Eiropas Savienības struktūrfondu un Kohēzijas fonda 2014.-2020. gada plānošanas perioda vadības likuma 10. panta otrās daļas 17. </w:t>
      </w:r>
      <w:r>
        <w:rPr>
          <w:lang w:val="lv-LV"/>
        </w:rPr>
        <w:t>p</w:t>
      </w:r>
      <w:r w:rsidRPr="00172F58">
        <w:rPr>
          <w:lang w:val="lv-LV"/>
        </w:rPr>
        <w:t>unktam</w:t>
      </w:r>
      <w:r>
        <w:rPr>
          <w:lang w:val="lv-LV"/>
        </w:rPr>
        <w:t>.</w:t>
      </w:r>
    </w:p>
  </w:footnote>
  <w:footnote w:id="19">
    <w:p w:rsidR="00061B83" w:rsidRPr="00B639D7" w:rsidRDefault="00061B83">
      <w:pPr>
        <w:pStyle w:val="FootnoteText"/>
        <w:rPr>
          <w:lang w:val="lv-LV"/>
        </w:rPr>
      </w:pPr>
      <w:r>
        <w:rPr>
          <w:rStyle w:val="FootnoteReference"/>
        </w:rPr>
        <w:footnoteRef/>
      </w:r>
      <w:r>
        <w:t xml:space="preserve"> </w:t>
      </w:r>
      <w:r>
        <w:rPr>
          <w:lang w:val="lv-LV"/>
        </w:rPr>
        <w:t xml:space="preserve">Pieejams: </w:t>
      </w:r>
      <w:r w:rsidRPr="008E3E4D">
        <w:rPr>
          <w:lang w:val="lv-LV"/>
        </w:rPr>
        <w:t>http://www.varam.gov.lv/lat/fondi/kohez/2014_2020/?doc=19270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83" w:rsidRDefault="00061B83"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C8E">
      <w:rPr>
        <w:rStyle w:val="PageNumber"/>
        <w:noProof/>
      </w:rPr>
      <w:t>47</w:t>
    </w:r>
    <w:r>
      <w:rPr>
        <w:rStyle w:val="PageNumber"/>
      </w:rPr>
      <w:fldChar w:fldCharType="end"/>
    </w:r>
  </w:p>
  <w:p w:rsidR="00061B83" w:rsidRDefault="00061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83" w:rsidRDefault="00061B83"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A5C"/>
    <w:multiLevelType w:val="hybridMultilevel"/>
    <w:tmpl w:val="C756D4C6"/>
    <w:lvl w:ilvl="0" w:tplc="4F606E12">
      <w:start w:val="1"/>
      <w:numFmt w:val="decimal"/>
      <w:lvlText w:val="%1)"/>
      <w:lvlJc w:val="left"/>
      <w:pPr>
        <w:ind w:left="390" w:hanging="360"/>
      </w:pPr>
      <w:rPr>
        <w:rFonts w:eastAsia="Times New Roman" w:hint="default"/>
        <w:b w:val="0"/>
        <w:color w:val="auto"/>
        <w:sz w:val="24"/>
        <w:szCs w:val="24"/>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1CFB7026"/>
    <w:multiLevelType w:val="hybridMultilevel"/>
    <w:tmpl w:val="0BF4E0FA"/>
    <w:lvl w:ilvl="0" w:tplc="0674E23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nsid w:val="2E85709D"/>
    <w:multiLevelType w:val="hybridMultilevel"/>
    <w:tmpl w:val="46AA7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573ECC"/>
    <w:multiLevelType w:val="multilevel"/>
    <w:tmpl w:val="33A255A8"/>
    <w:lvl w:ilvl="0">
      <w:start w:val="1"/>
      <w:numFmt w:val="decimal"/>
      <w:lvlText w:val="%1."/>
      <w:lvlJc w:val="left"/>
      <w:pPr>
        <w:ind w:left="360" w:hanging="360"/>
      </w:pPr>
      <w:rPr>
        <w:rFonts w:hint="default"/>
      </w:rPr>
    </w:lvl>
    <w:lvl w:ilvl="1">
      <w:start w:val="3"/>
      <w:numFmt w:val="decimal"/>
      <w:lvlText w:val="%2)"/>
      <w:lvlJc w:val="left"/>
      <w:pPr>
        <w:ind w:left="792" w:hanging="432"/>
      </w:pPr>
      <w:rPr>
        <w:rFonts w:ascii="Times New Roman" w:eastAsia="Calibri" w:hAnsi="Times New Roman" w:cs="Times New Roman" w:hint="default"/>
      </w:rPr>
    </w:lvl>
    <w:lvl w:ilvl="2">
      <w:start w:val="1"/>
      <w:numFmt w:val="decimal"/>
      <w:lvlText w:val="%3)"/>
      <w:lvlJc w:val="left"/>
      <w:pPr>
        <w:ind w:left="1224" w:hanging="504"/>
      </w:pPr>
      <w:rPr>
        <w:rFonts w:ascii="Times New Roman" w:eastAsia="Calibri"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8A01D8F"/>
    <w:multiLevelType w:val="hybridMultilevel"/>
    <w:tmpl w:val="8FC042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DAC34D9"/>
    <w:multiLevelType w:val="hybridMultilevel"/>
    <w:tmpl w:val="83B8B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8">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3">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12"/>
  </w:num>
  <w:num w:numId="5">
    <w:abstractNumId w:val="24"/>
  </w:num>
  <w:num w:numId="6">
    <w:abstractNumId w:val="2"/>
  </w:num>
  <w:num w:numId="7">
    <w:abstractNumId w:val="20"/>
  </w:num>
  <w:num w:numId="8">
    <w:abstractNumId w:val="19"/>
  </w:num>
  <w:num w:numId="9">
    <w:abstractNumId w:val="8"/>
  </w:num>
  <w:num w:numId="10">
    <w:abstractNumId w:val="6"/>
  </w:num>
  <w:num w:numId="11">
    <w:abstractNumId w:val="1"/>
  </w:num>
  <w:num w:numId="12">
    <w:abstractNumId w:val="25"/>
  </w:num>
  <w:num w:numId="13">
    <w:abstractNumId w:val="23"/>
  </w:num>
  <w:num w:numId="14">
    <w:abstractNumId w:val="3"/>
  </w:num>
  <w:num w:numId="15">
    <w:abstractNumId w:val="5"/>
  </w:num>
  <w:num w:numId="16">
    <w:abstractNumId w:val="14"/>
  </w:num>
  <w:num w:numId="17">
    <w:abstractNumId w:val="18"/>
  </w:num>
  <w:num w:numId="18">
    <w:abstractNumId w:val="22"/>
  </w:num>
  <w:num w:numId="19">
    <w:abstractNumId w:val="4"/>
  </w:num>
  <w:num w:numId="20">
    <w:abstractNumId w:val="0"/>
  </w:num>
  <w:num w:numId="21">
    <w:abstractNumId w:val="16"/>
  </w:num>
  <w:num w:numId="22">
    <w:abstractNumId w:val="13"/>
  </w:num>
  <w:num w:numId="23">
    <w:abstractNumId w:val="17"/>
  </w:num>
  <w:num w:numId="24">
    <w:abstractNumId w:val="26"/>
  </w:num>
  <w:num w:numId="25">
    <w:abstractNumId w:val="21"/>
  </w:num>
  <w:num w:numId="26">
    <w:abstractNumId w:val="9"/>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2171"/>
    <w:rsid w:val="00002E0E"/>
    <w:rsid w:val="000038C3"/>
    <w:rsid w:val="00003A26"/>
    <w:rsid w:val="000043B8"/>
    <w:rsid w:val="000069F6"/>
    <w:rsid w:val="000070AB"/>
    <w:rsid w:val="00010130"/>
    <w:rsid w:val="0001036C"/>
    <w:rsid w:val="00010917"/>
    <w:rsid w:val="00011F50"/>
    <w:rsid w:val="000121C3"/>
    <w:rsid w:val="000126CC"/>
    <w:rsid w:val="00016A4F"/>
    <w:rsid w:val="00016DB8"/>
    <w:rsid w:val="00016FFA"/>
    <w:rsid w:val="00023A5E"/>
    <w:rsid w:val="00025475"/>
    <w:rsid w:val="00025982"/>
    <w:rsid w:val="00025D9F"/>
    <w:rsid w:val="000276C4"/>
    <w:rsid w:val="00030F7B"/>
    <w:rsid w:val="00031531"/>
    <w:rsid w:val="00031E6C"/>
    <w:rsid w:val="0003292D"/>
    <w:rsid w:val="00032C84"/>
    <w:rsid w:val="00032CC9"/>
    <w:rsid w:val="00033622"/>
    <w:rsid w:val="00033962"/>
    <w:rsid w:val="00034BAC"/>
    <w:rsid w:val="00037EA8"/>
    <w:rsid w:val="00040201"/>
    <w:rsid w:val="00041551"/>
    <w:rsid w:val="00041DD0"/>
    <w:rsid w:val="00043C55"/>
    <w:rsid w:val="0004642F"/>
    <w:rsid w:val="00046B88"/>
    <w:rsid w:val="00047956"/>
    <w:rsid w:val="000501E1"/>
    <w:rsid w:val="000503D4"/>
    <w:rsid w:val="000511BD"/>
    <w:rsid w:val="00053E06"/>
    <w:rsid w:val="00053EC6"/>
    <w:rsid w:val="00054025"/>
    <w:rsid w:val="00056289"/>
    <w:rsid w:val="00056CEE"/>
    <w:rsid w:val="00057D58"/>
    <w:rsid w:val="000600BF"/>
    <w:rsid w:val="00061B83"/>
    <w:rsid w:val="00061BA5"/>
    <w:rsid w:val="00062143"/>
    <w:rsid w:val="000624F1"/>
    <w:rsid w:val="000627E5"/>
    <w:rsid w:val="000643D4"/>
    <w:rsid w:val="000648AC"/>
    <w:rsid w:val="00064C5E"/>
    <w:rsid w:val="0006611D"/>
    <w:rsid w:val="000663AF"/>
    <w:rsid w:val="000671DF"/>
    <w:rsid w:val="000706BF"/>
    <w:rsid w:val="000714D2"/>
    <w:rsid w:val="00072F20"/>
    <w:rsid w:val="0007318B"/>
    <w:rsid w:val="00074CFB"/>
    <w:rsid w:val="00075C28"/>
    <w:rsid w:val="00081026"/>
    <w:rsid w:val="00081113"/>
    <w:rsid w:val="000817DA"/>
    <w:rsid w:val="00083A4D"/>
    <w:rsid w:val="00084A32"/>
    <w:rsid w:val="00085C7A"/>
    <w:rsid w:val="0008752E"/>
    <w:rsid w:val="0009178C"/>
    <w:rsid w:val="00093676"/>
    <w:rsid w:val="0009448B"/>
    <w:rsid w:val="00094926"/>
    <w:rsid w:val="00095292"/>
    <w:rsid w:val="000952A1"/>
    <w:rsid w:val="00096395"/>
    <w:rsid w:val="0009693B"/>
    <w:rsid w:val="000970C0"/>
    <w:rsid w:val="000A03A6"/>
    <w:rsid w:val="000A2730"/>
    <w:rsid w:val="000A2823"/>
    <w:rsid w:val="000A423C"/>
    <w:rsid w:val="000A534A"/>
    <w:rsid w:val="000A79AB"/>
    <w:rsid w:val="000B3B42"/>
    <w:rsid w:val="000B3E3D"/>
    <w:rsid w:val="000B4274"/>
    <w:rsid w:val="000B46E1"/>
    <w:rsid w:val="000B744A"/>
    <w:rsid w:val="000B74F2"/>
    <w:rsid w:val="000B7AB5"/>
    <w:rsid w:val="000C0F79"/>
    <w:rsid w:val="000C1255"/>
    <w:rsid w:val="000C1E77"/>
    <w:rsid w:val="000D0DCE"/>
    <w:rsid w:val="000D1838"/>
    <w:rsid w:val="000D1C7C"/>
    <w:rsid w:val="000D2C17"/>
    <w:rsid w:val="000D2E24"/>
    <w:rsid w:val="000D3C27"/>
    <w:rsid w:val="000D3D70"/>
    <w:rsid w:val="000D4C0B"/>
    <w:rsid w:val="000D4C0F"/>
    <w:rsid w:val="000D51C1"/>
    <w:rsid w:val="000D5611"/>
    <w:rsid w:val="000D5891"/>
    <w:rsid w:val="000D7999"/>
    <w:rsid w:val="000E0B0F"/>
    <w:rsid w:val="000E120B"/>
    <w:rsid w:val="000E2161"/>
    <w:rsid w:val="000E327F"/>
    <w:rsid w:val="000E5231"/>
    <w:rsid w:val="000E5BDF"/>
    <w:rsid w:val="000E6573"/>
    <w:rsid w:val="000E6952"/>
    <w:rsid w:val="000E7587"/>
    <w:rsid w:val="000E7E61"/>
    <w:rsid w:val="000F06A3"/>
    <w:rsid w:val="000F0C52"/>
    <w:rsid w:val="000F0E3B"/>
    <w:rsid w:val="000F4DC7"/>
    <w:rsid w:val="000F4F3B"/>
    <w:rsid w:val="000F56A7"/>
    <w:rsid w:val="000F5BF5"/>
    <w:rsid w:val="000F608A"/>
    <w:rsid w:val="000F6AD5"/>
    <w:rsid w:val="001004CE"/>
    <w:rsid w:val="00100D7C"/>
    <w:rsid w:val="00102912"/>
    <w:rsid w:val="001037F8"/>
    <w:rsid w:val="001039F0"/>
    <w:rsid w:val="00103A6C"/>
    <w:rsid w:val="00104292"/>
    <w:rsid w:val="00104E5A"/>
    <w:rsid w:val="00104E6E"/>
    <w:rsid w:val="00105319"/>
    <w:rsid w:val="00106496"/>
    <w:rsid w:val="001065BC"/>
    <w:rsid w:val="00110FF3"/>
    <w:rsid w:val="0011299A"/>
    <w:rsid w:val="00112F49"/>
    <w:rsid w:val="001133AB"/>
    <w:rsid w:val="00113A11"/>
    <w:rsid w:val="0011584F"/>
    <w:rsid w:val="00120ACA"/>
    <w:rsid w:val="00121D4F"/>
    <w:rsid w:val="00121F0F"/>
    <w:rsid w:val="001221A7"/>
    <w:rsid w:val="00122586"/>
    <w:rsid w:val="00122CD7"/>
    <w:rsid w:val="001244CA"/>
    <w:rsid w:val="001246EA"/>
    <w:rsid w:val="00124734"/>
    <w:rsid w:val="00124F0E"/>
    <w:rsid w:val="00125297"/>
    <w:rsid w:val="00126C02"/>
    <w:rsid w:val="00130712"/>
    <w:rsid w:val="00131155"/>
    <w:rsid w:val="0013130E"/>
    <w:rsid w:val="001320BC"/>
    <w:rsid w:val="001333C1"/>
    <w:rsid w:val="00133C20"/>
    <w:rsid w:val="001355E2"/>
    <w:rsid w:val="001356F7"/>
    <w:rsid w:val="00136085"/>
    <w:rsid w:val="00136B1B"/>
    <w:rsid w:val="001404C5"/>
    <w:rsid w:val="00140737"/>
    <w:rsid w:val="001408A3"/>
    <w:rsid w:val="001418C6"/>
    <w:rsid w:val="00141D62"/>
    <w:rsid w:val="001420D7"/>
    <w:rsid w:val="001428A9"/>
    <w:rsid w:val="00142AEA"/>
    <w:rsid w:val="0014304D"/>
    <w:rsid w:val="00144810"/>
    <w:rsid w:val="00144BF2"/>
    <w:rsid w:val="0014605B"/>
    <w:rsid w:val="00152051"/>
    <w:rsid w:val="001523DF"/>
    <w:rsid w:val="00152A3B"/>
    <w:rsid w:val="0015323A"/>
    <w:rsid w:val="00153AEE"/>
    <w:rsid w:val="00153B99"/>
    <w:rsid w:val="00154352"/>
    <w:rsid w:val="001556AE"/>
    <w:rsid w:val="00155D30"/>
    <w:rsid w:val="0015709E"/>
    <w:rsid w:val="00160C06"/>
    <w:rsid w:val="00161A23"/>
    <w:rsid w:val="00161F2B"/>
    <w:rsid w:val="00162E94"/>
    <w:rsid w:val="00162EED"/>
    <w:rsid w:val="00162EF1"/>
    <w:rsid w:val="00163EB4"/>
    <w:rsid w:val="001670AA"/>
    <w:rsid w:val="00167959"/>
    <w:rsid w:val="001704A0"/>
    <w:rsid w:val="00171627"/>
    <w:rsid w:val="00171811"/>
    <w:rsid w:val="001725AE"/>
    <w:rsid w:val="001750CD"/>
    <w:rsid w:val="00175B07"/>
    <w:rsid w:val="00176350"/>
    <w:rsid w:val="00177068"/>
    <w:rsid w:val="00180BDE"/>
    <w:rsid w:val="001909A1"/>
    <w:rsid w:val="001913BD"/>
    <w:rsid w:val="001918FC"/>
    <w:rsid w:val="001931E9"/>
    <w:rsid w:val="001934C4"/>
    <w:rsid w:val="00193810"/>
    <w:rsid w:val="00195D1F"/>
    <w:rsid w:val="00195EB8"/>
    <w:rsid w:val="0019632B"/>
    <w:rsid w:val="001979DD"/>
    <w:rsid w:val="001A2DC9"/>
    <w:rsid w:val="001A3AAE"/>
    <w:rsid w:val="001A3B59"/>
    <w:rsid w:val="001A5627"/>
    <w:rsid w:val="001A5867"/>
    <w:rsid w:val="001A5E49"/>
    <w:rsid w:val="001A665B"/>
    <w:rsid w:val="001A756C"/>
    <w:rsid w:val="001A7C13"/>
    <w:rsid w:val="001B082C"/>
    <w:rsid w:val="001B0A1F"/>
    <w:rsid w:val="001B2391"/>
    <w:rsid w:val="001B2891"/>
    <w:rsid w:val="001B2B6D"/>
    <w:rsid w:val="001B4A33"/>
    <w:rsid w:val="001B4B83"/>
    <w:rsid w:val="001B50DE"/>
    <w:rsid w:val="001B5BD2"/>
    <w:rsid w:val="001B6148"/>
    <w:rsid w:val="001B6264"/>
    <w:rsid w:val="001B688B"/>
    <w:rsid w:val="001B7CB1"/>
    <w:rsid w:val="001C03ED"/>
    <w:rsid w:val="001C1418"/>
    <w:rsid w:val="001C2C05"/>
    <w:rsid w:val="001C34C4"/>
    <w:rsid w:val="001C363B"/>
    <w:rsid w:val="001C36E1"/>
    <w:rsid w:val="001C4291"/>
    <w:rsid w:val="001C5252"/>
    <w:rsid w:val="001C53BB"/>
    <w:rsid w:val="001C70DA"/>
    <w:rsid w:val="001D0A43"/>
    <w:rsid w:val="001D2003"/>
    <w:rsid w:val="001D2BED"/>
    <w:rsid w:val="001D2C76"/>
    <w:rsid w:val="001D2F71"/>
    <w:rsid w:val="001D367F"/>
    <w:rsid w:val="001D4894"/>
    <w:rsid w:val="001D5DA0"/>
    <w:rsid w:val="001D5FE3"/>
    <w:rsid w:val="001D623A"/>
    <w:rsid w:val="001D74C3"/>
    <w:rsid w:val="001E05C0"/>
    <w:rsid w:val="001E065F"/>
    <w:rsid w:val="001E1862"/>
    <w:rsid w:val="001E1D73"/>
    <w:rsid w:val="001E228E"/>
    <w:rsid w:val="001E5D8C"/>
    <w:rsid w:val="001E6375"/>
    <w:rsid w:val="001F14FA"/>
    <w:rsid w:val="001F2E31"/>
    <w:rsid w:val="001F30FD"/>
    <w:rsid w:val="001F34E6"/>
    <w:rsid w:val="001F3D4C"/>
    <w:rsid w:val="001F4DB2"/>
    <w:rsid w:val="001F4DD8"/>
    <w:rsid w:val="001F5063"/>
    <w:rsid w:val="001F595C"/>
    <w:rsid w:val="001F6188"/>
    <w:rsid w:val="001F7306"/>
    <w:rsid w:val="0020001C"/>
    <w:rsid w:val="00201CB6"/>
    <w:rsid w:val="00202DA4"/>
    <w:rsid w:val="002030DB"/>
    <w:rsid w:val="0020342E"/>
    <w:rsid w:val="00205A70"/>
    <w:rsid w:val="00206342"/>
    <w:rsid w:val="00206722"/>
    <w:rsid w:val="00207072"/>
    <w:rsid w:val="00207B52"/>
    <w:rsid w:val="002116BD"/>
    <w:rsid w:val="00212218"/>
    <w:rsid w:val="00214225"/>
    <w:rsid w:val="00214D33"/>
    <w:rsid w:val="00214F0B"/>
    <w:rsid w:val="0021745D"/>
    <w:rsid w:val="0021747A"/>
    <w:rsid w:val="002202EA"/>
    <w:rsid w:val="002205EB"/>
    <w:rsid w:val="00222172"/>
    <w:rsid w:val="00222C27"/>
    <w:rsid w:val="00224F48"/>
    <w:rsid w:val="00225521"/>
    <w:rsid w:val="002305A8"/>
    <w:rsid w:val="00234F2B"/>
    <w:rsid w:val="00235496"/>
    <w:rsid w:val="002413A6"/>
    <w:rsid w:val="002421F8"/>
    <w:rsid w:val="00243668"/>
    <w:rsid w:val="00244398"/>
    <w:rsid w:val="00244957"/>
    <w:rsid w:val="002463FA"/>
    <w:rsid w:val="00246F31"/>
    <w:rsid w:val="0025082A"/>
    <w:rsid w:val="002539BA"/>
    <w:rsid w:val="00254323"/>
    <w:rsid w:val="00254CDC"/>
    <w:rsid w:val="00254D67"/>
    <w:rsid w:val="00255E6A"/>
    <w:rsid w:val="00255FEF"/>
    <w:rsid w:val="00256E03"/>
    <w:rsid w:val="00262140"/>
    <w:rsid w:val="002636FC"/>
    <w:rsid w:val="00264A8B"/>
    <w:rsid w:val="00265800"/>
    <w:rsid w:val="002673AF"/>
    <w:rsid w:val="00267907"/>
    <w:rsid w:val="002703C7"/>
    <w:rsid w:val="00271F38"/>
    <w:rsid w:val="0027270B"/>
    <w:rsid w:val="002732E7"/>
    <w:rsid w:val="00273339"/>
    <w:rsid w:val="002737E1"/>
    <w:rsid w:val="0027380B"/>
    <w:rsid w:val="00273F81"/>
    <w:rsid w:val="002752CF"/>
    <w:rsid w:val="00275FF8"/>
    <w:rsid w:val="0027761A"/>
    <w:rsid w:val="00277ACD"/>
    <w:rsid w:val="00280927"/>
    <w:rsid w:val="00280DB5"/>
    <w:rsid w:val="00282093"/>
    <w:rsid w:val="0028403E"/>
    <w:rsid w:val="00285F34"/>
    <w:rsid w:val="0028607E"/>
    <w:rsid w:val="002919D2"/>
    <w:rsid w:val="00291E5B"/>
    <w:rsid w:val="002924D8"/>
    <w:rsid w:val="00293318"/>
    <w:rsid w:val="00293548"/>
    <w:rsid w:val="0029357C"/>
    <w:rsid w:val="0029375C"/>
    <w:rsid w:val="00293BE3"/>
    <w:rsid w:val="00293BEA"/>
    <w:rsid w:val="00295DB8"/>
    <w:rsid w:val="002969F4"/>
    <w:rsid w:val="00296AB3"/>
    <w:rsid w:val="002976ED"/>
    <w:rsid w:val="002A1D97"/>
    <w:rsid w:val="002A37F4"/>
    <w:rsid w:val="002A3FAF"/>
    <w:rsid w:val="002B18A5"/>
    <w:rsid w:val="002B43A8"/>
    <w:rsid w:val="002B4865"/>
    <w:rsid w:val="002B49EC"/>
    <w:rsid w:val="002B4A30"/>
    <w:rsid w:val="002B4D5F"/>
    <w:rsid w:val="002B5979"/>
    <w:rsid w:val="002B5A2C"/>
    <w:rsid w:val="002B628A"/>
    <w:rsid w:val="002B6636"/>
    <w:rsid w:val="002B746F"/>
    <w:rsid w:val="002B7502"/>
    <w:rsid w:val="002C2219"/>
    <w:rsid w:val="002C2730"/>
    <w:rsid w:val="002C2A3D"/>
    <w:rsid w:val="002C3B13"/>
    <w:rsid w:val="002C3ED3"/>
    <w:rsid w:val="002C5C63"/>
    <w:rsid w:val="002C65E4"/>
    <w:rsid w:val="002C6683"/>
    <w:rsid w:val="002C752A"/>
    <w:rsid w:val="002C7B42"/>
    <w:rsid w:val="002D1242"/>
    <w:rsid w:val="002D1AAA"/>
    <w:rsid w:val="002D370A"/>
    <w:rsid w:val="002D7B4D"/>
    <w:rsid w:val="002E0B99"/>
    <w:rsid w:val="002E0DAE"/>
    <w:rsid w:val="002E1A3E"/>
    <w:rsid w:val="002E2524"/>
    <w:rsid w:val="002E4119"/>
    <w:rsid w:val="002E4AC5"/>
    <w:rsid w:val="002F0429"/>
    <w:rsid w:val="002F212B"/>
    <w:rsid w:val="002F4018"/>
    <w:rsid w:val="002F49B1"/>
    <w:rsid w:val="002F5BDF"/>
    <w:rsid w:val="002F77E1"/>
    <w:rsid w:val="003013F9"/>
    <w:rsid w:val="0030161F"/>
    <w:rsid w:val="00303A7F"/>
    <w:rsid w:val="003046B0"/>
    <w:rsid w:val="00304D05"/>
    <w:rsid w:val="003056B1"/>
    <w:rsid w:val="00306BDD"/>
    <w:rsid w:val="00306C1E"/>
    <w:rsid w:val="00307F0C"/>
    <w:rsid w:val="00310B09"/>
    <w:rsid w:val="003112BD"/>
    <w:rsid w:val="0031255F"/>
    <w:rsid w:val="003134F0"/>
    <w:rsid w:val="00313DAC"/>
    <w:rsid w:val="00314552"/>
    <w:rsid w:val="003152CB"/>
    <w:rsid w:val="00315AC7"/>
    <w:rsid w:val="00315B99"/>
    <w:rsid w:val="0032076E"/>
    <w:rsid w:val="00320D80"/>
    <w:rsid w:val="00320DEC"/>
    <w:rsid w:val="00322AB4"/>
    <w:rsid w:val="00323828"/>
    <w:rsid w:val="00323B3C"/>
    <w:rsid w:val="0032444E"/>
    <w:rsid w:val="00324557"/>
    <w:rsid w:val="0032471E"/>
    <w:rsid w:val="003251E1"/>
    <w:rsid w:val="003258F1"/>
    <w:rsid w:val="00325C75"/>
    <w:rsid w:val="00326700"/>
    <w:rsid w:val="00326A33"/>
    <w:rsid w:val="00326FA6"/>
    <w:rsid w:val="00327030"/>
    <w:rsid w:val="0032708F"/>
    <w:rsid w:val="00330635"/>
    <w:rsid w:val="00330C43"/>
    <w:rsid w:val="00332436"/>
    <w:rsid w:val="0033321E"/>
    <w:rsid w:val="00334AA3"/>
    <w:rsid w:val="00334B92"/>
    <w:rsid w:val="00335CC7"/>
    <w:rsid w:val="003375DA"/>
    <w:rsid w:val="00340A6F"/>
    <w:rsid w:val="003425D3"/>
    <w:rsid w:val="00342E1B"/>
    <w:rsid w:val="00343C8B"/>
    <w:rsid w:val="00344178"/>
    <w:rsid w:val="00345AC5"/>
    <w:rsid w:val="00347231"/>
    <w:rsid w:val="0034786E"/>
    <w:rsid w:val="00347D73"/>
    <w:rsid w:val="003500FA"/>
    <w:rsid w:val="0035093B"/>
    <w:rsid w:val="003511F4"/>
    <w:rsid w:val="003525DB"/>
    <w:rsid w:val="00354E26"/>
    <w:rsid w:val="003550B1"/>
    <w:rsid w:val="00360258"/>
    <w:rsid w:val="0036081C"/>
    <w:rsid w:val="00360CDE"/>
    <w:rsid w:val="00362B4E"/>
    <w:rsid w:val="00365127"/>
    <w:rsid w:val="00366D85"/>
    <w:rsid w:val="00371898"/>
    <w:rsid w:val="00373043"/>
    <w:rsid w:val="003743B1"/>
    <w:rsid w:val="00377108"/>
    <w:rsid w:val="00380E07"/>
    <w:rsid w:val="0038152E"/>
    <w:rsid w:val="00381CAD"/>
    <w:rsid w:val="003828F2"/>
    <w:rsid w:val="003838CA"/>
    <w:rsid w:val="0038424B"/>
    <w:rsid w:val="00384EB0"/>
    <w:rsid w:val="00384F30"/>
    <w:rsid w:val="0038574C"/>
    <w:rsid w:val="00385C2A"/>
    <w:rsid w:val="00386907"/>
    <w:rsid w:val="003908DB"/>
    <w:rsid w:val="00391449"/>
    <w:rsid w:val="003915ED"/>
    <w:rsid w:val="00392E82"/>
    <w:rsid w:val="003933E9"/>
    <w:rsid w:val="003934B8"/>
    <w:rsid w:val="00393592"/>
    <w:rsid w:val="00393D05"/>
    <w:rsid w:val="003942BF"/>
    <w:rsid w:val="00394C33"/>
    <w:rsid w:val="00396C15"/>
    <w:rsid w:val="003977A7"/>
    <w:rsid w:val="00397D44"/>
    <w:rsid w:val="003A0C47"/>
    <w:rsid w:val="003A1CEC"/>
    <w:rsid w:val="003A2154"/>
    <w:rsid w:val="003A2A13"/>
    <w:rsid w:val="003A3021"/>
    <w:rsid w:val="003A340D"/>
    <w:rsid w:val="003A43F0"/>
    <w:rsid w:val="003A4AC8"/>
    <w:rsid w:val="003A6127"/>
    <w:rsid w:val="003A656D"/>
    <w:rsid w:val="003A683E"/>
    <w:rsid w:val="003A6AB4"/>
    <w:rsid w:val="003A6C04"/>
    <w:rsid w:val="003A7E06"/>
    <w:rsid w:val="003B0446"/>
    <w:rsid w:val="003B31CD"/>
    <w:rsid w:val="003B39A6"/>
    <w:rsid w:val="003B45FA"/>
    <w:rsid w:val="003B4632"/>
    <w:rsid w:val="003B470B"/>
    <w:rsid w:val="003B5DAC"/>
    <w:rsid w:val="003B601E"/>
    <w:rsid w:val="003B7C62"/>
    <w:rsid w:val="003C2574"/>
    <w:rsid w:val="003C2797"/>
    <w:rsid w:val="003C2DA4"/>
    <w:rsid w:val="003C39F1"/>
    <w:rsid w:val="003C4F0B"/>
    <w:rsid w:val="003C5675"/>
    <w:rsid w:val="003C5D25"/>
    <w:rsid w:val="003C6CB6"/>
    <w:rsid w:val="003C6D42"/>
    <w:rsid w:val="003C6E0F"/>
    <w:rsid w:val="003C72E0"/>
    <w:rsid w:val="003C7725"/>
    <w:rsid w:val="003C7C96"/>
    <w:rsid w:val="003D0DC1"/>
    <w:rsid w:val="003D1C4A"/>
    <w:rsid w:val="003D2917"/>
    <w:rsid w:val="003D2C52"/>
    <w:rsid w:val="003D3ADD"/>
    <w:rsid w:val="003D3DC7"/>
    <w:rsid w:val="003D404A"/>
    <w:rsid w:val="003D42F9"/>
    <w:rsid w:val="003E035B"/>
    <w:rsid w:val="003E4701"/>
    <w:rsid w:val="003E5C83"/>
    <w:rsid w:val="003E6E46"/>
    <w:rsid w:val="003E73BB"/>
    <w:rsid w:val="003E755C"/>
    <w:rsid w:val="003F1B8F"/>
    <w:rsid w:val="003F222E"/>
    <w:rsid w:val="003F24CB"/>
    <w:rsid w:val="003F373D"/>
    <w:rsid w:val="003F3DFF"/>
    <w:rsid w:val="003F461E"/>
    <w:rsid w:val="003F60F0"/>
    <w:rsid w:val="003F782E"/>
    <w:rsid w:val="0040028C"/>
    <w:rsid w:val="0040030D"/>
    <w:rsid w:val="00400D2F"/>
    <w:rsid w:val="00401FC2"/>
    <w:rsid w:val="00403BD2"/>
    <w:rsid w:val="004045C7"/>
    <w:rsid w:val="0040559D"/>
    <w:rsid w:val="00405B29"/>
    <w:rsid w:val="00406797"/>
    <w:rsid w:val="004110C4"/>
    <w:rsid w:val="0041295A"/>
    <w:rsid w:val="00413696"/>
    <w:rsid w:val="0041659D"/>
    <w:rsid w:val="00417A4C"/>
    <w:rsid w:val="00417F76"/>
    <w:rsid w:val="0042049C"/>
    <w:rsid w:val="00421A2E"/>
    <w:rsid w:val="004227C9"/>
    <w:rsid w:val="00422B49"/>
    <w:rsid w:val="00425B84"/>
    <w:rsid w:val="00425FF2"/>
    <w:rsid w:val="00426A4A"/>
    <w:rsid w:val="00431C6A"/>
    <w:rsid w:val="00431F6D"/>
    <w:rsid w:val="00433222"/>
    <w:rsid w:val="00434181"/>
    <w:rsid w:val="004345E6"/>
    <w:rsid w:val="00435601"/>
    <w:rsid w:val="004359E1"/>
    <w:rsid w:val="00435B0F"/>
    <w:rsid w:val="004365FE"/>
    <w:rsid w:val="00437EB4"/>
    <w:rsid w:val="004405B1"/>
    <w:rsid w:val="00440C78"/>
    <w:rsid w:val="00442708"/>
    <w:rsid w:val="004437F3"/>
    <w:rsid w:val="00445707"/>
    <w:rsid w:val="00445972"/>
    <w:rsid w:val="004459CA"/>
    <w:rsid w:val="0044757A"/>
    <w:rsid w:val="004477A8"/>
    <w:rsid w:val="00447C8E"/>
    <w:rsid w:val="0045164A"/>
    <w:rsid w:val="00452232"/>
    <w:rsid w:val="00452937"/>
    <w:rsid w:val="00453898"/>
    <w:rsid w:val="004543E3"/>
    <w:rsid w:val="0045457B"/>
    <w:rsid w:val="00454890"/>
    <w:rsid w:val="00454A09"/>
    <w:rsid w:val="00455289"/>
    <w:rsid w:val="004565EC"/>
    <w:rsid w:val="004603AF"/>
    <w:rsid w:val="0046091D"/>
    <w:rsid w:val="00464EF7"/>
    <w:rsid w:val="00465CD8"/>
    <w:rsid w:val="004661A4"/>
    <w:rsid w:val="0046732D"/>
    <w:rsid w:val="00467EA6"/>
    <w:rsid w:val="0047025D"/>
    <w:rsid w:val="00470340"/>
    <w:rsid w:val="00471474"/>
    <w:rsid w:val="00473170"/>
    <w:rsid w:val="00473AFD"/>
    <w:rsid w:val="00474E65"/>
    <w:rsid w:val="00475999"/>
    <w:rsid w:val="00476794"/>
    <w:rsid w:val="004769B2"/>
    <w:rsid w:val="004773BC"/>
    <w:rsid w:val="004803A0"/>
    <w:rsid w:val="00482738"/>
    <w:rsid w:val="00482E5C"/>
    <w:rsid w:val="004830E5"/>
    <w:rsid w:val="00483402"/>
    <w:rsid w:val="00483994"/>
    <w:rsid w:val="00484D6F"/>
    <w:rsid w:val="00485372"/>
    <w:rsid w:val="0048546D"/>
    <w:rsid w:val="0048582F"/>
    <w:rsid w:val="00485857"/>
    <w:rsid w:val="004859BF"/>
    <w:rsid w:val="00486163"/>
    <w:rsid w:val="004867DC"/>
    <w:rsid w:val="00490077"/>
    <w:rsid w:val="00490BC2"/>
    <w:rsid w:val="00491A53"/>
    <w:rsid w:val="004943B2"/>
    <w:rsid w:val="004960DD"/>
    <w:rsid w:val="00497B1B"/>
    <w:rsid w:val="004A02E3"/>
    <w:rsid w:val="004A0A47"/>
    <w:rsid w:val="004A3D81"/>
    <w:rsid w:val="004A42D9"/>
    <w:rsid w:val="004A4EFE"/>
    <w:rsid w:val="004A570F"/>
    <w:rsid w:val="004A7FFE"/>
    <w:rsid w:val="004B0CAD"/>
    <w:rsid w:val="004B16F6"/>
    <w:rsid w:val="004B1C26"/>
    <w:rsid w:val="004B38D7"/>
    <w:rsid w:val="004B3F98"/>
    <w:rsid w:val="004B4564"/>
    <w:rsid w:val="004B4BD9"/>
    <w:rsid w:val="004B4DE9"/>
    <w:rsid w:val="004B5FA5"/>
    <w:rsid w:val="004C1386"/>
    <w:rsid w:val="004C1F15"/>
    <w:rsid w:val="004C25C3"/>
    <w:rsid w:val="004C6AE0"/>
    <w:rsid w:val="004C7300"/>
    <w:rsid w:val="004C7D56"/>
    <w:rsid w:val="004C7DDE"/>
    <w:rsid w:val="004D0751"/>
    <w:rsid w:val="004D1AE3"/>
    <w:rsid w:val="004D37A0"/>
    <w:rsid w:val="004D3C11"/>
    <w:rsid w:val="004D3C8A"/>
    <w:rsid w:val="004D3D5A"/>
    <w:rsid w:val="004D74C1"/>
    <w:rsid w:val="004E03A5"/>
    <w:rsid w:val="004E1136"/>
    <w:rsid w:val="004E2585"/>
    <w:rsid w:val="004E2A2E"/>
    <w:rsid w:val="004E2A88"/>
    <w:rsid w:val="004E4568"/>
    <w:rsid w:val="004E5360"/>
    <w:rsid w:val="004E6128"/>
    <w:rsid w:val="004E62C3"/>
    <w:rsid w:val="004F0AC4"/>
    <w:rsid w:val="004F171B"/>
    <w:rsid w:val="004F1BAE"/>
    <w:rsid w:val="004F1BD3"/>
    <w:rsid w:val="004F2DF5"/>
    <w:rsid w:val="004F38FE"/>
    <w:rsid w:val="004F6878"/>
    <w:rsid w:val="004F7D9F"/>
    <w:rsid w:val="005011A8"/>
    <w:rsid w:val="00502855"/>
    <w:rsid w:val="00503771"/>
    <w:rsid w:val="00504A57"/>
    <w:rsid w:val="00504C88"/>
    <w:rsid w:val="00504DE4"/>
    <w:rsid w:val="005050DC"/>
    <w:rsid w:val="0050586E"/>
    <w:rsid w:val="005065E4"/>
    <w:rsid w:val="00506F73"/>
    <w:rsid w:val="0050773B"/>
    <w:rsid w:val="00510A2D"/>
    <w:rsid w:val="00511DEF"/>
    <w:rsid w:val="00512138"/>
    <w:rsid w:val="00513D72"/>
    <w:rsid w:val="00513EF3"/>
    <w:rsid w:val="00514837"/>
    <w:rsid w:val="00514E3B"/>
    <w:rsid w:val="00515068"/>
    <w:rsid w:val="00515B13"/>
    <w:rsid w:val="00515DF1"/>
    <w:rsid w:val="005172AA"/>
    <w:rsid w:val="00517CFE"/>
    <w:rsid w:val="0052015A"/>
    <w:rsid w:val="0052125C"/>
    <w:rsid w:val="00521703"/>
    <w:rsid w:val="00522471"/>
    <w:rsid w:val="00522A63"/>
    <w:rsid w:val="005242BB"/>
    <w:rsid w:val="00524736"/>
    <w:rsid w:val="00524E89"/>
    <w:rsid w:val="00526830"/>
    <w:rsid w:val="00526FD3"/>
    <w:rsid w:val="005272F6"/>
    <w:rsid w:val="00527678"/>
    <w:rsid w:val="005276AF"/>
    <w:rsid w:val="00527E26"/>
    <w:rsid w:val="00530065"/>
    <w:rsid w:val="00530497"/>
    <w:rsid w:val="005307C1"/>
    <w:rsid w:val="00530CD0"/>
    <w:rsid w:val="00531C22"/>
    <w:rsid w:val="00532B55"/>
    <w:rsid w:val="0053322A"/>
    <w:rsid w:val="005337B7"/>
    <w:rsid w:val="005339A0"/>
    <w:rsid w:val="00533D5A"/>
    <w:rsid w:val="005344F8"/>
    <w:rsid w:val="00535972"/>
    <w:rsid w:val="00535EB4"/>
    <w:rsid w:val="00536CC7"/>
    <w:rsid w:val="00536E0E"/>
    <w:rsid w:val="005370F6"/>
    <w:rsid w:val="00537E16"/>
    <w:rsid w:val="00540260"/>
    <w:rsid w:val="005408CB"/>
    <w:rsid w:val="00541FD4"/>
    <w:rsid w:val="00543C2C"/>
    <w:rsid w:val="005447FF"/>
    <w:rsid w:val="00545540"/>
    <w:rsid w:val="00545601"/>
    <w:rsid w:val="00546C98"/>
    <w:rsid w:val="00547711"/>
    <w:rsid w:val="0055154D"/>
    <w:rsid w:val="00551742"/>
    <w:rsid w:val="005528BE"/>
    <w:rsid w:val="00552BEC"/>
    <w:rsid w:val="00553D9F"/>
    <w:rsid w:val="00554AB1"/>
    <w:rsid w:val="00555A9D"/>
    <w:rsid w:val="00555AA0"/>
    <w:rsid w:val="005576B0"/>
    <w:rsid w:val="00562DD5"/>
    <w:rsid w:val="005639BC"/>
    <w:rsid w:val="0056422C"/>
    <w:rsid w:val="00565507"/>
    <w:rsid w:val="00566497"/>
    <w:rsid w:val="00566F4B"/>
    <w:rsid w:val="005670FE"/>
    <w:rsid w:val="0056768E"/>
    <w:rsid w:val="00570730"/>
    <w:rsid w:val="005708D1"/>
    <w:rsid w:val="0057235D"/>
    <w:rsid w:val="0057235E"/>
    <w:rsid w:val="00572523"/>
    <w:rsid w:val="00573772"/>
    <w:rsid w:val="0057390A"/>
    <w:rsid w:val="005739B0"/>
    <w:rsid w:val="005762AA"/>
    <w:rsid w:val="00576865"/>
    <w:rsid w:val="005775BF"/>
    <w:rsid w:val="00577679"/>
    <w:rsid w:val="0058130D"/>
    <w:rsid w:val="00581B47"/>
    <w:rsid w:val="005820B2"/>
    <w:rsid w:val="00582658"/>
    <w:rsid w:val="00582C52"/>
    <w:rsid w:val="00584CAB"/>
    <w:rsid w:val="005855B0"/>
    <w:rsid w:val="00586D51"/>
    <w:rsid w:val="00586FBF"/>
    <w:rsid w:val="005908C8"/>
    <w:rsid w:val="00590C28"/>
    <w:rsid w:val="00591A64"/>
    <w:rsid w:val="005921A0"/>
    <w:rsid w:val="00593014"/>
    <w:rsid w:val="005931E7"/>
    <w:rsid w:val="00593B07"/>
    <w:rsid w:val="00595346"/>
    <w:rsid w:val="00595E70"/>
    <w:rsid w:val="00595FF7"/>
    <w:rsid w:val="00596457"/>
    <w:rsid w:val="005A016F"/>
    <w:rsid w:val="005A0E62"/>
    <w:rsid w:val="005A10FB"/>
    <w:rsid w:val="005A1382"/>
    <w:rsid w:val="005A14F4"/>
    <w:rsid w:val="005A2057"/>
    <w:rsid w:val="005A5360"/>
    <w:rsid w:val="005A6A60"/>
    <w:rsid w:val="005A6A6F"/>
    <w:rsid w:val="005B11E3"/>
    <w:rsid w:val="005B13AF"/>
    <w:rsid w:val="005B26BE"/>
    <w:rsid w:val="005B348C"/>
    <w:rsid w:val="005B3A81"/>
    <w:rsid w:val="005B3E05"/>
    <w:rsid w:val="005B4971"/>
    <w:rsid w:val="005B582E"/>
    <w:rsid w:val="005B66B2"/>
    <w:rsid w:val="005B702B"/>
    <w:rsid w:val="005B7A2B"/>
    <w:rsid w:val="005B7A69"/>
    <w:rsid w:val="005C009E"/>
    <w:rsid w:val="005C03CF"/>
    <w:rsid w:val="005C04AE"/>
    <w:rsid w:val="005C060F"/>
    <w:rsid w:val="005C0957"/>
    <w:rsid w:val="005C1C2D"/>
    <w:rsid w:val="005C3E23"/>
    <w:rsid w:val="005C7B4D"/>
    <w:rsid w:val="005D127A"/>
    <w:rsid w:val="005D1819"/>
    <w:rsid w:val="005D3B53"/>
    <w:rsid w:val="005D42F4"/>
    <w:rsid w:val="005D5A73"/>
    <w:rsid w:val="005D70B9"/>
    <w:rsid w:val="005D7BFF"/>
    <w:rsid w:val="005E1459"/>
    <w:rsid w:val="005E527A"/>
    <w:rsid w:val="005E716D"/>
    <w:rsid w:val="005E73D4"/>
    <w:rsid w:val="005E7612"/>
    <w:rsid w:val="005E7925"/>
    <w:rsid w:val="005F0C1C"/>
    <w:rsid w:val="005F3977"/>
    <w:rsid w:val="005F5380"/>
    <w:rsid w:val="005F5523"/>
    <w:rsid w:val="00601522"/>
    <w:rsid w:val="006024FB"/>
    <w:rsid w:val="00602506"/>
    <w:rsid w:val="00602C7A"/>
    <w:rsid w:val="006046AE"/>
    <w:rsid w:val="00604B03"/>
    <w:rsid w:val="00606D36"/>
    <w:rsid w:val="00607C2F"/>
    <w:rsid w:val="006100BF"/>
    <w:rsid w:val="00610740"/>
    <w:rsid w:val="0061116D"/>
    <w:rsid w:val="00612807"/>
    <w:rsid w:val="006159B1"/>
    <w:rsid w:val="0061651A"/>
    <w:rsid w:val="006168D2"/>
    <w:rsid w:val="006177B3"/>
    <w:rsid w:val="006203D0"/>
    <w:rsid w:val="006222A8"/>
    <w:rsid w:val="006225E8"/>
    <w:rsid w:val="006229D6"/>
    <w:rsid w:val="00623737"/>
    <w:rsid w:val="00624E1D"/>
    <w:rsid w:val="006259C0"/>
    <w:rsid w:val="00630B3B"/>
    <w:rsid w:val="006310E2"/>
    <w:rsid w:val="00631240"/>
    <w:rsid w:val="0063145B"/>
    <w:rsid w:val="00631FB8"/>
    <w:rsid w:val="00632612"/>
    <w:rsid w:val="006333CB"/>
    <w:rsid w:val="00633F09"/>
    <w:rsid w:val="0063453D"/>
    <w:rsid w:val="00634856"/>
    <w:rsid w:val="006354BD"/>
    <w:rsid w:val="00637115"/>
    <w:rsid w:val="0064001D"/>
    <w:rsid w:val="00641BB5"/>
    <w:rsid w:val="00642B0A"/>
    <w:rsid w:val="00642BFC"/>
    <w:rsid w:val="006436A9"/>
    <w:rsid w:val="006441C8"/>
    <w:rsid w:val="00646220"/>
    <w:rsid w:val="00646646"/>
    <w:rsid w:val="00650359"/>
    <w:rsid w:val="00652E55"/>
    <w:rsid w:val="00653DE8"/>
    <w:rsid w:val="006542E4"/>
    <w:rsid w:val="00654B8B"/>
    <w:rsid w:val="006554D4"/>
    <w:rsid w:val="00655A09"/>
    <w:rsid w:val="00657768"/>
    <w:rsid w:val="00660212"/>
    <w:rsid w:val="00660FE2"/>
    <w:rsid w:val="00662B5B"/>
    <w:rsid w:val="006639D0"/>
    <w:rsid w:val="00665CB3"/>
    <w:rsid w:val="00666AD8"/>
    <w:rsid w:val="00666D36"/>
    <w:rsid w:val="00667D1D"/>
    <w:rsid w:val="00667DBE"/>
    <w:rsid w:val="00667E66"/>
    <w:rsid w:val="00671392"/>
    <w:rsid w:val="006718EF"/>
    <w:rsid w:val="00672B13"/>
    <w:rsid w:val="00672E8C"/>
    <w:rsid w:val="00676D30"/>
    <w:rsid w:val="00677826"/>
    <w:rsid w:val="006806C4"/>
    <w:rsid w:val="0068314C"/>
    <w:rsid w:val="00683296"/>
    <w:rsid w:val="00683E2E"/>
    <w:rsid w:val="0068454C"/>
    <w:rsid w:val="00685FBC"/>
    <w:rsid w:val="00686C26"/>
    <w:rsid w:val="0068787E"/>
    <w:rsid w:val="00687E19"/>
    <w:rsid w:val="00687E37"/>
    <w:rsid w:val="00687FA7"/>
    <w:rsid w:val="00690170"/>
    <w:rsid w:val="006912A2"/>
    <w:rsid w:val="006918A2"/>
    <w:rsid w:val="00692584"/>
    <w:rsid w:val="00693404"/>
    <w:rsid w:val="0069386D"/>
    <w:rsid w:val="00693999"/>
    <w:rsid w:val="006946BA"/>
    <w:rsid w:val="0069543C"/>
    <w:rsid w:val="00697523"/>
    <w:rsid w:val="00697E36"/>
    <w:rsid w:val="006A10CA"/>
    <w:rsid w:val="006A25EB"/>
    <w:rsid w:val="006A3BA8"/>
    <w:rsid w:val="006A40F8"/>
    <w:rsid w:val="006A48D9"/>
    <w:rsid w:val="006A5FDF"/>
    <w:rsid w:val="006B13B3"/>
    <w:rsid w:val="006B21A3"/>
    <w:rsid w:val="006B2982"/>
    <w:rsid w:val="006B4218"/>
    <w:rsid w:val="006B4D9B"/>
    <w:rsid w:val="006B55C3"/>
    <w:rsid w:val="006B7CBB"/>
    <w:rsid w:val="006C02B7"/>
    <w:rsid w:val="006C14DD"/>
    <w:rsid w:val="006C160D"/>
    <w:rsid w:val="006C1F6B"/>
    <w:rsid w:val="006C2CBF"/>
    <w:rsid w:val="006C36E9"/>
    <w:rsid w:val="006C3AD3"/>
    <w:rsid w:val="006C3EDF"/>
    <w:rsid w:val="006C451E"/>
    <w:rsid w:val="006C49C8"/>
    <w:rsid w:val="006C4A73"/>
    <w:rsid w:val="006C6368"/>
    <w:rsid w:val="006C7B12"/>
    <w:rsid w:val="006D04E8"/>
    <w:rsid w:val="006D0523"/>
    <w:rsid w:val="006D14EA"/>
    <w:rsid w:val="006D1EED"/>
    <w:rsid w:val="006D2391"/>
    <w:rsid w:val="006D2742"/>
    <w:rsid w:val="006D2DAA"/>
    <w:rsid w:val="006D4A39"/>
    <w:rsid w:val="006D4F76"/>
    <w:rsid w:val="006E1A40"/>
    <w:rsid w:val="006E2371"/>
    <w:rsid w:val="006E381C"/>
    <w:rsid w:val="006E39D0"/>
    <w:rsid w:val="006E3A79"/>
    <w:rsid w:val="006E41E2"/>
    <w:rsid w:val="006E41E9"/>
    <w:rsid w:val="006E4338"/>
    <w:rsid w:val="006E46E7"/>
    <w:rsid w:val="006E4CE1"/>
    <w:rsid w:val="006E5C28"/>
    <w:rsid w:val="006E654C"/>
    <w:rsid w:val="006F0031"/>
    <w:rsid w:val="006F0F9F"/>
    <w:rsid w:val="006F2B6B"/>
    <w:rsid w:val="006F4417"/>
    <w:rsid w:val="006F5701"/>
    <w:rsid w:val="007002DF"/>
    <w:rsid w:val="0070131C"/>
    <w:rsid w:val="00701815"/>
    <w:rsid w:val="00702183"/>
    <w:rsid w:val="007021FA"/>
    <w:rsid w:val="00702642"/>
    <w:rsid w:val="007032A7"/>
    <w:rsid w:val="007045F4"/>
    <w:rsid w:val="007054E5"/>
    <w:rsid w:val="007070BD"/>
    <w:rsid w:val="00710848"/>
    <w:rsid w:val="007117AB"/>
    <w:rsid w:val="007120EA"/>
    <w:rsid w:val="0071382C"/>
    <w:rsid w:val="00713CA6"/>
    <w:rsid w:val="00715246"/>
    <w:rsid w:val="0071583D"/>
    <w:rsid w:val="00716CB3"/>
    <w:rsid w:val="00716DF3"/>
    <w:rsid w:val="00717E52"/>
    <w:rsid w:val="00717FBB"/>
    <w:rsid w:val="00720768"/>
    <w:rsid w:val="00721CD2"/>
    <w:rsid w:val="00723A83"/>
    <w:rsid w:val="007249F6"/>
    <w:rsid w:val="00724E9D"/>
    <w:rsid w:val="007252A5"/>
    <w:rsid w:val="0072584B"/>
    <w:rsid w:val="0072595B"/>
    <w:rsid w:val="00725D61"/>
    <w:rsid w:val="00727A98"/>
    <w:rsid w:val="00731EDB"/>
    <w:rsid w:val="00735728"/>
    <w:rsid w:val="0073661B"/>
    <w:rsid w:val="007373D3"/>
    <w:rsid w:val="00737E7E"/>
    <w:rsid w:val="00740EE9"/>
    <w:rsid w:val="007410CF"/>
    <w:rsid w:val="00741280"/>
    <w:rsid w:val="00743536"/>
    <w:rsid w:val="00743680"/>
    <w:rsid w:val="00743A30"/>
    <w:rsid w:val="00743C29"/>
    <w:rsid w:val="0074525F"/>
    <w:rsid w:val="0074534E"/>
    <w:rsid w:val="007453F7"/>
    <w:rsid w:val="00746D0C"/>
    <w:rsid w:val="00747929"/>
    <w:rsid w:val="00747FC9"/>
    <w:rsid w:val="0075044B"/>
    <w:rsid w:val="007509A3"/>
    <w:rsid w:val="00752E42"/>
    <w:rsid w:val="00752F9F"/>
    <w:rsid w:val="007534EC"/>
    <w:rsid w:val="00753FC7"/>
    <w:rsid w:val="0075444B"/>
    <w:rsid w:val="00754917"/>
    <w:rsid w:val="00755239"/>
    <w:rsid w:val="007560EE"/>
    <w:rsid w:val="00756366"/>
    <w:rsid w:val="00757827"/>
    <w:rsid w:val="00761602"/>
    <w:rsid w:val="007626DA"/>
    <w:rsid w:val="00763A6A"/>
    <w:rsid w:val="00763E53"/>
    <w:rsid w:val="007650F5"/>
    <w:rsid w:val="00765AAC"/>
    <w:rsid w:val="00767C41"/>
    <w:rsid w:val="00770B2F"/>
    <w:rsid w:val="00771694"/>
    <w:rsid w:val="00771758"/>
    <w:rsid w:val="007720C1"/>
    <w:rsid w:val="00772941"/>
    <w:rsid w:val="007729DB"/>
    <w:rsid w:val="00773A85"/>
    <w:rsid w:val="00773E94"/>
    <w:rsid w:val="00775563"/>
    <w:rsid w:val="007759EA"/>
    <w:rsid w:val="0077707B"/>
    <w:rsid w:val="00777540"/>
    <w:rsid w:val="0077767F"/>
    <w:rsid w:val="00780309"/>
    <w:rsid w:val="007808CD"/>
    <w:rsid w:val="007813AD"/>
    <w:rsid w:val="00781895"/>
    <w:rsid w:val="00781984"/>
    <w:rsid w:val="0078344B"/>
    <w:rsid w:val="00783923"/>
    <w:rsid w:val="00786BE8"/>
    <w:rsid w:val="0079068A"/>
    <w:rsid w:val="00790757"/>
    <w:rsid w:val="007908D6"/>
    <w:rsid w:val="0079179D"/>
    <w:rsid w:val="00791D28"/>
    <w:rsid w:val="00796848"/>
    <w:rsid w:val="00796A3B"/>
    <w:rsid w:val="0079752F"/>
    <w:rsid w:val="00797F33"/>
    <w:rsid w:val="007A1722"/>
    <w:rsid w:val="007A3282"/>
    <w:rsid w:val="007A3DD8"/>
    <w:rsid w:val="007A41B7"/>
    <w:rsid w:val="007A5371"/>
    <w:rsid w:val="007A547F"/>
    <w:rsid w:val="007A5850"/>
    <w:rsid w:val="007A6742"/>
    <w:rsid w:val="007A69F0"/>
    <w:rsid w:val="007B06BE"/>
    <w:rsid w:val="007B08A2"/>
    <w:rsid w:val="007B0916"/>
    <w:rsid w:val="007B3382"/>
    <w:rsid w:val="007B34BD"/>
    <w:rsid w:val="007B4935"/>
    <w:rsid w:val="007B559D"/>
    <w:rsid w:val="007B642D"/>
    <w:rsid w:val="007B6A8D"/>
    <w:rsid w:val="007B7025"/>
    <w:rsid w:val="007C089A"/>
    <w:rsid w:val="007C337A"/>
    <w:rsid w:val="007C545E"/>
    <w:rsid w:val="007C6F56"/>
    <w:rsid w:val="007D0358"/>
    <w:rsid w:val="007D1A9C"/>
    <w:rsid w:val="007D2880"/>
    <w:rsid w:val="007D2C0A"/>
    <w:rsid w:val="007D34E5"/>
    <w:rsid w:val="007D3894"/>
    <w:rsid w:val="007D3A13"/>
    <w:rsid w:val="007D467E"/>
    <w:rsid w:val="007D491B"/>
    <w:rsid w:val="007D4A54"/>
    <w:rsid w:val="007D6273"/>
    <w:rsid w:val="007E0232"/>
    <w:rsid w:val="007E1198"/>
    <w:rsid w:val="007E30A6"/>
    <w:rsid w:val="007E5013"/>
    <w:rsid w:val="007E5597"/>
    <w:rsid w:val="007E5A24"/>
    <w:rsid w:val="007E6491"/>
    <w:rsid w:val="007E6B8B"/>
    <w:rsid w:val="007E757C"/>
    <w:rsid w:val="007E78E8"/>
    <w:rsid w:val="007F33A1"/>
    <w:rsid w:val="007F33BD"/>
    <w:rsid w:val="007F34A1"/>
    <w:rsid w:val="007F454D"/>
    <w:rsid w:val="007F52DF"/>
    <w:rsid w:val="007F5FF8"/>
    <w:rsid w:val="007F7144"/>
    <w:rsid w:val="007F75B3"/>
    <w:rsid w:val="008001BF"/>
    <w:rsid w:val="008019F1"/>
    <w:rsid w:val="00801DE0"/>
    <w:rsid w:val="008025E5"/>
    <w:rsid w:val="008032CD"/>
    <w:rsid w:val="008052BB"/>
    <w:rsid w:val="00806F09"/>
    <w:rsid w:val="00807166"/>
    <w:rsid w:val="00807DA5"/>
    <w:rsid w:val="00813BBA"/>
    <w:rsid w:val="00813BE9"/>
    <w:rsid w:val="00816075"/>
    <w:rsid w:val="00816351"/>
    <w:rsid w:val="00817C98"/>
    <w:rsid w:val="008217E2"/>
    <w:rsid w:val="00822172"/>
    <w:rsid w:val="00825068"/>
    <w:rsid w:val="0083232C"/>
    <w:rsid w:val="008329ED"/>
    <w:rsid w:val="00833C67"/>
    <w:rsid w:val="00834A15"/>
    <w:rsid w:val="0083560F"/>
    <w:rsid w:val="00836FAA"/>
    <w:rsid w:val="00842CF0"/>
    <w:rsid w:val="00844F61"/>
    <w:rsid w:val="0084692A"/>
    <w:rsid w:val="00850210"/>
    <w:rsid w:val="008507CD"/>
    <w:rsid w:val="0085338B"/>
    <w:rsid w:val="008534E1"/>
    <w:rsid w:val="008542CA"/>
    <w:rsid w:val="00855F45"/>
    <w:rsid w:val="0085603D"/>
    <w:rsid w:val="0085621C"/>
    <w:rsid w:val="008572C2"/>
    <w:rsid w:val="0086037D"/>
    <w:rsid w:val="00860C20"/>
    <w:rsid w:val="0086136A"/>
    <w:rsid w:val="00861F9D"/>
    <w:rsid w:val="0086228E"/>
    <w:rsid w:val="00862D38"/>
    <w:rsid w:val="008641E6"/>
    <w:rsid w:val="0086590F"/>
    <w:rsid w:val="00865C7A"/>
    <w:rsid w:val="00866E4A"/>
    <w:rsid w:val="00866E70"/>
    <w:rsid w:val="00866FDE"/>
    <w:rsid w:val="00867797"/>
    <w:rsid w:val="00867B85"/>
    <w:rsid w:val="008712F1"/>
    <w:rsid w:val="0087166A"/>
    <w:rsid w:val="00871DF3"/>
    <w:rsid w:val="00872696"/>
    <w:rsid w:val="008731B1"/>
    <w:rsid w:val="00873983"/>
    <w:rsid w:val="00873E50"/>
    <w:rsid w:val="0087484E"/>
    <w:rsid w:val="00875F2C"/>
    <w:rsid w:val="00875FC0"/>
    <w:rsid w:val="0087658C"/>
    <w:rsid w:val="00876EFD"/>
    <w:rsid w:val="0087776A"/>
    <w:rsid w:val="00880BF6"/>
    <w:rsid w:val="00880E65"/>
    <w:rsid w:val="0088122F"/>
    <w:rsid w:val="00882FF6"/>
    <w:rsid w:val="008838D4"/>
    <w:rsid w:val="008843EF"/>
    <w:rsid w:val="008850E9"/>
    <w:rsid w:val="008878E2"/>
    <w:rsid w:val="00887A35"/>
    <w:rsid w:val="008908B4"/>
    <w:rsid w:val="008927D4"/>
    <w:rsid w:val="00892B69"/>
    <w:rsid w:val="00892FF9"/>
    <w:rsid w:val="00893326"/>
    <w:rsid w:val="00893BC6"/>
    <w:rsid w:val="00893F35"/>
    <w:rsid w:val="00893FBD"/>
    <w:rsid w:val="00894FEB"/>
    <w:rsid w:val="0089574D"/>
    <w:rsid w:val="00896CFD"/>
    <w:rsid w:val="00896EEF"/>
    <w:rsid w:val="008A34DC"/>
    <w:rsid w:val="008A3C2C"/>
    <w:rsid w:val="008A3FDC"/>
    <w:rsid w:val="008A43C4"/>
    <w:rsid w:val="008A4E08"/>
    <w:rsid w:val="008A639B"/>
    <w:rsid w:val="008A6430"/>
    <w:rsid w:val="008A6881"/>
    <w:rsid w:val="008B0346"/>
    <w:rsid w:val="008B0BFB"/>
    <w:rsid w:val="008B2080"/>
    <w:rsid w:val="008B44C6"/>
    <w:rsid w:val="008B6F16"/>
    <w:rsid w:val="008B73FA"/>
    <w:rsid w:val="008C0689"/>
    <w:rsid w:val="008C08E6"/>
    <w:rsid w:val="008C099D"/>
    <w:rsid w:val="008C0ED3"/>
    <w:rsid w:val="008C124D"/>
    <w:rsid w:val="008C1304"/>
    <w:rsid w:val="008C1D46"/>
    <w:rsid w:val="008C2B98"/>
    <w:rsid w:val="008C3E17"/>
    <w:rsid w:val="008C474C"/>
    <w:rsid w:val="008C475E"/>
    <w:rsid w:val="008C54EA"/>
    <w:rsid w:val="008C70B0"/>
    <w:rsid w:val="008C7460"/>
    <w:rsid w:val="008C7633"/>
    <w:rsid w:val="008C7EE9"/>
    <w:rsid w:val="008D260E"/>
    <w:rsid w:val="008D3142"/>
    <w:rsid w:val="008D475E"/>
    <w:rsid w:val="008D4FBF"/>
    <w:rsid w:val="008D64C6"/>
    <w:rsid w:val="008D701B"/>
    <w:rsid w:val="008E0938"/>
    <w:rsid w:val="008E105C"/>
    <w:rsid w:val="008E2886"/>
    <w:rsid w:val="008E38DC"/>
    <w:rsid w:val="008E3B04"/>
    <w:rsid w:val="008E3E4D"/>
    <w:rsid w:val="008E4459"/>
    <w:rsid w:val="008E47C8"/>
    <w:rsid w:val="008E52AE"/>
    <w:rsid w:val="008E5A0E"/>
    <w:rsid w:val="008E7DE2"/>
    <w:rsid w:val="008F0AAD"/>
    <w:rsid w:val="008F1412"/>
    <w:rsid w:val="008F1432"/>
    <w:rsid w:val="008F16A8"/>
    <w:rsid w:val="008F1D55"/>
    <w:rsid w:val="008F23E8"/>
    <w:rsid w:val="008F2BB0"/>
    <w:rsid w:val="008F5616"/>
    <w:rsid w:val="008F639A"/>
    <w:rsid w:val="00900320"/>
    <w:rsid w:val="00900EA0"/>
    <w:rsid w:val="009028C9"/>
    <w:rsid w:val="0090301A"/>
    <w:rsid w:val="00904C5A"/>
    <w:rsid w:val="00907F21"/>
    <w:rsid w:val="00911239"/>
    <w:rsid w:val="00912151"/>
    <w:rsid w:val="00913446"/>
    <w:rsid w:val="00913472"/>
    <w:rsid w:val="0091466C"/>
    <w:rsid w:val="00914C64"/>
    <w:rsid w:val="009179C9"/>
    <w:rsid w:val="00920F0A"/>
    <w:rsid w:val="0092249F"/>
    <w:rsid w:val="00922C2C"/>
    <w:rsid w:val="00923280"/>
    <w:rsid w:val="00923B2A"/>
    <w:rsid w:val="00925022"/>
    <w:rsid w:val="00925454"/>
    <w:rsid w:val="009254F8"/>
    <w:rsid w:val="009261F3"/>
    <w:rsid w:val="00927E6F"/>
    <w:rsid w:val="00930012"/>
    <w:rsid w:val="009300C1"/>
    <w:rsid w:val="00932DEC"/>
    <w:rsid w:val="00934E3E"/>
    <w:rsid w:val="00935088"/>
    <w:rsid w:val="00935E84"/>
    <w:rsid w:val="00936600"/>
    <w:rsid w:val="0094121E"/>
    <w:rsid w:val="00941F50"/>
    <w:rsid w:val="00944CA3"/>
    <w:rsid w:val="00946DBE"/>
    <w:rsid w:val="00946F6E"/>
    <w:rsid w:val="00947CD9"/>
    <w:rsid w:val="0095132D"/>
    <w:rsid w:val="0095253D"/>
    <w:rsid w:val="0095371D"/>
    <w:rsid w:val="00953CB4"/>
    <w:rsid w:val="00953F60"/>
    <w:rsid w:val="00954258"/>
    <w:rsid w:val="009550BC"/>
    <w:rsid w:val="00956ACC"/>
    <w:rsid w:val="00961D98"/>
    <w:rsid w:val="00961F6D"/>
    <w:rsid w:val="00962126"/>
    <w:rsid w:val="009623F4"/>
    <w:rsid w:val="00962E64"/>
    <w:rsid w:val="00965315"/>
    <w:rsid w:val="0096668D"/>
    <w:rsid w:val="009668FA"/>
    <w:rsid w:val="00967394"/>
    <w:rsid w:val="00967A84"/>
    <w:rsid w:val="0097068A"/>
    <w:rsid w:val="009707FC"/>
    <w:rsid w:val="00970E38"/>
    <w:rsid w:val="009716C8"/>
    <w:rsid w:val="00971D65"/>
    <w:rsid w:val="00972377"/>
    <w:rsid w:val="00974D1C"/>
    <w:rsid w:val="009767C5"/>
    <w:rsid w:val="009777FF"/>
    <w:rsid w:val="00981725"/>
    <w:rsid w:val="00981765"/>
    <w:rsid w:val="0098329A"/>
    <w:rsid w:val="00983B23"/>
    <w:rsid w:val="00983EEF"/>
    <w:rsid w:val="009840ED"/>
    <w:rsid w:val="00984E63"/>
    <w:rsid w:val="009850BC"/>
    <w:rsid w:val="009865D3"/>
    <w:rsid w:val="009905AC"/>
    <w:rsid w:val="009914B7"/>
    <w:rsid w:val="00991CE7"/>
    <w:rsid w:val="00993D16"/>
    <w:rsid w:val="00995EC2"/>
    <w:rsid w:val="00996FB2"/>
    <w:rsid w:val="0099712D"/>
    <w:rsid w:val="009A059E"/>
    <w:rsid w:val="009A0899"/>
    <w:rsid w:val="009A13A0"/>
    <w:rsid w:val="009A1EDA"/>
    <w:rsid w:val="009A3FDD"/>
    <w:rsid w:val="009A6963"/>
    <w:rsid w:val="009A6C95"/>
    <w:rsid w:val="009B0444"/>
    <w:rsid w:val="009B0952"/>
    <w:rsid w:val="009B20AD"/>
    <w:rsid w:val="009B229C"/>
    <w:rsid w:val="009B259F"/>
    <w:rsid w:val="009B5186"/>
    <w:rsid w:val="009B51DC"/>
    <w:rsid w:val="009B52C1"/>
    <w:rsid w:val="009B59CA"/>
    <w:rsid w:val="009B7318"/>
    <w:rsid w:val="009B74A5"/>
    <w:rsid w:val="009C0D11"/>
    <w:rsid w:val="009C0F32"/>
    <w:rsid w:val="009C11AB"/>
    <w:rsid w:val="009C321E"/>
    <w:rsid w:val="009C3FEA"/>
    <w:rsid w:val="009C47EB"/>
    <w:rsid w:val="009C498A"/>
    <w:rsid w:val="009C61B9"/>
    <w:rsid w:val="009C6E0D"/>
    <w:rsid w:val="009C717B"/>
    <w:rsid w:val="009C7671"/>
    <w:rsid w:val="009D0175"/>
    <w:rsid w:val="009D0470"/>
    <w:rsid w:val="009D0802"/>
    <w:rsid w:val="009D31EF"/>
    <w:rsid w:val="009D4635"/>
    <w:rsid w:val="009D5445"/>
    <w:rsid w:val="009D5626"/>
    <w:rsid w:val="009D63FE"/>
    <w:rsid w:val="009E16AA"/>
    <w:rsid w:val="009E3A59"/>
    <w:rsid w:val="009E44E0"/>
    <w:rsid w:val="009E4632"/>
    <w:rsid w:val="009E538D"/>
    <w:rsid w:val="009E5533"/>
    <w:rsid w:val="009E56AE"/>
    <w:rsid w:val="009E6D94"/>
    <w:rsid w:val="009F1856"/>
    <w:rsid w:val="009F2175"/>
    <w:rsid w:val="009F2919"/>
    <w:rsid w:val="009F2A98"/>
    <w:rsid w:val="009F5004"/>
    <w:rsid w:val="009F50FD"/>
    <w:rsid w:val="009F574A"/>
    <w:rsid w:val="009F65D6"/>
    <w:rsid w:val="009F7C1D"/>
    <w:rsid w:val="00A019DD"/>
    <w:rsid w:val="00A04BA4"/>
    <w:rsid w:val="00A04BB2"/>
    <w:rsid w:val="00A05249"/>
    <w:rsid w:val="00A0651B"/>
    <w:rsid w:val="00A06E26"/>
    <w:rsid w:val="00A10E1C"/>
    <w:rsid w:val="00A119C5"/>
    <w:rsid w:val="00A12878"/>
    <w:rsid w:val="00A13147"/>
    <w:rsid w:val="00A14660"/>
    <w:rsid w:val="00A146F0"/>
    <w:rsid w:val="00A16034"/>
    <w:rsid w:val="00A1642F"/>
    <w:rsid w:val="00A17132"/>
    <w:rsid w:val="00A17EE4"/>
    <w:rsid w:val="00A20250"/>
    <w:rsid w:val="00A2423C"/>
    <w:rsid w:val="00A253BF"/>
    <w:rsid w:val="00A2589E"/>
    <w:rsid w:val="00A26DA7"/>
    <w:rsid w:val="00A2712C"/>
    <w:rsid w:val="00A278FB"/>
    <w:rsid w:val="00A2797D"/>
    <w:rsid w:val="00A279D9"/>
    <w:rsid w:val="00A27A0C"/>
    <w:rsid w:val="00A3026A"/>
    <w:rsid w:val="00A304F9"/>
    <w:rsid w:val="00A31A2E"/>
    <w:rsid w:val="00A33041"/>
    <w:rsid w:val="00A352C6"/>
    <w:rsid w:val="00A3640A"/>
    <w:rsid w:val="00A40705"/>
    <w:rsid w:val="00A416BB"/>
    <w:rsid w:val="00A428A2"/>
    <w:rsid w:val="00A44195"/>
    <w:rsid w:val="00A44322"/>
    <w:rsid w:val="00A456C8"/>
    <w:rsid w:val="00A50676"/>
    <w:rsid w:val="00A5416B"/>
    <w:rsid w:val="00A54FAF"/>
    <w:rsid w:val="00A552A2"/>
    <w:rsid w:val="00A5621E"/>
    <w:rsid w:val="00A56B1F"/>
    <w:rsid w:val="00A57790"/>
    <w:rsid w:val="00A60B4E"/>
    <w:rsid w:val="00A61866"/>
    <w:rsid w:val="00A61C40"/>
    <w:rsid w:val="00A61DFF"/>
    <w:rsid w:val="00A6424E"/>
    <w:rsid w:val="00A64C80"/>
    <w:rsid w:val="00A66199"/>
    <w:rsid w:val="00A7195B"/>
    <w:rsid w:val="00A71A45"/>
    <w:rsid w:val="00A73D8C"/>
    <w:rsid w:val="00A748EE"/>
    <w:rsid w:val="00A7499C"/>
    <w:rsid w:val="00A74C29"/>
    <w:rsid w:val="00A75273"/>
    <w:rsid w:val="00A75566"/>
    <w:rsid w:val="00A771F2"/>
    <w:rsid w:val="00A8004C"/>
    <w:rsid w:val="00A807E4"/>
    <w:rsid w:val="00A81715"/>
    <w:rsid w:val="00A81BC0"/>
    <w:rsid w:val="00A82BCE"/>
    <w:rsid w:val="00A8321F"/>
    <w:rsid w:val="00A84BA5"/>
    <w:rsid w:val="00A84D91"/>
    <w:rsid w:val="00A86B71"/>
    <w:rsid w:val="00A87C09"/>
    <w:rsid w:val="00A908CC"/>
    <w:rsid w:val="00A908E0"/>
    <w:rsid w:val="00A9152A"/>
    <w:rsid w:val="00A940F7"/>
    <w:rsid w:val="00A952E2"/>
    <w:rsid w:val="00A956CF"/>
    <w:rsid w:val="00A96EF5"/>
    <w:rsid w:val="00A975EA"/>
    <w:rsid w:val="00AA0057"/>
    <w:rsid w:val="00AA0482"/>
    <w:rsid w:val="00AA1E9E"/>
    <w:rsid w:val="00AA34E2"/>
    <w:rsid w:val="00AA3C8F"/>
    <w:rsid w:val="00AA3C90"/>
    <w:rsid w:val="00AA3DC4"/>
    <w:rsid w:val="00AA45F0"/>
    <w:rsid w:val="00AA4AB1"/>
    <w:rsid w:val="00AA4F2B"/>
    <w:rsid w:val="00AA56D2"/>
    <w:rsid w:val="00AA57CF"/>
    <w:rsid w:val="00AA59D4"/>
    <w:rsid w:val="00AA7959"/>
    <w:rsid w:val="00AB09B4"/>
    <w:rsid w:val="00AB1FFA"/>
    <w:rsid w:val="00AB34CE"/>
    <w:rsid w:val="00AB4076"/>
    <w:rsid w:val="00AB4123"/>
    <w:rsid w:val="00AB419D"/>
    <w:rsid w:val="00AC1405"/>
    <w:rsid w:val="00AC217C"/>
    <w:rsid w:val="00AC2E05"/>
    <w:rsid w:val="00AC3C70"/>
    <w:rsid w:val="00AC4893"/>
    <w:rsid w:val="00AC5541"/>
    <w:rsid w:val="00AC6814"/>
    <w:rsid w:val="00AC739B"/>
    <w:rsid w:val="00AC7A4B"/>
    <w:rsid w:val="00AD0CFD"/>
    <w:rsid w:val="00AD21F1"/>
    <w:rsid w:val="00AD4270"/>
    <w:rsid w:val="00AD4342"/>
    <w:rsid w:val="00AD4816"/>
    <w:rsid w:val="00AD4E42"/>
    <w:rsid w:val="00AD5806"/>
    <w:rsid w:val="00AD59B7"/>
    <w:rsid w:val="00AD59F8"/>
    <w:rsid w:val="00AD5CD7"/>
    <w:rsid w:val="00AD74D3"/>
    <w:rsid w:val="00AD7B34"/>
    <w:rsid w:val="00AD7F47"/>
    <w:rsid w:val="00AE08E4"/>
    <w:rsid w:val="00AE1F2C"/>
    <w:rsid w:val="00AE2CDE"/>
    <w:rsid w:val="00AE31DE"/>
    <w:rsid w:val="00AE3E9C"/>
    <w:rsid w:val="00AE4C67"/>
    <w:rsid w:val="00AE5D47"/>
    <w:rsid w:val="00AE6B86"/>
    <w:rsid w:val="00AE77FE"/>
    <w:rsid w:val="00AF0203"/>
    <w:rsid w:val="00AF1CC5"/>
    <w:rsid w:val="00AF1DA1"/>
    <w:rsid w:val="00AF3BB2"/>
    <w:rsid w:val="00AF3C86"/>
    <w:rsid w:val="00AF429D"/>
    <w:rsid w:val="00AF49AD"/>
    <w:rsid w:val="00AF5E83"/>
    <w:rsid w:val="00AF6E0E"/>
    <w:rsid w:val="00AF6EDB"/>
    <w:rsid w:val="00AF7C1F"/>
    <w:rsid w:val="00B00786"/>
    <w:rsid w:val="00B009FE"/>
    <w:rsid w:val="00B018C2"/>
    <w:rsid w:val="00B026BF"/>
    <w:rsid w:val="00B0287F"/>
    <w:rsid w:val="00B03BE9"/>
    <w:rsid w:val="00B0475B"/>
    <w:rsid w:val="00B051CF"/>
    <w:rsid w:val="00B0571A"/>
    <w:rsid w:val="00B0623F"/>
    <w:rsid w:val="00B063C8"/>
    <w:rsid w:val="00B070CA"/>
    <w:rsid w:val="00B07151"/>
    <w:rsid w:val="00B10BD7"/>
    <w:rsid w:val="00B11155"/>
    <w:rsid w:val="00B17BFE"/>
    <w:rsid w:val="00B201C9"/>
    <w:rsid w:val="00B222DF"/>
    <w:rsid w:val="00B24994"/>
    <w:rsid w:val="00B24E57"/>
    <w:rsid w:val="00B25DF5"/>
    <w:rsid w:val="00B30577"/>
    <w:rsid w:val="00B3086C"/>
    <w:rsid w:val="00B30C49"/>
    <w:rsid w:val="00B313D3"/>
    <w:rsid w:val="00B31421"/>
    <w:rsid w:val="00B315D8"/>
    <w:rsid w:val="00B31AB6"/>
    <w:rsid w:val="00B33800"/>
    <w:rsid w:val="00B360B9"/>
    <w:rsid w:val="00B360D0"/>
    <w:rsid w:val="00B36911"/>
    <w:rsid w:val="00B36EF8"/>
    <w:rsid w:val="00B37409"/>
    <w:rsid w:val="00B40964"/>
    <w:rsid w:val="00B40D29"/>
    <w:rsid w:val="00B430D1"/>
    <w:rsid w:val="00B4412D"/>
    <w:rsid w:val="00B4453B"/>
    <w:rsid w:val="00B44EAE"/>
    <w:rsid w:val="00B473C0"/>
    <w:rsid w:val="00B51132"/>
    <w:rsid w:val="00B52842"/>
    <w:rsid w:val="00B52EAB"/>
    <w:rsid w:val="00B5315E"/>
    <w:rsid w:val="00B533D9"/>
    <w:rsid w:val="00B537F2"/>
    <w:rsid w:val="00B53FCC"/>
    <w:rsid w:val="00B5412E"/>
    <w:rsid w:val="00B54274"/>
    <w:rsid w:val="00B54760"/>
    <w:rsid w:val="00B54E8A"/>
    <w:rsid w:val="00B5655C"/>
    <w:rsid w:val="00B56A70"/>
    <w:rsid w:val="00B57127"/>
    <w:rsid w:val="00B57A56"/>
    <w:rsid w:val="00B604F9"/>
    <w:rsid w:val="00B60E0C"/>
    <w:rsid w:val="00B61CD1"/>
    <w:rsid w:val="00B62AF1"/>
    <w:rsid w:val="00B639D7"/>
    <w:rsid w:val="00B64EC4"/>
    <w:rsid w:val="00B6570A"/>
    <w:rsid w:val="00B657CA"/>
    <w:rsid w:val="00B705E9"/>
    <w:rsid w:val="00B71F8C"/>
    <w:rsid w:val="00B722BF"/>
    <w:rsid w:val="00B72541"/>
    <w:rsid w:val="00B72FDA"/>
    <w:rsid w:val="00B734F8"/>
    <w:rsid w:val="00B7579E"/>
    <w:rsid w:val="00B75835"/>
    <w:rsid w:val="00B75A31"/>
    <w:rsid w:val="00B75CB4"/>
    <w:rsid w:val="00B76139"/>
    <w:rsid w:val="00B76A1F"/>
    <w:rsid w:val="00B774A9"/>
    <w:rsid w:val="00B77B4D"/>
    <w:rsid w:val="00B77F0E"/>
    <w:rsid w:val="00B826D8"/>
    <w:rsid w:val="00B83C91"/>
    <w:rsid w:val="00B8417E"/>
    <w:rsid w:val="00B841E1"/>
    <w:rsid w:val="00B8555E"/>
    <w:rsid w:val="00B85B4F"/>
    <w:rsid w:val="00B8618F"/>
    <w:rsid w:val="00B87ECD"/>
    <w:rsid w:val="00B924DB"/>
    <w:rsid w:val="00B9306B"/>
    <w:rsid w:val="00B93972"/>
    <w:rsid w:val="00B957AC"/>
    <w:rsid w:val="00B95A95"/>
    <w:rsid w:val="00B95E66"/>
    <w:rsid w:val="00BA0050"/>
    <w:rsid w:val="00BA094B"/>
    <w:rsid w:val="00BA14E9"/>
    <w:rsid w:val="00BA1673"/>
    <w:rsid w:val="00BA25E9"/>
    <w:rsid w:val="00BA38EB"/>
    <w:rsid w:val="00BA48CE"/>
    <w:rsid w:val="00BA551D"/>
    <w:rsid w:val="00BA581D"/>
    <w:rsid w:val="00BA7EF3"/>
    <w:rsid w:val="00BB0240"/>
    <w:rsid w:val="00BB0C05"/>
    <w:rsid w:val="00BB0CB6"/>
    <w:rsid w:val="00BB20A4"/>
    <w:rsid w:val="00BB2692"/>
    <w:rsid w:val="00BB2BB2"/>
    <w:rsid w:val="00BB2CDC"/>
    <w:rsid w:val="00BB4C92"/>
    <w:rsid w:val="00BB5DCA"/>
    <w:rsid w:val="00BB5E04"/>
    <w:rsid w:val="00BB63CE"/>
    <w:rsid w:val="00BB7696"/>
    <w:rsid w:val="00BC0260"/>
    <w:rsid w:val="00BC02DC"/>
    <w:rsid w:val="00BC0DFF"/>
    <w:rsid w:val="00BC16C3"/>
    <w:rsid w:val="00BC25A0"/>
    <w:rsid w:val="00BC2B8C"/>
    <w:rsid w:val="00BC449A"/>
    <w:rsid w:val="00BC62D4"/>
    <w:rsid w:val="00BC6491"/>
    <w:rsid w:val="00BC6554"/>
    <w:rsid w:val="00BC73A3"/>
    <w:rsid w:val="00BC7AD1"/>
    <w:rsid w:val="00BD0612"/>
    <w:rsid w:val="00BD0745"/>
    <w:rsid w:val="00BD3238"/>
    <w:rsid w:val="00BD44FE"/>
    <w:rsid w:val="00BD58F1"/>
    <w:rsid w:val="00BD5F95"/>
    <w:rsid w:val="00BD76BF"/>
    <w:rsid w:val="00BE02EF"/>
    <w:rsid w:val="00BE0597"/>
    <w:rsid w:val="00BE3160"/>
    <w:rsid w:val="00BE410F"/>
    <w:rsid w:val="00BE459F"/>
    <w:rsid w:val="00BE5AEF"/>
    <w:rsid w:val="00BE6482"/>
    <w:rsid w:val="00BF08DE"/>
    <w:rsid w:val="00BF5DDA"/>
    <w:rsid w:val="00BF60E2"/>
    <w:rsid w:val="00BF620C"/>
    <w:rsid w:val="00C005E4"/>
    <w:rsid w:val="00C02E41"/>
    <w:rsid w:val="00C035A3"/>
    <w:rsid w:val="00C03F4B"/>
    <w:rsid w:val="00C040F3"/>
    <w:rsid w:val="00C047CE"/>
    <w:rsid w:val="00C04E92"/>
    <w:rsid w:val="00C05CCA"/>
    <w:rsid w:val="00C11876"/>
    <w:rsid w:val="00C12A1D"/>
    <w:rsid w:val="00C12BCA"/>
    <w:rsid w:val="00C12F7E"/>
    <w:rsid w:val="00C13E55"/>
    <w:rsid w:val="00C14721"/>
    <w:rsid w:val="00C15D25"/>
    <w:rsid w:val="00C1666A"/>
    <w:rsid w:val="00C200AC"/>
    <w:rsid w:val="00C21984"/>
    <w:rsid w:val="00C21D54"/>
    <w:rsid w:val="00C220D8"/>
    <w:rsid w:val="00C22A2D"/>
    <w:rsid w:val="00C23035"/>
    <w:rsid w:val="00C235A0"/>
    <w:rsid w:val="00C24033"/>
    <w:rsid w:val="00C26A95"/>
    <w:rsid w:val="00C31D99"/>
    <w:rsid w:val="00C32047"/>
    <w:rsid w:val="00C3228D"/>
    <w:rsid w:val="00C32424"/>
    <w:rsid w:val="00C32A17"/>
    <w:rsid w:val="00C34010"/>
    <w:rsid w:val="00C355D8"/>
    <w:rsid w:val="00C36699"/>
    <w:rsid w:val="00C37F8E"/>
    <w:rsid w:val="00C4256A"/>
    <w:rsid w:val="00C42BF4"/>
    <w:rsid w:val="00C42CC8"/>
    <w:rsid w:val="00C42D9F"/>
    <w:rsid w:val="00C43A8F"/>
    <w:rsid w:val="00C44220"/>
    <w:rsid w:val="00C46844"/>
    <w:rsid w:val="00C46C58"/>
    <w:rsid w:val="00C46DB3"/>
    <w:rsid w:val="00C55FF6"/>
    <w:rsid w:val="00C561A5"/>
    <w:rsid w:val="00C56F2C"/>
    <w:rsid w:val="00C61A59"/>
    <w:rsid w:val="00C637BD"/>
    <w:rsid w:val="00C63CA4"/>
    <w:rsid w:val="00C645F3"/>
    <w:rsid w:val="00C64C06"/>
    <w:rsid w:val="00C64F99"/>
    <w:rsid w:val="00C66758"/>
    <w:rsid w:val="00C66B8B"/>
    <w:rsid w:val="00C676FD"/>
    <w:rsid w:val="00C67BFC"/>
    <w:rsid w:val="00C70E33"/>
    <w:rsid w:val="00C718C7"/>
    <w:rsid w:val="00C7250B"/>
    <w:rsid w:val="00C733AC"/>
    <w:rsid w:val="00C73DA6"/>
    <w:rsid w:val="00C74082"/>
    <w:rsid w:val="00C7434A"/>
    <w:rsid w:val="00C75F30"/>
    <w:rsid w:val="00C77019"/>
    <w:rsid w:val="00C77BD5"/>
    <w:rsid w:val="00C80AC9"/>
    <w:rsid w:val="00C819CE"/>
    <w:rsid w:val="00C81BD7"/>
    <w:rsid w:val="00C8313F"/>
    <w:rsid w:val="00C83346"/>
    <w:rsid w:val="00C83748"/>
    <w:rsid w:val="00C8516D"/>
    <w:rsid w:val="00C86869"/>
    <w:rsid w:val="00C8766F"/>
    <w:rsid w:val="00C923C1"/>
    <w:rsid w:val="00C9246C"/>
    <w:rsid w:val="00C93162"/>
    <w:rsid w:val="00C93500"/>
    <w:rsid w:val="00C94156"/>
    <w:rsid w:val="00C949CE"/>
    <w:rsid w:val="00C94FFA"/>
    <w:rsid w:val="00C95CCF"/>
    <w:rsid w:val="00C95F14"/>
    <w:rsid w:val="00C962FF"/>
    <w:rsid w:val="00C9689E"/>
    <w:rsid w:val="00C96B69"/>
    <w:rsid w:val="00C96BF5"/>
    <w:rsid w:val="00C97DC9"/>
    <w:rsid w:val="00CA1F44"/>
    <w:rsid w:val="00CA3433"/>
    <w:rsid w:val="00CA351E"/>
    <w:rsid w:val="00CA3524"/>
    <w:rsid w:val="00CA3691"/>
    <w:rsid w:val="00CA5B04"/>
    <w:rsid w:val="00CB03F5"/>
    <w:rsid w:val="00CB1DA7"/>
    <w:rsid w:val="00CB21F2"/>
    <w:rsid w:val="00CB344B"/>
    <w:rsid w:val="00CB460B"/>
    <w:rsid w:val="00CB4C81"/>
    <w:rsid w:val="00CB5873"/>
    <w:rsid w:val="00CB5E7B"/>
    <w:rsid w:val="00CC0839"/>
    <w:rsid w:val="00CC0C4D"/>
    <w:rsid w:val="00CC2802"/>
    <w:rsid w:val="00CC37B4"/>
    <w:rsid w:val="00CC3BB9"/>
    <w:rsid w:val="00CC5847"/>
    <w:rsid w:val="00CC6AAF"/>
    <w:rsid w:val="00CD189A"/>
    <w:rsid w:val="00CD284B"/>
    <w:rsid w:val="00CD3391"/>
    <w:rsid w:val="00CD34CD"/>
    <w:rsid w:val="00CD39FC"/>
    <w:rsid w:val="00CD4CE5"/>
    <w:rsid w:val="00CD5D39"/>
    <w:rsid w:val="00CD6B9C"/>
    <w:rsid w:val="00CD6D1A"/>
    <w:rsid w:val="00CE0467"/>
    <w:rsid w:val="00CE0E71"/>
    <w:rsid w:val="00CE1AF7"/>
    <w:rsid w:val="00CE26C7"/>
    <w:rsid w:val="00CE366C"/>
    <w:rsid w:val="00CE5250"/>
    <w:rsid w:val="00CE5323"/>
    <w:rsid w:val="00CE73D8"/>
    <w:rsid w:val="00CE7C62"/>
    <w:rsid w:val="00CF21FE"/>
    <w:rsid w:val="00CF3404"/>
    <w:rsid w:val="00CF47A0"/>
    <w:rsid w:val="00CF6C1A"/>
    <w:rsid w:val="00D012FF"/>
    <w:rsid w:val="00D02ABF"/>
    <w:rsid w:val="00D02EF2"/>
    <w:rsid w:val="00D038A8"/>
    <w:rsid w:val="00D03E4C"/>
    <w:rsid w:val="00D041D5"/>
    <w:rsid w:val="00D051E5"/>
    <w:rsid w:val="00D05243"/>
    <w:rsid w:val="00D06DBB"/>
    <w:rsid w:val="00D06FF9"/>
    <w:rsid w:val="00D07ED6"/>
    <w:rsid w:val="00D1058F"/>
    <w:rsid w:val="00D11105"/>
    <w:rsid w:val="00D12BC1"/>
    <w:rsid w:val="00D13578"/>
    <w:rsid w:val="00D1656E"/>
    <w:rsid w:val="00D17A04"/>
    <w:rsid w:val="00D20309"/>
    <w:rsid w:val="00D21AEC"/>
    <w:rsid w:val="00D233DB"/>
    <w:rsid w:val="00D23EE9"/>
    <w:rsid w:val="00D253CA"/>
    <w:rsid w:val="00D26271"/>
    <w:rsid w:val="00D26E09"/>
    <w:rsid w:val="00D31719"/>
    <w:rsid w:val="00D31ABC"/>
    <w:rsid w:val="00D3436F"/>
    <w:rsid w:val="00D34C3B"/>
    <w:rsid w:val="00D3745D"/>
    <w:rsid w:val="00D37B9E"/>
    <w:rsid w:val="00D40D87"/>
    <w:rsid w:val="00D42898"/>
    <w:rsid w:val="00D4290D"/>
    <w:rsid w:val="00D42C9F"/>
    <w:rsid w:val="00D43562"/>
    <w:rsid w:val="00D439B2"/>
    <w:rsid w:val="00D43F8B"/>
    <w:rsid w:val="00D44275"/>
    <w:rsid w:val="00D505D1"/>
    <w:rsid w:val="00D52964"/>
    <w:rsid w:val="00D52D77"/>
    <w:rsid w:val="00D5397E"/>
    <w:rsid w:val="00D54B0E"/>
    <w:rsid w:val="00D55776"/>
    <w:rsid w:val="00D57AAC"/>
    <w:rsid w:val="00D608DA"/>
    <w:rsid w:val="00D60987"/>
    <w:rsid w:val="00D60AFC"/>
    <w:rsid w:val="00D615CD"/>
    <w:rsid w:val="00D62721"/>
    <w:rsid w:val="00D66982"/>
    <w:rsid w:val="00D709A3"/>
    <w:rsid w:val="00D70A9E"/>
    <w:rsid w:val="00D70AD6"/>
    <w:rsid w:val="00D70C7F"/>
    <w:rsid w:val="00D7163F"/>
    <w:rsid w:val="00D724F1"/>
    <w:rsid w:val="00D72F92"/>
    <w:rsid w:val="00D73847"/>
    <w:rsid w:val="00D73B20"/>
    <w:rsid w:val="00D74243"/>
    <w:rsid w:val="00D74529"/>
    <w:rsid w:val="00D746A1"/>
    <w:rsid w:val="00D75802"/>
    <w:rsid w:val="00D75947"/>
    <w:rsid w:val="00D773A6"/>
    <w:rsid w:val="00D77833"/>
    <w:rsid w:val="00D803AE"/>
    <w:rsid w:val="00D80DF0"/>
    <w:rsid w:val="00D827F6"/>
    <w:rsid w:val="00D836A5"/>
    <w:rsid w:val="00D841DA"/>
    <w:rsid w:val="00D858BA"/>
    <w:rsid w:val="00D85C3F"/>
    <w:rsid w:val="00D90DAC"/>
    <w:rsid w:val="00D91433"/>
    <w:rsid w:val="00D91F40"/>
    <w:rsid w:val="00D928A4"/>
    <w:rsid w:val="00D92D99"/>
    <w:rsid w:val="00D931C7"/>
    <w:rsid w:val="00D9352C"/>
    <w:rsid w:val="00D93B9D"/>
    <w:rsid w:val="00D93C8B"/>
    <w:rsid w:val="00D94A8C"/>
    <w:rsid w:val="00D95B49"/>
    <w:rsid w:val="00D95B6A"/>
    <w:rsid w:val="00D960E5"/>
    <w:rsid w:val="00D96514"/>
    <w:rsid w:val="00D97E4F"/>
    <w:rsid w:val="00DA106E"/>
    <w:rsid w:val="00DA28DA"/>
    <w:rsid w:val="00DA35BD"/>
    <w:rsid w:val="00DA3A24"/>
    <w:rsid w:val="00DA409C"/>
    <w:rsid w:val="00DA4FB4"/>
    <w:rsid w:val="00DA54D2"/>
    <w:rsid w:val="00DA7E9C"/>
    <w:rsid w:val="00DB032F"/>
    <w:rsid w:val="00DB0593"/>
    <w:rsid w:val="00DB15A0"/>
    <w:rsid w:val="00DB3047"/>
    <w:rsid w:val="00DB4733"/>
    <w:rsid w:val="00DB49B6"/>
    <w:rsid w:val="00DB55DA"/>
    <w:rsid w:val="00DB5D0C"/>
    <w:rsid w:val="00DB60C3"/>
    <w:rsid w:val="00DC21CD"/>
    <w:rsid w:val="00DC3977"/>
    <w:rsid w:val="00DC3D3A"/>
    <w:rsid w:val="00DC4924"/>
    <w:rsid w:val="00DC67D9"/>
    <w:rsid w:val="00DC6AB9"/>
    <w:rsid w:val="00DC7574"/>
    <w:rsid w:val="00DD0371"/>
    <w:rsid w:val="00DD0E8E"/>
    <w:rsid w:val="00DD16B0"/>
    <w:rsid w:val="00DD1F36"/>
    <w:rsid w:val="00DD4CEC"/>
    <w:rsid w:val="00DD6343"/>
    <w:rsid w:val="00DD63E8"/>
    <w:rsid w:val="00DD6C65"/>
    <w:rsid w:val="00DE0149"/>
    <w:rsid w:val="00DE28C9"/>
    <w:rsid w:val="00DE306B"/>
    <w:rsid w:val="00DE355C"/>
    <w:rsid w:val="00DE3E31"/>
    <w:rsid w:val="00DE47EE"/>
    <w:rsid w:val="00DE541D"/>
    <w:rsid w:val="00DF1387"/>
    <w:rsid w:val="00DF1443"/>
    <w:rsid w:val="00DF2284"/>
    <w:rsid w:val="00DF479B"/>
    <w:rsid w:val="00DF5118"/>
    <w:rsid w:val="00DF76ED"/>
    <w:rsid w:val="00E00A8F"/>
    <w:rsid w:val="00E01CE0"/>
    <w:rsid w:val="00E01F86"/>
    <w:rsid w:val="00E023F1"/>
    <w:rsid w:val="00E027FA"/>
    <w:rsid w:val="00E04370"/>
    <w:rsid w:val="00E051C8"/>
    <w:rsid w:val="00E05D03"/>
    <w:rsid w:val="00E05F25"/>
    <w:rsid w:val="00E06025"/>
    <w:rsid w:val="00E06324"/>
    <w:rsid w:val="00E07B79"/>
    <w:rsid w:val="00E10D4B"/>
    <w:rsid w:val="00E10FBD"/>
    <w:rsid w:val="00E111FF"/>
    <w:rsid w:val="00E11380"/>
    <w:rsid w:val="00E113BC"/>
    <w:rsid w:val="00E15357"/>
    <w:rsid w:val="00E15AFF"/>
    <w:rsid w:val="00E16A68"/>
    <w:rsid w:val="00E17A9D"/>
    <w:rsid w:val="00E17C7F"/>
    <w:rsid w:val="00E20DDB"/>
    <w:rsid w:val="00E2233C"/>
    <w:rsid w:val="00E22CFD"/>
    <w:rsid w:val="00E246BE"/>
    <w:rsid w:val="00E24A2E"/>
    <w:rsid w:val="00E24CA9"/>
    <w:rsid w:val="00E261AD"/>
    <w:rsid w:val="00E261CA"/>
    <w:rsid w:val="00E26672"/>
    <w:rsid w:val="00E26820"/>
    <w:rsid w:val="00E306A6"/>
    <w:rsid w:val="00E30776"/>
    <w:rsid w:val="00E30BA5"/>
    <w:rsid w:val="00E30CB1"/>
    <w:rsid w:val="00E32F20"/>
    <w:rsid w:val="00E34BC5"/>
    <w:rsid w:val="00E3522D"/>
    <w:rsid w:val="00E35D25"/>
    <w:rsid w:val="00E35D4A"/>
    <w:rsid w:val="00E36DC1"/>
    <w:rsid w:val="00E40DF3"/>
    <w:rsid w:val="00E43B36"/>
    <w:rsid w:val="00E44DA7"/>
    <w:rsid w:val="00E4648C"/>
    <w:rsid w:val="00E46C63"/>
    <w:rsid w:val="00E46F83"/>
    <w:rsid w:val="00E47790"/>
    <w:rsid w:val="00E47961"/>
    <w:rsid w:val="00E47D51"/>
    <w:rsid w:val="00E50874"/>
    <w:rsid w:val="00E50D68"/>
    <w:rsid w:val="00E51DE7"/>
    <w:rsid w:val="00E5249E"/>
    <w:rsid w:val="00E52957"/>
    <w:rsid w:val="00E5355D"/>
    <w:rsid w:val="00E540AC"/>
    <w:rsid w:val="00E55AE0"/>
    <w:rsid w:val="00E56046"/>
    <w:rsid w:val="00E56438"/>
    <w:rsid w:val="00E5674E"/>
    <w:rsid w:val="00E60CE1"/>
    <w:rsid w:val="00E61CFA"/>
    <w:rsid w:val="00E61F9A"/>
    <w:rsid w:val="00E6200A"/>
    <w:rsid w:val="00E625EE"/>
    <w:rsid w:val="00E635BB"/>
    <w:rsid w:val="00E639CA"/>
    <w:rsid w:val="00E64024"/>
    <w:rsid w:val="00E640A7"/>
    <w:rsid w:val="00E6433B"/>
    <w:rsid w:val="00E64CA0"/>
    <w:rsid w:val="00E65AD1"/>
    <w:rsid w:val="00E677F1"/>
    <w:rsid w:val="00E70410"/>
    <w:rsid w:val="00E707EA"/>
    <w:rsid w:val="00E713AD"/>
    <w:rsid w:val="00E71B37"/>
    <w:rsid w:val="00E73E6D"/>
    <w:rsid w:val="00E74934"/>
    <w:rsid w:val="00E7745B"/>
    <w:rsid w:val="00E817FA"/>
    <w:rsid w:val="00E839C9"/>
    <w:rsid w:val="00E83AB1"/>
    <w:rsid w:val="00E83FA4"/>
    <w:rsid w:val="00E84574"/>
    <w:rsid w:val="00E8593D"/>
    <w:rsid w:val="00E90021"/>
    <w:rsid w:val="00E908B7"/>
    <w:rsid w:val="00E90B90"/>
    <w:rsid w:val="00E91082"/>
    <w:rsid w:val="00E9197D"/>
    <w:rsid w:val="00E93A00"/>
    <w:rsid w:val="00E95155"/>
    <w:rsid w:val="00E95952"/>
    <w:rsid w:val="00E96422"/>
    <w:rsid w:val="00E97957"/>
    <w:rsid w:val="00EA1975"/>
    <w:rsid w:val="00EA1B88"/>
    <w:rsid w:val="00EA2183"/>
    <w:rsid w:val="00EA2EA4"/>
    <w:rsid w:val="00EA49AA"/>
    <w:rsid w:val="00EA7BB0"/>
    <w:rsid w:val="00EB06DC"/>
    <w:rsid w:val="00EB0A16"/>
    <w:rsid w:val="00EB0DBC"/>
    <w:rsid w:val="00EB2952"/>
    <w:rsid w:val="00EB3130"/>
    <w:rsid w:val="00EB33CA"/>
    <w:rsid w:val="00EB3EC7"/>
    <w:rsid w:val="00EB4A11"/>
    <w:rsid w:val="00EB5B17"/>
    <w:rsid w:val="00EB6461"/>
    <w:rsid w:val="00EB6507"/>
    <w:rsid w:val="00EB6DC3"/>
    <w:rsid w:val="00EB703F"/>
    <w:rsid w:val="00EB7243"/>
    <w:rsid w:val="00EB732A"/>
    <w:rsid w:val="00EC08CA"/>
    <w:rsid w:val="00EC1EB3"/>
    <w:rsid w:val="00EC24E4"/>
    <w:rsid w:val="00EC31B8"/>
    <w:rsid w:val="00EC3A85"/>
    <w:rsid w:val="00EC456A"/>
    <w:rsid w:val="00EC6456"/>
    <w:rsid w:val="00EC735A"/>
    <w:rsid w:val="00EC7443"/>
    <w:rsid w:val="00ED2163"/>
    <w:rsid w:val="00ED2F5B"/>
    <w:rsid w:val="00ED427C"/>
    <w:rsid w:val="00ED4B20"/>
    <w:rsid w:val="00ED6511"/>
    <w:rsid w:val="00ED69A1"/>
    <w:rsid w:val="00EE0620"/>
    <w:rsid w:val="00EE0B0C"/>
    <w:rsid w:val="00EE0B57"/>
    <w:rsid w:val="00EE15E4"/>
    <w:rsid w:val="00EE184D"/>
    <w:rsid w:val="00EE22E5"/>
    <w:rsid w:val="00EE337C"/>
    <w:rsid w:val="00EE68B1"/>
    <w:rsid w:val="00EF12CB"/>
    <w:rsid w:val="00EF13E2"/>
    <w:rsid w:val="00EF1EE0"/>
    <w:rsid w:val="00EF37D0"/>
    <w:rsid w:val="00EF4776"/>
    <w:rsid w:val="00EF48F6"/>
    <w:rsid w:val="00EF492A"/>
    <w:rsid w:val="00EF508C"/>
    <w:rsid w:val="00EF53ED"/>
    <w:rsid w:val="00F0108C"/>
    <w:rsid w:val="00F011E6"/>
    <w:rsid w:val="00F01A62"/>
    <w:rsid w:val="00F02D1B"/>
    <w:rsid w:val="00F033EC"/>
    <w:rsid w:val="00F03E93"/>
    <w:rsid w:val="00F044AE"/>
    <w:rsid w:val="00F06706"/>
    <w:rsid w:val="00F067BE"/>
    <w:rsid w:val="00F07DBC"/>
    <w:rsid w:val="00F10DE0"/>
    <w:rsid w:val="00F12142"/>
    <w:rsid w:val="00F121B4"/>
    <w:rsid w:val="00F1303D"/>
    <w:rsid w:val="00F131E0"/>
    <w:rsid w:val="00F13404"/>
    <w:rsid w:val="00F13EFC"/>
    <w:rsid w:val="00F14797"/>
    <w:rsid w:val="00F14AB4"/>
    <w:rsid w:val="00F15208"/>
    <w:rsid w:val="00F15885"/>
    <w:rsid w:val="00F166A4"/>
    <w:rsid w:val="00F178E3"/>
    <w:rsid w:val="00F20882"/>
    <w:rsid w:val="00F20ADE"/>
    <w:rsid w:val="00F20F94"/>
    <w:rsid w:val="00F2111F"/>
    <w:rsid w:val="00F2331D"/>
    <w:rsid w:val="00F23AF8"/>
    <w:rsid w:val="00F247DF"/>
    <w:rsid w:val="00F40005"/>
    <w:rsid w:val="00F4140E"/>
    <w:rsid w:val="00F4267D"/>
    <w:rsid w:val="00F4291A"/>
    <w:rsid w:val="00F43649"/>
    <w:rsid w:val="00F43924"/>
    <w:rsid w:val="00F43994"/>
    <w:rsid w:val="00F43A4B"/>
    <w:rsid w:val="00F451A3"/>
    <w:rsid w:val="00F50D66"/>
    <w:rsid w:val="00F522F9"/>
    <w:rsid w:val="00F526B2"/>
    <w:rsid w:val="00F52711"/>
    <w:rsid w:val="00F53BAD"/>
    <w:rsid w:val="00F55299"/>
    <w:rsid w:val="00F55EBA"/>
    <w:rsid w:val="00F57477"/>
    <w:rsid w:val="00F57682"/>
    <w:rsid w:val="00F6190B"/>
    <w:rsid w:val="00F62772"/>
    <w:rsid w:val="00F630B4"/>
    <w:rsid w:val="00F638B2"/>
    <w:rsid w:val="00F63ABB"/>
    <w:rsid w:val="00F63B8D"/>
    <w:rsid w:val="00F645B6"/>
    <w:rsid w:val="00F653BE"/>
    <w:rsid w:val="00F6588F"/>
    <w:rsid w:val="00F65F16"/>
    <w:rsid w:val="00F67E9D"/>
    <w:rsid w:val="00F705AB"/>
    <w:rsid w:val="00F7111F"/>
    <w:rsid w:val="00F73768"/>
    <w:rsid w:val="00F76277"/>
    <w:rsid w:val="00F766CE"/>
    <w:rsid w:val="00F769CB"/>
    <w:rsid w:val="00F77172"/>
    <w:rsid w:val="00F80C09"/>
    <w:rsid w:val="00F81DB5"/>
    <w:rsid w:val="00F82FF6"/>
    <w:rsid w:val="00F843A0"/>
    <w:rsid w:val="00F8454B"/>
    <w:rsid w:val="00F84AE3"/>
    <w:rsid w:val="00F85406"/>
    <w:rsid w:val="00F85790"/>
    <w:rsid w:val="00F85CEB"/>
    <w:rsid w:val="00F86873"/>
    <w:rsid w:val="00F87A20"/>
    <w:rsid w:val="00F91136"/>
    <w:rsid w:val="00F924D8"/>
    <w:rsid w:val="00F93870"/>
    <w:rsid w:val="00F9473F"/>
    <w:rsid w:val="00F9523F"/>
    <w:rsid w:val="00F95D9D"/>
    <w:rsid w:val="00F95F0E"/>
    <w:rsid w:val="00F963B2"/>
    <w:rsid w:val="00F965B7"/>
    <w:rsid w:val="00FA0219"/>
    <w:rsid w:val="00FA16E2"/>
    <w:rsid w:val="00FA2CAA"/>
    <w:rsid w:val="00FA2E2D"/>
    <w:rsid w:val="00FA312C"/>
    <w:rsid w:val="00FA3ACF"/>
    <w:rsid w:val="00FA3E08"/>
    <w:rsid w:val="00FA456E"/>
    <w:rsid w:val="00FA4747"/>
    <w:rsid w:val="00FA51DB"/>
    <w:rsid w:val="00FA5A71"/>
    <w:rsid w:val="00FA6D9F"/>
    <w:rsid w:val="00FB028F"/>
    <w:rsid w:val="00FB0643"/>
    <w:rsid w:val="00FB21C8"/>
    <w:rsid w:val="00FB5C88"/>
    <w:rsid w:val="00FB6C42"/>
    <w:rsid w:val="00FC0898"/>
    <w:rsid w:val="00FC1D59"/>
    <w:rsid w:val="00FC233D"/>
    <w:rsid w:val="00FC2EAB"/>
    <w:rsid w:val="00FC301E"/>
    <w:rsid w:val="00FC3238"/>
    <w:rsid w:val="00FC3974"/>
    <w:rsid w:val="00FC497D"/>
    <w:rsid w:val="00FC4C13"/>
    <w:rsid w:val="00FC724B"/>
    <w:rsid w:val="00FD0032"/>
    <w:rsid w:val="00FD43FC"/>
    <w:rsid w:val="00FD4552"/>
    <w:rsid w:val="00FD45F7"/>
    <w:rsid w:val="00FD5DCE"/>
    <w:rsid w:val="00FD6099"/>
    <w:rsid w:val="00FD7F9D"/>
    <w:rsid w:val="00FE0DEF"/>
    <w:rsid w:val="00FE1C57"/>
    <w:rsid w:val="00FE3EE8"/>
    <w:rsid w:val="00FE41B8"/>
    <w:rsid w:val="00FE5D68"/>
    <w:rsid w:val="00FE74F0"/>
    <w:rsid w:val="00FE77D9"/>
    <w:rsid w:val="00FE7F98"/>
    <w:rsid w:val="00FF1239"/>
    <w:rsid w:val="00FF1441"/>
    <w:rsid w:val="00FF1FC4"/>
    <w:rsid w:val="00FF24F4"/>
    <w:rsid w:val="00FF3C80"/>
    <w:rsid w:val="00FF3F8B"/>
    <w:rsid w:val="00FF49AF"/>
    <w:rsid w:val="00FF4A18"/>
    <w:rsid w:val="00FF5194"/>
    <w:rsid w:val="00FF6014"/>
    <w:rsid w:val="00FF61BE"/>
    <w:rsid w:val="00FF6A30"/>
    <w:rsid w:val="00FF6A62"/>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uiPriority w:val="99"/>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uiPriority w:val="99"/>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paragraph" w:customStyle="1" w:styleId="naisf">
    <w:name w:val="naisf"/>
    <w:basedOn w:val="Normal"/>
    <w:rsid w:val="008F2BB0"/>
    <w:pPr>
      <w:spacing w:before="100" w:beforeAutospacing="1" w:after="100" w:afterAutospacing="1"/>
    </w:pPr>
    <w:rPr>
      <w:rFonts w:eastAsia="Times New Roman"/>
    </w:rPr>
  </w:style>
  <w:style w:type="character" w:customStyle="1" w:styleId="msoins0">
    <w:name w:val="msoins"/>
    <w:rsid w:val="00E11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uiPriority w:val="99"/>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uiPriority w:val="99"/>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paragraph" w:customStyle="1" w:styleId="naisf">
    <w:name w:val="naisf"/>
    <w:basedOn w:val="Normal"/>
    <w:rsid w:val="008F2BB0"/>
    <w:pPr>
      <w:spacing w:before="100" w:beforeAutospacing="1" w:after="100" w:afterAutospacing="1"/>
    </w:pPr>
    <w:rPr>
      <w:rFonts w:eastAsia="Times New Roman"/>
    </w:rPr>
  </w:style>
  <w:style w:type="character" w:customStyle="1" w:styleId="msoins0">
    <w:name w:val="msoins"/>
    <w:rsid w:val="00E11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92639760">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05364717">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8582086">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78723">
      <w:bodyDiv w:val="1"/>
      <w:marLeft w:val="0"/>
      <w:marRight w:val="0"/>
      <w:marTop w:val="0"/>
      <w:marBottom w:val="0"/>
      <w:divBdr>
        <w:top w:val="none" w:sz="0" w:space="0" w:color="auto"/>
        <w:left w:val="none" w:sz="0" w:space="0" w:color="auto"/>
        <w:bottom w:val="none" w:sz="0" w:space="0" w:color="auto"/>
        <w:right w:val="none" w:sz="0" w:space="0" w:color="auto"/>
      </w:divBdr>
    </w:div>
    <w:div w:id="97865524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71106561">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12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271412-darbibas-programmas-izaugsme-un-nodarbinatiba-7-1-1-specifiska-atbalsta-merka-paaugstinat-bezdarbnieku-kvalifikaciju-un" TargetMode="External"/><Relationship Id="rId18" Type="http://schemas.openxmlformats.org/officeDocument/2006/relationships/hyperlink" Target="http://eur-lex.europa.eu/eli/reg/2013/1379?locale=LV" TargetMode="External"/><Relationship Id="rId26" Type="http://schemas.openxmlformats.org/officeDocument/2006/relationships/hyperlink" Target="http://eur-lex.europa.eu/eli/reg/2013/1407?locale=LV"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ur-lex.europa.eu/eli/reg/2013/1408?locale=LV"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3/1407?locale=LV" TargetMode="External"/><Relationship Id="rId25" Type="http://schemas.openxmlformats.org/officeDocument/2006/relationships/hyperlink" Target="http://eur-lex.europa.eu/eli/reg/2013/1407?locale=LV"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4/717?locale=LV" TargetMode="External"/><Relationship Id="rId20" Type="http://schemas.openxmlformats.org/officeDocument/2006/relationships/hyperlink" Target="http://eur-lex.europa.eu/eli/reg/2000/104?locale=LV" TargetMode="External"/><Relationship Id="rId29" Type="http://schemas.openxmlformats.org/officeDocument/2006/relationships/hyperlink" Target="http://eur-lex.europa.eu/eli/reg/2013/1407?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ur-lex.europa.eu/eli/reg/2013/1408?locale=LV" TargetMode="External"/><Relationship Id="rId32" Type="http://schemas.openxmlformats.org/officeDocument/2006/relationships/hyperlink" Target="mailto:ritvars.timermanis@varam.gov.lv"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eur-lex.europa.eu/eli/reg/2013/1407?locale=LV" TargetMode="External"/><Relationship Id="rId23" Type="http://schemas.openxmlformats.org/officeDocument/2006/relationships/hyperlink" Target="http://eur-lex.europa.eu/eli/reg/2013/1407?locale=LV" TargetMode="External"/><Relationship Id="rId28" Type="http://schemas.openxmlformats.org/officeDocument/2006/relationships/hyperlink" Target="http://eur-lex.europa.eu/eli/reg/2013/1407?locale=LV"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eur-lex.europa.eu/eli/reg/2006/1184?locale=LV" TargetMode="External"/><Relationship Id="rId31" Type="http://schemas.openxmlformats.org/officeDocument/2006/relationships/hyperlink" Target="mailto:evita.nimane@varam.gov.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271412-darbibas-programmas-izaugsme-un-nodarbinatiba-7-1-1-specifiska-atbalsta-merka-paaugstinat-bezdarbnieku-kvalifikaciju-un" TargetMode="External"/><Relationship Id="rId22" Type="http://schemas.openxmlformats.org/officeDocument/2006/relationships/hyperlink" Target="http://eur-lex.europa.eu/eli/reg/2013/1408?locale=LV" TargetMode="External"/><Relationship Id="rId27" Type="http://schemas.openxmlformats.org/officeDocument/2006/relationships/hyperlink" Target="http://eur-lex.europa.eu/eli/reg/2013/1408?locale=LV" TargetMode="External"/><Relationship Id="rId30" Type="http://schemas.openxmlformats.org/officeDocument/2006/relationships/hyperlink" Target="http://eur-lex.europa.eu/eli/reg/2013/1408?locale=LV"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va.gov.lv/docs/28_53abbd1dd43556.21255150.pdf" TargetMode="External"/><Relationship Id="rId2" Type="http://schemas.openxmlformats.org/officeDocument/2006/relationships/hyperlink" Target="https://www.em.gov.lv/files/tautsaimniecibas_attistiba/dsp/EMZino_02_260612.pdf" TargetMode="External"/><Relationship Id="rId1" Type="http://schemas.openxmlformats.org/officeDocument/2006/relationships/hyperlink" Target="http://www.esfondi.lv/page.php?id=1149" TargetMode="External"/><Relationship Id="rId5" Type="http://schemas.openxmlformats.org/officeDocument/2006/relationships/hyperlink" Target="http://eur-lex.europa.eu/eli/reg/2006/1080?locale=LV" TargetMode="External"/><Relationship Id="rId4" Type="http://schemas.openxmlformats.org/officeDocument/2006/relationships/hyperlink" Target="http://eur-lex.europa.eu/eli/reg/2013/130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2.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5B92DF-DBF9-4E96-8B2F-D4EB63BB4BD0}">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3B159B-E536-4838-8027-3185052A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69406</Words>
  <Characters>39562</Characters>
  <Application>Microsoft Office Word</Application>
  <DocSecurity>4</DocSecurity>
  <Lines>329</Lines>
  <Paragraphs>217</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"Izaugsme un nodarbinātība" 5.1.1. specifiskā atbalsta mērķa "Novērst plūdu un krasta erozijas risku apdraudējumu pilsētu teritorijās” pasākuma „Pasākumi augstu plūdu risku novēršanai</vt:lpstr>
    </vt:vector>
  </TitlesOfParts>
  <Company>CFLA</Company>
  <LinksUpToDate>false</LinksUpToDate>
  <CharactersWithSpaces>108751</CharactersWithSpaces>
  <SharedDoc>false</SharedDoc>
  <HLinks>
    <vt:vector size="30" baseType="variant">
      <vt:variant>
        <vt:i4>3866655</vt:i4>
      </vt:variant>
      <vt:variant>
        <vt:i4>0</vt:i4>
      </vt:variant>
      <vt:variant>
        <vt:i4>0</vt:i4>
      </vt:variant>
      <vt:variant>
        <vt:i4>5</vt:i4>
      </vt:variant>
      <vt:variant>
        <vt:lpwstr>mailto:evita.nimane@varam.gov.lv</vt:lpwstr>
      </vt:variant>
      <vt:variant>
        <vt:lpwstr/>
      </vt:variant>
      <vt:variant>
        <vt:i4>524309</vt:i4>
      </vt:variant>
      <vt:variant>
        <vt:i4>9</vt:i4>
      </vt:variant>
      <vt:variant>
        <vt:i4>0</vt:i4>
      </vt:variant>
      <vt:variant>
        <vt:i4>5</vt:i4>
      </vt:variant>
      <vt:variant>
        <vt:lpwstr>http://eur-lex.europa.eu/eli/reg/2006/1080?locale=LV</vt:lpwstr>
      </vt:variant>
      <vt:variant>
        <vt:lpwstr/>
      </vt:variant>
      <vt:variant>
        <vt:i4>720920</vt:i4>
      </vt:variant>
      <vt:variant>
        <vt:i4>6</vt:i4>
      </vt:variant>
      <vt:variant>
        <vt:i4>0</vt:i4>
      </vt:variant>
      <vt:variant>
        <vt:i4>5</vt:i4>
      </vt:variant>
      <vt:variant>
        <vt:lpwstr>http://eur-lex.europa.eu/eli/reg/2013/1301?locale=LV</vt:lpwstr>
      </vt:variant>
      <vt:variant>
        <vt:lpwstr/>
      </vt:variant>
      <vt:variant>
        <vt:i4>2818065</vt:i4>
      </vt:variant>
      <vt:variant>
        <vt:i4>3</vt:i4>
      </vt:variant>
      <vt:variant>
        <vt:i4>0</vt:i4>
      </vt:variant>
      <vt:variant>
        <vt:i4>5</vt:i4>
      </vt:variant>
      <vt:variant>
        <vt:lpwstr>http://www.nva.gov.lv/docs/28_53abbd1dd43556.21255150.pdf</vt:lpwstr>
      </vt:variant>
      <vt:variant>
        <vt:lpwstr/>
      </vt:variant>
      <vt:variant>
        <vt:i4>4784188</vt:i4>
      </vt:variant>
      <vt:variant>
        <vt:i4>0</vt:i4>
      </vt:variant>
      <vt:variant>
        <vt:i4>0</vt:i4>
      </vt:variant>
      <vt:variant>
        <vt:i4>5</vt:i4>
      </vt:variant>
      <vt:variant>
        <vt:lpwstr>https://www.em.gov.lv/files/tautsaimniecibas_attistiba/dsp/EMZino_02_260612.pdf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"Izaugsme un nodarbinātība" 5.1.1. specifiskā atbalsta mērķa "Novērst plūdu un krasta erozijas risku apdraudējumu pilsētu teritorijās” pasākuma „Pasākumi augstu plūdu risku novēršanai” īstenošanu” sākotnējās ietekmes novērtējuma ziņojums (anotācija)</dc:title>
  <dc:subject>MK noteikumu anotācija</dc:subject>
  <dc:creator>Evita Nīmane;Ritvars Timermanis</dc:creator>
  <dc:description>sarmite.klavina@varam.gov.lv
66016581</dc:description>
  <cp:lastModifiedBy>VARAM</cp:lastModifiedBy>
  <cp:revision>2</cp:revision>
  <cp:lastPrinted>2015-10-13T10:16:00Z</cp:lastPrinted>
  <dcterms:created xsi:type="dcterms:W3CDTF">2015-11-06T08:11:00Z</dcterms:created>
  <dcterms:modified xsi:type="dcterms:W3CDTF">2015-11-06T08:11:00Z</dcterms:modified>
</cp:coreProperties>
</file>