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5"/>
        <w:gridCol w:w="9596"/>
      </w:tblGrid>
      <w:tr w:rsidR="00A441F6" w:rsidRPr="008F01C9" w:rsidTr="00D03342">
        <w:trPr>
          <w:trHeight w:val="390"/>
          <w:tblHeader/>
          <w:jc w:val="center"/>
        </w:trPr>
        <w:tc>
          <w:tcPr>
            <w:tcW w:w="5675" w:type="dxa"/>
            <w:shd w:val="clear" w:color="auto" w:fill="CCFF99"/>
          </w:tcPr>
          <w:p w:rsidR="00A441F6" w:rsidRPr="008F01C9" w:rsidRDefault="00A441F6" w:rsidP="00D03342">
            <w:pPr>
              <w:jc w:val="center"/>
              <w:rPr>
                <w:b/>
              </w:rPr>
            </w:pPr>
            <w:r w:rsidRPr="008F01C9">
              <w:rPr>
                <w:b/>
                <w:sz w:val="22"/>
                <w:szCs w:val="22"/>
              </w:rPr>
              <w:t>Jautājums</w:t>
            </w:r>
          </w:p>
          <w:p w:rsidR="00A441F6" w:rsidRPr="008F01C9" w:rsidRDefault="00A441F6" w:rsidP="00D03342">
            <w:pPr>
              <w:jc w:val="center"/>
              <w:rPr>
                <w:b/>
              </w:rPr>
            </w:pPr>
          </w:p>
        </w:tc>
        <w:tc>
          <w:tcPr>
            <w:tcW w:w="9596" w:type="dxa"/>
            <w:shd w:val="clear" w:color="auto" w:fill="CCFF99"/>
          </w:tcPr>
          <w:p w:rsidR="00A441F6" w:rsidRPr="008F01C9" w:rsidRDefault="00A441F6" w:rsidP="00D03342">
            <w:pPr>
              <w:jc w:val="center"/>
              <w:rPr>
                <w:b/>
              </w:rPr>
            </w:pPr>
            <w:r w:rsidRPr="008F01C9">
              <w:rPr>
                <w:b/>
                <w:sz w:val="22"/>
                <w:szCs w:val="22"/>
              </w:rPr>
              <w:t>Atbilde</w:t>
            </w:r>
          </w:p>
        </w:tc>
      </w:tr>
      <w:tr w:rsidR="00A635BA" w:rsidRPr="003F3D4E" w:rsidTr="0056161C">
        <w:trPr>
          <w:trHeight w:val="970"/>
          <w:jc w:val="center"/>
        </w:trPr>
        <w:tc>
          <w:tcPr>
            <w:tcW w:w="5675" w:type="dxa"/>
          </w:tcPr>
          <w:p w:rsidR="00F620CC" w:rsidRDefault="00F620CC" w:rsidP="00F620CC">
            <w:pPr>
              <w:jc w:val="both"/>
            </w:pPr>
            <w:r w:rsidRPr="00F620CC">
              <w:t>Pamatojoties uz TEP-a rezultātiem mēģin</w:t>
            </w:r>
            <w:r>
              <w:t>ā</w:t>
            </w:r>
            <w:r w:rsidRPr="00F620CC">
              <w:t xml:space="preserve">m likt kopā projekta pieteikumu. Ir daži jautājumi par pieteikuma tabulu aizpildīšanu. Pēc TEP-a rezultātiem iznāk, ka sarēķinot lēmuma summu 12'631'219,30 un no tās 95% KF finansējums ir 11'999'658,33, kas ir lielāks nekā MK 836 paredzētais maksimālais finansējums mūsu projektam 11'983'339. Maksimāli pieejamais KF finansējums no lēmuma summas sastāda 94,87 %. </w:t>
            </w:r>
          </w:p>
          <w:p w:rsidR="00F620CC" w:rsidRDefault="00F620CC" w:rsidP="00F620CC">
            <w:pPr>
              <w:jc w:val="both"/>
            </w:pPr>
            <w:r w:rsidRPr="00F620CC">
              <w:t xml:space="preserve">Ja pareizi saprotu pieteikuma aizpildīšanas vadlīnijas, 7.1. tabulas 3. kolonnā jāliek lēmuma summa (12'631'219,30) līdz ar to 7. kolonna nebūs 95%, bet gan 94,87. Savukārt 7.3.3. tabulas 3. kolonna nebūs </w:t>
            </w:r>
            <w:proofErr w:type="spellStart"/>
            <w:r w:rsidRPr="00F620CC">
              <w:t>maxCRpa</w:t>
            </w:r>
            <w:proofErr w:type="spellEnd"/>
            <w:r w:rsidRPr="00F620CC">
              <w:t xml:space="preserve"> 95%, bet gan faktiskai</w:t>
            </w:r>
            <w:r>
              <w:t>s</w:t>
            </w:r>
            <w:r w:rsidRPr="00F620CC">
              <w:t xml:space="preserve"> procents 94,87.</w:t>
            </w:r>
          </w:p>
          <w:p w:rsidR="00F620CC" w:rsidRDefault="00F620CC" w:rsidP="00F620CC">
            <w:pPr>
              <w:jc w:val="both"/>
            </w:pPr>
            <w:r w:rsidRPr="00F620CC">
              <w:t>Vai tas ir pareizi?</w:t>
            </w:r>
          </w:p>
          <w:p w:rsidR="00A635BA" w:rsidRPr="0056161C" w:rsidRDefault="00A635BA" w:rsidP="0056161C">
            <w:pPr>
              <w:autoSpaceDE w:val="0"/>
              <w:autoSpaceDN w:val="0"/>
              <w:jc w:val="both"/>
            </w:pPr>
          </w:p>
        </w:tc>
        <w:tc>
          <w:tcPr>
            <w:tcW w:w="9596" w:type="dxa"/>
          </w:tcPr>
          <w:p w:rsidR="00A635BA" w:rsidRPr="0056161C" w:rsidRDefault="00F620CC" w:rsidP="0056161C">
            <w:pPr>
              <w:jc w:val="both"/>
            </w:pPr>
            <w:r w:rsidRPr="00F620CC">
              <w:t xml:space="preserve">Saskaņā ar 2007.g. 4.decembra MK not. Nr. 836 „Noteikumi par darbības programmas "Infrastruktūra un pakalpojumi" papildinājuma 3.5.1.1.aktivitāti "Ūdenssaimniecības infrastruktūras attīstība </w:t>
            </w:r>
            <w:proofErr w:type="spellStart"/>
            <w:r w:rsidRPr="00F620CC">
              <w:t>aglomerācijās</w:t>
            </w:r>
            <w:proofErr w:type="spellEnd"/>
            <w:r w:rsidRPr="00F620CC">
              <w:t xml:space="preserve"> ar cilvēku ekvivalentu, lielāku par 2000"” 2.pielikumu, katram projektam ir noteikts</w:t>
            </w:r>
            <w:r>
              <w:t xml:space="preserve"> konkrēts </w:t>
            </w:r>
            <w:r w:rsidRPr="00F620CC">
              <w:t>pieejamais maksimālais KF līdzfinansējuma apjoms. Ja, aizpildot  7.3.3. sadaļu, aprēķina rezultātā noteiktais KF līdzfinansējuma apjoms pārsniedz MK not. nr. 836 noteikto, ir nepieciešams veikt papildus aprēķinu, ierobežojot KF līdzfinansējuma</w:t>
            </w:r>
            <w:r>
              <w:t xml:space="preserve"> </w:t>
            </w:r>
            <w:r w:rsidRPr="00F620CC">
              <w:t>apjomu un %. Iesnieguma 7.3.3. sadaļu nepieciešams aizpildīt atbilstoši aprēķinam pēc ierobežotas lēmuma summas (ņemot vērā KF apjoma ierobežojumu). Vienlaikus lūdzam šādā situācija, lai nerastos pārpratumi par pieprasīto KF apjomu, lūdzam iesniegumā sadaļā 7.3.3. aizpildīt tabulu par divām situācijām (aizpildīt 2 tabulas) - vienu pie faktiski aprēķinātā, bet otru pie ierobežotā KF finansējuma apmēra, pievienojot atbilstošu skaidrojumu.</w:t>
            </w:r>
          </w:p>
        </w:tc>
      </w:tr>
      <w:tr w:rsidR="00F620CC" w:rsidRPr="003F3D4E" w:rsidTr="0056161C">
        <w:trPr>
          <w:trHeight w:val="970"/>
          <w:jc w:val="center"/>
        </w:trPr>
        <w:tc>
          <w:tcPr>
            <w:tcW w:w="5675" w:type="dxa"/>
          </w:tcPr>
          <w:p w:rsidR="00F620CC" w:rsidRPr="0056161C" w:rsidRDefault="00F620CC" w:rsidP="00C2420F">
            <w:pPr>
              <w:jc w:val="both"/>
            </w:pPr>
            <w:r w:rsidRPr="0056161C">
              <w:t>Projekts ir iekļauts MK not. nr.836 1.projektu grupas sarakstā. Projekta pieteikumu plānots iesniegt 3.uzsaukumā. Plānotās ieguldījumu attiecināmās izmaksas nepārsniegs 250 tūkst. latu. Atbilstoši Padomes Regulas nr.1083/2006 55.panta 5.punktam finanšu deficīta likmes metode projektiem, kuru izmaksas ir zemākas par 1 milj. eiro, nav jāpiemēro.</w:t>
            </w:r>
          </w:p>
          <w:p w:rsidR="00F620CC" w:rsidRPr="0056161C" w:rsidRDefault="00F620CC" w:rsidP="00C2420F">
            <w:pPr>
              <w:jc w:val="both"/>
            </w:pPr>
            <w:r w:rsidRPr="0056161C">
              <w:t xml:space="preserve">Saskaņā ar MK </w:t>
            </w:r>
            <w:proofErr w:type="spellStart"/>
            <w:r w:rsidRPr="0056161C">
              <w:t>not.nr</w:t>
            </w:r>
            <w:proofErr w:type="spellEnd"/>
            <w:r w:rsidRPr="0056161C">
              <w:t xml:space="preserve">. 836 3. pielikuma (iesnieguma veidlapas) 7.3.punktu jānorāda arī KF ieguldījuma </w:t>
            </w:r>
            <w:r w:rsidRPr="0056161C">
              <w:lastRenderedPageBreak/>
              <w:t xml:space="preserve">aprēķins, kurš iegūts kā lēmuma summas reizinājums ar </w:t>
            </w:r>
            <w:proofErr w:type="spellStart"/>
            <w:r w:rsidRPr="0056161C">
              <w:t>Max</w:t>
            </w:r>
            <w:proofErr w:type="spellEnd"/>
            <w:r w:rsidRPr="0056161C">
              <w:t xml:space="preserve"> </w:t>
            </w:r>
            <w:proofErr w:type="spellStart"/>
            <w:r w:rsidRPr="0056161C">
              <w:t>CRpa</w:t>
            </w:r>
            <w:proofErr w:type="spellEnd"/>
            <w:r w:rsidRPr="0056161C">
              <w:t>. Nav skaidrs, kā rīkoties gadījumā, kad deficīta likmes metode nav jāievēro un attiecīgi - finansējuma deficīta likmi projektam nav jāaprēķina. Vai ieguldījuma attiecināmās izmaksas ir uzskatāmas par lēmuma summu kā tas ir ERAF projektu gadījumā?</w:t>
            </w:r>
          </w:p>
          <w:p w:rsidR="00F620CC" w:rsidRPr="0056161C" w:rsidRDefault="00F620CC" w:rsidP="00C2420F">
            <w:pPr>
              <w:autoSpaceDE w:val="0"/>
              <w:autoSpaceDN w:val="0"/>
              <w:jc w:val="both"/>
            </w:pPr>
          </w:p>
        </w:tc>
        <w:tc>
          <w:tcPr>
            <w:tcW w:w="9596" w:type="dxa"/>
          </w:tcPr>
          <w:p w:rsidR="00F620CC" w:rsidRPr="0056161C" w:rsidRDefault="00F620CC" w:rsidP="00C2420F">
            <w:pPr>
              <w:jc w:val="both"/>
            </w:pPr>
            <w:r w:rsidRPr="0056161C">
              <w:lastRenderedPageBreak/>
              <w:t xml:space="preserve">Saskaņā ar PADOMES REGULA (EK) Nr. 1083/2006 (2006. gada 11. jūlijs), ar ko paredz vispārīgus noteikumus par Eiropas Reģionālās attīstības fondu, Eiropas Sociālo fondu un Kohēzijas fondu un atceļ Regulu (EK) Nr. 1260/1999 55.5.p. prasībām tiek noteikts, ka izmaksu un ieguvumu analīze nav jāveic ieņēmumus gūstošiem projektiem, kuru kopējās izmaksas nepārsniedz 1 milj. eiro. Tā kā šis jautājums par metodikas izmantošanu ir noteikts regulā, tad tas tiek piemēro ‘pa tiešo’ un MK noteikumos regulas prasības nav nepieciešams atspoguļot. </w:t>
            </w:r>
          </w:p>
          <w:p w:rsidR="00F620CC" w:rsidRPr="0056161C" w:rsidRDefault="00F620CC" w:rsidP="00C2420F">
            <w:pPr>
              <w:jc w:val="both"/>
            </w:pPr>
            <w:r w:rsidRPr="0056161C">
              <w:t xml:space="preserve">Aprēķinot finanšu avotu sadalījumu šādā projektā, kur kopējās izmaksas nepārsniedz 1 milj. eiro, piemēro katras aktivitātes ietvaros noteikto vienkāršo proporciju- saskaņā ar 04.12.2007.g. MK not. Nr. 836 2. pielikumā 7.3.3.2. norādīto- Projektiem, kuru apstiprināšanas lēmumi ir pieņemti </w:t>
            </w:r>
            <w:r w:rsidRPr="0056161C">
              <w:lastRenderedPageBreak/>
              <w:t xml:space="preserve">līdz 2009.g. 1.janvārim </w:t>
            </w:r>
            <w:proofErr w:type="spellStart"/>
            <w:r w:rsidRPr="0056161C">
              <w:t>Max</w:t>
            </w:r>
            <w:proofErr w:type="spellEnd"/>
            <w:r w:rsidRPr="0056161C">
              <w:t xml:space="preserve"> </w:t>
            </w:r>
            <w:proofErr w:type="spellStart"/>
            <w:r w:rsidRPr="0056161C">
              <w:t>CRpa</w:t>
            </w:r>
            <w:proofErr w:type="spellEnd"/>
            <w:r w:rsidRPr="0056161C">
              <w:t xml:space="preserve"> ir 85%, bet 95%- otrās, trešās un ceturtās kārtas KF iesniegumu atlases kārtas projektiem, kā arī tiem sabiedrisko pakalpojumu sniedzējiem, kas neiesniedz Kohēzijas fonda projekta iesniegumu noteiktajā termiņā pirmās projektu iesnieguma atlases kārtas ietvaros. </w:t>
            </w:r>
          </w:p>
          <w:p w:rsidR="00F620CC" w:rsidRPr="0056161C" w:rsidRDefault="00F620CC" w:rsidP="00C2420F">
            <w:pPr>
              <w:jc w:val="both"/>
            </w:pPr>
            <w:r w:rsidRPr="0056161C">
              <w:t xml:space="preserve">Lēmuma summa šādā situācijā tiek uzskatīta ekvivalenta ieguldījuma attiecināmajām izmaksām, savukārt rādītājos, kas attiecas uz deficīta likmes aprēķinu tiek norādīts n/a, pievienojot iesnieguma 7.3. sadaļā atbilstošu skaidrojumu par izmantoto aprēķinu. </w:t>
            </w:r>
          </w:p>
          <w:p w:rsidR="00F620CC" w:rsidRPr="0056161C" w:rsidRDefault="00F620CC" w:rsidP="00C2420F">
            <w:pPr>
              <w:jc w:val="both"/>
            </w:pPr>
            <w:r w:rsidRPr="0056161C">
              <w:t xml:space="preserve">Norādām uz to, ka Jūsu jautājumā nav sniegta informācija, kas ļautu novērtēt rīcību iepriekšminētās regulas 55.panta sakarā, jo nosacījums par finansējuma deficīta likmes piemērošanu ir saistīts ar projekta kopējām izmaksām, bet Jūsu jautājumā ir minētas tikai attiecināmās izmaksas. </w:t>
            </w:r>
          </w:p>
          <w:p w:rsidR="00F620CC" w:rsidRPr="0056161C" w:rsidRDefault="00F620CC" w:rsidP="00C2420F">
            <w:pPr>
              <w:jc w:val="both"/>
            </w:pPr>
          </w:p>
        </w:tc>
      </w:tr>
    </w:tbl>
    <w:p w:rsidR="00AC6A05" w:rsidRDefault="00AC6A05"/>
    <w:sectPr w:rsidR="00AC6A05" w:rsidSect="00A441F6">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04" w:rsidRDefault="00711104" w:rsidP="00A441F6">
      <w:r>
        <w:separator/>
      </w:r>
    </w:p>
  </w:endnote>
  <w:endnote w:type="continuationSeparator" w:id="0">
    <w:p w:rsidR="00711104" w:rsidRDefault="00711104" w:rsidP="00A4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nsolas">
    <w:panose1 w:val="020B0609020204030204"/>
    <w:charset w:val="BA"/>
    <w:family w:val="modern"/>
    <w:pitch w:val="fixed"/>
    <w:sig w:usb0="A00002EF" w:usb1="4000204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04" w:rsidRDefault="00711104" w:rsidP="00A441F6">
      <w:r>
        <w:separator/>
      </w:r>
    </w:p>
  </w:footnote>
  <w:footnote w:type="continuationSeparator" w:id="0">
    <w:p w:rsidR="00711104" w:rsidRDefault="00711104" w:rsidP="00A44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04" w:rsidRPr="002431E0" w:rsidRDefault="00711104" w:rsidP="00A441F6">
    <w:pPr>
      <w:jc w:val="center"/>
      <w:outlineLvl w:val="0"/>
      <w:rPr>
        <w:b/>
      </w:rPr>
    </w:pPr>
    <w:r>
      <w:rPr>
        <w:b/>
      </w:rPr>
      <w:t>Aktuālie j</w:t>
    </w:r>
    <w:r w:rsidRPr="002431E0">
      <w:rPr>
        <w:b/>
      </w:rPr>
      <w:t xml:space="preserve">autājumi un atbildes par darbības programmas "Infrastruktūra un pakalpojumi" </w:t>
    </w:r>
  </w:p>
  <w:p w:rsidR="00711104" w:rsidRPr="002431E0" w:rsidRDefault="00711104" w:rsidP="00A441F6">
    <w:pPr>
      <w:jc w:val="center"/>
      <w:outlineLvl w:val="0"/>
      <w:rPr>
        <w:b/>
      </w:rPr>
    </w:pPr>
    <w:r>
      <w:rPr>
        <w:b/>
      </w:rPr>
      <w:t>3.5.1.1.aktivitātes</w:t>
    </w:r>
    <w:r w:rsidRPr="002431E0">
      <w:rPr>
        <w:b/>
      </w:rPr>
      <w:t xml:space="preserve"> "Ūdenssaimniecības infrastruktūras attīstība </w:t>
    </w:r>
    <w:proofErr w:type="spellStart"/>
    <w:r w:rsidRPr="002431E0">
      <w:rPr>
        <w:b/>
      </w:rPr>
      <w:t>aglomerācijās</w:t>
    </w:r>
    <w:proofErr w:type="spellEnd"/>
    <w:r w:rsidRPr="002431E0">
      <w:rPr>
        <w:b/>
      </w:rPr>
      <w:t xml:space="preserve"> ar cilvēku ekvivalentu lielāku par 2000"”</w:t>
    </w:r>
  </w:p>
  <w:p w:rsidR="00711104" w:rsidRDefault="00711104" w:rsidP="00A441F6">
    <w:pPr>
      <w:jc w:val="center"/>
      <w:outlineLvl w:val="0"/>
      <w:rPr>
        <w:b/>
      </w:rPr>
    </w:pPr>
    <w:r>
      <w:rPr>
        <w:b/>
      </w:rPr>
      <w:t xml:space="preserve">projekta iesnieguma sagatavošanu </w:t>
    </w:r>
  </w:p>
  <w:p w:rsidR="00F620CC" w:rsidRDefault="00D95DDD" w:rsidP="00A441F6">
    <w:pPr>
      <w:jc w:val="center"/>
    </w:pPr>
    <w:hyperlink r:id="rId1" w:tgtFrame="_blank" w:history="1">
      <w:r w:rsidR="0056161C">
        <w:rPr>
          <w:rStyle w:val="Hyperlink"/>
          <w:bCs/>
          <w:color w:val="auto"/>
          <w:u w:val="none"/>
        </w:rPr>
        <w:t xml:space="preserve"> 1.projektu atlases kārtas 3</w:t>
      </w:r>
      <w:r w:rsidR="006959BC" w:rsidRPr="006959BC">
        <w:rPr>
          <w:rStyle w:val="Hyperlink"/>
          <w:bCs/>
          <w:color w:val="auto"/>
          <w:u w:val="none"/>
        </w:rPr>
        <w:t xml:space="preserve">.uzsaukumam </w:t>
      </w:r>
    </w:hyperlink>
  </w:p>
  <w:p w:rsidR="00711104" w:rsidRDefault="00F620CC" w:rsidP="00A441F6">
    <w:pPr>
      <w:jc w:val="center"/>
    </w:pPr>
    <w:r>
      <w:t>2.projektu atlases kārtas 3.uzsaukumam</w:t>
    </w:r>
  </w:p>
  <w:p w:rsidR="00F620CC" w:rsidRPr="006959BC" w:rsidRDefault="00F620CC" w:rsidP="00A441F6">
    <w:pPr>
      <w:jc w:val="center"/>
      <w:rPr>
        <w:b/>
      </w:rPr>
    </w:pPr>
    <w:r>
      <w:t>3.kārtai</w:t>
    </w:r>
  </w:p>
  <w:p w:rsidR="00711104" w:rsidRPr="00C07F21" w:rsidRDefault="00711104" w:rsidP="00A441F6">
    <w:pPr>
      <w:jc w:val="center"/>
      <w:rPr>
        <w:i/>
        <w:sz w:val="20"/>
        <w:szCs w:val="20"/>
      </w:rPr>
    </w:pPr>
    <w:r w:rsidRPr="00C07F21">
      <w:rPr>
        <w:i/>
        <w:sz w:val="20"/>
        <w:szCs w:val="20"/>
      </w:rPr>
      <w:t>(</w:t>
    </w:r>
    <w:r w:rsidR="00F620CC">
      <w:rPr>
        <w:i/>
        <w:sz w:val="20"/>
        <w:szCs w:val="20"/>
      </w:rPr>
      <w:t>aktualizēts 02.02</w:t>
    </w:r>
    <w:r w:rsidR="0056161C">
      <w:rPr>
        <w:i/>
        <w:sz w:val="20"/>
        <w:szCs w:val="20"/>
      </w:rPr>
      <w:t>.2011</w:t>
    </w:r>
    <w:r w:rsidRPr="00C07F21">
      <w:rPr>
        <w:i/>
        <w:sz w:val="20"/>
        <w:szCs w:val="20"/>
      </w:rPr>
      <w:t>.)</w:t>
    </w:r>
  </w:p>
  <w:p w:rsidR="00711104" w:rsidRDefault="00711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459"/>
    <w:multiLevelType w:val="hybridMultilevel"/>
    <w:tmpl w:val="5BDA52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8FE0CD0"/>
    <w:multiLevelType w:val="hybridMultilevel"/>
    <w:tmpl w:val="F3D27700"/>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579778DA"/>
    <w:multiLevelType w:val="hybridMultilevel"/>
    <w:tmpl w:val="F6A24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3C82E01"/>
    <w:multiLevelType w:val="hybridMultilevel"/>
    <w:tmpl w:val="283CD0CC"/>
    <w:lvl w:ilvl="0" w:tplc="278A65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A026B18"/>
    <w:multiLevelType w:val="hybridMultilevel"/>
    <w:tmpl w:val="EA54290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41F6"/>
    <w:rsid w:val="000024A5"/>
    <w:rsid w:val="0000485E"/>
    <w:rsid w:val="00044A38"/>
    <w:rsid w:val="000E6A07"/>
    <w:rsid w:val="001071FD"/>
    <w:rsid w:val="001B25B5"/>
    <w:rsid w:val="001D2C81"/>
    <w:rsid w:val="003554D5"/>
    <w:rsid w:val="00386948"/>
    <w:rsid w:val="00387D71"/>
    <w:rsid w:val="00443496"/>
    <w:rsid w:val="0056161C"/>
    <w:rsid w:val="005D0815"/>
    <w:rsid w:val="005F7F35"/>
    <w:rsid w:val="006959BC"/>
    <w:rsid w:val="00711104"/>
    <w:rsid w:val="00764F13"/>
    <w:rsid w:val="007905EF"/>
    <w:rsid w:val="007C5E34"/>
    <w:rsid w:val="008B3EC4"/>
    <w:rsid w:val="00906BCD"/>
    <w:rsid w:val="009620E0"/>
    <w:rsid w:val="009730F7"/>
    <w:rsid w:val="00A441F6"/>
    <w:rsid w:val="00A635BA"/>
    <w:rsid w:val="00A70DC4"/>
    <w:rsid w:val="00A77BA4"/>
    <w:rsid w:val="00A96DC2"/>
    <w:rsid w:val="00AA363A"/>
    <w:rsid w:val="00AC6A05"/>
    <w:rsid w:val="00AD5D47"/>
    <w:rsid w:val="00B50BDE"/>
    <w:rsid w:val="00C01CBA"/>
    <w:rsid w:val="00C20D2C"/>
    <w:rsid w:val="00D00FCF"/>
    <w:rsid w:val="00D03342"/>
    <w:rsid w:val="00D243AC"/>
    <w:rsid w:val="00D25B0D"/>
    <w:rsid w:val="00D709A5"/>
    <w:rsid w:val="00D95DDD"/>
    <w:rsid w:val="00DA66CF"/>
    <w:rsid w:val="00DC5769"/>
    <w:rsid w:val="00DE2CB4"/>
    <w:rsid w:val="00E5284E"/>
    <w:rsid w:val="00E602EE"/>
    <w:rsid w:val="00E86C1F"/>
    <w:rsid w:val="00F620CC"/>
    <w:rsid w:val="00F801F7"/>
    <w:rsid w:val="00FE2196"/>
    <w:rsid w:val="00FF682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1F6"/>
    <w:pPr>
      <w:ind w:left="720"/>
    </w:pPr>
    <w:rPr>
      <w:rFonts w:eastAsia="Calibri"/>
    </w:rPr>
  </w:style>
  <w:style w:type="paragraph" w:styleId="Header">
    <w:name w:val="header"/>
    <w:basedOn w:val="Normal"/>
    <w:link w:val="HeaderChar"/>
    <w:uiPriority w:val="99"/>
    <w:semiHidden/>
    <w:unhideWhenUsed/>
    <w:rsid w:val="00A441F6"/>
    <w:pPr>
      <w:tabs>
        <w:tab w:val="center" w:pos="4153"/>
        <w:tab w:val="right" w:pos="8306"/>
      </w:tabs>
    </w:pPr>
  </w:style>
  <w:style w:type="character" w:customStyle="1" w:styleId="HeaderChar">
    <w:name w:val="Header Char"/>
    <w:basedOn w:val="DefaultParagraphFont"/>
    <w:link w:val="Header"/>
    <w:uiPriority w:val="99"/>
    <w:semiHidden/>
    <w:rsid w:val="00A441F6"/>
    <w:rPr>
      <w:rFonts w:ascii="Times New Roman" w:eastAsia="Times New Roman" w:hAnsi="Times New Roman" w:cs="Times New Roman"/>
      <w:sz w:val="24"/>
      <w:szCs w:val="24"/>
      <w:lang w:eastAsia="lv-LV"/>
    </w:rPr>
  </w:style>
  <w:style w:type="paragraph" w:styleId="Footer">
    <w:name w:val="footer"/>
    <w:basedOn w:val="Normal"/>
    <w:link w:val="FooterChar"/>
    <w:uiPriority w:val="99"/>
    <w:semiHidden/>
    <w:unhideWhenUsed/>
    <w:rsid w:val="00A441F6"/>
    <w:pPr>
      <w:tabs>
        <w:tab w:val="center" w:pos="4153"/>
        <w:tab w:val="right" w:pos="8306"/>
      </w:tabs>
    </w:pPr>
  </w:style>
  <w:style w:type="character" w:customStyle="1" w:styleId="FooterChar">
    <w:name w:val="Footer Char"/>
    <w:basedOn w:val="DefaultParagraphFont"/>
    <w:link w:val="Footer"/>
    <w:uiPriority w:val="99"/>
    <w:semiHidden/>
    <w:rsid w:val="00A441F6"/>
    <w:rPr>
      <w:rFonts w:ascii="Times New Roman" w:eastAsia="Times New Roman" w:hAnsi="Times New Roman" w:cs="Times New Roman"/>
      <w:sz w:val="24"/>
      <w:szCs w:val="24"/>
      <w:lang w:eastAsia="lv-LV"/>
    </w:rPr>
  </w:style>
  <w:style w:type="paragraph" w:customStyle="1" w:styleId="Default">
    <w:name w:val="Default"/>
    <w:rsid w:val="00A77B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
    <w:name w:val="Default1"/>
    <w:basedOn w:val="Default"/>
    <w:next w:val="Default"/>
    <w:uiPriority w:val="99"/>
    <w:rsid w:val="00A77BA4"/>
    <w:rPr>
      <w:color w:val="auto"/>
    </w:rPr>
  </w:style>
  <w:style w:type="paragraph" w:styleId="PlainText">
    <w:name w:val="Plain Text"/>
    <w:basedOn w:val="Normal"/>
    <w:link w:val="PlainTextChar"/>
    <w:uiPriority w:val="99"/>
    <w:semiHidden/>
    <w:unhideWhenUsed/>
    <w:rsid w:val="00AA36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AA363A"/>
    <w:rPr>
      <w:rFonts w:ascii="Consolas" w:hAnsi="Consolas"/>
      <w:sz w:val="21"/>
      <w:szCs w:val="21"/>
    </w:rPr>
  </w:style>
  <w:style w:type="paragraph" w:customStyle="1" w:styleId="default10">
    <w:name w:val="default1"/>
    <w:basedOn w:val="Normal"/>
    <w:rsid w:val="00E5284E"/>
    <w:pPr>
      <w:autoSpaceDE w:val="0"/>
      <w:autoSpaceDN w:val="0"/>
    </w:pPr>
    <w:rPr>
      <w:rFonts w:eastAsiaTheme="minorHAnsi"/>
    </w:rPr>
  </w:style>
  <w:style w:type="character" w:styleId="Hyperlink">
    <w:name w:val="Hyperlink"/>
    <w:basedOn w:val="DefaultParagraphFont"/>
    <w:uiPriority w:val="99"/>
    <w:semiHidden/>
    <w:unhideWhenUsed/>
    <w:rsid w:val="00E5284E"/>
    <w:rPr>
      <w:color w:val="0000FF"/>
      <w:u w:val="single"/>
    </w:rPr>
  </w:style>
  <w:style w:type="paragraph" w:customStyle="1" w:styleId="default0">
    <w:name w:val="default"/>
    <w:basedOn w:val="Normal"/>
    <w:rsid w:val="005D0815"/>
    <w:pPr>
      <w:autoSpaceDE w:val="0"/>
      <w:autoSpaceDN w:val="0"/>
    </w:pPr>
    <w:rPr>
      <w:rFonts w:eastAsiaTheme="minorHAnsi"/>
      <w:color w:val="000000"/>
    </w:rPr>
  </w:style>
  <w:style w:type="character" w:styleId="Strong">
    <w:name w:val="Strong"/>
    <w:basedOn w:val="DefaultParagraphFont"/>
    <w:uiPriority w:val="22"/>
    <w:qFormat/>
    <w:rsid w:val="006959BC"/>
    <w:rPr>
      <w:b/>
      <w:bCs/>
    </w:rPr>
  </w:style>
</w:styles>
</file>

<file path=word/webSettings.xml><?xml version="1.0" encoding="utf-8"?>
<w:webSettings xmlns:r="http://schemas.openxmlformats.org/officeDocument/2006/relationships" xmlns:w="http://schemas.openxmlformats.org/wordprocessingml/2006/main">
  <w:divs>
    <w:div w:id="238904959">
      <w:bodyDiv w:val="1"/>
      <w:marLeft w:val="0"/>
      <w:marRight w:val="0"/>
      <w:marTop w:val="0"/>
      <w:marBottom w:val="0"/>
      <w:divBdr>
        <w:top w:val="none" w:sz="0" w:space="0" w:color="auto"/>
        <w:left w:val="none" w:sz="0" w:space="0" w:color="auto"/>
        <w:bottom w:val="none" w:sz="0" w:space="0" w:color="auto"/>
        <w:right w:val="none" w:sz="0" w:space="0" w:color="auto"/>
      </w:divBdr>
    </w:div>
    <w:div w:id="244924574">
      <w:bodyDiv w:val="1"/>
      <w:marLeft w:val="0"/>
      <w:marRight w:val="0"/>
      <w:marTop w:val="0"/>
      <w:marBottom w:val="0"/>
      <w:divBdr>
        <w:top w:val="none" w:sz="0" w:space="0" w:color="auto"/>
        <w:left w:val="none" w:sz="0" w:space="0" w:color="auto"/>
        <w:bottom w:val="none" w:sz="0" w:space="0" w:color="auto"/>
        <w:right w:val="none" w:sz="0" w:space="0" w:color="auto"/>
      </w:divBdr>
    </w:div>
    <w:div w:id="572618767">
      <w:bodyDiv w:val="1"/>
      <w:marLeft w:val="0"/>
      <w:marRight w:val="0"/>
      <w:marTop w:val="0"/>
      <w:marBottom w:val="0"/>
      <w:divBdr>
        <w:top w:val="none" w:sz="0" w:space="0" w:color="auto"/>
        <w:left w:val="none" w:sz="0" w:space="0" w:color="auto"/>
        <w:bottom w:val="none" w:sz="0" w:space="0" w:color="auto"/>
        <w:right w:val="none" w:sz="0" w:space="0" w:color="auto"/>
      </w:divBdr>
    </w:div>
    <w:div w:id="609242789">
      <w:bodyDiv w:val="1"/>
      <w:marLeft w:val="0"/>
      <w:marRight w:val="0"/>
      <w:marTop w:val="0"/>
      <w:marBottom w:val="0"/>
      <w:divBdr>
        <w:top w:val="none" w:sz="0" w:space="0" w:color="auto"/>
        <w:left w:val="none" w:sz="0" w:space="0" w:color="auto"/>
        <w:bottom w:val="none" w:sz="0" w:space="0" w:color="auto"/>
        <w:right w:val="none" w:sz="0" w:space="0" w:color="auto"/>
      </w:divBdr>
    </w:div>
    <w:div w:id="670524989">
      <w:bodyDiv w:val="1"/>
      <w:marLeft w:val="0"/>
      <w:marRight w:val="0"/>
      <w:marTop w:val="0"/>
      <w:marBottom w:val="0"/>
      <w:divBdr>
        <w:top w:val="none" w:sz="0" w:space="0" w:color="auto"/>
        <w:left w:val="none" w:sz="0" w:space="0" w:color="auto"/>
        <w:bottom w:val="none" w:sz="0" w:space="0" w:color="auto"/>
        <w:right w:val="none" w:sz="0" w:space="0" w:color="auto"/>
      </w:divBdr>
    </w:div>
    <w:div w:id="694236067">
      <w:bodyDiv w:val="1"/>
      <w:marLeft w:val="0"/>
      <w:marRight w:val="0"/>
      <w:marTop w:val="0"/>
      <w:marBottom w:val="0"/>
      <w:divBdr>
        <w:top w:val="none" w:sz="0" w:space="0" w:color="auto"/>
        <w:left w:val="none" w:sz="0" w:space="0" w:color="auto"/>
        <w:bottom w:val="none" w:sz="0" w:space="0" w:color="auto"/>
        <w:right w:val="none" w:sz="0" w:space="0" w:color="auto"/>
      </w:divBdr>
    </w:div>
    <w:div w:id="955254525">
      <w:bodyDiv w:val="1"/>
      <w:marLeft w:val="0"/>
      <w:marRight w:val="0"/>
      <w:marTop w:val="0"/>
      <w:marBottom w:val="0"/>
      <w:divBdr>
        <w:top w:val="none" w:sz="0" w:space="0" w:color="auto"/>
        <w:left w:val="none" w:sz="0" w:space="0" w:color="auto"/>
        <w:bottom w:val="none" w:sz="0" w:space="0" w:color="auto"/>
        <w:right w:val="none" w:sz="0" w:space="0" w:color="auto"/>
      </w:divBdr>
    </w:div>
    <w:div w:id="1007709735">
      <w:bodyDiv w:val="1"/>
      <w:marLeft w:val="0"/>
      <w:marRight w:val="0"/>
      <w:marTop w:val="0"/>
      <w:marBottom w:val="0"/>
      <w:divBdr>
        <w:top w:val="none" w:sz="0" w:space="0" w:color="auto"/>
        <w:left w:val="none" w:sz="0" w:space="0" w:color="auto"/>
        <w:bottom w:val="none" w:sz="0" w:space="0" w:color="auto"/>
        <w:right w:val="none" w:sz="0" w:space="0" w:color="auto"/>
      </w:divBdr>
    </w:div>
    <w:div w:id="1243415007">
      <w:bodyDiv w:val="1"/>
      <w:marLeft w:val="0"/>
      <w:marRight w:val="0"/>
      <w:marTop w:val="0"/>
      <w:marBottom w:val="0"/>
      <w:divBdr>
        <w:top w:val="none" w:sz="0" w:space="0" w:color="auto"/>
        <w:left w:val="none" w:sz="0" w:space="0" w:color="auto"/>
        <w:bottom w:val="none" w:sz="0" w:space="0" w:color="auto"/>
        <w:right w:val="none" w:sz="0" w:space="0" w:color="auto"/>
      </w:divBdr>
    </w:div>
    <w:div w:id="1277060674">
      <w:bodyDiv w:val="1"/>
      <w:marLeft w:val="0"/>
      <w:marRight w:val="0"/>
      <w:marTop w:val="0"/>
      <w:marBottom w:val="0"/>
      <w:divBdr>
        <w:top w:val="none" w:sz="0" w:space="0" w:color="auto"/>
        <w:left w:val="none" w:sz="0" w:space="0" w:color="auto"/>
        <w:bottom w:val="none" w:sz="0" w:space="0" w:color="auto"/>
        <w:right w:val="none" w:sz="0" w:space="0" w:color="auto"/>
      </w:divBdr>
    </w:div>
    <w:div w:id="1398623675">
      <w:bodyDiv w:val="1"/>
      <w:marLeft w:val="0"/>
      <w:marRight w:val="0"/>
      <w:marTop w:val="0"/>
      <w:marBottom w:val="0"/>
      <w:divBdr>
        <w:top w:val="none" w:sz="0" w:space="0" w:color="auto"/>
        <w:left w:val="none" w:sz="0" w:space="0" w:color="auto"/>
        <w:bottom w:val="none" w:sz="0" w:space="0" w:color="auto"/>
        <w:right w:val="none" w:sz="0" w:space="0" w:color="auto"/>
      </w:divBdr>
    </w:div>
    <w:div w:id="1740130038">
      <w:bodyDiv w:val="1"/>
      <w:marLeft w:val="0"/>
      <w:marRight w:val="0"/>
      <w:marTop w:val="0"/>
      <w:marBottom w:val="0"/>
      <w:divBdr>
        <w:top w:val="none" w:sz="0" w:space="0" w:color="auto"/>
        <w:left w:val="none" w:sz="0" w:space="0" w:color="auto"/>
        <w:bottom w:val="none" w:sz="0" w:space="0" w:color="auto"/>
        <w:right w:val="none" w:sz="0" w:space="0" w:color="auto"/>
      </w:divBdr>
    </w:div>
    <w:div w:id="1749646932">
      <w:bodyDiv w:val="1"/>
      <w:marLeft w:val="0"/>
      <w:marRight w:val="0"/>
      <w:marTop w:val="0"/>
      <w:marBottom w:val="0"/>
      <w:divBdr>
        <w:top w:val="none" w:sz="0" w:space="0" w:color="auto"/>
        <w:left w:val="none" w:sz="0" w:space="0" w:color="auto"/>
        <w:bottom w:val="none" w:sz="0" w:space="0" w:color="auto"/>
        <w:right w:val="none" w:sz="0" w:space="0" w:color="auto"/>
      </w:divBdr>
    </w:div>
    <w:div w:id="1876850629">
      <w:bodyDiv w:val="1"/>
      <w:marLeft w:val="0"/>
      <w:marRight w:val="0"/>
      <w:marTop w:val="0"/>
      <w:marBottom w:val="0"/>
      <w:divBdr>
        <w:top w:val="none" w:sz="0" w:space="0" w:color="auto"/>
        <w:left w:val="none" w:sz="0" w:space="0" w:color="auto"/>
        <w:bottom w:val="none" w:sz="0" w:space="0" w:color="auto"/>
        <w:right w:val="none" w:sz="0" w:space="0" w:color="auto"/>
      </w:divBdr>
    </w:div>
    <w:div w:id="1952466206">
      <w:bodyDiv w:val="1"/>
      <w:marLeft w:val="0"/>
      <w:marRight w:val="0"/>
      <w:marTop w:val="0"/>
      <w:marBottom w:val="0"/>
      <w:divBdr>
        <w:top w:val="none" w:sz="0" w:space="0" w:color="auto"/>
        <w:left w:val="none" w:sz="0" w:space="0" w:color="auto"/>
        <w:bottom w:val="none" w:sz="0" w:space="0" w:color="auto"/>
        <w:right w:val="none" w:sz="0" w:space="0" w:color="auto"/>
      </w:divBdr>
    </w:div>
    <w:div w:id="2039118463">
      <w:bodyDiv w:val="1"/>
      <w:marLeft w:val="0"/>
      <w:marRight w:val="0"/>
      <w:marTop w:val="0"/>
      <w:marBottom w:val="0"/>
      <w:divBdr>
        <w:top w:val="none" w:sz="0" w:space="0" w:color="auto"/>
        <w:left w:val="none" w:sz="0" w:space="0" w:color="auto"/>
        <w:bottom w:val="none" w:sz="0" w:space="0" w:color="auto"/>
        <w:right w:val="none" w:sz="0" w:space="0" w:color="auto"/>
      </w:divBdr>
    </w:div>
    <w:div w:id="20600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vidm.gov.lv/in_site/tools/download.php?file=files/text/finansu_instrumenti/koh_f/3511//JautAtb201004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899B-819F-4320-8A83-06611FCD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2615</Words>
  <Characters>1492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inesec</dc:creator>
  <cp:keywords/>
  <dc:description/>
  <cp:lastModifiedBy>inesec</cp:lastModifiedBy>
  <cp:revision>2</cp:revision>
  <cp:lastPrinted>2010-05-17T07:23:00Z</cp:lastPrinted>
  <dcterms:created xsi:type="dcterms:W3CDTF">2011-02-02T09:21:00Z</dcterms:created>
  <dcterms:modified xsi:type="dcterms:W3CDTF">2011-02-02T09:21:00Z</dcterms:modified>
</cp:coreProperties>
</file>