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4"/>
        <w:gridCol w:w="9227"/>
      </w:tblGrid>
      <w:tr w:rsidR="00A441F6" w:rsidRPr="008F01C9" w:rsidTr="00967891">
        <w:trPr>
          <w:trHeight w:val="390"/>
          <w:tblHeader/>
          <w:jc w:val="center"/>
        </w:trPr>
        <w:tc>
          <w:tcPr>
            <w:tcW w:w="6044" w:type="dxa"/>
            <w:shd w:val="clear" w:color="auto" w:fill="CCFF99"/>
          </w:tcPr>
          <w:p w:rsidR="00A441F6" w:rsidRPr="008F01C9" w:rsidRDefault="00A441F6" w:rsidP="00D03342">
            <w:pPr>
              <w:jc w:val="center"/>
              <w:rPr>
                <w:b/>
              </w:rPr>
            </w:pPr>
            <w:r w:rsidRPr="008F01C9">
              <w:rPr>
                <w:b/>
                <w:sz w:val="22"/>
                <w:szCs w:val="22"/>
              </w:rPr>
              <w:t>Jautājums</w:t>
            </w:r>
          </w:p>
          <w:p w:rsidR="00A441F6" w:rsidRPr="008F01C9" w:rsidRDefault="00A441F6" w:rsidP="00D03342">
            <w:pPr>
              <w:jc w:val="center"/>
              <w:rPr>
                <w:b/>
              </w:rPr>
            </w:pPr>
          </w:p>
        </w:tc>
        <w:tc>
          <w:tcPr>
            <w:tcW w:w="9227" w:type="dxa"/>
            <w:shd w:val="clear" w:color="auto" w:fill="CCFF99"/>
          </w:tcPr>
          <w:p w:rsidR="00A441F6" w:rsidRPr="008F01C9" w:rsidRDefault="00A441F6" w:rsidP="00D03342">
            <w:pPr>
              <w:jc w:val="center"/>
              <w:rPr>
                <w:b/>
              </w:rPr>
            </w:pPr>
            <w:r w:rsidRPr="008F01C9">
              <w:rPr>
                <w:b/>
                <w:sz w:val="22"/>
                <w:szCs w:val="22"/>
              </w:rPr>
              <w:t>Atbilde</w:t>
            </w:r>
          </w:p>
        </w:tc>
      </w:tr>
      <w:tr w:rsidR="00F651A8" w:rsidRPr="00C348B2" w:rsidTr="00967891">
        <w:trPr>
          <w:trHeight w:val="970"/>
          <w:jc w:val="center"/>
        </w:trPr>
        <w:tc>
          <w:tcPr>
            <w:tcW w:w="6044" w:type="dxa"/>
          </w:tcPr>
          <w:p w:rsidR="00F651A8" w:rsidRPr="00C348B2" w:rsidRDefault="00F651A8" w:rsidP="00E02B66">
            <w:pPr>
              <w:rPr>
                <w:color w:val="000000"/>
              </w:rPr>
            </w:pPr>
            <w:r w:rsidRPr="00C348B2">
              <w:rPr>
                <w:color w:val="000000"/>
              </w:rPr>
              <w:t xml:space="preserve">Cik ilgā laikā projektu vērtēšanas komisija plāno izvērtēt iesniegto projekta iesniegumu un atbildīgās iestādes vadītājs paziņot lēmumu? </w:t>
            </w:r>
          </w:p>
        </w:tc>
        <w:tc>
          <w:tcPr>
            <w:tcW w:w="9227" w:type="dxa"/>
          </w:tcPr>
          <w:p w:rsidR="00F651A8" w:rsidRPr="00C348B2" w:rsidRDefault="00F651A8" w:rsidP="00E02B66">
            <w:pPr>
              <w:jc w:val="both"/>
              <w:rPr>
                <w:color w:val="000000"/>
              </w:rPr>
            </w:pPr>
            <w:r w:rsidRPr="00C348B2">
              <w:rPr>
                <w:color w:val="000000"/>
              </w:rPr>
              <w:t xml:space="preserve">Saskaņā ar </w:t>
            </w:r>
            <w:r w:rsidRPr="00C348B2">
              <w:rPr>
                <w:i/>
                <w:iCs/>
                <w:color w:val="000000"/>
              </w:rPr>
              <w:t>Eiropas Savienības struktūrfondu un Kohēzijas fonda vadības likuma</w:t>
            </w:r>
            <w:r w:rsidRPr="00C348B2">
              <w:rPr>
                <w:color w:val="000000"/>
              </w:rPr>
              <w:t xml:space="preserve"> 21.pantu VARAM lēmumu par projekta iesnieguma apstiprināšanu, apstiprināšanu ar nosacījumu vai noraidīšanu pieņems ne vēlāk kā 3 mēnešu laikā pēc Eiropas Savienības fonda projekta iesnieguma iesniegšanas beigu datuma, t.i., ne vēlāk kā līdz 16.12.2013.</w:t>
            </w:r>
          </w:p>
        </w:tc>
      </w:tr>
      <w:tr w:rsidR="00F651A8" w:rsidRPr="00C348B2" w:rsidTr="00967891">
        <w:trPr>
          <w:trHeight w:val="970"/>
          <w:jc w:val="center"/>
        </w:trPr>
        <w:tc>
          <w:tcPr>
            <w:tcW w:w="6044" w:type="dxa"/>
          </w:tcPr>
          <w:p w:rsidR="00F651A8" w:rsidRPr="00C348B2" w:rsidRDefault="00F651A8" w:rsidP="00E02B66">
            <w:pPr>
              <w:rPr>
                <w:color w:val="000000"/>
              </w:rPr>
            </w:pPr>
            <w:r w:rsidRPr="00C348B2">
              <w:rPr>
                <w:color w:val="000000"/>
              </w:rPr>
              <w:t xml:space="preserve">Līgums par sabiedrisko pakalpojumu sniegšanu noslēgts 2008. gada 25. jūnijā. Vai būs atbilstība prasītajam līguma termiņa kritērijam?  </w:t>
            </w:r>
          </w:p>
        </w:tc>
        <w:tc>
          <w:tcPr>
            <w:tcW w:w="9227" w:type="dxa"/>
          </w:tcPr>
          <w:p w:rsidR="00F651A8" w:rsidRPr="00C348B2" w:rsidRDefault="00F651A8" w:rsidP="00E02B66">
            <w:pPr>
              <w:jc w:val="both"/>
              <w:rPr>
                <w:color w:val="000000"/>
              </w:rPr>
            </w:pPr>
            <w:r w:rsidRPr="00C348B2">
              <w:rPr>
                <w:color w:val="000000"/>
              </w:rPr>
              <w:t xml:space="preserve">Saskaņā ar 04.12.2007. MK noteikumu Nr.836 4.pielikuma 10.kritēriju kapitālsabiedrībai ar pašvaldību ir jābūt noslēgtam līgumam par sabiedrisko ūdenssaimniecības pakalpojumu sniegšanu, kritērijā nav izvirzīts nosacījums par minētā līguma noslēgšanas datumu. Bet kritērijs „10.3 Līguma darbības laiks, kas nav mazāks par 5 gadiem un nepārsniedz 10 gadus”, izvira prasību līguma darbības laikam, kas nav mazāks par 5 gadiem un nepārsniedz 10 gadus.  </w:t>
            </w:r>
          </w:p>
          <w:p w:rsidR="00F651A8" w:rsidRPr="00C348B2" w:rsidRDefault="00F651A8" w:rsidP="00E02B66">
            <w:pPr>
              <w:pStyle w:val="NormalWeb"/>
              <w:spacing w:before="0" w:beforeAutospacing="0" w:after="0" w:afterAutospacing="0"/>
              <w:jc w:val="both"/>
              <w:rPr>
                <w:iCs/>
              </w:rPr>
            </w:pPr>
            <w:r w:rsidRPr="00C348B2">
              <w:rPr>
                <w:iCs/>
              </w:rPr>
              <w:t xml:space="preserve">Nav pieļaujams, ka pakalpojumu (sabiedrisko pakalpojumu) līguma termiņš beidzas tajā gadā vai nākošajā gadā, kad tiek iesniegts projekta </w:t>
            </w:r>
            <w:smartTag w:uri="schemas-tilde-lv/tildestengine" w:element="veidnes">
              <w:smartTagPr>
                <w:attr w:name="id" w:val="-1"/>
                <w:attr w:name="baseform" w:val="iesniegums"/>
                <w:attr w:name="text" w:val="iesniegums"/>
              </w:smartTagPr>
              <w:r w:rsidRPr="00C348B2">
                <w:rPr>
                  <w:iCs/>
                </w:rPr>
                <w:t>iesniegums</w:t>
              </w:r>
            </w:smartTag>
            <w:r w:rsidRPr="00C348B2">
              <w:rPr>
                <w:iCs/>
              </w:rPr>
              <w:t>. Tad ir nepieciešami līguma grozījumi par termiņa pagarinājumu. Šāds nosacījums ir saistīts gan ar paredzamā Eiropas Reģionālās attīstības fonda līdzfinansētā projekta drošu īstenošanu, gan ūdenssaimniecības sabiedrisko pakalpojumu sniegšanas nepārtrauktības nodrošināšanu.</w:t>
            </w:r>
          </w:p>
        </w:tc>
      </w:tr>
      <w:tr w:rsidR="00F651A8" w:rsidRPr="00C348B2" w:rsidTr="00967891">
        <w:trPr>
          <w:trHeight w:val="970"/>
          <w:jc w:val="center"/>
        </w:trPr>
        <w:tc>
          <w:tcPr>
            <w:tcW w:w="6044" w:type="dxa"/>
          </w:tcPr>
          <w:p w:rsidR="00F651A8" w:rsidRPr="00C348B2" w:rsidRDefault="00F651A8" w:rsidP="00E02B66">
            <w:pPr>
              <w:rPr>
                <w:color w:val="000000"/>
              </w:rPr>
            </w:pPr>
            <w:r w:rsidRPr="00C348B2">
              <w:rPr>
                <w:color w:val="000000"/>
              </w:rPr>
              <w:t>Ar 2014. gadu  LVL tiks izņemti no apgrozības. 2013. gada oktobrī tiks izsludināts pirmais būvdarbu iepirkums. Kādā valūtā LVL vai EURO sagatavot finanšu piedāvājuma veidni?</w:t>
            </w:r>
          </w:p>
        </w:tc>
        <w:tc>
          <w:tcPr>
            <w:tcW w:w="9227" w:type="dxa"/>
          </w:tcPr>
          <w:p w:rsidR="00F651A8" w:rsidRPr="00C348B2" w:rsidRDefault="00F651A8" w:rsidP="00E02B66">
            <w:pPr>
              <w:jc w:val="both"/>
              <w:rPr>
                <w:color w:val="000000"/>
              </w:rPr>
            </w:pPr>
            <w:r w:rsidRPr="00C348B2">
              <w:rPr>
                <w:color w:val="000000"/>
              </w:rPr>
              <w:t xml:space="preserve">Atbilstoši </w:t>
            </w:r>
            <w:r w:rsidRPr="00C348B2">
              <w:rPr>
                <w:i/>
                <w:iCs/>
                <w:color w:val="000000"/>
              </w:rPr>
              <w:t>Eiro ieviešanas kārtības likuma</w:t>
            </w:r>
            <w:r w:rsidRPr="00C348B2">
              <w:rPr>
                <w:color w:val="000000"/>
              </w:rPr>
              <w:t xml:space="preserve"> 13.pantam  cenas abās valūtās tirgotājiem un pakalpojumu sniedzējiem rēķinos (vai citos dokumentos) jānorāda obligāti 3 mēnešus (jeb vienu ceturksni) pirms un 6 mēnešus pēc eiro ieviešanas dienas, t.i., 2014.gada 1.janvāra. Ņemot vērā minēto iepirkumos, kas tiks izsludināti sākot ar 2013.gada oktobrī, finanšu piedāvājumos jānorāda cenas abās valūtās, piemērojot oficiālo lata un eiro maiņas kursu un strikti ievērojot matemātiskos principus, kas noteikti minētā likuma 6.pantā. Savukārt iepirkumos, kas izsludināti pirms 2013.gada oktobra rekomendējam finanšu piedāvājumos izmantot abas valūtas, lai salīdzinātu cenas un izvairītos no nepatīkamiem starpgadījumiem projekta ieviešanā.</w:t>
            </w:r>
          </w:p>
        </w:tc>
      </w:tr>
      <w:tr w:rsidR="00F651A8" w:rsidRPr="00C348B2" w:rsidTr="00967891">
        <w:trPr>
          <w:trHeight w:val="970"/>
          <w:jc w:val="center"/>
        </w:trPr>
        <w:tc>
          <w:tcPr>
            <w:tcW w:w="6044" w:type="dxa"/>
          </w:tcPr>
          <w:p w:rsidR="00F651A8" w:rsidRPr="00C348B2" w:rsidRDefault="00F651A8" w:rsidP="00E02B66">
            <w:pPr>
              <w:rPr>
                <w:color w:val="000000"/>
              </w:rPr>
            </w:pPr>
            <w:r w:rsidRPr="00C348B2">
              <w:rPr>
                <w:color w:val="000000"/>
              </w:rPr>
              <w:lastRenderedPageBreak/>
              <w:t xml:space="preserve">Pamatojoties uz tehniskajiem noteikumiem tiek izstrādāti būvprojekti, kur tiek plānota daļēja esošā ceļu seguma atjaunošana ūdensapgādes un kanalizācijas tīklu izbūves zonā.  Piemēram  2,5 m no ielas platuma. Šīs seguma atjaunošanas izmaksas tiks iekļautas projekta attiecināmajās komponenšu izmaksās. </w:t>
            </w:r>
            <w:r w:rsidRPr="00C348B2">
              <w:rPr>
                <w:color w:val="000000"/>
              </w:rPr>
              <w:br/>
              <w:t xml:space="preserve"> Tā kā mūsu gadījumā pašvaldībai ir jāpieņem lēmums par TEP un projekta iesnieguma saskaņošanu, kā arī jāatrod iespēja projektam sniegt galvojumu, tā izvirza prasību atjaunot ceļu, ielu segumu visā ielas platumā (izmaksu segšanai projekta ieviesējs ņem kredītu Valsts kasē, kuru galvo pašvaldība. Un pēc tam pašvaldība pakāpeniski atmaksā šī kredīta summu projekta ieviesējam). Ir saprotams, ka ielas daļas seguma atjaunošana, kur netiek būvētas komunikācijas, ir neattiecināmās izmaksas.</w:t>
            </w:r>
            <w:r w:rsidRPr="00C348B2">
              <w:rPr>
                <w:color w:val="000000"/>
              </w:rPr>
              <w:br/>
              <w:t>1.) Vai šo neattiecināmo izmaksu daļu ir jāiekļauj ilgtermiņa un īstermiņa komponenšu izmaksās?</w:t>
            </w:r>
            <w:r w:rsidRPr="00C348B2">
              <w:rPr>
                <w:color w:val="000000"/>
              </w:rPr>
              <w:br/>
              <w:t xml:space="preserve">2.) Vai šo neattiecināmo izmaksu daļu ir jāiekļauj projekta finanšu plāna kolonnās „Neattiecināmās izmaksas” un „Kopējās izmaksas”? </w:t>
            </w:r>
            <w:r w:rsidRPr="00C348B2">
              <w:rPr>
                <w:color w:val="000000"/>
              </w:rPr>
              <w:br/>
              <w:t xml:space="preserve">3.) Vai šo neattiecināmo izmaksu daļu ir jāiekļauj indikatīvajā projekta izmaksu plānā? </w:t>
            </w:r>
            <w:r w:rsidRPr="00C348B2">
              <w:rPr>
                <w:color w:val="000000"/>
              </w:rPr>
              <w:br/>
              <w:t xml:space="preserve">4.) Vai šo neattiecināmo izmaksu daļu ir jāiekļauj projekta iesnieguma 3. pielikuma būvdarbu tāmēs? </w:t>
            </w:r>
            <w:r w:rsidRPr="00C348B2">
              <w:rPr>
                <w:color w:val="000000"/>
              </w:rPr>
              <w:br/>
              <w:t>5.) Vai šai projekta neattiecināmo izmaksu daļai projekta ieviesējam būs iespējams saņemt kredītu no Valsts kases?</w:t>
            </w:r>
          </w:p>
        </w:tc>
        <w:tc>
          <w:tcPr>
            <w:tcW w:w="9227" w:type="dxa"/>
          </w:tcPr>
          <w:p w:rsidR="00F651A8" w:rsidRPr="00C348B2" w:rsidRDefault="00F651A8" w:rsidP="00E02B66">
            <w:pPr>
              <w:spacing w:after="240"/>
              <w:jc w:val="both"/>
              <w:rPr>
                <w:color w:val="000000"/>
              </w:rPr>
            </w:pPr>
            <w:r w:rsidRPr="00C348B2">
              <w:rPr>
                <w:color w:val="000000"/>
              </w:rPr>
              <w:t xml:space="preserve">Saskaņā ar 04.12.2007. MK Noteikumu Nr.836 2.punktu šīs aktivitātes mērķis ir  ūdenssaimniecības pakalpojumu - ūdensapgādes un notekūdeņu savākšanas un attīrīšanas - kvalitātes uzlabošana un ūdenssaimniecības pakalpojumu pieejamības paplašināšana, nodrošinot kvalitatīvu dzīves vidi, samazinot vides piesārņojumu un ūdenstilpju eitrofikāciju un sekmējot ūdens resursu un energoresursu racionālu izmantošanu. Projekta izmaksās kā attiecināmās izmaksas var iekļaut tikai ar šīm darbībām saistītās izmaksas, kuras atbilst šo noteikumu 9.punkta nosacījumiem. Savukārt projektā kā neattiecināmās izmaksas var iekļaut tikai 04.12.2007. MK Noteikumu Nr.836 11.punktā minētās neattiecināmās izmaksas. Pārējās izmaksas projekta izdevumos nav iekļaujamas. </w:t>
            </w:r>
            <w:r w:rsidRPr="00C348B2">
              <w:rPr>
                <w:color w:val="000000"/>
              </w:rPr>
              <w:br/>
              <w:t>Attiecībā uz Jūsu jautājumu par ceļa asfalta seguma atjaunošanu ceļa daļā, kas nav saistīta ar ūdensapgādes un kanalizācijas tīklu izbūves zonu, izdevumu iekļaušanu projekta neattiecināmajās izmaksās, norādām, ka šie izdevumi nav klasificējami kā neattiecināmās izmaksas 04.12.2007. MK Noteikumu Nr.836 11.punkta izpratnē, jo nav nedz tieši, nedz netieši saistītas ar aktivitātes mērķa īstenošanu. Līdz ar to šīs izmaksas nav iekļaujamas projekta neattiecināmajās izmaksās, projekta budžetā kopumā un būvdarbu tāmēs, jo saskaņā ar MK noteikumu 11</w:t>
            </w:r>
            <w:r w:rsidRPr="00C348B2">
              <w:rPr>
                <w:color w:val="000000"/>
                <w:vertAlign w:val="superscript"/>
              </w:rPr>
              <w:t>2</w:t>
            </w:r>
            <w:r w:rsidRPr="00C348B2">
              <w:rPr>
                <w:color w:val="000000"/>
              </w:rPr>
              <w:t>. Punktu projekta iesniegumā ir iekļaujamas tikai 9., 11. un 11</w:t>
            </w:r>
            <w:r w:rsidRPr="00C348B2">
              <w:rPr>
                <w:color w:val="000000"/>
                <w:vertAlign w:val="superscript"/>
              </w:rPr>
              <w:t>1</w:t>
            </w:r>
            <w:r w:rsidRPr="00C348B2">
              <w:rPr>
                <w:color w:val="000000"/>
              </w:rPr>
              <w:t>.punktā minētās izmaksas.</w:t>
            </w:r>
          </w:p>
          <w:p w:rsidR="00F651A8" w:rsidRPr="00C348B2" w:rsidRDefault="00F651A8" w:rsidP="00E02B66">
            <w:pPr>
              <w:spacing w:after="240"/>
              <w:jc w:val="both"/>
              <w:rPr>
                <w:color w:val="000000"/>
              </w:rPr>
            </w:pPr>
            <w:bookmarkStart w:id="0" w:name="_GoBack"/>
            <w:r w:rsidRPr="00C348B2">
              <w:rPr>
                <w:color w:val="000000"/>
              </w:rPr>
              <w:t xml:space="preserve">Lai samazinātu dubulta finansējuma risku un nepieļautu valsts budžeta līdzekļu neefektīvu izmantošanu, veicot konkrētiem ielas posmiem seguma atjaunošanu ielas platumā, lūdzam izskatīt iespēju neiekļaut seguma atjaunošanu tranšejas platumā projekta ietvaros plānotā būvdarbu līguma izmaksās.  </w:t>
            </w:r>
            <w:bookmarkEnd w:id="0"/>
          </w:p>
        </w:tc>
      </w:tr>
      <w:tr w:rsidR="000A3683" w:rsidRPr="00C348B2" w:rsidTr="00967891">
        <w:trPr>
          <w:trHeight w:val="970"/>
          <w:jc w:val="center"/>
        </w:trPr>
        <w:tc>
          <w:tcPr>
            <w:tcW w:w="6044" w:type="dxa"/>
          </w:tcPr>
          <w:p w:rsidR="000A3683" w:rsidRPr="00C348B2" w:rsidRDefault="00B723CA" w:rsidP="00B723CA">
            <w:pPr>
              <w:autoSpaceDE w:val="0"/>
              <w:autoSpaceDN w:val="0"/>
              <w:jc w:val="both"/>
            </w:pPr>
            <w:r w:rsidRPr="00C348B2">
              <w:rPr>
                <w:color w:val="000000"/>
              </w:rPr>
              <w:lastRenderedPageBreak/>
              <w:t>Vai Projekta īstenošanas laiks projekta iesnieguma 3.3.sadaļā ir jāatspoguļo no brīža, kad plānots noslēgt Civiltiesisko līgumu līdz pēdējam datumam, kad plānota būvdarbu līguma darbu izpilde un objektu  nodošanu ekspluatācijā (neskaitot pēdējo maksājumu)?</w:t>
            </w:r>
          </w:p>
        </w:tc>
        <w:tc>
          <w:tcPr>
            <w:tcW w:w="9227" w:type="dxa"/>
          </w:tcPr>
          <w:p w:rsidR="000A3683" w:rsidRPr="00C348B2" w:rsidRDefault="00B723CA" w:rsidP="000A3683">
            <w:pPr>
              <w:autoSpaceDE w:val="0"/>
              <w:autoSpaceDN w:val="0"/>
              <w:adjustRightInd w:val="0"/>
              <w:jc w:val="both"/>
              <w:rPr>
                <w:rFonts w:eastAsiaTheme="minorHAnsi"/>
                <w:lang w:eastAsia="en-US"/>
              </w:rPr>
            </w:pPr>
            <w:r w:rsidRPr="00C348B2">
              <w:rPr>
                <w:color w:val="000000"/>
              </w:rPr>
              <w:t xml:space="preserve">Jā, projekta īstenošanas laika grafikā jānorāda informācija par katra projekta līguma (tai skaitā būvuzraudzības un autoruzraudzības līgumu) izpildes periodu: no līguma noslēgšanas datuma līdz darbu pieņemšanas - nodošanas akta parakstīšanas datumam. Līguma izpildes periods neiekļauj līguma iepirkuma dokumentācijas sagatavošanas un iepirkuma procedūras laiku. </w:t>
            </w:r>
            <w:r w:rsidRPr="00C348B2">
              <w:rPr>
                <w:color w:val="000000"/>
              </w:rPr>
              <w:br/>
              <w:t>Tomēr Jums ir jāņem vērā, ka līdz ar 2013.gada 25.jūnija grozījumu MK noteikumos Nr.836 spēkā stāšanos, projekta ietvaros atbalstāmās darbības jāuzsāk ne vēlāk kā pirmajā ceturksnī pēc vienošanās vai civiltiesiskā līguma par projekta īstenošanu noslēgšanas un pirmās iepirkuma procedūras izsludināšanas, kā arī izdevumi projekta ietvaros tiks veikti pirmajā pusgadā pēc vienošanās vai civiltiesiskā līguma par projekta īstenošanu noslēgšanas. Piektās projektu grupas Kohēzijas fonda finansējuma saņēmējam visas Kohēzijas fonda projekta aktivitātes jāīsteno līdz 2015.gada 1.jūnijam.</w:t>
            </w:r>
          </w:p>
        </w:tc>
      </w:tr>
      <w:tr w:rsidR="000A3683" w:rsidRPr="00C348B2" w:rsidTr="00967891">
        <w:trPr>
          <w:trHeight w:val="970"/>
          <w:jc w:val="center"/>
        </w:trPr>
        <w:tc>
          <w:tcPr>
            <w:tcW w:w="6044" w:type="dxa"/>
          </w:tcPr>
          <w:p w:rsidR="000A3683" w:rsidRPr="00C348B2" w:rsidRDefault="00206F6B" w:rsidP="00E35F0C">
            <w:pPr>
              <w:autoSpaceDE w:val="0"/>
              <w:autoSpaceDN w:val="0"/>
              <w:jc w:val="both"/>
            </w:pPr>
            <w:r w:rsidRPr="00C348B2">
              <w:rPr>
                <w:color w:val="000000"/>
              </w:rPr>
              <w:t>Tiek gatavots TEP un projekta iesniegums ūdenssaimniecības projektam (MK noteikumi Nr.836). Projekta pieteicējs ir SIA „Liepājas ūdens”, kas ir PVN maksātājs. Projektā paredzēti tikai būvniecības līgumi. Atbilstoši „Pievienotās vērtības nodokļa likumam”, būvniecības pakalpojumu sniedzējs izraksta pakalpojumu saņēmējam nodokļa rēķinu, kurā norāda sniegtā pakalpojuma vērtību bez nodokļa (nodokļa apgrieztā maksāšana). Līdz ar to ar projektu saistītos rēķinos un maksājumos PVN neparādās.</w:t>
            </w:r>
            <w:r w:rsidRPr="00C348B2">
              <w:rPr>
                <w:color w:val="000000"/>
              </w:rPr>
              <w:br/>
              <w:t>Vai šādā gadījumā TEP-ā, projekta pieteikumā  un ar projektu saistītos aprēķinos nepieciešams uzrādīt PVN?</w:t>
            </w:r>
          </w:p>
        </w:tc>
        <w:tc>
          <w:tcPr>
            <w:tcW w:w="9227" w:type="dxa"/>
          </w:tcPr>
          <w:p w:rsidR="000A3683" w:rsidRPr="00C348B2" w:rsidRDefault="00206F6B" w:rsidP="000A3683">
            <w:pPr>
              <w:autoSpaceDE w:val="0"/>
              <w:autoSpaceDN w:val="0"/>
              <w:adjustRightInd w:val="0"/>
              <w:jc w:val="both"/>
              <w:rPr>
                <w:rFonts w:eastAsiaTheme="minorHAnsi"/>
                <w:lang w:eastAsia="en-US"/>
              </w:rPr>
            </w:pPr>
            <w:r w:rsidRPr="00C348B2">
              <w:rPr>
                <w:color w:val="000000"/>
              </w:rPr>
              <w:t xml:space="preserve">Projekta kopējās izmaksas veidojas no attiecināmo un neattiecināmo izmaksu, kuras definētas 04.12.2007. MK noteikumu Nr.836 9., 10. un 11.punktā, kopsummas. Pievienotās vērtības nodoklis, kas aprēķināts par iegādātajām precēm un pakalpojumiem, ir jāiekļauj projekta neattiecināmajās izmaksas, jo to var atgūt no valsts budžeta likuma </w:t>
            </w:r>
            <w:r w:rsidRPr="00C348B2">
              <w:rPr>
                <w:i/>
                <w:iCs/>
                <w:color w:val="000000"/>
              </w:rPr>
              <w:t>Par pievienotās vērtības nodokļa</w:t>
            </w:r>
            <w:r w:rsidRPr="00C348B2">
              <w:rPr>
                <w:color w:val="000000"/>
              </w:rPr>
              <w:t xml:space="preserve"> noteiktajā kārtībā, neatkarīgi no tā maksāšanas kārtības.</w:t>
            </w:r>
          </w:p>
        </w:tc>
      </w:tr>
    </w:tbl>
    <w:p w:rsidR="00AC6A05" w:rsidRDefault="00AC6A05"/>
    <w:sectPr w:rsidR="00AC6A05" w:rsidSect="00A441F6">
      <w:headerReference w:type="default" r:id="rId8"/>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F1C" w:rsidRDefault="00E31F1C" w:rsidP="00A441F6">
      <w:r>
        <w:separator/>
      </w:r>
    </w:p>
  </w:endnote>
  <w:endnote w:type="continuationSeparator" w:id="0">
    <w:p w:rsidR="00E31F1C" w:rsidRDefault="00E31F1C" w:rsidP="00A4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onsolas">
    <w:panose1 w:val="020B0609020204030204"/>
    <w:charset w:val="BA"/>
    <w:family w:val="modern"/>
    <w:pitch w:val="fixed"/>
    <w:sig w:usb0="A00002EF" w:usb1="4000204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F1C" w:rsidRDefault="00E31F1C" w:rsidP="00A441F6">
      <w:r>
        <w:separator/>
      </w:r>
    </w:p>
  </w:footnote>
  <w:footnote w:type="continuationSeparator" w:id="0">
    <w:p w:rsidR="00E31F1C" w:rsidRDefault="00E31F1C" w:rsidP="00A44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EBC" w:rsidRPr="002431E0" w:rsidRDefault="00537EBC" w:rsidP="00A441F6">
    <w:pPr>
      <w:jc w:val="center"/>
      <w:outlineLvl w:val="0"/>
      <w:rPr>
        <w:b/>
      </w:rPr>
    </w:pPr>
    <w:r>
      <w:rPr>
        <w:b/>
      </w:rPr>
      <w:t>Aktuālie j</w:t>
    </w:r>
    <w:r w:rsidRPr="002431E0">
      <w:rPr>
        <w:b/>
      </w:rPr>
      <w:t xml:space="preserve">autājumi un atbildes par darbības programmas "Infrastruktūra un pakalpojumi" </w:t>
    </w:r>
  </w:p>
  <w:p w:rsidR="00537EBC" w:rsidRPr="002431E0" w:rsidRDefault="00537EBC" w:rsidP="00A441F6">
    <w:pPr>
      <w:jc w:val="center"/>
      <w:outlineLvl w:val="0"/>
      <w:rPr>
        <w:b/>
      </w:rPr>
    </w:pPr>
    <w:r>
      <w:rPr>
        <w:b/>
      </w:rPr>
      <w:t>3.5.1.1.aktivitātes</w:t>
    </w:r>
    <w:r w:rsidRPr="002431E0">
      <w:rPr>
        <w:b/>
      </w:rPr>
      <w:t xml:space="preserve"> "Ūdenssaimniecības infrastruktūras attīstība </w:t>
    </w:r>
    <w:proofErr w:type="spellStart"/>
    <w:r w:rsidRPr="002431E0">
      <w:rPr>
        <w:b/>
      </w:rPr>
      <w:t>aglomerācijās</w:t>
    </w:r>
    <w:proofErr w:type="spellEnd"/>
    <w:r w:rsidRPr="002431E0">
      <w:rPr>
        <w:b/>
      </w:rPr>
      <w:t xml:space="preserve"> ar cilvēku ekvivalentu lielāku par 2000"”</w:t>
    </w:r>
  </w:p>
  <w:p w:rsidR="00537EBC" w:rsidRDefault="00537EBC" w:rsidP="00A441F6">
    <w:pPr>
      <w:jc w:val="center"/>
      <w:outlineLvl w:val="0"/>
      <w:rPr>
        <w:b/>
      </w:rPr>
    </w:pPr>
    <w:r>
      <w:rPr>
        <w:b/>
      </w:rPr>
      <w:t xml:space="preserve">projekta iesnieguma sagatavošanu </w:t>
    </w:r>
  </w:p>
  <w:p w:rsidR="00537EBC" w:rsidRPr="006959BC" w:rsidRDefault="00AA478E" w:rsidP="00A441F6">
    <w:pPr>
      <w:jc w:val="center"/>
      <w:rPr>
        <w:b/>
      </w:rPr>
    </w:pPr>
    <w:r>
      <w:t>5.kārtai</w:t>
    </w:r>
  </w:p>
  <w:p w:rsidR="00537EBC" w:rsidRPr="00C07F21" w:rsidRDefault="00537EBC" w:rsidP="00A441F6">
    <w:pPr>
      <w:jc w:val="center"/>
      <w:rPr>
        <w:i/>
        <w:sz w:val="20"/>
        <w:szCs w:val="20"/>
      </w:rPr>
    </w:pPr>
    <w:r w:rsidRPr="00C07F21">
      <w:rPr>
        <w:i/>
        <w:sz w:val="20"/>
        <w:szCs w:val="20"/>
      </w:rPr>
      <w:t>(</w:t>
    </w:r>
    <w:r w:rsidR="00584E86">
      <w:rPr>
        <w:i/>
        <w:sz w:val="20"/>
        <w:szCs w:val="20"/>
      </w:rPr>
      <w:t xml:space="preserve">aktualizēts </w:t>
    </w:r>
    <w:r w:rsidR="00854CEA">
      <w:rPr>
        <w:i/>
        <w:sz w:val="20"/>
        <w:szCs w:val="20"/>
      </w:rPr>
      <w:t>23.08</w:t>
    </w:r>
    <w:r w:rsidR="00AA478E">
      <w:rPr>
        <w:i/>
        <w:sz w:val="20"/>
        <w:szCs w:val="20"/>
      </w:rPr>
      <w:t>.2013</w:t>
    </w:r>
    <w:r w:rsidRPr="00C07F21">
      <w:rPr>
        <w:i/>
        <w:sz w:val="20"/>
        <w:szCs w:val="20"/>
      </w:rPr>
      <w:t>.)</w:t>
    </w:r>
  </w:p>
  <w:p w:rsidR="00537EBC" w:rsidRDefault="00537E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459"/>
    <w:multiLevelType w:val="hybridMultilevel"/>
    <w:tmpl w:val="5BDA52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3E245E7"/>
    <w:multiLevelType w:val="hybridMultilevel"/>
    <w:tmpl w:val="52D064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1DC4700"/>
    <w:multiLevelType w:val="hybridMultilevel"/>
    <w:tmpl w:val="BDEE0C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8FE0CD0"/>
    <w:multiLevelType w:val="hybridMultilevel"/>
    <w:tmpl w:val="F3D27700"/>
    <w:lvl w:ilvl="0" w:tplc="04260011">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495C25C1"/>
    <w:multiLevelType w:val="hybridMultilevel"/>
    <w:tmpl w:val="5B10CA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79778DA"/>
    <w:multiLevelType w:val="hybridMultilevel"/>
    <w:tmpl w:val="F6A24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3C82E01"/>
    <w:multiLevelType w:val="hybridMultilevel"/>
    <w:tmpl w:val="283CD0CC"/>
    <w:lvl w:ilvl="0" w:tplc="278A65C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A026B18"/>
    <w:multiLevelType w:val="hybridMultilevel"/>
    <w:tmpl w:val="EA54290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441F6"/>
    <w:rsid w:val="000024A5"/>
    <w:rsid w:val="0000485E"/>
    <w:rsid w:val="000329FC"/>
    <w:rsid w:val="00044A38"/>
    <w:rsid w:val="00051112"/>
    <w:rsid w:val="000A3683"/>
    <w:rsid w:val="000E6A07"/>
    <w:rsid w:val="000F41EF"/>
    <w:rsid w:val="00106085"/>
    <w:rsid w:val="001071FD"/>
    <w:rsid w:val="001B25B5"/>
    <w:rsid w:val="001D2C81"/>
    <w:rsid w:val="00206F6B"/>
    <w:rsid w:val="002D6B50"/>
    <w:rsid w:val="002E5E83"/>
    <w:rsid w:val="00335CF3"/>
    <w:rsid w:val="003554D5"/>
    <w:rsid w:val="003847BC"/>
    <w:rsid w:val="00386948"/>
    <w:rsid w:val="00387D71"/>
    <w:rsid w:val="00443496"/>
    <w:rsid w:val="00446576"/>
    <w:rsid w:val="00497900"/>
    <w:rsid w:val="00537EBC"/>
    <w:rsid w:val="0056161C"/>
    <w:rsid w:val="00584E86"/>
    <w:rsid w:val="005D0815"/>
    <w:rsid w:val="005E0AB5"/>
    <w:rsid w:val="005F5C01"/>
    <w:rsid w:val="005F7F35"/>
    <w:rsid w:val="00601A10"/>
    <w:rsid w:val="006959BC"/>
    <w:rsid w:val="00711104"/>
    <w:rsid w:val="00762024"/>
    <w:rsid w:val="00764F13"/>
    <w:rsid w:val="007905EF"/>
    <w:rsid w:val="00796794"/>
    <w:rsid w:val="007B2B9B"/>
    <w:rsid w:val="007C5E34"/>
    <w:rsid w:val="008149D0"/>
    <w:rsid w:val="00833383"/>
    <w:rsid w:val="00854CEA"/>
    <w:rsid w:val="0086630D"/>
    <w:rsid w:val="00870998"/>
    <w:rsid w:val="008B3EC4"/>
    <w:rsid w:val="00906BCD"/>
    <w:rsid w:val="00933CD8"/>
    <w:rsid w:val="009620E0"/>
    <w:rsid w:val="00967891"/>
    <w:rsid w:val="009730F7"/>
    <w:rsid w:val="00A1589A"/>
    <w:rsid w:val="00A441F6"/>
    <w:rsid w:val="00A635BA"/>
    <w:rsid w:val="00A70DC4"/>
    <w:rsid w:val="00A7337A"/>
    <w:rsid w:val="00A76B0E"/>
    <w:rsid w:val="00A77BA4"/>
    <w:rsid w:val="00A96DC2"/>
    <w:rsid w:val="00AA363A"/>
    <w:rsid w:val="00AA478E"/>
    <w:rsid w:val="00AC6A05"/>
    <w:rsid w:val="00AD5D47"/>
    <w:rsid w:val="00B32039"/>
    <w:rsid w:val="00B4214E"/>
    <w:rsid w:val="00B50BDE"/>
    <w:rsid w:val="00B723CA"/>
    <w:rsid w:val="00BD0840"/>
    <w:rsid w:val="00C01CBA"/>
    <w:rsid w:val="00C20D2C"/>
    <w:rsid w:val="00C348B2"/>
    <w:rsid w:val="00C45151"/>
    <w:rsid w:val="00D00FCF"/>
    <w:rsid w:val="00D03342"/>
    <w:rsid w:val="00D130DE"/>
    <w:rsid w:val="00D14DED"/>
    <w:rsid w:val="00D243AC"/>
    <w:rsid w:val="00D257A2"/>
    <w:rsid w:val="00D25B0D"/>
    <w:rsid w:val="00D53433"/>
    <w:rsid w:val="00D66D71"/>
    <w:rsid w:val="00D709A5"/>
    <w:rsid w:val="00D846CA"/>
    <w:rsid w:val="00DA66CF"/>
    <w:rsid w:val="00DC5769"/>
    <w:rsid w:val="00DE2CB4"/>
    <w:rsid w:val="00E31F1C"/>
    <w:rsid w:val="00E35F0C"/>
    <w:rsid w:val="00E46C3B"/>
    <w:rsid w:val="00E5284E"/>
    <w:rsid w:val="00E602EE"/>
    <w:rsid w:val="00E86C1F"/>
    <w:rsid w:val="00E93DAF"/>
    <w:rsid w:val="00F36199"/>
    <w:rsid w:val="00F651A8"/>
    <w:rsid w:val="00F801F7"/>
    <w:rsid w:val="00FA1CDC"/>
    <w:rsid w:val="00FA22BE"/>
    <w:rsid w:val="00FE2196"/>
    <w:rsid w:val="00FE7592"/>
    <w:rsid w:val="00FF68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1F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1F6"/>
    <w:pPr>
      <w:ind w:left="720"/>
    </w:pPr>
    <w:rPr>
      <w:rFonts w:eastAsia="Calibri"/>
    </w:rPr>
  </w:style>
  <w:style w:type="paragraph" w:styleId="Header">
    <w:name w:val="header"/>
    <w:basedOn w:val="Normal"/>
    <w:link w:val="HeaderChar"/>
    <w:uiPriority w:val="99"/>
    <w:semiHidden/>
    <w:unhideWhenUsed/>
    <w:rsid w:val="00A441F6"/>
    <w:pPr>
      <w:tabs>
        <w:tab w:val="center" w:pos="4153"/>
        <w:tab w:val="right" w:pos="8306"/>
      </w:tabs>
    </w:pPr>
  </w:style>
  <w:style w:type="character" w:customStyle="1" w:styleId="HeaderChar">
    <w:name w:val="Header Char"/>
    <w:basedOn w:val="DefaultParagraphFont"/>
    <w:link w:val="Header"/>
    <w:uiPriority w:val="99"/>
    <w:semiHidden/>
    <w:rsid w:val="00A441F6"/>
    <w:rPr>
      <w:rFonts w:ascii="Times New Roman" w:eastAsia="Times New Roman" w:hAnsi="Times New Roman" w:cs="Times New Roman"/>
      <w:sz w:val="24"/>
      <w:szCs w:val="24"/>
      <w:lang w:eastAsia="lv-LV"/>
    </w:rPr>
  </w:style>
  <w:style w:type="paragraph" w:styleId="Footer">
    <w:name w:val="footer"/>
    <w:basedOn w:val="Normal"/>
    <w:link w:val="FooterChar"/>
    <w:uiPriority w:val="99"/>
    <w:semiHidden/>
    <w:unhideWhenUsed/>
    <w:rsid w:val="00A441F6"/>
    <w:pPr>
      <w:tabs>
        <w:tab w:val="center" w:pos="4153"/>
        <w:tab w:val="right" w:pos="8306"/>
      </w:tabs>
    </w:pPr>
  </w:style>
  <w:style w:type="character" w:customStyle="1" w:styleId="FooterChar">
    <w:name w:val="Footer Char"/>
    <w:basedOn w:val="DefaultParagraphFont"/>
    <w:link w:val="Footer"/>
    <w:uiPriority w:val="99"/>
    <w:semiHidden/>
    <w:rsid w:val="00A441F6"/>
    <w:rPr>
      <w:rFonts w:ascii="Times New Roman" w:eastAsia="Times New Roman" w:hAnsi="Times New Roman" w:cs="Times New Roman"/>
      <w:sz w:val="24"/>
      <w:szCs w:val="24"/>
      <w:lang w:eastAsia="lv-LV"/>
    </w:rPr>
  </w:style>
  <w:style w:type="paragraph" w:customStyle="1" w:styleId="Default">
    <w:name w:val="Default"/>
    <w:rsid w:val="00A77B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1">
    <w:name w:val="Default1"/>
    <w:basedOn w:val="Default"/>
    <w:next w:val="Default"/>
    <w:uiPriority w:val="99"/>
    <w:rsid w:val="00A77BA4"/>
    <w:rPr>
      <w:color w:val="auto"/>
    </w:rPr>
  </w:style>
  <w:style w:type="paragraph" w:styleId="PlainText">
    <w:name w:val="Plain Text"/>
    <w:basedOn w:val="Normal"/>
    <w:link w:val="PlainTextChar"/>
    <w:uiPriority w:val="99"/>
    <w:semiHidden/>
    <w:unhideWhenUsed/>
    <w:rsid w:val="00AA36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AA363A"/>
    <w:rPr>
      <w:rFonts w:ascii="Consolas" w:hAnsi="Consolas"/>
      <w:sz w:val="21"/>
      <w:szCs w:val="21"/>
    </w:rPr>
  </w:style>
  <w:style w:type="paragraph" w:customStyle="1" w:styleId="default10">
    <w:name w:val="default1"/>
    <w:basedOn w:val="Normal"/>
    <w:rsid w:val="00E5284E"/>
    <w:pPr>
      <w:autoSpaceDE w:val="0"/>
      <w:autoSpaceDN w:val="0"/>
    </w:pPr>
    <w:rPr>
      <w:rFonts w:eastAsiaTheme="minorHAnsi"/>
    </w:rPr>
  </w:style>
  <w:style w:type="character" w:styleId="Hyperlink">
    <w:name w:val="Hyperlink"/>
    <w:basedOn w:val="DefaultParagraphFont"/>
    <w:uiPriority w:val="99"/>
    <w:semiHidden/>
    <w:unhideWhenUsed/>
    <w:rsid w:val="00E5284E"/>
    <w:rPr>
      <w:color w:val="0000FF"/>
      <w:u w:val="single"/>
    </w:rPr>
  </w:style>
  <w:style w:type="paragraph" w:customStyle="1" w:styleId="default0">
    <w:name w:val="default"/>
    <w:basedOn w:val="Normal"/>
    <w:rsid w:val="005D0815"/>
    <w:pPr>
      <w:autoSpaceDE w:val="0"/>
      <w:autoSpaceDN w:val="0"/>
    </w:pPr>
    <w:rPr>
      <w:rFonts w:eastAsiaTheme="minorHAnsi"/>
      <w:color w:val="000000"/>
    </w:rPr>
  </w:style>
  <w:style w:type="character" w:styleId="Strong">
    <w:name w:val="Strong"/>
    <w:basedOn w:val="DefaultParagraphFont"/>
    <w:uiPriority w:val="22"/>
    <w:qFormat/>
    <w:rsid w:val="006959BC"/>
    <w:rPr>
      <w:b/>
      <w:bCs/>
    </w:rPr>
  </w:style>
  <w:style w:type="paragraph" w:styleId="NormalWeb">
    <w:name w:val="Normal (Web)"/>
    <w:basedOn w:val="Normal"/>
    <w:rsid w:val="00F651A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38904959">
      <w:bodyDiv w:val="1"/>
      <w:marLeft w:val="0"/>
      <w:marRight w:val="0"/>
      <w:marTop w:val="0"/>
      <w:marBottom w:val="0"/>
      <w:divBdr>
        <w:top w:val="none" w:sz="0" w:space="0" w:color="auto"/>
        <w:left w:val="none" w:sz="0" w:space="0" w:color="auto"/>
        <w:bottom w:val="none" w:sz="0" w:space="0" w:color="auto"/>
        <w:right w:val="none" w:sz="0" w:space="0" w:color="auto"/>
      </w:divBdr>
    </w:div>
    <w:div w:id="244924574">
      <w:bodyDiv w:val="1"/>
      <w:marLeft w:val="0"/>
      <w:marRight w:val="0"/>
      <w:marTop w:val="0"/>
      <w:marBottom w:val="0"/>
      <w:divBdr>
        <w:top w:val="none" w:sz="0" w:space="0" w:color="auto"/>
        <w:left w:val="none" w:sz="0" w:space="0" w:color="auto"/>
        <w:bottom w:val="none" w:sz="0" w:space="0" w:color="auto"/>
        <w:right w:val="none" w:sz="0" w:space="0" w:color="auto"/>
      </w:divBdr>
    </w:div>
    <w:div w:id="272173964">
      <w:bodyDiv w:val="1"/>
      <w:marLeft w:val="0"/>
      <w:marRight w:val="0"/>
      <w:marTop w:val="0"/>
      <w:marBottom w:val="0"/>
      <w:divBdr>
        <w:top w:val="none" w:sz="0" w:space="0" w:color="auto"/>
        <w:left w:val="none" w:sz="0" w:space="0" w:color="auto"/>
        <w:bottom w:val="none" w:sz="0" w:space="0" w:color="auto"/>
        <w:right w:val="none" w:sz="0" w:space="0" w:color="auto"/>
      </w:divBdr>
    </w:div>
    <w:div w:id="572618767">
      <w:bodyDiv w:val="1"/>
      <w:marLeft w:val="0"/>
      <w:marRight w:val="0"/>
      <w:marTop w:val="0"/>
      <w:marBottom w:val="0"/>
      <w:divBdr>
        <w:top w:val="none" w:sz="0" w:space="0" w:color="auto"/>
        <w:left w:val="none" w:sz="0" w:space="0" w:color="auto"/>
        <w:bottom w:val="none" w:sz="0" w:space="0" w:color="auto"/>
        <w:right w:val="none" w:sz="0" w:space="0" w:color="auto"/>
      </w:divBdr>
    </w:div>
    <w:div w:id="609242789">
      <w:bodyDiv w:val="1"/>
      <w:marLeft w:val="0"/>
      <w:marRight w:val="0"/>
      <w:marTop w:val="0"/>
      <w:marBottom w:val="0"/>
      <w:divBdr>
        <w:top w:val="none" w:sz="0" w:space="0" w:color="auto"/>
        <w:left w:val="none" w:sz="0" w:space="0" w:color="auto"/>
        <w:bottom w:val="none" w:sz="0" w:space="0" w:color="auto"/>
        <w:right w:val="none" w:sz="0" w:space="0" w:color="auto"/>
      </w:divBdr>
    </w:div>
    <w:div w:id="670524989">
      <w:bodyDiv w:val="1"/>
      <w:marLeft w:val="0"/>
      <w:marRight w:val="0"/>
      <w:marTop w:val="0"/>
      <w:marBottom w:val="0"/>
      <w:divBdr>
        <w:top w:val="none" w:sz="0" w:space="0" w:color="auto"/>
        <w:left w:val="none" w:sz="0" w:space="0" w:color="auto"/>
        <w:bottom w:val="none" w:sz="0" w:space="0" w:color="auto"/>
        <w:right w:val="none" w:sz="0" w:space="0" w:color="auto"/>
      </w:divBdr>
    </w:div>
    <w:div w:id="694236067">
      <w:bodyDiv w:val="1"/>
      <w:marLeft w:val="0"/>
      <w:marRight w:val="0"/>
      <w:marTop w:val="0"/>
      <w:marBottom w:val="0"/>
      <w:divBdr>
        <w:top w:val="none" w:sz="0" w:space="0" w:color="auto"/>
        <w:left w:val="none" w:sz="0" w:space="0" w:color="auto"/>
        <w:bottom w:val="none" w:sz="0" w:space="0" w:color="auto"/>
        <w:right w:val="none" w:sz="0" w:space="0" w:color="auto"/>
      </w:divBdr>
    </w:div>
    <w:div w:id="935985244">
      <w:bodyDiv w:val="1"/>
      <w:marLeft w:val="0"/>
      <w:marRight w:val="0"/>
      <w:marTop w:val="0"/>
      <w:marBottom w:val="0"/>
      <w:divBdr>
        <w:top w:val="none" w:sz="0" w:space="0" w:color="auto"/>
        <w:left w:val="none" w:sz="0" w:space="0" w:color="auto"/>
        <w:bottom w:val="none" w:sz="0" w:space="0" w:color="auto"/>
        <w:right w:val="none" w:sz="0" w:space="0" w:color="auto"/>
      </w:divBdr>
    </w:div>
    <w:div w:id="955254525">
      <w:bodyDiv w:val="1"/>
      <w:marLeft w:val="0"/>
      <w:marRight w:val="0"/>
      <w:marTop w:val="0"/>
      <w:marBottom w:val="0"/>
      <w:divBdr>
        <w:top w:val="none" w:sz="0" w:space="0" w:color="auto"/>
        <w:left w:val="none" w:sz="0" w:space="0" w:color="auto"/>
        <w:bottom w:val="none" w:sz="0" w:space="0" w:color="auto"/>
        <w:right w:val="none" w:sz="0" w:space="0" w:color="auto"/>
      </w:divBdr>
    </w:div>
    <w:div w:id="1007709735">
      <w:bodyDiv w:val="1"/>
      <w:marLeft w:val="0"/>
      <w:marRight w:val="0"/>
      <w:marTop w:val="0"/>
      <w:marBottom w:val="0"/>
      <w:divBdr>
        <w:top w:val="none" w:sz="0" w:space="0" w:color="auto"/>
        <w:left w:val="none" w:sz="0" w:space="0" w:color="auto"/>
        <w:bottom w:val="none" w:sz="0" w:space="0" w:color="auto"/>
        <w:right w:val="none" w:sz="0" w:space="0" w:color="auto"/>
      </w:divBdr>
    </w:div>
    <w:div w:id="1177308551">
      <w:bodyDiv w:val="1"/>
      <w:marLeft w:val="0"/>
      <w:marRight w:val="0"/>
      <w:marTop w:val="0"/>
      <w:marBottom w:val="0"/>
      <w:divBdr>
        <w:top w:val="none" w:sz="0" w:space="0" w:color="auto"/>
        <w:left w:val="none" w:sz="0" w:space="0" w:color="auto"/>
        <w:bottom w:val="none" w:sz="0" w:space="0" w:color="auto"/>
        <w:right w:val="none" w:sz="0" w:space="0" w:color="auto"/>
      </w:divBdr>
    </w:div>
    <w:div w:id="1243415007">
      <w:bodyDiv w:val="1"/>
      <w:marLeft w:val="0"/>
      <w:marRight w:val="0"/>
      <w:marTop w:val="0"/>
      <w:marBottom w:val="0"/>
      <w:divBdr>
        <w:top w:val="none" w:sz="0" w:space="0" w:color="auto"/>
        <w:left w:val="none" w:sz="0" w:space="0" w:color="auto"/>
        <w:bottom w:val="none" w:sz="0" w:space="0" w:color="auto"/>
        <w:right w:val="none" w:sz="0" w:space="0" w:color="auto"/>
      </w:divBdr>
    </w:div>
    <w:div w:id="1277060674">
      <w:bodyDiv w:val="1"/>
      <w:marLeft w:val="0"/>
      <w:marRight w:val="0"/>
      <w:marTop w:val="0"/>
      <w:marBottom w:val="0"/>
      <w:divBdr>
        <w:top w:val="none" w:sz="0" w:space="0" w:color="auto"/>
        <w:left w:val="none" w:sz="0" w:space="0" w:color="auto"/>
        <w:bottom w:val="none" w:sz="0" w:space="0" w:color="auto"/>
        <w:right w:val="none" w:sz="0" w:space="0" w:color="auto"/>
      </w:divBdr>
    </w:div>
    <w:div w:id="1361978514">
      <w:bodyDiv w:val="1"/>
      <w:marLeft w:val="0"/>
      <w:marRight w:val="0"/>
      <w:marTop w:val="0"/>
      <w:marBottom w:val="0"/>
      <w:divBdr>
        <w:top w:val="none" w:sz="0" w:space="0" w:color="auto"/>
        <w:left w:val="none" w:sz="0" w:space="0" w:color="auto"/>
        <w:bottom w:val="none" w:sz="0" w:space="0" w:color="auto"/>
        <w:right w:val="none" w:sz="0" w:space="0" w:color="auto"/>
      </w:divBdr>
    </w:div>
    <w:div w:id="1398623675">
      <w:bodyDiv w:val="1"/>
      <w:marLeft w:val="0"/>
      <w:marRight w:val="0"/>
      <w:marTop w:val="0"/>
      <w:marBottom w:val="0"/>
      <w:divBdr>
        <w:top w:val="none" w:sz="0" w:space="0" w:color="auto"/>
        <w:left w:val="none" w:sz="0" w:space="0" w:color="auto"/>
        <w:bottom w:val="none" w:sz="0" w:space="0" w:color="auto"/>
        <w:right w:val="none" w:sz="0" w:space="0" w:color="auto"/>
      </w:divBdr>
    </w:div>
    <w:div w:id="1517574117">
      <w:bodyDiv w:val="1"/>
      <w:marLeft w:val="0"/>
      <w:marRight w:val="0"/>
      <w:marTop w:val="0"/>
      <w:marBottom w:val="0"/>
      <w:divBdr>
        <w:top w:val="none" w:sz="0" w:space="0" w:color="auto"/>
        <w:left w:val="none" w:sz="0" w:space="0" w:color="auto"/>
        <w:bottom w:val="none" w:sz="0" w:space="0" w:color="auto"/>
        <w:right w:val="none" w:sz="0" w:space="0" w:color="auto"/>
      </w:divBdr>
    </w:div>
    <w:div w:id="1740130038">
      <w:bodyDiv w:val="1"/>
      <w:marLeft w:val="0"/>
      <w:marRight w:val="0"/>
      <w:marTop w:val="0"/>
      <w:marBottom w:val="0"/>
      <w:divBdr>
        <w:top w:val="none" w:sz="0" w:space="0" w:color="auto"/>
        <w:left w:val="none" w:sz="0" w:space="0" w:color="auto"/>
        <w:bottom w:val="none" w:sz="0" w:space="0" w:color="auto"/>
        <w:right w:val="none" w:sz="0" w:space="0" w:color="auto"/>
      </w:divBdr>
    </w:div>
    <w:div w:id="1749646932">
      <w:bodyDiv w:val="1"/>
      <w:marLeft w:val="0"/>
      <w:marRight w:val="0"/>
      <w:marTop w:val="0"/>
      <w:marBottom w:val="0"/>
      <w:divBdr>
        <w:top w:val="none" w:sz="0" w:space="0" w:color="auto"/>
        <w:left w:val="none" w:sz="0" w:space="0" w:color="auto"/>
        <w:bottom w:val="none" w:sz="0" w:space="0" w:color="auto"/>
        <w:right w:val="none" w:sz="0" w:space="0" w:color="auto"/>
      </w:divBdr>
    </w:div>
    <w:div w:id="1829443680">
      <w:bodyDiv w:val="1"/>
      <w:marLeft w:val="0"/>
      <w:marRight w:val="0"/>
      <w:marTop w:val="0"/>
      <w:marBottom w:val="0"/>
      <w:divBdr>
        <w:top w:val="none" w:sz="0" w:space="0" w:color="auto"/>
        <w:left w:val="none" w:sz="0" w:space="0" w:color="auto"/>
        <w:bottom w:val="none" w:sz="0" w:space="0" w:color="auto"/>
        <w:right w:val="none" w:sz="0" w:space="0" w:color="auto"/>
      </w:divBdr>
    </w:div>
    <w:div w:id="1833183103">
      <w:bodyDiv w:val="1"/>
      <w:marLeft w:val="0"/>
      <w:marRight w:val="0"/>
      <w:marTop w:val="0"/>
      <w:marBottom w:val="0"/>
      <w:divBdr>
        <w:top w:val="none" w:sz="0" w:space="0" w:color="auto"/>
        <w:left w:val="none" w:sz="0" w:space="0" w:color="auto"/>
        <w:bottom w:val="none" w:sz="0" w:space="0" w:color="auto"/>
        <w:right w:val="none" w:sz="0" w:space="0" w:color="auto"/>
      </w:divBdr>
    </w:div>
    <w:div w:id="1876850629">
      <w:bodyDiv w:val="1"/>
      <w:marLeft w:val="0"/>
      <w:marRight w:val="0"/>
      <w:marTop w:val="0"/>
      <w:marBottom w:val="0"/>
      <w:divBdr>
        <w:top w:val="none" w:sz="0" w:space="0" w:color="auto"/>
        <w:left w:val="none" w:sz="0" w:space="0" w:color="auto"/>
        <w:bottom w:val="none" w:sz="0" w:space="0" w:color="auto"/>
        <w:right w:val="none" w:sz="0" w:space="0" w:color="auto"/>
      </w:divBdr>
    </w:div>
    <w:div w:id="1928659202">
      <w:bodyDiv w:val="1"/>
      <w:marLeft w:val="0"/>
      <w:marRight w:val="0"/>
      <w:marTop w:val="0"/>
      <w:marBottom w:val="0"/>
      <w:divBdr>
        <w:top w:val="none" w:sz="0" w:space="0" w:color="auto"/>
        <w:left w:val="none" w:sz="0" w:space="0" w:color="auto"/>
        <w:bottom w:val="none" w:sz="0" w:space="0" w:color="auto"/>
        <w:right w:val="none" w:sz="0" w:space="0" w:color="auto"/>
      </w:divBdr>
    </w:div>
    <w:div w:id="1952466206">
      <w:bodyDiv w:val="1"/>
      <w:marLeft w:val="0"/>
      <w:marRight w:val="0"/>
      <w:marTop w:val="0"/>
      <w:marBottom w:val="0"/>
      <w:divBdr>
        <w:top w:val="none" w:sz="0" w:space="0" w:color="auto"/>
        <w:left w:val="none" w:sz="0" w:space="0" w:color="auto"/>
        <w:bottom w:val="none" w:sz="0" w:space="0" w:color="auto"/>
        <w:right w:val="none" w:sz="0" w:space="0" w:color="auto"/>
      </w:divBdr>
    </w:div>
    <w:div w:id="206008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3912A-036A-4D65-9162-5465C382D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inesec</dc:creator>
  <cp:keywords/>
  <dc:description/>
  <cp:lastModifiedBy>ievak</cp:lastModifiedBy>
  <cp:revision>7</cp:revision>
  <cp:lastPrinted>2010-05-17T07:23:00Z</cp:lastPrinted>
  <dcterms:created xsi:type="dcterms:W3CDTF">2013-08-23T06:58:00Z</dcterms:created>
  <dcterms:modified xsi:type="dcterms:W3CDTF">2013-08-23T07:05:00Z</dcterms:modified>
</cp:coreProperties>
</file>