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2D" w:rsidRPr="00853F2D" w:rsidRDefault="00850AFC" w:rsidP="00853F2D">
      <w:pPr>
        <w:spacing w:before="100" w:beforeAutospacing="1" w:after="100" w:afterAutospacing="1" w:line="360" w:lineRule="auto"/>
        <w:ind w:firstLine="300"/>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Projektu iesniegumu vērtēšanas kritēriji (veidlapa)</w:t>
      </w:r>
    </w:p>
    <w:tbl>
      <w:tblPr>
        <w:tblW w:w="539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88"/>
        <w:gridCol w:w="6087"/>
        <w:gridCol w:w="71"/>
        <w:gridCol w:w="1060"/>
        <w:gridCol w:w="147"/>
        <w:gridCol w:w="1558"/>
      </w:tblGrid>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shd w:val="clear" w:color="auto" w:fill="B3B3B3"/>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Nr.</w:t>
            </w:r>
            <w:r w:rsidRPr="00853F2D">
              <w:rPr>
                <w:rFonts w:ascii="Times New Roman" w:eastAsia="Times New Roman" w:hAnsi="Times New Roman" w:cs="Times New Roman"/>
                <w:b/>
                <w:bCs/>
                <w:color w:val="414142"/>
                <w:sz w:val="24"/>
                <w:szCs w:val="24"/>
                <w:lang w:eastAsia="lv-LV"/>
              </w:rPr>
              <w:br/>
              <w:t>p.k.</w:t>
            </w:r>
          </w:p>
        </w:tc>
        <w:tc>
          <w:tcPr>
            <w:tcW w:w="3138" w:type="pct"/>
            <w:gridSpan w:val="2"/>
            <w:tcBorders>
              <w:top w:val="outset" w:sz="6" w:space="0" w:color="414142"/>
              <w:left w:val="outset" w:sz="6" w:space="0" w:color="414142"/>
              <w:bottom w:val="outset" w:sz="6" w:space="0" w:color="414142"/>
              <w:right w:val="outset" w:sz="6" w:space="0" w:color="414142"/>
            </w:tcBorders>
            <w:shd w:val="clear" w:color="auto" w:fill="B3B3B3"/>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Kritērijs</w:t>
            </w:r>
          </w:p>
        </w:tc>
        <w:tc>
          <w:tcPr>
            <w:tcW w:w="1409" w:type="pct"/>
            <w:gridSpan w:val="3"/>
            <w:tcBorders>
              <w:top w:val="outset" w:sz="6" w:space="0" w:color="414142"/>
              <w:left w:val="outset" w:sz="6" w:space="0" w:color="414142"/>
              <w:bottom w:val="outset" w:sz="6" w:space="0" w:color="414142"/>
              <w:right w:val="outset" w:sz="6" w:space="0" w:color="414142"/>
            </w:tcBorders>
            <w:shd w:val="clear" w:color="auto" w:fill="B3B3B3"/>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Vērtējums</w:t>
            </w:r>
          </w:p>
        </w:tc>
      </w:tr>
      <w:tr w:rsidR="00853F2D" w:rsidRPr="00853F2D" w:rsidTr="00853F2D">
        <w:tc>
          <w:tcPr>
            <w:tcW w:w="3591" w:type="pct"/>
            <w:gridSpan w:val="3"/>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1. KVALITĀTES KRITĒRIJI</w:t>
            </w:r>
          </w:p>
        </w:tc>
        <w:tc>
          <w:tcPr>
            <w:tcW w:w="1409" w:type="pct"/>
            <w:gridSpan w:val="3"/>
            <w:tcBorders>
              <w:top w:val="outset" w:sz="6" w:space="0" w:color="414142"/>
              <w:left w:val="outset" w:sz="6" w:space="0" w:color="414142"/>
              <w:bottom w:val="outset" w:sz="6" w:space="0" w:color="414142"/>
              <w:right w:val="outset" w:sz="6" w:space="0" w:color="414142"/>
            </w:tcBorders>
            <w:shd w:val="clear" w:color="auto" w:fill="C0C0C0"/>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Vērtējums punktos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gatavības stadija:</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794" w:type="pct"/>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Jāiegūst vismaz 1 punkts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1.1.</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iesniedzējs nav sagatavojis tehniskās specifikācijas būvdarbu līgumu iepirkuma izsludināšanai saskaņā ar iepirkumu regulējošajiem tiesību aktiem, un nav izstrādāts un tiesību aktos paredzētajā kārtībā akceptēts tehniskais projekts vismaz vienam projekta plānotajam būvdarbu iepirkuma līgumam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42"/>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0</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1.2.</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sagatavota tehniskā specifikācija apvienotā būvdarbu un projektēšanas iepirkuma izsludināšanai saskaņā ar iepirkumu regulējošajiem tiesību aktiem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42"/>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1.3.</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izstrādāts un tiesību aktos paredzētajā kārtībā akceptēts tehniskais projekts vismaz vienam projektā plānotajam būvdarbu iepirkumam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42"/>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rPr>
          <w:trHeight w:val="793"/>
        </w:trPr>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1.4.</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izstrādāts un tiesību aktos paredzētajā kārtībā akceptēts tehniskais projekts visiem projektā plānotajiem būvdarbu iepirkumiem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42"/>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ieviešanas efektivitāte attiecībā uz tiešu ūdenssaimniecības infrastruktūras uzlabošanu:</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794" w:type="pct"/>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Jāiegūst vismaz 1 punkts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2.1.</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autoruzraudzības un būvuzraudzības attiecināmo izmaksu summa lielāka par 3,5 procentiem no projekta iesniegumā plānotajām kopējām attiecināmajām izmaksām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0</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2.2.</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autoruzraudzības un būvuzraudzības attiecināmo izmaksu summa no 3 līdz 3,5 (ieskaitot) procentiem no projekta iesniegumā plānotajām kopējām attiecināmajām izmaksām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2.3.</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autoruzraudzības un būvuzraudzības attiecināmo izmaksu summa no 2,5 līdz 3 procentiem (neieskaitot) no projekta iesniegumā plānotajām kopējām attiecināmajām izmaksām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2.4.</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autoruzraudzības un būvuzraudzības attiecināmo izmaksu summa ir mazāka par 2,5 procentiem no projekta iesniegumā plānotajām kopējām attiecināmajām izmaksām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īstenošanas risku izvērtējums, tai skaitā novērtēts iespējamais izmaksu pieaugums:</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794" w:type="pct"/>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Jāiegūst vismaz 1 </w:t>
            </w:r>
            <w:r w:rsidRPr="00853F2D">
              <w:rPr>
                <w:rFonts w:ascii="Times New Roman" w:eastAsia="Times New Roman" w:hAnsi="Times New Roman" w:cs="Times New Roman"/>
                <w:color w:val="414142"/>
                <w:sz w:val="24"/>
                <w:szCs w:val="24"/>
                <w:lang w:eastAsia="lv-LV"/>
              </w:rPr>
              <w:lastRenderedPageBreak/>
              <w:t>punkts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3.1.</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nav veikts iespējamo risku izvērtējums</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0</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3.2.</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iespējamo risku izvērtējums veikts nepilnīgi, pasākumu plāns identificēto risku novēršanai nav izstrādāts vai izstrādāts nepilnīgi</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3.3.</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ir veikts kvalitatīvs iespējamo risku izvērtējums, pasākumu plāns identificēto risku novēršanai vai samazināšanai izstrādāts nepilnīgi</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3.4.</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ir veikts kvalitatīvs iespējamo risku izvērtējums, izstrādāts pamatots pasākumu plāns identificēto risku novēršanai vai samazināšanai</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ir veikta iespējamo alternatīvu (finanšu, tehnoloģiskais, tehniskais risinājums) analīze un projekta ekonomiskā analīze:</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794" w:type="pct"/>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Jāiegūst vismaz 1 punkts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4.1.</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nav veikta alternatīvu analīze un projekta ekonomiskā analīze</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0</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4.2.</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analīze veikta tikai vienam no parametriem (tikai alternatīvu analīze vai tikai ekonomiskā analīze)</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4.3.</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veikta alternatīvu analīze un projekta ekonomiskā analīze, kas pamatota ar skaitliskiem aprēķiniem un pamato piedāvātās alternatīvas izvēli</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4.4.</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veikta alternatīvu analīze un projekta ekonomiskā analīze, kas pamatota ar skaitliskiem aprēķiniem un pamato piedāvātās alternatīvas izvēli, un izvēlētā alternatīva ir ar viszemākajām izmaksām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5.</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Izmaksu atdeves novērtējuma rādītājs (iedzīvotāju skaits, kuriem projekta īstenošanas rezultātā tiks uzlabota ūdenssaimniecības pakalpojumu kvalitāte un nodrošināta to pieejamība attiecībā pret sākotnējām kopējām izmaksām):</w:t>
            </w:r>
            <w:r w:rsidRPr="00853F2D">
              <w:rPr>
                <w:rFonts w:ascii="Times New Roman" w:eastAsia="Times New Roman" w:hAnsi="Times New Roman" w:cs="Times New Roman"/>
                <w:color w:val="414142"/>
                <w:sz w:val="24"/>
                <w:szCs w:val="24"/>
                <w:lang w:eastAsia="lv-LV"/>
              </w:rPr>
              <w:br/>
              <w:t>Piezīme. Vidējo projektu iesniegumu atlases kārtas izmaksu atdeves novērtējuma rādītāju aprēķina attiecībā uz projektu iesniegumiem, kuri atbilst administratīvajiem un atbilstības kritērijiem - projektu izmaksu atdeves novērtējuma rādītāju summa attiecībā pret atlases kārtas projektu iesniegumu skaitu.</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794" w:type="pct"/>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Kritērijs dod papildu punktus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5.1.</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izmaksu atdeves novērtējuma rādītājs ir mazāks par vidējo projektu iesniegumu atlases kārtas izmaksu atdeves novērtējuma rādītāju, un to starpība ir lielāka par 20 procentiem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5.2.</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izmaksu atdeves novērtējuma rādītājs ir mazāks par vidējo projektu iesniegumu atlases kārtas izmaksu atdeves novērtējuma rādītāju, un to starpība ir no 10 līdz 20 procentiem (ieskaitot)</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5.3.</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izmaksu atdeves novērtējuma rādītājs ir vienāds ar vidējo projektu iesniegumu atlases kārtas izmaksu atdeves novērtējuma rādītāju, to pārsniedz par 10 procentiem vai ir par 10 procentiem mazāks par to</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5.4.</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projekta izmaksu atdeves novērtējuma rādītājs ir lielāks </w:t>
            </w:r>
            <w:r w:rsidRPr="00853F2D">
              <w:rPr>
                <w:rFonts w:ascii="Times New Roman" w:eastAsia="Times New Roman" w:hAnsi="Times New Roman" w:cs="Times New Roman"/>
                <w:color w:val="414142"/>
                <w:sz w:val="24"/>
                <w:szCs w:val="24"/>
                <w:lang w:eastAsia="lv-LV"/>
              </w:rPr>
              <w:lastRenderedPageBreak/>
              <w:t>par vidējo projektu iesniegumu atlases kārtas izmaksu atdeves novērtējuma rādītāju, un to starpība ir no 10 līdz 20 procentiem (ieskaitot)</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4</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5.5.</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izmaksu atdeves novērtējuma rādītājs ir lielāks par vidējo projektu iesniegumu atlases kārtas izmaksu atdeves novērtējuma rādītāju, un to starpība ir lielāka par 20 procentiem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5</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6.</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Ilgtermiņa ieguldījumu novērtējums ūdenssaimniecības sistēmai pēc projekta īstenošanas:</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794" w:type="pct"/>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Jāiegūst vismaz 1 punkts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6.1.</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nav veikts novērtējums par plānotajiem ilgtermiņa ieguldījumiem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0</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6.2.</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ilgtermiņa ieguldījumi plānoti termiņā, kas ir īsāks par 5 gadiem</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6.3.</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ilgtermiņa ieguldījumi plānoti termiņā no 5 līdz 10 gadiem (ieskaitot)</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6.4.</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ilgtermiņa ieguldījumi plānoti termiņā, kas pārsniedz 10 gadus</w:t>
            </w:r>
          </w:p>
        </w:tc>
        <w:tc>
          <w:tcPr>
            <w:tcW w:w="61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w:t>
            </w:r>
          </w:p>
        </w:tc>
        <w:tc>
          <w:tcPr>
            <w:tcW w:w="794" w:type="pct"/>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3591" w:type="pct"/>
            <w:gridSpan w:val="3"/>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 xml:space="preserve">1.1. </w:t>
            </w:r>
            <w:r w:rsidRPr="00853F2D">
              <w:rPr>
                <w:rFonts w:ascii="Times New Roman" w:eastAsia="Times New Roman" w:hAnsi="Times New Roman" w:cs="Times New Roman"/>
                <w:b/>
                <w:bCs/>
                <w:caps/>
                <w:color w:val="414142"/>
                <w:sz w:val="24"/>
                <w:szCs w:val="24"/>
                <w:lang w:eastAsia="lv-LV"/>
              </w:rPr>
              <w:t>kritēriji paR horizontālām prioritātēm</w:t>
            </w:r>
          </w:p>
        </w:tc>
        <w:tc>
          <w:tcPr>
            <w:tcW w:w="1409" w:type="pct"/>
            <w:gridSpan w:val="3"/>
            <w:tcBorders>
              <w:top w:val="outset" w:sz="6" w:space="0" w:color="414142"/>
              <w:left w:val="outset" w:sz="6" w:space="0" w:color="414142"/>
              <w:bottom w:val="outset" w:sz="6" w:space="0" w:color="414142"/>
              <w:right w:val="outset" w:sz="6" w:space="0" w:color="414142"/>
            </w:tcBorders>
            <w:shd w:val="clear" w:color="auto" w:fill="C0C0C0"/>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Vērtējums punktos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7.</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iesniedzēja finansiālais ieguldījums projekta realizācijā (</w:t>
            </w:r>
            <w:r w:rsidRPr="00853F2D">
              <w:rPr>
                <w:rFonts w:ascii="Times New Roman" w:eastAsia="Times New Roman" w:hAnsi="Times New Roman" w:cs="Times New Roman"/>
                <w:i/>
                <w:iCs/>
                <w:color w:val="414142"/>
                <w:sz w:val="24"/>
                <w:szCs w:val="24"/>
                <w:lang w:eastAsia="lv-LV"/>
              </w:rPr>
              <w:t>Makroekonomiskā stabilitāte</w:t>
            </w:r>
            <w:r w:rsidRPr="00853F2D">
              <w:rPr>
                <w:rFonts w:ascii="Times New Roman" w:eastAsia="Times New Roman" w:hAnsi="Times New Roman" w:cs="Times New Roman"/>
                <w:color w:val="414142"/>
                <w:sz w:val="24"/>
                <w:szCs w:val="24"/>
                <w:lang w:eastAsia="lv-LV"/>
              </w:rPr>
              <w:t>):</w:t>
            </w:r>
          </w:p>
        </w:tc>
        <w:tc>
          <w:tcPr>
            <w:tcW w:w="540"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Kritērijs dod papildu punktus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7.1.</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mazāk nekā 5 procenti no projekta attiecināmajām izmaksām</w:t>
            </w:r>
          </w:p>
        </w:tc>
        <w:tc>
          <w:tcPr>
            <w:tcW w:w="540"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7.2.</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no 5 līdz 10 procentiem (ieskaitot) no projekta attiecināmajām izmaksām</w:t>
            </w:r>
          </w:p>
        </w:tc>
        <w:tc>
          <w:tcPr>
            <w:tcW w:w="540"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7.3.</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vairāk nekā 10 procenti no projekta attiecināmajām izmaksām</w:t>
            </w:r>
          </w:p>
        </w:tc>
        <w:tc>
          <w:tcPr>
            <w:tcW w:w="540"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8.</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īstenošanas vietas teritorijas attīstības indekss (</w:t>
            </w:r>
            <w:r w:rsidRPr="00853F2D">
              <w:rPr>
                <w:rFonts w:ascii="Times New Roman" w:eastAsia="Times New Roman" w:hAnsi="Times New Roman" w:cs="Times New Roman"/>
                <w:i/>
                <w:iCs/>
                <w:color w:val="414142"/>
                <w:sz w:val="24"/>
                <w:szCs w:val="24"/>
                <w:lang w:eastAsia="lv-LV"/>
              </w:rPr>
              <w:t>Teritorijas līdzsvarota attīstība</w:t>
            </w:r>
            <w:r w:rsidRPr="00853F2D">
              <w:rPr>
                <w:rFonts w:ascii="Times New Roman" w:eastAsia="Times New Roman" w:hAnsi="Times New Roman" w:cs="Times New Roman"/>
                <w:color w:val="414142"/>
                <w:sz w:val="24"/>
                <w:szCs w:val="24"/>
                <w:lang w:eastAsia="lv-LV"/>
              </w:rPr>
              <w:t>):</w:t>
            </w:r>
          </w:p>
        </w:tc>
        <w:tc>
          <w:tcPr>
            <w:tcW w:w="540"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Kritērijs dod papildu punktus</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8.1.</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teritorijas attīstības indekss lielāks par +0,33</w:t>
            </w:r>
          </w:p>
        </w:tc>
        <w:tc>
          <w:tcPr>
            <w:tcW w:w="540"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8.2.</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teritorijas attīstības indekss no -0,74 līdz +0,33 (ieskaitot)</w:t>
            </w:r>
          </w:p>
        </w:tc>
        <w:tc>
          <w:tcPr>
            <w:tcW w:w="540"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8.3.</w:t>
            </w:r>
          </w:p>
        </w:tc>
        <w:tc>
          <w:tcPr>
            <w:tcW w:w="3138"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teritorijas attīstības indekss mazāks par -0,75</w:t>
            </w:r>
          </w:p>
        </w:tc>
        <w:tc>
          <w:tcPr>
            <w:tcW w:w="540"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p>
        </w:tc>
      </w:tr>
      <w:tr w:rsidR="00853F2D" w:rsidRPr="00853F2D" w:rsidTr="00853F2D">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2. ATBILSTĪBAS KRITĒRIJI</w:t>
            </w:r>
          </w:p>
        </w:tc>
      </w:tr>
      <w:tr w:rsidR="00853F2D" w:rsidRPr="00853F2D" w:rsidTr="00853F2D">
        <w:tc>
          <w:tcPr>
            <w:tcW w:w="355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2.1. Projekta iesniedzēja atbilstības kritēriji</w:t>
            </w:r>
          </w:p>
        </w:tc>
        <w:tc>
          <w:tcPr>
            <w:tcW w:w="576"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rsidR="00853F2D" w:rsidRPr="00853F2D" w:rsidRDefault="00853F2D" w:rsidP="00853F2D">
            <w:pPr>
              <w:spacing w:before="100" w:beforeAutospacing="1" w:after="100" w:afterAutospacing="1" w:line="360" w:lineRule="auto"/>
              <w:ind w:firstLine="42"/>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Jā/Nē/NA</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9.</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iesniedzējs sniedz sabiedriskos pakalpojumus Ministru kabineta 2007.gada 4.decembra noteikumu Nr.836 ''Noteikumi par darbības programmas "Infrastruktūra un pakalpojumi" papildinājuma 3.5.1.1.aktivitāti "Ūdenssaimniecības infrastruktūras attīstība aglomerācijās ar cilvēku ekvivalentu, lielāku par 2000"" 2.pielikumā iekļautā projekta īstenošanas teritorijā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10.</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Ar pašvaldību ir noslēgts līgums, ja sabiedrisko ūdenssaimniecības pakalpojumu sniedz kapitālsabiedrība. </w:t>
            </w:r>
            <w:r w:rsidRPr="00853F2D">
              <w:rPr>
                <w:rFonts w:ascii="Times New Roman" w:eastAsia="Times New Roman" w:hAnsi="Times New Roman" w:cs="Times New Roman"/>
                <w:color w:val="414142"/>
                <w:sz w:val="24"/>
                <w:szCs w:val="24"/>
                <w:lang w:eastAsia="lv-LV"/>
              </w:rPr>
              <w:lastRenderedPageBreak/>
              <w:t>Līgumā norādīti: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 </w:t>
            </w: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 (NA)</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10.1.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konkrēti sniedzamie ūdenssaimniecības sabiedriskie pakalpojumi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10.2.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prasība ūdenssaimniecības sabiedrisko pakalpojumu sniedzējam par nepieciešamā tehniskā aprīkojuma uzturēšanu un atjaunošanu, lai nodrošinātu minēto pakalpojumu izpildi saskaņā ar katram konkrētajam pakalpojumam izvirzītajām prasībām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10.3.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līguma darbības laiks, kas nav mazāks par 5 gadiem un nepārsniedz 10 gadus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10.4.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ūdenssaimniecības sabiedrisko pakalpojumu sniegšanas teritorija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10.5.</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ūdenssaimniecības sabiedrisko pakalpojumu sniedzējam piešķirtās ekskluzīvās vai īpašās tiesības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10.6.</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iespējas saņemt atlīdzības (kompensācijas) </w:t>
            </w:r>
            <w:r>
              <w:rPr>
                <w:rFonts w:ascii="Times New Roman" w:eastAsia="Times New Roman" w:hAnsi="Times New Roman" w:cs="Times New Roman"/>
                <w:color w:val="414142"/>
                <w:sz w:val="24"/>
                <w:szCs w:val="24"/>
                <w:lang w:eastAsia="lv-LV"/>
              </w:rPr>
              <w:t>maksājumus</w:t>
            </w:r>
            <w:r w:rsidRPr="00853F2D">
              <w:rPr>
                <w:rFonts w:ascii="Times New Roman" w:eastAsia="Times New Roman" w:hAnsi="Times New Roman" w:cs="Times New Roman"/>
                <w:color w:val="414142"/>
                <w:sz w:val="24"/>
                <w:szCs w:val="24"/>
                <w:lang w:eastAsia="lv-LV"/>
              </w:rPr>
              <w:t>- investīcijas sabiedrisko ūdenssaimniecības pakalpojumu sniegšanas infrastruktūrā - un nosacījumi atlīdzības (kompensācijas) maksājumu aprēķināšanai, kontrolei un pārskatīšanai, kā arī atlīdzības (kompensācijas) maksājumu pārmaksas novēršanai un atmaksāšanai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10.7.</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pieņemts pārvaldes lēmums par ūdenssaimniecības sabiedrisko pakalpojumu sniegšanu, kura darbības laiks nepārsniedz 10 gadus, ja sabiedrisko ūdenssaimniecības pakalpojumu sniedz pašvaldība vai tās iestāde. Pārvaldes lēmumā norādīti: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 (NA)</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11.1.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konkrēti sniedzamie ūdenssaimniecības sabiedriskie pakalpojumi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11.2.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ūdenssaimniecības sabiedrisko pakalpojumu sniegšanas teritorija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11.3.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ūdenssaimniecības sabiedrisko pakalpojumu tarifi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11.4.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Ir izdoti pašvaldības saistošie noteikumi par ūdenssaimniecības sabiedrisko pakalpojumu sniegšanu, ja </w:t>
            </w:r>
            <w:r w:rsidRPr="00853F2D">
              <w:rPr>
                <w:rFonts w:ascii="Times New Roman" w:eastAsia="Times New Roman" w:hAnsi="Times New Roman" w:cs="Times New Roman"/>
                <w:color w:val="414142"/>
                <w:sz w:val="24"/>
                <w:szCs w:val="24"/>
                <w:lang w:eastAsia="lv-LV"/>
              </w:rPr>
              <w:lastRenderedPageBreak/>
              <w:t>sabiedrisko pakalpojumu sniedz pašvaldības aģentūra. Pašvaldības saistošajos noteikumos norādītas: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 </w:t>
            </w: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 (NA)</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12.1.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pašvaldības aģentūrai uzdotās funkcijas ūdenssaimniecības sabiedrisko pakalpojumu sniegšanā, tai skaitā konkrēti sniedzamie ūdenssaimniecības sabiedriskie pakalpojumi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12.2.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ūdenssaimniecības sabiedrisko pakalpojumu sniegšanas teritorija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12.3.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ūdenssaimniecības sabiedrisko pakalpojumu tarifi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12.4.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prasība ūdenssaimniecības sabiedrisko pakalpojumu sniedzējam uzturēt un atjaunot nepieciešamo tehnisko aprīkojumu, lai minētos pakalpojumus varētu sniegt atbilstoši katram konkrētajam pakalpojumam noteiktajām prasībām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12.5.</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sabiedrisko pakalpojumu sniegšanas laiks, kas nepārsniedz 10 gadus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12.6.</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ūdenssaimniecības sabiedrisko pakalpojumu sniedzējam piešķirtās ekskluzīvās vai īpašās tiesības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12.7.</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iespējas saņemt atlīdzības (kompensācijas) maksājumus - investīcijas sabiedrisko pakalpojumu sniegšanas infrastruktūrā - un nosacījumi atlīdzības (kompensācijas) maksājumu aprēķināšanai, kontrolei un pārskatīšanai, kā arī atlīdzības (kompensācijas) maksājumu pārmaksas novēršanai un atmaksāšanai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12.8.</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atsauce uz 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iesniedzējam projekta iesnieguma iesniegšanas mēneša pirmajā darbdienā nav nodokļu parādu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14.1.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apliecinājis, ka infrastruktūra, kas nepieciešama ūdenssaimniecības sabiedrisko pakalpojumu sniegšanai, atrodas projekta iesniedzēja īpašumā, ja projekta iesniedzējs ir pašvaldība vai tās iestāde</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(NA)</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14.2.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apliecinājis, ka infrastruktūra, kas nepieciešama ūdenssaimniecības sabiedrisko pakalpojumu sniegšanai, ir projekta iesniedzēja valdījumā, ja projekta iesniedzējs ir pašvaldības aģentūra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(NA)</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14.3.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atbilstoši pašvaldības un kapitālsabiedrības noslēgtajam līgumam ir norādījis, ka projekta iesniedzēja īpašumā ir visa infrastruktūra ūdenssaimniecības sabiedrisko </w:t>
            </w:r>
            <w:r w:rsidRPr="00853F2D">
              <w:rPr>
                <w:rFonts w:ascii="Times New Roman" w:eastAsia="Times New Roman" w:hAnsi="Times New Roman" w:cs="Times New Roman"/>
                <w:color w:val="414142"/>
                <w:sz w:val="24"/>
                <w:szCs w:val="24"/>
                <w:lang w:eastAsia="lv-LV"/>
              </w:rPr>
              <w:lastRenderedPageBreak/>
              <w:t>pakalpojumu sniegšanai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lastRenderedPageBreak/>
              <w:t>(NA)</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14.</w:t>
            </w:r>
            <w:r w:rsidRPr="00853F2D">
              <w:rPr>
                <w:rFonts w:ascii="Times New Roman" w:eastAsia="Times New Roman" w:hAnsi="Times New Roman" w:cs="Times New Roman"/>
                <w:color w:val="414142"/>
                <w:sz w:val="24"/>
                <w:szCs w:val="24"/>
                <w:vertAlign w:val="superscript"/>
                <w:lang w:eastAsia="lv-LV"/>
              </w:rPr>
              <w:t>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Projekts netiek un nav ticis finansēts vai līdzfinansēts no citiem Eiropas Savienības finanšu avotiem vai valsts un pašvaldību budžeta līdzekļiem, kā arī projekta ietvaros plānotās darbības nepārklājas ar darbībām, kas tiek finansētas citu Eiropas Savienības struktūrfondu aktivitāšu un citu finanšu instrumentu ietvaros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15.</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iesniedzējs ir apliecinājis, ka tam ar tiesas spriedumu nav pasludināts maksātnespējas process vai ar tiesas spriedumu netiek īstenots tiesiskās aizsardzības process, vai ar tiesas lēmumu netiek īstenots ārpustiesas tiesiskās aizsardzības process, projekta iesniedzējs neatrodas sanācijas procesā, tam netiek veikta bankrota procedūra, piemērots izlīgums vai tā saimnieciskā darbība nav izbeigta, vai saskaņā ar komercreģistrā pieejamo informāciju tas neatrodas likvidācijas procesā, kā arī saskaņā ar pēdējo divu noslēgto finanšu gadu finanšu pārskatiem tam nav novērojamas grūtībās nonākuša saimnieciskās darbības veicēja pazīmes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16.</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iesniedzēja finanšu situācijas novērtējums apliecina saimnieciskās darbības veicēja finansiālo stabilitāti pēc projekta realizācijas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16.</w:t>
            </w:r>
            <w:r w:rsidRPr="00853F2D">
              <w:rPr>
                <w:rFonts w:ascii="Times New Roman" w:eastAsia="Times New Roman" w:hAnsi="Times New Roman" w:cs="Times New Roman"/>
                <w:color w:val="414142"/>
                <w:sz w:val="24"/>
                <w:szCs w:val="24"/>
                <w:vertAlign w:val="superscript"/>
                <w:lang w:eastAsia="lv-LV"/>
              </w:rPr>
              <w:t>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Projekta iesniedzējs ir apliecinājis, ka kompensācija par sabiedriskā pakalpojuma sniegšanu nepārsniegs 15 miljonus </w:t>
            </w:r>
            <w:r w:rsidRPr="00853F2D">
              <w:rPr>
                <w:rFonts w:ascii="Times New Roman" w:eastAsia="Times New Roman" w:hAnsi="Times New Roman" w:cs="Times New Roman"/>
                <w:i/>
                <w:iCs/>
                <w:color w:val="414142"/>
                <w:sz w:val="24"/>
                <w:szCs w:val="24"/>
                <w:lang w:eastAsia="lv-LV"/>
              </w:rPr>
              <w:t>euro</w:t>
            </w:r>
            <w:r w:rsidRPr="00853F2D">
              <w:rPr>
                <w:rFonts w:ascii="Times New Roman" w:eastAsia="Times New Roman" w:hAnsi="Times New Roman" w:cs="Times New Roman"/>
                <w:color w:val="414142"/>
                <w:sz w:val="24"/>
                <w:szCs w:val="24"/>
                <w:lang w:eastAsia="lv-LV"/>
              </w:rPr>
              <w:t xml:space="preserve"> gadā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17.</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iesniedzējs ir apliecinājis, ka tam ir tiesības veikt būvdarbus zemesgabalos, kur projekta ietvaros paredzēti būvdarbi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17.</w:t>
            </w:r>
            <w:r w:rsidRPr="00853F2D">
              <w:rPr>
                <w:rFonts w:ascii="Times New Roman" w:eastAsia="Times New Roman" w:hAnsi="Times New Roman" w:cs="Times New Roman"/>
                <w:color w:val="414142"/>
                <w:sz w:val="24"/>
                <w:szCs w:val="24"/>
                <w:vertAlign w:val="superscript"/>
                <w:lang w:eastAsia="lv-LV"/>
              </w:rPr>
              <w:t>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Projekta iesniedzējs nav sodīts par </w:t>
            </w:r>
            <w:hyperlink r:id="rId4" w:tgtFrame="_blank" w:history="1">
              <w:r w:rsidRPr="00853F2D">
                <w:rPr>
                  <w:rFonts w:ascii="Times New Roman" w:eastAsia="Times New Roman" w:hAnsi="Times New Roman" w:cs="Times New Roman"/>
                  <w:color w:val="16497B"/>
                  <w:sz w:val="24"/>
                  <w:szCs w:val="24"/>
                  <w:lang w:eastAsia="lv-LV"/>
                </w:rPr>
                <w:t>Latvijas Administratīvo pārkāpumu kodeksa</w:t>
              </w:r>
            </w:hyperlink>
            <w:r w:rsidRPr="00853F2D">
              <w:rPr>
                <w:rFonts w:ascii="Times New Roman" w:eastAsia="Times New Roman" w:hAnsi="Times New Roman" w:cs="Times New Roman"/>
                <w:color w:val="414142"/>
                <w:sz w:val="24"/>
                <w:szCs w:val="24"/>
                <w:lang w:eastAsia="lv-LV"/>
              </w:rPr>
              <w:t xml:space="preserve"> 189.</w:t>
            </w:r>
            <w:r w:rsidRPr="00853F2D">
              <w:rPr>
                <w:rFonts w:ascii="Times New Roman" w:eastAsia="Times New Roman" w:hAnsi="Times New Roman" w:cs="Times New Roman"/>
                <w:color w:val="414142"/>
                <w:sz w:val="24"/>
                <w:szCs w:val="24"/>
                <w:vertAlign w:val="superscript"/>
                <w:lang w:eastAsia="lv-LV"/>
              </w:rPr>
              <w:t>2</w:t>
            </w:r>
            <w:r w:rsidRPr="00853F2D">
              <w:rPr>
                <w:rFonts w:ascii="Times New Roman" w:eastAsia="Times New Roman" w:hAnsi="Times New Roman" w:cs="Times New Roman"/>
                <w:color w:val="414142"/>
                <w:sz w:val="24"/>
                <w:szCs w:val="24"/>
                <w:lang w:eastAsia="lv-LV"/>
              </w:rPr>
              <w:t xml:space="preserve"> panta trešajā daļā minētā administratīvā pārkāpuma vai </w:t>
            </w:r>
            <w:hyperlink r:id="rId5" w:tgtFrame="_blank" w:history="1">
              <w:r w:rsidRPr="00853F2D">
                <w:rPr>
                  <w:rFonts w:ascii="Times New Roman" w:eastAsia="Times New Roman" w:hAnsi="Times New Roman" w:cs="Times New Roman"/>
                  <w:color w:val="16497B"/>
                  <w:sz w:val="24"/>
                  <w:szCs w:val="24"/>
                  <w:lang w:eastAsia="lv-LV"/>
                </w:rPr>
                <w:t>Krimināllikuma</w:t>
              </w:r>
            </w:hyperlink>
            <w:r w:rsidRPr="00853F2D">
              <w:rPr>
                <w:rFonts w:ascii="Times New Roman" w:eastAsia="Times New Roman" w:hAnsi="Times New Roman" w:cs="Times New Roman"/>
                <w:color w:val="414142"/>
                <w:sz w:val="24"/>
                <w:szCs w:val="24"/>
                <w:lang w:eastAsia="lv-LV"/>
              </w:rPr>
              <w:t xml:space="preserve"> 280.panta otrajā daļā minētā noziedzīgā nodarījuma izdarīšanu vai tam nav piemēroti piespiedu ietekmēšanas līdzekļi (ja projekta iesniedzējs ir privāto tiesību juridiskā persona) par minētā noziedzīgā nodarījuma izdarīšanu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17.</w:t>
            </w:r>
            <w:r w:rsidRPr="00853F2D">
              <w:rPr>
                <w:rFonts w:ascii="Times New Roman" w:eastAsia="Times New Roman" w:hAnsi="Times New Roman" w:cs="Times New Roman"/>
                <w:color w:val="414142"/>
                <w:sz w:val="24"/>
                <w:szCs w:val="24"/>
                <w:vertAlign w:val="superscript"/>
                <w:lang w:eastAsia="lv-LV"/>
              </w:rPr>
              <w:t>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iesniedzējs ir apliecinājis, ka piecu gadu laikā pēc projekta pabeigšanas tiks izveidoti pieslēgumi centrālajai kanalizācijas un ūdensapgādes sistēmai pilnā apjomā atbilstoši pakalpojumu pieejamībai saskaņā ar projekta tehniski ekonomisko pamatojumu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355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2.2. Kohēzijas fonda projekta atbilstība horizontālajai prioritātei - ilgtspējīga attīstība</w:t>
            </w:r>
          </w:p>
        </w:tc>
        <w:tc>
          <w:tcPr>
            <w:tcW w:w="576"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Jā/Nē</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18.</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īstenošana nodrošinās vides piesārņojuma samazināšanu vai normatīvajiem aktiem atbilstošas kvalitātes dzeramā ūdens nodrošināšanu iedzīvotājiem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19.</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īstenošana uzlabos ūdenssaimniecības infrastruktūras darbības efektivitāti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355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lastRenderedPageBreak/>
              <w:t>2.3. Projekta atbilstības kritēriji</w:t>
            </w:r>
          </w:p>
        </w:tc>
        <w:tc>
          <w:tcPr>
            <w:tcW w:w="576"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rsidR="00853F2D" w:rsidRPr="00853F2D" w:rsidRDefault="00853F2D" w:rsidP="00853F2D">
            <w:pPr>
              <w:spacing w:before="100" w:beforeAutospacing="1" w:after="100" w:afterAutospacing="1" w:line="360" w:lineRule="auto"/>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Jā/Nē/NA</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20.</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aprakstītās darbības atbilst normatīvajos aktos par aktivitātes īstenošanu noteiktajam aktivitātes mērķim - ūdensapgādes un notekūdeņu savākšanas un attīrīšanas kvalitātes uzlabošana un ūdenssaimniecības pakalpojumu pieejamības paplašināšana, nodrošinot kvalitatīvu dzīves vidi, samazinot vides piesārņojumu un ūdenstilpju eitrofikāciju, sekmējot ūdens resursu un energoresursu racionālu izmantošanu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aprakstītās darbības atbilst vismaz vienai no normatīvajos aktos par aktivitātes īstenošanu noteiktajām aktivitātes atbalstāmajām darbībām: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21.1.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kvalitatīva dzeramā ūdens piegādes nodrošināšana un ūdens resursu aizsardzība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21.2.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ar komunālajiem notekūdeņiem vidē novadītā piesārņojuma apjoma samazināšana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21.3.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ūdenssaimniecības pakalpojumu, kas atbilst normatīvajos aktos noteiktajiem ūdenssaimniecības pakalpojumu kvalitātes rādītājiem, pieejamības nodrošināšana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iekļautās attiecināmās izmaksas atbilst normatīvajos aktos par aktivitātes īstenošanu noteiktajām attiecināmajām izmaksām un to apjomam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iekļautās neattiecināmās izmaksas atbilst normatīvajos aktos par aktivitātes īstenošanu noteiktajām neattiecināmajām izmaksām un to apjomam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iekļautais projekta apraksts sniedz nepieciešamo informāciju par veicamajām darbībām: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24.1.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sniegts veicamo darbību tehniskais raksturojums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24.2.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norādīti rezultāta un iznākuma rādītāji un tie atbilst aktivitātes mērķim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24.3.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sniegts veicamo darbību izvietojums projekta īstenošanas teritorijā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24.4.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sniegti veicamo darbību ekonomiskie ieguvumi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24.5.</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sniegti veicamo darbību kvalitatīvie un kvantitatīvie vides ieguvumi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24.6.</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sniegti veicamo darbību kvalitatīvie un kvantitatīvie ieguldījumi ES un Latvijas Republikas normatīvo aktu prasību ieviešanā vides aizsardzības un ūdenssaimniecības jomā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24.7.</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aprakstīta principa "piesārņotājs maksā" ievērošana, īstenojot projektu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25.</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laika grafiks atbilst plānotajām projekta aktivitātēm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26.</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sniegtā informācija apliecina, ka projekta iesniedzējs nodrošinās projekta īstenošanas rezultātu ilgtspēju un uzturēšanu vismaz piecus gadus pēc projekta īstenošanas: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26.1.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atbilstoša institucionālā struktūra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26.2.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atbilstoši plānotas projekta rezultātā izbūvētās infrastruktūras ekspluatācijas un uzturēšanas izmaksas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26.3.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plānota atbilstoša tarifu politika, kas nodrošinās nepieciešamo ekspluatācijas izdevumu (aizņēmuma gadījumā - arī aizdevuma atmaksu) segšanu un iekļauj būtisku pamatlīdzekļu nolietojuma apjomu, kā arī ir pieejama patērētājam - mājsaimniecības vidējie mēneša maksājumi par ūdenssaimniecības pakalpojumiem nepārsniedz 4 % no vidējiem mājsaimniecības ikmēneša ienākumiem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26.4.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vai būs pieejams personāls, lai nodrošinātu projekta īstenošanas rezultātā radīto pamatlīdzekļu atbilstošu ekspluatāciju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27.</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norādītie būvdarbu un aprīkojuma piegādes rādītāji (piemēram, tīklu garums, infrastruktūras objekti, piegādājamā tehnika) atbilst projekta aprakstam un ietver galvenos darbus, kas raksturo izvirzīto projekta mērķu sasniegšanu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28.</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izmaksu un ieguvumu analīze veikta, piemērojot:</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28.1.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reālo sociālo diskonta likmi vai atbilstošu nominālo diskonta likmi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(NA)</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28.2.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reālo finansiālo diskonta likmi vai atbilstošu nominālo diskonta likmi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28.3.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atbilstošus konversijas faktoru rādītājus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28.4.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atbilstošas vidēja termiņa un ilgtermiņa prognozes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29.</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finanšu analīzes rezultāti apliecina projekta finansiālo stabilitāti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30.</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Pieprasītā Kohēzijas fonda finansējuma atbalsta intensitāte pamatota ar projekta izmaksu un ieguvumu analīzes rezultātiem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budžetā iekļautās izmaksas: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color w:val="414142"/>
                <w:sz w:val="24"/>
                <w:szCs w:val="24"/>
                <w:lang w:eastAsia="lv-LV"/>
              </w:rPr>
            </w:pP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31.1.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ietver visas projekta īstenošanai nepieciešamās izmaksu pozīcijas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31.2.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saskaņā ar būvdarbu tāmi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31.3.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samērīgas un pamatotas, norādīts, kā ir noteiktas projekta aktivitāšu ieviešanai nepieciešamās izmaksas (pieņēmumi izmaksu aprēķinam)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31.4.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ir tieši nepieciešamas projekta īstenošanai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31.5.</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atbilst prognozētajām tirgus cenām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naudas plūsmas prognoze:</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32.1.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parāda gan finansējuma pieprasījumu, gan izmaksu veikšanas prognozi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32.2.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atbilst plānotajam projekta īstenošanas laika grafikam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32.3.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atbilst projekta finanšu plānam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plānotā projekta ieviešana un plānotie cilvēkresursi nodrošina normatīvajos aktos par Eiropas Savienības fondu vadību un ieviešanu noteiktās finansējuma saņēmēja funkcijas: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33.1.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administratīvajai (piemēram, iepirkums, līgumu administrācija, lietvedība) vadībai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33.2.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finanšu (piemēram, grāmatvedības uzskaite, maksājumu pārbaude un veikšana, finanšu plānošana) vadībai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33.3.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tehniskajai (piemēram, saskaņojumi projektēšanas un būvniecības gaitā, darbu progresa atskaišu un pārskatu sagatavošana) vadībai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jc w:val="center"/>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Projektā plānotie publicitātes un vizuālās identitātes pasākumi atbilst normatīvajiem aktiem par kārtību, kādā nodrošina Eiropas Savienības struktūrfondu un Kohēzijas fonda publicitātes un vizuālās identitātes prasības, kā arī publisko informāciju par šo fondu projektiem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355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3. ADMINISTRATĪVIE KRITĒRIJI</w:t>
            </w:r>
          </w:p>
        </w:tc>
        <w:tc>
          <w:tcPr>
            <w:tcW w:w="576"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rsidR="00853F2D" w:rsidRPr="00853F2D" w:rsidRDefault="00853F2D" w:rsidP="00853F2D">
            <w:pPr>
              <w:spacing w:before="100" w:beforeAutospacing="1" w:after="100" w:afterAutospacing="1" w:line="360" w:lineRule="auto"/>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Jā/Nē/NA</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35.</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iesniegums ir iesniegts atbildīgās iestādes norādītajā termiņā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36.</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iesniedzējs ir uzaicināts iesniegt projekta iesniegumu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37.</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iesniegums sagatavots atbilstoši aktivitātes projekta iesnieguma veidlapai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38.</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iesniegums sagatavots latviešu valodā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39.</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iesniegums sagatavots datorrakstā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40.</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iesniegumu parakstījusi atbildīgā persona vai tās pilnvarota persona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Iesniegts viens projekta iesnieguma oriģināls un trīs kopijas, kā arī projekta iesnieguma veidlapas elektroniskā versija, kuras pielikumā ir izmaksu ieguvumu analīze (ja projekta iesniegums iesniegts papīra dokumenta formā)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Gan projekta iesnieguma oriģināls, gan kopijas iesniegtas caurauklotas, pievienoto dokumentu lapas numurētas (ja projekta iesniegums iesniegts papīra dokumenta formā)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43.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iesniegums ir noformēts atbilstoši elektronisko dokumentu apriti regulējošo normatīvo aktu noteiktajām prasībām (ja projekta iesniegums iesniegts elektroniskā dokumenta formā)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iesniegums parakstīts ar drošu elektronisko parakstu (ja projekta iesniegums iesniegts elektroniskā dokumenta formā)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45.</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iesniegums izstrādāts DOC, XLS, PDF vai JPG datņu formātā (ja projekta iesniegums iesniegts elektroniskā dokumenta formā)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46.</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iesnieguma pielikumi ir izstrādāti un noformēti atbilstoši elektronisko dokumentu apriti regulējošo normatīvo aktu prasībām (ja projekta iesniegums iesniegts elektroniskā dokumenta formā)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47.</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iesnieguma veidlapā aizpildītas visas tās sadaļas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iesniegumam pievienoti visi norādītie pielikumi:</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P</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ūdenssaimniecības attīstības projekta tehniski ekonomiskais pamatojums (tai skaitā papildu dokumentācija, kas paskaidro vai aktualizē tehniski ekonomisko pamatojumu, ja tāda nepieciešama)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kartogrāfiskais materiāls ir atbilstošā mērogā, kas nodrošina informāciju par projekta aktivitāšu izvietojumu projekta īstenošanas teritorijā un to ietekmi uz dabas objektiem apkārtējā teritorijā</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48.3.</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būvdarbu tāme</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48.4.</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pašvaldības, kurā plānots veikt būvdarbus, apliecinājums, ka iesniegtais projekts atbilst spēkā esošajam pašvaldības teritorijas plānojumam vai detālplānojumam</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48.5.</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Vides pārraudzības valsts biroja atzinums par ietekmes uz vidi novērtējuma noslēguma ziņojumu vai lēmums par ietekmes uz vidi novērtējuma procedūras nepiemērošanu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48.6.</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pārvaldes lēmuma vai līguma starp pašvaldību un kapitālsabiedrību (atbilstoši projekta iesniedzēja juridiskajam statusam) par ūdenssaimniecības sabiedrisko pakalpojumu sniegšanu kopija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48.7.</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licences par sabiedriskā pakalpojuma sniegšanu kopija, ja pakalpojumus sniedz kapitālsabiedrība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48.8.</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noslēgtā kredītlīguma kopija vai </w:t>
            </w:r>
            <w:proofErr w:type="spellStart"/>
            <w:r w:rsidRPr="00853F2D">
              <w:rPr>
                <w:rFonts w:ascii="Times New Roman" w:eastAsia="Times New Roman" w:hAnsi="Times New Roman" w:cs="Times New Roman"/>
                <w:color w:val="414142"/>
                <w:sz w:val="24"/>
                <w:szCs w:val="24"/>
                <w:lang w:eastAsia="lv-LV"/>
              </w:rPr>
              <w:t>kredītinstitūcijas</w:t>
            </w:r>
            <w:proofErr w:type="spellEnd"/>
            <w:r w:rsidRPr="00853F2D">
              <w:rPr>
                <w:rFonts w:ascii="Times New Roman" w:eastAsia="Times New Roman" w:hAnsi="Times New Roman" w:cs="Times New Roman"/>
                <w:color w:val="414142"/>
                <w:sz w:val="24"/>
                <w:szCs w:val="24"/>
                <w:lang w:eastAsia="lv-LV"/>
              </w:rPr>
              <w:t xml:space="preserve"> izdota dokumenta kopija, kas apliecina, ka kredīts tiks piešķirts bez galvojuma, ja ir paredzēts kredīts bez pašvaldības galvojuma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48.9.</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xml:space="preserve">pašvaldības lēmums par finansējumu, ja projektā </w:t>
            </w:r>
            <w:r w:rsidRPr="00853F2D">
              <w:rPr>
                <w:rFonts w:ascii="Times New Roman" w:eastAsia="Times New Roman" w:hAnsi="Times New Roman" w:cs="Times New Roman"/>
                <w:color w:val="414142"/>
                <w:sz w:val="24"/>
                <w:szCs w:val="24"/>
                <w:lang w:eastAsia="lv-LV"/>
              </w:rPr>
              <w:lastRenderedPageBreak/>
              <w:t>paredzēts pašvaldības līdzfinansējums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142"/>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lastRenderedPageBreak/>
              <w:t>48.10.</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pašvaldības lēmums par galvojumu vai aizņēmumu, ja projektā paredzēts pašvaldības galvojums vai aizņēmums</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142"/>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48.11.</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pašvaldības lēmums par to, ka pašvaldība saskaņo projekta iesniedzēja sagatavoto projekta iesniegumu un tajā ietverto darbu un finansējuma apjomu</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142"/>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48.12.</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left="388"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naudas plūsmas prognoze</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vMerge/>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b/>
                <w:bCs/>
                <w:color w:val="414142"/>
                <w:sz w:val="24"/>
                <w:szCs w:val="24"/>
                <w:lang w:eastAsia="lv-LV"/>
              </w:rPr>
            </w:pPr>
          </w:p>
        </w:tc>
      </w:tr>
      <w:tr w:rsidR="00853F2D" w:rsidRPr="00853F2D" w:rsidTr="00853F2D">
        <w:tc>
          <w:tcPr>
            <w:tcW w:w="3555"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4. FINANSĒJUMA PIEŠĶIRŠANAS KRITĒRIJI</w:t>
            </w:r>
          </w:p>
        </w:tc>
        <w:tc>
          <w:tcPr>
            <w:tcW w:w="576"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Jā/Nē</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r>
      <w:tr w:rsidR="00853F2D" w:rsidRPr="00853F2D" w:rsidTr="00853F2D">
        <w:tc>
          <w:tcPr>
            <w:tcW w:w="453"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49.</w:t>
            </w:r>
          </w:p>
        </w:tc>
        <w:tc>
          <w:tcPr>
            <w:tcW w:w="3102" w:type="pct"/>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ind w:right="182"/>
              <w:jc w:val="both"/>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Projekta iesniegumā plānotais Kohēzijas fonda līdzfinansējums nepārsniedz Ministru kabineta 2007.gada 4.decembra noteikumu Nr.836 ''Noteikumi par darbības programmas "Infrastruktūra un pakalpojumi" papildinājuma 3.5.1.1.aktivitāti "Ūdenssaimniecības infrastruktūras attīstība aglomerācijās ar cilvēku ekvivalentu, lielāku par 2000"" 2.pielikumā noteikto maksimālo Kohēzijas fonda līdzfinansējumu konkrētajam ūdenssaimniecības infrastruktūras projektam un, sarindojot projektu iesniegumus prioritārā secībā (sākot ar visvairāk punktus ieguvušo projekta iesniegumu), projektu iesniegumu atlases kārtā projekta iesniegumam pietiek finansējuma</w:t>
            </w:r>
          </w:p>
        </w:tc>
        <w:tc>
          <w:tcPr>
            <w:tcW w:w="576"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after="0" w:line="240" w:lineRule="auto"/>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 </w:t>
            </w:r>
          </w:p>
        </w:tc>
        <w:tc>
          <w:tcPr>
            <w:tcW w:w="869" w:type="pct"/>
            <w:gridSpan w:val="2"/>
            <w:tcBorders>
              <w:top w:val="outset" w:sz="6" w:space="0" w:color="414142"/>
              <w:left w:val="outset" w:sz="6" w:space="0" w:color="414142"/>
              <w:bottom w:val="outset" w:sz="6" w:space="0" w:color="414142"/>
              <w:right w:val="outset" w:sz="6" w:space="0" w:color="414142"/>
            </w:tcBorders>
            <w:vAlign w:val="center"/>
            <w:hideMark/>
          </w:tcPr>
          <w:p w:rsidR="00853F2D" w:rsidRPr="00853F2D" w:rsidRDefault="00853F2D" w:rsidP="00853F2D">
            <w:pPr>
              <w:spacing w:before="100" w:beforeAutospacing="1" w:after="100" w:afterAutospacing="1" w:line="360" w:lineRule="auto"/>
              <w:jc w:val="center"/>
              <w:rPr>
                <w:rFonts w:ascii="Times New Roman" w:eastAsia="Times New Roman" w:hAnsi="Times New Roman" w:cs="Times New Roman"/>
                <w:b/>
                <w:bCs/>
                <w:color w:val="414142"/>
                <w:sz w:val="24"/>
                <w:szCs w:val="24"/>
                <w:lang w:eastAsia="lv-LV"/>
              </w:rPr>
            </w:pPr>
            <w:r w:rsidRPr="00853F2D">
              <w:rPr>
                <w:rFonts w:ascii="Times New Roman" w:eastAsia="Times New Roman" w:hAnsi="Times New Roman" w:cs="Times New Roman"/>
                <w:b/>
                <w:bCs/>
                <w:color w:val="414142"/>
                <w:sz w:val="24"/>
                <w:szCs w:val="24"/>
                <w:lang w:eastAsia="lv-LV"/>
              </w:rPr>
              <w:t>N</w:t>
            </w:r>
          </w:p>
        </w:tc>
      </w:tr>
    </w:tbl>
    <w:p w:rsidR="00853F2D" w:rsidRPr="00853F2D" w:rsidRDefault="00853F2D" w:rsidP="00853F2D">
      <w:pPr>
        <w:spacing w:after="0" w:line="240" w:lineRule="auto"/>
        <w:rPr>
          <w:rFonts w:ascii="Times New Roman" w:eastAsia="Times New Roman" w:hAnsi="Times New Roman" w:cs="Times New Roman"/>
          <w:sz w:val="24"/>
          <w:szCs w:val="24"/>
          <w:lang w:eastAsia="lv-LV"/>
        </w:rPr>
      </w:pPr>
    </w:p>
    <w:p w:rsidR="00853F2D" w:rsidRPr="00853F2D" w:rsidRDefault="00853F2D" w:rsidP="00853F2D">
      <w:pPr>
        <w:spacing w:before="100" w:beforeAutospacing="1" w:after="100" w:afterAutospacing="1" w:line="360" w:lineRule="auto"/>
        <w:ind w:firstLine="300"/>
        <w:rPr>
          <w:rFonts w:ascii="Times New Roman" w:eastAsia="Times New Roman" w:hAnsi="Times New Roman" w:cs="Times New Roman"/>
          <w:color w:val="414142"/>
          <w:sz w:val="24"/>
          <w:szCs w:val="24"/>
          <w:lang w:eastAsia="lv-LV"/>
        </w:rPr>
      </w:pPr>
      <w:r w:rsidRPr="00853F2D">
        <w:rPr>
          <w:rFonts w:ascii="Times New Roman" w:eastAsia="Times New Roman" w:hAnsi="Times New Roman" w:cs="Times New Roman"/>
          <w:color w:val="414142"/>
          <w:sz w:val="24"/>
          <w:szCs w:val="24"/>
          <w:lang w:eastAsia="lv-LV"/>
        </w:rPr>
        <w:t>Apzīmējumi.</w:t>
      </w:r>
      <w:r w:rsidRPr="00853F2D">
        <w:rPr>
          <w:rFonts w:ascii="Times New Roman" w:eastAsia="Times New Roman" w:hAnsi="Times New Roman" w:cs="Times New Roman"/>
          <w:color w:val="414142"/>
          <w:sz w:val="24"/>
          <w:szCs w:val="24"/>
          <w:lang w:eastAsia="lv-LV"/>
        </w:rPr>
        <w:br/>
        <w:t>N - ja vērtējums negatīvs, projekta iesniegumu noraida.</w:t>
      </w:r>
      <w:r w:rsidRPr="00853F2D">
        <w:rPr>
          <w:rFonts w:ascii="Times New Roman" w:eastAsia="Times New Roman" w:hAnsi="Times New Roman" w:cs="Times New Roman"/>
          <w:color w:val="414142"/>
          <w:sz w:val="24"/>
          <w:szCs w:val="24"/>
          <w:lang w:eastAsia="lv-LV"/>
        </w:rPr>
        <w:br/>
        <w:t>P - pieņem lēmumu par projekta apstiprināšanu ar nosacījumu (projekta iesniedzējam jānodrošina atbilstība kritērijiem, precizējot projekta iesniegumu lēmumā noteiktajā termiņā).</w:t>
      </w:r>
      <w:r w:rsidRPr="00853F2D">
        <w:rPr>
          <w:rFonts w:ascii="Times New Roman" w:eastAsia="Times New Roman" w:hAnsi="Times New Roman" w:cs="Times New Roman"/>
          <w:color w:val="414142"/>
          <w:sz w:val="24"/>
          <w:szCs w:val="24"/>
          <w:lang w:eastAsia="lv-LV"/>
        </w:rPr>
        <w:br/>
        <w:t>NA - ja norādītais kritērijs nav attiecināms uz konkrēto projekta iesniedzēju, projekts netiek vēr</w:t>
      </w:r>
      <w:r w:rsidR="00D30866">
        <w:rPr>
          <w:rFonts w:ascii="Times New Roman" w:eastAsia="Times New Roman" w:hAnsi="Times New Roman" w:cs="Times New Roman"/>
          <w:color w:val="414142"/>
          <w:sz w:val="24"/>
          <w:szCs w:val="24"/>
          <w:lang w:eastAsia="lv-LV"/>
        </w:rPr>
        <w:t>tēts attiecībā uz šo kritēriju.</w:t>
      </w:r>
      <w:bookmarkStart w:id="0" w:name="_GoBack"/>
      <w:bookmarkEnd w:id="0"/>
    </w:p>
    <w:p w:rsidR="00F4188D" w:rsidRPr="00853F2D" w:rsidRDefault="00F4188D">
      <w:pPr>
        <w:rPr>
          <w:rFonts w:ascii="Times New Roman" w:hAnsi="Times New Roman" w:cs="Times New Roman"/>
          <w:sz w:val="24"/>
          <w:szCs w:val="24"/>
        </w:rPr>
      </w:pPr>
    </w:p>
    <w:sectPr w:rsidR="00F4188D" w:rsidRPr="00853F2D" w:rsidSect="00F41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53F2D"/>
    <w:rsid w:val="003524C2"/>
    <w:rsid w:val="00613309"/>
    <w:rsid w:val="007D6EF1"/>
    <w:rsid w:val="00850AFC"/>
    <w:rsid w:val="00853F2D"/>
    <w:rsid w:val="00CC4203"/>
    <w:rsid w:val="00D30866"/>
    <w:rsid w:val="00F418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5752A-4DE2-498A-918B-C2A6FEFD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1404">
      <w:bodyDiv w:val="1"/>
      <w:marLeft w:val="0"/>
      <w:marRight w:val="0"/>
      <w:marTop w:val="0"/>
      <w:marBottom w:val="0"/>
      <w:divBdr>
        <w:top w:val="none" w:sz="0" w:space="0" w:color="auto"/>
        <w:left w:val="none" w:sz="0" w:space="0" w:color="auto"/>
        <w:bottom w:val="none" w:sz="0" w:space="0" w:color="auto"/>
        <w:right w:val="none" w:sz="0" w:space="0" w:color="auto"/>
      </w:divBdr>
      <w:divsChild>
        <w:div w:id="202988220">
          <w:marLeft w:val="0"/>
          <w:marRight w:val="0"/>
          <w:marTop w:val="0"/>
          <w:marBottom w:val="0"/>
          <w:divBdr>
            <w:top w:val="none" w:sz="0" w:space="0" w:color="auto"/>
            <w:left w:val="none" w:sz="0" w:space="0" w:color="auto"/>
            <w:bottom w:val="none" w:sz="0" w:space="0" w:color="auto"/>
            <w:right w:val="none" w:sz="0" w:space="0" w:color="auto"/>
          </w:divBdr>
          <w:divsChild>
            <w:div w:id="662708847">
              <w:marLeft w:val="0"/>
              <w:marRight w:val="0"/>
              <w:marTop w:val="0"/>
              <w:marBottom w:val="0"/>
              <w:divBdr>
                <w:top w:val="none" w:sz="0" w:space="0" w:color="auto"/>
                <w:left w:val="none" w:sz="0" w:space="0" w:color="auto"/>
                <w:bottom w:val="none" w:sz="0" w:space="0" w:color="auto"/>
                <w:right w:val="none" w:sz="0" w:space="0" w:color="auto"/>
              </w:divBdr>
              <w:divsChild>
                <w:div w:id="511263673">
                  <w:marLeft w:val="0"/>
                  <w:marRight w:val="0"/>
                  <w:marTop w:val="0"/>
                  <w:marBottom w:val="0"/>
                  <w:divBdr>
                    <w:top w:val="none" w:sz="0" w:space="0" w:color="auto"/>
                    <w:left w:val="none" w:sz="0" w:space="0" w:color="auto"/>
                    <w:bottom w:val="none" w:sz="0" w:space="0" w:color="auto"/>
                    <w:right w:val="none" w:sz="0" w:space="0" w:color="auto"/>
                  </w:divBdr>
                  <w:divsChild>
                    <w:div w:id="2091730359">
                      <w:marLeft w:val="0"/>
                      <w:marRight w:val="0"/>
                      <w:marTop w:val="0"/>
                      <w:marBottom w:val="0"/>
                      <w:divBdr>
                        <w:top w:val="none" w:sz="0" w:space="0" w:color="auto"/>
                        <w:left w:val="none" w:sz="0" w:space="0" w:color="auto"/>
                        <w:bottom w:val="none" w:sz="0" w:space="0" w:color="auto"/>
                        <w:right w:val="none" w:sz="0" w:space="0" w:color="auto"/>
                      </w:divBdr>
                      <w:divsChild>
                        <w:div w:id="1836725965">
                          <w:marLeft w:val="0"/>
                          <w:marRight w:val="0"/>
                          <w:marTop w:val="300"/>
                          <w:marBottom w:val="0"/>
                          <w:divBdr>
                            <w:top w:val="none" w:sz="0" w:space="0" w:color="auto"/>
                            <w:left w:val="none" w:sz="0" w:space="0" w:color="auto"/>
                            <w:bottom w:val="none" w:sz="0" w:space="0" w:color="auto"/>
                            <w:right w:val="none" w:sz="0" w:space="0" w:color="auto"/>
                          </w:divBdr>
                          <w:divsChild>
                            <w:div w:id="776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kumi.lv/doc.php?id=88966" TargetMode="External"/><Relationship Id="rId4" Type="http://schemas.openxmlformats.org/officeDocument/2006/relationships/hyperlink" Target="http://likumi.lv/doc.php?id=89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14635</Words>
  <Characters>8342</Characters>
  <Application>Microsoft Office Word</Application>
  <DocSecurity>0</DocSecurity>
  <Lines>69</Lines>
  <Paragraphs>45</Paragraphs>
  <ScaleCrop>false</ScaleCrop>
  <Company/>
  <LinksUpToDate>false</LinksUpToDate>
  <CharactersWithSpaces>22932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austraa</dc:creator>
  <cp:lastModifiedBy>Austra Auziņa</cp:lastModifiedBy>
  <cp:revision>3</cp:revision>
  <dcterms:created xsi:type="dcterms:W3CDTF">2013-07-15T11:39:00Z</dcterms:created>
  <dcterms:modified xsi:type="dcterms:W3CDTF">2015-01-07T08:59:00Z</dcterms:modified>
</cp:coreProperties>
</file>