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E7" w:rsidRPr="00B917A6" w:rsidRDefault="007372E7" w:rsidP="002407D1">
      <w:pPr>
        <w:spacing w:after="0" w:line="360" w:lineRule="auto"/>
        <w:jc w:val="center"/>
        <w:rPr>
          <w:rFonts w:ascii="Times New Roman" w:eastAsia="Times New Roman" w:hAnsi="Times New Roman" w:cs="Times New Roman"/>
          <w:b/>
          <w:sz w:val="24"/>
          <w:szCs w:val="24"/>
          <w:lang w:eastAsia="lv-LV"/>
        </w:rPr>
      </w:pPr>
      <w:r w:rsidRPr="00B917A6">
        <w:rPr>
          <w:rFonts w:ascii="Times New Roman" w:eastAsia="Times New Roman" w:hAnsi="Times New Roman" w:cs="Times New Roman"/>
          <w:b/>
          <w:sz w:val="24"/>
          <w:szCs w:val="24"/>
          <w:lang w:eastAsia="lv-LV"/>
        </w:rPr>
        <w:t>Precizējumi</w:t>
      </w:r>
    </w:p>
    <w:p w:rsidR="007372E7" w:rsidRPr="00B917A6" w:rsidRDefault="007372E7" w:rsidP="002407D1">
      <w:pPr>
        <w:spacing w:after="0" w:line="360" w:lineRule="auto"/>
        <w:jc w:val="center"/>
        <w:rPr>
          <w:rFonts w:ascii="Times New Roman" w:eastAsia="Times New Roman" w:hAnsi="Times New Roman" w:cs="Times New Roman"/>
          <w:sz w:val="24"/>
          <w:szCs w:val="24"/>
          <w:lang w:eastAsia="lv-LV"/>
        </w:rPr>
      </w:pPr>
      <w:r w:rsidRPr="00B917A6">
        <w:rPr>
          <w:rFonts w:ascii="Times New Roman" w:eastAsia="Times New Roman" w:hAnsi="Times New Roman" w:cs="Times New Roman"/>
          <w:b/>
          <w:sz w:val="24"/>
          <w:szCs w:val="24"/>
          <w:lang w:eastAsia="lv-LV"/>
        </w:rPr>
        <w:t>„Vadlīnijām</w:t>
      </w:r>
    </w:p>
    <w:p w:rsidR="007372E7" w:rsidRPr="00064746" w:rsidRDefault="007372E7" w:rsidP="002407D1">
      <w:pPr>
        <w:pStyle w:val="Default"/>
        <w:spacing w:line="360" w:lineRule="auto"/>
        <w:jc w:val="center"/>
        <w:rPr>
          <w:b/>
        </w:rPr>
      </w:pPr>
      <w:r w:rsidRPr="00064746">
        <w:rPr>
          <w:b/>
        </w:rPr>
        <w:t>darbības programmas „Infrastruktūra un pakalpojumi”</w:t>
      </w:r>
    </w:p>
    <w:p w:rsidR="007372E7" w:rsidRPr="00064746" w:rsidRDefault="007372E7" w:rsidP="002407D1">
      <w:pPr>
        <w:pStyle w:val="Default"/>
        <w:spacing w:line="360" w:lineRule="auto"/>
        <w:jc w:val="center"/>
        <w:rPr>
          <w:b/>
        </w:rPr>
      </w:pPr>
      <w:r w:rsidRPr="00064746">
        <w:rPr>
          <w:b/>
        </w:rPr>
        <w:t xml:space="preserve">3.5.1.2.2. </w:t>
      </w:r>
      <w:r w:rsidRPr="00064746" w:rsidDel="00307857">
        <w:rPr>
          <w:b/>
        </w:rPr>
        <w:t xml:space="preserve"> </w:t>
      </w:r>
      <w:proofErr w:type="spellStart"/>
      <w:r w:rsidRPr="00064746">
        <w:rPr>
          <w:b/>
        </w:rPr>
        <w:t>apakšaktivitātes</w:t>
      </w:r>
      <w:proofErr w:type="spellEnd"/>
      <w:r w:rsidRPr="00064746">
        <w:rPr>
          <w:b/>
        </w:rPr>
        <w:t xml:space="preserve"> „Reģionālu atkritumu apsaimniekošanas sistēmu attīstība” Kohēzijas fonda iesnieguma sagatavošanai</w:t>
      </w:r>
      <w:r>
        <w:rPr>
          <w:b/>
        </w:rPr>
        <w:t>.”</w:t>
      </w:r>
    </w:p>
    <w:p w:rsidR="007372E7" w:rsidRPr="00064746" w:rsidRDefault="007372E7" w:rsidP="002407D1">
      <w:pPr>
        <w:autoSpaceDE w:val="0"/>
        <w:autoSpaceDN w:val="0"/>
        <w:adjustRightInd w:val="0"/>
        <w:spacing w:after="0" w:line="360" w:lineRule="auto"/>
        <w:jc w:val="center"/>
        <w:rPr>
          <w:rFonts w:ascii="Times New Roman" w:eastAsia="Times New Roman" w:hAnsi="Times New Roman" w:cs="Times New Roman"/>
          <w:b/>
          <w:sz w:val="24"/>
          <w:szCs w:val="24"/>
          <w:lang w:eastAsia="lv-LV"/>
        </w:rPr>
      </w:pPr>
    </w:p>
    <w:p w:rsidR="007372E7" w:rsidRPr="00B917A6" w:rsidRDefault="007372E7" w:rsidP="002407D1">
      <w:pPr>
        <w:jc w:val="center"/>
        <w:rPr>
          <w:rFonts w:ascii="Times New Roman" w:eastAsia="Times New Roman" w:hAnsi="Times New Roman" w:cs="Times New Roman"/>
          <w:b/>
          <w:sz w:val="24"/>
          <w:szCs w:val="24"/>
        </w:rPr>
      </w:pPr>
      <w:r w:rsidRPr="00B917A6">
        <w:rPr>
          <w:rFonts w:ascii="Times New Roman" w:eastAsia="Times New Roman" w:hAnsi="Times New Roman" w:cs="Times New Roman"/>
          <w:b/>
          <w:sz w:val="24"/>
          <w:szCs w:val="24"/>
        </w:rPr>
        <w:t xml:space="preserve">2011.gada </w:t>
      </w:r>
      <w:r>
        <w:rPr>
          <w:rFonts w:ascii="Times New Roman" w:eastAsia="Times New Roman" w:hAnsi="Times New Roman" w:cs="Times New Roman"/>
          <w:b/>
          <w:sz w:val="24"/>
          <w:szCs w:val="24"/>
        </w:rPr>
        <w:t>0</w:t>
      </w:r>
      <w:r w:rsidR="00FB6D7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novembrī</w:t>
      </w:r>
    </w:p>
    <w:p w:rsidR="007372E7" w:rsidRDefault="007372E7" w:rsidP="002407D1">
      <w:pPr>
        <w:jc w:val="both"/>
        <w:rPr>
          <w:rFonts w:ascii="Times New Roman" w:eastAsia="Times New Roman" w:hAnsi="Times New Roman" w:cs="Times New Roman"/>
          <w:sz w:val="24"/>
          <w:szCs w:val="24"/>
        </w:rPr>
      </w:pPr>
      <w:r w:rsidRPr="00B917A6">
        <w:rPr>
          <w:rFonts w:ascii="Times New Roman" w:eastAsia="Times New Roman" w:hAnsi="Times New Roman" w:cs="Times New Roman"/>
          <w:sz w:val="24"/>
          <w:szCs w:val="24"/>
        </w:rPr>
        <w:t xml:space="preserve">Ņemot vērā nepieciešamību nodrošināt korektu informāciju par </w:t>
      </w:r>
      <w:proofErr w:type="spellStart"/>
      <w:r>
        <w:rPr>
          <w:rFonts w:ascii="Times New Roman" w:eastAsia="Times New Roman" w:hAnsi="Times New Roman" w:cs="Times New Roman"/>
          <w:sz w:val="24"/>
          <w:szCs w:val="24"/>
        </w:rPr>
        <w:t>apkšaktivitātes</w:t>
      </w:r>
      <w:proofErr w:type="spellEnd"/>
      <w:r>
        <w:rPr>
          <w:rFonts w:ascii="Times New Roman" w:eastAsia="Times New Roman" w:hAnsi="Times New Roman" w:cs="Times New Roman"/>
          <w:sz w:val="24"/>
          <w:szCs w:val="24"/>
        </w:rPr>
        <w:t xml:space="preserve"> 3.5.1.2</w:t>
      </w:r>
      <w:r w:rsidRPr="00B917A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B917A6">
        <w:rPr>
          <w:rFonts w:ascii="Times New Roman" w:eastAsia="Times New Roman" w:hAnsi="Times New Roman" w:cs="Times New Roman"/>
          <w:sz w:val="24"/>
          <w:szCs w:val="24"/>
        </w:rPr>
        <w:t xml:space="preserve"> uzraudzības rādītājiem, rēķinoties ar situāciju, ka vairākās projektu iesniegumu atlases kārtās tiek pieļauta iespēja iesniegt projektu par vienu un to pašu</w:t>
      </w:r>
      <w:r>
        <w:rPr>
          <w:rFonts w:ascii="Times New Roman" w:eastAsia="Times New Roman" w:hAnsi="Times New Roman" w:cs="Times New Roman"/>
          <w:sz w:val="24"/>
          <w:szCs w:val="24"/>
        </w:rPr>
        <w:t xml:space="preserve"> projekta</w:t>
      </w:r>
      <w:r w:rsidRPr="00B917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teritoriju</w:t>
      </w:r>
      <w:r w:rsidRPr="00B917A6">
        <w:rPr>
          <w:rFonts w:ascii="Times New Roman" w:eastAsia="Times New Roman" w:hAnsi="Times New Roman" w:cs="Times New Roman"/>
          <w:sz w:val="24"/>
          <w:szCs w:val="24"/>
        </w:rPr>
        <w:t xml:space="preserve"> ir veikti precizējumi vadlīniju 2.4., 2.10</w:t>
      </w:r>
      <w:r>
        <w:rPr>
          <w:rFonts w:ascii="Times New Roman" w:eastAsia="Times New Roman" w:hAnsi="Times New Roman" w:cs="Times New Roman"/>
          <w:sz w:val="24"/>
          <w:szCs w:val="24"/>
        </w:rPr>
        <w:t>.1.</w:t>
      </w:r>
      <w:r w:rsidRPr="00B917A6">
        <w:rPr>
          <w:rFonts w:ascii="Times New Roman" w:eastAsia="Times New Roman" w:hAnsi="Times New Roman" w:cs="Times New Roman"/>
          <w:sz w:val="24"/>
          <w:szCs w:val="24"/>
        </w:rPr>
        <w:t xml:space="preserve"> un 4.2. sadaļās.  </w:t>
      </w:r>
    </w:p>
    <w:p w:rsidR="007372E7" w:rsidRPr="00E75EAD" w:rsidRDefault="007372E7" w:rsidP="002407D1">
      <w:pPr>
        <w:jc w:val="both"/>
        <w:rPr>
          <w:rFonts w:ascii="Times New Roman" w:hAnsi="Times New Roman" w:cs="Times New Roman"/>
          <w:sz w:val="24"/>
          <w:szCs w:val="24"/>
        </w:rPr>
      </w:pPr>
      <w:r w:rsidRPr="00E75EAD">
        <w:rPr>
          <w:rFonts w:ascii="Times New Roman" w:hAnsi="Times New Roman" w:cs="Times New Roman"/>
          <w:sz w:val="24"/>
          <w:szCs w:val="24"/>
        </w:rPr>
        <w:t xml:space="preserve">Konstatējot atsevišķas neatbilstības aktuālajai situācijai, Vadlīnijās veikti precizējumi </w:t>
      </w:r>
      <w:r>
        <w:rPr>
          <w:rFonts w:ascii="Times New Roman" w:hAnsi="Times New Roman" w:cs="Times New Roman"/>
          <w:sz w:val="24"/>
          <w:szCs w:val="24"/>
        </w:rPr>
        <w:t xml:space="preserve">iesnieguma 7.sadaļā - </w:t>
      </w:r>
      <w:r w:rsidRPr="00E75EAD">
        <w:rPr>
          <w:rFonts w:ascii="Times New Roman" w:hAnsi="Times New Roman" w:cs="Times New Roman"/>
          <w:sz w:val="24"/>
          <w:szCs w:val="24"/>
        </w:rPr>
        <w:t>norādījumos</w:t>
      </w:r>
      <w:r>
        <w:rPr>
          <w:rFonts w:ascii="Times New Roman" w:hAnsi="Times New Roman" w:cs="Times New Roman"/>
          <w:sz w:val="24"/>
          <w:szCs w:val="24"/>
        </w:rPr>
        <w:t xml:space="preserve"> par projekta finansēšanas plānu, Kohēzijas fonda ieguldījuma aprēķinu, kā arī precizēts</w:t>
      </w:r>
      <w:r w:rsidR="00D550ED">
        <w:rPr>
          <w:rFonts w:ascii="Times New Roman" w:hAnsi="Times New Roman" w:cs="Times New Roman"/>
          <w:sz w:val="24"/>
          <w:szCs w:val="24"/>
        </w:rPr>
        <w:t xml:space="preserve"> 3.pielikums par Būvdarbu tāmi un</w:t>
      </w:r>
      <w:r>
        <w:rPr>
          <w:rFonts w:ascii="Times New Roman" w:hAnsi="Times New Roman" w:cs="Times New Roman"/>
          <w:sz w:val="24"/>
          <w:szCs w:val="24"/>
        </w:rPr>
        <w:t xml:space="preserve"> 11.pielikums par Kohēzijas fonda projekta naudas plūsmas prognozi. </w:t>
      </w:r>
    </w:p>
    <w:p w:rsidR="007372E7" w:rsidRDefault="007372E7" w:rsidP="002407D1">
      <w:pPr>
        <w:pStyle w:val="Default"/>
        <w:spacing w:line="276" w:lineRule="auto"/>
        <w:jc w:val="both"/>
      </w:pPr>
      <w:r>
        <w:t xml:space="preserve">Lūdzam ņemt vērā, ka veikti grozījumi esošajos Ministru kabineta noteikumos, kā arī pieņemti atsevišķi jauni Ministru kabineta noteikumi, kas skar </w:t>
      </w:r>
      <w:r w:rsidRPr="00B33152">
        <w:t xml:space="preserve">3.5.1.2.2. </w:t>
      </w:r>
      <w:proofErr w:type="spellStart"/>
      <w:r w:rsidRPr="00B33152">
        <w:t>apakšaktivitātes</w:t>
      </w:r>
      <w:proofErr w:type="spellEnd"/>
      <w:r>
        <w:t xml:space="preserve"> projektu iesniegumu sagatavošanu un projektu ieviešanu, līdz ar to vadlīnijās precizētas atsauces uz normatīvajiem aktiem. </w:t>
      </w:r>
    </w:p>
    <w:p w:rsidR="007372E7" w:rsidRDefault="007372E7" w:rsidP="002407D1">
      <w:pPr>
        <w:pStyle w:val="Default"/>
        <w:spacing w:line="276" w:lineRule="auto"/>
        <w:jc w:val="both"/>
      </w:pPr>
    </w:p>
    <w:p w:rsidR="007372E7" w:rsidRDefault="007372E7" w:rsidP="002407D1">
      <w:pPr>
        <w:pStyle w:val="Default"/>
        <w:spacing w:line="276" w:lineRule="auto"/>
        <w:jc w:val="both"/>
      </w:pPr>
      <w:r>
        <w:t>Minētie p</w:t>
      </w:r>
      <w:r w:rsidRPr="00064746">
        <w:t xml:space="preserve">recizējumi </w:t>
      </w:r>
      <w:r>
        <w:t xml:space="preserve">norādīti zemāk, kā arī </w:t>
      </w:r>
      <w:r w:rsidRPr="00064746">
        <w:t xml:space="preserve">veikti dokumentā „Vadlīnijas 3.5.1.2.2. </w:t>
      </w:r>
      <w:proofErr w:type="spellStart"/>
      <w:r w:rsidRPr="00064746">
        <w:t>apakšaktivitātes</w:t>
      </w:r>
      <w:proofErr w:type="spellEnd"/>
      <w:r w:rsidRPr="00064746">
        <w:t xml:space="preserve"> „Reģionālu atkritumu apsaimniekošanas sistēmu attīstība” Kohēzijas fonda iesnieguma sagatavošanai.”</w:t>
      </w:r>
    </w:p>
    <w:p w:rsidR="007372E7" w:rsidRPr="00064746" w:rsidRDefault="007372E7" w:rsidP="002407D1">
      <w:pPr>
        <w:pStyle w:val="Default"/>
        <w:spacing w:line="276" w:lineRule="auto"/>
        <w:jc w:val="both"/>
      </w:pPr>
    </w:p>
    <w:p w:rsidR="007372E7" w:rsidRDefault="007372E7" w:rsidP="002407D1">
      <w:pPr>
        <w:jc w:val="both"/>
        <w:rPr>
          <w:rFonts w:ascii="Times New Roman" w:eastAsia="Times New Roman" w:hAnsi="Times New Roman" w:cs="Times New Roman"/>
          <w:sz w:val="24"/>
          <w:szCs w:val="24"/>
          <w:u w:val="single"/>
        </w:rPr>
      </w:pPr>
      <w:r w:rsidRPr="00614EDE">
        <w:rPr>
          <w:rFonts w:ascii="Times New Roman" w:eastAsia="Times New Roman" w:hAnsi="Times New Roman" w:cs="Times New Roman"/>
          <w:sz w:val="24"/>
          <w:szCs w:val="24"/>
          <w:u w:val="single"/>
        </w:rPr>
        <w:t>Vadlīnijās veikti sekojoši precizējumi:</w:t>
      </w:r>
    </w:p>
    <w:p w:rsidR="007372E7" w:rsidRPr="00B917A6" w:rsidRDefault="007372E7" w:rsidP="002407D1">
      <w:pPr>
        <w:pStyle w:val="ListParagraph"/>
        <w:numPr>
          <w:ilvl w:val="0"/>
          <w:numId w:val="1"/>
        </w:numPr>
        <w:spacing w:after="120"/>
        <w:ind w:left="714" w:hanging="357"/>
        <w:jc w:val="both"/>
        <w:rPr>
          <w:rFonts w:ascii="Times New Roman" w:eastAsia="Times New Roman" w:hAnsi="Times New Roman" w:cs="Times New Roman"/>
          <w:sz w:val="24"/>
          <w:szCs w:val="24"/>
        </w:rPr>
      </w:pPr>
      <w:r w:rsidRPr="00B917A6">
        <w:rPr>
          <w:rFonts w:ascii="Times New Roman" w:eastAsia="Times New Roman" w:hAnsi="Times New Roman" w:cs="Times New Roman"/>
          <w:b/>
          <w:sz w:val="24"/>
          <w:szCs w:val="24"/>
        </w:rPr>
        <w:t>2.4.sadaļa papildināta</w:t>
      </w:r>
      <w:r w:rsidRPr="00B917A6">
        <w:rPr>
          <w:rFonts w:ascii="Times New Roman" w:eastAsia="Times New Roman" w:hAnsi="Times New Roman" w:cs="Times New Roman"/>
          <w:sz w:val="24"/>
          <w:szCs w:val="24"/>
        </w:rPr>
        <w:t xml:space="preserve"> ar sekojošu norādi:</w:t>
      </w:r>
    </w:p>
    <w:p w:rsidR="007372E7" w:rsidRPr="0091477C" w:rsidRDefault="007372E7" w:rsidP="002407D1">
      <w:pPr>
        <w:jc w:val="both"/>
        <w:rPr>
          <w:rFonts w:ascii="Times New Roman" w:hAnsi="Times New Roman" w:cs="Times New Roman"/>
          <w:i/>
          <w:sz w:val="24"/>
          <w:szCs w:val="24"/>
        </w:rPr>
      </w:pPr>
      <w:r w:rsidRPr="0091477C">
        <w:rPr>
          <w:rFonts w:ascii="Times New Roman" w:hAnsi="Times New Roman" w:cs="Times New Roman"/>
          <w:i/>
          <w:sz w:val="24"/>
          <w:szCs w:val="24"/>
        </w:rPr>
        <w:t xml:space="preserve">!!! Gadījumā, ja projekta teritorijā 2007.-2013.gada finanšu plānošanas periodā jau ir realizēts (vai joprojām tiek realizēts) projekts 3.5.1.2.2. </w:t>
      </w:r>
      <w:proofErr w:type="spellStart"/>
      <w:r w:rsidRPr="0091477C">
        <w:rPr>
          <w:rFonts w:ascii="Times New Roman" w:hAnsi="Times New Roman" w:cs="Times New Roman"/>
          <w:i/>
          <w:sz w:val="24"/>
          <w:szCs w:val="24"/>
        </w:rPr>
        <w:t>apakšaktivitātes</w:t>
      </w:r>
      <w:proofErr w:type="spellEnd"/>
      <w:r w:rsidRPr="0091477C">
        <w:rPr>
          <w:rFonts w:ascii="Times New Roman" w:hAnsi="Times New Roman" w:cs="Times New Roman"/>
          <w:i/>
          <w:sz w:val="24"/>
          <w:szCs w:val="24"/>
        </w:rPr>
        <w:t xml:space="preserve"> "Reģionālo atkritumu apsaimniekošanas sistēmu attīstība" ietvaros, nepieciešams sniegt informāciju par šādu projektu (Projekta </w:t>
      </w:r>
      <w:proofErr w:type="spellStart"/>
      <w:r w:rsidRPr="0091477C">
        <w:rPr>
          <w:rFonts w:ascii="Times New Roman" w:hAnsi="Times New Roman" w:cs="Times New Roman"/>
          <w:i/>
          <w:sz w:val="24"/>
          <w:szCs w:val="24"/>
        </w:rPr>
        <w:t>Nr</w:t>
      </w:r>
      <w:proofErr w:type="spellEnd"/>
      <w:r w:rsidRPr="0091477C">
        <w:rPr>
          <w:rFonts w:ascii="Times New Roman" w:hAnsi="Times New Roman" w:cs="Times New Roman"/>
          <w:i/>
          <w:sz w:val="24"/>
          <w:szCs w:val="24"/>
        </w:rPr>
        <w:t xml:space="preserve">., galvenās projektā iekļautās būvdarbu komponentes, projekta ieviešanas statuss un laika grafiks), kā arī norādīt </w:t>
      </w:r>
      <w:r w:rsidRPr="0091477C">
        <w:rPr>
          <w:rFonts w:ascii="Times New Roman" w:hAnsi="Times New Roman" w:cs="Times New Roman"/>
          <w:b/>
          <w:i/>
          <w:sz w:val="24"/>
          <w:szCs w:val="24"/>
        </w:rPr>
        <w:t>detalizētu informāciju par šāda projekta teritoriju</w:t>
      </w:r>
      <w:r w:rsidRPr="0091477C">
        <w:rPr>
          <w:rFonts w:ascii="Times New Roman" w:hAnsi="Times New Roman" w:cs="Times New Roman"/>
          <w:i/>
          <w:sz w:val="24"/>
          <w:szCs w:val="24"/>
        </w:rPr>
        <w:t>. Nepieciešams norādīt, vai projekta teritorijas abu projektu gadījumā pilnībā sakrīt, bet ja nesakrīt - norādīt atšķirības gan skaidrojot izmaiņas šajā iesnieguma sadaļā (vai iekļaujot atsauci uz konkrētām nodaļām projekta TEP, ja tur ir iekļauta šī prasītā informācija), gan attēlojot to kartogrāfiskajā materiālā projekta iesnieguma 2.pielikumā.</w:t>
      </w:r>
    </w:p>
    <w:p w:rsidR="007372E7" w:rsidRPr="00B917A6" w:rsidRDefault="007372E7" w:rsidP="002407D1">
      <w:pPr>
        <w:pStyle w:val="ListParagraph"/>
        <w:numPr>
          <w:ilvl w:val="0"/>
          <w:numId w:val="1"/>
        </w:numPr>
        <w:spacing w:after="120"/>
        <w:ind w:left="714" w:hanging="357"/>
        <w:jc w:val="both"/>
        <w:rPr>
          <w:rFonts w:ascii="Times New Roman" w:hAnsi="Times New Roman" w:cs="Times New Roman"/>
          <w:sz w:val="24"/>
          <w:szCs w:val="24"/>
        </w:rPr>
      </w:pPr>
      <w:r w:rsidRPr="00B917A6">
        <w:rPr>
          <w:rFonts w:ascii="Times New Roman" w:hAnsi="Times New Roman" w:cs="Times New Roman"/>
          <w:b/>
          <w:sz w:val="24"/>
          <w:szCs w:val="24"/>
        </w:rPr>
        <w:t>2.10. 1. sadaļa papildināta</w:t>
      </w:r>
      <w:r w:rsidRPr="00B917A6">
        <w:rPr>
          <w:rFonts w:ascii="Times New Roman" w:hAnsi="Times New Roman" w:cs="Times New Roman"/>
          <w:sz w:val="24"/>
          <w:szCs w:val="24"/>
        </w:rPr>
        <w:t xml:space="preserve"> ar sekojošām norādēm:</w:t>
      </w:r>
    </w:p>
    <w:p w:rsidR="007372E7" w:rsidRPr="0091477C" w:rsidRDefault="007372E7" w:rsidP="002407D1">
      <w:pPr>
        <w:spacing w:after="240"/>
        <w:jc w:val="both"/>
        <w:rPr>
          <w:rFonts w:ascii="Times New Roman" w:hAnsi="Times New Roman" w:cs="Times New Roman"/>
          <w:i/>
          <w:sz w:val="24"/>
          <w:szCs w:val="24"/>
        </w:rPr>
      </w:pPr>
      <w:r w:rsidRPr="0091477C">
        <w:rPr>
          <w:rFonts w:ascii="Times New Roman" w:hAnsi="Times New Roman" w:cs="Times New Roman"/>
          <w:b/>
          <w:i/>
          <w:sz w:val="24"/>
          <w:szCs w:val="24"/>
        </w:rPr>
        <w:lastRenderedPageBreak/>
        <w:t>!!! Gadījumā, ja 2007.-2013.gada finanšu plānošanas periodā šī projekta teritorijai jau ir apstiprināts projekts 3.5.1.2.2. apakš aktivitātes "Reģionālo atkritumu apsaimniekošanas sistēmu attīstība" ietvaros,</w:t>
      </w:r>
      <w:r w:rsidRPr="0091477C">
        <w:rPr>
          <w:rFonts w:ascii="Times New Roman" w:hAnsi="Times New Roman" w:cs="Times New Roman"/>
          <w:i/>
          <w:sz w:val="24"/>
          <w:szCs w:val="24"/>
        </w:rPr>
        <w:t xml:space="preserve"> nepieciešams norādīt detalizētu informāciju par to, vai abu projektu gadījumā projekta aktivitātes vērstas uz tiem pašiem iedzīvotājiem (abu projektu teritorijas un iedzīvotāju skaits pilnībā sakrīt), vai arī skaidrot atšķirības (piemēram, aptverta plašāka teritorija, mainījies iedzīvotāju skaits tajā pašā teritorijā </w:t>
      </w:r>
      <w:proofErr w:type="spellStart"/>
      <w:r w:rsidRPr="0091477C">
        <w:rPr>
          <w:rFonts w:ascii="Times New Roman" w:hAnsi="Times New Roman" w:cs="Times New Roman"/>
          <w:i/>
          <w:sz w:val="24"/>
          <w:szCs w:val="24"/>
        </w:rPr>
        <w:t>u.c</w:t>
      </w:r>
      <w:proofErr w:type="spellEnd"/>
      <w:r w:rsidRPr="0091477C">
        <w:rPr>
          <w:rFonts w:ascii="Times New Roman" w:hAnsi="Times New Roman" w:cs="Times New Roman"/>
          <w:i/>
          <w:sz w:val="24"/>
          <w:szCs w:val="24"/>
        </w:rPr>
        <w:t xml:space="preserve">.). Norādām, ka šī informācija nepieciešama korektai 3.5.1.2.2. </w:t>
      </w:r>
      <w:proofErr w:type="spellStart"/>
      <w:r w:rsidRPr="0091477C">
        <w:rPr>
          <w:rFonts w:ascii="Times New Roman" w:hAnsi="Times New Roman" w:cs="Times New Roman"/>
          <w:i/>
          <w:sz w:val="24"/>
          <w:szCs w:val="24"/>
        </w:rPr>
        <w:t>apakšaktivitātes</w:t>
      </w:r>
      <w:proofErr w:type="spellEnd"/>
      <w:r w:rsidRPr="0091477C">
        <w:rPr>
          <w:rFonts w:ascii="Times New Roman" w:hAnsi="Times New Roman" w:cs="Times New Roman"/>
          <w:i/>
          <w:sz w:val="24"/>
          <w:szCs w:val="24"/>
        </w:rPr>
        <w:t xml:space="preserve"> kopējo rezultātu un ieguvumu atspoguļošanai (izslēdzot aktivitātes ietekmēto iedzīvotāju dubultu uzskaiti. Lūdzam skaidrojumā norādīt gan 1., gan 2.projekta aptvertās teritorijas kopējo iedzīvotāju skaitu.</w:t>
      </w:r>
    </w:p>
    <w:p w:rsidR="007372E7" w:rsidRPr="0091477C" w:rsidRDefault="007372E7" w:rsidP="002407D1">
      <w:pPr>
        <w:spacing w:after="120"/>
        <w:jc w:val="both"/>
        <w:rPr>
          <w:rFonts w:ascii="Times New Roman" w:hAnsi="Times New Roman" w:cs="Times New Roman"/>
          <w:i/>
          <w:sz w:val="24"/>
          <w:szCs w:val="24"/>
        </w:rPr>
      </w:pPr>
      <w:r w:rsidRPr="0091477C">
        <w:rPr>
          <w:rFonts w:ascii="Times New Roman" w:hAnsi="Times New Roman" w:cs="Times New Roman"/>
          <w:i/>
          <w:sz w:val="24"/>
          <w:szCs w:val="24"/>
        </w:rPr>
        <w:t xml:space="preserve">Ja projekta teritorijā jau tiek realizēts projekts 2007.-2013. gada ES fondu plānošanas perioda ietvaros, jānorāda iedzīvotāju skaits, kas nebija iekļauts 1. vai 2. projektu iesniegumu atlases kārtas ietvaros apstiprinātā projekta teritorijā: </w:t>
      </w:r>
    </w:p>
    <w:p w:rsidR="007372E7" w:rsidRPr="0091477C" w:rsidRDefault="007372E7" w:rsidP="002407D1">
      <w:pPr>
        <w:pStyle w:val="ListParagraph"/>
        <w:jc w:val="both"/>
        <w:rPr>
          <w:rFonts w:ascii="Times New Roman" w:hAnsi="Times New Roman" w:cs="Times New Roman"/>
          <w:i/>
          <w:sz w:val="24"/>
          <w:szCs w:val="24"/>
        </w:rPr>
      </w:pPr>
      <w:r w:rsidRPr="0091477C">
        <w:rPr>
          <w:rFonts w:ascii="Times New Roman" w:hAnsi="Times New Roman" w:cs="Times New Roman"/>
          <w:i/>
          <w:sz w:val="24"/>
          <w:szCs w:val="24"/>
        </w:rPr>
        <w:t>-</w:t>
      </w:r>
      <w:r w:rsidRPr="0091477C">
        <w:rPr>
          <w:rFonts w:ascii="Times New Roman" w:hAnsi="Times New Roman" w:cs="Times New Roman"/>
          <w:i/>
          <w:sz w:val="24"/>
          <w:szCs w:val="24"/>
        </w:rPr>
        <w:tab/>
        <w:t>ja iedzīvotāju skaits, uz ko vērsts atkritumu apsaimniekošanas projekts, ir tāds pats vai mazāks par 1. vai 2. projektu iesniegumu atlases kārtas laikā projekta teritorijā esošo iedzīvotāju skaitu, jānorāda „0”;</w:t>
      </w:r>
    </w:p>
    <w:p w:rsidR="007372E7" w:rsidRPr="0091477C" w:rsidRDefault="007372E7" w:rsidP="002407D1">
      <w:pPr>
        <w:pStyle w:val="ListParagraph"/>
        <w:spacing w:before="240" w:after="0"/>
        <w:jc w:val="both"/>
        <w:rPr>
          <w:rFonts w:ascii="Times New Roman" w:hAnsi="Times New Roman" w:cs="Times New Roman"/>
          <w:i/>
          <w:sz w:val="24"/>
          <w:szCs w:val="24"/>
        </w:rPr>
      </w:pPr>
      <w:r w:rsidRPr="0091477C">
        <w:rPr>
          <w:rFonts w:ascii="Times New Roman" w:hAnsi="Times New Roman" w:cs="Times New Roman"/>
          <w:i/>
          <w:sz w:val="24"/>
          <w:szCs w:val="24"/>
        </w:rPr>
        <w:t>-</w:t>
      </w:r>
      <w:r w:rsidRPr="0091477C">
        <w:rPr>
          <w:rFonts w:ascii="Times New Roman" w:hAnsi="Times New Roman" w:cs="Times New Roman"/>
          <w:i/>
          <w:sz w:val="24"/>
          <w:szCs w:val="24"/>
        </w:rPr>
        <w:tab/>
        <w:t xml:space="preserve">ja iedzīvotāju skaits ir lielāks par 1. vai 2. projektu iesniegumu atlases kārtas laikā projekta teritorijā  esošo iedzīvotāju skaitu, jānorāda papildu iedzīvotāju skaits, </w:t>
      </w:r>
      <w:proofErr w:type="spellStart"/>
      <w:r w:rsidRPr="0091477C">
        <w:rPr>
          <w:rFonts w:ascii="Times New Roman" w:hAnsi="Times New Roman" w:cs="Times New Roman"/>
          <w:i/>
          <w:sz w:val="24"/>
          <w:szCs w:val="24"/>
        </w:rPr>
        <w:t>t.i</w:t>
      </w:r>
      <w:proofErr w:type="spellEnd"/>
      <w:r w:rsidRPr="0091477C">
        <w:rPr>
          <w:rFonts w:ascii="Times New Roman" w:hAnsi="Times New Roman" w:cs="Times New Roman"/>
          <w:i/>
          <w:sz w:val="24"/>
          <w:szCs w:val="24"/>
        </w:rPr>
        <w:t>. starpība.</w:t>
      </w:r>
    </w:p>
    <w:p w:rsidR="007372E7" w:rsidRPr="00D85531" w:rsidRDefault="007372E7" w:rsidP="002407D1">
      <w:pPr>
        <w:pStyle w:val="ListParagraph"/>
        <w:spacing w:before="240" w:after="0"/>
        <w:jc w:val="both"/>
        <w:rPr>
          <w:rFonts w:ascii="Times New Roman" w:hAnsi="Times New Roman" w:cs="Times New Roman"/>
          <w:sz w:val="24"/>
          <w:szCs w:val="24"/>
        </w:rPr>
      </w:pPr>
    </w:p>
    <w:p w:rsidR="007372E7" w:rsidRDefault="007372E7" w:rsidP="002407D1">
      <w:pPr>
        <w:pStyle w:val="ListParagraph"/>
        <w:numPr>
          <w:ilvl w:val="0"/>
          <w:numId w:val="1"/>
        </w:numPr>
        <w:spacing w:before="240" w:after="120"/>
        <w:ind w:left="714" w:hanging="357"/>
        <w:jc w:val="both"/>
        <w:rPr>
          <w:rFonts w:ascii="Times New Roman" w:hAnsi="Times New Roman" w:cs="Times New Roman"/>
          <w:sz w:val="24"/>
          <w:szCs w:val="24"/>
        </w:rPr>
      </w:pPr>
      <w:r w:rsidRPr="00B917A6">
        <w:rPr>
          <w:rFonts w:ascii="Times New Roman" w:hAnsi="Times New Roman" w:cs="Times New Roman"/>
          <w:b/>
          <w:sz w:val="24"/>
          <w:szCs w:val="24"/>
        </w:rPr>
        <w:t>4.2. sadaļa precizēta un papildināta</w:t>
      </w:r>
      <w:r w:rsidRPr="00B917A6">
        <w:rPr>
          <w:rFonts w:ascii="Times New Roman" w:hAnsi="Times New Roman" w:cs="Times New Roman"/>
          <w:sz w:val="24"/>
          <w:szCs w:val="24"/>
        </w:rPr>
        <w:t xml:space="preserve"> </w:t>
      </w:r>
      <w:r>
        <w:rPr>
          <w:rFonts w:ascii="Times New Roman" w:hAnsi="Times New Roman" w:cs="Times New Roman"/>
          <w:sz w:val="24"/>
          <w:szCs w:val="24"/>
        </w:rPr>
        <w:t>ar sekojošām norādēm (labots arī tabulas noformējums atbilstoši MK noteikumiem Nr.667)</w:t>
      </w:r>
      <w:r w:rsidRPr="00B917A6">
        <w:rPr>
          <w:rFonts w:ascii="Times New Roman" w:hAnsi="Times New Roman" w:cs="Times New Roman"/>
          <w:sz w:val="24"/>
          <w:szCs w:val="24"/>
        </w:rPr>
        <w:t>:</w:t>
      </w:r>
    </w:p>
    <w:p w:rsidR="007372E7" w:rsidRPr="0091477C" w:rsidRDefault="007372E7" w:rsidP="002407D1">
      <w:pPr>
        <w:spacing w:after="0"/>
        <w:jc w:val="both"/>
        <w:rPr>
          <w:rFonts w:ascii="Times New Roman" w:hAnsi="Times New Roman" w:cs="Times New Roman"/>
          <w:i/>
          <w:sz w:val="24"/>
          <w:szCs w:val="24"/>
        </w:rPr>
      </w:pPr>
      <w:r w:rsidRPr="0091477C">
        <w:rPr>
          <w:rFonts w:ascii="Times New Roman" w:hAnsi="Times New Roman" w:cs="Times New Roman"/>
          <w:bCs/>
          <w:i/>
          <w:iCs/>
          <w:sz w:val="24"/>
          <w:szCs w:val="24"/>
        </w:rPr>
        <w:t>Publicitātes pasākumu izmaksas var būt:</w:t>
      </w:r>
    </w:p>
    <w:p w:rsidR="007372E7" w:rsidRPr="0091477C" w:rsidRDefault="007372E7" w:rsidP="002407D1">
      <w:pPr>
        <w:pStyle w:val="ListParagraph"/>
        <w:jc w:val="both"/>
        <w:rPr>
          <w:rFonts w:ascii="Times New Roman" w:hAnsi="Times New Roman" w:cs="Times New Roman"/>
          <w:bCs/>
          <w:i/>
          <w:iCs/>
          <w:sz w:val="24"/>
          <w:szCs w:val="24"/>
        </w:rPr>
      </w:pPr>
      <w:r w:rsidRPr="0091477C">
        <w:rPr>
          <w:rFonts w:ascii="Times New Roman" w:hAnsi="Times New Roman" w:cs="Times New Roman"/>
          <w:bCs/>
          <w:i/>
          <w:iCs/>
          <w:sz w:val="24"/>
          <w:szCs w:val="24"/>
        </w:rPr>
        <w:t>1)</w:t>
      </w:r>
      <w:r w:rsidRPr="0091477C">
        <w:rPr>
          <w:rFonts w:ascii="Times New Roman" w:hAnsi="Times New Roman" w:cs="Times New Roman"/>
          <w:bCs/>
          <w:i/>
          <w:iCs/>
          <w:sz w:val="24"/>
          <w:szCs w:val="24"/>
        </w:rPr>
        <w:tab/>
      </w:r>
      <w:r w:rsidRPr="0091477C">
        <w:rPr>
          <w:rFonts w:ascii="Times New Roman" w:hAnsi="Times New Roman" w:cs="Times New Roman"/>
          <w:b/>
          <w:bCs/>
          <w:i/>
          <w:iCs/>
          <w:sz w:val="24"/>
          <w:szCs w:val="24"/>
        </w:rPr>
        <w:t>attiecināmās izmaksas</w:t>
      </w:r>
      <w:r w:rsidRPr="0091477C">
        <w:rPr>
          <w:rFonts w:ascii="Times New Roman" w:hAnsi="Times New Roman" w:cs="Times New Roman"/>
          <w:bCs/>
          <w:i/>
          <w:iCs/>
          <w:sz w:val="24"/>
          <w:szCs w:val="24"/>
        </w:rPr>
        <w:t xml:space="preserve"> - publicitātes pasākumu izmaksas ir attiecināmās izmaksas, ja tās nepārsniedz normatīvajos aktos noteiktās obligātās prasības (tai skaitā lielformāta informācijas stenda un informācijas plāksnes izmaksas), un  atbilst efektivitātes, lietderības un saimnieciskuma principiem  saskaņā ar MK not.Nr.667.8.6.punktu un MK noteikumu Nr.749 8.;9.punktiem . Lai izmaksas publicitātes pasākumiem būtu uzskatāmas par attiecināmām izmaksām, tās ir jāiekļauj projekta izmaksās, attiecīgi vai nu kā atsevišķs pakalpojumu līgums vai jāiekļauj projekta būvdarbu līgumā kā attiecināmās izmaksas.</w:t>
      </w:r>
    </w:p>
    <w:p w:rsidR="007372E7" w:rsidRPr="0091477C" w:rsidRDefault="007372E7" w:rsidP="002407D1">
      <w:pPr>
        <w:pStyle w:val="ListParagraph"/>
        <w:jc w:val="both"/>
        <w:rPr>
          <w:rFonts w:ascii="Times New Roman" w:hAnsi="Times New Roman" w:cs="Times New Roman"/>
          <w:bCs/>
          <w:i/>
          <w:iCs/>
          <w:sz w:val="24"/>
          <w:szCs w:val="24"/>
        </w:rPr>
      </w:pPr>
      <w:r w:rsidRPr="0091477C">
        <w:rPr>
          <w:rFonts w:ascii="Times New Roman" w:hAnsi="Times New Roman" w:cs="Times New Roman"/>
          <w:bCs/>
          <w:i/>
          <w:iCs/>
          <w:sz w:val="24"/>
          <w:szCs w:val="24"/>
        </w:rPr>
        <w:t>2)</w:t>
      </w:r>
      <w:r w:rsidRPr="0091477C">
        <w:rPr>
          <w:rFonts w:ascii="Times New Roman" w:hAnsi="Times New Roman" w:cs="Times New Roman"/>
          <w:bCs/>
          <w:i/>
          <w:iCs/>
          <w:sz w:val="24"/>
          <w:szCs w:val="24"/>
        </w:rPr>
        <w:tab/>
      </w:r>
      <w:r>
        <w:rPr>
          <w:rFonts w:ascii="Times New Roman" w:hAnsi="Times New Roman" w:cs="Times New Roman"/>
          <w:b/>
          <w:bCs/>
          <w:i/>
          <w:iCs/>
          <w:sz w:val="24"/>
          <w:szCs w:val="24"/>
        </w:rPr>
        <w:t>neattiecināmās izmaksas</w:t>
      </w:r>
      <w:r w:rsidRPr="0091477C">
        <w:rPr>
          <w:rFonts w:ascii="Times New Roman" w:hAnsi="Times New Roman" w:cs="Times New Roman"/>
          <w:bCs/>
          <w:i/>
          <w:iCs/>
          <w:sz w:val="24"/>
          <w:szCs w:val="24"/>
        </w:rPr>
        <w:t>, ja tās iekļautas uzņēmuma regulārajos izdevumos un darbības veic uzņēmuma darbinieki.</w:t>
      </w:r>
    </w:p>
    <w:p w:rsidR="007372E7" w:rsidRPr="0091477C" w:rsidRDefault="007372E7" w:rsidP="002407D1">
      <w:pPr>
        <w:pStyle w:val="ListParagraph"/>
        <w:jc w:val="both"/>
        <w:rPr>
          <w:rFonts w:ascii="Times New Roman" w:hAnsi="Times New Roman" w:cs="Times New Roman"/>
          <w:bCs/>
          <w:i/>
          <w:iCs/>
          <w:sz w:val="24"/>
          <w:szCs w:val="24"/>
        </w:rPr>
      </w:pPr>
      <w:r w:rsidRPr="0091477C">
        <w:rPr>
          <w:rFonts w:ascii="Times New Roman" w:hAnsi="Times New Roman" w:cs="Times New Roman"/>
          <w:bCs/>
          <w:i/>
          <w:iCs/>
          <w:sz w:val="24"/>
          <w:szCs w:val="24"/>
        </w:rPr>
        <w:t>Tabulas ailē „Izpildītājs” jānorāda, kura līguma ietvaros paredzēti attiecīgie publicitātes pasākumi</w:t>
      </w:r>
      <w:r>
        <w:rPr>
          <w:rFonts w:ascii="Times New Roman" w:hAnsi="Times New Roman" w:cs="Times New Roman"/>
          <w:bCs/>
          <w:i/>
          <w:iCs/>
          <w:sz w:val="24"/>
          <w:szCs w:val="24"/>
        </w:rPr>
        <w:t xml:space="preserve">. </w:t>
      </w:r>
      <w:r w:rsidRPr="0091477C">
        <w:rPr>
          <w:rFonts w:ascii="Times New Roman" w:hAnsi="Times New Roman" w:cs="Times New Roman"/>
          <w:bCs/>
          <w:i/>
          <w:iCs/>
          <w:sz w:val="24"/>
          <w:szCs w:val="24"/>
        </w:rPr>
        <w:t xml:space="preserve">Tabulas ailē „Prognozētās izmaksas” jānorāda plānotās izmaksas. Atsevišķu pasākumu realizācijai izmaksas var nebūt plānotas, ja tās tiek iekļautas uzņēmuma regulārajos izdevumos un darbības veic uzņēmuma darbinieki. Ja attiecināmās publicitātes pasākumu izmaksas tiks iekļautas būvniecības līgumā ar uzņēmēju, tas ir jāpaskaidro tabulā, un šādā gadījumā konkrēts izmaksu apjoms tabulas ailē var netikt norādīts. </w:t>
      </w:r>
    </w:p>
    <w:p w:rsidR="007372E7" w:rsidRPr="0091477C" w:rsidRDefault="007372E7" w:rsidP="002407D1">
      <w:pPr>
        <w:pStyle w:val="ListParagraph"/>
        <w:spacing w:after="0"/>
        <w:jc w:val="both"/>
        <w:rPr>
          <w:rFonts w:ascii="Times New Roman" w:hAnsi="Times New Roman" w:cs="Times New Roman"/>
          <w:bCs/>
          <w:i/>
          <w:iCs/>
          <w:sz w:val="24"/>
          <w:szCs w:val="24"/>
        </w:rPr>
      </w:pPr>
      <w:r w:rsidRPr="0091477C">
        <w:rPr>
          <w:rFonts w:ascii="Times New Roman" w:hAnsi="Times New Roman" w:cs="Times New Roman"/>
          <w:bCs/>
          <w:i/>
          <w:iCs/>
          <w:sz w:val="24"/>
          <w:szCs w:val="24"/>
        </w:rPr>
        <w:lastRenderedPageBreak/>
        <w:t>4.sadaļas korekta aizpildīšana nodrošina projekta atbilstības izvērtējumu 27.kritērijam.</w:t>
      </w:r>
    </w:p>
    <w:p w:rsidR="007372E7" w:rsidRPr="0091477C" w:rsidRDefault="007372E7" w:rsidP="002407D1">
      <w:pPr>
        <w:pStyle w:val="ListParagraph"/>
        <w:jc w:val="both"/>
        <w:rPr>
          <w:rFonts w:ascii="Times New Roman" w:hAnsi="Times New Roman" w:cs="Times New Roman"/>
          <w:bCs/>
          <w:i/>
          <w:iCs/>
          <w:sz w:val="24"/>
          <w:szCs w:val="24"/>
        </w:rPr>
      </w:pPr>
      <w:r w:rsidRPr="0091477C">
        <w:rPr>
          <w:rFonts w:ascii="Times New Roman" w:hAnsi="Times New Roman" w:cs="Times New Roman"/>
          <w:bCs/>
          <w:i/>
          <w:iCs/>
          <w:sz w:val="24"/>
          <w:szCs w:val="24"/>
        </w:rPr>
        <w:t>Piemēram:</w:t>
      </w:r>
    </w:p>
    <w:tbl>
      <w:tblPr>
        <w:tblW w:w="9473" w:type="dxa"/>
        <w:tblLook w:val="01E0" w:firstRow="1" w:lastRow="1" w:firstColumn="1" w:lastColumn="1" w:noHBand="0" w:noVBand="0"/>
      </w:tblPr>
      <w:tblGrid>
        <w:gridCol w:w="1526"/>
        <w:gridCol w:w="2693"/>
        <w:gridCol w:w="2342"/>
        <w:gridCol w:w="1344"/>
        <w:gridCol w:w="1568"/>
      </w:tblGrid>
      <w:tr w:rsidR="007372E7" w:rsidRPr="006C294C" w:rsidTr="00CF6B3D">
        <w:trPr>
          <w:trHeight w:val="806"/>
        </w:trPr>
        <w:tc>
          <w:tcPr>
            <w:tcW w:w="1526" w:type="dxa"/>
            <w:tcBorders>
              <w:top w:val="single" w:sz="4" w:space="0" w:color="auto"/>
              <w:left w:val="single" w:sz="4" w:space="0" w:color="auto"/>
              <w:bottom w:val="single" w:sz="4" w:space="0" w:color="auto"/>
              <w:right w:val="single" w:sz="4" w:space="0" w:color="auto"/>
            </w:tcBorders>
          </w:tcPr>
          <w:p w:rsidR="007372E7" w:rsidRPr="00D85531" w:rsidRDefault="007372E7" w:rsidP="002407D1">
            <w:pPr>
              <w:tabs>
                <w:tab w:val="left" w:pos="360"/>
              </w:tabs>
              <w:spacing w:line="240" w:lineRule="auto"/>
              <w:jc w:val="both"/>
              <w:rPr>
                <w:rFonts w:ascii="Times New Roman" w:hAnsi="Times New Roman" w:cs="Times New Roman"/>
                <w:b/>
                <w:sz w:val="24"/>
                <w:szCs w:val="24"/>
              </w:rPr>
            </w:pPr>
            <w:r w:rsidRPr="00D85531">
              <w:rPr>
                <w:rFonts w:ascii="Times New Roman" w:hAnsi="Times New Roman" w:cs="Times New Roman"/>
                <w:b/>
                <w:sz w:val="24"/>
                <w:szCs w:val="24"/>
              </w:rPr>
              <w:t>Pasākuma veids</w:t>
            </w:r>
          </w:p>
        </w:tc>
        <w:tc>
          <w:tcPr>
            <w:tcW w:w="2693" w:type="dxa"/>
            <w:tcBorders>
              <w:top w:val="single" w:sz="4" w:space="0" w:color="auto"/>
              <w:left w:val="single" w:sz="4" w:space="0" w:color="auto"/>
              <w:bottom w:val="single" w:sz="4" w:space="0" w:color="auto"/>
              <w:right w:val="single" w:sz="4" w:space="0" w:color="auto"/>
            </w:tcBorders>
          </w:tcPr>
          <w:p w:rsidR="007372E7" w:rsidRPr="00D85531" w:rsidRDefault="007372E7" w:rsidP="002407D1">
            <w:pPr>
              <w:tabs>
                <w:tab w:val="left" w:pos="360"/>
              </w:tabs>
              <w:spacing w:line="240" w:lineRule="auto"/>
              <w:jc w:val="both"/>
              <w:rPr>
                <w:rFonts w:ascii="Times New Roman" w:hAnsi="Times New Roman" w:cs="Times New Roman"/>
                <w:b/>
                <w:sz w:val="24"/>
                <w:szCs w:val="24"/>
              </w:rPr>
            </w:pPr>
            <w:r w:rsidRPr="00D85531">
              <w:rPr>
                <w:rFonts w:ascii="Times New Roman" w:hAnsi="Times New Roman" w:cs="Times New Roman"/>
                <w:b/>
                <w:sz w:val="24"/>
                <w:szCs w:val="24"/>
              </w:rPr>
              <w:t>Pasākuma raksturojums, apjoms</w:t>
            </w:r>
          </w:p>
        </w:tc>
        <w:tc>
          <w:tcPr>
            <w:tcW w:w="2342" w:type="dxa"/>
            <w:tcBorders>
              <w:top w:val="single" w:sz="4" w:space="0" w:color="auto"/>
              <w:left w:val="single" w:sz="4" w:space="0" w:color="auto"/>
              <w:bottom w:val="single" w:sz="4" w:space="0" w:color="auto"/>
              <w:right w:val="single" w:sz="4" w:space="0" w:color="auto"/>
            </w:tcBorders>
          </w:tcPr>
          <w:p w:rsidR="007372E7" w:rsidRPr="00D85531" w:rsidRDefault="007372E7" w:rsidP="002407D1">
            <w:pPr>
              <w:tabs>
                <w:tab w:val="left" w:pos="360"/>
              </w:tabs>
              <w:spacing w:line="240" w:lineRule="auto"/>
              <w:jc w:val="both"/>
              <w:rPr>
                <w:rFonts w:ascii="Times New Roman" w:hAnsi="Times New Roman" w:cs="Times New Roman"/>
                <w:b/>
                <w:sz w:val="24"/>
                <w:szCs w:val="24"/>
              </w:rPr>
            </w:pPr>
            <w:r w:rsidRPr="00D85531">
              <w:rPr>
                <w:rFonts w:ascii="Times New Roman" w:hAnsi="Times New Roman" w:cs="Times New Roman"/>
                <w:b/>
                <w:sz w:val="24"/>
                <w:szCs w:val="24"/>
              </w:rPr>
              <w:t>Pasākuma realizācijas periods, biežums</w:t>
            </w:r>
          </w:p>
        </w:tc>
        <w:tc>
          <w:tcPr>
            <w:tcW w:w="1344" w:type="dxa"/>
            <w:tcBorders>
              <w:top w:val="single" w:sz="4" w:space="0" w:color="auto"/>
              <w:left w:val="single" w:sz="4" w:space="0" w:color="auto"/>
              <w:bottom w:val="single" w:sz="4" w:space="0" w:color="auto"/>
              <w:right w:val="single" w:sz="4" w:space="0" w:color="auto"/>
            </w:tcBorders>
          </w:tcPr>
          <w:p w:rsidR="007372E7" w:rsidRPr="00D85531" w:rsidRDefault="007372E7" w:rsidP="002407D1">
            <w:pPr>
              <w:tabs>
                <w:tab w:val="left" w:pos="360"/>
              </w:tabs>
              <w:spacing w:line="240" w:lineRule="auto"/>
              <w:jc w:val="both"/>
              <w:rPr>
                <w:rFonts w:ascii="Times New Roman" w:hAnsi="Times New Roman" w:cs="Times New Roman"/>
                <w:b/>
                <w:sz w:val="24"/>
                <w:szCs w:val="24"/>
              </w:rPr>
            </w:pPr>
            <w:r w:rsidRPr="00D85531">
              <w:rPr>
                <w:rFonts w:ascii="Times New Roman" w:hAnsi="Times New Roman" w:cs="Times New Roman"/>
                <w:b/>
                <w:sz w:val="24"/>
                <w:szCs w:val="24"/>
              </w:rPr>
              <w:t>Izpildītājs</w:t>
            </w:r>
          </w:p>
        </w:tc>
        <w:tc>
          <w:tcPr>
            <w:tcW w:w="1568" w:type="dxa"/>
            <w:tcBorders>
              <w:top w:val="single" w:sz="4" w:space="0" w:color="auto"/>
              <w:left w:val="single" w:sz="4" w:space="0" w:color="auto"/>
              <w:bottom w:val="single" w:sz="4" w:space="0" w:color="auto"/>
              <w:right w:val="single" w:sz="4" w:space="0" w:color="auto"/>
            </w:tcBorders>
          </w:tcPr>
          <w:p w:rsidR="007372E7" w:rsidRPr="00D85531" w:rsidRDefault="007372E7" w:rsidP="002407D1">
            <w:pPr>
              <w:tabs>
                <w:tab w:val="left" w:pos="360"/>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Prognozētās izmaksas </w:t>
            </w:r>
            <w:r w:rsidRPr="00D85531">
              <w:rPr>
                <w:rFonts w:ascii="Times New Roman" w:hAnsi="Times New Roman" w:cs="Times New Roman"/>
                <w:b/>
                <w:sz w:val="24"/>
                <w:szCs w:val="24"/>
              </w:rPr>
              <w:t>(ja tiek paredzētas)</w:t>
            </w:r>
          </w:p>
        </w:tc>
      </w:tr>
    </w:tbl>
    <w:p w:rsidR="007372E7" w:rsidRDefault="007372E7" w:rsidP="002407D1">
      <w:pPr>
        <w:jc w:val="both"/>
        <w:rPr>
          <w:rFonts w:ascii="Times New Roman" w:hAnsi="Times New Roman" w:cs="Times New Roman"/>
          <w:sz w:val="24"/>
          <w:szCs w:val="24"/>
        </w:rPr>
      </w:pPr>
    </w:p>
    <w:p w:rsidR="007372E7" w:rsidRDefault="007372E7" w:rsidP="002407D1">
      <w:pPr>
        <w:pStyle w:val="ListParagraph"/>
        <w:numPr>
          <w:ilvl w:val="0"/>
          <w:numId w:val="1"/>
        </w:numPr>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sidRPr="00B917A6">
        <w:rPr>
          <w:rFonts w:ascii="Times New Roman" w:eastAsia="Times New Roman" w:hAnsi="Times New Roman" w:cs="Times New Roman"/>
          <w:b/>
          <w:sz w:val="24"/>
          <w:szCs w:val="24"/>
        </w:rPr>
        <w:t>.sadaļa papildināta</w:t>
      </w:r>
      <w:r w:rsidRPr="00B917A6">
        <w:rPr>
          <w:rFonts w:ascii="Times New Roman" w:eastAsia="Times New Roman" w:hAnsi="Times New Roman" w:cs="Times New Roman"/>
          <w:sz w:val="24"/>
          <w:szCs w:val="24"/>
        </w:rPr>
        <w:t xml:space="preserve"> ar sekojošu norādi:</w:t>
      </w:r>
    </w:p>
    <w:p w:rsidR="007372E7" w:rsidRPr="004F29EC" w:rsidRDefault="007372E7" w:rsidP="002407D1">
      <w:pPr>
        <w:tabs>
          <w:tab w:val="left" w:pos="900"/>
        </w:tabs>
        <w:jc w:val="both"/>
        <w:rPr>
          <w:rFonts w:ascii="Times New Roman" w:hAnsi="Times New Roman" w:cs="Times New Roman"/>
          <w:sz w:val="24"/>
          <w:szCs w:val="24"/>
        </w:rPr>
      </w:pPr>
      <w:r w:rsidRPr="004F29EC">
        <w:rPr>
          <w:rFonts w:ascii="Times New Roman" w:hAnsi="Times New Roman" w:cs="Times New Roman"/>
          <w:sz w:val="24"/>
          <w:szCs w:val="24"/>
        </w:rPr>
        <w:t>Piezīme. Valsts budžeta dotāciju un pašvaldības finansējumu aktivitātes projektiem nepiešķir.</w:t>
      </w:r>
    </w:p>
    <w:p w:rsidR="007372E7" w:rsidRPr="004F29EC" w:rsidRDefault="007372E7" w:rsidP="002407D1">
      <w:pPr>
        <w:spacing w:after="120"/>
        <w:ind w:right="6"/>
        <w:jc w:val="both"/>
        <w:rPr>
          <w:rFonts w:ascii="Times New Roman" w:hAnsi="Times New Roman" w:cs="Times New Roman"/>
          <w:i/>
          <w:sz w:val="24"/>
          <w:szCs w:val="24"/>
        </w:rPr>
      </w:pPr>
      <w:r w:rsidRPr="004F29EC">
        <w:rPr>
          <w:rFonts w:ascii="Times New Roman" w:hAnsi="Times New Roman" w:cs="Times New Roman"/>
          <w:i/>
          <w:sz w:val="24"/>
          <w:szCs w:val="24"/>
        </w:rPr>
        <w:t xml:space="preserve">Parādīt tabulā finansējuma detālu sadalījumu starp finansētājiem un finansējuma sadalījumu pa gadiem. Projekta ES fonda finansējuma atbalsta likme nedrīkst pārsniegt 85% no attiecināmajām izmaksām. Kolonna „Privātais finansējums” attiecas arī uz pašvaldību kapitālsabiedrībām. Finanšu plāna veidne tiek aizpildīta, pamatojoties uz izstrādāto naudas plūsmas prognozi. </w:t>
      </w:r>
    </w:p>
    <w:p w:rsidR="007372E7" w:rsidRDefault="007372E7" w:rsidP="002407D1">
      <w:pPr>
        <w:spacing w:after="120"/>
        <w:jc w:val="both"/>
        <w:rPr>
          <w:rFonts w:ascii="Times New Roman" w:hAnsi="Times New Roman" w:cs="Times New Roman"/>
          <w:i/>
          <w:sz w:val="24"/>
          <w:szCs w:val="24"/>
        </w:rPr>
      </w:pPr>
      <w:r w:rsidRPr="004F29EC">
        <w:rPr>
          <w:rFonts w:ascii="Times New Roman" w:hAnsi="Times New Roman" w:cs="Times New Roman"/>
          <w:i/>
          <w:sz w:val="24"/>
          <w:szCs w:val="24"/>
        </w:rPr>
        <w:t xml:space="preserve">Papildus </w:t>
      </w:r>
      <w:proofErr w:type="spellStart"/>
      <w:r w:rsidRPr="004F29EC">
        <w:rPr>
          <w:rFonts w:ascii="Times New Roman" w:hAnsi="Times New Roman" w:cs="Times New Roman"/>
          <w:i/>
          <w:sz w:val="24"/>
          <w:szCs w:val="24"/>
        </w:rPr>
        <w:t>sk</w:t>
      </w:r>
      <w:proofErr w:type="spellEnd"/>
      <w:r w:rsidRPr="004F29EC">
        <w:rPr>
          <w:rFonts w:ascii="Times New Roman" w:hAnsi="Times New Roman" w:cs="Times New Roman"/>
          <w:i/>
          <w:sz w:val="24"/>
          <w:szCs w:val="24"/>
        </w:rPr>
        <w:t>. jēdzienu skaidrojumus „attiecināmās izmaksas”; „neattiecināmās izmaksas”; „atbalstāmās darbības”;</w:t>
      </w:r>
      <w:r>
        <w:rPr>
          <w:rFonts w:ascii="Times New Roman" w:hAnsi="Times New Roman" w:cs="Times New Roman"/>
          <w:i/>
          <w:sz w:val="24"/>
          <w:szCs w:val="24"/>
        </w:rPr>
        <w:t>.</w:t>
      </w:r>
      <w:r w:rsidRPr="004F29EC">
        <w:rPr>
          <w:rFonts w:ascii="Times New Roman" w:hAnsi="Times New Roman" w:cs="Times New Roman"/>
          <w:i/>
          <w:sz w:val="24"/>
          <w:szCs w:val="24"/>
        </w:rPr>
        <w:t xml:space="preserve"> </w:t>
      </w:r>
    </w:p>
    <w:p w:rsidR="007372E7" w:rsidRPr="004F29EC" w:rsidRDefault="007372E7" w:rsidP="002407D1">
      <w:pPr>
        <w:spacing w:after="120"/>
        <w:jc w:val="both"/>
        <w:rPr>
          <w:rFonts w:ascii="Times New Roman" w:hAnsi="Times New Roman" w:cs="Times New Roman"/>
          <w:i/>
          <w:sz w:val="24"/>
          <w:szCs w:val="24"/>
        </w:rPr>
      </w:pPr>
      <w:r w:rsidRPr="004F29EC">
        <w:rPr>
          <w:rFonts w:ascii="Times New Roman" w:hAnsi="Times New Roman" w:cs="Times New Roman"/>
          <w:i/>
          <w:sz w:val="24"/>
          <w:szCs w:val="24"/>
        </w:rPr>
        <w:t>Finansēšanas plāna veidne tiek aizpildīta, pamatojoties uz izstrādāto naudas plūsmas prognozi:</w:t>
      </w:r>
    </w:p>
    <w:p w:rsidR="007372E7" w:rsidRPr="004F29EC" w:rsidRDefault="007372E7" w:rsidP="002407D1">
      <w:pPr>
        <w:numPr>
          <w:ilvl w:val="1"/>
          <w:numId w:val="2"/>
        </w:numPr>
        <w:spacing w:after="0" w:line="240" w:lineRule="auto"/>
        <w:jc w:val="both"/>
        <w:rPr>
          <w:rFonts w:ascii="Times New Roman" w:hAnsi="Times New Roman" w:cs="Times New Roman"/>
          <w:i/>
          <w:sz w:val="24"/>
          <w:szCs w:val="24"/>
        </w:rPr>
      </w:pPr>
      <w:r w:rsidRPr="004F29EC">
        <w:rPr>
          <w:rFonts w:ascii="Times New Roman" w:hAnsi="Times New Roman" w:cs="Times New Roman"/>
          <w:i/>
          <w:sz w:val="24"/>
          <w:szCs w:val="24"/>
        </w:rPr>
        <w:t>no naudas plūsmas prognozes paņem datus par izmaksām (finansējuma saņēmēja izdevumiem) projekta ietvaros pa gadiem;</w:t>
      </w:r>
    </w:p>
    <w:p w:rsidR="007372E7" w:rsidRPr="004F29EC" w:rsidRDefault="007372E7" w:rsidP="002407D1">
      <w:pPr>
        <w:numPr>
          <w:ilvl w:val="1"/>
          <w:numId w:val="2"/>
        </w:numPr>
        <w:spacing w:after="0" w:line="240" w:lineRule="auto"/>
        <w:jc w:val="both"/>
        <w:rPr>
          <w:rFonts w:ascii="Times New Roman" w:hAnsi="Times New Roman" w:cs="Times New Roman"/>
          <w:i/>
          <w:sz w:val="24"/>
          <w:szCs w:val="24"/>
        </w:rPr>
      </w:pPr>
      <w:r w:rsidRPr="004F29EC">
        <w:rPr>
          <w:rFonts w:ascii="Times New Roman" w:hAnsi="Times New Roman" w:cs="Times New Roman"/>
          <w:i/>
          <w:sz w:val="24"/>
          <w:szCs w:val="24"/>
        </w:rPr>
        <w:t>šos datus ieraksta kolonnās 1, 2 un 3.;</w:t>
      </w:r>
    </w:p>
    <w:p w:rsidR="007372E7" w:rsidRPr="004F29EC" w:rsidRDefault="007372E7" w:rsidP="002407D1">
      <w:pPr>
        <w:numPr>
          <w:ilvl w:val="1"/>
          <w:numId w:val="2"/>
        </w:numPr>
        <w:spacing w:after="0" w:line="240" w:lineRule="auto"/>
        <w:jc w:val="both"/>
        <w:rPr>
          <w:rFonts w:ascii="Times New Roman" w:hAnsi="Times New Roman" w:cs="Times New Roman"/>
          <w:i/>
          <w:sz w:val="24"/>
          <w:szCs w:val="24"/>
        </w:rPr>
      </w:pPr>
      <w:r w:rsidRPr="004F29EC">
        <w:rPr>
          <w:rFonts w:ascii="Times New Roman" w:hAnsi="Times New Roman" w:cs="Times New Roman"/>
          <w:i/>
          <w:sz w:val="24"/>
          <w:szCs w:val="24"/>
        </w:rPr>
        <w:t>tālāk kolonnās 5 un 6 ieraksta sadalījumu pa finanšu avotiem, pieņemot, ka izmaksas sadalās pa finanšu avotiem katru gadu vienmērīgi, attiecīgi proporcijās 85% un 15%;;</w:t>
      </w:r>
    </w:p>
    <w:p w:rsidR="007372E7" w:rsidRPr="004F29EC" w:rsidRDefault="007372E7" w:rsidP="002407D1">
      <w:pPr>
        <w:numPr>
          <w:ilvl w:val="1"/>
          <w:numId w:val="2"/>
        </w:numPr>
        <w:spacing w:after="0" w:line="240" w:lineRule="auto"/>
        <w:jc w:val="both"/>
        <w:rPr>
          <w:rFonts w:ascii="Times New Roman" w:hAnsi="Times New Roman" w:cs="Times New Roman"/>
          <w:i/>
          <w:sz w:val="24"/>
          <w:szCs w:val="24"/>
        </w:rPr>
      </w:pPr>
      <w:r w:rsidRPr="004F29EC">
        <w:rPr>
          <w:rFonts w:ascii="Times New Roman" w:hAnsi="Times New Roman" w:cs="Times New Roman"/>
          <w:i/>
          <w:sz w:val="24"/>
          <w:szCs w:val="24"/>
        </w:rPr>
        <w:t>saskaita rezultātu 4.kolonna un pārbauda tā atbilstību 3.kolonnai.</w:t>
      </w:r>
    </w:p>
    <w:p w:rsidR="007372E7" w:rsidRPr="004F29EC" w:rsidRDefault="007372E7" w:rsidP="002407D1">
      <w:pPr>
        <w:spacing w:after="120"/>
        <w:ind w:left="357"/>
        <w:jc w:val="both"/>
        <w:rPr>
          <w:rFonts w:ascii="Times New Roman" w:eastAsia="Times New Roman" w:hAnsi="Times New Roman" w:cs="Times New Roman"/>
          <w:sz w:val="24"/>
          <w:szCs w:val="24"/>
        </w:rPr>
      </w:pPr>
    </w:p>
    <w:p w:rsidR="007372E7" w:rsidRDefault="007372E7" w:rsidP="002407D1">
      <w:pPr>
        <w:pStyle w:val="ListParagraph"/>
        <w:numPr>
          <w:ilvl w:val="0"/>
          <w:numId w:val="1"/>
        </w:numPr>
        <w:spacing w:after="120"/>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7.3</w:t>
      </w:r>
      <w:r w:rsidRPr="00B917A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B917A6">
        <w:rPr>
          <w:rFonts w:ascii="Times New Roman" w:eastAsia="Times New Roman" w:hAnsi="Times New Roman" w:cs="Times New Roman"/>
          <w:b/>
          <w:sz w:val="24"/>
          <w:szCs w:val="24"/>
        </w:rPr>
        <w:t>sadaļa papildināta</w:t>
      </w:r>
      <w:r w:rsidRPr="00B917A6">
        <w:rPr>
          <w:rFonts w:ascii="Times New Roman" w:eastAsia="Times New Roman" w:hAnsi="Times New Roman" w:cs="Times New Roman"/>
          <w:sz w:val="24"/>
          <w:szCs w:val="24"/>
        </w:rPr>
        <w:t xml:space="preserve"> ar sekojošu norādi: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9"/>
        <w:gridCol w:w="1471"/>
        <w:gridCol w:w="1839"/>
        <w:gridCol w:w="1053"/>
        <w:gridCol w:w="1462"/>
        <w:gridCol w:w="1348"/>
      </w:tblGrid>
      <w:tr w:rsidR="007372E7" w:rsidRPr="006C294C" w:rsidTr="00CF6B3D">
        <w:trPr>
          <w:jc w:val="center"/>
        </w:trPr>
        <w:tc>
          <w:tcPr>
            <w:tcW w:w="791" w:type="pct"/>
          </w:tcPr>
          <w:p w:rsidR="007372E7" w:rsidRPr="006C294C" w:rsidRDefault="007372E7" w:rsidP="002407D1">
            <w:pPr>
              <w:jc w:val="both"/>
              <w:rPr>
                <w:b/>
                <w:sz w:val="20"/>
                <w:szCs w:val="20"/>
              </w:rPr>
            </w:pPr>
            <w:r w:rsidRPr="006C294C">
              <w:rPr>
                <w:b/>
                <w:sz w:val="20"/>
                <w:szCs w:val="20"/>
              </w:rPr>
              <w:t>Ieguldījumu attiecināmo izmaksu kopsumma, LVL</w:t>
            </w:r>
          </w:p>
          <w:p w:rsidR="007372E7" w:rsidRPr="006C294C" w:rsidRDefault="007372E7" w:rsidP="002407D1">
            <w:pPr>
              <w:jc w:val="both"/>
              <w:rPr>
                <w:b/>
                <w:sz w:val="20"/>
                <w:szCs w:val="20"/>
              </w:rPr>
            </w:pPr>
          </w:p>
        </w:tc>
        <w:tc>
          <w:tcPr>
            <w:tcW w:w="863" w:type="pct"/>
          </w:tcPr>
          <w:p w:rsidR="007372E7" w:rsidRPr="006C294C" w:rsidRDefault="007372E7" w:rsidP="002407D1">
            <w:pPr>
              <w:jc w:val="both"/>
              <w:rPr>
                <w:b/>
                <w:sz w:val="20"/>
                <w:szCs w:val="20"/>
              </w:rPr>
            </w:pPr>
            <w:r w:rsidRPr="006C294C">
              <w:rPr>
                <w:b/>
                <w:sz w:val="20"/>
                <w:szCs w:val="20"/>
              </w:rPr>
              <w:t>Finansējuma deficīta likme projektam (%)</w:t>
            </w:r>
          </w:p>
          <w:p w:rsidR="007372E7" w:rsidRPr="006C294C" w:rsidRDefault="007372E7" w:rsidP="002407D1">
            <w:pPr>
              <w:jc w:val="both"/>
              <w:rPr>
                <w:b/>
                <w:sz w:val="20"/>
                <w:szCs w:val="20"/>
              </w:rPr>
            </w:pPr>
          </w:p>
        </w:tc>
        <w:tc>
          <w:tcPr>
            <w:tcW w:w="1079" w:type="pct"/>
          </w:tcPr>
          <w:p w:rsidR="007372E7" w:rsidRPr="006C294C" w:rsidRDefault="007372E7" w:rsidP="002407D1">
            <w:pPr>
              <w:jc w:val="both"/>
              <w:rPr>
                <w:b/>
                <w:sz w:val="20"/>
                <w:szCs w:val="20"/>
              </w:rPr>
            </w:pPr>
            <w:proofErr w:type="spellStart"/>
            <w:r w:rsidRPr="006C294C">
              <w:rPr>
                <w:b/>
                <w:sz w:val="20"/>
                <w:szCs w:val="20"/>
              </w:rPr>
              <w:t>Max</w:t>
            </w:r>
            <w:proofErr w:type="spellEnd"/>
            <w:r w:rsidRPr="006C294C">
              <w:rPr>
                <w:b/>
                <w:sz w:val="20"/>
                <w:szCs w:val="20"/>
              </w:rPr>
              <w:t xml:space="preserve"> </w:t>
            </w:r>
            <w:proofErr w:type="spellStart"/>
            <w:r w:rsidRPr="006C294C">
              <w:rPr>
                <w:b/>
                <w:sz w:val="20"/>
                <w:szCs w:val="20"/>
              </w:rPr>
              <w:t>CRpa</w:t>
            </w:r>
            <w:proofErr w:type="spellEnd"/>
          </w:p>
        </w:tc>
        <w:tc>
          <w:tcPr>
            <w:tcW w:w="618" w:type="pct"/>
          </w:tcPr>
          <w:p w:rsidR="007372E7" w:rsidRPr="006C294C" w:rsidRDefault="007372E7" w:rsidP="002407D1">
            <w:pPr>
              <w:jc w:val="both"/>
              <w:rPr>
                <w:b/>
                <w:sz w:val="20"/>
                <w:szCs w:val="20"/>
              </w:rPr>
            </w:pPr>
            <w:r w:rsidRPr="006C294C">
              <w:rPr>
                <w:b/>
                <w:sz w:val="20"/>
                <w:szCs w:val="20"/>
              </w:rPr>
              <w:t>Lēmuma summa, LVL</w:t>
            </w:r>
          </w:p>
        </w:tc>
        <w:tc>
          <w:tcPr>
            <w:tcW w:w="858" w:type="pct"/>
          </w:tcPr>
          <w:p w:rsidR="007372E7" w:rsidRPr="006C294C" w:rsidRDefault="007372E7" w:rsidP="002407D1">
            <w:pPr>
              <w:jc w:val="both"/>
              <w:rPr>
                <w:b/>
                <w:sz w:val="20"/>
                <w:szCs w:val="20"/>
              </w:rPr>
            </w:pPr>
            <w:r w:rsidRPr="006C294C">
              <w:rPr>
                <w:b/>
                <w:sz w:val="20"/>
                <w:szCs w:val="20"/>
              </w:rPr>
              <w:t>Kohēzijas fonda ieguldījums (%)</w:t>
            </w:r>
          </w:p>
        </w:tc>
        <w:tc>
          <w:tcPr>
            <w:tcW w:w="791" w:type="pct"/>
          </w:tcPr>
          <w:p w:rsidR="007372E7" w:rsidRPr="006C294C" w:rsidRDefault="007372E7" w:rsidP="002407D1">
            <w:pPr>
              <w:jc w:val="both"/>
              <w:rPr>
                <w:b/>
                <w:sz w:val="20"/>
                <w:szCs w:val="20"/>
              </w:rPr>
            </w:pPr>
            <w:r w:rsidRPr="006C294C">
              <w:rPr>
                <w:b/>
                <w:sz w:val="20"/>
                <w:szCs w:val="20"/>
              </w:rPr>
              <w:t>Kohēzijas fonda ieguldījums (LVL)</w:t>
            </w:r>
          </w:p>
        </w:tc>
      </w:tr>
      <w:tr w:rsidR="007372E7" w:rsidRPr="006C294C" w:rsidTr="00CF6B3D">
        <w:trPr>
          <w:jc w:val="center"/>
        </w:trPr>
        <w:tc>
          <w:tcPr>
            <w:tcW w:w="791" w:type="pct"/>
          </w:tcPr>
          <w:p w:rsidR="007372E7" w:rsidRPr="006C294C" w:rsidRDefault="007372E7" w:rsidP="002407D1">
            <w:pPr>
              <w:jc w:val="both"/>
              <w:rPr>
                <w:b/>
              </w:rPr>
            </w:pPr>
            <w:r w:rsidRPr="006C294C">
              <w:rPr>
                <w:b/>
              </w:rPr>
              <w:t>1</w:t>
            </w:r>
          </w:p>
        </w:tc>
        <w:tc>
          <w:tcPr>
            <w:tcW w:w="863" w:type="pct"/>
          </w:tcPr>
          <w:p w:rsidR="007372E7" w:rsidRPr="006C294C" w:rsidRDefault="007372E7" w:rsidP="002407D1">
            <w:pPr>
              <w:jc w:val="both"/>
              <w:rPr>
                <w:b/>
              </w:rPr>
            </w:pPr>
            <w:r w:rsidRPr="006C294C">
              <w:rPr>
                <w:b/>
              </w:rPr>
              <w:t>2</w:t>
            </w:r>
          </w:p>
        </w:tc>
        <w:tc>
          <w:tcPr>
            <w:tcW w:w="1079" w:type="pct"/>
          </w:tcPr>
          <w:p w:rsidR="007372E7" w:rsidRPr="006C294C" w:rsidRDefault="007372E7" w:rsidP="002407D1">
            <w:pPr>
              <w:jc w:val="both"/>
              <w:rPr>
                <w:b/>
              </w:rPr>
            </w:pPr>
            <w:r w:rsidRPr="006C294C">
              <w:rPr>
                <w:b/>
              </w:rPr>
              <w:t>3</w:t>
            </w:r>
          </w:p>
        </w:tc>
        <w:tc>
          <w:tcPr>
            <w:tcW w:w="618" w:type="pct"/>
          </w:tcPr>
          <w:p w:rsidR="007372E7" w:rsidRPr="006C294C" w:rsidRDefault="007372E7" w:rsidP="002407D1">
            <w:pPr>
              <w:jc w:val="both"/>
              <w:rPr>
                <w:b/>
              </w:rPr>
            </w:pPr>
            <w:r w:rsidRPr="006C294C">
              <w:rPr>
                <w:b/>
              </w:rPr>
              <w:t>4=1</w:t>
            </w:r>
            <w:r w:rsidRPr="006C294C">
              <w:t>×</w:t>
            </w:r>
            <w:r w:rsidRPr="006C294C">
              <w:rPr>
                <w:b/>
              </w:rPr>
              <w:t>2</w:t>
            </w:r>
          </w:p>
        </w:tc>
        <w:tc>
          <w:tcPr>
            <w:tcW w:w="858" w:type="pct"/>
          </w:tcPr>
          <w:p w:rsidR="007372E7" w:rsidRPr="006C294C" w:rsidRDefault="007372E7" w:rsidP="002407D1">
            <w:pPr>
              <w:jc w:val="both"/>
              <w:rPr>
                <w:b/>
              </w:rPr>
            </w:pPr>
            <w:r w:rsidRPr="006C294C">
              <w:rPr>
                <w:b/>
              </w:rPr>
              <w:t>5=6:1</w:t>
            </w:r>
          </w:p>
        </w:tc>
        <w:tc>
          <w:tcPr>
            <w:tcW w:w="791" w:type="pct"/>
          </w:tcPr>
          <w:p w:rsidR="007372E7" w:rsidRPr="006C294C" w:rsidRDefault="007372E7" w:rsidP="002407D1">
            <w:pPr>
              <w:jc w:val="both"/>
              <w:rPr>
                <w:b/>
              </w:rPr>
            </w:pPr>
            <w:r w:rsidRPr="006C294C">
              <w:rPr>
                <w:b/>
              </w:rPr>
              <w:t>6=4</w:t>
            </w:r>
            <w:r w:rsidRPr="006C294C">
              <w:t>×</w:t>
            </w:r>
            <w:r w:rsidRPr="006C294C">
              <w:rPr>
                <w:b/>
              </w:rPr>
              <w:t>3</w:t>
            </w:r>
          </w:p>
        </w:tc>
      </w:tr>
      <w:tr w:rsidR="007372E7" w:rsidRPr="003E0CDC" w:rsidTr="00CF6B3D">
        <w:trPr>
          <w:jc w:val="center"/>
        </w:trPr>
        <w:tc>
          <w:tcPr>
            <w:tcW w:w="791" w:type="pct"/>
          </w:tcPr>
          <w:p w:rsidR="007372E7" w:rsidRPr="006C294C" w:rsidRDefault="007372E7" w:rsidP="002407D1">
            <w:pPr>
              <w:jc w:val="both"/>
              <w:rPr>
                <w:b/>
              </w:rPr>
            </w:pPr>
          </w:p>
        </w:tc>
        <w:tc>
          <w:tcPr>
            <w:tcW w:w="863" w:type="pct"/>
          </w:tcPr>
          <w:p w:rsidR="007372E7" w:rsidRPr="006C294C" w:rsidRDefault="007372E7" w:rsidP="002407D1">
            <w:pPr>
              <w:jc w:val="both"/>
              <w:rPr>
                <w:b/>
              </w:rPr>
            </w:pPr>
          </w:p>
        </w:tc>
        <w:tc>
          <w:tcPr>
            <w:tcW w:w="1079" w:type="pct"/>
          </w:tcPr>
          <w:p w:rsidR="007372E7" w:rsidRPr="006C294C" w:rsidRDefault="007372E7" w:rsidP="002407D1">
            <w:pPr>
              <w:jc w:val="both"/>
              <w:rPr>
                <w:b/>
              </w:rPr>
            </w:pPr>
          </w:p>
        </w:tc>
        <w:tc>
          <w:tcPr>
            <w:tcW w:w="618" w:type="pct"/>
          </w:tcPr>
          <w:p w:rsidR="007372E7" w:rsidRPr="006C294C" w:rsidRDefault="007372E7" w:rsidP="002407D1">
            <w:pPr>
              <w:jc w:val="both"/>
              <w:rPr>
                <w:b/>
              </w:rPr>
            </w:pPr>
          </w:p>
        </w:tc>
        <w:tc>
          <w:tcPr>
            <w:tcW w:w="858" w:type="pct"/>
          </w:tcPr>
          <w:p w:rsidR="007372E7" w:rsidRPr="006C294C" w:rsidRDefault="007372E7" w:rsidP="002407D1">
            <w:pPr>
              <w:jc w:val="both"/>
              <w:rPr>
                <w:b/>
              </w:rPr>
            </w:pPr>
          </w:p>
        </w:tc>
        <w:tc>
          <w:tcPr>
            <w:tcW w:w="791" w:type="pct"/>
          </w:tcPr>
          <w:p w:rsidR="007372E7" w:rsidRPr="003E0CDC" w:rsidRDefault="007372E7" w:rsidP="002407D1">
            <w:pPr>
              <w:jc w:val="both"/>
              <w:rPr>
                <w:b/>
                <w:color w:val="FF0000"/>
              </w:rPr>
            </w:pPr>
            <w:r w:rsidRPr="003E0CDC">
              <w:rPr>
                <w:b/>
                <w:color w:val="FF0000"/>
              </w:rPr>
              <w:t xml:space="preserve">Nedrīkst pārsniegt MK </w:t>
            </w:r>
            <w:r w:rsidRPr="003E0CDC">
              <w:rPr>
                <w:b/>
                <w:color w:val="FF0000"/>
              </w:rPr>
              <w:lastRenderedPageBreak/>
              <w:t>not.Nr.</w:t>
            </w:r>
            <w:r>
              <w:rPr>
                <w:b/>
                <w:color w:val="FF0000"/>
              </w:rPr>
              <w:t>667 2</w:t>
            </w:r>
            <w:r w:rsidRPr="003E0CDC">
              <w:rPr>
                <w:b/>
                <w:color w:val="FF0000"/>
              </w:rPr>
              <w:t>.pielikumā projektam noteikto maksimālo apjomu*</w:t>
            </w:r>
          </w:p>
        </w:tc>
      </w:tr>
    </w:tbl>
    <w:p w:rsidR="007372E7" w:rsidRPr="00AB5C89" w:rsidRDefault="007372E7" w:rsidP="002407D1">
      <w:pPr>
        <w:spacing w:after="120"/>
        <w:ind w:left="357"/>
        <w:jc w:val="both"/>
        <w:rPr>
          <w:rFonts w:ascii="Times New Roman" w:eastAsia="Times New Roman" w:hAnsi="Times New Roman" w:cs="Times New Roman"/>
          <w:sz w:val="24"/>
          <w:szCs w:val="24"/>
        </w:rPr>
      </w:pPr>
    </w:p>
    <w:p w:rsidR="007372E7" w:rsidRPr="00A91C88" w:rsidRDefault="007372E7" w:rsidP="002407D1">
      <w:pPr>
        <w:jc w:val="both"/>
        <w:rPr>
          <w:rFonts w:ascii="Times New Roman" w:hAnsi="Times New Roman" w:cs="Times New Roman"/>
          <w:i/>
          <w:sz w:val="24"/>
          <w:szCs w:val="24"/>
        </w:rPr>
      </w:pPr>
      <w:r w:rsidRPr="00A91C88">
        <w:rPr>
          <w:rFonts w:ascii="Times New Roman" w:hAnsi="Times New Roman" w:cs="Times New Roman"/>
          <w:i/>
          <w:sz w:val="24"/>
          <w:szCs w:val="24"/>
        </w:rPr>
        <w:t xml:space="preserve">*Saskaņā ar 2008.g. 18.augusta MK </w:t>
      </w:r>
      <w:proofErr w:type="spellStart"/>
      <w:r w:rsidRPr="00A91C88">
        <w:rPr>
          <w:rFonts w:ascii="Times New Roman" w:hAnsi="Times New Roman" w:cs="Times New Roman"/>
          <w:i/>
          <w:sz w:val="24"/>
          <w:szCs w:val="24"/>
        </w:rPr>
        <w:t>not</w:t>
      </w:r>
      <w:proofErr w:type="spellEnd"/>
      <w:r w:rsidRPr="00A91C88">
        <w:rPr>
          <w:rFonts w:ascii="Times New Roman" w:hAnsi="Times New Roman" w:cs="Times New Roman"/>
          <w:i/>
          <w:sz w:val="24"/>
          <w:szCs w:val="24"/>
        </w:rPr>
        <w:t xml:space="preserve">. Nr.667 „Noteikumi par darbības programmas "Infrastruktūra un pakalpojumi" papildinājuma 3.5.1.2.2. </w:t>
      </w:r>
      <w:proofErr w:type="spellStart"/>
      <w:r w:rsidRPr="00A91C88">
        <w:rPr>
          <w:rFonts w:ascii="Times New Roman" w:hAnsi="Times New Roman" w:cs="Times New Roman"/>
          <w:i/>
          <w:sz w:val="24"/>
          <w:szCs w:val="24"/>
        </w:rPr>
        <w:t>apakšaktivitāti</w:t>
      </w:r>
      <w:proofErr w:type="spellEnd"/>
      <w:r w:rsidRPr="00A91C88">
        <w:rPr>
          <w:rFonts w:ascii="Times New Roman" w:hAnsi="Times New Roman" w:cs="Times New Roman"/>
          <w:i/>
          <w:sz w:val="24"/>
          <w:szCs w:val="24"/>
        </w:rPr>
        <w:t xml:space="preserve"> „Reģionālu atkritumu apsaimniekošanas sistēmu attīstība”” 2.pielikumu, katram projektam ir noteikts konkrēts pieejamais maksimālais KF līdzfinansējuma apjoms. Ja, aizpildot  7.3.3. sadaļu, aprēķina rezultātā noteiktais KF līdzfinansējuma apjoms pārsniedz MK </w:t>
      </w:r>
      <w:proofErr w:type="spellStart"/>
      <w:r w:rsidRPr="00A91C88">
        <w:rPr>
          <w:rFonts w:ascii="Times New Roman" w:hAnsi="Times New Roman" w:cs="Times New Roman"/>
          <w:i/>
          <w:sz w:val="24"/>
          <w:szCs w:val="24"/>
        </w:rPr>
        <w:t>not</w:t>
      </w:r>
      <w:proofErr w:type="spellEnd"/>
      <w:r w:rsidRPr="00A91C88">
        <w:rPr>
          <w:rFonts w:ascii="Times New Roman" w:hAnsi="Times New Roman" w:cs="Times New Roman"/>
          <w:i/>
          <w:sz w:val="24"/>
          <w:szCs w:val="24"/>
        </w:rPr>
        <w:t xml:space="preserve">. </w:t>
      </w:r>
      <w:r w:rsidRPr="00AB5C89">
        <w:rPr>
          <w:rFonts w:ascii="Times New Roman" w:hAnsi="Times New Roman" w:cs="Times New Roman"/>
          <w:i/>
          <w:sz w:val="24"/>
          <w:szCs w:val="24"/>
        </w:rPr>
        <w:t>Nr.</w:t>
      </w:r>
      <w:r w:rsidRPr="00A91C88">
        <w:rPr>
          <w:rFonts w:ascii="Times New Roman" w:hAnsi="Times New Roman" w:cs="Times New Roman"/>
          <w:i/>
          <w:sz w:val="24"/>
          <w:szCs w:val="24"/>
        </w:rPr>
        <w:t>667 noteikto, ir nepieciešams veikt papildus aprēķinu, ierobežojot KF līdzfinansējuma apjomu un %. Tabulu nepieciešams aizpildīt atbilstoši aprēķinam pēc ierobežotas lēmuma summas (ņemot vērā KF apjoma ierobežojumu). Vienlaikus, lai šādā situācijā nerastos pārpratumi par pieprasīto KF apjomu, lūdzam sadaļā 7.3.3. aizpildīt tabulu par divām situācijām (aizpildīt 2 tabulas) - vienu pie faktiski aprēķinātā, bet otru pie ierobežotā KF finansējuma apmēra, pievienojot atbilstošu skaidrojumu.</w:t>
      </w:r>
    </w:p>
    <w:p w:rsidR="007372E7" w:rsidRPr="00A91C88" w:rsidRDefault="007372E7" w:rsidP="002407D1">
      <w:pPr>
        <w:jc w:val="both"/>
        <w:rPr>
          <w:rFonts w:ascii="Times New Roman" w:hAnsi="Times New Roman" w:cs="Times New Roman"/>
          <w:i/>
          <w:sz w:val="24"/>
          <w:szCs w:val="24"/>
        </w:rPr>
      </w:pPr>
      <w:r w:rsidRPr="00A91C88">
        <w:rPr>
          <w:rFonts w:ascii="Times New Roman" w:hAnsi="Times New Roman" w:cs="Times New Roman"/>
          <w:i/>
          <w:sz w:val="24"/>
          <w:szCs w:val="24"/>
        </w:rPr>
        <w:t xml:space="preserve">Gadījumā, ja aprēķinātais Kohēzijas fonda ieguldījums pārsniedz šo noteikumu 2.pielikumā konkrētajam projektam noteikto maksimālo Kohēzijas fonda līdzfinansējumu, </w:t>
      </w:r>
      <w:proofErr w:type="spellStart"/>
      <w:r w:rsidRPr="00A91C88">
        <w:rPr>
          <w:rFonts w:ascii="Times New Roman" w:hAnsi="Times New Roman" w:cs="Times New Roman"/>
          <w:i/>
          <w:sz w:val="24"/>
          <w:szCs w:val="24"/>
        </w:rPr>
        <w:t>Max</w:t>
      </w:r>
      <w:proofErr w:type="spellEnd"/>
      <w:r w:rsidRPr="00A91C88">
        <w:rPr>
          <w:rFonts w:ascii="Times New Roman" w:hAnsi="Times New Roman" w:cs="Times New Roman"/>
          <w:i/>
          <w:sz w:val="24"/>
          <w:szCs w:val="24"/>
        </w:rPr>
        <w:t xml:space="preserve"> </w:t>
      </w:r>
      <w:proofErr w:type="spellStart"/>
      <w:r w:rsidRPr="00A91C88">
        <w:rPr>
          <w:rFonts w:ascii="Times New Roman" w:hAnsi="Times New Roman" w:cs="Times New Roman"/>
          <w:i/>
          <w:sz w:val="24"/>
          <w:szCs w:val="24"/>
        </w:rPr>
        <w:t>CRpa</w:t>
      </w:r>
      <w:proofErr w:type="spellEnd"/>
      <w:r w:rsidRPr="00A91C88">
        <w:rPr>
          <w:rFonts w:ascii="Times New Roman" w:hAnsi="Times New Roman" w:cs="Times New Roman"/>
          <w:i/>
          <w:sz w:val="24"/>
          <w:szCs w:val="24"/>
        </w:rPr>
        <w:t xml:space="preserve"> nosaka aprēķina ceļā, ņemot vērā projektam noteikto maksimālo Kohēzijas fonda līdzfinansējumu: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993"/>
        <w:gridCol w:w="1275"/>
        <w:gridCol w:w="1418"/>
        <w:gridCol w:w="2091"/>
      </w:tblGrid>
      <w:tr w:rsidR="007372E7" w:rsidRPr="003E0CDC" w:rsidTr="00CF6B3D">
        <w:tc>
          <w:tcPr>
            <w:tcW w:w="1809" w:type="dxa"/>
            <w:vAlign w:val="center"/>
          </w:tcPr>
          <w:p w:rsidR="007372E7" w:rsidRPr="003E0CDC" w:rsidRDefault="007372E7" w:rsidP="002407D1">
            <w:pPr>
              <w:autoSpaceDE w:val="0"/>
              <w:autoSpaceDN w:val="0"/>
              <w:adjustRightInd w:val="0"/>
              <w:jc w:val="both"/>
              <w:rPr>
                <w:b/>
                <w:i/>
              </w:rPr>
            </w:pPr>
            <w:r w:rsidRPr="003E0CDC">
              <w:rPr>
                <w:b/>
                <w:i/>
              </w:rPr>
              <w:t>Ieguldījumu attiecināmo izmaksu kopsumma (LVL)</w:t>
            </w:r>
          </w:p>
        </w:tc>
        <w:tc>
          <w:tcPr>
            <w:tcW w:w="1701" w:type="dxa"/>
            <w:vAlign w:val="center"/>
          </w:tcPr>
          <w:p w:rsidR="007372E7" w:rsidRPr="003E0CDC" w:rsidRDefault="007372E7" w:rsidP="002407D1">
            <w:pPr>
              <w:autoSpaceDE w:val="0"/>
              <w:autoSpaceDN w:val="0"/>
              <w:adjustRightInd w:val="0"/>
              <w:jc w:val="both"/>
              <w:rPr>
                <w:b/>
                <w:i/>
              </w:rPr>
            </w:pPr>
            <w:r w:rsidRPr="003E0CDC">
              <w:rPr>
                <w:b/>
                <w:i/>
              </w:rPr>
              <w:t>Finansējuma deficīta likme projektam (%)</w:t>
            </w:r>
          </w:p>
        </w:tc>
        <w:tc>
          <w:tcPr>
            <w:tcW w:w="993" w:type="dxa"/>
            <w:vAlign w:val="center"/>
          </w:tcPr>
          <w:p w:rsidR="007372E7" w:rsidRPr="003E0CDC" w:rsidRDefault="007372E7" w:rsidP="002407D1">
            <w:pPr>
              <w:autoSpaceDE w:val="0"/>
              <w:autoSpaceDN w:val="0"/>
              <w:adjustRightInd w:val="0"/>
              <w:jc w:val="both"/>
              <w:rPr>
                <w:b/>
                <w:i/>
              </w:rPr>
            </w:pPr>
            <w:proofErr w:type="spellStart"/>
            <w:r w:rsidRPr="003E0CDC">
              <w:rPr>
                <w:b/>
                <w:i/>
              </w:rPr>
              <w:t>Max</w:t>
            </w:r>
            <w:proofErr w:type="spellEnd"/>
            <w:r w:rsidRPr="003E0CDC">
              <w:rPr>
                <w:b/>
                <w:i/>
              </w:rPr>
              <w:t xml:space="preserve"> </w:t>
            </w:r>
            <w:proofErr w:type="spellStart"/>
            <w:r w:rsidRPr="003E0CDC">
              <w:rPr>
                <w:b/>
                <w:i/>
              </w:rPr>
              <w:t>CRpa</w:t>
            </w:r>
            <w:proofErr w:type="spellEnd"/>
          </w:p>
        </w:tc>
        <w:tc>
          <w:tcPr>
            <w:tcW w:w="1275" w:type="dxa"/>
            <w:vAlign w:val="center"/>
          </w:tcPr>
          <w:p w:rsidR="007372E7" w:rsidRPr="003E0CDC" w:rsidRDefault="007372E7" w:rsidP="002407D1">
            <w:pPr>
              <w:autoSpaceDE w:val="0"/>
              <w:autoSpaceDN w:val="0"/>
              <w:adjustRightInd w:val="0"/>
              <w:jc w:val="both"/>
              <w:rPr>
                <w:b/>
                <w:i/>
              </w:rPr>
            </w:pPr>
            <w:r w:rsidRPr="003E0CDC">
              <w:rPr>
                <w:b/>
                <w:i/>
              </w:rPr>
              <w:t>Lēmuma summa (LVL)</w:t>
            </w:r>
          </w:p>
        </w:tc>
        <w:tc>
          <w:tcPr>
            <w:tcW w:w="1418" w:type="dxa"/>
            <w:vAlign w:val="center"/>
          </w:tcPr>
          <w:p w:rsidR="007372E7" w:rsidRPr="003E0CDC" w:rsidRDefault="007372E7" w:rsidP="002407D1">
            <w:pPr>
              <w:autoSpaceDE w:val="0"/>
              <w:autoSpaceDN w:val="0"/>
              <w:adjustRightInd w:val="0"/>
              <w:jc w:val="both"/>
              <w:rPr>
                <w:b/>
                <w:i/>
              </w:rPr>
            </w:pPr>
            <w:r w:rsidRPr="003E0CDC">
              <w:rPr>
                <w:b/>
                <w:i/>
              </w:rPr>
              <w:t>Kohēzijas fonda ieguldījums (%)</w:t>
            </w:r>
          </w:p>
        </w:tc>
        <w:tc>
          <w:tcPr>
            <w:tcW w:w="2091" w:type="dxa"/>
            <w:vAlign w:val="center"/>
          </w:tcPr>
          <w:p w:rsidR="007372E7" w:rsidRPr="003E0CDC" w:rsidRDefault="007372E7" w:rsidP="002407D1">
            <w:pPr>
              <w:autoSpaceDE w:val="0"/>
              <w:autoSpaceDN w:val="0"/>
              <w:adjustRightInd w:val="0"/>
              <w:jc w:val="both"/>
              <w:rPr>
                <w:b/>
                <w:i/>
              </w:rPr>
            </w:pPr>
            <w:r w:rsidRPr="003E0CDC">
              <w:rPr>
                <w:b/>
                <w:i/>
              </w:rPr>
              <w:t>Kohēzijas fonda ieguldījums*</w:t>
            </w:r>
            <w:r>
              <w:rPr>
                <w:b/>
                <w:i/>
              </w:rPr>
              <w:t>*</w:t>
            </w:r>
            <w:r w:rsidRPr="003E0CDC">
              <w:rPr>
                <w:b/>
                <w:i/>
              </w:rPr>
              <w:t xml:space="preserve"> (LVL)</w:t>
            </w:r>
          </w:p>
        </w:tc>
      </w:tr>
      <w:tr w:rsidR="007372E7" w:rsidRPr="003E0CDC" w:rsidTr="00CF6B3D">
        <w:tc>
          <w:tcPr>
            <w:tcW w:w="1809" w:type="dxa"/>
          </w:tcPr>
          <w:p w:rsidR="007372E7" w:rsidRPr="003E0CDC" w:rsidRDefault="007372E7" w:rsidP="002407D1">
            <w:pPr>
              <w:autoSpaceDE w:val="0"/>
              <w:autoSpaceDN w:val="0"/>
              <w:adjustRightInd w:val="0"/>
              <w:jc w:val="both"/>
              <w:rPr>
                <w:i/>
              </w:rPr>
            </w:pPr>
            <w:r w:rsidRPr="003E0CDC">
              <w:rPr>
                <w:i/>
              </w:rPr>
              <w:t>1</w:t>
            </w:r>
          </w:p>
        </w:tc>
        <w:tc>
          <w:tcPr>
            <w:tcW w:w="1701" w:type="dxa"/>
          </w:tcPr>
          <w:p w:rsidR="007372E7" w:rsidRPr="003E0CDC" w:rsidRDefault="007372E7" w:rsidP="002407D1">
            <w:pPr>
              <w:autoSpaceDE w:val="0"/>
              <w:autoSpaceDN w:val="0"/>
              <w:adjustRightInd w:val="0"/>
              <w:jc w:val="both"/>
              <w:rPr>
                <w:i/>
              </w:rPr>
            </w:pPr>
            <w:r w:rsidRPr="003E0CDC">
              <w:rPr>
                <w:i/>
              </w:rPr>
              <w:t>2</w:t>
            </w:r>
          </w:p>
        </w:tc>
        <w:tc>
          <w:tcPr>
            <w:tcW w:w="993" w:type="dxa"/>
          </w:tcPr>
          <w:p w:rsidR="007372E7" w:rsidRPr="003E0CDC" w:rsidRDefault="007372E7" w:rsidP="002407D1">
            <w:pPr>
              <w:autoSpaceDE w:val="0"/>
              <w:autoSpaceDN w:val="0"/>
              <w:adjustRightInd w:val="0"/>
              <w:jc w:val="both"/>
              <w:rPr>
                <w:i/>
              </w:rPr>
            </w:pPr>
            <w:r w:rsidRPr="003E0CDC">
              <w:rPr>
                <w:i/>
              </w:rPr>
              <w:t>3=6:4</w:t>
            </w:r>
          </w:p>
        </w:tc>
        <w:tc>
          <w:tcPr>
            <w:tcW w:w="1275" w:type="dxa"/>
          </w:tcPr>
          <w:p w:rsidR="007372E7" w:rsidRPr="003E0CDC" w:rsidRDefault="007372E7" w:rsidP="002407D1">
            <w:pPr>
              <w:autoSpaceDE w:val="0"/>
              <w:autoSpaceDN w:val="0"/>
              <w:adjustRightInd w:val="0"/>
              <w:jc w:val="both"/>
              <w:rPr>
                <w:i/>
              </w:rPr>
            </w:pPr>
            <w:r w:rsidRPr="003E0CDC">
              <w:rPr>
                <w:i/>
              </w:rPr>
              <w:t>4=1×2</w:t>
            </w:r>
          </w:p>
        </w:tc>
        <w:tc>
          <w:tcPr>
            <w:tcW w:w="1418" w:type="dxa"/>
          </w:tcPr>
          <w:p w:rsidR="007372E7" w:rsidRPr="003E0CDC" w:rsidRDefault="007372E7" w:rsidP="002407D1">
            <w:pPr>
              <w:autoSpaceDE w:val="0"/>
              <w:autoSpaceDN w:val="0"/>
              <w:adjustRightInd w:val="0"/>
              <w:jc w:val="both"/>
              <w:rPr>
                <w:i/>
              </w:rPr>
            </w:pPr>
            <w:r w:rsidRPr="003E0CDC">
              <w:rPr>
                <w:i/>
              </w:rPr>
              <w:t>5=6:1</w:t>
            </w:r>
          </w:p>
        </w:tc>
        <w:tc>
          <w:tcPr>
            <w:tcW w:w="2091" w:type="dxa"/>
          </w:tcPr>
          <w:p w:rsidR="007372E7" w:rsidRPr="003E0CDC" w:rsidRDefault="007372E7" w:rsidP="002407D1">
            <w:pPr>
              <w:autoSpaceDE w:val="0"/>
              <w:autoSpaceDN w:val="0"/>
              <w:adjustRightInd w:val="0"/>
              <w:jc w:val="both"/>
              <w:rPr>
                <w:i/>
              </w:rPr>
            </w:pPr>
            <w:r w:rsidRPr="003E0CDC">
              <w:rPr>
                <w:i/>
              </w:rPr>
              <w:t>6</w:t>
            </w:r>
          </w:p>
        </w:tc>
      </w:tr>
      <w:tr w:rsidR="007372E7" w:rsidRPr="003E0CDC" w:rsidTr="00CF6B3D">
        <w:tc>
          <w:tcPr>
            <w:tcW w:w="1809" w:type="dxa"/>
          </w:tcPr>
          <w:p w:rsidR="007372E7" w:rsidRPr="003E0CDC" w:rsidRDefault="007372E7" w:rsidP="002407D1">
            <w:pPr>
              <w:autoSpaceDE w:val="0"/>
              <w:autoSpaceDN w:val="0"/>
              <w:adjustRightInd w:val="0"/>
              <w:jc w:val="both"/>
              <w:rPr>
                <w:i/>
                <w:sz w:val="28"/>
                <w:szCs w:val="28"/>
              </w:rPr>
            </w:pPr>
          </w:p>
        </w:tc>
        <w:tc>
          <w:tcPr>
            <w:tcW w:w="1701" w:type="dxa"/>
          </w:tcPr>
          <w:p w:rsidR="007372E7" w:rsidRPr="003E0CDC" w:rsidRDefault="007372E7" w:rsidP="002407D1">
            <w:pPr>
              <w:autoSpaceDE w:val="0"/>
              <w:autoSpaceDN w:val="0"/>
              <w:adjustRightInd w:val="0"/>
              <w:jc w:val="both"/>
              <w:rPr>
                <w:i/>
                <w:sz w:val="28"/>
                <w:szCs w:val="28"/>
              </w:rPr>
            </w:pPr>
          </w:p>
        </w:tc>
        <w:tc>
          <w:tcPr>
            <w:tcW w:w="993" w:type="dxa"/>
          </w:tcPr>
          <w:p w:rsidR="007372E7" w:rsidRPr="003E0CDC" w:rsidRDefault="007372E7" w:rsidP="002407D1">
            <w:pPr>
              <w:autoSpaceDE w:val="0"/>
              <w:autoSpaceDN w:val="0"/>
              <w:adjustRightInd w:val="0"/>
              <w:jc w:val="both"/>
              <w:rPr>
                <w:i/>
                <w:sz w:val="28"/>
                <w:szCs w:val="28"/>
              </w:rPr>
            </w:pPr>
          </w:p>
        </w:tc>
        <w:tc>
          <w:tcPr>
            <w:tcW w:w="1275" w:type="dxa"/>
          </w:tcPr>
          <w:p w:rsidR="007372E7" w:rsidRPr="003E0CDC" w:rsidRDefault="007372E7" w:rsidP="002407D1">
            <w:pPr>
              <w:autoSpaceDE w:val="0"/>
              <w:autoSpaceDN w:val="0"/>
              <w:adjustRightInd w:val="0"/>
              <w:jc w:val="both"/>
              <w:rPr>
                <w:i/>
                <w:sz w:val="28"/>
                <w:szCs w:val="28"/>
              </w:rPr>
            </w:pPr>
          </w:p>
        </w:tc>
        <w:tc>
          <w:tcPr>
            <w:tcW w:w="1418" w:type="dxa"/>
          </w:tcPr>
          <w:p w:rsidR="007372E7" w:rsidRPr="003E0CDC" w:rsidRDefault="007372E7" w:rsidP="002407D1">
            <w:pPr>
              <w:autoSpaceDE w:val="0"/>
              <w:autoSpaceDN w:val="0"/>
              <w:adjustRightInd w:val="0"/>
              <w:jc w:val="both"/>
              <w:rPr>
                <w:i/>
                <w:sz w:val="28"/>
                <w:szCs w:val="28"/>
              </w:rPr>
            </w:pPr>
          </w:p>
        </w:tc>
        <w:tc>
          <w:tcPr>
            <w:tcW w:w="2091" w:type="dxa"/>
          </w:tcPr>
          <w:p w:rsidR="007372E7" w:rsidRPr="003E0CDC" w:rsidRDefault="007372E7" w:rsidP="002407D1">
            <w:pPr>
              <w:autoSpaceDE w:val="0"/>
              <w:autoSpaceDN w:val="0"/>
              <w:adjustRightInd w:val="0"/>
              <w:jc w:val="both"/>
              <w:rPr>
                <w:i/>
              </w:rPr>
            </w:pPr>
          </w:p>
        </w:tc>
      </w:tr>
    </w:tbl>
    <w:p w:rsidR="007372E7" w:rsidRDefault="007372E7" w:rsidP="002407D1">
      <w:pPr>
        <w:autoSpaceDE w:val="0"/>
        <w:autoSpaceDN w:val="0"/>
        <w:adjustRightInd w:val="0"/>
        <w:jc w:val="both"/>
        <w:rPr>
          <w:rFonts w:ascii="Times New Roman" w:hAnsi="Times New Roman" w:cs="Times New Roman"/>
          <w:i/>
          <w:sz w:val="24"/>
          <w:szCs w:val="24"/>
        </w:rPr>
      </w:pPr>
      <w:r w:rsidRPr="00A91C88">
        <w:rPr>
          <w:rFonts w:ascii="Times New Roman" w:hAnsi="Times New Roman" w:cs="Times New Roman"/>
          <w:i/>
          <w:sz w:val="24"/>
          <w:szCs w:val="24"/>
        </w:rPr>
        <w:t xml:space="preserve">** Ministru kabineta 2008.g. 18.augusta MK </w:t>
      </w:r>
      <w:proofErr w:type="spellStart"/>
      <w:r w:rsidRPr="00A91C88">
        <w:rPr>
          <w:rFonts w:ascii="Times New Roman" w:hAnsi="Times New Roman" w:cs="Times New Roman"/>
          <w:i/>
          <w:sz w:val="24"/>
          <w:szCs w:val="24"/>
        </w:rPr>
        <w:t>not</w:t>
      </w:r>
      <w:proofErr w:type="spellEnd"/>
      <w:r w:rsidRPr="00A91C88">
        <w:rPr>
          <w:rFonts w:ascii="Times New Roman" w:hAnsi="Times New Roman" w:cs="Times New Roman"/>
          <w:i/>
          <w:sz w:val="24"/>
          <w:szCs w:val="24"/>
        </w:rPr>
        <w:t xml:space="preserve">. Nr.667 „Noteikumi par darbības programmas "Infrastruktūra un pakalpojumi" papildinājuma 3.5.1.2.2. </w:t>
      </w:r>
      <w:proofErr w:type="spellStart"/>
      <w:r w:rsidRPr="00A91C88">
        <w:rPr>
          <w:rFonts w:ascii="Times New Roman" w:hAnsi="Times New Roman" w:cs="Times New Roman"/>
          <w:i/>
          <w:sz w:val="24"/>
          <w:szCs w:val="24"/>
        </w:rPr>
        <w:t>apakšaktivitāti</w:t>
      </w:r>
      <w:proofErr w:type="spellEnd"/>
      <w:r w:rsidRPr="00A91C88">
        <w:rPr>
          <w:rFonts w:ascii="Times New Roman" w:hAnsi="Times New Roman" w:cs="Times New Roman"/>
          <w:i/>
          <w:sz w:val="24"/>
          <w:szCs w:val="24"/>
        </w:rPr>
        <w:t xml:space="preserve"> „Reģionālu atkritumu apsaimniekošanas sistēmu attīstība”” 2.pielikumā projektam noteiktais maksimālais Kohēzijas fonda līdzfinansējums.</w:t>
      </w:r>
    </w:p>
    <w:p w:rsidR="00C52191" w:rsidRPr="00C52191" w:rsidRDefault="00C52191" w:rsidP="002407D1">
      <w:pPr>
        <w:pStyle w:val="ListParagraph"/>
        <w:numPr>
          <w:ilvl w:val="0"/>
          <w:numId w:val="1"/>
        </w:numPr>
        <w:autoSpaceDE w:val="0"/>
        <w:autoSpaceDN w:val="0"/>
        <w:adjustRightInd w:val="0"/>
        <w:jc w:val="both"/>
        <w:rPr>
          <w:rFonts w:ascii="Times New Roman" w:hAnsi="Times New Roman" w:cs="Times New Roman"/>
          <w:i/>
          <w:sz w:val="24"/>
          <w:szCs w:val="24"/>
        </w:rPr>
      </w:pPr>
      <w:r>
        <w:rPr>
          <w:rFonts w:ascii="Times New Roman" w:hAnsi="Times New Roman" w:cs="Times New Roman"/>
          <w:b/>
          <w:sz w:val="24"/>
          <w:szCs w:val="24"/>
        </w:rPr>
        <w:t>3.pielikums Būvdarbu tāme:</w:t>
      </w:r>
    </w:p>
    <w:p w:rsidR="00C52191" w:rsidRPr="00F47065" w:rsidRDefault="00C52191" w:rsidP="002407D1">
      <w:pPr>
        <w:autoSpaceDE w:val="0"/>
        <w:autoSpaceDN w:val="0"/>
        <w:adjustRightInd w:val="0"/>
        <w:jc w:val="both"/>
        <w:rPr>
          <w:rFonts w:ascii="Times New Roman" w:hAnsi="Times New Roman" w:cs="Times New Roman"/>
          <w:i/>
          <w:sz w:val="24"/>
          <w:szCs w:val="24"/>
        </w:rPr>
      </w:pPr>
      <w:r w:rsidRPr="00D550ED">
        <w:rPr>
          <w:rFonts w:ascii="Times New Roman" w:hAnsi="Times New Roman" w:cs="Times New Roman"/>
          <w:i/>
          <w:sz w:val="24"/>
          <w:szCs w:val="24"/>
        </w:rPr>
        <w:t>Sagatavojot Būvdarbu tāmi ņemt vērā, ka pievienotās vērtības nodokļa</w:t>
      </w:r>
      <w:r w:rsidR="00D550ED" w:rsidRPr="008E4EAF">
        <w:rPr>
          <w:rFonts w:ascii="Times New Roman" w:hAnsi="Times New Roman" w:cs="Times New Roman"/>
          <w:i/>
          <w:sz w:val="24"/>
          <w:szCs w:val="24"/>
        </w:rPr>
        <w:t xml:space="preserve"> (PVN) likme atbilstoši</w:t>
      </w:r>
      <w:r w:rsidRPr="008E4EAF">
        <w:rPr>
          <w:rFonts w:ascii="Times New Roman" w:hAnsi="Times New Roman" w:cs="Times New Roman"/>
          <w:i/>
          <w:sz w:val="24"/>
          <w:szCs w:val="24"/>
        </w:rPr>
        <w:t xml:space="preserve"> </w:t>
      </w:r>
      <w:r w:rsidR="00D550ED" w:rsidRPr="00F47065">
        <w:rPr>
          <w:rFonts w:ascii="Times New Roman" w:hAnsi="Times New Roman" w:cs="Times New Roman"/>
          <w:i/>
          <w:sz w:val="24"/>
          <w:szCs w:val="24"/>
        </w:rPr>
        <w:t>09.03.1995. likuma</w:t>
      </w:r>
      <w:r w:rsidRPr="00F47065">
        <w:rPr>
          <w:rFonts w:ascii="Times New Roman" w:hAnsi="Times New Roman" w:cs="Times New Roman"/>
          <w:i/>
          <w:sz w:val="24"/>
          <w:szCs w:val="24"/>
        </w:rPr>
        <w:t xml:space="preserve"> "Par pievienotās vērtības nodokli"</w:t>
      </w:r>
      <w:r w:rsidR="00D550ED" w:rsidRPr="00F47065">
        <w:rPr>
          <w:rFonts w:ascii="Times New Roman" w:hAnsi="Times New Roman" w:cs="Times New Roman"/>
          <w:i/>
          <w:sz w:val="24"/>
          <w:szCs w:val="24"/>
        </w:rPr>
        <w:t xml:space="preserve"> (ar grozījumiem līdz 01.10.2011.) 5.panta 1.punktam ir 22%.</w:t>
      </w:r>
    </w:p>
    <w:p w:rsidR="007372E7" w:rsidRPr="00CF6B3D" w:rsidRDefault="007372E7" w:rsidP="002407D1">
      <w:pPr>
        <w:pStyle w:val="ListParagraph"/>
        <w:numPr>
          <w:ilvl w:val="0"/>
          <w:numId w:val="1"/>
        </w:numPr>
        <w:jc w:val="both"/>
        <w:rPr>
          <w:rFonts w:ascii="Times New Roman" w:hAnsi="Times New Roman" w:cs="Times New Roman"/>
          <w:b/>
          <w:sz w:val="24"/>
          <w:szCs w:val="24"/>
        </w:rPr>
      </w:pPr>
      <w:r w:rsidRPr="00CF6B3D">
        <w:rPr>
          <w:rFonts w:ascii="Times New Roman" w:hAnsi="Times New Roman" w:cs="Times New Roman"/>
          <w:b/>
          <w:sz w:val="24"/>
          <w:szCs w:val="24"/>
        </w:rPr>
        <w:lastRenderedPageBreak/>
        <w:t>11.pielikumā prasības Kohēzijas fonda projekta naudas plūsmas prognozei izteiktas šādā redakcijā:</w:t>
      </w:r>
    </w:p>
    <w:p w:rsidR="007372E7" w:rsidRPr="00A91C88" w:rsidRDefault="007372E7" w:rsidP="002407D1">
      <w:pPr>
        <w:tabs>
          <w:tab w:val="num" w:pos="720"/>
        </w:tabs>
        <w:jc w:val="both"/>
        <w:rPr>
          <w:rFonts w:ascii="Times New Roman" w:hAnsi="Times New Roman" w:cs="Times New Roman"/>
          <w:i/>
          <w:sz w:val="24"/>
          <w:szCs w:val="24"/>
        </w:rPr>
      </w:pPr>
      <w:r w:rsidRPr="00A91C88">
        <w:rPr>
          <w:rFonts w:ascii="Times New Roman" w:hAnsi="Times New Roman" w:cs="Times New Roman"/>
          <w:i/>
          <w:sz w:val="24"/>
          <w:szCs w:val="24"/>
        </w:rPr>
        <w:t>Naudas plūsmas prognozes paraugs ir pievienots pielikumā.</w:t>
      </w:r>
    </w:p>
    <w:p w:rsidR="007372E7" w:rsidRDefault="007372E7" w:rsidP="002407D1">
      <w:pPr>
        <w:spacing w:after="120"/>
        <w:ind w:right="45"/>
        <w:jc w:val="both"/>
        <w:rPr>
          <w:rFonts w:ascii="Times New Roman" w:hAnsi="Times New Roman" w:cs="Times New Roman"/>
          <w:i/>
          <w:sz w:val="24"/>
          <w:szCs w:val="24"/>
        </w:rPr>
      </w:pPr>
      <w:r w:rsidRPr="00A91C88">
        <w:rPr>
          <w:rFonts w:ascii="Times New Roman" w:hAnsi="Times New Roman" w:cs="Times New Roman"/>
          <w:i/>
          <w:sz w:val="24"/>
          <w:szCs w:val="24"/>
        </w:rPr>
        <w:t>Vienlaikus lūdzam ievērot šāda normatīvā tiesību akta noteikumus naudas plūsmas prognozes sastādīšanā: Ministru kabineta 2007.gada 26.jūnija noteikumi Nr.1041 „</w:t>
      </w:r>
      <w:r w:rsidRPr="00A91C88">
        <w:rPr>
          <w:rFonts w:ascii="Times New Roman" w:hAnsi="Times New Roman" w:cs="Times New Roman"/>
          <w:bCs/>
          <w:sz w:val="24"/>
          <w:szCs w:val="24"/>
        </w:rPr>
        <w:t>Kārtība, kādā paredzami valsts budžeta līdzekļi Eiropas Savienības struktūrfondu un Kohēzijas fonda līdzfinansēto projektu īstenošanai, kā arī maksājumu veikšanas un izdevumu deklarācijas sagatavošanas kārtība</w:t>
      </w:r>
      <w:r w:rsidRPr="00A91C88">
        <w:rPr>
          <w:rFonts w:ascii="Times New Roman" w:hAnsi="Times New Roman" w:cs="Times New Roman"/>
          <w:b/>
          <w:bCs/>
          <w:sz w:val="24"/>
          <w:szCs w:val="24"/>
        </w:rPr>
        <w:t>”</w:t>
      </w:r>
      <w:r w:rsidRPr="00A91C88">
        <w:rPr>
          <w:rFonts w:ascii="Times New Roman" w:hAnsi="Times New Roman" w:cs="Times New Roman"/>
          <w:i/>
          <w:sz w:val="24"/>
          <w:szCs w:val="24"/>
        </w:rPr>
        <w:t>”;</w:t>
      </w:r>
    </w:p>
    <w:p w:rsidR="007372E7" w:rsidRPr="00A91C88" w:rsidRDefault="007372E7" w:rsidP="002407D1">
      <w:pPr>
        <w:spacing w:after="120"/>
        <w:ind w:right="45"/>
        <w:jc w:val="both"/>
        <w:rPr>
          <w:rFonts w:ascii="Times New Roman" w:hAnsi="Times New Roman" w:cs="Times New Roman"/>
          <w:i/>
          <w:sz w:val="24"/>
          <w:szCs w:val="24"/>
        </w:rPr>
      </w:pPr>
      <w:r w:rsidRPr="00A91C88">
        <w:rPr>
          <w:rFonts w:ascii="Times New Roman" w:hAnsi="Times New Roman" w:cs="Times New Roman"/>
          <w:b/>
          <w:i/>
          <w:sz w:val="24"/>
          <w:szCs w:val="24"/>
        </w:rPr>
        <w:t>!!! Lūdzam ņemt vērā, ka ar 2010.gada 25.novembri stājušies spēkā 09.11.2010. MK noteikumi Nr.1041 "Kārtība, kādā paredzami valsts budžeta līdzekļi Eiropas Savienības struktūrfondu un Kohēzijas fonda līdzfinansēto projektu īstenošanai, kā arī maksājumu veikšanas un izdevumu deklarācijas sagatavošanas kārtība", ar ko spēku zaudējuši 18.05.2010 MK noteikumi Nr.418.  Šie noteikumi nosaka maksājumu veikšanas kārtību projektos, attiecīgi ietekmē to, kā ir jāplāno projekta īstenošanas nepieciešamais finansējums.</w:t>
      </w:r>
    </w:p>
    <w:p w:rsidR="007372E7" w:rsidRPr="00A91C88" w:rsidRDefault="007372E7" w:rsidP="002407D1">
      <w:pPr>
        <w:tabs>
          <w:tab w:val="left" w:pos="900"/>
        </w:tabs>
        <w:spacing w:after="120"/>
        <w:jc w:val="both"/>
        <w:rPr>
          <w:rFonts w:ascii="Times New Roman" w:hAnsi="Times New Roman" w:cs="Times New Roman"/>
          <w:i/>
          <w:sz w:val="24"/>
          <w:szCs w:val="24"/>
        </w:rPr>
      </w:pPr>
      <w:r w:rsidRPr="00A91C88">
        <w:rPr>
          <w:rFonts w:ascii="Times New Roman" w:hAnsi="Times New Roman" w:cs="Times New Roman"/>
          <w:i/>
          <w:sz w:val="24"/>
          <w:szCs w:val="24"/>
        </w:rPr>
        <w:t>Lūdzam ievērot šādas Ministru kabineta 09.11.2010. MK noteikumu Nr.1041 "Kārtība, kādā paredzami valsts budžeta līdzekļi Eiropas Savienības struktūrfondu un Kohēzijas fonda līdzfinansēto projektu īstenošanai, kā arī maksājumu veikšanas un izdevumu deklarācijas sagatavošanas kārtība" prasības un pieņēmumus naudas plūsmas prognozes sastādīšanā:</w:t>
      </w:r>
    </w:p>
    <w:p w:rsidR="007372E7" w:rsidRPr="00A91C88" w:rsidRDefault="007372E7" w:rsidP="002407D1">
      <w:pPr>
        <w:numPr>
          <w:ilvl w:val="0"/>
          <w:numId w:val="3"/>
        </w:numPr>
        <w:tabs>
          <w:tab w:val="left" w:pos="900"/>
        </w:tabs>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 xml:space="preserve">Vēršam Jūsu uzmanību uz to, ka maksājumu kārtības plānošanai ir jāizmanto MK noteikumu Nr.1041 25.punktā paredzētā kārtība. </w:t>
      </w:r>
    </w:p>
    <w:p w:rsidR="007372E7" w:rsidRPr="00A91C88" w:rsidRDefault="007372E7" w:rsidP="002407D1">
      <w:pPr>
        <w:tabs>
          <w:tab w:val="left" w:pos="900"/>
        </w:tabs>
        <w:ind w:left="720"/>
        <w:contextualSpacing/>
        <w:jc w:val="both"/>
        <w:rPr>
          <w:rFonts w:ascii="Times New Roman" w:hAnsi="Times New Roman" w:cs="Times New Roman"/>
          <w:i/>
          <w:sz w:val="24"/>
          <w:szCs w:val="24"/>
        </w:rPr>
      </w:pPr>
    </w:p>
    <w:p w:rsidR="007372E7" w:rsidRPr="00A91C88" w:rsidRDefault="006C6AE9" w:rsidP="002407D1">
      <w:pPr>
        <w:numPr>
          <w:ilvl w:val="0"/>
          <w:numId w:val="3"/>
        </w:numPr>
        <w:tabs>
          <w:tab w:val="left" w:pos="900"/>
        </w:tabs>
        <w:spacing w:after="0" w:line="240" w:lineRule="auto"/>
        <w:contextualSpacing/>
        <w:jc w:val="both"/>
        <w:rPr>
          <w:rFonts w:ascii="Times New Roman" w:hAnsi="Times New Roman" w:cs="Times New Roman"/>
          <w:i/>
          <w:sz w:val="24"/>
          <w:szCs w:val="24"/>
        </w:rPr>
      </w:pPr>
      <w:r>
        <w:rPr>
          <w:rFonts w:ascii="Times New Roman" w:hAnsi="Times New Roman" w:cs="Times New Roman"/>
          <w:i/>
          <w:sz w:val="24"/>
          <w:szCs w:val="24"/>
        </w:rPr>
        <w:t>L</w:t>
      </w:r>
      <w:r w:rsidR="007372E7" w:rsidRPr="00A91C88">
        <w:rPr>
          <w:rFonts w:ascii="Times New Roman" w:hAnsi="Times New Roman" w:cs="Times New Roman"/>
          <w:i/>
          <w:sz w:val="24"/>
          <w:szCs w:val="24"/>
        </w:rPr>
        <w:t xml:space="preserve">īguma slēgšana un projekta īstenošana ir atkarīga no tā, vai sadarbības iestādei ir pieejami finanšu resursi. Aktivitātes 3.5.1.2.2. ietvaros projektu iesniegumu atlases 3.kārtas projektos, </w:t>
      </w:r>
      <w:r w:rsidR="007372E7" w:rsidRPr="00A91C88">
        <w:rPr>
          <w:rFonts w:ascii="Times New Roman" w:hAnsi="Times New Roman" w:cs="Times New Roman"/>
          <w:b/>
          <w:i/>
          <w:sz w:val="24"/>
          <w:szCs w:val="24"/>
        </w:rPr>
        <w:t>iesakām plānot naudas plūsmu, piemērojot 25.punktu</w:t>
      </w:r>
      <w:r w:rsidR="007372E7" w:rsidRPr="00A91C88">
        <w:rPr>
          <w:rFonts w:ascii="Times New Roman" w:hAnsi="Times New Roman" w:cs="Times New Roman"/>
          <w:i/>
          <w:sz w:val="24"/>
          <w:szCs w:val="24"/>
        </w:rPr>
        <w:t xml:space="preserve">, ņemot vērā, ka valsts budžetā tiek prognozēts pietiekams finanšu līdzekļu apjoms, lai nodrošinātu avansa maksājumu un iesniegtos maksājumu pieprasījumu apmaksu un šī punkta piemērošanas gadījumā finansējuma saņēmējam nav jāparedz tik lieli finanšu līdzekļi projekta naudas plūsmas nodrošināšanai, jo iesniegti maksājumu pieprasījumi tiek atmaksāti </w:t>
      </w:r>
      <w:r w:rsidR="007372E7" w:rsidRPr="00A91C88">
        <w:rPr>
          <w:rFonts w:ascii="Times New Roman" w:hAnsi="Times New Roman" w:cs="Times New Roman"/>
          <w:b/>
          <w:i/>
          <w:sz w:val="24"/>
          <w:szCs w:val="24"/>
        </w:rPr>
        <w:t xml:space="preserve">2 mēnešu laikā </w:t>
      </w:r>
      <w:r w:rsidR="007372E7" w:rsidRPr="00A91C88">
        <w:rPr>
          <w:rFonts w:ascii="Times New Roman" w:hAnsi="Times New Roman" w:cs="Times New Roman"/>
          <w:i/>
          <w:sz w:val="24"/>
          <w:szCs w:val="24"/>
        </w:rPr>
        <w:t xml:space="preserve">(reāli atmaksas periods var atšķirties atkarībā no iesniegto dokumentu kvalitātes). </w:t>
      </w:r>
    </w:p>
    <w:p w:rsidR="007372E7" w:rsidRDefault="007372E7" w:rsidP="002407D1">
      <w:pPr>
        <w:numPr>
          <w:ilvl w:val="0"/>
          <w:numId w:val="3"/>
        </w:numPr>
        <w:tabs>
          <w:tab w:val="left" w:pos="900"/>
        </w:tabs>
        <w:spacing w:after="240" w:line="240" w:lineRule="auto"/>
        <w:ind w:left="714" w:hanging="357"/>
        <w:contextualSpacing/>
        <w:jc w:val="both"/>
        <w:rPr>
          <w:rFonts w:ascii="Times New Roman" w:hAnsi="Times New Roman" w:cs="Times New Roman"/>
          <w:i/>
          <w:sz w:val="24"/>
          <w:szCs w:val="24"/>
        </w:rPr>
      </w:pPr>
      <w:r w:rsidRPr="00A91C88">
        <w:rPr>
          <w:rFonts w:ascii="Times New Roman" w:hAnsi="Times New Roman" w:cs="Times New Roman"/>
          <w:i/>
          <w:sz w:val="24"/>
          <w:szCs w:val="24"/>
        </w:rPr>
        <w:t>Paredzot avansu, tā apjoms nevar pārsniegt 20%.</w:t>
      </w:r>
    </w:p>
    <w:p w:rsidR="007372E7" w:rsidRPr="00A91C88" w:rsidRDefault="007372E7" w:rsidP="002407D1">
      <w:pPr>
        <w:tabs>
          <w:tab w:val="left" w:pos="900"/>
        </w:tabs>
        <w:spacing w:after="240" w:line="240" w:lineRule="auto"/>
        <w:ind w:left="357"/>
        <w:contextualSpacing/>
        <w:jc w:val="both"/>
        <w:rPr>
          <w:rFonts w:ascii="Times New Roman" w:hAnsi="Times New Roman" w:cs="Times New Roman"/>
          <w:i/>
          <w:sz w:val="24"/>
          <w:szCs w:val="24"/>
        </w:rPr>
      </w:pPr>
    </w:p>
    <w:p w:rsidR="007372E7" w:rsidRPr="00A91C88" w:rsidRDefault="007372E7" w:rsidP="002407D1">
      <w:pPr>
        <w:tabs>
          <w:tab w:val="left" w:pos="900"/>
        </w:tabs>
        <w:jc w:val="both"/>
        <w:rPr>
          <w:rFonts w:ascii="Times New Roman" w:hAnsi="Times New Roman" w:cs="Times New Roman"/>
          <w:b/>
          <w:i/>
          <w:sz w:val="24"/>
          <w:szCs w:val="24"/>
        </w:rPr>
      </w:pPr>
      <w:r w:rsidRPr="00A91C88">
        <w:rPr>
          <w:rFonts w:ascii="Times New Roman" w:hAnsi="Times New Roman" w:cs="Times New Roman"/>
          <w:b/>
          <w:i/>
          <w:sz w:val="24"/>
          <w:szCs w:val="24"/>
        </w:rPr>
        <w:t>Naudas plūsmas piemērs sas</w:t>
      </w:r>
      <w:r w:rsidR="00AD6F95">
        <w:rPr>
          <w:rFonts w:ascii="Times New Roman" w:hAnsi="Times New Roman" w:cs="Times New Roman"/>
          <w:b/>
          <w:i/>
          <w:sz w:val="24"/>
          <w:szCs w:val="24"/>
        </w:rPr>
        <w:t xml:space="preserve">kaņā ar 09.11.2010. MK </w:t>
      </w:r>
      <w:proofErr w:type="spellStart"/>
      <w:r w:rsidR="00AD6F95">
        <w:rPr>
          <w:rFonts w:ascii="Times New Roman" w:hAnsi="Times New Roman" w:cs="Times New Roman"/>
          <w:b/>
          <w:i/>
          <w:sz w:val="24"/>
          <w:szCs w:val="24"/>
        </w:rPr>
        <w:t>not</w:t>
      </w:r>
      <w:proofErr w:type="spellEnd"/>
      <w:r w:rsidR="00AD6F95">
        <w:rPr>
          <w:rFonts w:ascii="Times New Roman" w:hAnsi="Times New Roman" w:cs="Times New Roman"/>
          <w:b/>
          <w:i/>
          <w:sz w:val="24"/>
          <w:szCs w:val="24"/>
        </w:rPr>
        <w:t>. Nr.</w:t>
      </w:r>
      <w:r w:rsidRPr="00A91C88">
        <w:rPr>
          <w:rFonts w:ascii="Times New Roman" w:hAnsi="Times New Roman" w:cs="Times New Roman"/>
          <w:b/>
          <w:i/>
          <w:sz w:val="24"/>
          <w:szCs w:val="24"/>
        </w:rPr>
        <w:t>1041 tiek pievienots VARAM mājas lapā</w:t>
      </w:r>
      <w:r>
        <w:rPr>
          <w:rFonts w:ascii="Times New Roman" w:hAnsi="Times New Roman" w:cs="Times New Roman"/>
          <w:b/>
          <w:i/>
          <w:sz w:val="24"/>
          <w:szCs w:val="24"/>
        </w:rPr>
        <w:t xml:space="preserve"> sadaļā</w:t>
      </w:r>
      <w:r w:rsidR="00307E37" w:rsidRPr="00307E37">
        <w:t xml:space="preserve"> </w:t>
      </w:r>
      <w:hyperlink r:id="rId8" w:history="1">
        <w:r w:rsidR="00307E37" w:rsidRPr="00021058">
          <w:rPr>
            <w:rStyle w:val="Hyperlink"/>
            <w:rFonts w:ascii="Times New Roman" w:hAnsi="Times New Roman" w:cs="Times New Roman"/>
            <w:b/>
            <w:i/>
            <w:sz w:val="24"/>
            <w:szCs w:val="24"/>
          </w:rPr>
          <w:t>http://www.varam.gov.lv/lat/fondi/kohez/?doc=7265</w:t>
        </w:r>
      </w:hyperlink>
      <w:r w:rsidRPr="00A91C88">
        <w:rPr>
          <w:rFonts w:ascii="Times New Roman" w:hAnsi="Times New Roman" w:cs="Times New Roman"/>
          <w:b/>
          <w:i/>
          <w:sz w:val="24"/>
          <w:szCs w:val="24"/>
        </w:rPr>
        <w:t>.</w:t>
      </w:r>
    </w:p>
    <w:p w:rsidR="007372E7" w:rsidRPr="00A91C88" w:rsidRDefault="007372E7" w:rsidP="002407D1">
      <w:pPr>
        <w:jc w:val="both"/>
        <w:rPr>
          <w:rFonts w:ascii="Times New Roman" w:hAnsi="Times New Roman" w:cs="Times New Roman"/>
          <w:i/>
          <w:sz w:val="24"/>
          <w:szCs w:val="24"/>
        </w:rPr>
      </w:pPr>
      <w:r w:rsidRPr="00A91C88">
        <w:rPr>
          <w:rFonts w:ascii="Times New Roman" w:hAnsi="Times New Roman" w:cs="Times New Roman"/>
          <w:i/>
          <w:sz w:val="24"/>
          <w:szCs w:val="24"/>
        </w:rPr>
        <w:t xml:space="preserve">Naudas plūsmas tabulas detalizācijas pakāpei jānodrošina projekta iesnieguma izvērtēšana atbilstoši MK noteikumu Nr.667 4.pielikuma 25. kritērijam „Projekta naudas plūsmas prognoze parāda gan finansējuma pieprasījumu, gan izmaksu veikšanas prognozi, atbilst plānotajam laika grafikam un atbilst projekta finanšu </w:t>
      </w:r>
      <w:r w:rsidRPr="00A91C88">
        <w:rPr>
          <w:rFonts w:ascii="Times New Roman" w:hAnsi="Times New Roman" w:cs="Times New Roman"/>
          <w:i/>
          <w:sz w:val="24"/>
          <w:szCs w:val="24"/>
        </w:rPr>
        <w:lastRenderedPageBreak/>
        <w:t xml:space="preserve">plānam”. Projekta iesniedzējs var izmantot jebkādu formu naudas plūsmas prognozes izstrādei, tomēr, ierosinām izmantot pielikumā pievienoto. </w:t>
      </w:r>
    </w:p>
    <w:p w:rsidR="007372E7" w:rsidRPr="00A91C88" w:rsidRDefault="007372E7" w:rsidP="002407D1">
      <w:pPr>
        <w:jc w:val="both"/>
        <w:rPr>
          <w:rFonts w:ascii="Times New Roman" w:hAnsi="Times New Roman" w:cs="Times New Roman"/>
          <w:i/>
          <w:sz w:val="24"/>
          <w:szCs w:val="24"/>
        </w:rPr>
      </w:pPr>
      <w:r w:rsidRPr="00A91C88">
        <w:rPr>
          <w:rFonts w:ascii="Times New Roman" w:hAnsi="Times New Roman" w:cs="Times New Roman"/>
          <w:i/>
          <w:sz w:val="24"/>
          <w:szCs w:val="24"/>
        </w:rPr>
        <w:t>Naudas plūsmas sagatavošanā lūdzam ņemt vēr</w:t>
      </w:r>
      <w:r>
        <w:rPr>
          <w:rFonts w:ascii="Times New Roman" w:hAnsi="Times New Roman" w:cs="Times New Roman"/>
          <w:i/>
          <w:sz w:val="24"/>
          <w:szCs w:val="24"/>
        </w:rPr>
        <w:t>ā šādus svarīgākos nosacījumus:</w:t>
      </w:r>
    </w:p>
    <w:p w:rsidR="007372E7" w:rsidRPr="00A91C88" w:rsidRDefault="007372E7" w:rsidP="002407D1">
      <w:pPr>
        <w:numPr>
          <w:ilvl w:val="0"/>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vienmēr sākumā tiek plānoti izdevumi līgumu ietvaros; izmaksām līgumu ietvaros ir jābūt atbilstošām projekta budžeta kopsavilkumā norādītajām līgumu izmaksām..</w:t>
      </w:r>
    </w:p>
    <w:p w:rsidR="007372E7" w:rsidRPr="00A91C88" w:rsidRDefault="007372E7" w:rsidP="002407D1">
      <w:pPr>
        <w:numPr>
          <w:ilvl w:val="1"/>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ņemot vērā atšķirīgo būvdarbu intensitāti vasaras un ziemas sezonā, izdevumi būvdarbu līgumos ziemas periodā ir zemāki nekā vasaras periodā;</w:t>
      </w:r>
    </w:p>
    <w:p w:rsidR="007372E7" w:rsidRPr="00A91C88" w:rsidRDefault="007372E7" w:rsidP="002407D1">
      <w:pPr>
        <w:numPr>
          <w:ilvl w:val="1"/>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projektēšanas fāzē izdevumu apjoms ir ievērojami mazāks nekā būvdarbu veikšanas fāzē;</w:t>
      </w:r>
    </w:p>
    <w:p w:rsidR="007372E7" w:rsidRPr="00A91C88" w:rsidRDefault="007372E7" w:rsidP="002407D1">
      <w:pPr>
        <w:numPr>
          <w:ilvl w:val="1"/>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finanšu rezervi plāno būvdarbu/piegāžu līgumu ietvaros, nenorādot kā atsevišķu pozīciju naudas plūsmā.</w:t>
      </w:r>
    </w:p>
    <w:p w:rsidR="007372E7" w:rsidRPr="00A91C88" w:rsidRDefault="007372E7" w:rsidP="002407D1">
      <w:pPr>
        <w:numPr>
          <w:ilvl w:val="1"/>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iepirkuma līgumu ietvaros maksājumu skaitu (periodiskumu) nosaka projekta iesniedzējs; iepirkuma līgumu izpildītāju maksājuma pieprasījumu apmaksas termiņi tiek noteikti iepirkuma līgumā.</w:t>
      </w:r>
    </w:p>
    <w:p w:rsidR="007372E7" w:rsidRPr="00A91C88" w:rsidRDefault="007372E7" w:rsidP="002407D1">
      <w:pPr>
        <w:numPr>
          <w:ilvl w:val="0"/>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pēc tam aizpilda budžeta sadaļu (pieejamais finansējums attiecināmajiem izdevumiem) – pieejamo resursu kopsummai jāsakrīt ar attiecināmo izdevumu summu. Ja nesakrīt, tad tas nozīmē, ka naudas nepietiek līgumu apmaksai (nedrīkst atstāt – jāplāno papildu finansējums) vai ir par daudz (var būt). Naudas plūsmas prognozei ir jābūt pozitīvai visā projekta ieviešanas laikā.</w:t>
      </w:r>
    </w:p>
    <w:p w:rsidR="007372E7" w:rsidRPr="00A91C88" w:rsidRDefault="007372E7" w:rsidP="002407D1">
      <w:pPr>
        <w:numPr>
          <w:ilvl w:val="0"/>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atbilstoši plāno finansējumu neattiecināmajiem izdevumiem, kopējai izdevumu bilancei ir jābūt pozitīvai;</w:t>
      </w:r>
    </w:p>
    <w:p w:rsidR="007372E7" w:rsidRPr="00A91C88" w:rsidRDefault="007372E7" w:rsidP="002407D1">
      <w:pPr>
        <w:numPr>
          <w:ilvl w:val="0"/>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 xml:space="preserve">plānojot ES fondu atmaksas jāievēro MK </w:t>
      </w:r>
      <w:proofErr w:type="spellStart"/>
      <w:r w:rsidRPr="00A91C88">
        <w:rPr>
          <w:rFonts w:ascii="Times New Roman" w:hAnsi="Times New Roman" w:cs="Times New Roman"/>
          <w:i/>
          <w:sz w:val="24"/>
          <w:szCs w:val="24"/>
        </w:rPr>
        <w:t>not</w:t>
      </w:r>
      <w:proofErr w:type="spellEnd"/>
      <w:r w:rsidRPr="00A91C88">
        <w:rPr>
          <w:rFonts w:ascii="Times New Roman" w:hAnsi="Times New Roman" w:cs="Times New Roman"/>
          <w:i/>
          <w:sz w:val="24"/>
          <w:szCs w:val="24"/>
        </w:rPr>
        <w:t>. Nr.1041 atmaksas termiņi:</w:t>
      </w:r>
    </w:p>
    <w:p w:rsidR="007372E7" w:rsidRPr="00A91C88" w:rsidRDefault="007372E7" w:rsidP="002407D1">
      <w:pPr>
        <w:numPr>
          <w:ilvl w:val="1"/>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saskaņā ar 24.punktu atmaksas 4-6 mēnešu laikā;</w:t>
      </w:r>
    </w:p>
    <w:p w:rsidR="007372E7" w:rsidRPr="00A91C88" w:rsidRDefault="007372E7" w:rsidP="002407D1">
      <w:pPr>
        <w:numPr>
          <w:ilvl w:val="1"/>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saskaņā ar 25.punktu atmaksas 2 mēnešu laikā.</w:t>
      </w:r>
    </w:p>
    <w:p w:rsidR="007372E7" w:rsidRPr="00A91C88" w:rsidRDefault="007372E7" w:rsidP="002407D1">
      <w:pPr>
        <w:numPr>
          <w:ilvl w:val="0"/>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ES fondu atmaksas pieprasījumus projekta iesniedzējs var plānot  reizi mēnesī</w:t>
      </w:r>
    </w:p>
    <w:p w:rsidR="007372E7" w:rsidRPr="00A91C88" w:rsidRDefault="007372E7" w:rsidP="002407D1">
      <w:pPr>
        <w:numPr>
          <w:ilvl w:val="0"/>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ES fondu noslēguma maksājumam jābūt ne mazāk kā 10% no apstiprinātā ES fonda līdzfinansējuma.</w:t>
      </w:r>
    </w:p>
    <w:p w:rsidR="007372E7" w:rsidRDefault="007372E7" w:rsidP="002407D1">
      <w:pPr>
        <w:numPr>
          <w:ilvl w:val="0"/>
          <w:numId w:val="4"/>
        </w:numPr>
        <w:spacing w:after="0" w:line="240" w:lineRule="auto"/>
        <w:contextualSpacing/>
        <w:jc w:val="both"/>
        <w:rPr>
          <w:rFonts w:ascii="Times New Roman" w:hAnsi="Times New Roman" w:cs="Times New Roman"/>
          <w:i/>
          <w:sz w:val="24"/>
          <w:szCs w:val="24"/>
        </w:rPr>
      </w:pPr>
      <w:r w:rsidRPr="00A91C88">
        <w:rPr>
          <w:rFonts w:ascii="Times New Roman" w:hAnsi="Times New Roman" w:cs="Times New Roman"/>
          <w:i/>
          <w:sz w:val="24"/>
          <w:szCs w:val="24"/>
        </w:rPr>
        <w:t>naudas plūsmas prognozē plānoto finansējumu pa gadiem tālāk atbilstoši norāda finansēšanas plānā</w:t>
      </w:r>
    </w:p>
    <w:p w:rsidR="004F669D" w:rsidRPr="00A91C88" w:rsidRDefault="004F669D" w:rsidP="002407D1">
      <w:pPr>
        <w:spacing w:after="0" w:line="240" w:lineRule="auto"/>
        <w:contextualSpacing/>
        <w:jc w:val="both"/>
        <w:rPr>
          <w:rFonts w:ascii="Times New Roman" w:hAnsi="Times New Roman" w:cs="Times New Roman"/>
          <w:i/>
          <w:sz w:val="24"/>
          <w:szCs w:val="24"/>
        </w:rPr>
      </w:pPr>
    </w:p>
    <w:p w:rsidR="004F669D" w:rsidRPr="004F669D" w:rsidRDefault="004F669D" w:rsidP="002407D1">
      <w:pPr>
        <w:pStyle w:val="ListParagraph"/>
        <w:numPr>
          <w:ilvl w:val="0"/>
          <w:numId w:val="6"/>
        </w:numPr>
        <w:jc w:val="both"/>
        <w:rPr>
          <w:rFonts w:ascii="Times New Roman" w:hAnsi="Times New Roman" w:cs="Times New Roman"/>
          <w:i/>
          <w:sz w:val="24"/>
          <w:szCs w:val="24"/>
        </w:rPr>
      </w:pPr>
      <w:r w:rsidRPr="004F669D">
        <w:rPr>
          <w:rFonts w:ascii="Times New Roman" w:hAnsi="Times New Roman" w:cs="Times New Roman"/>
          <w:i/>
          <w:sz w:val="24"/>
          <w:szCs w:val="24"/>
        </w:rPr>
        <w:t>2.papilddokumenta tabula</w:t>
      </w:r>
    </w:p>
    <w:p w:rsidR="004F669D" w:rsidRDefault="004F669D" w:rsidP="002407D1">
      <w:pPr>
        <w:tabs>
          <w:tab w:val="left" w:pos="900"/>
        </w:tabs>
        <w:spacing w:after="0" w:line="240" w:lineRule="auto"/>
        <w:jc w:val="both"/>
        <w:rPr>
          <w:rFonts w:ascii="Times New Roman" w:hAnsi="Times New Roman" w:cs="Times New Roman"/>
          <w:i/>
          <w:sz w:val="24"/>
          <w:szCs w:val="24"/>
        </w:rPr>
      </w:pPr>
      <w:r w:rsidRPr="004F669D">
        <w:rPr>
          <w:rFonts w:ascii="Times New Roman" w:hAnsi="Times New Roman" w:cs="Times New Roman"/>
          <w:i/>
          <w:sz w:val="24"/>
          <w:szCs w:val="24"/>
        </w:rPr>
        <w:t>Veikti labojumi aprēķinu formulās.</w:t>
      </w:r>
      <w:r>
        <w:rPr>
          <w:rFonts w:ascii="Times New Roman" w:hAnsi="Times New Roman" w:cs="Times New Roman"/>
          <w:i/>
          <w:sz w:val="24"/>
          <w:szCs w:val="24"/>
        </w:rPr>
        <w:t xml:space="preserve"> Veicot aprēķinus ņemt vērā, ka valsts budžeta finansējums šai </w:t>
      </w:r>
      <w:r w:rsidR="002407D1">
        <w:rPr>
          <w:rFonts w:ascii="Times New Roman" w:hAnsi="Times New Roman" w:cs="Times New Roman"/>
          <w:i/>
          <w:sz w:val="24"/>
          <w:szCs w:val="24"/>
        </w:rPr>
        <w:t>apakšaktivitātei</w:t>
      </w:r>
      <w:r>
        <w:rPr>
          <w:rFonts w:ascii="Times New Roman" w:hAnsi="Times New Roman" w:cs="Times New Roman"/>
          <w:i/>
          <w:sz w:val="24"/>
          <w:szCs w:val="24"/>
        </w:rPr>
        <w:t xml:space="preserve"> nav paredzēts.</w:t>
      </w:r>
      <w:r w:rsidRPr="004F669D">
        <w:rPr>
          <w:rFonts w:ascii="Times New Roman" w:hAnsi="Times New Roman" w:cs="Times New Roman"/>
          <w:i/>
          <w:sz w:val="24"/>
          <w:szCs w:val="24"/>
        </w:rPr>
        <w:t xml:space="preserve"> </w:t>
      </w:r>
    </w:p>
    <w:p w:rsidR="004F669D" w:rsidRPr="002407D1" w:rsidRDefault="004F669D" w:rsidP="002407D1">
      <w:pPr>
        <w:jc w:val="both"/>
        <w:rPr>
          <w:rFonts w:ascii="Times New Roman" w:hAnsi="Times New Roman" w:cs="Times New Roman"/>
          <w:bCs/>
          <w:i/>
          <w:sz w:val="24"/>
          <w:szCs w:val="24"/>
        </w:rPr>
      </w:pPr>
      <w:r w:rsidRPr="004F669D">
        <w:rPr>
          <w:rFonts w:ascii="Times New Roman" w:hAnsi="Times New Roman" w:cs="Times New Roman"/>
          <w:i/>
          <w:sz w:val="24"/>
          <w:szCs w:val="24"/>
        </w:rPr>
        <w:t xml:space="preserve">Papildināts ar sekojošu piezīmi atbilstoši MK noteikumu Nr.667 aktuālajai redakcijai: </w:t>
      </w:r>
      <w:r w:rsidRPr="002407D1">
        <w:rPr>
          <w:rFonts w:ascii="Times New Roman" w:hAnsi="Times New Roman" w:cs="Times New Roman"/>
          <w:i/>
          <w:sz w:val="24"/>
          <w:szCs w:val="24"/>
        </w:rPr>
        <w:t>Piezīme. Valsts budžeta dotāciju apmēru pašvaldībām aprēķina atbilstoši normatīvajiem aktiem par valsts budžeta dotācijas piešķiršanas kārtību pašvaldībām Eiropas Savienības struktūrfondu un Kohēzijas fonda līdzfinansēto projektu īstenošanai, ja aktivitātes īstenošanas kārtībā nav noteikts citādi.</w:t>
      </w:r>
    </w:p>
    <w:p w:rsidR="007372E7" w:rsidRPr="004F669D" w:rsidRDefault="007372E7" w:rsidP="002407D1">
      <w:pPr>
        <w:pStyle w:val="ListParagraph"/>
        <w:numPr>
          <w:ilvl w:val="0"/>
          <w:numId w:val="6"/>
        </w:numPr>
        <w:spacing w:before="100" w:beforeAutospacing="1" w:after="100" w:afterAutospacing="1" w:line="292" w:lineRule="auto"/>
        <w:jc w:val="both"/>
        <w:outlineLvl w:val="3"/>
        <w:rPr>
          <w:rFonts w:ascii="Times New Roman" w:hAnsi="Times New Roman" w:cs="Times New Roman"/>
          <w:i/>
          <w:sz w:val="24"/>
          <w:szCs w:val="24"/>
        </w:rPr>
      </w:pPr>
      <w:r w:rsidRPr="004F669D">
        <w:rPr>
          <w:rFonts w:ascii="Times New Roman" w:hAnsi="Times New Roman" w:cs="Times New Roman"/>
          <w:i/>
          <w:sz w:val="24"/>
          <w:szCs w:val="24"/>
        </w:rPr>
        <w:t xml:space="preserve">3.papilddokumenta tabula </w:t>
      </w:r>
    </w:p>
    <w:p w:rsidR="007372E7" w:rsidRPr="00F051E8" w:rsidRDefault="007372E7" w:rsidP="002407D1">
      <w:pPr>
        <w:jc w:val="both"/>
        <w:rPr>
          <w:rFonts w:ascii="Times New Roman" w:eastAsia="Times New Roman" w:hAnsi="Times New Roman" w:cs="Times New Roman"/>
          <w:bCs/>
          <w:sz w:val="24"/>
          <w:szCs w:val="24"/>
          <w:lang w:eastAsia="lv-LV"/>
        </w:rPr>
      </w:pPr>
      <w:r w:rsidRPr="00CF6B3D">
        <w:rPr>
          <w:rFonts w:ascii="Times New Roman" w:eastAsia="Times New Roman" w:hAnsi="Times New Roman" w:cs="Times New Roman"/>
          <w:bCs/>
          <w:sz w:val="24"/>
          <w:szCs w:val="24"/>
          <w:lang w:eastAsia="lv-LV"/>
        </w:rPr>
        <w:t xml:space="preserve">Atbilstoši Ministru kabineta 2011.gada 26.jūlija noteikumiem Nr.586 „Grozījumi Ministru kabineta 2008.gada 18.augusta noteikumos Nr.667 „Noteikumi par darbības programmas "Infrastruktūra un pakalpojumi” papildinājuma 3.5.1.2.2.apakšaktivitāti </w:t>
      </w:r>
      <w:r w:rsidRPr="00CF6B3D">
        <w:rPr>
          <w:rFonts w:ascii="Times New Roman" w:eastAsia="Times New Roman" w:hAnsi="Times New Roman" w:cs="Times New Roman"/>
          <w:bCs/>
          <w:sz w:val="24"/>
          <w:szCs w:val="24"/>
          <w:lang w:eastAsia="lv-LV"/>
        </w:rPr>
        <w:lastRenderedPageBreak/>
        <w:t>„Reģionālu atkritumu apsaimniekošanas sistēmu attīstība”” papildināta 3.pielikuma 3.papilddokumenta tabula ar 4.punktu „Publicitātes izmaksas”</w:t>
      </w:r>
      <w:r w:rsidR="00F051E8">
        <w:rPr>
          <w:rFonts w:ascii="Times New Roman" w:eastAsia="Times New Roman" w:hAnsi="Times New Roman" w:cs="Times New Roman"/>
          <w:bCs/>
          <w:sz w:val="24"/>
          <w:szCs w:val="24"/>
          <w:lang w:eastAsia="lv-LV"/>
        </w:rPr>
        <w:t xml:space="preserve"> </w:t>
      </w:r>
      <w:r w:rsidR="00F051E8" w:rsidRPr="00F051E8">
        <w:rPr>
          <w:rFonts w:ascii="Times New Roman" w:eastAsia="Times New Roman" w:hAnsi="Times New Roman" w:cs="Times New Roman"/>
          <w:bCs/>
          <w:sz w:val="24"/>
          <w:szCs w:val="24"/>
          <w:lang w:eastAsia="lv-LV"/>
        </w:rPr>
        <w:t xml:space="preserve">un sadaļa „Kopā” ar tekstu: </w:t>
      </w:r>
      <w:r w:rsidR="00F051E8" w:rsidRPr="00F051E8">
        <w:rPr>
          <w:rFonts w:ascii="Times New Roman" w:hAnsi="Times New Roman" w:cs="Times New Roman"/>
          <w:sz w:val="24"/>
          <w:szCs w:val="24"/>
        </w:rPr>
        <w:t>tai skaitā finanšu rezerve, kas var būt līdz 5% no 1. un 2.punktā iekļautajām izmaksu pozīcijām</w:t>
      </w:r>
      <w:r w:rsidR="00A2356C">
        <w:rPr>
          <w:rFonts w:ascii="Times New Roman" w:hAnsi="Times New Roman" w:cs="Times New Roman"/>
          <w:sz w:val="24"/>
          <w:szCs w:val="24"/>
        </w:rPr>
        <w:t>.</w:t>
      </w:r>
    </w:p>
    <w:p w:rsidR="007372E7" w:rsidRPr="00A91C88" w:rsidRDefault="007372E7" w:rsidP="002407D1">
      <w:pPr>
        <w:tabs>
          <w:tab w:val="num" w:pos="720"/>
        </w:tabs>
        <w:jc w:val="both"/>
        <w:rPr>
          <w:rFonts w:ascii="Times New Roman" w:hAnsi="Times New Roman" w:cs="Times New Roman"/>
          <w:i/>
          <w:sz w:val="24"/>
          <w:szCs w:val="24"/>
        </w:rPr>
      </w:pPr>
    </w:p>
    <w:p w:rsidR="00CF4ECA" w:rsidRDefault="007372E7" w:rsidP="002407D1">
      <w:pPr>
        <w:jc w:val="both"/>
      </w:pPr>
      <w:r w:rsidRPr="00A91C88">
        <w:rPr>
          <w:rFonts w:ascii="Times New Roman" w:hAnsi="Times New Roman" w:cs="Times New Roman"/>
          <w:b/>
          <w:sz w:val="24"/>
          <w:szCs w:val="24"/>
        </w:rPr>
        <w:t xml:space="preserve"> </w:t>
      </w:r>
      <w:bookmarkStart w:id="0" w:name="_GoBack"/>
      <w:bookmarkEnd w:id="0"/>
    </w:p>
    <w:sectPr w:rsidR="00CF4EC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C8" w:rsidRDefault="00A573C8" w:rsidP="00D550ED">
      <w:pPr>
        <w:spacing w:after="0" w:line="240" w:lineRule="auto"/>
      </w:pPr>
      <w:r>
        <w:separator/>
      </w:r>
    </w:p>
  </w:endnote>
  <w:endnote w:type="continuationSeparator" w:id="0">
    <w:p w:rsidR="00A573C8" w:rsidRDefault="00A573C8" w:rsidP="00D5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742813"/>
      <w:docPartObj>
        <w:docPartGallery w:val="Page Numbers (Bottom of Page)"/>
        <w:docPartUnique/>
      </w:docPartObj>
    </w:sdtPr>
    <w:sdtEndPr>
      <w:rPr>
        <w:noProof/>
      </w:rPr>
    </w:sdtEndPr>
    <w:sdtContent>
      <w:p w:rsidR="00D550ED" w:rsidRDefault="00D550ED">
        <w:pPr>
          <w:pStyle w:val="Footer"/>
          <w:jc w:val="center"/>
        </w:pPr>
        <w:r>
          <w:fldChar w:fldCharType="begin"/>
        </w:r>
        <w:r>
          <w:instrText xml:space="preserve"> PAGE   \* MERGEFORMAT </w:instrText>
        </w:r>
        <w:r>
          <w:fldChar w:fldCharType="separate"/>
        </w:r>
        <w:r w:rsidR="00A2356C">
          <w:rPr>
            <w:noProof/>
          </w:rPr>
          <w:t>7</w:t>
        </w:r>
        <w:r>
          <w:rPr>
            <w:noProof/>
          </w:rPr>
          <w:fldChar w:fldCharType="end"/>
        </w:r>
      </w:p>
    </w:sdtContent>
  </w:sdt>
  <w:p w:rsidR="00D550ED" w:rsidRDefault="00D550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C8" w:rsidRDefault="00A573C8" w:rsidP="00D550ED">
      <w:pPr>
        <w:spacing w:after="0" w:line="240" w:lineRule="auto"/>
      </w:pPr>
      <w:r>
        <w:separator/>
      </w:r>
    </w:p>
  </w:footnote>
  <w:footnote w:type="continuationSeparator" w:id="0">
    <w:p w:rsidR="00A573C8" w:rsidRDefault="00A573C8" w:rsidP="00D55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4113"/>
    <w:multiLevelType w:val="hybridMultilevel"/>
    <w:tmpl w:val="B8725B0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3F0D1B49"/>
    <w:multiLevelType w:val="hybridMultilevel"/>
    <w:tmpl w:val="F0CC7F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34D122B"/>
    <w:multiLevelType w:val="hybridMultilevel"/>
    <w:tmpl w:val="518CC8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55C797A"/>
    <w:multiLevelType w:val="hybridMultilevel"/>
    <w:tmpl w:val="BEBE0D5A"/>
    <w:lvl w:ilvl="0" w:tplc="829AE884">
      <w:start w:val="1"/>
      <w:numFmt w:val="decimal"/>
      <w:lvlText w:val="%1."/>
      <w:lvlJc w:val="left"/>
      <w:pPr>
        <w:tabs>
          <w:tab w:val="num" w:pos="720"/>
        </w:tabs>
        <w:ind w:left="720" w:hanging="360"/>
      </w:pPr>
      <w:rPr>
        <w:b w:val="0"/>
        <w:i/>
      </w:rPr>
    </w:lvl>
    <w:lvl w:ilvl="1" w:tplc="59B85602">
      <w:start w:val="2"/>
      <w:numFmt w:val="bullet"/>
      <w:lvlText w:val="-"/>
      <w:lvlJc w:val="left"/>
      <w:pPr>
        <w:tabs>
          <w:tab w:val="num" w:pos="1440"/>
        </w:tabs>
        <w:ind w:left="1440" w:hanging="360"/>
      </w:pPr>
      <w:rPr>
        <w:rFonts w:ascii="Times New Roman" w:eastAsia="Times New Roman" w:hAnsi="Times New Roman" w:cs="Times New Roman" w:hint="default"/>
      </w:rPr>
    </w:lvl>
    <w:lvl w:ilvl="2" w:tplc="21700966">
      <w:start w:val="1"/>
      <w:numFmt w:val="lowerLetter"/>
      <w:lvlText w:val="%3."/>
      <w:lvlJc w:val="left"/>
      <w:pPr>
        <w:tabs>
          <w:tab w:val="num" w:pos="2700"/>
        </w:tabs>
        <w:ind w:left="2700" w:hanging="720"/>
      </w:pPr>
      <w:rPr>
        <w:rFonts w:hint="default"/>
      </w:rPr>
    </w:lvl>
    <w:lvl w:ilvl="3" w:tplc="C8389B2E">
      <w:start w:val="1"/>
      <w:numFmt w:val="decimal"/>
      <w:lvlText w:val="%4)"/>
      <w:lvlJc w:val="left"/>
      <w:pPr>
        <w:tabs>
          <w:tab w:val="num" w:pos="2880"/>
        </w:tabs>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595E2ADE"/>
    <w:multiLevelType w:val="hybridMultilevel"/>
    <w:tmpl w:val="0BA40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C721652"/>
    <w:multiLevelType w:val="hybridMultilevel"/>
    <w:tmpl w:val="E8DCCE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E7"/>
    <w:rsid w:val="00002A5E"/>
    <w:rsid w:val="00101D76"/>
    <w:rsid w:val="001A206A"/>
    <w:rsid w:val="002364A7"/>
    <w:rsid w:val="002407D1"/>
    <w:rsid w:val="00307E37"/>
    <w:rsid w:val="004F669D"/>
    <w:rsid w:val="00512642"/>
    <w:rsid w:val="00612D0D"/>
    <w:rsid w:val="006C6AE9"/>
    <w:rsid w:val="007372E7"/>
    <w:rsid w:val="008E4EAF"/>
    <w:rsid w:val="009C686B"/>
    <w:rsid w:val="00A2356C"/>
    <w:rsid w:val="00A573C8"/>
    <w:rsid w:val="00AD6F95"/>
    <w:rsid w:val="00C52191"/>
    <w:rsid w:val="00C53A21"/>
    <w:rsid w:val="00CE0695"/>
    <w:rsid w:val="00CF4ECA"/>
    <w:rsid w:val="00D04889"/>
    <w:rsid w:val="00D550ED"/>
    <w:rsid w:val="00D65954"/>
    <w:rsid w:val="00DD2AA0"/>
    <w:rsid w:val="00E71D1E"/>
    <w:rsid w:val="00F051E8"/>
    <w:rsid w:val="00F47065"/>
    <w:rsid w:val="00F64A32"/>
    <w:rsid w:val="00F73073"/>
    <w:rsid w:val="00FB6D73"/>
    <w:rsid w:val="00FC6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2E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7372E7"/>
    <w:pPr>
      <w:ind w:left="720"/>
      <w:contextualSpacing/>
    </w:pPr>
  </w:style>
  <w:style w:type="character" w:styleId="CommentReference">
    <w:name w:val="annotation reference"/>
    <w:semiHidden/>
    <w:rsid w:val="007372E7"/>
    <w:rPr>
      <w:sz w:val="16"/>
      <w:szCs w:val="16"/>
    </w:rPr>
  </w:style>
  <w:style w:type="paragraph" w:styleId="CommentText">
    <w:name w:val="annotation text"/>
    <w:basedOn w:val="Normal"/>
    <w:link w:val="CommentTextChar"/>
    <w:semiHidden/>
    <w:rsid w:val="007372E7"/>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7372E7"/>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737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2E7"/>
    <w:rPr>
      <w:rFonts w:ascii="Tahoma" w:hAnsi="Tahoma" w:cs="Tahoma"/>
      <w:sz w:val="16"/>
      <w:szCs w:val="16"/>
    </w:rPr>
  </w:style>
  <w:style w:type="character" w:styleId="Hyperlink">
    <w:name w:val="Hyperlink"/>
    <w:basedOn w:val="DefaultParagraphFont"/>
    <w:uiPriority w:val="99"/>
    <w:unhideWhenUsed/>
    <w:rsid w:val="00307E37"/>
    <w:rPr>
      <w:color w:val="0000FF" w:themeColor="hyperlink"/>
      <w:u w:val="single"/>
    </w:rPr>
  </w:style>
  <w:style w:type="character" w:styleId="FollowedHyperlink">
    <w:name w:val="FollowedHyperlink"/>
    <w:basedOn w:val="DefaultParagraphFont"/>
    <w:uiPriority w:val="99"/>
    <w:semiHidden/>
    <w:unhideWhenUsed/>
    <w:rsid w:val="00307E37"/>
    <w:rPr>
      <w:color w:val="800080" w:themeColor="followedHyperlink"/>
      <w:u w:val="single"/>
    </w:rPr>
  </w:style>
  <w:style w:type="paragraph" w:styleId="Header">
    <w:name w:val="header"/>
    <w:basedOn w:val="Normal"/>
    <w:link w:val="HeaderChar"/>
    <w:uiPriority w:val="99"/>
    <w:unhideWhenUsed/>
    <w:rsid w:val="00D550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50ED"/>
  </w:style>
  <w:style w:type="paragraph" w:styleId="Footer">
    <w:name w:val="footer"/>
    <w:basedOn w:val="Normal"/>
    <w:link w:val="FooterChar"/>
    <w:uiPriority w:val="99"/>
    <w:unhideWhenUsed/>
    <w:rsid w:val="00D550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50ED"/>
  </w:style>
  <w:style w:type="paragraph" w:styleId="Revision">
    <w:name w:val="Revision"/>
    <w:hidden/>
    <w:uiPriority w:val="99"/>
    <w:semiHidden/>
    <w:rsid w:val="008E4EAF"/>
    <w:pPr>
      <w:spacing w:after="0" w:line="240" w:lineRule="auto"/>
    </w:pPr>
  </w:style>
  <w:style w:type="paragraph" w:styleId="CommentSubject">
    <w:name w:val="annotation subject"/>
    <w:basedOn w:val="CommentText"/>
    <w:next w:val="CommentText"/>
    <w:link w:val="CommentSubjectChar"/>
    <w:uiPriority w:val="99"/>
    <w:semiHidden/>
    <w:unhideWhenUsed/>
    <w:rsid w:val="00D6595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65954"/>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2E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7372E7"/>
    <w:pPr>
      <w:ind w:left="720"/>
      <w:contextualSpacing/>
    </w:pPr>
  </w:style>
  <w:style w:type="character" w:styleId="CommentReference">
    <w:name w:val="annotation reference"/>
    <w:semiHidden/>
    <w:rsid w:val="007372E7"/>
    <w:rPr>
      <w:sz w:val="16"/>
      <w:szCs w:val="16"/>
    </w:rPr>
  </w:style>
  <w:style w:type="paragraph" w:styleId="CommentText">
    <w:name w:val="annotation text"/>
    <w:basedOn w:val="Normal"/>
    <w:link w:val="CommentTextChar"/>
    <w:semiHidden/>
    <w:rsid w:val="007372E7"/>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7372E7"/>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737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2E7"/>
    <w:rPr>
      <w:rFonts w:ascii="Tahoma" w:hAnsi="Tahoma" w:cs="Tahoma"/>
      <w:sz w:val="16"/>
      <w:szCs w:val="16"/>
    </w:rPr>
  </w:style>
  <w:style w:type="character" w:styleId="Hyperlink">
    <w:name w:val="Hyperlink"/>
    <w:basedOn w:val="DefaultParagraphFont"/>
    <w:uiPriority w:val="99"/>
    <w:unhideWhenUsed/>
    <w:rsid w:val="00307E37"/>
    <w:rPr>
      <w:color w:val="0000FF" w:themeColor="hyperlink"/>
      <w:u w:val="single"/>
    </w:rPr>
  </w:style>
  <w:style w:type="character" w:styleId="FollowedHyperlink">
    <w:name w:val="FollowedHyperlink"/>
    <w:basedOn w:val="DefaultParagraphFont"/>
    <w:uiPriority w:val="99"/>
    <w:semiHidden/>
    <w:unhideWhenUsed/>
    <w:rsid w:val="00307E37"/>
    <w:rPr>
      <w:color w:val="800080" w:themeColor="followedHyperlink"/>
      <w:u w:val="single"/>
    </w:rPr>
  </w:style>
  <w:style w:type="paragraph" w:styleId="Header">
    <w:name w:val="header"/>
    <w:basedOn w:val="Normal"/>
    <w:link w:val="HeaderChar"/>
    <w:uiPriority w:val="99"/>
    <w:unhideWhenUsed/>
    <w:rsid w:val="00D550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50ED"/>
  </w:style>
  <w:style w:type="paragraph" w:styleId="Footer">
    <w:name w:val="footer"/>
    <w:basedOn w:val="Normal"/>
    <w:link w:val="FooterChar"/>
    <w:uiPriority w:val="99"/>
    <w:unhideWhenUsed/>
    <w:rsid w:val="00D550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50ED"/>
  </w:style>
  <w:style w:type="paragraph" w:styleId="Revision">
    <w:name w:val="Revision"/>
    <w:hidden/>
    <w:uiPriority w:val="99"/>
    <w:semiHidden/>
    <w:rsid w:val="008E4EAF"/>
    <w:pPr>
      <w:spacing w:after="0" w:line="240" w:lineRule="auto"/>
    </w:pPr>
  </w:style>
  <w:style w:type="paragraph" w:styleId="CommentSubject">
    <w:name w:val="annotation subject"/>
    <w:basedOn w:val="CommentText"/>
    <w:next w:val="CommentText"/>
    <w:link w:val="CommentSubjectChar"/>
    <w:uiPriority w:val="99"/>
    <w:semiHidden/>
    <w:unhideWhenUsed/>
    <w:rsid w:val="00D6595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65954"/>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lat/fondi/kohez/?doc=726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9210</Words>
  <Characters>5250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Pfeifers</dc:creator>
  <cp:lastModifiedBy>Edgars Pfeifers</cp:lastModifiedBy>
  <cp:revision>8</cp:revision>
  <dcterms:created xsi:type="dcterms:W3CDTF">2011-11-02T11:07:00Z</dcterms:created>
  <dcterms:modified xsi:type="dcterms:W3CDTF">2011-11-03T11:13:00Z</dcterms:modified>
</cp:coreProperties>
</file>