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0DC" w:rsidRPr="00B917A6" w:rsidRDefault="006200DC" w:rsidP="006200DC">
      <w:pPr>
        <w:spacing w:after="0" w:line="360" w:lineRule="auto"/>
        <w:jc w:val="center"/>
        <w:rPr>
          <w:rFonts w:ascii="Times New Roman" w:eastAsia="Times New Roman" w:hAnsi="Times New Roman" w:cs="Times New Roman"/>
          <w:b/>
          <w:sz w:val="24"/>
          <w:szCs w:val="24"/>
        </w:rPr>
      </w:pPr>
      <w:r w:rsidRPr="00B917A6">
        <w:rPr>
          <w:rFonts w:ascii="Times New Roman" w:eastAsia="Times New Roman" w:hAnsi="Times New Roman" w:cs="Times New Roman"/>
          <w:b/>
          <w:sz w:val="24"/>
          <w:szCs w:val="24"/>
        </w:rPr>
        <w:t>Precizējumi</w:t>
      </w:r>
    </w:p>
    <w:p w:rsidR="006200DC" w:rsidRPr="00B917A6" w:rsidRDefault="006200DC" w:rsidP="006200DC">
      <w:pPr>
        <w:spacing w:after="0" w:line="360" w:lineRule="auto"/>
        <w:jc w:val="center"/>
        <w:rPr>
          <w:rFonts w:ascii="Times New Roman" w:eastAsia="Times New Roman" w:hAnsi="Times New Roman" w:cs="Times New Roman"/>
          <w:sz w:val="24"/>
          <w:szCs w:val="24"/>
        </w:rPr>
      </w:pPr>
      <w:r w:rsidRPr="00B917A6">
        <w:rPr>
          <w:rFonts w:ascii="Times New Roman" w:eastAsia="Times New Roman" w:hAnsi="Times New Roman" w:cs="Times New Roman"/>
          <w:b/>
          <w:sz w:val="24"/>
          <w:szCs w:val="24"/>
        </w:rPr>
        <w:t>„Vadlīnijām</w:t>
      </w:r>
    </w:p>
    <w:p w:rsidR="006200DC" w:rsidRPr="00064746" w:rsidRDefault="006200DC" w:rsidP="006200DC">
      <w:pPr>
        <w:pStyle w:val="Default"/>
        <w:spacing w:line="360" w:lineRule="auto"/>
        <w:jc w:val="center"/>
        <w:rPr>
          <w:b/>
        </w:rPr>
      </w:pPr>
      <w:r w:rsidRPr="00064746">
        <w:rPr>
          <w:b/>
        </w:rPr>
        <w:t>darbības programmas „Infrastruktūra un pakalpojumi”</w:t>
      </w:r>
      <w:r w:rsidR="003E0767">
        <w:rPr>
          <w:b/>
        </w:rPr>
        <w:t xml:space="preserve"> papildinājuma</w:t>
      </w:r>
    </w:p>
    <w:p w:rsidR="006200DC" w:rsidRPr="00064746" w:rsidRDefault="003E0767" w:rsidP="006200DC">
      <w:pPr>
        <w:pStyle w:val="Default"/>
        <w:spacing w:line="360" w:lineRule="auto"/>
        <w:jc w:val="center"/>
        <w:rPr>
          <w:b/>
        </w:rPr>
      </w:pPr>
      <w:r>
        <w:rPr>
          <w:b/>
        </w:rPr>
        <w:t>3.4.1.4. aktivitātes „Vēsturiski piesārņotu vietu sanācija</w:t>
      </w:r>
      <w:r w:rsidR="006200DC" w:rsidRPr="00064746">
        <w:rPr>
          <w:b/>
        </w:rPr>
        <w:t xml:space="preserve">” </w:t>
      </w:r>
      <w:r>
        <w:rPr>
          <w:b/>
        </w:rPr>
        <w:t>Eiropas Reģionālās attīstības</w:t>
      </w:r>
      <w:r w:rsidR="006200DC" w:rsidRPr="00064746">
        <w:rPr>
          <w:b/>
        </w:rPr>
        <w:t xml:space="preserve"> fonda iesnieguma sagatavošanai</w:t>
      </w:r>
      <w:r w:rsidR="006200DC">
        <w:rPr>
          <w:b/>
        </w:rPr>
        <w:t>.”</w:t>
      </w:r>
    </w:p>
    <w:p w:rsidR="006200DC" w:rsidRPr="00064746" w:rsidRDefault="006200DC" w:rsidP="006200DC">
      <w:pPr>
        <w:autoSpaceDE w:val="0"/>
        <w:autoSpaceDN w:val="0"/>
        <w:adjustRightInd w:val="0"/>
        <w:spacing w:after="0" w:line="360" w:lineRule="auto"/>
        <w:jc w:val="center"/>
        <w:rPr>
          <w:rFonts w:ascii="Times New Roman" w:eastAsia="Times New Roman" w:hAnsi="Times New Roman" w:cs="Times New Roman"/>
          <w:b/>
          <w:sz w:val="24"/>
          <w:szCs w:val="24"/>
        </w:rPr>
      </w:pPr>
    </w:p>
    <w:p w:rsidR="006200DC" w:rsidRPr="00B917A6" w:rsidRDefault="003E0767" w:rsidP="006200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2012</w:t>
      </w:r>
      <w:r w:rsidR="006200DC" w:rsidRPr="00B917A6">
        <w:rPr>
          <w:rFonts w:ascii="Times New Roman" w:eastAsia="Times New Roman" w:hAnsi="Times New Roman" w:cs="Times New Roman"/>
          <w:b/>
          <w:sz w:val="24"/>
          <w:szCs w:val="24"/>
        </w:rPr>
        <w:t xml:space="preserve">.gada </w:t>
      </w:r>
      <w:r>
        <w:rPr>
          <w:rFonts w:ascii="Times New Roman" w:eastAsia="Times New Roman" w:hAnsi="Times New Roman" w:cs="Times New Roman"/>
          <w:b/>
          <w:sz w:val="24"/>
          <w:szCs w:val="24"/>
        </w:rPr>
        <w:t>27.februārī</w:t>
      </w:r>
    </w:p>
    <w:p w:rsidR="006200DC" w:rsidRDefault="00026210" w:rsidP="000262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026210">
        <w:rPr>
          <w:rFonts w:ascii="Times New Roman" w:eastAsia="Times New Roman" w:hAnsi="Times New Roman" w:cs="Times New Roman"/>
          <w:sz w:val="24"/>
          <w:szCs w:val="24"/>
        </w:rPr>
        <w:t xml:space="preserve">onstatējot atsevišķas neatbilstības aktuālajai situācijai </w:t>
      </w:r>
      <w:r>
        <w:rPr>
          <w:rFonts w:ascii="Times New Roman" w:eastAsia="Times New Roman" w:hAnsi="Times New Roman" w:cs="Times New Roman"/>
          <w:sz w:val="24"/>
          <w:szCs w:val="24"/>
        </w:rPr>
        <w:t xml:space="preserve">vadlīnijās par </w:t>
      </w:r>
      <w:r w:rsidRPr="00026210">
        <w:rPr>
          <w:rFonts w:ascii="Times New Roman" w:eastAsia="Times New Roman" w:hAnsi="Times New Roman" w:cs="Times New Roman"/>
          <w:sz w:val="24"/>
          <w:szCs w:val="24"/>
        </w:rPr>
        <w:t>3.4.1.4. aktivitātes „Vēsturiski piesārņotu vietu sanācija” Eiropas Reģionālās attīstības fonda iesnieguma sagatavošan</w:t>
      </w:r>
      <w:r>
        <w:rPr>
          <w:rFonts w:ascii="Times New Roman" w:eastAsia="Times New Roman" w:hAnsi="Times New Roman" w:cs="Times New Roman"/>
          <w:sz w:val="24"/>
          <w:szCs w:val="24"/>
        </w:rPr>
        <w:t>u</w:t>
      </w:r>
      <w:r w:rsidR="006200DC" w:rsidRPr="00B917A6">
        <w:rPr>
          <w:rFonts w:ascii="Times New Roman" w:eastAsia="Times New Roman" w:hAnsi="Times New Roman" w:cs="Times New Roman"/>
          <w:sz w:val="24"/>
          <w:szCs w:val="24"/>
        </w:rPr>
        <w:t xml:space="preserve">, </w:t>
      </w:r>
      <w:r w:rsidR="00326429">
        <w:rPr>
          <w:rFonts w:ascii="Times New Roman" w:eastAsia="Times New Roman" w:hAnsi="Times New Roman" w:cs="Times New Roman"/>
          <w:sz w:val="24"/>
          <w:szCs w:val="24"/>
        </w:rPr>
        <w:t xml:space="preserve">veikti precizējumi vadlīniju </w:t>
      </w:r>
      <w:r w:rsidR="00670F5C">
        <w:rPr>
          <w:rFonts w:ascii="Times New Roman" w:eastAsia="Times New Roman" w:hAnsi="Times New Roman" w:cs="Times New Roman"/>
          <w:sz w:val="24"/>
          <w:szCs w:val="24"/>
        </w:rPr>
        <w:t xml:space="preserve">2.5., </w:t>
      </w:r>
      <w:r w:rsidR="00F361BD">
        <w:rPr>
          <w:rFonts w:ascii="Times New Roman" w:eastAsia="Times New Roman" w:hAnsi="Times New Roman" w:cs="Times New Roman"/>
          <w:sz w:val="24"/>
          <w:szCs w:val="24"/>
        </w:rPr>
        <w:t xml:space="preserve">2.5.1., 2.5.2., 2.6., 3.2., </w:t>
      </w:r>
      <w:r w:rsidR="005A0B17">
        <w:rPr>
          <w:rFonts w:ascii="Times New Roman" w:eastAsia="Times New Roman" w:hAnsi="Times New Roman" w:cs="Times New Roman"/>
          <w:sz w:val="24"/>
          <w:szCs w:val="24"/>
        </w:rPr>
        <w:t xml:space="preserve">3.3., </w:t>
      </w:r>
      <w:r w:rsidR="00670F5C">
        <w:rPr>
          <w:rFonts w:ascii="Times New Roman" w:eastAsia="Times New Roman" w:hAnsi="Times New Roman" w:cs="Times New Roman"/>
          <w:sz w:val="24"/>
          <w:szCs w:val="24"/>
        </w:rPr>
        <w:t xml:space="preserve">3.5., </w:t>
      </w:r>
      <w:r w:rsidR="005A0B17">
        <w:rPr>
          <w:rFonts w:ascii="Times New Roman" w:eastAsia="Times New Roman" w:hAnsi="Times New Roman" w:cs="Times New Roman"/>
          <w:sz w:val="24"/>
          <w:szCs w:val="24"/>
        </w:rPr>
        <w:t xml:space="preserve">4., </w:t>
      </w:r>
      <w:r w:rsidR="00670F5C">
        <w:rPr>
          <w:rFonts w:ascii="Times New Roman" w:eastAsia="Times New Roman" w:hAnsi="Times New Roman" w:cs="Times New Roman"/>
          <w:sz w:val="24"/>
          <w:szCs w:val="24"/>
        </w:rPr>
        <w:t xml:space="preserve">5.1., </w:t>
      </w:r>
      <w:r w:rsidR="005A0B17">
        <w:rPr>
          <w:rFonts w:ascii="Times New Roman" w:eastAsia="Times New Roman" w:hAnsi="Times New Roman" w:cs="Times New Roman"/>
          <w:sz w:val="24"/>
          <w:szCs w:val="24"/>
        </w:rPr>
        <w:t xml:space="preserve">6., 7.2. un 7.3.3. </w:t>
      </w:r>
      <w:r w:rsidR="006200DC" w:rsidRPr="00B917A6">
        <w:rPr>
          <w:rFonts w:ascii="Times New Roman" w:eastAsia="Times New Roman" w:hAnsi="Times New Roman" w:cs="Times New Roman"/>
          <w:sz w:val="24"/>
          <w:szCs w:val="24"/>
        </w:rPr>
        <w:t xml:space="preserve">sadaļās.  </w:t>
      </w:r>
    </w:p>
    <w:p w:rsidR="006200DC" w:rsidRDefault="006200DC" w:rsidP="006200DC">
      <w:pPr>
        <w:pStyle w:val="Default"/>
        <w:spacing w:line="276" w:lineRule="auto"/>
        <w:jc w:val="both"/>
      </w:pPr>
      <w:r>
        <w:t>Minētie p</w:t>
      </w:r>
      <w:r w:rsidRPr="00064746">
        <w:t xml:space="preserve">recizējumi </w:t>
      </w:r>
      <w:r>
        <w:t xml:space="preserve">norādīti zemāk, kā arī </w:t>
      </w:r>
      <w:r w:rsidRPr="00064746">
        <w:t>veikti dokumentā „Vadlīnijas</w:t>
      </w:r>
      <w:r w:rsidR="003E0767">
        <w:t xml:space="preserve"> 3.4.1.4. </w:t>
      </w:r>
      <w:r w:rsidRPr="00064746">
        <w:t>aktivitātes „</w:t>
      </w:r>
      <w:r w:rsidR="003E0767">
        <w:t>Vēsturiski piesārņoti vietu sanācija</w:t>
      </w:r>
      <w:r w:rsidRPr="00064746">
        <w:t xml:space="preserve">” </w:t>
      </w:r>
      <w:r w:rsidR="003E0767">
        <w:t>Eiropas Reģionālās attīstības</w:t>
      </w:r>
      <w:r w:rsidRPr="00064746">
        <w:t xml:space="preserve"> fonda iesnieguma sagatavošanai.”</w:t>
      </w:r>
      <w:r w:rsidR="005B5581">
        <w:t xml:space="preserve"> Un labākai uzskatāmībai iezīmēti ar dzeltenu.</w:t>
      </w:r>
    </w:p>
    <w:p w:rsidR="006200DC" w:rsidRPr="00064746" w:rsidRDefault="006200DC" w:rsidP="006200DC">
      <w:pPr>
        <w:pStyle w:val="Default"/>
        <w:spacing w:line="276" w:lineRule="auto"/>
        <w:jc w:val="both"/>
      </w:pPr>
      <w:bookmarkStart w:id="0" w:name="_GoBack"/>
      <w:bookmarkEnd w:id="0"/>
    </w:p>
    <w:p w:rsidR="006200DC" w:rsidRDefault="006200DC" w:rsidP="006200DC">
      <w:pPr>
        <w:jc w:val="both"/>
        <w:rPr>
          <w:rFonts w:ascii="Times New Roman" w:eastAsia="Times New Roman" w:hAnsi="Times New Roman" w:cs="Times New Roman"/>
          <w:sz w:val="24"/>
          <w:szCs w:val="24"/>
          <w:u w:val="single"/>
        </w:rPr>
      </w:pPr>
      <w:r w:rsidRPr="00614EDE">
        <w:rPr>
          <w:rFonts w:ascii="Times New Roman" w:eastAsia="Times New Roman" w:hAnsi="Times New Roman" w:cs="Times New Roman"/>
          <w:sz w:val="24"/>
          <w:szCs w:val="24"/>
          <w:u w:val="single"/>
        </w:rPr>
        <w:t>Vadlīnijās veikti sekojoši precizējumi:</w:t>
      </w:r>
    </w:p>
    <w:p w:rsidR="00026210" w:rsidRPr="00026210" w:rsidRDefault="00026210" w:rsidP="00026210">
      <w:pPr>
        <w:pStyle w:val="ListParagraph"/>
        <w:numPr>
          <w:ilvl w:val="0"/>
          <w:numId w:val="1"/>
        </w:numPr>
        <w:spacing w:after="120"/>
        <w:ind w:left="714" w:hanging="357"/>
        <w:jc w:val="both"/>
        <w:rPr>
          <w:rFonts w:ascii="Times New Roman" w:hAnsi="Times New Roman" w:cs="Times New Roman"/>
          <w:sz w:val="24"/>
          <w:szCs w:val="24"/>
        </w:rPr>
      </w:pPr>
      <w:r w:rsidRPr="00026210">
        <w:rPr>
          <w:rFonts w:ascii="Times New Roman" w:hAnsi="Times New Roman" w:cs="Times New Roman"/>
          <w:b/>
          <w:sz w:val="24"/>
          <w:szCs w:val="24"/>
        </w:rPr>
        <w:t>2.5.sadaļa papildināta</w:t>
      </w:r>
      <w:r>
        <w:rPr>
          <w:rFonts w:ascii="Times New Roman" w:hAnsi="Times New Roman" w:cs="Times New Roman"/>
          <w:sz w:val="24"/>
          <w:szCs w:val="24"/>
        </w:rPr>
        <w:t xml:space="preserve"> ar sekojošu norādi:</w:t>
      </w:r>
    </w:p>
    <w:p w:rsidR="00026210" w:rsidRPr="00026210" w:rsidRDefault="00026210" w:rsidP="00026210">
      <w:pPr>
        <w:spacing w:after="120"/>
        <w:jc w:val="both"/>
        <w:rPr>
          <w:rFonts w:ascii="Times New Roman" w:hAnsi="Times New Roman" w:cs="Times New Roman"/>
          <w:sz w:val="24"/>
          <w:szCs w:val="24"/>
        </w:rPr>
      </w:pPr>
      <w:r w:rsidRPr="00026210">
        <w:rPr>
          <w:rFonts w:ascii="Times New Roman" w:hAnsi="Times New Roman" w:cs="Times New Roman"/>
          <w:i/>
          <w:sz w:val="24"/>
          <w:szCs w:val="24"/>
        </w:rPr>
        <w:t>Aprakstot izvēlēto risinājumu, jāsniedz pilna informācija, lai nodrošinātu atbilstību MK noteikumu Nr. 817. 4.pielikuma 6.kritērijā prasītajam.</w:t>
      </w:r>
    </w:p>
    <w:p w:rsidR="006200DC" w:rsidRPr="00B917A6" w:rsidRDefault="006200DC" w:rsidP="006200DC">
      <w:pPr>
        <w:pStyle w:val="ListParagraph"/>
        <w:numPr>
          <w:ilvl w:val="0"/>
          <w:numId w:val="1"/>
        </w:numPr>
        <w:spacing w:after="120"/>
        <w:ind w:left="714" w:hanging="357"/>
        <w:jc w:val="both"/>
        <w:rPr>
          <w:rFonts w:ascii="Times New Roman" w:hAnsi="Times New Roman" w:cs="Times New Roman"/>
          <w:sz w:val="24"/>
          <w:szCs w:val="24"/>
        </w:rPr>
      </w:pPr>
      <w:r w:rsidRPr="00B917A6">
        <w:rPr>
          <w:rFonts w:ascii="Times New Roman" w:hAnsi="Times New Roman" w:cs="Times New Roman"/>
          <w:b/>
          <w:sz w:val="24"/>
          <w:szCs w:val="24"/>
        </w:rPr>
        <w:t>2</w:t>
      </w:r>
      <w:r w:rsidR="00326429">
        <w:rPr>
          <w:rFonts w:ascii="Times New Roman" w:hAnsi="Times New Roman" w:cs="Times New Roman"/>
          <w:b/>
          <w:sz w:val="24"/>
          <w:szCs w:val="24"/>
        </w:rPr>
        <w:t>.5.</w:t>
      </w:r>
      <w:r w:rsidRPr="00B917A6">
        <w:rPr>
          <w:rFonts w:ascii="Times New Roman" w:hAnsi="Times New Roman" w:cs="Times New Roman"/>
          <w:b/>
          <w:sz w:val="24"/>
          <w:szCs w:val="24"/>
        </w:rPr>
        <w:t>1. sadaļ</w:t>
      </w:r>
      <w:r w:rsidR="00026210">
        <w:rPr>
          <w:rFonts w:ascii="Times New Roman" w:hAnsi="Times New Roman" w:cs="Times New Roman"/>
          <w:b/>
          <w:sz w:val="24"/>
          <w:szCs w:val="24"/>
        </w:rPr>
        <w:t xml:space="preserve">ā veikts precizējums </w:t>
      </w:r>
      <w:r w:rsidR="00326429">
        <w:rPr>
          <w:rFonts w:ascii="Times New Roman" w:hAnsi="Times New Roman" w:cs="Times New Roman"/>
          <w:sz w:val="24"/>
          <w:szCs w:val="24"/>
        </w:rPr>
        <w:t xml:space="preserve"> sekojoš</w:t>
      </w:r>
      <w:r w:rsidR="00026210">
        <w:rPr>
          <w:rFonts w:ascii="Times New Roman" w:hAnsi="Times New Roman" w:cs="Times New Roman"/>
          <w:sz w:val="24"/>
          <w:szCs w:val="24"/>
        </w:rPr>
        <w:t>ā redakcijā</w:t>
      </w:r>
      <w:r w:rsidRPr="00B917A6">
        <w:rPr>
          <w:rFonts w:ascii="Times New Roman" w:hAnsi="Times New Roman" w:cs="Times New Roman"/>
          <w:sz w:val="24"/>
          <w:szCs w:val="24"/>
        </w:rPr>
        <w:t>:</w:t>
      </w:r>
    </w:p>
    <w:p w:rsidR="006200DC" w:rsidRPr="00326429" w:rsidRDefault="00326429" w:rsidP="00326429">
      <w:pPr>
        <w:pStyle w:val="Default"/>
        <w:spacing w:after="120"/>
        <w:jc w:val="both"/>
        <w:rPr>
          <w:bCs/>
          <w:i/>
          <w:color w:val="auto"/>
        </w:rPr>
      </w:pPr>
      <w:r w:rsidRPr="00326429">
        <w:rPr>
          <w:bCs/>
          <w:i/>
          <w:color w:val="auto"/>
        </w:rPr>
        <w:t>Lai nodrošinātu iespēju izvērtēt projekta iesniegumu atbilstoši ERAF projektu iesniegumu vērtēšanas kvalitātes kritērijiem (lai kritērijā saņemtu pozitīvu (</w:t>
      </w:r>
      <w:r w:rsidRPr="00026210">
        <w:rPr>
          <w:b/>
          <w:bCs/>
          <w:i/>
          <w:color w:val="auto"/>
        </w:rPr>
        <w:t>vismaz 2 punktus</w:t>
      </w:r>
      <w:r w:rsidRPr="00326429">
        <w:rPr>
          <w:bCs/>
          <w:i/>
          <w:color w:val="auto"/>
        </w:rPr>
        <w:t xml:space="preserve">) vērtējumu ir jābūt veiktam kvalitatīvam iespējamo risku izvērtējumam </w:t>
      </w:r>
      <w:r w:rsidRPr="00026210">
        <w:rPr>
          <w:b/>
          <w:bCs/>
          <w:i/>
          <w:color w:val="auto"/>
        </w:rPr>
        <w:t>un jābūt izstrādātam pasākumu plānam risku samazināšanai</w:t>
      </w:r>
      <w:r w:rsidRPr="00326429">
        <w:rPr>
          <w:bCs/>
          <w:i/>
          <w:color w:val="auto"/>
        </w:rPr>
        <w:t>)</w:t>
      </w:r>
      <w:r>
        <w:rPr>
          <w:bCs/>
          <w:i/>
          <w:color w:val="auto"/>
        </w:rPr>
        <w:t>, ir nepieciešams norādīt:</w:t>
      </w:r>
    </w:p>
    <w:p w:rsidR="006200DC" w:rsidRDefault="00326429" w:rsidP="006200DC">
      <w:pPr>
        <w:pStyle w:val="ListParagraph"/>
        <w:numPr>
          <w:ilvl w:val="0"/>
          <w:numId w:val="1"/>
        </w:numPr>
        <w:spacing w:before="240" w:after="120"/>
        <w:ind w:left="714" w:hanging="357"/>
        <w:jc w:val="both"/>
        <w:rPr>
          <w:rFonts w:ascii="Times New Roman" w:hAnsi="Times New Roman" w:cs="Times New Roman"/>
          <w:sz w:val="24"/>
          <w:szCs w:val="24"/>
        </w:rPr>
      </w:pPr>
      <w:r>
        <w:rPr>
          <w:rFonts w:ascii="Times New Roman" w:hAnsi="Times New Roman" w:cs="Times New Roman"/>
          <w:b/>
          <w:sz w:val="24"/>
          <w:szCs w:val="24"/>
        </w:rPr>
        <w:t>2</w:t>
      </w:r>
      <w:r w:rsidR="006200DC" w:rsidRPr="00B917A6">
        <w:rPr>
          <w:rFonts w:ascii="Times New Roman" w:hAnsi="Times New Roman" w:cs="Times New Roman"/>
          <w:b/>
          <w:sz w:val="24"/>
          <w:szCs w:val="24"/>
        </w:rPr>
        <w:t>.</w:t>
      </w:r>
      <w:r>
        <w:rPr>
          <w:rFonts w:ascii="Times New Roman" w:hAnsi="Times New Roman" w:cs="Times New Roman"/>
          <w:b/>
          <w:sz w:val="24"/>
          <w:szCs w:val="24"/>
        </w:rPr>
        <w:t>5.</w:t>
      </w:r>
      <w:r w:rsidR="006200DC" w:rsidRPr="00B917A6">
        <w:rPr>
          <w:rFonts w:ascii="Times New Roman" w:hAnsi="Times New Roman" w:cs="Times New Roman"/>
          <w:b/>
          <w:sz w:val="24"/>
          <w:szCs w:val="24"/>
        </w:rPr>
        <w:t>2. sadaļa papildināta</w:t>
      </w:r>
      <w:r>
        <w:rPr>
          <w:rFonts w:ascii="Times New Roman" w:hAnsi="Times New Roman" w:cs="Times New Roman"/>
          <w:b/>
          <w:sz w:val="24"/>
          <w:szCs w:val="24"/>
        </w:rPr>
        <w:t xml:space="preserve"> </w:t>
      </w:r>
      <w:r>
        <w:rPr>
          <w:rFonts w:ascii="Times New Roman" w:hAnsi="Times New Roman" w:cs="Times New Roman"/>
          <w:sz w:val="24"/>
          <w:szCs w:val="24"/>
        </w:rPr>
        <w:t>ar sekojošu norādi</w:t>
      </w:r>
      <w:r w:rsidR="006200DC" w:rsidRPr="00B917A6">
        <w:rPr>
          <w:rFonts w:ascii="Times New Roman" w:hAnsi="Times New Roman" w:cs="Times New Roman"/>
          <w:sz w:val="24"/>
          <w:szCs w:val="24"/>
        </w:rPr>
        <w:t>:</w:t>
      </w:r>
    </w:p>
    <w:p w:rsidR="006200DC" w:rsidRPr="00326429" w:rsidRDefault="00326429" w:rsidP="00326429">
      <w:pPr>
        <w:spacing w:line="240" w:lineRule="auto"/>
        <w:jc w:val="both"/>
        <w:rPr>
          <w:rFonts w:ascii="Times New Roman" w:hAnsi="Times New Roman" w:cs="Times New Roman"/>
          <w:sz w:val="24"/>
          <w:szCs w:val="24"/>
        </w:rPr>
      </w:pPr>
      <w:r w:rsidRPr="00326429">
        <w:rPr>
          <w:rFonts w:ascii="Times New Roman" w:hAnsi="Times New Roman" w:cs="Times New Roman"/>
          <w:bCs/>
          <w:i/>
          <w:sz w:val="24"/>
          <w:szCs w:val="24"/>
        </w:rPr>
        <w:t>Lai nodrošinātu iespēju izvērtēt projekta iesniegumu atbilstoši Eiropas Savienības fondu projektu iesniegumu vērtēšanas kvalitātes kritērijam Nr.3 (lai kritērijā saņemtu pozitīvu vērtējumu (</w:t>
      </w:r>
      <w:r w:rsidRPr="00026210">
        <w:rPr>
          <w:rFonts w:ascii="Times New Roman" w:hAnsi="Times New Roman" w:cs="Times New Roman"/>
          <w:b/>
          <w:bCs/>
          <w:i/>
          <w:sz w:val="24"/>
          <w:szCs w:val="24"/>
        </w:rPr>
        <w:t>vismaz 2 punktus</w:t>
      </w:r>
      <w:r w:rsidRPr="00326429">
        <w:rPr>
          <w:rFonts w:ascii="Times New Roman" w:hAnsi="Times New Roman" w:cs="Times New Roman"/>
          <w:bCs/>
          <w:i/>
          <w:sz w:val="24"/>
          <w:szCs w:val="24"/>
        </w:rPr>
        <w:t xml:space="preserve">) ir jābūt veiktai </w:t>
      </w:r>
      <w:r w:rsidRPr="00026210">
        <w:rPr>
          <w:rFonts w:ascii="Times New Roman" w:hAnsi="Times New Roman" w:cs="Times New Roman"/>
          <w:b/>
          <w:bCs/>
          <w:i/>
          <w:sz w:val="24"/>
          <w:szCs w:val="24"/>
        </w:rPr>
        <w:t>gan projekta ekonomiskajai analīzei gan projekta alternatīvu analīzei</w:t>
      </w:r>
      <w:r w:rsidRPr="00326429">
        <w:rPr>
          <w:rFonts w:ascii="Times New Roman" w:hAnsi="Times New Roman" w:cs="Times New Roman"/>
          <w:bCs/>
          <w:i/>
          <w:sz w:val="24"/>
          <w:szCs w:val="24"/>
        </w:rPr>
        <w:t>), nepieciešams norādīt:</w:t>
      </w:r>
    </w:p>
    <w:p w:rsidR="006200DC" w:rsidRPr="005B5581" w:rsidRDefault="00326429" w:rsidP="006200DC">
      <w:pPr>
        <w:pStyle w:val="ListParagraph"/>
        <w:numPr>
          <w:ilvl w:val="0"/>
          <w:numId w:val="1"/>
        </w:numPr>
        <w:spacing w:after="120"/>
        <w:ind w:left="714" w:hanging="357"/>
        <w:jc w:val="both"/>
        <w:rPr>
          <w:rFonts w:ascii="Times New Roman" w:eastAsia="Times New Roman" w:hAnsi="Times New Roman" w:cs="Times New Roman"/>
          <w:sz w:val="24"/>
          <w:szCs w:val="24"/>
        </w:rPr>
      </w:pPr>
      <w:r w:rsidRPr="005B5581">
        <w:rPr>
          <w:rFonts w:ascii="Times New Roman" w:eastAsia="Times New Roman" w:hAnsi="Times New Roman" w:cs="Times New Roman"/>
          <w:b/>
          <w:sz w:val="24"/>
          <w:szCs w:val="24"/>
        </w:rPr>
        <w:t>2.6</w:t>
      </w:r>
      <w:r w:rsidR="006200DC" w:rsidRPr="005B5581">
        <w:rPr>
          <w:rFonts w:ascii="Times New Roman" w:eastAsia="Times New Roman" w:hAnsi="Times New Roman" w:cs="Times New Roman"/>
          <w:b/>
          <w:sz w:val="24"/>
          <w:szCs w:val="24"/>
        </w:rPr>
        <w:t>.sadaļa papildināta</w:t>
      </w:r>
      <w:r w:rsidR="006200DC" w:rsidRPr="005B5581">
        <w:rPr>
          <w:rFonts w:ascii="Times New Roman" w:eastAsia="Times New Roman" w:hAnsi="Times New Roman" w:cs="Times New Roman"/>
          <w:sz w:val="24"/>
          <w:szCs w:val="24"/>
        </w:rPr>
        <w:t xml:space="preserve"> ar sekojošu norādi:</w:t>
      </w:r>
    </w:p>
    <w:p w:rsidR="00127D90" w:rsidRPr="005B5581" w:rsidRDefault="00127D90" w:rsidP="00127D90">
      <w:pPr>
        <w:spacing w:after="0"/>
        <w:jc w:val="both"/>
        <w:rPr>
          <w:rFonts w:ascii="Times New Roman" w:hAnsi="Times New Roman" w:cs="Times New Roman"/>
          <w:b/>
          <w:bCs/>
          <w:i/>
          <w:sz w:val="24"/>
          <w:szCs w:val="24"/>
        </w:rPr>
      </w:pPr>
      <w:r w:rsidRPr="005B5581">
        <w:rPr>
          <w:rFonts w:ascii="Times New Roman" w:hAnsi="Times New Roman" w:cs="Times New Roman"/>
          <w:b/>
          <w:bCs/>
          <w:i/>
          <w:sz w:val="24"/>
          <w:szCs w:val="24"/>
        </w:rPr>
        <w:t>!Lūdzam ņemt vērā:</w:t>
      </w:r>
    </w:p>
    <w:p w:rsidR="006200DC" w:rsidRDefault="00127D90" w:rsidP="00127D90">
      <w:pPr>
        <w:spacing w:after="120"/>
        <w:jc w:val="both"/>
        <w:rPr>
          <w:rFonts w:ascii="Times New Roman" w:hAnsi="Times New Roman" w:cs="Times New Roman"/>
          <w:b/>
          <w:bCs/>
          <w:i/>
          <w:sz w:val="24"/>
          <w:szCs w:val="24"/>
        </w:rPr>
      </w:pPr>
      <w:r w:rsidRPr="005B5581">
        <w:rPr>
          <w:rFonts w:ascii="Times New Roman" w:hAnsi="Times New Roman" w:cs="Times New Roman"/>
          <w:b/>
          <w:bCs/>
          <w:i/>
          <w:sz w:val="24"/>
          <w:szCs w:val="24"/>
        </w:rPr>
        <w:t>Projekta ieviešanas gaitā nav pieļaujams samazināt projekta ietvaros sasniedzamo mērķa līmeni vai atteikties</w:t>
      </w:r>
      <w:r w:rsidRPr="005B5581">
        <w:rPr>
          <w:rFonts w:ascii="Times New Roman" w:hAnsi="Times New Roman" w:cs="Times New Roman"/>
          <w:bCs/>
          <w:i/>
          <w:sz w:val="24"/>
          <w:szCs w:val="24"/>
        </w:rPr>
        <w:t xml:space="preserve"> </w:t>
      </w:r>
      <w:r w:rsidRPr="005B5581">
        <w:rPr>
          <w:rFonts w:ascii="Times New Roman" w:hAnsi="Times New Roman" w:cs="Times New Roman"/>
          <w:b/>
          <w:bCs/>
          <w:i/>
          <w:sz w:val="24"/>
          <w:szCs w:val="24"/>
        </w:rPr>
        <w:t>no paredzētā projekta mērķa, jo lēmums par projekta apstiprināšanu tiek pieņemts balstoties uz izvirzīto mērķu un sasniedzamo rezultātu rādītājiem.</w:t>
      </w:r>
    </w:p>
    <w:p w:rsidR="00127D90" w:rsidRDefault="00127D90" w:rsidP="00127D90">
      <w:pPr>
        <w:pStyle w:val="ListParagraph"/>
        <w:numPr>
          <w:ilvl w:val="0"/>
          <w:numId w:val="7"/>
        </w:numPr>
        <w:spacing w:after="120"/>
        <w:jc w:val="both"/>
        <w:rPr>
          <w:rFonts w:ascii="Times New Roman" w:eastAsia="Times New Roman" w:hAnsi="Times New Roman" w:cs="Times New Roman"/>
          <w:sz w:val="24"/>
          <w:szCs w:val="24"/>
        </w:rPr>
      </w:pPr>
      <w:r w:rsidRPr="00127D90">
        <w:rPr>
          <w:rFonts w:ascii="Times New Roman" w:eastAsia="Times New Roman" w:hAnsi="Times New Roman" w:cs="Times New Roman"/>
          <w:b/>
          <w:sz w:val="24"/>
          <w:szCs w:val="24"/>
        </w:rPr>
        <w:t>3.2.sadaļa papildināta</w:t>
      </w:r>
      <w:r>
        <w:rPr>
          <w:rFonts w:ascii="Times New Roman" w:eastAsia="Times New Roman" w:hAnsi="Times New Roman" w:cs="Times New Roman"/>
          <w:sz w:val="24"/>
          <w:szCs w:val="24"/>
        </w:rPr>
        <w:t xml:space="preserve"> ar sekojošu norādi:</w:t>
      </w:r>
    </w:p>
    <w:p w:rsidR="00127D90" w:rsidRDefault="00127D90" w:rsidP="00127D90">
      <w:pPr>
        <w:spacing w:after="120"/>
        <w:jc w:val="both"/>
        <w:rPr>
          <w:rFonts w:ascii="Times New Roman" w:hAnsi="Times New Roman" w:cs="Times New Roman"/>
          <w:i/>
          <w:sz w:val="24"/>
          <w:szCs w:val="24"/>
        </w:rPr>
      </w:pPr>
      <w:r w:rsidRPr="00127D90">
        <w:rPr>
          <w:rFonts w:ascii="Times New Roman" w:hAnsi="Times New Roman" w:cs="Times New Roman"/>
          <w:i/>
          <w:sz w:val="24"/>
          <w:szCs w:val="24"/>
        </w:rPr>
        <w:lastRenderedPageBreak/>
        <w:t>Kopējais projekta īstenošanas ilgums ir periods no brīža, kad tiek parakstīta vienošanās par projekta īstenošanu līdz pēdējā līguma izpildei, ko apliecina pieņemšanas-nodošanas akts (neskaitot aktivitātes, kas realizētas līdz vienošanās parakstīšanai, kā arī maksājumu veikšanai nepieciešamo laiku pēc līguma darbu izpildes). Paredzamais vienošanās noslēgšanas termiņš jāplāno ņemot vērā projektu vērtēšanas periodu 5 mēnešus pēc projektu iesniegumu iesniegšanas beigu termiņa.</w:t>
      </w:r>
    </w:p>
    <w:p w:rsidR="00127D90" w:rsidRDefault="007E344B" w:rsidP="00127D90">
      <w:pPr>
        <w:pStyle w:val="ListParagraph"/>
        <w:numPr>
          <w:ilvl w:val="0"/>
          <w:numId w:val="7"/>
        </w:numPr>
        <w:spacing w:after="120"/>
        <w:jc w:val="both"/>
        <w:rPr>
          <w:rFonts w:ascii="Times New Roman" w:eastAsia="Times New Roman" w:hAnsi="Times New Roman" w:cs="Times New Roman"/>
          <w:sz w:val="24"/>
          <w:szCs w:val="24"/>
        </w:rPr>
      </w:pPr>
      <w:r w:rsidRPr="007E344B">
        <w:rPr>
          <w:rFonts w:ascii="Times New Roman" w:eastAsia="Times New Roman" w:hAnsi="Times New Roman" w:cs="Times New Roman"/>
          <w:b/>
          <w:sz w:val="24"/>
          <w:szCs w:val="24"/>
        </w:rPr>
        <w:t>3.3.sadaļ</w:t>
      </w:r>
      <w:r w:rsidR="00026210">
        <w:rPr>
          <w:rFonts w:ascii="Times New Roman" w:eastAsia="Times New Roman" w:hAnsi="Times New Roman" w:cs="Times New Roman"/>
          <w:b/>
          <w:sz w:val="24"/>
          <w:szCs w:val="24"/>
        </w:rPr>
        <w:t xml:space="preserve">ā </w:t>
      </w:r>
      <w:r w:rsidR="00026210" w:rsidRPr="00026210">
        <w:rPr>
          <w:rFonts w:ascii="Times New Roman" w:eastAsia="Times New Roman" w:hAnsi="Times New Roman" w:cs="Times New Roman"/>
          <w:sz w:val="24"/>
          <w:szCs w:val="24"/>
        </w:rPr>
        <w:t xml:space="preserve">iekļautais </w:t>
      </w:r>
      <w:r w:rsidR="00026210">
        <w:rPr>
          <w:rFonts w:ascii="Times New Roman" w:eastAsia="Times New Roman" w:hAnsi="Times New Roman" w:cs="Times New Roman"/>
          <w:sz w:val="24"/>
          <w:szCs w:val="24"/>
        </w:rPr>
        <w:t>skaidrojums aizstāts ar sekojošu</w:t>
      </w:r>
      <w:r>
        <w:rPr>
          <w:rFonts w:ascii="Times New Roman" w:eastAsia="Times New Roman" w:hAnsi="Times New Roman" w:cs="Times New Roman"/>
          <w:sz w:val="24"/>
          <w:szCs w:val="24"/>
        </w:rPr>
        <w:t>:</w:t>
      </w:r>
    </w:p>
    <w:p w:rsidR="007E344B" w:rsidRPr="007E344B" w:rsidRDefault="007E344B" w:rsidP="007E344B">
      <w:pPr>
        <w:rPr>
          <w:rFonts w:ascii="Times New Roman" w:hAnsi="Times New Roman" w:cs="Times New Roman"/>
          <w:b/>
          <w:sz w:val="24"/>
          <w:szCs w:val="24"/>
        </w:rPr>
      </w:pPr>
      <w:r w:rsidRPr="007E344B">
        <w:rPr>
          <w:rFonts w:ascii="Times New Roman" w:hAnsi="Times New Roman" w:cs="Times New Roman"/>
          <w:bCs/>
          <w:i/>
          <w:sz w:val="24"/>
          <w:szCs w:val="24"/>
        </w:rPr>
        <w:t xml:space="preserve">Tabulā jānorāda informācija par </w:t>
      </w:r>
      <w:r w:rsidRPr="007E344B">
        <w:rPr>
          <w:rFonts w:ascii="Times New Roman" w:hAnsi="Times New Roman" w:cs="Times New Roman"/>
          <w:b/>
          <w:bCs/>
          <w:i/>
          <w:sz w:val="24"/>
          <w:szCs w:val="24"/>
        </w:rPr>
        <w:t>katra projekta līguma</w:t>
      </w:r>
      <w:r w:rsidRPr="007E344B">
        <w:rPr>
          <w:rFonts w:ascii="Times New Roman" w:hAnsi="Times New Roman" w:cs="Times New Roman"/>
          <w:bCs/>
          <w:i/>
          <w:sz w:val="24"/>
          <w:szCs w:val="24"/>
        </w:rPr>
        <w:t xml:space="preserve"> (tai skaitā būvuzraudzības un autoruzraudzības līgumu) izpildes periodu. Līguma izpildes periods neiekļauj līguma iepirkuma dokumentācijas sagatavošanas un iepirkuma procedūras laiku.</w:t>
      </w:r>
    </w:p>
    <w:p w:rsidR="00670F5C" w:rsidRDefault="00670F5C" w:rsidP="007E344B">
      <w:pPr>
        <w:pStyle w:val="ListParagraph"/>
        <w:numPr>
          <w:ilvl w:val="0"/>
          <w:numId w:val="7"/>
        </w:num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3.5.sadaļā </w:t>
      </w:r>
      <w:r w:rsidRPr="00670F5C">
        <w:rPr>
          <w:rFonts w:ascii="Times New Roman" w:eastAsia="Times New Roman" w:hAnsi="Times New Roman" w:cs="Times New Roman"/>
          <w:sz w:val="24"/>
          <w:szCs w:val="24"/>
        </w:rPr>
        <w:t>iekļauta</w:t>
      </w:r>
      <w:r>
        <w:rPr>
          <w:rFonts w:ascii="Times New Roman" w:eastAsia="Times New Roman" w:hAnsi="Times New Roman" w:cs="Times New Roman"/>
          <w:sz w:val="24"/>
          <w:szCs w:val="24"/>
        </w:rPr>
        <w:t>s</w:t>
      </w:r>
      <w:r w:rsidRPr="00670F5C">
        <w:rPr>
          <w:rFonts w:ascii="Times New Roman" w:eastAsia="Times New Roman" w:hAnsi="Times New Roman" w:cs="Times New Roman"/>
          <w:sz w:val="24"/>
          <w:szCs w:val="24"/>
        </w:rPr>
        <w:t xml:space="preserve"> papildus norāde</w:t>
      </w:r>
      <w:r>
        <w:rPr>
          <w:rFonts w:ascii="Times New Roman" w:eastAsia="Times New Roman" w:hAnsi="Times New Roman" w:cs="Times New Roman"/>
          <w:sz w:val="24"/>
          <w:szCs w:val="24"/>
        </w:rPr>
        <w:t xml:space="preserve">s, izsakot sadaļu </w:t>
      </w:r>
      <w:r w:rsidRPr="00670F5C">
        <w:rPr>
          <w:rFonts w:ascii="Times New Roman" w:eastAsia="Times New Roman" w:hAnsi="Times New Roman" w:cs="Times New Roman"/>
          <w:sz w:val="24"/>
          <w:szCs w:val="24"/>
        </w:rPr>
        <w:t>šādā redakcijā</w:t>
      </w:r>
      <w:r>
        <w:rPr>
          <w:rFonts w:ascii="Times New Roman" w:eastAsia="Times New Roman" w:hAnsi="Times New Roman" w:cs="Times New Roman"/>
          <w:b/>
          <w:sz w:val="24"/>
          <w:szCs w:val="24"/>
        </w:rPr>
        <w:t>:</w:t>
      </w:r>
    </w:p>
    <w:p w:rsidR="00670F5C" w:rsidRPr="005B5581" w:rsidRDefault="00670F5C" w:rsidP="00670F5C">
      <w:pPr>
        <w:tabs>
          <w:tab w:val="left" w:pos="540"/>
        </w:tabs>
        <w:spacing w:after="60"/>
        <w:ind w:right="-148"/>
        <w:jc w:val="both"/>
        <w:rPr>
          <w:rFonts w:ascii="Times New Roman" w:hAnsi="Times New Roman" w:cs="Times New Roman"/>
          <w:i/>
          <w:sz w:val="24"/>
          <w:szCs w:val="24"/>
        </w:rPr>
      </w:pPr>
      <w:r w:rsidRPr="00670F5C">
        <w:rPr>
          <w:rFonts w:ascii="Times New Roman" w:hAnsi="Times New Roman" w:cs="Times New Roman"/>
          <w:i/>
          <w:sz w:val="24"/>
          <w:szCs w:val="24"/>
        </w:rPr>
        <w:t xml:space="preserve">Šeit jānorāda, kā tiks nodrošināta projektā sasniegto </w:t>
      </w:r>
      <w:r w:rsidRPr="005B5581">
        <w:rPr>
          <w:rFonts w:ascii="Times New Roman" w:hAnsi="Times New Roman" w:cs="Times New Roman"/>
          <w:i/>
          <w:sz w:val="24"/>
          <w:szCs w:val="24"/>
        </w:rPr>
        <w:t xml:space="preserve">rezultātu uzturēšana, </w:t>
      </w:r>
      <w:r w:rsidRPr="005B5581">
        <w:rPr>
          <w:rFonts w:ascii="Times New Roman" w:hAnsi="Times New Roman" w:cs="Times New Roman"/>
          <w:b/>
          <w:i/>
          <w:sz w:val="24"/>
          <w:szCs w:val="24"/>
        </w:rPr>
        <w:t>raksturojot atbilstību MK not. Nr.817 4.pielikuma 4.kritērijam un 17.kritērijam, kā arī norādot atbilstību 25.kritērijam!</w:t>
      </w:r>
    </w:p>
    <w:p w:rsidR="00670F5C" w:rsidRPr="005B5581" w:rsidRDefault="00670F5C" w:rsidP="00670F5C">
      <w:pPr>
        <w:tabs>
          <w:tab w:val="left" w:pos="540"/>
        </w:tabs>
        <w:spacing w:after="60"/>
        <w:ind w:right="-148"/>
        <w:jc w:val="both"/>
        <w:rPr>
          <w:rFonts w:ascii="Times New Roman" w:hAnsi="Times New Roman" w:cs="Times New Roman"/>
          <w:i/>
          <w:sz w:val="24"/>
          <w:szCs w:val="24"/>
        </w:rPr>
      </w:pPr>
      <w:r w:rsidRPr="005B5581">
        <w:rPr>
          <w:rFonts w:ascii="Times New Roman" w:hAnsi="Times New Roman" w:cs="Times New Roman"/>
          <w:i/>
          <w:sz w:val="24"/>
          <w:szCs w:val="24"/>
        </w:rPr>
        <w:t>Projekts uzskatāms par ilgtspējīgu, ja pēc projekta beigām, tas turpina nodrošināt projekta objektu atbilstību vides prasībām.</w:t>
      </w:r>
    </w:p>
    <w:p w:rsidR="00670F5C" w:rsidRPr="005B5581" w:rsidRDefault="00670F5C" w:rsidP="00670F5C">
      <w:pPr>
        <w:tabs>
          <w:tab w:val="left" w:pos="540"/>
        </w:tabs>
        <w:spacing w:after="60"/>
        <w:ind w:right="-148"/>
        <w:jc w:val="both"/>
        <w:rPr>
          <w:rFonts w:ascii="Times New Roman" w:hAnsi="Times New Roman" w:cs="Times New Roman"/>
          <w:i/>
          <w:sz w:val="24"/>
          <w:szCs w:val="24"/>
        </w:rPr>
      </w:pPr>
      <w:r w:rsidRPr="005B5581">
        <w:rPr>
          <w:rFonts w:ascii="Times New Roman" w:hAnsi="Times New Roman" w:cs="Times New Roman"/>
          <w:i/>
          <w:sz w:val="24"/>
          <w:szCs w:val="24"/>
        </w:rPr>
        <w:t xml:space="preserve"> Sniedzot aprakstu, ir jānorāda sekojoša rakstura informācija:</w:t>
      </w:r>
    </w:p>
    <w:p w:rsidR="00670F5C" w:rsidRPr="005B5581" w:rsidRDefault="00670F5C" w:rsidP="00670F5C">
      <w:pPr>
        <w:numPr>
          <w:ilvl w:val="0"/>
          <w:numId w:val="8"/>
        </w:numPr>
        <w:spacing w:after="0" w:line="240" w:lineRule="auto"/>
        <w:jc w:val="both"/>
        <w:rPr>
          <w:rFonts w:ascii="Times New Roman" w:hAnsi="Times New Roman" w:cs="Times New Roman"/>
          <w:i/>
          <w:sz w:val="24"/>
          <w:szCs w:val="24"/>
        </w:rPr>
      </w:pPr>
      <w:r w:rsidRPr="005B5581">
        <w:rPr>
          <w:rFonts w:ascii="Times New Roman" w:hAnsi="Times New Roman" w:cs="Times New Roman"/>
          <w:i/>
          <w:sz w:val="24"/>
          <w:szCs w:val="24"/>
        </w:rPr>
        <w:t>izvērtējot turpmākās izmaksas, nepieciešamās izmaksas:</w:t>
      </w: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522"/>
      </w:tblGrid>
      <w:tr w:rsidR="00670F5C" w:rsidRPr="005B5581" w:rsidTr="00DE4A98">
        <w:trPr>
          <w:cantSplit/>
          <w:trHeight w:val="331"/>
          <w:jc w:val="center"/>
        </w:trPr>
        <w:tc>
          <w:tcPr>
            <w:tcW w:w="3384" w:type="pct"/>
          </w:tcPr>
          <w:p w:rsidR="00670F5C" w:rsidRPr="005B5581" w:rsidRDefault="00670F5C" w:rsidP="00DE4A98">
            <w:pPr>
              <w:pStyle w:val="StyleEE-numbering12pt"/>
            </w:pPr>
            <w:r w:rsidRPr="005B5581">
              <w:t>1) sastādīs 15 procentus vai vairāk no projekta attiecināmo izdevumu vērtības</w:t>
            </w:r>
          </w:p>
        </w:tc>
      </w:tr>
      <w:tr w:rsidR="00670F5C" w:rsidRPr="005B5581" w:rsidTr="00DE4A98">
        <w:trPr>
          <w:cantSplit/>
          <w:trHeight w:val="267"/>
          <w:jc w:val="center"/>
        </w:trPr>
        <w:tc>
          <w:tcPr>
            <w:tcW w:w="3384" w:type="pct"/>
          </w:tcPr>
          <w:p w:rsidR="00670F5C" w:rsidRPr="005B5581" w:rsidRDefault="00670F5C" w:rsidP="00DE4A98">
            <w:pPr>
              <w:pStyle w:val="StyleEE-numbering12pt"/>
            </w:pPr>
            <w:r w:rsidRPr="005B5581">
              <w:t>2) sastādīs līdz 15 procentiem no projekta attiecināmo izdevumu vērtības</w:t>
            </w:r>
          </w:p>
        </w:tc>
      </w:tr>
      <w:tr w:rsidR="00670F5C" w:rsidRPr="005B5581" w:rsidTr="00DE4A98">
        <w:trPr>
          <w:cantSplit/>
          <w:trHeight w:val="97"/>
          <w:jc w:val="center"/>
        </w:trPr>
        <w:tc>
          <w:tcPr>
            <w:tcW w:w="3384" w:type="pct"/>
          </w:tcPr>
          <w:p w:rsidR="00670F5C" w:rsidRPr="005B5581" w:rsidRDefault="00670F5C" w:rsidP="00DE4A98">
            <w:pPr>
              <w:pStyle w:val="StyleEE-numbering12pt"/>
            </w:pPr>
            <w:r w:rsidRPr="005B5581">
              <w:t>3) nebūs nepieciešamas</w:t>
            </w:r>
          </w:p>
        </w:tc>
      </w:tr>
    </w:tbl>
    <w:p w:rsidR="00670F5C" w:rsidRPr="005B5581" w:rsidRDefault="00670F5C" w:rsidP="00670F5C">
      <w:pPr>
        <w:numPr>
          <w:ilvl w:val="0"/>
          <w:numId w:val="8"/>
        </w:numPr>
        <w:tabs>
          <w:tab w:val="left" w:pos="540"/>
        </w:tabs>
        <w:spacing w:after="240" w:line="240" w:lineRule="auto"/>
        <w:ind w:right="-147"/>
        <w:jc w:val="both"/>
        <w:rPr>
          <w:rFonts w:ascii="Times New Roman" w:hAnsi="Times New Roman" w:cs="Times New Roman"/>
          <w:b/>
          <w:i/>
          <w:sz w:val="24"/>
          <w:szCs w:val="24"/>
        </w:rPr>
      </w:pPr>
      <w:r w:rsidRPr="005B5581">
        <w:rPr>
          <w:rFonts w:ascii="Times New Roman" w:hAnsi="Times New Roman" w:cs="Times New Roman"/>
          <w:b/>
          <w:i/>
          <w:sz w:val="24"/>
          <w:szCs w:val="24"/>
        </w:rPr>
        <w:t>izbūvētās infrastruktūras uzturēšanu (plānotajās uzturēšanas izmaksas, institucionālais un cilvēkresursu nodrošinājums, monitoringa veikšanas pasākumi un to izmaksas)</w:t>
      </w:r>
    </w:p>
    <w:p w:rsidR="00670F5C" w:rsidRPr="005B5581" w:rsidRDefault="00670F5C" w:rsidP="00670F5C">
      <w:pPr>
        <w:numPr>
          <w:ilvl w:val="0"/>
          <w:numId w:val="8"/>
        </w:numPr>
        <w:tabs>
          <w:tab w:val="left" w:pos="540"/>
        </w:tabs>
        <w:spacing w:after="240" w:line="240" w:lineRule="auto"/>
        <w:ind w:right="-147"/>
        <w:jc w:val="both"/>
        <w:rPr>
          <w:rFonts w:ascii="Times New Roman" w:hAnsi="Times New Roman" w:cs="Times New Roman"/>
          <w:b/>
          <w:i/>
          <w:sz w:val="24"/>
          <w:szCs w:val="24"/>
        </w:rPr>
      </w:pPr>
      <w:r w:rsidRPr="005B5581">
        <w:rPr>
          <w:rFonts w:ascii="Times New Roman" w:hAnsi="Times New Roman" w:cs="Times New Roman"/>
          <w:b/>
          <w:i/>
          <w:sz w:val="24"/>
          <w:szCs w:val="24"/>
        </w:rPr>
        <w:t>Juridiskie jautājumi, kas skar sistēmas projekta realizācijas, uzturēšanas iespējas un nodrošinājumu – zemes un objekta piederības jautājumi, tai skaitā informāciju par projekta iesniedzēja atbilstību MK not. Nr.817 4.pielikuma 25. kritērijam - Projekta iesniedzēja īpašumā, valdījumā vai turējumā ir zemesgabals, kura teritorijā atrodas vēsturiski piesārņotā vieta. (attiecīgos dokumentus pievienojot projekta iesnieguma pielikumā)</w:t>
      </w:r>
    </w:p>
    <w:p w:rsidR="007E344B" w:rsidRPr="005B5581" w:rsidRDefault="007E344B" w:rsidP="007E344B">
      <w:pPr>
        <w:pStyle w:val="ListParagraph"/>
        <w:numPr>
          <w:ilvl w:val="0"/>
          <w:numId w:val="7"/>
        </w:numPr>
        <w:spacing w:after="120"/>
        <w:jc w:val="both"/>
        <w:rPr>
          <w:rFonts w:ascii="Times New Roman" w:eastAsia="Times New Roman" w:hAnsi="Times New Roman" w:cs="Times New Roman"/>
          <w:b/>
          <w:sz w:val="24"/>
          <w:szCs w:val="24"/>
        </w:rPr>
      </w:pPr>
      <w:r w:rsidRPr="005B5581">
        <w:rPr>
          <w:rFonts w:ascii="Times New Roman" w:eastAsia="Times New Roman" w:hAnsi="Times New Roman" w:cs="Times New Roman"/>
          <w:b/>
          <w:sz w:val="24"/>
          <w:szCs w:val="24"/>
        </w:rPr>
        <w:t>4.sadaļa:</w:t>
      </w:r>
    </w:p>
    <w:p w:rsidR="007E344B" w:rsidRPr="00026210" w:rsidRDefault="007E344B" w:rsidP="007E344B">
      <w:pPr>
        <w:spacing w:after="120"/>
        <w:jc w:val="both"/>
        <w:rPr>
          <w:rFonts w:ascii="Times New Roman" w:hAnsi="Times New Roman" w:cs="Times New Roman"/>
        </w:rPr>
      </w:pPr>
      <w:r>
        <w:rPr>
          <w:rFonts w:ascii="Times New Roman" w:eastAsia="Times New Roman" w:hAnsi="Times New Roman" w:cs="Times New Roman"/>
          <w:sz w:val="24"/>
          <w:szCs w:val="24"/>
        </w:rPr>
        <w:t xml:space="preserve">Lūdzam ņemt vērā, ka prasības projekta </w:t>
      </w:r>
      <w:r w:rsidRPr="007E344B">
        <w:rPr>
          <w:rFonts w:ascii="Times New Roman" w:hAnsi="Times New Roman" w:cs="Times New Roman"/>
          <w:sz w:val="24"/>
          <w:szCs w:val="24"/>
        </w:rPr>
        <w:t>vizuālās identitātes nodrošināšanai</w:t>
      </w:r>
      <w:r>
        <w:rPr>
          <w:rFonts w:ascii="Times New Roman" w:hAnsi="Times New Roman" w:cs="Times New Roman"/>
          <w:sz w:val="24"/>
          <w:szCs w:val="24"/>
        </w:rPr>
        <w:t xml:space="preserve"> ir noteiktas </w:t>
      </w:r>
      <w:r w:rsidRPr="007E344B">
        <w:rPr>
          <w:rFonts w:ascii="Times New Roman" w:hAnsi="Times New Roman" w:cs="Times New Roman"/>
          <w:b/>
        </w:rPr>
        <w:t>Ministru kabineta 2011.gada 4.oktobra noteikumos Nr.749</w:t>
      </w:r>
      <w:r w:rsidRPr="007E344B">
        <w:rPr>
          <w:rFonts w:ascii="Times New Roman" w:hAnsi="Times New Roman" w:cs="Times New Roman"/>
        </w:rPr>
        <w:t xml:space="preserve"> </w:t>
      </w:r>
      <w:r w:rsidRPr="007E344B">
        <w:rPr>
          <w:rFonts w:ascii="Times New Roman" w:hAnsi="Times New Roman" w:cs="Times New Roman"/>
          <w:b/>
        </w:rPr>
        <w:t>"Kārtība, kādā nodrošina Eiropas Savienības struktūrfondu un Kohēzijas fonda publicitātes un vizuālās identitātes prasības, kā arī publisko informāciju par šo fondu projektiem”</w:t>
      </w:r>
      <w:r w:rsidR="00026210">
        <w:rPr>
          <w:rFonts w:ascii="Times New Roman" w:hAnsi="Times New Roman" w:cs="Times New Roman"/>
          <w:b/>
        </w:rPr>
        <w:t xml:space="preserve">, </w:t>
      </w:r>
      <w:r w:rsidR="00026210" w:rsidRPr="00026210">
        <w:rPr>
          <w:rFonts w:ascii="Times New Roman" w:hAnsi="Times New Roman" w:cs="Times New Roman"/>
        </w:rPr>
        <w:t xml:space="preserve">līdz ar to tiek precizētas atsauces uz </w:t>
      </w:r>
      <w:r w:rsidR="00026210">
        <w:rPr>
          <w:rFonts w:ascii="Times New Roman" w:hAnsi="Times New Roman" w:cs="Times New Roman"/>
        </w:rPr>
        <w:t>šim noteikumiem 4.1. un 4.2.sadaļās</w:t>
      </w:r>
      <w:r w:rsidRPr="00026210">
        <w:rPr>
          <w:rFonts w:ascii="Times New Roman" w:hAnsi="Times New Roman" w:cs="Times New Roman"/>
        </w:rPr>
        <w:t>.</w:t>
      </w:r>
    </w:p>
    <w:p w:rsidR="007E344B" w:rsidRDefault="007E344B" w:rsidP="007E344B">
      <w:pPr>
        <w:pStyle w:val="ListParagraph"/>
        <w:numPr>
          <w:ilvl w:val="0"/>
          <w:numId w:val="7"/>
        </w:numPr>
        <w:spacing w:after="120"/>
        <w:jc w:val="both"/>
        <w:rPr>
          <w:rFonts w:ascii="Times New Roman" w:eastAsia="Times New Roman" w:hAnsi="Times New Roman" w:cs="Times New Roman"/>
          <w:sz w:val="24"/>
          <w:szCs w:val="24"/>
        </w:rPr>
      </w:pPr>
      <w:r w:rsidRPr="005B5581">
        <w:rPr>
          <w:rFonts w:ascii="Times New Roman" w:eastAsia="Times New Roman" w:hAnsi="Times New Roman" w:cs="Times New Roman"/>
          <w:b/>
          <w:sz w:val="24"/>
          <w:szCs w:val="24"/>
        </w:rPr>
        <w:t>4.1.sadaļa</w:t>
      </w:r>
      <w:r>
        <w:rPr>
          <w:rFonts w:ascii="Times New Roman" w:eastAsia="Times New Roman" w:hAnsi="Times New Roman" w:cs="Times New Roman"/>
          <w:sz w:val="24"/>
          <w:szCs w:val="24"/>
        </w:rPr>
        <w:t xml:space="preserve"> papildināta ar sekojošu norādi:</w:t>
      </w:r>
    </w:p>
    <w:p w:rsidR="007E344B" w:rsidRPr="005E6ACB" w:rsidRDefault="007E344B" w:rsidP="007E344B">
      <w:pPr>
        <w:spacing w:after="0"/>
        <w:jc w:val="both"/>
        <w:rPr>
          <w:rFonts w:ascii="Times New Roman" w:hAnsi="Times New Roman" w:cs="Times New Roman"/>
          <w:i/>
          <w:sz w:val="24"/>
          <w:szCs w:val="24"/>
        </w:rPr>
      </w:pPr>
      <w:r w:rsidRPr="005E6ACB">
        <w:rPr>
          <w:rFonts w:ascii="Times New Roman" w:hAnsi="Times New Roman" w:cs="Times New Roman"/>
          <w:i/>
          <w:sz w:val="24"/>
          <w:szCs w:val="24"/>
        </w:rPr>
        <w:t>Prasības vizuālās identitātes nodrošināšanai (logo lietošana) ir noteiktas Ministru kabineta 2011.gada 4.oktobra noteikumos Nr.749 "Kārtība, kādā nodrošina Eiropas Savienības struktūrfondu un Kohēzijas fonda publicitātes un vizuālās identitātes prasības, kā arī publisko informāciju par šo fondu projektiem”.</w:t>
      </w:r>
    </w:p>
    <w:p w:rsidR="00670F5C" w:rsidRDefault="007E344B" w:rsidP="00670F5C">
      <w:pPr>
        <w:spacing w:after="120"/>
        <w:jc w:val="both"/>
        <w:rPr>
          <w:rFonts w:ascii="Times New Roman" w:eastAsia="Times New Roman" w:hAnsi="Times New Roman" w:cs="Times New Roman"/>
          <w:i/>
          <w:sz w:val="24"/>
          <w:szCs w:val="24"/>
        </w:rPr>
      </w:pPr>
      <w:r w:rsidRPr="005E6ACB">
        <w:rPr>
          <w:rFonts w:ascii="Times New Roman" w:hAnsi="Times New Roman" w:cs="Times New Roman"/>
          <w:i/>
          <w:sz w:val="24"/>
          <w:szCs w:val="24"/>
        </w:rPr>
        <w:t>Regulā Nr.1828/2006 un normatīvajos aktos noteikto prasību piemērošana skaidrota „Vides aizsardzības un reģionālās attīstības ministrijas vadlīnijās informatīvo un publicitātes pasākumu nodrošināšanai un publicitātes pasākumu plāna izstrādei Eiropas Savienības Kohēzijas fonda un Eiropas Reģionālās attīstības fonda finansēto vides investīciju projektu finansējuma saņēmējiem 2007.-2013. gada finanšu plānošanas periodā”, kuru aktuālā versija pieejama Vides aizsardzības un reģionālās attīstības ministrijas mājas lapas sadaļā „Fondi un investīcijas”/ 2007-2013/ Metodiskie materiāli finansējuma saņēmējiem/ Informatīvo un publicitātes pasākumu nodrošināšana.</w:t>
      </w:r>
      <w:r w:rsidR="00670F5C" w:rsidRPr="00670F5C">
        <w:rPr>
          <w:rFonts w:ascii="Times New Roman" w:eastAsia="Times New Roman" w:hAnsi="Times New Roman" w:cs="Times New Roman"/>
          <w:i/>
          <w:sz w:val="24"/>
          <w:szCs w:val="24"/>
          <w:highlight w:val="yellow"/>
        </w:rPr>
        <w:t xml:space="preserve"> </w:t>
      </w:r>
    </w:p>
    <w:p w:rsidR="00670F5C" w:rsidRPr="00670F5C" w:rsidRDefault="00670F5C" w:rsidP="00670F5C">
      <w:pPr>
        <w:spacing w:after="120"/>
        <w:jc w:val="both"/>
        <w:rPr>
          <w:rFonts w:ascii="Times New Roman" w:hAnsi="Times New Roman" w:cs="Times New Roman"/>
          <w:i/>
          <w:sz w:val="24"/>
          <w:szCs w:val="24"/>
        </w:rPr>
      </w:pPr>
      <w:r w:rsidRPr="00670F5C">
        <w:rPr>
          <w:rFonts w:ascii="Times New Roman" w:hAnsi="Times New Roman" w:cs="Times New Roman"/>
          <w:i/>
          <w:sz w:val="24"/>
          <w:szCs w:val="24"/>
        </w:rPr>
        <w:t>Tabulā jāatzīmē paredzētie pasākumi. Informācija par obligāti nepieciešamajiem publicitātes pasākumiem iekļauta 4.2.sadaļas skaidrojumos.</w:t>
      </w:r>
    </w:p>
    <w:p w:rsidR="007E344B" w:rsidRDefault="00A3535F" w:rsidP="007E344B">
      <w:pPr>
        <w:spacing w:after="120"/>
        <w:jc w:val="both"/>
        <w:rPr>
          <w:rFonts w:ascii="Times New Roman" w:hAnsi="Times New Roman" w:cs="Times New Roman"/>
          <w:sz w:val="24"/>
          <w:szCs w:val="24"/>
        </w:rPr>
      </w:pPr>
      <w:r>
        <w:rPr>
          <w:rFonts w:ascii="Times New Roman" w:hAnsi="Times New Roman" w:cs="Times New Roman"/>
          <w:sz w:val="24"/>
          <w:szCs w:val="24"/>
        </w:rPr>
        <w:t xml:space="preserve">Tāpat sadaļā labota tabula atbilstoši aktuālajai </w:t>
      </w:r>
      <w:r w:rsidR="00026210">
        <w:rPr>
          <w:rFonts w:ascii="Times New Roman" w:hAnsi="Times New Roman" w:cs="Times New Roman"/>
          <w:sz w:val="24"/>
          <w:szCs w:val="24"/>
        </w:rPr>
        <w:t>projekta iesnieguma veidlapas redakcijai</w:t>
      </w:r>
      <w:r>
        <w:rPr>
          <w:rFonts w:ascii="Times New Roman" w:hAnsi="Times New Roman" w:cs="Times New Roman"/>
          <w:sz w:val="24"/>
          <w:szCs w:val="24"/>
        </w:rPr>
        <w:t>.</w:t>
      </w:r>
      <w:r w:rsidR="007E344B" w:rsidRPr="00A3535F">
        <w:rPr>
          <w:rFonts w:ascii="Times New Roman" w:hAnsi="Times New Roman" w:cs="Times New Roman"/>
          <w:sz w:val="24"/>
          <w:szCs w:val="24"/>
        </w:rPr>
        <w:t xml:space="preserve"> </w:t>
      </w:r>
    </w:p>
    <w:p w:rsidR="00A3535F" w:rsidRDefault="00A3535F" w:rsidP="00A3535F">
      <w:pPr>
        <w:pStyle w:val="ListParagraph"/>
        <w:numPr>
          <w:ilvl w:val="0"/>
          <w:numId w:val="7"/>
        </w:numPr>
        <w:spacing w:after="120"/>
        <w:jc w:val="both"/>
        <w:rPr>
          <w:rFonts w:ascii="Times New Roman" w:hAnsi="Times New Roman" w:cs="Times New Roman"/>
          <w:sz w:val="24"/>
          <w:szCs w:val="24"/>
        </w:rPr>
      </w:pPr>
      <w:r w:rsidRPr="00A3535F">
        <w:rPr>
          <w:rFonts w:ascii="Times New Roman" w:hAnsi="Times New Roman" w:cs="Times New Roman"/>
          <w:b/>
          <w:sz w:val="24"/>
          <w:szCs w:val="24"/>
        </w:rPr>
        <w:t>4.2. sadaļa</w:t>
      </w:r>
      <w:r>
        <w:rPr>
          <w:rFonts w:ascii="Times New Roman" w:hAnsi="Times New Roman" w:cs="Times New Roman"/>
          <w:sz w:val="24"/>
          <w:szCs w:val="24"/>
        </w:rPr>
        <w:t>:</w:t>
      </w:r>
    </w:p>
    <w:p w:rsidR="00A3535F" w:rsidRDefault="00A3535F" w:rsidP="00A3535F">
      <w:pPr>
        <w:spacing w:after="120"/>
        <w:jc w:val="both"/>
        <w:rPr>
          <w:rFonts w:ascii="Times New Roman" w:hAnsi="Times New Roman" w:cs="Times New Roman"/>
          <w:i/>
        </w:rPr>
      </w:pPr>
      <w:r>
        <w:rPr>
          <w:rFonts w:ascii="Times New Roman" w:hAnsi="Times New Roman" w:cs="Times New Roman"/>
          <w:sz w:val="24"/>
          <w:szCs w:val="24"/>
        </w:rPr>
        <w:t xml:space="preserve">Sadaļā precizēta atsauce uz Ministru kabineta noteikumiem atbilstoši aktuālajai situācijai: </w:t>
      </w:r>
      <w:r w:rsidRPr="00A3535F">
        <w:rPr>
          <w:rFonts w:ascii="Times New Roman" w:hAnsi="Times New Roman" w:cs="Times New Roman"/>
          <w:i/>
        </w:rPr>
        <w:t>Visu</w:t>
      </w:r>
      <w:r w:rsidRPr="00A3535F">
        <w:rPr>
          <w:rFonts w:ascii="Times New Roman" w:hAnsi="Times New Roman" w:cs="Times New Roman"/>
          <w:b/>
          <w:i/>
        </w:rPr>
        <w:t xml:space="preserve"> </w:t>
      </w:r>
      <w:r w:rsidRPr="00A3535F">
        <w:rPr>
          <w:rFonts w:ascii="Times New Roman" w:hAnsi="Times New Roman" w:cs="Times New Roman"/>
          <w:i/>
        </w:rPr>
        <w:t>informācijas nesēju noformējumam jāatbilst</w:t>
      </w:r>
      <w:r w:rsidRPr="00A3535F">
        <w:rPr>
          <w:rFonts w:ascii="Times New Roman" w:hAnsi="Times New Roman" w:cs="Times New Roman"/>
          <w:b/>
          <w:i/>
        </w:rPr>
        <w:t xml:space="preserve"> Ministru kabineta 2011.gada 4.oktobra noteikumu Nr.749 "Kārtība, kādā nodrošina Eiropas Savienības struktūrfondu un Kohēzijas fonda publicitātes un vizuālās identitātes prasības, kā arī publisko informāciju par šo fondu projektiem” </w:t>
      </w:r>
      <w:r w:rsidRPr="00A3535F">
        <w:rPr>
          <w:rFonts w:ascii="Times New Roman" w:hAnsi="Times New Roman" w:cs="Times New Roman"/>
          <w:i/>
        </w:rPr>
        <w:t>prasībām.</w:t>
      </w:r>
    </w:p>
    <w:p w:rsidR="00670F5C" w:rsidRPr="00670F5C" w:rsidRDefault="00670F5C" w:rsidP="00A3535F">
      <w:pPr>
        <w:pStyle w:val="ListParagraph"/>
        <w:numPr>
          <w:ilvl w:val="0"/>
          <w:numId w:val="7"/>
        </w:numPr>
        <w:spacing w:after="120"/>
        <w:jc w:val="both"/>
        <w:rPr>
          <w:rFonts w:ascii="Times New Roman" w:hAnsi="Times New Roman" w:cs="Times New Roman"/>
          <w:sz w:val="24"/>
          <w:szCs w:val="24"/>
        </w:rPr>
      </w:pPr>
      <w:r w:rsidRPr="00670F5C">
        <w:rPr>
          <w:rFonts w:ascii="Times New Roman" w:hAnsi="Times New Roman" w:cs="Times New Roman"/>
          <w:b/>
          <w:sz w:val="24"/>
          <w:szCs w:val="24"/>
        </w:rPr>
        <w:t>5.1.sadaļā</w:t>
      </w:r>
      <w:r>
        <w:rPr>
          <w:rFonts w:ascii="Times New Roman" w:hAnsi="Times New Roman" w:cs="Times New Roman"/>
          <w:sz w:val="24"/>
          <w:szCs w:val="24"/>
        </w:rPr>
        <w:t xml:space="preserve"> </w:t>
      </w:r>
      <w:r w:rsidRPr="00670F5C">
        <w:rPr>
          <w:rFonts w:ascii="Times New Roman" w:hAnsi="Times New Roman" w:cs="Times New Roman"/>
          <w:sz w:val="24"/>
          <w:szCs w:val="24"/>
        </w:rPr>
        <w:t xml:space="preserve">iekļautas papildus norādes, </w:t>
      </w:r>
      <w:r>
        <w:rPr>
          <w:rFonts w:ascii="Times New Roman" w:hAnsi="Times New Roman" w:cs="Times New Roman"/>
          <w:sz w:val="24"/>
          <w:szCs w:val="24"/>
        </w:rPr>
        <w:t>precizējot aprakstā iekļaujamās informācijas saturu sekojošā redakcijā:</w:t>
      </w:r>
    </w:p>
    <w:p w:rsidR="00670F5C" w:rsidRPr="00670F5C" w:rsidRDefault="00670F5C" w:rsidP="00670F5C">
      <w:pPr>
        <w:autoSpaceDE w:val="0"/>
        <w:autoSpaceDN w:val="0"/>
        <w:adjustRightInd w:val="0"/>
        <w:spacing w:after="0" w:line="240" w:lineRule="auto"/>
        <w:jc w:val="both"/>
        <w:rPr>
          <w:rFonts w:ascii="Times New Roman" w:eastAsia="Times New Roman" w:hAnsi="Times New Roman" w:cs="Times New Roman"/>
          <w:i/>
          <w:sz w:val="24"/>
          <w:szCs w:val="24"/>
        </w:rPr>
      </w:pPr>
      <w:r w:rsidRPr="00670F5C">
        <w:rPr>
          <w:rFonts w:ascii="Times New Roman" w:eastAsia="Times New Roman" w:hAnsi="Times New Roman" w:cs="Times New Roman"/>
          <w:i/>
          <w:sz w:val="24"/>
          <w:szCs w:val="24"/>
        </w:rPr>
        <w:t>Lai norādītu horizontālās prioritātes „</w:t>
      </w:r>
      <w:r w:rsidRPr="00670F5C">
        <w:rPr>
          <w:rFonts w:ascii="Times New Roman" w:eastAsia="Times New Roman" w:hAnsi="Times New Roman" w:cs="Times New Roman"/>
          <w:i/>
          <w:iCs/>
          <w:sz w:val="24"/>
          <w:szCs w:val="24"/>
        </w:rPr>
        <w:t xml:space="preserve">Ilgtspējīga attīstība” </w:t>
      </w:r>
      <w:r w:rsidRPr="00670F5C">
        <w:rPr>
          <w:rFonts w:ascii="Times New Roman" w:eastAsia="Times New Roman" w:hAnsi="Times New Roman" w:cs="Times New Roman"/>
          <w:i/>
          <w:sz w:val="24"/>
          <w:szCs w:val="24"/>
        </w:rPr>
        <w:t xml:space="preserve">mērķu sasniegšanu projekta ieviešanas rezultātā, papildus projekta aprakstā jānorāda šādi rezultatīvie rādītāji </w:t>
      </w:r>
      <w:r w:rsidRPr="00670F5C">
        <w:rPr>
          <w:rFonts w:ascii="Times New Roman" w:eastAsia="Times New Roman" w:hAnsi="Times New Roman" w:cs="Times New Roman"/>
          <w:b/>
          <w:i/>
          <w:sz w:val="24"/>
          <w:szCs w:val="24"/>
        </w:rPr>
        <w:t>un informācija par atbilstību horizontālajai prioritātei</w:t>
      </w:r>
      <w:r w:rsidRPr="00670F5C">
        <w:rPr>
          <w:rFonts w:ascii="Times New Roman" w:eastAsia="Times New Roman" w:hAnsi="Times New Roman" w:cs="Times New Roman"/>
          <w:i/>
          <w:sz w:val="24"/>
          <w:szCs w:val="24"/>
        </w:rPr>
        <w:t>:</w:t>
      </w:r>
    </w:p>
    <w:p w:rsidR="00670F5C" w:rsidRPr="00670F5C" w:rsidRDefault="00670F5C" w:rsidP="00670F5C">
      <w:pPr>
        <w:numPr>
          <w:ilvl w:val="0"/>
          <w:numId w:val="10"/>
        </w:numPr>
        <w:autoSpaceDE w:val="0"/>
        <w:autoSpaceDN w:val="0"/>
        <w:adjustRightInd w:val="0"/>
        <w:spacing w:after="0" w:line="240" w:lineRule="auto"/>
        <w:jc w:val="both"/>
        <w:rPr>
          <w:rFonts w:ascii="Times New Roman" w:eastAsia="Times New Roman" w:hAnsi="Times New Roman" w:cs="Times New Roman"/>
          <w:b/>
          <w:i/>
          <w:sz w:val="24"/>
          <w:szCs w:val="24"/>
        </w:rPr>
      </w:pPr>
      <w:r w:rsidRPr="00670F5C">
        <w:rPr>
          <w:rFonts w:ascii="Times New Roman" w:eastAsia="Times New Roman" w:hAnsi="Times New Roman" w:cs="Times New Roman"/>
          <w:b/>
          <w:i/>
          <w:sz w:val="24"/>
          <w:szCs w:val="24"/>
        </w:rPr>
        <w:t>Sanētās piesārņotās teritorijas platība (ha)</w:t>
      </w:r>
    </w:p>
    <w:p w:rsidR="00670F5C" w:rsidRPr="00670F5C" w:rsidRDefault="00670F5C" w:rsidP="00670F5C">
      <w:pPr>
        <w:numPr>
          <w:ilvl w:val="0"/>
          <w:numId w:val="10"/>
        </w:numPr>
        <w:autoSpaceDE w:val="0"/>
        <w:autoSpaceDN w:val="0"/>
        <w:adjustRightInd w:val="0"/>
        <w:spacing w:after="0" w:line="240" w:lineRule="auto"/>
        <w:rPr>
          <w:rFonts w:ascii="Times New Roman" w:eastAsia="Times New Roman" w:hAnsi="Times New Roman" w:cs="Times New Roman"/>
          <w:i/>
          <w:sz w:val="24"/>
          <w:szCs w:val="24"/>
        </w:rPr>
      </w:pPr>
      <w:r w:rsidRPr="00670F5C">
        <w:rPr>
          <w:rFonts w:ascii="Times New Roman" w:eastAsia="Times New Roman" w:hAnsi="Times New Roman" w:cs="Times New Roman"/>
          <w:i/>
          <w:sz w:val="24"/>
          <w:szCs w:val="24"/>
        </w:rPr>
        <w:t>Projektā paredzētā tehnoloģija:</w:t>
      </w:r>
    </w:p>
    <w:p w:rsidR="00670F5C" w:rsidRPr="00670F5C" w:rsidRDefault="00670F5C" w:rsidP="00670F5C">
      <w:pPr>
        <w:numPr>
          <w:ilvl w:val="0"/>
          <w:numId w:val="11"/>
        </w:numPr>
        <w:autoSpaceDE w:val="0"/>
        <w:autoSpaceDN w:val="0"/>
        <w:adjustRightInd w:val="0"/>
        <w:spacing w:after="0" w:line="240" w:lineRule="auto"/>
        <w:rPr>
          <w:rFonts w:ascii="Times New Roman" w:eastAsia="Times New Roman" w:hAnsi="Times New Roman" w:cs="Times New Roman"/>
          <w:i/>
          <w:sz w:val="24"/>
          <w:szCs w:val="24"/>
        </w:rPr>
      </w:pPr>
      <w:r w:rsidRPr="00670F5C">
        <w:rPr>
          <w:rFonts w:ascii="Times New Roman" w:eastAsia="Times New Roman" w:hAnsi="Times New Roman" w:cs="Times New Roman"/>
          <w:i/>
          <w:sz w:val="24"/>
          <w:szCs w:val="24"/>
        </w:rPr>
        <w:t>Ierobežo piesārņojuma izplatību, nelikvidējot piesārņojuma avotu;</w:t>
      </w:r>
    </w:p>
    <w:p w:rsidR="00670F5C" w:rsidRPr="00670F5C" w:rsidRDefault="00670F5C" w:rsidP="00670F5C">
      <w:pPr>
        <w:numPr>
          <w:ilvl w:val="0"/>
          <w:numId w:val="11"/>
        </w:numPr>
        <w:autoSpaceDE w:val="0"/>
        <w:autoSpaceDN w:val="0"/>
        <w:adjustRightInd w:val="0"/>
        <w:spacing w:after="0" w:line="240" w:lineRule="auto"/>
        <w:rPr>
          <w:rFonts w:ascii="Times New Roman" w:eastAsia="Times New Roman" w:hAnsi="Times New Roman" w:cs="Times New Roman"/>
          <w:i/>
          <w:sz w:val="24"/>
          <w:szCs w:val="24"/>
        </w:rPr>
      </w:pPr>
      <w:r w:rsidRPr="00670F5C">
        <w:rPr>
          <w:rFonts w:ascii="Times New Roman" w:eastAsia="Times New Roman" w:hAnsi="Times New Roman" w:cs="Times New Roman"/>
          <w:i/>
          <w:sz w:val="24"/>
          <w:szCs w:val="24"/>
        </w:rPr>
        <w:t>Likvidē piesārņojuma avotu, nenodrošinot piesārņojuma areāla attīrīšanu;</w:t>
      </w:r>
    </w:p>
    <w:p w:rsidR="00670F5C" w:rsidRPr="00670F5C" w:rsidRDefault="00670F5C" w:rsidP="00670F5C">
      <w:pPr>
        <w:numPr>
          <w:ilvl w:val="0"/>
          <w:numId w:val="11"/>
        </w:numPr>
        <w:autoSpaceDE w:val="0"/>
        <w:autoSpaceDN w:val="0"/>
        <w:adjustRightInd w:val="0"/>
        <w:spacing w:after="0" w:line="240" w:lineRule="auto"/>
        <w:rPr>
          <w:rFonts w:ascii="Times New Roman" w:eastAsia="Times New Roman" w:hAnsi="Times New Roman" w:cs="Times New Roman"/>
          <w:i/>
          <w:sz w:val="24"/>
          <w:szCs w:val="24"/>
        </w:rPr>
      </w:pPr>
      <w:r w:rsidRPr="00670F5C">
        <w:rPr>
          <w:rFonts w:ascii="Times New Roman" w:eastAsia="Times New Roman" w:hAnsi="Times New Roman" w:cs="Times New Roman"/>
          <w:i/>
          <w:sz w:val="24"/>
          <w:szCs w:val="24"/>
        </w:rPr>
        <w:t>Likvidē piesārņojuma avotu un daļēji nodrošina piesārņojuma areāla attīrīšanu.</w:t>
      </w:r>
    </w:p>
    <w:p w:rsidR="00670F5C" w:rsidRPr="00670F5C" w:rsidRDefault="00670F5C" w:rsidP="00670F5C">
      <w:pPr>
        <w:autoSpaceDE w:val="0"/>
        <w:autoSpaceDN w:val="0"/>
        <w:adjustRightInd w:val="0"/>
        <w:spacing w:after="0" w:line="240" w:lineRule="auto"/>
        <w:ind w:left="360"/>
        <w:rPr>
          <w:rFonts w:ascii="Times New Roman" w:eastAsia="Times New Roman" w:hAnsi="Times New Roman" w:cs="Times New Roman"/>
          <w:i/>
          <w:sz w:val="24"/>
          <w:szCs w:val="24"/>
        </w:rPr>
      </w:pPr>
    </w:p>
    <w:p w:rsidR="00670F5C" w:rsidRPr="00670F5C" w:rsidRDefault="00670F5C" w:rsidP="00670F5C">
      <w:pPr>
        <w:autoSpaceDE w:val="0"/>
        <w:autoSpaceDN w:val="0"/>
        <w:adjustRightInd w:val="0"/>
        <w:spacing w:after="0" w:line="240" w:lineRule="auto"/>
        <w:ind w:left="360"/>
        <w:rPr>
          <w:rFonts w:ascii="Times New Roman" w:eastAsia="Times New Roman" w:hAnsi="Times New Roman" w:cs="Times New Roman"/>
          <w:i/>
          <w:sz w:val="24"/>
          <w:szCs w:val="24"/>
        </w:rPr>
      </w:pPr>
      <w:r w:rsidRPr="00670F5C">
        <w:rPr>
          <w:rFonts w:ascii="Times New Roman" w:eastAsia="Times New Roman" w:hAnsi="Times New Roman" w:cs="Times New Roman"/>
          <w:i/>
          <w:sz w:val="24"/>
          <w:szCs w:val="24"/>
        </w:rPr>
        <w:t>Piemēram: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70F5C" w:rsidRPr="00670F5C" w:rsidTr="00DE4A98">
        <w:trPr>
          <w:trHeight w:val="854"/>
        </w:trPr>
        <w:tc>
          <w:tcPr>
            <w:tcW w:w="9108" w:type="dxa"/>
          </w:tcPr>
          <w:p w:rsidR="00670F5C" w:rsidRPr="00670F5C" w:rsidRDefault="00670F5C" w:rsidP="00670F5C">
            <w:pPr>
              <w:spacing w:after="0" w:line="240" w:lineRule="auto"/>
              <w:jc w:val="both"/>
              <w:rPr>
                <w:rFonts w:ascii="Times New Roman" w:eastAsia="Times New Roman" w:hAnsi="Times New Roman" w:cs="Times New Roman"/>
                <w:sz w:val="24"/>
                <w:szCs w:val="24"/>
              </w:rPr>
            </w:pPr>
            <w:r w:rsidRPr="00670F5C">
              <w:rPr>
                <w:rFonts w:ascii="Times New Roman" w:eastAsia="Times New Roman" w:hAnsi="Times New Roman" w:cs="Times New Roman"/>
                <w:sz w:val="24"/>
                <w:szCs w:val="24"/>
              </w:rPr>
              <w:t>Apraksts:</w:t>
            </w:r>
          </w:p>
          <w:p w:rsidR="00670F5C" w:rsidRPr="00670F5C" w:rsidRDefault="00670F5C" w:rsidP="00670F5C">
            <w:pPr>
              <w:numPr>
                <w:ilvl w:val="0"/>
                <w:numId w:val="9"/>
              </w:numPr>
              <w:spacing w:after="0" w:line="240" w:lineRule="auto"/>
              <w:rPr>
                <w:rFonts w:ascii="Times New Roman" w:eastAsia="Times New Roman" w:hAnsi="Times New Roman" w:cs="Times New Roman"/>
                <w:sz w:val="24"/>
                <w:szCs w:val="24"/>
              </w:rPr>
            </w:pPr>
            <w:r w:rsidRPr="00670F5C">
              <w:rPr>
                <w:rFonts w:ascii="Times New Roman" w:eastAsia="Times New Roman" w:hAnsi="Times New Roman" w:cs="Times New Roman"/>
                <w:sz w:val="24"/>
                <w:szCs w:val="24"/>
              </w:rPr>
              <w:t xml:space="preserve">Realizējot projektu ilgtspējīga attīstība tiks sekmēta </w:t>
            </w:r>
            <w:r w:rsidRPr="00670F5C">
              <w:rPr>
                <w:rFonts w:ascii="Times New Roman" w:eastAsia="Times New Roman" w:hAnsi="Times New Roman" w:cs="Times New Roman"/>
                <w:i/>
                <w:sz w:val="24"/>
                <w:szCs w:val="24"/>
              </w:rPr>
              <w:t xml:space="preserve">likvidējot piesārņojuma avotu – piesārņoto ūdeņu atsūknēšana no dīķiem un tā attīrīšana, un daļēji nodrošinot piesārņojuma areāla attīrīšanu (izvēlētajā alternatīvā nav paredzēta izņemtā piesārņojuma iekapsulēšana. </w:t>
            </w:r>
            <w:r w:rsidRPr="00670F5C">
              <w:rPr>
                <w:rFonts w:ascii="Times New Roman" w:eastAsia="Times New Roman" w:hAnsi="Times New Roman" w:cs="Times New Roman"/>
                <w:sz w:val="24"/>
                <w:szCs w:val="24"/>
              </w:rPr>
              <w:t>.</w:t>
            </w:r>
          </w:p>
          <w:p w:rsidR="00670F5C" w:rsidRPr="00670F5C" w:rsidRDefault="00670F5C" w:rsidP="00670F5C">
            <w:pPr>
              <w:numPr>
                <w:ilvl w:val="0"/>
                <w:numId w:val="9"/>
              </w:numPr>
              <w:spacing w:after="0" w:line="240" w:lineRule="auto"/>
              <w:rPr>
                <w:rFonts w:ascii="Times New Roman" w:eastAsia="Times New Roman" w:hAnsi="Times New Roman" w:cs="Times New Roman"/>
                <w:b/>
                <w:sz w:val="24"/>
                <w:szCs w:val="24"/>
              </w:rPr>
            </w:pPr>
            <w:r w:rsidRPr="00670F5C">
              <w:rPr>
                <w:rFonts w:ascii="Times New Roman" w:eastAsia="Times New Roman" w:hAnsi="Times New Roman" w:cs="Times New Roman"/>
                <w:b/>
                <w:sz w:val="24"/>
                <w:szCs w:val="24"/>
              </w:rPr>
              <w:t xml:space="preserve">Realizējot projektu, sanētās piesārņotās teritorijas platība būs …..ha. </w:t>
            </w:r>
          </w:p>
        </w:tc>
      </w:tr>
    </w:tbl>
    <w:p w:rsidR="00670F5C" w:rsidRPr="00670F5C" w:rsidRDefault="00670F5C" w:rsidP="00670F5C">
      <w:pPr>
        <w:pStyle w:val="ListParagraph"/>
        <w:spacing w:after="120"/>
        <w:jc w:val="both"/>
        <w:rPr>
          <w:rFonts w:ascii="Times New Roman" w:hAnsi="Times New Roman" w:cs="Times New Roman"/>
          <w:sz w:val="24"/>
          <w:szCs w:val="24"/>
        </w:rPr>
      </w:pPr>
    </w:p>
    <w:p w:rsidR="00A3535F" w:rsidRDefault="00A3535F" w:rsidP="00A3535F">
      <w:pPr>
        <w:pStyle w:val="ListParagraph"/>
        <w:numPr>
          <w:ilvl w:val="0"/>
          <w:numId w:val="7"/>
        </w:numPr>
        <w:spacing w:after="120"/>
        <w:jc w:val="both"/>
        <w:rPr>
          <w:rFonts w:ascii="Times New Roman" w:hAnsi="Times New Roman" w:cs="Times New Roman"/>
          <w:sz w:val="24"/>
          <w:szCs w:val="24"/>
        </w:rPr>
      </w:pPr>
      <w:r w:rsidRPr="00A3535F">
        <w:rPr>
          <w:rFonts w:ascii="Times New Roman" w:hAnsi="Times New Roman" w:cs="Times New Roman"/>
          <w:b/>
          <w:sz w:val="24"/>
          <w:szCs w:val="24"/>
        </w:rPr>
        <w:t>6.sadaļa</w:t>
      </w:r>
      <w:r>
        <w:rPr>
          <w:rFonts w:ascii="Times New Roman" w:hAnsi="Times New Roman" w:cs="Times New Roman"/>
          <w:sz w:val="24"/>
          <w:szCs w:val="24"/>
        </w:rPr>
        <w:t>:</w:t>
      </w:r>
    </w:p>
    <w:p w:rsidR="00A3535F" w:rsidRDefault="00A3535F" w:rsidP="00A3535F">
      <w:pPr>
        <w:spacing w:after="120"/>
        <w:jc w:val="both"/>
        <w:rPr>
          <w:rFonts w:ascii="Times New Roman" w:hAnsi="Times New Roman" w:cs="Times New Roman"/>
          <w:i/>
          <w:sz w:val="24"/>
          <w:szCs w:val="24"/>
        </w:rPr>
      </w:pPr>
      <w:r>
        <w:rPr>
          <w:rFonts w:ascii="Times New Roman" w:hAnsi="Times New Roman" w:cs="Times New Roman"/>
          <w:sz w:val="24"/>
          <w:szCs w:val="24"/>
        </w:rPr>
        <w:t>Sada</w:t>
      </w:r>
      <w:r w:rsidR="005E6ACB">
        <w:rPr>
          <w:rFonts w:ascii="Times New Roman" w:hAnsi="Times New Roman" w:cs="Times New Roman"/>
          <w:sz w:val="24"/>
          <w:szCs w:val="24"/>
        </w:rPr>
        <w:t xml:space="preserve">ļa precizētas </w:t>
      </w:r>
      <w:r w:rsidR="00D944B7">
        <w:rPr>
          <w:rFonts w:ascii="Times New Roman" w:hAnsi="Times New Roman" w:cs="Times New Roman"/>
          <w:sz w:val="24"/>
          <w:szCs w:val="24"/>
        </w:rPr>
        <w:t xml:space="preserve">atsauces uz Ministru kabineta noteikumiem atbilstoši aktuālajai situācijai: </w:t>
      </w:r>
      <w:r w:rsidR="00D944B7" w:rsidRPr="00D944B7">
        <w:rPr>
          <w:rFonts w:ascii="Times New Roman" w:hAnsi="Times New Roman" w:cs="Times New Roman"/>
          <w:i/>
          <w:sz w:val="24"/>
          <w:szCs w:val="24"/>
        </w:rPr>
        <w:t xml:space="preserve">Prasības ietekmes uz vidi novērtējuma (IVN) procedūrai Latvijā nosaka likums “Par ietekmes uz vidi novērtējumu” un </w:t>
      </w:r>
      <w:r w:rsidR="00D944B7" w:rsidRPr="00D944B7">
        <w:rPr>
          <w:rFonts w:ascii="Times New Roman" w:hAnsi="Times New Roman" w:cs="Times New Roman"/>
          <w:b/>
          <w:i/>
          <w:sz w:val="24"/>
          <w:szCs w:val="24"/>
        </w:rPr>
        <w:t xml:space="preserve">Ministru kabineta 2011.gada 25.janvāra noteikumi Nr.83 </w:t>
      </w:r>
      <w:hyperlink r:id="rId9" w:history="1">
        <w:r w:rsidR="00D944B7" w:rsidRPr="00D944B7">
          <w:rPr>
            <w:rStyle w:val="Hyperlink"/>
            <w:rFonts w:ascii="Times New Roman" w:hAnsi="Times New Roman" w:cs="Times New Roman"/>
            <w:b/>
            <w:i/>
            <w:color w:val="auto"/>
            <w:sz w:val="24"/>
            <w:szCs w:val="24"/>
          </w:rPr>
          <w:t>“Kārtība, kādā novērtējama paredzētās darbības ietekme uz vidi”</w:t>
        </w:r>
      </w:hyperlink>
      <w:r w:rsidR="00D944B7">
        <w:rPr>
          <w:rFonts w:ascii="Times New Roman" w:hAnsi="Times New Roman" w:cs="Times New Roman"/>
          <w:i/>
          <w:sz w:val="24"/>
          <w:szCs w:val="24"/>
        </w:rPr>
        <w:t>;</w:t>
      </w:r>
    </w:p>
    <w:p w:rsidR="00D944B7" w:rsidRDefault="00D944B7" w:rsidP="00A3535F">
      <w:pPr>
        <w:spacing w:after="120"/>
        <w:jc w:val="both"/>
        <w:rPr>
          <w:rFonts w:ascii="Times New Roman" w:hAnsi="Times New Roman" w:cs="Times New Roman"/>
          <w:b/>
          <w:i/>
          <w:sz w:val="24"/>
          <w:szCs w:val="24"/>
        </w:rPr>
      </w:pPr>
      <w:r w:rsidRPr="00D944B7">
        <w:rPr>
          <w:rFonts w:ascii="Times New Roman" w:hAnsi="Times New Roman" w:cs="Times New Roman"/>
          <w:i/>
          <w:sz w:val="24"/>
          <w:szCs w:val="24"/>
        </w:rPr>
        <w:t xml:space="preserve">Ietekmi uz Eiropas nozīmes aizsargājamo dabas teritoriju </w:t>
      </w:r>
      <w:r w:rsidRPr="00D944B7">
        <w:rPr>
          <w:rFonts w:ascii="Times New Roman" w:hAnsi="Times New Roman" w:cs="Times New Roman"/>
          <w:i/>
          <w:iCs/>
          <w:sz w:val="24"/>
          <w:szCs w:val="24"/>
        </w:rPr>
        <w:t>(Natura 2000)</w:t>
      </w:r>
      <w:r w:rsidRPr="00D944B7">
        <w:rPr>
          <w:rFonts w:ascii="Times New Roman" w:hAnsi="Times New Roman" w:cs="Times New Roman"/>
          <w:i/>
          <w:sz w:val="24"/>
          <w:szCs w:val="24"/>
        </w:rPr>
        <w:t xml:space="preserve"> novērtē saskaņā ar atsevišķi noteiktu kārtību, kuru nosaka </w:t>
      </w:r>
      <w:r w:rsidRPr="00D944B7">
        <w:rPr>
          <w:rFonts w:ascii="Times New Roman" w:hAnsi="Times New Roman" w:cs="Times New Roman"/>
          <w:b/>
          <w:i/>
          <w:sz w:val="24"/>
          <w:szCs w:val="24"/>
        </w:rPr>
        <w:t xml:space="preserve">Ministru kabineta 2011.gada 19.aprīļa noteikumi Nr.300 </w:t>
      </w:r>
      <w:hyperlink r:id="rId10" w:history="1">
        <w:r w:rsidRPr="00D944B7">
          <w:rPr>
            <w:rStyle w:val="Hyperlink"/>
            <w:rFonts w:ascii="Times New Roman" w:hAnsi="Times New Roman" w:cs="Times New Roman"/>
            <w:b/>
            <w:i/>
            <w:color w:val="auto"/>
            <w:sz w:val="24"/>
            <w:szCs w:val="24"/>
          </w:rPr>
          <w:t>"Kārtība, kādā novērtējama ietekme uz Eiropas nozīmes īpaši aizsargājamo dabas teritoriju (NATURA 2000)"</w:t>
        </w:r>
      </w:hyperlink>
      <w:r>
        <w:rPr>
          <w:rFonts w:ascii="Times New Roman" w:hAnsi="Times New Roman" w:cs="Times New Roman"/>
          <w:b/>
          <w:i/>
          <w:sz w:val="24"/>
          <w:szCs w:val="24"/>
        </w:rPr>
        <w:t>.</w:t>
      </w:r>
    </w:p>
    <w:p w:rsidR="00D944B7" w:rsidRDefault="00D944B7" w:rsidP="00D944B7">
      <w:pPr>
        <w:pStyle w:val="ListParagraph"/>
        <w:numPr>
          <w:ilvl w:val="0"/>
          <w:numId w:val="7"/>
        </w:numPr>
        <w:spacing w:after="120"/>
        <w:jc w:val="both"/>
        <w:rPr>
          <w:rFonts w:ascii="Times New Roman" w:hAnsi="Times New Roman" w:cs="Times New Roman"/>
          <w:sz w:val="24"/>
          <w:szCs w:val="24"/>
        </w:rPr>
      </w:pPr>
      <w:r w:rsidRPr="00D944B7">
        <w:rPr>
          <w:rFonts w:ascii="Times New Roman" w:hAnsi="Times New Roman" w:cs="Times New Roman"/>
          <w:b/>
          <w:sz w:val="24"/>
          <w:szCs w:val="24"/>
        </w:rPr>
        <w:t>7.2.sadaļa</w:t>
      </w:r>
      <w:r>
        <w:rPr>
          <w:rFonts w:ascii="Times New Roman" w:hAnsi="Times New Roman" w:cs="Times New Roman"/>
          <w:sz w:val="24"/>
          <w:szCs w:val="24"/>
        </w:rPr>
        <w:t>:</w:t>
      </w:r>
    </w:p>
    <w:p w:rsidR="00D944B7" w:rsidRDefault="00D944B7" w:rsidP="00D944B7">
      <w:pPr>
        <w:spacing w:after="120"/>
        <w:jc w:val="both"/>
        <w:rPr>
          <w:rFonts w:ascii="Times New Roman" w:hAnsi="Times New Roman" w:cs="Times New Roman"/>
          <w:sz w:val="24"/>
          <w:szCs w:val="24"/>
        </w:rPr>
      </w:pPr>
      <w:r>
        <w:rPr>
          <w:rFonts w:ascii="Times New Roman" w:hAnsi="Times New Roman" w:cs="Times New Roman"/>
          <w:sz w:val="24"/>
          <w:szCs w:val="24"/>
        </w:rPr>
        <w:t xml:space="preserve">Tabula papildināta atbilstoši aktuālajai </w:t>
      </w:r>
      <w:r w:rsidR="00670F5C">
        <w:rPr>
          <w:rFonts w:ascii="Times New Roman" w:hAnsi="Times New Roman" w:cs="Times New Roman"/>
          <w:sz w:val="24"/>
          <w:szCs w:val="24"/>
        </w:rPr>
        <w:t>MK noteikumu redakcijai</w:t>
      </w:r>
      <w:r>
        <w:rPr>
          <w:rFonts w:ascii="Times New Roman" w:hAnsi="Times New Roman" w:cs="Times New Roman"/>
          <w:sz w:val="24"/>
          <w:szCs w:val="24"/>
        </w:rPr>
        <w:t>:</w:t>
      </w:r>
    </w:p>
    <w:tbl>
      <w:tblPr>
        <w:tblW w:w="4904" w:type="pct"/>
        <w:tblLook w:val="0000" w:firstRow="0" w:lastRow="0" w:firstColumn="0" w:lastColumn="0" w:noHBand="0" w:noVBand="0"/>
      </w:tblPr>
      <w:tblGrid>
        <w:gridCol w:w="943"/>
        <w:gridCol w:w="3177"/>
        <w:gridCol w:w="1469"/>
        <w:gridCol w:w="1302"/>
        <w:gridCol w:w="1467"/>
      </w:tblGrid>
      <w:tr w:rsidR="00D944B7" w:rsidRPr="00D944B7" w:rsidTr="00F361BD">
        <w:trPr>
          <w:cantSplit/>
          <w:trHeight w:val="315"/>
        </w:trPr>
        <w:tc>
          <w:tcPr>
            <w:tcW w:w="519" w:type="pct"/>
            <w:vMerge w:val="restart"/>
            <w:tcBorders>
              <w:top w:val="single" w:sz="8" w:space="0" w:color="auto"/>
              <w:left w:val="single" w:sz="8" w:space="0" w:color="auto"/>
              <w:bottom w:val="single" w:sz="8" w:space="0" w:color="auto"/>
              <w:right w:val="single" w:sz="8" w:space="0" w:color="auto"/>
            </w:tcBorders>
            <w:vAlign w:val="center"/>
          </w:tcPr>
          <w:p w:rsidR="00D944B7" w:rsidRPr="00D944B7" w:rsidRDefault="00D944B7" w:rsidP="00F361BD">
            <w:pPr>
              <w:autoSpaceDE w:val="0"/>
              <w:autoSpaceDN w:val="0"/>
              <w:adjustRightInd w:val="0"/>
              <w:jc w:val="center"/>
              <w:rPr>
                <w:rFonts w:ascii="Times New Roman" w:hAnsi="Times New Roman" w:cs="Times New Roman"/>
                <w:b/>
                <w:bCs/>
                <w:sz w:val="24"/>
                <w:szCs w:val="24"/>
              </w:rPr>
            </w:pPr>
            <w:r w:rsidRPr="00D944B7">
              <w:rPr>
                <w:rFonts w:ascii="Times New Roman" w:hAnsi="Times New Roman" w:cs="Times New Roman"/>
                <w:b/>
                <w:bCs/>
                <w:sz w:val="24"/>
                <w:szCs w:val="24"/>
              </w:rPr>
              <w:t>Nr.p.k.</w:t>
            </w:r>
          </w:p>
        </w:tc>
        <w:tc>
          <w:tcPr>
            <w:tcW w:w="1912" w:type="pct"/>
            <w:vMerge w:val="restart"/>
            <w:tcBorders>
              <w:top w:val="single" w:sz="8" w:space="0" w:color="auto"/>
              <w:left w:val="single" w:sz="8" w:space="0" w:color="auto"/>
              <w:bottom w:val="single" w:sz="8" w:space="0" w:color="auto"/>
              <w:right w:val="single" w:sz="8" w:space="0" w:color="auto"/>
            </w:tcBorders>
            <w:vAlign w:val="center"/>
          </w:tcPr>
          <w:p w:rsidR="00D944B7" w:rsidRPr="00D944B7" w:rsidRDefault="00D944B7" w:rsidP="00F361BD">
            <w:pPr>
              <w:autoSpaceDE w:val="0"/>
              <w:autoSpaceDN w:val="0"/>
              <w:adjustRightInd w:val="0"/>
              <w:jc w:val="center"/>
              <w:rPr>
                <w:rFonts w:ascii="Times New Roman" w:hAnsi="Times New Roman" w:cs="Times New Roman"/>
                <w:b/>
                <w:bCs/>
                <w:sz w:val="24"/>
                <w:szCs w:val="24"/>
                <w:vertAlign w:val="superscript"/>
              </w:rPr>
            </w:pPr>
            <w:r w:rsidRPr="00D944B7">
              <w:rPr>
                <w:rFonts w:ascii="Times New Roman" w:hAnsi="Times New Roman" w:cs="Times New Roman"/>
                <w:b/>
                <w:bCs/>
                <w:sz w:val="24"/>
                <w:szCs w:val="24"/>
              </w:rPr>
              <w:t>Izmaksu pozīcijas nosaukums</w:t>
            </w:r>
          </w:p>
        </w:tc>
        <w:tc>
          <w:tcPr>
            <w:tcW w:w="890" w:type="pct"/>
            <w:vMerge w:val="restart"/>
            <w:tcBorders>
              <w:top w:val="single" w:sz="8" w:space="0" w:color="auto"/>
              <w:left w:val="nil"/>
              <w:right w:val="single" w:sz="8" w:space="0" w:color="000000"/>
            </w:tcBorders>
            <w:vAlign w:val="center"/>
          </w:tcPr>
          <w:p w:rsidR="00D944B7" w:rsidRPr="00D944B7" w:rsidRDefault="00D944B7" w:rsidP="00F361BD">
            <w:pPr>
              <w:autoSpaceDE w:val="0"/>
              <w:autoSpaceDN w:val="0"/>
              <w:adjustRightInd w:val="0"/>
              <w:jc w:val="center"/>
              <w:rPr>
                <w:rFonts w:ascii="Times New Roman" w:hAnsi="Times New Roman" w:cs="Times New Roman"/>
                <w:b/>
                <w:bCs/>
                <w:sz w:val="24"/>
                <w:szCs w:val="24"/>
              </w:rPr>
            </w:pPr>
            <w:r w:rsidRPr="00D944B7">
              <w:rPr>
                <w:rFonts w:ascii="Times New Roman" w:hAnsi="Times New Roman" w:cs="Times New Roman"/>
                <w:b/>
                <w:bCs/>
                <w:sz w:val="24"/>
                <w:szCs w:val="24"/>
              </w:rPr>
              <w:t>Daudzums</w:t>
            </w:r>
          </w:p>
        </w:tc>
        <w:tc>
          <w:tcPr>
            <w:tcW w:w="1679" w:type="pct"/>
            <w:gridSpan w:val="2"/>
            <w:tcBorders>
              <w:top w:val="single" w:sz="8" w:space="0" w:color="auto"/>
              <w:left w:val="nil"/>
              <w:bottom w:val="single" w:sz="4" w:space="0" w:color="auto"/>
              <w:right w:val="single" w:sz="8" w:space="0" w:color="000000"/>
            </w:tcBorders>
            <w:vAlign w:val="center"/>
          </w:tcPr>
          <w:p w:rsidR="00D944B7" w:rsidRPr="00D944B7" w:rsidRDefault="00D944B7" w:rsidP="00F361BD">
            <w:pPr>
              <w:autoSpaceDE w:val="0"/>
              <w:autoSpaceDN w:val="0"/>
              <w:adjustRightInd w:val="0"/>
              <w:jc w:val="center"/>
              <w:rPr>
                <w:rFonts w:ascii="Times New Roman" w:hAnsi="Times New Roman" w:cs="Times New Roman"/>
                <w:b/>
                <w:bCs/>
                <w:sz w:val="24"/>
                <w:szCs w:val="24"/>
              </w:rPr>
            </w:pPr>
            <w:r w:rsidRPr="00D944B7">
              <w:rPr>
                <w:rFonts w:ascii="Times New Roman" w:hAnsi="Times New Roman" w:cs="Times New Roman"/>
                <w:b/>
                <w:bCs/>
                <w:sz w:val="24"/>
                <w:szCs w:val="24"/>
              </w:rPr>
              <w:t>Kopējā summa</w:t>
            </w:r>
          </w:p>
        </w:tc>
      </w:tr>
      <w:tr w:rsidR="00D944B7" w:rsidRPr="00D944B7" w:rsidTr="00F361BD">
        <w:trPr>
          <w:cantSplit/>
          <w:trHeight w:val="315"/>
        </w:trPr>
        <w:tc>
          <w:tcPr>
            <w:tcW w:w="519" w:type="pct"/>
            <w:vMerge/>
            <w:tcBorders>
              <w:top w:val="single" w:sz="8" w:space="0" w:color="auto"/>
              <w:left w:val="single" w:sz="8" w:space="0" w:color="auto"/>
              <w:bottom w:val="single" w:sz="8" w:space="0" w:color="auto"/>
              <w:right w:val="single" w:sz="8" w:space="0" w:color="auto"/>
            </w:tcBorders>
            <w:vAlign w:val="center"/>
          </w:tcPr>
          <w:p w:rsidR="00D944B7" w:rsidRPr="00D944B7" w:rsidRDefault="00D944B7" w:rsidP="00F361BD">
            <w:pPr>
              <w:autoSpaceDE w:val="0"/>
              <w:autoSpaceDN w:val="0"/>
              <w:adjustRightInd w:val="0"/>
              <w:jc w:val="center"/>
              <w:rPr>
                <w:rFonts w:ascii="Times New Roman" w:hAnsi="Times New Roman" w:cs="Times New Roman"/>
                <w:b/>
                <w:bCs/>
                <w:sz w:val="24"/>
                <w:szCs w:val="24"/>
              </w:rPr>
            </w:pPr>
          </w:p>
        </w:tc>
        <w:tc>
          <w:tcPr>
            <w:tcW w:w="1912" w:type="pct"/>
            <w:vMerge/>
            <w:tcBorders>
              <w:top w:val="single" w:sz="8" w:space="0" w:color="auto"/>
              <w:left w:val="single" w:sz="8" w:space="0" w:color="auto"/>
              <w:bottom w:val="single" w:sz="8" w:space="0" w:color="auto"/>
              <w:right w:val="single" w:sz="8" w:space="0" w:color="auto"/>
            </w:tcBorders>
            <w:vAlign w:val="center"/>
          </w:tcPr>
          <w:p w:rsidR="00D944B7" w:rsidRPr="00D944B7" w:rsidRDefault="00D944B7" w:rsidP="00F361BD">
            <w:pPr>
              <w:autoSpaceDE w:val="0"/>
              <w:autoSpaceDN w:val="0"/>
              <w:adjustRightInd w:val="0"/>
              <w:jc w:val="center"/>
              <w:rPr>
                <w:rFonts w:ascii="Times New Roman" w:hAnsi="Times New Roman" w:cs="Times New Roman"/>
                <w:b/>
                <w:bCs/>
                <w:sz w:val="24"/>
                <w:szCs w:val="24"/>
              </w:rPr>
            </w:pPr>
          </w:p>
        </w:tc>
        <w:tc>
          <w:tcPr>
            <w:tcW w:w="890" w:type="pct"/>
            <w:vMerge/>
            <w:tcBorders>
              <w:left w:val="nil"/>
              <w:bottom w:val="single" w:sz="8" w:space="0" w:color="auto"/>
              <w:right w:val="single" w:sz="8" w:space="0" w:color="000000"/>
            </w:tcBorders>
            <w:vAlign w:val="center"/>
          </w:tcPr>
          <w:p w:rsidR="00D944B7" w:rsidRPr="00D944B7" w:rsidRDefault="00D944B7" w:rsidP="00F361BD">
            <w:pPr>
              <w:autoSpaceDE w:val="0"/>
              <w:autoSpaceDN w:val="0"/>
              <w:adjustRightInd w:val="0"/>
              <w:jc w:val="center"/>
              <w:rPr>
                <w:rFonts w:ascii="Times New Roman" w:hAnsi="Times New Roman" w:cs="Times New Roman"/>
                <w:b/>
                <w:bCs/>
                <w:sz w:val="24"/>
                <w:szCs w:val="24"/>
              </w:rPr>
            </w:pPr>
          </w:p>
        </w:tc>
        <w:tc>
          <w:tcPr>
            <w:tcW w:w="790" w:type="pct"/>
            <w:tcBorders>
              <w:top w:val="nil"/>
              <w:left w:val="single" w:sz="8" w:space="0" w:color="000000"/>
              <w:bottom w:val="single" w:sz="8" w:space="0" w:color="auto"/>
              <w:right w:val="single" w:sz="8" w:space="0" w:color="auto"/>
            </w:tcBorders>
            <w:vAlign w:val="center"/>
          </w:tcPr>
          <w:p w:rsidR="00D944B7" w:rsidRPr="00D944B7" w:rsidRDefault="00D944B7" w:rsidP="00F361BD">
            <w:pPr>
              <w:autoSpaceDE w:val="0"/>
              <w:autoSpaceDN w:val="0"/>
              <w:adjustRightInd w:val="0"/>
              <w:jc w:val="center"/>
              <w:rPr>
                <w:rFonts w:ascii="Times New Roman" w:hAnsi="Times New Roman" w:cs="Times New Roman"/>
                <w:b/>
                <w:bCs/>
                <w:sz w:val="24"/>
                <w:szCs w:val="24"/>
              </w:rPr>
            </w:pPr>
            <w:smartTag w:uri="schemas-tilde-lv/tildestengine" w:element="currency2">
              <w:smartTagPr>
                <w:attr w:name="currency_id" w:val="48"/>
                <w:attr w:name="currency_key" w:val="LVL"/>
                <w:attr w:name="currency_value" w:val="1"/>
                <w:attr w:name="currency_text" w:val="LVL"/>
              </w:smartTagPr>
              <w:r w:rsidRPr="00D944B7">
                <w:rPr>
                  <w:rFonts w:ascii="Times New Roman" w:hAnsi="Times New Roman" w:cs="Times New Roman"/>
                  <w:b/>
                  <w:bCs/>
                  <w:sz w:val="24"/>
                  <w:szCs w:val="24"/>
                </w:rPr>
                <w:t>LVL</w:t>
              </w:r>
            </w:smartTag>
          </w:p>
        </w:tc>
        <w:tc>
          <w:tcPr>
            <w:tcW w:w="889" w:type="pct"/>
            <w:tcBorders>
              <w:top w:val="nil"/>
              <w:left w:val="nil"/>
              <w:bottom w:val="single" w:sz="8" w:space="0" w:color="auto"/>
              <w:right w:val="single" w:sz="8" w:space="0" w:color="auto"/>
            </w:tcBorders>
            <w:vAlign w:val="center"/>
          </w:tcPr>
          <w:p w:rsidR="00D944B7" w:rsidRPr="00D944B7" w:rsidRDefault="00D944B7" w:rsidP="00F361BD">
            <w:pPr>
              <w:autoSpaceDE w:val="0"/>
              <w:autoSpaceDN w:val="0"/>
              <w:adjustRightInd w:val="0"/>
              <w:jc w:val="center"/>
              <w:rPr>
                <w:rFonts w:ascii="Times New Roman" w:hAnsi="Times New Roman" w:cs="Times New Roman"/>
                <w:b/>
                <w:bCs/>
                <w:sz w:val="24"/>
                <w:szCs w:val="24"/>
              </w:rPr>
            </w:pPr>
            <w:r w:rsidRPr="00D944B7">
              <w:rPr>
                <w:rFonts w:ascii="Times New Roman" w:hAnsi="Times New Roman" w:cs="Times New Roman"/>
                <w:b/>
                <w:bCs/>
                <w:sz w:val="24"/>
                <w:szCs w:val="24"/>
              </w:rPr>
              <w:t>%</w:t>
            </w:r>
          </w:p>
        </w:tc>
      </w:tr>
      <w:tr w:rsidR="00D944B7" w:rsidRPr="00D944B7" w:rsidTr="00F361BD">
        <w:trPr>
          <w:trHeight w:val="410"/>
        </w:trPr>
        <w:tc>
          <w:tcPr>
            <w:tcW w:w="519" w:type="pct"/>
            <w:tcBorders>
              <w:top w:val="nil"/>
              <w:left w:val="single" w:sz="8" w:space="0" w:color="auto"/>
              <w:bottom w:val="single" w:sz="8" w:space="0" w:color="auto"/>
              <w:right w:val="single" w:sz="8" w:space="0" w:color="auto"/>
            </w:tcBorders>
          </w:tcPr>
          <w:p w:rsidR="00D944B7" w:rsidRPr="00D944B7" w:rsidRDefault="00D944B7" w:rsidP="00F361BD">
            <w:pPr>
              <w:autoSpaceDE w:val="0"/>
              <w:autoSpaceDN w:val="0"/>
              <w:adjustRightInd w:val="0"/>
              <w:rPr>
                <w:rFonts w:ascii="Times New Roman" w:hAnsi="Times New Roman" w:cs="Times New Roman"/>
                <w:sz w:val="24"/>
                <w:szCs w:val="24"/>
              </w:rPr>
            </w:pPr>
            <w:r w:rsidRPr="00D944B7">
              <w:rPr>
                <w:rFonts w:ascii="Times New Roman" w:hAnsi="Times New Roman" w:cs="Times New Roman"/>
                <w:sz w:val="24"/>
                <w:szCs w:val="24"/>
              </w:rPr>
              <w:t>1.</w:t>
            </w:r>
          </w:p>
        </w:tc>
        <w:tc>
          <w:tcPr>
            <w:tcW w:w="1912" w:type="pct"/>
            <w:tcBorders>
              <w:top w:val="nil"/>
              <w:left w:val="nil"/>
              <w:bottom w:val="single" w:sz="8" w:space="0" w:color="auto"/>
              <w:right w:val="single" w:sz="8" w:space="0" w:color="auto"/>
            </w:tcBorders>
            <w:vAlign w:val="bottom"/>
          </w:tcPr>
          <w:p w:rsidR="00D944B7" w:rsidRPr="00D944B7" w:rsidRDefault="00D944B7" w:rsidP="00F361BD">
            <w:pPr>
              <w:pStyle w:val="naisf"/>
              <w:ind w:firstLine="0"/>
              <w:jc w:val="left"/>
              <w:rPr>
                <w:sz w:val="24"/>
              </w:rPr>
            </w:pPr>
            <w:r w:rsidRPr="00D944B7">
              <w:rPr>
                <w:sz w:val="24"/>
              </w:rPr>
              <w:t>Tehniski ekonomiskā pamatojuma, ar to saistītās aktualizācijas un ar ietekmes uz vidi novērtējumu saistītās dokumentācijas izstrādes izmaksas</w:t>
            </w:r>
          </w:p>
          <w:p w:rsidR="00D944B7" w:rsidRPr="00D944B7" w:rsidRDefault="00D944B7" w:rsidP="00F361BD">
            <w:pPr>
              <w:autoSpaceDE w:val="0"/>
              <w:autoSpaceDN w:val="0"/>
              <w:adjustRightInd w:val="0"/>
              <w:rPr>
                <w:rFonts w:ascii="Times New Roman" w:hAnsi="Times New Roman" w:cs="Times New Roman"/>
                <w:sz w:val="24"/>
                <w:szCs w:val="24"/>
              </w:rPr>
            </w:pPr>
            <w:r w:rsidRPr="00D944B7">
              <w:rPr>
                <w:rFonts w:ascii="Times New Roman" w:hAnsi="Times New Roman" w:cs="Times New Roman"/>
                <w:sz w:val="24"/>
                <w:szCs w:val="24"/>
              </w:rPr>
              <w:t xml:space="preserve">Būvprojekta izstrādes un ar to saistītās būvekspertīzes izmaksas </w:t>
            </w:r>
          </w:p>
        </w:tc>
        <w:tc>
          <w:tcPr>
            <w:tcW w:w="890"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rPr>
                <w:rFonts w:ascii="Times New Roman" w:hAnsi="Times New Roman" w:cs="Times New Roman"/>
                <w:sz w:val="24"/>
                <w:szCs w:val="24"/>
              </w:rPr>
            </w:pPr>
            <w:r w:rsidRPr="00D944B7">
              <w:rPr>
                <w:rFonts w:ascii="Times New Roman" w:hAnsi="Times New Roman" w:cs="Times New Roman"/>
                <w:sz w:val="24"/>
                <w:szCs w:val="24"/>
              </w:rPr>
              <w:t> </w:t>
            </w:r>
          </w:p>
          <w:p w:rsidR="00D944B7" w:rsidRPr="00D944B7" w:rsidRDefault="00D944B7" w:rsidP="00F361BD">
            <w:pPr>
              <w:autoSpaceDE w:val="0"/>
              <w:autoSpaceDN w:val="0"/>
              <w:adjustRightInd w:val="0"/>
              <w:rPr>
                <w:rFonts w:ascii="Times New Roman" w:hAnsi="Times New Roman" w:cs="Times New Roman"/>
                <w:sz w:val="24"/>
                <w:szCs w:val="24"/>
              </w:rPr>
            </w:pPr>
          </w:p>
        </w:tc>
        <w:tc>
          <w:tcPr>
            <w:tcW w:w="790"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jc w:val="right"/>
              <w:rPr>
                <w:rFonts w:ascii="Times New Roman" w:hAnsi="Times New Roman" w:cs="Times New Roman"/>
                <w:sz w:val="24"/>
                <w:szCs w:val="24"/>
              </w:rPr>
            </w:pPr>
            <w:r w:rsidRPr="00D944B7">
              <w:rPr>
                <w:rFonts w:ascii="Times New Roman" w:hAnsi="Times New Roman" w:cs="Times New Roman"/>
                <w:sz w:val="24"/>
                <w:szCs w:val="24"/>
              </w:rPr>
              <w:t> </w:t>
            </w:r>
          </w:p>
        </w:tc>
        <w:tc>
          <w:tcPr>
            <w:tcW w:w="889"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jc w:val="right"/>
              <w:rPr>
                <w:rFonts w:ascii="Times New Roman" w:hAnsi="Times New Roman" w:cs="Times New Roman"/>
                <w:sz w:val="24"/>
                <w:szCs w:val="24"/>
              </w:rPr>
            </w:pPr>
            <w:r w:rsidRPr="00D944B7">
              <w:rPr>
                <w:rFonts w:ascii="Times New Roman" w:hAnsi="Times New Roman" w:cs="Times New Roman"/>
                <w:sz w:val="24"/>
                <w:szCs w:val="24"/>
              </w:rPr>
              <w:t> </w:t>
            </w:r>
          </w:p>
        </w:tc>
      </w:tr>
      <w:tr w:rsidR="00D944B7" w:rsidRPr="00D944B7" w:rsidTr="00F361BD">
        <w:trPr>
          <w:trHeight w:val="330"/>
        </w:trPr>
        <w:tc>
          <w:tcPr>
            <w:tcW w:w="519" w:type="pct"/>
            <w:tcBorders>
              <w:top w:val="nil"/>
              <w:left w:val="single" w:sz="8" w:space="0" w:color="auto"/>
              <w:bottom w:val="single" w:sz="8" w:space="0" w:color="auto"/>
              <w:right w:val="single" w:sz="8" w:space="0" w:color="auto"/>
            </w:tcBorders>
          </w:tcPr>
          <w:p w:rsidR="00D944B7" w:rsidRPr="00D944B7" w:rsidRDefault="00D944B7" w:rsidP="00F361BD">
            <w:pPr>
              <w:autoSpaceDE w:val="0"/>
              <w:autoSpaceDN w:val="0"/>
              <w:adjustRightInd w:val="0"/>
              <w:rPr>
                <w:rFonts w:ascii="Times New Roman" w:hAnsi="Times New Roman" w:cs="Times New Roman"/>
                <w:sz w:val="24"/>
                <w:szCs w:val="24"/>
              </w:rPr>
            </w:pPr>
            <w:r w:rsidRPr="00D944B7">
              <w:rPr>
                <w:rFonts w:ascii="Times New Roman" w:hAnsi="Times New Roman" w:cs="Times New Roman"/>
                <w:sz w:val="24"/>
                <w:szCs w:val="24"/>
              </w:rPr>
              <w:t>2.</w:t>
            </w:r>
          </w:p>
        </w:tc>
        <w:tc>
          <w:tcPr>
            <w:tcW w:w="1912"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rPr>
                <w:rFonts w:ascii="Times New Roman" w:hAnsi="Times New Roman" w:cs="Times New Roman"/>
                <w:sz w:val="24"/>
                <w:szCs w:val="24"/>
              </w:rPr>
            </w:pPr>
            <w:r w:rsidRPr="00D944B7">
              <w:rPr>
                <w:rFonts w:ascii="Times New Roman" w:hAnsi="Times New Roman" w:cs="Times New Roman"/>
                <w:sz w:val="24"/>
                <w:szCs w:val="24"/>
              </w:rPr>
              <w:t xml:space="preserve">Būvdarbu izmaksas </w:t>
            </w:r>
          </w:p>
        </w:tc>
        <w:tc>
          <w:tcPr>
            <w:tcW w:w="890"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rPr>
                <w:rFonts w:ascii="Times New Roman" w:hAnsi="Times New Roman" w:cs="Times New Roman"/>
                <w:sz w:val="24"/>
                <w:szCs w:val="24"/>
              </w:rPr>
            </w:pPr>
          </w:p>
        </w:tc>
        <w:tc>
          <w:tcPr>
            <w:tcW w:w="790"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jc w:val="right"/>
              <w:rPr>
                <w:rFonts w:ascii="Times New Roman" w:hAnsi="Times New Roman" w:cs="Times New Roman"/>
                <w:sz w:val="24"/>
                <w:szCs w:val="24"/>
              </w:rPr>
            </w:pPr>
          </w:p>
        </w:tc>
        <w:tc>
          <w:tcPr>
            <w:tcW w:w="889"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jc w:val="right"/>
              <w:rPr>
                <w:rFonts w:ascii="Times New Roman" w:hAnsi="Times New Roman" w:cs="Times New Roman"/>
                <w:sz w:val="24"/>
                <w:szCs w:val="24"/>
              </w:rPr>
            </w:pPr>
          </w:p>
        </w:tc>
      </w:tr>
      <w:tr w:rsidR="00D944B7" w:rsidRPr="00D944B7" w:rsidTr="00F361BD">
        <w:trPr>
          <w:trHeight w:val="330"/>
        </w:trPr>
        <w:tc>
          <w:tcPr>
            <w:tcW w:w="519" w:type="pct"/>
            <w:tcBorders>
              <w:top w:val="nil"/>
              <w:left w:val="single" w:sz="8" w:space="0" w:color="auto"/>
              <w:bottom w:val="single" w:sz="8" w:space="0" w:color="auto"/>
              <w:right w:val="single" w:sz="8" w:space="0" w:color="auto"/>
            </w:tcBorders>
          </w:tcPr>
          <w:p w:rsidR="00D944B7" w:rsidRPr="00D944B7" w:rsidRDefault="00D944B7" w:rsidP="00F361BD">
            <w:pPr>
              <w:autoSpaceDE w:val="0"/>
              <w:autoSpaceDN w:val="0"/>
              <w:adjustRightInd w:val="0"/>
              <w:rPr>
                <w:rFonts w:ascii="Times New Roman" w:hAnsi="Times New Roman" w:cs="Times New Roman"/>
                <w:sz w:val="24"/>
                <w:szCs w:val="24"/>
              </w:rPr>
            </w:pPr>
            <w:r w:rsidRPr="00D944B7">
              <w:rPr>
                <w:rFonts w:ascii="Times New Roman" w:hAnsi="Times New Roman" w:cs="Times New Roman"/>
                <w:sz w:val="24"/>
                <w:szCs w:val="24"/>
              </w:rPr>
              <w:t>3.</w:t>
            </w:r>
          </w:p>
        </w:tc>
        <w:tc>
          <w:tcPr>
            <w:tcW w:w="1912"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rPr>
                <w:rFonts w:ascii="Times New Roman" w:hAnsi="Times New Roman" w:cs="Times New Roman"/>
                <w:sz w:val="24"/>
                <w:szCs w:val="24"/>
              </w:rPr>
            </w:pPr>
            <w:r w:rsidRPr="00D944B7">
              <w:rPr>
                <w:rFonts w:ascii="Times New Roman" w:hAnsi="Times New Roman" w:cs="Times New Roman"/>
                <w:sz w:val="24"/>
                <w:szCs w:val="24"/>
              </w:rPr>
              <w:t>Autoruzraudzības izmaksas</w:t>
            </w:r>
          </w:p>
        </w:tc>
        <w:tc>
          <w:tcPr>
            <w:tcW w:w="890"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rPr>
                <w:rFonts w:ascii="Times New Roman" w:hAnsi="Times New Roman" w:cs="Times New Roman"/>
                <w:sz w:val="24"/>
                <w:szCs w:val="24"/>
              </w:rPr>
            </w:pPr>
          </w:p>
        </w:tc>
        <w:tc>
          <w:tcPr>
            <w:tcW w:w="790"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jc w:val="right"/>
              <w:rPr>
                <w:rFonts w:ascii="Times New Roman" w:hAnsi="Times New Roman" w:cs="Times New Roman"/>
                <w:sz w:val="24"/>
                <w:szCs w:val="24"/>
              </w:rPr>
            </w:pPr>
            <w:r w:rsidRPr="00D944B7">
              <w:rPr>
                <w:rFonts w:ascii="Times New Roman" w:hAnsi="Times New Roman" w:cs="Times New Roman"/>
                <w:sz w:val="24"/>
                <w:szCs w:val="24"/>
              </w:rPr>
              <w:t> </w:t>
            </w:r>
          </w:p>
        </w:tc>
        <w:tc>
          <w:tcPr>
            <w:tcW w:w="889"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jc w:val="right"/>
              <w:rPr>
                <w:rFonts w:ascii="Times New Roman" w:hAnsi="Times New Roman" w:cs="Times New Roman"/>
                <w:sz w:val="24"/>
                <w:szCs w:val="24"/>
              </w:rPr>
            </w:pPr>
            <w:r w:rsidRPr="00D944B7">
              <w:rPr>
                <w:rFonts w:ascii="Times New Roman" w:hAnsi="Times New Roman" w:cs="Times New Roman"/>
                <w:sz w:val="24"/>
                <w:szCs w:val="24"/>
              </w:rPr>
              <w:t> </w:t>
            </w:r>
          </w:p>
        </w:tc>
      </w:tr>
      <w:tr w:rsidR="00D944B7" w:rsidRPr="00D944B7" w:rsidTr="00F361BD">
        <w:trPr>
          <w:trHeight w:val="393"/>
        </w:trPr>
        <w:tc>
          <w:tcPr>
            <w:tcW w:w="519" w:type="pct"/>
            <w:tcBorders>
              <w:top w:val="nil"/>
              <w:left w:val="single" w:sz="8" w:space="0" w:color="auto"/>
              <w:bottom w:val="single" w:sz="8" w:space="0" w:color="auto"/>
              <w:right w:val="single" w:sz="8" w:space="0" w:color="auto"/>
            </w:tcBorders>
          </w:tcPr>
          <w:p w:rsidR="00D944B7" w:rsidRPr="00D944B7" w:rsidRDefault="00D944B7" w:rsidP="00F361BD">
            <w:pPr>
              <w:autoSpaceDE w:val="0"/>
              <w:autoSpaceDN w:val="0"/>
              <w:adjustRightInd w:val="0"/>
              <w:rPr>
                <w:rFonts w:ascii="Times New Roman" w:hAnsi="Times New Roman" w:cs="Times New Roman"/>
                <w:sz w:val="24"/>
                <w:szCs w:val="24"/>
              </w:rPr>
            </w:pPr>
            <w:r w:rsidRPr="00D944B7">
              <w:rPr>
                <w:rFonts w:ascii="Times New Roman" w:hAnsi="Times New Roman" w:cs="Times New Roman"/>
                <w:sz w:val="24"/>
                <w:szCs w:val="24"/>
              </w:rPr>
              <w:t>4.</w:t>
            </w:r>
          </w:p>
        </w:tc>
        <w:tc>
          <w:tcPr>
            <w:tcW w:w="1912" w:type="pct"/>
            <w:tcBorders>
              <w:top w:val="nil"/>
              <w:left w:val="nil"/>
              <w:bottom w:val="single" w:sz="8" w:space="0" w:color="auto"/>
              <w:right w:val="single" w:sz="8" w:space="0" w:color="auto"/>
            </w:tcBorders>
            <w:vAlign w:val="bottom"/>
          </w:tcPr>
          <w:p w:rsidR="00D944B7" w:rsidRPr="00D944B7" w:rsidRDefault="00D944B7" w:rsidP="00F361BD">
            <w:pPr>
              <w:rPr>
                <w:rFonts w:ascii="Times New Roman" w:hAnsi="Times New Roman" w:cs="Times New Roman"/>
                <w:sz w:val="24"/>
                <w:szCs w:val="24"/>
              </w:rPr>
            </w:pPr>
            <w:r w:rsidRPr="00D944B7">
              <w:rPr>
                <w:rFonts w:ascii="Times New Roman" w:hAnsi="Times New Roman" w:cs="Times New Roman"/>
                <w:sz w:val="24"/>
                <w:szCs w:val="24"/>
              </w:rPr>
              <w:t>Būvuzraudzības izmaksas</w:t>
            </w:r>
          </w:p>
        </w:tc>
        <w:tc>
          <w:tcPr>
            <w:tcW w:w="890"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rPr>
                <w:rFonts w:ascii="Times New Roman" w:hAnsi="Times New Roman" w:cs="Times New Roman"/>
                <w:sz w:val="24"/>
                <w:szCs w:val="24"/>
              </w:rPr>
            </w:pPr>
          </w:p>
        </w:tc>
        <w:tc>
          <w:tcPr>
            <w:tcW w:w="790"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jc w:val="right"/>
              <w:rPr>
                <w:rFonts w:ascii="Times New Roman" w:hAnsi="Times New Roman" w:cs="Times New Roman"/>
                <w:sz w:val="24"/>
                <w:szCs w:val="24"/>
              </w:rPr>
            </w:pPr>
          </w:p>
        </w:tc>
        <w:tc>
          <w:tcPr>
            <w:tcW w:w="889"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jc w:val="right"/>
              <w:rPr>
                <w:rFonts w:ascii="Times New Roman" w:hAnsi="Times New Roman" w:cs="Times New Roman"/>
                <w:sz w:val="24"/>
                <w:szCs w:val="24"/>
              </w:rPr>
            </w:pPr>
          </w:p>
        </w:tc>
      </w:tr>
      <w:tr w:rsidR="00D944B7" w:rsidRPr="00D944B7" w:rsidTr="00F361BD">
        <w:trPr>
          <w:trHeight w:val="393"/>
        </w:trPr>
        <w:tc>
          <w:tcPr>
            <w:tcW w:w="519" w:type="pct"/>
            <w:tcBorders>
              <w:top w:val="nil"/>
              <w:left w:val="single" w:sz="8" w:space="0" w:color="auto"/>
              <w:bottom w:val="single" w:sz="8" w:space="0" w:color="auto"/>
              <w:right w:val="single" w:sz="8" w:space="0" w:color="auto"/>
            </w:tcBorders>
          </w:tcPr>
          <w:p w:rsidR="00D944B7" w:rsidRPr="00D944B7" w:rsidRDefault="00D944B7" w:rsidP="00F361BD">
            <w:pPr>
              <w:autoSpaceDE w:val="0"/>
              <w:autoSpaceDN w:val="0"/>
              <w:adjustRightInd w:val="0"/>
              <w:rPr>
                <w:rFonts w:ascii="Times New Roman" w:hAnsi="Times New Roman" w:cs="Times New Roman"/>
                <w:sz w:val="24"/>
                <w:szCs w:val="24"/>
              </w:rPr>
            </w:pPr>
            <w:r w:rsidRPr="00D944B7">
              <w:rPr>
                <w:rFonts w:ascii="Times New Roman" w:hAnsi="Times New Roman" w:cs="Times New Roman"/>
                <w:sz w:val="24"/>
                <w:szCs w:val="24"/>
              </w:rPr>
              <w:t>5.</w:t>
            </w:r>
          </w:p>
        </w:tc>
        <w:tc>
          <w:tcPr>
            <w:tcW w:w="1912" w:type="pct"/>
            <w:tcBorders>
              <w:top w:val="nil"/>
              <w:left w:val="nil"/>
              <w:bottom w:val="single" w:sz="8" w:space="0" w:color="auto"/>
              <w:right w:val="single" w:sz="8" w:space="0" w:color="auto"/>
            </w:tcBorders>
            <w:vAlign w:val="bottom"/>
          </w:tcPr>
          <w:p w:rsidR="00D944B7" w:rsidRPr="00D944B7" w:rsidRDefault="00D944B7" w:rsidP="00F361BD">
            <w:pPr>
              <w:rPr>
                <w:rFonts w:ascii="Times New Roman" w:hAnsi="Times New Roman" w:cs="Times New Roman"/>
                <w:b/>
                <w:sz w:val="24"/>
                <w:szCs w:val="24"/>
              </w:rPr>
            </w:pPr>
            <w:r w:rsidRPr="00D944B7">
              <w:rPr>
                <w:rFonts w:ascii="Times New Roman" w:hAnsi="Times New Roman" w:cs="Times New Roman"/>
                <w:b/>
                <w:color w:val="000000"/>
                <w:sz w:val="24"/>
                <w:szCs w:val="24"/>
              </w:rPr>
              <w:t>Piegāžu līgumu izmaksas, tai skaitā izmaksas tehnoloģisko iekārtu iegādei, montāžai un uzstādīšanai</w:t>
            </w:r>
          </w:p>
        </w:tc>
        <w:tc>
          <w:tcPr>
            <w:tcW w:w="890"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rPr>
                <w:rFonts w:ascii="Times New Roman" w:hAnsi="Times New Roman" w:cs="Times New Roman"/>
                <w:sz w:val="24"/>
                <w:szCs w:val="24"/>
              </w:rPr>
            </w:pPr>
          </w:p>
        </w:tc>
        <w:tc>
          <w:tcPr>
            <w:tcW w:w="790"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jc w:val="right"/>
              <w:rPr>
                <w:rFonts w:ascii="Times New Roman" w:hAnsi="Times New Roman" w:cs="Times New Roman"/>
                <w:sz w:val="24"/>
                <w:szCs w:val="24"/>
              </w:rPr>
            </w:pPr>
          </w:p>
        </w:tc>
        <w:tc>
          <w:tcPr>
            <w:tcW w:w="889" w:type="pct"/>
            <w:tcBorders>
              <w:top w:val="nil"/>
              <w:left w:val="nil"/>
              <w:bottom w:val="single" w:sz="8" w:space="0" w:color="auto"/>
              <w:right w:val="single" w:sz="8" w:space="0" w:color="auto"/>
            </w:tcBorders>
            <w:vAlign w:val="bottom"/>
          </w:tcPr>
          <w:p w:rsidR="00D944B7" w:rsidRPr="00D944B7" w:rsidRDefault="00D944B7" w:rsidP="00F361BD">
            <w:pPr>
              <w:autoSpaceDE w:val="0"/>
              <w:autoSpaceDN w:val="0"/>
              <w:adjustRightInd w:val="0"/>
              <w:jc w:val="right"/>
              <w:rPr>
                <w:rFonts w:ascii="Times New Roman" w:hAnsi="Times New Roman" w:cs="Times New Roman"/>
                <w:sz w:val="24"/>
                <w:szCs w:val="24"/>
              </w:rPr>
            </w:pPr>
          </w:p>
        </w:tc>
      </w:tr>
      <w:tr w:rsidR="00D944B7" w:rsidRPr="00D944B7" w:rsidTr="00F361BD">
        <w:trPr>
          <w:trHeight w:val="315"/>
        </w:trPr>
        <w:tc>
          <w:tcPr>
            <w:tcW w:w="519" w:type="pct"/>
            <w:tcBorders>
              <w:top w:val="single" w:sz="4" w:space="0" w:color="auto"/>
              <w:left w:val="single" w:sz="8" w:space="0" w:color="auto"/>
              <w:bottom w:val="single" w:sz="4" w:space="0" w:color="auto"/>
              <w:right w:val="single" w:sz="8" w:space="0" w:color="auto"/>
            </w:tcBorders>
          </w:tcPr>
          <w:p w:rsidR="00D944B7" w:rsidRPr="00D944B7" w:rsidRDefault="00D944B7" w:rsidP="00F361BD">
            <w:pPr>
              <w:autoSpaceDE w:val="0"/>
              <w:autoSpaceDN w:val="0"/>
              <w:adjustRightInd w:val="0"/>
              <w:rPr>
                <w:rFonts w:ascii="Times New Roman" w:hAnsi="Times New Roman" w:cs="Times New Roman"/>
                <w:sz w:val="24"/>
                <w:szCs w:val="24"/>
              </w:rPr>
            </w:pPr>
            <w:r w:rsidRPr="00D944B7">
              <w:rPr>
                <w:rFonts w:ascii="Times New Roman" w:hAnsi="Times New Roman" w:cs="Times New Roman"/>
                <w:sz w:val="24"/>
                <w:szCs w:val="24"/>
              </w:rPr>
              <w:t>6.</w:t>
            </w:r>
          </w:p>
        </w:tc>
        <w:tc>
          <w:tcPr>
            <w:tcW w:w="1912" w:type="pct"/>
            <w:tcBorders>
              <w:top w:val="single" w:sz="4" w:space="0" w:color="auto"/>
              <w:left w:val="nil"/>
              <w:bottom w:val="single" w:sz="4" w:space="0" w:color="auto"/>
              <w:right w:val="single" w:sz="8" w:space="0" w:color="auto"/>
            </w:tcBorders>
          </w:tcPr>
          <w:p w:rsidR="00D944B7" w:rsidRPr="00D944B7" w:rsidRDefault="00D944B7" w:rsidP="00F361BD">
            <w:pPr>
              <w:autoSpaceDE w:val="0"/>
              <w:autoSpaceDN w:val="0"/>
              <w:adjustRightInd w:val="0"/>
              <w:rPr>
                <w:rFonts w:ascii="Times New Roman" w:hAnsi="Times New Roman" w:cs="Times New Roman"/>
                <w:sz w:val="24"/>
                <w:szCs w:val="24"/>
              </w:rPr>
            </w:pPr>
            <w:r w:rsidRPr="00D944B7">
              <w:rPr>
                <w:rFonts w:ascii="Times New Roman" w:hAnsi="Times New Roman" w:cs="Times New Roman"/>
                <w:sz w:val="24"/>
                <w:szCs w:val="24"/>
              </w:rPr>
              <w:t>Ar sanācijas projekta īstenošanu saistītas infrastruktūras izbūve un esošo būvju demontāža, kuras traucē projekta īstenošanu.</w:t>
            </w:r>
          </w:p>
        </w:tc>
        <w:tc>
          <w:tcPr>
            <w:tcW w:w="890" w:type="pct"/>
            <w:tcBorders>
              <w:top w:val="single" w:sz="4" w:space="0" w:color="auto"/>
              <w:left w:val="nil"/>
              <w:bottom w:val="single" w:sz="4" w:space="0" w:color="auto"/>
              <w:right w:val="single" w:sz="8" w:space="0" w:color="auto"/>
            </w:tcBorders>
          </w:tcPr>
          <w:p w:rsidR="00D944B7" w:rsidRPr="00D944B7" w:rsidRDefault="00D944B7" w:rsidP="00F361BD">
            <w:pPr>
              <w:autoSpaceDE w:val="0"/>
              <w:autoSpaceDN w:val="0"/>
              <w:adjustRightInd w:val="0"/>
              <w:jc w:val="right"/>
              <w:rPr>
                <w:rFonts w:ascii="Times New Roman" w:hAnsi="Times New Roman" w:cs="Times New Roman"/>
                <w:sz w:val="24"/>
                <w:szCs w:val="24"/>
              </w:rPr>
            </w:pPr>
          </w:p>
        </w:tc>
        <w:tc>
          <w:tcPr>
            <w:tcW w:w="790" w:type="pct"/>
            <w:tcBorders>
              <w:top w:val="single" w:sz="4" w:space="0" w:color="auto"/>
              <w:left w:val="nil"/>
              <w:bottom w:val="single" w:sz="4" w:space="0" w:color="auto"/>
              <w:right w:val="single" w:sz="8" w:space="0" w:color="auto"/>
            </w:tcBorders>
          </w:tcPr>
          <w:p w:rsidR="00D944B7" w:rsidRPr="00D944B7" w:rsidRDefault="00D944B7" w:rsidP="00F361BD">
            <w:pPr>
              <w:autoSpaceDE w:val="0"/>
              <w:autoSpaceDN w:val="0"/>
              <w:adjustRightInd w:val="0"/>
              <w:rPr>
                <w:rFonts w:ascii="Times New Roman" w:hAnsi="Times New Roman" w:cs="Times New Roman"/>
                <w:sz w:val="24"/>
                <w:szCs w:val="24"/>
              </w:rPr>
            </w:pPr>
          </w:p>
        </w:tc>
        <w:tc>
          <w:tcPr>
            <w:tcW w:w="889" w:type="pct"/>
            <w:tcBorders>
              <w:top w:val="single" w:sz="4" w:space="0" w:color="auto"/>
              <w:left w:val="nil"/>
              <w:bottom w:val="single" w:sz="4" w:space="0" w:color="auto"/>
              <w:right w:val="single" w:sz="8" w:space="0" w:color="auto"/>
            </w:tcBorders>
          </w:tcPr>
          <w:p w:rsidR="00D944B7" w:rsidRPr="00D944B7" w:rsidRDefault="00D944B7" w:rsidP="00F361BD">
            <w:pPr>
              <w:autoSpaceDE w:val="0"/>
              <w:autoSpaceDN w:val="0"/>
              <w:adjustRightInd w:val="0"/>
              <w:rPr>
                <w:rFonts w:ascii="Times New Roman" w:hAnsi="Times New Roman" w:cs="Times New Roman"/>
                <w:sz w:val="24"/>
                <w:szCs w:val="24"/>
              </w:rPr>
            </w:pPr>
          </w:p>
        </w:tc>
      </w:tr>
      <w:tr w:rsidR="00D944B7" w:rsidRPr="00D944B7" w:rsidTr="00F361BD">
        <w:trPr>
          <w:trHeight w:val="315"/>
        </w:trPr>
        <w:tc>
          <w:tcPr>
            <w:tcW w:w="519" w:type="pct"/>
            <w:tcBorders>
              <w:top w:val="single" w:sz="4" w:space="0" w:color="auto"/>
              <w:left w:val="single" w:sz="8" w:space="0" w:color="auto"/>
              <w:bottom w:val="single" w:sz="8" w:space="0" w:color="auto"/>
              <w:right w:val="single" w:sz="8" w:space="0" w:color="auto"/>
            </w:tcBorders>
          </w:tcPr>
          <w:p w:rsidR="00D944B7" w:rsidRPr="00D944B7" w:rsidRDefault="00D944B7" w:rsidP="00F361BD">
            <w:pPr>
              <w:autoSpaceDE w:val="0"/>
              <w:autoSpaceDN w:val="0"/>
              <w:adjustRightInd w:val="0"/>
              <w:jc w:val="right"/>
              <w:rPr>
                <w:rFonts w:ascii="Times New Roman" w:hAnsi="Times New Roman" w:cs="Times New Roman"/>
                <w:sz w:val="24"/>
                <w:szCs w:val="24"/>
              </w:rPr>
            </w:pPr>
          </w:p>
        </w:tc>
        <w:tc>
          <w:tcPr>
            <w:tcW w:w="1912" w:type="pct"/>
            <w:tcBorders>
              <w:top w:val="single" w:sz="4" w:space="0" w:color="auto"/>
              <w:left w:val="nil"/>
              <w:bottom w:val="single" w:sz="8" w:space="0" w:color="auto"/>
              <w:right w:val="single" w:sz="8" w:space="0" w:color="auto"/>
            </w:tcBorders>
          </w:tcPr>
          <w:p w:rsidR="00D944B7" w:rsidRPr="00D944B7" w:rsidRDefault="00D944B7" w:rsidP="00F361BD">
            <w:pPr>
              <w:autoSpaceDE w:val="0"/>
              <w:autoSpaceDN w:val="0"/>
              <w:adjustRightInd w:val="0"/>
              <w:rPr>
                <w:rFonts w:ascii="Times New Roman" w:hAnsi="Times New Roman" w:cs="Times New Roman"/>
                <w:sz w:val="24"/>
                <w:szCs w:val="24"/>
              </w:rPr>
            </w:pPr>
            <w:r w:rsidRPr="00D944B7">
              <w:rPr>
                <w:rFonts w:ascii="Times New Roman" w:hAnsi="Times New Roman" w:cs="Times New Roman"/>
                <w:sz w:val="24"/>
                <w:szCs w:val="24"/>
              </w:rPr>
              <w:t xml:space="preserve">Finanšu rezerve neparedzētajiem izdevumiem (ne vairāk kā 5% no </w:t>
            </w:r>
            <w:r w:rsidRPr="00D944B7">
              <w:rPr>
                <w:rFonts w:ascii="Times New Roman" w:hAnsi="Times New Roman" w:cs="Times New Roman"/>
                <w:b/>
                <w:sz w:val="24"/>
                <w:szCs w:val="24"/>
              </w:rPr>
              <w:t>2., 5. un 6. punkta</w:t>
            </w:r>
            <w:r w:rsidRPr="00D944B7">
              <w:rPr>
                <w:rFonts w:ascii="Times New Roman" w:hAnsi="Times New Roman" w:cs="Times New Roman"/>
                <w:sz w:val="24"/>
                <w:szCs w:val="24"/>
              </w:rPr>
              <w:t xml:space="preserve"> attiecināmajām izmaksām)</w:t>
            </w:r>
          </w:p>
          <w:p w:rsidR="00D944B7" w:rsidRPr="00D944B7" w:rsidRDefault="00D944B7" w:rsidP="00F361BD">
            <w:pPr>
              <w:autoSpaceDE w:val="0"/>
              <w:autoSpaceDN w:val="0"/>
              <w:adjustRightInd w:val="0"/>
              <w:jc w:val="right"/>
              <w:rPr>
                <w:rFonts w:ascii="Times New Roman" w:hAnsi="Times New Roman" w:cs="Times New Roman"/>
                <w:sz w:val="24"/>
                <w:szCs w:val="24"/>
              </w:rPr>
            </w:pPr>
            <w:r w:rsidRPr="00D944B7">
              <w:rPr>
                <w:rFonts w:ascii="Times New Roman" w:hAnsi="Times New Roman" w:cs="Times New Roman"/>
                <w:sz w:val="24"/>
                <w:szCs w:val="24"/>
              </w:rPr>
              <w:t>KOPĀ</w:t>
            </w:r>
          </w:p>
        </w:tc>
        <w:tc>
          <w:tcPr>
            <w:tcW w:w="890" w:type="pct"/>
            <w:tcBorders>
              <w:top w:val="single" w:sz="4" w:space="0" w:color="auto"/>
              <w:left w:val="nil"/>
              <w:bottom w:val="single" w:sz="8" w:space="0" w:color="auto"/>
              <w:right w:val="single" w:sz="8" w:space="0" w:color="auto"/>
            </w:tcBorders>
          </w:tcPr>
          <w:p w:rsidR="00D944B7" w:rsidRPr="00D944B7" w:rsidRDefault="00D944B7" w:rsidP="00F361BD">
            <w:pPr>
              <w:autoSpaceDE w:val="0"/>
              <w:autoSpaceDN w:val="0"/>
              <w:adjustRightInd w:val="0"/>
              <w:jc w:val="right"/>
              <w:rPr>
                <w:rFonts w:ascii="Times New Roman" w:hAnsi="Times New Roman" w:cs="Times New Roman"/>
                <w:sz w:val="24"/>
                <w:szCs w:val="24"/>
              </w:rPr>
            </w:pPr>
          </w:p>
        </w:tc>
        <w:tc>
          <w:tcPr>
            <w:tcW w:w="790" w:type="pct"/>
            <w:tcBorders>
              <w:top w:val="single" w:sz="4" w:space="0" w:color="auto"/>
              <w:left w:val="nil"/>
              <w:bottom w:val="single" w:sz="8" w:space="0" w:color="auto"/>
              <w:right w:val="single" w:sz="8" w:space="0" w:color="auto"/>
            </w:tcBorders>
          </w:tcPr>
          <w:p w:rsidR="00D944B7" w:rsidRPr="00D944B7" w:rsidRDefault="00D944B7" w:rsidP="00F361BD">
            <w:pPr>
              <w:autoSpaceDE w:val="0"/>
              <w:autoSpaceDN w:val="0"/>
              <w:adjustRightInd w:val="0"/>
              <w:rPr>
                <w:rFonts w:ascii="Times New Roman" w:hAnsi="Times New Roman" w:cs="Times New Roman"/>
                <w:sz w:val="24"/>
                <w:szCs w:val="24"/>
              </w:rPr>
            </w:pPr>
            <w:r w:rsidRPr="00D944B7">
              <w:rPr>
                <w:rFonts w:ascii="Times New Roman" w:hAnsi="Times New Roman" w:cs="Times New Roman"/>
                <w:sz w:val="24"/>
                <w:szCs w:val="24"/>
              </w:rPr>
              <w:t> </w:t>
            </w:r>
          </w:p>
        </w:tc>
        <w:tc>
          <w:tcPr>
            <w:tcW w:w="889" w:type="pct"/>
            <w:tcBorders>
              <w:top w:val="single" w:sz="4" w:space="0" w:color="auto"/>
              <w:left w:val="nil"/>
              <w:bottom w:val="single" w:sz="8" w:space="0" w:color="auto"/>
              <w:right w:val="single" w:sz="8" w:space="0" w:color="auto"/>
            </w:tcBorders>
          </w:tcPr>
          <w:p w:rsidR="00D944B7" w:rsidRPr="00D944B7" w:rsidRDefault="00D944B7" w:rsidP="00F361BD">
            <w:pPr>
              <w:autoSpaceDE w:val="0"/>
              <w:autoSpaceDN w:val="0"/>
              <w:adjustRightInd w:val="0"/>
              <w:rPr>
                <w:rFonts w:ascii="Times New Roman" w:hAnsi="Times New Roman" w:cs="Times New Roman"/>
                <w:sz w:val="24"/>
                <w:szCs w:val="24"/>
              </w:rPr>
            </w:pPr>
            <w:r w:rsidRPr="00D944B7">
              <w:rPr>
                <w:rFonts w:ascii="Times New Roman" w:hAnsi="Times New Roman" w:cs="Times New Roman"/>
                <w:sz w:val="24"/>
                <w:szCs w:val="24"/>
              </w:rPr>
              <w:t> 100%</w:t>
            </w:r>
          </w:p>
        </w:tc>
      </w:tr>
    </w:tbl>
    <w:p w:rsidR="00D944B7" w:rsidRPr="00D944B7" w:rsidRDefault="00D944B7" w:rsidP="00D944B7">
      <w:pPr>
        <w:spacing w:after="120"/>
        <w:jc w:val="both"/>
        <w:rPr>
          <w:rFonts w:ascii="Times New Roman" w:hAnsi="Times New Roman" w:cs="Times New Roman"/>
          <w:sz w:val="24"/>
          <w:szCs w:val="24"/>
        </w:rPr>
      </w:pPr>
    </w:p>
    <w:p w:rsidR="006200DC" w:rsidRDefault="006200DC" w:rsidP="006200DC">
      <w:pPr>
        <w:pStyle w:val="ListParagraph"/>
        <w:numPr>
          <w:ilvl w:val="0"/>
          <w:numId w:val="1"/>
        </w:numPr>
        <w:spacing w:after="12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7.3</w:t>
      </w:r>
      <w:r w:rsidRPr="00B917A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Pr="00B917A6">
        <w:rPr>
          <w:rFonts w:ascii="Times New Roman" w:eastAsia="Times New Roman" w:hAnsi="Times New Roman" w:cs="Times New Roman"/>
          <w:b/>
          <w:sz w:val="24"/>
          <w:szCs w:val="24"/>
        </w:rPr>
        <w:t>sadaļa</w:t>
      </w:r>
      <w:r w:rsidR="00D944B7">
        <w:rPr>
          <w:rFonts w:ascii="Times New Roman" w:eastAsia="Times New Roman" w:hAnsi="Times New Roman" w:cs="Times New Roman"/>
          <w:b/>
          <w:sz w:val="24"/>
          <w:szCs w:val="24"/>
        </w:rPr>
        <w:t xml:space="preserve"> </w:t>
      </w:r>
      <w:r w:rsidR="00D944B7">
        <w:rPr>
          <w:rFonts w:ascii="Times New Roman" w:eastAsia="Times New Roman" w:hAnsi="Times New Roman" w:cs="Times New Roman"/>
          <w:sz w:val="24"/>
          <w:szCs w:val="24"/>
        </w:rPr>
        <w:t>papildināta ar norādi</w:t>
      </w:r>
      <w:r w:rsidR="005B5581">
        <w:rPr>
          <w:rFonts w:ascii="Times New Roman" w:eastAsia="Times New Roman" w:hAnsi="Times New Roman" w:cs="Times New Roman"/>
          <w:sz w:val="24"/>
          <w:szCs w:val="24"/>
        </w:rPr>
        <w:t xml:space="preserve"> par iekļaujamo informāciju un precizēta atbilstoši aktuālajai MK noteikumu redakcijai</w:t>
      </w:r>
      <w:r w:rsidRPr="00B917A6">
        <w:rPr>
          <w:rFonts w:ascii="Times New Roman" w:eastAsia="Times New Roman" w:hAnsi="Times New Roman" w:cs="Times New Roman"/>
          <w:sz w:val="24"/>
          <w:szCs w:val="24"/>
        </w:rPr>
        <w:t>:</w:t>
      </w:r>
    </w:p>
    <w:p w:rsidR="005B5581" w:rsidRDefault="005B5581" w:rsidP="005B5581">
      <w:pPr>
        <w:pStyle w:val="Default"/>
        <w:spacing w:after="120"/>
        <w:rPr>
          <w:b/>
          <w:i/>
          <w:color w:val="auto"/>
        </w:rPr>
      </w:pPr>
      <w:r w:rsidRPr="005B5581">
        <w:rPr>
          <w:b/>
          <w:i/>
          <w:color w:val="auto"/>
        </w:rPr>
        <w:t>Sadaļā jānodrošina pietiekama informācija (tai skaitā atsauces uz pielikumos pievienoto dokumentāciju, kas nodrošina iespēju izvērtēt iesniegumu atbilstoši MK noteikumu Nr.817 4.pielikuma kritērijiem Nr. 3., 4 un 5.!</w:t>
      </w:r>
    </w:p>
    <w:p w:rsidR="005B5581" w:rsidRPr="005B5581" w:rsidRDefault="005B5581" w:rsidP="005B5581">
      <w:pPr>
        <w:pStyle w:val="ListParagraph"/>
        <w:numPr>
          <w:ilvl w:val="0"/>
          <w:numId w:val="13"/>
        </w:numPr>
        <w:spacing w:after="120"/>
        <w:jc w:val="both"/>
        <w:rPr>
          <w:rFonts w:ascii="Times New Roman" w:eastAsia="Times New Roman" w:hAnsi="Times New Roman" w:cs="Times New Roman"/>
          <w:i/>
          <w:color w:val="000000"/>
          <w:sz w:val="24"/>
          <w:szCs w:val="24"/>
        </w:rPr>
      </w:pPr>
      <w:r w:rsidRPr="005B5581">
        <w:rPr>
          <w:rFonts w:ascii="Times New Roman" w:eastAsia="Times New Roman" w:hAnsi="Times New Roman" w:cs="Times New Roman"/>
          <w:i/>
          <w:color w:val="000000"/>
          <w:sz w:val="24"/>
          <w:szCs w:val="24"/>
        </w:rPr>
        <w:t xml:space="preserve">Ieguldījumu ilgtspējas novērtējums – sasniedzamo rezultātu un tehnoloģiju novērtējums. </w:t>
      </w:r>
    </w:p>
    <w:p w:rsidR="005B5581" w:rsidRPr="005B5581" w:rsidRDefault="005B5581" w:rsidP="005B5581">
      <w:pPr>
        <w:pStyle w:val="ListParagraph"/>
        <w:spacing w:after="120"/>
        <w:jc w:val="both"/>
        <w:rPr>
          <w:rFonts w:ascii="Times New Roman" w:eastAsia="Times New Roman" w:hAnsi="Times New Roman" w:cs="Times New Roman"/>
          <w:b/>
          <w:i/>
          <w:color w:val="000000"/>
          <w:sz w:val="24"/>
          <w:szCs w:val="24"/>
        </w:rPr>
      </w:pPr>
      <w:r w:rsidRPr="005B5581">
        <w:rPr>
          <w:rFonts w:ascii="Times New Roman" w:eastAsia="Times New Roman" w:hAnsi="Times New Roman" w:cs="Times New Roman"/>
          <w:b/>
          <w:color w:val="000000"/>
          <w:sz w:val="24"/>
          <w:szCs w:val="24"/>
        </w:rPr>
        <w:t>Vērtē turpmākās investīcijas (atskaitot uzturēšanas izdevumus) objektu atbilstībai vides prasībām pēc projekta īstenošanas.</w:t>
      </w:r>
    </w:p>
    <w:p w:rsidR="005B5581" w:rsidRPr="005B5581" w:rsidRDefault="005B5581" w:rsidP="005B5581">
      <w:pPr>
        <w:spacing w:after="120"/>
        <w:jc w:val="both"/>
        <w:rPr>
          <w:rFonts w:ascii="Times New Roman" w:eastAsia="Times New Roman" w:hAnsi="Times New Roman" w:cs="Times New Roman"/>
          <w:i/>
          <w:color w:val="000000"/>
          <w:sz w:val="24"/>
          <w:szCs w:val="24"/>
        </w:rPr>
      </w:pPr>
      <w:r w:rsidRPr="005B5581">
        <w:rPr>
          <w:rFonts w:ascii="Times New Roman" w:eastAsia="Times New Roman" w:hAnsi="Times New Roman" w:cs="Times New Roman"/>
          <w:i/>
          <w:color w:val="000000"/>
          <w:sz w:val="24"/>
          <w:szCs w:val="24"/>
        </w:rPr>
        <w:t xml:space="preserve">b) Projekta neieviešanas seku analīze, piemēram: </w:t>
      </w:r>
    </w:p>
    <w:p w:rsidR="005B5581" w:rsidRPr="005B5581" w:rsidRDefault="005B5581" w:rsidP="005B5581">
      <w:pPr>
        <w:spacing w:after="120"/>
        <w:jc w:val="both"/>
        <w:rPr>
          <w:rFonts w:ascii="Times New Roman" w:eastAsia="Times New Roman" w:hAnsi="Times New Roman" w:cs="Times New Roman"/>
          <w:i/>
          <w:color w:val="000000"/>
          <w:sz w:val="24"/>
          <w:szCs w:val="24"/>
        </w:rPr>
      </w:pPr>
      <w:r w:rsidRPr="005B5581">
        <w:rPr>
          <w:rFonts w:ascii="Times New Roman" w:eastAsia="Times New Roman" w:hAnsi="Times New Roman" w:cs="Times New Roman"/>
          <w:i/>
          <w:color w:val="000000"/>
          <w:sz w:val="24"/>
          <w:szCs w:val="24"/>
        </w:rPr>
        <w:t>- vides piesārņojuma pakāpeniskas izplatīšanās sekas (virszemes, pazemes, augsnes, ūdens objektu, gaisa piesārņojums; iedzīvotāju veselības atgūšanas un saglabāšanas izmaksas, citi)</w:t>
      </w:r>
    </w:p>
    <w:p w:rsidR="005B5581" w:rsidRPr="005B5581" w:rsidRDefault="005B5581" w:rsidP="005B5581">
      <w:pPr>
        <w:numPr>
          <w:ilvl w:val="0"/>
          <w:numId w:val="12"/>
        </w:numPr>
        <w:spacing w:after="120"/>
        <w:jc w:val="both"/>
        <w:rPr>
          <w:rFonts w:ascii="Times New Roman" w:eastAsia="Times New Roman" w:hAnsi="Times New Roman" w:cs="Times New Roman"/>
          <w:i/>
          <w:color w:val="000000"/>
          <w:sz w:val="24"/>
          <w:szCs w:val="24"/>
        </w:rPr>
      </w:pPr>
      <w:r w:rsidRPr="005B5581">
        <w:rPr>
          <w:rFonts w:ascii="Times New Roman" w:eastAsia="Times New Roman" w:hAnsi="Times New Roman" w:cs="Times New Roman"/>
          <w:i/>
          <w:color w:val="000000"/>
          <w:sz w:val="24"/>
          <w:szCs w:val="24"/>
        </w:rPr>
        <w:t>ārkārtas situāciju iespējamība (bīstamo vielu noplūde, putnu masveida bojāeja, epidēmiju izcelšanās),</w:t>
      </w:r>
    </w:p>
    <w:p w:rsidR="00D944B7" w:rsidRPr="00D944B7" w:rsidRDefault="00D944B7" w:rsidP="00D944B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D944B7" w:rsidRPr="00D944B7" w:rsidSect="00F361BD">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19F" w:rsidRDefault="0065119F" w:rsidP="00131420">
      <w:pPr>
        <w:spacing w:after="0" w:line="240" w:lineRule="auto"/>
      </w:pPr>
      <w:r>
        <w:separator/>
      </w:r>
    </w:p>
  </w:endnote>
  <w:endnote w:type="continuationSeparator" w:id="0">
    <w:p w:rsidR="0065119F" w:rsidRDefault="0065119F" w:rsidP="0013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BA"/>
    <w:family w:val="swiss"/>
    <w:pitch w:val="variable"/>
    <w:sig w:usb0="00000007" w:usb1="00000000" w:usb2="00000000" w:usb3="00000000" w:csb0="00000093"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742813"/>
      <w:docPartObj>
        <w:docPartGallery w:val="Page Numbers (Bottom of Page)"/>
        <w:docPartUnique/>
      </w:docPartObj>
    </w:sdtPr>
    <w:sdtEndPr>
      <w:rPr>
        <w:noProof/>
      </w:rPr>
    </w:sdtEndPr>
    <w:sdtContent>
      <w:p w:rsidR="00F361BD" w:rsidRDefault="0065119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361BD" w:rsidRDefault="00F36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19F" w:rsidRDefault="0065119F" w:rsidP="00131420">
      <w:pPr>
        <w:spacing w:after="0" w:line="240" w:lineRule="auto"/>
      </w:pPr>
      <w:r>
        <w:separator/>
      </w:r>
    </w:p>
  </w:footnote>
  <w:footnote w:type="continuationSeparator" w:id="0">
    <w:p w:rsidR="0065119F" w:rsidRDefault="0065119F" w:rsidP="00131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648C306"/>
    <w:lvl w:ilvl="0">
      <w:start w:val="1"/>
      <w:numFmt w:val="decimal"/>
      <w:lvlText w:val="%1."/>
      <w:lvlJc w:val="left"/>
      <w:pPr>
        <w:tabs>
          <w:tab w:val="num" w:pos="1209"/>
        </w:tabs>
        <w:ind w:left="1209" w:hanging="360"/>
      </w:pPr>
    </w:lvl>
  </w:abstractNum>
  <w:abstractNum w:abstractNumId="1">
    <w:nsid w:val="010D043F"/>
    <w:multiLevelType w:val="hybridMultilevel"/>
    <w:tmpl w:val="2C7C1550"/>
    <w:lvl w:ilvl="0" w:tplc="00000013">
      <w:start w:val="1"/>
      <w:numFmt w:val="bullet"/>
      <w:lvlText w:val="-"/>
      <w:lvlJc w:val="left"/>
      <w:pPr>
        <w:tabs>
          <w:tab w:val="num" w:pos="1106"/>
        </w:tabs>
        <w:ind w:left="1106" w:hanging="456"/>
      </w:pPr>
      <w:rPr>
        <w:rFonts w:ascii="Univers" w:hAnsi="Univers"/>
      </w:rPr>
    </w:lvl>
    <w:lvl w:ilvl="1" w:tplc="04090003" w:tentative="1">
      <w:start w:val="1"/>
      <w:numFmt w:val="bullet"/>
      <w:lvlText w:val="o"/>
      <w:lvlJc w:val="left"/>
      <w:pPr>
        <w:tabs>
          <w:tab w:val="num" w:pos="1446"/>
        </w:tabs>
        <w:ind w:left="1446" w:hanging="360"/>
      </w:pPr>
      <w:rPr>
        <w:rFonts w:ascii="Courier New" w:hAnsi="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2">
    <w:nsid w:val="0A3A0787"/>
    <w:multiLevelType w:val="hybridMultilevel"/>
    <w:tmpl w:val="07102BE4"/>
    <w:lvl w:ilvl="0" w:tplc="04090001">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nsid w:val="1B8277D6"/>
    <w:multiLevelType w:val="hybridMultilevel"/>
    <w:tmpl w:val="64E63AAA"/>
    <w:lvl w:ilvl="0" w:tplc="04090001">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0510D01"/>
    <w:multiLevelType w:val="hybridMultilevel"/>
    <w:tmpl w:val="586ED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4E4113"/>
    <w:multiLevelType w:val="hybridMultilevel"/>
    <w:tmpl w:val="B8725B0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nsid w:val="3F0D1B49"/>
    <w:multiLevelType w:val="hybridMultilevel"/>
    <w:tmpl w:val="F0CC7F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434D122B"/>
    <w:multiLevelType w:val="hybridMultilevel"/>
    <w:tmpl w:val="518CC83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55C797A"/>
    <w:multiLevelType w:val="hybridMultilevel"/>
    <w:tmpl w:val="BEBE0D5A"/>
    <w:lvl w:ilvl="0" w:tplc="829AE884">
      <w:start w:val="1"/>
      <w:numFmt w:val="decimal"/>
      <w:lvlText w:val="%1."/>
      <w:lvlJc w:val="left"/>
      <w:pPr>
        <w:tabs>
          <w:tab w:val="num" w:pos="720"/>
        </w:tabs>
        <w:ind w:left="720" w:hanging="360"/>
      </w:pPr>
      <w:rPr>
        <w:b w:val="0"/>
        <w:i/>
      </w:rPr>
    </w:lvl>
    <w:lvl w:ilvl="1" w:tplc="59B85602">
      <w:start w:val="2"/>
      <w:numFmt w:val="bullet"/>
      <w:lvlText w:val="-"/>
      <w:lvlJc w:val="left"/>
      <w:pPr>
        <w:tabs>
          <w:tab w:val="num" w:pos="1440"/>
        </w:tabs>
        <w:ind w:left="1440" w:hanging="360"/>
      </w:pPr>
      <w:rPr>
        <w:rFonts w:ascii="Times New Roman" w:eastAsia="Times New Roman" w:hAnsi="Times New Roman" w:cs="Times New Roman" w:hint="default"/>
      </w:rPr>
    </w:lvl>
    <w:lvl w:ilvl="2" w:tplc="21700966">
      <w:start w:val="1"/>
      <w:numFmt w:val="lowerLetter"/>
      <w:lvlText w:val="%3."/>
      <w:lvlJc w:val="left"/>
      <w:pPr>
        <w:tabs>
          <w:tab w:val="num" w:pos="2700"/>
        </w:tabs>
        <w:ind w:left="2700" w:hanging="720"/>
      </w:pPr>
      <w:rPr>
        <w:rFonts w:hint="default"/>
      </w:rPr>
    </w:lvl>
    <w:lvl w:ilvl="3" w:tplc="C8389B2E">
      <w:start w:val="1"/>
      <w:numFmt w:val="decimal"/>
      <w:lvlText w:val="%4)"/>
      <w:lvlJc w:val="left"/>
      <w:pPr>
        <w:tabs>
          <w:tab w:val="num" w:pos="2880"/>
        </w:tabs>
        <w:ind w:left="2880" w:hanging="360"/>
      </w:pPr>
      <w:rPr>
        <w:rFonts w:hint="default"/>
      </w:r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595E2ADE"/>
    <w:multiLevelType w:val="hybridMultilevel"/>
    <w:tmpl w:val="0BA40552"/>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0">
    <w:nsid w:val="6374264F"/>
    <w:multiLevelType w:val="hybridMultilevel"/>
    <w:tmpl w:val="C492C136"/>
    <w:lvl w:ilvl="0" w:tplc="FABE0FA0">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nsid w:val="63CF4F9D"/>
    <w:multiLevelType w:val="hybridMultilevel"/>
    <w:tmpl w:val="83A60802"/>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nsid w:val="67131BDE"/>
    <w:multiLevelType w:val="hybridMultilevel"/>
    <w:tmpl w:val="D624D0A6"/>
    <w:lvl w:ilvl="0" w:tplc="0426000F">
      <w:start w:val="1"/>
      <w:numFmt w:val="decimal"/>
      <w:lvlText w:val="%1."/>
      <w:lvlJc w:val="left"/>
      <w:pPr>
        <w:tabs>
          <w:tab w:val="num" w:pos="360"/>
        </w:tabs>
        <w:ind w:left="36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8"/>
  </w:num>
  <w:num w:numId="3">
    <w:abstractNumId w:val="6"/>
  </w:num>
  <w:num w:numId="4">
    <w:abstractNumId w:val="7"/>
  </w:num>
  <w:num w:numId="5">
    <w:abstractNumId w:val="5"/>
  </w:num>
  <w:num w:numId="6">
    <w:abstractNumId w:val="0"/>
  </w:num>
  <w:num w:numId="7">
    <w:abstractNumId w:val="4"/>
  </w:num>
  <w:num w:numId="8">
    <w:abstractNumId w:val="12"/>
  </w:num>
  <w:num w:numId="9">
    <w:abstractNumId w:val="2"/>
  </w:num>
  <w:num w:numId="10">
    <w:abstractNumId w:val="3"/>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0DC"/>
    <w:rsid w:val="00026210"/>
    <w:rsid w:val="00127D90"/>
    <w:rsid w:val="00131420"/>
    <w:rsid w:val="00326429"/>
    <w:rsid w:val="003E0767"/>
    <w:rsid w:val="005A0B17"/>
    <w:rsid w:val="005A1FF2"/>
    <w:rsid w:val="005B5581"/>
    <w:rsid w:val="005E6ACB"/>
    <w:rsid w:val="00602084"/>
    <w:rsid w:val="006200DC"/>
    <w:rsid w:val="0065119F"/>
    <w:rsid w:val="00670F5C"/>
    <w:rsid w:val="007E344B"/>
    <w:rsid w:val="00A3535F"/>
    <w:rsid w:val="00D944B7"/>
    <w:rsid w:val="00F361BD"/>
    <w:rsid w:val="00F83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0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200DC"/>
    <w:pPr>
      <w:ind w:left="720"/>
      <w:contextualSpacing/>
    </w:pPr>
  </w:style>
  <w:style w:type="character" w:styleId="Hyperlink">
    <w:name w:val="Hyperlink"/>
    <w:basedOn w:val="DefaultParagraphFont"/>
    <w:uiPriority w:val="99"/>
    <w:unhideWhenUsed/>
    <w:rsid w:val="006200DC"/>
    <w:rPr>
      <w:color w:val="0000FF" w:themeColor="hyperlink"/>
      <w:u w:val="single"/>
    </w:rPr>
  </w:style>
  <w:style w:type="paragraph" w:styleId="Footer">
    <w:name w:val="footer"/>
    <w:basedOn w:val="Normal"/>
    <w:link w:val="FooterChar"/>
    <w:uiPriority w:val="99"/>
    <w:unhideWhenUsed/>
    <w:rsid w:val="006200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00DC"/>
    <w:rPr>
      <w:lang w:val="lv-LV"/>
    </w:rPr>
  </w:style>
  <w:style w:type="paragraph" w:styleId="Header">
    <w:name w:val="header"/>
    <w:basedOn w:val="Normal"/>
    <w:link w:val="HeaderChar"/>
    <w:uiPriority w:val="99"/>
    <w:semiHidden/>
    <w:unhideWhenUsed/>
    <w:rsid w:val="00D944B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D944B7"/>
    <w:rPr>
      <w:lang w:val="lv-LV"/>
    </w:rPr>
  </w:style>
  <w:style w:type="paragraph" w:customStyle="1" w:styleId="naisf">
    <w:name w:val="naisf"/>
    <w:basedOn w:val="Normal"/>
    <w:rsid w:val="00D944B7"/>
    <w:pPr>
      <w:spacing w:before="75" w:after="75" w:line="240" w:lineRule="auto"/>
      <w:ind w:firstLine="375"/>
      <w:jc w:val="both"/>
    </w:pPr>
    <w:rPr>
      <w:rFonts w:ascii="Times New Roman" w:eastAsia="Times New Roman" w:hAnsi="Times New Roman" w:cs="Times New Roman"/>
      <w:sz w:val="28"/>
      <w:szCs w:val="24"/>
    </w:rPr>
  </w:style>
  <w:style w:type="paragraph" w:customStyle="1" w:styleId="StyleEE-numbering12pt">
    <w:name w:val="Style EE-numbering + 12 pt"/>
    <w:basedOn w:val="Normal"/>
    <w:autoRedefine/>
    <w:rsid w:val="00670F5C"/>
    <w:pPr>
      <w:tabs>
        <w:tab w:val="num" w:pos="432"/>
        <w:tab w:val="left" w:pos="631"/>
      </w:tabs>
      <w:spacing w:after="0" w:line="240" w:lineRule="auto"/>
      <w:ind w:left="631"/>
      <w:jc w:val="both"/>
    </w:pPr>
    <w:rPr>
      <w:rFonts w:ascii="Times New Roman" w:eastAsia="Times New Roman" w:hAnsi="Times New Roman" w:cs="Times New Roman"/>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0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200DC"/>
    <w:pPr>
      <w:ind w:left="720"/>
      <w:contextualSpacing/>
    </w:pPr>
  </w:style>
  <w:style w:type="character" w:styleId="Hyperlink">
    <w:name w:val="Hyperlink"/>
    <w:basedOn w:val="DefaultParagraphFont"/>
    <w:uiPriority w:val="99"/>
    <w:unhideWhenUsed/>
    <w:rsid w:val="006200DC"/>
    <w:rPr>
      <w:color w:val="0000FF" w:themeColor="hyperlink"/>
      <w:u w:val="single"/>
    </w:rPr>
  </w:style>
  <w:style w:type="paragraph" w:styleId="Footer">
    <w:name w:val="footer"/>
    <w:basedOn w:val="Normal"/>
    <w:link w:val="FooterChar"/>
    <w:uiPriority w:val="99"/>
    <w:unhideWhenUsed/>
    <w:rsid w:val="006200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00DC"/>
    <w:rPr>
      <w:lang w:val="lv-LV"/>
    </w:rPr>
  </w:style>
  <w:style w:type="paragraph" w:styleId="Header">
    <w:name w:val="header"/>
    <w:basedOn w:val="Normal"/>
    <w:link w:val="HeaderChar"/>
    <w:uiPriority w:val="99"/>
    <w:semiHidden/>
    <w:unhideWhenUsed/>
    <w:rsid w:val="00D944B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D944B7"/>
    <w:rPr>
      <w:lang w:val="lv-LV"/>
    </w:rPr>
  </w:style>
  <w:style w:type="paragraph" w:customStyle="1" w:styleId="naisf">
    <w:name w:val="naisf"/>
    <w:basedOn w:val="Normal"/>
    <w:rsid w:val="00D944B7"/>
    <w:pPr>
      <w:spacing w:before="75" w:after="75" w:line="240" w:lineRule="auto"/>
      <w:ind w:firstLine="375"/>
      <w:jc w:val="both"/>
    </w:pPr>
    <w:rPr>
      <w:rFonts w:ascii="Times New Roman" w:eastAsia="Times New Roman" w:hAnsi="Times New Roman" w:cs="Times New Roman"/>
      <w:sz w:val="28"/>
      <w:szCs w:val="24"/>
    </w:rPr>
  </w:style>
  <w:style w:type="paragraph" w:customStyle="1" w:styleId="StyleEE-numbering12pt">
    <w:name w:val="Style EE-numbering + 12 pt"/>
    <w:basedOn w:val="Normal"/>
    <w:autoRedefine/>
    <w:rsid w:val="00670F5C"/>
    <w:pPr>
      <w:tabs>
        <w:tab w:val="num" w:pos="432"/>
        <w:tab w:val="left" w:pos="631"/>
      </w:tabs>
      <w:spacing w:after="0" w:line="240" w:lineRule="auto"/>
      <w:ind w:left="631"/>
      <w:jc w:val="both"/>
    </w:pPr>
    <w:rPr>
      <w:rFonts w:ascii="Times New Roman" w:eastAsia="Times New Roman" w:hAnsi="Times New Roman"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ikumi.lv/doc.php?id=229146&amp;from=off" TargetMode="External"/><Relationship Id="rId4" Type="http://schemas.microsoft.com/office/2007/relationships/stylesWithEffects" Target="stylesWithEffects.xml"/><Relationship Id="rId9" Type="http://schemas.openxmlformats.org/officeDocument/2006/relationships/hyperlink" Target="http://www.likumi.lv/doc.php?id=225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D93C1-A8DC-4F45-8106-34059F9B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6175</Words>
  <Characters>3521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Klients</dc:creator>
  <cp:lastModifiedBy>Dace Žīgure</cp:lastModifiedBy>
  <cp:revision>2</cp:revision>
  <cp:lastPrinted>2012-02-27T14:04:00Z</cp:lastPrinted>
  <dcterms:created xsi:type="dcterms:W3CDTF">2012-02-27T14:04:00Z</dcterms:created>
  <dcterms:modified xsi:type="dcterms:W3CDTF">2012-02-27T14:04:00Z</dcterms:modified>
</cp:coreProperties>
</file>