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4F7" w:rsidRPr="00FE61E1" w:rsidRDefault="00F274F7" w:rsidP="00F274F7">
      <w:pPr>
        <w:spacing w:after="0" w:line="240" w:lineRule="auto"/>
        <w:ind w:firstLine="720"/>
        <w:jc w:val="right"/>
        <w:rPr>
          <w:rFonts w:ascii="Times New Roman" w:hAnsi="Times New Roman" w:cs="Times New Roman"/>
          <w:i/>
          <w:sz w:val="28"/>
          <w:szCs w:val="28"/>
        </w:rPr>
      </w:pPr>
      <w:r w:rsidRPr="00FE61E1">
        <w:rPr>
          <w:rFonts w:ascii="Times New Roman" w:hAnsi="Times New Roman" w:cs="Times New Roman"/>
          <w:i/>
          <w:sz w:val="28"/>
          <w:szCs w:val="28"/>
        </w:rPr>
        <w:t>Likumprojekts</w:t>
      </w:r>
    </w:p>
    <w:p w:rsidR="00F274F7" w:rsidRPr="00EE3484" w:rsidRDefault="00F274F7" w:rsidP="00F274F7">
      <w:pPr>
        <w:tabs>
          <w:tab w:val="left" w:pos="6096"/>
        </w:tabs>
        <w:spacing w:after="0" w:line="240" w:lineRule="auto"/>
        <w:rPr>
          <w:rFonts w:ascii="Times New Roman" w:hAnsi="Times New Roman" w:cs="Times New Roman"/>
          <w:sz w:val="28"/>
          <w:szCs w:val="28"/>
        </w:rPr>
      </w:pPr>
    </w:p>
    <w:p w:rsidR="00F274F7" w:rsidRPr="00EE3484" w:rsidRDefault="00B970ED" w:rsidP="00F274F7">
      <w:pPr>
        <w:tabs>
          <w:tab w:val="left" w:pos="6096"/>
        </w:tabs>
        <w:spacing w:after="0" w:line="240" w:lineRule="auto"/>
        <w:jc w:val="center"/>
        <w:rPr>
          <w:rFonts w:ascii="Times New Roman" w:hAnsi="Times New Roman" w:cs="Times New Roman"/>
          <w:b/>
          <w:sz w:val="28"/>
          <w:szCs w:val="28"/>
        </w:rPr>
      </w:pPr>
      <w:r w:rsidRPr="00EE3484">
        <w:rPr>
          <w:rFonts w:ascii="Times New Roman" w:hAnsi="Times New Roman" w:cs="Times New Roman"/>
          <w:b/>
          <w:sz w:val="28"/>
          <w:szCs w:val="28"/>
        </w:rPr>
        <w:t>Grozījumi likumā “Par nodokļu piemērošanu brīvostās un speciālajās ekonomiskajās zonās”</w:t>
      </w:r>
    </w:p>
    <w:p w:rsidR="00657EEE" w:rsidRPr="00EE3484" w:rsidRDefault="00657EEE" w:rsidP="000F57C4">
      <w:pPr>
        <w:spacing w:after="0" w:line="240" w:lineRule="auto"/>
        <w:jc w:val="both"/>
        <w:rPr>
          <w:rFonts w:ascii="Times New Roman" w:hAnsi="Times New Roman" w:cs="Times New Roman"/>
          <w:sz w:val="28"/>
          <w:szCs w:val="28"/>
        </w:rPr>
      </w:pPr>
    </w:p>
    <w:p w:rsidR="00401D12" w:rsidRPr="00EE3484" w:rsidRDefault="00401D12" w:rsidP="000F57C4">
      <w:pPr>
        <w:spacing w:after="0" w:line="240" w:lineRule="auto"/>
        <w:jc w:val="both"/>
        <w:rPr>
          <w:rFonts w:ascii="Times New Roman" w:hAnsi="Times New Roman" w:cs="Times New Roman"/>
          <w:sz w:val="28"/>
          <w:szCs w:val="28"/>
        </w:rPr>
      </w:pPr>
      <w:r w:rsidRPr="00EE3484">
        <w:rPr>
          <w:rFonts w:ascii="Times New Roman" w:hAnsi="Times New Roman" w:cs="Times New Roman"/>
          <w:sz w:val="28"/>
          <w:szCs w:val="28"/>
        </w:rPr>
        <w:t>Izdarīt likumā "Par nodokļu piemērošanu brīvostās un speciālajās ekonomiskajās zonās" (Latvijas Republikas Saeimas un Ministru Kabineta Ziņotājs, 2001, 17. nr.; 2003, 13. nr.; 2004, 9. nr.; 2005, 4. nr.; 2007, 3. nr.; Latvijas Vēstnesis, 2011, 80. nr.; 2013, 80., 187. nr.; 2014, 133.nr.; 2016, 125.nr.) šādus grozījumus:</w:t>
      </w:r>
      <w:r w:rsidR="0022510D">
        <w:rPr>
          <w:rFonts w:ascii="Times New Roman" w:hAnsi="Times New Roman" w:cs="Times New Roman"/>
          <w:sz w:val="28"/>
          <w:szCs w:val="28"/>
        </w:rPr>
        <w:t xml:space="preserve"> </w:t>
      </w:r>
    </w:p>
    <w:p w:rsidR="00401D12" w:rsidRPr="00EE3484" w:rsidRDefault="00401D12" w:rsidP="00F4604B">
      <w:pPr>
        <w:spacing w:after="0" w:line="240" w:lineRule="auto"/>
        <w:jc w:val="both"/>
        <w:rPr>
          <w:rFonts w:ascii="Times New Roman" w:hAnsi="Times New Roman" w:cs="Times New Roman"/>
          <w:sz w:val="28"/>
          <w:szCs w:val="28"/>
          <w:lang w:eastAsia="lv-LV"/>
        </w:rPr>
      </w:pPr>
    </w:p>
    <w:p w:rsidR="008D31A3" w:rsidRPr="00EE3484" w:rsidRDefault="00B153E9" w:rsidP="00EF7332">
      <w:pPr>
        <w:pStyle w:val="ListParagraph"/>
        <w:numPr>
          <w:ilvl w:val="0"/>
          <w:numId w:val="2"/>
        </w:numPr>
        <w:spacing w:after="0" w:line="240" w:lineRule="auto"/>
        <w:jc w:val="both"/>
        <w:rPr>
          <w:rFonts w:ascii="Times New Roman" w:hAnsi="Times New Roman" w:cs="Times New Roman"/>
          <w:sz w:val="28"/>
          <w:szCs w:val="28"/>
          <w:lang w:eastAsia="lv-LV"/>
        </w:rPr>
      </w:pPr>
      <w:r w:rsidRPr="00EE3484">
        <w:rPr>
          <w:rFonts w:ascii="Times New Roman" w:hAnsi="Times New Roman" w:cs="Times New Roman"/>
          <w:sz w:val="28"/>
          <w:szCs w:val="28"/>
          <w:lang w:eastAsia="lv-LV"/>
        </w:rPr>
        <w:t xml:space="preserve">Papildināt 1.panta </w:t>
      </w:r>
      <w:r w:rsidR="00AA7ED3" w:rsidRPr="00EE3484">
        <w:rPr>
          <w:rFonts w:ascii="Times New Roman" w:hAnsi="Times New Roman" w:cs="Times New Roman"/>
          <w:sz w:val="28"/>
          <w:szCs w:val="28"/>
          <w:lang w:eastAsia="lv-LV"/>
        </w:rPr>
        <w:t>otrās daļas 12.punktu</w:t>
      </w:r>
      <w:r w:rsidRPr="00EE3484">
        <w:rPr>
          <w:rFonts w:ascii="Times New Roman" w:hAnsi="Times New Roman" w:cs="Times New Roman"/>
          <w:sz w:val="28"/>
          <w:szCs w:val="28"/>
          <w:lang w:eastAsia="lv-LV"/>
        </w:rPr>
        <w:t xml:space="preserve"> šādā redakcijā: </w:t>
      </w:r>
    </w:p>
    <w:p w:rsidR="00B153E9" w:rsidRPr="00EE3484" w:rsidRDefault="00B153E9" w:rsidP="005345B0">
      <w:pPr>
        <w:pStyle w:val="tv2132"/>
        <w:spacing w:line="240" w:lineRule="auto"/>
        <w:ind w:firstLine="360"/>
        <w:jc w:val="both"/>
        <w:rPr>
          <w:rFonts w:eastAsiaTheme="minorHAnsi"/>
          <w:color w:val="auto"/>
          <w:sz w:val="28"/>
          <w:szCs w:val="28"/>
        </w:rPr>
      </w:pPr>
      <w:r w:rsidRPr="00EE3484">
        <w:rPr>
          <w:rFonts w:eastAsiaTheme="minorHAnsi"/>
          <w:color w:val="auto"/>
          <w:sz w:val="28"/>
          <w:szCs w:val="28"/>
        </w:rPr>
        <w:t>“12) zonas kapitālsabiedrības vai licencētas kapitālsabiedrības veiktie ieguldījumi — tie zonas kapitālsabiedrības vai licencētas kapitālsabiedrības, kā arī zonas pārvaldes vai brīvostas pārvaldes pamatlīdzekļos veiktie ilgtermiņa materiālie ieguldījumi (ēkas, būves, iekārtas</w:t>
      </w:r>
      <w:r w:rsidR="00CF50FD" w:rsidRPr="00EE3484">
        <w:rPr>
          <w:rFonts w:eastAsiaTheme="minorHAnsi"/>
          <w:color w:val="auto"/>
          <w:sz w:val="28"/>
          <w:szCs w:val="28"/>
        </w:rPr>
        <w:t xml:space="preserve">, finanšu </w:t>
      </w:r>
      <w:r w:rsidR="005B76C1">
        <w:rPr>
          <w:rFonts w:eastAsiaTheme="minorHAnsi"/>
          <w:color w:val="auto"/>
          <w:sz w:val="28"/>
          <w:szCs w:val="28"/>
        </w:rPr>
        <w:t>noma – līzings un tehnika</w:t>
      </w:r>
      <w:r w:rsidR="00CF50FD" w:rsidRPr="00EE3484">
        <w:rPr>
          <w:rFonts w:eastAsiaTheme="minorHAnsi"/>
          <w:color w:val="auto"/>
          <w:sz w:val="28"/>
          <w:szCs w:val="28"/>
        </w:rPr>
        <w:t>)</w:t>
      </w:r>
      <w:r w:rsidRPr="00EE3484">
        <w:rPr>
          <w:rFonts w:eastAsiaTheme="minorHAnsi"/>
          <w:color w:val="auto"/>
          <w:sz w:val="28"/>
          <w:szCs w:val="28"/>
        </w:rPr>
        <w:t xml:space="preserve"> un nemateriālie ieguldīj</w:t>
      </w:r>
      <w:r w:rsidR="00447E5D" w:rsidRPr="00EE3484">
        <w:rPr>
          <w:rFonts w:eastAsiaTheme="minorHAnsi"/>
          <w:color w:val="auto"/>
          <w:sz w:val="28"/>
          <w:szCs w:val="28"/>
        </w:rPr>
        <w:t xml:space="preserve">umi (izmaksas patentu iegūšanai, </w:t>
      </w:r>
      <w:r w:rsidRPr="00EE3484">
        <w:rPr>
          <w:rFonts w:eastAsiaTheme="minorHAnsi"/>
          <w:color w:val="auto"/>
          <w:sz w:val="28"/>
          <w:szCs w:val="28"/>
        </w:rPr>
        <w:t>tehnoloģiju apgūšanai</w:t>
      </w:r>
      <w:r w:rsidR="00447E5D" w:rsidRPr="00EE3484">
        <w:rPr>
          <w:rFonts w:eastAsiaTheme="minorHAnsi"/>
          <w:color w:val="auto"/>
          <w:sz w:val="28"/>
          <w:szCs w:val="28"/>
        </w:rPr>
        <w:t xml:space="preserve">, </w:t>
      </w:r>
      <w:r w:rsidR="0050386F">
        <w:rPr>
          <w:rFonts w:eastAsiaTheme="minorHAnsi"/>
          <w:color w:val="auto"/>
          <w:sz w:val="28"/>
          <w:szCs w:val="28"/>
        </w:rPr>
        <w:t xml:space="preserve">informācijas tehnoloģiju </w:t>
      </w:r>
      <w:r w:rsidR="00447E5D" w:rsidRPr="00EE3484">
        <w:rPr>
          <w:rFonts w:eastAsiaTheme="minorHAnsi"/>
          <w:color w:val="auto"/>
          <w:sz w:val="28"/>
          <w:szCs w:val="28"/>
        </w:rPr>
        <w:t>programmatūras iegādei</w:t>
      </w:r>
      <w:r w:rsidRPr="00EE3484">
        <w:rPr>
          <w:rFonts w:eastAsiaTheme="minorHAnsi"/>
          <w:color w:val="auto"/>
          <w:sz w:val="28"/>
          <w:szCs w:val="28"/>
        </w:rPr>
        <w:t>), kuri atbilst šādiem nosacījumiem:</w:t>
      </w:r>
      <w:r w:rsidR="00CF50FD" w:rsidRPr="00EE3484">
        <w:rPr>
          <w:rFonts w:eastAsiaTheme="minorHAnsi"/>
          <w:color w:val="auto"/>
          <w:sz w:val="28"/>
          <w:szCs w:val="28"/>
        </w:rPr>
        <w:t>”.</w:t>
      </w:r>
    </w:p>
    <w:p w:rsidR="00B153E9" w:rsidRPr="00EE3484" w:rsidRDefault="00B153E9" w:rsidP="00CF50FD">
      <w:pPr>
        <w:spacing w:after="0" w:line="240" w:lineRule="auto"/>
        <w:jc w:val="both"/>
        <w:rPr>
          <w:rFonts w:ascii="Times New Roman" w:hAnsi="Times New Roman" w:cs="Times New Roman"/>
          <w:sz w:val="28"/>
          <w:szCs w:val="28"/>
          <w:lang w:eastAsia="lv-LV"/>
        </w:rPr>
      </w:pPr>
    </w:p>
    <w:p w:rsidR="00BF18D5" w:rsidRPr="00BF18D5" w:rsidRDefault="00BF18D5" w:rsidP="00BF18D5">
      <w:pPr>
        <w:pStyle w:val="ListParagraph"/>
        <w:numPr>
          <w:ilvl w:val="0"/>
          <w:numId w:val="2"/>
        </w:numPr>
        <w:spacing w:after="0" w:line="240" w:lineRule="auto"/>
        <w:jc w:val="both"/>
        <w:rPr>
          <w:rFonts w:ascii="Times New Roman" w:hAnsi="Times New Roman" w:cs="Times New Roman"/>
          <w:sz w:val="28"/>
          <w:szCs w:val="28"/>
          <w:lang w:eastAsia="lv-LV"/>
        </w:rPr>
      </w:pPr>
      <w:r w:rsidRPr="00BF18D5">
        <w:rPr>
          <w:rFonts w:ascii="Times New Roman" w:hAnsi="Times New Roman" w:cs="Times New Roman"/>
          <w:sz w:val="28"/>
          <w:szCs w:val="28"/>
          <w:lang w:eastAsia="lv-LV"/>
        </w:rPr>
        <w:t xml:space="preserve">Papildināt 1.panta otrās daļas 12.punktu ar </w:t>
      </w:r>
      <w:r w:rsidRPr="00BF18D5">
        <w:rPr>
          <w:rFonts w:ascii="Times New Roman" w:hAnsi="Times New Roman" w:cs="Times New Roman"/>
          <w:sz w:val="28"/>
          <w:szCs w:val="28"/>
        </w:rPr>
        <w:t>12</w:t>
      </w:r>
      <w:r w:rsidRPr="00BF18D5">
        <w:rPr>
          <w:rFonts w:ascii="Times New Roman" w:hAnsi="Times New Roman" w:cs="Times New Roman"/>
          <w:bCs/>
          <w:sz w:val="28"/>
          <w:szCs w:val="28"/>
          <w:vertAlign w:val="superscript"/>
        </w:rPr>
        <w:t>1</w:t>
      </w:r>
      <w:r w:rsidR="00DE172B">
        <w:rPr>
          <w:rFonts w:ascii="Times New Roman" w:hAnsi="Times New Roman" w:cs="Times New Roman"/>
          <w:sz w:val="28"/>
          <w:szCs w:val="28"/>
        </w:rPr>
        <w:t>)</w:t>
      </w:r>
      <w:r w:rsidR="004D17C0" w:rsidRPr="00BF18D5">
        <w:rPr>
          <w:rFonts w:ascii="Times New Roman" w:hAnsi="Times New Roman" w:cs="Times New Roman"/>
          <w:sz w:val="28"/>
          <w:szCs w:val="28"/>
          <w:lang w:eastAsia="lv-LV"/>
        </w:rPr>
        <w:t>.</w:t>
      </w:r>
      <w:r w:rsidRPr="00BF18D5">
        <w:rPr>
          <w:rFonts w:ascii="Times New Roman" w:hAnsi="Times New Roman" w:cs="Times New Roman"/>
          <w:sz w:val="28"/>
          <w:szCs w:val="28"/>
        </w:rPr>
        <w:t>punktu</w:t>
      </w:r>
      <w:r w:rsidR="004D17C0">
        <w:rPr>
          <w:rFonts w:ascii="Times New Roman" w:hAnsi="Times New Roman" w:cs="Times New Roman"/>
          <w:sz w:val="28"/>
          <w:szCs w:val="28"/>
        </w:rPr>
        <w:t xml:space="preserve"> un</w:t>
      </w:r>
      <w:r w:rsidRPr="00BF18D5">
        <w:rPr>
          <w:rFonts w:ascii="Times New Roman" w:hAnsi="Times New Roman" w:cs="Times New Roman"/>
          <w:sz w:val="28"/>
          <w:szCs w:val="28"/>
        </w:rPr>
        <w:t xml:space="preserve"> 12</w:t>
      </w:r>
      <w:r w:rsidRPr="00BF18D5">
        <w:rPr>
          <w:rFonts w:ascii="Times New Roman" w:hAnsi="Times New Roman" w:cs="Times New Roman"/>
          <w:bCs/>
          <w:sz w:val="28"/>
          <w:szCs w:val="28"/>
          <w:vertAlign w:val="superscript"/>
        </w:rPr>
        <w:t>2</w:t>
      </w:r>
      <w:r w:rsidR="00DE172B">
        <w:rPr>
          <w:rFonts w:ascii="Times New Roman" w:hAnsi="Times New Roman" w:cs="Times New Roman"/>
          <w:sz w:val="28"/>
          <w:szCs w:val="28"/>
        </w:rPr>
        <w:t>)</w:t>
      </w:r>
      <w:r w:rsidR="004D17C0" w:rsidRPr="00BF18D5">
        <w:rPr>
          <w:rFonts w:ascii="Times New Roman" w:hAnsi="Times New Roman" w:cs="Times New Roman"/>
          <w:sz w:val="28"/>
          <w:szCs w:val="28"/>
          <w:lang w:eastAsia="lv-LV"/>
        </w:rPr>
        <w:t>.</w:t>
      </w:r>
      <w:r w:rsidRPr="00BF18D5">
        <w:rPr>
          <w:rFonts w:ascii="Times New Roman" w:hAnsi="Times New Roman" w:cs="Times New Roman"/>
          <w:sz w:val="28"/>
          <w:szCs w:val="28"/>
        </w:rPr>
        <w:t xml:space="preserve">punktu </w:t>
      </w:r>
      <w:r w:rsidRPr="00BF18D5">
        <w:rPr>
          <w:rFonts w:ascii="Times New Roman" w:hAnsi="Times New Roman" w:cs="Times New Roman"/>
          <w:sz w:val="28"/>
          <w:szCs w:val="28"/>
          <w:lang w:eastAsia="lv-LV"/>
        </w:rPr>
        <w:t xml:space="preserve">šādā redakcijā: </w:t>
      </w:r>
    </w:p>
    <w:p w:rsidR="00BF18D5" w:rsidRPr="008D31A3" w:rsidRDefault="00BF18D5" w:rsidP="00BF18D5">
      <w:pPr>
        <w:spacing w:after="0" w:line="240" w:lineRule="auto"/>
        <w:ind w:firstLine="709"/>
        <w:jc w:val="both"/>
        <w:rPr>
          <w:rFonts w:ascii="Times New Roman" w:hAnsi="Times New Roman" w:cs="Times New Roman"/>
          <w:b/>
          <w:sz w:val="28"/>
          <w:szCs w:val="28"/>
          <w:lang w:eastAsia="lv-LV"/>
        </w:rPr>
      </w:pPr>
      <w:r w:rsidRPr="008D31A3">
        <w:rPr>
          <w:rFonts w:ascii="Times New Roman" w:hAnsi="Times New Roman" w:cs="Times New Roman"/>
          <w:b/>
          <w:sz w:val="28"/>
          <w:szCs w:val="28"/>
        </w:rPr>
        <w:t>“</w:t>
      </w:r>
      <w:r w:rsidR="004D17C0">
        <w:rPr>
          <w:rFonts w:ascii="Times New Roman" w:hAnsi="Times New Roman" w:cs="Times New Roman"/>
          <w:b/>
          <w:sz w:val="28"/>
          <w:szCs w:val="28"/>
        </w:rPr>
        <w:t>12</w:t>
      </w:r>
      <w:r w:rsidRPr="008D31A3">
        <w:rPr>
          <w:rFonts w:ascii="Times New Roman" w:hAnsi="Times New Roman" w:cs="Times New Roman"/>
          <w:b/>
          <w:bCs/>
          <w:sz w:val="28"/>
          <w:szCs w:val="28"/>
          <w:vertAlign w:val="superscript"/>
        </w:rPr>
        <w:t>1</w:t>
      </w:r>
      <w:r w:rsidR="00DE172B">
        <w:rPr>
          <w:rFonts w:ascii="Times New Roman" w:hAnsi="Times New Roman" w:cs="Times New Roman"/>
          <w:b/>
          <w:sz w:val="28"/>
          <w:szCs w:val="28"/>
        </w:rPr>
        <w:t>)</w:t>
      </w:r>
      <w:r w:rsidRPr="008D31A3">
        <w:rPr>
          <w:rFonts w:ascii="Times New Roman" w:hAnsi="Times New Roman" w:cs="Times New Roman"/>
          <w:b/>
          <w:sz w:val="28"/>
          <w:szCs w:val="28"/>
          <w:lang w:eastAsia="lv-LV"/>
        </w:rPr>
        <w:t xml:space="preserve"> </w:t>
      </w:r>
      <w:r w:rsidRPr="008D31A3">
        <w:rPr>
          <w:rFonts w:ascii="Times New Roman" w:hAnsi="Times New Roman" w:cs="Times New Roman"/>
          <w:b/>
          <w:sz w:val="28"/>
          <w:szCs w:val="28"/>
        </w:rPr>
        <w:t>Attiecināmās izmaksas ir:</w:t>
      </w:r>
    </w:p>
    <w:p w:rsidR="00BF18D5" w:rsidRPr="00446A41" w:rsidRDefault="00BF18D5" w:rsidP="00BF18D5">
      <w:pPr>
        <w:spacing w:after="0" w:line="240" w:lineRule="auto"/>
        <w:jc w:val="both"/>
        <w:rPr>
          <w:rFonts w:ascii="Times New Roman" w:hAnsi="Times New Roman" w:cs="Times New Roman"/>
          <w:sz w:val="28"/>
          <w:szCs w:val="28"/>
        </w:rPr>
      </w:pPr>
      <w:r w:rsidRPr="00446A41">
        <w:rPr>
          <w:rFonts w:ascii="Times New Roman" w:hAnsi="Times New Roman" w:cs="Times New Roman"/>
          <w:sz w:val="28"/>
          <w:szCs w:val="28"/>
        </w:rPr>
        <w:t>a) izmaksas par ieguldījumiem materiālajos un nemateriālajos aktīvos;</w:t>
      </w:r>
    </w:p>
    <w:p w:rsidR="00BF18D5" w:rsidRPr="00446A41" w:rsidRDefault="00BF18D5" w:rsidP="00BF18D5">
      <w:pPr>
        <w:spacing w:after="0" w:line="240" w:lineRule="auto"/>
        <w:jc w:val="both"/>
        <w:rPr>
          <w:rFonts w:ascii="Times New Roman" w:hAnsi="Times New Roman" w:cs="Times New Roman"/>
          <w:sz w:val="28"/>
          <w:szCs w:val="28"/>
        </w:rPr>
      </w:pPr>
      <w:r w:rsidRPr="00446A41">
        <w:rPr>
          <w:rFonts w:ascii="Times New Roman" w:hAnsi="Times New Roman" w:cs="Times New Roman"/>
          <w:sz w:val="28"/>
          <w:szCs w:val="28"/>
        </w:rPr>
        <w:t>b) paredzamās algu izmaksas, ko rada sākotnējā ieguldījuma rezultātā radītās darbvietas, rēķinot par divu gadu periodu; vai:</w:t>
      </w:r>
    </w:p>
    <w:p w:rsidR="00BF18D5" w:rsidRPr="00446A41" w:rsidRDefault="00BF18D5" w:rsidP="00BF18D5">
      <w:pPr>
        <w:spacing w:after="0" w:line="240" w:lineRule="auto"/>
        <w:jc w:val="both"/>
        <w:rPr>
          <w:rFonts w:ascii="Times New Roman" w:hAnsi="Times New Roman" w:cs="Times New Roman"/>
          <w:sz w:val="28"/>
          <w:szCs w:val="28"/>
        </w:rPr>
      </w:pPr>
      <w:r w:rsidRPr="00446A41">
        <w:rPr>
          <w:rFonts w:ascii="Times New Roman" w:hAnsi="Times New Roman" w:cs="Times New Roman"/>
          <w:sz w:val="28"/>
          <w:szCs w:val="28"/>
        </w:rPr>
        <w:t xml:space="preserve">c) šā punkta </w:t>
      </w:r>
      <w:r w:rsidR="004D17C0">
        <w:rPr>
          <w:rFonts w:ascii="Times New Roman" w:hAnsi="Times New Roman" w:cs="Times New Roman"/>
          <w:sz w:val="28"/>
          <w:szCs w:val="28"/>
        </w:rPr>
        <w:t>a)</w:t>
      </w:r>
      <w:r w:rsidRPr="00446A41">
        <w:rPr>
          <w:rFonts w:ascii="Times New Roman" w:hAnsi="Times New Roman" w:cs="Times New Roman"/>
          <w:sz w:val="28"/>
          <w:szCs w:val="28"/>
        </w:rPr>
        <w:t xml:space="preserve"> un b) apakšpunktā minēto izmaksu apvienojums, nepārsniedzot lielāko no summām, kas atbilst a) vai b) apakšpunktam.</w:t>
      </w:r>
      <w:r>
        <w:rPr>
          <w:rFonts w:ascii="Times New Roman" w:hAnsi="Times New Roman" w:cs="Times New Roman"/>
          <w:sz w:val="28"/>
          <w:szCs w:val="28"/>
        </w:rPr>
        <w:t xml:space="preserve"> </w:t>
      </w:r>
      <w:r w:rsidRPr="00446A41">
        <w:rPr>
          <w:rFonts w:ascii="Times New Roman" w:hAnsi="Times New Roman" w:cs="Times New Roman"/>
          <w:sz w:val="28"/>
          <w:szCs w:val="28"/>
        </w:rPr>
        <w:t xml:space="preserve">Ja attiecināmās izmaksas aprēķina, pamatojoties uz paredzamajām algu izmaksām, kā minēts </w:t>
      </w:r>
      <w:r>
        <w:rPr>
          <w:rFonts w:ascii="Times New Roman" w:hAnsi="Times New Roman" w:cs="Times New Roman"/>
          <w:sz w:val="28"/>
          <w:szCs w:val="28"/>
        </w:rPr>
        <w:t>šā punkta</w:t>
      </w:r>
      <w:r w:rsidRPr="00446A41">
        <w:rPr>
          <w:rFonts w:ascii="Times New Roman" w:hAnsi="Times New Roman" w:cs="Times New Roman"/>
          <w:sz w:val="28"/>
          <w:szCs w:val="28"/>
        </w:rPr>
        <w:t xml:space="preserve"> b) apakšpunktā, jābūt izpildītiem šādiem </w:t>
      </w:r>
      <w:r w:rsidRPr="00CC0EF2">
        <w:rPr>
          <w:rFonts w:ascii="Times New Roman" w:hAnsi="Times New Roman" w:cs="Times New Roman"/>
          <w:sz w:val="28"/>
          <w:szCs w:val="28"/>
        </w:rPr>
        <w:t xml:space="preserve">Komisijas regulas Nr. </w:t>
      </w:r>
      <w:hyperlink r:id="rId8" w:tgtFrame="_blank" w:history="1">
        <w:r w:rsidRPr="00CC0EF2">
          <w:rPr>
            <w:rFonts w:ascii="Times New Roman" w:hAnsi="Times New Roman" w:cs="Times New Roman"/>
            <w:sz w:val="28"/>
            <w:szCs w:val="28"/>
          </w:rPr>
          <w:t>651/2014</w:t>
        </w:r>
      </w:hyperlink>
      <w:r w:rsidRPr="00CC0EF2">
        <w:rPr>
          <w:rFonts w:ascii="Times New Roman" w:hAnsi="Times New Roman" w:cs="Times New Roman"/>
          <w:sz w:val="28"/>
          <w:szCs w:val="28"/>
        </w:rPr>
        <w:t xml:space="preserve"> </w:t>
      </w:r>
      <w:r>
        <w:rPr>
          <w:rFonts w:ascii="Times New Roman" w:hAnsi="Times New Roman" w:cs="Times New Roman"/>
          <w:sz w:val="28"/>
          <w:szCs w:val="28"/>
        </w:rPr>
        <w:t xml:space="preserve">14.panta </w:t>
      </w:r>
      <w:r w:rsidRPr="00446A41">
        <w:rPr>
          <w:rFonts w:ascii="Times New Roman" w:hAnsi="Times New Roman" w:cs="Times New Roman"/>
          <w:sz w:val="28"/>
          <w:szCs w:val="28"/>
        </w:rPr>
        <w:t>nosacījumiem:</w:t>
      </w:r>
    </w:p>
    <w:p w:rsidR="00BF18D5" w:rsidRPr="00446A41" w:rsidRDefault="00BF18D5" w:rsidP="00BF18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d</w:t>
      </w:r>
      <w:r w:rsidRPr="00446A41">
        <w:rPr>
          <w:rFonts w:ascii="Times New Roman" w:hAnsi="Times New Roman" w:cs="Times New Roman"/>
          <w:sz w:val="28"/>
          <w:szCs w:val="28"/>
        </w:rPr>
        <w:t>) ieguldījumu projekts attiecīgajā uzņēmējdarbības vietā rada darbinieku skaita tīru pieaugumu salīdzinājumā ar vidējo rādītāju iepriekšējos 12 mēnešos, kas nozīmē, ka no acīmredzamā attiecīgajā periodā izveidoto darba vietu skaita atņem visas zaudētās darba vietas;</w:t>
      </w:r>
    </w:p>
    <w:p w:rsidR="00BF18D5" w:rsidRPr="00446A41" w:rsidRDefault="00BF18D5" w:rsidP="00BF18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e</w:t>
      </w:r>
      <w:r w:rsidRPr="00446A41">
        <w:rPr>
          <w:rFonts w:ascii="Times New Roman" w:hAnsi="Times New Roman" w:cs="Times New Roman"/>
          <w:sz w:val="28"/>
          <w:szCs w:val="28"/>
        </w:rPr>
        <w:t>) katru amata vietu aizpilda triju gadu laikā no darbu pabeigšanas; un</w:t>
      </w:r>
    </w:p>
    <w:p w:rsidR="00BF18D5" w:rsidRPr="00446A41" w:rsidRDefault="00BF18D5" w:rsidP="00BF18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f</w:t>
      </w:r>
      <w:r w:rsidRPr="00446A41">
        <w:rPr>
          <w:rFonts w:ascii="Times New Roman" w:hAnsi="Times New Roman" w:cs="Times New Roman"/>
          <w:sz w:val="28"/>
          <w:szCs w:val="28"/>
        </w:rPr>
        <w:t xml:space="preserve">) katru darbvietu, kas radīta ieguldījuma rezultātā, attiecīgajā apgabalā saglabā vismaz piecus gadus vai </w:t>
      </w:r>
      <w:r>
        <w:rPr>
          <w:rFonts w:ascii="Times New Roman" w:hAnsi="Times New Roman" w:cs="Times New Roman"/>
          <w:sz w:val="28"/>
          <w:szCs w:val="28"/>
        </w:rPr>
        <w:t>mazā un vidējā uzņēmuma</w:t>
      </w:r>
      <w:r w:rsidRPr="00446A41">
        <w:rPr>
          <w:rFonts w:ascii="Times New Roman" w:hAnsi="Times New Roman" w:cs="Times New Roman"/>
          <w:sz w:val="28"/>
          <w:szCs w:val="28"/>
        </w:rPr>
        <w:t xml:space="preserve"> gadījumā trīs gadus no dienas, kad attiecīgā amata vieta pirmo reizi aizpildīta.  </w:t>
      </w:r>
    </w:p>
    <w:p w:rsidR="00BF18D5" w:rsidRDefault="00BF18D5" w:rsidP="00BF18D5">
      <w:pPr>
        <w:spacing w:after="0" w:line="240" w:lineRule="auto"/>
        <w:jc w:val="both"/>
        <w:rPr>
          <w:rFonts w:ascii="Times New Roman" w:hAnsi="Times New Roman" w:cs="Times New Roman"/>
          <w:sz w:val="28"/>
          <w:szCs w:val="28"/>
        </w:rPr>
      </w:pPr>
      <w:r w:rsidRPr="00446A41">
        <w:rPr>
          <w:rFonts w:ascii="Times New Roman" w:hAnsi="Times New Roman" w:cs="Times New Roman"/>
          <w:sz w:val="28"/>
          <w:szCs w:val="28"/>
        </w:rPr>
        <w:t xml:space="preserve">Ja atbalsta intensitāti aprēķina, pamatojoties uz </w:t>
      </w:r>
      <w:r>
        <w:rPr>
          <w:rFonts w:ascii="Times New Roman" w:hAnsi="Times New Roman" w:cs="Times New Roman"/>
          <w:sz w:val="28"/>
          <w:szCs w:val="28"/>
        </w:rPr>
        <w:t xml:space="preserve">šā </w:t>
      </w:r>
      <w:r w:rsidRPr="00446A41">
        <w:rPr>
          <w:rFonts w:ascii="Times New Roman" w:hAnsi="Times New Roman" w:cs="Times New Roman"/>
          <w:sz w:val="28"/>
          <w:szCs w:val="28"/>
        </w:rPr>
        <w:t>punkta c) apakšpunktu, atbalsta maksimālā intensitāte nepārsniedz izdevīgāko summu, kāda rodas no minētās intensitātes piemērošanas ieguldījumu izmaksām vai algu izmaksām.</w:t>
      </w:r>
    </w:p>
    <w:p w:rsidR="00990260" w:rsidRDefault="00AD3117" w:rsidP="00BF18D5">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12</w:t>
      </w:r>
      <w:r>
        <w:rPr>
          <w:rFonts w:ascii="Times New Roman" w:hAnsi="Times New Roman" w:cs="Times New Roman"/>
          <w:bCs/>
          <w:sz w:val="28"/>
          <w:szCs w:val="28"/>
          <w:vertAlign w:val="superscript"/>
        </w:rPr>
        <w:t>2</w:t>
      </w:r>
      <w:r w:rsidR="00DE172B">
        <w:rPr>
          <w:rFonts w:ascii="Times New Roman" w:hAnsi="Times New Roman" w:cs="Times New Roman"/>
          <w:sz w:val="28"/>
          <w:szCs w:val="28"/>
        </w:rPr>
        <w:t>)</w:t>
      </w:r>
      <w:r>
        <w:rPr>
          <w:rFonts w:ascii="Times New Roman" w:hAnsi="Times New Roman" w:cs="Times New Roman"/>
          <w:sz w:val="28"/>
          <w:szCs w:val="28"/>
        </w:rPr>
        <w:t xml:space="preserve"> P</w:t>
      </w:r>
      <w:r w:rsidRPr="00EE3484">
        <w:rPr>
          <w:rFonts w:ascii="Times New Roman" w:hAnsi="Times New Roman" w:cs="Times New Roman"/>
          <w:sz w:val="28"/>
          <w:szCs w:val="28"/>
        </w:rPr>
        <w:t>aredzamās algu izmaksas</w:t>
      </w:r>
      <w:r>
        <w:rPr>
          <w:rFonts w:ascii="Times New Roman" w:hAnsi="Times New Roman" w:cs="Times New Roman"/>
          <w:sz w:val="28"/>
          <w:szCs w:val="28"/>
        </w:rPr>
        <w:t>,</w:t>
      </w:r>
      <w:r w:rsidRPr="00EE3484">
        <w:rPr>
          <w:rFonts w:ascii="Times New Roman" w:hAnsi="Times New Roman" w:cs="Times New Roman"/>
          <w:sz w:val="28"/>
          <w:szCs w:val="28"/>
        </w:rPr>
        <w:t xml:space="preserve"> ko rada sākotnējā ieguldījuma rezultātā radītās darba vietas, ir attiecināmas </w:t>
      </w:r>
      <w:r w:rsidR="004D17C0" w:rsidRPr="00EE3484">
        <w:rPr>
          <w:rFonts w:ascii="Times New Roman" w:hAnsi="Times New Roman" w:cs="Times New Roman"/>
          <w:sz w:val="28"/>
          <w:szCs w:val="28"/>
        </w:rPr>
        <w:t>Latgales speciālās ekonomiskās zonas kapitālsabiedrībām</w:t>
      </w:r>
      <w:r w:rsidR="004D17C0">
        <w:rPr>
          <w:rFonts w:ascii="Times New Roman" w:hAnsi="Times New Roman" w:cs="Times New Roman"/>
          <w:sz w:val="28"/>
          <w:szCs w:val="28"/>
        </w:rPr>
        <w:t>.</w:t>
      </w:r>
      <w:r w:rsidR="00C01543">
        <w:rPr>
          <w:rFonts w:ascii="Times New Roman" w:hAnsi="Times New Roman" w:cs="Times New Roman"/>
          <w:sz w:val="28"/>
          <w:szCs w:val="28"/>
        </w:rPr>
        <w:t>”</w:t>
      </w:r>
      <w:bookmarkStart w:id="0" w:name="_GoBack"/>
      <w:bookmarkEnd w:id="0"/>
    </w:p>
    <w:p w:rsidR="00840C7C" w:rsidRPr="00EE3484" w:rsidRDefault="00840C7C" w:rsidP="00BF18D5">
      <w:pPr>
        <w:spacing w:after="120" w:line="240" w:lineRule="auto"/>
        <w:jc w:val="both"/>
        <w:rPr>
          <w:rFonts w:ascii="Times New Roman" w:hAnsi="Times New Roman" w:cs="Times New Roman"/>
          <w:sz w:val="28"/>
          <w:szCs w:val="28"/>
        </w:rPr>
      </w:pPr>
    </w:p>
    <w:p w:rsidR="00881CC0" w:rsidRPr="00BF18D5" w:rsidRDefault="00881CC0" w:rsidP="00BF18D5">
      <w:pPr>
        <w:pStyle w:val="ListParagraph"/>
        <w:numPr>
          <w:ilvl w:val="0"/>
          <w:numId w:val="2"/>
        </w:numPr>
        <w:spacing w:after="0" w:line="240" w:lineRule="auto"/>
        <w:jc w:val="both"/>
        <w:rPr>
          <w:rFonts w:ascii="Times New Roman" w:hAnsi="Times New Roman" w:cs="Times New Roman"/>
          <w:sz w:val="28"/>
          <w:szCs w:val="28"/>
        </w:rPr>
      </w:pPr>
      <w:r w:rsidRPr="00BF18D5">
        <w:rPr>
          <w:rFonts w:ascii="Times New Roman" w:hAnsi="Times New Roman" w:cs="Times New Roman"/>
          <w:sz w:val="28"/>
          <w:szCs w:val="28"/>
        </w:rPr>
        <w:t>Papildināt 5.</w:t>
      </w:r>
      <w:r w:rsidRPr="00BF18D5">
        <w:rPr>
          <w:rFonts w:ascii="Times New Roman" w:hAnsi="Times New Roman" w:cs="Times New Roman"/>
          <w:bCs/>
          <w:sz w:val="28"/>
          <w:szCs w:val="28"/>
          <w:vertAlign w:val="superscript"/>
        </w:rPr>
        <w:t xml:space="preserve">1 </w:t>
      </w:r>
      <w:r w:rsidRPr="00BF18D5">
        <w:rPr>
          <w:rFonts w:ascii="Times New Roman" w:hAnsi="Times New Roman" w:cs="Times New Roman"/>
          <w:sz w:val="28"/>
          <w:szCs w:val="28"/>
        </w:rPr>
        <w:t>pant</w:t>
      </w:r>
      <w:r w:rsidR="007C6981" w:rsidRPr="00BF18D5">
        <w:rPr>
          <w:rFonts w:ascii="Times New Roman" w:hAnsi="Times New Roman" w:cs="Times New Roman"/>
          <w:sz w:val="28"/>
          <w:szCs w:val="28"/>
        </w:rPr>
        <w:t>a</w:t>
      </w:r>
      <w:r w:rsidRPr="00BF18D5">
        <w:rPr>
          <w:rFonts w:ascii="Times New Roman" w:hAnsi="Times New Roman" w:cs="Times New Roman"/>
          <w:sz w:val="28"/>
          <w:szCs w:val="28"/>
        </w:rPr>
        <w:t xml:space="preserve"> </w:t>
      </w:r>
      <w:r w:rsidR="009E2803" w:rsidRPr="00BF18D5">
        <w:rPr>
          <w:rFonts w:ascii="Times New Roman" w:hAnsi="Times New Roman" w:cs="Times New Roman"/>
          <w:sz w:val="28"/>
          <w:szCs w:val="28"/>
        </w:rPr>
        <w:t xml:space="preserve">pirmo daļu </w:t>
      </w:r>
      <w:r w:rsidRPr="00BF18D5">
        <w:rPr>
          <w:rFonts w:ascii="Times New Roman" w:hAnsi="Times New Roman" w:cs="Times New Roman"/>
          <w:sz w:val="28"/>
          <w:szCs w:val="28"/>
        </w:rPr>
        <w:t>šādā redakcijā:</w:t>
      </w:r>
    </w:p>
    <w:p w:rsidR="007C6981" w:rsidRPr="00EE3484" w:rsidRDefault="00881CC0" w:rsidP="00F26D92">
      <w:pPr>
        <w:autoSpaceDE w:val="0"/>
        <w:autoSpaceDN w:val="0"/>
        <w:adjustRightInd w:val="0"/>
        <w:spacing w:after="0" w:line="240" w:lineRule="auto"/>
        <w:ind w:firstLine="360"/>
        <w:jc w:val="both"/>
        <w:rPr>
          <w:rFonts w:ascii="Times New Roman" w:hAnsi="Times New Roman" w:cs="Times New Roman"/>
          <w:sz w:val="28"/>
          <w:szCs w:val="28"/>
        </w:rPr>
      </w:pPr>
      <w:r w:rsidRPr="00EE3484">
        <w:rPr>
          <w:rFonts w:ascii="Times New Roman" w:hAnsi="Times New Roman" w:cs="Times New Roman"/>
          <w:sz w:val="28"/>
          <w:szCs w:val="28"/>
        </w:rPr>
        <w:t xml:space="preserve">“(1) Zonas pārvaldes vai brīvostas pārvaldes izsniegtā atļauja apliecina tiesības saņemt šajā likumā noteiktos tiešo nodokļu atvieglojumus, bet noslēgtais līgums par ieguldījumu veikšanu nosaka tiešo nodokļu atvieglojumu piemērošanas nosacījumus konkrētajā līgumā par ieguldījumu veikšanu paredzētajiem ieguldījumiem. </w:t>
      </w:r>
      <w:r w:rsidR="007F4455" w:rsidRPr="00EE3484">
        <w:rPr>
          <w:rFonts w:ascii="Times New Roman" w:hAnsi="Times New Roman" w:cs="Times New Roman"/>
          <w:sz w:val="28"/>
          <w:szCs w:val="28"/>
        </w:rPr>
        <w:t>Latgales speciālās ekonomiskās zonas kapitālsabiedrīb</w:t>
      </w:r>
      <w:r w:rsidR="00EC3CD9">
        <w:rPr>
          <w:rFonts w:ascii="Times New Roman" w:hAnsi="Times New Roman" w:cs="Times New Roman"/>
          <w:sz w:val="28"/>
          <w:szCs w:val="28"/>
        </w:rPr>
        <w:t>as</w:t>
      </w:r>
      <w:r w:rsidR="007F4455" w:rsidRPr="00EE3484">
        <w:rPr>
          <w:rFonts w:ascii="Times New Roman" w:hAnsi="Times New Roman" w:cs="Times New Roman"/>
          <w:sz w:val="28"/>
          <w:szCs w:val="28"/>
        </w:rPr>
        <w:t xml:space="preserve"> p</w:t>
      </w:r>
      <w:r w:rsidRPr="00EE3484">
        <w:rPr>
          <w:rFonts w:ascii="Times New Roman" w:hAnsi="Times New Roman" w:cs="Times New Roman"/>
          <w:sz w:val="28"/>
          <w:szCs w:val="28"/>
        </w:rPr>
        <w:t xml:space="preserve">ie </w:t>
      </w:r>
      <w:r w:rsidR="005D532F" w:rsidRPr="00EE3484">
        <w:rPr>
          <w:rFonts w:ascii="Times New Roman" w:hAnsi="Times New Roman" w:cs="Times New Roman"/>
          <w:sz w:val="28"/>
          <w:szCs w:val="28"/>
        </w:rPr>
        <w:t xml:space="preserve">veiktajiem </w:t>
      </w:r>
      <w:r w:rsidRPr="00EE3484">
        <w:rPr>
          <w:rFonts w:ascii="Times New Roman" w:hAnsi="Times New Roman" w:cs="Times New Roman"/>
          <w:sz w:val="28"/>
          <w:szCs w:val="28"/>
        </w:rPr>
        <w:t xml:space="preserve">ieguldījumiem </w:t>
      </w:r>
      <w:r w:rsidR="00F11D49">
        <w:rPr>
          <w:rFonts w:ascii="Times New Roman" w:hAnsi="Times New Roman" w:cs="Times New Roman"/>
          <w:sz w:val="28"/>
          <w:szCs w:val="28"/>
        </w:rPr>
        <w:t>var pieskaitīt</w:t>
      </w:r>
      <w:r w:rsidRPr="00EE3484">
        <w:rPr>
          <w:rFonts w:ascii="Times New Roman" w:hAnsi="Times New Roman" w:cs="Times New Roman"/>
          <w:sz w:val="28"/>
          <w:szCs w:val="28"/>
        </w:rPr>
        <w:t xml:space="preserve"> paredzamās algu izmaksas, ko rada sākotnējā ieguldījuma rezultātā radītās darbvietas,</w:t>
      </w:r>
      <w:r w:rsidR="00825077" w:rsidRPr="00EE3484">
        <w:rPr>
          <w:rFonts w:ascii="Times New Roman" w:hAnsi="Times New Roman" w:cs="Times New Roman"/>
          <w:sz w:val="28"/>
          <w:szCs w:val="28"/>
        </w:rPr>
        <w:t xml:space="preserve"> atbilstoši Komisijas regulas Nr. </w:t>
      </w:r>
      <w:hyperlink r:id="rId9" w:tgtFrame="_blank" w:history="1">
        <w:r w:rsidR="00825077" w:rsidRPr="00EE3484">
          <w:rPr>
            <w:rFonts w:ascii="Times New Roman" w:hAnsi="Times New Roman" w:cs="Times New Roman"/>
            <w:sz w:val="28"/>
            <w:szCs w:val="28"/>
          </w:rPr>
          <w:t>651/2014</w:t>
        </w:r>
      </w:hyperlink>
      <w:r w:rsidR="00825077" w:rsidRPr="00EE3484">
        <w:rPr>
          <w:rFonts w:ascii="Times New Roman" w:hAnsi="Times New Roman" w:cs="Times New Roman"/>
          <w:sz w:val="28"/>
          <w:szCs w:val="28"/>
        </w:rPr>
        <w:t xml:space="preserve"> 14.panta</w:t>
      </w:r>
      <w:r w:rsidR="00F50CBC">
        <w:rPr>
          <w:rFonts w:ascii="Times New Roman" w:hAnsi="Times New Roman" w:cs="Times New Roman"/>
          <w:sz w:val="28"/>
          <w:szCs w:val="28"/>
        </w:rPr>
        <w:t>m</w:t>
      </w:r>
      <w:r w:rsidR="00825077" w:rsidRPr="00EE3484">
        <w:rPr>
          <w:rFonts w:ascii="Times New Roman" w:hAnsi="Times New Roman" w:cs="Times New Roman"/>
          <w:sz w:val="28"/>
          <w:szCs w:val="28"/>
        </w:rPr>
        <w:t>.</w:t>
      </w:r>
      <w:r w:rsidR="009E2803" w:rsidRPr="00EE3484">
        <w:rPr>
          <w:rFonts w:ascii="Times New Roman" w:hAnsi="Times New Roman" w:cs="Times New Roman"/>
          <w:sz w:val="28"/>
          <w:szCs w:val="28"/>
        </w:rPr>
        <w:t>”.</w:t>
      </w:r>
    </w:p>
    <w:p w:rsidR="007236CA" w:rsidRPr="00EE3484" w:rsidRDefault="007236CA" w:rsidP="007236CA">
      <w:pPr>
        <w:autoSpaceDE w:val="0"/>
        <w:autoSpaceDN w:val="0"/>
        <w:adjustRightInd w:val="0"/>
        <w:spacing w:after="0" w:line="240" w:lineRule="auto"/>
        <w:jc w:val="both"/>
        <w:rPr>
          <w:rFonts w:ascii="Times New Roman" w:hAnsi="Times New Roman" w:cs="Times New Roman"/>
          <w:sz w:val="28"/>
          <w:szCs w:val="28"/>
        </w:rPr>
      </w:pPr>
    </w:p>
    <w:p w:rsidR="00816F7F" w:rsidRDefault="008A7FED" w:rsidP="00BF18D5">
      <w:pPr>
        <w:pStyle w:val="ListParagraph"/>
        <w:numPr>
          <w:ilvl w:val="0"/>
          <w:numId w:val="2"/>
        </w:numPr>
        <w:spacing w:after="0" w:line="240" w:lineRule="auto"/>
        <w:jc w:val="both"/>
        <w:rPr>
          <w:rFonts w:ascii="Times New Roman" w:hAnsi="Times New Roman" w:cs="Times New Roman"/>
          <w:sz w:val="28"/>
          <w:szCs w:val="28"/>
        </w:rPr>
      </w:pPr>
      <w:r w:rsidRPr="00EE3484">
        <w:rPr>
          <w:rFonts w:ascii="Times New Roman" w:hAnsi="Times New Roman" w:cs="Times New Roman"/>
          <w:sz w:val="28"/>
          <w:szCs w:val="28"/>
        </w:rPr>
        <w:t>Izteikt</w:t>
      </w:r>
      <w:r w:rsidR="003C3CF9" w:rsidRPr="00EE3484">
        <w:rPr>
          <w:rFonts w:ascii="Times New Roman" w:hAnsi="Times New Roman" w:cs="Times New Roman"/>
          <w:sz w:val="28"/>
          <w:szCs w:val="28"/>
        </w:rPr>
        <w:t xml:space="preserve"> 8.pant</w:t>
      </w:r>
      <w:r w:rsidR="00696F21" w:rsidRPr="00EE3484">
        <w:rPr>
          <w:rFonts w:ascii="Times New Roman" w:hAnsi="Times New Roman" w:cs="Times New Roman"/>
          <w:sz w:val="28"/>
          <w:szCs w:val="28"/>
        </w:rPr>
        <w:t>a</w:t>
      </w:r>
      <w:r w:rsidR="00111E88" w:rsidRPr="00EE3484">
        <w:rPr>
          <w:rFonts w:ascii="Times New Roman" w:hAnsi="Times New Roman" w:cs="Times New Roman"/>
          <w:sz w:val="28"/>
          <w:szCs w:val="28"/>
        </w:rPr>
        <w:t xml:space="preserve"> piektajā un sestajā daļā vārdus “1.panta otrās daļas 12.punktam” ar vārdiem “1.panta otrās daļas </w:t>
      </w:r>
      <w:r w:rsidR="002E7A0C">
        <w:rPr>
          <w:rFonts w:ascii="Times New Roman" w:hAnsi="Times New Roman" w:cs="Times New Roman"/>
          <w:sz w:val="28"/>
          <w:szCs w:val="28"/>
        </w:rPr>
        <w:t xml:space="preserve">12., </w:t>
      </w:r>
      <w:r w:rsidR="00ED2EA1" w:rsidRPr="00EE3484">
        <w:rPr>
          <w:rFonts w:ascii="Times New Roman" w:hAnsi="Times New Roman" w:cs="Times New Roman"/>
          <w:sz w:val="28"/>
          <w:szCs w:val="28"/>
        </w:rPr>
        <w:t>12</w:t>
      </w:r>
      <w:r w:rsidR="00ED2EA1" w:rsidRPr="00EE3484">
        <w:rPr>
          <w:rFonts w:ascii="Times New Roman" w:hAnsi="Times New Roman" w:cs="Times New Roman"/>
          <w:bCs/>
          <w:sz w:val="28"/>
          <w:szCs w:val="28"/>
          <w:vertAlign w:val="superscript"/>
        </w:rPr>
        <w:t>1</w:t>
      </w:r>
      <w:r w:rsidR="00DE172B" w:rsidRPr="00EE3484">
        <w:rPr>
          <w:rFonts w:ascii="Times New Roman" w:hAnsi="Times New Roman" w:cs="Times New Roman"/>
          <w:sz w:val="28"/>
          <w:szCs w:val="28"/>
        </w:rPr>
        <w:t>)</w:t>
      </w:r>
      <w:r w:rsidR="002E7A0C">
        <w:rPr>
          <w:rFonts w:ascii="Times New Roman" w:hAnsi="Times New Roman" w:cs="Times New Roman"/>
          <w:sz w:val="28"/>
          <w:szCs w:val="28"/>
        </w:rPr>
        <w:t>.</w:t>
      </w:r>
      <w:r w:rsidR="00ED2EA1" w:rsidRPr="00EE3484">
        <w:rPr>
          <w:rFonts w:ascii="Times New Roman" w:hAnsi="Times New Roman" w:cs="Times New Roman"/>
          <w:b/>
          <w:sz w:val="28"/>
          <w:szCs w:val="28"/>
        </w:rPr>
        <w:t xml:space="preserve"> </w:t>
      </w:r>
      <w:r w:rsidR="002E7A0C" w:rsidRPr="002E7A0C">
        <w:rPr>
          <w:rFonts w:ascii="Times New Roman" w:hAnsi="Times New Roman" w:cs="Times New Roman"/>
          <w:sz w:val="28"/>
          <w:szCs w:val="28"/>
        </w:rPr>
        <w:t xml:space="preserve">un </w:t>
      </w:r>
      <w:r w:rsidR="002E7A0C" w:rsidRPr="00BF18D5">
        <w:rPr>
          <w:rFonts w:ascii="Times New Roman" w:hAnsi="Times New Roman" w:cs="Times New Roman"/>
          <w:sz w:val="28"/>
          <w:szCs w:val="28"/>
        </w:rPr>
        <w:t>12</w:t>
      </w:r>
      <w:r w:rsidR="002E7A0C" w:rsidRPr="00BF18D5">
        <w:rPr>
          <w:rFonts w:ascii="Times New Roman" w:hAnsi="Times New Roman" w:cs="Times New Roman"/>
          <w:bCs/>
          <w:sz w:val="28"/>
          <w:szCs w:val="28"/>
          <w:vertAlign w:val="superscript"/>
        </w:rPr>
        <w:t>2</w:t>
      </w:r>
      <w:r w:rsidR="00DE172B">
        <w:rPr>
          <w:rFonts w:ascii="Times New Roman" w:hAnsi="Times New Roman" w:cs="Times New Roman"/>
          <w:sz w:val="28"/>
          <w:szCs w:val="28"/>
        </w:rPr>
        <w:t>)</w:t>
      </w:r>
      <w:r w:rsidR="002E7A0C" w:rsidRPr="00BF18D5">
        <w:rPr>
          <w:rFonts w:ascii="Times New Roman" w:hAnsi="Times New Roman" w:cs="Times New Roman"/>
          <w:sz w:val="28"/>
          <w:szCs w:val="28"/>
          <w:lang w:eastAsia="lv-LV"/>
        </w:rPr>
        <w:t>.</w:t>
      </w:r>
      <w:r w:rsidR="002E7A0C" w:rsidRPr="00BF18D5">
        <w:rPr>
          <w:rFonts w:ascii="Times New Roman" w:hAnsi="Times New Roman" w:cs="Times New Roman"/>
          <w:sz w:val="28"/>
          <w:szCs w:val="28"/>
        </w:rPr>
        <w:t xml:space="preserve"> </w:t>
      </w:r>
      <w:r w:rsidR="00ED2EA1" w:rsidRPr="00EE3484">
        <w:rPr>
          <w:rFonts w:ascii="Times New Roman" w:hAnsi="Times New Roman" w:cs="Times New Roman"/>
          <w:sz w:val="28"/>
          <w:szCs w:val="28"/>
        </w:rPr>
        <w:t>punktam</w:t>
      </w:r>
      <w:r w:rsidR="00111E88" w:rsidRPr="00EE3484">
        <w:rPr>
          <w:rFonts w:ascii="Times New Roman" w:hAnsi="Times New Roman" w:cs="Times New Roman"/>
          <w:sz w:val="28"/>
          <w:szCs w:val="28"/>
        </w:rPr>
        <w:t>”</w:t>
      </w:r>
      <w:r w:rsidR="009B0B34" w:rsidRPr="00EE3484">
        <w:rPr>
          <w:rFonts w:ascii="Times New Roman" w:hAnsi="Times New Roman" w:cs="Times New Roman"/>
          <w:sz w:val="28"/>
          <w:szCs w:val="28"/>
        </w:rPr>
        <w:t xml:space="preserve"> attiecīgajā locījumā</w:t>
      </w:r>
      <w:r w:rsidR="00111E88" w:rsidRPr="00EE3484">
        <w:rPr>
          <w:rFonts w:ascii="Times New Roman" w:hAnsi="Times New Roman" w:cs="Times New Roman"/>
          <w:sz w:val="28"/>
          <w:szCs w:val="28"/>
        </w:rPr>
        <w:t>.</w:t>
      </w:r>
    </w:p>
    <w:p w:rsidR="00C42104" w:rsidRDefault="00C42104" w:rsidP="00C42104">
      <w:pPr>
        <w:pStyle w:val="ListParagraph"/>
        <w:spacing w:after="0" w:line="240" w:lineRule="auto"/>
        <w:jc w:val="both"/>
        <w:rPr>
          <w:rFonts w:ascii="Times New Roman" w:hAnsi="Times New Roman" w:cs="Times New Roman"/>
          <w:sz w:val="28"/>
          <w:szCs w:val="28"/>
        </w:rPr>
      </w:pPr>
    </w:p>
    <w:p w:rsidR="00C42104" w:rsidRDefault="00C42104" w:rsidP="00BF18D5">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Papildināt 8</w:t>
      </w:r>
      <w:r w:rsidRPr="00BF18D5">
        <w:rPr>
          <w:rFonts w:ascii="Times New Roman" w:hAnsi="Times New Roman" w:cs="Times New Roman"/>
          <w:sz w:val="28"/>
          <w:szCs w:val="28"/>
        </w:rPr>
        <w:t>.</w:t>
      </w:r>
      <w:r>
        <w:rPr>
          <w:rFonts w:ascii="Times New Roman" w:hAnsi="Times New Roman" w:cs="Times New Roman"/>
          <w:bCs/>
          <w:sz w:val="28"/>
          <w:szCs w:val="28"/>
          <w:vertAlign w:val="superscript"/>
        </w:rPr>
        <w:t>2</w:t>
      </w:r>
      <w:r w:rsidRPr="00BF18D5">
        <w:rPr>
          <w:rFonts w:ascii="Times New Roman" w:hAnsi="Times New Roman" w:cs="Times New Roman"/>
          <w:bCs/>
          <w:sz w:val="28"/>
          <w:szCs w:val="28"/>
          <w:vertAlign w:val="superscript"/>
        </w:rPr>
        <w:t xml:space="preserve"> </w:t>
      </w:r>
      <w:r w:rsidRPr="00BF18D5">
        <w:rPr>
          <w:rFonts w:ascii="Times New Roman" w:hAnsi="Times New Roman" w:cs="Times New Roman"/>
          <w:sz w:val="28"/>
          <w:szCs w:val="28"/>
        </w:rPr>
        <w:t>pant</w:t>
      </w:r>
      <w:r>
        <w:rPr>
          <w:rFonts w:ascii="Times New Roman" w:hAnsi="Times New Roman" w:cs="Times New Roman"/>
          <w:sz w:val="28"/>
          <w:szCs w:val="28"/>
        </w:rPr>
        <w:t xml:space="preserve">u </w:t>
      </w:r>
      <w:r w:rsidR="004A6FD6">
        <w:rPr>
          <w:rFonts w:ascii="Times New Roman" w:hAnsi="Times New Roman" w:cs="Times New Roman"/>
          <w:sz w:val="28"/>
          <w:szCs w:val="28"/>
        </w:rPr>
        <w:t>ar ceturto daļu šādā redakcijā:</w:t>
      </w:r>
    </w:p>
    <w:p w:rsidR="004A6FD6" w:rsidRPr="004A6FD6" w:rsidRDefault="004A6FD6" w:rsidP="004A6F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1B0919">
        <w:rPr>
          <w:rFonts w:ascii="Times New Roman" w:hAnsi="Times New Roman" w:cs="Times New Roman"/>
          <w:sz w:val="28"/>
          <w:szCs w:val="28"/>
        </w:rPr>
        <w:t xml:space="preserve">(4) </w:t>
      </w:r>
      <w:r w:rsidRPr="004A6FD6">
        <w:rPr>
          <w:rFonts w:ascii="Times New Roman" w:hAnsi="Times New Roman" w:cs="Times New Roman"/>
          <w:sz w:val="28"/>
          <w:szCs w:val="28"/>
        </w:rPr>
        <w:t xml:space="preserve">Gadījumā, ja </w:t>
      </w:r>
      <w:r w:rsidR="001B0919" w:rsidRPr="00EE3484">
        <w:rPr>
          <w:rFonts w:ascii="Times New Roman" w:hAnsi="Times New Roman" w:cs="Times New Roman"/>
          <w:sz w:val="28"/>
          <w:szCs w:val="28"/>
        </w:rPr>
        <w:t>Latgales speciālās ekonomiskās zonas kapitālsabiedrīb</w:t>
      </w:r>
      <w:r w:rsidR="001B0919">
        <w:rPr>
          <w:rFonts w:ascii="Times New Roman" w:hAnsi="Times New Roman" w:cs="Times New Roman"/>
          <w:sz w:val="28"/>
          <w:szCs w:val="28"/>
        </w:rPr>
        <w:t>ām</w:t>
      </w:r>
      <w:r w:rsidR="001B0919" w:rsidRPr="004A6FD6">
        <w:rPr>
          <w:rFonts w:ascii="Times New Roman" w:hAnsi="Times New Roman" w:cs="Times New Roman"/>
          <w:sz w:val="28"/>
          <w:szCs w:val="28"/>
        </w:rPr>
        <w:t xml:space="preserve"> </w:t>
      </w:r>
      <w:r w:rsidRPr="004A6FD6">
        <w:rPr>
          <w:rFonts w:ascii="Times New Roman" w:hAnsi="Times New Roman" w:cs="Times New Roman"/>
          <w:sz w:val="28"/>
          <w:szCs w:val="28"/>
        </w:rPr>
        <w:t>tiek piemērots atbalsts paredzamajām algu izmaksām, kas ir saistītas ar sākotnējiem ieguldījumiem, tad atbalsta kumulācija nav iespējama arī attiecībā uz šiem pašiem saistītajiem sākotnējiem ieguldījumiem citu atbalsta programmu ietvaros.</w:t>
      </w:r>
      <w:r w:rsidR="001B0919">
        <w:rPr>
          <w:rFonts w:ascii="Times New Roman" w:hAnsi="Times New Roman" w:cs="Times New Roman"/>
          <w:sz w:val="28"/>
          <w:szCs w:val="28"/>
        </w:rPr>
        <w:t>”.</w:t>
      </w:r>
      <w:r w:rsidR="000227CB">
        <w:rPr>
          <w:rFonts w:ascii="Times New Roman" w:hAnsi="Times New Roman" w:cs="Times New Roman"/>
          <w:sz w:val="28"/>
          <w:szCs w:val="28"/>
        </w:rPr>
        <w:t xml:space="preserve"> </w:t>
      </w:r>
    </w:p>
    <w:p w:rsidR="00BF18D5" w:rsidRDefault="00BF18D5" w:rsidP="00BF18D5">
      <w:pPr>
        <w:pStyle w:val="ListParagraph"/>
        <w:spacing w:after="0" w:line="240" w:lineRule="auto"/>
        <w:jc w:val="both"/>
        <w:rPr>
          <w:rFonts w:ascii="Times New Roman" w:hAnsi="Times New Roman" w:cs="Times New Roman"/>
          <w:sz w:val="28"/>
          <w:szCs w:val="28"/>
        </w:rPr>
      </w:pPr>
    </w:p>
    <w:p w:rsidR="00605652" w:rsidRPr="002543F3" w:rsidRDefault="00314BC6" w:rsidP="00BF18D5">
      <w:pPr>
        <w:pStyle w:val="ListParagraph"/>
        <w:numPr>
          <w:ilvl w:val="0"/>
          <w:numId w:val="2"/>
        </w:numPr>
        <w:spacing w:after="0" w:line="240" w:lineRule="auto"/>
        <w:jc w:val="both"/>
        <w:rPr>
          <w:rFonts w:ascii="Times New Roman" w:hAnsi="Times New Roman" w:cs="Times New Roman"/>
          <w:sz w:val="28"/>
          <w:szCs w:val="28"/>
        </w:rPr>
      </w:pPr>
      <w:r w:rsidRPr="002543F3">
        <w:rPr>
          <w:rFonts w:ascii="Times New Roman" w:hAnsi="Times New Roman" w:cs="Times New Roman"/>
          <w:sz w:val="28"/>
          <w:szCs w:val="28"/>
        </w:rPr>
        <w:t>Papildināt</w:t>
      </w:r>
      <w:r w:rsidR="002A3924" w:rsidRPr="002543F3">
        <w:rPr>
          <w:rFonts w:ascii="Times New Roman" w:hAnsi="Times New Roman" w:cs="Times New Roman"/>
          <w:sz w:val="28"/>
          <w:szCs w:val="28"/>
        </w:rPr>
        <w:t xml:space="preserve"> 8.pielikuma </w:t>
      </w:r>
      <w:r w:rsidR="000D6056" w:rsidRPr="002543F3">
        <w:rPr>
          <w:rFonts w:ascii="Times New Roman" w:hAnsi="Times New Roman" w:cs="Times New Roman"/>
          <w:sz w:val="28"/>
          <w:szCs w:val="28"/>
        </w:rPr>
        <w:t>5.</w:t>
      </w:r>
      <w:r w:rsidR="002A3924" w:rsidRPr="002543F3">
        <w:rPr>
          <w:rFonts w:ascii="Times New Roman" w:hAnsi="Times New Roman" w:cs="Times New Roman"/>
          <w:sz w:val="28"/>
          <w:szCs w:val="28"/>
        </w:rPr>
        <w:t>punktu šādā redakcijā:</w:t>
      </w:r>
    </w:p>
    <w:p w:rsidR="002A3924" w:rsidRPr="00EE3484" w:rsidRDefault="002A3924" w:rsidP="002A3924">
      <w:pPr>
        <w:spacing w:after="0" w:line="240" w:lineRule="auto"/>
        <w:ind w:firstLine="360"/>
        <w:jc w:val="both"/>
        <w:rPr>
          <w:rFonts w:ascii="Times New Roman" w:hAnsi="Times New Roman" w:cs="Times New Roman"/>
          <w:sz w:val="28"/>
          <w:szCs w:val="28"/>
        </w:rPr>
      </w:pPr>
      <w:r w:rsidRPr="00EE3484">
        <w:rPr>
          <w:rFonts w:ascii="Times New Roman" w:hAnsi="Times New Roman" w:cs="Times New Roman"/>
          <w:sz w:val="28"/>
          <w:szCs w:val="28"/>
        </w:rPr>
        <w:t>“e) paredzamajām algu izmaksām, ko rada sākotnējā ieguldījuma rezultātā radītās darbvietas</w:t>
      </w:r>
      <w:r w:rsidR="00A02B73" w:rsidRPr="00EE3484">
        <w:rPr>
          <w:rFonts w:ascii="Times New Roman" w:hAnsi="Times New Roman" w:cs="Times New Roman"/>
          <w:sz w:val="28"/>
          <w:szCs w:val="28"/>
        </w:rPr>
        <w:t>, rēķinot par divu gadu periodu</w:t>
      </w:r>
      <w:r w:rsidRPr="00EE3484">
        <w:rPr>
          <w:rFonts w:ascii="Times New Roman" w:hAnsi="Times New Roman" w:cs="Times New Roman"/>
          <w:sz w:val="28"/>
          <w:szCs w:val="28"/>
        </w:rPr>
        <w:t>.”.</w:t>
      </w:r>
    </w:p>
    <w:p w:rsidR="00DB62E7" w:rsidRPr="00EE3484" w:rsidRDefault="00DB62E7" w:rsidP="00446A41">
      <w:pPr>
        <w:spacing w:after="0" w:line="240" w:lineRule="auto"/>
        <w:jc w:val="both"/>
        <w:rPr>
          <w:rFonts w:ascii="Times New Roman" w:hAnsi="Times New Roman" w:cs="Times New Roman"/>
          <w:sz w:val="28"/>
          <w:szCs w:val="28"/>
        </w:rPr>
      </w:pPr>
    </w:p>
    <w:p w:rsidR="00A32953" w:rsidRPr="00471540" w:rsidRDefault="00A32953" w:rsidP="00446A41">
      <w:pPr>
        <w:spacing w:after="0" w:line="240" w:lineRule="auto"/>
        <w:jc w:val="both"/>
        <w:rPr>
          <w:rFonts w:ascii="Times New Roman" w:hAnsi="Times New Roman" w:cs="Times New Roman"/>
          <w:sz w:val="24"/>
          <w:szCs w:val="24"/>
        </w:rPr>
      </w:pPr>
    </w:p>
    <w:p w:rsidR="00446A41" w:rsidRPr="00471540" w:rsidRDefault="00446A41" w:rsidP="00446A41">
      <w:pPr>
        <w:spacing w:after="0" w:line="240" w:lineRule="auto"/>
        <w:jc w:val="bot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2035"/>
      </w:tblGrid>
      <w:tr w:rsidR="0053698B" w:rsidTr="0053698B">
        <w:tc>
          <w:tcPr>
            <w:tcW w:w="6487" w:type="dxa"/>
          </w:tcPr>
          <w:p w:rsidR="0053698B" w:rsidRDefault="0053698B" w:rsidP="00CC0EF2">
            <w:pPr>
              <w:jc w:val="both"/>
              <w:rPr>
                <w:rFonts w:ascii="Times New Roman" w:hAnsi="Times New Roman" w:cs="Times New Roman"/>
                <w:sz w:val="24"/>
                <w:szCs w:val="24"/>
                <w:lang w:eastAsia="lv-LV"/>
              </w:rPr>
            </w:pPr>
            <w:r w:rsidRPr="00127BA3">
              <w:rPr>
                <w:rFonts w:ascii="Times New Roman" w:eastAsia="Calibri" w:hAnsi="Times New Roman" w:cs="Times New Roman"/>
                <w:sz w:val="28"/>
                <w:szCs w:val="28"/>
              </w:rPr>
              <w:t>Ministru prezidents</w:t>
            </w:r>
          </w:p>
        </w:tc>
        <w:tc>
          <w:tcPr>
            <w:tcW w:w="2035" w:type="dxa"/>
          </w:tcPr>
          <w:p w:rsidR="0053698B" w:rsidRDefault="0053698B" w:rsidP="0053698B">
            <w:pPr>
              <w:jc w:val="right"/>
              <w:rPr>
                <w:rFonts w:ascii="Times New Roman" w:hAnsi="Times New Roman" w:cs="Times New Roman"/>
                <w:sz w:val="24"/>
                <w:szCs w:val="24"/>
                <w:lang w:eastAsia="lv-LV"/>
              </w:rPr>
            </w:pPr>
            <w:r w:rsidRPr="00127BA3">
              <w:rPr>
                <w:rFonts w:ascii="Times New Roman" w:eastAsia="Calibri" w:hAnsi="Times New Roman" w:cs="Times New Roman"/>
                <w:sz w:val="28"/>
                <w:szCs w:val="28"/>
              </w:rPr>
              <w:t>M. Kučinskis</w:t>
            </w:r>
          </w:p>
        </w:tc>
      </w:tr>
      <w:tr w:rsidR="0053698B" w:rsidTr="0053698B">
        <w:tc>
          <w:tcPr>
            <w:tcW w:w="6487" w:type="dxa"/>
          </w:tcPr>
          <w:p w:rsidR="0053698B" w:rsidRDefault="0053698B" w:rsidP="00CC0EF2">
            <w:pPr>
              <w:jc w:val="both"/>
              <w:rPr>
                <w:rFonts w:ascii="Times New Roman" w:eastAsia="Calibri" w:hAnsi="Times New Roman" w:cs="Times New Roman"/>
                <w:sz w:val="28"/>
                <w:szCs w:val="28"/>
              </w:rPr>
            </w:pPr>
          </w:p>
          <w:p w:rsidR="0053698B" w:rsidRDefault="0053698B" w:rsidP="00CC0EF2">
            <w:pPr>
              <w:jc w:val="both"/>
              <w:rPr>
                <w:rFonts w:ascii="Times New Roman" w:eastAsia="Calibri" w:hAnsi="Times New Roman" w:cs="Times New Roman"/>
                <w:sz w:val="28"/>
                <w:szCs w:val="28"/>
              </w:rPr>
            </w:pPr>
          </w:p>
          <w:p w:rsidR="0053698B" w:rsidRPr="00127BA3" w:rsidRDefault="0053698B" w:rsidP="00CC0EF2">
            <w:pPr>
              <w:jc w:val="both"/>
              <w:rPr>
                <w:rFonts w:ascii="Times New Roman" w:eastAsia="Calibri" w:hAnsi="Times New Roman" w:cs="Times New Roman"/>
                <w:sz w:val="28"/>
                <w:szCs w:val="28"/>
              </w:rPr>
            </w:pPr>
          </w:p>
        </w:tc>
        <w:tc>
          <w:tcPr>
            <w:tcW w:w="2035" w:type="dxa"/>
          </w:tcPr>
          <w:p w:rsidR="0053698B" w:rsidRPr="00127BA3" w:rsidRDefault="0053698B" w:rsidP="0053698B">
            <w:pPr>
              <w:jc w:val="right"/>
              <w:rPr>
                <w:rFonts w:ascii="Times New Roman" w:eastAsia="Calibri" w:hAnsi="Times New Roman" w:cs="Times New Roman"/>
                <w:sz w:val="28"/>
                <w:szCs w:val="28"/>
              </w:rPr>
            </w:pPr>
          </w:p>
        </w:tc>
      </w:tr>
      <w:tr w:rsidR="0053698B" w:rsidTr="0053698B">
        <w:tc>
          <w:tcPr>
            <w:tcW w:w="6487" w:type="dxa"/>
          </w:tcPr>
          <w:p w:rsidR="0053698B" w:rsidRDefault="0053698B" w:rsidP="00CC0EF2">
            <w:pPr>
              <w:jc w:val="both"/>
              <w:rPr>
                <w:rFonts w:ascii="Times New Roman" w:hAnsi="Times New Roman" w:cs="Times New Roman"/>
                <w:sz w:val="24"/>
                <w:szCs w:val="24"/>
                <w:lang w:eastAsia="lv-LV"/>
              </w:rPr>
            </w:pPr>
            <w:r w:rsidRPr="00127BA3">
              <w:rPr>
                <w:rFonts w:ascii="Times New Roman" w:hAnsi="Times New Roman" w:cs="Times New Roman"/>
                <w:sz w:val="28"/>
                <w:szCs w:val="28"/>
              </w:rPr>
              <w:t>Vides aizsardzības un re</w:t>
            </w:r>
            <w:r>
              <w:rPr>
                <w:rFonts w:ascii="Times New Roman" w:hAnsi="Times New Roman" w:cs="Times New Roman"/>
                <w:sz w:val="28"/>
                <w:szCs w:val="28"/>
              </w:rPr>
              <w:t>ģionālās attīstības ministrs</w:t>
            </w:r>
            <w:r>
              <w:rPr>
                <w:rFonts w:ascii="Times New Roman" w:hAnsi="Times New Roman" w:cs="Times New Roman"/>
                <w:sz w:val="28"/>
                <w:szCs w:val="28"/>
              </w:rPr>
              <w:tab/>
            </w:r>
          </w:p>
        </w:tc>
        <w:tc>
          <w:tcPr>
            <w:tcW w:w="2035" w:type="dxa"/>
          </w:tcPr>
          <w:p w:rsidR="0053698B" w:rsidRPr="00127BA3" w:rsidRDefault="0053698B" w:rsidP="0053698B">
            <w:pPr>
              <w:spacing w:after="120"/>
              <w:jc w:val="right"/>
              <w:rPr>
                <w:rFonts w:ascii="Times New Roman" w:hAnsi="Times New Roman" w:cs="Times New Roman"/>
                <w:sz w:val="28"/>
                <w:szCs w:val="28"/>
              </w:rPr>
            </w:pPr>
            <w:r w:rsidRPr="00127BA3">
              <w:rPr>
                <w:rFonts w:ascii="Times New Roman" w:hAnsi="Times New Roman" w:cs="Times New Roman"/>
                <w:sz w:val="28"/>
                <w:szCs w:val="28"/>
              </w:rPr>
              <w:t>K. Gerhards</w:t>
            </w:r>
          </w:p>
          <w:p w:rsidR="0053698B" w:rsidRDefault="0053698B" w:rsidP="0053698B">
            <w:pPr>
              <w:jc w:val="right"/>
              <w:rPr>
                <w:rFonts w:ascii="Times New Roman" w:hAnsi="Times New Roman" w:cs="Times New Roman"/>
                <w:sz w:val="24"/>
                <w:szCs w:val="24"/>
                <w:lang w:eastAsia="lv-LV"/>
              </w:rPr>
            </w:pPr>
          </w:p>
        </w:tc>
      </w:tr>
    </w:tbl>
    <w:p w:rsidR="00F274F7" w:rsidRPr="00471540" w:rsidRDefault="00F274F7" w:rsidP="00CC0EF2">
      <w:pPr>
        <w:spacing w:after="0" w:line="240" w:lineRule="auto"/>
        <w:jc w:val="both"/>
        <w:rPr>
          <w:rFonts w:ascii="Times New Roman" w:hAnsi="Times New Roman" w:cs="Times New Roman"/>
          <w:sz w:val="24"/>
          <w:szCs w:val="24"/>
          <w:lang w:eastAsia="lv-LV"/>
        </w:rPr>
      </w:pPr>
    </w:p>
    <w:p w:rsidR="00F274F7" w:rsidRPr="00471540" w:rsidRDefault="00F274F7" w:rsidP="00CC0EF2">
      <w:pPr>
        <w:spacing w:after="0" w:line="240" w:lineRule="auto"/>
        <w:ind w:firstLine="720"/>
        <w:jc w:val="both"/>
        <w:rPr>
          <w:rFonts w:ascii="Times New Roman" w:hAnsi="Times New Roman" w:cs="Times New Roman"/>
          <w:color w:val="000000" w:themeColor="text1"/>
          <w:sz w:val="24"/>
          <w:szCs w:val="24"/>
        </w:rPr>
      </w:pPr>
    </w:p>
    <w:sectPr w:rsidR="00F274F7" w:rsidRPr="00471540" w:rsidSect="00AE26BE">
      <w:headerReference w:type="default" r:id="rId10"/>
      <w:footerReference w:type="default" r:id="rId11"/>
      <w:foot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A46" w:rsidRDefault="00FA4A46" w:rsidP="00E41E06">
      <w:pPr>
        <w:spacing w:after="0" w:line="240" w:lineRule="auto"/>
      </w:pPr>
      <w:r>
        <w:separator/>
      </w:r>
    </w:p>
  </w:endnote>
  <w:endnote w:type="continuationSeparator" w:id="0">
    <w:p w:rsidR="00FA4A46" w:rsidRDefault="00FA4A46" w:rsidP="00E41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E8" w:rsidRPr="00DD2693" w:rsidRDefault="00E51EE8" w:rsidP="00E51EE8">
    <w:pPr>
      <w:tabs>
        <w:tab w:val="left" w:pos="6096"/>
      </w:tabs>
      <w:spacing w:after="0" w:line="240" w:lineRule="auto"/>
      <w:jc w:val="both"/>
      <w:rPr>
        <w:rFonts w:ascii="Times New Roman" w:hAnsi="Times New Roman" w:cs="Times New Roman"/>
      </w:rPr>
    </w:pPr>
    <w:r w:rsidRPr="00DD2693">
      <w:rPr>
        <w:rFonts w:ascii="Times New Roman" w:hAnsi="Times New Roman" w:cs="Times New Roman"/>
      </w:rPr>
      <w:t>VARAMLik_groz_SEZ_brivostas_131217</w:t>
    </w:r>
    <w:r w:rsidR="00E41E06" w:rsidRPr="00DD2693">
      <w:rPr>
        <w:rFonts w:ascii="Times New Roman" w:hAnsi="Times New Roman" w:cs="Times New Roman"/>
      </w:rPr>
      <w:t xml:space="preserve">; </w:t>
    </w:r>
    <w:r w:rsidRPr="00DD2693">
      <w:rPr>
        <w:rFonts w:ascii="Times New Roman" w:hAnsi="Times New Roman" w:cs="Times New Roman"/>
      </w:rPr>
      <w:t>Likumprojekts “Grozījumi likumā “Par nodokļu piemērošanu brīvostās un speciālajās ekonomiskajās zonās”</w:t>
    </w:r>
  </w:p>
  <w:p w:rsidR="00E41E06" w:rsidRPr="00C16296" w:rsidRDefault="00E41E06" w:rsidP="00E41E06">
    <w:pPr>
      <w:spacing w:after="0" w:line="240" w:lineRule="auto"/>
      <w:jc w:val="both"/>
      <w:rPr>
        <w:rFonts w:ascii="Times New Roman" w:hAnsi="Times New Roman" w:cs="Times New Roman"/>
        <w:sz w:val="20"/>
        <w:szCs w:val="20"/>
      </w:rPr>
    </w:pPr>
  </w:p>
  <w:p w:rsidR="00E41E06" w:rsidRDefault="00E41E06" w:rsidP="00E41E06">
    <w:pPr>
      <w:pStyle w:val="Footer"/>
      <w:tabs>
        <w:tab w:val="clear" w:pos="4153"/>
        <w:tab w:val="clear" w:pos="8306"/>
        <w:tab w:val="left" w:pos="14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3F3" w:rsidRPr="00DD2693" w:rsidRDefault="002543F3" w:rsidP="002543F3">
    <w:pPr>
      <w:tabs>
        <w:tab w:val="left" w:pos="6096"/>
      </w:tabs>
      <w:spacing w:after="0" w:line="240" w:lineRule="auto"/>
      <w:jc w:val="both"/>
      <w:rPr>
        <w:rFonts w:ascii="Times New Roman" w:hAnsi="Times New Roman" w:cs="Times New Roman"/>
      </w:rPr>
    </w:pPr>
    <w:r w:rsidRPr="00DD2693">
      <w:rPr>
        <w:rFonts w:ascii="Times New Roman" w:hAnsi="Times New Roman" w:cs="Times New Roman"/>
      </w:rPr>
      <w:t>VARAMLik_groz_SEZ_brivostas_131217; Likumprojekts “Grozījumi likumā “Par nodokļu piemērošanu brīvostās un speciālajās ekonomiskajās zonās”</w:t>
    </w:r>
  </w:p>
  <w:p w:rsidR="002543F3" w:rsidRDefault="002543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A46" w:rsidRDefault="00FA4A46" w:rsidP="00E41E06">
      <w:pPr>
        <w:spacing w:after="0" w:line="240" w:lineRule="auto"/>
      </w:pPr>
      <w:r>
        <w:separator/>
      </w:r>
    </w:p>
  </w:footnote>
  <w:footnote w:type="continuationSeparator" w:id="0">
    <w:p w:rsidR="00FA4A46" w:rsidRDefault="00FA4A46" w:rsidP="00E41E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9315509"/>
      <w:docPartObj>
        <w:docPartGallery w:val="Page Numbers (Top of Page)"/>
        <w:docPartUnique/>
      </w:docPartObj>
    </w:sdtPr>
    <w:sdtEndPr>
      <w:rPr>
        <w:rFonts w:ascii="Times New Roman" w:hAnsi="Times New Roman" w:cs="Times New Roman"/>
        <w:noProof/>
      </w:rPr>
    </w:sdtEndPr>
    <w:sdtContent>
      <w:p w:rsidR="00AE26BE" w:rsidRPr="00AE26BE" w:rsidRDefault="00AE26BE">
        <w:pPr>
          <w:pStyle w:val="Header"/>
          <w:jc w:val="center"/>
          <w:rPr>
            <w:rFonts w:ascii="Times New Roman" w:hAnsi="Times New Roman" w:cs="Times New Roman"/>
          </w:rPr>
        </w:pPr>
        <w:r w:rsidRPr="00AE26BE">
          <w:rPr>
            <w:rFonts w:ascii="Times New Roman" w:hAnsi="Times New Roman" w:cs="Times New Roman"/>
          </w:rPr>
          <w:fldChar w:fldCharType="begin"/>
        </w:r>
        <w:r w:rsidRPr="00AE26BE">
          <w:rPr>
            <w:rFonts w:ascii="Times New Roman" w:hAnsi="Times New Roman" w:cs="Times New Roman"/>
          </w:rPr>
          <w:instrText xml:space="preserve"> PAGE   \* MERGEFORMAT </w:instrText>
        </w:r>
        <w:r w:rsidRPr="00AE26BE">
          <w:rPr>
            <w:rFonts w:ascii="Times New Roman" w:hAnsi="Times New Roman" w:cs="Times New Roman"/>
          </w:rPr>
          <w:fldChar w:fldCharType="separate"/>
        </w:r>
        <w:r w:rsidR="00C01543">
          <w:rPr>
            <w:rFonts w:ascii="Times New Roman" w:hAnsi="Times New Roman" w:cs="Times New Roman"/>
            <w:noProof/>
          </w:rPr>
          <w:t>2</w:t>
        </w:r>
        <w:r w:rsidRPr="00AE26BE">
          <w:rPr>
            <w:rFonts w:ascii="Times New Roman" w:hAnsi="Times New Roman" w:cs="Times New Roman"/>
            <w:noProof/>
          </w:rPr>
          <w:fldChar w:fldCharType="end"/>
        </w:r>
      </w:p>
    </w:sdtContent>
  </w:sdt>
  <w:p w:rsidR="00AE26BE" w:rsidRDefault="00AE26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A35EE"/>
    <w:multiLevelType w:val="multilevel"/>
    <w:tmpl w:val="9AE4A672"/>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81B3041"/>
    <w:multiLevelType w:val="hybridMultilevel"/>
    <w:tmpl w:val="3E524088"/>
    <w:lvl w:ilvl="0" w:tplc="B418A8C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4D592766"/>
    <w:multiLevelType w:val="hybridMultilevel"/>
    <w:tmpl w:val="7DEADE4A"/>
    <w:lvl w:ilvl="0" w:tplc="6262E912">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0671823"/>
    <w:multiLevelType w:val="multilevel"/>
    <w:tmpl w:val="9AE4A672"/>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297"/>
    <w:rsid w:val="00010A3C"/>
    <w:rsid w:val="000227CB"/>
    <w:rsid w:val="00025182"/>
    <w:rsid w:val="000308FC"/>
    <w:rsid w:val="000449C6"/>
    <w:rsid w:val="000530F8"/>
    <w:rsid w:val="00074FE4"/>
    <w:rsid w:val="0007660C"/>
    <w:rsid w:val="000D0230"/>
    <w:rsid w:val="000D2FE4"/>
    <w:rsid w:val="000D6056"/>
    <w:rsid w:val="000E3EF1"/>
    <w:rsid w:val="000F57C4"/>
    <w:rsid w:val="000F7D89"/>
    <w:rsid w:val="00111E88"/>
    <w:rsid w:val="0015095A"/>
    <w:rsid w:val="00154B95"/>
    <w:rsid w:val="00173EE7"/>
    <w:rsid w:val="001A4E6F"/>
    <w:rsid w:val="001B0919"/>
    <w:rsid w:val="001B0C1C"/>
    <w:rsid w:val="001B2658"/>
    <w:rsid w:val="001B5C3F"/>
    <w:rsid w:val="001C38EA"/>
    <w:rsid w:val="001D727C"/>
    <w:rsid w:val="001F1BC6"/>
    <w:rsid w:val="001F5FA6"/>
    <w:rsid w:val="00223E73"/>
    <w:rsid w:val="00224752"/>
    <w:rsid w:val="0022510D"/>
    <w:rsid w:val="00227B4D"/>
    <w:rsid w:val="00240B68"/>
    <w:rsid w:val="002543F3"/>
    <w:rsid w:val="00257958"/>
    <w:rsid w:val="00262CCA"/>
    <w:rsid w:val="002638D3"/>
    <w:rsid w:val="002A3924"/>
    <w:rsid w:val="002B671F"/>
    <w:rsid w:val="002B74D9"/>
    <w:rsid w:val="002C6515"/>
    <w:rsid w:val="002E571D"/>
    <w:rsid w:val="002E7A0C"/>
    <w:rsid w:val="0030114E"/>
    <w:rsid w:val="00302DD2"/>
    <w:rsid w:val="0031434E"/>
    <w:rsid w:val="00314BC6"/>
    <w:rsid w:val="00324073"/>
    <w:rsid w:val="0033676D"/>
    <w:rsid w:val="00341B71"/>
    <w:rsid w:val="003757B0"/>
    <w:rsid w:val="00383DD7"/>
    <w:rsid w:val="00393C31"/>
    <w:rsid w:val="003A4DF0"/>
    <w:rsid w:val="003C3C05"/>
    <w:rsid w:val="003C3CF9"/>
    <w:rsid w:val="003F0B86"/>
    <w:rsid w:val="00401D12"/>
    <w:rsid w:val="004028AE"/>
    <w:rsid w:val="00404F65"/>
    <w:rsid w:val="004158CF"/>
    <w:rsid w:val="00423A34"/>
    <w:rsid w:val="00446A41"/>
    <w:rsid w:val="00447E5D"/>
    <w:rsid w:val="00453C82"/>
    <w:rsid w:val="0046244B"/>
    <w:rsid w:val="00471540"/>
    <w:rsid w:val="004755CA"/>
    <w:rsid w:val="00476FB4"/>
    <w:rsid w:val="00482324"/>
    <w:rsid w:val="004A6774"/>
    <w:rsid w:val="004A6FD6"/>
    <w:rsid w:val="004B6B4E"/>
    <w:rsid w:val="004C51AD"/>
    <w:rsid w:val="004C597B"/>
    <w:rsid w:val="004D17C0"/>
    <w:rsid w:val="004D537C"/>
    <w:rsid w:val="0050386F"/>
    <w:rsid w:val="0050793E"/>
    <w:rsid w:val="00507A00"/>
    <w:rsid w:val="00531521"/>
    <w:rsid w:val="005345B0"/>
    <w:rsid w:val="0053698B"/>
    <w:rsid w:val="00546DF1"/>
    <w:rsid w:val="00574CB5"/>
    <w:rsid w:val="00577064"/>
    <w:rsid w:val="005830D7"/>
    <w:rsid w:val="00584883"/>
    <w:rsid w:val="005949AA"/>
    <w:rsid w:val="005977BD"/>
    <w:rsid w:val="005B673C"/>
    <w:rsid w:val="005B76C1"/>
    <w:rsid w:val="005C6624"/>
    <w:rsid w:val="005C6D53"/>
    <w:rsid w:val="005D532F"/>
    <w:rsid w:val="005D6BB5"/>
    <w:rsid w:val="005E1695"/>
    <w:rsid w:val="005F2A3F"/>
    <w:rsid w:val="005F62FE"/>
    <w:rsid w:val="005F78DE"/>
    <w:rsid w:val="00605652"/>
    <w:rsid w:val="00632492"/>
    <w:rsid w:val="006363E2"/>
    <w:rsid w:val="00652623"/>
    <w:rsid w:val="00657EEE"/>
    <w:rsid w:val="00661080"/>
    <w:rsid w:val="00666842"/>
    <w:rsid w:val="006846B5"/>
    <w:rsid w:val="006937AD"/>
    <w:rsid w:val="00696F21"/>
    <w:rsid w:val="006A1969"/>
    <w:rsid w:val="006B2C16"/>
    <w:rsid w:val="006B2CA6"/>
    <w:rsid w:val="006C0D28"/>
    <w:rsid w:val="006C7F57"/>
    <w:rsid w:val="006D15B6"/>
    <w:rsid w:val="006D5658"/>
    <w:rsid w:val="006D5C08"/>
    <w:rsid w:val="006D74B3"/>
    <w:rsid w:val="006E5A11"/>
    <w:rsid w:val="006F4F36"/>
    <w:rsid w:val="0071601C"/>
    <w:rsid w:val="00716958"/>
    <w:rsid w:val="007236CA"/>
    <w:rsid w:val="00724854"/>
    <w:rsid w:val="00747049"/>
    <w:rsid w:val="007621E3"/>
    <w:rsid w:val="00764CE0"/>
    <w:rsid w:val="00772176"/>
    <w:rsid w:val="00776787"/>
    <w:rsid w:val="00783E9F"/>
    <w:rsid w:val="00790534"/>
    <w:rsid w:val="007963B5"/>
    <w:rsid w:val="007C6981"/>
    <w:rsid w:val="007E3297"/>
    <w:rsid w:val="007E35DE"/>
    <w:rsid w:val="007E4647"/>
    <w:rsid w:val="007F4455"/>
    <w:rsid w:val="008042A4"/>
    <w:rsid w:val="00810017"/>
    <w:rsid w:val="00816F7F"/>
    <w:rsid w:val="00822C13"/>
    <w:rsid w:val="00825077"/>
    <w:rsid w:val="008324D6"/>
    <w:rsid w:val="00832529"/>
    <w:rsid w:val="00840C7C"/>
    <w:rsid w:val="00840CBE"/>
    <w:rsid w:val="00853C3C"/>
    <w:rsid w:val="008751C4"/>
    <w:rsid w:val="00875A57"/>
    <w:rsid w:val="00881CC0"/>
    <w:rsid w:val="00884113"/>
    <w:rsid w:val="008A7FED"/>
    <w:rsid w:val="008B1D6D"/>
    <w:rsid w:val="008B43C2"/>
    <w:rsid w:val="008B47D3"/>
    <w:rsid w:val="008D31A3"/>
    <w:rsid w:val="008E13DB"/>
    <w:rsid w:val="008F38BF"/>
    <w:rsid w:val="00900E33"/>
    <w:rsid w:val="00914077"/>
    <w:rsid w:val="00946BD1"/>
    <w:rsid w:val="0095079A"/>
    <w:rsid w:val="00953C2F"/>
    <w:rsid w:val="009630AB"/>
    <w:rsid w:val="00980578"/>
    <w:rsid w:val="009826E0"/>
    <w:rsid w:val="00984D80"/>
    <w:rsid w:val="00990260"/>
    <w:rsid w:val="009B0B34"/>
    <w:rsid w:val="009B78BE"/>
    <w:rsid w:val="009C1992"/>
    <w:rsid w:val="009C30DE"/>
    <w:rsid w:val="009D52F9"/>
    <w:rsid w:val="009D73CF"/>
    <w:rsid w:val="009E1CFA"/>
    <w:rsid w:val="009E2803"/>
    <w:rsid w:val="009F0498"/>
    <w:rsid w:val="009F433F"/>
    <w:rsid w:val="00A02B73"/>
    <w:rsid w:val="00A0416D"/>
    <w:rsid w:val="00A048C2"/>
    <w:rsid w:val="00A24BFF"/>
    <w:rsid w:val="00A25E01"/>
    <w:rsid w:val="00A2661F"/>
    <w:rsid w:val="00A32953"/>
    <w:rsid w:val="00A330A8"/>
    <w:rsid w:val="00A34E97"/>
    <w:rsid w:val="00A631CB"/>
    <w:rsid w:val="00A6378A"/>
    <w:rsid w:val="00A83107"/>
    <w:rsid w:val="00A83B18"/>
    <w:rsid w:val="00A84441"/>
    <w:rsid w:val="00A86663"/>
    <w:rsid w:val="00A94728"/>
    <w:rsid w:val="00A97A91"/>
    <w:rsid w:val="00AA40E0"/>
    <w:rsid w:val="00AA7ED3"/>
    <w:rsid w:val="00AD3117"/>
    <w:rsid w:val="00AE26BE"/>
    <w:rsid w:val="00AE45EB"/>
    <w:rsid w:val="00B05D1E"/>
    <w:rsid w:val="00B129EE"/>
    <w:rsid w:val="00B153E9"/>
    <w:rsid w:val="00B17B73"/>
    <w:rsid w:val="00B421CB"/>
    <w:rsid w:val="00B44F6E"/>
    <w:rsid w:val="00B90C8F"/>
    <w:rsid w:val="00B970ED"/>
    <w:rsid w:val="00BA5742"/>
    <w:rsid w:val="00BB3D6C"/>
    <w:rsid w:val="00BC0A5B"/>
    <w:rsid w:val="00BC13C3"/>
    <w:rsid w:val="00BE1D60"/>
    <w:rsid w:val="00BE4931"/>
    <w:rsid w:val="00BE71C1"/>
    <w:rsid w:val="00BF18D5"/>
    <w:rsid w:val="00C01543"/>
    <w:rsid w:val="00C03710"/>
    <w:rsid w:val="00C16A58"/>
    <w:rsid w:val="00C42104"/>
    <w:rsid w:val="00C55279"/>
    <w:rsid w:val="00C63222"/>
    <w:rsid w:val="00C9262F"/>
    <w:rsid w:val="00CC0EF2"/>
    <w:rsid w:val="00CD29D5"/>
    <w:rsid w:val="00CD3D39"/>
    <w:rsid w:val="00CF50FD"/>
    <w:rsid w:val="00D07024"/>
    <w:rsid w:val="00D11242"/>
    <w:rsid w:val="00D15C35"/>
    <w:rsid w:val="00D27BD0"/>
    <w:rsid w:val="00D43E2F"/>
    <w:rsid w:val="00D71C68"/>
    <w:rsid w:val="00D83FBC"/>
    <w:rsid w:val="00D877EE"/>
    <w:rsid w:val="00D952D7"/>
    <w:rsid w:val="00DA0164"/>
    <w:rsid w:val="00DA01FD"/>
    <w:rsid w:val="00DA0C6B"/>
    <w:rsid w:val="00DB5CEB"/>
    <w:rsid w:val="00DB62E7"/>
    <w:rsid w:val="00DB685F"/>
    <w:rsid w:val="00DB6CE3"/>
    <w:rsid w:val="00DC373B"/>
    <w:rsid w:val="00DD2693"/>
    <w:rsid w:val="00DE172B"/>
    <w:rsid w:val="00DF065A"/>
    <w:rsid w:val="00E06401"/>
    <w:rsid w:val="00E13181"/>
    <w:rsid w:val="00E24445"/>
    <w:rsid w:val="00E3222B"/>
    <w:rsid w:val="00E41E06"/>
    <w:rsid w:val="00E51EE8"/>
    <w:rsid w:val="00E643C5"/>
    <w:rsid w:val="00E66C38"/>
    <w:rsid w:val="00E96E6C"/>
    <w:rsid w:val="00EC3CD9"/>
    <w:rsid w:val="00ED1C8C"/>
    <w:rsid w:val="00ED2EA1"/>
    <w:rsid w:val="00EE01A8"/>
    <w:rsid w:val="00EE3484"/>
    <w:rsid w:val="00EE5137"/>
    <w:rsid w:val="00EF3590"/>
    <w:rsid w:val="00EF7332"/>
    <w:rsid w:val="00F11D49"/>
    <w:rsid w:val="00F170EF"/>
    <w:rsid w:val="00F17886"/>
    <w:rsid w:val="00F25A94"/>
    <w:rsid w:val="00F25FF3"/>
    <w:rsid w:val="00F26D92"/>
    <w:rsid w:val="00F274F7"/>
    <w:rsid w:val="00F277FB"/>
    <w:rsid w:val="00F4604B"/>
    <w:rsid w:val="00F50CBC"/>
    <w:rsid w:val="00F72261"/>
    <w:rsid w:val="00F74649"/>
    <w:rsid w:val="00F85D6D"/>
    <w:rsid w:val="00F867FB"/>
    <w:rsid w:val="00F97073"/>
    <w:rsid w:val="00FA4A46"/>
    <w:rsid w:val="00FA7ABF"/>
    <w:rsid w:val="00FB1444"/>
    <w:rsid w:val="00FC4076"/>
    <w:rsid w:val="00FC58A1"/>
    <w:rsid w:val="00FD0B55"/>
    <w:rsid w:val="00FD4A63"/>
    <w:rsid w:val="00FE09B0"/>
    <w:rsid w:val="00FE1665"/>
    <w:rsid w:val="00FE61E1"/>
    <w:rsid w:val="00FF65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FFF384-2573-42D4-95C3-FB955B69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274F7"/>
    <w:rPr>
      <w:color w:val="0000FF" w:themeColor="hyperlink"/>
      <w:u w:val="single"/>
    </w:rPr>
  </w:style>
  <w:style w:type="paragraph" w:customStyle="1" w:styleId="tv2132">
    <w:name w:val="tv2132"/>
    <w:basedOn w:val="Normal"/>
    <w:rsid w:val="00482324"/>
    <w:pPr>
      <w:spacing w:after="0" w:line="360" w:lineRule="auto"/>
      <w:ind w:firstLine="300"/>
    </w:pPr>
    <w:rPr>
      <w:rFonts w:ascii="Times New Roman" w:eastAsia="Times New Roman" w:hAnsi="Times New Roman" w:cs="Times New Roman"/>
      <w:color w:val="414142"/>
      <w:sz w:val="20"/>
      <w:szCs w:val="20"/>
      <w:lang w:eastAsia="lv-LV"/>
    </w:rPr>
  </w:style>
  <w:style w:type="paragraph" w:styleId="ListParagraph">
    <w:name w:val="List Paragraph"/>
    <w:basedOn w:val="Normal"/>
    <w:uiPriority w:val="34"/>
    <w:qFormat/>
    <w:rsid w:val="008B47D3"/>
    <w:pPr>
      <w:ind w:left="720"/>
      <w:contextualSpacing/>
    </w:pPr>
  </w:style>
  <w:style w:type="paragraph" w:styleId="Header">
    <w:name w:val="header"/>
    <w:basedOn w:val="Normal"/>
    <w:link w:val="HeaderChar"/>
    <w:uiPriority w:val="99"/>
    <w:unhideWhenUsed/>
    <w:rsid w:val="00E41E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E41E06"/>
  </w:style>
  <w:style w:type="paragraph" w:styleId="Footer">
    <w:name w:val="footer"/>
    <w:basedOn w:val="Normal"/>
    <w:link w:val="FooterChar"/>
    <w:uiPriority w:val="99"/>
    <w:unhideWhenUsed/>
    <w:rsid w:val="00E41E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E41E06"/>
  </w:style>
  <w:style w:type="table" w:styleId="TableGrid">
    <w:name w:val="Table Grid"/>
    <w:basedOn w:val="TableNormal"/>
    <w:uiPriority w:val="59"/>
    <w:rsid w:val="00536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116836">
      <w:bodyDiv w:val="1"/>
      <w:marLeft w:val="0"/>
      <w:marRight w:val="0"/>
      <w:marTop w:val="0"/>
      <w:marBottom w:val="0"/>
      <w:divBdr>
        <w:top w:val="none" w:sz="0" w:space="0" w:color="auto"/>
        <w:left w:val="none" w:sz="0" w:space="0" w:color="auto"/>
        <w:bottom w:val="none" w:sz="0" w:space="0" w:color="auto"/>
        <w:right w:val="none" w:sz="0" w:space="0" w:color="auto"/>
      </w:divBdr>
      <w:divsChild>
        <w:div w:id="1728799047">
          <w:marLeft w:val="0"/>
          <w:marRight w:val="0"/>
          <w:marTop w:val="0"/>
          <w:marBottom w:val="0"/>
          <w:divBdr>
            <w:top w:val="none" w:sz="0" w:space="0" w:color="auto"/>
            <w:left w:val="none" w:sz="0" w:space="0" w:color="auto"/>
            <w:bottom w:val="none" w:sz="0" w:space="0" w:color="auto"/>
            <w:right w:val="none" w:sz="0" w:space="0" w:color="auto"/>
          </w:divBdr>
          <w:divsChild>
            <w:div w:id="1910260563">
              <w:marLeft w:val="0"/>
              <w:marRight w:val="0"/>
              <w:marTop w:val="0"/>
              <w:marBottom w:val="0"/>
              <w:divBdr>
                <w:top w:val="none" w:sz="0" w:space="0" w:color="auto"/>
                <w:left w:val="none" w:sz="0" w:space="0" w:color="auto"/>
                <w:bottom w:val="none" w:sz="0" w:space="0" w:color="auto"/>
                <w:right w:val="none" w:sz="0" w:space="0" w:color="auto"/>
              </w:divBdr>
              <w:divsChild>
                <w:div w:id="1225293148">
                  <w:marLeft w:val="0"/>
                  <w:marRight w:val="0"/>
                  <w:marTop w:val="0"/>
                  <w:marBottom w:val="0"/>
                  <w:divBdr>
                    <w:top w:val="none" w:sz="0" w:space="0" w:color="auto"/>
                    <w:left w:val="none" w:sz="0" w:space="0" w:color="auto"/>
                    <w:bottom w:val="none" w:sz="0" w:space="0" w:color="auto"/>
                    <w:right w:val="none" w:sz="0" w:space="0" w:color="auto"/>
                  </w:divBdr>
                  <w:divsChild>
                    <w:div w:id="1856187036">
                      <w:marLeft w:val="0"/>
                      <w:marRight w:val="0"/>
                      <w:marTop w:val="0"/>
                      <w:marBottom w:val="0"/>
                      <w:divBdr>
                        <w:top w:val="none" w:sz="0" w:space="0" w:color="auto"/>
                        <w:left w:val="none" w:sz="0" w:space="0" w:color="auto"/>
                        <w:bottom w:val="none" w:sz="0" w:space="0" w:color="auto"/>
                        <w:right w:val="none" w:sz="0" w:space="0" w:color="auto"/>
                      </w:divBdr>
                      <w:divsChild>
                        <w:div w:id="1915821256">
                          <w:marLeft w:val="0"/>
                          <w:marRight w:val="0"/>
                          <w:marTop w:val="300"/>
                          <w:marBottom w:val="0"/>
                          <w:divBdr>
                            <w:top w:val="none" w:sz="0" w:space="0" w:color="auto"/>
                            <w:left w:val="none" w:sz="0" w:space="0" w:color="auto"/>
                            <w:bottom w:val="none" w:sz="0" w:space="0" w:color="auto"/>
                            <w:right w:val="none" w:sz="0" w:space="0" w:color="auto"/>
                          </w:divBdr>
                          <w:divsChild>
                            <w:div w:id="85087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838021">
      <w:bodyDiv w:val="1"/>
      <w:marLeft w:val="0"/>
      <w:marRight w:val="0"/>
      <w:marTop w:val="0"/>
      <w:marBottom w:val="0"/>
      <w:divBdr>
        <w:top w:val="none" w:sz="0" w:space="0" w:color="auto"/>
        <w:left w:val="none" w:sz="0" w:space="0" w:color="auto"/>
        <w:bottom w:val="none" w:sz="0" w:space="0" w:color="auto"/>
        <w:right w:val="none" w:sz="0" w:space="0" w:color="auto"/>
      </w:divBdr>
      <w:divsChild>
        <w:div w:id="1295675177">
          <w:marLeft w:val="0"/>
          <w:marRight w:val="0"/>
          <w:marTop w:val="0"/>
          <w:marBottom w:val="0"/>
          <w:divBdr>
            <w:top w:val="none" w:sz="0" w:space="0" w:color="auto"/>
            <w:left w:val="none" w:sz="0" w:space="0" w:color="auto"/>
            <w:bottom w:val="none" w:sz="0" w:space="0" w:color="auto"/>
            <w:right w:val="none" w:sz="0" w:space="0" w:color="auto"/>
          </w:divBdr>
          <w:divsChild>
            <w:div w:id="241067631">
              <w:marLeft w:val="0"/>
              <w:marRight w:val="0"/>
              <w:marTop w:val="0"/>
              <w:marBottom w:val="0"/>
              <w:divBdr>
                <w:top w:val="none" w:sz="0" w:space="0" w:color="auto"/>
                <w:left w:val="none" w:sz="0" w:space="0" w:color="auto"/>
                <w:bottom w:val="none" w:sz="0" w:space="0" w:color="auto"/>
                <w:right w:val="none" w:sz="0" w:space="0" w:color="auto"/>
              </w:divBdr>
              <w:divsChild>
                <w:div w:id="2084832580">
                  <w:marLeft w:val="0"/>
                  <w:marRight w:val="0"/>
                  <w:marTop w:val="0"/>
                  <w:marBottom w:val="0"/>
                  <w:divBdr>
                    <w:top w:val="none" w:sz="0" w:space="0" w:color="auto"/>
                    <w:left w:val="none" w:sz="0" w:space="0" w:color="auto"/>
                    <w:bottom w:val="none" w:sz="0" w:space="0" w:color="auto"/>
                    <w:right w:val="none" w:sz="0" w:space="0" w:color="auto"/>
                  </w:divBdr>
                  <w:divsChild>
                    <w:div w:id="1455755168">
                      <w:marLeft w:val="0"/>
                      <w:marRight w:val="0"/>
                      <w:marTop w:val="0"/>
                      <w:marBottom w:val="0"/>
                      <w:divBdr>
                        <w:top w:val="none" w:sz="0" w:space="0" w:color="auto"/>
                        <w:left w:val="none" w:sz="0" w:space="0" w:color="auto"/>
                        <w:bottom w:val="none" w:sz="0" w:space="0" w:color="auto"/>
                        <w:right w:val="none" w:sz="0" w:space="0" w:color="auto"/>
                      </w:divBdr>
                      <w:divsChild>
                        <w:div w:id="1268660947">
                          <w:marLeft w:val="0"/>
                          <w:marRight w:val="0"/>
                          <w:marTop w:val="300"/>
                          <w:marBottom w:val="0"/>
                          <w:divBdr>
                            <w:top w:val="none" w:sz="0" w:space="0" w:color="auto"/>
                            <w:left w:val="none" w:sz="0" w:space="0" w:color="auto"/>
                            <w:bottom w:val="none" w:sz="0" w:space="0" w:color="auto"/>
                            <w:right w:val="none" w:sz="0" w:space="0" w:color="auto"/>
                          </w:divBdr>
                          <w:divsChild>
                            <w:div w:id="106413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5896943">
      <w:bodyDiv w:val="1"/>
      <w:marLeft w:val="0"/>
      <w:marRight w:val="0"/>
      <w:marTop w:val="0"/>
      <w:marBottom w:val="0"/>
      <w:divBdr>
        <w:top w:val="none" w:sz="0" w:space="0" w:color="auto"/>
        <w:left w:val="none" w:sz="0" w:space="0" w:color="auto"/>
        <w:bottom w:val="none" w:sz="0" w:space="0" w:color="auto"/>
        <w:right w:val="none" w:sz="0" w:space="0" w:color="auto"/>
      </w:divBdr>
    </w:div>
    <w:div w:id="1549419154">
      <w:bodyDiv w:val="1"/>
      <w:marLeft w:val="0"/>
      <w:marRight w:val="0"/>
      <w:marTop w:val="0"/>
      <w:marBottom w:val="0"/>
      <w:divBdr>
        <w:top w:val="none" w:sz="0" w:space="0" w:color="auto"/>
        <w:left w:val="none" w:sz="0" w:space="0" w:color="auto"/>
        <w:bottom w:val="none" w:sz="0" w:space="0" w:color="auto"/>
        <w:right w:val="none" w:sz="0" w:space="0" w:color="auto"/>
      </w:divBdr>
      <w:divsChild>
        <w:div w:id="1057630423">
          <w:marLeft w:val="0"/>
          <w:marRight w:val="0"/>
          <w:marTop w:val="0"/>
          <w:marBottom w:val="0"/>
          <w:divBdr>
            <w:top w:val="none" w:sz="0" w:space="0" w:color="auto"/>
            <w:left w:val="none" w:sz="0" w:space="0" w:color="auto"/>
            <w:bottom w:val="none" w:sz="0" w:space="0" w:color="auto"/>
            <w:right w:val="none" w:sz="0" w:space="0" w:color="auto"/>
          </w:divBdr>
          <w:divsChild>
            <w:div w:id="1765686515">
              <w:marLeft w:val="0"/>
              <w:marRight w:val="0"/>
              <w:marTop w:val="0"/>
              <w:marBottom w:val="0"/>
              <w:divBdr>
                <w:top w:val="none" w:sz="0" w:space="0" w:color="auto"/>
                <w:left w:val="none" w:sz="0" w:space="0" w:color="auto"/>
                <w:bottom w:val="none" w:sz="0" w:space="0" w:color="auto"/>
                <w:right w:val="none" w:sz="0" w:space="0" w:color="auto"/>
              </w:divBdr>
              <w:divsChild>
                <w:div w:id="16466254">
                  <w:marLeft w:val="0"/>
                  <w:marRight w:val="0"/>
                  <w:marTop w:val="0"/>
                  <w:marBottom w:val="0"/>
                  <w:divBdr>
                    <w:top w:val="none" w:sz="0" w:space="0" w:color="auto"/>
                    <w:left w:val="none" w:sz="0" w:space="0" w:color="auto"/>
                    <w:bottom w:val="none" w:sz="0" w:space="0" w:color="auto"/>
                    <w:right w:val="none" w:sz="0" w:space="0" w:color="auto"/>
                  </w:divBdr>
                  <w:divsChild>
                    <w:div w:id="1522938493">
                      <w:marLeft w:val="0"/>
                      <w:marRight w:val="0"/>
                      <w:marTop w:val="0"/>
                      <w:marBottom w:val="0"/>
                      <w:divBdr>
                        <w:top w:val="none" w:sz="0" w:space="0" w:color="auto"/>
                        <w:left w:val="none" w:sz="0" w:space="0" w:color="auto"/>
                        <w:bottom w:val="none" w:sz="0" w:space="0" w:color="auto"/>
                        <w:right w:val="none" w:sz="0" w:space="0" w:color="auto"/>
                      </w:divBdr>
                      <w:divsChild>
                        <w:div w:id="1970429574">
                          <w:marLeft w:val="0"/>
                          <w:marRight w:val="0"/>
                          <w:marTop w:val="300"/>
                          <w:marBottom w:val="0"/>
                          <w:divBdr>
                            <w:top w:val="none" w:sz="0" w:space="0" w:color="auto"/>
                            <w:left w:val="none" w:sz="0" w:space="0" w:color="auto"/>
                            <w:bottom w:val="none" w:sz="0" w:space="0" w:color="auto"/>
                            <w:right w:val="none" w:sz="0" w:space="0" w:color="auto"/>
                          </w:divBdr>
                          <w:divsChild>
                            <w:div w:id="183009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549912">
      <w:bodyDiv w:val="1"/>
      <w:marLeft w:val="0"/>
      <w:marRight w:val="0"/>
      <w:marTop w:val="0"/>
      <w:marBottom w:val="0"/>
      <w:divBdr>
        <w:top w:val="none" w:sz="0" w:space="0" w:color="auto"/>
        <w:left w:val="none" w:sz="0" w:space="0" w:color="auto"/>
        <w:bottom w:val="none" w:sz="0" w:space="0" w:color="auto"/>
        <w:right w:val="none" w:sz="0" w:space="0" w:color="auto"/>
      </w:divBdr>
    </w:div>
    <w:div w:id="213806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14/651/oj/?locale=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eli/reg/2014/651/oj/?locale=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39886-ABB9-4832-B0AE-9506E2C9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Pages>
  <Words>2642</Words>
  <Characters>1507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Kamoliņa</dc:creator>
  <cp:keywords/>
  <dc:description/>
  <cp:lastModifiedBy>Dace Ziediņa</cp:lastModifiedBy>
  <cp:revision>577</cp:revision>
  <cp:lastPrinted>2017-11-09T12:10:00Z</cp:lastPrinted>
  <dcterms:created xsi:type="dcterms:W3CDTF">2017-11-01T14:22:00Z</dcterms:created>
  <dcterms:modified xsi:type="dcterms:W3CDTF">2017-12-13T12:38:00Z</dcterms:modified>
</cp:coreProperties>
</file>