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06" w:rsidRPr="00AE040A" w:rsidRDefault="00727606" w:rsidP="00727606">
      <w:pPr>
        <w:pStyle w:val="Heading3"/>
        <w:rPr>
          <w:b w:val="0"/>
        </w:rPr>
      </w:pPr>
      <w:r w:rsidRPr="00AE040A">
        <w:rPr>
          <w:b w:val="0"/>
        </w:rPr>
        <w:t>Projekts</w:t>
      </w:r>
    </w:p>
    <w:p w:rsidR="00727606" w:rsidRPr="00AE040A" w:rsidRDefault="00727606" w:rsidP="00727606">
      <w:pPr>
        <w:jc w:val="both"/>
      </w:pPr>
    </w:p>
    <w:p w:rsidR="00727606" w:rsidRPr="00AE040A" w:rsidRDefault="00727606" w:rsidP="00727606">
      <w:pPr>
        <w:jc w:val="both"/>
      </w:pPr>
    </w:p>
    <w:p w:rsidR="00727606" w:rsidRPr="00AE040A" w:rsidRDefault="00727606" w:rsidP="00727606">
      <w:pPr>
        <w:pStyle w:val="NormalWeb1"/>
        <w:spacing w:before="0" w:beforeAutospacing="0" w:after="0" w:afterAutospacing="0"/>
        <w:jc w:val="center"/>
        <w:rPr>
          <w:rFonts w:ascii="Times New Roman" w:hAnsi="Times New Roman"/>
          <w:sz w:val="28"/>
        </w:rPr>
      </w:pPr>
      <w:r w:rsidRPr="00AE040A">
        <w:rPr>
          <w:rFonts w:ascii="Times New Roman" w:hAnsi="Times New Roman"/>
          <w:sz w:val="28"/>
        </w:rPr>
        <w:t>LATVIJAS REPUBLIKAS MINISTRU KABINETS</w:t>
      </w:r>
    </w:p>
    <w:p w:rsidR="00727606" w:rsidRPr="00AE040A" w:rsidRDefault="00727606" w:rsidP="00727606">
      <w:pPr>
        <w:pStyle w:val="NormalWeb1"/>
        <w:spacing w:before="0" w:beforeAutospacing="0" w:after="0" w:afterAutospacing="0"/>
        <w:jc w:val="both"/>
        <w:rPr>
          <w:rFonts w:ascii="Times New Roman" w:hAnsi="Times New Roman"/>
          <w:sz w:val="28"/>
        </w:rPr>
      </w:pPr>
    </w:p>
    <w:p w:rsidR="00727606" w:rsidRPr="00AE040A" w:rsidRDefault="00727606" w:rsidP="00727606">
      <w:pPr>
        <w:pStyle w:val="BodyTextIndent3"/>
        <w:ind w:firstLine="0"/>
        <w:jc w:val="both"/>
      </w:pPr>
      <w:r w:rsidRPr="00AE040A">
        <w:t>201</w:t>
      </w:r>
      <w:r>
        <w:t>2</w:t>
      </w:r>
      <w:r w:rsidRPr="00AE040A">
        <w:t xml:space="preserve">.gada </w:t>
      </w:r>
      <w:r w:rsidRPr="00AE040A">
        <w:tab/>
      </w:r>
      <w:r w:rsidRPr="00AE040A">
        <w:tab/>
      </w:r>
      <w:r w:rsidRPr="00AE040A">
        <w:tab/>
      </w:r>
      <w:r w:rsidRPr="00AE040A">
        <w:tab/>
      </w:r>
      <w:r w:rsidRPr="00AE040A">
        <w:tab/>
      </w:r>
      <w:r w:rsidRPr="00AE040A">
        <w:tab/>
      </w:r>
      <w:r w:rsidRPr="00AE040A">
        <w:tab/>
      </w:r>
      <w:r w:rsidRPr="00AE040A">
        <w:tab/>
        <w:t xml:space="preserve"> Noteikumi Nr. </w:t>
      </w:r>
    </w:p>
    <w:p w:rsidR="00727606" w:rsidRDefault="00727606" w:rsidP="00727606">
      <w:pPr>
        <w:pStyle w:val="BodyTextIndent3"/>
        <w:ind w:firstLine="0"/>
        <w:jc w:val="both"/>
      </w:pPr>
    </w:p>
    <w:p w:rsidR="00727606" w:rsidRDefault="00727606" w:rsidP="00727606">
      <w:pPr>
        <w:pStyle w:val="BodyTextIndent"/>
        <w:ind w:firstLine="0"/>
      </w:pPr>
      <w:r>
        <w:t>Rīgā</w:t>
      </w:r>
      <w:r>
        <w:tab/>
      </w:r>
      <w:r>
        <w:tab/>
      </w:r>
      <w:r>
        <w:tab/>
      </w:r>
      <w:r>
        <w:tab/>
      </w:r>
      <w:r>
        <w:tab/>
      </w:r>
      <w:r>
        <w:tab/>
        <w:t xml:space="preserve"> </w:t>
      </w:r>
      <w:r>
        <w:tab/>
      </w:r>
      <w:r>
        <w:tab/>
      </w:r>
      <w:r>
        <w:tab/>
        <w:t xml:space="preserve"> </w:t>
      </w:r>
    </w:p>
    <w:p w:rsidR="00727606" w:rsidRDefault="00727606" w:rsidP="00727606">
      <w:pPr>
        <w:pStyle w:val="BodyTextIndent"/>
        <w:ind w:firstLine="0"/>
      </w:pPr>
    </w:p>
    <w:p w:rsidR="00727606" w:rsidRPr="00FE7402" w:rsidRDefault="00727606" w:rsidP="00727606">
      <w:pPr>
        <w:jc w:val="center"/>
        <w:rPr>
          <w:b/>
          <w:sz w:val="28"/>
          <w:szCs w:val="28"/>
        </w:rPr>
      </w:pPr>
      <w:r w:rsidRPr="00AE040A">
        <w:rPr>
          <w:b/>
          <w:sz w:val="28"/>
          <w:szCs w:val="28"/>
        </w:rPr>
        <w:t xml:space="preserve">Grozījumi Ministru kabineta </w:t>
      </w:r>
      <w:r w:rsidR="00FE7402" w:rsidRPr="00FE7402">
        <w:rPr>
          <w:b/>
          <w:sz w:val="28"/>
          <w:szCs w:val="28"/>
        </w:rPr>
        <w:t>2004. gada 17. februāra noteikumos Nr. 92 „Prasības virszemes ūdeņu, pazemes ūdeņu un aizsargājamo teritoriju monitoringam un monitoringa programmu izstrādei”</w:t>
      </w:r>
    </w:p>
    <w:p w:rsidR="00727606" w:rsidRDefault="00727606" w:rsidP="00727606">
      <w:pPr>
        <w:jc w:val="center"/>
        <w:rPr>
          <w:b/>
          <w:sz w:val="28"/>
          <w:szCs w:val="28"/>
        </w:rPr>
      </w:pPr>
    </w:p>
    <w:p w:rsidR="00727606" w:rsidRDefault="00727606" w:rsidP="00727606">
      <w:pPr>
        <w:jc w:val="right"/>
        <w:rPr>
          <w:bCs/>
          <w:sz w:val="28"/>
          <w:szCs w:val="28"/>
        </w:rPr>
      </w:pPr>
      <w:r w:rsidRPr="0020302A">
        <w:rPr>
          <w:bCs/>
          <w:sz w:val="28"/>
          <w:szCs w:val="28"/>
        </w:rPr>
        <w:t xml:space="preserve">Izdoti saskaņā ar </w:t>
      </w:r>
    </w:p>
    <w:p w:rsidR="00727606" w:rsidRDefault="00727606" w:rsidP="00727606">
      <w:pPr>
        <w:jc w:val="right"/>
        <w:rPr>
          <w:bCs/>
          <w:sz w:val="28"/>
          <w:szCs w:val="28"/>
        </w:rPr>
      </w:pPr>
      <w:r w:rsidRPr="0020302A">
        <w:rPr>
          <w:bCs/>
          <w:sz w:val="28"/>
          <w:szCs w:val="28"/>
        </w:rPr>
        <w:t xml:space="preserve">Ūdens apsaimniekošanas likuma </w:t>
      </w:r>
    </w:p>
    <w:p w:rsidR="00727606" w:rsidRDefault="00FE7402" w:rsidP="00727606">
      <w:pPr>
        <w:jc w:val="right"/>
        <w:rPr>
          <w:bCs/>
          <w:sz w:val="28"/>
          <w:szCs w:val="28"/>
        </w:rPr>
      </w:pPr>
      <w:r>
        <w:rPr>
          <w:bCs/>
          <w:sz w:val="28"/>
          <w:szCs w:val="28"/>
        </w:rPr>
        <w:t>20</w:t>
      </w:r>
      <w:r w:rsidR="00727606" w:rsidRPr="0020302A">
        <w:rPr>
          <w:bCs/>
          <w:sz w:val="28"/>
          <w:szCs w:val="28"/>
        </w:rPr>
        <w:t xml:space="preserve">.panta </w:t>
      </w:r>
      <w:r>
        <w:rPr>
          <w:bCs/>
          <w:sz w:val="28"/>
          <w:szCs w:val="28"/>
        </w:rPr>
        <w:t>trešo</w:t>
      </w:r>
      <w:r w:rsidR="00727606" w:rsidRPr="0020302A">
        <w:rPr>
          <w:bCs/>
          <w:sz w:val="28"/>
          <w:szCs w:val="28"/>
        </w:rPr>
        <w:t xml:space="preserve"> daļu</w:t>
      </w:r>
      <w:r>
        <w:rPr>
          <w:bCs/>
          <w:sz w:val="28"/>
          <w:szCs w:val="28"/>
        </w:rPr>
        <w:t xml:space="preserve"> un </w:t>
      </w:r>
    </w:p>
    <w:p w:rsidR="00FE7402" w:rsidRPr="0020302A" w:rsidRDefault="00FE7402" w:rsidP="00727606">
      <w:pPr>
        <w:jc w:val="right"/>
        <w:rPr>
          <w:bCs/>
          <w:sz w:val="28"/>
          <w:szCs w:val="28"/>
        </w:rPr>
      </w:pPr>
      <w:r>
        <w:rPr>
          <w:bCs/>
          <w:sz w:val="28"/>
          <w:szCs w:val="28"/>
        </w:rPr>
        <w:t>22.panta piekto daļu</w:t>
      </w:r>
    </w:p>
    <w:p w:rsidR="00727606" w:rsidRDefault="00727606" w:rsidP="00727606">
      <w:pPr>
        <w:rPr>
          <w:sz w:val="28"/>
          <w:szCs w:val="28"/>
        </w:rPr>
      </w:pPr>
    </w:p>
    <w:p w:rsidR="00727606" w:rsidRDefault="00727606" w:rsidP="00727606">
      <w:pPr>
        <w:ind w:firstLine="720"/>
        <w:jc w:val="both"/>
        <w:rPr>
          <w:sz w:val="28"/>
          <w:szCs w:val="28"/>
        </w:rPr>
      </w:pPr>
    </w:p>
    <w:p w:rsidR="00727606" w:rsidRPr="004C0CCB" w:rsidRDefault="00727606" w:rsidP="00727606">
      <w:pPr>
        <w:ind w:firstLine="720"/>
        <w:jc w:val="both"/>
        <w:rPr>
          <w:sz w:val="28"/>
          <w:szCs w:val="28"/>
        </w:rPr>
      </w:pPr>
      <w:r w:rsidRPr="004C0CCB">
        <w:rPr>
          <w:sz w:val="28"/>
          <w:szCs w:val="28"/>
        </w:rPr>
        <w:t xml:space="preserve">Izdarīt Ministru kabineta </w:t>
      </w:r>
      <w:r w:rsidR="00FE7402" w:rsidRPr="00FE7402">
        <w:rPr>
          <w:sz w:val="28"/>
          <w:szCs w:val="28"/>
        </w:rPr>
        <w:t>2004. gada 17. februāra noteikumos Nr. 92 „Prasības virszemes ūdeņu, pazemes ūdeņu un aizsargājamo teritoriju monitoringam un monitoringa programmu izstrādei”</w:t>
      </w:r>
      <w:r w:rsidRPr="004C0CCB">
        <w:rPr>
          <w:sz w:val="28"/>
          <w:szCs w:val="28"/>
        </w:rPr>
        <w:t xml:space="preserve"> (Latvijas Vēstnesis, 200</w:t>
      </w:r>
      <w:r w:rsidR="0090394F">
        <w:rPr>
          <w:sz w:val="28"/>
          <w:szCs w:val="28"/>
        </w:rPr>
        <w:t>4</w:t>
      </w:r>
      <w:r w:rsidRPr="004C0CCB">
        <w:rPr>
          <w:sz w:val="28"/>
          <w:szCs w:val="28"/>
        </w:rPr>
        <w:t xml:space="preserve">, </w:t>
      </w:r>
      <w:r w:rsidR="0090394F">
        <w:rPr>
          <w:sz w:val="28"/>
          <w:szCs w:val="28"/>
        </w:rPr>
        <w:t>30</w:t>
      </w:r>
      <w:r w:rsidRPr="004C0CCB">
        <w:rPr>
          <w:sz w:val="28"/>
          <w:szCs w:val="28"/>
        </w:rPr>
        <w:t>.nr.</w:t>
      </w:r>
      <w:r w:rsidR="00241E8D">
        <w:rPr>
          <w:sz w:val="28"/>
          <w:szCs w:val="28"/>
        </w:rPr>
        <w:t>; 2009, 73.nr.; 2010, 127.nr.</w:t>
      </w:r>
      <w:r w:rsidRPr="004C0CCB">
        <w:rPr>
          <w:sz w:val="28"/>
          <w:szCs w:val="28"/>
        </w:rPr>
        <w:t>) šādus grozījumus:</w:t>
      </w:r>
    </w:p>
    <w:p w:rsidR="00727606" w:rsidRDefault="00727606" w:rsidP="00727606">
      <w:pPr>
        <w:ind w:firstLine="720"/>
        <w:rPr>
          <w:sz w:val="28"/>
          <w:szCs w:val="28"/>
        </w:rPr>
      </w:pPr>
    </w:p>
    <w:p w:rsidR="00546CCE" w:rsidRDefault="00546CCE" w:rsidP="00727606">
      <w:pPr>
        <w:numPr>
          <w:ilvl w:val="0"/>
          <w:numId w:val="1"/>
        </w:numPr>
        <w:ind w:left="0" w:firstLine="720"/>
        <w:jc w:val="both"/>
        <w:rPr>
          <w:sz w:val="28"/>
          <w:szCs w:val="28"/>
        </w:rPr>
      </w:pPr>
      <w:r>
        <w:rPr>
          <w:sz w:val="28"/>
          <w:szCs w:val="28"/>
        </w:rPr>
        <w:t>Aizstāt noteikumu tekstā vārdus „Vides ministrija” ar vārdiem „Vides aizsardzības un reģionālās attīstības ministrija”</w:t>
      </w:r>
      <w:r w:rsidR="009428CD">
        <w:rPr>
          <w:sz w:val="28"/>
          <w:szCs w:val="28"/>
        </w:rPr>
        <w:t xml:space="preserve"> </w:t>
      </w:r>
      <w:r w:rsidR="001C0ED5" w:rsidRPr="001C0ED5">
        <w:rPr>
          <w:sz w:val="28"/>
          <w:szCs w:val="28"/>
        </w:rPr>
        <w:t>(</w:t>
      </w:r>
      <w:r w:rsidR="009428CD" w:rsidRPr="001C0ED5">
        <w:rPr>
          <w:sz w:val="28"/>
          <w:szCs w:val="28"/>
        </w:rPr>
        <w:t xml:space="preserve">turpmāk </w:t>
      </w:r>
      <w:r w:rsidR="001C0ED5" w:rsidRPr="001C0ED5">
        <w:rPr>
          <w:sz w:val="28"/>
          <w:szCs w:val="28"/>
        </w:rPr>
        <w:t>–</w:t>
      </w:r>
      <w:r w:rsidRPr="001C0ED5">
        <w:rPr>
          <w:sz w:val="28"/>
          <w:szCs w:val="28"/>
        </w:rPr>
        <w:t xml:space="preserve"> </w:t>
      </w:r>
      <w:r w:rsidR="001C0ED5" w:rsidRPr="001C0ED5">
        <w:rPr>
          <w:sz w:val="28"/>
          <w:szCs w:val="28"/>
        </w:rPr>
        <w:t>Ministrija</w:t>
      </w:r>
      <w:r w:rsidR="001C0ED5">
        <w:rPr>
          <w:sz w:val="28"/>
          <w:szCs w:val="28"/>
        </w:rPr>
        <w:t xml:space="preserve">) </w:t>
      </w:r>
      <w:r>
        <w:rPr>
          <w:sz w:val="28"/>
          <w:szCs w:val="28"/>
        </w:rPr>
        <w:t xml:space="preserve">attiecīgā locījumā.  </w:t>
      </w:r>
    </w:p>
    <w:p w:rsidR="00546CCE" w:rsidRDefault="00546CCE" w:rsidP="00546CCE">
      <w:pPr>
        <w:ind w:left="720"/>
        <w:jc w:val="both"/>
        <w:rPr>
          <w:sz w:val="28"/>
          <w:szCs w:val="28"/>
        </w:rPr>
      </w:pPr>
    </w:p>
    <w:p w:rsidR="001D26BD" w:rsidRPr="00AB772C" w:rsidRDefault="00241E8D" w:rsidP="00AC12ED">
      <w:pPr>
        <w:numPr>
          <w:ilvl w:val="0"/>
          <w:numId w:val="1"/>
        </w:numPr>
        <w:ind w:left="0" w:firstLine="720"/>
        <w:jc w:val="both"/>
        <w:rPr>
          <w:sz w:val="28"/>
          <w:szCs w:val="28"/>
        </w:rPr>
      </w:pPr>
      <w:r>
        <w:rPr>
          <w:sz w:val="28"/>
          <w:szCs w:val="28"/>
        </w:rPr>
        <w:t xml:space="preserve">Aizstāt </w:t>
      </w:r>
      <w:r w:rsidR="001D26BD">
        <w:rPr>
          <w:sz w:val="28"/>
          <w:szCs w:val="28"/>
        </w:rPr>
        <w:t xml:space="preserve">11.punktā </w:t>
      </w:r>
      <w:r w:rsidR="001D26BD" w:rsidRPr="00AB772C">
        <w:rPr>
          <w:sz w:val="28"/>
          <w:szCs w:val="28"/>
        </w:rPr>
        <w:t>vārdus „upes sateces baseina</w:t>
      </w:r>
      <w:r w:rsidRPr="00AB772C">
        <w:rPr>
          <w:sz w:val="28"/>
          <w:szCs w:val="28"/>
        </w:rPr>
        <w:t xml:space="preserve"> apsaimniekošanas plānu</w:t>
      </w:r>
      <w:r w:rsidR="001D26BD" w:rsidRPr="00AB772C">
        <w:rPr>
          <w:sz w:val="28"/>
          <w:szCs w:val="28"/>
        </w:rPr>
        <w:t>” ar vārdiem „upju baseinu apgabala</w:t>
      </w:r>
      <w:r w:rsidRPr="00AB772C">
        <w:rPr>
          <w:sz w:val="28"/>
          <w:szCs w:val="28"/>
        </w:rPr>
        <w:t xml:space="preserve"> apsaimniekošanas plānu (turpmāk – apsaimniekošanas plāns)</w:t>
      </w:r>
      <w:r w:rsidR="001D26BD" w:rsidRPr="00AB772C">
        <w:rPr>
          <w:sz w:val="28"/>
          <w:szCs w:val="28"/>
        </w:rPr>
        <w:t>”,</w:t>
      </w:r>
    </w:p>
    <w:p w:rsidR="00241E8D" w:rsidRDefault="00241E8D" w:rsidP="001D26BD">
      <w:pPr>
        <w:jc w:val="both"/>
        <w:rPr>
          <w:sz w:val="28"/>
          <w:szCs w:val="28"/>
        </w:rPr>
      </w:pPr>
    </w:p>
    <w:p w:rsidR="00546CCE" w:rsidRDefault="00546CCE" w:rsidP="00727606">
      <w:pPr>
        <w:numPr>
          <w:ilvl w:val="0"/>
          <w:numId w:val="1"/>
        </w:numPr>
        <w:ind w:left="0" w:firstLine="720"/>
        <w:jc w:val="both"/>
        <w:rPr>
          <w:sz w:val="28"/>
          <w:szCs w:val="28"/>
        </w:rPr>
      </w:pPr>
      <w:r>
        <w:rPr>
          <w:sz w:val="28"/>
          <w:szCs w:val="28"/>
        </w:rPr>
        <w:t xml:space="preserve">Izteikt 22.1.3. apakšpunktu šādā redakcijā: </w:t>
      </w:r>
    </w:p>
    <w:p w:rsidR="00546CCE" w:rsidRPr="002B13AC" w:rsidRDefault="002B13AC" w:rsidP="00F23432">
      <w:pPr>
        <w:pStyle w:val="ListParagraph"/>
        <w:ind w:left="0" w:firstLine="720"/>
        <w:jc w:val="both"/>
        <w:rPr>
          <w:sz w:val="28"/>
          <w:szCs w:val="28"/>
        </w:rPr>
      </w:pPr>
      <w:r>
        <w:rPr>
          <w:sz w:val="28"/>
          <w:szCs w:val="28"/>
          <w:lang w:eastAsia="lv-LV"/>
        </w:rPr>
        <w:t>„</w:t>
      </w:r>
      <w:r w:rsidR="00546CCE" w:rsidRPr="002B13AC">
        <w:rPr>
          <w:sz w:val="28"/>
          <w:szCs w:val="28"/>
          <w:lang w:eastAsia="lv-LV"/>
        </w:rPr>
        <w:t>22.1.3. konstatētu katru pazemes ūdeņu kvantitatīvā stāvokļa izmaiņu tendenci, identificētu visas ievērojamas un stabilas augšup</w:t>
      </w:r>
      <w:r w:rsidR="00546CCE" w:rsidRPr="002B13AC">
        <w:rPr>
          <w:sz w:val="28"/>
          <w:szCs w:val="28"/>
          <w:lang w:eastAsia="lv-LV"/>
        </w:rPr>
        <w:softHyphen/>
        <w:t xml:space="preserve">ejošas tendences, kas ir statistiski </w:t>
      </w:r>
      <w:r>
        <w:rPr>
          <w:sz w:val="28"/>
          <w:szCs w:val="28"/>
          <w:lang w:eastAsia="lv-LV"/>
        </w:rPr>
        <w:t xml:space="preserve">un </w:t>
      </w:r>
      <w:r w:rsidR="00546CCE" w:rsidRPr="002B13AC">
        <w:rPr>
          <w:sz w:val="28"/>
          <w:szCs w:val="28"/>
          <w:lang w:eastAsia="lv-LV"/>
        </w:rPr>
        <w:t>videi noz</w:t>
      </w:r>
      <w:r>
        <w:rPr>
          <w:sz w:val="28"/>
          <w:szCs w:val="28"/>
          <w:lang w:eastAsia="lv-LV"/>
        </w:rPr>
        <w:t xml:space="preserve">īmīgs </w:t>
      </w:r>
      <w:r w:rsidR="00546CCE" w:rsidRPr="002B13AC">
        <w:rPr>
          <w:sz w:val="28"/>
          <w:szCs w:val="28"/>
          <w:lang w:eastAsia="lv-LV"/>
        </w:rPr>
        <w:t>piesārņojošo vielu, piesārņojošo vielu grupu vai piesārņojuma rādītāju koncentrācijas pieaugums pazemes ūdensobjektā vai objektu grupā antropogēnās darbības ietekmē, ko ir nepieciešams novērst vai samazināt atbilstoši šo noteikumu nosacījumiem (turpmāk – augšup</w:t>
      </w:r>
      <w:r w:rsidR="00546CCE" w:rsidRPr="002B13AC">
        <w:rPr>
          <w:sz w:val="28"/>
          <w:szCs w:val="28"/>
          <w:lang w:eastAsia="lv-LV"/>
        </w:rPr>
        <w:softHyphen/>
        <w:t xml:space="preserve">ejoša tendence), kā </w:t>
      </w:r>
      <w:r w:rsidR="00A22D40">
        <w:rPr>
          <w:sz w:val="28"/>
          <w:szCs w:val="28"/>
          <w:lang w:eastAsia="lv-LV"/>
        </w:rPr>
        <w:t xml:space="preserve">arī noteiktu punktu, kurā jāuzsāk pasākumi </w:t>
      </w:r>
      <w:r w:rsidR="00546CCE" w:rsidRPr="002B13AC">
        <w:rPr>
          <w:sz w:val="28"/>
          <w:szCs w:val="28"/>
          <w:lang w:eastAsia="lv-LV"/>
        </w:rPr>
        <w:t xml:space="preserve">attiecīgās augšupejošās tendences </w:t>
      </w:r>
      <w:r w:rsidR="009D7A0B">
        <w:rPr>
          <w:sz w:val="28"/>
          <w:szCs w:val="28"/>
          <w:lang w:eastAsia="lv-LV"/>
        </w:rPr>
        <w:t>novēršanai vai samazināšanai (turpmāk – sākumpunkts)</w:t>
      </w:r>
      <w:r w:rsidR="00546CCE" w:rsidRPr="002B13AC">
        <w:rPr>
          <w:sz w:val="28"/>
          <w:szCs w:val="28"/>
          <w:lang w:eastAsia="lv-LV"/>
        </w:rPr>
        <w:t>;</w:t>
      </w:r>
      <w:r>
        <w:rPr>
          <w:sz w:val="28"/>
          <w:szCs w:val="28"/>
          <w:lang w:eastAsia="lv-LV"/>
        </w:rPr>
        <w:t>”</w:t>
      </w:r>
    </w:p>
    <w:p w:rsidR="00546CCE" w:rsidRDefault="00546CCE" w:rsidP="002B13AC">
      <w:pPr>
        <w:ind w:left="720"/>
        <w:jc w:val="both"/>
        <w:rPr>
          <w:sz w:val="28"/>
          <w:szCs w:val="28"/>
        </w:rPr>
      </w:pPr>
    </w:p>
    <w:p w:rsidR="002B13AC" w:rsidRDefault="00CD06EA" w:rsidP="00727606">
      <w:pPr>
        <w:numPr>
          <w:ilvl w:val="0"/>
          <w:numId w:val="1"/>
        </w:numPr>
        <w:ind w:left="0" w:firstLine="720"/>
        <w:jc w:val="both"/>
        <w:rPr>
          <w:sz w:val="28"/>
          <w:szCs w:val="28"/>
        </w:rPr>
      </w:pPr>
      <w:r>
        <w:rPr>
          <w:sz w:val="28"/>
          <w:szCs w:val="28"/>
        </w:rPr>
        <w:t xml:space="preserve">Izteikt 22.3. </w:t>
      </w:r>
      <w:r w:rsidR="00241E8D">
        <w:rPr>
          <w:sz w:val="28"/>
          <w:szCs w:val="28"/>
        </w:rPr>
        <w:t xml:space="preserve">apakšpunkta ievaddaļu </w:t>
      </w:r>
      <w:r>
        <w:rPr>
          <w:sz w:val="28"/>
          <w:szCs w:val="28"/>
        </w:rPr>
        <w:t xml:space="preserve">šādā redakcijā: </w:t>
      </w:r>
    </w:p>
    <w:p w:rsidR="00CD06EA" w:rsidRPr="00CD06EA" w:rsidRDefault="00CD06EA" w:rsidP="00272159">
      <w:pPr>
        <w:ind w:firstLine="720"/>
        <w:jc w:val="both"/>
        <w:rPr>
          <w:sz w:val="28"/>
          <w:szCs w:val="28"/>
        </w:rPr>
      </w:pPr>
      <w:r w:rsidRPr="00CD06EA">
        <w:rPr>
          <w:sz w:val="28"/>
          <w:szCs w:val="28"/>
          <w:lang w:eastAsia="lv-LV"/>
        </w:rPr>
        <w:t>„22.3. pazemes ūdensobjektos, kuros konstatēts risks nesasniegt izvirzītos vides kvalitātes mērķus (turpmāk – riska pazemes ūdensobjekti), nodrošina tādu monitoringa staciju blīvumu,  vietas izvēli un paraugu ņemšanas biežumu, lai varētu novērtēt ūdens ieguves un mākslīgas pazemes ūdeņu krājumu papildināšanas ietekmi uz pazemes ūdeņu līmeni un, identificējot augšupejošo tendenci, ar to būtu pietiekami, lai:”</w:t>
      </w:r>
    </w:p>
    <w:p w:rsidR="00CD06EA" w:rsidRDefault="00CD06EA" w:rsidP="00CD06EA">
      <w:pPr>
        <w:jc w:val="both"/>
        <w:rPr>
          <w:sz w:val="28"/>
          <w:szCs w:val="28"/>
        </w:rPr>
      </w:pPr>
    </w:p>
    <w:p w:rsidR="002B13AC" w:rsidRDefault="00CB6509" w:rsidP="00727606">
      <w:pPr>
        <w:numPr>
          <w:ilvl w:val="0"/>
          <w:numId w:val="1"/>
        </w:numPr>
        <w:ind w:left="0" w:firstLine="720"/>
        <w:jc w:val="both"/>
        <w:rPr>
          <w:sz w:val="28"/>
          <w:szCs w:val="28"/>
        </w:rPr>
      </w:pPr>
      <w:r>
        <w:rPr>
          <w:sz w:val="28"/>
          <w:szCs w:val="28"/>
        </w:rPr>
        <w:t xml:space="preserve">Izteikt 22.3.1. un 22.3.2. apakšpunktu šādā redakcijā: </w:t>
      </w:r>
    </w:p>
    <w:p w:rsidR="006B103A" w:rsidRDefault="00CB6509" w:rsidP="006B103A">
      <w:pPr>
        <w:ind w:firstLine="720"/>
        <w:jc w:val="both"/>
        <w:rPr>
          <w:sz w:val="28"/>
          <w:szCs w:val="28"/>
          <w:lang w:eastAsia="lv-LV"/>
        </w:rPr>
      </w:pPr>
      <w:r>
        <w:rPr>
          <w:sz w:val="28"/>
          <w:szCs w:val="28"/>
          <w:lang w:eastAsia="lv-LV"/>
        </w:rPr>
        <w:t>„</w:t>
      </w:r>
      <w:r w:rsidRPr="00CB6509">
        <w:rPr>
          <w:sz w:val="28"/>
          <w:szCs w:val="28"/>
          <w:lang w:eastAsia="lv-LV"/>
        </w:rPr>
        <w:t xml:space="preserve">22.3.1. pamatojoties uz iegūto informāciju, precīzi un ticami atšķirtu augšupejošo tendenci no dabiskās izcelsmes svārstībām; </w:t>
      </w:r>
    </w:p>
    <w:p w:rsidR="00CB6509" w:rsidRPr="00CB6509" w:rsidRDefault="00CB6509" w:rsidP="006B103A">
      <w:pPr>
        <w:ind w:left="142" w:firstLine="567"/>
        <w:jc w:val="both"/>
        <w:rPr>
          <w:sz w:val="28"/>
          <w:szCs w:val="28"/>
        </w:rPr>
      </w:pPr>
      <w:r w:rsidRPr="00CB6509">
        <w:rPr>
          <w:sz w:val="28"/>
          <w:szCs w:val="28"/>
          <w:lang w:eastAsia="lv-LV"/>
        </w:rPr>
        <w:t>22.3.2. laikus noteiktu augšupejošo tendenci un veiktu pasākumus, lai novērstu vai mazinātu pazemes ūdeņu kvalitātes būtisku pasliktināšanos;</w:t>
      </w:r>
      <w:r>
        <w:rPr>
          <w:sz w:val="28"/>
          <w:szCs w:val="28"/>
          <w:lang w:eastAsia="lv-LV"/>
        </w:rPr>
        <w:t>”</w:t>
      </w:r>
    </w:p>
    <w:p w:rsidR="002B13AC" w:rsidRDefault="002B13AC" w:rsidP="007A7294">
      <w:pPr>
        <w:ind w:left="720"/>
        <w:jc w:val="both"/>
        <w:rPr>
          <w:sz w:val="28"/>
          <w:szCs w:val="28"/>
        </w:rPr>
      </w:pPr>
    </w:p>
    <w:p w:rsidR="007A7294" w:rsidRDefault="007A7294" w:rsidP="00727606">
      <w:pPr>
        <w:numPr>
          <w:ilvl w:val="0"/>
          <w:numId w:val="1"/>
        </w:numPr>
        <w:ind w:left="0" w:firstLine="720"/>
        <w:jc w:val="both"/>
        <w:rPr>
          <w:sz w:val="28"/>
          <w:szCs w:val="28"/>
        </w:rPr>
      </w:pPr>
      <w:r>
        <w:rPr>
          <w:sz w:val="28"/>
          <w:szCs w:val="28"/>
        </w:rPr>
        <w:t>Izteikt 40. punktu šādā redakcijā:</w:t>
      </w:r>
    </w:p>
    <w:p w:rsidR="007A7294" w:rsidRPr="007A7294" w:rsidRDefault="007A7294" w:rsidP="007A7294">
      <w:pPr>
        <w:autoSpaceDE w:val="0"/>
        <w:autoSpaceDN w:val="0"/>
        <w:adjustRightInd w:val="0"/>
        <w:ind w:firstLine="720"/>
        <w:jc w:val="both"/>
        <w:rPr>
          <w:sz w:val="28"/>
          <w:szCs w:val="28"/>
          <w:lang w:eastAsia="lv-LV"/>
        </w:rPr>
      </w:pPr>
      <w:r>
        <w:rPr>
          <w:sz w:val="28"/>
          <w:szCs w:val="28"/>
          <w:lang w:eastAsia="lv-LV"/>
        </w:rPr>
        <w:t>„</w:t>
      </w:r>
      <w:r w:rsidRPr="007A7294">
        <w:rPr>
          <w:sz w:val="28"/>
          <w:szCs w:val="28"/>
          <w:lang w:eastAsia="lv-LV"/>
        </w:rPr>
        <w:t xml:space="preserve">40. Lai pakāpeniski samazinātu pazemes ūdeņu piesārņojumu, tai skaitā mainītu augšupejošas tendences, kas rada </w:t>
      </w:r>
      <w:r w:rsidRPr="007A7294">
        <w:rPr>
          <w:sz w:val="28"/>
          <w:szCs w:val="28"/>
        </w:rPr>
        <w:t>būtisku kaitējuma risku ūdens ekosistēmu vai sauszemes ekosistēmu kvalitātei, cilvēku veselībai vai ūdens vides izmantošanai pašlaik vai nākotnē,</w:t>
      </w:r>
      <w:r w:rsidRPr="007A7294">
        <w:rPr>
          <w:sz w:val="28"/>
          <w:szCs w:val="28"/>
          <w:lang w:eastAsia="lv-LV"/>
        </w:rPr>
        <w:t xml:space="preserve"> un novērstu ūdens kvalitātes pasliktināšanos riska pazemes ūdensobjektos, kā arī ņemot vērā konkrētajam ūdensobjektam izvirzītos vides kvalitātes mērķus, centrs veic šo noteikumu </w:t>
      </w:r>
      <w:hyperlink r:id="rId9" w:anchor="p38" w:history="1">
        <w:r w:rsidRPr="007A7294">
          <w:rPr>
            <w:color w:val="40407C"/>
            <w:sz w:val="28"/>
            <w:szCs w:val="28"/>
            <w:u w:val="single"/>
            <w:lang w:eastAsia="lv-LV"/>
          </w:rPr>
          <w:t>38.1.apakšpunktā</w:t>
        </w:r>
      </w:hyperlink>
      <w:r w:rsidRPr="007A7294">
        <w:rPr>
          <w:sz w:val="28"/>
          <w:szCs w:val="28"/>
          <w:lang w:eastAsia="lv-LV"/>
        </w:rPr>
        <w:t xml:space="preserve"> minētos uzdevumus, pārskata pasākumu programmas, kā arī: </w:t>
      </w:r>
    </w:p>
    <w:p w:rsidR="007A7294" w:rsidRPr="007A7294" w:rsidRDefault="007A7294" w:rsidP="007A7294">
      <w:pPr>
        <w:autoSpaceDE w:val="0"/>
        <w:autoSpaceDN w:val="0"/>
        <w:adjustRightInd w:val="0"/>
        <w:ind w:firstLine="720"/>
        <w:jc w:val="both"/>
        <w:rPr>
          <w:sz w:val="28"/>
          <w:szCs w:val="28"/>
          <w:lang w:eastAsia="lv-LV"/>
        </w:rPr>
      </w:pPr>
      <w:r w:rsidRPr="007A7294">
        <w:rPr>
          <w:sz w:val="28"/>
          <w:szCs w:val="28"/>
          <w:lang w:eastAsia="lv-LV"/>
        </w:rPr>
        <w:t>40.1. pamatojoties uz monitoringā iegūto informāciju, identificē tos pazemes ūdensobjektus vai ūdensobjektu daļas, kur jāveic pasākumi augšupej</w:t>
      </w:r>
      <w:r w:rsidR="00957E39">
        <w:rPr>
          <w:sz w:val="28"/>
          <w:szCs w:val="28"/>
          <w:lang w:eastAsia="lv-LV"/>
        </w:rPr>
        <w:t>ošas tendences maiņai</w:t>
      </w:r>
      <w:r w:rsidR="00957E39" w:rsidRPr="008516E3">
        <w:rPr>
          <w:sz w:val="28"/>
          <w:szCs w:val="28"/>
          <w:lang w:eastAsia="lv-LV"/>
        </w:rPr>
        <w:t xml:space="preserve">. </w:t>
      </w:r>
      <w:r w:rsidR="008516E3">
        <w:rPr>
          <w:sz w:val="28"/>
          <w:szCs w:val="28"/>
          <w:lang w:eastAsia="lv-LV"/>
        </w:rPr>
        <w:t>Apsaimniekošanas plānā</w:t>
      </w:r>
      <w:r w:rsidR="00957E39" w:rsidRPr="008516E3">
        <w:rPr>
          <w:sz w:val="28"/>
          <w:szCs w:val="28"/>
          <w:lang w:eastAsia="lv-LV"/>
        </w:rPr>
        <w:t xml:space="preserve"> noteiktās atbildīgās institūcijas p</w:t>
      </w:r>
      <w:r w:rsidRPr="008516E3">
        <w:rPr>
          <w:sz w:val="28"/>
          <w:szCs w:val="28"/>
          <w:lang w:eastAsia="lv-LV"/>
        </w:rPr>
        <w:t>asākumus</w:t>
      </w:r>
      <w:r w:rsidR="00957E39" w:rsidRPr="008516E3">
        <w:rPr>
          <w:sz w:val="28"/>
          <w:szCs w:val="28"/>
          <w:lang w:eastAsia="lv-LV"/>
        </w:rPr>
        <w:t xml:space="preserve"> </w:t>
      </w:r>
      <w:r w:rsidRPr="008516E3">
        <w:rPr>
          <w:sz w:val="28"/>
          <w:szCs w:val="28"/>
          <w:lang w:eastAsia="lv-LV"/>
        </w:rPr>
        <w:t xml:space="preserve"> uzsāk,</w:t>
      </w:r>
      <w:r w:rsidR="008516E3">
        <w:rPr>
          <w:sz w:val="28"/>
          <w:szCs w:val="28"/>
          <w:lang w:eastAsia="lv-LV"/>
        </w:rPr>
        <w:t xml:space="preserve"> ja piesārņojošā</w:t>
      </w:r>
      <w:r w:rsidRPr="007A7294">
        <w:rPr>
          <w:sz w:val="28"/>
          <w:szCs w:val="28"/>
          <w:lang w:eastAsia="lv-LV"/>
        </w:rPr>
        <w:t>s vielas koncentrācija sasniedz 75 procentus no robežvērtības, kas noteikta atbilstoši normatīvajiem aktiem par pazemes ūdens resursu apzināšanas kārtību un kvalitātes kritērijiem. Katram riska pazemes ūdensobjektam sākumpunkta vērtības nosaka reizi sešos gados, izs</w:t>
      </w:r>
      <w:r w:rsidR="008516E3">
        <w:rPr>
          <w:sz w:val="28"/>
          <w:szCs w:val="28"/>
          <w:lang w:eastAsia="lv-LV"/>
        </w:rPr>
        <w:t>trādājot apsaimniekošanas plānu</w:t>
      </w:r>
      <w:r w:rsidR="00A15E8F">
        <w:rPr>
          <w:sz w:val="28"/>
          <w:szCs w:val="28"/>
          <w:lang w:eastAsia="lv-LV"/>
        </w:rPr>
        <w:t>.</w:t>
      </w:r>
      <w:r w:rsidRPr="007A7294">
        <w:rPr>
          <w:sz w:val="28"/>
          <w:szCs w:val="28"/>
          <w:lang w:eastAsia="lv-LV"/>
        </w:rPr>
        <w:t xml:space="preserve"> </w:t>
      </w:r>
      <w:r w:rsidR="00A15E8F">
        <w:rPr>
          <w:sz w:val="28"/>
          <w:szCs w:val="28"/>
          <w:lang w:eastAsia="lv-LV"/>
        </w:rPr>
        <w:t>V</w:t>
      </w:r>
      <w:r w:rsidRPr="007A7294">
        <w:rPr>
          <w:sz w:val="28"/>
          <w:szCs w:val="28"/>
          <w:lang w:eastAsia="lv-LV"/>
        </w:rPr>
        <w:t xml:space="preserve">iena apsaimniekošanas plāna aptvertajā laika posmā sākumpunkta vērtības nemaina. Pasākumus pieļaujams uzsākt  arī citā laikā, ja: </w:t>
      </w:r>
    </w:p>
    <w:p w:rsidR="007A7294" w:rsidRPr="007A7294" w:rsidRDefault="007A7294" w:rsidP="006B103A">
      <w:pPr>
        <w:ind w:left="720"/>
        <w:rPr>
          <w:strike/>
          <w:sz w:val="28"/>
          <w:szCs w:val="28"/>
          <w:lang w:eastAsia="lv-LV"/>
        </w:rPr>
      </w:pPr>
      <w:r w:rsidRPr="007A7294">
        <w:rPr>
          <w:sz w:val="28"/>
          <w:szCs w:val="28"/>
          <w:lang w:eastAsia="lv-LV"/>
        </w:rPr>
        <w:t xml:space="preserve">40.1.1. attiecīgos pasākumus ir ekonomiski izdevīgāk veikt pirms piesārņojošo vielu koncentrācija sasniedz 75 procentus no robežvērtības; </w:t>
      </w:r>
      <w:r w:rsidRPr="007A7294">
        <w:rPr>
          <w:sz w:val="28"/>
          <w:szCs w:val="28"/>
          <w:lang w:eastAsia="lv-LV"/>
        </w:rPr>
        <w:br/>
        <w:t>40.1.2. p</w:t>
      </w:r>
      <w:r w:rsidRPr="007A7294">
        <w:rPr>
          <w:sz w:val="28"/>
          <w:szCs w:val="28"/>
        </w:rPr>
        <w:t xml:space="preserve">iesārņojošās vielas koncentrācijas novērtēšanai izmantotās analīzes metodes noteikšanas robeža neļauj precīzi noteikt 75 procentus no minētās  vielas robežvērtības, </w:t>
      </w:r>
      <w:r w:rsidRPr="007A7294">
        <w:rPr>
          <w:sz w:val="28"/>
          <w:szCs w:val="28"/>
          <w:lang w:eastAsia="lv-LV"/>
        </w:rPr>
        <w:t xml:space="preserve">un tāpēc ir jāizvēlas cits sākumpunkts nekā noteikts </w:t>
      </w:r>
      <w:r w:rsidR="00A15E8F">
        <w:rPr>
          <w:sz w:val="28"/>
          <w:szCs w:val="28"/>
          <w:lang w:eastAsia="lv-LV"/>
        </w:rPr>
        <w:t xml:space="preserve">šo noteikumu </w:t>
      </w:r>
      <w:r w:rsidRPr="007A7294">
        <w:rPr>
          <w:sz w:val="28"/>
          <w:szCs w:val="28"/>
          <w:lang w:eastAsia="lv-LV"/>
        </w:rPr>
        <w:t xml:space="preserve">40.1.apakšpunktā; </w:t>
      </w:r>
      <w:r w:rsidRPr="007A7294">
        <w:rPr>
          <w:sz w:val="28"/>
          <w:szCs w:val="28"/>
          <w:lang w:eastAsia="lv-LV"/>
        </w:rPr>
        <w:br/>
        <w:t xml:space="preserve">40.1.3. augšupejošās </w:t>
      </w:r>
      <w:r w:rsidRPr="007A7294">
        <w:rPr>
          <w:sz w:val="28"/>
          <w:szCs w:val="28"/>
        </w:rPr>
        <w:t xml:space="preserve">tendences izmaiņu ātrums liecina, ka vēlāka pasākumu uzsākšana joprojām nodrošinās iespēju ekonomiski </w:t>
      </w:r>
      <w:r w:rsidRPr="007A7294">
        <w:rPr>
          <w:sz w:val="28"/>
          <w:szCs w:val="28"/>
        </w:rPr>
        <w:lastRenderedPageBreak/>
        <w:t xml:space="preserve">visizdevīgākā veidā novērst vai samazināt pazemes ūdeņu kvalitātes </w:t>
      </w:r>
      <w:r w:rsidR="004D6A7A" w:rsidRPr="007A7294">
        <w:rPr>
          <w:sz w:val="28"/>
          <w:szCs w:val="28"/>
        </w:rPr>
        <w:t xml:space="preserve">būtisku </w:t>
      </w:r>
      <w:r w:rsidRPr="007A7294">
        <w:rPr>
          <w:sz w:val="28"/>
          <w:szCs w:val="28"/>
        </w:rPr>
        <w:t xml:space="preserve">pasliktināšanos un </w:t>
      </w:r>
      <w:r w:rsidRPr="007A7294">
        <w:rPr>
          <w:sz w:val="28"/>
          <w:szCs w:val="28"/>
          <w:lang w:eastAsia="lv-LV"/>
        </w:rPr>
        <w:t xml:space="preserve">netiks aizkavēta konkrētam ūdensobjektam izvirzīto vides kvalitātes mērķu sasniegšana; </w:t>
      </w:r>
    </w:p>
    <w:p w:rsidR="007A7294" w:rsidRPr="007A7294" w:rsidRDefault="007A7294" w:rsidP="008516E3">
      <w:pPr>
        <w:autoSpaceDE w:val="0"/>
        <w:autoSpaceDN w:val="0"/>
        <w:adjustRightInd w:val="0"/>
        <w:ind w:firstLine="720"/>
        <w:jc w:val="both"/>
        <w:rPr>
          <w:sz w:val="28"/>
          <w:szCs w:val="28"/>
        </w:rPr>
      </w:pPr>
      <w:r w:rsidRPr="007A7294">
        <w:rPr>
          <w:sz w:val="28"/>
          <w:szCs w:val="28"/>
          <w:lang w:eastAsia="lv-LV"/>
        </w:rPr>
        <w:t xml:space="preserve">40.2. nosakot augšupejošas tendences piesārņojošām vielām, kas ir gan sastopamas dabā, gan rodas antropogēnas darbības rezultātā, atbilstoši Ūdens apsaimniekošanas likumam izstrādātajos apsaimniekošanas plānos 2010. – 2015.gadam, izmanto informāciju par šādu vielu bāzes līmeni, kas ir šo vielu koncentrācijas vidējā vērtība, kura iegūta, īstenojot atbilstoši minētajam </w:t>
      </w:r>
      <w:r w:rsidR="004D6A7A">
        <w:rPr>
          <w:sz w:val="28"/>
          <w:szCs w:val="28"/>
          <w:lang w:eastAsia="lv-LV"/>
        </w:rPr>
        <w:t xml:space="preserve">likumam </w:t>
      </w:r>
      <w:r w:rsidRPr="007A7294">
        <w:rPr>
          <w:sz w:val="28"/>
          <w:szCs w:val="28"/>
          <w:lang w:eastAsia="lv-LV"/>
        </w:rPr>
        <w:t>izstrādāto ūdens stāvokļa monitoringa programmu, kā arī pirms minētās monitoringa programmas uzsākšanas apkopotos datus. Augšupejošās tendences maiņu centrs pierāda ar statistiski pamatotiem datiem, kas iegūti šo noteikumu 22.3.</w:t>
      </w:r>
      <w:r w:rsidR="00A15E8F">
        <w:rPr>
          <w:sz w:val="28"/>
          <w:szCs w:val="28"/>
          <w:lang w:eastAsia="lv-LV"/>
        </w:rPr>
        <w:t>, 22.4, 22.5 un</w:t>
      </w:r>
      <w:r w:rsidRPr="007A7294">
        <w:rPr>
          <w:sz w:val="28"/>
          <w:szCs w:val="28"/>
          <w:lang w:eastAsia="lv-LV"/>
        </w:rPr>
        <w:t xml:space="preserve"> 22.6. apakšpunkta nosacījumiem atbilstoša monitoringa gaitā.</w:t>
      </w:r>
      <w:r w:rsidR="006B103A">
        <w:rPr>
          <w:sz w:val="28"/>
          <w:szCs w:val="28"/>
          <w:lang w:eastAsia="lv-LV"/>
        </w:rPr>
        <w:t>”</w:t>
      </w:r>
    </w:p>
    <w:p w:rsidR="002B13AC" w:rsidRDefault="007A7294" w:rsidP="007A7294">
      <w:pPr>
        <w:jc w:val="both"/>
        <w:rPr>
          <w:sz w:val="28"/>
          <w:szCs w:val="28"/>
        </w:rPr>
      </w:pPr>
      <w:r>
        <w:rPr>
          <w:sz w:val="28"/>
          <w:szCs w:val="28"/>
        </w:rPr>
        <w:t xml:space="preserve"> </w:t>
      </w:r>
    </w:p>
    <w:p w:rsidR="002B13AC" w:rsidRDefault="00A15E8F" w:rsidP="00727606">
      <w:pPr>
        <w:numPr>
          <w:ilvl w:val="0"/>
          <w:numId w:val="1"/>
        </w:numPr>
        <w:ind w:left="0" w:firstLine="720"/>
        <w:jc w:val="both"/>
        <w:rPr>
          <w:sz w:val="28"/>
          <w:szCs w:val="28"/>
        </w:rPr>
      </w:pPr>
      <w:r>
        <w:rPr>
          <w:sz w:val="28"/>
          <w:szCs w:val="28"/>
        </w:rPr>
        <w:t xml:space="preserve">Izteikt </w:t>
      </w:r>
      <w:r w:rsidR="00037B72">
        <w:rPr>
          <w:sz w:val="28"/>
          <w:szCs w:val="28"/>
        </w:rPr>
        <w:t>41.</w:t>
      </w:r>
      <w:r>
        <w:rPr>
          <w:sz w:val="28"/>
          <w:szCs w:val="28"/>
        </w:rPr>
        <w:t xml:space="preserve">punktu šādā redakcijā: </w:t>
      </w:r>
    </w:p>
    <w:p w:rsidR="007D13C9" w:rsidRDefault="00A15E8F" w:rsidP="00AF76E4">
      <w:pPr>
        <w:pStyle w:val="NoSpacing"/>
        <w:ind w:firstLine="720"/>
        <w:jc w:val="both"/>
        <w:rPr>
          <w:sz w:val="28"/>
          <w:szCs w:val="28"/>
        </w:rPr>
      </w:pPr>
      <w:r w:rsidRPr="00A15E8F">
        <w:rPr>
          <w:sz w:val="28"/>
          <w:szCs w:val="28"/>
        </w:rPr>
        <w:t>„</w:t>
      </w:r>
      <w:r w:rsidRPr="00AF76E4">
        <w:rPr>
          <w:sz w:val="28"/>
          <w:szCs w:val="28"/>
        </w:rPr>
        <w:t>41. Kopsavilkumu par šo noteikumu 38.1.2.apakšpunktā minētā novērtējuma rezultātiem un monitoringa rezultātu izmantošanu augšupejošo tendenču noteikšanai un sākumpunkta izvēles iemesliem iekļauj apsaimniekošanas plānā reizi sešos gados.</w:t>
      </w:r>
      <w:r w:rsidRPr="00A15E8F">
        <w:rPr>
          <w:sz w:val="28"/>
          <w:szCs w:val="28"/>
        </w:rPr>
        <w:t>”</w:t>
      </w:r>
      <w:r>
        <w:t xml:space="preserve"> </w:t>
      </w:r>
    </w:p>
    <w:p w:rsidR="00037B72" w:rsidRDefault="007D13C9" w:rsidP="00037B72">
      <w:pPr>
        <w:jc w:val="both"/>
        <w:rPr>
          <w:sz w:val="28"/>
          <w:szCs w:val="28"/>
        </w:rPr>
      </w:pPr>
      <w:r>
        <w:rPr>
          <w:sz w:val="28"/>
          <w:szCs w:val="28"/>
        </w:rPr>
        <w:t xml:space="preserve"> </w:t>
      </w:r>
      <w:r w:rsidR="00037B72">
        <w:rPr>
          <w:sz w:val="28"/>
          <w:szCs w:val="28"/>
        </w:rPr>
        <w:t xml:space="preserve"> </w:t>
      </w:r>
    </w:p>
    <w:p w:rsidR="00727606" w:rsidRDefault="00727606" w:rsidP="00727606">
      <w:pPr>
        <w:rPr>
          <w:sz w:val="28"/>
          <w:szCs w:val="28"/>
        </w:rPr>
      </w:pPr>
    </w:p>
    <w:p w:rsidR="00727606" w:rsidRDefault="00727606" w:rsidP="00727606">
      <w:pPr>
        <w:rPr>
          <w:sz w:val="28"/>
          <w:szCs w:val="28"/>
        </w:rPr>
      </w:pPr>
    </w:p>
    <w:p w:rsidR="00727606" w:rsidRDefault="00727606" w:rsidP="00727606">
      <w:pPr>
        <w:rPr>
          <w:sz w:val="28"/>
          <w:szCs w:val="28"/>
        </w:rPr>
      </w:pPr>
    </w:p>
    <w:p w:rsidR="00727606" w:rsidRPr="007A6527" w:rsidRDefault="00727606" w:rsidP="00727606">
      <w:pPr>
        <w:rPr>
          <w:sz w:val="28"/>
          <w:szCs w:val="28"/>
        </w:rPr>
      </w:pPr>
      <w:r w:rsidRPr="007A6527">
        <w:rPr>
          <w:sz w:val="28"/>
          <w:szCs w:val="28"/>
        </w:rPr>
        <w:t>Ministru prezidents</w:t>
      </w:r>
      <w:r w:rsidRPr="007A6527">
        <w:rPr>
          <w:sz w:val="28"/>
          <w:szCs w:val="28"/>
        </w:rPr>
        <w:tab/>
      </w:r>
      <w:r w:rsidRPr="007A6527">
        <w:rPr>
          <w:sz w:val="28"/>
          <w:szCs w:val="28"/>
        </w:rPr>
        <w:tab/>
      </w:r>
      <w:r w:rsidRPr="007A6527">
        <w:rPr>
          <w:sz w:val="28"/>
          <w:szCs w:val="28"/>
        </w:rPr>
        <w:tab/>
      </w:r>
      <w:r w:rsidRPr="007A6527">
        <w:rPr>
          <w:sz w:val="28"/>
          <w:szCs w:val="28"/>
        </w:rPr>
        <w:tab/>
      </w:r>
      <w:r w:rsidRPr="007A6527">
        <w:rPr>
          <w:sz w:val="28"/>
          <w:szCs w:val="28"/>
        </w:rPr>
        <w:tab/>
      </w:r>
      <w:r w:rsidRPr="007A6527">
        <w:rPr>
          <w:sz w:val="28"/>
          <w:szCs w:val="28"/>
        </w:rPr>
        <w:tab/>
      </w:r>
      <w:r w:rsidR="00D52641">
        <w:rPr>
          <w:sz w:val="28"/>
          <w:szCs w:val="28"/>
        </w:rPr>
        <w:tab/>
      </w:r>
      <w:proofErr w:type="spellStart"/>
      <w:r w:rsidRPr="007A6527">
        <w:rPr>
          <w:sz w:val="28"/>
          <w:szCs w:val="28"/>
        </w:rPr>
        <w:t>V.Dombrovskis</w:t>
      </w:r>
      <w:proofErr w:type="spellEnd"/>
    </w:p>
    <w:p w:rsidR="00727606" w:rsidRDefault="00727606" w:rsidP="00727606">
      <w:pPr>
        <w:spacing w:before="120" w:after="120"/>
        <w:jc w:val="both"/>
        <w:rPr>
          <w:sz w:val="28"/>
        </w:rPr>
      </w:pPr>
    </w:p>
    <w:p w:rsidR="00727606" w:rsidRDefault="00727606" w:rsidP="00727606">
      <w:pPr>
        <w:jc w:val="both"/>
        <w:rPr>
          <w:sz w:val="28"/>
        </w:rPr>
      </w:pPr>
      <w:r>
        <w:rPr>
          <w:sz w:val="28"/>
        </w:rPr>
        <w:t>Vides aizsardzības un</w:t>
      </w:r>
    </w:p>
    <w:p w:rsidR="00727606" w:rsidRDefault="00727606" w:rsidP="00727606">
      <w:pPr>
        <w:jc w:val="both"/>
        <w:rPr>
          <w:sz w:val="28"/>
        </w:rPr>
      </w:pPr>
      <w:r>
        <w:rPr>
          <w:sz w:val="28"/>
        </w:rPr>
        <w:t>reģionālās attīstības ministrs</w:t>
      </w:r>
      <w:r>
        <w:rPr>
          <w:sz w:val="28"/>
        </w:rPr>
        <w:tab/>
      </w:r>
      <w:r>
        <w:rPr>
          <w:sz w:val="28"/>
        </w:rPr>
        <w:tab/>
        <w:t xml:space="preserve"> </w:t>
      </w:r>
      <w:r>
        <w:rPr>
          <w:sz w:val="28"/>
        </w:rPr>
        <w:tab/>
      </w:r>
      <w:r>
        <w:rPr>
          <w:sz w:val="28"/>
        </w:rPr>
        <w:tab/>
      </w:r>
      <w:r>
        <w:rPr>
          <w:sz w:val="28"/>
        </w:rPr>
        <w:tab/>
      </w:r>
      <w:r>
        <w:rPr>
          <w:sz w:val="28"/>
        </w:rPr>
        <w:tab/>
        <w:t>E.Sprūdžs</w:t>
      </w:r>
    </w:p>
    <w:p w:rsidR="00727606" w:rsidRDefault="00727606" w:rsidP="00727606">
      <w:pPr>
        <w:jc w:val="both"/>
        <w:rPr>
          <w:sz w:val="28"/>
          <w:szCs w:val="28"/>
        </w:rPr>
      </w:pPr>
    </w:p>
    <w:p w:rsidR="00727606" w:rsidRDefault="00727606" w:rsidP="00727606">
      <w:pPr>
        <w:jc w:val="both"/>
        <w:rPr>
          <w:sz w:val="28"/>
          <w:szCs w:val="28"/>
        </w:rPr>
      </w:pPr>
    </w:p>
    <w:p w:rsidR="00727606" w:rsidRDefault="00727606" w:rsidP="00727606">
      <w:pPr>
        <w:jc w:val="both"/>
      </w:pPr>
      <w:r>
        <w:rPr>
          <w:sz w:val="28"/>
          <w:szCs w:val="28"/>
        </w:rPr>
        <w:t>Vīza:</w:t>
      </w:r>
    </w:p>
    <w:p w:rsidR="00727606" w:rsidRDefault="00727606" w:rsidP="00727606">
      <w:pPr>
        <w:jc w:val="both"/>
        <w:rPr>
          <w:sz w:val="28"/>
          <w:szCs w:val="28"/>
        </w:rPr>
      </w:pPr>
      <w:r w:rsidRPr="00596319">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A.Antonovs</w:t>
      </w:r>
    </w:p>
    <w:p w:rsidR="00727606" w:rsidRDefault="00727606" w:rsidP="00727606">
      <w:pPr>
        <w:jc w:val="both"/>
        <w:rPr>
          <w:sz w:val="28"/>
          <w:szCs w:val="28"/>
        </w:rPr>
      </w:pPr>
    </w:p>
    <w:p w:rsidR="00DD0C6A" w:rsidRDefault="00DD0C6A" w:rsidP="00727606">
      <w:pPr>
        <w:jc w:val="both"/>
        <w:rPr>
          <w:sz w:val="28"/>
          <w:szCs w:val="28"/>
        </w:rPr>
      </w:pPr>
    </w:p>
    <w:p w:rsidR="00DD0C6A" w:rsidRDefault="00DD0C6A" w:rsidP="00727606">
      <w:pPr>
        <w:jc w:val="both"/>
        <w:rPr>
          <w:sz w:val="28"/>
          <w:szCs w:val="28"/>
        </w:rPr>
      </w:pPr>
    </w:p>
    <w:p w:rsidR="00727606" w:rsidRPr="00FF73E2" w:rsidRDefault="0004317B" w:rsidP="00727606">
      <w:r w:rsidRPr="00FF73E2">
        <w:t>03.10</w:t>
      </w:r>
      <w:r w:rsidR="00727606" w:rsidRPr="00FF73E2">
        <w:t>.2012.,</w:t>
      </w:r>
      <w:r w:rsidRPr="00FF73E2">
        <w:t xml:space="preserve"> 11</w:t>
      </w:r>
      <w:r w:rsidR="00727606" w:rsidRPr="00FF73E2">
        <w:t>:</w:t>
      </w:r>
      <w:r w:rsidRPr="00FF73E2">
        <w:t>2</w:t>
      </w:r>
      <w:r w:rsidR="00946219">
        <w:t>1</w:t>
      </w:r>
      <w:bookmarkStart w:id="0" w:name="_GoBack"/>
      <w:bookmarkEnd w:id="0"/>
    </w:p>
    <w:p w:rsidR="00727606" w:rsidRPr="006C751A" w:rsidRDefault="004D6A7A" w:rsidP="00727606">
      <w:r w:rsidRPr="00F92CD3">
        <w:t>6</w:t>
      </w:r>
      <w:r w:rsidR="0004317B">
        <w:t>50</w:t>
      </w:r>
    </w:p>
    <w:p w:rsidR="00FF73E2" w:rsidRDefault="00FF73E2" w:rsidP="00FF73E2">
      <w:r>
        <w:t xml:space="preserve">I.Teibe, 67026574, </w:t>
      </w:r>
      <w:hyperlink r:id="rId10" w:history="1">
        <w:r w:rsidRPr="00684D96">
          <w:rPr>
            <w:rStyle w:val="Hyperlink"/>
          </w:rPr>
          <w:t>iveta.teibe@varam.gov.lv</w:t>
        </w:r>
      </w:hyperlink>
    </w:p>
    <w:p w:rsidR="00727606" w:rsidRDefault="00727606" w:rsidP="00727606">
      <w:r w:rsidRPr="006C751A">
        <w:t>T.Jansone,</w:t>
      </w:r>
      <w:r>
        <w:t xml:space="preserve"> 67026561, </w:t>
      </w:r>
      <w:hyperlink r:id="rId11" w:history="1">
        <w:r w:rsidRPr="00850EBC">
          <w:rPr>
            <w:rStyle w:val="Hyperlink"/>
          </w:rPr>
          <w:t>tatjana.jansone@varam.gov.lv</w:t>
        </w:r>
      </w:hyperlink>
      <w:r>
        <w:t xml:space="preserve"> </w:t>
      </w:r>
    </w:p>
    <w:p w:rsidR="00727606" w:rsidRDefault="00727606" w:rsidP="00727606">
      <w:pPr>
        <w:jc w:val="both"/>
        <w:rPr>
          <w:sz w:val="28"/>
          <w:szCs w:val="28"/>
        </w:rPr>
      </w:pPr>
    </w:p>
    <w:p w:rsidR="00EA4467" w:rsidRDefault="00EA4467"/>
    <w:sectPr w:rsidR="00EA4467" w:rsidSect="007D13C9">
      <w:headerReference w:type="default" r:id="rId12"/>
      <w:footerReference w:type="default" r:id="rId13"/>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0A" w:rsidRDefault="00F2140A" w:rsidP="00727606">
      <w:r>
        <w:separator/>
      </w:r>
    </w:p>
  </w:endnote>
  <w:endnote w:type="continuationSeparator" w:id="0">
    <w:p w:rsidR="00F2140A" w:rsidRDefault="00F2140A" w:rsidP="0072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0A" w:rsidRPr="004C7A21" w:rsidRDefault="00451FED" w:rsidP="00727606">
    <w:pPr>
      <w:jc w:val="both"/>
      <w:rPr>
        <w:szCs w:val="24"/>
      </w:rPr>
    </w:pPr>
    <w:r>
      <w:t>VARAMNot_0310</w:t>
    </w:r>
    <w:r w:rsidR="00F2140A">
      <w:t>12</w:t>
    </w:r>
    <w:r w:rsidR="00F2140A" w:rsidRPr="00C45F12">
      <w:t>_</w:t>
    </w:r>
    <w:r w:rsidR="00F2140A">
      <w:t>groz92; Ministru kabineta noteikumu projekts „</w:t>
    </w:r>
    <w:r w:rsidR="00F2140A" w:rsidRPr="004C7A21">
      <w:t xml:space="preserve">Grozījumi Ministru kabineta </w:t>
    </w:r>
    <w:r w:rsidR="00F2140A" w:rsidRPr="0037508F">
      <w:t>2</w:t>
    </w:r>
    <w:r w:rsidR="00F2140A">
      <w:t>004. gada 17. februāra noteikumos</w:t>
    </w:r>
    <w:r w:rsidR="00F2140A" w:rsidRPr="0037508F">
      <w:t xml:space="preserve"> Nr. </w:t>
    </w:r>
    <w:r w:rsidR="00F2140A">
      <w:t>92</w:t>
    </w:r>
    <w:r w:rsidR="00F2140A" w:rsidRPr="0037508F">
      <w:t xml:space="preserve"> „</w:t>
    </w:r>
    <w:r w:rsidR="00F2140A">
      <w:t>Prasības virszemes ūdeņu, pazemes ūdeņu un aizsargājamo teritoriju monitoringam un monitoringa programmu izstrādei</w:t>
    </w:r>
    <w:r w:rsidR="00F2140A" w:rsidRPr="0037508F">
      <w:t>”</w:t>
    </w:r>
  </w:p>
  <w:p w:rsidR="00F2140A" w:rsidRDefault="00F2140A">
    <w:pPr>
      <w:pStyle w:val="Footer"/>
    </w:pPr>
  </w:p>
  <w:p w:rsidR="00F2140A" w:rsidRPr="004C7A21" w:rsidRDefault="00F2140A" w:rsidP="00546CCE">
    <w:pPr>
      <w:jc w:val="both"/>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0A" w:rsidRDefault="00F2140A" w:rsidP="00727606">
      <w:r>
        <w:separator/>
      </w:r>
    </w:p>
  </w:footnote>
  <w:footnote w:type="continuationSeparator" w:id="0">
    <w:p w:rsidR="00F2140A" w:rsidRDefault="00F2140A" w:rsidP="00727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1250"/>
      <w:docPartObj>
        <w:docPartGallery w:val="Page Numbers (Top of Page)"/>
        <w:docPartUnique/>
      </w:docPartObj>
    </w:sdtPr>
    <w:sdtEndPr>
      <w:rPr>
        <w:noProof/>
      </w:rPr>
    </w:sdtEndPr>
    <w:sdtContent>
      <w:p w:rsidR="00F2140A" w:rsidRDefault="00F2140A">
        <w:pPr>
          <w:pStyle w:val="Header"/>
          <w:jc w:val="center"/>
        </w:pPr>
        <w:r>
          <w:fldChar w:fldCharType="begin"/>
        </w:r>
        <w:r>
          <w:instrText xml:space="preserve"> PAGE   \* MERGEFORMAT </w:instrText>
        </w:r>
        <w:r>
          <w:fldChar w:fldCharType="separate"/>
        </w:r>
        <w:r w:rsidR="00946219">
          <w:rPr>
            <w:noProof/>
          </w:rPr>
          <w:t>3</w:t>
        </w:r>
        <w:r>
          <w:rPr>
            <w:noProof/>
          </w:rPr>
          <w:fldChar w:fldCharType="end"/>
        </w:r>
      </w:p>
    </w:sdtContent>
  </w:sdt>
  <w:p w:rsidR="00F2140A" w:rsidRDefault="00F21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369F6"/>
    <w:multiLevelType w:val="hybridMultilevel"/>
    <w:tmpl w:val="A4BEA470"/>
    <w:lvl w:ilvl="0" w:tplc="0426000F">
      <w:start w:val="1"/>
      <w:numFmt w:val="decimal"/>
      <w:lvlText w:val="%1."/>
      <w:lvlJc w:val="left"/>
      <w:pPr>
        <w:ind w:left="2204" w:hanging="360"/>
      </w:pPr>
      <w:rPr>
        <w:rFonts w:hint="default"/>
      </w:rPr>
    </w:lvl>
    <w:lvl w:ilvl="1" w:tplc="04260019">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27606"/>
    <w:rsid w:val="00026DEA"/>
    <w:rsid w:val="00037B72"/>
    <w:rsid w:val="0004317B"/>
    <w:rsid w:val="001347AA"/>
    <w:rsid w:val="001C0ED5"/>
    <w:rsid w:val="001D26BD"/>
    <w:rsid w:val="00241E8D"/>
    <w:rsid w:val="00272159"/>
    <w:rsid w:val="002B13AC"/>
    <w:rsid w:val="00451FED"/>
    <w:rsid w:val="004D6A7A"/>
    <w:rsid w:val="00546CCE"/>
    <w:rsid w:val="0065349A"/>
    <w:rsid w:val="006549EB"/>
    <w:rsid w:val="006B103A"/>
    <w:rsid w:val="0070201C"/>
    <w:rsid w:val="00727606"/>
    <w:rsid w:val="007A7294"/>
    <w:rsid w:val="007D13C9"/>
    <w:rsid w:val="008516E3"/>
    <w:rsid w:val="0090394F"/>
    <w:rsid w:val="009130CC"/>
    <w:rsid w:val="009428CD"/>
    <w:rsid w:val="00946219"/>
    <w:rsid w:val="00957E39"/>
    <w:rsid w:val="009B104C"/>
    <w:rsid w:val="009D7A0B"/>
    <w:rsid w:val="00A15E8F"/>
    <w:rsid w:val="00A22D40"/>
    <w:rsid w:val="00AB772C"/>
    <w:rsid w:val="00AC12ED"/>
    <w:rsid w:val="00AF76E4"/>
    <w:rsid w:val="00B65168"/>
    <w:rsid w:val="00C80E77"/>
    <w:rsid w:val="00CB6509"/>
    <w:rsid w:val="00CD06EA"/>
    <w:rsid w:val="00D52641"/>
    <w:rsid w:val="00DD0C6A"/>
    <w:rsid w:val="00E4443B"/>
    <w:rsid w:val="00EA4467"/>
    <w:rsid w:val="00F2140A"/>
    <w:rsid w:val="00F23432"/>
    <w:rsid w:val="00F92CD3"/>
    <w:rsid w:val="00FE7402"/>
    <w:rsid w:val="00FF7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06"/>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727606"/>
    <w:pPr>
      <w:keepNext/>
      <w:jc w:val="righ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27606"/>
    <w:rPr>
      <w:rFonts w:ascii="Times New Roman" w:eastAsia="Times New Roman" w:hAnsi="Times New Roman" w:cs="Times New Roman"/>
      <w:b/>
      <w:sz w:val="28"/>
      <w:szCs w:val="20"/>
    </w:rPr>
  </w:style>
  <w:style w:type="paragraph" w:customStyle="1" w:styleId="NormalWeb1">
    <w:name w:val="Normal (Web)1"/>
    <w:basedOn w:val="Normal"/>
    <w:rsid w:val="00727606"/>
    <w:pPr>
      <w:spacing w:before="100" w:beforeAutospacing="1" w:after="100" w:afterAutospacing="1"/>
    </w:pPr>
    <w:rPr>
      <w:rFonts w:ascii="Arial Unicode MS" w:eastAsia="Arial Unicode MS" w:hAnsi="Arial Unicode MS"/>
      <w:color w:val="000000"/>
    </w:rPr>
  </w:style>
  <w:style w:type="paragraph" w:styleId="BodyTextIndent">
    <w:name w:val="Body Text Indent"/>
    <w:basedOn w:val="Normal"/>
    <w:link w:val="BodyTextIndentChar"/>
    <w:rsid w:val="00727606"/>
    <w:pPr>
      <w:ind w:firstLine="720"/>
      <w:jc w:val="both"/>
    </w:pPr>
    <w:rPr>
      <w:sz w:val="28"/>
    </w:rPr>
  </w:style>
  <w:style w:type="character" w:customStyle="1" w:styleId="BodyTextIndentChar">
    <w:name w:val="Body Text Indent Char"/>
    <w:basedOn w:val="DefaultParagraphFont"/>
    <w:link w:val="BodyTextIndent"/>
    <w:rsid w:val="00727606"/>
    <w:rPr>
      <w:rFonts w:ascii="Times New Roman" w:eastAsia="Times New Roman" w:hAnsi="Times New Roman" w:cs="Times New Roman"/>
      <w:sz w:val="28"/>
      <w:szCs w:val="20"/>
    </w:rPr>
  </w:style>
  <w:style w:type="paragraph" w:styleId="BodyTextIndent3">
    <w:name w:val="Body Text Indent 3"/>
    <w:basedOn w:val="Normal"/>
    <w:link w:val="BodyTextIndent3Char"/>
    <w:rsid w:val="00727606"/>
    <w:pPr>
      <w:ind w:firstLine="720"/>
    </w:pPr>
    <w:rPr>
      <w:sz w:val="28"/>
    </w:rPr>
  </w:style>
  <w:style w:type="character" w:customStyle="1" w:styleId="BodyTextIndent3Char">
    <w:name w:val="Body Text Indent 3 Char"/>
    <w:basedOn w:val="DefaultParagraphFont"/>
    <w:link w:val="BodyTextIndent3"/>
    <w:rsid w:val="00727606"/>
    <w:rPr>
      <w:rFonts w:ascii="Times New Roman" w:eastAsia="Times New Roman" w:hAnsi="Times New Roman" w:cs="Times New Roman"/>
      <w:sz w:val="28"/>
      <w:szCs w:val="20"/>
    </w:rPr>
  </w:style>
  <w:style w:type="character" w:styleId="Hyperlink">
    <w:name w:val="Hyperlink"/>
    <w:uiPriority w:val="99"/>
    <w:unhideWhenUsed/>
    <w:rsid w:val="00727606"/>
    <w:rPr>
      <w:color w:val="0000FF"/>
      <w:u w:val="single"/>
    </w:rPr>
  </w:style>
  <w:style w:type="paragraph" w:styleId="Header">
    <w:name w:val="header"/>
    <w:basedOn w:val="Normal"/>
    <w:link w:val="HeaderChar"/>
    <w:uiPriority w:val="99"/>
    <w:unhideWhenUsed/>
    <w:rsid w:val="00727606"/>
    <w:pPr>
      <w:tabs>
        <w:tab w:val="center" w:pos="4153"/>
        <w:tab w:val="right" w:pos="8306"/>
      </w:tabs>
    </w:pPr>
  </w:style>
  <w:style w:type="character" w:customStyle="1" w:styleId="HeaderChar">
    <w:name w:val="Header Char"/>
    <w:basedOn w:val="DefaultParagraphFont"/>
    <w:link w:val="Header"/>
    <w:uiPriority w:val="99"/>
    <w:rsid w:val="0072760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27606"/>
    <w:pPr>
      <w:tabs>
        <w:tab w:val="center" w:pos="4153"/>
        <w:tab w:val="right" w:pos="8306"/>
      </w:tabs>
    </w:pPr>
  </w:style>
  <w:style w:type="character" w:customStyle="1" w:styleId="FooterChar">
    <w:name w:val="Footer Char"/>
    <w:basedOn w:val="DefaultParagraphFont"/>
    <w:link w:val="Footer"/>
    <w:uiPriority w:val="99"/>
    <w:rsid w:val="0072760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27606"/>
    <w:rPr>
      <w:rFonts w:ascii="Tahoma" w:hAnsi="Tahoma" w:cs="Tahoma"/>
      <w:sz w:val="16"/>
      <w:szCs w:val="16"/>
    </w:rPr>
  </w:style>
  <w:style w:type="character" w:customStyle="1" w:styleId="BalloonTextChar">
    <w:name w:val="Balloon Text Char"/>
    <w:basedOn w:val="DefaultParagraphFont"/>
    <w:link w:val="BalloonText"/>
    <w:uiPriority w:val="99"/>
    <w:semiHidden/>
    <w:rsid w:val="00727606"/>
    <w:rPr>
      <w:rFonts w:ascii="Tahoma" w:eastAsia="Times New Roman" w:hAnsi="Tahoma" w:cs="Tahoma"/>
      <w:sz w:val="16"/>
      <w:szCs w:val="16"/>
    </w:rPr>
  </w:style>
  <w:style w:type="paragraph" w:styleId="ListParagraph">
    <w:name w:val="List Paragraph"/>
    <w:basedOn w:val="Normal"/>
    <w:uiPriority w:val="34"/>
    <w:qFormat/>
    <w:rsid w:val="00546CCE"/>
    <w:pPr>
      <w:ind w:left="720"/>
      <w:contextualSpacing/>
    </w:pPr>
  </w:style>
  <w:style w:type="paragraph" w:customStyle="1" w:styleId="tv2131">
    <w:name w:val="tv2131"/>
    <w:basedOn w:val="Normal"/>
    <w:rsid w:val="00241E8D"/>
    <w:pPr>
      <w:spacing w:before="240" w:line="360" w:lineRule="auto"/>
      <w:ind w:firstLine="300"/>
      <w:jc w:val="both"/>
    </w:pPr>
    <w:rPr>
      <w:rFonts w:ascii="Verdana" w:hAnsi="Verdana"/>
      <w:sz w:val="18"/>
      <w:szCs w:val="18"/>
      <w:lang w:eastAsia="lv-LV"/>
    </w:rPr>
  </w:style>
  <w:style w:type="paragraph" w:styleId="NoSpacing">
    <w:name w:val="No Spacing"/>
    <w:uiPriority w:val="1"/>
    <w:qFormat/>
    <w:rsid w:val="00A15E8F"/>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06"/>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727606"/>
    <w:pPr>
      <w:keepNext/>
      <w:jc w:val="righ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27606"/>
    <w:rPr>
      <w:rFonts w:ascii="Times New Roman" w:eastAsia="Times New Roman" w:hAnsi="Times New Roman" w:cs="Times New Roman"/>
      <w:b/>
      <w:sz w:val="28"/>
      <w:szCs w:val="20"/>
    </w:rPr>
  </w:style>
  <w:style w:type="paragraph" w:customStyle="1" w:styleId="NormalWeb1">
    <w:name w:val="Normal (Web)1"/>
    <w:basedOn w:val="Normal"/>
    <w:rsid w:val="00727606"/>
    <w:pPr>
      <w:spacing w:before="100" w:beforeAutospacing="1" w:after="100" w:afterAutospacing="1"/>
    </w:pPr>
    <w:rPr>
      <w:rFonts w:ascii="Arial Unicode MS" w:eastAsia="Arial Unicode MS" w:hAnsi="Arial Unicode MS"/>
      <w:color w:val="000000"/>
    </w:rPr>
  </w:style>
  <w:style w:type="paragraph" w:styleId="BodyTextIndent">
    <w:name w:val="Body Text Indent"/>
    <w:basedOn w:val="Normal"/>
    <w:link w:val="BodyTextIndentChar"/>
    <w:rsid w:val="00727606"/>
    <w:pPr>
      <w:ind w:firstLine="720"/>
      <w:jc w:val="both"/>
    </w:pPr>
    <w:rPr>
      <w:sz w:val="28"/>
    </w:rPr>
  </w:style>
  <w:style w:type="character" w:customStyle="1" w:styleId="BodyTextIndentChar">
    <w:name w:val="Body Text Indent Char"/>
    <w:basedOn w:val="DefaultParagraphFont"/>
    <w:link w:val="BodyTextIndent"/>
    <w:rsid w:val="00727606"/>
    <w:rPr>
      <w:rFonts w:ascii="Times New Roman" w:eastAsia="Times New Roman" w:hAnsi="Times New Roman" w:cs="Times New Roman"/>
      <w:sz w:val="28"/>
      <w:szCs w:val="20"/>
    </w:rPr>
  </w:style>
  <w:style w:type="paragraph" w:styleId="BodyTextIndent3">
    <w:name w:val="Body Text Indent 3"/>
    <w:basedOn w:val="Normal"/>
    <w:link w:val="BodyTextIndent3Char"/>
    <w:rsid w:val="00727606"/>
    <w:pPr>
      <w:ind w:firstLine="720"/>
    </w:pPr>
    <w:rPr>
      <w:sz w:val="28"/>
    </w:rPr>
  </w:style>
  <w:style w:type="character" w:customStyle="1" w:styleId="BodyTextIndent3Char">
    <w:name w:val="Body Text Indent 3 Char"/>
    <w:basedOn w:val="DefaultParagraphFont"/>
    <w:link w:val="BodyTextIndent3"/>
    <w:rsid w:val="00727606"/>
    <w:rPr>
      <w:rFonts w:ascii="Times New Roman" w:eastAsia="Times New Roman" w:hAnsi="Times New Roman" w:cs="Times New Roman"/>
      <w:sz w:val="28"/>
      <w:szCs w:val="20"/>
    </w:rPr>
  </w:style>
  <w:style w:type="character" w:styleId="Hyperlink">
    <w:name w:val="Hyperlink"/>
    <w:uiPriority w:val="99"/>
    <w:unhideWhenUsed/>
    <w:rsid w:val="00727606"/>
    <w:rPr>
      <w:color w:val="0000FF"/>
      <w:u w:val="single"/>
    </w:rPr>
  </w:style>
  <w:style w:type="paragraph" w:styleId="Header">
    <w:name w:val="header"/>
    <w:basedOn w:val="Normal"/>
    <w:link w:val="HeaderChar"/>
    <w:uiPriority w:val="99"/>
    <w:unhideWhenUsed/>
    <w:rsid w:val="00727606"/>
    <w:pPr>
      <w:tabs>
        <w:tab w:val="center" w:pos="4153"/>
        <w:tab w:val="right" w:pos="8306"/>
      </w:tabs>
    </w:pPr>
  </w:style>
  <w:style w:type="character" w:customStyle="1" w:styleId="HeaderChar">
    <w:name w:val="Header Char"/>
    <w:basedOn w:val="DefaultParagraphFont"/>
    <w:link w:val="Header"/>
    <w:uiPriority w:val="99"/>
    <w:rsid w:val="0072760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27606"/>
    <w:pPr>
      <w:tabs>
        <w:tab w:val="center" w:pos="4153"/>
        <w:tab w:val="right" w:pos="8306"/>
      </w:tabs>
    </w:pPr>
  </w:style>
  <w:style w:type="character" w:customStyle="1" w:styleId="FooterChar">
    <w:name w:val="Footer Char"/>
    <w:basedOn w:val="DefaultParagraphFont"/>
    <w:link w:val="Footer"/>
    <w:uiPriority w:val="99"/>
    <w:rsid w:val="0072760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27606"/>
    <w:rPr>
      <w:rFonts w:ascii="Tahoma" w:hAnsi="Tahoma" w:cs="Tahoma"/>
      <w:sz w:val="16"/>
      <w:szCs w:val="16"/>
    </w:rPr>
  </w:style>
  <w:style w:type="character" w:customStyle="1" w:styleId="BalloonTextChar">
    <w:name w:val="Balloon Text Char"/>
    <w:basedOn w:val="DefaultParagraphFont"/>
    <w:link w:val="BalloonText"/>
    <w:uiPriority w:val="99"/>
    <w:semiHidden/>
    <w:rsid w:val="00727606"/>
    <w:rPr>
      <w:rFonts w:ascii="Tahoma" w:eastAsia="Times New Roman" w:hAnsi="Tahoma" w:cs="Tahoma"/>
      <w:sz w:val="16"/>
      <w:szCs w:val="16"/>
    </w:rPr>
  </w:style>
  <w:style w:type="paragraph" w:styleId="ListParagraph">
    <w:name w:val="List Paragraph"/>
    <w:basedOn w:val="Normal"/>
    <w:uiPriority w:val="34"/>
    <w:qFormat/>
    <w:rsid w:val="00546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tjana.jansone@varam.gov.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veta.teibe@varam.gov.lv" TargetMode="External"/><Relationship Id="rId4" Type="http://schemas.microsoft.com/office/2007/relationships/stylesWithEffects" Target="stylesWithEffects.xml"/><Relationship Id="rId9" Type="http://schemas.openxmlformats.org/officeDocument/2006/relationships/hyperlink" Target="http://www.likumi.lv/doc.php?id=847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5166-EDB7-41FF-9034-2D84C2D4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3673</Words>
  <Characters>2095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LR Vides aizsardzības un reģionālās attīstības ministrija</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2004. gada 17. februāra noteikumos Nr. 92 „Prasības virszemes ūdeņu, pazemes ūdeņu un aizsargājamo teritoriju monitoringam un monitoringa programmu izstrādei”</dc:title>
  <dc:subject>MK noteikumu projekts</dc:subject>
  <dc:creator>Iveta Teibe</dc:creator>
  <dc:description>67026574, iveta.teibe@varam.gov.lv</dc:description>
  <cp:lastModifiedBy>Iveta Teibe</cp:lastModifiedBy>
  <cp:revision>19</cp:revision>
  <dcterms:created xsi:type="dcterms:W3CDTF">2012-10-01T08:00:00Z</dcterms:created>
  <dcterms:modified xsi:type="dcterms:W3CDTF">2012-10-03T08:21:00Z</dcterms:modified>
</cp:coreProperties>
</file>