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6EE" w:rsidRPr="00FE6CBC" w:rsidRDefault="00E306EE" w:rsidP="00A438F0">
      <w:pPr>
        <w:pStyle w:val="Heading2"/>
        <w:ind w:firstLine="680"/>
        <w:jc w:val="right"/>
        <w:rPr>
          <w:rFonts w:ascii="Times New Roman" w:hAnsi="Times New Roman"/>
          <w:b w:val="0"/>
          <w:i w:val="0"/>
        </w:rPr>
      </w:pPr>
      <w:r w:rsidRPr="00FE6CBC">
        <w:rPr>
          <w:rFonts w:ascii="Times New Roman" w:hAnsi="Times New Roman"/>
          <w:b w:val="0"/>
          <w:i w:val="0"/>
        </w:rPr>
        <w:t>Projekts</w:t>
      </w:r>
    </w:p>
    <w:p w:rsidR="00E306EE" w:rsidRPr="00FE6CBC" w:rsidRDefault="00E306EE" w:rsidP="00A438F0">
      <w:pPr>
        <w:pStyle w:val="Heading2"/>
        <w:spacing w:after="120"/>
        <w:ind w:firstLine="680"/>
        <w:jc w:val="center"/>
        <w:rPr>
          <w:rFonts w:ascii="Times New Roman" w:hAnsi="Times New Roman"/>
          <w:b w:val="0"/>
          <w:i w:val="0"/>
        </w:rPr>
      </w:pPr>
      <w:r w:rsidRPr="00FE6CBC">
        <w:rPr>
          <w:rFonts w:ascii="Times New Roman" w:hAnsi="Times New Roman"/>
          <w:b w:val="0"/>
          <w:i w:val="0"/>
        </w:rPr>
        <w:t>LATVIJAS REPUBLIKAS MINISTRU KABINETS</w:t>
      </w:r>
    </w:p>
    <w:p w:rsidR="00E306EE" w:rsidRPr="00FE6CBC" w:rsidRDefault="00E306EE" w:rsidP="00A438F0">
      <w:pPr>
        <w:rPr>
          <w:rFonts w:ascii="Times New Roman" w:hAnsi="Times New Roman"/>
          <w:sz w:val="28"/>
          <w:szCs w:val="28"/>
        </w:rPr>
      </w:pPr>
    </w:p>
    <w:p w:rsidR="00E306EE" w:rsidRPr="00FE6CBC" w:rsidRDefault="00E306EE" w:rsidP="00A438F0">
      <w:pPr>
        <w:tabs>
          <w:tab w:val="left" w:pos="6096"/>
        </w:tabs>
        <w:ind w:right="42"/>
        <w:rPr>
          <w:rFonts w:ascii="Times New Roman" w:hAnsi="Times New Roman"/>
          <w:sz w:val="28"/>
          <w:szCs w:val="28"/>
        </w:rPr>
      </w:pPr>
      <w:r w:rsidRPr="00FE6CBC">
        <w:rPr>
          <w:rFonts w:ascii="Times New Roman" w:hAnsi="Times New Roman"/>
          <w:sz w:val="28"/>
          <w:szCs w:val="28"/>
        </w:rPr>
        <w:t>201</w:t>
      </w:r>
      <w:r>
        <w:rPr>
          <w:rFonts w:ascii="Times New Roman" w:hAnsi="Times New Roman"/>
          <w:sz w:val="28"/>
          <w:szCs w:val="28"/>
        </w:rPr>
        <w:t>2</w:t>
      </w:r>
      <w:r w:rsidRPr="00FE6CBC">
        <w:rPr>
          <w:rFonts w:ascii="Times New Roman" w:hAnsi="Times New Roman"/>
          <w:sz w:val="28"/>
          <w:szCs w:val="28"/>
        </w:rPr>
        <w:t>. gada _____.________</w:t>
      </w:r>
      <w:r w:rsidRPr="00FE6CBC">
        <w:rPr>
          <w:rFonts w:ascii="Times New Roman" w:hAnsi="Times New Roman"/>
          <w:sz w:val="28"/>
          <w:szCs w:val="28"/>
        </w:rPr>
        <w:tab/>
        <w:t>Noteikumi Nr.______</w:t>
      </w:r>
    </w:p>
    <w:p w:rsidR="00E306EE" w:rsidRPr="00FE6CBC" w:rsidRDefault="00E306EE" w:rsidP="00A438F0">
      <w:pPr>
        <w:tabs>
          <w:tab w:val="left" w:pos="6237"/>
        </w:tabs>
        <w:ind w:right="-99"/>
        <w:rPr>
          <w:rFonts w:ascii="Times New Roman" w:hAnsi="Times New Roman"/>
          <w:sz w:val="28"/>
          <w:szCs w:val="28"/>
        </w:rPr>
      </w:pPr>
      <w:r w:rsidRPr="00FE6CBC">
        <w:rPr>
          <w:rFonts w:ascii="Times New Roman" w:hAnsi="Times New Roman"/>
          <w:sz w:val="28"/>
          <w:szCs w:val="28"/>
        </w:rPr>
        <w:t>Rīgā                                                                               (prot. Nr.____.____.§)</w:t>
      </w:r>
    </w:p>
    <w:p w:rsidR="00E306EE" w:rsidRDefault="00E306EE" w:rsidP="00A438F0">
      <w:pPr>
        <w:shd w:val="clear" w:color="auto" w:fill="FFFFFF"/>
        <w:jc w:val="left"/>
        <w:rPr>
          <w:rFonts w:ascii="Times New Roman" w:hAnsi="Times New Roman"/>
          <w:b/>
          <w:bCs/>
          <w:color w:val="000000"/>
          <w:sz w:val="28"/>
          <w:szCs w:val="28"/>
          <w:lang w:eastAsia="lv-LV"/>
        </w:rPr>
      </w:pPr>
    </w:p>
    <w:p w:rsidR="00E306EE" w:rsidRDefault="00E306EE" w:rsidP="00792B17">
      <w:pPr>
        <w:shd w:val="clear" w:color="auto" w:fill="FFFFFF"/>
        <w:spacing w:before="120" w:after="0"/>
        <w:jc w:val="center"/>
        <w:rPr>
          <w:rFonts w:ascii="Times New Roman" w:hAnsi="Times New Roman"/>
          <w:b/>
          <w:bCs/>
          <w:color w:val="000000"/>
          <w:sz w:val="28"/>
          <w:szCs w:val="28"/>
          <w:lang w:eastAsia="lv-LV"/>
        </w:rPr>
      </w:pPr>
      <w:r w:rsidRPr="00C81AD4">
        <w:rPr>
          <w:rFonts w:ascii="Times New Roman" w:hAnsi="Times New Roman"/>
          <w:b/>
          <w:bCs/>
          <w:color w:val="000000"/>
          <w:sz w:val="28"/>
          <w:szCs w:val="28"/>
          <w:lang w:eastAsia="lv-LV"/>
        </w:rPr>
        <w:t xml:space="preserve">Noteikumi par </w:t>
      </w:r>
      <w:r w:rsidRPr="00567AF9">
        <w:rPr>
          <w:rFonts w:ascii="Times New Roman" w:hAnsi="Times New Roman"/>
          <w:b/>
          <w:bCs/>
          <w:color w:val="000000"/>
          <w:sz w:val="28"/>
          <w:szCs w:val="28"/>
          <w:lang w:eastAsia="lv-LV"/>
        </w:rPr>
        <w:t>stacionār</w:t>
      </w:r>
      <w:r>
        <w:rPr>
          <w:rFonts w:ascii="Times New Roman" w:hAnsi="Times New Roman"/>
          <w:b/>
          <w:bCs/>
          <w:color w:val="000000"/>
          <w:sz w:val="28"/>
          <w:szCs w:val="28"/>
          <w:lang w:eastAsia="lv-LV"/>
        </w:rPr>
        <w:t>o</w:t>
      </w:r>
      <w:r w:rsidRPr="00567AF9">
        <w:rPr>
          <w:rFonts w:ascii="Times New Roman" w:hAnsi="Times New Roman"/>
          <w:b/>
          <w:bCs/>
          <w:color w:val="000000"/>
          <w:sz w:val="28"/>
          <w:szCs w:val="28"/>
          <w:lang w:eastAsia="lv-LV"/>
        </w:rPr>
        <w:t xml:space="preserve"> tehnoloģisk</w:t>
      </w:r>
      <w:r>
        <w:rPr>
          <w:rFonts w:ascii="Times New Roman" w:hAnsi="Times New Roman"/>
          <w:b/>
          <w:bCs/>
          <w:color w:val="000000"/>
          <w:sz w:val="28"/>
          <w:szCs w:val="28"/>
          <w:lang w:eastAsia="lv-LV"/>
        </w:rPr>
        <w:t>o</w:t>
      </w:r>
      <w:r w:rsidRPr="00567AF9">
        <w:rPr>
          <w:rFonts w:ascii="Times New Roman" w:hAnsi="Times New Roman"/>
          <w:b/>
          <w:bCs/>
          <w:color w:val="000000"/>
          <w:sz w:val="28"/>
          <w:szCs w:val="28"/>
          <w:lang w:eastAsia="lv-LV"/>
        </w:rPr>
        <w:t xml:space="preserve"> iekārt</w:t>
      </w:r>
      <w:r>
        <w:rPr>
          <w:rFonts w:ascii="Times New Roman" w:hAnsi="Times New Roman"/>
          <w:b/>
          <w:bCs/>
          <w:color w:val="000000"/>
          <w:sz w:val="28"/>
          <w:szCs w:val="28"/>
          <w:lang w:eastAsia="lv-LV"/>
        </w:rPr>
        <w:t xml:space="preserve">u </w:t>
      </w:r>
      <w:r w:rsidRPr="00C81AD4">
        <w:rPr>
          <w:rFonts w:ascii="Times New Roman" w:hAnsi="Times New Roman"/>
          <w:b/>
          <w:bCs/>
          <w:color w:val="000000"/>
          <w:sz w:val="28"/>
          <w:szCs w:val="28"/>
          <w:lang w:eastAsia="lv-LV"/>
        </w:rPr>
        <w:t>dalību Eiropas Savienības emisijas kvotu tirdzniecības sistēmā</w:t>
      </w:r>
    </w:p>
    <w:p w:rsidR="00E306EE" w:rsidRDefault="00E306EE" w:rsidP="00EF0245">
      <w:pPr>
        <w:shd w:val="clear" w:color="auto" w:fill="FFFFFF"/>
        <w:spacing w:before="120" w:after="0"/>
        <w:jc w:val="right"/>
        <w:rPr>
          <w:rFonts w:ascii="Times New Roman" w:hAnsi="Times New Roman"/>
          <w:i/>
          <w:iCs/>
          <w:color w:val="000000"/>
          <w:sz w:val="24"/>
          <w:szCs w:val="24"/>
          <w:lang w:eastAsia="lv-LV"/>
        </w:rPr>
      </w:pPr>
      <w:r w:rsidRPr="00A438F0">
        <w:rPr>
          <w:rFonts w:ascii="Times New Roman" w:hAnsi="Times New Roman"/>
          <w:i/>
          <w:iCs/>
          <w:color w:val="000000"/>
          <w:sz w:val="24"/>
          <w:szCs w:val="24"/>
          <w:lang w:eastAsia="lv-LV"/>
        </w:rPr>
        <w:t xml:space="preserve">Izdoti saskaņā ar likuma </w:t>
      </w:r>
      <w:r>
        <w:rPr>
          <w:rFonts w:ascii="Times New Roman" w:hAnsi="Times New Roman"/>
          <w:i/>
          <w:iCs/>
          <w:color w:val="000000"/>
          <w:sz w:val="24"/>
          <w:szCs w:val="24"/>
          <w:lang w:eastAsia="lv-LV"/>
        </w:rPr>
        <w:t>„Par piesārņojumu” 24.</w:t>
      </w:r>
      <w:r w:rsidRPr="00792B17">
        <w:rPr>
          <w:rFonts w:ascii="Times New Roman" w:hAnsi="Times New Roman"/>
          <w:i/>
          <w:iCs/>
          <w:color w:val="000000"/>
          <w:sz w:val="24"/>
          <w:szCs w:val="24"/>
          <w:vertAlign w:val="superscript"/>
          <w:lang w:eastAsia="lv-LV"/>
        </w:rPr>
        <w:t>1</w:t>
      </w:r>
      <w:r>
        <w:rPr>
          <w:rFonts w:ascii="Times New Roman" w:hAnsi="Times New Roman"/>
          <w:i/>
          <w:iCs/>
          <w:color w:val="000000"/>
          <w:sz w:val="24"/>
          <w:szCs w:val="24"/>
          <w:lang w:eastAsia="lv-LV"/>
        </w:rPr>
        <w:t xml:space="preserve"> panta trešo un septīto daļu, </w:t>
      </w:r>
    </w:p>
    <w:p w:rsidR="00E306EE" w:rsidRPr="00A438F0" w:rsidRDefault="00E306EE" w:rsidP="00EF0245">
      <w:pPr>
        <w:shd w:val="clear" w:color="auto" w:fill="FFFFFF"/>
        <w:jc w:val="right"/>
        <w:rPr>
          <w:rFonts w:ascii="Times New Roman" w:hAnsi="Times New Roman"/>
          <w:i/>
          <w:iCs/>
          <w:color w:val="000000"/>
          <w:sz w:val="24"/>
          <w:szCs w:val="24"/>
          <w:lang w:eastAsia="lv-LV"/>
        </w:rPr>
      </w:pPr>
      <w:r>
        <w:rPr>
          <w:rFonts w:ascii="Times New Roman" w:hAnsi="Times New Roman"/>
          <w:i/>
          <w:iCs/>
          <w:color w:val="000000"/>
          <w:sz w:val="24"/>
          <w:szCs w:val="24"/>
          <w:lang w:eastAsia="lv-LV"/>
        </w:rPr>
        <w:t>30.panta pirmo daļu un 45.panta pirmo un septīto daļu</w:t>
      </w:r>
    </w:p>
    <w:p w:rsidR="00E306EE" w:rsidRPr="00D2133F" w:rsidRDefault="00E306EE" w:rsidP="00D2133F">
      <w:pPr>
        <w:shd w:val="clear" w:color="auto" w:fill="FFFFFF"/>
        <w:spacing w:before="120"/>
        <w:jc w:val="center"/>
        <w:rPr>
          <w:rFonts w:ascii="Times New Roman" w:hAnsi="Times New Roman"/>
          <w:b/>
          <w:bCs/>
          <w:color w:val="000000"/>
          <w:sz w:val="28"/>
          <w:szCs w:val="28"/>
          <w:lang w:eastAsia="lv-LV"/>
        </w:rPr>
      </w:pPr>
      <w:bookmarkStart w:id="0" w:name="226214"/>
      <w:bookmarkEnd w:id="0"/>
      <w:r w:rsidRPr="00D2133F">
        <w:rPr>
          <w:rFonts w:ascii="Times New Roman" w:hAnsi="Times New Roman"/>
          <w:b/>
          <w:bCs/>
          <w:color w:val="000000"/>
          <w:sz w:val="28"/>
          <w:szCs w:val="28"/>
          <w:lang w:eastAsia="lv-LV"/>
        </w:rPr>
        <w:t>1. Vispārīgie jautājumi</w:t>
      </w:r>
    </w:p>
    <w:p w:rsidR="00D2133F" w:rsidRPr="00D2133F" w:rsidRDefault="00177E6A" w:rsidP="00D2133F">
      <w:pPr>
        <w:shd w:val="clear" w:color="auto" w:fill="FFFFFF"/>
        <w:spacing w:before="120"/>
        <w:rPr>
          <w:rFonts w:ascii="Times New Roman" w:hAnsi="Times New Roman"/>
          <w:color w:val="000000"/>
          <w:sz w:val="28"/>
          <w:szCs w:val="28"/>
          <w:lang w:eastAsia="lv-LV"/>
        </w:rPr>
      </w:pPr>
      <w:bookmarkStart w:id="1" w:name="p1"/>
      <w:bookmarkStart w:id="2" w:name="piel3"/>
      <w:bookmarkEnd w:id="1"/>
      <w:bookmarkEnd w:id="2"/>
      <w:r>
        <w:rPr>
          <w:rFonts w:ascii="Times New Roman" w:hAnsi="Times New Roman"/>
          <w:color w:val="000000"/>
          <w:sz w:val="28"/>
          <w:szCs w:val="28"/>
          <w:lang w:eastAsia="lv-LV"/>
        </w:rPr>
        <w:t xml:space="preserve">1. </w:t>
      </w:r>
      <w:r w:rsidR="00D2133F" w:rsidRPr="00D2133F">
        <w:rPr>
          <w:rFonts w:ascii="Times New Roman" w:hAnsi="Times New Roman"/>
          <w:color w:val="000000"/>
          <w:sz w:val="28"/>
          <w:szCs w:val="28"/>
          <w:lang w:eastAsia="lv-LV"/>
        </w:rPr>
        <w:t>Noteikumi nosaka: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iesnieguma siltumnīcefekta gāzu emisijas atļaujas (turpmāk – atļauja) saņemšanai iesniegšanas un atļaujas izsniegšanas kārtību likuma „Par piesārņojumu” 2.pielikumā minētajām piesārņojošajām darbībām (turpmāk – likuma „Par piesārņojumu” 2.pielikuma darbība);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iesnieguma atļaujas saņemšanai un atļaujas izsniegšanas kārtību tām likuma "Par piesārņojumu" 2.pielikuma darbībām, kuru ražošanas jauda vai saražotais produkcijas apjoms nepārsniedz likuma "Par piesārņojumu" 2.pielikumā minētos rādītājus; </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iesnieguma atļaujas saņemšanai veidlapas un atļaujas veidlapas paraugus;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termiņu, kādā operators Valsts vides dienesta reģionālajai vides pārvaldei (turpmāk – pārvalde) paziņo par darbības izmaiņām; </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iesnieguma atļaujas grozīšanai un atcelšanai iesnieguma kārtību, kā arī atļaujas grozīšanas un atcelšanas kārtību;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emisijas kvotu tirdzniecības sistēmas darbību radīto siltumnīcefekta gāzu emisiju (turpmāk – emisija) monitoringa veikšanas kārtību;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ikgadējo pārskatu par emisiju (turpmāk — emisiju ziņojums) pārbaudes un apstiprināšanas kārtību;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prasības emisiju ziņojumu verificētājiem.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Šajos noteikumos noteiktie nosacījumi attiecas uz stacionārajām tehnoloģiskajām iekārtām, kurās tiek veikta kāda no likuma „Par piesārņojumu” 2.pielikuma darbībām, kā arī uz stacionārajām tehnoloģiskajām iekārtām, kuru ražošanas jauda vai saražotais produkcijas apjoms nepārsniedz likuma „Par piesārņojumu” 2.pielikumā minētos rādītājus (turpmāk – iekārta).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4.punktā minēto iesniegumu atļaujas saņemšanai, tajā iekļautos priekšlikumus monitoringa nosacījumiem un visu iesniegumam pievienoto dokumentāciju, šo noteikumu 3</w:t>
      </w:r>
      <w:r w:rsidR="00B2322F">
        <w:rPr>
          <w:rFonts w:ascii="Times New Roman" w:hAnsi="Times New Roman"/>
          <w:color w:val="000000"/>
          <w:sz w:val="28"/>
          <w:szCs w:val="28"/>
          <w:lang w:eastAsia="lv-LV"/>
        </w:rPr>
        <w:t>8</w:t>
      </w:r>
      <w:r w:rsidRPr="00D2133F">
        <w:rPr>
          <w:rFonts w:ascii="Times New Roman" w:hAnsi="Times New Roman"/>
          <w:color w:val="000000"/>
          <w:sz w:val="28"/>
          <w:szCs w:val="28"/>
          <w:lang w:eastAsia="lv-LV"/>
        </w:rPr>
        <w:t xml:space="preserve">.punktā minēto iesniegumu atļaujas grozījumiem, kā arī šo noteikumu 55.punktā minēto verificētāja verificētu emisiju ziņojumu un šo noteikumu 68.punktā minēto verifikācijas ziņojumu operators iesniedz </w:t>
      </w:r>
      <w:r w:rsidR="007F78D0">
        <w:rPr>
          <w:rFonts w:ascii="Times New Roman" w:hAnsi="Times New Roman"/>
          <w:color w:val="000000"/>
          <w:sz w:val="28"/>
          <w:szCs w:val="28"/>
          <w:lang w:eastAsia="lv-LV"/>
        </w:rPr>
        <w:t xml:space="preserve">attiecīgajā </w:t>
      </w:r>
      <w:r w:rsidRPr="00D2133F">
        <w:rPr>
          <w:rFonts w:ascii="Times New Roman" w:hAnsi="Times New Roman"/>
          <w:color w:val="000000"/>
          <w:sz w:val="28"/>
          <w:szCs w:val="28"/>
          <w:lang w:eastAsia="lv-LV"/>
        </w:rPr>
        <w:t>pārvaldē papīra formā (attiecīgo informāciju iesniedzot arī elektroniski) vai elektroniska dokumenta formā atbilstoši normatīvajiem aktiem par elektronisko dokumentu noformēšanu: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šo informāciju iesniedzot </w:t>
      </w:r>
      <w:r w:rsidR="00D4253D">
        <w:rPr>
          <w:rFonts w:ascii="Times New Roman" w:hAnsi="Times New Roman"/>
          <w:color w:val="000000"/>
          <w:sz w:val="28"/>
          <w:szCs w:val="28"/>
          <w:lang w:eastAsia="lv-LV"/>
        </w:rPr>
        <w:t>p</w:t>
      </w:r>
      <w:r w:rsidRPr="00D2133F">
        <w:rPr>
          <w:rFonts w:ascii="Times New Roman" w:hAnsi="Times New Roman"/>
          <w:color w:val="000000"/>
          <w:sz w:val="28"/>
          <w:szCs w:val="28"/>
          <w:lang w:eastAsia="lv-LV"/>
        </w:rPr>
        <w:t>ārvaldē elektroniski (nosūtot to pārvaldei uz tās elektroniskā pasta adresi vai iesniedzot informāciju uz elektronisko datu nesēja) operators nodrošina, ka informācija ir aizsargāta ar operatora izvēlētu paroli, tādejādi nodrošinot, ka bez operatora ziņas nav veiktas izmaiņas.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šo informāciju iesniedzot </w:t>
      </w:r>
      <w:r w:rsidR="00D4253D">
        <w:rPr>
          <w:rFonts w:ascii="Times New Roman" w:hAnsi="Times New Roman"/>
          <w:color w:val="000000"/>
          <w:sz w:val="28"/>
          <w:szCs w:val="28"/>
          <w:lang w:eastAsia="lv-LV"/>
        </w:rPr>
        <w:t>p</w:t>
      </w:r>
      <w:r w:rsidRPr="00D2133F">
        <w:rPr>
          <w:rFonts w:ascii="Times New Roman" w:hAnsi="Times New Roman"/>
          <w:color w:val="000000"/>
          <w:sz w:val="28"/>
          <w:szCs w:val="28"/>
          <w:lang w:eastAsia="lv-LV"/>
        </w:rPr>
        <w:t>ārvaldē papīra formā, operators tai pievieno tikai tās monitoringa plāna veidlapas vai emisiju ziņojuma veidlapas sadaļas, kas attiecas uz konkrētām operatora iekārtām.</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2. Atļaujas un emisijas monitoringa nosacījumi</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2.1. Iesnieguma atļaujas saņemšanai iesniegšanas un izvērtēšanas kārtība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sagatavo iesniegumu atļaujas saņemšanai (2.pielikums) un tajā norādītās informācijas pamatojošos dokumentus, tai skaitā: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informāciju par biomasas frakcijas noteikšanas metodi (1.pielikuma 7.punkts), kā arī informāciju par biomasas frakcijas noteikšanas metodi un aprēķiniem (1.pielikuma 9.punkts);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operatora kontrolē esošo mērīšanas sistēmu atbilstību apliecinošos dokumentus, kas norāda, ka izmantotie mērinstrumenti ir pakļauti metroloģiskai kontrolei saskaņā ar normatīvajiem aktiem par mērīšanas līdzekļu atkārtoto verificēšanu, verificēšanas sertifikātiem un verificēšanas atzīmēm, lai pamatotu mērījumu rezultātu izmantošanu, kā noteikts šo noteikumu 1.pielikuma 11.punktā;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informāciju par šo noteikumu 1.pielikuma 16.punktā minētajām darbībām attiecībā uz oksidācijas koeficienta noteikšanu iekārtai, kurā tiek lietoti vairāki kurināmie, ja attiecībā uz konkrētu oksidācijas koeficientu ir jāizmanto 3.līmenis;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informāciju, kas pamato šo noteikumu 1.pielikuma 17.punktā minēto zemākā sadegšanas siltuma un emisijas faktoru noteikšanas metodi un kas pamato zemākā sadegšanas lieluma vērtības, salīdzinot ar līdzvērtīgā komerciālā standarta kurināmā lielumu;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4.5.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1.pielikuma 22.punktā minēto paraugu ņemšanas plānu arī ņemot vērā šo noteikumu 1.pielikuma 24.punktā minētos nosacījumus;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informāciju, kura nepieciešama pamatojumam, kas minēts </w:t>
      </w:r>
      <w:r w:rsidR="00D4253D">
        <w:rPr>
          <w:rFonts w:ascii="Times New Roman" w:hAnsi="Times New Roman"/>
          <w:color w:val="000000"/>
          <w:sz w:val="28"/>
          <w:szCs w:val="28"/>
          <w:lang w:eastAsia="lv-LV"/>
        </w:rPr>
        <w:t xml:space="preserve">šo noteikumu </w:t>
      </w:r>
      <w:r w:rsidRPr="00D2133F">
        <w:rPr>
          <w:rFonts w:ascii="Times New Roman" w:hAnsi="Times New Roman"/>
          <w:color w:val="000000"/>
          <w:sz w:val="28"/>
          <w:szCs w:val="28"/>
          <w:lang w:eastAsia="lv-LV"/>
        </w:rPr>
        <w:t>1.pielikuma 27.punktā.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Lai iesniegumam atļaujas saņemšanai izstrādātu priekšlikumus monitoringa nosacījumiem, minimālo prasību emisiju noteikšanas līmeņiem definēšanai operators saskaņā ar Eiropas Komisijas 2012.gada 21.jūnija regulu Nr.601/2012 par siltumnīcefekta gāzu emisiju monitoringu un ziņošanu saskaņā ar Eiropas Parlamenta un Padomes Direktīvu 2003/87/EK (turpmāk – Eiropas Komisijas regula Nr. 601/2012) nosaka: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iekārtas kategoriju un attiecīgā gadījumā katras avota plūsmas kategoriju;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monitoringa robežas katrai iekārtai.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monitoringam operators var piemērot uz mērījumiem balstītu vai aprēķiniem balstītu metodoloģiju.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izvēlas Eiropas Komisijas regulas Nr. 601/2012 IV pielikumā noteikto katrai iekārtai piemērojamo metodoloģiju, kas nav balstīta uz mērījumiem, tikai tādā gadījumā, ja, iesniedzot priekšlikumus monitoringa nosacījumiem, pārvaldei iesniedz pietiekamu pamatojumu, ka uz mērījumiem balstīta metodoloģijas izmantošana nav tehniski iespējama vai rada nesamērīgas izmaksas, vai cita metodoloģija nodrošina augstāku vispārējo emisiju datu pareizību.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izmanto tādu emisijas monitoringa metodoloģiju, kas nav balstīta uz emisiju aprēķina līmeņiem (samazinājuma metodoloģija), piemērojot to dažām avotu plūsmām vai emisiju avotiem tikai, ja tiek ievēroti Eiropas Komisijas regulas Nr. 601/2012 22.pantā noteiktie nosacījumi.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atļauj operatoram apvienot Eiropas Komisijas regulas Nr. 601/2012 24.pantā noteikto standarta metodoloģiju, tās 25.pantā noteikto masas bilances un tās 3.sadaļā noteikto uz mērījumiem balstīto metodoloģiju dažādiem emisiju avotiem un avotu plūsmām no vienas iekārtas, ja nerodas neuzskaitītas emisijas, un dubulta emisiju uzskaite.</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kurš darbina iekārtas ar zemu emisiju līmeni, sagatavojot iesniegumu atļaujas saņemšanai, tajā var iekļaut vienkāršotus monitoringa nosacījumus saskaņā ar Eiropas Komisijas regulas Nr. 601/2012 47.pantu, 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iekārtas vidējās gada emisijas, kas ziņotas verificētos emisiju ziņojumos emisijas kvotu tirdzniecības periodā, kas bija tieši pirms esošā emisijas kvotu tirdzniecības perioda un pirms pārvietotā CO</w:t>
      </w:r>
      <w:r w:rsidRPr="00177E6A">
        <w:rPr>
          <w:rFonts w:ascii="Times New Roman" w:hAnsi="Times New Roman"/>
          <w:color w:val="000000"/>
          <w:sz w:val="28"/>
          <w:szCs w:val="28"/>
          <w:vertAlign w:val="subscript"/>
          <w:lang w:eastAsia="lv-LV"/>
        </w:rPr>
        <w:t>2</w:t>
      </w:r>
      <w:r w:rsidRPr="00D2133F">
        <w:rPr>
          <w:rFonts w:ascii="Times New Roman" w:hAnsi="Times New Roman"/>
          <w:color w:val="000000"/>
          <w:sz w:val="28"/>
          <w:szCs w:val="28"/>
          <w:lang w:eastAsia="lv-LV"/>
        </w:rPr>
        <w:t xml:space="preserve"> emisiju apjoma atskaitīšanas, bija mazākas par 25 000 tonnu </w:t>
      </w:r>
      <w:r w:rsidR="00177E6A" w:rsidRPr="00D2133F">
        <w:rPr>
          <w:rFonts w:ascii="Times New Roman" w:hAnsi="Times New Roman"/>
          <w:color w:val="000000"/>
          <w:sz w:val="28"/>
          <w:szCs w:val="28"/>
          <w:lang w:eastAsia="lv-LV"/>
        </w:rPr>
        <w:t>CO</w:t>
      </w:r>
      <w:r w:rsidR="00177E6A" w:rsidRPr="00177E6A">
        <w:rPr>
          <w:rFonts w:ascii="Times New Roman" w:hAnsi="Times New Roman"/>
          <w:color w:val="000000"/>
          <w:sz w:val="28"/>
          <w:szCs w:val="28"/>
          <w:vertAlign w:val="subscript"/>
          <w:lang w:eastAsia="lv-LV"/>
        </w:rPr>
        <w:t>2</w:t>
      </w:r>
      <w:r w:rsidRPr="00D2133F">
        <w:rPr>
          <w:rFonts w:ascii="Times New Roman" w:hAnsi="Times New Roman"/>
          <w:color w:val="000000"/>
          <w:sz w:val="28"/>
          <w:szCs w:val="28"/>
          <w:lang w:eastAsia="lv-LV"/>
        </w:rPr>
        <w:t xml:space="preserve"> (vai </w:t>
      </w:r>
      <w:r w:rsidR="00177E6A" w:rsidRPr="00D2133F">
        <w:rPr>
          <w:rFonts w:ascii="Times New Roman" w:hAnsi="Times New Roman"/>
          <w:color w:val="000000"/>
          <w:sz w:val="28"/>
          <w:szCs w:val="28"/>
          <w:lang w:eastAsia="lv-LV"/>
        </w:rPr>
        <w:t>CO</w:t>
      </w:r>
      <w:r w:rsidR="00177E6A" w:rsidRPr="00177E6A">
        <w:rPr>
          <w:rFonts w:ascii="Times New Roman" w:hAnsi="Times New Roman"/>
          <w:color w:val="000000"/>
          <w:sz w:val="28"/>
          <w:szCs w:val="28"/>
          <w:vertAlign w:val="subscript"/>
          <w:lang w:eastAsia="lv-LV"/>
        </w:rPr>
        <w:t>2</w:t>
      </w:r>
      <w:r w:rsidRPr="00D2133F">
        <w:rPr>
          <w:rFonts w:ascii="Times New Roman" w:hAnsi="Times New Roman"/>
          <w:color w:val="000000"/>
          <w:sz w:val="28"/>
          <w:szCs w:val="28"/>
          <w:lang w:eastAsia="lv-LV"/>
        </w:rPr>
        <w:t xml:space="preserve"> ekvivalentos) gadā;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10.2.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vidējās gada emisijas, kas minētas šo noteikumu 10.1.apakšpunktā, nav pieejamas vai vairs nav piemērojamas tāpēc, ka ir mainījušās iekārtas robežas vai ekspluatācijas apstākļi, bet šīs iekārtas gada emisijas nākamajos piecos gados pirms pārvietotā </w:t>
      </w:r>
      <w:r w:rsidR="00177E6A" w:rsidRPr="00D2133F">
        <w:rPr>
          <w:rFonts w:ascii="Times New Roman" w:hAnsi="Times New Roman"/>
          <w:color w:val="000000"/>
          <w:sz w:val="28"/>
          <w:szCs w:val="28"/>
          <w:lang w:eastAsia="lv-LV"/>
        </w:rPr>
        <w:t>CO</w:t>
      </w:r>
      <w:r w:rsidR="00177E6A" w:rsidRPr="00177E6A">
        <w:rPr>
          <w:rFonts w:ascii="Times New Roman" w:hAnsi="Times New Roman"/>
          <w:color w:val="000000"/>
          <w:sz w:val="28"/>
          <w:szCs w:val="28"/>
          <w:vertAlign w:val="subscript"/>
          <w:lang w:eastAsia="lv-LV"/>
        </w:rPr>
        <w:t>2</w:t>
      </w:r>
      <w:r w:rsidRPr="00D2133F">
        <w:rPr>
          <w:rFonts w:ascii="Times New Roman" w:hAnsi="Times New Roman"/>
          <w:color w:val="000000"/>
          <w:sz w:val="28"/>
          <w:szCs w:val="28"/>
          <w:lang w:eastAsia="lv-LV"/>
        </w:rPr>
        <w:t xml:space="preserve"> emisiju apjoma atskaitīšanas, pamatojoties uz aprēķinu metodi, ar kuru gada emisijas netiek novērtētas pārāk zemu, būs mazākas par 25 000 tonnu </w:t>
      </w:r>
      <w:r w:rsidR="00177E6A" w:rsidRPr="00D2133F">
        <w:rPr>
          <w:rFonts w:ascii="Times New Roman" w:hAnsi="Times New Roman"/>
          <w:color w:val="000000"/>
          <w:sz w:val="28"/>
          <w:szCs w:val="28"/>
          <w:lang w:eastAsia="lv-LV"/>
        </w:rPr>
        <w:t>CO</w:t>
      </w:r>
      <w:r w:rsidR="00177E6A" w:rsidRPr="00177E6A">
        <w:rPr>
          <w:rFonts w:ascii="Times New Roman" w:hAnsi="Times New Roman"/>
          <w:color w:val="000000"/>
          <w:sz w:val="28"/>
          <w:szCs w:val="28"/>
          <w:vertAlign w:val="subscript"/>
          <w:lang w:eastAsia="lv-LV"/>
        </w:rPr>
        <w:t>2</w:t>
      </w:r>
      <w:r w:rsidRPr="00D2133F">
        <w:rPr>
          <w:rFonts w:ascii="Times New Roman" w:hAnsi="Times New Roman"/>
          <w:color w:val="000000"/>
          <w:sz w:val="28"/>
          <w:szCs w:val="28"/>
          <w:lang w:eastAsia="lv-LV"/>
        </w:rPr>
        <w:t xml:space="preserve"> (vai </w:t>
      </w:r>
      <w:r w:rsidR="00177E6A" w:rsidRPr="00D2133F">
        <w:rPr>
          <w:rFonts w:ascii="Times New Roman" w:hAnsi="Times New Roman"/>
          <w:color w:val="000000"/>
          <w:sz w:val="28"/>
          <w:szCs w:val="28"/>
          <w:lang w:eastAsia="lv-LV"/>
        </w:rPr>
        <w:t>CO</w:t>
      </w:r>
      <w:r w:rsidR="00177E6A" w:rsidRPr="00177E6A">
        <w:rPr>
          <w:rFonts w:ascii="Times New Roman" w:hAnsi="Times New Roman"/>
          <w:color w:val="000000"/>
          <w:sz w:val="28"/>
          <w:szCs w:val="28"/>
          <w:vertAlign w:val="subscript"/>
          <w:lang w:eastAsia="lv-LV"/>
        </w:rPr>
        <w:t>2</w:t>
      </w:r>
      <w:r w:rsidRPr="00D2133F">
        <w:rPr>
          <w:rFonts w:ascii="Times New Roman" w:hAnsi="Times New Roman"/>
          <w:color w:val="000000"/>
          <w:sz w:val="28"/>
          <w:szCs w:val="28"/>
          <w:lang w:eastAsia="lv-LV"/>
        </w:rPr>
        <w:t xml:space="preserve"> ekvivalentos) gadā.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Vienkāršotus monitoringa nosacījumus nedrīkst izmantot operatori, kuru veiktās emisijas kvotu darbības rada N</w:t>
      </w:r>
      <w:r w:rsidRPr="00177E6A">
        <w:rPr>
          <w:rFonts w:ascii="Times New Roman" w:hAnsi="Times New Roman"/>
          <w:color w:val="000000"/>
          <w:sz w:val="28"/>
          <w:szCs w:val="28"/>
          <w:vertAlign w:val="superscript"/>
          <w:lang w:eastAsia="lv-LV"/>
        </w:rPr>
        <w:t>2</w:t>
      </w:r>
      <w:r w:rsidRPr="00D2133F">
        <w:rPr>
          <w:rFonts w:ascii="Times New Roman" w:hAnsi="Times New Roman"/>
          <w:color w:val="000000"/>
          <w:sz w:val="28"/>
          <w:szCs w:val="28"/>
          <w:lang w:eastAsia="lv-LV"/>
        </w:rPr>
        <w:t>O emisijas.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kurš darbina iekārtas ar zemu emisiju līmeni, veic vienkāršotu riska novērtējumu par to, vai piedāvātās kontroles darbības un šo kontroles darbību procedūras ir samērīgas ar raksturīgajiem riskiem – emisiju ziņojumu parametru atkarība no nepatiesiem apgalvojumiem, pirms tiek ņemta vērā attiecīgo kontroles darbību ietekme, un apzinātajiem kontroles riskiem – emisiju ziņojuma parametru atkarība no nepatiesiem apgalvojumiem, ko kontroles sistēma laikus nenovērš vai nekonstatē un neizlabo, un pamato vienkāršoto monitoringa nosacījumu lietošanu.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iesniegumu atļaujas saņemšanai un tajā norādītās informācijas pamatojošos dokumentus, iesniedz:</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13.1.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vismaz 60 darbadienas, bet ne vēlāk kā 90 kalendārās dienas pirms likumā „Par piesārņojumu” 24.</w:t>
      </w:r>
      <w:r w:rsidRPr="00B2322F">
        <w:rPr>
          <w:rFonts w:ascii="Times New Roman" w:hAnsi="Times New Roman"/>
          <w:color w:val="000000"/>
          <w:sz w:val="28"/>
          <w:szCs w:val="28"/>
          <w:vertAlign w:val="superscript"/>
          <w:lang w:eastAsia="lv-LV"/>
        </w:rPr>
        <w:t>1</w:t>
      </w:r>
      <w:r w:rsidRPr="00D2133F">
        <w:rPr>
          <w:rFonts w:ascii="Times New Roman" w:hAnsi="Times New Roman"/>
          <w:color w:val="000000"/>
          <w:sz w:val="28"/>
          <w:szCs w:val="28"/>
          <w:lang w:eastAsia="lv-LV"/>
        </w:rPr>
        <w:t xml:space="preserve"> panta piektajā daļā minētā trešā un katra turpmākā perioda sākuma;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13.2.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vismaz 60 darbadienas, bet ne vēlāk kā 90 kalendārās dienas pirms likuma „Par piesārņojumu” 2.pielikuma darbības paredzētās uzsākšanas.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Ja operators iesniegumā atļaujas saņemšanai nav norādījis visu vides aizsardzību regulējošajos normatīvajos aktos noteikto informāciju vai nav pievienojis informāciju pamatojošos dokumentus, pārvalde 10 darbadienu laikā pēc iesnieguma atļaujas saņemšanai pieņemšanas rakstiski informē operatoru par nepieciešamo papildu informāciju. </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Pārvaldei pēc iesnieguma atļaujas saņemšanai pieņemšanas ir tiesības pieprasīt un saņemt no operatora papildu informāciju, kas nepieciešama atļaujas sagatavošanai, nepagarinot atļaujas izdošanas termiņu.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sniedzot pamatotu skaidrojumu, operators informāciju un dokumentus</w:t>
      </w:r>
      <w:r w:rsidR="00D4253D">
        <w:rPr>
          <w:rFonts w:ascii="Times New Roman" w:hAnsi="Times New Roman"/>
          <w:color w:val="000000"/>
          <w:sz w:val="28"/>
          <w:szCs w:val="28"/>
          <w:lang w:eastAsia="lv-LV"/>
        </w:rPr>
        <w:t xml:space="preserve"> ir</w:t>
      </w:r>
      <w:r w:rsidRPr="00D2133F">
        <w:rPr>
          <w:rFonts w:ascii="Times New Roman" w:hAnsi="Times New Roman"/>
          <w:color w:val="000000"/>
          <w:sz w:val="28"/>
          <w:szCs w:val="28"/>
          <w:lang w:eastAsia="lv-LV"/>
        </w:rPr>
        <w:t xml:space="preserve"> klasificējis kā ierobežotas pieejamības, tad operators iesniedz to atsevišķi ar attiecīgu norādi atbilstoši normatīvajiem aktiem par informācijas atklātību.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Pārvalde izvērtē šo noteikumu 16.punktā minēto operatora skaidrojumu un atzīst operatora iesniegtās informācijas klasificēšanu kā ierobežotas pieejamības, ja secina, ka operatora sniegtais skaidrojums ir pamatots. Pārvalde nodrošina šīs </w:t>
      </w:r>
      <w:r w:rsidRPr="00D2133F">
        <w:rPr>
          <w:rFonts w:ascii="Times New Roman" w:hAnsi="Times New Roman"/>
          <w:color w:val="000000"/>
          <w:sz w:val="28"/>
          <w:szCs w:val="28"/>
          <w:lang w:eastAsia="lv-LV"/>
        </w:rPr>
        <w:lastRenderedPageBreak/>
        <w:t>informācijas aizsardzību atbilstoši normatīvajiem aktiem par informācijas atklātību.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18.</w:t>
      </w:r>
      <w:r w:rsidR="00177E6A">
        <w:rPr>
          <w:rFonts w:ascii="Times New Roman" w:hAnsi="Times New Roman"/>
          <w:color w:val="000000"/>
          <w:sz w:val="28"/>
          <w:szCs w:val="28"/>
          <w:lang w:eastAsia="lv-LV"/>
        </w:rPr>
        <w:t xml:space="preserve"> </w:t>
      </w:r>
      <w:r w:rsidR="00D4253D">
        <w:rPr>
          <w:rFonts w:ascii="Times New Roman" w:hAnsi="Times New Roman"/>
          <w:color w:val="000000"/>
          <w:sz w:val="28"/>
          <w:szCs w:val="28"/>
          <w:lang w:eastAsia="lv-LV"/>
        </w:rPr>
        <w:t>Ja p</w:t>
      </w:r>
      <w:r w:rsidRPr="00D2133F">
        <w:rPr>
          <w:rFonts w:ascii="Times New Roman" w:hAnsi="Times New Roman"/>
          <w:color w:val="000000"/>
          <w:sz w:val="28"/>
          <w:szCs w:val="28"/>
          <w:lang w:eastAsia="lv-LV"/>
        </w:rPr>
        <w:t xml:space="preserve">ārvalde, saņemot un izvērtējot šo noteikumu 16.punktā noteikto informāciju, neatzīst tās klasificēšanu kā ierobežotas pieejamības, tad </w:t>
      </w:r>
      <w:r w:rsidR="00D4253D">
        <w:rPr>
          <w:rFonts w:ascii="Times New Roman" w:hAnsi="Times New Roman"/>
          <w:color w:val="000000"/>
          <w:sz w:val="28"/>
          <w:szCs w:val="28"/>
          <w:lang w:eastAsia="lv-LV"/>
        </w:rPr>
        <w:t>p</w:t>
      </w:r>
      <w:r w:rsidRPr="00D2133F">
        <w:rPr>
          <w:rFonts w:ascii="Times New Roman" w:hAnsi="Times New Roman"/>
          <w:color w:val="000000"/>
          <w:sz w:val="28"/>
          <w:szCs w:val="28"/>
          <w:lang w:eastAsia="lv-LV"/>
        </w:rPr>
        <w:t>ārvalde 10 darbadienu laikā pieņem attiecīgu pamatotu lēmumu un rakstiski paziņo to operatoram.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Par iesnieguma atļaujas saņemšanai pieņemšanas dienu uzskatāma diena, kad operators ir iesniedzis visu šajos noteikumos noteikto informāciju, lai pārvalde varētu izvērtēt iesniegumu atļaujas saņemšanai.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vienlaikus ar iesniegumu atļaujas saņemšanai iesniedz iesniegumu, kurā norāda, kādi grozījumi nepieciešami atļaujā A kategorijas vai B kategorijas piesārņojošas darbības veikšanai vai C kategorijas apliecinājumā, vai iesniedz iesniegumu atļaujas saņemšanai A kategorijas vai B kategorijas piesārņojošai darbībai vai paziņo par C kategorijas piesārņojošās darbības veikšanu: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20.1.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iesniegumā atļaujas saņemšanai iekļautā informācija atšķiras no atļaujā A kategorijas vai B kategorijas piesārņojošas darbī</w:t>
      </w:r>
      <w:r w:rsidR="00B2322F">
        <w:rPr>
          <w:rFonts w:ascii="Times New Roman" w:hAnsi="Times New Roman"/>
          <w:color w:val="000000"/>
          <w:sz w:val="28"/>
          <w:szCs w:val="28"/>
          <w:lang w:eastAsia="lv-LV"/>
        </w:rPr>
        <w:t>bas veikšanai iekļautās informā</w:t>
      </w:r>
      <w:r w:rsidRPr="00D2133F">
        <w:rPr>
          <w:rFonts w:ascii="Times New Roman" w:hAnsi="Times New Roman"/>
          <w:color w:val="000000"/>
          <w:sz w:val="28"/>
          <w:szCs w:val="28"/>
          <w:lang w:eastAsia="lv-LV"/>
        </w:rPr>
        <w:t>cijas vai C kategorijas apliecinājumā iekļautās informācijas;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20.2.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atļauja A kategorijas vai B kategorijas piesārņojošas darbības veikšanai jāgroza, pamatojoties uz likumu „Par piesārņojumu”, vai jāveic būtiskas izmaiņas C kategorijas darbībā.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operators šo noteikumu 19.punktā noteiktajos gadījumos nav iesniedzis iesniegumu atļaujas A kategorijas vai B kategorijas piesārņojošas darbības veikšanai saņemšanai vai grozīšanai vai nav paziņojis par C kategorijas piesārņojošās darbības veikšanu vai būtiskām izmaiņām C kategorijas apliecinājumā, pārvalde 10 darbadienu laikā pieprasa attiecīgajam operatoram iesniegt iesniegumu atļaujas A kategorijas vai B kategorijas piesārņojošas darbības veikšanai saņemšanai vai grozīšanai vai paziņot par C kategorijas piesārņojošās darbības veikšanu vai būtiskām izmaiņām C kategorijas apliecinājumā.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operators pēc pārvaldes pieprasījuma saņemšanas 15 darbadienu laikā neiesniedz šo noteikumu 21.punktā minēto informāciju, pārvalde var pieņemt lēmumu par naudas soda piemērošanu attiecīgajam operatoram saskaņā ar Administratīvā pārkāpuma kodeksu, kā arī var pieņemt lēmumu par attiecīgā operatora iekārtas darbības apturēšanu likuma „Par piesārņojumu” noteiktajā kārtībā.</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2.2. Sabiedrības līdzdalība iesniegumu izvērtēšanā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23.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Operatora iesniegums atļaujas saņemšanai, kā arī saskaņā ar šo noteikumu 15. un </w:t>
      </w:r>
      <w:r w:rsidR="00B2322F">
        <w:rPr>
          <w:rFonts w:ascii="Times New Roman" w:hAnsi="Times New Roman"/>
          <w:color w:val="000000"/>
          <w:sz w:val="28"/>
          <w:szCs w:val="28"/>
          <w:lang w:eastAsia="lv-LV"/>
        </w:rPr>
        <w:t>20</w:t>
      </w:r>
      <w:r w:rsidRPr="00D2133F">
        <w:rPr>
          <w:rFonts w:ascii="Times New Roman" w:hAnsi="Times New Roman"/>
          <w:color w:val="000000"/>
          <w:sz w:val="28"/>
          <w:szCs w:val="28"/>
          <w:lang w:eastAsia="lv-LV"/>
        </w:rPr>
        <w:t>.punktu sniegtā informācija ir pieejama sabiedrībai, izņemot informāciju, ko pārvalde ir atzinusi par ierobežotas pieejamības.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septiņu darbadienu laikā no dienas, kad ir pieņemts iesniegums atļaujas saņemšanai, to ievieto Valsts vides dienesta tīmekļa vietnē.</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Sabiedrība 30 dienu laikā pēc šo noteikumu 24.punktā minētās publicēšanas dienas var rakstiski iesniegt pārvaldē savus priekšlikumus vai viedokli par atļaujas izsniegšanu vai tās nosacījumiem.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divu darbadienu laikā pēc priekšlikumu saņemšanas informē par tiem operatoru, norādot termiņu, līdz kuram operatoram ir jāiesniedz skaidrojums par tiem. Noteiktais termiņš skaidrojumu sniegšanai nedrīkst būt ilgāks par 14 dienām.</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2.3. Atļaujas izsniegšana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Pārvaldes amatpersona apskata attiecīgo iekārtu un sagatavo atzinumu par tās atbilstību šo noteikumu 4.punktā minētajai informācijai pirms atļaujas pirmreizējās izsniegšanas jaunai iekārtai.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Lemjot par atļaujas izsniegšanu vai lemjot par atteikumu atļaujas izsniegšanai, pārvalde ņem vērā: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28.1.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4., 14. un 15.punktā minēto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28.2.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27.punktā minēto atzinumu;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28.3.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1.pielikumā minētos nosacījumus;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28.4.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visas operatora iesniegtās informācijas izvērtējumu;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28.5.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valsts un pašvaldības institūciju, kā arī sabiedrības priekšlikumus un operatora skaidrojumu par tiem;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28.6.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visu pārvaldes rīcībā esošo informāciju, kas attiecas uz konkrēto operatoru un šī operatora darbinātajām iekārtām.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informētās institūcijas vai sabiedrība izsaka priekšlikumu neizsniegt atļauju, pārvalde dod operatoram ne mazāk kā piecas darbadienas, lai rakstiski izteiktu savu skaidrojumu.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atļauju sagatavo, izmantojot šo noteikumu 3.pielikumā noteikto atļaujas veidlapas paraugu, kurā iekļauj operatora iesniegtos priekšlikumus monitoringa nosacījumiem, kuri ir izstrādāti monitoringa plāna veidā.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Pārvalde operatoram izsniedz atļauju, ja operators, iesniedzot iesniegumu atļaujas saņemšanai, ir iesniedzis arī pietiekamu informāciju, lai pārvalde varētu secināt, ka attiecīgais operators spēj nodrošināt emisiju monitoringu un </w:t>
      </w:r>
      <w:r w:rsidRPr="00D2133F">
        <w:rPr>
          <w:rFonts w:ascii="Times New Roman" w:hAnsi="Times New Roman"/>
          <w:color w:val="000000"/>
          <w:sz w:val="28"/>
          <w:szCs w:val="28"/>
          <w:lang w:eastAsia="lv-LV"/>
        </w:rPr>
        <w:lastRenderedPageBreak/>
        <w:t>sagatavot emisiju ziņojumu atbilstoši  Eiropas Komisijas regulas Nr. 601/2012 un šajos noteikumos noteiktajām prasībām.</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2.4. Atļaujas un tajā iekļauto monitoringa nosacījumu grozījumi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Katrs operators regulāri pārbauda, vai piemēroto monitoringa metodoloģiju, kas ir iekļauta operatoram izsniegtajā atļaujā, ir iespējams uzlabot.</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Operatori iesniedz pārvaldei ziņojumus ar Eiropas Komisijas regulas Nr. 601/2012 69.panta 2. un 3.punktā noteikto informāciju līdz šādiem termiņiem: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33.1.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601/2012 19.panta 2.punkta a) apakšpunktā minētai iekārtai (A kategorijas iekārta) – līdz 30. jūnijam ik pēc četriem gadiem;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33.2.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601/2012 19.panta 2.punkta b) apakšpunktā minētai iekārtai (B kategorijas iekārta) – līdz 30. jūnijam ik pēc diviem gadiem;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33.3.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601/2012 19.panta 2.punkta c) apakšpunktā minētai iekārtai (C kategorijas iekārta) – līdz 30. jūnijam katru gadu.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šo noteikumu 68.punktā minētajā verifikācijas ziņojumā verificētājs saskaņā ar Eiropas Komisijas 2012.gada 21.jūnija Regulas Nr. 600/2012 par siltumnīcefekta gāzu ziņojumu un tonnkilometru ziņojumu verifikāciju un par verificētāju akreditāciju saskaņā ar Eiropas Parlamenta un Padomes Direktīvu 2003/87/EK (turpmāk –  Eiropas Komisijas regula Nr. 600/2012) 27., 29. un 30. pantu ir ziņojis uzlabojumu ieteikumus vai ir ziņojis par nenovērstām nebūtiskām neatbilstībām, operators līdz 30. jūnijam gadā, kad verificētājs sniedza minēto verifikācijas ziņojumu, iesniedz pārvaldei ziņojumu, kur apraksta, kā un kad ir novērsis vai plāno novērst verificētāja atklātās neatbilstības un īstenot ieteiktos uzlabojumus.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pārvaldei sniedz pietiekamu pamatojumu par iemesliem, kāpēc šo noteikumu 34.punktā minētajā verifikācijas ziņojumā iekļauto ieteikumu izpilde operatora izmantoto monitoringa metodoloģiju neuzlabotu, kā arī, ja ieteikumu izpilde radīs nesamērīgas izmaksas, iesniedz pierādījumus par šo izmaksu nesamērīgumu.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25 darbadienu laikā izvērtē šo noteikumu 34.punktā minēto operatora sagatavoto ziņojumu un šo noteikumu 35.punktā minēto informāciju un pieņem lēmumu par tā apstiprināšanu vai noraidīšanu, norādot termiņu, kurā operatora minētais ziņojums ir jālabo vai jāpapildina noteiktie pasākumi.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noraida šo noteikumu 34.punktā minēto operatora sagatavoto ziņojumu, ja konstatē, ka operatora noteiktie nepilnību novēršanas un uzlabojumu īstenošanas pasākumi nav atbilstoši vai ir nepilnīgi.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veic grozījumus savas iekārtas monitoringa nosacījumos un iesniedz iesniegumu atļaujas grozījumiem: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38.1.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601/2012 14.panta 2.punktā noteiktajos gadījumos;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38.2.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ir nepieciešams veikt būtiskas izmaiņas Eiropas Komisijas regulas Nr. 601/2012 15.panta 3.punktā noteiktajos gadījumos;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38.3.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mainītie emisiju aprēķina faktori nodrošinās emisiju noteikšanu ar lielāku precizitāti.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iesniegumu atļaujas grozījumiem šo noteikumu 38.2.apakšpunktā minētajā gadījumā iesniedz pārvaldē vismaz 15 darbadienas pirms izmaiņām likuma „Par piesārņojumu” 2.pielikuma darbībā, 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mainās iekārtas kategorija;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neskarot Eiropas Komisijas regulas Nr. 601/2012 47. panta 8. punktu, mainās novērtējums par to, vai iekārta ir uzskatāma par iekārtu ar zemu emisiju līmeni;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mainās emisijas avoti;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mainās emisiju noteikšanas metodoloģija, pārejot no aprēķinos balstītas uz mērījumos balstītu metodoloģiju vai otrādi;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mainās piemērotais emisiju noteikšanas līmenis;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ievieš jaunas avota plūsmas;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mainās avota plūsmām piešķirtās kategorijas – starp lielām, nelielām vai „de minimis” avotu plūsmām;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mainās emisiju aprēķina faktoru standartlielums, ja šis lielums ir jānorāda monitoringa nosacījumos;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ievieš jaunas procedūras saistībā ar paraugu ņemšanu, analīzi vai kalibrēšanu, ja šo procedūru izmaiņas tieši ietekmē emisijas datu pareizību;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39.10.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ievieš vai pielāgo emisiju noteikšanas metodoloģiju, ko rada noplūdes uzglabāšanas vietās.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iesniegumu atļaujas grozījumiem iesniedz pārvaldē vismaz 45 darba dienas pirms izmaiņām likuma „Par piesārņojumu” 2.pielikuma darbībā, ja plānotās izmaiņas monitoringa nosacījumos nav būtiskas un nav minētas šo noteikumu 39.punktā.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15 darbadienu laikā pārbauda operatora šo noteikumu 39. un 40.punktā minēto iesniegumu atļaujas grozījumiem un nepieciešamības gadījumā pieprasa papildus informāciju par operatora plānotajām izmaiņām.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Pārvalde 10 darbadienu laikā pēc šo noteikumu 41.punktā noteiktās pārbaudes pabeigšanas vai 10 darbadienu laikā pēc pieprasītās papildus </w:t>
      </w:r>
      <w:r w:rsidRPr="00D2133F">
        <w:rPr>
          <w:rFonts w:ascii="Times New Roman" w:hAnsi="Times New Roman"/>
          <w:color w:val="000000"/>
          <w:sz w:val="28"/>
          <w:szCs w:val="28"/>
          <w:lang w:eastAsia="lv-LV"/>
        </w:rPr>
        <w:lastRenderedPageBreak/>
        <w:t>informācijas saņemšanas pieņem lēmumu par atļaujas grozījumiem, kā arī, ja nepieciešams, pieprasa operatoram veikt grozījumus arī atļaujā A kategorijas vai B kategorijas piesārņojošas darbības veikšanai vai paziņot par būtiskām izmaiņām C k</w:t>
      </w:r>
      <w:r w:rsidR="00D4253D">
        <w:rPr>
          <w:rFonts w:ascii="Times New Roman" w:hAnsi="Times New Roman"/>
          <w:color w:val="000000"/>
          <w:sz w:val="28"/>
          <w:szCs w:val="28"/>
          <w:lang w:eastAsia="lv-LV"/>
        </w:rPr>
        <w:t>ategorijas piesārņojošā darbībā</w:t>
      </w:r>
      <w:r w:rsidRPr="00D2133F">
        <w:rPr>
          <w:rFonts w:ascii="Times New Roman" w:hAnsi="Times New Roman"/>
          <w:color w:val="000000"/>
          <w:sz w:val="28"/>
          <w:szCs w:val="28"/>
          <w:lang w:eastAsia="lv-LV"/>
        </w:rPr>
        <w:t>.</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var noraidīt operatora iesniegto iesniegumu atļaujas grozījumiem un pieņemt lēmumu atteikt izdarīt grozījumus esošajā atļaujā, ja, veicot šo noteikumu 41.punktā minēto pārbaudi, konstatē, ka: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43.1.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operatora iesniegtie priekšlikumi monitoringa nosacījumu grozījumiem neatbilst Eiropas Komisijas regulas Nr. 601/2012 nosacījumiem;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43.2.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neveicinās precīzāku emisiju monitoringu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43.3.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informācija par iesniegtajiem grozījumiem nav patiesa un neatbilst situācijai iekārtā.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Pārvalde var noteikt operatoram iesniegt iesniegumu atļaujas grozījumiem, ja operators šo noteikumu 39.un 40.punktā noteiktā kārtībā to nav iesniedzis, bet </w:t>
      </w:r>
      <w:r w:rsidR="00D4253D">
        <w:rPr>
          <w:rFonts w:ascii="Times New Roman" w:hAnsi="Times New Roman"/>
          <w:color w:val="000000"/>
          <w:sz w:val="28"/>
          <w:szCs w:val="28"/>
          <w:lang w:eastAsia="lv-LV"/>
        </w:rPr>
        <w:t>p</w:t>
      </w:r>
      <w:r w:rsidRPr="00D2133F">
        <w:rPr>
          <w:rFonts w:ascii="Times New Roman" w:hAnsi="Times New Roman"/>
          <w:color w:val="000000"/>
          <w:sz w:val="28"/>
          <w:szCs w:val="28"/>
          <w:lang w:eastAsia="lv-LV"/>
        </w:rPr>
        <w:t>ārvalde ir konstatējusi izmaiņas iekārtas darbībā, ņemot vērā: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44.1.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68.punktā minēto verifikācijas ziņojumu, kurā ir ierosināts uzlabot vai grozīt iepriekš sagatavotos un apstiprinātos monitoringa nosacījumus;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44.2.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operatora saskaņā ar normatīvajiem aktiem par vides aizsardzības valsts statistikas pārskatu veidlapām iesniegto pārskatu;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44.3.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operatora saskaņā ar normatīvajiem aktiem par kārtību, kādā piesakāmas A, B un C kategorijas piesārņojošas darbības un izsniedzamas atļaujas A un B kategorijas piesārņojošo darbību veikšanai, iesniegto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Operators veic izmaiņas savas iekārtas monitoringa nosacījumos, ko pārvalde ir pieprasījusi šo noteikumu 44.punktā, un iesniedz iesniegumu atļaujas grozījumiem 10 darbadienu laikā pēc pārvaldes pieprasījuma saņemšanas. </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operators 20 darbadienu laikā pēc pārvaldes šo noteikumu 44.punktā minētā pieprasījuma saņemšanas nav iesniedzis pārvaldē iesniegumu atļaujas grozījumiem, pārvalde pieņem lēmumu par šim operatoram izsniegtās atļaujas grozījumiem, ņemot vērā šo noteikumu 44.punktā minēto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mainās iekārtas operators, pārvalde, pamatojoties uz operatora iesniegumu, 10 darbadienu laikā pēc operatora iesnieguma atļaujas grozījumiem saņemšanas precizē atļauju, ierakstot tajā datus par jauno operatoru, nemainot tās termiņu un nosacījumus.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Ja operators, kurš saskaņā ar viņam izsniegto atļauju emisiju monitoringam izmanto vienkāršotus monitoringa nosacījumus, pārsniedz 10.1.apakšpunktā vai 10.2.apakšpunktā noteiktās robežvērtības, tad operators kopā ar emisiju </w:t>
      </w:r>
      <w:r w:rsidRPr="00D2133F">
        <w:rPr>
          <w:rFonts w:ascii="Times New Roman" w:hAnsi="Times New Roman"/>
          <w:color w:val="000000"/>
          <w:sz w:val="28"/>
          <w:szCs w:val="28"/>
          <w:lang w:eastAsia="lv-LV"/>
        </w:rPr>
        <w:lastRenderedPageBreak/>
        <w:t>ziņojumu iesniedz pārvaldei pietiekamu pamatojumu, ka šīs robežvērtības pēdējo piecu ziņošanas gadu laikā nav tikušas pārsniegtas un, ka tās netiks pārsniegtas, sākot no nākamā ziņošanas gada un turpmāk.</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49.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20 darbadienu laikā izvērtē operatora šo noteikumu 48.punktā minēto iesniegto pamatojumu un pieņem lēmumu atļaut šādam operatoram arī turpmāk izmantot vienkāršotus monitoringa nosacījumus, vai pieņem lēmumu par iesniegtā pamatojuma noraidīšanu, ar kuru operatoram uzdod izstrādāt jaunus priekšlikumus monitoringa nosacījumiem.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vismaz reizi piecos gados pārskata operatoriem izsniegtās atļaujas un vajadzības gadījumā nosaka operatoram iesniegt iesniegumu atļaujas grozījumiem.</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2.5. Atļaujas atcelšana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kura iekārta veic tādas likuma „Par piesārņojumu” 2.pielikuma darbības, kuru ražošanas jauda vai saražotais produkcijas apjoms nepārsniedz likuma „Par piesārņojumu" 2.pielikumā minētos rādītājus, var iesniegt pārvaldei iesniegumu atcelt viņam izsniegto atļauju.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10 darbadienu laikā izvērtē šo noteikumu 51.punktā minēto iesniegumu un atceļ operatoram izsniegto atļauju. Atļauja ir atcelta ar pārvaldes lēmuma pieņemšanas brīdi.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var pieņemt lēmumu par operatoram izsniegtās atļaujas atcelšanu, 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53.1.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konstatē, ka iekārta ir beigusi savu darbību;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53.2.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ir iesniedzis iesniegumu, ka iekārta vairs neveic nevienu no likuma „Par piesārņojumu” 2.pielikuma darbībām;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53.3.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ir sniedzis nepatiesu vai maldinošu informāciju vai neievēro atļaujas nosacījumus;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53.4.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nav iesniedzis informāciju par savas iekārtas darbības būtiskām izmaiņām, kā noteikts šo noteikumu 39.punktā;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53.5.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operatoram izsniegtā atļauja saskaņā ar Administratīvā procesa likumu ir zaudējusi spēku;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53.6.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operatoram izsniegtā A vai B kategorijas piesārņojošās darbības atļauja ir atcelta saskaņā ar likumu „Par piesārņojumu” vai saskaņā ar normatīvajiem aktiem par kārtība, kādā piesakāmas A, B un C kategorijas piesārņojošas darbības un izsniedzamas atļaujas A un B kategorijas piesārņojošo darbību veikšanai, vai operatoram izsniegtā A vai B kategorijas piesārņojošās darbības atļauja saskaņā ar Administratīvā procesa likum</w:t>
      </w:r>
      <w:r w:rsidR="00D4253D">
        <w:rPr>
          <w:rFonts w:ascii="Times New Roman" w:hAnsi="Times New Roman"/>
          <w:color w:val="000000"/>
          <w:sz w:val="28"/>
          <w:szCs w:val="28"/>
          <w:lang w:eastAsia="lv-LV"/>
        </w:rPr>
        <w:t>u</w:t>
      </w:r>
      <w:r w:rsidRPr="00D2133F">
        <w:rPr>
          <w:rFonts w:ascii="Times New Roman" w:hAnsi="Times New Roman"/>
          <w:color w:val="000000"/>
          <w:sz w:val="28"/>
          <w:szCs w:val="28"/>
          <w:lang w:eastAsia="lv-LV"/>
        </w:rPr>
        <w:t xml:space="preserve"> ir zaudējusi spēku;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53.7.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operators ir svītrots no C kategorijas piesārņojošo darbību veicēju saraksta.</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3. Emisiju ziņojums</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3.1. Emisiju ziņojuma sagatavošana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Operators saskaņā ar viņam izsniegto atļauju, kā arī ņemot vērā Eiropas Komisijas regulā Nr. 601/2012 un šajos noteikumos noteiktos nosacījumus: </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54.1.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veic emisiju monitoringu visām iekārtām, kurās tiek veiktas kādas no likuma „Par piesārņojumu” 2.pielikuma darbībām;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54.2.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dokumentē un arhivē visu informāciju par monitoringa veikšanu un iegūtajiem rezultātiem.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emisijas monitoringa rezultātus norāda emisiju ziņojumā, ko elektroniskā formā sagatavo saskaņā ar Eiropas Komisijas regulu Nr. 601/2012 un šiem noteikumiem, izmantojot šo noteikumu 4.pielikumā doto emisiju ziņojuma veidlapu, ņemot vērā Eiropas Komisijas regulas Nr. 601/2012 X pielikumā doto monitoringa nosacījumu minimālo saturu.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sagatavojot emisiju ziņojumu, nodrošina, ka tajā iekļautie dati sakrīt ar informāciju, ko operators ir ziņojis: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56.1.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ikgadējā statistiskajā pārskatā par gaisa aizsardzību saskaņā ar normatīvajiem aktiem par prasībām attiecībā uz vides monitoringu un tā veikšanas kārtību;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56.2.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Latvijas Republikas Centrālajai statistikas pārvaldei saskaņā ar normatīvajiem aktiem par valsts statistiku.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sagatavojot emisiju ziņojumu, neveic emisiju aprēķinā izmantoto datu un starprezultātu noapaļošanu, bet noapaļo tikai gala rezultātu – gada kopējo emisiju apjomu.</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3.2. Emisiju ziņojuma verificēšana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emisiju ziņojumu iesniedz verificētājam, kurš nav piedalījies operatora emisijas atļaujas iesnieguma vai emisiju ziņojuma sagatavošanā un nav atkarīgs no operatora, verificēšanas veikšanai un verifikācijas ziņojuma sagatavošanai.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Emisiju ziņojuma verificēšanu visām likuma „Par piesārņojumu” 2.pielikuma darbībām veic kādā no Eiropas Savienības dalībvalstīm saskaņā ar Eiropas Komisijas regulu Nr. 600/2012 akreditēta kompetenta, neatkarīga atbilstības novērtēšanas institūcija, kas ir atbildīga par operatora veikto likuma „Par piesārņojumu” 2.pielikuma darbību un šo darbību radīto siltumnīcefekta </w:t>
      </w:r>
      <w:r w:rsidRPr="00D2133F">
        <w:rPr>
          <w:rFonts w:ascii="Times New Roman" w:hAnsi="Times New Roman"/>
          <w:color w:val="000000"/>
          <w:sz w:val="28"/>
          <w:szCs w:val="28"/>
          <w:lang w:eastAsia="lv-LV"/>
        </w:rPr>
        <w:lastRenderedPageBreak/>
        <w:t>gāzu emisiju noteikšanas procedūru verifikācijas procesa veikšanu un ziņošanu, kas pārzina: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59.1.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Parlamenta un Padomes 2003.gada 13.oktobra direktīvas 2003/87/EK, ar kuru nosaka sistēmu siltumnīcas efektu izraisošo gāzu emisijas kvotu tirdzniecībai Kopienā un groza Padomes Direktīvu 96/61/EK, prasības;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59.2.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600/2012 prasības, kā arī tās ietvaros Eiropas Komisijas izstrādātos vadlīniju dokumentus;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59.3.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normatīvajos aktos noteiktās prasības attiecībā uz verificējamām darbībām;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59.4.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informācijas sagatavošanu attiecībā uz katru emisijas avotu iekārtā, īpaši attiecībā uz datu apkopošanu, mērīšanu, aprēķiniem un ziņojuma sniegšanu.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Verificētājs saskaņā ar Eiropas Komisijas regulu Nr. 600/2012 plāno un veic operatora sagatavotā emisiju ziņojuma verificēšanu, vienlaikus verificējot monitoringa sistēmu ticamību un precizitāti, kā arī iesniegto</w:t>
      </w:r>
      <w:r w:rsidR="007F78D0">
        <w:rPr>
          <w:rFonts w:ascii="Times New Roman" w:hAnsi="Times New Roman"/>
          <w:color w:val="000000"/>
          <w:sz w:val="28"/>
          <w:szCs w:val="28"/>
          <w:lang w:eastAsia="lv-LV"/>
        </w:rPr>
        <w:t>s</w:t>
      </w:r>
      <w:r w:rsidRPr="00D2133F">
        <w:rPr>
          <w:rFonts w:ascii="Times New Roman" w:hAnsi="Times New Roman"/>
          <w:color w:val="000000"/>
          <w:sz w:val="28"/>
          <w:szCs w:val="28"/>
          <w:lang w:eastAsia="lv-LV"/>
        </w:rPr>
        <w:t xml:space="preserve"> datus un informāciju par emisijām, jo īpaši: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60.1.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likuma „Par piesārņojumu” 2.pielikuma darbību datus, attiecīgos mērījumus un aprēķinus;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60.2.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aprēķinu faktoru izvēli un izmantošanu;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60.3.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kopējo emisiju noteikšanai veiktos aprēķinus;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60.4.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mērīšanas metožu izvēli un lietošanu, ja emisiju noteikšanā ir izmantoti mērījumi.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Kā verifikācijas procesa daļu, verificētājs ievēro šādus emisiju ziņojuma verificēšanas vispārīgos principus: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61.1.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stratēģiskā analīze – pārbaude pamatojas uz visu iekārtā veikto darbību stratēģisku analīzi, kuras laikā ir nepieciešams, lai verificētājam būtu pārskatāmas visas darbības un to nozīme attiecībā uz emisiju;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61.2.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procesa analīze – verificētājs veic iepriekš nepieteiktas pārbaudes, lai noteiktu iesniegto datu un informācijas ticamību, un, ja nepieciešams, verificētājs iesniegto informāciju pārbauda iekārtas atrašanās vietā;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61.3.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riska analīze – verificētājs nosaka paaugstināta riska emisijas avotus, kā arī veiktā monitoringa un operatora darbības aspektus, kuru dēļ varētu kļūdaini noteikt kopējo emisiju, piemēram, emisiju aprēķinu faktoru izvēli un aprēķinus, kas nepieciešami, lai noteiktu emisijas līmeni no atsevišķiem avotiem, kā arī īpaši pārbauda paaugstināta riska emisijas avotus un citus minētos aspektus.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Verificētājs var ņemt vērā: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62.1.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vai operators ir reģistrēts Eiropas Savienības Vides vadības un audita sistēmā saskaņā ar Eiropas Parlamenta un Padomes 2009.gada 25.novembra </w:t>
      </w:r>
      <w:r w:rsidRPr="00D2133F">
        <w:rPr>
          <w:rFonts w:ascii="Times New Roman" w:hAnsi="Times New Roman"/>
          <w:color w:val="000000"/>
          <w:sz w:val="28"/>
          <w:szCs w:val="28"/>
          <w:lang w:eastAsia="lv-LV"/>
        </w:rPr>
        <w:lastRenderedPageBreak/>
        <w:t>regulu Nr. 1221/2009 par organizāciju brīvprātīgu dalību Kopienas vides vadības un audita sistēmā (EMAS), kā arī par Regulas (EK) Nr. 761/2001 un Komisijas Lēmumu 2001/681/EK un 2006/193/EK atcelšanu;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62.2.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jebkuru efektīvo riska vadības metodi, ko izmanto operators, lai samazinātu kļūdas iespējamību un emisiju izkliedi.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Verificētājam ir pieejams jebkurš ražošanas objekts un jebkura verifikācijai nepieciešamā informācija.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Verificētājs neveic Eiropas Komisijas regulas Nr. 600/2012 21.panta 1.punktā noteikto iekārtas apmeklējumu, ja, pamatojoties uz paša veiktajiem riska analīzes rezultātiem, secina, ka var piekļūt visiem attiecīgajiem datiem attālināti un ka ir izpildīti Eiropas Komisijas regulā Nr. 600/2012 noteiktie nosacījumi par objektu apmeklējumu neveikšanu, un par šo secinājumu bez liekas kavēšanās informē attiecīgo operatoru.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pēc šo noteikumu 6</w:t>
      </w:r>
      <w:r w:rsidR="00B2322F">
        <w:rPr>
          <w:rFonts w:ascii="Times New Roman" w:hAnsi="Times New Roman"/>
          <w:color w:val="000000"/>
          <w:sz w:val="28"/>
          <w:szCs w:val="28"/>
          <w:lang w:eastAsia="lv-LV"/>
        </w:rPr>
        <w:t>4</w:t>
      </w:r>
      <w:r w:rsidRPr="00D2133F">
        <w:rPr>
          <w:rFonts w:ascii="Times New Roman" w:hAnsi="Times New Roman"/>
          <w:color w:val="000000"/>
          <w:sz w:val="28"/>
          <w:szCs w:val="28"/>
          <w:lang w:eastAsia="lv-LV"/>
        </w:rPr>
        <w:t>.punktā minētās informācijas saņemšanas iesniedz pārvaldē iesniegumu, kurā iekļauta informācija par verificētāja secinājumu neapmeklēt iekārtu un verificētāja pamatojumu šāda secinājuma pieņemšanai, ņemot vērā, ka šis iesniegums nav jāiesniedz šo noteikumu 10.punktā minētajām iekārtām ar zemu emisiju līmeni.</w:t>
      </w:r>
    </w:p>
    <w:p w:rsidR="00D2133F" w:rsidRPr="00D2133F" w:rsidRDefault="00177E6A" w:rsidP="00D2133F">
      <w:pPr>
        <w:shd w:val="clear" w:color="auto" w:fill="FFFFFF"/>
        <w:spacing w:before="120"/>
        <w:rPr>
          <w:rFonts w:ascii="Times New Roman" w:hAnsi="Times New Roman"/>
          <w:color w:val="000000"/>
          <w:sz w:val="28"/>
          <w:szCs w:val="28"/>
          <w:lang w:eastAsia="lv-LV"/>
        </w:rPr>
      </w:pPr>
      <w:r>
        <w:rPr>
          <w:rFonts w:ascii="Times New Roman" w:hAnsi="Times New Roman"/>
          <w:color w:val="000000"/>
          <w:sz w:val="28"/>
          <w:szCs w:val="28"/>
          <w:lang w:eastAsia="lv-LV"/>
        </w:rPr>
        <w:t xml:space="preserve">66. </w:t>
      </w:r>
      <w:r w:rsidR="00D2133F" w:rsidRPr="00D2133F">
        <w:rPr>
          <w:rFonts w:ascii="Times New Roman" w:hAnsi="Times New Roman"/>
          <w:color w:val="000000"/>
          <w:sz w:val="28"/>
          <w:szCs w:val="28"/>
          <w:lang w:eastAsia="lv-LV"/>
        </w:rPr>
        <w:t>Pārvalde 10 darbadienu laikā izvērtē šo noteikumu 65.punktā minēto iesniegumu, ņemot vērā: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66.1.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verificētāja iesniegto informāciju par riska analīzes rezultātiem; </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66.2.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informāciju, ka attiecīgajiem datiem var piekļūt attālināti;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66.3.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pamatojumu, ka uz attiecīgo iekārtu neattiecas Eiropas Komisijas regulas Nr. 600/2012  31.panta 3.punkta nosacījumi; </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66.4.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informāciju, ka ir izpildīti Eiropas Komisijas regulā Nr. 600/2012 noteiktie nosacījumi par objektu apmeklējumu neveikšanu.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pēc šo noteikumu 66.punktā minētā izvērtējuma pabeigšanas, pārvalde secina, ka iesniegtā informācija ir pareiza un atbilstoša, pārvalde saskaņo operatora iesniegumu un atļauj verificētāja iekārtas apmeklējuma neveikšanu.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Verificētājs, ņemot vērā verifikācijas laikā iegūto informāciju, 15 darbadienu laikā pēc operatora sagatavotā emisiju ziņojuma saņemšanas, izmantojot Eiropas Komisijas izstrādāto verifikācijas ziņojuma veidlapu, ievērojot normatīvos aktus valsts valodas lietošanas jomā, sagatavo verifikācijas ziņojumu par operatora emisiju ziņojuma verifikāciju, kurā ir norādīta pārbaudes metodoloģija, konstatētie fakti un verifikācijas atzinums, un nosūta to operatoram papīra formā un elektroniski.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69.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Verificētājs šo noteikumu 68.punktā minētajā verifikācijas ziņojumā norāda tā atbilstību šādiem principiem – pilnīgums, konsekvence, pārredzamība, pareizība, izmaksu lietderība un ticamība, un sniedz apmierinošu verifikācijas atzinumu, tas ir, verificē operatora sagatavoto emisiju ziņojumu kā apmierinošu, 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69.1.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ziņojumā iekļautie monitoringa dati ir patiesi un tajos nav pretrunu;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69.2.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uzskaite un aprēķini iekārtā ir pilnīgi un konsekventi;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69.3.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datu apkopošana ir notikusi saskaņā ar Eiropas Komisijas regulā Nr. 601/2012 noteiktajiem nosacījumiem;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69.4.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visu konstatēto nepatieso apgalvojumu summa nepārsniedz Eiropas Komisijas regulas Nr. 600/2012 23.pantā noteikto būtiskuma līmeni – 5% A kategorijas iekārtām un B kategorijas iekārtām, vai 2% C kategorijas iekārtām.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veic visus verificētāja norādītos labojumus emisiju ziņojuma verificēšanas laikā. Ja verificēšanas laikā operators neveic verificētāja norādītos labojumus, verificētājam ir tiesības verificētāja ziņojumā sniegt neapmierinošu atzinumu.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Verificētājs ir atbildīgs par tās informācijas neizpaušanu, kuru operators emisiju ziņojumā ir atzīmējis kā ierobežotas pieejamības informāciju.</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3.3. Emisiju ziņojuma izvērtēšana un apstiprināšana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katru gadu līdz 15.martam iesniedz pārvaldē:</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72.1.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ziņojumu, norādot, kura emisiju ziņojumā iekļautā informācija ir klasificējama kā ierobežotas pieejamības informācija;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72.2.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verifikācijas ziņojumu.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72.punktā minēto informāciju operators iesniedz pārvaldē 45 darbadienu laikā, bet ne vēlāk kā 60 dienu laikā pēc pārvaldes lēmuma par atļaujas atcelšanu stāšanās spēkā, arī pēc operatora reorganizācijas, tajā skaitā operatora maiņas gadījumā, vai likvidācijas, tajā skaitā, ja iekārta pilnīgi pārtrauc darbību.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operators izbeidz darbību, komersanta administrators vai likvidators nodrošina šo noteikumu 72.punktā minēto ziņojumu iesniegšanu pārvaldē noteiktajos termiņos.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izvērtē šo noteikumu 72.punktā minēto operatora iesniegto informāciju, ņemot vērā: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šādus nosacījumus: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75.1.1.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ziņojumam un verifikācijas ziņojumam ir jābūt iesniegtam šajos noteikumos noteiktajos termiņos;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75.1.2.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ziņojumam un verifikācijas ziņojumam ir jābūt sagatavotam šo noteikumu 55.punktā noteiktajā formā,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75.1.3.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ziņojumam un verifikācijas ziņojumam ir jābūt iesniegtam šo noteikumu 2.punktā noteiktā formātā;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75.1.4.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ziņojumam ir jābūt verificētam kā apmierinošam;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šādu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75.2.1.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operatoram izsniegtajā atļaujā minēto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75.2.2.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iekārtu saraksta emisijas kvotu sadalei 2013.-2020.gadam izstrādes laikā operatora iesniegto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75.2.3.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operatora saskaņā ar normatīvajiem aktiem par prasībām attiecībā uz vides monitoringu un tā veikšanas kārtību iesniegto ikgadējo statistisko pārskatu par gaisa aizsardzību.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pēc emisiju ziņojuma izvērtēšanas līdz katra gada 31.martam apstiprina operatora iesniegto emisiju ziņojuma un verifikācijas ziņojuma atbilstību šo noteikumu 75.1.apakšpunkta nosacījumiem, kā arī emisiju ziņojuma atbilstību šo noteikumu 75.2.apakšpunktā minētajai informācijai.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pēc emisiju ziņojuma izvērtēšanas, pārvalde secina, ka operatora iesniegtais emisiju ziņojums un verifikācijas ziņojums neatbilst šo noteikumu 75.1.apakšpunkta nosacījumiem vai emisiju ziņojums neatbilst šo noteikumu 75.2.apakšpunktā minētajai informācijai, pārvaldei noraida operatora iesniegto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pārvalde noraida operatora iesniegto informāciju, tad pārvalde operatoru informē par visām konstatētajām neatbilstībām un termiņu, kādā neatbilstības ir jānovērš un atkārtoti jāiesniedz emisiju ziņojums.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79.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atkārtoti iesniegto laboto emisiju ziņojumu izvērtē un apstiprina vai noraida iesniegto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pārvalde saskaņā ar šo noteikumu 77. un 79.punktu noraida operatora iesniegto informāciju, operators pārvaldes rīcību var apstrīdēt vai pārsūdzēt Vides pārraudzības valsts birojā.</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4. Verificētāja akreditācija un uzraudzība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Latvijas Nacionālais akreditācijas birojs veic Latvijā akreditētu vides darbību verificētāju novērtēšanu saskaņā ar normatīvajiem aktiem par atbilstības novērtēšanas institūciju novērtēšanu, akreditāciju un uzraudzību, izmantojot </w:t>
      </w:r>
      <w:r w:rsidRPr="00D2133F">
        <w:rPr>
          <w:rFonts w:ascii="Times New Roman" w:hAnsi="Times New Roman"/>
          <w:color w:val="000000"/>
          <w:sz w:val="28"/>
          <w:szCs w:val="28"/>
          <w:lang w:eastAsia="lv-LV"/>
        </w:rPr>
        <w:lastRenderedPageBreak/>
        <w:t>Latvijas Nacionālā akreditācijas biroja noteikumus un rekomendācijas un ņemot vērā Eiropas Komisijas regulā Nr. 600/2012 noteiktos kritērijus.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 Latvijas Nacionālais akreditācijas birojs, akreditējot verificētāju likuma „Par piesārņojumu” 2.pielikuma darbību verificēšanai, apliecina, ka verificētājs atbilst Eiropas Komisijas regulā Nr. 600/2012 noteiktajām prasībām.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Latvijas Nacionālais akreditācijas birojs veic katra verificētāja, kuram tā ir izsniegusi akreditācijas sertifikātu, ikgadējo uzraudzību saskaņā ar Eiropas Komisijas regulas Nr. 600/2012 49.pantu.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pārvalde, veicot šo noteikumu 75.punktā minēto izvērtēšanu, kā arī veicot iekārtas kontroles pasākumus, operatora iesniegtajā emisiju ziņojumā konstatē būtiskas informācijas vai datu neatbilstības iekārtā esošajai informācijai vai datiem, un verificētājs, veicot emisiju ziņojuma verificēšanu, šādas neatbilstības nav konstatējis vai ir ignorējis, tad pārvalde ziņo par to Latvijas Nacionālo akreditācijas birojam gadījumā, ja konkrēto emisiju ziņojumu verificējis Latvijas Nacionālais akreditācijas biroja akreditēts verificētājs, vai tās valsts akreditācijas struktūrai, kurā konkrētais verificētājs ir akreditēts saskaņā ar Eiropas Komisijas regulu Nr. 600/2012.</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šo noteikumu 84.punktā minētajā ziņojumā iekļauj šādu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85.1.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šāda verificētāja nosaukumu un konkrētā emisiju ziņojuma verificēšanu veikušo verificētāju vārdus;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85.2.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konstatētās informācijas vai datu neatbilstības;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85.3.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informācijas vai datu neatbilstību pieļaušanas vai nelabošanas sekas, piemēram, datu kļūdas neievērošanas vai apzinātas pieļaušanas rezultātā operatoram ir aprēķināts vai noteikts nepareizs apjoms, kas pārsniedz šo noteikumu 69.4.apakšpunktā minēto būtiskuma līmeni.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pārvalde vai Vides aizsardzības un reģionālās attīstības ministrija ir tiesīgi iesniegt Latvijas Nacionālajā akreditācijas birojā sūdzību par Latvijā akreditētu verificētāju, kuru Latvijas Nacionālais akreditācijas birojs izskata Eiropas Komisijas regulas Nr. 600/2012 61.pantā noteiktajā kārtībā.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Latvijas Nacionālais akreditācijas birojs pieņem lēmumu par verificētāja akreditācijas atsaukšanu, apturēšanu vai akreditācijas jomas samazināšanu: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87.1.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veicot šo noteikumu 83.punktā minēto uzraudzību, konstatē, ka verificētājs neievēro Eiropas Komisijas regulas Nr. 600/2012 prasības;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87.2.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izvērtējot šo noteikumu 84.punktā minēto pārvaldes ziņojumu, konstatē, ka ir pieļauts būtisks pārkāpums;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87.3.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izvērtējot šo noteikumu 86.punktā minēto sūdzību, ir konstatēts, ka verificētājs ir nopietni pārkāpis vai atkārtoti nav ievērojis Eiropas Komisijas regulas Nr. 600/2012 prasības;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87.4.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600/2012 53.panta 2. un 3.punktā noteiktajā gadījumā.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Latvijas Nacionālais akreditācijas birojs, pieņemot šo noteikumu 87.punktā minēto lēmumu, norāda tajā visus gadījumus un pieļautās neatbilstības, kas ir bijušas par iemeslu verificētāja akreditācijas atcelšanai, apturēšanai vai akreditācijas jomas samazināšanai.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89.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šo noteikumu 87.punktā minētais Latvijas Nacionālā akreditācijas biroja lēmums aptur verificētāja akreditāciju, tad Latvijas Nacionālais akreditācijas birojs šajā lēmumā norāda arī termiņu un visas darbības, kas verificētājam ir jāveic akreditācijas atjaunošanai.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87.punktā minēto lēmumu par verificētāja akreditācijas atsaukšanu, apturēšanu vai akreditācijas jomas samazināšanu Latvijas Nacionālais akreditācijas birojs nosūta verificētājam, uz kuru tas attiecas, un informāciju par lēmuma pieņemšanu publicē savā tīmekļa vietnē (</w:t>
      </w:r>
      <w:hyperlink r:id="rId7" w:history="1">
        <w:r w:rsidRPr="001B5636">
          <w:rPr>
            <w:rStyle w:val="Hyperlink"/>
            <w:rFonts w:ascii="Times New Roman" w:hAnsi="Times New Roman"/>
            <w:sz w:val="28"/>
            <w:szCs w:val="28"/>
            <w:lang w:eastAsia="lv-LV"/>
          </w:rPr>
          <w:t>www.latak.lv</w:t>
        </w:r>
      </w:hyperlink>
      <w:r w:rsidRPr="00D2133F">
        <w:rPr>
          <w:rFonts w:ascii="Times New Roman" w:hAnsi="Times New Roman"/>
          <w:color w:val="000000"/>
          <w:sz w:val="28"/>
          <w:szCs w:val="28"/>
          <w:lang w:eastAsia="lv-LV"/>
        </w:rPr>
        <w:t>).</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87.punktā minētais lēmums stājas spēkā tajā datumā, kurā tas ir nosūtīts attiecīgajam verificētājam.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Latvijas Nacionālā akreditācijas birojs atjauno tā verificētāja, kura akreditācija ir apturēta ar šo noteikumu 87.punktā minēto lēmumu, ja verificētājs ir veicis visas šo noteikumu 89.punktā noteiktās darbībās un Latvijas Nacionālais akreditācijas birojs ir pārliecinājies, ka verificētājs ievēro visas Eiropas Komisijas regulā Nr. 600/2012 verificētājiem noteiktās prasības.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Latvijas Nacionālais akreditācijas birojs izstrādā iekšējo dokumentēšanas, īstenošanas un uzturēšanas procedūru verificētāja akreditācijas apturēšanai, atsaukšanai vai akreditācijas jomas samazināšanai.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Verificētājs var pārsūdzēt vai apstrīdēt šo noteikumu 87.punktā minēto lēmumu par viņa akreditācijas atsaukšanu, apturēšanu vai akreditācijas jomas samazināšanu Administratīvā procesa likumā noteiktajā kārtībā.</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5. Operatora pienākumu nepildīšana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aprēķina operatora gada emisijas vai pēc iespējas precīzāk nosaka aptuvenās operatora gada emisijas, ja: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95.1.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operators nav iesniedzis šo noteikumu 72.punktā minēto informāciju līdz katra gada 31.martam;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95.2.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w:t>
      </w:r>
      <w:r w:rsidR="00B2322F">
        <w:rPr>
          <w:rFonts w:ascii="Times New Roman" w:hAnsi="Times New Roman"/>
          <w:color w:val="000000"/>
          <w:sz w:val="28"/>
          <w:szCs w:val="28"/>
          <w:lang w:eastAsia="lv-LV"/>
        </w:rPr>
        <w:t>valde saskaņā ar šo noteikumu 77</w:t>
      </w:r>
      <w:r w:rsidRPr="00D2133F">
        <w:rPr>
          <w:rFonts w:ascii="Times New Roman" w:hAnsi="Times New Roman"/>
          <w:color w:val="000000"/>
          <w:sz w:val="28"/>
          <w:szCs w:val="28"/>
          <w:lang w:eastAsia="lv-LV"/>
        </w:rPr>
        <w:t>. un 79.punktu ir noraidījusi šo noteikumu 72.punktā minēto operatora iesniegto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95.3.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emisiju ziņojums nav verificēts saskaņā ar Eiropas Komisijas regulu Nr. 600/2012.</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šo noteikumu 95.punktā minētajā emisiju aprēķinā vai aptuveno emisiju noteikšanā izmanto operatora informāciju un datus: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96.1.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saskaņā ar normatīvajiem aktiem par prasībām attiecībā uz vides monitoringu un tā veikšanas kārtību iesniegtā ikgadējā statistiskā pārskata par gaisa aizsardzību;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96.2.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iepriekšējā gadā iesniegtā emisiju ziņojuma;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96.3.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saskaņā ar normatīvajiem aktiem par valsts statistiku iesniegtās informācijas Centrālajā statistikas pārvaldē, piemēram, pārskatā par enerģētisko resursu izlietošanu, pārskatā par siltumenerģijas un elektroenerģijas ražošanu, pārskatā par gada darbību, pārskatā par rūpniecības produkcijas veidu ražošanu.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Valsts vides dienests saskaņā ar šo noteikumu 95.punktu aprēķinātās vai noteiktās operatora emisijas izmanto operatora dabas resursu nodokļa aprēķinam saskaņā ar Dabas resursu nodokļa likumu, ja operators nav iesniedzis informāciju saskaņā ar šo noteikumu 72.punktu un nav veicis emisijas kvotu nodošanu saskaņā ar normatīvajiem aktiem par darbībām ar emisijas kvotām.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operatora šo noteikumu 72.punktā minētais emisijas ziņojums nav apstiprināts šo noteikumu 76.punktā minētajā kārtībā līdz 31.martam: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98.1.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 1.aprīlī vai nākamajā darbadienā pēc 1.aprīļa informē valsts sabiedrību ar ierobežotu atbildību “Latvijas Vides, ģeoloģijas un meteoroloģijas centrs” (turpmāk – „Latvijas Vides, ģeoloģijas un meteoroloģijas centrs”), kura operatora iesniegtais emisiju ziņojums nav apstiprināts;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98.2.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„Latvijas Vides, ģeoloģijas un meteoroloģijas centrs”, pamatojoties uz pārvaldes šo noteikumu 98.1.apakšpunktā minēto informāciju, nekavējoties bloķē šī operatora kontu emisiju reģistrā.</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99.</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Pārvalde vienas darbadienas laikā informē „Latvijas Vides, ģeoloģijas un meteoroloģijas centru” par pieņemto lēmumu apstiprināt šo noteikumu 98.1.apakšpunktā minētā operatora iesniegto emisiju ziņojumu, un „Latvijas Vides, ģeoloģijas un meteoroloģijas centrs” vienas darbadienas laikā pēc šīs informācijas saņemšanas emisiju reģistrā atbloķē šo noteikumu 98.2.apakšpunktā minēto bloķēto operatora kontu. </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6. Informācijas apmaiņa un publicēšana</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100.</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Valsts vides dienests katru gadu līdz 31.martam: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100.1.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publicē savā tīmekļa vietnē operatora iesniegto emisiju ziņojumu un verifikācijas ziņojumu, kā arī pārvaldes apstiprinājumu vai noraidījumu, nodrošinot, ka netiek publicēta informācija, kuru operators sagatavotajā emisiju ziņojumā ir norādījis kā ierobežotas pieejamības informāciju;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100.2.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nosūta „Latvijas Vides, ģeoloģijas un meteoroloģijas centram” šo noteikumu 76. un 79.punktā minētos apstiprinātos emisiju ziņojumus.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Ja pārvalde saskaņā ar šo noteikumu 76. un 79.punktu ir apstiprinājusi operatora iesniegto informāciju vēlāk par 31.martu, tad šo noteikumu 100.1.apakšpunktā minētā informācija tiek publicēta Valsts vides dienesta tīmekļa vietnē vienas darbadienas laikā pēc lēmuma pieņemšanas.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Valsts vides dienests savā tīmekļa vietnē ievieto:</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601/2012 ietvaros izstrādātās veidlapas un vadlīniju dokumentus;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Komisijas regulas Nr. 600/2012 ietvaros izstrādātās veidlapas un vadlīniju dokumentus;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2.pielikumā doto iesnieguma atļaujas saņemšanai veidlapu;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102.4.</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3.pielikumā doto atļaujas veidlapu;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102.5.</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4.pielikumā doto emisiju ziņojuma veidlapu;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102.6.</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visas operatoriem izsniegtās atļaujas un tajā iekļautos monitoringa nosacījumus;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102.7.</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pārvaldes lēmumus par atļauju grozījumiem, par atteikumu izsniegt atļauju, par atļaujas atcelšanu, nodrošinot, ka netiek publicēta informācija, kuru pārvalde ir atzinusi par klasificē</w:t>
      </w:r>
      <w:r w:rsidR="00D4253D">
        <w:rPr>
          <w:rFonts w:ascii="Times New Roman" w:hAnsi="Times New Roman"/>
          <w:color w:val="000000"/>
          <w:sz w:val="28"/>
          <w:szCs w:val="28"/>
          <w:lang w:eastAsia="lv-LV"/>
        </w:rPr>
        <w:t>jamu kā ierobežotas pieejamības;</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102.8.</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šo noteikumu 1.pielikuma 31.punktā minēto laboratoriju sarakstu, kuras nav akreditētas saskaņā ar standartu LVS EN ISO/IEC 17025:2005, kurās veiktās analīzes ir atzīstamas likuma „Par piesārņojumu” 2.pielikuma darbību monitoringam un ziņošanai nepieciešamo datu noteikšanai.</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Noslēguma jautājumi</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Atzīt par spēku zaudējušiem Ministru kabineta 2004.gada 22.aprīļa noteikumus Nr. 400 „Siltumnīcefekta gāzu emisijas atļaujas pieteikšanas un izsniegšanas kārtība” („Latvijas Vēstnesis”, 2004, 69. nr., 2005., 124. nr.).</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10</w:t>
      </w:r>
      <w:r w:rsidR="00FD63CD">
        <w:rPr>
          <w:rFonts w:ascii="Times New Roman" w:hAnsi="Times New Roman"/>
          <w:color w:val="000000"/>
          <w:sz w:val="28"/>
          <w:szCs w:val="28"/>
          <w:lang w:eastAsia="lv-LV"/>
        </w:rPr>
        <w:t>4</w:t>
      </w:r>
      <w:r w:rsidRPr="00D2133F">
        <w:rPr>
          <w:rFonts w:ascii="Times New Roman" w:hAnsi="Times New Roman"/>
          <w:color w:val="000000"/>
          <w:sz w:val="28"/>
          <w:szCs w:val="28"/>
          <w:lang w:eastAsia="lv-LV"/>
        </w:rPr>
        <w:t>.</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 xml:space="preserve">Atzīt par spēku zaudējušiem Ministru kabineta 2004.gada 7.septembra noteikumus Nr. 778 „Kārtība, kādā tiek veikts siltumnīcefekta gāzu emisiju monitorings, kā arī pārbaudīti un apstiprināti ikgadējie pārskati par siltumnīcefekta gāzu emisiju” („Latvijas Vēstnesis”, </w:t>
      </w:r>
      <w:r w:rsidR="00D4253D">
        <w:rPr>
          <w:rFonts w:ascii="Times New Roman" w:hAnsi="Times New Roman"/>
          <w:color w:val="000000"/>
          <w:sz w:val="28"/>
          <w:szCs w:val="28"/>
          <w:lang w:eastAsia="lv-LV"/>
        </w:rPr>
        <w:t>2004, 144.nr.)</w:t>
      </w:r>
      <w:r w:rsidRPr="00D2133F">
        <w:rPr>
          <w:rFonts w:ascii="Times New Roman" w:hAnsi="Times New Roman"/>
          <w:color w:val="000000"/>
          <w:sz w:val="28"/>
          <w:szCs w:val="28"/>
          <w:lang w:eastAsia="lv-LV"/>
        </w:rPr>
        <w:t xml:space="preserve"> ar 2013.gada 1.jūliju.</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lastRenderedPageBreak/>
        <w:t>10</w:t>
      </w:r>
      <w:r w:rsidR="00FD63CD">
        <w:rPr>
          <w:rFonts w:ascii="Times New Roman" w:hAnsi="Times New Roman"/>
          <w:color w:val="000000"/>
          <w:sz w:val="28"/>
          <w:szCs w:val="28"/>
          <w:lang w:eastAsia="lv-LV"/>
        </w:rPr>
        <w:t>5</w:t>
      </w:r>
      <w:r w:rsidRPr="00D2133F">
        <w:rPr>
          <w:rFonts w:ascii="Times New Roman" w:hAnsi="Times New Roman"/>
          <w:color w:val="000000"/>
          <w:sz w:val="28"/>
          <w:szCs w:val="28"/>
          <w:lang w:eastAsia="lv-LV"/>
        </w:rPr>
        <w:t>.</w:t>
      </w:r>
      <w:r w:rsidR="00177E6A">
        <w:rPr>
          <w:rFonts w:ascii="Times New Roman" w:hAnsi="Times New Roman"/>
          <w:color w:val="000000"/>
          <w:sz w:val="28"/>
          <w:szCs w:val="28"/>
          <w:lang w:eastAsia="lv-LV"/>
        </w:rPr>
        <w:t xml:space="preserve"> </w:t>
      </w:r>
      <w:r w:rsidR="0071488F">
        <w:rPr>
          <w:rFonts w:ascii="Times New Roman" w:hAnsi="Times New Roman"/>
          <w:color w:val="000000"/>
          <w:sz w:val="28"/>
          <w:szCs w:val="28"/>
          <w:lang w:eastAsia="lv-LV"/>
        </w:rPr>
        <w:t xml:space="preserve">Šie noteikumi </w:t>
      </w:r>
      <w:r w:rsidR="0071488F" w:rsidRPr="0071488F">
        <w:rPr>
          <w:rFonts w:ascii="Times New Roman" w:hAnsi="Times New Roman"/>
          <w:color w:val="000000"/>
          <w:sz w:val="28"/>
          <w:szCs w:val="28"/>
          <w:lang w:eastAsia="lv-LV"/>
        </w:rPr>
        <w:t>attiec</w:t>
      </w:r>
      <w:r w:rsidR="0071488F">
        <w:rPr>
          <w:rFonts w:ascii="Times New Roman" w:hAnsi="Times New Roman"/>
          <w:color w:val="000000"/>
          <w:sz w:val="28"/>
          <w:szCs w:val="28"/>
          <w:lang w:eastAsia="lv-LV"/>
        </w:rPr>
        <w:t>as</w:t>
      </w:r>
      <w:r w:rsidR="0071488F" w:rsidRPr="0071488F">
        <w:rPr>
          <w:rFonts w:ascii="Times New Roman" w:hAnsi="Times New Roman"/>
          <w:color w:val="000000"/>
          <w:sz w:val="28"/>
          <w:szCs w:val="28"/>
          <w:lang w:eastAsia="lv-LV"/>
        </w:rPr>
        <w:t xml:space="preserve"> uz </w:t>
      </w:r>
      <w:r w:rsidR="0035615A" w:rsidRPr="0071488F">
        <w:rPr>
          <w:rFonts w:ascii="Times New Roman" w:hAnsi="Times New Roman"/>
          <w:color w:val="000000"/>
          <w:sz w:val="28"/>
          <w:szCs w:val="28"/>
          <w:lang w:eastAsia="lv-LV"/>
        </w:rPr>
        <w:t>darbībām</w:t>
      </w:r>
      <w:r w:rsidR="0035615A">
        <w:rPr>
          <w:rFonts w:ascii="Times New Roman" w:hAnsi="Times New Roman"/>
          <w:color w:val="000000"/>
          <w:sz w:val="28"/>
          <w:szCs w:val="28"/>
          <w:lang w:eastAsia="lv-LV"/>
        </w:rPr>
        <w:t>, kas tiek veiktas iekārtās</w:t>
      </w:r>
      <w:r w:rsidR="0071488F" w:rsidRPr="0071488F">
        <w:rPr>
          <w:rFonts w:ascii="Times New Roman" w:hAnsi="Times New Roman"/>
          <w:color w:val="000000"/>
          <w:sz w:val="28"/>
          <w:szCs w:val="28"/>
          <w:lang w:eastAsia="lv-LV"/>
        </w:rPr>
        <w:t xml:space="preserve"> sākot ar 2013.gada 1.janvāri</w:t>
      </w:r>
      <w:r w:rsidRPr="00D2133F">
        <w:rPr>
          <w:rFonts w:ascii="Times New Roman" w:hAnsi="Times New Roman"/>
          <w:color w:val="000000"/>
          <w:sz w:val="28"/>
          <w:szCs w:val="28"/>
          <w:lang w:eastAsia="lv-LV"/>
        </w:rPr>
        <w:t>.</w:t>
      </w:r>
    </w:p>
    <w:p w:rsidR="00D2133F" w:rsidRPr="00D2133F" w:rsidRDefault="00D2133F" w:rsidP="00D2133F">
      <w:pPr>
        <w:shd w:val="clear" w:color="auto" w:fill="FFFFFF"/>
        <w:spacing w:before="120"/>
        <w:jc w:val="center"/>
        <w:rPr>
          <w:rFonts w:ascii="Times New Roman" w:hAnsi="Times New Roman"/>
          <w:b/>
          <w:color w:val="000000"/>
          <w:sz w:val="28"/>
          <w:szCs w:val="28"/>
          <w:lang w:eastAsia="lv-LV"/>
        </w:rPr>
      </w:pPr>
      <w:r w:rsidRPr="00D2133F">
        <w:rPr>
          <w:rFonts w:ascii="Times New Roman" w:hAnsi="Times New Roman"/>
          <w:b/>
          <w:color w:val="000000"/>
          <w:sz w:val="28"/>
          <w:szCs w:val="28"/>
          <w:lang w:eastAsia="lv-LV"/>
        </w:rPr>
        <w:t>Informatīva atsauce uz Eiropas Savienības direktīvām</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Noteikumos iekļautas tiesību normas, kas izriet no:</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1.</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Parlamenta un Padomes 2003.gada 13.oktobra Direktīvas 2003/87/EK, ar kuru nosaka siltumnīcefekta gāzu emisijas kvotu tirdzniecības sistēmas izveidi Kopienā un groza Padomes Direktīvu 96/61/EK;</w:t>
      </w:r>
    </w:p>
    <w:p w:rsidR="00D2133F"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2.</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Parlamenta un Padomes 2008.gada 19.novembra Direktīvas 2008/101/EK, ar ko groza Direktīvu 2003/87/EK, lai aviācijas darbības iekļautu Kopienas siltumnīcas efektu izraisošo gāzu emisijas kvotu tirdzniecības sistēmā;</w:t>
      </w:r>
    </w:p>
    <w:p w:rsidR="00E306EE" w:rsidRPr="00D2133F" w:rsidRDefault="00D2133F" w:rsidP="00D2133F">
      <w:pPr>
        <w:shd w:val="clear" w:color="auto" w:fill="FFFFFF"/>
        <w:spacing w:before="120"/>
        <w:rPr>
          <w:rFonts w:ascii="Times New Roman" w:hAnsi="Times New Roman"/>
          <w:color w:val="000000"/>
          <w:sz w:val="28"/>
          <w:szCs w:val="28"/>
          <w:lang w:eastAsia="lv-LV"/>
        </w:rPr>
      </w:pPr>
      <w:r w:rsidRPr="00D2133F">
        <w:rPr>
          <w:rFonts w:ascii="Times New Roman" w:hAnsi="Times New Roman"/>
          <w:color w:val="000000"/>
          <w:sz w:val="28"/>
          <w:szCs w:val="28"/>
          <w:lang w:eastAsia="lv-LV"/>
        </w:rPr>
        <w:t>3.</w:t>
      </w:r>
      <w:r w:rsidR="00177E6A">
        <w:rPr>
          <w:rFonts w:ascii="Times New Roman" w:hAnsi="Times New Roman"/>
          <w:color w:val="000000"/>
          <w:sz w:val="28"/>
          <w:szCs w:val="28"/>
          <w:lang w:eastAsia="lv-LV"/>
        </w:rPr>
        <w:t xml:space="preserve"> </w:t>
      </w:r>
      <w:r w:rsidRPr="00D2133F">
        <w:rPr>
          <w:rFonts w:ascii="Times New Roman" w:hAnsi="Times New Roman"/>
          <w:color w:val="000000"/>
          <w:sz w:val="28"/>
          <w:szCs w:val="28"/>
          <w:lang w:eastAsia="lv-LV"/>
        </w:rPr>
        <w:t>Eiropas Parlamenta un Padomes 2009.gada 23.aprīļa Direktīvas 2009/29/EK, ar ko Direktīvu 2003/87/EK groza, lai uzlabotu un paplašinātu Kopienas siltumnīcas efektu izraisošo gāzu emisiju kvotu tirdzniecības sistēmu.</w:t>
      </w:r>
    </w:p>
    <w:p w:rsidR="00E306EE" w:rsidRDefault="00E306EE" w:rsidP="00943007">
      <w:pPr>
        <w:shd w:val="clear" w:color="auto" w:fill="FFFFFF"/>
        <w:spacing w:before="120"/>
        <w:jc w:val="right"/>
        <w:rPr>
          <w:rFonts w:ascii="Times New Roman" w:hAnsi="Times New Roman"/>
          <w:color w:val="000000"/>
          <w:sz w:val="24"/>
          <w:szCs w:val="24"/>
          <w:lang w:eastAsia="lv-LV"/>
        </w:rPr>
      </w:pPr>
    </w:p>
    <w:p w:rsidR="00E306EE" w:rsidRDefault="00E306EE" w:rsidP="00943007">
      <w:pPr>
        <w:shd w:val="clear" w:color="auto" w:fill="FFFFFF"/>
        <w:spacing w:before="120"/>
        <w:jc w:val="right"/>
        <w:rPr>
          <w:rFonts w:ascii="Times New Roman" w:hAnsi="Times New Roman"/>
          <w:color w:val="000000"/>
          <w:sz w:val="24"/>
          <w:szCs w:val="24"/>
          <w:lang w:eastAsia="lv-LV"/>
        </w:rPr>
      </w:pPr>
    </w:p>
    <w:p w:rsidR="00E306EE" w:rsidRDefault="00E306EE" w:rsidP="00943007">
      <w:pPr>
        <w:shd w:val="clear" w:color="auto" w:fill="FFFFFF"/>
        <w:spacing w:before="120"/>
        <w:jc w:val="right"/>
        <w:rPr>
          <w:rFonts w:ascii="Times New Roman" w:hAnsi="Times New Roman"/>
          <w:color w:val="000000"/>
          <w:sz w:val="24"/>
          <w:szCs w:val="24"/>
          <w:lang w:eastAsia="lv-LV"/>
        </w:rPr>
      </w:pPr>
    </w:p>
    <w:p w:rsidR="00E306EE" w:rsidRPr="00943007" w:rsidRDefault="00E306EE" w:rsidP="00F772F3">
      <w:pPr>
        <w:shd w:val="clear" w:color="auto" w:fill="FFFFFF"/>
        <w:tabs>
          <w:tab w:val="left" w:pos="7230"/>
        </w:tabs>
        <w:spacing w:before="12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Ministru prezidents</w:t>
      </w:r>
      <w:r>
        <w:rPr>
          <w:rFonts w:ascii="Times New Roman" w:hAnsi="Times New Roman"/>
          <w:color w:val="000000"/>
          <w:sz w:val="28"/>
          <w:szCs w:val="28"/>
          <w:lang w:eastAsia="lv-LV"/>
        </w:rPr>
        <w:tab/>
      </w:r>
      <w:r w:rsidRPr="00943007">
        <w:rPr>
          <w:rFonts w:ascii="Times New Roman" w:hAnsi="Times New Roman"/>
          <w:color w:val="000000"/>
          <w:sz w:val="28"/>
          <w:szCs w:val="28"/>
          <w:lang w:eastAsia="lv-LV"/>
        </w:rPr>
        <w:t xml:space="preserve">V.Dombrovskis </w:t>
      </w: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 xml:space="preserve">Vides aizsardzības un </w:t>
      </w:r>
    </w:p>
    <w:p w:rsidR="00E306EE" w:rsidRPr="00943007" w:rsidRDefault="00E306EE" w:rsidP="00F772F3">
      <w:pPr>
        <w:shd w:val="clear" w:color="auto" w:fill="FFFFFF"/>
        <w:tabs>
          <w:tab w:val="left" w:pos="7230"/>
        </w:tabs>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reģionālās attīstības ministrs</w:t>
      </w:r>
      <w:r w:rsidRPr="00943007">
        <w:rPr>
          <w:rFonts w:ascii="Times New Roman" w:hAnsi="Times New Roman"/>
          <w:color w:val="000000"/>
          <w:sz w:val="28"/>
          <w:szCs w:val="28"/>
          <w:lang w:eastAsia="lv-LV"/>
        </w:rPr>
        <w:tab/>
        <w:t>E.Sprūdžs</w:t>
      </w:r>
      <w:r w:rsidRPr="00943007">
        <w:rPr>
          <w:rFonts w:ascii="Times New Roman" w:hAnsi="Times New Roman"/>
          <w:color w:val="000000"/>
          <w:sz w:val="28"/>
          <w:szCs w:val="28"/>
          <w:lang w:eastAsia="lv-LV"/>
        </w:rPr>
        <w:tab/>
        <w:t xml:space="preserve"> </w:t>
      </w: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 xml:space="preserve">Iesniedzējs: </w:t>
      </w: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 xml:space="preserve">Vides aizsardzības un </w:t>
      </w:r>
    </w:p>
    <w:p w:rsidR="00E306EE" w:rsidRPr="00943007" w:rsidRDefault="00E306EE" w:rsidP="00F772F3">
      <w:pPr>
        <w:shd w:val="clear" w:color="auto" w:fill="FFFFFF"/>
        <w:tabs>
          <w:tab w:val="left" w:pos="7230"/>
        </w:tabs>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reģionālās attīstības ministrs</w:t>
      </w:r>
      <w:r w:rsidRPr="00943007">
        <w:rPr>
          <w:rFonts w:ascii="Times New Roman" w:hAnsi="Times New Roman"/>
          <w:color w:val="000000"/>
          <w:sz w:val="28"/>
          <w:szCs w:val="28"/>
          <w:lang w:eastAsia="lv-LV"/>
        </w:rPr>
        <w:tab/>
        <w:t>E.Sprūdžs</w:t>
      </w:r>
      <w:r w:rsidRPr="00943007">
        <w:rPr>
          <w:rFonts w:ascii="Times New Roman" w:hAnsi="Times New Roman"/>
          <w:color w:val="000000"/>
          <w:sz w:val="28"/>
          <w:szCs w:val="28"/>
          <w:lang w:eastAsia="lv-LV"/>
        </w:rPr>
        <w:tab/>
        <w:t xml:space="preserve"> </w:t>
      </w:r>
    </w:p>
    <w:p w:rsidR="00E306EE"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Vīza:</w:t>
      </w: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 xml:space="preserve">Vides aizsardzības un </w:t>
      </w: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r w:rsidRPr="00943007">
        <w:rPr>
          <w:rFonts w:ascii="Times New Roman" w:hAnsi="Times New Roman"/>
          <w:color w:val="000000"/>
          <w:sz w:val="28"/>
          <w:szCs w:val="28"/>
          <w:lang w:eastAsia="lv-LV"/>
        </w:rPr>
        <w:t>reģionālās attīstības ministrijas</w:t>
      </w:r>
    </w:p>
    <w:p w:rsidR="00E306EE" w:rsidRPr="00943007" w:rsidRDefault="00E306EE" w:rsidP="00F772F3">
      <w:pPr>
        <w:shd w:val="clear" w:color="auto" w:fill="FFFFFF"/>
        <w:tabs>
          <w:tab w:val="left" w:pos="7230"/>
        </w:tabs>
        <w:spacing w:after="0"/>
        <w:jc w:val="left"/>
        <w:rPr>
          <w:rFonts w:ascii="Times New Roman" w:hAnsi="Times New Roman"/>
          <w:color w:val="000000"/>
          <w:sz w:val="28"/>
          <w:szCs w:val="28"/>
          <w:lang w:eastAsia="lv-LV"/>
        </w:rPr>
      </w:pPr>
      <w:r>
        <w:rPr>
          <w:rFonts w:ascii="Times New Roman" w:hAnsi="Times New Roman"/>
          <w:color w:val="000000"/>
          <w:sz w:val="28"/>
          <w:szCs w:val="28"/>
          <w:lang w:eastAsia="lv-LV"/>
        </w:rPr>
        <w:t>v</w:t>
      </w:r>
      <w:r w:rsidRPr="00943007">
        <w:rPr>
          <w:rFonts w:ascii="Times New Roman" w:hAnsi="Times New Roman"/>
          <w:color w:val="000000"/>
          <w:sz w:val="28"/>
          <w:szCs w:val="28"/>
          <w:lang w:eastAsia="lv-LV"/>
        </w:rPr>
        <w:t>alsts sekretārs</w:t>
      </w:r>
      <w:r w:rsidRPr="00943007">
        <w:rPr>
          <w:rFonts w:ascii="Times New Roman" w:hAnsi="Times New Roman"/>
          <w:color w:val="000000"/>
          <w:sz w:val="28"/>
          <w:szCs w:val="28"/>
          <w:lang w:eastAsia="lv-LV"/>
        </w:rPr>
        <w:tab/>
      </w:r>
      <w:r>
        <w:rPr>
          <w:rFonts w:ascii="Times New Roman" w:hAnsi="Times New Roman"/>
          <w:color w:val="000000"/>
          <w:sz w:val="28"/>
          <w:szCs w:val="28"/>
          <w:lang w:eastAsia="lv-LV"/>
        </w:rPr>
        <w:t>A.Antonovs</w:t>
      </w: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943007" w:rsidRDefault="00E306EE" w:rsidP="00F75A8F">
      <w:pPr>
        <w:shd w:val="clear" w:color="auto" w:fill="FFFFFF"/>
        <w:spacing w:after="0"/>
        <w:jc w:val="left"/>
        <w:rPr>
          <w:rFonts w:ascii="Times New Roman" w:hAnsi="Times New Roman"/>
          <w:color w:val="000000"/>
          <w:sz w:val="28"/>
          <w:szCs w:val="28"/>
          <w:lang w:eastAsia="lv-LV"/>
        </w:rPr>
      </w:pPr>
    </w:p>
    <w:p w:rsidR="00E306EE" w:rsidRPr="00CD6491" w:rsidRDefault="00D02D85" w:rsidP="00F75A8F">
      <w:pPr>
        <w:shd w:val="clear" w:color="auto" w:fill="FFFFFF"/>
        <w:spacing w:after="0"/>
        <w:jc w:val="left"/>
        <w:rPr>
          <w:rFonts w:ascii="Times New Roman" w:hAnsi="Times New Roman"/>
          <w:color w:val="000000"/>
          <w:sz w:val="24"/>
          <w:szCs w:val="24"/>
          <w:lang w:eastAsia="lv-LV"/>
        </w:rPr>
      </w:pPr>
      <w:r w:rsidRPr="00CD6491">
        <w:rPr>
          <w:rFonts w:ascii="Times New Roman" w:hAnsi="Times New Roman"/>
          <w:color w:val="000000"/>
          <w:sz w:val="24"/>
          <w:szCs w:val="24"/>
          <w:lang w:eastAsia="lv-LV"/>
        </w:rPr>
        <w:fldChar w:fldCharType="begin"/>
      </w:r>
      <w:r w:rsidR="00E306EE" w:rsidRPr="00CD6491">
        <w:rPr>
          <w:rFonts w:ascii="Times New Roman" w:hAnsi="Times New Roman"/>
          <w:color w:val="000000"/>
          <w:sz w:val="24"/>
          <w:szCs w:val="24"/>
          <w:lang w:eastAsia="lv-LV"/>
        </w:rPr>
        <w:instrText xml:space="preserve"> DATE  \@ "yyyy.MM.dd. H:mm"  \* MERGEFORMAT </w:instrText>
      </w:r>
      <w:r w:rsidRPr="00CD6491">
        <w:rPr>
          <w:rFonts w:ascii="Times New Roman" w:hAnsi="Times New Roman"/>
          <w:color w:val="000000"/>
          <w:sz w:val="24"/>
          <w:szCs w:val="24"/>
          <w:lang w:eastAsia="lv-LV"/>
        </w:rPr>
        <w:fldChar w:fldCharType="separate"/>
      </w:r>
      <w:r w:rsidR="00070089">
        <w:rPr>
          <w:rFonts w:ascii="Times New Roman" w:hAnsi="Times New Roman"/>
          <w:noProof/>
          <w:color w:val="000000"/>
          <w:sz w:val="24"/>
          <w:szCs w:val="24"/>
          <w:lang w:eastAsia="lv-LV"/>
        </w:rPr>
        <w:t>2012.09.18. 8:52</w:t>
      </w:r>
      <w:r w:rsidRPr="00CD6491">
        <w:rPr>
          <w:rFonts w:ascii="Times New Roman" w:hAnsi="Times New Roman"/>
          <w:color w:val="000000"/>
          <w:sz w:val="24"/>
          <w:szCs w:val="24"/>
          <w:lang w:eastAsia="lv-LV"/>
        </w:rPr>
        <w:fldChar w:fldCharType="end"/>
      </w:r>
    </w:p>
    <w:p w:rsidR="00E306EE" w:rsidRPr="00CD6491" w:rsidRDefault="00D02D85" w:rsidP="00F75A8F">
      <w:pPr>
        <w:shd w:val="clear" w:color="auto" w:fill="FFFFFF"/>
        <w:spacing w:after="0"/>
        <w:jc w:val="left"/>
        <w:rPr>
          <w:rFonts w:ascii="Times New Roman" w:hAnsi="Times New Roman"/>
          <w:color w:val="000000"/>
          <w:sz w:val="24"/>
          <w:szCs w:val="24"/>
          <w:lang w:eastAsia="lv-LV"/>
        </w:rPr>
      </w:pPr>
      <w:fldSimple w:instr=" NUMWORDS   \* MERGEFORMAT ">
        <w:r w:rsidR="00E660F2" w:rsidRPr="00E660F2">
          <w:rPr>
            <w:rFonts w:ascii="Times New Roman" w:hAnsi="Times New Roman"/>
            <w:noProof/>
            <w:color w:val="000000"/>
            <w:sz w:val="24"/>
            <w:szCs w:val="24"/>
            <w:lang w:eastAsia="lv-LV"/>
          </w:rPr>
          <w:t>5531</w:t>
        </w:r>
      </w:fldSimple>
    </w:p>
    <w:p w:rsidR="00E306EE" w:rsidRPr="00CD6491" w:rsidRDefault="00E306EE" w:rsidP="00F75A8F">
      <w:pPr>
        <w:shd w:val="clear" w:color="auto" w:fill="FFFFFF"/>
        <w:spacing w:after="0"/>
        <w:jc w:val="left"/>
        <w:rPr>
          <w:rFonts w:ascii="Times New Roman" w:hAnsi="Times New Roman"/>
          <w:color w:val="000000"/>
          <w:sz w:val="24"/>
          <w:szCs w:val="24"/>
          <w:lang w:eastAsia="lv-LV"/>
        </w:rPr>
      </w:pPr>
      <w:r>
        <w:rPr>
          <w:rFonts w:ascii="Times New Roman" w:hAnsi="Times New Roman"/>
          <w:color w:val="000000"/>
          <w:sz w:val="24"/>
          <w:szCs w:val="24"/>
          <w:lang w:eastAsia="lv-LV"/>
        </w:rPr>
        <w:t>H. Rimša</w:t>
      </w:r>
      <w:r>
        <w:rPr>
          <w:rFonts w:ascii="Times New Roman" w:hAnsi="Times New Roman"/>
          <w:color w:val="000000"/>
          <w:sz w:val="24"/>
          <w:szCs w:val="24"/>
          <w:lang w:eastAsia="lv-LV"/>
        </w:rPr>
        <w:tab/>
      </w:r>
    </w:p>
    <w:p w:rsidR="00E306EE" w:rsidRPr="00CD6491" w:rsidRDefault="00E306EE" w:rsidP="00F75A8F">
      <w:pPr>
        <w:shd w:val="clear" w:color="auto" w:fill="FFFFFF"/>
        <w:spacing w:after="0"/>
        <w:jc w:val="left"/>
        <w:rPr>
          <w:rFonts w:ascii="Times New Roman" w:hAnsi="Times New Roman"/>
          <w:color w:val="000000"/>
          <w:sz w:val="24"/>
          <w:szCs w:val="24"/>
          <w:lang w:eastAsia="lv-LV"/>
        </w:rPr>
      </w:pPr>
      <w:r>
        <w:rPr>
          <w:rFonts w:ascii="Times New Roman" w:hAnsi="Times New Roman"/>
          <w:color w:val="000000"/>
          <w:sz w:val="24"/>
          <w:szCs w:val="24"/>
          <w:lang w:eastAsia="lv-LV"/>
        </w:rPr>
        <w:t xml:space="preserve">67026414, Helena.Rimsa@varam.gov.lv </w:t>
      </w:r>
    </w:p>
    <w:p w:rsidR="00E306EE" w:rsidRPr="00CD6491" w:rsidRDefault="00E306EE" w:rsidP="00F75A8F">
      <w:pPr>
        <w:shd w:val="clear" w:color="auto" w:fill="FFFFFF"/>
        <w:spacing w:after="0"/>
        <w:jc w:val="left"/>
        <w:rPr>
          <w:rFonts w:ascii="Times New Roman" w:hAnsi="Times New Roman"/>
          <w:color w:val="000000"/>
          <w:sz w:val="24"/>
          <w:szCs w:val="24"/>
          <w:lang w:eastAsia="lv-LV"/>
        </w:rPr>
      </w:pPr>
      <w:r>
        <w:rPr>
          <w:rFonts w:ascii="Times New Roman" w:hAnsi="Times New Roman"/>
          <w:color w:val="000000"/>
          <w:sz w:val="24"/>
          <w:szCs w:val="24"/>
          <w:lang w:eastAsia="lv-LV"/>
        </w:rPr>
        <w:t>Linda Leja</w:t>
      </w:r>
    </w:p>
    <w:p w:rsidR="00E306EE" w:rsidRDefault="00E306EE" w:rsidP="00CD6491">
      <w:pPr>
        <w:shd w:val="clear" w:color="auto" w:fill="FFFFFF"/>
        <w:spacing w:after="0"/>
        <w:jc w:val="left"/>
      </w:pPr>
      <w:r>
        <w:rPr>
          <w:rFonts w:ascii="Times New Roman" w:hAnsi="Times New Roman"/>
          <w:color w:val="000000"/>
          <w:sz w:val="24"/>
          <w:szCs w:val="24"/>
          <w:lang w:eastAsia="lv-LV"/>
        </w:rPr>
        <w:t>67026512, Linda.Le</w:t>
      </w:r>
      <w:bookmarkStart w:id="3" w:name="_GoBack"/>
      <w:bookmarkEnd w:id="3"/>
      <w:r>
        <w:rPr>
          <w:rFonts w:ascii="Times New Roman" w:hAnsi="Times New Roman"/>
          <w:color w:val="000000"/>
          <w:sz w:val="24"/>
          <w:szCs w:val="24"/>
          <w:lang w:eastAsia="lv-LV"/>
        </w:rPr>
        <w:t>ja@varam.gov.lv</w:t>
      </w:r>
      <w:bookmarkStart w:id="4" w:name="piel4"/>
      <w:bookmarkEnd w:id="4"/>
    </w:p>
    <w:sectPr w:rsidR="00E306EE" w:rsidSect="008B6BC9">
      <w:headerReference w:type="default" r:id="rId8"/>
      <w:footerReference w:type="default" r:id="rId9"/>
      <w:footerReference w:type="first" r:id="rId10"/>
      <w:pgSz w:w="11906" w:h="16838" w:code="9"/>
      <w:pgMar w:top="1418" w:right="1134" w:bottom="1134" w:left="1701" w:header="56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C61" w:rsidRDefault="00EA5C61" w:rsidP="00F75A8F">
      <w:pPr>
        <w:spacing w:after="0"/>
      </w:pPr>
      <w:r>
        <w:separator/>
      </w:r>
    </w:p>
  </w:endnote>
  <w:endnote w:type="continuationSeparator" w:id="0">
    <w:p w:rsidR="00EA5C61" w:rsidRDefault="00EA5C61" w:rsidP="00F75A8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Arial">
    <w:panose1 w:val="020B0604020202020204"/>
    <w:charset w:val="BA"/>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6EE" w:rsidRPr="00DB7FB3" w:rsidRDefault="00E306EE" w:rsidP="00CD5C90">
    <w:pPr>
      <w:pStyle w:val="Footer"/>
      <w:rPr>
        <w:rFonts w:ascii="Times New Roman" w:hAnsi="Times New Roman"/>
        <w:sz w:val="8"/>
        <w:szCs w:val="8"/>
      </w:rPr>
    </w:pPr>
  </w:p>
  <w:p w:rsidR="00E306EE" w:rsidRPr="00943007" w:rsidRDefault="00D02D85" w:rsidP="00567AF9">
    <w:pPr>
      <w:pStyle w:val="Footer"/>
      <w:rPr>
        <w:rFonts w:ascii="Times New Roman" w:hAnsi="Times New Roman"/>
      </w:rPr>
    </w:pPr>
    <w:fldSimple w:instr=" FILENAME   \* MERGEFORMAT ">
      <w:r w:rsidR="007875F6" w:rsidRPr="007875F6">
        <w:rPr>
          <w:rFonts w:ascii="Times New Roman" w:hAnsi="Times New Roman"/>
          <w:noProof/>
        </w:rPr>
        <w:t>VARAMNot_100912_IekETS</w:t>
      </w:r>
    </w:fldSimple>
    <w:r w:rsidR="00E306EE" w:rsidRPr="009251E8">
      <w:rPr>
        <w:rFonts w:ascii="Times New Roman" w:hAnsi="Times New Roman"/>
      </w:rPr>
      <w:t>; Ministru kabineta noteikumu projekts „</w:t>
    </w:r>
    <w:r w:rsidR="00E306EE" w:rsidRPr="00567AF9">
      <w:rPr>
        <w:rFonts w:ascii="Times New Roman" w:hAnsi="Times New Roman"/>
      </w:rPr>
      <w:t>Noteikumi par stacionāro tehnoloģisko iekārtu dalību Eiropas Savienības emisijas kvotu tirdzniecības sistēmā</w:t>
    </w:r>
    <w:r w:rsidR="00E306EE">
      <w:rPr>
        <w:rFonts w:ascii="Times New Roman" w:hAnsi="Times New Roman"/>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6EE" w:rsidRPr="00DB7FB3" w:rsidRDefault="00E306EE">
    <w:pPr>
      <w:pStyle w:val="Footer"/>
      <w:rPr>
        <w:rFonts w:ascii="Times New Roman" w:hAnsi="Times New Roman"/>
        <w:sz w:val="8"/>
        <w:szCs w:val="8"/>
      </w:rPr>
    </w:pPr>
  </w:p>
  <w:p w:rsidR="00E306EE" w:rsidRPr="001E6733" w:rsidRDefault="00D02D85">
    <w:pPr>
      <w:pStyle w:val="Footer"/>
      <w:rPr>
        <w:rFonts w:ascii="Times New Roman" w:hAnsi="Times New Roman"/>
      </w:rPr>
    </w:pPr>
    <w:fldSimple w:instr=" FILENAME   \* MERGEFORMAT ">
      <w:r w:rsidR="007875F6" w:rsidRPr="007875F6">
        <w:rPr>
          <w:rFonts w:ascii="Times New Roman" w:hAnsi="Times New Roman"/>
          <w:noProof/>
        </w:rPr>
        <w:t>VARAMNot_100912_IekETS</w:t>
      </w:r>
    </w:fldSimple>
    <w:r w:rsidR="00E306EE" w:rsidRPr="009251E8">
      <w:rPr>
        <w:rFonts w:ascii="Times New Roman" w:hAnsi="Times New Roman"/>
      </w:rPr>
      <w:t>; Ministru kabineta noteikumu projekts „</w:t>
    </w:r>
    <w:r w:rsidR="00E306EE" w:rsidRPr="00567AF9">
      <w:rPr>
        <w:rFonts w:ascii="Times New Roman" w:hAnsi="Times New Roman"/>
      </w:rPr>
      <w:t>Noteikumi par stacionāro tehnoloģisko iekārtu dalību Eiropas Savienības emisijas kvotu tirdzniecības sistēmā</w:t>
    </w:r>
    <w:r w:rsidR="00E306EE">
      <w:rPr>
        <w:rFonts w:ascii="Times New Roman" w:hAnsi="Times New Roman"/>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C61" w:rsidRDefault="00EA5C61" w:rsidP="00F75A8F">
      <w:pPr>
        <w:spacing w:after="0"/>
      </w:pPr>
      <w:r>
        <w:separator/>
      </w:r>
    </w:p>
  </w:footnote>
  <w:footnote w:type="continuationSeparator" w:id="0">
    <w:p w:rsidR="00EA5C61" w:rsidRDefault="00EA5C61" w:rsidP="00F75A8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6EE" w:rsidRPr="00943007" w:rsidRDefault="00D02D85">
    <w:pPr>
      <w:pStyle w:val="Header"/>
      <w:jc w:val="center"/>
      <w:rPr>
        <w:rFonts w:ascii="Times New Roman" w:hAnsi="Times New Roman"/>
      </w:rPr>
    </w:pPr>
    <w:r w:rsidRPr="00943007">
      <w:rPr>
        <w:rFonts w:ascii="Times New Roman" w:hAnsi="Times New Roman"/>
      </w:rPr>
      <w:fldChar w:fldCharType="begin"/>
    </w:r>
    <w:r w:rsidR="00E306EE" w:rsidRPr="00943007">
      <w:rPr>
        <w:rFonts w:ascii="Times New Roman" w:hAnsi="Times New Roman"/>
      </w:rPr>
      <w:instrText xml:space="preserve"> PAGE   \* MERGEFORMAT </w:instrText>
    </w:r>
    <w:r w:rsidRPr="00943007">
      <w:rPr>
        <w:rFonts w:ascii="Times New Roman" w:hAnsi="Times New Roman"/>
      </w:rPr>
      <w:fldChar w:fldCharType="separate"/>
    </w:r>
    <w:r w:rsidR="00070089">
      <w:rPr>
        <w:rFonts w:ascii="Times New Roman" w:hAnsi="Times New Roman"/>
        <w:noProof/>
      </w:rPr>
      <w:t>2</w:t>
    </w:r>
    <w:r w:rsidRPr="00943007">
      <w:rPr>
        <w:rFonts w:ascii="Times New Roman" w:hAnsi="Times New Roman"/>
      </w:rPr>
      <w:fldChar w:fldCharType="end"/>
    </w:r>
  </w:p>
  <w:p w:rsidR="00E306EE" w:rsidRDefault="00E306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18E8"/>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2465C6F"/>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D715D3A"/>
    <w:multiLevelType w:val="multilevel"/>
    <w:tmpl w:val="0426001F"/>
    <w:lvl w:ilvl="0">
      <w:start w:val="1"/>
      <w:numFmt w:val="decimal"/>
      <w:lvlText w:val="%1."/>
      <w:lvlJc w:val="left"/>
      <w:pPr>
        <w:ind w:left="1440" w:hanging="360"/>
      </w:pPr>
      <w:rPr>
        <w:rFonts w:cs="Times New Roman"/>
      </w:rPr>
    </w:lvl>
    <w:lvl w:ilvl="1">
      <w:start w:val="1"/>
      <w:numFmt w:val="decimal"/>
      <w:lvlText w:val="%1.%2."/>
      <w:lvlJc w:val="left"/>
      <w:pPr>
        <w:ind w:left="1872" w:hanging="432"/>
      </w:pPr>
      <w:rPr>
        <w:rFonts w:cs="Times New Roman"/>
      </w:rPr>
    </w:lvl>
    <w:lvl w:ilvl="2">
      <w:start w:val="1"/>
      <w:numFmt w:val="decimal"/>
      <w:lvlText w:val="%1.%2.%3."/>
      <w:lvlJc w:val="left"/>
      <w:pPr>
        <w:ind w:left="2304" w:hanging="504"/>
      </w:pPr>
      <w:rPr>
        <w:rFonts w:cs="Times New Roman"/>
      </w:rPr>
    </w:lvl>
    <w:lvl w:ilvl="3">
      <w:start w:val="1"/>
      <w:numFmt w:val="decimal"/>
      <w:lvlText w:val="%1.%2.%3.%4."/>
      <w:lvlJc w:val="left"/>
      <w:pPr>
        <w:ind w:left="2808" w:hanging="648"/>
      </w:pPr>
      <w:rPr>
        <w:rFonts w:cs="Times New Roman"/>
      </w:rPr>
    </w:lvl>
    <w:lvl w:ilvl="4">
      <w:start w:val="1"/>
      <w:numFmt w:val="decimal"/>
      <w:lvlText w:val="%1.%2.%3.%4.%5."/>
      <w:lvlJc w:val="left"/>
      <w:pPr>
        <w:ind w:left="3312" w:hanging="792"/>
      </w:pPr>
      <w:rPr>
        <w:rFonts w:cs="Times New Roman"/>
      </w:rPr>
    </w:lvl>
    <w:lvl w:ilvl="5">
      <w:start w:val="1"/>
      <w:numFmt w:val="decimal"/>
      <w:lvlText w:val="%1.%2.%3.%4.%5.%6."/>
      <w:lvlJc w:val="left"/>
      <w:pPr>
        <w:ind w:left="3816" w:hanging="936"/>
      </w:pPr>
      <w:rPr>
        <w:rFonts w:cs="Times New Roman"/>
      </w:rPr>
    </w:lvl>
    <w:lvl w:ilvl="6">
      <w:start w:val="1"/>
      <w:numFmt w:val="decimal"/>
      <w:lvlText w:val="%1.%2.%3.%4.%5.%6.%7."/>
      <w:lvlJc w:val="left"/>
      <w:pPr>
        <w:ind w:left="4320" w:hanging="1080"/>
      </w:pPr>
      <w:rPr>
        <w:rFonts w:cs="Times New Roman"/>
      </w:rPr>
    </w:lvl>
    <w:lvl w:ilvl="7">
      <w:start w:val="1"/>
      <w:numFmt w:val="decimal"/>
      <w:lvlText w:val="%1.%2.%3.%4.%5.%6.%7.%8."/>
      <w:lvlJc w:val="left"/>
      <w:pPr>
        <w:ind w:left="4824" w:hanging="1224"/>
      </w:pPr>
      <w:rPr>
        <w:rFonts w:cs="Times New Roman"/>
      </w:rPr>
    </w:lvl>
    <w:lvl w:ilvl="8">
      <w:start w:val="1"/>
      <w:numFmt w:val="decimal"/>
      <w:lvlText w:val="%1.%2.%3.%4.%5.%6.%7.%8.%9."/>
      <w:lvlJc w:val="left"/>
      <w:pPr>
        <w:ind w:left="5400" w:hanging="1440"/>
      </w:pPr>
      <w:rPr>
        <w:rFonts w:cs="Times New Roman"/>
      </w:rPr>
    </w:lvl>
  </w:abstractNum>
  <w:abstractNum w:abstractNumId="3">
    <w:nsid w:val="0E2713F1"/>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C6452C8"/>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CD8546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7AE665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5B10F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D8D3018"/>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5535D7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E6C57C7"/>
    <w:multiLevelType w:val="hybridMultilevel"/>
    <w:tmpl w:val="E2DA5A9A"/>
    <w:lvl w:ilvl="0" w:tplc="B5DA1C24">
      <w:start w:val="29"/>
      <w:numFmt w:val="decimal"/>
      <w:lvlText w:val="%1."/>
      <w:lvlJc w:val="left"/>
      <w:pPr>
        <w:ind w:left="735" w:hanging="375"/>
      </w:pPr>
      <w:rPr>
        <w:rFonts w:cs="Times New Roman" w:hint="default"/>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4ED7534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54B62115"/>
    <w:multiLevelType w:val="multilevel"/>
    <w:tmpl w:val="EFBA3C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5C137CAE"/>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622449C6"/>
    <w:multiLevelType w:val="multilevel"/>
    <w:tmpl w:val="0426001F"/>
    <w:lvl w:ilvl="0">
      <w:start w:val="1"/>
      <w:numFmt w:val="decimal"/>
      <w:lvlText w:val="%1."/>
      <w:lvlJc w:val="left"/>
      <w:pPr>
        <w:ind w:left="1440" w:hanging="360"/>
      </w:pPr>
      <w:rPr>
        <w:rFonts w:cs="Times New Roman"/>
      </w:rPr>
    </w:lvl>
    <w:lvl w:ilvl="1">
      <w:start w:val="1"/>
      <w:numFmt w:val="decimal"/>
      <w:lvlText w:val="%1.%2."/>
      <w:lvlJc w:val="left"/>
      <w:pPr>
        <w:ind w:left="1872" w:hanging="432"/>
      </w:pPr>
      <w:rPr>
        <w:rFonts w:cs="Times New Roman"/>
      </w:rPr>
    </w:lvl>
    <w:lvl w:ilvl="2">
      <w:start w:val="1"/>
      <w:numFmt w:val="decimal"/>
      <w:lvlText w:val="%1.%2.%3."/>
      <w:lvlJc w:val="left"/>
      <w:pPr>
        <w:ind w:left="2304" w:hanging="504"/>
      </w:pPr>
      <w:rPr>
        <w:rFonts w:cs="Times New Roman"/>
      </w:rPr>
    </w:lvl>
    <w:lvl w:ilvl="3">
      <w:start w:val="1"/>
      <w:numFmt w:val="decimal"/>
      <w:lvlText w:val="%1.%2.%3.%4."/>
      <w:lvlJc w:val="left"/>
      <w:pPr>
        <w:ind w:left="2808" w:hanging="648"/>
      </w:pPr>
      <w:rPr>
        <w:rFonts w:cs="Times New Roman"/>
      </w:rPr>
    </w:lvl>
    <w:lvl w:ilvl="4">
      <w:start w:val="1"/>
      <w:numFmt w:val="decimal"/>
      <w:lvlText w:val="%1.%2.%3.%4.%5."/>
      <w:lvlJc w:val="left"/>
      <w:pPr>
        <w:ind w:left="3312" w:hanging="792"/>
      </w:pPr>
      <w:rPr>
        <w:rFonts w:cs="Times New Roman"/>
      </w:rPr>
    </w:lvl>
    <w:lvl w:ilvl="5">
      <w:start w:val="1"/>
      <w:numFmt w:val="decimal"/>
      <w:lvlText w:val="%1.%2.%3.%4.%5.%6."/>
      <w:lvlJc w:val="left"/>
      <w:pPr>
        <w:ind w:left="3816" w:hanging="936"/>
      </w:pPr>
      <w:rPr>
        <w:rFonts w:cs="Times New Roman"/>
      </w:rPr>
    </w:lvl>
    <w:lvl w:ilvl="6">
      <w:start w:val="1"/>
      <w:numFmt w:val="decimal"/>
      <w:lvlText w:val="%1.%2.%3.%4.%5.%6.%7."/>
      <w:lvlJc w:val="left"/>
      <w:pPr>
        <w:ind w:left="4320" w:hanging="1080"/>
      </w:pPr>
      <w:rPr>
        <w:rFonts w:cs="Times New Roman"/>
      </w:rPr>
    </w:lvl>
    <w:lvl w:ilvl="7">
      <w:start w:val="1"/>
      <w:numFmt w:val="decimal"/>
      <w:lvlText w:val="%1.%2.%3.%4.%5.%6.%7.%8."/>
      <w:lvlJc w:val="left"/>
      <w:pPr>
        <w:ind w:left="4824" w:hanging="1224"/>
      </w:pPr>
      <w:rPr>
        <w:rFonts w:cs="Times New Roman"/>
      </w:rPr>
    </w:lvl>
    <w:lvl w:ilvl="8">
      <w:start w:val="1"/>
      <w:numFmt w:val="decimal"/>
      <w:lvlText w:val="%1.%2.%3.%4.%5.%6.%7.%8.%9."/>
      <w:lvlJc w:val="left"/>
      <w:pPr>
        <w:ind w:left="5400" w:hanging="1440"/>
      </w:pPr>
      <w:rPr>
        <w:rFonts w:cs="Times New Roman"/>
      </w:rPr>
    </w:lvl>
  </w:abstractNum>
  <w:abstractNum w:abstractNumId="15">
    <w:nsid w:val="6B835295"/>
    <w:multiLevelType w:val="hybridMultilevel"/>
    <w:tmpl w:val="BB926552"/>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6">
    <w:nsid w:val="7A182C11"/>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7A804921"/>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7DA044A0"/>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4"/>
  </w:num>
  <w:num w:numId="2">
    <w:abstractNumId w:val="12"/>
  </w:num>
  <w:num w:numId="3">
    <w:abstractNumId w:val="0"/>
  </w:num>
  <w:num w:numId="4">
    <w:abstractNumId w:val="10"/>
  </w:num>
  <w:num w:numId="5">
    <w:abstractNumId w:val="16"/>
  </w:num>
  <w:num w:numId="6">
    <w:abstractNumId w:val="1"/>
  </w:num>
  <w:num w:numId="7">
    <w:abstractNumId w:val="7"/>
  </w:num>
  <w:num w:numId="8">
    <w:abstractNumId w:val="4"/>
  </w:num>
  <w:num w:numId="9">
    <w:abstractNumId w:val="3"/>
  </w:num>
  <w:num w:numId="10">
    <w:abstractNumId w:val="8"/>
  </w:num>
  <w:num w:numId="11">
    <w:abstractNumId w:val="13"/>
  </w:num>
  <w:num w:numId="12">
    <w:abstractNumId w:val="9"/>
  </w:num>
  <w:num w:numId="13">
    <w:abstractNumId w:val="11"/>
  </w:num>
  <w:num w:numId="14">
    <w:abstractNumId w:val="15"/>
  </w:num>
  <w:num w:numId="15">
    <w:abstractNumId w:val="6"/>
  </w:num>
  <w:num w:numId="16">
    <w:abstractNumId w:val="2"/>
  </w:num>
  <w:num w:numId="17">
    <w:abstractNumId w:val="5"/>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438F0"/>
    <w:rsid w:val="000001BA"/>
    <w:rsid w:val="00000A8C"/>
    <w:rsid w:val="000035DC"/>
    <w:rsid w:val="000053FA"/>
    <w:rsid w:val="00014E52"/>
    <w:rsid w:val="00015A73"/>
    <w:rsid w:val="000216D6"/>
    <w:rsid w:val="00025CA3"/>
    <w:rsid w:val="0002755B"/>
    <w:rsid w:val="0003108F"/>
    <w:rsid w:val="000342F1"/>
    <w:rsid w:val="000425E0"/>
    <w:rsid w:val="00043304"/>
    <w:rsid w:val="0004538C"/>
    <w:rsid w:val="00047314"/>
    <w:rsid w:val="00047600"/>
    <w:rsid w:val="00047BAC"/>
    <w:rsid w:val="00052C90"/>
    <w:rsid w:val="00053D31"/>
    <w:rsid w:val="00062EB6"/>
    <w:rsid w:val="00066054"/>
    <w:rsid w:val="000662DF"/>
    <w:rsid w:val="00070089"/>
    <w:rsid w:val="000712BF"/>
    <w:rsid w:val="00073188"/>
    <w:rsid w:val="00073436"/>
    <w:rsid w:val="0007557D"/>
    <w:rsid w:val="00083C4D"/>
    <w:rsid w:val="00083E6E"/>
    <w:rsid w:val="0008600A"/>
    <w:rsid w:val="00090545"/>
    <w:rsid w:val="00091118"/>
    <w:rsid w:val="00092C05"/>
    <w:rsid w:val="000941A9"/>
    <w:rsid w:val="000951F7"/>
    <w:rsid w:val="000971F8"/>
    <w:rsid w:val="000A08E0"/>
    <w:rsid w:val="000A1CDF"/>
    <w:rsid w:val="000A2F12"/>
    <w:rsid w:val="000A72EF"/>
    <w:rsid w:val="000B4E29"/>
    <w:rsid w:val="000B548E"/>
    <w:rsid w:val="000B6A0D"/>
    <w:rsid w:val="000C1E5C"/>
    <w:rsid w:val="000C2F6F"/>
    <w:rsid w:val="000C3EF8"/>
    <w:rsid w:val="000C516C"/>
    <w:rsid w:val="000C6B13"/>
    <w:rsid w:val="000C6BBF"/>
    <w:rsid w:val="000C6C7B"/>
    <w:rsid w:val="000C76C8"/>
    <w:rsid w:val="000D4725"/>
    <w:rsid w:val="000D65A2"/>
    <w:rsid w:val="000E3D24"/>
    <w:rsid w:val="000E6DBF"/>
    <w:rsid w:val="000E6DC7"/>
    <w:rsid w:val="000F0935"/>
    <w:rsid w:val="000F1C07"/>
    <w:rsid w:val="000F1DD4"/>
    <w:rsid w:val="000F2446"/>
    <w:rsid w:val="00101323"/>
    <w:rsid w:val="001132EA"/>
    <w:rsid w:val="00113B73"/>
    <w:rsid w:val="00117832"/>
    <w:rsid w:val="00120DB2"/>
    <w:rsid w:val="00122A2E"/>
    <w:rsid w:val="00123D61"/>
    <w:rsid w:val="001254EE"/>
    <w:rsid w:val="00126209"/>
    <w:rsid w:val="00127729"/>
    <w:rsid w:val="00131283"/>
    <w:rsid w:val="001336A8"/>
    <w:rsid w:val="0013446A"/>
    <w:rsid w:val="00136351"/>
    <w:rsid w:val="00136945"/>
    <w:rsid w:val="00141D4F"/>
    <w:rsid w:val="00143336"/>
    <w:rsid w:val="00155F08"/>
    <w:rsid w:val="001616B9"/>
    <w:rsid w:val="0016239F"/>
    <w:rsid w:val="00163967"/>
    <w:rsid w:val="001649B2"/>
    <w:rsid w:val="0017064F"/>
    <w:rsid w:val="00176206"/>
    <w:rsid w:val="00177E6A"/>
    <w:rsid w:val="00183DA7"/>
    <w:rsid w:val="00185190"/>
    <w:rsid w:val="00186AD2"/>
    <w:rsid w:val="00190531"/>
    <w:rsid w:val="00190ED1"/>
    <w:rsid w:val="00193042"/>
    <w:rsid w:val="00193A1A"/>
    <w:rsid w:val="001A2429"/>
    <w:rsid w:val="001A3843"/>
    <w:rsid w:val="001B3EB7"/>
    <w:rsid w:val="001B722A"/>
    <w:rsid w:val="001C49B5"/>
    <w:rsid w:val="001C4B20"/>
    <w:rsid w:val="001C5D34"/>
    <w:rsid w:val="001D032D"/>
    <w:rsid w:val="001D0929"/>
    <w:rsid w:val="001D1025"/>
    <w:rsid w:val="001D33ED"/>
    <w:rsid w:val="001D501F"/>
    <w:rsid w:val="001D5FFA"/>
    <w:rsid w:val="001D7281"/>
    <w:rsid w:val="001E3E01"/>
    <w:rsid w:val="001E4099"/>
    <w:rsid w:val="001E535E"/>
    <w:rsid w:val="001E6733"/>
    <w:rsid w:val="001E6D3E"/>
    <w:rsid w:val="001F2881"/>
    <w:rsid w:val="001F30CB"/>
    <w:rsid w:val="001F3AA5"/>
    <w:rsid w:val="001F52FD"/>
    <w:rsid w:val="00212A19"/>
    <w:rsid w:val="002135D1"/>
    <w:rsid w:val="002164BA"/>
    <w:rsid w:val="00226857"/>
    <w:rsid w:val="00226B9B"/>
    <w:rsid w:val="002300C3"/>
    <w:rsid w:val="0023171D"/>
    <w:rsid w:val="002327DE"/>
    <w:rsid w:val="00232E71"/>
    <w:rsid w:val="00234D54"/>
    <w:rsid w:val="002368B3"/>
    <w:rsid w:val="00236DC1"/>
    <w:rsid w:val="00240D13"/>
    <w:rsid w:val="002457A7"/>
    <w:rsid w:val="00250DC3"/>
    <w:rsid w:val="002529CC"/>
    <w:rsid w:val="002536D4"/>
    <w:rsid w:val="00257A89"/>
    <w:rsid w:val="00257CF7"/>
    <w:rsid w:val="002604B7"/>
    <w:rsid w:val="0026249D"/>
    <w:rsid w:val="002706AA"/>
    <w:rsid w:val="002726A5"/>
    <w:rsid w:val="002734B6"/>
    <w:rsid w:val="002747E0"/>
    <w:rsid w:val="00274BA5"/>
    <w:rsid w:val="00280FFF"/>
    <w:rsid w:val="00284847"/>
    <w:rsid w:val="002873E5"/>
    <w:rsid w:val="002874D1"/>
    <w:rsid w:val="00287576"/>
    <w:rsid w:val="00287FF5"/>
    <w:rsid w:val="002912FD"/>
    <w:rsid w:val="002967AD"/>
    <w:rsid w:val="00296826"/>
    <w:rsid w:val="0029685B"/>
    <w:rsid w:val="002A06B5"/>
    <w:rsid w:val="002A2E8F"/>
    <w:rsid w:val="002A48D5"/>
    <w:rsid w:val="002A61C5"/>
    <w:rsid w:val="002B4924"/>
    <w:rsid w:val="002B591F"/>
    <w:rsid w:val="002B74E9"/>
    <w:rsid w:val="002C3198"/>
    <w:rsid w:val="002C380E"/>
    <w:rsid w:val="002C51C9"/>
    <w:rsid w:val="002C736C"/>
    <w:rsid w:val="002D1A70"/>
    <w:rsid w:val="002D203C"/>
    <w:rsid w:val="002D6894"/>
    <w:rsid w:val="002D6B20"/>
    <w:rsid w:val="002D6DE4"/>
    <w:rsid w:val="002D7AFB"/>
    <w:rsid w:val="002E024C"/>
    <w:rsid w:val="002E48AF"/>
    <w:rsid w:val="002F3557"/>
    <w:rsid w:val="002F6F75"/>
    <w:rsid w:val="002F7F9D"/>
    <w:rsid w:val="0030414D"/>
    <w:rsid w:val="00304AC8"/>
    <w:rsid w:val="00305040"/>
    <w:rsid w:val="003058AE"/>
    <w:rsid w:val="00305A62"/>
    <w:rsid w:val="00311949"/>
    <w:rsid w:val="00315266"/>
    <w:rsid w:val="0032084F"/>
    <w:rsid w:val="0032453D"/>
    <w:rsid w:val="003252E9"/>
    <w:rsid w:val="00326EEF"/>
    <w:rsid w:val="003271D7"/>
    <w:rsid w:val="00330719"/>
    <w:rsid w:val="003307EA"/>
    <w:rsid w:val="00331254"/>
    <w:rsid w:val="00333E95"/>
    <w:rsid w:val="003462FD"/>
    <w:rsid w:val="0034797B"/>
    <w:rsid w:val="00350428"/>
    <w:rsid w:val="003511F5"/>
    <w:rsid w:val="00352CFF"/>
    <w:rsid w:val="003542EE"/>
    <w:rsid w:val="0035615A"/>
    <w:rsid w:val="0035716E"/>
    <w:rsid w:val="00357AED"/>
    <w:rsid w:val="00364BE0"/>
    <w:rsid w:val="0036508A"/>
    <w:rsid w:val="00365204"/>
    <w:rsid w:val="00371303"/>
    <w:rsid w:val="003759E4"/>
    <w:rsid w:val="00383791"/>
    <w:rsid w:val="003839BF"/>
    <w:rsid w:val="00385CFB"/>
    <w:rsid w:val="00387AF8"/>
    <w:rsid w:val="00391339"/>
    <w:rsid w:val="003915A8"/>
    <w:rsid w:val="003921BE"/>
    <w:rsid w:val="00392AC5"/>
    <w:rsid w:val="003963A6"/>
    <w:rsid w:val="003A45F8"/>
    <w:rsid w:val="003A5EAF"/>
    <w:rsid w:val="003A6C3D"/>
    <w:rsid w:val="003A73CC"/>
    <w:rsid w:val="003B12C9"/>
    <w:rsid w:val="003B2804"/>
    <w:rsid w:val="003B4560"/>
    <w:rsid w:val="003B7468"/>
    <w:rsid w:val="003C1731"/>
    <w:rsid w:val="003C287B"/>
    <w:rsid w:val="003C63B4"/>
    <w:rsid w:val="003D1700"/>
    <w:rsid w:val="003E1065"/>
    <w:rsid w:val="003E1A10"/>
    <w:rsid w:val="003F0A92"/>
    <w:rsid w:val="003F1583"/>
    <w:rsid w:val="003F2035"/>
    <w:rsid w:val="003F4B86"/>
    <w:rsid w:val="003F5499"/>
    <w:rsid w:val="003F64E9"/>
    <w:rsid w:val="004041A9"/>
    <w:rsid w:val="00405DF0"/>
    <w:rsid w:val="00407296"/>
    <w:rsid w:val="0040751E"/>
    <w:rsid w:val="0041081C"/>
    <w:rsid w:val="004140AA"/>
    <w:rsid w:val="00414BD1"/>
    <w:rsid w:val="00415641"/>
    <w:rsid w:val="00417100"/>
    <w:rsid w:val="004172B0"/>
    <w:rsid w:val="004202AB"/>
    <w:rsid w:val="00420DF2"/>
    <w:rsid w:val="004224F2"/>
    <w:rsid w:val="004236B2"/>
    <w:rsid w:val="00424CD7"/>
    <w:rsid w:val="00425A69"/>
    <w:rsid w:val="00431126"/>
    <w:rsid w:val="00433875"/>
    <w:rsid w:val="00435250"/>
    <w:rsid w:val="00437734"/>
    <w:rsid w:val="00443205"/>
    <w:rsid w:val="00445D0E"/>
    <w:rsid w:val="00450155"/>
    <w:rsid w:val="00450DD9"/>
    <w:rsid w:val="004521B8"/>
    <w:rsid w:val="0045453A"/>
    <w:rsid w:val="004564B6"/>
    <w:rsid w:val="00456F4B"/>
    <w:rsid w:val="00457F15"/>
    <w:rsid w:val="0046205E"/>
    <w:rsid w:val="004651B7"/>
    <w:rsid w:val="0047154E"/>
    <w:rsid w:val="00473C36"/>
    <w:rsid w:val="00474CE0"/>
    <w:rsid w:val="004751C5"/>
    <w:rsid w:val="0047654D"/>
    <w:rsid w:val="00477AE4"/>
    <w:rsid w:val="00487BC2"/>
    <w:rsid w:val="00490633"/>
    <w:rsid w:val="00490688"/>
    <w:rsid w:val="00491B63"/>
    <w:rsid w:val="00495421"/>
    <w:rsid w:val="00496944"/>
    <w:rsid w:val="00496B7E"/>
    <w:rsid w:val="00497E1D"/>
    <w:rsid w:val="004A1570"/>
    <w:rsid w:val="004A2C64"/>
    <w:rsid w:val="004A450F"/>
    <w:rsid w:val="004A68EB"/>
    <w:rsid w:val="004A7A7B"/>
    <w:rsid w:val="004B1FA4"/>
    <w:rsid w:val="004B297E"/>
    <w:rsid w:val="004B3BB8"/>
    <w:rsid w:val="004B46E6"/>
    <w:rsid w:val="004C3233"/>
    <w:rsid w:val="004C4BB5"/>
    <w:rsid w:val="004C6EC0"/>
    <w:rsid w:val="004D0478"/>
    <w:rsid w:val="004D622B"/>
    <w:rsid w:val="004D6A3B"/>
    <w:rsid w:val="004E2D86"/>
    <w:rsid w:val="004E6C17"/>
    <w:rsid w:val="004E713B"/>
    <w:rsid w:val="004F0255"/>
    <w:rsid w:val="004F0486"/>
    <w:rsid w:val="004F0F9C"/>
    <w:rsid w:val="004F307C"/>
    <w:rsid w:val="00500631"/>
    <w:rsid w:val="0050117A"/>
    <w:rsid w:val="005017A7"/>
    <w:rsid w:val="00505F2C"/>
    <w:rsid w:val="0051004E"/>
    <w:rsid w:val="00513F05"/>
    <w:rsid w:val="005149C7"/>
    <w:rsid w:val="00515293"/>
    <w:rsid w:val="005155BC"/>
    <w:rsid w:val="00516320"/>
    <w:rsid w:val="005376E3"/>
    <w:rsid w:val="00544EFF"/>
    <w:rsid w:val="00547612"/>
    <w:rsid w:val="005610DA"/>
    <w:rsid w:val="00564FA9"/>
    <w:rsid w:val="00567AF9"/>
    <w:rsid w:val="00567FD4"/>
    <w:rsid w:val="00575C62"/>
    <w:rsid w:val="0057614A"/>
    <w:rsid w:val="005764C7"/>
    <w:rsid w:val="005771C5"/>
    <w:rsid w:val="00584D52"/>
    <w:rsid w:val="005879B9"/>
    <w:rsid w:val="00587E37"/>
    <w:rsid w:val="005906DA"/>
    <w:rsid w:val="005908D4"/>
    <w:rsid w:val="00591C7E"/>
    <w:rsid w:val="005924D9"/>
    <w:rsid w:val="00594648"/>
    <w:rsid w:val="005A23CC"/>
    <w:rsid w:val="005A5C89"/>
    <w:rsid w:val="005B2AAF"/>
    <w:rsid w:val="005B3EA2"/>
    <w:rsid w:val="005B408A"/>
    <w:rsid w:val="005C4BED"/>
    <w:rsid w:val="005C4ED4"/>
    <w:rsid w:val="005C589C"/>
    <w:rsid w:val="005D021A"/>
    <w:rsid w:val="005E2AF9"/>
    <w:rsid w:val="005E7E01"/>
    <w:rsid w:val="005F0276"/>
    <w:rsid w:val="005F0995"/>
    <w:rsid w:val="005F16FA"/>
    <w:rsid w:val="005F4BAF"/>
    <w:rsid w:val="005F5871"/>
    <w:rsid w:val="005F71BB"/>
    <w:rsid w:val="00601A73"/>
    <w:rsid w:val="00606CEB"/>
    <w:rsid w:val="00607D14"/>
    <w:rsid w:val="006106FE"/>
    <w:rsid w:val="00611760"/>
    <w:rsid w:val="006173AC"/>
    <w:rsid w:val="006221AA"/>
    <w:rsid w:val="006306AD"/>
    <w:rsid w:val="006329DB"/>
    <w:rsid w:val="00632BAE"/>
    <w:rsid w:val="006332B8"/>
    <w:rsid w:val="00633AA2"/>
    <w:rsid w:val="00635227"/>
    <w:rsid w:val="00635336"/>
    <w:rsid w:val="0063693B"/>
    <w:rsid w:val="00637CD1"/>
    <w:rsid w:val="0064386A"/>
    <w:rsid w:val="00643A97"/>
    <w:rsid w:val="00643D27"/>
    <w:rsid w:val="00645ACE"/>
    <w:rsid w:val="0064620E"/>
    <w:rsid w:val="0064717D"/>
    <w:rsid w:val="006509B0"/>
    <w:rsid w:val="006514BF"/>
    <w:rsid w:val="006515B4"/>
    <w:rsid w:val="006533B1"/>
    <w:rsid w:val="00661B81"/>
    <w:rsid w:val="00670C39"/>
    <w:rsid w:val="00675AB6"/>
    <w:rsid w:val="00676114"/>
    <w:rsid w:val="006762B4"/>
    <w:rsid w:val="006852B2"/>
    <w:rsid w:val="006859E7"/>
    <w:rsid w:val="006866BA"/>
    <w:rsid w:val="006912A0"/>
    <w:rsid w:val="00694002"/>
    <w:rsid w:val="006A03D1"/>
    <w:rsid w:val="006A21F0"/>
    <w:rsid w:val="006A3433"/>
    <w:rsid w:val="006A44F7"/>
    <w:rsid w:val="006A4E32"/>
    <w:rsid w:val="006B001C"/>
    <w:rsid w:val="006B0EB9"/>
    <w:rsid w:val="006B3827"/>
    <w:rsid w:val="006C2A63"/>
    <w:rsid w:val="006C3DB1"/>
    <w:rsid w:val="006C498E"/>
    <w:rsid w:val="006C5D43"/>
    <w:rsid w:val="006D293B"/>
    <w:rsid w:val="006D2D7B"/>
    <w:rsid w:val="006D54A0"/>
    <w:rsid w:val="006E22D8"/>
    <w:rsid w:val="006E37D3"/>
    <w:rsid w:val="006E6D79"/>
    <w:rsid w:val="006F025B"/>
    <w:rsid w:val="006F725C"/>
    <w:rsid w:val="0070402A"/>
    <w:rsid w:val="0070547C"/>
    <w:rsid w:val="007060CB"/>
    <w:rsid w:val="007062EC"/>
    <w:rsid w:val="00706684"/>
    <w:rsid w:val="00706B56"/>
    <w:rsid w:val="0071013D"/>
    <w:rsid w:val="0071406E"/>
    <w:rsid w:val="0071488F"/>
    <w:rsid w:val="00715171"/>
    <w:rsid w:val="007223F6"/>
    <w:rsid w:val="00724A91"/>
    <w:rsid w:val="007263A7"/>
    <w:rsid w:val="00726F44"/>
    <w:rsid w:val="007273F0"/>
    <w:rsid w:val="00731B8A"/>
    <w:rsid w:val="00731BFA"/>
    <w:rsid w:val="00734E10"/>
    <w:rsid w:val="007377E5"/>
    <w:rsid w:val="0074323D"/>
    <w:rsid w:val="00746466"/>
    <w:rsid w:val="00756E89"/>
    <w:rsid w:val="00757AF4"/>
    <w:rsid w:val="007602C9"/>
    <w:rsid w:val="00764D6B"/>
    <w:rsid w:val="007660FF"/>
    <w:rsid w:val="007662F5"/>
    <w:rsid w:val="007708C8"/>
    <w:rsid w:val="0077473F"/>
    <w:rsid w:val="00782734"/>
    <w:rsid w:val="00784E40"/>
    <w:rsid w:val="007875F6"/>
    <w:rsid w:val="00787807"/>
    <w:rsid w:val="00791574"/>
    <w:rsid w:val="00792B17"/>
    <w:rsid w:val="00795860"/>
    <w:rsid w:val="007960AA"/>
    <w:rsid w:val="007963BB"/>
    <w:rsid w:val="007A11F1"/>
    <w:rsid w:val="007A1ACC"/>
    <w:rsid w:val="007A241A"/>
    <w:rsid w:val="007A2535"/>
    <w:rsid w:val="007A60CA"/>
    <w:rsid w:val="007A74B9"/>
    <w:rsid w:val="007A7F1E"/>
    <w:rsid w:val="007B16E4"/>
    <w:rsid w:val="007B403C"/>
    <w:rsid w:val="007B6554"/>
    <w:rsid w:val="007C09F4"/>
    <w:rsid w:val="007C2941"/>
    <w:rsid w:val="007C38E1"/>
    <w:rsid w:val="007D08A8"/>
    <w:rsid w:val="007D11CB"/>
    <w:rsid w:val="007D5B1E"/>
    <w:rsid w:val="007D7FFA"/>
    <w:rsid w:val="007E3F3C"/>
    <w:rsid w:val="007E48A7"/>
    <w:rsid w:val="007E5B97"/>
    <w:rsid w:val="007F3D71"/>
    <w:rsid w:val="007F480A"/>
    <w:rsid w:val="007F504D"/>
    <w:rsid w:val="007F7422"/>
    <w:rsid w:val="007F78D0"/>
    <w:rsid w:val="00800F5F"/>
    <w:rsid w:val="00801FDA"/>
    <w:rsid w:val="00803F23"/>
    <w:rsid w:val="00805149"/>
    <w:rsid w:val="00806470"/>
    <w:rsid w:val="00812EBD"/>
    <w:rsid w:val="00817456"/>
    <w:rsid w:val="00817AE9"/>
    <w:rsid w:val="00821AB7"/>
    <w:rsid w:val="00823027"/>
    <w:rsid w:val="00826D23"/>
    <w:rsid w:val="00827C0E"/>
    <w:rsid w:val="00827D58"/>
    <w:rsid w:val="00827F6F"/>
    <w:rsid w:val="008315F8"/>
    <w:rsid w:val="00836B66"/>
    <w:rsid w:val="008374BA"/>
    <w:rsid w:val="008379E8"/>
    <w:rsid w:val="00840C2F"/>
    <w:rsid w:val="0084124D"/>
    <w:rsid w:val="00842CEC"/>
    <w:rsid w:val="008438ED"/>
    <w:rsid w:val="00844EBA"/>
    <w:rsid w:val="008457D0"/>
    <w:rsid w:val="00845EE0"/>
    <w:rsid w:val="00847CF8"/>
    <w:rsid w:val="0085038C"/>
    <w:rsid w:val="00850B94"/>
    <w:rsid w:val="00852C5D"/>
    <w:rsid w:val="00857AD1"/>
    <w:rsid w:val="00857FDE"/>
    <w:rsid w:val="00860286"/>
    <w:rsid w:val="00862263"/>
    <w:rsid w:val="00865676"/>
    <w:rsid w:val="00865991"/>
    <w:rsid w:val="00866B8F"/>
    <w:rsid w:val="00873E55"/>
    <w:rsid w:val="00877408"/>
    <w:rsid w:val="0088646F"/>
    <w:rsid w:val="008878F2"/>
    <w:rsid w:val="00887A50"/>
    <w:rsid w:val="00896B7F"/>
    <w:rsid w:val="00896DC3"/>
    <w:rsid w:val="008A0C83"/>
    <w:rsid w:val="008A153B"/>
    <w:rsid w:val="008A4D48"/>
    <w:rsid w:val="008A7E0A"/>
    <w:rsid w:val="008B0012"/>
    <w:rsid w:val="008B1371"/>
    <w:rsid w:val="008B1D40"/>
    <w:rsid w:val="008B1EF0"/>
    <w:rsid w:val="008B2F84"/>
    <w:rsid w:val="008B3981"/>
    <w:rsid w:val="008B3A7A"/>
    <w:rsid w:val="008B419A"/>
    <w:rsid w:val="008B6BC9"/>
    <w:rsid w:val="008C0BC8"/>
    <w:rsid w:val="008C4865"/>
    <w:rsid w:val="008D6148"/>
    <w:rsid w:val="008E0229"/>
    <w:rsid w:val="008E4EE5"/>
    <w:rsid w:val="008E58B4"/>
    <w:rsid w:val="008E5A73"/>
    <w:rsid w:val="008E6CFD"/>
    <w:rsid w:val="008F08C4"/>
    <w:rsid w:val="008F1DD4"/>
    <w:rsid w:val="008F3F1D"/>
    <w:rsid w:val="008F4710"/>
    <w:rsid w:val="008F72B0"/>
    <w:rsid w:val="009007FE"/>
    <w:rsid w:val="00900C8A"/>
    <w:rsid w:val="00902083"/>
    <w:rsid w:val="0090245B"/>
    <w:rsid w:val="00904919"/>
    <w:rsid w:val="00906E92"/>
    <w:rsid w:val="00911408"/>
    <w:rsid w:val="00912EEF"/>
    <w:rsid w:val="00914786"/>
    <w:rsid w:val="0091567B"/>
    <w:rsid w:val="00915E81"/>
    <w:rsid w:val="009215FA"/>
    <w:rsid w:val="00921D72"/>
    <w:rsid w:val="00922A42"/>
    <w:rsid w:val="009251E8"/>
    <w:rsid w:val="009320EB"/>
    <w:rsid w:val="00935588"/>
    <w:rsid w:val="00937A10"/>
    <w:rsid w:val="00943007"/>
    <w:rsid w:val="009514F8"/>
    <w:rsid w:val="00951ECC"/>
    <w:rsid w:val="00952783"/>
    <w:rsid w:val="00952E07"/>
    <w:rsid w:val="00955326"/>
    <w:rsid w:val="00960DD7"/>
    <w:rsid w:val="009616B4"/>
    <w:rsid w:val="00964E68"/>
    <w:rsid w:val="00966D2A"/>
    <w:rsid w:val="00972AAA"/>
    <w:rsid w:val="00972BFA"/>
    <w:rsid w:val="009745C5"/>
    <w:rsid w:val="009805FC"/>
    <w:rsid w:val="009813E8"/>
    <w:rsid w:val="0098244E"/>
    <w:rsid w:val="00983422"/>
    <w:rsid w:val="009834B3"/>
    <w:rsid w:val="00984824"/>
    <w:rsid w:val="0098575C"/>
    <w:rsid w:val="0099139C"/>
    <w:rsid w:val="00992192"/>
    <w:rsid w:val="0099241E"/>
    <w:rsid w:val="00992578"/>
    <w:rsid w:val="00994B8D"/>
    <w:rsid w:val="009A5D82"/>
    <w:rsid w:val="009B0389"/>
    <w:rsid w:val="009B091C"/>
    <w:rsid w:val="009B3AEA"/>
    <w:rsid w:val="009B7041"/>
    <w:rsid w:val="009B7DFB"/>
    <w:rsid w:val="009C092F"/>
    <w:rsid w:val="009C20E4"/>
    <w:rsid w:val="009C2B0C"/>
    <w:rsid w:val="009C3739"/>
    <w:rsid w:val="009C3A44"/>
    <w:rsid w:val="009D1FEF"/>
    <w:rsid w:val="009D44F1"/>
    <w:rsid w:val="009F1A09"/>
    <w:rsid w:val="009F4E3A"/>
    <w:rsid w:val="009F5AA1"/>
    <w:rsid w:val="009F7CFF"/>
    <w:rsid w:val="00A049FE"/>
    <w:rsid w:val="00A068E9"/>
    <w:rsid w:val="00A11702"/>
    <w:rsid w:val="00A12698"/>
    <w:rsid w:val="00A1578F"/>
    <w:rsid w:val="00A16829"/>
    <w:rsid w:val="00A16972"/>
    <w:rsid w:val="00A17F56"/>
    <w:rsid w:val="00A22BF6"/>
    <w:rsid w:val="00A253F5"/>
    <w:rsid w:val="00A266C8"/>
    <w:rsid w:val="00A34AC5"/>
    <w:rsid w:val="00A355D5"/>
    <w:rsid w:val="00A36509"/>
    <w:rsid w:val="00A36ECF"/>
    <w:rsid w:val="00A438F0"/>
    <w:rsid w:val="00A46936"/>
    <w:rsid w:val="00A5223D"/>
    <w:rsid w:val="00A54AC9"/>
    <w:rsid w:val="00A54E20"/>
    <w:rsid w:val="00A60074"/>
    <w:rsid w:val="00A63FE8"/>
    <w:rsid w:val="00A6717A"/>
    <w:rsid w:val="00A6764B"/>
    <w:rsid w:val="00A70EAE"/>
    <w:rsid w:val="00A725E3"/>
    <w:rsid w:val="00A73B4B"/>
    <w:rsid w:val="00A752B5"/>
    <w:rsid w:val="00A80484"/>
    <w:rsid w:val="00A80776"/>
    <w:rsid w:val="00A80F9B"/>
    <w:rsid w:val="00A81588"/>
    <w:rsid w:val="00A8318F"/>
    <w:rsid w:val="00A90655"/>
    <w:rsid w:val="00A90E00"/>
    <w:rsid w:val="00A940BE"/>
    <w:rsid w:val="00A94894"/>
    <w:rsid w:val="00A9651F"/>
    <w:rsid w:val="00A96CCD"/>
    <w:rsid w:val="00A96DC6"/>
    <w:rsid w:val="00AA4553"/>
    <w:rsid w:val="00AA491E"/>
    <w:rsid w:val="00AB05DF"/>
    <w:rsid w:val="00AB5B12"/>
    <w:rsid w:val="00AC05D6"/>
    <w:rsid w:val="00AC0F39"/>
    <w:rsid w:val="00AC4284"/>
    <w:rsid w:val="00AC48CC"/>
    <w:rsid w:val="00AD1394"/>
    <w:rsid w:val="00AD2B54"/>
    <w:rsid w:val="00AD38D2"/>
    <w:rsid w:val="00AD4B01"/>
    <w:rsid w:val="00AD66C3"/>
    <w:rsid w:val="00AE0B88"/>
    <w:rsid w:val="00AE0E63"/>
    <w:rsid w:val="00AE6DB7"/>
    <w:rsid w:val="00AE74BA"/>
    <w:rsid w:val="00AE7DC3"/>
    <w:rsid w:val="00AF11A8"/>
    <w:rsid w:val="00AF13C5"/>
    <w:rsid w:val="00AF20F6"/>
    <w:rsid w:val="00AF61F1"/>
    <w:rsid w:val="00B00074"/>
    <w:rsid w:val="00B003A6"/>
    <w:rsid w:val="00B00649"/>
    <w:rsid w:val="00B013E1"/>
    <w:rsid w:val="00B03389"/>
    <w:rsid w:val="00B03EB0"/>
    <w:rsid w:val="00B05513"/>
    <w:rsid w:val="00B07E35"/>
    <w:rsid w:val="00B1119C"/>
    <w:rsid w:val="00B15F6F"/>
    <w:rsid w:val="00B22755"/>
    <w:rsid w:val="00B2322F"/>
    <w:rsid w:val="00B24F18"/>
    <w:rsid w:val="00B33F80"/>
    <w:rsid w:val="00B34117"/>
    <w:rsid w:val="00B36522"/>
    <w:rsid w:val="00B40B9A"/>
    <w:rsid w:val="00B411DA"/>
    <w:rsid w:val="00B42AE1"/>
    <w:rsid w:val="00B4694B"/>
    <w:rsid w:val="00B50E2F"/>
    <w:rsid w:val="00B52EEE"/>
    <w:rsid w:val="00B56A48"/>
    <w:rsid w:val="00B57A82"/>
    <w:rsid w:val="00B57CBD"/>
    <w:rsid w:val="00B62131"/>
    <w:rsid w:val="00B6464C"/>
    <w:rsid w:val="00B67B5B"/>
    <w:rsid w:val="00B70A50"/>
    <w:rsid w:val="00B732F8"/>
    <w:rsid w:val="00B7711B"/>
    <w:rsid w:val="00B80393"/>
    <w:rsid w:val="00B815A8"/>
    <w:rsid w:val="00B958E7"/>
    <w:rsid w:val="00B95BE0"/>
    <w:rsid w:val="00B96525"/>
    <w:rsid w:val="00BA502F"/>
    <w:rsid w:val="00BA73A0"/>
    <w:rsid w:val="00BB53EB"/>
    <w:rsid w:val="00BC57C4"/>
    <w:rsid w:val="00BC5C9B"/>
    <w:rsid w:val="00BD05B2"/>
    <w:rsid w:val="00BD33ED"/>
    <w:rsid w:val="00BD7440"/>
    <w:rsid w:val="00BE109C"/>
    <w:rsid w:val="00BE5F13"/>
    <w:rsid w:val="00BE6EFF"/>
    <w:rsid w:val="00BF4E03"/>
    <w:rsid w:val="00BF6570"/>
    <w:rsid w:val="00BF7731"/>
    <w:rsid w:val="00C00CB7"/>
    <w:rsid w:val="00C039B5"/>
    <w:rsid w:val="00C04A59"/>
    <w:rsid w:val="00C058FB"/>
    <w:rsid w:val="00C1204C"/>
    <w:rsid w:val="00C1356E"/>
    <w:rsid w:val="00C16BD4"/>
    <w:rsid w:val="00C20D63"/>
    <w:rsid w:val="00C21E14"/>
    <w:rsid w:val="00C21EC8"/>
    <w:rsid w:val="00C22C4B"/>
    <w:rsid w:val="00C237A3"/>
    <w:rsid w:val="00C23A63"/>
    <w:rsid w:val="00C241D2"/>
    <w:rsid w:val="00C27D46"/>
    <w:rsid w:val="00C3575E"/>
    <w:rsid w:val="00C35CA3"/>
    <w:rsid w:val="00C36062"/>
    <w:rsid w:val="00C36D27"/>
    <w:rsid w:val="00C3744B"/>
    <w:rsid w:val="00C40442"/>
    <w:rsid w:val="00C40C7D"/>
    <w:rsid w:val="00C43631"/>
    <w:rsid w:val="00C45AD2"/>
    <w:rsid w:val="00C4604F"/>
    <w:rsid w:val="00C509C9"/>
    <w:rsid w:val="00C539A7"/>
    <w:rsid w:val="00C54BB1"/>
    <w:rsid w:val="00C63293"/>
    <w:rsid w:val="00C64420"/>
    <w:rsid w:val="00C72076"/>
    <w:rsid w:val="00C741C2"/>
    <w:rsid w:val="00C746B3"/>
    <w:rsid w:val="00C81125"/>
    <w:rsid w:val="00C81AD4"/>
    <w:rsid w:val="00C82A11"/>
    <w:rsid w:val="00C83746"/>
    <w:rsid w:val="00C855B1"/>
    <w:rsid w:val="00C873A3"/>
    <w:rsid w:val="00C90619"/>
    <w:rsid w:val="00C91E22"/>
    <w:rsid w:val="00C92DCA"/>
    <w:rsid w:val="00C9423B"/>
    <w:rsid w:val="00C949C3"/>
    <w:rsid w:val="00C94FD4"/>
    <w:rsid w:val="00C95C36"/>
    <w:rsid w:val="00C96313"/>
    <w:rsid w:val="00CA0DFC"/>
    <w:rsid w:val="00CA1F2A"/>
    <w:rsid w:val="00CA6B80"/>
    <w:rsid w:val="00CB0DBF"/>
    <w:rsid w:val="00CB0E7F"/>
    <w:rsid w:val="00CB5983"/>
    <w:rsid w:val="00CC1FE8"/>
    <w:rsid w:val="00CC4569"/>
    <w:rsid w:val="00CC5844"/>
    <w:rsid w:val="00CD0052"/>
    <w:rsid w:val="00CD0E3D"/>
    <w:rsid w:val="00CD39E4"/>
    <w:rsid w:val="00CD478C"/>
    <w:rsid w:val="00CD5C90"/>
    <w:rsid w:val="00CD60AC"/>
    <w:rsid w:val="00CD6491"/>
    <w:rsid w:val="00CD6F00"/>
    <w:rsid w:val="00CE0CA3"/>
    <w:rsid w:val="00CE6F33"/>
    <w:rsid w:val="00CF05B1"/>
    <w:rsid w:val="00CF6E0C"/>
    <w:rsid w:val="00D02D85"/>
    <w:rsid w:val="00D039C8"/>
    <w:rsid w:val="00D06CA8"/>
    <w:rsid w:val="00D07EBB"/>
    <w:rsid w:val="00D16470"/>
    <w:rsid w:val="00D16CD1"/>
    <w:rsid w:val="00D21190"/>
    <w:rsid w:val="00D2133F"/>
    <w:rsid w:val="00D232A4"/>
    <w:rsid w:val="00D23612"/>
    <w:rsid w:val="00D25E5F"/>
    <w:rsid w:val="00D27170"/>
    <w:rsid w:val="00D33E08"/>
    <w:rsid w:val="00D3586F"/>
    <w:rsid w:val="00D37D04"/>
    <w:rsid w:val="00D405F5"/>
    <w:rsid w:val="00D4253D"/>
    <w:rsid w:val="00D461D1"/>
    <w:rsid w:val="00D46FF2"/>
    <w:rsid w:val="00D47B66"/>
    <w:rsid w:val="00D50D61"/>
    <w:rsid w:val="00D51B36"/>
    <w:rsid w:val="00D525F3"/>
    <w:rsid w:val="00D52E07"/>
    <w:rsid w:val="00D65778"/>
    <w:rsid w:val="00D73E28"/>
    <w:rsid w:val="00D75443"/>
    <w:rsid w:val="00D90CF9"/>
    <w:rsid w:val="00D90FDA"/>
    <w:rsid w:val="00D92677"/>
    <w:rsid w:val="00D92D88"/>
    <w:rsid w:val="00DA2185"/>
    <w:rsid w:val="00DA34C6"/>
    <w:rsid w:val="00DB0BB8"/>
    <w:rsid w:val="00DB6B04"/>
    <w:rsid w:val="00DB7FB3"/>
    <w:rsid w:val="00DC52C5"/>
    <w:rsid w:val="00DD17C7"/>
    <w:rsid w:val="00DE025B"/>
    <w:rsid w:val="00DE123F"/>
    <w:rsid w:val="00DE2721"/>
    <w:rsid w:val="00DE34D6"/>
    <w:rsid w:val="00DE4199"/>
    <w:rsid w:val="00DF0827"/>
    <w:rsid w:val="00DF2D5B"/>
    <w:rsid w:val="00DF30F2"/>
    <w:rsid w:val="00DF76F4"/>
    <w:rsid w:val="00E00E08"/>
    <w:rsid w:val="00E01317"/>
    <w:rsid w:val="00E01CF8"/>
    <w:rsid w:val="00E032C3"/>
    <w:rsid w:val="00E06440"/>
    <w:rsid w:val="00E07107"/>
    <w:rsid w:val="00E12DCF"/>
    <w:rsid w:val="00E13938"/>
    <w:rsid w:val="00E17146"/>
    <w:rsid w:val="00E1733C"/>
    <w:rsid w:val="00E200A6"/>
    <w:rsid w:val="00E21E20"/>
    <w:rsid w:val="00E306EE"/>
    <w:rsid w:val="00E32309"/>
    <w:rsid w:val="00E3520D"/>
    <w:rsid w:val="00E3584C"/>
    <w:rsid w:val="00E40E9D"/>
    <w:rsid w:val="00E4253E"/>
    <w:rsid w:val="00E50A01"/>
    <w:rsid w:val="00E50E8E"/>
    <w:rsid w:val="00E540ED"/>
    <w:rsid w:val="00E562AA"/>
    <w:rsid w:val="00E6100C"/>
    <w:rsid w:val="00E62522"/>
    <w:rsid w:val="00E63CF2"/>
    <w:rsid w:val="00E643C7"/>
    <w:rsid w:val="00E645B2"/>
    <w:rsid w:val="00E660F2"/>
    <w:rsid w:val="00E6623A"/>
    <w:rsid w:val="00E67E34"/>
    <w:rsid w:val="00E71185"/>
    <w:rsid w:val="00E72A16"/>
    <w:rsid w:val="00E73049"/>
    <w:rsid w:val="00E87B6B"/>
    <w:rsid w:val="00E905EF"/>
    <w:rsid w:val="00E92F17"/>
    <w:rsid w:val="00E93E4F"/>
    <w:rsid w:val="00EA5C61"/>
    <w:rsid w:val="00EB17B9"/>
    <w:rsid w:val="00EB292C"/>
    <w:rsid w:val="00EB4B52"/>
    <w:rsid w:val="00EC4E75"/>
    <w:rsid w:val="00ED27B3"/>
    <w:rsid w:val="00ED2BD9"/>
    <w:rsid w:val="00ED2D95"/>
    <w:rsid w:val="00ED6005"/>
    <w:rsid w:val="00ED7723"/>
    <w:rsid w:val="00EE00C0"/>
    <w:rsid w:val="00EE4169"/>
    <w:rsid w:val="00EE44DB"/>
    <w:rsid w:val="00EE64DC"/>
    <w:rsid w:val="00EE732F"/>
    <w:rsid w:val="00EF0245"/>
    <w:rsid w:val="00EF3F4E"/>
    <w:rsid w:val="00EF3FDE"/>
    <w:rsid w:val="00F072DA"/>
    <w:rsid w:val="00F07848"/>
    <w:rsid w:val="00F07AAF"/>
    <w:rsid w:val="00F10CF9"/>
    <w:rsid w:val="00F128C8"/>
    <w:rsid w:val="00F135C4"/>
    <w:rsid w:val="00F13BC5"/>
    <w:rsid w:val="00F155E0"/>
    <w:rsid w:val="00F20D43"/>
    <w:rsid w:val="00F2376E"/>
    <w:rsid w:val="00F23BAE"/>
    <w:rsid w:val="00F3370E"/>
    <w:rsid w:val="00F343EA"/>
    <w:rsid w:val="00F352C9"/>
    <w:rsid w:val="00F353E7"/>
    <w:rsid w:val="00F43D1E"/>
    <w:rsid w:val="00F44A95"/>
    <w:rsid w:val="00F452B9"/>
    <w:rsid w:val="00F45353"/>
    <w:rsid w:val="00F4636C"/>
    <w:rsid w:val="00F50A60"/>
    <w:rsid w:val="00F52257"/>
    <w:rsid w:val="00F55057"/>
    <w:rsid w:val="00F57E69"/>
    <w:rsid w:val="00F61251"/>
    <w:rsid w:val="00F62797"/>
    <w:rsid w:val="00F64153"/>
    <w:rsid w:val="00F65E53"/>
    <w:rsid w:val="00F72496"/>
    <w:rsid w:val="00F73400"/>
    <w:rsid w:val="00F75A8F"/>
    <w:rsid w:val="00F772F3"/>
    <w:rsid w:val="00F84BAB"/>
    <w:rsid w:val="00F86908"/>
    <w:rsid w:val="00F9395F"/>
    <w:rsid w:val="00F9517B"/>
    <w:rsid w:val="00F953C3"/>
    <w:rsid w:val="00F95F61"/>
    <w:rsid w:val="00F9718F"/>
    <w:rsid w:val="00F9731C"/>
    <w:rsid w:val="00FA0A92"/>
    <w:rsid w:val="00FA10F3"/>
    <w:rsid w:val="00FA2F3D"/>
    <w:rsid w:val="00FA4362"/>
    <w:rsid w:val="00FA4951"/>
    <w:rsid w:val="00FA4C42"/>
    <w:rsid w:val="00FA6BCC"/>
    <w:rsid w:val="00FA779E"/>
    <w:rsid w:val="00FA7B4C"/>
    <w:rsid w:val="00FB12F5"/>
    <w:rsid w:val="00FB19FF"/>
    <w:rsid w:val="00FB42AF"/>
    <w:rsid w:val="00FB5FF2"/>
    <w:rsid w:val="00FB659D"/>
    <w:rsid w:val="00FC16D1"/>
    <w:rsid w:val="00FC4E6D"/>
    <w:rsid w:val="00FC5C9D"/>
    <w:rsid w:val="00FD5CDF"/>
    <w:rsid w:val="00FD63CD"/>
    <w:rsid w:val="00FD6492"/>
    <w:rsid w:val="00FD7BA6"/>
    <w:rsid w:val="00FE13B3"/>
    <w:rsid w:val="00FE6CBC"/>
    <w:rsid w:val="00FE7BDB"/>
    <w:rsid w:val="00FF40F3"/>
    <w:rsid w:val="00FF5720"/>
    <w:rsid w:val="00FF634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052"/>
    <w:pPr>
      <w:spacing w:after="120"/>
      <w:jc w:val="both"/>
    </w:pPr>
    <w:rPr>
      <w:lang w:eastAsia="en-US"/>
    </w:rPr>
  </w:style>
  <w:style w:type="paragraph" w:styleId="Heading2">
    <w:name w:val="heading 2"/>
    <w:basedOn w:val="Normal"/>
    <w:next w:val="Normal"/>
    <w:link w:val="Heading2Char"/>
    <w:uiPriority w:val="99"/>
    <w:qFormat/>
    <w:rsid w:val="00A438F0"/>
    <w:pPr>
      <w:keepNext/>
      <w:spacing w:before="240" w:after="60"/>
      <w:jc w:val="left"/>
      <w:outlineLvl w:val="1"/>
    </w:pPr>
    <w:rPr>
      <w:rFonts w:ascii="Arial" w:hAnsi="Arial"/>
      <w:b/>
      <w:bCs/>
      <w:i/>
      <w:iCs/>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438F0"/>
    <w:rPr>
      <w:rFonts w:ascii="Arial" w:hAnsi="Arial" w:cs="Times New Roman"/>
      <w:b/>
      <w:i/>
      <w:sz w:val="28"/>
      <w:lang w:eastAsia="lv-LV"/>
    </w:rPr>
  </w:style>
  <w:style w:type="character" w:styleId="Hyperlink">
    <w:name w:val="Hyperlink"/>
    <w:basedOn w:val="DefaultParagraphFont"/>
    <w:uiPriority w:val="99"/>
    <w:rsid w:val="00A438F0"/>
    <w:rPr>
      <w:rFonts w:cs="Times New Roman"/>
      <w:color w:val="0000FF"/>
      <w:u w:val="single"/>
    </w:rPr>
  </w:style>
  <w:style w:type="character" w:customStyle="1" w:styleId="apple-converted-space">
    <w:name w:val="apple-converted-space"/>
    <w:uiPriority w:val="99"/>
    <w:rsid w:val="00A438F0"/>
  </w:style>
  <w:style w:type="paragraph" w:customStyle="1" w:styleId="tvhtml">
    <w:name w:val="tv_html"/>
    <w:basedOn w:val="Normal"/>
    <w:uiPriority w:val="99"/>
    <w:rsid w:val="00A438F0"/>
    <w:pPr>
      <w:spacing w:before="100" w:beforeAutospacing="1" w:after="100" w:afterAutospacing="1"/>
      <w:jc w:val="left"/>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rsid w:val="00A438F0"/>
    <w:pPr>
      <w:spacing w:after="0"/>
    </w:pPr>
    <w:rPr>
      <w:rFonts w:ascii="Tahoma" w:hAnsi="Tahoma"/>
      <w:sz w:val="16"/>
      <w:szCs w:val="16"/>
      <w:lang w:eastAsia="lv-LV"/>
    </w:rPr>
  </w:style>
  <w:style w:type="character" w:customStyle="1" w:styleId="BalloonTextChar">
    <w:name w:val="Balloon Text Char"/>
    <w:basedOn w:val="DefaultParagraphFont"/>
    <w:link w:val="BalloonText"/>
    <w:uiPriority w:val="99"/>
    <w:semiHidden/>
    <w:locked/>
    <w:rsid w:val="00A438F0"/>
    <w:rPr>
      <w:rFonts w:ascii="Tahoma" w:hAnsi="Tahoma" w:cs="Times New Roman"/>
      <w:sz w:val="16"/>
    </w:rPr>
  </w:style>
  <w:style w:type="paragraph" w:customStyle="1" w:styleId="naisf">
    <w:name w:val="naisf"/>
    <w:basedOn w:val="Normal"/>
    <w:uiPriority w:val="99"/>
    <w:rsid w:val="00B7711B"/>
    <w:pPr>
      <w:spacing w:before="75" w:after="75"/>
      <w:ind w:firstLine="375"/>
    </w:pPr>
    <w:rPr>
      <w:rFonts w:ascii="Times New Roman" w:eastAsia="Times New Roman" w:hAnsi="Times New Roman"/>
      <w:sz w:val="24"/>
      <w:szCs w:val="24"/>
      <w:lang w:eastAsia="lv-LV"/>
    </w:rPr>
  </w:style>
  <w:style w:type="character" w:styleId="CommentReference">
    <w:name w:val="annotation reference"/>
    <w:basedOn w:val="DefaultParagraphFont"/>
    <w:uiPriority w:val="99"/>
    <w:semiHidden/>
    <w:rsid w:val="00B7711B"/>
    <w:rPr>
      <w:rFonts w:cs="Times New Roman"/>
      <w:sz w:val="16"/>
    </w:rPr>
  </w:style>
  <w:style w:type="paragraph" w:styleId="CommentText">
    <w:name w:val="annotation text"/>
    <w:basedOn w:val="Normal"/>
    <w:link w:val="CommentTextChar"/>
    <w:uiPriority w:val="99"/>
    <w:rsid w:val="00B7711B"/>
    <w:rPr>
      <w:sz w:val="20"/>
      <w:szCs w:val="20"/>
      <w:lang w:eastAsia="lv-LV"/>
    </w:rPr>
  </w:style>
  <w:style w:type="character" w:customStyle="1" w:styleId="CommentTextChar">
    <w:name w:val="Comment Text Char"/>
    <w:basedOn w:val="DefaultParagraphFont"/>
    <w:link w:val="CommentText"/>
    <w:uiPriority w:val="99"/>
    <w:locked/>
    <w:rsid w:val="00B7711B"/>
    <w:rPr>
      <w:rFonts w:cs="Times New Roman"/>
      <w:sz w:val="20"/>
    </w:rPr>
  </w:style>
  <w:style w:type="paragraph" w:styleId="Header">
    <w:name w:val="header"/>
    <w:basedOn w:val="Normal"/>
    <w:link w:val="HeaderChar"/>
    <w:uiPriority w:val="99"/>
    <w:rsid w:val="00F75A8F"/>
    <w:pPr>
      <w:tabs>
        <w:tab w:val="center" w:pos="4153"/>
        <w:tab w:val="right" w:pos="8306"/>
      </w:tabs>
      <w:spacing w:after="0"/>
    </w:pPr>
    <w:rPr>
      <w:sz w:val="20"/>
      <w:szCs w:val="20"/>
      <w:lang w:eastAsia="lv-LV"/>
    </w:rPr>
  </w:style>
  <w:style w:type="character" w:customStyle="1" w:styleId="HeaderChar">
    <w:name w:val="Header Char"/>
    <w:basedOn w:val="DefaultParagraphFont"/>
    <w:link w:val="Header"/>
    <w:uiPriority w:val="99"/>
    <w:locked/>
    <w:rsid w:val="00F75A8F"/>
    <w:rPr>
      <w:rFonts w:cs="Times New Roman"/>
    </w:rPr>
  </w:style>
  <w:style w:type="paragraph" w:styleId="Footer">
    <w:name w:val="footer"/>
    <w:basedOn w:val="Normal"/>
    <w:link w:val="FooterChar"/>
    <w:uiPriority w:val="99"/>
    <w:rsid w:val="00F75A8F"/>
    <w:pPr>
      <w:tabs>
        <w:tab w:val="center" w:pos="4153"/>
        <w:tab w:val="right" w:pos="8306"/>
      </w:tabs>
      <w:spacing w:after="0"/>
    </w:pPr>
    <w:rPr>
      <w:sz w:val="20"/>
      <w:szCs w:val="20"/>
      <w:lang w:eastAsia="lv-LV"/>
    </w:rPr>
  </w:style>
  <w:style w:type="character" w:customStyle="1" w:styleId="FooterChar">
    <w:name w:val="Footer Char"/>
    <w:basedOn w:val="DefaultParagraphFont"/>
    <w:link w:val="Footer"/>
    <w:uiPriority w:val="99"/>
    <w:locked/>
    <w:rsid w:val="00F75A8F"/>
    <w:rPr>
      <w:rFonts w:cs="Times New Roman"/>
    </w:rPr>
  </w:style>
  <w:style w:type="paragraph" w:styleId="CommentSubject">
    <w:name w:val="annotation subject"/>
    <w:basedOn w:val="CommentText"/>
    <w:next w:val="CommentText"/>
    <w:link w:val="CommentSubjectChar"/>
    <w:uiPriority w:val="99"/>
    <w:semiHidden/>
    <w:rsid w:val="006A03D1"/>
    <w:rPr>
      <w:b/>
      <w:bCs/>
    </w:rPr>
  </w:style>
  <w:style w:type="character" w:customStyle="1" w:styleId="CommentSubjectChar">
    <w:name w:val="Comment Subject Char"/>
    <w:basedOn w:val="CommentTextChar"/>
    <w:link w:val="CommentSubject"/>
    <w:uiPriority w:val="99"/>
    <w:semiHidden/>
    <w:locked/>
    <w:rsid w:val="006A03D1"/>
    <w:rPr>
      <w:rFonts w:cs="Times New Roman"/>
      <w:b/>
      <w:sz w:val="20"/>
    </w:rPr>
  </w:style>
  <w:style w:type="paragraph" w:styleId="ListParagraph">
    <w:name w:val="List Paragraph"/>
    <w:basedOn w:val="Normal"/>
    <w:uiPriority w:val="99"/>
    <w:qFormat/>
    <w:rsid w:val="00FF57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052"/>
    <w:pPr>
      <w:spacing w:after="120"/>
      <w:jc w:val="both"/>
    </w:pPr>
    <w:rPr>
      <w:lang w:eastAsia="en-US"/>
    </w:rPr>
  </w:style>
  <w:style w:type="paragraph" w:styleId="Heading2">
    <w:name w:val="heading 2"/>
    <w:basedOn w:val="Normal"/>
    <w:next w:val="Normal"/>
    <w:link w:val="Heading2Char"/>
    <w:uiPriority w:val="99"/>
    <w:qFormat/>
    <w:rsid w:val="00A438F0"/>
    <w:pPr>
      <w:keepNext/>
      <w:spacing w:before="240" w:after="60"/>
      <w:jc w:val="left"/>
      <w:outlineLvl w:val="1"/>
    </w:pPr>
    <w:rPr>
      <w:rFonts w:ascii="Arial" w:hAnsi="Arial"/>
      <w:b/>
      <w:bCs/>
      <w:i/>
      <w:iCs/>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438F0"/>
    <w:rPr>
      <w:rFonts w:ascii="Arial" w:hAnsi="Arial" w:cs="Times New Roman"/>
      <w:b/>
      <w:i/>
      <w:sz w:val="28"/>
      <w:lang w:eastAsia="lv-LV"/>
    </w:rPr>
  </w:style>
  <w:style w:type="character" w:styleId="Hyperlink">
    <w:name w:val="Hyperlink"/>
    <w:basedOn w:val="DefaultParagraphFont"/>
    <w:uiPriority w:val="99"/>
    <w:rsid w:val="00A438F0"/>
    <w:rPr>
      <w:rFonts w:cs="Times New Roman"/>
      <w:color w:val="0000FF"/>
      <w:u w:val="single"/>
    </w:rPr>
  </w:style>
  <w:style w:type="character" w:customStyle="1" w:styleId="apple-converted-space">
    <w:name w:val="apple-converted-space"/>
    <w:uiPriority w:val="99"/>
    <w:rsid w:val="00A438F0"/>
  </w:style>
  <w:style w:type="paragraph" w:customStyle="1" w:styleId="tvhtml">
    <w:name w:val="tv_html"/>
    <w:basedOn w:val="Normal"/>
    <w:uiPriority w:val="99"/>
    <w:rsid w:val="00A438F0"/>
    <w:pPr>
      <w:spacing w:before="100" w:beforeAutospacing="1" w:after="100" w:afterAutospacing="1"/>
      <w:jc w:val="left"/>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rsid w:val="00A438F0"/>
    <w:pPr>
      <w:spacing w:after="0"/>
    </w:pPr>
    <w:rPr>
      <w:rFonts w:ascii="Tahoma" w:hAnsi="Tahoma"/>
      <w:sz w:val="16"/>
      <w:szCs w:val="16"/>
      <w:lang w:eastAsia="lv-LV"/>
    </w:rPr>
  </w:style>
  <w:style w:type="character" w:customStyle="1" w:styleId="BalloonTextChar">
    <w:name w:val="Balloon Text Char"/>
    <w:basedOn w:val="DefaultParagraphFont"/>
    <w:link w:val="BalloonText"/>
    <w:uiPriority w:val="99"/>
    <w:semiHidden/>
    <w:locked/>
    <w:rsid w:val="00A438F0"/>
    <w:rPr>
      <w:rFonts w:ascii="Tahoma" w:hAnsi="Tahoma" w:cs="Times New Roman"/>
      <w:sz w:val="16"/>
    </w:rPr>
  </w:style>
  <w:style w:type="paragraph" w:customStyle="1" w:styleId="naisf">
    <w:name w:val="naisf"/>
    <w:basedOn w:val="Normal"/>
    <w:uiPriority w:val="99"/>
    <w:rsid w:val="00B7711B"/>
    <w:pPr>
      <w:spacing w:before="75" w:after="75"/>
      <w:ind w:firstLine="375"/>
    </w:pPr>
    <w:rPr>
      <w:rFonts w:ascii="Times New Roman" w:eastAsia="Times New Roman" w:hAnsi="Times New Roman"/>
      <w:sz w:val="24"/>
      <w:szCs w:val="24"/>
      <w:lang w:eastAsia="lv-LV"/>
    </w:rPr>
  </w:style>
  <w:style w:type="character" w:styleId="CommentReference">
    <w:name w:val="annotation reference"/>
    <w:basedOn w:val="DefaultParagraphFont"/>
    <w:uiPriority w:val="99"/>
    <w:semiHidden/>
    <w:rsid w:val="00B7711B"/>
    <w:rPr>
      <w:rFonts w:cs="Times New Roman"/>
      <w:sz w:val="16"/>
    </w:rPr>
  </w:style>
  <w:style w:type="paragraph" w:styleId="CommentText">
    <w:name w:val="annotation text"/>
    <w:basedOn w:val="Normal"/>
    <w:link w:val="CommentTextChar"/>
    <w:uiPriority w:val="99"/>
    <w:rsid w:val="00B7711B"/>
    <w:rPr>
      <w:sz w:val="20"/>
      <w:szCs w:val="20"/>
      <w:lang w:eastAsia="lv-LV"/>
    </w:rPr>
  </w:style>
  <w:style w:type="character" w:customStyle="1" w:styleId="CommentTextChar">
    <w:name w:val="Comment Text Char"/>
    <w:basedOn w:val="DefaultParagraphFont"/>
    <w:link w:val="CommentText"/>
    <w:uiPriority w:val="99"/>
    <w:locked/>
    <w:rsid w:val="00B7711B"/>
    <w:rPr>
      <w:rFonts w:cs="Times New Roman"/>
      <w:sz w:val="20"/>
    </w:rPr>
  </w:style>
  <w:style w:type="paragraph" w:styleId="Header">
    <w:name w:val="header"/>
    <w:basedOn w:val="Normal"/>
    <w:link w:val="HeaderChar"/>
    <w:uiPriority w:val="99"/>
    <w:rsid w:val="00F75A8F"/>
    <w:pPr>
      <w:tabs>
        <w:tab w:val="center" w:pos="4153"/>
        <w:tab w:val="right" w:pos="8306"/>
      </w:tabs>
      <w:spacing w:after="0"/>
    </w:pPr>
    <w:rPr>
      <w:sz w:val="20"/>
      <w:szCs w:val="20"/>
      <w:lang w:eastAsia="lv-LV"/>
    </w:rPr>
  </w:style>
  <w:style w:type="character" w:customStyle="1" w:styleId="HeaderChar">
    <w:name w:val="Header Char"/>
    <w:basedOn w:val="DefaultParagraphFont"/>
    <w:link w:val="Header"/>
    <w:uiPriority w:val="99"/>
    <w:locked/>
    <w:rsid w:val="00F75A8F"/>
    <w:rPr>
      <w:rFonts w:cs="Times New Roman"/>
    </w:rPr>
  </w:style>
  <w:style w:type="paragraph" w:styleId="Footer">
    <w:name w:val="footer"/>
    <w:basedOn w:val="Normal"/>
    <w:link w:val="FooterChar"/>
    <w:uiPriority w:val="99"/>
    <w:rsid w:val="00F75A8F"/>
    <w:pPr>
      <w:tabs>
        <w:tab w:val="center" w:pos="4153"/>
        <w:tab w:val="right" w:pos="8306"/>
      </w:tabs>
      <w:spacing w:after="0"/>
    </w:pPr>
    <w:rPr>
      <w:sz w:val="20"/>
      <w:szCs w:val="20"/>
      <w:lang w:eastAsia="lv-LV"/>
    </w:rPr>
  </w:style>
  <w:style w:type="character" w:customStyle="1" w:styleId="FooterChar">
    <w:name w:val="Footer Char"/>
    <w:basedOn w:val="DefaultParagraphFont"/>
    <w:link w:val="Footer"/>
    <w:uiPriority w:val="99"/>
    <w:locked/>
    <w:rsid w:val="00F75A8F"/>
    <w:rPr>
      <w:rFonts w:cs="Times New Roman"/>
    </w:rPr>
  </w:style>
  <w:style w:type="paragraph" w:styleId="CommentSubject">
    <w:name w:val="annotation subject"/>
    <w:basedOn w:val="CommentText"/>
    <w:next w:val="CommentText"/>
    <w:link w:val="CommentSubjectChar"/>
    <w:uiPriority w:val="99"/>
    <w:semiHidden/>
    <w:rsid w:val="006A03D1"/>
    <w:rPr>
      <w:b/>
      <w:bCs/>
    </w:rPr>
  </w:style>
  <w:style w:type="character" w:customStyle="1" w:styleId="CommentSubjectChar">
    <w:name w:val="Comment Subject Char"/>
    <w:basedOn w:val="CommentTextChar"/>
    <w:link w:val="CommentSubject"/>
    <w:uiPriority w:val="99"/>
    <w:semiHidden/>
    <w:locked/>
    <w:rsid w:val="006A03D1"/>
    <w:rPr>
      <w:rFonts w:cs="Times New Roman"/>
      <w:b/>
      <w:sz w:val="20"/>
    </w:rPr>
  </w:style>
  <w:style w:type="paragraph" w:styleId="ListParagraph">
    <w:name w:val="List Paragraph"/>
    <w:basedOn w:val="Normal"/>
    <w:uiPriority w:val="99"/>
    <w:qFormat/>
    <w:rsid w:val="00FF5720"/>
    <w:pPr>
      <w:ind w:left="720"/>
      <w:contextualSpacing/>
    </w:pPr>
  </w:style>
</w:styles>
</file>

<file path=word/webSettings.xml><?xml version="1.0" encoding="utf-8"?>
<w:webSettings xmlns:r="http://schemas.openxmlformats.org/officeDocument/2006/relationships" xmlns:w="http://schemas.openxmlformats.org/wordprocessingml/2006/main">
  <w:divs>
    <w:div w:id="2132896423">
      <w:marLeft w:val="0"/>
      <w:marRight w:val="0"/>
      <w:marTop w:val="0"/>
      <w:marBottom w:val="0"/>
      <w:divBdr>
        <w:top w:val="none" w:sz="0" w:space="0" w:color="auto"/>
        <w:left w:val="none" w:sz="0" w:space="0" w:color="auto"/>
        <w:bottom w:val="none" w:sz="0" w:space="0" w:color="auto"/>
        <w:right w:val="none" w:sz="0" w:space="0" w:color="auto"/>
      </w:divBdr>
    </w:div>
    <w:div w:id="2132896436">
      <w:marLeft w:val="0"/>
      <w:marRight w:val="0"/>
      <w:marTop w:val="0"/>
      <w:marBottom w:val="0"/>
      <w:divBdr>
        <w:top w:val="none" w:sz="0" w:space="0" w:color="auto"/>
        <w:left w:val="none" w:sz="0" w:space="0" w:color="auto"/>
        <w:bottom w:val="none" w:sz="0" w:space="0" w:color="auto"/>
        <w:right w:val="none" w:sz="0" w:space="0" w:color="auto"/>
      </w:divBdr>
    </w:div>
    <w:div w:id="2132896439">
      <w:marLeft w:val="0"/>
      <w:marRight w:val="0"/>
      <w:marTop w:val="0"/>
      <w:marBottom w:val="0"/>
      <w:divBdr>
        <w:top w:val="none" w:sz="0" w:space="0" w:color="auto"/>
        <w:left w:val="none" w:sz="0" w:space="0" w:color="auto"/>
        <w:bottom w:val="none" w:sz="0" w:space="0" w:color="auto"/>
        <w:right w:val="none" w:sz="0" w:space="0" w:color="auto"/>
      </w:divBdr>
    </w:div>
    <w:div w:id="2132896442">
      <w:marLeft w:val="0"/>
      <w:marRight w:val="0"/>
      <w:marTop w:val="0"/>
      <w:marBottom w:val="0"/>
      <w:divBdr>
        <w:top w:val="none" w:sz="0" w:space="0" w:color="auto"/>
        <w:left w:val="none" w:sz="0" w:space="0" w:color="auto"/>
        <w:bottom w:val="none" w:sz="0" w:space="0" w:color="auto"/>
        <w:right w:val="none" w:sz="0" w:space="0" w:color="auto"/>
      </w:divBdr>
    </w:div>
    <w:div w:id="2132896451">
      <w:marLeft w:val="0"/>
      <w:marRight w:val="0"/>
      <w:marTop w:val="0"/>
      <w:marBottom w:val="0"/>
      <w:divBdr>
        <w:top w:val="none" w:sz="0" w:space="0" w:color="auto"/>
        <w:left w:val="none" w:sz="0" w:space="0" w:color="auto"/>
        <w:bottom w:val="none" w:sz="0" w:space="0" w:color="auto"/>
        <w:right w:val="none" w:sz="0" w:space="0" w:color="auto"/>
      </w:divBdr>
    </w:div>
    <w:div w:id="2132896453">
      <w:marLeft w:val="0"/>
      <w:marRight w:val="0"/>
      <w:marTop w:val="0"/>
      <w:marBottom w:val="0"/>
      <w:divBdr>
        <w:top w:val="none" w:sz="0" w:space="0" w:color="auto"/>
        <w:left w:val="none" w:sz="0" w:space="0" w:color="auto"/>
        <w:bottom w:val="none" w:sz="0" w:space="0" w:color="auto"/>
        <w:right w:val="none" w:sz="0" w:space="0" w:color="auto"/>
      </w:divBdr>
    </w:div>
    <w:div w:id="2132896468">
      <w:marLeft w:val="0"/>
      <w:marRight w:val="0"/>
      <w:marTop w:val="0"/>
      <w:marBottom w:val="0"/>
      <w:divBdr>
        <w:top w:val="none" w:sz="0" w:space="0" w:color="auto"/>
        <w:left w:val="none" w:sz="0" w:space="0" w:color="auto"/>
        <w:bottom w:val="none" w:sz="0" w:space="0" w:color="auto"/>
        <w:right w:val="none" w:sz="0" w:space="0" w:color="auto"/>
      </w:divBdr>
      <w:divsChild>
        <w:div w:id="2132896420">
          <w:marLeft w:val="0"/>
          <w:marRight w:val="0"/>
          <w:marTop w:val="240"/>
          <w:marBottom w:val="0"/>
          <w:divBdr>
            <w:top w:val="none" w:sz="0" w:space="0" w:color="auto"/>
            <w:left w:val="none" w:sz="0" w:space="0" w:color="auto"/>
            <w:bottom w:val="none" w:sz="0" w:space="0" w:color="auto"/>
            <w:right w:val="none" w:sz="0" w:space="0" w:color="auto"/>
          </w:divBdr>
        </w:div>
        <w:div w:id="2132896421">
          <w:marLeft w:val="0"/>
          <w:marRight w:val="0"/>
          <w:marTop w:val="240"/>
          <w:marBottom w:val="0"/>
          <w:divBdr>
            <w:top w:val="none" w:sz="0" w:space="0" w:color="auto"/>
            <w:left w:val="none" w:sz="0" w:space="0" w:color="auto"/>
            <w:bottom w:val="none" w:sz="0" w:space="0" w:color="auto"/>
            <w:right w:val="none" w:sz="0" w:space="0" w:color="auto"/>
          </w:divBdr>
        </w:div>
        <w:div w:id="2132896422">
          <w:marLeft w:val="0"/>
          <w:marRight w:val="0"/>
          <w:marTop w:val="240"/>
          <w:marBottom w:val="0"/>
          <w:divBdr>
            <w:top w:val="none" w:sz="0" w:space="0" w:color="auto"/>
            <w:left w:val="none" w:sz="0" w:space="0" w:color="auto"/>
            <w:bottom w:val="none" w:sz="0" w:space="0" w:color="auto"/>
            <w:right w:val="none" w:sz="0" w:space="0" w:color="auto"/>
          </w:divBdr>
        </w:div>
        <w:div w:id="2132896424">
          <w:marLeft w:val="0"/>
          <w:marRight w:val="0"/>
          <w:marTop w:val="240"/>
          <w:marBottom w:val="0"/>
          <w:divBdr>
            <w:top w:val="none" w:sz="0" w:space="0" w:color="auto"/>
            <w:left w:val="none" w:sz="0" w:space="0" w:color="auto"/>
            <w:bottom w:val="none" w:sz="0" w:space="0" w:color="auto"/>
            <w:right w:val="none" w:sz="0" w:space="0" w:color="auto"/>
          </w:divBdr>
        </w:div>
        <w:div w:id="2132896425">
          <w:marLeft w:val="0"/>
          <w:marRight w:val="0"/>
          <w:marTop w:val="240"/>
          <w:marBottom w:val="0"/>
          <w:divBdr>
            <w:top w:val="none" w:sz="0" w:space="0" w:color="auto"/>
            <w:left w:val="none" w:sz="0" w:space="0" w:color="auto"/>
            <w:bottom w:val="none" w:sz="0" w:space="0" w:color="auto"/>
            <w:right w:val="none" w:sz="0" w:space="0" w:color="auto"/>
          </w:divBdr>
        </w:div>
        <w:div w:id="2132896426">
          <w:marLeft w:val="0"/>
          <w:marRight w:val="0"/>
          <w:marTop w:val="240"/>
          <w:marBottom w:val="0"/>
          <w:divBdr>
            <w:top w:val="none" w:sz="0" w:space="0" w:color="auto"/>
            <w:left w:val="none" w:sz="0" w:space="0" w:color="auto"/>
            <w:bottom w:val="none" w:sz="0" w:space="0" w:color="auto"/>
            <w:right w:val="none" w:sz="0" w:space="0" w:color="auto"/>
          </w:divBdr>
        </w:div>
        <w:div w:id="2132896427">
          <w:marLeft w:val="0"/>
          <w:marRight w:val="0"/>
          <w:marTop w:val="240"/>
          <w:marBottom w:val="0"/>
          <w:divBdr>
            <w:top w:val="none" w:sz="0" w:space="0" w:color="auto"/>
            <w:left w:val="none" w:sz="0" w:space="0" w:color="auto"/>
            <w:bottom w:val="none" w:sz="0" w:space="0" w:color="auto"/>
            <w:right w:val="none" w:sz="0" w:space="0" w:color="auto"/>
          </w:divBdr>
        </w:div>
        <w:div w:id="2132896428">
          <w:marLeft w:val="0"/>
          <w:marRight w:val="0"/>
          <w:marTop w:val="240"/>
          <w:marBottom w:val="0"/>
          <w:divBdr>
            <w:top w:val="none" w:sz="0" w:space="0" w:color="auto"/>
            <w:left w:val="none" w:sz="0" w:space="0" w:color="auto"/>
            <w:bottom w:val="none" w:sz="0" w:space="0" w:color="auto"/>
            <w:right w:val="none" w:sz="0" w:space="0" w:color="auto"/>
          </w:divBdr>
        </w:div>
        <w:div w:id="2132896429">
          <w:marLeft w:val="0"/>
          <w:marRight w:val="0"/>
          <w:marTop w:val="240"/>
          <w:marBottom w:val="0"/>
          <w:divBdr>
            <w:top w:val="none" w:sz="0" w:space="0" w:color="auto"/>
            <w:left w:val="none" w:sz="0" w:space="0" w:color="auto"/>
            <w:bottom w:val="none" w:sz="0" w:space="0" w:color="auto"/>
            <w:right w:val="none" w:sz="0" w:space="0" w:color="auto"/>
          </w:divBdr>
        </w:div>
        <w:div w:id="2132896430">
          <w:marLeft w:val="0"/>
          <w:marRight w:val="0"/>
          <w:marTop w:val="240"/>
          <w:marBottom w:val="0"/>
          <w:divBdr>
            <w:top w:val="none" w:sz="0" w:space="0" w:color="auto"/>
            <w:left w:val="none" w:sz="0" w:space="0" w:color="auto"/>
            <w:bottom w:val="none" w:sz="0" w:space="0" w:color="auto"/>
            <w:right w:val="none" w:sz="0" w:space="0" w:color="auto"/>
          </w:divBdr>
        </w:div>
        <w:div w:id="2132896431">
          <w:marLeft w:val="0"/>
          <w:marRight w:val="0"/>
          <w:marTop w:val="240"/>
          <w:marBottom w:val="0"/>
          <w:divBdr>
            <w:top w:val="none" w:sz="0" w:space="0" w:color="auto"/>
            <w:left w:val="none" w:sz="0" w:space="0" w:color="auto"/>
            <w:bottom w:val="none" w:sz="0" w:space="0" w:color="auto"/>
            <w:right w:val="none" w:sz="0" w:space="0" w:color="auto"/>
          </w:divBdr>
        </w:div>
        <w:div w:id="2132896432">
          <w:marLeft w:val="0"/>
          <w:marRight w:val="0"/>
          <w:marTop w:val="240"/>
          <w:marBottom w:val="0"/>
          <w:divBdr>
            <w:top w:val="none" w:sz="0" w:space="0" w:color="auto"/>
            <w:left w:val="none" w:sz="0" w:space="0" w:color="auto"/>
            <w:bottom w:val="none" w:sz="0" w:space="0" w:color="auto"/>
            <w:right w:val="none" w:sz="0" w:space="0" w:color="auto"/>
          </w:divBdr>
        </w:div>
        <w:div w:id="2132896433">
          <w:marLeft w:val="0"/>
          <w:marRight w:val="0"/>
          <w:marTop w:val="240"/>
          <w:marBottom w:val="0"/>
          <w:divBdr>
            <w:top w:val="none" w:sz="0" w:space="0" w:color="auto"/>
            <w:left w:val="none" w:sz="0" w:space="0" w:color="auto"/>
            <w:bottom w:val="none" w:sz="0" w:space="0" w:color="auto"/>
            <w:right w:val="none" w:sz="0" w:space="0" w:color="auto"/>
          </w:divBdr>
        </w:div>
        <w:div w:id="2132896434">
          <w:marLeft w:val="0"/>
          <w:marRight w:val="0"/>
          <w:marTop w:val="480"/>
          <w:marBottom w:val="0"/>
          <w:divBdr>
            <w:top w:val="single" w:sz="8" w:space="28" w:color="000000"/>
            <w:left w:val="none" w:sz="0" w:space="0" w:color="auto"/>
            <w:bottom w:val="none" w:sz="0" w:space="0" w:color="auto"/>
            <w:right w:val="none" w:sz="0" w:space="0" w:color="auto"/>
          </w:divBdr>
        </w:div>
        <w:div w:id="2132896435">
          <w:marLeft w:val="0"/>
          <w:marRight w:val="0"/>
          <w:marTop w:val="480"/>
          <w:marBottom w:val="240"/>
          <w:divBdr>
            <w:top w:val="none" w:sz="0" w:space="0" w:color="auto"/>
            <w:left w:val="none" w:sz="0" w:space="0" w:color="auto"/>
            <w:bottom w:val="none" w:sz="0" w:space="0" w:color="auto"/>
            <w:right w:val="none" w:sz="0" w:space="0" w:color="auto"/>
          </w:divBdr>
        </w:div>
        <w:div w:id="2132896437">
          <w:marLeft w:val="0"/>
          <w:marRight w:val="0"/>
          <w:marTop w:val="240"/>
          <w:marBottom w:val="0"/>
          <w:divBdr>
            <w:top w:val="none" w:sz="0" w:space="0" w:color="auto"/>
            <w:left w:val="none" w:sz="0" w:space="0" w:color="auto"/>
            <w:bottom w:val="none" w:sz="0" w:space="0" w:color="auto"/>
            <w:right w:val="none" w:sz="0" w:space="0" w:color="auto"/>
          </w:divBdr>
        </w:div>
        <w:div w:id="2132896438">
          <w:marLeft w:val="0"/>
          <w:marRight w:val="0"/>
          <w:marTop w:val="240"/>
          <w:marBottom w:val="0"/>
          <w:divBdr>
            <w:top w:val="none" w:sz="0" w:space="0" w:color="auto"/>
            <w:left w:val="none" w:sz="0" w:space="0" w:color="auto"/>
            <w:bottom w:val="none" w:sz="0" w:space="0" w:color="auto"/>
            <w:right w:val="none" w:sz="0" w:space="0" w:color="auto"/>
          </w:divBdr>
        </w:div>
        <w:div w:id="2132896440">
          <w:marLeft w:val="0"/>
          <w:marRight w:val="0"/>
          <w:marTop w:val="240"/>
          <w:marBottom w:val="0"/>
          <w:divBdr>
            <w:top w:val="none" w:sz="0" w:space="0" w:color="auto"/>
            <w:left w:val="none" w:sz="0" w:space="0" w:color="auto"/>
            <w:bottom w:val="none" w:sz="0" w:space="0" w:color="auto"/>
            <w:right w:val="none" w:sz="0" w:space="0" w:color="auto"/>
          </w:divBdr>
        </w:div>
        <w:div w:id="2132896441">
          <w:marLeft w:val="0"/>
          <w:marRight w:val="0"/>
          <w:marTop w:val="240"/>
          <w:marBottom w:val="0"/>
          <w:divBdr>
            <w:top w:val="none" w:sz="0" w:space="0" w:color="auto"/>
            <w:left w:val="none" w:sz="0" w:space="0" w:color="auto"/>
            <w:bottom w:val="none" w:sz="0" w:space="0" w:color="auto"/>
            <w:right w:val="none" w:sz="0" w:space="0" w:color="auto"/>
          </w:divBdr>
        </w:div>
        <w:div w:id="2132896443">
          <w:marLeft w:val="0"/>
          <w:marRight w:val="0"/>
          <w:marTop w:val="240"/>
          <w:marBottom w:val="0"/>
          <w:divBdr>
            <w:top w:val="none" w:sz="0" w:space="0" w:color="auto"/>
            <w:left w:val="none" w:sz="0" w:space="0" w:color="auto"/>
            <w:bottom w:val="none" w:sz="0" w:space="0" w:color="auto"/>
            <w:right w:val="none" w:sz="0" w:space="0" w:color="auto"/>
          </w:divBdr>
        </w:div>
        <w:div w:id="2132896444">
          <w:marLeft w:val="0"/>
          <w:marRight w:val="0"/>
          <w:marTop w:val="240"/>
          <w:marBottom w:val="0"/>
          <w:divBdr>
            <w:top w:val="none" w:sz="0" w:space="0" w:color="auto"/>
            <w:left w:val="none" w:sz="0" w:space="0" w:color="auto"/>
            <w:bottom w:val="none" w:sz="0" w:space="0" w:color="auto"/>
            <w:right w:val="none" w:sz="0" w:space="0" w:color="auto"/>
          </w:divBdr>
        </w:div>
        <w:div w:id="2132896445">
          <w:marLeft w:val="0"/>
          <w:marRight w:val="0"/>
          <w:marTop w:val="240"/>
          <w:marBottom w:val="0"/>
          <w:divBdr>
            <w:top w:val="none" w:sz="0" w:space="0" w:color="auto"/>
            <w:left w:val="none" w:sz="0" w:space="0" w:color="auto"/>
            <w:bottom w:val="none" w:sz="0" w:space="0" w:color="auto"/>
            <w:right w:val="none" w:sz="0" w:space="0" w:color="auto"/>
          </w:divBdr>
        </w:div>
        <w:div w:id="2132896446">
          <w:marLeft w:val="0"/>
          <w:marRight w:val="0"/>
          <w:marTop w:val="240"/>
          <w:marBottom w:val="0"/>
          <w:divBdr>
            <w:top w:val="none" w:sz="0" w:space="0" w:color="auto"/>
            <w:left w:val="none" w:sz="0" w:space="0" w:color="auto"/>
            <w:bottom w:val="none" w:sz="0" w:space="0" w:color="auto"/>
            <w:right w:val="none" w:sz="0" w:space="0" w:color="auto"/>
          </w:divBdr>
        </w:div>
        <w:div w:id="2132896447">
          <w:marLeft w:val="0"/>
          <w:marRight w:val="0"/>
          <w:marTop w:val="240"/>
          <w:marBottom w:val="0"/>
          <w:divBdr>
            <w:top w:val="none" w:sz="0" w:space="0" w:color="auto"/>
            <w:left w:val="none" w:sz="0" w:space="0" w:color="auto"/>
            <w:bottom w:val="none" w:sz="0" w:space="0" w:color="auto"/>
            <w:right w:val="none" w:sz="0" w:space="0" w:color="auto"/>
          </w:divBdr>
        </w:div>
        <w:div w:id="2132896448">
          <w:marLeft w:val="0"/>
          <w:marRight w:val="0"/>
          <w:marTop w:val="240"/>
          <w:marBottom w:val="0"/>
          <w:divBdr>
            <w:top w:val="none" w:sz="0" w:space="0" w:color="auto"/>
            <w:left w:val="none" w:sz="0" w:space="0" w:color="auto"/>
            <w:bottom w:val="none" w:sz="0" w:space="0" w:color="auto"/>
            <w:right w:val="none" w:sz="0" w:space="0" w:color="auto"/>
          </w:divBdr>
        </w:div>
        <w:div w:id="2132896449">
          <w:marLeft w:val="0"/>
          <w:marRight w:val="0"/>
          <w:marTop w:val="240"/>
          <w:marBottom w:val="0"/>
          <w:divBdr>
            <w:top w:val="none" w:sz="0" w:space="0" w:color="auto"/>
            <w:left w:val="none" w:sz="0" w:space="0" w:color="auto"/>
            <w:bottom w:val="none" w:sz="0" w:space="0" w:color="auto"/>
            <w:right w:val="none" w:sz="0" w:space="0" w:color="auto"/>
          </w:divBdr>
        </w:div>
        <w:div w:id="2132896450">
          <w:marLeft w:val="0"/>
          <w:marRight w:val="0"/>
          <w:marTop w:val="240"/>
          <w:marBottom w:val="0"/>
          <w:divBdr>
            <w:top w:val="none" w:sz="0" w:space="0" w:color="auto"/>
            <w:left w:val="none" w:sz="0" w:space="0" w:color="auto"/>
            <w:bottom w:val="none" w:sz="0" w:space="0" w:color="auto"/>
            <w:right w:val="none" w:sz="0" w:space="0" w:color="auto"/>
          </w:divBdr>
        </w:div>
        <w:div w:id="2132896452">
          <w:marLeft w:val="0"/>
          <w:marRight w:val="0"/>
          <w:marTop w:val="240"/>
          <w:marBottom w:val="0"/>
          <w:divBdr>
            <w:top w:val="none" w:sz="0" w:space="0" w:color="auto"/>
            <w:left w:val="none" w:sz="0" w:space="0" w:color="auto"/>
            <w:bottom w:val="none" w:sz="0" w:space="0" w:color="auto"/>
            <w:right w:val="none" w:sz="0" w:space="0" w:color="auto"/>
          </w:divBdr>
        </w:div>
        <w:div w:id="2132896454">
          <w:marLeft w:val="0"/>
          <w:marRight w:val="0"/>
          <w:marTop w:val="240"/>
          <w:marBottom w:val="0"/>
          <w:divBdr>
            <w:top w:val="none" w:sz="0" w:space="0" w:color="auto"/>
            <w:left w:val="none" w:sz="0" w:space="0" w:color="auto"/>
            <w:bottom w:val="none" w:sz="0" w:space="0" w:color="auto"/>
            <w:right w:val="none" w:sz="0" w:space="0" w:color="auto"/>
          </w:divBdr>
        </w:div>
        <w:div w:id="2132896455">
          <w:marLeft w:val="0"/>
          <w:marRight w:val="0"/>
          <w:marTop w:val="240"/>
          <w:marBottom w:val="0"/>
          <w:divBdr>
            <w:top w:val="none" w:sz="0" w:space="0" w:color="auto"/>
            <w:left w:val="none" w:sz="0" w:space="0" w:color="auto"/>
            <w:bottom w:val="none" w:sz="0" w:space="0" w:color="auto"/>
            <w:right w:val="none" w:sz="0" w:space="0" w:color="auto"/>
          </w:divBdr>
        </w:div>
        <w:div w:id="2132896456">
          <w:marLeft w:val="0"/>
          <w:marRight w:val="0"/>
          <w:marTop w:val="240"/>
          <w:marBottom w:val="0"/>
          <w:divBdr>
            <w:top w:val="none" w:sz="0" w:space="0" w:color="auto"/>
            <w:left w:val="none" w:sz="0" w:space="0" w:color="auto"/>
            <w:bottom w:val="none" w:sz="0" w:space="0" w:color="auto"/>
            <w:right w:val="none" w:sz="0" w:space="0" w:color="auto"/>
          </w:divBdr>
        </w:div>
        <w:div w:id="2132896457">
          <w:marLeft w:val="0"/>
          <w:marRight w:val="0"/>
          <w:marTop w:val="240"/>
          <w:marBottom w:val="0"/>
          <w:divBdr>
            <w:top w:val="none" w:sz="0" w:space="0" w:color="auto"/>
            <w:left w:val="none" w:sz="0" w:space="0" w:color="auto"/>
            <w:bottom w:val="none" w:sz="0" w:space="0" w:color="auto"/>
            <w:right w:val="none" w:sz="0" w:space="0" w:color="auto"/>
          </w:divBdr>
        </w:div>
        <w:div w:id="2132896458">
          <w:marLeft w:val="0"/>
          <w:marRight w:val="0"/>
          <w:marTop w:val="480"/>
          <w:marBottom w:val="0"/>
          <w:divBdr>
            <w:top w:val="single" w:sz="8" w:space="28" w:color="000000"/>
            <w:left w:val="none" w:sz="0" w:space="0" w:color="auto"/>
            <w:bottom w:val="none" w:sz="0" w:space="0" w:color="auto"/>
            <w:right w:val="none" w:sz="0" w:space="0" w:color="auto"/>
          </w:divBdr>
        </w:div>
        <w:div w:id="2132896459">
          <w:marLeft w:val="0"/>
          <w:marRight w:val="0"/>
          <w:marTop w:val="240"/>
          <w:marBottom w:val="0"/>
          <w:divBdr>
            <w:top w:val="none" w:sz="0" w:space="0" w:color="auto"/>
            <w:left w:val="none" w:sz="0" w:space="0" w:color="auto"/>
            <w:bottom w:val="none" w:sz="0" w:space="0" w:color="auto"/>
            <w:right w:val="none" w:sz="0" w:space="0" w:color="auto"/>
          </w:divBdr>
        </w:div>
        <w:div w:id="2132896460">
          <w:marLeft w:val="0"/>
          <w:marRight w:val="0"/>
          <w:marTop w:val="240"/>
          <w:marBottom w:val="0"/>
          <w:divBdr>
            <w:top w:val="none" w:sz="0" w:space="0" w:color="auto"/>
            <w:left w:val="none" w:sz="0" w:space="0" w:color="auto"/>
            <w:bottom w:val="none" w:sz="0" w:space="0" w:color="auto"/>
            <w:right w:val="none" w:sz="0" w:space="0" w:color="auto"/>
          </w:divBdr>
        </w:div>
        <w:div w:id="2132896461">
          <w:marLeft w:val="0"/>
          <w:marRight w:val="0"/>
          <w:marTop w:val="240"/>
          <w:marBottom w:val="0"/>
          <w:divBdr>
            <w:top w:val="none" w:sz="0" w:space="0" w:color="auto"/>
            <w:left w:val="none" w:sz="0" w:space="0" w:color="auto"/>
            <w:bottom w:val="none" w:sz="0" w:space="0" w:color="auto"/>
            <w:right w:val="none" w:sz="0" w:space="0" w:color="auto"/>
          </w:divBdr>
        </w:div>
        <w:div w:id="2132896462">
          <w:marLeft w:val="0"/>
          <w:marRight w:val="0"/>
          <w:marTop w:val="240"/>
          <w:marBottom w:val="0"/>
          <w:divBdr>
            <w:top w:val="none" w:sz="0" w:space="0" w:color="auto"/>
            <w:left w:val="none" w:sz="0" w:space="0" w:color="auto"/>
            <w:bottom w:val="none" w:sz="0" w:space="0" w:color="auto"/>
            <w:right w:val="none" w:sz="0" w:space="0" w:color="auto"/>
          </w:divBdr>
        </w:div>
        <w:div w:id="2132896463">
          <w:marLeft w:val="0"/>
          <w:marRight w:val="0"/>
          <w:marTop w:val="240"/>
          <w:marBottom w:val="0"/>
          <w:divBdr>
            <w:top w:val="none" w:sz="0" w:space="0" w:color="auto"/>
            <w:left w:val="none" w:sz="0" w:space="0" w:color="auto"/>
            <w:bottom w:val="none" w:sz="0" w:space="0" w:color="auto"/>
            <w:right w:val="none" w:sz="0" w:space="0" w:color="auto"/>
          </w:divBdr>
        </w:div>
        <w:div w:id="2132896464">
          <w:marLeft w:val="0"/>
          <w:marRight w:val="0"/>
          <w:marTop w:val="240"/>
          <w:marBottom w:val="0"/>
          <w:divBdr>
            <w:top w:val="none" w:sz="0" w:space="0" w:color="auto"/>
            <w:left w:val="none" w:sz="0" w:space="0" w:color="auto"/>
            <w:bottom w:val="none" w:sz="0" w:space="0" w:color="auto"/>
            <w:right w:val="none" w:sz="0" w:space="0" w:color="auto"/>
          </w:divBdr>
        </w:div>
        <w:div w:id="2132896465">
          <w:marLeft w:val="0"/>
          <w:marRight w:val="0"/>
          <w:marTop w:val="240"/>
          <w:marBottom w:val="0"/>
          <w:divBdr>
            <w:top w:val="none" w:sz="0" w:space="0" w:color="auto"/>
            <w:left w:val="none" w:sz="0" w:space="0" w:color="auto"/>
            <w:bottom w:val="none" w:sz="0" w:space="0" w:color="auto"/>
            <w:right w:val="none" w:sz="0" w:space="0" w:color="auto"/>
          </w:divBdr>
        </w:div>
        <w:div w:id="2132896466">
          <w:marLeft w:val="0"/>
          <w:marRight w:val="0"/>
          <w:marTop w:val="480"/>
          <w:marBottom w:val="0"/>
          <w:divBdr>
            <w:top w:val="single" w:sz="8" w:space="28" w:color="000000"/>
            <w:left w:val="none" w:sz="0" w:space="0" w:color="auto"/>
            <w:bottom w:val="none" w:sz="0" w:space="0" w:color="auto"/>
            <w:right w:val="none" w:sz="0" w:space="0" w:color="auto"/>
          </w:divBdr>
        </w:div>
        <w:div w:id="2132896467">
          <w:marLeft w:val="0"/>
          <w:marRight w:val="0"/>
          <w:marTop w:val="240"/>
          <w:marBottom w:val="0"/>
          <w:divBdr>
            <w:top w:val="none" w:sz="0" w:space="0" w:color="auto"/>
            <w:left w:val="none" w:sz="0" w:space="0" w:color="auto"/>
            <w:bottom w:val="none" w:sz="0" w:space="0" w:color="auto"/>
            <w:right w:val="none" w:sz="0" w:space="0" w:color="auto"/>
          </w:divBdr>
        </w:div>
        <w:div w:id="2132896469">
          <w:marLeft w:val="0"/>
          <w:marRight w:val="0"/>
          <w:marTop w:val="0"/>
          <w:marBottom w:val="567"/>
          <w:divBdr>
            <w:top w:val="none" w:sz="0" w:space="0" w:color="auto"/>
            <w:left w:val="none" w:sz="0" w:space="0" w:color="auto"/>
            <w:bottom w:val="none" w:sz="0" w:space="0" w:color="auto"/>
            <w:right w:val="none" w:sz="0" w:space="0" w:color="auto"/>
          </w:divBdr>
        </w:div>
        <w:div w:id="2132896470">
          <w:marLeft w:val="0"/>
          <w:marRight w:val="0"/>
          <w:marTop w:val="0"/>
          <w:marBottom w:val="567"/>
          <w:divBdr>
            <w:top w:val="none" w:sz="0" w:space="0" w:color="auto"/>
            <w:left w:val="none" w:sz="0" w:space="0" w:color="auto"/>
            <w:bottom w:val="none" w:sz="0" w:space="0" w:color="auto"/>
            <w:right w:val="none" w:sz="0" w:space="0" w:color="auto"/>
          </w:divBdr>
        </w:div>
        <w:div w:id="2132896471">
          <w:marLeft w:val="0"/>
          <w:marRight w:val="0"/>
          <w:marTop w:val="240"/>
          <w:marBottom w:val="0"/>
          <w:divBdr>
            <w:top w:val="none" w:sz="0" w:space="0" w:color="auto"/>
            <w:left w:val="none" w:sz="0" w:space="0" w:color="auto"/>
            <w:bottom w:val="none" w:sz="0" w:space="0" w:color="auto"/>
            <w:right w:val="none" w:sz="0" w:space="0" w:color="auto"/>
          </w:divBdr>
        </w:div>
        <w:div w:id="2132896472">
          <w:marLeft w:val="0"/>
          <w:marRight w:val="0"/>
          <w:marTop w:val="240"/>
          <w:marBottom w:val="0"/>
          <w:divBdr>
            <w:top w:val="none" w:sz="0" w:space="0" w:color="auto"/>
            <w:left w:val="none" w:sz="0" w:space="0" w:color="auto"/>
            <w:bottom w:val="none" w:sz="0" w:space="0" w:color="auto"/>
            <w:right w:val="none" w:sz="0" w:space="0" w:color="auto"/>
          </w:divBdr>
        </w:div>
        <w:div w:id="2132896473">
          <w:marLeft w:val="0"/>
          <w:marRight w:val="0"/>
          <w:marTop w:val="480"/>
          <w:marBottom w:val="0"/>
          <w:divBdr>
            <w:top w:val="single" w:sz="8" w:space="28" w:color="000000"/>
            <w:left w:val="none" w:sz="0" w:space="0" w:color="auto"/>
            <w:bottom w:val="none" w:sz="0" w:space="0" w:color="auto"/>
            <w:right w:val="none" w:sz="0" w:space="0" w:color="auto"/>
          </w:divBdr>
        </w:div>
        <w:div w:id="2132896475">
          <w:marLeft w:val="0"/>
          <w:marRight w:val="0"/>
          <w:marTop w:val="240"/>
          <w:marBottom w:val="0"/>
          <w:divBdr>
            <w:top w:val="none" w:sz="0" w:space="0" w:color="auto"/>
            <w:left w:val="none" w:sz="0" w:space="0" w:color="auto"/>
            <w:bottom w:val="none" w:sz="0" w:space="0" w:color="auto"/>
            <w:right w:val="none" w:sz="0" w:space="0" w:color="auto"/>
          </w:divBdr>
        </w:div>
        <w:div w:id="2132896477">
          <w:marLeft w:val="0"/>
          <w:marRight w:val="0"/>
          <w:marTop w:val="240"/>
          <w:marBottom w:val="0"/>
          <w:divBdr>
            <w:top w:val="none" w:sz="0" w:space="0" w:color="auto"/>
            <w:left w:val="none" w:sz="0" w:space="0" w:color="auto"/>
            <w:bottom w:val="none" w:sz="0" w:space="0" w:color="auto"/>
            <w:right w:val="none" w:sz="0" w:space="0" w:color="auto"/>
          </w:divBdr>
        </w:div>
      </w:divsChild>
    </w:div>
    <w:div w:id="2132896474">
      <w:marLeft w:val="0"/>
      <w:marRight w:val="0"/>
      <w:marTop w:val="0"/>
      <w:marBottom w:val="0"/>
      <w:divBdr>
        <w:top w:val="none" w:sz="0" w:space="0" w:color="auto"/>
        <w:left w:val="none" w:sz="0" w:space="0" w:color="auto"/>
        <w:bottom w:val="none" w:sz="0" w:space="0" w:color="auto"/>
        <w:right w:val="none" w:sz="0" w:space="0" w:color="auto"/>
      </w:divBdr>
    </w:div>
    <w:div w:id="2132896476">
      <w:marLeft w:val="0"/>
      <w:marRight w:val="0"/>
      <w:marTop w:val="0"/>
      <w:marBottom w:val="0"/>
      <w:divBdr>
        <w:top w:val="none" w:sz="0" w:space="0" w:color="auto"/>
        <w:left w:val="none" w:sz="0" w:space="0" w:color="auto"/>
        <w:bottom w:val="none" w:sz="0" w:space="0" w:color="auto"/>
        <w:right w:val="none" w:sz="0" w:space="0" w:color="auto"/>
      </w:divBdr>
    </w:div>
    <w:div w:id="21328964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latak.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28849</Words>
  <Characters>16445</Characters>
  <Application>Microsoft Office Word</Application>
  <DocSecurity>0</DocSecurity>
  <Lines>137</Lines>
  <Paragraphs>90</Paragraphs>
  <ScaleCrop>false</ScaleCrop>
  <HeadingPairs>
    <vt:vector size="2" baseType="variant">
      <vt:variant>
        <vt:lpstr>Title</vt:lpstr>
      </vt:variant>
      <vt:variant>
        <vt:i4>1</vt:i4>
      </vt:variant>
    </vt:vector>
  </HeadingPairs>
  <TitlesOfParts>
    <vt:vector size="1" baseType="lpstr">
      <vt:lpstr>Ministru kabineta noteikumu projekts „Noteikumi par stacionāro tehnoloģisko iekārtu dalību Eiropas Savienības emisijas kvotu tirdzniecības sistēmā”</vt:lpstr>
    </vt:vector>
  </TitlesOfParts>
  <Manager>Helena.Rimsa@varam.gov.lv</Manager>
  <Company>Vides aizsardzības un reģionālās attīstības ministrija</Company>
  <LinksUpToDate>false</LinksUpToDate>
  <CharactersWithSpaces>45204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„Noteikumi par stacionāro tehnoloģisko iekārtu dalību Eiropas Savienības emisijas kvotu tirdzniecības sistēmā”</dc:title>
  <dc:subject>Ministru kabineta noteikumu projekts</dc:subject>
  <dc:creator>Helēna Rimša</dc:creator>
  <cp:lastModifiedBy>Zandak</cp:lastModifiedBy>
  <cp:revision>2</cp:revision>
  <cp:lastPrinted>2012-09-10T05:35:00Z</cp:lastPrinted>
  <dcterms:created xsi:type="dcterms:W3CDTF">2012-09-18T05:52:00Z</dcterms:created>
  <dcterms:modified xsi:type="dcterms:W3CDTF">2012-09-18T05:52:00Z</dcterms:modified>
  <cp:category>Vides politika</cp:category>
</cp:coreProperties>
</file>