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CEA44" w14:textId="77777777" w:rsidR="00112A98" w:rsidRDefault="00112A98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241370" w14:textId="77777777" w:rsidR="00112A98" w:rsidRDefault="00112A98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0A7645" w14:textId="77777777" w:rsidR="00112A98" w:rsidRDefault="00112A98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F1B3A0" w14:textId="7FD98D0B" w:rsidR="004D15A9" w:rsidRPr="00952B44" w:rsidRDefault="00292DD5" w:rsidP="00292DD5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Noteikumu projekta</w:t>
      </w:r>
      <w:r w:rsidR="000C3F77"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71B7A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292DD5">
        <w:rPr>
          <w:rFonts w:ascii="Times New Roman" w:eastAsia="Times New Roman" w:hAnsi="Times New Roman" w:cs="Times New Roman"/>
          <w:b/>
          <w:bCs/>
          <w:sz w:val="24"/>
          <w:szCs w:val="24"/>
        </w:rPr>
        <w:t>Valsts informācijas resursu, sistēmu un sadarbspējas informācijas sistēmas noteikumi</w:t>
      </w:r>
      <w:r w:rsidR="000C3F77"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4D15A9"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sākotnējās ietekmes novērtējuma ziņojums (anotācija)</w:t>
      </w:r>
    </w:p>
    <w:p w14:paraId="3284F411" w14:textId="77777777" w:rsidR="00DA596D" w:rsidRDefault="00DA596D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6153"/>
      </w:tblGrid>
      <w:tr w:rsidR="00FF6D87" w:rsidRPr="00FF6D87" w14:paraId="154024ED" w14:textId="77777777" w:rsidTr="002E597B">
        <w:tc>
          <w:tcPr>
            <w:tcW w:w="918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193FC3B" w14:textId="77777777" w:rsidR="00FF6D87" w:rsidRPr="00FF6D87" w:rsidRDefault="00FF6D87" w:rsidP="00FF6D8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anotācijas kopsavilkums</w:t>
            </w:r>
          </w:p>
        </w:tc>
      </w:tr>
      <w:tr w:rsidR="00FF6D87" w:rsidRPr="00FF6D87" w14:paraId="091D4C12" w14:textId="77777777" w:rsidTr="00E77BD6">
        <w:tc>
          <w:tcPr>
            <w:tcW w:w="3033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8D54222" w14:textId="77777777" w:rsidR="00FF6D87" w:rsidRPr="00FF6D87" w:rsidRDefault="00FF6D87" w:rsidP="002E597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Mērķis, risinājums un projekta spēkā stāšanās laiks (500 zīmes bez atstarpēm)</w:t>
            </w:r>
          </w:p>
        </w:tc>
        <w:tc>
          <w:tcPr>
            <w:tcW w:w="6153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DFF050C" w14:textId="3EAA37CB" w:rsidR="00EF7761" w:rsidRDefault="00EF7761" w:rsidP="00F84E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 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>pilnveidot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 xml:space="preserve"> valsts informācijas un komunikācij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tehnoloģiju</w:t>
            </w:r>
            <w:r w:rsidR="002D66D4">
              <w:rPr>
                <w:rFonts w:ascii="Times New Roman" w:hAnsi="Times New Roman" w:cs="Times New Roman"/>
                <w:sz w:val="24"/>
                <w:szCs w:val="24"/>
              </w:rPr>
              <w:t xml:space="preserve"> (turpmāk – IKT)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pārvaldību ir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 xml:space="preserve"> izstrādāta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tiek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 xml:space="preserve"> ieviesta Valsts informācijas resursu, sistēmu un sadarbspējas informācijas sistēma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turpmāk - 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>VIRSIS), kurā turpmāk centralizēti jaunā kvalitātē tiks uzkrāti dati par valsts informācijas sistēmās</w:t>
            </w:r>
            <w:r w:rsidR="006553E8">
              <w:rPr>
                <w:rFonts w:ascii="Times New Roman" w:hAnsi="Times New Roman" w:cs="Times New Roman"/>
                <w:sz w:val="24"/>
                <w:szCs w:val="24"/>
              </w:rPr>
              <w:t xml:space="preserve"> (turpmāk – VIS)</w:t>
            </w:r>
            <w:r w:rsidRPr="00EF7761">
              <w:rPr>
                <w:rFonts w:ascii="Times New Roman" w:hAnsi="Times New Roman" w:cs="Times New Roman"/>
                <w:sz w:val="24"/>
                <w:szCs w:val="24"/>
              </w:rPr>
              <w:t xml:space="preserve"> apstrādātajiem informācijas resursiem, kā arī informācija par valsts informācijas sistēmu darbībai nepieciešamajiem tehnoloģiskajiem resursiem un pakalpojumiem.</w:t>
            </w:r>
          </w:p>
          <w:p w14:paraId="641F1B24" w14:textId="77777777" w:rsidR="00FF6D87" w:rsidRDefault="00EC3F64" w:rsidP="00EC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Vides aizsardzības un reģionālās attīstības ministrija (turpmāk – </w:t>
            </w:r>
            <w:r w:rsidR="006647B4">
              <w:rPr>
                <w:rFonts w:ascii="Times New Roman" w:hAnsi="Times New Roman" w:cs="Times New Roman"/>
                <w:sz w:val="24"/>
                <w:szCs w:val="24"/>
              </w:rPr>
              <w:t>VARAM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47B4">
              <w:rPr>
                <w:rFonts w:ascii="Times New Roman" w:hAnsi="Times New Roman" w:cs="Times New Roman"/>
                <w:sz w:val="24"/>
                <w:szCs w:val="24"/>
              </w:rPr>
              <w:t xml:space="preserve"> ir sagatavojusi </w:t>
            </w:r>
            <w:r w:rsidR="00855C8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noteikumu </w:t>
            </w:r>
            <w:r w:rsidR="006647B4">
              <w:rPr>
                <w:rFonts w:ascii="Times New Roman" w:hAnsi="Times New Roman" w:cs="Times New Roman"/>
                <w:sz w:val="24"/>
                <w:szCs w:val="24"/>
              </w:rPr>
              <w:t>projektu</w:t>
            </w:r>
            <w:r w:rsidR="00855C8F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855C8F" w:rsidRPr="00855C8F">
              <w:rPr>
                <w:rFonts w:ascii="Times New Roman" w:hAnsi="Times New Roman" w:cs="Times New Roman"/>
                <w:sz w:val="24"/>
                <w:szCs w:val="24"/>
              </w:rPr>
              <w:t>Valsts informācijas resursu, sistēmu un sadarbspējas informācijas sistēmas noteikumi</w:t>
            </w:r>
            <w:r w:rsidR="00855C8F">
              <w:rPr>
                <w:rFonts w:ascii="Times New Roman" w:hAnsi="Times New Roman" w:cs="Times New Roman"/>
                <w:sz w:val="24"/>
                <w:szCs w:val="24"/>
              </w:rPr>
              <w:t>” (turpmāk – noteikumu projekts)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kurš</w:t>
            </w:r>
            <w:r w:rsidRPr="00EC3F64">
              <w:rPr>
                <w:rFonts w:ascii="Times New Roman" w:hAnsi="Times New Roman" w:cs="Times New Roman"/>
                <w:sz w:val="24"/>
                <w:szCs w:val="24"/>
              </w:rPr>
              <w:t xml:space="preserve"> nosaka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 w:rsidRPr="00EC3F64">
              <w:rPr>
                <w:rFonts w:ascii="Times New Roman" w:hAnsi="Times New Roman" w:cs="Times New Roman"/>
                <w:sz w:val="24"/>
                <w:szCs w:val="24"/>
              </w:rPr>
              <w:t xml:space="preserve"> iekļaujamās informācijas apjomu, kā arī tās reģistrēšanas, izmantošanas un apstrādes kārtību</w:t>
            </w:r>
            <w:r w:rsidR="007524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56E85F" w14:textId="44BAC286" w:rsidR="00752433" w:rsidRPr="00FF6D87" w:rsidRDefault="00752433" w:rsidP="006C6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stāsies spēkā 2019.gada </w:t>
            </w:r>
            <w:r w:rsidR="00CB1CB0">
              <w:rPr>
                <w:rFonts w:ascii="Times New Roman" w:hAnsi="Times New Roman" w:cs="Times New Roman"/>
                <w:sz w:val="24"/>
                <w:szCs w:val="24"/>
              </w:rPr>
              <w:t>31.oktobrī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3FC13EC" w14:textId="186116FC" w:rsidR="00FF6D87" w:rsidRPr="00FF6D87" w:rsidRDefault="00FF6D87" w:rsidP="00FF6D87">
      <w:pPr>
        <w:rPr>
          <w:rFonts w:ascii="Times New Roman" w:hAnsi="Times New Roman" w:cs="Times New Roman"/>
        </w:rPr>
      </w:pPr>
    </w:p>
    <w:tbl>
      <w:tblPr>
        <w:tblW w:w="9186" w:type="dxa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54"/>
        <w:gridCol w:w="2579"/>
        <w:gridCol w:w="6153"/>
      </w:tblGrid>
      <w:tr w:rsidR="00FF6D87" w:rsidRPr="00FF6D87" w14:paraId="4CE7F1E2" w14:textId="77777777" w:rsidTr="002E597B">
        <w:trPr>
          <w:trHeight w:val="284"/>
        </w:trPr>
        <w:tc>
          <w:tcPr>
            <w:tcW w:w="9186" w:type="dxa"/>
            <w:gridSpan w:val="3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8952638" w14:textId="77777777" w:rsidR="00FF6D87" w:rsidRPr="00FF6D87" w:rsidRDefault="00FF6D87" w:rsidP="00FF6D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Tiesību akta projekta izstrādes nepieciešamība</w:t>
            </w:r>
          </w:p>
        </w:tc>
      </w:tr>
      <w:tr w:rsidR="00FF6D87" w:rsidRPr="00FF6D87" w14:paraId="358B9F4B" w14:textId="77777777" w:rsidTr="00E77BD6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9374623" w14:textId="77777777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88AA127" w14:textId="77777777" w:rsidR="00FF6D87" w:rsidRPr="00FF6D87" w:rsidRDefault="00FF6D87" w:rsidP="002E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Pamatojums</w:t>
            </w:r>
          </w:p>
        </w:tc>
        <w:tc>
          <w:tcPr>
            <w:tcW w:w="6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72A8C5E" w14:textId="285114FF" w:rsidR="00FF6D87" w:rsidRDefault="00D31F4E" w:rsidP="006647B4">
            <w:pPr>
              <w:pStyle w:val="BodyText"/>
              <w:outlineLvl w:val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Noteikumu projekts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izstrādāts, pamatojoties uz Ministru kabineta 2015. gada 17.novembra noteikumu Nr.653 “Darbības programmas </w:t>
            </w:r>
            <w:r w:rsidR="00AB68DF">
              <w:rPr>
                <w:sz w:val="24"/>
                <w:szCs w:val="24"/>
                <w:lang w:val="lv-LV"/>
              </w:rPr>
              <w:t>“</w:t>
            </w:r>
            <w:r w:rsidR="00665CD0" w:rsidRPr="00665CD0">
              <w:rPr>
                <w:sz w:val="24"/>
                <w:szCs w:val="24"/>
                <w:lang w:val="lv-LV"/>
              </w:rPr>
              <w:t>Izaugsme un nodarbinātība</w:t>
            </w:r>
            <w:r w:rsidR="00AB68DF">
              <w:rPr>
                <w:sz w:val="24"/>
                <w:szCs w:val="24"/>
                <w:lang w:val="lv-LV"/>
              </w:rPr>
              <w:t>”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2.2.1. specifiskā atbalsta mērķa </w:t>
            </w:r>
            <w:r w:rsidR="00AB68DF">
              <w:rPr>
                <w:sz w:val="24"/>
                <w:szCs w:val="24"/>
                <w:lang w:val="lv-LV"/>
              </w:rPr>
              <w:t>“</w:t>
            </w:r>
            <w:r w:rsidR="00665CD0" w:rsidRPr="00665CD0">
              <w:rPr>
                <w:sz w:val="24"/>
                <w:szCs w:val="24"/>
                <w:lang w:val="lv-LV"/>
              </w:rPr>
              <w:t>Nodrošināt publisko datu atkalizmantošanas pieaugumu un efektīvu publiskās pārvaldes un privātā sektora mijiedarbību</w:t>
            </w:r>
            <w:r w:rsidR="00AB68DF">
              <w:rPr>
                <w:sz w:val="24"/>
                <w:szCs w:val="24"/>
                <w:lang w:val="lv-LV"/>
              </w:rPr>
              <w:t>”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2.2.1.1. pasākuma </w:t>
            </w:r>
            <w:r w:rsidR="00AB68DF">
              <w:rPr>
                <w:sz w:val="24"/>
                <w:szCs w:val="24"/>
                <w:lang w:val="lv-LV"/>
              </w:rPr>
              <w:t>“</w:t>
            </w:r>
            <w:r w:rsidR="00665CD0" w:rsidRPr="00665CD0">
              <w:rPr>
                <w:sz w:val="24"/>
                <w:szCs w:val="24"/>
                <w:lang w:val="lv-LV"/>
              </w:rPr>
              <w:t>Centralizētu publiskās pārvaldes IKT platformu izveide, publiskās pārvaldes procesu optimizēšana un attīstība</w:t>
            </w:r>
            <w:r w:rsidR="00AB68DF">
              <w:rPr>
                <w:sz w:val="24"/>
                <w:szCs w:val="24"/>
                <w:lang w:val="lv-LV"/>
              </w:rPr>
              <w:t>”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īstenošanas noteikumi”</w:t>
            </w:r>
            <w:r w:rsidR="008337AA">
              <w:rPr>
                <w:sz w:val="24"/>
                <w:szCs w:val="24"/>
                <w:lang w:val="lv-LV"/>
              </w:rPr>
              <w:t xml:space="preserve"> (turpmāk – noteikumi Nr.653)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40.punktu, k</w:t>
            </w:r>
            <w:r w:rsidR="00671B7A">
              <w:rPr>
                <w:sz w:val="24"/>
                <w:szCs w:val="24"/>
                <w:lang w:val="lv-LV"/>
              </w:rPr>
              <w:t>as</w:t>
            </w:r>
            <w:r w:rsidR="00665CD0" w:rsidRPr="00665CD0">
              <w:rPr>
                <w:sz w:val="24"/>
                <w:szCs w:val="24"/>
                <w:lang w:val="lv-LV"/>
              </w:rPr>
              <w:t xml:space="preserve"> paredz, ka finansējuma saņēmējam ir jāizstrādā tiesiskais regulējums, kas nosaka projekta ietvaros izveidotās vai attīstītās informācijas sistēmas vai izveidotā elektroniskā pakalpojuma darbību un lietošanu.</w:t>
            </w:r>
          </w:p>
          <w:p w14:paraId="5955397F" w14:textId="265B78CB" w:rsidR="00323FF8" w:rsidRPr="00FF6D87" w:rsidRDefault="00323FF8" w:rsidP="006647B4">
            <w:pPr>
              <w:pStyle w:val="BodyText"/>
              <w:outlineLvl w:val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Likumprojekta “</w:t>
            </w:r>
            <w:r w:rsidRPr="00323FF8">
              <w:rPr>
                <w:sz w:val="24"/>
                <w:szCs w:val="24"/>
                <w:lang w:val="lv-LV"/>
              </w:rPr>
              <w:t>Grozījumi Valsts informācijas sistēmu likumā</w:t>
            </w:r>
            <w:r>
              <w:rPr>
                <w:sz w:val="24"/>
                <w:szCs w:val="24"/>
                <w:lang w:val="lv-LV"/>
              </w:rPr>
              <w:t xml:space="preserve">” (turpmāk – likumprojekts) 3.pants. </w:t>
            </w:r>
            <w:r w:rsidR="003110D2">
              <w:rPr>
                <w:sz w:val="24"/>
                <w:szCs w:val="24"/>
                <w:lang w:val="lv-LV"/>
              </w:rPr>
              <w:t>Likumprojekts atbalstīts 2019.gada 25.jūnija Ministru kabineta sēdē (prot. Nr.30 23</w:t>
            </w:r>
            <w:r w:rsidR="003110D2" w:rsidRPr="003110D2">
              <w:rPr>
                <w:sz w:val="24"/>
                <w:szCs w:val="24"/>
                <w:lang w:val="lv-LV"/>
              </w:rPr>
              <w:t>.§</w:t>
            </w:r>
            <w:r w:rsidR="003110D2">
              <w:rPr>
                <w:sz w:val="24"/>
                <w:szCs w:val="24"/>
                <w:lang w:val="lv-LV"/>
              </w:rPr>
              <w:t>).</w:t>
            </w:r>
          </w:p>
        </w:tc>
      </w:tr>
      <w:tr w:rsidR="00FF6D87" w:rsidRPr="00FF6D87" w14:paraId="64C6B060" w14:textId="77777777" w:rsidTr="00E77BD6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86AD823" w14:textId="77777777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5F29307" w14:textId="0AD7FCA5" w:rsidR="00B9141E" w:rsidRDefault="00FF6D87" w:rsidP="002E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 xml:space="preserve">Pašreizējā situācija un problēmas, kuru risināšanai tiesību akta projekts izstrādāts, tiesiskā regulējuma </w:t>
            </w:r>
            <w:r w:rsidRPr="00FF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mērķis un būtība</w:t>
            </w:r>
          </w:p>
          <w:p w14:paraId="46C9FE05" w14:textId="77777777" w:rsidR="00B9141E" w:rsidRPr="00B9141E" w:rsidRDefault="00B9141E" w:rsidP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9CDF2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A41F0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F950E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4166F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F212A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741D4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60C15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BEAB2" w14:textId="77777777" w:rsidR="00B9141E" w:rsidRPr="00B9141E" w:rsidRDefault="00B91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3EC4F" w14:textId="706A4091" w:rsidR="00FF6D87" w:rsidRPr="00B9141E" w:rsidRDefault="00FF6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5FF44FE" w14:textId="44F10CE0" w:rsidR="00665CD0" w:rsidRDefault="00665CD0" w:rsidP="00664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budžeta apakšprogrammas 62.07.00 Eiropas Reģionālās attīstības fonda (ERAF)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projekti (2014-2020), projekta “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Publiskās pārvaldes informācijas un komunikāciju tehnoloģiju arhitektūr</w:t>
            </w:r>
            <w:r w:rsidR="008758FC">
              <w:rPr>
                <w:rFonts w:ascii="Times New Roman" w:hAnsi="Times New Roman" w:cs="Times New Roman"/>
                <w:sz w:val="24"/>
                <w:szCs w:val="24"/>
              </w:rPr>
              <w:t xml:space="preserve">as pārvaldības sistēma” 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Eiropas Savienības fondu 2014.-2020.gada plānošanas perioda darbības programmas “Izaugsme un nodarbinātība” 2.2.1. specifiskā atbalsta mērķa “Nodrošināt publisko datu 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atkalizmantošanas pieaugumu un efektīvu publiskās pārvaldes un privātā sektora mijiedarbību” 2.2.1.1. pasākuma “Centralizētu publiskās pārvaldes IKT platformu izveide, publiskās pārvaldes procesu optimizēšana un attīstība” projekta Nr. 2.2.1.1/16/I/001 “Publiskās pārvaldes informācijas un komunikāciju tehnoloģiju arhitektūras pārvaldības sistēma” (PIKTAPS) ietvaros tiek izstrādāta </w:t>
            </w:r>
            <w:r w:rsidR="00EF7761"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. Atbilstoši noteikumu Nr.653 40.punktam finansējuma saņēmējam ir jāizstrādā tiesiskais regulējums, kas nosaka projekta ietvaros izveidotās vai attīstītās informācijas sistēmas vai izveidotā elektroniskā pakalpojuma darbību un lietošanu.</w:t>
            </w:r>
          </w:p>
          <w:p w14:paraId="19F61E44" w14:textId="56B22AFD" w:rsidR="00CB681A" w:rsidRDefault="00CB681A" w:rsidP="00664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Šobrīd Valsts informācijas sistēmu likums (turpmāk – VISL) paredz VIS reģistrācijas procesu Valsts informācijas sistēmu reģistrā (turpmāk – VISR). Kārtību, kādā informāciju iekļauj VISR, nosaka Ministru kabineta 200</w:t>
            </w:r>
            <w:r w:rsidRPr="00C2408D">
              <w:rPr>
                <w:rFonts w:ascii="Times New Roman" w:hAnsi="Times New Roman" w:cs="Times New Roman"/>
                <w:sz w:val="24"/>
                <w:szCs w:val="24"/>
              </w:rPr>
              <w:t>5. 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 2.augusta noteikumi Nr.572</w:t>
            </w:r>
            <w:r w:rsidRPr="00C24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2408D">
              <w:rPr>
                <w:rFonts w:ascii="Times New Roman" w:hAnsi="Times New Roman" w:cs="Times New Roman"/>
                <w:sz w:val="24"/>
                <w:szCs w:val="24"/>
              </w:rPr>
              <w:t>Valsts informācijas sistēmu reģistrācijas noteikumi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8337AA">
              <w:rPr>
                <w:rFonts w:ascii="Times New Roman" w:hAnsi="Times New Roman" w:cs="Times New Roman"/>
                <w:sz w:val="24"/>
                <w:szCs w:val="24"/>
              </w:rPr>
              <w:t xml:space="preserve"> (turpmāk – noteikumi Nr.572)</w:t>
            </w:r>
            <w:r w:rsidR="001B623F">
              <w:rPr>
                <w:rFonts w:ascii="Times New Roman" w:hAnsi="Times New Roman" w:cs="Times New Roman"/>
                <w:sz w:val="24"/>
                <w:szCs w:val="24"/>
              </w:rPr>
              <w:t>. Tiklīdz tiks izveidota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VIRSIS un stāsies spēkā noteikumu projekts, VIS </w:t>
            </w:r>
            <w:r w:rsidRPr="004E0D8A">
              <w:rPr>
                <w:rFonts w:ascii="Times New Roman" w:hAnsi="Times New Roman" w:cs="Times New Roman"/>
                <w:sz w:val="24"/>
                <w:szCs w:val="24"/>
              </w:rPr>
              <w:t>un to darbībai nepieciešamo informācijas un komunikācijas tehnoloģiju resursu un pakalpojumu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uzskaiti VISR vietā nodrošinās VIRSIS, kurā tiks uzkrāta detalizētāka un strukturētāka informācija par VIS. Tiks nodrošināta centralizēta valsts informācijas sistēmu</w:t>
            </w:r>
            <w:r w:rsidRPr="00E31583">
              <w:rPr>
                <w:rFonts w:ascii="Times New Roman" w:hAnsi="Times New Roman" w:cs="Times New Roman"/>
                <w:sz w:val="24"/>
                <w:szCs w:val="24"/>
              </w:rPr>
              <w:t xml:space="preserve"> darbībai nepieciešamo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IKT resursu un pakalpojumu uzskaite.</w:t>
            </w:r>
          </w:p>
          <w:p w14:paraId="55D4BBBC" w14:textId="4A771531" w:rsidR="00CB681A" w:rsidRPr="00CB681A" w:rsidRDefault="00CB681A" w:rsidP="00664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VARAM ir sagatavojusi noteikumu projektu, kurš nodrošinās </w:t>
            </w:r>
            <w:r w:rsidR="008337AA">
              <w:rPr>
                <w:rFonts w:ascii="Times New Roman" w:hAnsi="Times New Roman" w:cs="Times New Roman"/>
                <w:sz w:val="24"/>
                <w:szCs w:val="24"/>
              </w:rPr>
              <w:t xml:space="preserve">noteikumos Nr.653 noteikto prasību izpildi, un kas aizstās </w:t>
            </w:r>
            <w:r w:rsidR="00AF3436">
              <w:rPr>
                <w:rFonts w:ascii="Times New Roman" w:hAnsi="Times New Roman" w:cs="Times New Roman"/>
                <w:sz w:val="24"/>
                <w:szCs w:val="24"/>
              </w:rPr>
              <w:t>šobrīd</w:t>
            </w:r>
            <w:r w:rsidR="008337AA">
              <w:rPr>
                <w:rFonts w:ascii="Times New Roman" w:hAnsi="Times New Roman" w:cs="Times New Roman"/>
                <w:sz w:val="24"/>
                <w:szCs w:val="24"/>
              </w:rPr>
              <w:t xml:space="preserve"> spēkā esošos noteikumus Nr.572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0688C2" w14:textId="56C3DF28" w:rsidR="00FF6D87" w:rsidRDefault="00CE1CBC" w:rsidP="00664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="000717FA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7FA">
              <w:rPr>
                <w:rFonts w:ascii="Times New Roman" w:hAnsi="Times New Roman" w:cs="Times New Roman"/>
                <w:sz w:val="24"/>
                <w:szCs w:val="24"/>
              </w:rPr>
              <w:t>mērķis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  <w:r w:rsidR="000717FA">
              <w:rPr>
                <w:rFonts w:ascii="Times New Roman" w:hAnsi="Times New Roman" w:cs="Times New Roman"/>
                <w:sz w:val="24"/>
                <w:szCs w:val="24"/>
              </w:rPr>
              <w:t>teikt</w:t>
            </w:r>
            <w:r w:rsidR="00665CD0" w:rsidRPr="00B35727">
              <w:rPr>
                <w:rFonts w:ascii="Times New Roman" w:hAnsi="Times New Roman" w:cs="Times New Roman"/>
                <w:sz w:val="24"/>
                <w:szCs w:val="24"/>
              </w:rPr>
              <w:t xml:space="preserve"> VIRSIS iekļaujamās informācijas apjomu, kā arī tās reģistrēšanas, izmantošanas un apstrādes kārtību</w:t>
            </w:r>
            <w:r w:rsidR="00665C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35A786" w14:textId="2B8E1FBE" w:rsidR="00294B7D" w:rsidRDefault="00C47710" w:rsidP="00EC3F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CF0">
              <w:rPr>
                <w:rFonts w:ascii="Times New Roman" w:hAnsi="Times New Roman" w:cs="Times New Roman"/>
                <w:sz w:val="24"/>
                <w:szCs w:val="24"/>
              </w:rPr>
              <w:t>Noteikumu projektā</w:t>
            </w:r>
            <w:r w:rsidR="00B72CF0" w:rsidRPr="00B72CF0"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Pr="00B72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BD0" w:rsidRPr="00B72CF0">
              <w:rPr>
                <w:rFonts w:ascii="Times New Roman" w:hAnsi="Times New Roman" w:cs="Times New Roman"/>
                <w:sz w:val="24"/>
                <w:szCs w:val="24"/>
              </w:rPr>
              <w:t>ieviesta terminoloģija, kura nepieciešama</w:t>
            </w:r>
            <w:r w:rsidR="001E4E7B">
              <w:rPr>
                <w:rFonts w:ascii="Times New Roman" w:hAnsi="Times New Roman" w:cs="Times New Roman"/>
                <w:sz w:val="24"/>
                <w:szCs w:val="24"/>
              </w:rPr>
              <w:t xml:space="preserve">, lai </w:t>
            </w:r>
            <w:r w:rsidR="0072116D">
              <w:rPr>
                <w:rFonts w:ascii="Times New Roman" w:hAnsi="Times New Roman" w:cs="Times New Roman"/>
                <w:sz w:val="24"/>
                <w:szCs w:val="24"/>
              </w:rPr>
              <w:t>pilnīgāk reģ</w:t>
            </w:r>
            <w:r w:rsidR="008A5F10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72116D">
              <w:rPr>
                <w:rFonts w:ascii="Times New Roman" w:hAnsi="Times New Roman" w:cs="Times New Roman"/>
                <w:sz w:val="24"/>
                <w:szCs w:val="24"/>
              </w:rPr>
              <w:t>trētu</w:t>
            </w:r>
            <w:r w:rsidR="001E4E7B">
              <w:rPr>
                <w:rFonts w:ascii="Times New Roman" w:hAnsi="Times New Roman" w:cs="Times New Roman"/>
                <w:sz w:val="24"/>
                <w:szCs w:val="24"/>
              </w:rPr>
              <w:t xml:space="preserve"> informāciju par VIS.</w:t>
            </w:r>
          </w:p>
          <w:p w14:paraId="3A999834" w14:textId="1241E417" w:rsidR="00171172" w:rsidRPr="00171172" w:rsidRDefault="00171172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 ieviesti sekojoši termini:</w:t>
            </w:r>
          </w:p>
          <w:p w14:paraId="12D1B399" w14:textId="41D36B9B" w:rsidR="00543539" w:rsidRPr="00543539" w:rsidRDefault="008A5F10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nformācijas resurss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6AE" w:rsidRPr="009606AE">
              <w:rPr>
                <w:rFonts w:ascii="Times New Roman" w:hAnsi="Times New Roman" w:cs="Times New Roman"/>
                <w:sz w:val="24"/>
                <w:szCs w:val="24"/>
              </w:rPr>
              <w:t>elektroniskā formā, valsts institūcijas rīcībā esošs, tematiski saistītas, strukturētas informācijas kopums, kas ir iekļauts informācijas sistēmā</w:t>
            </w:r>
            <w:r w:rsidR="0096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 resurss ir informācijas sistēmas saturs.</w:t>
            </w:r>
            <w:r w:rsidR="006A007C">
              <w:rPr>
                <w:rFonts w:ascii="Times New Roman" w:hAnsi="Times New Roman" w:cs="Times New Roman"/>
                <w:sz w:val="24"/>
                <w:szCs w:val="24"/>
              </w:rPr>
              <w:t xml:space="preserve"> Informācijas resurss ir viens no IKT resursa veidiem.</w:t>
            </w:r>
          </w:p>
          <w:p w14:paraId="11E3B626" w14:textId="0C44FCBD" w:rsidR="00543539" w:rsidRPr="00543539" w:rsidRDefault="008A5F10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ehnoloģisks resurss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BE4">
              <w:rPr>
                <w:rFonts w:ascii="Times New Roman" w:hAnsi="Times New Roman" w:cs="Times New Roman"/>
                <w:sz w:val="24"/>
                <w:szCs w:val="24"/>
              </w:rPr>
              <w:t xml:space="preserve">valsts institūcijas rīcībā esošs </w:t>
            </w:r>
            <w:r w:rsidR="00AD0FDD">
              <w:rPr>
                <w:rFonts w:ascii="Times New Roman" w:hAnsi="Times New Roman" w:cs="Times New Roman"/>
                <w:sz w:val="24"/>
                <w:szCs w:val="24"/>
              </w:rPr>
              <w:t>IKT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aparatūras vai programmatūras vienību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pums, vai arī atsevišķa vienība. Tehnoloģisks resurss var būt gan IKT </w:t>
            </w:r>
            <w:r w:rsidR="006A007C">
              <w:rPr>
                <w:rFonts w:ascii="Times New Roman" w:hAnsi="Times New Roman" w:cs="Times New Roman"/>
                <w:sz w:val="24"/>
                <w:szCs w:val="24"/>
              </w:rPr>
              <w:t>aparatūra, tehniskais nodrošinājums, datortehnika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gan </w:t>
            </w:r>
            <w:r w:rsidR="006A007C">
              <w:rPr>
                <w:rFonts w:ascii="Times New Roman" w:hAnsi="Times New Roman" w:cs="Times New Roman"/>
                <w:sz w:val="24"/>
                <w:szCs w:val="24"/>
              </w:rPr>
              <w:t>programmatūra, programmnodrošinājums. Tehnoloģiskais resurss ir viens no IKT resursa veidiem</w:t>
            </w:r>
            <w:r w:rsidR="00143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CF80CE" w14:textId="4D43BC1E" w:rsidR="00543539" w:rsidRPr="00543539" w:rsidRDefault="00543539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IKT resurss</w:t>
            </w:r>
            <w:r w:rsidR="003E7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7B9D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950">
              <w:rPr>
                <w:rFonts w:ascii="Times New Roman" w:hAnsi="Times New Roman" w:cs="Times New Roman"/>
                <w:sz w:val="24"/>
                <w:szCs w:val="24"/>
              </w:rPr>
              <w:t>valsts institūcijas</w:t>
            </w:r>
            <w:r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rīcībā esošs tehnol</w:t>
            </w:r>
            <w:r w:rsidR="00143950">
              <w:rPr>
                <w:rFonts w:ascii="Times New Roman" w:hAnsi="Times New Roman" w:cs="Times New Roman"/>
                <w:sz w:val="24"/>
                <w:szCs w:val="24"/>
              </w:rPr>
              <w:t>oģisks vai informācijas resurss.</w:t>
            </w:r>
          </w:p>
          <w:p w14:paraId="1E8D5719" w14:textId="27387A0F" w:rsidR="00543539" w:rsidRPr="00543539" w:rsidRDefault="003E7B9D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artīte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CAF"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reģistrēta IKT resursa, IKT pakalpojuma vai būtiska IKT arhitektūras elementa d</w:t>
            </w:r>
            <w:r w:rsidR="00143950">
              <w:rPr>
                <w:rFonts w:ascii="Times New Roman" w:hAnsi="Times New Roman" w:cs="Times New Roman"/>
                <w:sz w:val="24"/>
                <w:szCs w:val="24"/>
              </w:rPr>
              <w:t>etalizēts apraksts.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Kartīte satur detalizētu informāciju par VIRSIS reģistrētajiem objektiem.</w:t>
            </w:r>
          </w:p>
          <w:p w14:paraId="2F532204" w14:textId="336EFB3E" w:rsidR="00543539" w:rsidRPr="00543539" w:rsidRDefault="003E7B9D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VIRSIS</w:t>
            </w:r>
            <w:r w:rsidR="00701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koordinators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pārziņa nozīmēta persona, kura pārrauga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VIRSIS reģistrēto informāciju. </w:t>
            </w:r>
            <w:r w:rsidR="0043699A"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moderators </w:t>
            </w:r>
            <w:r w:rsidR="0043699A">
              <w:rPr>
                <w:rFonts w:ascii="Times New Roman" w:hAnsi="Times New Roman" w:cs="Times New Roman"/>
                <w:sz w:val="24"/>
                <w:szCs w:val="24"/>
              </w:rPr>
              <w:t>koordinē VIRSIS darbību un pārrauga visas VIRSIS reģistrētās objektu kartītes.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4CB551" w14:textId="22276A36" w:rsidR="00543539" w:rsidRPr="00543539" w:rsidRDefault="001B56D1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ontaktpersona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par konkrētu IKT resursu reģistra, IKT pakalpojumu reģistra vai būtisku </w:t>
            </w:r>
            <w:r w:rsidR="0058479A">
              <w:rPr>
                <w:rFonts w:ascii="Times New Roman" w:hAnsi="Times New Roman" w:cs="Times New Roman"/>
                <w:sz w:val="24"/>
                <w:szCs w:val="24"/>
              </w:rPr>
              <w:t xml:space="preserve">IKT 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>arhitektūras elementu reģistra kartīt</w:t>
            </w:r>
            <w:r w:rsidR="00D55391">
              <w:rPr>
                <w:rFonts w:ascii="Times New Roman" w:hAnsi="Times New Roman" w:cs="Times New Roman"/>
                <w:sz w:val="24"/>
                <w:szCs w:val="24"/>
              </w:rPr>
              <w:t xml:space="preserve">i atbildīgs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valsts institūcijas</w:t>
            </w:r>
            <w:r w:rsidR="00D55391">
              <w:rPr>
                <w:rFonts w:ascii="Times New Roman" w:hAnsi="Times New Roman" w:cs="Times New Roman"/>
                <w:sz w:val="24"/>
                <w:szCs w:val="24"/>
              </w:rPr>
              <w:t xml:space="preserve"> darbinieks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6D1">
              <w:rPr>
                <w:rFonts w:ascii="Times New Roman" w:hAnsi="Times New Roman" w:cs="Times New Roman"/>
                <w:sz w:val="24"/>
                <w:szCs w:val="24"/>
              </w:rPr>
              <w:t>(viena kontaktpersona var būt atbildīga par vairāku objektu kartītēm)</w:t>
            </w:r>
            <w:r w:rsidR="00D55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D4B14D" w14:textId="4145ACC5" w:rsidR="00543539" w:rsidRDefault="00543539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IKT pakalpojums </w:t>
            </w:r>
            <w:r w:rsidR="001B56D1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6D1">
              <w:rPr>
                <w:rFonts w:ascii="Times New Roman" w:hAnsi="Times New Roman" w:cs="Times New Roman"/>
                <w:sz w:val="24"/>
                <w:szCs w:val="24"/>
              </w:rPr>
              <w:t>valsts institūcijas</w:t>
            </w:r>
            <w:r w:rsidR="0047485B" w:rsidRPr="0047485B">
              <w:rPr>
                <w:rFonts w:ascii="Times New Roman" w:hAnsi="Times New Roman" w:cs="Times New Roman"/>
                <w:sz w:val="24"/>
                <w:szCs w:val="24"/>
              </w:rPr>
              <w:t xml:space="preserve"> darbību kopums, kas ir saistīts ar </w:t>
            </w:r>
            <w:r w:rsidR="001B56D1">
              <w:rPr>
                <w:rFonts w:ascii="Times New Roman" w:hAnsi="Times New Roman" w:cs="Times New Roman"/>
                <w:sz w:val="24"/>
                <w:szCs w:val="24"/>
              </w:rPr>
              <w:t>valsts institūcijai</w:t>
            </w:r>
            <w:r w:rsidR="0047485B" w:rsidRPr="0047485B">
              <w:rPr>
                <w:rFonts w:ascii="Times New Roman" w:hAnsi="Times New Roman" w:cs="Times New Roman"/>
                <w:sz w:val="24"/>
                <w:szCs w:val="24"/>
              </w:rPr>
              <w:t xml:space="preserve"> noteikto valsts pārvaldes funkciju un, kas ir saistīts ar IKT programmatūru, IKT aparatūru un elektroniskā formā esošu informāciju un, kas tiek veikta, lai nodrošinātu citas </w:t>
            </w:r>
            <w:r w:rsidR="001B56D1">
              <w:rPr>
                <w:rFonts w:ascii="Times New Roman" w:hAnsi="Times New Roman" w:cs="Times New Roman"/>
                <w:sz w:val="24"/>
                <w:szCs w:val="24"/>
              </w:rPr>
              <w:t>valsts institūcijas</w:t>
            </w:r>
            <w:r w:rsidR="0047485B" w:rsidRPr="0047485B">
              <w:rPr>
                <w:rFonts w:ascii="Times New Roman" w:hAnsi="Times New Roman" w:cs="Times New Roman"/>
                <w:sz w:val="24"/>
                <w:szCs w:val="24"/>
              </w:rPr>
              <w:t xml:space="preserve"> vajadzības</w:t>
            </w:r>
            <w:r w:rsidR="00001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1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73D">
              <w:rPr>
                <w:rFonts w:ascii="Times New Roman" w:hAnsi="Times New Roman" w:cs="Times New Roman"/>
                <w:sz w:val="24"/>
                <w:szCs w:val="24"/>
              </w:rPr>
              <w:t>Tā ir institūcijas pamatdarbība</w:t>
            </w:r>
            <w:r w:rsidR="00D85557">
              <w:rPr>
                <w:rFonts w:ascii="Times New Roman" w:hAnsi="Times New Roman" w:cs="Times New Roman"/>
                <w:sz w:val="24"/>
                <w:szCs w:val="24"/>
              </w:rPr>
              <w:t xml:space="preserve"> IKT jomā</w:t>
            </w:r>
            <w:r w:rsidR="004C573D">
              <w:rPr>
                <w:rFonts w:ascii="Times New Roman" w:hAnsi="Times New Roman" w:cs="Times New Roman"/>
                <w:sz w:val="24"/>
                <w:szCs w:val="24"/>
              </w:rPr>
              <w:t>, kuras mērķis ir dot labumu citai institūcijai.</w:t>
            </w:r>
          </w:p>
          <w:p w14:paraId="0AA2BEC0" w14:textId="0A9CA5C1" w:rsidR="00543539" w:rsidRDefault="00D85557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ehnoloģisks pakalpojums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IKT pakalpojums, kas ietver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tikai </w:t>
            </w:r>
            <w:r w:rsidR="00F7558C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>programmatūru un I</w:t>
            </w:r>
            <w:r w:rsidR="00271D2A">
              <w:rPr>
                <w:rFonts w:ascii="Times New Roman" w:hAnsi="Times New Roman" w:cs="Times New Roman"/>
                <w:sz w:val="24"/>
                <w:szCs w:val="24"/>
              </w:rPr>
              <w:t>KT aparatūru saistītas darbības.</w:t>
            </w:r>
            <w:r w:rsidR="00F47F4D">
              <w:rPr>
                <w:rFonts w:ascii="Times New Roman" w:hAnsi="Times New Roman" w:cs="Times New Roman"/>
                <w:sz w:val="24"/>
                <w:szCs w:val="24"/>
              </w:rPr>
              <w:t xml:space="preserve"> Kā vienu no tipiskākajiem tehnoloģiskiem pakalpojumiem var minēt datu centra pakalpojumu.</w:t>
            </w:r>
          </w:p>
          <w:p w14:paraId="207C952F" w14:textId="540A38D3" w:rsidR="00543539" w:rsidRDefault="00F47F4D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nformācijas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programmatūras kopums, kas ietver datubāzu pārvaldības programmatūru, un kas paredzēts valsts pārvaldes funkciju nodrošināšanai veicot informācijas uzkrāšanu, uzglabāšanu, apstrā</w:t>
            </w:r>
            <w:r w:rsidR="00271D2A">
              <w:rPr>
                <w:rFonts w:ascii="Times New Roman" w:hAnsi="Times New Roman" w:cs="Times New Roman"/>
                <w:sz w:val="24"/>
                <w:szCs w:val="24"/>
              </w:rPr>
              <w:t>di, izmantošanu un iznīcināšanu.</w:t>
            </w:r>
            <w:r w:rsidR="00030E28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sistēma ir tehnoloģiskā resursa veids</w:t>
            </w:r>
            <w:r w:rsidR="000E4F9C">
              <w:rPr>
                <w:rFonts w:ascii="Times New Roman" w:hAnsi="Times New Roman" w:cs="Times New Roman"/>
                <w:sz w:val="24"/>
                <w:szCs w:val="24"/>
              </w:rPr>
              <w:t>, un šis termins neietver sevī pašu informāciju, kuras apstrādei tiek izmantota informācijas sistēma.</w:t>
            </w:r>
          </w:p>
          <w:p w14:paraId="6673DFD9" w14:textId="22C243E4" w:rsidR="00543539" w:rsidRDefault="000E4F9C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latforma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85B" w:rsidRPr="0047485B">
              <w:rPr>
                <w:rFonts w:ascii="Times New Roman" w:hAnsi="Times New Roman" w:cs="Times New Roman"/>
                <w:sz w:val="24"/>
                <w:szCs w:val="24"/>
              </w:rPr>
              <w:t xml:space="preserve">IKT resursu kopums, kas paredzēts citas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valsts institūcijas</w:t>
            </w:r>
            <w:r w:rsidR="0047485B" w:rsidRPr="0047485B">
              <w:rPr>
                <w:rFonts w:ascii="Times New Roman" w:hAnsi="Times New Roman" w:cs="Times New Roman"/>
                <w:sz w:val="24"/>
                <w:szCs w:val="24"/>
              </w:rPr>
              <w:t xml:space="preserve"> IKT resursu izvietošanai, lai nodrošinātu pakalpojumu sniegšanu trešajām personām</w:t>
            </w:r>
            <w:r w:rsidR="00EE1C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3F90">
              <w:rPr>
                <w:rFonts w:ascii="Times New Roman" w:hAnsi="Times New Roman" w:cs="Times New Roman"/>
                <w:sz w:val="24"/>
                <w:szCs w:val="24"/>
              </w:rPr>
              <w:t xml:space="preserve"> Kā vienu no piemēriem platformām var minēt </w:t>
            </w:r>
            <w:hyperlink r:id="rId9" w:history="1">
              <w:r w:rsidR="00C03F90" w:rsidRPr="006824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www.latvija.lv</w:t>
              </w:r>
            </w:hyperlink>
            <w:r w:rsidR="00C03F90">
              <w:rPr>
                <w:rFonts w:ascii="Times New Roman" w:hAnsi="Times New Roman" w:cs="Times New Roman"/>
                <w:sz w:val="24"/>
                <w:szCs w:val="24"/>
              </w:rPr>
              <w:t xml:space="preserve">. Šajā gadījumā </w:t>
            </w:r>
            <w:hyperlink r:id="rId10" w:history="1">
              <w:r w:rsidR="00C03F90" w:rsidRPr="006824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www.latvija.lv</w:t>
              </w:r>
            </w:hyperlink>
            <w:r w:rsidR="00C03F90">
              <w:rPr>
                <w:rFonts w:ascii="Times New Roman" w:hAnsi="Times New Roman" w:cs="Times New Roman"/>
                <w:sz w:val="24"/>
                <w:szCs w:val="24"/>
              </w:rPr>
              <w:t xml:space="preserve"> ir IKT resursu kopums, kurā tiek izvietoti citu institūciju IKT resursi (e-pakalpojumi) ar mērķi nodrošināt iedzīvotājiem konkrēto institūciju e-pakalpojumus.</w:t>
            </w:r>
          </w:p>
          <w:p w14:paraId="065F7562" w14:textId="6285D60F" w:rsidR="00543539" w:rsidRDefault="000E4F9C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nformācijas vienība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informācijas resursa satura pamatvienība (datu lauks), ko apraksta </w:t>
            </w:r>
            <w:r w:rsidR="00F6068D">
              <w:rPr>
                <w:rFonts w:ascii="Times New Roman" w:hAnsi="Times New Roman" w:cs="Times New Roman"/>
                <w:sz w:val="24"/>
                <w:szCs w:val="24"/>
              </w:rPr>
              <w:t xml:space="preserve">datu 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>lauka nosaukums, formāts, garums un citi raksturlielumi.</w:t>
            </w:r>
            <w:r w:rsidR="00F6068D">
              <w:rPr>
                <w:rFonts w:ascii="Times New Roman" w:hAnsi="Times New Roman" w:cs="Times New Roman"/>
                <w:sz w:val="24"/>
                <w:szCs w:val="24"/>
              </w:rPr>
              <w:t xml:space="preserve"> Informācijas vienība ir VIRSIS iekļautā objekta kartītes atribūts</w:t>
            </w:r>
            <w:r w:rsidR="00947212">
              <w:rPr>
                <w:rFonts w:ascii="Times New Roman" w:hAnsi="Times New Roman" w:cs="Times New Roman"/>
                <w:sz w:val="24"/>
                <w:szCs w:val="24"/>
              </w:rPr>
              <w:t xml:space="preserve"> (datu lauks)</w:t>
            </w:r>
            <w:r w:rsidR="00F60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A5A0BF" w14:textId="65894B57" w:rsidR="00E03F68" w:rsidRPr="0058479A" w:rsidRDefault="0058479A" w:rsidP="00E03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atu objekts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79A">
              <w:rPr>
                <w:rFonts w:ascii="Times New Roman" w:hAnsi="Times New Roman" w:cs="Times New Roman"/>
                <w:sz w:val="24"/>
                <w:szCs w:val="24"/>
              </w:rPr>
              <w:t>informācijas vienību grupa, ko nosaka informācijas resursā ietilpstošās informācijas organizatoriskā struktūra</w:t>
            </w:r>
            <w:r w:rsidR="00E03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Datu objekts raksturo i</w:t>
            </w:r>
            <w:r w:rsidR="00E03F68" w:rsidRPr="0058479A">
              <w:rPr>
                <w:rFonts w:ascii="Times New Roman" w:hAnsi="Times New Roman" w:cs="Times New Roman"/>
                <w:sz w:val="24"/>
                <w:szCs w:val="24"/>
              </w:rPr>
              <w:t>nform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ācijas resursa uzbūvi – tas ir informācijas resursa sastāvdaļa. I</w:t>
            </w:r>
            <w:r w:rsidR="00E03F68" w:rsidRPr="0058479A">
              <w:rPr>
                <w:rFonts w:ascii="Times New Roman" w:hAnsi="Times New Roman" w:cs="Times New Roman"/>
                <w:sz w:val="24"/>
                <w:szCs w:val="24"/>
              </w:rPr>
              <w:t>nformācijas 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urss satur vismaz vienu, vai vairākus datu objektus.</w:t>
            </w:r>
          </w:p>
          <w:p w14:paraId="768EC8FF" w14:textId="01E9389D" w:rsidR="00E03F68" w:rsidRPr="00543539" w:rsidRDefault="00543539" w:rsidP="00E03F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IKT risinājums</w:t>
            </w:r>
            <w:r w:rsidR="006F5483"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IKT programmatūras, aparatūras, pakalpojumu vai informācijas (zināšanu) kopums vai atsevišķa sastāvdaļa, kas varētu ļaut, vai ļauj </w:t>
            </w:r>
            <w:r w:rsidR="006F5483">
              <w:rPr>
                <w:rFonts w:ascii="Times New Roman" w:hAnsi="Times New Roman" w:cs="Times New Roman"/>
                <w:sz w:val="24"/>
                <w:szCs w:val="24"/>
              </w:rPr>
              <w:t xml:space="preserve">apmierināt konkrētas vajadzības </w:t>
            </w:r>
            <w:r w:rsidR="004F0BE4">
              <w:rPr>
                <w:rFonts w:ascii="Times New Roman" w:hAnsi="Times New Roman" w:cs="Times New Roman"/>
                <w:sz w:val="24"/>
                <w:szCs w:val="24"/>
              </w:rPr>
              <w:t>- radīt vērtību (piemēram,</w:t>
            </w:r>
            <w:r w:rsidR="00E03F68" w:rsidRPr="006F5483">
              <w:rPr>
                <w:rFonts w:ascii="Times New Roman" w:hAnsi="Times New Roman" w:cs="Times New Roman"/>
                <w:sz w:val="24"/>
                <w:szCs w:val="24"/>
              </w:rPr>
              <w:t xml:space="preserve"> sasniegt mērķus, veikt funkcijas vai uzdevumus, novērst problēmas, nodrošināt attīstību).</w:t>
            </w:r>
            <w:r w:rsidR="006F5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F68" w:rsidRPr="006F5483">
              <w:rPr>
                <w:rFonts w:ascii="Times New Roman" w:hAnsi="Times New Roman" w:cs="Times New Roman"/>
                <w:sz w:val="24"/>
                <w:szCs w:val="24"/>
              </w:rPr>
              <w:t xml:space="preserve">IKT risinājums var izpausties kā kāda </w:t>
            </w:r>
            <w:r w:rsidR="00E03F68" w:rsidRPr="006F5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rīcībā esoša informācija, zināšanas, IKT resurss vai IKT pakalpojums, savukārt katrs IKT resurss vai IKT pakalpojums satur vienu vai vairākus IKT risinājumus.</w:t>
            </w:r>
          </w:p>
          <w:p w14:paraId="6E82E949" w14:textId="732A8293" w:rsidR="00543539" w:rsidRDefault="004F0BE4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tkārtoti izmantojams IKT risinājums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IKT risinājums kopumā vai tā atsevišķa daļa, vai arī produkts, kas ir paredzēts, lai to atk</w:t>
            </w:r>
            <w:r w:rsidR="00B77563">
              <w:rPr>
                <w:rFonts w:ascii="Times New Roman" w:hAnsi="Times New Roman" w:cs="Times New Roman"/>
                <w:sz w:val="24"/>
                <w:szCs w:val="24"/>
              </w:rPr>
              <w:t>ārtoti izmantotu veidojot jaunu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>, vai pilnve</w:t>
            </w:r>
            <w:r w:rsidR="00462EA3">
              <w:rPr>
                <w:rFonts w:ascii="Times New Roman" w:hAnsi="Times New Roman" w:cs="Times New Roman"/>
                <w:sz w:val="24"/>
                <w:szCs w:val="24"/>
              </w:rPr>
              <w:t>idojot jau esošu IKT risinājumu.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4F0BE4">
              <w:rPr>
                <w:rFonts w:ascii="Times New Roman" w:hAnsi="Times New Roman" w:cs="Times New Roman"/>
                <w:sz w:val="24"/>
                <w:szCs w:val="24"/>
              </w:rPr>
              <w:t>tkārtoti izmantojams IKT risinājums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viens no būtisko IKT arhitektūras elementu (BAE) veidiem, kurš nodrošina principu, ka vienreiz izveidots IKT risinājums ir izmantojams atkārtoti, lai optimāli izmantotu valsts pārvaldē radītos IKT risinājumus.</w:t>
            </w:r>
          </w:p>
          <w:p w14:paraId="2F3C822B" w14:textId="0E24054D" w:rsidR="00543539" w:rsidRDefault="009606AE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oplietošanas IKT pakalpojums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</w:t>
            </w:r>
            <w:r w:rsidR="00543539" w:rsidRPr="00543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BE4" w:rsidRPr="004F0BE4">
              <w:rPr>
                <w:rFonts w:ascii="Times New Roman" w:hAnsi="Times New Roman" w:cs="Times New Roman"/>
                <w:sz w:val="24"/>
                <w:szCs w:val="24"/>
              </w:rPr>
              <w:t>IKT pakalpojums, ko paredzēts sniegt vairāk kā vienai valsts institūcijai</w:t>
            </w:r>
            <w:r w:rsidR="00462E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087E99" w14:textId="4AD6B664" w:rsidR="00462EA3" w:rsidRPr="00462EA3" w:rsidRDefault="009606AE" w:rsidP="009606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543539" w:rsidRPr="00543539">
              <w:rPr>
                <w:rFonts w:ascii="Times New Roman" w:hAnsi="Times New Roman" w:cs="Times New Roman"/>
                <w:b/>
                <w:sz w:val="24"/>
                <w:szCs w:val="24"/>
              </w:rPr>
              <w:t>ūtisks IKT arhitektūras elements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ir:</w:t>
            </w:r>
          </w:p>
          <w:p w14:paraId="46ED7CDD" w14:textId="77777777" w:rsidR="00462EA3" w:rsidRPr="009606AE" w:rsidRDefault="00462EA3" w:rsidP="00462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AE">
              <w:rPr>
                <w:rFonts w:ascii="Times New Roman" w:hAnsi="Times New Roman" w:cs="Times New Roman"/>
                <w:sz w:val="24"/>
                <w:szCs w:val="24"/>
              </w:rPr>
              <w:t>● IKT risinājums kopumā vai tā atsevišķa daļa;</w:t>
            </w:r>
          </w:p>
          <w:p w14:paraId="1FDBF67D" w14:textId="77777777" w:rsidR="00462EA3" w:rsidRPr="009606AE" w:rsidRDefault="00462EA3" w:rsidP="00462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AE">
              <w:rPr>
                <w:rFonts w:ascii="Times New Roman" w:hAnsi="Times New Roman" w:cs="Times New Roman"/>
                <w:sz w:val="24"/>
                <w:szCs w:val="24"/>
              </w:rPr>
              <w:t>● IKT produkts (lietošanai gatavs IKT izstrādājums – jau īstenots IKT risinājums);</w:t>
            </w:r>
          </w:p>
          <w:p w14:paraId="704F1737" w14:textId="293FAC44" w:rsidR="00462EA3" w:rsidRDefault="00462EA3" w:rsidP="00462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AE">
              <w:rPr>
                <w:rFonts w:ascii="Times New Roman" w:hAnsi="Times New Roman" w:cs="Times New Roman"/>
                <w:sz w:val="24"/>
                <w:szCs w:val="24"/>
              </w:rPr>
              <w:t>● koplietošanas IKT pakalpojums,</w:t>
            </w:r>
            <w:r w:rsidR="009606AE" w:rsidRPr="00960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6AE">
              <w:rPr>
                <w:rFonts w:ascii="Times New Roman" w:hAnsi="Times New Roman" w:cs="Times New Roman"/>
                <w:sz w:val="24"/>
                <w:szCs w:val="24"/>
              </w:rPr>
              <w:t>kas ir paredzēts, lai to atkārtoti izmantotu veidojot jaunus, vai pilnveidojot jau esošus IKT risinājumus.</w:t>
            </w:r>
          </w:p>
          <w:p w14:paraId="32EFBD06" w14:textId="41E5CFB1" w:rsidR="00342BE2" w:rsidRDefault="00342BE2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 nodrošinātu VISL 5.panta pirmās daļas 1.punkta izpildi, par VIRSIS pārzini tiek noteikta VARAM.</w:t>
            </w:r>
            <w:r w:rsidR="003A1962">
              <w:rPr>
                <w:rFonts w:ascii="Times New Roman" w:hAnsi="Times New Roman" w:cs="Times New Roman"/>
                <w:sz w:val="24"/>
                <w:szCs w:val="24"/>
              </w:rPr>
              <w:t xml:space="preserve"> Savukārt Valsts reģionālās attīstības aģentūrai tiek noteiktas VIRSIS turētāja un drošības pārvaldības funkcijas.</w:t>
            </w:r>
          </w:p>
          <w:p w14:paraId="311B7CD9" w14:textId="3BA8F0F8" w:rsidR="004D6C6E" w:rsidRDefault="00677ABB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 VARAM nodrošinātu valsts IKT pārvaldības funkciju izpildi, VIRSIS dos iespēju</w:t>
            </w:r>
            <w:r w:rsidR="000F6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4B7" w:rsidRPr="000F64B7">
              <w:rPr>
                <w:rFonts w:ascii="Times New Roman" w:hAnsi="Times New Roman" w:cs="Times New Roman"/>
                <w:sz w:val="24"/>
                <w:szCs w:val="24"/>
              </w:rPr>
              <w:t>vienkopus</w:t>
            </w:r>
            <w:r w:rsidR="005B76EF">
              <w:rPr>
                <w:rFonts w:ascii="Times New Roman" w:hAnsi="Times New Roman" w:cs="Times New Roman"/>
                <w:sz w:val="24"/>
                <w:szCs w:val="24"/>
              </w:rPr>
              <w:t xml:space="preserve"> centralizēti</w:t>
            </w:r>
            <w:r w:rsidR="000F64B7" w:rsidRPr="000F64B7">
              <w:rPr>
                <w:rFonts w:ascii="Times New Roman" w:hAnsi="Times New Roman" w:cs="Times New Roman"/>
                <w:sz w:val="24"/>
                <w:szCs w:val="24"/>
              </w:rPr>
              <w:t xml:space="preserve"> iegūt informāciju gan valsts, gan resora, gan iestādes mērogā par </w:t>
            </w:r>
            <w:r w:rsidR="000F64B7">
              <w:rPr>
                <w:rFonts w:ascii="Times New Roman" w:hAnsi="Times New Roman" w:cs="Times New Roman"/>
                <w:sz w:val="24"/>
                <w:szCs w:val="24"/>
              </w:rPr>
              <w:t>VIS un to darbībai nepieciešamajiem</w:t>
            </w:r>
            <w:r w:rsidR="000F64B7" w:rsidRPr="000F64B7">
              <w:rPr>
                <w:rFonts w:ascii="Times New Roman" w:hAnsi="Times New Roman" w:cs="Times New Roman"/>
                <w:sz w:val="24"/>
                <w:szCs w:val="24"/>
              </w:rPr>
              <w:t xml:space="preserve"> IKT resursiem, IKT pakalpojumiem, būtiskiem arhitektūras elementiem, resursu un pakalpojumu mijiedarbību un savstarpējām atkarībām</w:t>
            </w:r>
            <w:r w:rsidR="000F6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13CE">
              <w:rPr>
                <w:rFonts w:ascii="Times New Roman" w:hAnsi="Times New Roman" w:cs="Times New Roman"/>
                <w:sz w:val="24"/>
                <w:szCs w:val="24"/>
              </w:rPr>
              <w:t xml:space="preserve"> Tiks vienkopus apkopota </w:t>
            </w:r>
            <w:r w:rsidR="00743814">
              <w:rPr>
                <w:rFonts w:ascii="Times New Roman" w:hAnsi="Times New Roman" w:cs="Times New Roman"/>
                <w:sz w:val="24"/>
                <w:szCs w:val="24"/>
              </w:rPr>
              <w:t>informācija</w:t>
            </w:r>
            <w:r w:rsidR="003D13CE">
              <w:rPr>
                <w:rFonts w:ascii="Times New Roman" w:hAnsi="Times New Roman" w:cs="Times New Roman"/>
                <w:sz w:val="24"/>
                <w:szCs w:val="24"/>
              </w:rPr>
              <w:t xml:space="preserve"> par VIS un to darbībai nepieciešamo IKT resursu un pakalpojumu</w:t>
            </w:r>
            <w:r w:rsidR="00743814">
              <w:rPr>
                <w:rFonts w:ascii="Times New Roman" w:hAnsi="Times New Roman" w:cs="Times New Roman"/>
                <w:sz w:val="24"/>
                <w:szCs w:val="24"/>
              </w:rPr>
              <w:t xml:space="preserve"> attīstībai un uzturēšanai</w:t>
            </w:r>
            <w:r w:rsidR="003D13CE">
              <w:rPr>
                <w:rFonts w:ascii="Times New Roman" w:hAnsi="Times New Roman" w:cs="Times New Roman"/>
                <w:sz w:val="24"/>
                <w:szCs w:val="24"/>
              </w:rPr>
              <w:t xml:space="preserve"> nepieciešamajiem</w:t>
            </w:r>
            <w:r w:rsidR="00743814">
              <w:rPr>
                <w:rFonts w:ascii="Times New Roman" w:hAnsi="Times New Roman" w:cs="Times New Roman"/>
                <w:sz w:val="24"/>
                <w:szCs w:val="24"/>
              </w:rPr>
              <w:t xml:space="preserve"> resursiem.</w:t>
            </w:r>
            <w:r w:rsidR="003D1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4B7">
              <w:rPr>
                <w:rFonts w:ascii="Times New Roman" w:hAnsi="Times New Roman" w:cs="Times New Roman"/>
                <w:sz w:val="24"/>
                <w:szCs w:val="24"/>
              </w:rPr>
              <w:t>Rezultātā tiks nodrošināta uz informāciju balstīta lēmumu pieņemšana</w:t>
            </w:r>
            <w:r w:rsidR="000F64B7" w:rsidRPr="000F64B7">
              <w:rPr>
                <w:rFonts w:ascii="Times New Roman" w:hAnsi="Times New Roman" w:cs="Times New Roman"/>
                <w:sz w:val="24"/>
                <w:szCs w:val="24"/>
              </w:rPr>
              <w:t xml:space="preserve"> valsts pārvaldē</w:t>
            </w:r>
            <w:r w:rsidR="000F64B7">
              <w:rPr>
                <w:rFonts w:ascii="Times New Roman" w:hAnsi="Times New Roman" w:cs="Times New Roman"/>
                <w:sz w:val="24"/>
                <w:szCs w:val="24"/>
              </w:rPr>
              <w:t xml:space="preserve"> IKT jomā</w:t>
            </w:r>
            <w:r w:rsidR="000F64B7" w:rsidRPr="000F6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9F31C0" w14:textId="759A4878" w:rsidR="00770AF6" w:rsidRDefault="00770AF6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AF6">
              <w:rPr>
                <w:rFonts w:ascii="Times New Roman" w:hAnsi="Times New Roman" w:cs="Times New Roman"/>
                <w:sz w:val="24"/>
                <w:szCs w:val="24"/>
              </w:rPr>
              <w:t>VIRSIS adr</w:t>
            </w:r>
            <w:r w:rsidR="00E13187">
              <w:rPr>
                <w:rFonts w:ascii="Times New Roman" w:hAnsi="Times New Roman" w:cs="Times New Roman"/>
                <w:sz w:val="24"/>
                <w:szCs w:val="24"/>
              </w:rPr>
              <w:t>ese tīmeklī ir https://viss</w:t>
            </w:r>
            <w:r w:rsidRPr="00770AF6">
              <w:rPr>
                <w:rFonts w:ascii="Times New Roman" w:hAnsi="Times New Roman" w:cs="Times New Roman"/>
                <w:sz w:val="24"/>
                <w:szCs w:val="24"/>
              </w:rPr>
              <w:t>.gov.lv/lv/VIRSIS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312326" w14:textId="6CD2ED71" w:rsidR="00743814" w:rsidRDefault="008F19FA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 detalizētāk </w:t>
            </w:r>
            <w:r w:rsidR="00846D47">
              <w:rPr>
                <w:rFonts w:ascii="Times New Roman" w:hAnsi="Times New Roman" w:cs="Times New Roman"/>
                <w:sz w:val="24"/>
                <w:szCs w:val="24"/>
              </w:rPr>
              <w:t>aprakstītu VIRSIS lietošanas nosacījumus un reģistrējamos objektus, VARAM izstrādās VIRSIS aprakstu un lietošanas nosacījums (turpmāk – instrukcija)</w:t>
            </w:r>
            <w:r w:rsidR="003D105D">
              <w:rPr>
                <w:rFonts w:ascii="Times New Roman" w:hAnsi="Times New Roman" w:cs="Times New Roman"/>
                <w:sz w:val="24"/>
                <w:szCs w:val="24"/>
              </w:rPr>
              <w:t xml:space="preserve">, kurā </w:t>
            </w:r>
            <w:r w:rsidR="007014FA">
              <w:rPr>
                <w:rFonts w:ascii="Times New Roman" w:hAnsi="Times New Roman" w:cs="Times New Roman"/>
                <w:sz w:val="24"/>
                <w:szCs w:val="24"/>
              </w:rPr>
              <w:t xml:space="preserve">tiks iekļauta detalizēta informācija par VIRSIS funkcionalitātēm, reģistrējamajiem objektiem, </w:t>
            </w:r>
            <w:r w:rsidR="000B586E">
              <w:rPr>
                <w:rFonts w:ascii="Times New Roman" w:hAnsi="Times New Roman" w:cs="Times New Roman"/>
                <w:sz w:val="24"/>
                <w:szCs w:val="24"/>
              </w:rPr>
              <w:t xml:space="preserve">lietotāju lomām, saziņu starp kontaktpersonu un VIRSIS koordinatoru, kā arī VIRSIS reģistru vispārīgs apraksts. </w:t>
            </w:r>
            <w:r w:rsidR="00D923E6">
              <w:rPr>
                <w:rFonts w:ascii="Times New Roman" w:hAnsi="Times New Roman" w:cs="Times New Roman"/>
                <w:sz w:val="24"/>
                <w:szCs w:val="24"/>
              </w:rPr>
              <w:t xml:space="preserve">Instrukcija līdz 2019.gada 31.oktobrim tiks izvietota VARAM tīmekļa vietnē, lai valsts informācijas sistēmu pārziņiem </w:t>
            </w:r>
            <w:r w:rsidR="00EA5862">
              <w:rPr>
                <w:rFonts w:ascii="Times New Roman" w:hAnsi="Times New Roman" w:cs="Times New Roman"/>
                <w:sz w:val="24"/>
                <w:szCs w:val="24"/>
              </w:rPr>
              <w:t>būtu pieejams detalizēts VIRSIS apraksts.</w:t>
            </w:r>
          </w:p>
          <w:p w14:paraId="1EE7F999" w14:textId="320CE03D" w:rsidR="008F19FA" w:rsidRDefault="0073363C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63C">
              <w:rPr>
                <w:rFonts w:ascii="Times New Roman" w:hAnsi="Times New Roman" w:cs="Times New Roman"/>
                <w:sz w:val="24"/>
                <w:szCs w:val="24"/>
              </w:rPr>
              <w:t>Notei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kumu projekts nosaka, ka VIRSIS nodrošina piekļuvi VIRSIS</w:t>
            </w:r>
            <w:r w:rsidRPr="0073363C">
              <w:rPr>
                <w:rFonts w:ascii="Times New Roman" w:hAnsi="Times New Roman" w:cs="Times New Roman"/>
                <w:sz w:val="24"/>
                <w:szCs w:val="24"/>
              </w:rPr>
              <w:t xml:space="preserve"> dati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 tikai identificētiem</w:t>
            </w:r>
            <w:r w:rsidRPr="0073363C">
              <w:rPr>
                <w:rFonts w:ascii="Times New Roman" w:hAnsi="Times New Roman" w:cs="Times New Roman"/>
                <w:sz w:val="24"/>
                <w:szCs w:val="24"/>
              </w:rPr>
              <w:t xml:space="preserve"> lietotājiem.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63C">
              <w:rPr>
                <w:rFonts w:ascii="Times New Roman" w:hAnsi="Times New Roman" w:cs="Times New Roman"/>
                <w:sz w:val="24"/>
                <w:szCs w:val="24"/>
              </w:rPr>
              <w:t xml:space="preserve">VIRSIS nodrošina iespēju veikt VIRSIS lietotāja identitātes pārbaudi (identifikāciju), izmantojot aģentūras pārziņā esošās Pašvaldību funkciju atbalsta sistēmas autentifikācijas un </w:t>
            </w:r>
            <w:r w:rsidRPr="00733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autorizācijas moduli.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Tiek nodrošināta iespēja pašiem </w:t>
            </w:r>
            <w:r w:rsidR="00B933FF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pārziņiem veidot lietotājus </w:t>
            </w:r>
            <w:r w:rsidR="00311F86">
              <w:rPr>
                <w:rFonts w:ascii="Times New Roman" w:hAnsi="Times New Roman" w:cs="Times New Roman"/>
                <w:sz w:val="24"/>
                <w:szCs w:val="24"/>
              </w:rPr>
              <w:t xml:space="preserve">ar tiesībām ievadīt </w:t>
            </w:r>
            <w:r w:rsidR="00E60D78">
              <w:rPr>
                <w:rFonts w:ascii="Times New Roman" w:hAnsi="Times New Roman" w:cs="Times New Roman"/>
                <w:sz w:val="24"/>
                <w:szCs w:val="24"/>
              </w:rPr>
              <w:t>VIRSIS</w:t>
            </w:r>
            <w:r w:rsidR="00311F86">
              <w:rPr>
                <w:rFonts w:ascii="Times New Roman" w:hAnsi="Times New Roman" w:cs="Times New Roman"/>
                <w:sz w:val="24"/>
                <w:szCs w:val="24"/>
              </w:rPr>
              <w:t xml:space="preserve"> informāciju par attiecīgās </w:t>
            </w:r>
            <w:r w:rsidR="00E628B6"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="00311F86">
              <w:rPr>
                <w:rFonts w:ascii="Times New Roman" w:hAnsi="Times New Roman" w:cs="Times New Roman"/>
                <w:sz w:val="24"/>
                <w:szCs w:val="24"/>
              </w:rPr>
              <w:t xml:space="preserve">institūcijas pārziņā esošajām </w:t>
            </w:r>
            <w:r w:rsidR="00B933FF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="00311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9C52AB" w14:textId="6772761E" w:rsidR="00E628B6" w:rsidRDefault="008310DA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Tiek noteikts, ka VIRSIS sastāv no </w:t>
            </w:r>
            <w:r w:rsidRPr="008310DA">
              <w:rPr>
                <w:rFonts w:ascii="Times New Roman" w:hAnsi="Times New Roman" w:cs="Times New Roman"/>
                <w:sz w:val="24"/>
                <w:szCs w:val="24"/>
              </w:rPr>
              <w:t>IKT resursu reģistra, IKT pakalpojumu reģistra un būtisku IKT arhitektūras elementu reģistra</w:t>
            </w:r>
            <w:r w:rsidR="00E225CE">
              <w:rPr>
                <w:rFonts w:ascii="Times New Roman" w:hAnsi="Times New Roman" w:cs="Times New Roman"/>
                <w:sz w:val="24"/>
                <w:szCs w:val="24"/>
              </w:rPr>
              <w:t>, kā arī noteikts VIRSIS iekļaujamā informācija un tās apjoms.</w:t>
            </w:r>
          </w:p>
          <w:p w14:paraId="70EAD475" w14:textId="172717CC" w:rsidR="00B3639E" w:rsidRDefault="00B3639E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VIRSIS </w:t>
            </w:r>
            <w:r w:rsidRPr="00B3639E">
              <w:rPr>
                <w:rFonts w:ascii="Times New Roman" w:hAnsi="Times New Roman" w:cs="Times New Roman"/>
                <w:sz w:val="24"/>
                <w:szCs w:val="24"/>
              </w:rPr>
              <w:t>fizisko personu dati tiek apstrādāti ar mērķi:</w:t>
            </w:r>
          </w:p>
          <w:p w14:paraId="5CEA66B8" w14:textId="77777777" w:rsidR="00B3639E" w:rsidRPr="00B3639E" w:rsidRDefault="00B3639E" w:rsidP="00B3639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639E">
              <w:rPr>
                <w:rFonts w:ascii="Times New Roman" w:hAnsi="Times New Roman" w:cs="Times New Roman"/>
                <w:sz w:val="24"/>
                <w:szCs w:val="24"/>
              </w:rPr>
              <w:t>nodrošināt VIRSIS lietotāja identifikāciju un autorizāciju;</w:t>
            </w:r>
          </w:p>
          <w:p w14:paraId="1835E30B" w14:textId="77777777" w:rsidR="00B3639E" w:rsidRPr="00B3639E" w:rsidRDefault="00B3639E" w:rsidP="00B3639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639E">
              <w:rPr>
                <w:rFonts w:ascii="Times New Roman" w:hAnsi="Times New Roman" w:cs="Times New Roman"/>
                <w:sz w:val="24"/>
                <w:szCs w:val="24"/>
              </w:rPr>
              <w:t>identificēt par konkrētas VIRSIS kartītes saturu atbildīgo kontaktpersonu;</w:t>
            </w:r>
          </w:p>
          <w:p w14:paraId="0C72720E" w14:textId="15E22D68" w:rsidR="00B3639E" w:rsidRPr="00B3639E" w:rsidRDefault="00B3639E" w:rsidP="00B3639E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39E">
              <w:rPr>
                <w:rFonts w:ascii="Times New Roman" w:hAnsi="Times New Roman" w:cs="Times New Roman"/>
                <w:sz w:val="24"/>
                <w:szCs w:val="24"/>
              </w:rPr>
              <w:t>nodrošināt iespēju sazināties</w:t>
            </w:r>
            <w:r w:rsidR="00ED3B6B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Pr="00B3639E">
              <w:rPr>
                <w:rFonts w:ascii="Times New Roman" w:hAnsi="Times New Roman" w:cs="Times New Roman"/>
                <w:sz w:val="24"/>
                <w:szCs w:val="24"/>
              </w:rPr>
              <w:t xml:space="preserve"> kontaktpersonu. </w:t>
            </w:r>
          </w:p>
          <w:p w14:paraId="51C8ABAC" w14:textId="77777777" w:rsidR="00B3639E" w:rsidRDefault="005365B9" w:rsidP="00B36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VIRSIS tiek iekļauti sekojoši fizisko personu dati par kontaktpersonu:</w:t>
            </w:r>
          </w:p>
          <w:p w14:paraId="6D2EAE54" w14:textId="77777777" w:rsidR="005365B9" w:rsidRPr="005365B9" w:rsidRDefault="005365B9" w:rsidP="005365B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365B9">
              <w:rPr>
                <w:rFonts w:ascii="Times New Roman" w:hAnsi="Times New Roman" w:cs="Times New Roman"/>
                <w:sz w:val="24"/>
                <w:szCs w:val="24"/>
              </w:rPr>
              <w:t>vārds, uzvārds un personas kods;</w:t>
            </w:r>
          </w:p>
          <w:p w14:paraId="4FD059F9" w14:textId="77777777" w:rsidR="005365B9" w:rsidRPr="005365B9" w:rsidRDefault="005365B9" w:rsidP="005365B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365B9">
              <w:rPr>
                <w:rFonts w:ascii="Times New Roman" w:hAnsi="Times New Roman" w:cs="Times New Roman"/>
                <w:sz w:val="24"/>
                <w:szCs w:val="24"/>
              </w:rPr>
              <w:t>darbavietas tālruņa numurs;</w:t>
            </w:r>
          </w:p>
          <w:p w14:paraId="165455FA" w14:textId="77777777" w:rsidR="005365B9" w:rsidRPr="005365B9" w:rsidRDefault="005365B9" w:rsidP="005365B9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B9">
              <w:rPr>
                <w:rFonts w:ascii="Times New Roman" w:hAnsi="Times New Roman" w:cs="Times New Roman"/>
                <w:sz w:val="24"/>
                <w:szCs w:val="24"/>
              </w:rPr>
              <w:t>darbavietas elektroniskā pasta adrese.</w:t>
            </w:r>
          </w:p>
          <w:p w14:paraId="357411F5" w14:textId="3CBA0956" w:rsidR="005365B9" w:rsidRDefault="007E175A" w:rsidP="00536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Fizisko personu dati VIRSIS tiek u</w:t>
            </w:r>
            <w:r w:rsidR="00B933FF">
              <w:rPr>
                <w:rFonts w:ascii="Times New Roman" w:hAnsi="Times New Roman" w:cs="Times New Roman"/>
                <w:sz w:val="24"/>
                <w:szCs w:val="24"/>
              </w:rPr>
              <w:t>zglabāti:</w:t>
            </w:r>
          </w:p>
          <w:p w14:paraId="754C340E" w14:textId="1263AD83" w:rsidR="00B933FF" w:rsidRDefault="00B933FF" w:rsidP="00B933F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FF">
              <w:rPr>
                <w:rFonts w:ascii="Times New Roman" w:hAnsi="Times New Roman" w:cs="Times New Roman"/>
                <w:sz w:val="24"/>
                <w:szCs w:val="24"/>
              </w:rPr>
              <w:t>tiešsaistē tik ilgi, kamēr kontaktpersona saglabā darba attiecības ar kartītē norādīto VIS pārzini;</w:t>
            </w:r>
          </w:p>
          <w:p w14:paraId="43B92F45" w14:textId="6789611E" w:rsidR="001616D7" w:rsidRPr="001616D7" w:rsidRDefault="001616D7" w:rsidP="001616D7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6D7">
              <w:rPr>
                <w:rFonts w:ascii="Times New Roman" w:hAnsi="Times New Roman" w:cs="Times New Roman"/>
                <w:sz w:val="24"/>
                <w:szCs w:val="24"/>
              </w:rPr>
              <w:t>10 gadus pēc kontaktpersonas nomaiņas kartītē (kartīti arhivējot).</w:t>
            </w:r>
          </w:p>
          <w:p w14:paraId="74017603" w14:textId="7AD7D689" w:rsidR="001616D7" w:rsidRDefault="0015753B" w:rsidP="001616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 noteikta kartība VIRSIS iekļaujamās informācijas reģistrēšanai, izmantošanai un apstrādei.</w:t>
            </w:r>
            <w:r w:rsidR="000A2BAD">
              <w:rPr>
                <w:rFonts w:ascii="Times New Roman" w:hAnsi="Times New Roman" w:cs="Times New Roman"/>
                <w:sz w:val="24"/>
                <w:szCs w:val="24"/>
              </w:rPr>
              <w:t xml:space="preserve"> VIS pārzinim tiek uzlikts par pienākumu trīs darbdienu laikā veikt attiecīgu datu aktualizēšanu VIRSIS, par savā</w:t>
            </w:r>
            <w:r w:rsidR="00D47BC3">
              <w:rPr>
                <w:rFonts w:ascii="Times New Roman" w:hAnsi="Times New Roman" w:cs="Times New Roman"/>
                <w:sz w:val="24"/>
                <w:szCs w:val="24"/>
              </w:rPr>
              <w:t xml:space="preserve"> pārziņā esošajām VIS un un to darbībai nepieciešamajiem IKT resursiem un pakalpojumiem.</w:t>
            </w:r>
            <w:r w:rsidR="000A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B24">
              <w:rPr>
                <w:rFonts w:ascii="Times New Roman" w:hAnsi="Times New Roman" w:cs="Times New Roman"/>
                <w:sz w:val="24"/>
                <w:szCs w:val="24"/>
              </w:rPr>
              <w:t xml:space="preserve">VIRSIS koordinatoram tiek uzlikts par pienākumu izvērtēt </w:t>
            </w:r>
            <w:r w:rsidR="007D5F3F">
              <w:rPr>
                <w:rFonts w:ascii="Times New Roman" w:hAnsi="Times New Roman" w:cs="Times New Roman"/>
                <w:sz w:val="24"/>
                <w:szCs w:val="24"/>
              </w:rPr>
              <w:t>iesniegto informāciju 10 darb</w:t>
            </w:r>
            <w:r w:rsidR="00375B24">
              <w:rPr>
                <w:rFonts w:ascii="Times New Roman" w:hAnsi="Times New Roman" w:cs="Times New Roman"/>
                <w:sz w:val="24"/>
                <w:szCs w:val="24"/>
              </w:rPr>
              <w:t>dienu laikā.</w:t>
            </w:r>
            <w:r w:rsidR="00A61BB2">
              <w:rPr>
                <w:rFonts w:ascii="Times New Roman" w:hAnsi="Times New Roman" w:cs="Times New Roman"/>
                <w:sz w:val="24"/>
                <w:szCs w:val="24"/>
              </w:rPr>
              <w:t xml:space="preserve"> VIS pārzinis ir atbildīgs par VIRSIS sniegto datu patiesumu</w:t>
            </w:r>
            <w:r w:rsidR="000F70FA">
              <w:rPr>
                <w:rFonts w:ascii="Times New Roman" w:hAnsi="Times New Roman" w:cs="Times New Roman"/>
                <w:sz w:val="24"/>
                <w:szCs w:val="24"/>
              </w:rPr>
              <w:t xml:space="preserve"> un aktualitāti</w:t>
            </w:r>
            <w:r w:rsidR="00A61B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5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 mazinātu administratīvo slogu, </w:t>
            </w:r>
            <w:r w:rsidR="003F745C">
              <w:rPr>
                <w:rFonts w:ascii="Times New Roman" w:hAnsi="Times New Roman" w:cs="Times New Roman"/>
                <w:sz w:val="24"/>
                <w:szCs w:val="24"/>
              </w:rPr>
              <w:t xml:space="preserve">VIRSIS iekļaujamās informācijas apstrāde (komunikācija starp kontaktpersonu un VIRSIS koordinatoru) tiek nodrošināta izmantojot e-pastu. Oficiālā VIRSIS koordinatora e-pasta adrese ir </w:t>
            </w:r>
            <w:hyperlink r:id="rId11" w:history="1">
              <w:r w:rsidR="00E346B4" w:rsidRPr="006824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virsis.koordinators@varam.gov.lv</w:t>
              </w:r>
            </w:hyperlink>
            <w:r w:rsidR="003F7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7CF8FC" w14:textId="0572B1D7" w:rsidR="00E346B4" w:rsidRPr="001616D7" w:rsidRDefault="00B95DD0" w:rsidP="001616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 nodrošinātu datu atkalizmantojamību un atvērtību, ir paredzēts </w:t>
            </w:r>
            <w:r w:rsidRPr="00B95DD0">
              <w:rPr>
                <w:rFonts w:ascii="Times New Roman" w:hAnsi="Times New Roman" w:cs="Times New Roman"/>
                <w:sz w:val="24"/>
                <w:szCs w:val="24"/>
              </w:rPr>
              <w:t>publiski pieejamos datus atvērto datu veidā publicē Latvijas Atvērto datu portālā (https://data.gov.lv). VIRSIS publiski pieejamie dati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tvijas Atvērto datu portālā tiks</w:t>
            </w:r>
            <w:r w:rsidRPr="00B95DD0">
              <w:rPr>
                <w:rFonts w:ascii="Times New Roman" w:hAnsi="Times New Roman" w:cs="Times New Roman"/>
                <w:sz w:val="24"/>
                <w:szCs w:val="24"/>
              </w:rPr>
              <w:t xml:space="preserve"> atjaunināti ne retāk kā reizi mēnesī.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 Latvijas Atvērto datu portālu netiks nodoti fizisko personu dati un dati, kuri saistīti ar </w:t>
            </w:r>
            <w:r w:rsidR="00FA2638">
              <w:rPr>
                <w:rFonts w:ascii="Times New Roman" w:hAnsi="Times New Roman" w:cs="Times New Roman"/>
                <w:sz w:val="24"/>
                <w:szCs w:val="24"/>
              </w:rPr>
              <w:t xml:space="preserve">VIRSIS reģistrēto objektu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finansējumu.</w:t>
            </w:r>
          </w:p>
          <w:p w14:paraId="45A044A2" w14:textId="2240203A" w:rsidR="0073363C" w:rsidRPr="00F12184" w:rsidRDefault="00F12184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184">
              <w:rPr>
                <w:rFonts w:ascii="Times New Roman" w:hAnsi="Times New Roman" w:cs="Times New Roman"/>
                <w:sz w:val="24"/>
                <w:szCs w:val="24"/>
              </w:rPr>
              <w:t>Likvidējot VIRSIS, 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jā iekļautā informācijā</w:t>
            </w:r>
            <w:r w:rsidRPr="00F12184">
              <w:rPr>
                <w:rFonts w:ascii="Times New Roman" w:hAnsi="Times New Roman" w:cs="Times New Roman"/>
                <w:sz w:val="24"/>
                <w:szCs w:val="24"/>
              </w:rPr>
              <w:t xml:space="preserve"> normatīvajos aktos noteiktajā kārtībā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tiks nodota</w:t>
            </w:r>
            <w:r w:rsidRPr="00F12184">
              <w:rPr>
                <w:rFonts w:ascii="Times New Roman" w:hAnsi="Times New Roman" w:cs="Times New Roman"/>
                <w:sz w:val="24"/>
                <w:szCs w:val="24"/>
              </w:rPr>
              <w:t xml:space="preserve"> glabāšanai Latvijas Nacionālajā arhīvā.</w:t>
            </w:r>
          </w:p>
          <w:p w14:paraId="641FC796" w14:textId="77777777" w:rsidR="0017234D" w:rsidRDefault="00802AEB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02AEB">
              <w:rPr>
                <w:rFonts w:ascii="Times New Roman" w:hAnsi="Times New Roman" w:cs="Times New Roman"/>
                <w:sz w:val="24"/>
                <w:szCs w:val="24"/>
              </w:rPr>
              <w:t xml:space="preserve">oteikumos noteiktā tiesiskā regulējuma piemērošanai ir nepieciešams pārejas periods, kas ir saistīts ar </w:t>
            </w:r>
            <w:r w:rsidRPr="00802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nepieciešamību pakāpeniskai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Pr="00802AEB">
              <w:rPr>
                <w:rFonts w:ascii="Times New Roman" w:hAnsi="Times New Roman" w:cs="Times New Roman"/>
                <w:sz w:val="24"/>
                <w:szCs w:val="24"/>
              </w:rPr>
              <w:t xml:space="preserve"> pārreģistrācijai no VISR uz VIRSIS. Pamatinformācija no VISR tiks automātiski migrēta uz VIRSIS. Attiecīgo </w:t>
            </w:r>
            <w:r w:rsidR="00033D87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Pr="00802AEB">
              <w:rPr>
                <w:rFonts w:ascii="Times New Roman" w:hAnsi="Times New Roman" w:cs="Times New Roman"/>
                <w:sz w:val="24"/>
                <w:szCs w:val="24"/>
              </w:rPr>
              <w:t xml:space="preserve"> pārziņiem, būs jāpapildina informācija VIRSIS par migrētajām to parziņā esošajām valsts informācijas sistēmām.</w:t>
            </w:r>
            <w:r w:rsidR="00033D87">
              <w:rPr>
                <w:rFonts w:ascii="Times New Roman" w:hAnsi="Times New Roman" w:cs="Times New Roman"/>
                <w:sz w:val="24"/>
                <w:szCs w:val="24"/>
              </w:rPr>
              <w:t xml:space="preserve"> Līdz ar to noteikumu projektā sadaļā “Noslēguma jautājumi” ir paredzēts pārejas periods seši mēneši, lai VIS pārziņi varētu iekļaut un/vai aktualizēt datus VIRSIS.</w:t>
            </w:r>
          </w:p>
          <w:p w14:paraId="1DF45F7C" w14:textId="77777777" w:rsidR="00E7509D" w:rsidRDefault="00E7509D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Ņemot vērā, ka šobrīd VIRSIS funkcionalitāte vēl nenodrošinās tehnoloģiskā resursa aparatūras (infrastruktūra) veida reģistrēšanu, tiek noteikts pārejas periods šī veida IKT resursa reģistrēšanai VIRSIS.</w:t>
            </w:r>
          </w:p>
          <w:p w14:paraId="570137CE" w14:textId="07DD461D" w:rsidR="00E7509D" w:rsidRPr="00FF6D87" w:rsidRDefault="00E7509D" w:rsidP="00543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VARAM </w:t>
            </w:r>
            <w:r w:rsidR="0030474B">
              <w:rPr>
                <w:rFonts w:ascii="Times New Roman" w:hAnsi="Times New Roman" w:cs="Times New Roman"/>
                <w:sz w:val="24"/>
                <w:szCs w:val="24"/>
              </w:rPr>
              <w:t>nodrošinās VIRSIS pieejamību lietotajiem un instrukcijas pieejamību VARAM tīmekļvietnē līdz 2019.gada 31.oktobrim.</w:t>
            </w:r>
          </w:p>
        </w:tc>
      </w:tr>
      <w:tr w:rsidR="00FF6D87" w:rsidRPr="00FF6D87" w14:paraId="395295B3" w14:textId="77777777" w:rsidTr="00E77BD6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5694B36" w14:textId="42FFE35A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3772585" w14:textId="77777777" w:rsidR="00FF6D87" w:rsidRPr="00FF6D87" w:rsidRDefault="00FF6D87" w:rsidP="009F3E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Projekta izstrādē iesaistītās institūcijas un publiskas personas kapitālsabiedrības</w:t>
            </w:r>
          </w:p>
        </w:tc>
        <w:tc>
          <w:tcPr>
            <w:tcW w:w="6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CE71D0F" w14:textId="2E470E10" w:rsidR="00FF6D87" w:rsidRPr="00FF6D87" w:rsidRDefault="00AB68DF" w:rsidP="00BC6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DA633A">
              <w:rPr>
                <w:rFonts w:ascii="Times New Roman" w:hAnsi="Times New Roman" w:cs="Times New Roman"/>
                <w:sz w:val="24"/>
                <w:szCs w:val="24"/>
              </w:rPr>
              <w:t>Noteikumu projekts</w:t>
            </w:r>
            <w:r w:rsidRPr="00BD7F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šo jomu neskar.</w:t>
            </w:r>
          </w:p>
        </w:tc>
      </w:tr>
      <w:tr w:rsidR="00FF6D87" w:rsidRPr="00FF6D87" w14:paraId="30C93D20" w14:textId="77777777" w:rsidTr="00E77BD6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045D848" w14:textId="77777777" w:rsidR="00FF6D87" w:rsidRPr="00665CD0" w:rsidRDefault="00FF6D87" w:rsidP="002E597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2871D59" w14:textId="77777777" w:rsidR="00FF6D87" w:rsidRPr="00665CD0" w:rsidRDefault="00FF6D87" w:rsidP="002E597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1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47D94FC" w14:textId="78FE7E83" w:rsidR="00FF6D87" w:rsidRPr="00665CD0" w:rsidRDefault="00C97D85" w:rsidP="00BC6D76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r w:rsidR="0039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33ABA3C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79"/>
        <w:gridCol w:w="6153"/>
      </w:tblGrid>
      <w:tr w:rsidR="00FF6D87" w:rsidRPr="00FF6D87" w14:paraId="08F3D4D5" w14:textId="77777777" w:rsidTr="002E597B">
        <w:tc>
          <w:tcPr>
            <w:tcW w:w="9186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F075FD1" w14:textId="77777777" w:rsidR="00FF6D87" w:rsidRPr="00665CD0" w:rsidRDefault="00FF6D87" w:rsidP="00665CD0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 Tiesību akta projekta ietekme uz sabiedrību, tautsaimniecības attīstību un administratīvo slogu</w:t>
            </w:r>
          </w:p>
        </w:tc>
      </w:tr>
      <w:tr w:rsidR="00FF6D87" w:rsidRPr="00FF6D87" w14:paraId="3F8E885E" w14:textId="77777777" w:rsidTr="00E77BD6"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D38A541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1287917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6153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8BA5654" w14:textId="094D9F48" w:rsidR="00FF6D87" w:rsidRPr="00665CD0" w:rsidRDefault="00C97D85" w:rsidP="007211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Visas 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>valsts institūcija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>, kas normatīvajos aktos noteiktajā kārtībā organizē un v</w:t>
            </w:r>
            <w:r w:rsidR="006C0CE2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r w:rsidR="0072116D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 xml:space="preserve"> darbību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D87" w:rsidRPr="00FF6D87" w14:paraId="4C4CBBE9" w14:textId="77777777" w:rsidTr="00E77BD6"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A124C4C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B05EAC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6153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D0BE492" w14:textId="44ED3FD6" w:rsidR="00FF6D87" w:rsidRPr="00665CD0" w:rsidRDefault="00DA633A" w:rsidP="006647B4">
            <w:pPr>
              <w:pStyle w:val="naiskr"/>
              <w:spacing w:before="0" w:after="0" w:afterAutospacing="0"/>
              <w:jc w:val="both"/>
            </w:pPr>
            <w:r>
              <w:t>Noteikumu projekts</w:t>
            </w:r>
            <w:r w:rsidR="00FF6D87" w:rsidRPr="00665CD0">
              <w:rPr>
                <w:bCs/>
              </w:rPr>
              <w:t xml:space="preserve"> šo jomu neskar</w:t>
            </w:r>
            <w:r w:rsidR="003943D7">
              <w:rPr>
                <w:bCs/>
              </w:rPr>
              <w:t>.</w:t>
            </w:r>
          </w:p>
        </w:tc>
      </w:tr>
      <w:tr w:rsidR="00FF6D87" w:rsidRPr="00FF6D87" w14:paraId="2C8B1828" w14:textId="77777777" w:rsidTr="00E77BD6"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6D1B1B0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59A70D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6153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0E717DC" w14:textId="7385E658" w:rsidR="00FF6D87" w:rsidRPr="00665CD0" w:rsidRDefault="00DA633A" w:rsidP="006647B4">
            <w:pPr>
              <w:pStyle w:val="naiskr"/>
              <w:spacing w:before="0" w:after="0" w:afterAutospacing="0"/>
              <w:jc w:val="both"/>
            </w:pPr>
            <w:r>
              <w:t>Noteikumu projekts</w:t>
            </w:r>
            <w:r w:rsidR="003943D7">
              <w:t xml:space="preserve"> </w:t>
            </w:r>
            <w:r w:rsidR="00FF6D87" w:rsidRPr="00665CD0">
              <w:rPr>
                <w:bCs/>
              </w:rPr>
              <w:t>šo jomu neskar</w:t>
            </w:r>
            <w:r w:rsidR="003943D7">
              <w:rPr>
                <w:bCs/>
              </w:rPr>
              <w:t>.</w:t>
            </w:r>
          </w:p>
        </w:tc>
      </w:tr>
      <w:tr w:rsidR="00FF6D87" w:rsidRPr="00FF6D87" w14:paraId="2014B42B" w14:textId="77777777" w:rsidTr="00E77BD6"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F2A8A13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DFFE90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153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D9C4BCC" w14:textId="4AAFF9EC" w:rsidR="00FF6D87" w:rsidRPr="00665CD0" w:rsidRDefault="00FF6D87" w:rsidP="006647B4">
            <w:pPr>
              <w:pStyle w:val="naiskr"/>
              <w:spacing w:before="0" w:after="0" w:afterAutospacing="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1BE6C873" w14:textId="77777777" w:rsidR="00B40889" w:rsidRDefault="00B40889" w:rsidP="00FF6D87">
      <w:pPr>
        <w:spacing w:after="120"/>
        <w:rPr>
          <w:rFonts w:ascii="Times New Roman" w:hAnsi="Times New Roman" w:cs="Times New Roman"/>
        </w:rPr>
      </w:pPr>
    </w:p>
    <w:tbl>
      <w:tblPr>
        <w:tblW w:w="0" w:type="auto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85"/>
      </w:tblGrid>
      <w:tr w:rsidR="007620B6" w:rsidRPr="00FF6D87" w14:paraId="6E246672" w14:textId="77777777" w:rsidTr="00634236">
        <w:trPr>
          <w:trHeight w:val="284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8E89837" w14:textId="77777777" w:rsidR="007620B6" w:rsidRPr="00665CD0" w:rsidRDefault="007620B6" w:rsidP="006342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 w:type="page"/>
              <w:t>III. Tiesību akta projekta ietekme uz valsts budžetu un pašvaldību budžetiem</w:t>
            </w:r>
          </w:p>
        </w:tc>
      </w:tr>
      <w:tr w:rsidR="007620B6" w:rsidRPr="00FF6D87" w14:paraId="5E042DBC" w14:textId="77777777" w:rsidTr="00634236">
        <w:trPr>
          <w:trHeight w:val="284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57B15E9" w14:textId="77777777" w:rsidR="007620B6" w:rsidRPr="00323FF8" w:rsidRDefault="007620B6" w:rsidP="006342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projekts</w:t>
            </w: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 xml:space="preserve"> šo jomu neskar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AC864A0" w14:textId="77777777" w:rsidR="00323FF8" w:rsidRDefault="00323FF8" w:rsidP="00FF6D87">
      <w:pPr>
        <w:spacing w:after="120"/>
        <w:rPr>
          <w:rFonts w:ascii="Times New Roman" w:hAnsi="Times New Roman" w:cs="Times New Roman"/>
        </w:rPr>
      </w:pPr>
    </w:p>
    <w:p w14:paraId="61C1DCCF" w14:textId="77777777" w:rsidR="00B40889" w:rsidRDefault="00B40889" w:rsidP="00FF6D87">
      <w:pPr>
        <w:spacing w:after="120"/>
        <w:rPr>
          <w:rFonts w:ascii="Times New Roman" w:hAnsi="Times New Roman" w:cs="Times New Roman"/>
        </w:rPr>
      </w:pPr>
    </w:p>
    <w:tbl>
      <w:tblPr>
        <w:tblW w:w="0" w:type="auto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270"/>
      </w:tblGrid>
      <w:tr w:rsidR="00FF6D87" w:rsidRPr="00FF6D87" w14:paraId="1211AA26" w14:textId="77777777" w:rsidTr="00E77BD6">
        <w:trPr>
          <w:trHeight w:val="284"/>
        </w:trPr>
        <w:tc>
          <w:tcPr>
            <w:tcW w:w="9270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976EA91" w14:textId="77777777" w:rsidR="00FF6D87" w:rsidRPr="00665CD0" w:rsidRDefault="00FF6D87" w:rsidP="00665C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</w:t>
            </w:r>
            <w:r w:rsidRPr="00665CD0">
              <w:rPr>
                <w:rFonts w:ascii="Times New Roman" w:hAnsi="Times New Roman" w:cs="Times New Roman"/>
                <w:b/>
                <w:bCs/>
                <w:color w:val="414142"/>
                <w:sz w:val="24"/>
                <w:szCs w:val="24"/>
              </w:rPr>
              <w:t>. </w:t>
            </w: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atbilstība Latvijas Republikas starptautiskajām saistībām</w:t>
            </w:r>
          </w:p>
        </w:tc>
      </w:tr>
      <w:tr w:rsidR="00FF6D87" w:rsidRPr="00FF6D87" w14:paraId="3E4F8DDE" w14:textId="77777777" w:rsidTr="00E77BD6">
        <w:trPr>
          <w:trHeight w:val="284"/>
        </w:trPr>
        <w:tc>
          <w:tcPr>
            <w:tcW w:w="9270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AB935BE" w14:textId="724FF5A4" w:rsidR="00FF6D87" w:rsidRPr="00665CD0" w:rsidRDefault="00146486" w:rsidP="00665CD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</w:t>
            </w:r>
            <w:r w:rsidR="00E01F94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FF6D87" w:rsidRPr="00665CD0">
              <w:rPr>
                <w:rFonts w:ascii="Times New Roman" w:hAnsi="Times New Roman" w:cs="Times New Roman"/>
                <w:sz w:val="24"/>
                <w:szCs w:val="24"/>
              </w:rPr>
              <w:t xml:space="preserve"> šo jomu neskar</w:t>
            </w:r>
            <w:r w:rsidR="00E6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D02614E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2437"/>
        <w:gridCol w:w="6379"/>
      </w:tblGrid>
      <w:tr w:rsidR="00FF6D87" w:rsidRPr="00FF6D87" w14:paraId="6C8DB6B1" w14:textId="77777777" w:rsidTr="00E77BD6">
        <w:trPr>
          <w:trHeight w:val="227"/>
        </w:trPr>
        <w:tc>
          <w:tcPr>
            <w:tcW w:w="9270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F5BB724" w14:textId="77777777" w:rsidR="00FF6D87" w:rsidRPr="00665CD0" w:rsidRDefault="00FF6D87" w:rsidP="00665CD0">
            <w:pPr>
              <w:pStyle w:val="naisnod"/>
              <w:keepNext/>
              <w:spacing w:before="0" w:after="0"/>
              <w:ind w:left="57" w:right="57"/>
              <w:jc w:val="center"/>
              <w:rPr>
                <w:b/>
              </w:rPr>
            </w:pPr>
            <w:r w:rsidRPr="00665CD0">
              <w:rPr>
                <w:b/>
              </w:rPr>
              <w:t>VI. Sabiedrības līdzdalība un komunikācijas aktivitātes</w:t>
            </w:r>
          </w:p>
        </w:tc>
      </w:tr>
      <w:tr w:rsidR="00FF6D87" w:rsidRPr="00FF6D87" w14:paraId="51F8E1BA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3A6A39B" w14:textId="77777777" w:rsidR="00FF6D87" w:rsidRPr="00746C35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C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ADF3C29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Plānotās sabiedrības līdzdalības un komunikācijas aktivitātes saistībā ar projektu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113DC57" w14:textId="336EAFEE" w:rsidR="00FF6D87" w:rsidRPr="00665CD0" w:rsidRDefault="006E05B2" w:rsidP="006647B4">
            <w:pPr>
              <w:pStyle w:val="naiskr"/>
              <w:spacing w:before="0" w:after="0" w:afterAutospacing="0"/>
              <w:jc w:val="both"/>
            </w:pPr>
            <w:r w:rsidRPr="006E05B2">
              <w:t xml:space="preserve">Noteikumu projekts </w:t>
            </w:r>
            <w:r w:rsidR="00263E69">
              <w:t>tik</w:t>
            </w:r>
            <w:r w:rsidRPr="006E05B2">
              <w:t>s</w:t>
            </w:r>
            <w:r w:rsidR="00FF6D87" w:rsidRPr="006E05B2">
              <w:t xml:space="preserve"> publicēts VARAM tīmekļvietnē </w:t>
            </w:r>
            <w:hyperlink r:id="rId12" w:history="1">
              <w:r w:rsidR="00FF6D87" w:rsidRPr="006E05B2">
                <w:rPr>
                  <w:rStyle w:val="Hyperlink"/>
                </w:rPr>
                <w:t>www.varam.gov.lv</w:t>
              </w:r>
            </w:hyperlink>
            <w:r w:rsidR="00FF6D87" w:rsidRPr="006E05B2">
              <w:t xml:space="preserve">, paziņojot par sabiedrības līdzdalības iespējām </w:t>
            </w:r>
            <w:r w:rsidR="00263E69">
              <w:t>noteikumu projek</w:t>
            </w:r>
            <w:r w:rsidRPr="006E05B2">
              <w:t>ta</w:t>
            </w:r>
            <w:r w:rsidR="00FF6D87" w:rsidRPr="006E05B2">
              <w:t xml:space="preserve"> izstrādes procesā.</w:t>
            </w:r>
          </w:p>
        </w:tc>
      </w:tr>
      <w:tr w:rsidR="00FF6D87" w:rsidRPr="00FF6D87" w14:paraId="5079CECD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3F87A88" w14:textId="77777777" w:rsidR="00FF6D87" w:rsidRPr="00746C35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C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E8184B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Sabiedrības līdzdalība projekta izstrādē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9CCCA4D" w14:textId="0CAD34F8" w:rsidR="00FF6D87" w:rsidRPr="00665CD0" w:rsidRDefault="006E05B2" w:rsidP="006647B4">
            <w:pPr>
              <w:pStyle w:val="naiskr"/>
              <w:spacing w:before="0" w:after="0" w:afterAutospacing="0"/>
              <w:jc w:val="both"/>
            </w:pPr>
            <w:r>
              <w:t>Nav.</w:t>
            </w:r>
          </w:p>
        </w:tc>
      </w:tr>
      <w:tr w:rsidR="00FF6D87" w:rsidRPr="00FF6D87" w14:paraId="0FBD51AA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BFF7EB6" w14:textId="77777777" w:rsidR="00FF6D87" w:rsidRPr="00746C35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C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3AD1011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Sabiedrības līdzdalības rezultāti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14E3111" w14:textId="054CCEBD" w:rsidR="00FF6D87" w:rsidRPr="00665CD0" w:rsidRDefault="006E05B2" w:rsidP="006647B4">
            <w:pPr>
              <w:pStyle w:val="naiskr"/>
              <w:spacing w:before="0" w:after="0" w:afterAutospacing="0"/>
              <w:jc w:val="both"/>
            </w:pPr>
            <w:r>
              <w:t>Nav</w:t>
            </w:r>
            <w:r w:rsidR="003F452F" w:rsidRPr="003F452F">
              <w:t>.</w:t>
            </w:r>
          </w:p>
        </w:tc>
      </w:tr>
      <w:tr w:rsidR="00FF6D87" w:rsidRPr="00FF6D87" w14:paraId="72CF669F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CF29D3A" w14:textId="77777777" w:rsidR="00FF6D87" w:rsidRPr="00746C35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C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286BC4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5F27DC2" w14:textId="48EF16A2" w:rsidR="00FF6D87" w:rsidRPr="00665CD0" w:rsidRDefault="00FF6D87" w:rsidP="006647B4">
            <w:pPr>
              <w:pStyle w:val="naiskr"/>
              <w:spacing w:after="0" w:afterAutospacing="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04C93B4D" w14:textId="77777777" w:rsidR="00323FF8" w:rsidRDefault="00323FF8" w:rsidP="00FF6D87">
      <w:pPr>
        <w:spacing w:after="120"/>
        <w:rPr>
          <w:rFonts w:ascii="Times New Roman" w:hAnsi="Times New Roman" w:cs="Times New Roman"/>
          <w:iCs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7"/>
        <w:gridCol w:w="2434"/>
        <w:gridCol w:w="6379"/>
      </w:tblGrid>
      <w:tr w:rsidR="00FF6D87" w:rsidRPr="00FF6D87" w14:paraId="5CD7CB53" w14:textId="77777777" w:rsidTr="00E77BD6">
        <w:trPr>
          <w:trHeight w:val="227"/>
        </w:trPr>
        <w:tc>
          <w:tcPr>
            <w:tcW w:w="9270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18DED5D" w14:textId="77777777" w:rsidR="00FF6D87" w:rsidRPr="00665CD0" w:rsidRDefault="00FF6D87" w:rsidP="00665CD0">
            <w:pPr>
              <w:pStyle w:val="naisnod"/>
              <w:keepNext/>
              <w:spacing w:before="0" w:after="0"/>
              <w:ind w:left="57" w:right="57"/>
              <w:jc w:val="center"/>
              <w:rPr>
                <w:b/>
              </w:rPr>
            </w:pPr>
            <w:r w:rsidRPr="00665CD0">
              <w:rPr>
                <w:b/>
              </w:rPr>
              <w:t>VII. Tiesību akta projekta izpildes nodrošināšana un tās ietekme uz institūcijām</w:t>
            </w:r>
          </w:p>
        </w:tc>
      </w:tr>
      <w:tr w:rsidR="00FF6D87" w:rsidRPr="00FF6D87" w14:paraId="53E13DD0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DA00505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EED70C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Projekta izpildē iesaistītās institūcijas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60D3619" w14:textId="2D343127" w:rsidR="00FF6D87" w:rsidRPr="00665CD0" w:rsidRDefault="003118CF" w:rsidP="0072116D">
            <w:pPr>
              <w:pStyle w:val="naiskr"/>
              <w:spacing w:before="0" w:after="0" w:afterAutospacing="0"/>
              <w:jc w:val="both"/>
            </w:pPr>
            <w:r w:rsidRPr="003118CF">
              <w:t>Visas valsts institūcijas, kas normatīvajos aktos noteiktajā kārtībā organizē un v</w:t>
            </w:r>
            <w:r w:rsidR="006C0CE2">
              <w:t xml:space="preserve">ada </w:t>
            </w:r>
            <w:r w:rsidR="0072116D">
              <w:t>VIS</w:t>
            </w:r>
            <w:r w:rsidRPr="003118CF">
              <w:t xml:space="preserve"> darbību</w:t>
            </w:r>
            <w:r w:rsidR="006C0CE2">
              <w:t>.</w:t>
            </w:r>
          </w:p>
        </w:tc>
      </w:tr>
      <w:tr w:rsidR="00FF6D87" w:rsidRPr="00FF6D87" w14:paraId="480FA9B9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30D418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E96F61D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Projekta izpildes ietekme uz pārvaldes funkcijām un institucionālo struktūru.</w:t>
            </w:r>
          </w:p>
          <w:p w14:paraId="706C80DD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D989653" w14:textId="18248C79" w:rsidR="000C39EE" w:rsidRDefault="00E01F94" w:rsidP="006647B4">
            <w:pPr>
              <w:pStyle w:val="naiskr"/>
              <w:spacing w:before="0" w:beforeAutospacing="0" w:after="0" w:afterAutospacing="0"/>
              <w:jc w:val="both"/>
            </w:pPr>
            <w:r>
              <w:t>Noteikumu projekta</w:t>
            </w:r>
            <w:r w:rsidR="000C39EE">
              <w:t xml:space="preserve"> izpilde neietekmēs pārvaldes funkcijas vai institucionālo struktūru.</w:t>
            </w:r>
          </w:p>
          <w:p w14:paraId="31CBA154" w14:textId="77777777" w:rsidR="000C39EE" w:rsidRDefault="000C39EE" w:rsidP="006647B4">
            <w:pPr>
              <w:pStyle w:val="naiskr"/>
              <w:spacing w:before="0" w:beforeAutospacing="0" w:after="0" w:afterAutospacing="0"/>
              <w:jc w:val="both"/>
            </w:pPr>
            <w:r>
              <w:t>Jaunas institūcijas netiks izveidotas, esošo institūciju likvidācija vai reorganizācija nav plānota.</w:t>
            </w:r>
          </w:p>
          <w:p w14:paraId="6BF8EFAD" w14:textId="4BEBD0D7" w:rsidR="0069774C" w:rsidRPr="00665CD0" w:rsidRDefault="00E01F94" w:rsidP="006647B4">
            <w:pPr>
              <w:pStyle w:val="naiskr"/>
              <w:spacing w:before="0" w:beforeAutospacing="0" w:after="0" w:afterAutospacing="0"/>
              <w:jc w:val="both"/>
            </w:pPr>
            <w:r>
              <w:t>Noteikumu projekts</w:t>
            </w:r>
            <w:r w:rsidR="000C39EE">
              <w:t xml:space="preserve"> tiks īstenots, izmantojot institūcijām pieejamos cilvēkresursus.</w:t>
            </w:r>
          </w:p>
        </w:tc>
      </w:tr>
      <w:tr w:rsidR="00FF6D87" w:rsidRPr="00FF6D87" w14:paraId="57A6F08D" w14:textId="77777777" w:rsidTr="00E77BD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BEEEB0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7BA8C89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379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AAE3153" w14:textId="17442716" w:rsidR="00FF6D87" w:rsidRPr="00665CD0" w:rsidRDefault="00FF6D87" w:rsidP="006647B4">
            <w:pPr>
              <w:pStyle w:val="naiskr"/>
              <w:spacing w:before="0" w:after="0" w:afterAutospacing="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3A67424A" w14:textId="77777777" w:rsidR="00F01AD4" w:rsidRDefault="00F01AD4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666EE65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5D4668A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06EB1C5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1A6B326" w14:textId="77777777" w:rsidR="0075216E" w:rsidRPr="000E0ACD" w:rsidRDefault="00420F0D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20F0D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420F0D">
        <w:rPr>
          <w:rFonts w:ascii="Times New Roman" w:hAnsi="Times New Roman" w:cs="Times New Roman"/>
          <w:sz w:val="24"/>
          <w:szCs w:val="24"/>
        </w:rPr>
        <w:tab/>
      </w:r>
      <w:r w:rsidRPr="00420F0D">
        <w:rPr>
          <w:rFonts w:ascii="Times New Roman" w:hAnsi="Times New Roman" w:cs="Times New Roman"/>
          <w:sz w:val="24"/>
          <w:szCs w:val="24"/>
        </w:rPr>
        <w:tab/>
      </w:r>
      <w:r w:rsidRPr="00420F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8CE">
        <w:rPr>
          <w:rFonts w:ascii="Times New Roman" w:hAnsi="Times New Roman" w:cs="Times New Roman"/>
          <w:sz w:val="24"/>
          <w:szCs w:val="24"/>
        </w:rPr>
        <w:t>J. Pūce</w:t>
      </w:r>
    </w:p>
    <w:p w14:paraId="333397D1" w14:textId="77777777" w:rsidR="0075216E" w:rsidRPr="000E0ACD" w:rsidRDefault="0075216E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884CC2D" w14:textId="5D0B2D57" w:rsidR="00F01AD4" w:rsidRDefault="003C4AD8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5DA4707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3ACF6" w14:textId="77777777" w:rsidR="00F01AD4" w:rsidRPr="000E0ACD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3C546" w14:textId="77777777" w:rsidR="009F44C9" w:rsidRPr="009F44C9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R.Guds</w:t>
      </w:r>
    </w:p>
    <w:p w14:paraId="2B63C6B4" w14:textId="77777777" w:rsidR="00671B7A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67026525</w:t>
      </w:r>
    </w:p>
    <w:p w14:paraId="2DCAAAAD" w14:textId="0FFAFF0A" w:rsidR="0016528E" w:rsidRPr="0016528E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rihards.guds@varam.gov.lv</w:t>
      </w:r>
      <w:r w:rsidR="0016528E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6528E" w:rsidRPr="0016528E" w:rsidSect="007C7E93">
      <w:headerReference w:type="default" r:id="rId13"/>
      <w:footerReference w:type="default" r:id="rId14"/>
      <w:footerReference w:type="first" r:id="rId15"/>
      <w:pgSz w:w="11906" w:h="16838"/>
      <w:pgMar w:top="851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D59C7" w14:textId="77777777" w:rsidR="001A06B5" w:rsidRDefault="001A06B5" w:rsidP="004D15A9">
      <w:pPr>
        <w:spacing w:after="0" w:line="240" w:lineRule="auto"/>
      </w:pPr>
      <w:r>
        <w:separator/>
      </w:r>
    </w:p>
  </w:endnote>
  <w:endnote w:type="continuationSeparator" w:id="0">
    <w:p w14:paraId="048259B5" w14:textId="77777777" w:rsidR="001A06B5" w:rsidRDefault="001A06B5" w:rsidP="004D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5F910" w14:textId="78CA5717" w:rsidR="00B9141E" w:rsidRPr="0016528E" w:rsidRDefault="00BA41FC" w:rsidP="00B9141E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bCs/>
        <w:sz w:val="20"/>
        <w:szCs w:val="20"/>
      </w:rPr>
      <w:t>VARAMAnot_VIRSIS</w:t>
    </w:r>
  </w:p>
  <w:p w14:paraId="60D2105E" w14:textId="3E3CBC06" w:rsidR="00C87351" w:rsidRPr="00FC2CEC" w:rsidRDefault="00C87351" w:rsidP="00D9158C">
    <w:pPr>
      <w:pStyle w:val="Footer"/>
      <w:rPr>
        <w:strike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0144C" w14:textId="112BDBF0" w:rsidR="00C87351" w:rsidRPr="0016528E" w:rsidRDefault="00BA41FC" w:rsidP="0016528E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bCs/>
        <w:sz w:val="20"/>
        <w:szCs w:val="20"/>
      </w:rPr>
      <w:t>VARAMAnot_VIRSIS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05F90" w14:textId="77777777" w:rsidR="001A06B5" w:rsidRDefault="001A06B5" w:rsidP="004D15A9">
      <w:pPr>
        <w:spacing w:after="0" w:line="240" w:lineRule="auto"/>
      </w:pPr>
      <w:r>
        <w:separator/>
      </w:r>
    </w:p>
  </w:footnote>
  <w:footnote w:type="continuationSeparator" w:id="0">
    <w:p w14:paraId="41985E58" w14:textId="77777777" w:rsidR="001A06B5" w:rsidRDefault="001A06B5" w:rsidP="004D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2309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B49869" w14:textId="77777777" w:rsidR="00C87351" w:rsidRPr="004D15A9" w:rsidRDefault="00F50ED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15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87351" w:rsidRPr="004D15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15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62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15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47A72C" w14:textId="77777777" w:rsidR="00C87351" w:rsidRDefault="00C873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3D3"/>
    <w:multiLevelType w:val="hybridMultilevel"/>
    <w:tmpl w:val="62281BD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E2988"/>
    <w:multiLevelType w:val="hybridMultilevel"/>
    <w:tmpl w:val="F098C0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E4EAB"/>
    <w:multiLevelType w:val="hybridMultilevel"/>
    <w:tmpl w:val="11A43068"/>
    <w:lvl w:ilvl="0" w:tplc="9318676C">
      <w:start w:val="4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lang w:val="en-US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334B"/>
    <w:multiLevelType w:val="hybridMultilevel"/>
    <w:tmpl w:val="171A82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D5FE3"/>
    <w:multiLevelType w:val="hybridMultilevel"/>
    <w:tmpl w:val="90D4AB98"/>
    <w:lvl w:ilvl="0" w:tplc="82B83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910EA"/>
    <w:multiLevelType w:val="hybridMultilevel"/>
    <w:tmpl w:val="92B4A1A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91A95"/>
    <w:multiLevelType w:val="hybridMultilevel"/>
    <w:tmpl w:val="E3DE4DC0"/>
    <w:lvl w:ilvl="0" w:tplc="C34E1DA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367B3C0B"/>
    <w:multiLevelType w:val="hybridMultilevel"/>
    <w:tmpl w:val="90D4AB98"/>
    <w:lvl w:ilvl="0" w:tplc="82B83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723C7"/>
    <w:multiLevelType w:val="hybridMultilevel"/>
    <w:tmpl w:val="4636FE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30DBA"/>
    <w:multiLevelType w:val="hybridMultilevel"/>
    <w:tmpl w:val="277AD9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B0697"/>
    <w:multiLevelType w:val="hybridMultilevel"/>
    <w:tmpl w:val="CCC2AA54"/>
    <w:lvl w:ilvl="0" w:tplc="C64E297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476BB3"/>
    <w:multiLevelType w:val="hybridMultilevel"/>
    <w:tmpl w:val="E55E046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43214"/>
    <w:multiLevelType w:val="hybridMultilevel"/>
    <w:tmpl w:val="F1666F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C2F8F"/>
    <w:multiLevelType w:val="hybridMultilevel"/>
    <w:tmpl w:val="17B032D6"/>
    <w:lvl w:ilvl="0" w:tplc="8BFE263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9F7BD2"/>
    <w:multiLevelType w:val="hybridMultilevel"/>
    <w:tmpl w:val="63F62CC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327277"/>
    <w:multiLevelType w:val="hybridMultilevel"/>
    <w:tmpl w:val="31562A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30ED3"/>
    <w:multiLevelType w:val="hybridMultilevel"/>
    <w:tmpl w:val="BBB231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13"/>
  </w:num>
  <w:num w:numId="5">
    <w:abstractNumId w:val="4"/>
  </w:num>
  <w:num w:numId="6">
    <w:abstractNumId w:val="15"/>
  </w:num>
  <w:num w:numId="7">
    <w:abstractNumId w:val="6"/>
  </w:num>
  <w:num w:numId="8">
    <w:abstractNumId w:val="14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12"/>
  </w:num>
  <w:num w:numId="15">
    <w:abstractNumId w:val="11"/>
  </w:num>
  <w:num w:numId="16">
    <w:abstractNumId w:val="10"/>
  </w:num>
  <w:num w:numId="1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ārtiņš Vērdiņš">
    <w15:presenceInfo w15:providerId="AD" w15:userId="S-1-5-21-1177238915-1417001333-839522115-99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A9"/>
    <w:rsid w:val="000018CD"/>
    <w:rsid w:val="000075EC"/>
    <w:rsid w:val="000135EB"/>
    <w:rsid w:val="000225DB"/>
    <w:rsid w:val="00023E56"/>
    <w:rsid w:val="00024973"/>
    <w:rsid w:val="000251FB"/>
    <w:rsid w:val="00025641"/>
    <w:rsid w:val="00030E28"/>
    <w:rsid w:val="00031256"/>
    <w:rsid w:val="00032F57"/>
    <w:rsid w:val="000331EF"/>
    <w:rsid w:val="00033D87"/>
    <w:rsid w:val="000352D6"/>
    <w:rsid w:val="000430E2"/>
    <w:rsid w:val="00043D63"/>
    <w:rsid w:val="00044827"/>
    <w:rsid w:val="000532CC"/>
    <w:rsid w:val="00055D68"/>
    <w:rsid w:val="0006096E"/>
    <w:rsid w:val="00061FC2"/>
    <w:rsid w:val="000641CB"/>
    <w:rsid w:val="000717FA"/>
    <w:rsid w:val="000728DB"/>
    <w:rsid w:val="000731EB"/>
    <w:rsid w:val="0007400B"/>
    <w:rsid w:val="00075C97"/>
    <w:rsid w:val="00080958"/>
    <w:rsid w:val="00094CF0"/>
    <w:rsid w:val="000957CD"/>
    <w:rsid w:val="000A03B7"/>
    <w:rsid w:val="000A2BAD"/>
    <w:rsid w:val="000A532D"/>
    <w:rsid w:val="000A71C7"/>
    <w:rsid w:val="000A762F"/>
    <w:rsid w:val="000A7A75"/>
    <w:rsid w:val="000B1108"/>
    <w:rsid w:val="000B586E"/>
    <w:rsid w:val="000C01E7"/>
    <w:rsid w:val="000C39EE"/>
    <w:rsid w:val="000C3F77"/>
    <w:rsid w:val="000C70AB"/>
    <w:rsid w:val="000D08DC"/>
    <w:rsid w:val="000D10D3"/>
    <w:rsid w:val="000D293D"/>
    <w:rsid w:val="000D7CE1"/>
    <w:rsid w:val="000E0ACD"/>
    <w:rsid w:val="000E0BEC"/>
    <w:rsid w:val="000E1AD6"/>
    <w:rsid w:val="000E4F9C"/>
    <w:rsid w:val="000F0A29"/>
    <w:rsid w:val="000F1F1D"/>
    <w:rsid w:val="000F20A6"/>
    <w:rsid w:val="000F25F6"/>
    <w:rsid w:val="000F547C"/>
    <w:rsid w:val="000F64B7"/>
    <w:rsid w:val="000F70FA"/>
    <w:rsid w:val="00100B10"/>
    <w:rsid w:val="00101CD5"/>
    <w:rsid w:val="00102F28"/>
    <w:rsid w:val="00105C33"/>
    <w:rsid w:val="00112A98"/>
    <w:rsid w:val="0012530B"/>
    <w:rsid w:val="00135C88"/>
    <w:rsid w:val="001413F6"/>
    <w:rsid w:val="00143950"/>
    <w:rsid w:val="00146486"/>
    <w:rsid w:val="001476E5"/>
    <w:rsid w:val="0015572C"/>
    <w:rsid w:val="00156921"/>
    <w:rsid w:val="00157022"/>
    <w:rsid w:val="0015753B"/>
    <w:rsid w:val="0016079E"/>
    <w:rsid w:val="001616D7"/>
    <w:rsid w:val="0016528E"/>
    <w:rsid w:val="00171172"/>
    <w:rsid w:val="0017234D"/>
    <w:rsid w:val="00173BF7"/>
    <w:rsid w:val="00174437"/>
    <w:rsid w:val="00175AC2"/>
    <w:rsid w:val="00177D67"/>
    <w:rsid w:val="00180BE9"/>
    <w:rsid w:val="00182DEB"/>
    <w:rsid w:val="00183A66"/>
    <w:rsid w:val="00186647"/>
    <w:rsid w:val="001873FA"/>
    <w:rsid w:val="00190C0C"/>
    <w:rsid w:val="00194BEE"/>
    <w:rsid w:val="00196C71"/>
    <w:rsid w:val="001A06B5"/>
    <w:rsid w:val="001A2948"/>
    <w:rsid w:val="001A411E"/>
    <w:rsid w:val="001A4BA7"/>
    <w:rsid w:val="001A5E3B"/>
    <w:rsid w:val="001B3920"/>
    <w:rsid w:val="001B56D1"/>
    <w:rsid w:val="001B5FB4"/>
    <w:rsid w:val="001B623F"/>
    <w:rsid w:val="001C0582"/>
    <w:rsid w:val="001C07A9"/>
    <w:rsid w:val="001C200D"/>
    <w:rsid w:val="001C43E1"/>
    <w:rsid w:val="001C4783"/>
    <w:rsid w:val="001C5BCD"/>
    <w:rsid w:val="001D7044"/>
    <w:rsid w:val="001E0045"/>
    <w:rsid w:val="001E49C1"/>
    <w:rsid w:val="001E4C1C"/>
    <w:rsid w:val="001E4E7B"/>
    <w:rsid w:val="001F01E6"/>
    <w:rsid w:val="001F4013"/>
    <w:rsid w:val="001F5679"/>
    <w:rsid w:val="001F7220"/>
    <w:rsid w:val="0020097E"/>
    <w:rsid w:val="002014FC"/>
    <w:rsid w:val="0020224D"/>
    <w:rsid w:val="002026C8"/>
    <w:rsid w:val="0021038C"/>
    <w:rsid w:val="002104CC"/>
    <w:rsid w:val="00210E14"/>
    <w:rsid w:val="00213FC0"/>
    <w:rsid w:val="002150FB"/>
    <w:rsid w:val="00215BFA"/>
    <w:rsid w:val="00217A3D"/>
    <w:rsid w:val="002203C2"/>
    <w:rsid w:val="0022143F"/>
    <w:rsid w:val="002252D0"/>
    <w:rsid w:val="00231BD0"/>
    <w:rsid w:val="0023201C"/>
    <w:rsid w:val="00237FCB"/>
    <w:rsid w:val="002406E2"/>
    <w:rsid w:val="002420E6"/>
    <w:rsid w:val="0024337C"/>
    <w:rsid w:val="0024766A"/>
    <w:rsid w:val="00247C5E"/>
    <w:rsid w:val="00251CEF"/>
    <w:rsid w:val="0025254B"/>
    <w:rsid w:val="002530E8"/>
    <w:rsid w:val="0025469A"/>
    <w:rsid w:val="00257322"/>
    <w:rsid w:val="00263E69"/>
    <w:rsid w:val="00263F6E"/>
    <w:rsid w:val="0026561C"/>
    <w:rsid w:val="002657B2"/>
    <w:rsid w:val="00266972"/>
    <w:rsid w:val="00266E44"/>
    <w:rsid w:val="00266F00"/>
    <w:rsid w:val="00271D2A"/>
    <w:rsid w:val="00272B88"/>
    <w:rsid w:val="00273751"/>
    <w:rsid w:val="00273CBA"/>
    <w:rsid w:val="002747D6"/>
    <w:rsid w:val="002752D2"/>
    <w:rsid w:val="00277AC0"/>
    <w:rsid w:val="00284759"/>
    <w:rsid w:val="00286EDF"/>
    <w:rsid w:val="00292DD5"/>
    <w:rsid w:val="00293D24"/>
    <w:rsid w:val="00294B7D"/>
    <w:rsid w:val="00295812"/>
    <w:rsid w:val="00296B64"/>
    <w:rsid w:val="00297F2B"/>
    <w:rsid w:val="002A0733"/>
    <w:rsid w:val="002A326F"/>
    <w:rsid w:val="002A66E1"/>
    <w:rsid w:val="002C41EA"/>
    <w:rsid w:val="002C588A"/>
    <w:rsid w:val="002C62CE"/>
    <w:rsid w:val="002C7527"/>
    <w:rsid w:val="002D0FC5"/>
    <w:rsid w:val="002D398E"/>
    <w:rsid w:val="002D4544"/>
    <w:rsid w:val="002D66D4"/>
    <w:rsid w:val="002D7CFE"/>
    <w:rsid w:val="002E060D"/>
    <w:rsid w:val="002E4839"/>
    <w:rsid w:val="002E597B"/>
    <w:rsid w:val="0030474B"/>
    <w:rsid w:val="003110D2"/>
    <w:rsid w:val="003118CF"/>
    <w:rsid w:val="00311F86"/>
    <w:rsid w:val="0032369C"/>
    <w:rsid w:val="00323FF8"/>
    <w:rsid w:val="00325BD9"/>
    <w:rsid w:val="00331B75"/>
    <w:rsid w:val="0034034C"/>
    <w:rsid w:val="00341C57"/>
    <w:rsid w:val="00342BE2"/>
    <w:rsid w:val="00343E67"/>
    <w:rsid w:val="003443FD"/>
    <w:rsid w:val="00346BC2"/>
    <w:rsid w:val="00347BF1"/>
    <w:rsid w:val="00352349"/>
    <w:rsid w:val="00352718"/>
    <w:rsid w:val="00355BFD"/>
    <w:rsid w:val="00357A43"/>
    <w:rsid w:val="0036109E"/>
    <w:rsid w:val="003611CE"/>
    <w:rsid w:val="003615BC"/>
    <w:rsid w:val="003635AB"/>
    <w:rsid w:val="00363C13"/>
    <w:rsid w:val="00367D3C"/>
    <w:rsid w:val="00367DEA"/>
    <w:rsid w:val="0037069A"/>
    <w:rsid w:val="00372A3F"/>
    <w:rsid w:val="00375B24"/>
    <w:rsid w:val="00375EED"/>
    <w:rsid w:val="00380C6D"/>
    <w:rsid w:val="003851AC"/>
    <w:rsid w:val="00391833"/>
    <w:rsid w:val="003922B0"/>
    <w:rsid w:val="00392E71"/>
    <w:rsid w:val="003943D7"/>
    <w:rsid w:val="003964AD"/>
    <w:rsid w:val="00397448"/>
    <w:rsid w:val="003A1962"/>
    <w:rsid w:val="003A24C9"/>
    <w:rsid w:val="003A2A0B"/>
    <w:rsid w:val="003A3161"/>
    <w:rsid w:val="003A435A"/>
    <w:rsid w:val="003A583A"/>
    <w:rsid w:val="003B5ABF"/>
    <w:rsid w:val="003B6634"/>
    <w:rsid w:val="003B671A"/>
    <w:rsid w:val="003C4A8E"/>
    <w:rsid w:val="003C4AD8"/>
    <w:rsid w:val="003C6C9E"/>
    <w:rsid w:val="003D0EA1"/>
    <w:rsid w:val="003D105D"/>
    <w:rsid w:val="003D13CE"/>
    <w:rsid w:val="003D798B"/>
    <w:rsid w:val="003E1EBD"/>
    <w:rsid w:val="003E7B9D"/>
    <w:rsid w:val="003F452F"/>
    <w:rsid w:val="003F4AB9"/>
    <w:rsid w:val="003F745C"/>
    <w:rsid w:val="0040175A"/>
    <w:rsid w:val="004020EE"/>
    <w:rsid w:val="004032A4"/>
    <w:rsid w:val="00403757"/>
    <w:rsid w:val="00420F0D"/>
    <w:rsid w:val="0042155F"/>
    <w:rsid w:val="00426825"/>
    <w:rsid w:val="0043699A"/>
    <w:rsid w:val="00441103"/>
    <w:rsid w:val="00447D9B"/>
    <w:rsid w:val="00457024"/>
    <w:rsid w:val="00462EA3"/>
    <w:rsid w:val="004701C4"/>
    <w:rsid w:val="00471149"/>
    <w:rsid w:val="0047485B"/>
    <w:rsid w:val="00474AE6"/>
    <w:rsid w:val="00477137"/>
    <w:rsid w:val="00482C81"/>
    <w:rsid w:val="00484237"/>
    <w:rsid w:val="004878B5"/>
    <w:rsid w:val="00493579"/>
    <w:rsid w:val="004948D4"/>
    <w:rsid w:val="00494F93"/>
    <w:rsid w:val="00496154"/>
    <w:rsid w:val="00497B2E"/>
    <w:rsid w:val="004A00C0"/>
    <w:rsid w:val="004A38F9"/>
    <w:rsid w:val="004A3FBF"/>
    <w:rsid w:val="004B4405"/>
    <w:rsid w:val="004B45A1"/>
    <w:rsid w:val="004B5A32"/>
    <w:rsid w:val="004B7D80"/>
    <w:rsid w:val="004C0173"/>
    <w:rsid w:val="004C235D"/>
    <w:rsid w:val="004C4CB8"/>
    <w:rsid w:val="004C573D"/>
    <w:rsid w:val="004C59F6"/>
    <w:rsid w:val="004C6630"/>
    <w:rsid w:val="004D15A9"/>
    <w:rsid w:val="004D1B90"/>
    <w:rsid w:val="004D3A53"/>
    <w:rsid w:val="004D6C6E"/>
    <w:rsid w:val="004D7489"/>
    <w:rsid w:val="004E0D8A"/>
    <w:rsid w:val="004E1048"/>
    <w:rsid w:val="004E2140"/>
    <w:rsid w:val="004E2D5C"/>
    <w:rsid w:val="004E3093"/>
    <w:rsid w:val="004E4BD5"/>
    <w:rsid w:val="004E5912"/>
    <w:rsid w:val="004F0BE4"/>
    <w:rsid w:val="004F70E9"/>
    <w:rsid w:val="0050016E"/>
    <w:rsid w:val="00500C42"/>
    <w:rsid w:val="00506BA4"/>
    <w:rsid w:val="00506F46"/>
    <w:rsid w:val="00510EE3"/>
    <w:rsid w:val="00511732"/>
    <w:rsid w:val="00512D3D"/>
    <w:rsid w:val="005161F2"/>
    <w:rsid w:val="005212EE"/>
    <w:rsid w:val="005243B6"/>
    <w:rsid w:val="005262FA"/>
    <w:rsid w:val="00526BC8"/>
    <w:rsid w:val="005351F5"/>
    <w:rsid w:val="005357C0"/>
    <w:rsid w:val="005365B9"/>
    <w:rsid w:val="00536CD4"/>
    <w:rsid w:val="00540A5C"/>
    <w:rsid w:val="00541EB4"/>
    <w:rsid w:val="00543539"/>
    <w:rsid w:val="005449EF"/>
    <w:rsid w:val="00546B47"/>
    <w:rsid w:val="00550328"/>
    <w:rsid w:val="00553E43"/>
    <w:rsid w:val="005561CE"/>
    <w:rsid w:val="005573CF"/>
    <w:rsid w:val="0056057C"/>
    <w:rsid w:val="005631FE"/>
    <w:rsid w:val="00564107"/>
    <w:rsid w:val="0056640C"/>
    <w:rsid w:val="005672FC"/>
    <w:rsid w:val="005673A5"/>
    <w:rsid w:val="0057140E"/>
    <w:rsid w:val="00576084"/>
    <w:rsid w:val="00577AC0"/>
    <w:rsid w:val="00580CCF"/>
    <w:rsid w:val="0058171E"/>
    <w:rsid w:val="0058479A"/>
    <w:rsid w:val="00586C3C"/>
    <w:rsid w:val="00593124"/>
    <w:rsid w:val="005947F5"/>
    <w:rsid w:val="005A42F8"/>
    <w:rsid w:val="005B01F3"/>
    <w:rsid w:val="005B233B"/>
    <w:rsid w:val="005B38AD"/>
    <w:rsid w:val="005B598E"/>
    <w:rsid w:val="005B76EF"/>
    <w:rsid w:val="005D2C07"/>
    <w:rsid w:val="005D4E8A"/>
    <w:rsid w:val="005E02B0"/>
    <w:rsid w:val="005E127E"/>
    <w:rsid w:val="005E1289"/>
    <w:rsid w:val="005E26B4"/>
    <w:rsid w:val="005E520D"/>
    <w:rsid w:val="005E6CD4"/>
    <w:rsid w:val="005F0F25"/>
    <w:rsid w:val="005F5A18"/>
    <w:rsid w:val="00600324"/>
    <w:rsid w:val="006014EC"/>
    <w:rsid w:val="00601A8D"/>
    <w:rsid w:val="00603DFE"/>
    <w:rsid w:val="00604543"/>
    <w:rsid w:val="0061460E"/>
    <w:rsid w:val="00614F21"/>
    <w:rsid w:val="00623FC3"/>
    <w:rsid w:val="00625B4B"/>
    <w:rsid w:val="00630229"/>
    <w:rsid w:val="00635591"/>
    <w:rsid w:val="0063584E"/>
    <w:rsid w:val="00637D93"/>
    <w:rsid w:val="00641744"/>
    <w:rsid w:val="00642B70"/>
    <w:rsid w:val="00645261"/>
    <w:rsid w:val="006462F3"/>
    <w:rsid w:val="00647A7A"/>
    <w:rsid w:val="00650E30"/>
    <w:rsid w:val="00651537"/>
    <w:rsid w:val="006553E8"/>
    <w:rsid w:val="00657D49"/>
    <w:rsid w:val="00663393"/>
    <w:rsid w:val="006647B4"/>
    <w:rsid w:val="00665CD0"/>
    <w:rsid w:val="00671B7A"/>
    <w:rsid w:val="00676BE5"/>
    <w:rsid w:val="00676ED2"/>
    <w:rsid w:val="006772E6"/>
    <w:rsid w:val="00677ABB"/>
    <w:rsid w:val="0068161E"/>
    <w:rsid w:val="00690E8F"/>
    <w:rsid w:val="00691C0B"/>
    <w:rsid w:val="00692E5D"/>
    <w:rsid w:val="006954D8"/>
    <w:rsid w:val="00695581"/>
    <w:rsid w:val="0069774C"/>
    <w:rsid w:val="006A007C"/>
    <w:rsid w:val="006A6AB3"/>
    <w:rsid w:val="006B3FAD"/>
    <w:rsid w:val="006B7F78"/>
    <w:rsid w:val="006C0CE2"/>
    <w:rsid w:val="006C257B"/>
    <w:rsid w:val="006C565B"/>
    <w:rsid w:val="006C6132"/>
    <w:rsid w:val="006D0F13"/>
    <w:rsid w:val="006D1FC5"/>
    <w:rsid w:val="006D5151"/>
    <w:rsid w:val="006D5858"/>
    <w:rsid w:val="006D635A"/>
    <w:rsid w:val="006D7B7D"/>
    <w:rsid w:val="006E02A5"/>
    <w:rsid w:val="006E05B2"/>
    <w:rsid w:val="006E63D5"/>
    <w:rsid w:val="006F2421"/>
    <w:rsid w:val="006F447C"/>
    <w:rsid w:val="006F4AD9"/>
    <w:rsid w:val="006F5483"/>
    <w:rsid w:val="006F6314"/>
    <w:rsid w:val="007004DF"/>
    <w:rsid w:val="007014FA"/>
    <w:rsid w:val="00701713"/>
    <w:rsid w:val="00703BED"/>
    <w:rsid w:val="007044D5"/>
    <w:rsid w:val="00707EFC"/>
    <w:rsid w:val="00715D04"/>
    <w:rsid w:val="0072116D"/>
    <w:rsid w:val="00731155"/>
    <w:rsid w:val="007328EB"/>
    <w:rsid w:val="00732B8B"/>
    <w:rsid w:val="0073363C"/>
    <w:rsid w:val="00743814"/>
    <w:rsid w:val="00746C35"/>
    <w:rsid w:val="0075216E"/>
    <w:rsid w:val="00752433"/>
    <w:rsid w:val="00755A0D"/>
    <w:rsid w:val="00756B0D"/>
    <w:rsid w:val="00756B45"/>
    <w:rsid w:val="007620B6"/>
    <w:rsid w:val="00763766"/>
    <w:rsid w:val="00763807"/>
    <w:rsid w:val="007641A1"/>
    <w:rsid w:val="00764974"/>
    <w:rsid w:val="007673B9"/>
    <w:rsid w:val="00767D45"/>
    <w:rsid w:val="007705F0"/>
    <w:rsid w:val="00770AF6"/>
    <w:rsid w:val="00771DE0"/>
    <w:rsid w:val="00773F53"/>
    <w:rsid w:val="00774B71"/>
    <w:rsid w:val="00777CAE"/>
    <w:rsid w:val="00780793"/>
    <w:rsid w:val="00782F78"/>
    <w:rsid w:val="00786174"/>
    <w:rsid w:val="007A34CE"/>
    <w:rsid w:val="007B1CAF"/>
    <w:rsid w:val="007B5B8C"/>
    <w:rsid w:val="007C0B66"/>
    <w:rsid w:val="007C6B0E"/>
    <w:rsid w:val="007C7E93"/>
    <w:rsid w:val="007D0507"/>
    <w:rsid w:val="007D0FE6"/>
    <w:rsid w:val="007D15D6"/>
    <w:rsid w:val="007D5980"/>
    <w:rsid w:val="007D5F3F"/>
    <w:rsid w:val="007E175A"/>
    <w:rsid w:val="007E588D"/>
    <w:rsid w:val="007E7DF7"/>
    <w:rsid w:val="007F2449"/>
    <w:rsid w:val="007F4701"/>
    <w:rsid w:val="007F493B"/>
    <w:rsid w:val="007F602A"/>
    <w:rsid w:val="00802AEB"/>
    <w:rsid w:val="00804100"/>
    <w:rsid w:val="00805D89"/>
    <w:rsid w:val="00806181"/>
    <w:rsid w:val="00807B77"/>
    <w:rsid w:val="0081029E"/>
    <w:rsid w:val="0081203F"/>
    <w:rsid w:val="0081311F"/>
    <w:rsid w:val="0081678A"/>
    <w:rsid w:val="00816E70"/>
    <w:rsid w:val="0081784C"/>
    <w:rsid w:val="0082390A"/>
    <w:rsid w:val="00826F94"/>
    <w:rsid w:val="008279C8"/>
    <w:rsid w:val="00827E9D"/>
    <w:rsid w:val="00830645"/>
    <w:rsid w:val="008310DA"/>
    <w:rsid w:val="008329A1"/>
    <w:rsid w:val="008337AA"/>
    <w:rsid w:val="00836A69"/>
    <w:rsid w:val="0084221B"/>
    <w:rsid w:val="00843579"/>
    <w:rsid w:val="00844E98"/>
    <w:rsid w:val="00845A9C"/>
    <w:rsid w:val="00846D47"/>
    <w:rsid w:val="008526D0"/>
    <w:rsid w:val="00855C8F"/>
    <w:rsid w:val="00856E60"/>
    <w:rsid w:val="00860C82"/>
    <w:rsid w:val="00862278"/>
    <w:rsid w:val="008652EC"/>
    <w:rsid w:val="008672CD"/>
    <w:rsid w:val="00870310"/>
    <w:rsid w:val="008734DA"/>
    <w:rsid w:val="008758FC"/>
    <w:rsid w:val="00876053"/>
    <w:rsid w:val="008771A9"/>
    <w:rsid w:val="00881D2A"/>
    <w:rsid w:val="0088336C"/>
    <w:rsid w:val="008838AC"/>
    <w:rsid w:val="00884F45"/>
    <w:rsid w:val="00884FD6"/>
    <w:rsid w:val="00885DC7"/>
    <w:rsid w:val="00891F56"/>
    <w:rsid w:val="008A0768"/>
    <w:rsid w:val="008A0870"/>
    <w:rsid w:val="008A4CCD"/>
    <w:rsid w:val="008A5F10"/>
    <w:rsid w:val="008B4249"/>
    <w:rsid w:val="008B5848"/>
    <w:rsid w:val="008B6919"/>
    <w:rsid w:val="008C1019"/>
    <w:rsid w:val="008C3FC3"/>
    <w:rsid w:val="008C524D"/>
    <w:rsid w:val="008C78DC"/>
    <w:rsid w:val="008D06D5"/>
    <w:rsid w:val="008D2C6A"/>
    <w:rsid w:val="008D46B0"/>
    <w:rsid w:val="008E0295"/>
    <w:rsid w:val="008E5496"/>
    <w:rsid w:val="008E600F"/>
    <w:rsid w:val="008E645F"/>
    <w:rsid w:val="008F184F"/>
    <w:rsid w:val="008F19FA"/>
    <w:rsid w:val="008F5073"/>
    <w:rsid w:val="008F5666"/>
    <w:rsid w:val="008F6349"/>
    <w:rsid w:val="00902D3D"/>
    <w:rsid w:val="0090553D"/>
    <w:rsid w:val="00912643"/>
    <w:rsid w:val="00912816"/>
    <w:rsid w:val="00922E99"/>
    <w:rsid w:val="009242B8"/>
    <w:rsid w:val="00925511"/>
    <w:rsid w:val="00930216"/>
    <w:rsid w:val="00941B05"/>
    <w:rsid w:val="00942AB3"/>
    <w:rsid w:val="00946EFB"/>
    <w:rsid w:val="00947212"/>
    <w:rsid w:val="00947E80"/>
    <w:rsid w:val="00950041"/>
    <w:rsid w:val="00950A22"/>
    <w:rsid w:val="00950DC4"/>
    <w:rsid w:val="00952912"/>
    <w:rsid w:val="00952B44"/>
    <w:rsid w:val="0095351B"/>
    <w:rsid w:val="009538A6"/>
    <w:rsid w:val="00953D5D"/>
    <w:rsid w:val="009568CE"/>
    <w:rsid w:val="00956923"/>
    <w:rsid w:val="009606AE"/>
    <w:rsid w:val="00960F3D"/>
    <w:rsid w:val="0096165A"/>
    <w:rsid w:val="0096346C"/>
    <w:rsid w:val="00966281"/>
    <w:rsid w:val="009707A2"/>
    <w:rsid w:val="0097141B"/>
    <w:rsid w:val="00972D75"/>
    <w:rsid w:val="00976954"/>
    <w:rsid w:val="00990178"/>
    <w:rsid w:val="0099365F"/>
    <w:rsid w:val="00995434"/>
    <w:rsid w:val="00997764"/>
    <w:rsid w:val="00997852"/>
    <w:rsid w:val="009A11E3"/>
    <w:rsid w:val="009A2D35"/>
    <w:rsid w:val="009A4BFC"/>
    <w:rsid w:val="009A4D80"/>
    <w:rsid w:val="009A7E68"/>
    <w:rsid w:val="009B2009"/>
    <w:rsid w:val="009B258C"/>
    <w:rsid w:val="009B39F9"/>
    <w:rsid w:val="009B4C2C"/>
    <w:rsid w:val="009B762A"/>
    <w:rsid w:val="009C7D64"/>
    <w:rsid w:val="009D1494"/>
    <w:rsid w:val="009E2A0B"/>
    <w:rsid w:val="009E5C74"/>
    <w:rsid w:val="009E612C"/>
    <w:rsid w:val="009F07EF"/>
    <w:rsid w:val="009F3E9C"/>
    <w:rsid w:val="009F44C9"/>
    <w:rsid w:val="009F6665"/>
    <w:rsid w:val="00A028D8"/>
    <w:rsid w:val="00A04CCB"/>
    <w:rsid w:val="00A06FB7"/>
    <w:rsid w:val="00A12687"/>
    <w:rsid w:val="00A17670"/>
    <w:rsid w:val="00A210DD"/>
    <w:rsid w:val="00A21F14"/>
    <w:rsid w:val="00A22CC1"/>
    <w:rsid w:val="00A242E2"/>
    <w:rsid w:val="00A25D88"/>
    <w:rsid w:val="00A31ED6"/>
    <w:rsid w:val="00A40360"/>
    <w:rsid w:val="00A429C2"/>
    <w:rsid w:val="00A442FF"/>
    <w:rsid w:val="00A448F4"/>
    <w:rsid w:val="00A511C7"/>
    <w:rsid w:val="00A51615"/>
    <w:rsid w:val="00A526BB"/>
    <w:rsid w:val="00A5325E"/>
    <w:rsid w:val="00A5541B"/>
    <w:rsid w:val="00A60E25"/>
    <w:rsid w:val="00A61BB2"/>
    <w:rsid w:val="00A62610"/>
    <w:rsid w:val="00A66623"/>
    <w:rsid w:val="00A669B9"/>
    <w:rsid w:val="00A67DF7"/>
    <w:rsid w:val="00A67F5E"/>
    <w:rsid w:val="00A72AB0"/>
    <w:rsid w:val="00A757D9"/>
    <w:rsid w:val="00A80C2B"/>
    <w:rsid w:val="00A84DFB"/>
    <w:rsid w:val="00A85887"/>
    <w:rsid w:val="00A906C8"/>
    <w:rsid w:val="00A95BBC"/>
    <w:rsid w:val="00AA0DF5"/>
    <w:rsid w:val="00AA32BA"/>
    <w:rsid w:val="00AA4C87"/>
    <w:rsid w:val="00AB09E5"/>
    <w:rsid w:val="00AB55CE"/>
    <w:rsid w:val="00AB674B"/>
    <w:rsid w:val="00AB68DF"/>
    <w:rsid w:val="00AB6DCB"/>
    <w:rsid w:val="00AC10E1"/>
    <w:rsid w:val="00AC3EA6"/>
    <w:rsid w:val="00AC3EFA"/>
    <w:rsid w:val="00AC5060"/>
    <w:rsid w:val="00AD0FDD"/>
    <w:rsid w:val="00AD1983"/>
    <w:rsid w:val="00AD2995"/>
    <w:rsid w:val="00AD2D30"/>
    <w:rsid w:val="00AD3477"/>
    <w:rsid w:val="00AE4277"/>
    <w:rsid w:val="00AE6ED1"/>
    <w:rsid w:val="00AF00FB"/>
    <w:rsid w:val="00AF08A5"/>
    <w:rsid w:val="00AF24A0"/>
    <w:rsid w:val="00AF337D"/>
    <w:rsid w:val="00AF3436"/>
    <w:rsid w:val="00AF3F2A"/>
    <w:rsid w:val="00B00E07"/>
    <w:rsid w:val="00B01C0A"/>
    <w:rsid w:val="00B02B1A"/>
    <w:rsid w:val="00B102A6"/>
    <w:rsid w:val="00B16E1A"/>
    <w:rsid w:val="00B20AB1"/>
    <w:rsid w:val="00B34AB2"/>
    <w:rsid w:val="00B34B86"/>
    <w:rsid w:val="00B35727"/>
    <w:rsid w:val="00B35A82"/>
    <w:rsid w:val="00B361D9"/>
    <w:rsid w:val="00B3639E"/>
    <w:rsid w:val="00B37C91"/>
    <w:rsid w:val="00B40889"/>
    <w:rsid w:val="00B41977"/>
    <w:rsid w:val="00B4233B"/>
    <w:rsid w:val="00B42CC7"/>
    <w:rsid w:val="00B523DD"/>
    <w:rsid w:val="00B54102"/>
    <w:rsid w:val="00B57E2E"/>
    <w:rsid w:val="00B60474"/>
    <w:rsid w:val="00B62EE1"/>
    <w:rsid w:val="00B6385F"/>
    <w:rsid w:val="00B649C7"/>
    <w:rsid w:val="00B72CF0"/>
    <w:rsid w:val="00B7600B"/>
    <w:rsid w:val="00B7651F"/>
    <w:rsid w:val="00B77202"/>
    <w:rsid w:val="00B77563"/>
    <w:rsid w:val="00B77FEA"/>
    <w:rsid w:val="00B80E23"/>
    <w:rsid w:val="00B83059"/>
    <w:rsid w:val="00B848E0"/>
    <w:rsid w:val="00B85CA5"/>
    <w:rsid w:val="00B8603D"/>
    <w:rsid w:val="00B87BC2"/>
    <w:rsid w:val="00B912AC"/>
    <w:rsid w:val="00B9141E"/>
    <w:rsid w:val="00B92B42"/>
    <w:rsid w:val="00B933FF"/>
    <w:rsid w:val="00B95DD0"/>
    <w:rsid w:val="00BA2656"/>
    <w:rsid w:val="00BA26F9"/>
    <w:rsid w:val="00BA29F6"/>
    <w:rsid w:val="00BA2BE3"/>
    <w:rsid w:val="00BA2FFF"/>
    <w:rsid w:val="00BA41FC"/>
    <w:rsid w:val="00BA61D1"/>
    <w:rsid w:val="00BA6213"/>
    <w:rsid w:val="00BA70BC"/>
    <w:rsid w:val="00BB1F46"/>
    <w:rsid w:val="00BB20D7"/>
    <w:rsid w:val="00BB5D7D"/>
    <w:rsid w:val="00BB68A7"/>
    <w:rsid w:val="00BC51C1"/>
    <w:rsid w:val="00BC6D76"/>
    <w:rsid w:val="00BD1642"/>
    <w:rsid w:val="00BD4157"/>
    <w:rsid w:val="00BD5408"/>
    <w:rsid w:val="00BD6FFF"/>
    <w:rsid w:val="00BD7016"/>
    <w:rsid w:val="00BD7F7D"/>
    <w:rsid w:val="00BE1640"/>
    <w:rsid w:val="00BE1BE2"/>
    <w:rsid w:val="00BE26C5"/>
    <w:rsid w:val="00BE551F"/>
    <w:rsid w:val="00BE6973"/>
    <w:rsid w:val="00BF1529"/>
    <w:rsid w:val="00BF46AA"/>
    <w:rsid w:val="00BF63A0"/>
    <w:rsid w:val="00C03F90"/>
    <w:rsid w:val="00C04105"/>
    <w:rsid w:val="00C070CD"/>
    <w:rsid w:val="00C10917"/>
    <w:rsid w:val="00C12B2B"/>
    <w:rsid w:val="00C12D41"/>
    <w:rsid w:val="00C1305D"/>
    <w:rsid w:val="00C14396"/>
    <w:rsid w:val="00C165BE"/>
    <w:rsid w:val="00C2408D"/>
    <w:rsid w:val="00C25E66"/>
    <w:rsid w:val="00C27A01"/>
    <w:rsid w:val="00C32469"/>
    <w:rsid w:val="00C341FB"/>
    <w:rsid w:val="00C36A1E"/>
    <w:rsid w:val="00C40A3C"/>
    <w:rsid w:val="00C4106C"/>
    <w:rsid w:val="00C42AD5"/>
    <w:rsid w:val="00C42F54"/>
    <w:rsid w:val="00C44718"/>
    <w:rsid w:val="00C453D8"/>
    <w:rsid w:val="00C467DF"/>
    <w:rsid w:val="00C47664"/>
    <w:rsid w:val="00C47710"/>
    <w:rsid w:val="00C52C78"/>
    <w:rsid w:val="00C57382"/>
    <w:rsid w:val="00C6040C"/>
    <w:rsid w:val="00C60D90"/>
    <w:rsid w:val="00C6191D"/>
    <w:rsid w:val="00C6216C"/>
    <w:rsid w:val="00C72AED"/>
    <w:rsid w:val="00C72B57"/>
    <w:rsid w:val="00C74031"/>
    <w:rsid w:val="00C76308"/>
    <w:rsid w:val="00C76955"/>
    <w:rsid w:val="00C7703D"/>
    <w:rsid w:val="00C7713E"/>
    <w:rsid w:val="00C80E5B"/>
    <w:rsid w:val="00C86372"/>
    <w:rsid w:val="00C87351"/>
    <w:rsid w:val="00C97CDD"/>
    <w:rsid w:val="00C97D85"/>
    <w:rsid w:val="00CA1176"/>
    <w:rsid w:val="00CA47BC"/>
    <w:rsid w:val="00CA498E"/>
    <w:rsid w:val="00CB048C"/>
    <w:rsid w:val="00CB1334"/>
    <w:rsid w:val="00CB1CB0"/>
    <w:rsid w:val="00CB22F0"/>
    <w:rsid w:val="00CB4726"/>
    <w:rsid w:val="00CB54C3"/>
    <w:rsid w:val="00CB570C"/>
    <w:rsid w:val="00CB681A"/>
    <w:rsid w:val="00CB72EB"/>
    <w:rsid w:val="00CB7EF9"/>
    <w:rsid w:val="00CC2389"/>
    <w:rsid w:val="00CC4BDE"/>
    <w:rsid w:val="00CD53D6"/>
    <w:rsid w:val="00CD646A"/>
    <w:rsid w:val="00CD6BFC"/>
    <w:rsid w:val="00CE1CBC"/>
    <w:rsid w:val="00CE34EA"/>
    <w:rsid w:val="00CE3FAA"/>
    <w:rsid w:val="00CE7BA5"/>
    <w:rsid w:val="00CF01D8"/>
    <w:rsid w:val="00D01ACB"/>
    <w:rsid w:val="00D01E54"/>
    <w:rsid w:val="00D0330A"/>
    <w:rsid w:val="00D070D7"/>
    <w:rsid w:val="00D10412"/>
    <w:rsid w:val="00D11D6A"/>
    <w:rsid w:val="00D13580"/>
    <w:rsid w:val="00D1393C"/>
    <w:rsid w:val="00D13C82"/>
    <w:rsid w:val="00D13D6B"/>
    <w:rsid w:val="00D157FF"/>
    <w:rsid w:val="00D16A41"/>
    <w:rsid w:val="00D177E4"/>
    <w:rsid w:val="00D17942"/>
    <w:rsid w:val="00D17F23"/>
    <w:rsid w:val="00D20171"/>
    <w:rsid w:val="00D20B4D"/>
    <w:rsid w:val="00D313D5"/>
    <w:rsid w:val="00D31F4E"/>
    <w:rsid w:val="00D35431"/>
    <w:rsid w:val="00D3658A"/>
    <w:rsid w:val="00D4046C"/>
    <w:rsid w:val="00D415F9"/>
    <w:rsid w:val="00D419B6"/>
    <w:rsid w:val="00D431BA"/>
    <w:rsid w:val="00D47BC3"/>
    <w:rsid w:val="00D505CD"/>
    <w:rsid w:val="00D522AC"/>
    <w:rsid w:val="00D54EAF"/>
    <w:rsid w:val="00D55391"/>
    <w:rsid w:val="00D56F53"/>
    <w:rsid w:val="00D62B40"/>
    <w:rsid w:val="00D63CAE"/>
    <w:rsid w:val="00D70577"/>
    <w:rsid w:val="00D71365"/>
    <w:rsid w:val="00D71D46"/>
    <w:rsid w:val="00D72876"/>
    <w:rsid w:val="00D76284"/>
    <w:rsid w:val="00D76F39"/>
    <w:rsid w:val="00D80CBA"/>
    <w:rsid w:val="00D85557"/>
    <w:rsid w:val="00D8621B"/>
    <w:rsid w:val="00D870E7"/>
    <w:rsid w:val="00D902F2"/>
    <w:rsid w:val="00D91002"/>
    <w:rsid w:val="00D9158C"/>
    <w:rsid w:val="00D923E6"/>
    <w:rsid w:val="00D9356C"/>
    <w:rsid w:val="00D945ED"/>
    <w:rsid w:val="00D96F1A"/>
    <w:rsid w:val="00D97A74"/>
    <w:rsid w:val="00DA049C"/>
    <w:rsid w:val="00DA29AA"/>
    <w:rsid w:val="00DA596D"/>
    <w:rsid w:val="00DA633A"/>
    <w:rsid w:val="00DA7DDC"/>
    <w:rsid w:val="00DB63A3"/>
    <w:rsid w:val="00DB79D9"/>
    <w:rsid w:val="00DC19E7"/>
    <w:rsid w:val="00DC4B5D"/>
    <w:rsid w:val="00DC66DD"/>
    <w:rsid w:val="00DD3D61"/>
    <w:rsid w:val="00DD40DA"/>
    <w:rsid w:val="00DD674F"/>
    <w:rsid w:val="00DD67E4"/>
    <w:rsid w:val="00DD7CCE"/>
    <w:rsid w:val="00DE194F"/>
    <w:rsid w:val="00DE2A61"/>
    <w:rsid w:val="00DE2F92"/>
    <w:rsid w:val="00DE3431"/>
    <w:rsid w:val="00DE34B8"/>
    <w:rsid w:val="00DE4F1A"/>
    <w:rsid w:val="00DF16CA"/>
    <w:rsid w:val="00DF316B"/>
    <w:rsid w:val="00E000FF"/>
    <w:rsid w:val="00E01F94"/>
    <w:rsid w:val="00E02545"/>
    <w:rsid w:val="00E03F68"/>
    <w:rsid w:val="00E13187"/>
    <w:rsid w:val="00E131E2"/>
    <w:rsid w:val="00E142F1"/>
    <w:rsid w:val="00E1752F"/>
    <w:rsid w:val="00E21117"/>
    <w:rsid w:val="00E225CE"/>
    <w:rsid w:val="00E2367B"/>
    <w:rsid w:val="00E23C2E"/>
    <w:rsid w:val="00E23C5B"/>
    <w:rsid w:val="00E2452D"/>
    <w:rsid w:val="00E2636E"/>
    <w:rsid w:val="00E270CE"/>
    <w:rsid w:val="00E31583"/>
    <w:rsid w:val="00E31C12"/>
    <w:rsid w:val="00E325FF"/>
    <w:rsid w:val="00E346B4"/>
    <w:rsid w:val="00E443D5"/>
    <w:rsid w:val="00E45019"/>
    <w:rsid w:val="00E51CB4"/>
    <w:rsid w:val="00E60C69"/>
    <w:rsid w:val="00E60D78"/>
    <w:rsid w:val="00E61156"/>
    <w:rsid w:val="00E61422"/>
    <w:rsid w:val="00E61710"/>
    <w:rsid w:val="00E628B6"/>
    <w:rsid w:val="00E63915"/>
    <w:rsid w:val="00E677C9"/>
    <w:rsid w:val="00E70F1A"/>
    <w:rsid w:val="00E74229"/>
    <w:rsid w:val="00E7509D"/>
    <w:rsid w:val="00E7583C"/>
    <w:rsid w:val="00E7693D"/>
    <w:rsid w:val="00E77BD6"/>
    <w:rsid w:val="00E82244"/>
    <w:rsid w:val="00E84918"/>
    <w:rsid w:val="00E85003"/>
    <w:rsid w:val="00E87700"/>
    <w:rsid w:val="00E919BD"/>
    <w:rsid w:val="00E94B5E"/>
    <w:rsid w:val="00E94FD8"/>
    <w:rsid w:val="00E9530D"/>
    <w:rsid w:val="00EA5862"/>
    <w:rsid w:val="00EB1584"/>
    <w:rsid w:val="00EB40FD"/>
    <w:rsid w:val="00EB60BB"/>
    <w:rsid w:val="00EC1546"/>
    <w:rsid w:val="00EC3689"/>
    <w:rsid w:val="00EC39DE"/>
    <w:rsid w:val="00EC3F64"/>
    <w:rsid w:val="00EC4E4A"/>
    <w:rsid w:val="00ED1BF9"/>
    <w:rsid w:val="00ED23A8"/>
    <w:rsid w:val="00ED3B6B"/>
    <w:rsid w:val="00ED68B9"/>
    <w:rsid w:val="00EE1C42"/>
    <w:rsid w:val="00EE2331"/>
    <w:rsid w:val="00EE37EF"/>
    <w:rsid w:val="00EE47E3"/>
    <w:rsid w:val="00EF0B1F"/>
    <w:rsid w:val="00EF3965"/>
    <w:rsid w:val="00EF67C7"/>
    <w:rsid w:val="00EF7761"/>
    <w:rsid w:val="00F00548"/>
    <w:rsid w:val="00F01AD4"/>
    <w:rsid w:val="00F01FD2"/>
    <w:rsid w:val="00F02471"/>
    <w:rsid w:val="00F0292B"/>
    <w:rsid w:val="00F02C18"/>
    <w:rsid w:val="00F048BB"/>
    <w:rsid w:val="00F10C55"/>
    <w:rsid w:val="00F12184"/>
    <w:rsid w:val="00F1351C"/>
    <w:rsid w:val="00F145E9"/>
    <w:rsid w:val="00F1688B"/>
    <w:rsid w:val="00F16C7D"/>
    <w:rsid w:val="00F20288"/>
    <w:rsid w:val="00F20B4A"/>
    <w:rsid w:val="00F21CB3"/>
    <w:rsid w:val="00F3232C"/>
    <w:rsid w:val="00F3406F"/>
    <w:rsid w:val="00F47F4D"/>
    <w:rsid w:val="00F504AC"/>
    <w:rsid w:val="00F50EDA"/>
    <w:rsid w:val="00F52FF4"/>
    <w:rsid w:val="00F53EDC"/>
    <w:rsid w:val="00F5418B"/>
    <w:rsid w:val="00F6068D"/>
    <w:rsid w:val="00F60B25"/>
    <w:rsid w:val="00F64476"/>
    <w:rsid w:val="00F65D79"/>
    <w:rsid w:val="00F71B0A"/>
    <w:rsid w:val="00F7558C"/>
    <w:rsid w:val="00F84E88"/>
    <w:rsid w:val="00F909F7"/>
    <w:rsid w:val="00F9142B"/>
    <w:rsid w:val="00F95921"/>
    <w:rsid w:val="00F96316"/>
    <w:rsid w:val="00F963A3"/>
    <w:rsid w:val="00FA1EE7"/>
    <w:rsid w:val="00FA2638"/>
    <w:rsid w:val="00FA6819"/>
    <w:rsid w:val="00FA78B1"/>
    <w:rsid w:val="00FB0F7A"/>
    <w:rsid w:val="00FB334B"/>
    <w:rsid w:val="00FC0ECC"/>
    <w:rsid w:val="00FC18EF"/>
    <w:rsid w:val="00FC2CEC"/>
    <w:rsid w:val="00FC446A"/>
    <w:rsid w:val="00FC473A"/>
    <w:rsid w:val="00FD194A"/>
    <w:rsid w:val="00FD1EEF"/>
    <w:rsid w:val="00FD2A30"/>
    <w:rsid w:val="00FE3927"/>
    <w:rsid w:val="00FE3B90"/>
    <w:rsid w:val="00FE5655"/>
    <w:rsid w:val="00FE6251"/>
    <w:rsid w:val="00FE654D"/>
    <w:rsid w:val="00FF44FF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16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A70BC"/>
    <w:pPr>
      <w:ind w:left="720"/>
      <w:contextualSpacing/>
    </w:pPr>
  </w:style>
  <w:style w:type="paragraph" w:customStyle="1" w:styleId="naisnod">
    <w:name w:val="naisnod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f">
    <w:name w:val="naisf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kr">
    <w:name w:val="naiskr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E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E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E4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C12D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2D41"/>
    <w:rPr>
      <w:rFonts w:ascii="Calibri" w:hAnsi="Calibri" w:cs="Consolas"/>
      <w:szCs w:val="21"/>
    </w:rPr>
  </w:style>
  <w:style w:type="paragraph" w:styleId="FootnoteText">
    <w:name w:val="footnote text"/>
    <w:basedOn w:val="Normal"/>
    <w:link w:val="FootnoteTextChar"/>
    <w:unhideWhenUsed/>
    <w:rsid w:val="009F07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F07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7EF"/>
    <w:rPr>
      <w:vertAlign w:val="superscript"/>
    </w:rPr>
  </w:style>
  <w:style w:type="character" w:styleId="Strong">
    <w:name w:val="Strong"/>
    <w:basedOn w:val="DefaultParagraphFont"/>
    <w:uiPriority w:val="22"/>
    <w:qFormat/>
    <w:rsid w:val="0016528E"/>
    <w:rPr>
      <w:b/>
      <w:bCs/>
    </w:rPr>
  </w:style>
  <w:style w:type="character" w:styleId="Hyperlink">
    <w:name w:val="Hyperlink"/>
    <w:basedOn w:val="DefaultParagraphFont"/>
    <w:uiPriority w:val="99"/>
    <w:unhideWhenUsed/>
    <w:rsid w:val="0016528E"/>
    <w:rPr>
      <w:color w:val="0000FF" w:themeColor="hyperlink"/>
      <w:u w:val="single"/>
    </w:rPr>
  </w:style>
  <w:style w:type="paragraph" w:customStyle="1" w:styleId="Default">
    <w:name w:val="Default"/>
    <w:rsid w:val="00752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v2132">
    <w:name w:val="tv2132"/>
    <w:basedOn w:val="Normal"/>
    <w:rsid w:val="00D97A7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5511"/>
    <w:pPr>
      <w:spacing w:after="0" w:line="240" w:lineRule="auto"/>
    </w:pPr>
    <w:rPr>
      <w:rFonts w:ascii="Verdana" w:eastAsia="Times New Roman" w:hAnsi="Verdana" w:cs="Arial"/>
      <w:color w:val="343434"/>
      <w:sz w:val="17"/>
      <w:szCs w:val="17"/>
    </w:rPr>
  </w:style>
  <w:style w:type="table" w:styleId="TableGrid">
    <w:name w:val="Table Grid"/>
    <w:basedOn w:val="TableNormal"/>
    <w:uiPriority w:val="59"/>
    <w:rsid w:val="009F44C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CoverSubtitle">
    <w:name w:val="IS Cover Subtitle"/>
    <w:basedOn w:val="Heading2"/>
    <w:link w:val="ISCoverSubtitleChar"/>
    <w:rsid w:val="009F44C9"/>
    <w:pPr>
      <w:keepLines w:val="0"/>
      <w:widowControl w:val="0"/>
      <w:overflowPunct w:val="0"/>
      <w:autoSpaceDE w:val="0"/>
      <w:autoSpaceDN w:val="0"/>
      <w:adjustRightInd w:val="0"/>
      <w:spacing w:before="0" w:after="120" w:line="240" w:lineRule="auto"/>
      <w:ind w:left="142"/>
      <w:jc w:val="center"/>
      <w:textAlignment w:val="baseline"/>
      <w:outlineLvl w:val="9"/>
    </w:pPr>
    <w:rPr>
      <w:rFonts w:ascii="Calibri" w:eastAsia="Times New Roman" w:hAnsi="Calibri" w:cs="Arial"/>
      <w:b w:val="0"/>
      <w:sz w:val="48"/>
      <w:szCs w:val="48"/>
      <w:lang w:eastAsia="en-US"/>
    </w:rPr>
  </w:style>
  <w:style w:type="character" w:customStyle="1" w:styleId="ISCoverSubtitleChar">
    <w:name w:val="IS Cover Subtitle Char"/>
    <w:basedOn w:val="Heading2Char"/>
    <w:link w:val="ISCoverSubtitle"/>
    <w:rsid w:val="009F44C9"/>
    <w:rPr>
      <w:rFonts w:ascii="Calibri" w:eastAsia="Times New Roman" w:hAnsi="Calibri" w:cs="Arial"/>
      <w:b/>
      <w:bCs/>
      <w:color w:val="4F81BD" w:themeColor="accent1"/>
      <w:sz w:val="48"/>
      <w:szCs w:val="48"/>
      <w:lang w:eastAsia="en-US"/>
    </w:rPr>
  </w:style>
  <w:style w:type="paragraph" w:customStyle="1" w:styleId="ISBodyText">
    <w:name w:val="IS Body Text"/>
    <w:basedOn w:val="Normal"/>
    <w:link w:val="ISBodyTextChar"/>
    <w:uiPriority w:val="99"/>
    <w:qFormat/>
    <w:rsid w:val="009F44C9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Segoe UI" w:eastAsia="MS Mincho" w:hAnsi="Segoe UI" w:cs="Segoe UI"/>
      <w:bCs/>
      <w:lang w:eastAsia="en-US"/>
    </w:rPr>
  </w:style>
  <w:style w:type="character" w:customStyle="1" w:styleId="ISBodyTextChar">
    <w:name w:val="IS Body Text Char"/>
    <w:basedOn w:val="DefaultParagraphFont"/>
    <w:link w:val="ISBodyText"/>
    <w:uiPriority w:val="99"/>
    <w:rsid w:val="009F44C9"/>
    <w:rPr>
      <w:rFonts w:ascii="Segoe UI" w:eastAsia="MS Mincho" w:hAnsi="Segoe UI" w:cs="Segoe UI"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vhtml">
    <w:name w:val="tv_html"/>
    <w:basedOn w:val="Normal"/>
    <w:rsid w:val="004E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F6D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FF6D87"/>
    <w:rPr>
      <w:rFonts w:ascii="Times New Roman" w:eastAsia="Calibri" w:hAnsi="Times New Roman" w:cs="Times New Roman"/>
      <w:sz w:val="28"/>
      <w:szCs w:val="28"/>
      <w:lang w:val="en-AU" w:eastAsia="en-US"/>
    </w:rPr>
  </w:style>
  <w:style w:type="paragraph" w:customStyle="1" w:styleId="tv213">
    <w:name w:val="tv213"/>
    <w:basedOn w:val="Normal"/>
    <w:rsid w:val="00AC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B40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A70BC"/>
    <w:pPr>
      <w:ind w:left="720"/>
      <w:contextualSpacing/>
    </w:pPr>
  </w:style>
  <w:style w:type="paragraph" w:customStyle="1" w:styleId="naisnod">
    <w:name w:val="naisnod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f">
    <w:name w:val="naisf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kr">
    <w:name w:val="naiskr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E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E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E4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C12D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2D41"/>
    <w:rPr>
      <w:rFonts w:ascii="Calibri" w:hAnsi="Calibri" w:cs="Consolas"/>
      <w:szCs w:val="21"/>
    </w:rPr>
  </w:style>
  <w:style w:type="paragraph" w:styleId="FootnoteText">
    <w:name w:val="footnote text"/>
    <w:basedOn w:val="Normal"/>
    <w:link w:val="FootnoteTextChar"/>
    <w:unhideWhenUsed/>
    <w:rsid w:val="009F07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F07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7EF"/>
    <w:rPr>
      <w:vertAlign w:val="superscript"/>
    </w:rPr>
  </w:style>
  <w:style w:type="character" w:styleId="Strong">
    <w:name w:val="Strong"/>
    <w:basedOn w:val="DefaultParagraphFont"/>
    <w:uiPriority w:val="22"/>
    <w:qFormat/>
    <w:rsid w:val="0016528E"/>
    <w:rPr>
      <w:b/>
      <w:bCs/>
    </w:rPr>
  </w:style>
  <w:style w:type="character" w:styleId="Hyperlink">
    <w:name w:val="Hyperlink"/>
    <w:basedOn w:val="DefaultParagraphFont"/>
    <w:uiPriority w:val="99"/>
    <w:unhideWhenUsed/>
    <w:rsid w:val="0016528E"/>
    <w:rPr>
      <w:color w:val="0000FF" w:themeColor="hyperlink"/>
      <w:u w:val="single"/>
    </w:rPr>
  </w:style>
  <w:style w:type="paragraph" w:customStyle="1" w:styleId="Default">
    <w:name w:val="Default"/>
    <w:rsid w:val="00752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v2132">
    <w:name w:val="tv2132"/>
    <w:basedOn w:val="Normal"/>
    <w:rsid w:val="00D97A7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5511"/>
    <w:pPr>
      <w:spacing w:after="0" w:line="240" w:lineRule="auto"/>
    </w:pPr>
    <w:rPr>
      <w:rFonts w:ascii="Verdana" w:eastAsia="Times New Roman" w:hAnsi="Verdana" w:cs="Arial"/>
      <w:color w:val="343434"/>
      <w:sz w:val="17"/>
      <w:szCs w:val="17"/>
    </w:rPr>
  </w:style>
  <w:style w:type="table" w:styleId="TableGrid">
    <w:name w:val="Table Grid"/>
    <w:basedOn w:val="TableNormal"/>
    <w:uiPriority w:val="59"/>
    <w:rsid w:val="009F44C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CoverSubtitle">
    <w:name w:val="IS Cover Subtitle"/>
    <w:basedOn w:val="Heading2"/>
    <w:link w:val="ISCoverSubtitleChar"/>
    <w:rsid w:val="009F44C9"/>
    <w:pPr>
      <w:keepLines w:val="0"/>
      <w:widowControl w:val="0"/>
      <w:overflowPunct w:val="0"/>
      <w:autoSpaceDE w:val="0"/>
      <w:autoSpaceDN w:val="0"/>
      <w:adjustRightInd w:val="0"/>
      <w:spacing w:before="0" w:after="120" w:line="240" w:lineRule="auto"/>
      <w:ind w:left="142"/>
      <w:jc w:val="center"/>
      <w:textAlignment w:val="baseline"/>
      <w:outlineLvl w:val="9"/>
    </w:pPr>
    <w:rPr>
      <w:rFonts w:ascii="Calibri" w:eastAsia="Times New Roman" w:hAnsi="Calibri" w:cs="Arial"/>
      <w:b w:val="0"/>
      <w:sz w:val="48"/>
      <w:szCs w:val="48"/>
      <w:lang w:eastAsia="en-US"/>
    </w:rPr>
  </w:style>
  <w:style w:type="character" w:customStyle="1" w:styleId="ISCoverSubtitleChar">
    <w:name w:val="IS Cover Subtitle Char"/>
    <w:basedOn w:val="Heading2Char"/>
    <w:link w:val="ISCoverSubtitle"/>
    <w:rsid w:val="009F44C9"/>
    <w:rPr>
      <w:rFonts w:ascii="Calibri" w:eastAsia="Times New Roman" w:hAnsi="Calibri" w:cs="Arial"/>
      <w:b/>
      <w:bCs/>
      <w:color w:val="4F81BD" w:themeColor="accent1"/>
      <w:sz w:val="48"/>
      <w:szCs w:val="48"/>
      <w:lang w:eastAsia="en-US"/>
    </w:rPr>
  </w:style>
  <w:style w:type="paragraph" w:customStyle="1" w:styleId="ISBodyText">
    <w:name w:val="IS Body Text"/>
    <w:basedOn w:val="Normal"/>
    <w:link w:val="ISBodyTextChar"/>
    <w:uiPriority w:val="99"/>
    <w:qFormat/>
    <w:rsid w:val="009F44C9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Segoe UI" w:eastAsia="MS Mincho" w:hAnsi="Segoe UI" w:cs="Segoe UI"/>
      <w:bCs/>
      <w:lang w:eastAsia="en-US"/>
    </w:rPr>
  </w:style>
  <w:style w:type="character" w:customStyle="1" w:styleId="ISBodyTextChar">
    <w:name w:val="IS Body Text Char"/>
    <w:basedOn w:val="DefaultParagraphFont"/>
    <w:link w:val="ISBodyText"/>
    <w:uiPriority w:val="99"/>
    <w:rsid w:val="009F44C9"/>
    <w:rPr>
      <w:rFonts w:ascii="Segoe UI" w:eastAsia="MS Mincho" w:hAnsi="Segoe UI" w:cs="Segoe UI"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vhtml">
    <w:name w:val="tv_html"/>
    <w:basedOn w:val="Normal"/>
    <w:rsid w:val="004E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F6D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FF6D87"/>
    <w:rPr>
      <w:rFonts w:ascii="Times New Roman" w:eastAsia="Calibri" w:hAnsi="Times New Roman" w:cs="Times New Roman"/>
      <w:sz w:val="28"/>
      <w:szCs w:val="28"/>
      <w:lang w:val="en-AU" w:eastAsia="en-US"/>
    </w:rPr>
  </w:style>
  <w:style w:type="paragraph" w:customStyle="1" w:styleId="tv213">
    <w:name w:val="tv213"/>
    <w:basedOn w:val="Normal"/>
    <w:rsid w:val="00AC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B40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76717">
              <w:marLeft w:val="0"/>
              <w:marRight w:val="0"/>
              <w:marTop w:val="0"/>
              <w:marBottom w:val="0"/>
              <w:divBdr>
                <w:top w:val="single" w:sz="2" w:space="0" w:color="E2C789"/>
                <w:left w:val="single" w:sz="2" w:space="0" w:color="E2C789"/>
                <w:bottom w:val="single" w:sz="2" w:space="0" w:color="E2C789"/>
                <w:right w:val="single" w:sz="2" w:space="0" w:color="E2C789"/>
              </w:divBdr>
            </w:div>
          </w:divsChild>
        </w:div>
      </w:divsChild>
    </w:div>
    <w:div w:id="11415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1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1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aram.gov.l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rsis.koordinators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atvija.l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atvija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BD0D-D423-4064-9970-854E8CDA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10303</Words>
  <Characters>5874</Characters>
  <Application>Microsoft Office Word</Application>
  <DocSecurity>0</DocSecurity>
  <Lines>48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projekta nosaukums</vt:lpstr>
    </vt:vector>
  </TitlesOfParts>
  <Manager>Militārās izlūkošanas un drošības dienests</Manager>
  <Company>Aizsardzības ministrija</Company>
  <LinksUpToDate>false</LinksUpToDate>
  <CharactersWithSpaces>16145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Anotācija</dc:subject>
  <dc:creator>Rihards Guds</dc:creator>
  <cp:lastModifiedBy>Rihards Guds</cp:lastModifiedBy>
  <cp:revision>3</cp:revision>
  <cp:lastPrinted>2019-05-14T06:06:00Z</cp:lastPrinted>
  <dcterms:created xsi:type="dcterms:W3CDTF">2019-08-21T13:11:00Z</dcterms:created>
  <dcterms:modified xsi:type="dcterms:W3CDTF">2019-08-21T13:31:00Z</dcterms:modified>
</cp:coreProperties>
</file>