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68" w:rsidRPr="00E83D60" w:rsidRDefault="00813D68" w:rsidP="00813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E83D60">
        <w:rPr>
          <w:rFonts w:ascii="Times New Roman" w:hAnsi="Times New Roman" w:cs="Times New Roman"/>
          <w:b/>
          <w:sz w:val="28"/>
          <w:szCs w:val="28"/>
        </w:rPr>
        <w:t>Ministru kabineta noteikumu projekta “Pētniecības un attīstības darbības atbilstības, novērtēšanas, piemērošanas un uzskaites kārtība un kārtība, kādā nodrošina pētniecības darbības rezultātu publisko pieejamību</w:t>
      </w:r>
      <w:r w:rsidRPr="00E83D60">
        <w:rPr>
          <w:rFonts w:ascii="Times New Roman" w:hAnsi="Times New Roman" w:cs="Times New Roman"/>
          <w:sz w:val="28"/>
          <w:szCs w:val="28"/>
        </w:rPr>
        <w:t xml:space="preserve">” </w:t>
      </w:r>
      <w:r w:rsidRPr="00E83D60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projekta</w:t>
      </w:r>
      <w:r w:rsidRPr="00E83D60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br/>
        <w:t>sākotnējās ietekmes novērtējuma ziņojums (anotācija)</w:t>
      </w:r>
    </w:p>
    <w:p w:rsidR="00813D68" w:rsidRPr="00E83D60" w:rsidRDefault="00813D68" w:rsidP="00813D68">
      <w:pPr>
        <w:shd w:val="clear" w:color="auto" w:fill="FFFFFF"/>
        <w:spacing w:before="45" w:after="0" w:line="248" w:lineRule="atLeast"/>
        <w:ind w:firstLine="30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17"/>
        <w:gridCol w:w="2590"/>
        <w:gridCol w:w="5347"/>
      </w:tblGrid>
      <w:tr w:rsidR="00E83D60" w:rsidRPr="00E83D60" w:rsidTr="00813D68">
        <w:trPr>
          <w:trHeight w:val="324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 Tiesību akta projekta izstrādes nepieciešamība</w:t>
            </w:r>
          </w:p>
        </w:tc>
      </w:tr>
      <w:tr w:rsidR="00E83D60" w:rsidRPr="00E83D60" w:rsidTr="00813D68">
        <w:trPr>
          <w:trHeight w:val="324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Atkritumu apsaimniekošanas likuma </w:t>
            </w:r>
            <w:hyperlink r:id="rId8" w:anchor="p7" w:tgtFrame="_blank" w:history="1">
              <w:r w:rsidRPr="00E83D60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41. panta</w:t>
              </w:r>
            </w:hyperlink>
            <w:r w:rsidRPr="00E83D6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83D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D60">
              <w:rPr>
                <w:rFonts w:ascii="Times New Roman" w:hAnsi="Times New Roman" w:cs="Times New Roman"/>
                <w:iCs/>
                <w:sz w:val="24"/>
                <w:szCs w:val="24"/>
              </w:rPr>
              <w:t>daļas 1. un 2. punktu</w:t>
            </w:r>
          </w:p>
        </w:tc>
      </w:tr>
      <w:tr w:rsidR="00E83D60" w:rsidRPr="00E83D60" w:rsidTr="00813D68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pStyle w:val="naiskr"/>
              <w:spacing w:before="20" w:after="20"/>
              <w:jc w:val="both"/>
            </w:pPr>
            <w:bookmarkStart w:id="0" w:name="_GoBack"/>
            <w:bookmarkEnd w:id="0"/>
            <w:r w:rsidRPr="00E83D60">
              <w:rPr>
                <w:szCs w:val="28"/>
              </w:rPr>
              <w:t>Atkritumu apsaimniekošanas likuma (turpmāk – Likuma) 41.panta pirmajā daļā ir noteiktas tarifā par atkritumu apglabāšanu ietvertās izmaksas, kurās saskaņā ar Likuma grozījumi</w:t>
            </w:r>
            <w:r w:rsidR="003B4A6E">
              <w:rPr>
                <w:szCs w:val="28"/>
              </w:rPr>
              <w:t>em, kas ir</w:t>
            </w:r>
            <w:r w:rsidRPr="00E83D60">
              <w:rPr>
                <w:szCs w:val="28"/>
              </w:rPr>
              <w:t xml:space="preserve"> izsludināti 2016.gada 29.novembrī</w:t>
            </w:r>
            <w:r w:rsidR="003B4A6E">
              <w:rPr>
                <w:szCs w:val="28"/>
              </w:rPr>
              <w:t>,</w:t>
            </w:r>
            <w:r w:rsidRPr="00E83D60">
              <w:rPr>
                <w:szCs w:val="28"/>
              </w:rPr>
              <w:t xml:space="preserve"> </w:t>
            </w:r>
            <w:r w:rsidR="003B4A6E">
              <w:rPr>
                <w:szCs w:val="28"/>
              </w:rPr>
              <w:t>ir paredzēta iespēja iekļaut arī</w:t>
            </w:r>
            <w:r w:rsidR="003B4A6E" w:rsidRPr="00E83D60">
              <w:rPr>
                <w:szCs w:val="28"/>
              </w:rPr>
              <w:t xml:space="preserve"> </w:t>
            </w:r>
            <w:r w:rsidRPr="00E83D60">
              <w:rPr>
                <w:szCs w:val="28"/>
              </w:rPr>
              <w:t xml:space="preserve">pētniecības un attīstības izmaksas. Atkritumu apglabāšanas tarifā ir nepieciešams iekļaut pētniecības un attīstības izmaksas, kas saistītas ar poligonos apglabājamā atkritumu daudzuma samazināšanu, ņemot vērā </w:t>
            </w:r>
          </w:p>
          <w:p w:rsidR="00813D68" w:rsidRPr="00E83D60" w:rsidRDefault="00813D68" w:rsidP="00813D68">
            <w:pPr>
              <w:pStyle w:val="naiskr"/>
              <w:spacing w:before="20" w:after="20"/>
              <w:jc w:val="both"/>
            </w:pPr>
          </w:p>
          <w:p w:rsidR="00813D68" w:rsidRPr="00E83D60" w:rsidRDefault="00813D68" w:rsidP="00813D6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Saskaņā ar </w:t>
            </w:r>
            <w:hyperlink r:id="rId9" w:anchor="p7" w:tgtFrame="_blank" w:history="1">
              <w:r w:rsidRPr="00E83D60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41. panta</w:t>
              </w:r>
            </w:hyperlink>
            <w:r w:rsidRPr="00E83D6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83D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D60">
              <w:rPr>
                <w:rFonts w:ascii="Times New Roman" w:hAnsi="Times New Roman" w:cs="Times New Roman"/>
                <w:iCs/>
                <w:sz w:val="24"/>
                <w:szCs w:val="24"/>
              </w:rPr>
              <w:t>daļas 1. un 2. punktu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Likumā ir paredzēts deleģējums, izstrādāt noteikumus, ar kuriem Ministru kabinets nosaka:</w:t>
            </w:r>
          </w:p>
          <w:p w:rsidR="00813D68" w:rsidRPr="00E83D60" w:rsidRDefault="00813D68" w:rsidP="00813D6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FC2">
              <w:rPr>
                <w:rFonts w:ascii="Times New Roman" w:hAnsi="Times New Roman" w:cs="Times New Roman"/>
                <w:sz w:val="24"/>
                <w:szCs w:val="24"/>
              </w:rPr>
              <w:t>1) attiecībā uz pētniecības un attīstības darbības atbilstību un novērtēšanu un projekta dokumentāciju izvirzāmās prasības, kā arī pētniecības un attīstības izdevumu uzskaites kārtību;</w:t>
            </w:r>
          </w:p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73FC2">
              <w:rPr>
                <w:rFonts w:ascii="Times New Roman" w:hAnsi="Times New Roman" w:cs="Times New Roman"/>
                <w:sz w:val="24"/>
                <w:szCs w:val="24"/>
              </w:rPr>
              <w:t>2) kārtību, kādā nodrošina pētniecības un attīstības darbības rezultātu publisko pieejamību.</w:t>
            </w:r>
          </w:p>
        </w:tc>
      </w:tr>
      <w:tr w:rsidR="00E83D60" w:rsidRPr="00E83D60" w:rsidTr="00813D68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hAnsi="Times New Roman" w:cs="Times New Roman"/>
                <w:sz w:val="24"/>
              </w:rPr>
              <w:t>Vides aizsardzības un reģionālās attīstības ministrija (turpmāk – VARAM)</w:t>
            </w:r>
          </w:p>
        </w:tc>
      </w:tr>
      <w:tr w:rsidR="00E83D60" w:rsidRPr="00E83D60" w:rsidTr="00813D68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Cita informācija </w:t>
            </w:r>
          </w:p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813D68" w:rsidRPr="00E83D60" w:rsidRDefault="00813D68" w:rsidP="00813D68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17"/>
        <w:gridCol w:w="2590"/>
        <w:gridCol w:w="5347"/>
      </w:tblGrid>
      <w:tr w:rsidR="00E83D60" w:rsidRPr="00E83D60" w:rsidTr="00813D68">
        <w:trPr>
          <w:trHeight w:val="444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 Tiesību akta projekta ietekme uz sabiedrību, tautsaimniecības attīstību un administratīvo slogu</w:t>
            </w:r>
          </w:p>
        </w:tc>
      </w:tr>
      <w:tr w:rsidR="00E83D60" w:rsidRPr="00E83D60" w:rsidTr="00813D68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11 sabiedriskie pakalpojumu sniedzēji, kas sniedz sadzīves atkritumu apglabāšanas pakalpojumus (sadzīves atkritumu poligonu īpašnieki vai apsaimniekotāji);</w:t>
            </w:r>
          </w:p>
          <w:p w:rsidR="00813D68" w:rsidRDefault="00813D68" w:rsidP="00813D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Pašvaldības;</w:t>
            </w:r>
          </w:p>
          <w:p w:rsidR="00813D68" w:rsidRPr="00E83D60" w:rsidRDefault="00437944" w:rsidP="00B270E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7944">
              <w:rPr>
                <w:rFonts w:ascii="Times New Roman" w:hAnsi="Times New Roman" w:cs="Times New Roman"/>
                <w:sz w:val="24"/>
                <w:szCs w:val="24"/>
              </w:rPr>
              <w:t>VARAM.</w:t>
            </w:r>
          </w:p>
        </w:tc>
      </w:tr>
      <w:tr w:rsidR="00E83D60" w:rsidRPr="00E83D60" w:rsidTr="00813D68">
        <w:trPr>
          <w:trHeight w:val="40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Tiesiskā regulējuma ietekme uz tautsaimniecību un </w:t>
            </w: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administratīvo slogu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3B4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Ir paredzams administratīvā sloga pieaugums Anotācijas II. sadaļas 1.punktā minētām mērķgrupām, saistībā ar projektu pieteikumu izstrādi</w:t>
            </w:r>
            <w:r w:rsidR="003B4A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</w:t>
            </w: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vērtēšanu.</w:t>
            </w:r>
          </w:p>
        </w:tc>
      </w:tr>
      <w:tr w:rsidR="00E83D60" w:rsidRPr="00E83D60" w:rsidTr="00813D68">
        <w:trPr>
          <w:trHeight w:val="40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1F7FFD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F7F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1F7FFD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F7F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4A6E" w:rsidRPr="00E83D60" w:rsidRDefault="00E83D60" w:rsidP="003B4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3B4A6E" w:rsidRPr="00E83D60">
              <w:rPr>
                <w:rFonts w:ascii="Times New Roman" w:hAnsi="Times New Roman" w:cs="Times New Roman"/>
                <w:sz w:val="24"/>
                <w:szCs w:val="24"/>
              </w:rPr>
              <w:t>Administratīvās izmaksas sadzīves atkritumu poligonu īpašnieki</w:t>
            </w:r>
            <w:r w:rsidR="003B4A6E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="003B4A6E"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vai apsaimniekotāji</w:t>
            </w:r>
            <w:r w:rsidR="003B4A6E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="003B4A6E"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2F">
              <w:rPr>
                <w:rFonts w:ascii="Times New Roman" w:hAnsi="Times New Roman" w:cs="Times New Roman"/>
                <w:sz w:val="24"/>
                <w:szCs w:val="24"/>
              </w:rPr>
              <w:t>(Noteikumu projekta 4., 11. punkts)</w:t>
            </w:r>
          </w:p>
          <w:p w:rsidR="003B4A6E" w:rsidRPr="00E83D60" w:rsidRDefault="003B4A6E" w:rsidP="003B4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F – stundas likme privātajā sektorā – 4,99 </w:t>
            </w:r>
            <w:r w:rsidRPr="00E83D60">
              <w:rPr>
                <w:rFonts w:ascii="Times New Roman" w:hAnsi="Times New Roman" w:cs="Times New Roman"/>
                <w:i/>
                <w:sz w:val="24"/>
                <w:szCs w:val="24"/>
              </w:rPr>
              <w:t>euro</w:t>
            </w:r>
          </w:p>
          <w:p w:rsidR="003B4A6E" w:rsidRPr="00E83D60" w:rsidRDefault="003B4A6E" w:rsidP="003B4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L – nepieciešamais laiks informācijas sagatavošanai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darba dienas x 8 stundas)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3B4A6E" w:rsidRPr="00E83D60" w:rsidRDefault="003B4A6E" w:rsidP="003B4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– subjektu skaits – 11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atkritumu apsaimniekošanas komersanti</w:t>
            </w:r>
          </w:p>
          <w:p w:rsidR="003B4A6E" w:rsidRPr="00E83D60" w:rsidRDefault="003B4A6E" w:rsidP="003B4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Informācijas sniegšanas biežums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reizi gadā</w:t>
            </w:r>
          </w:p>
          <w:p w:rsidR="003B4A6E" w:rsidRPr="00E83D60" w:rsidRDefault="003B4A6E" w:rsidP="003B4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A6E" w:rsidRPr="00E83D60" w:rsidRDefault="003B4A6E" w:rsidP="003B4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C = </w:t>
            </w:r>
            <w:proofErr w:type="gramStart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f x l) x (n x b)</w:t>
            </w:r>
          </w:p>
          <w:p w:rsidR="003B4A6E" w:rsidRDefault="003B4A6E" w:rsidP="003B4A6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C= (4,99 X 120) x (11x1) = 6 587 </w:t>
            </w:r>
            <w:r w:rsidRPr="00E83D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</w:p>
          <w:p w:rsidR="00E83D60" w:rsidRPr="00E83D60" w:rsidRDefault="00E83D60" w:rsidP="00E83D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D60" w:rsidRPr="00E83D60" w:rsidRDefault="00E83D60" w:rsidP="00E83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944" w:rsidRPr="00E83D60" w:rsidRDefault="00E83D60" w:rsidP="0043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37944"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Administratīvās izmaksas </w:t>
            </w:r>
            <w:r w:rsidR="00437944">
              <w:rPr>
                <w:rFonts w:ascii="Times New Roman" w:hAnsi="Times New Roman" w:cs="Times New Roman"/>
                <w:sz w:val="24"/>
                <w:szCs w:val="24"/>
              </w:rPr>
              <w:t>VARAM</w:t>
            </w:r>
            <w:r w:rsidR="00437944"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2F">
              <w:rPr>
                <w:rFonts w:ascii="Times New Roman" w:hAnsi="Times New Roman" w:cs="Times New Roman"/>
                <w:sz w:val="24"/>
                <w:szCs w:val="24"/>
              </w:rPr>
              <w:t>(Noteikumu projekta 5., 7., 9., 10. punkts)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F – Vidējā alga vispārējā vadības sektorā, stundas likme 4,21</w:t>
            </w:r>
            <w:r w:rsidRPr="00E83D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euro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L – nepieciešamais laiks 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izvērtēšanai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darba dienas x 8 stundas)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– subjektu skaits – 11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pieteikumi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Informācijas sniegšanas biežums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reizi gadā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C = </w:t>
            </w:r>
            <w:proofErr w:type="gramStart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f x l) x (n x b)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C=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4,21</w:t>
            </w:r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x (11x1)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3 705</w:t>
            </w:r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3D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</w:p>
          <w:p w:rsidR="002E0089" w:rsidRDefault="002E0089" w:rsidP="00E83D6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37944" w:rsidRPr="00E83D60" w:rsidRDefault="002E0089" w:rsidP="0043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437944" w:rsidRPr="00E83D60">
              <w:rPr>
                <w:rFonts w:ascii="Times New Roman" w:hAnsi="Times New Roman" w:cs="Times New Roman"/>
                <w:sz w:val="24"/>
                <w:szCs w:val="24"/>
              </w:rPr>
              <w:t>Administratīvās izmaksas pašvaldībām</w:t>
            </w:r>
            <w:r w:rsidR="0090042F">
              <w:rPr>
                <w:rFonts w:ascii="Times New Roman" w:hAnsi="Times New Roman" w:cs="Times New Roman"/>
                <w:sz w:val="24"/>
                <w:szCs w:val="24"/>
              </w:rPr>
              <w:t xml:space="preserve"> (Noteikumu projekta 15. punkts)</w:t>
            </w:r>
            <w:r w:rsidR="00437944" w:rsidRPr="00E83D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F - Vidējā alga vispārējā vadības sektorā, stundas likme 4,21</w:t>
            </w:r>
            <w:r w:rsidRPr="00E83D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euro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L – nepieciešamais laiks 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izskatīšanai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Start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40 stundas gadā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N – subjektu skaits – 119 pašvaldības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b- informācijas sniegšanas biežums – 1 reizi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C = </w:t>
            </w:r>
            <w:proofErr w:type="gramStart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f x l) x (n x b)</w:t>
            </w:r>
          </w:p>
          <w:p w:rsidR="00437944" w:rsidRPr="00E83D60" w:rsidRDefault="00437944" w:rsidP="00437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944" w:rsidRDefault="00437944" w:rsidP="0043794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C= </w:t>
            </w:r>
            <w:proofErr w:type="gramStart"/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>4,21 x 40) x (119x1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= 20 040</w:t>
            </w:r>
            <w:r w:rsidRPr="00E8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3D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</w:p>
          <w:p w:rsidR="00813D68" w:rsidRPr="00E83D60" w:rsidRDefault="00813D68" w:rsidP="004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83D60" w:rsidRPr="00E83D60" w:rsidTr="00813D68">
        <w:trPr>
          <w:trHeight w:val="276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Cita informācija </w:t>
            </w:r>
          </w:p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:rsidR="00813D68" w:rsidRPr="00E83D60" w:rsidRDefault="00813D68" w:rsidP="00813D68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18"/>
        <w:gridCol w:w="2506"/>
        <w:gridCol w:w="5430"/>
      </w:tblGrid>
      <w:tr w:rsidR="00E83D60" w:rsidRPr="00E83D60" w:rsidTr="00813D68">
        <w:trPr>
          <w:trHeight w:val="336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 Sabiedrības līdzdalība un komunikācijas aktivitātes</w:t>
            </w:r>
          </w:p>
        </w:tc>
      </w:tr>
      <w:tr w:rsidR="00E83D60" w:rsidRPr="00E83D60" w:rsidTr="00813D68">
        <w:trPr>
          <w:trHeight w:val="43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Plānotās sabiedrības </w:t>
            </w: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līdzdalības un komunikācijas aktivitātes saistībā ar projektu</w:t>
            </w: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Noteikumu projekts no 2016.gada 20.decembra ir </w:t>
            </w:r>
            <w:r w:rsidRPr="00E83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pieejams VARAM tīmekļa vietnē</w:t>
            </w:r>
            <w:proofErr w:type="gramStart"/>
            <w:r w:rsidRPr="00E83D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hyperlink r:id="rId10" w:history="1">
              <w:r w:rsidRPr="00E83D6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www.varam.gov.lv</w:t>
              </w:r>
            </w:hyperlink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, līdz ar to ieinteresētajām personām ir iespēja izteikt viedokli un sniegt priekšlikumus.</w:t>
            </w:r>
          </w:p>
        </w:tc>
      </w:tr>
      <w:tr w:rsidR="00E83D60" w:rsidRPr="00E83D60" w:rsidTr="00813D68">
        <w:trPr>
          <w:trHeight w:val="264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Sadaļa tiks aizpildīta pēc sabiedrības līdzdalības rezultātu saņemšanas.</w:t>
            </w:r>
          </w:p>
        </w:tc>
      </w:tr>
      <w:tr w:rsidR="00E83D60" w:rsidRPr="00E83D60" w:rsidTr="00813D68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hAnsi="Times New Roman" w:cs="Times New Roman"/>
                <w:sz w:val="24"/>
                <w:szCs w:val="24"/>
              </w:rPr>
              <w:t>Sadaļa tiks aizpildīta pēc sabiedrības līdzdalības rezultātu saņemšanas.</w:t>
            </w:r>
          </w:p>
        </w:tc>
      </w:tr>
      <w:tr w:rsidR="00E83D60" w:rsidRPr="00E83D60" w:rsidTr="00813D68">
        <w:trPr>
          <w:trHeight w:val="37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Cita informācija </w:t>
            </w:r>
          </w:p>
          <w:p w:rsidR="00813D68" w:rsidRPr="00E83D60" w:rsidRDefault="00813D68" w:rsidP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  <w:r w:rsidR="004C2C17"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:rsidR="00813D68" w:rsidRPr="00E83D60" w:rsidRDefault="00813D68" w:rsidP="00813D68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17"/>
        <w:gridCol w:w="3175"/>
        <w:gridCol w:w="4762"/>
      </w:tblGrid>
      <w:tr w:rsidR="00E83D60" w:rsidRPr="00E83D60" w:rsidTr="00813D68">
        <w:trPr>
          <w:trHeight w:val="300"/>
          <w:jc w:val="center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813D68" w:rsidRPr="00E83D60" w:rsidRDefault="00813D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 Tiesību akta projekta izpildes nodrošināšana un tās ietekme uz institūcijām</w:t>
            </w:r>
          </w:p>
        </w:tc>
      </w:tr>
      <w:tr w:rsidR="00E83D60" w:rsidRPr="00E83D60" w:rsidTr="00813D68">
        <w:trPr>
          <w:trHeight w:val="336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E8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E8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VARAM</w:t>
            </w:r>
          </w:p>
        </w:tc>
      </w:tr>
      <w:tr w:rsidR="00E83D60" w:rsidRPr="00E83D60" w:rsidTr="00813D68">
        <w:trPr>
          <w:trHeight w:val="360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 w:rsidP="001F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funkcijām un institucionālo struktūru.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83D60" w:rsidRPr="001F7FFD" w:rsidRDefault="00E83D60" w:rsidP="00E83D60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 w:rsidRPr="001F7FFD">
              <w:rPr>
                <w:b w:val="0"/>
              </w:rPr>
              <w:t>Noteikumu projekts ietekmē iesaistīto institūciju funkcijas un uzdevumus.</w:t>
            </w:r>
          </w:p>
          <w:p w:rsidR="00813D68" w:rsidRPr="00E83D60" w:rsidRDefault="00E83D60" w:rsidP="00E8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F7FFD">
              <w:rPr>
                <w:rFonts w:ascii="Times New Roman" w:hAnsi="Times New Roman" w:cs="Times New Roman"/>
                <w:sz w:val="24"/>
                <w:szCs w:val="24"/>
              </w:rPr>
              <w:t>Nav paredzēta jauno institūciju izveide/likvidēšana/reorganizēšana</w:t>
            </w:r>
            <w:r w:rsidRPr="00E83D60">
              <w:t>.</w:t>
            </w:r>
          </w:p>
        </w:tc>
      </w:tr>
      <w:tr w:rsidR="00E83D60" w:rsidRPr="00E83D60" w:rsidTr="00813D68">
        <w:trPr>
          <w:trHeight w:val="31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81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83D60" w:rsidRPr="00E83D60" w:rsidRDefault="00813D68" w:rsidP="00E8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  <w:r w:rsidR="00E83D60"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813D68" w:rsidRPr="00E83D60" w:rsidRDefault="00813D68" w:rsidP="00E8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13D68" w:rsidRPr="00E83D60" w:rsidRDefault="00E83D6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3D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:rsidR="00813D68" w:rsidRPr="00E83D60" w:rsidRDefault="00813D68" w:rsidP="00813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D68" w:rsidRPr="00E83D60" w:rsidRDefault="00813D68" w:rsidP="00813D68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E83D60">
        <w:rPr>
          <w:rFonts w:ascii="Times New Roman" w:hAnsi="Times New Roman" w:cs="Times New Roman"/>
          <w:i/>
          <w:sz w:val="28"/>
          <w:szCs w:val="28"/>
        </w:rPr>
        <w:t>Anotācijas III, IV un V sadaļa – projekts šīs jomas neskar.</w:t>
      </w:r>
    </w:p>
    <w:p w:rsidR="00813D68" w:rsidRPr="00E83D60" w:rsidRDefault="00813D68" w:rsidP="00813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3D60" w:rsidRPr="00E83D60" w:rsidRDefault="00E83D60" w:rsidP="00E83D60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83D60">
        <w:rPr>
          <w:rFonts w:ascii="Times New Roman" w:hAnsi="Times New Roman"/>
          <w:sz w:val="24"/>
          <w:szCs w:val="24"/>
        </w:rPr>
        <w:t xml:space="preserve">vides aizsardzības un </w:t>
      </w:r>
    </w:p>
    <w:p w:rsidR="00813D68" w:rsidRPr="00E83D60" w:rsidRDefault="00E83D60" w:rsidP="00E83D6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D60">
        <w:rPr>
          <w:rFonts w:ascii="Times New Roman" w:hAnsi="Times New Roman" w:cs="Times New Roman"/>
          <w:sz w:val="24"/>
          <w:szCs w:val="24"/>
        </w:rPr>
        <w:t xml:space="preserve">reģionālās attīstības </w:t>
      </w:r>
      <w:r w:rsidR="00813D68" w:rsidRPr="00E83D60">
        <w:rPr>
          <w:rFonts w:ascii="Times New Roman" w:hAnsi="Times New Roman" w:cs="Times New Roman"/>
          <w:sz w:val="24"/>
          <w:szCs w:val="24"/>
        </w:rPr>
        <w:t>ministrs</w:t>
      </w:r>
      <w:r w:rsidR="00813D68" w:rsidRPr="00E83D60">
        <w:rPr>
          <w:rFonts w:ascii="Times New Roman" w:hAnsi="Times New Roman" w:cs="Times New Roman"/>
          <w:sz w:val="24"/>
          <w:szCs w:val="24"/>
        </w:rPr>
        <w:tab/>
      </w:r>
      <w:r w:rsidRPr="00E83D60">
        <w:rPr>
          <w:rFonts w:ascii="Times New Roman" w:hAnsi="Times New Roman" w:cs="Times New Roman"/>
          <w:sz w:val="24"/>
          <w:szCs w:val="24"/>
        </w:rPr>
        <w:t>K.Gerhards</w:t>
      </w:r>
    </w:p>
    <w:p w:rsidR="00813D68" w:rsidRPr="00E83D60" w:rsidRDefault="00813D68" w:rsidP="00813D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813D68" w:rsidRPr="00E83D60" w:rsidRDefault="00813D68" w:rsidP="00813D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83D60" w:rsidRPr="00E83D60" w:rsidRDefault="00E83D60" w:rsidP="00E83D60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83D60">
        <w:rPr>
          <w:rFonts w:ascii="Times New Roman" w:hAnsi="Times New Roman"/>
          <w:sz w:val="24"/>
          <w:szCs w:val="24"/>
        </w:rPr>
        <w:t xml:space="preserve">vides aizsardzības un </w:t>
      </w:r>
    </w:p>
    <w:p w:rsidR="00813D68" w:rsidRPr="00E83D60" w:rsidRDefault="00E83D60" w:rsidP="00E83D6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D60">
        <w:rPr>
          <w:rFonts w:ascii="Times New Roman" w:hAnsi="Times New Roman" w:cs="Times New Roman"/>
          <w:sz w:val="24"/>
          <w:szCs w:val="24"/>
        </w:rPr>
        <w:t xml:space="preserve">reģionālās attīstības </w:t>
      </w:r>
      <w:r w:rsidR="00813D68" w:rsidRPr="00E83D60">
        <w:rPr>
          <w:rFonts w:ascii="Times New Roman" w:hAnsi="Times New Roman" w:cs="Times New Roman"/>
          <w:sz w:val="24"/>
          <w:szCs w:val="24"/>
        </w:rPr>
        <w:t>ministrijas valsts sekretārs</w:t>
      </w:r>
      <w:r w:rsidR="00813D68" w:rsidRPr="00E83D60">
        <w:rPr>
          <w:rFonts w:ascii="Times New Roman" w:hAnsi="Times New Roman" w:cs="Times New Roman"/>
          <w:sz w:val="24"/>
          <w:szCs w:val="24"/>
        </w:rPr>
        <w:tab/>
      </w:r>
      <w:r w:rsidRPr="00E83D60">
        <w:rPr>
          <w:rFonts w:ascii="Times New Roman" w:hAnsi="Times New Roman" w:cs="Times New Roman"/>
          <w:sz w:val="24"/>
          <w:szCs w:val="24"/>
        </w:rPr>
        <w:t>R.Muciņš</w:t>
      </w:r>
    </w:p>
    <w:p w:rsidR="00813D68" w:rsidRPr="00E83D60" w:rsidRDefault="00813D68" w:rsidP="00813D68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13D68" w:rsidRPr="00E83D60" w:rsidRDefault="00813D68" w:rsidP="00813D68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13D68" w:rsidRPr="00E83D60" w:rsidRDefault="00813D68" w:rsidP="00813D68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13D68" w:rsidRPr="00E83D60" w:rsidRDefault="00813D68" w:rsidP="00813D68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Cs w:val="28"/>
        </w:rPr>
      </w:pPr>
      <w:r w:rsidRPr="00E83D60">
        <w:rPr>
          <w:rFonts w:ascii="Times New Roman" w:hAnsi="Times New Roman" w:cs="Times New Roman"/>
          <w:szCs w:val="28"/>
        </w:rPr>
        <w:t>Cudečka-Puriņa, 67026461</w:t>
      </w:r>
    </w:p>
    <w:p w:rsidR="00813D68" w:rsidRPr="00E83D60" w:rsidRDefault="00AA495D" w:rsidP="00813D68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Cs w:val="28"/>
        </w:rPr>
      </w:pPr>
      <w:hyperlink r:id="rId11" w:history="1">
        <w:r w:rsidR="00813D68" w:rsidRPr="00E83D60">
          <w:rPr>
            <w:rStyle w:val="Hyperlink"/>
            <w:rFonts w:ascii="Times New Roman" w:hAnsi="Times New Roman" w:cs="Times New Roman"/>
            <w:color w:val="auto"/>
            <w:szCs w:val="28"/>
          </w:rPr>
          <w:t>natalija.cudecka-purina@varam.gov.lv</w:t>
        </w:r>
      </w:hyperlink>
      <w:r w:rsidR="00813D68" w:rsidRPr="00E83D60">
        <w:rPr>
          <w:rFonts w:ascii="Times New Roman" w:hAnsi="Times New Roman" w:cs="Times New Roman"/>
          <w:szCs w:val="28"/>
        </w:rPr>
        <w:t xml:space="preserve"> </w:t>
      </w:r>
    </w:p>
    <w:p w:rsidR="00901183" w:rsidRPr="00E83D60" w:rsidRDefault="00AA495D"/>
    <w:sectPr w:rsidR="00901183" w:rsidRPr="00E83D60"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95D" w:rsidRDefault="00AA495D" w:rsidP="00E83D60">
      <w:pPr>
        <w:spacing w:after="0" w:line="240" w:lineRule="auto"/>
      </w:pPr>
      <w:r>
        <w:separator/>
      </w:r>
    </w:p>
  </w:endnote>
  <w:endnote w:type="continuationSeparator" w:id="0">
    <w:p w:rsidR="00AA495D" w:rsidRDefault="00AA495D" w:rsidP="00E83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D60" w:rsidRPr="00B270EA" w:rsidRDefault="00E83D60" w:rsidP="00E83D60">
    <w:pPr>
      <w:jc w:val="both"/>
      <w:rPr>
        <w:rFonts w:ascii="Times New Roman" w:hAnsi="Times New Roman" w:cs="Times New Roman"/>
      </w:rPr>
    </w:pPr>
    <w:r w:rsidRPr="00B270EA">
      <w:rPr>
        <w:rFonts w:ascii="Times New Roman" w:hAnsi="Times New Roman" w:cs="Times New Roman"/>
      </w:rPr>
      <w:t>VARAMAnot_191216_petniec; Ministru kabineta noteikumu projekta “</w:t>
    </w:r>
    <w:r w:rsidR="00B270EA" w:rsidRPr="00B270EA">
      <w:rPr>
        <w:rFonts w:ascii="Times New Roman" w:hAnsi="Times New Roman" w:cs="Times New Roman"/>
        <w:bCs/>
      </w:rPr>
      <w:t>Noteikumi par sadzīves atkritumu poligonu pētniecības un attīstības darbībām, kas vērstas uz apglabājamā apjoma samazināšanu”</w:t>
    </w:r>
    <w:r w:rsidRPr="00B270EA">
      <w:rPr>
        <w:rFonts w:ascii="Times New Roman" w:hAnsi="Times New Roman" w:cs="Times New Roman"/>
      </w:rPr>
      <w:t xml:space="preserve">” sākotnējās ietekmes novērtējuma </w:t>
    </w:r>
    <w:smartTag w:uri="schemas-tilde-lv/tildestengine" w:element="veidnes">
      <w:smartTagPr>
        <w:attr w:name="id" w:val="-1"/>
        <w:attr w:name="baseform" w:val="ziņojums"/>
        <w:attr w:name="text" w:val="ziņojums"/>
      </w:smartTagPr>
      <w:r w:rsidRPr="00B270EA">
        <w:rPr>
          <w:rFonts w:ascii="Times New Roman" w:hAnsi="Times New Roman" w:cs="Times New Roman"/>
        </w:rPr>
        <w:t>ziņojums</w:t>
      </w:r>
    </w:smartTag>
    <w:r w:rsidRPr="00B270EA">
      <w:rPr>
        <w:rFonts w:ascii="Times New Roman" w:hAnsi="Times New Roman" w:cs="Times New Roman"/>
      </w:rPr>
      <w:t xml:space="preserve">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95D" w:rsidRDefault="00AA495D" w:rsidP="00E83D60">
      <w:pPr>
        <w:spacing w:after="0" w:line="240" w:lineRule="auto"/>
      </w:pPr>
      <w:r>
        <w:separator/>
      </w:r>
    </w:p>
  </w:footnote>
  <w:footnote w:type="continuationSeparator" w:id="0">
    <w:p w:rsidR="00AA495D" w:rsidRDefault="00AA495D" w:rsidP="00E83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765DC"/>
    <w:multiLevelType w:val="hybridMultilevel"/>
    <w:tmpl w:val="C7AA633C"/>
    <w:lvl w:ilvl="0" w:tplc="95CE8C74">
      <w:start w:val="6"/>
      <w:numFmt w:val="bullet"/>
      <w:lvlText w:val="-"/>
      <w:lvlJc w:val="left"/>
      <w:pPr>
        <w:ind w:left="720" w:hanging="360"/>
      </w:pPr>
      <w:rPr>
        <w:rFonts w:ascii="CG Times (W1)" w:eastAsia="Times New Roman" w:hAnsi="CG Times (W1)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B113A"/>
    <w:multiLevelType w:val="hybridMultilevel"/>
    <w:tmpl w:val="04045AA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D68"/>
    <w:rsid w:val="001F7FFD"/>
    <w:rsid w:val="002C013B"/>
    <w:rsid w:val="002E0089"/>
    <w:rsid w:val="002E7F27"/>
    <w:rsid w:val="00345870"/>
    <w:rsid w:val="003B4A6E"/>
    <w:rsid w:val="00437944"/>
    <w:rsid w:val="004C2C17"/>
    <w:rsid w:val="006935CE"/>
    <w:rsid w:val="006B082E"/>
    <w:rsid w:val="00813D68"/>
    <w:rsid w:val="0090042F"/>
    <w:rsid w:val="00AA495D"/>
    <w:rsid w:val="00B270EA"/>
    <w:rsid w:val="00DC7669"/>
    <w:rsid w:val="00E83D60"/>
    <w:rsid w:val="00F6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D68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3D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D68"/>
    <w:rPr>
      <w:rFonts w:ascii="Tahoma" w:hAnsi="Tahoma" w:cs="Tahoma"/>
      <w:sz w:val="16"/>
      <w:szCs w:val="16"/>
    </w:rPr>
  </w:style>
  <w:style w:type="paragraph" w:customStyle="1" w:styleId="naiskr">
    <w:name w:val="naiskr"/>
    <w:basedOn w:val="Normal"/>
    <w:rsid w:val="00813D6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813D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3D68"/>
    <w:rPr>
      <w:color w:val="0000FF" w:themeColor="hyperlink"/>
      <w:u w:val="single"/>
    </w:rPr>
  </w:style>
  <w:style w:type="paragraph" w:customStyle="1" w:styleId="naisnod">
    <w:name w:val="naisnod"/>
    <w:basedOn w:val="Normal"/>
    <w:rsid w:val="00E83D60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tv2161">
    <w:name w:val="tv2161"/>
    <w:basedOn w:val="Normal"/>
    <w:rsid w:val="00E83D60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D60"/>
  </w:style>
  <w:style w:type="paragraph" w:styleId="Footer">
    <w:name w:val="footer"/>
    <w:basedOn w:val="Normal"/>
    <w:link w:val="FooterChar"/>
    <w:uiPriority w:val="99"/>
    <w:unhideWhenUsed/>
    <w:rsid w:val="00E83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D68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3D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D68"/>
    <w:rPr>
      <w:rFonts w:ascii="Tahoma" w:hAnsi="Tahoma" w:cs="Tahoma"/>
      <w:sz w:val="16"/>
      <w:szCs w:val="16"/>
    </w:rPr>
  </w:style>
  <w:style w:type="paragraph" w:customStyle="1" w:styleId="naiskr">
    <w:name w:val="naiskr"/>
    <w:basedOn w:val="Normal"/>
    <w:rsid w:val="00813D6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813D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3D68"/>
    <w:rPr>
      <w:color w:val="0000FF" w:themeColor="hyperlink"/>
      <w:u w:val="single"/>
    </w:rPr>
  </w:style>
  <w:style w:type="paragraph" w:customStyle="1" w:styleId="naisnod">
    <w:name w:val="naisnod"/>
    <w:basedOn w:val="Normal"/>
    <w:rsid w:val="00E83D60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tv2161">
    <w:name w:val="tv2161"/>
    <w:basedOn w:val="Normal"/>
    <w:rsid w:val="00E83D60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D60"/>
  </w:style>
  <w:style w:type="paragraph" w:styleId="Footer">
    <w:name w:val="footer"/>
    <w:basedOn w:val="Normal"/>
    <w:link w:val="FooterChar"/>
    <w:uiPriority w:val="99"/>
    <w:unhideWhenUsed/>
    <w:rsid w:val="00E83D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124707-dabas-resursu-nodokla-likum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atalija.cudecka-purina@varam.gov.l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kumi.lv/ta/id/124707-dabas-resursu-nodokla-liku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3145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Natālija Cudečka-Puriņa</dc:creator>
  <cp:lastModifiedBy>Natālija Cudečka-Puriņa</cp:lastModifiedBy>
  <cp:revision>7</cp:revision>
  <dcterms:created xsi:type="dcterms:W3CDTF">2016-12-19T10:40:00Z</dcterms:created>
  <dcterms:modified xsi:type="dcterms:W3CDTF">2016-12-28T14:01:00Z</dcterms:modified>
</cp:coreProperties>
</file>