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342" w:rsidRPr="00FE1DF7" w:rsidRDefault="00693FBE" w:rsidP="00693FBE">
      <w:pPr>
        <w:jc w:val="right"/>
        <w:rPr>
          <w:rFonts w:ascii="Times New Roman" w:hAnsi="Times New Roman" w:cs="Times New Roman"/>
          <w:sz w:val="28"/>
          <w:szCs w:val="28"/>
        </w:rPr>
      </w:pPr>
      <w:r w:rsidRPr="00FE1DF7">
        <w:rPr>
          <w:rFonts w:ascii="Times New Roman" w:hAnsi="Times New Roman" w:cs="Times New Roman"/>
          <w:sz w:val="28"/>
          <w:szCs w:val="28"/>
        </w:rPr>
        <w:t>Likumprojekts</w:t>
      </w:r>
    </w:p>
    <w:p w:rsidR="00693FBE" w:rsidRPr="00FE1DF7" w:rsidRDefault="00693FBE" w:rsidP="00AC6EF1">
      <w:pPr>
        <w:pStyle w:val="tvhtml"/>
        <w:shd w:val="clear" w:color="auto" w:fill="FFFFFF"/>
        <w:spacing w:before="0" w:beforeAutospacing="0" w:after="120" w:afterAutospacing="0"/>
        <w:ind w:firstLine="709"/>
        <w:jc w:val="center"/>
        <w:rPr>
          <w:b/>
          <w:sz w:val="28"/>
          <w:szCs w:val="28"/>
        </w:rPr>
      </w:pPr>
      <w:r w:rsidRPr="00FE1DF7">
        <w:rPr>
          <w:b/>
          <w:sz w:val="28"/>
          <w:szCs w:val="28"/>
        </w:rPr>
        <w:t>Grozījum</w:t>
      </w:r>
      <w:r w:rsidR="00AC6EF1" w:rsidRPr="00FE1DF7">
        <w:rPr>
          <w:b/>
          <w:sz w:val="28"/>
          <w:szCs w:val="28"/>
        </w:rPr>
        <w:t>s</w:t>
      </w:r>
      <w:r w:rsidRPr="00FE1DF7">
        <w:rPr>
          <w:b/>
          <w:sz w:val="28"/>
          <w:szCs w:val="28"/>
        </w:rPr>
        <w:t xml:space="preserve"> Latvijas Administratīvo pārkāpumu kodeksā</w:t>
      </w:r>
    </w:p>
    <w:p w:rsidR="002A0B96" w:rsidRPr="00FE1DF7" w:rsidRDefault="00D24FD6" w:rsidP="00AC6EF1">
      <w:pPr>
        <w:pStyle w:val="tvhtml"/>
        <w:shd w:val="clear" w:color="auto" w:fill="FFFFFF"/>
        <w:spacing w:before="0" w:beforeAutospacing="0" w:after="120" w:afterAutospacing="0"/>
        <w:ind w:firstLine="709"/>
        <w:jc w:val="both"/>
        <w:rPr>
          <w:sz w:val="28"/>
          <w:szCs w:val="28"/>
        </w:rPr>
      </w:pPr>
      <w:r w:rsidRPr="00FE1DF7">
        <w:rPr>
          <w:sz w:val="28"/>
          <w:szCs w:val="28"/>
        </w:rPr>
        <w:t>Izdarīt Latvijas Admini</w:t>
      </w:r>
      <w:r w:rsidR="00AC6EF1" w:rsidRPr="00FE1DF7">
        <w:rPr>
          <w:sz w:val="28"/>
          <w:szCs w:val="28"/>
        </w:rPr>
        <w:t>stratīvo pārkāpumu kodeksā šādu grozījumu</w:t>
      </w:r>
      <w:r w:rsidRPr="00FE1DF7">
        <w:rPr>
          <w:sz w:val="28"/>
          <w:szCs w:val="28"/>
        </w:rPr>
        <w:t>:</w:t>
      </w:r>
    </w:p>
    <w:p w:rsidR="00D24FD6" w:rsidRPr="00FE1DF7" w:rsidRDefault="00D24FD6" w:rsidP="00AC6EF1">
      <w:pPr>
        <w:pStyle w:val="tvhtml"/>
        <w:shd w:val="clear" w:color="auto" w:fill="FFFFFF"/>
        <w:spacing w:before="0" w:beforeAutospacing="0" w:after="120" w:afterAutospacing="0"/>
        <w:ind w:firstLine="709"/>
        <w:jc w:val="both"/>
        <w:rPr>
          <w:sz w:val="28"/>
          <w:szCs w:val="28"/>
        </w:rPr>
      </w:pPr>
      <w:r w:rsidRPr="00FE1DF7">
        <w:rPr>
          <w:sz w:val="28"/>
          <w:szCs w:val="28"/>
        </w:rPr>
        <w:t>Papildināt</w:t>
      </w:r>
      <w:r w:rsidR="000D5260" w:rsidRPr="00FE1DF7">
        <w:rPr>
          <w:sz w:val="28"/>
          <w:szCs w:val="28"/>
        </w:rPr>
        <w:t xml:space="preserve"> likumu</w:t>
      </w:r>
      <w:r w:rsidRPr="00FE1DF7">
        <w:rPr>
          <w:sz w:val="28"/>
          <w:szCs w:val="28"/>
        </w:rPr>
        <w:t xml:space="preserve"> ar 78.</w:t>
      </w:r>
      <w:r w:rsidRPr="00FE1DF7">
        <w:rPr>
          <w:sz w:val="28"/>
          <w:szCs w:val="28"/>
          <w:vertAlign w:val="superscript"/>
        </w:rPr>
        <w:t>2</w:t>
      </w:r>
      <w:r w:rsidRPr="00FE1DF7">
        <w:rPr>
          <w:sz w:val="28"/>
          <w:szCs w:val="28"/>
        </w:rPr>
        <w:t> pantu šādā redakcijā:</w:t>
      </w:r>
    </w:p>
    <w:p w:rsidR="005024AF" w:rsidRPr="00FE1DF7" w:rsidRDefault="005E6EFC" w:rsidP="00AC6EF1">
      <w:pPr>
        <w:spacing w:after="120" w:line="240" w:lineRule="auto"/>
        <w:ind w:firstLine="709"/>
        <w:jc w:val="both"/>
        <w:rPr>
          <w:rFonts w:ascii="Times New Roman" w:hAnsi="Times New Roman" w:cs="Times New Roman"/>
          <w:sz w:val="28"/>
          <w:szCs w:val="28"/>
        </w:rPr>
      </w:pPr>
      <w:r w:rsidRPr="00FE1DF7">
        <w:rPr>
          <w:rFonts w:ascii="Times New Roman" w:hAnsi="Times New Roman" w:cs="Times New Roman"/>
          <w:sz w:val="28"/>
          <w:szCs w:val="28"/>
        </w:rPr>
        <w:t>“</w:t>
      </w:r>
      <w:r w:rsidRPr="00FE1DF7">
        <w:rPr>
          <w:rFonts w:ascii="Times New Roman" w:hAnsi="Times New Roman" w:cs="Times New Roman"/>
          <w:b/>
          <w:sz w:val="28"/>
          <w:szCs w:val="28"/>
        </w:rPr>
        <w:t>78.</w:t>
      </w:r>
      <w:r w:rsidRPr="00FE1DF7">
        <w:rPr>
          <w:rFonts w:ascii="Times New Roman" w:hAnsi="Times New Roman" w:cs="Times New Roman"/>
          <w:b/>
          <w:sz w:val="28"/>
          <w:szCs w:val="28"/>
          <w:vertAlign w:val="superscript"/>
        </w:rPr>
        <w:t>2</w:t>
      </w:r>
      <w:r w:rsidRPr="00FE1DF7">
        <w:rPr>
          <w:rFonts w:ascii="Times New Roman" w:hAnsi="Times New Roman" w:cs="Times New Roman"/>
          <w:b/>
          <w:sz w:val="28"/>
          <w:szCs w:val="28"/>
        </w:rPr>
        <w:t xml:space="preserve"> pants. Eiropas Parlamenta un Padomes 2014. gada 16. aprīļa Regulas (ES) Nr. 511/2014 par no Nagojas Protokola par piekļuvi ģenētiskajiem resursiem un to ieguvumu taisnīgu un godīgu sadali, kas gūti no šo resursu izmantošanas, izrietošiem atbilstības pasākumiem lietotājiem Savienībā </w:t>
      </w:r>
      <w:r w:rsidR="007E3BAB" w:rsidRPr="00FE1DF7">
        <w:rPr>
          <w:rFonts w:ascii="Times New Roman" w:hAnsi="Times New Roman" w:cs="Times New Roman"/>
          <w:b/>
          <w:sz w:val="28"/>
          <w:szCs w:val="28"/>
        </w:rPr>
        <w:t>prasību pārkāpšana</w:t>
      </w:r>
    </w:p>
    <w:p w:rsidR="00D93342" w:rsidRPr="00FE1DF7" w:rsidRDefault="00D4540E" w:rsidP="00AC6EF1">
      <w:pPr>
        <w:spacing w:after="120" w:line="240" w:lineRule="auto"/>
        <w:ind w:firstLine="709"/>
        <w:jc w:val="both"/>
        <w:rPr>
          <w:rFonts w:ascii="Times New Roman" w:hAnsi="Times New Roman" w:cs="Times New Roman"/>
          <w:sz w:val="28"/>
          <w:szCs w:val="28"/>
        </w:rPr>
      </w:pPr>
      <w:r w:rsidRPr="00FE1DF7">
        <w:rPr>
          <w:rFonts w:ascii="Times New Roman" w:hAnsi="Times New Roman" w:cs="Times New Roman"/>
          <w:sz w:val="28"/>
          <w:szCs w:val="28"/>
          <w:shd w:val="clear" w:color="auto" w:fill="FFFFFF"/>
        </w:rPr>
        <w:t xml:space="preserve">Par pienācīgas pārbaudes neveikšanu, lai pārliecinātos, ka lietotāja izmantotajiem ģenētiskajiem resursiem un ar ģenētiskajiem resursiem saistītajām tradicionālajām zināšanām ir piekļūts saskaņā ar piemērojamiem tiesību aktiem vai regulatīvajām prasībām attiecībā uz piekļuvi un ieguvumu sadali un ka ieguvumi tiek sadalīti taisnīgi un godīgi atbilstīgi savstarpēji saskaņotiem noteikumiem saskaņā ar visiem piemērojamajiem tiesību aktiem vai regulatīvajām prasībām, </w:t>
      </w:r>
      <w:r w:rsidR="00D374A7" w:rsidRPr="00FE1DF7">
        <w:rPr>
          <w:rFonts w:ascii="Times New Roman" w:hAnsi="Times New Roman" w:cs="Times New Roman"/>
          <w:sz w:val="28"/>
          <w:szCs w:val="28"/>
          <w:shd w:val="clear" w:color="auto" w:fill="FFFFFF"/>
        </w:rPr>
        <w:t>(</w:t>
      </w:r>
      <w:r w:rsidR="00D374A7" w:rsidRPr="00FE1DF7">
        <w:rPr>
          <w:rFonts w:ascii="Times New Roman" w:hAnsi="Times New Roman" w:cs="Times New Roman"/>
          <w:sz w:val="28"/>
          <w:szCs w:val="28"/>
        </w:rPr>
        <w:t>regulas Nr. 511/2014 4. panta</w:t>
      </w:r>
      <w:r w:rsidR="00D374A7" w:rsidRPr="00FE1DF7">
        <w:rPr>
          <w:rFonts w:ascii="Times New Roman" w:hAnsi="Times New Roman" w:cs="Times New Roman"/>
          <w:sz w:val="28"/>
          <w:szCs w:val="28"/>
          <w:shd w:val="clear" w:color="auto" w:fill="FFFFFF"/>
        </w:rPr>
        <w:t xml:space="preserve"> 1. punkts) </w:t>
      </w:r>
      <w:r w:rsidRPr="00FE1DF7">
        <w:rPr>
          <w:rFonts w:ascii="Times New Roman" w:hAnsi="Times New Roman" w:cs="Times New Roman"/>
          <w:sz w:val="28"/>
          <w:szCs w:val="28"/>
          <w:shd w:val="clear" w:color="auto" w:fill="FFFFFF"/>
        </w:rPr>
        <w:t xml:space="preserve">– </w:t>
      </w:r>
    </w:p>
    <w:p w:rsidR="00587755" w:rsidRPr="00FE1DF7" w:rsidRDefault="00FE13A7" w:rsidP="00AC6EF1">
      <w:pPr>
        <w:spacing w:after="120" w:line="240" w:lineRule="auto"/>
        <w:ind w:firstLine="709"/>
        <w:jc w:val="both"/>
        <w:rPr>
          <w:rFonts w:ascii="Times New Roman" w:hAnsi="Times New Roman" w:cs="Times New Roman"/>
          <w:sz w:val="28"/>
          <w:szCs w:val="28"/>
        </w:rPr>
      </w:pPr>
      <w:r w:rsidRPr="00FE1DF7">
        <w:rPr>
          <w:rFonts w:ascii="Times New Roman" w:hAnsi="Times New Roman" w:cs="Times New Roman"/>
          <w:sz w:val="28"/>
          <w:szCs w:val="28"/>
        </w:rPr>
        <w:t>izsaka mutvārdu aizrādījumu vai brīdinājumu, vai uzliek</w:t>
      </w:r>
      <w:r w:rsidR="00C906F4" w:rsidRPr="00FE1DF7">
        <w:rPr>
          <w:rFonts w:ascii="Times New Roman" w:hAnsi="Times New Roman" w:cs="Times New Roman"/>
          <w:sz w:val="28"/>
          <w:szCs w:val="28"/>
        </w:rPr>
        <w:t xml:space="preserve"> naudas sodu</w:t>
      </w:r>
      <w:r w:rsidR="00E10ABA" w:rsidRPr="00FE1DF7">
        <w:rPr>
          <w:rFonts w:ascii="Times New Roman" w:hAnsi="Times New Roman" w:cs="Times New Roman"/>
          <w:sz w:val="28"/>
          <w:szCs w:val="28"/>
        </w:rPr>
        <w:t>, konfiscējot pārkāpuma priekšmetus un izdarīšanas rīkus vai bez konfiskācijas</w:t>
      </w:r>
      <w:r w:rsidR="00392D9C" w:rsidRPr="00FE1DF7">
        <w:rPr>
          <w:rFonts w:ascii="Times New Roman" w:hAnsi="Times New Roman" w:cs="Times New Roman"/>
          <w:sz w:val="28"/>
          <w:szCs w:val="28"/>
        </w:rPr>
        <w:t xml:space="preserve">, fiziskajām personām līdz septiņsimt </w:t>
      </w:r>
      <w:proofErr w:type="spellStart"/>
      <w:r w:rsidR="00392D9C" w:rsidRPr="00FE1DF7">
        <w:rPr>
          <w:rFonts w:ascii="Times New Roman" w:hAnsi="Times New Roman" w:cs="Times New Roman"/>
          <w:i/>
          <w:sz w:val="28"/>
          <w:szCs w:val="28"/>
        </w:rPr>
        <w:t>euro</w:t>
      </w:r>
      <w:proofErr w:type="spellEnd"/>
      <w:r w:rsidR="00392D9C" w:rsidRPr="00FE1DF7">
        <w:rPr>
          <w:rFonts w:ascii="Times New Roman" w:hAnsi="Times New Roman" w:cs="Times New Roman"/>
          <w:sz w:val="28"/>
          <w:szCs w:val="28"/>
        </w:rPr>
        <w:t xml:space="preserve"> un juridiskajām personām līdz četrpadsmit tūkstoši </w:t>
      </w:r>
      <w:proofErr w:type="spellStart"/>
      <w:r w:rsidR="00392D9C" w:rsidRPr="00FE1DF7">
        <w:rPr>
          <w:rFonts w:ascii="Times New Roman" w:hAnsi="Times New Roman" w:cs="Times New Roman"/>
          <w:i/>
          <w:sz w:val="28"/>
          <w:szCs w:val="28"/>
        </w:rPr>
        <w:t>euro</w:t>
      </w:r>
      <w:proofErr w:type="spellEnd"/>
      <w:r w:rsidR="00C906F4" w:rsidRPr="00FE1DF7">
        <w:rPr>
          <w:rFonts w:ascii="Times New Roman" w:hAnsi="Times New Roman" w:cs="Times New Roman"/>
          <w:sz w:val="28"/>
          <w:szCs w:val="28"/>
        </w:rPr>
        <w:t>.</w:t>
      </w:r>
    </w:p>
    <w:p w:rsidR="00D4540E" w:rsidRPr="00FE1DF7" w:rsidRDefault="00D4540E" w:rsidP="00AC6EF1">
      <w:pPr>
        <w:pStyle w:val="Normal1"/>
        <w:spacing w:before="0" w:beforeAutospacing="0" w:after="120" w:afterAutospacing="0"/>
        <w:ind w:firstLine="709"/>
        <w:jc w:val="both"/>
        <w:rPr>
          <w:sz w:val="28"/>
          <w:szCs w:val="28"/>
        </w:rPr>
      </w:pPr>
      <w:r w:rsidRPr="00FE1DF7">
        <w:rPr>
          <w:sz w:val="28"/>
          <w:szCs w:val="28"/>
        </w:rPr>
        <w:t>Par ģenētisko resursu un ar ģenētiskajiem resursiem saistīto tradicionālo zināšanu nodošanu tālāk un izmantošanu pretrunā savstarpēji saskaņotiem noteikumiem, ja tie vajadzīgi atbilstīgi piemērojamiem tiesību aktiem vai regulatīvām prasībām,</w:t>
      </w:r>
      <w:r w:rsidR="00D374A7" w:rsidRPr="00FE1DF7">
        <w:rPr>
          <w:sz w:val="28"/>
          <w:szCs w:val="28"/>
          <w:shd w:val="clear" w:color="auto" w:fill="FFFFFF"/>
        </w:rPr>
        <w:t xml:space="preserve"> (</w:t>
      </w:r>
      <w:r w:rsidR="00D374A7" w:rsidRPr="00FE1DF7">
        <w:rPr>
          <w:sz w:val="28"/>
          <w:szCs w:val="28"/>
        </w:rPr>
        <w:t>regulas Nr. 511/2014 4. panta</w:t>
      </w:r>
      <w:r w:rsidR="00D374A7" w:rsidRPr="00FE1DF7">
        <w:rPr>
          <w:sz w:val="28"/>
          <w:szCs w:val="28"/>
          <w:shd w:val="clear" w:color="auto" w:fill="FFFFFF"/>
        </w:rPr>
        <w:t xml:space="preserve"> 2. punkts)</w:t>
      </w:r>
      <w:r w:rsidRPr="00FE1DF7">
        <w:rPr>
          <w:sz w:val="28"/>
          <w:szCs w:val="28"/>
        </w:rPr>
        <w:t xml:space="preserve"> –</w:t>
      </w:r>
    </w:p>
    <w:p w:rsidR="00D4540E" w:rsidRPr="00FE1DF7" w:rsidRDefault="00FE13A7" w:rsidP="00AC6EF1">
      <w:pPr>
        <w:spacing w:after="120" w:line="240" w:lineRule="auto"/>
        <w:ind w:firstLine="709"/>
        <w:jc w:val="both"/>
        <w:rPr>
          <w:rFonts w:ascii="Times New Roman" w:hAnsi="Times New Roman" w:cs="Times New Roman"/>
          <w:sz w:val="28"/>
          <w:szCs w:val="28"/>
        </w:rPr>
      </w:pPr>
      <w:r w:rsidRPr="00FE1DF7">
        <w:rPr>
          <w:rFonts w:ascii="Times New Roman" w:hAnsi="Times New Roman" w:cs="Times New Roman"/>
          <w:sz w:val="28"/>
          <w:szCs w:val="28"/>
        </w:rPr>
        <w:t xml:space="preserve">izsaka mutvārdu aizrādījumu vai brīdinājumu, vai uzliek naudas sodu, konfiscējot pārkāpuma priekšmetus un izdarīšanas rīkus vai bez konfiskācijas, fiziskajām personām līdz septiņsimt </w:t>
      </w:r>
      <w:proofErr w:type="spellStart"/>
      <w:r w:rsidRPr="00FE1DF7">
        <w:rPr>
          <w:rFonts w:ascii="Times New Roman" w:hAnsi="Times New Roman" w:cs="Times New Roman"/>
          <w:i/>
          <w:sz w:val="28"/>
          <w:szCs w:val="28"/>
        </w:rPr>
        <w:t>euro</w:t>
      </w:r>
      <w:proofErr w:type="spellEnd"/>
      <w:r w:rsidRPr="00FE1DF7">
        <w:rPr>
          <w:rFonts w:ascii="Times New Roman" w:hAnsi="Times New Roman" w:cs="Times New Roman"/>
          <w:sz w:val="28"/>
          <w:szCs w:val="28"/>
        </w:rPr>
        <w:t xml:space="preserve"> un juridiskajām personām līdz četrpadsmit tūkstoši </w:t>
      </w:r>
      <w:proofErr w:type="spellStart"/>
      <w:r w:rsidRPr="00FE1DF7">
        <w:rPr>
          <w:rFonts w:ascii="Times New Roman" w:hAnsi="Times New Roman" w:cs="Times New Roman"/>
          <w:i/>
          <w:sz w:val="28"/>
          <w:szCs w:val="28"/>
        </w:rPr>
        <w:t>euro</w:t>
      </w:r>
      <w:proofErr w:type="spellEnd"/>
      <w:r w:rsidRPr="00FE1DF7">
        <w:rPr>
          <w:rFonts w:ascii="Times New Roman" w:hAnsi="Times New Roman" w:cs="Times New Roman"/>
          <w:sz w:val="28"/>
          <w:szCs w:val="28"/>
        </w:rPr>
        <w:t>.</w:t>
      </w:r>
    </w:p>
    <w:p w:rsidR="00D4540E" w:rsidRPr="00FE1DF7" w:rsidRDefault="00D4540E" w:rsidP="00AC6EF1">
      <w:pPr>
        <w:spacing w:after="120" w:line="240" w:lineRule="auto"/>
        <w:ind w:firstLine="709"/>
        <w:jc w:val="both"/>
        <w:rPr>
          <w:rFonts w:ascii="Times New Roman" w:hAnsi="Times New Roman" w:cs="Times New Roman"/>
          <w:sz w:val="28"/>
          <w:szCs w:val="28"/>
        </w:rPr>
      </w:pPr>
      <w:r w:rsidRPr="00FE1DF7">
        <w:rPr>
          <w:rFonts w:ascii="Times New Roman" w:hAnsi="Times New Roman" w:cs="Times New Roman"/>
          <w:sz w:val="28"/>
          <w:szCs w:val="28"/>
        </w:rPr>
        <w:t xml:space="preserve">Par regulas Nr. 511/2014 </w:t>
      </w:r>
      <w:r w:rsidR="00502940" w:rsidRPr="00FE1DF7">
        <w:rPr>
          <w:rFonts w:ascii="Times New Roman" w:hAnsi="Times New Roman" w:cs="Times New Roman"/>
          <w:sz w:val="28"/>
          <w:szCs w:val="28"/>
        </w:rPr>
        <w:t>4. panta 3. punktā norādītās dokumentācijas un informācijas ne</w:t>
      </w:r>
      <w:r w:rsidRPr="00FE1DF7">
        <w:rPr>
          <w:rFonts w:ascii="Times New Roman" w:hAnsi="Times New Roman" w:cs="Times New Roman"/>
          <w:sz w:val="28"/>
          <w:szCs w:val="28"/>
          <w:shd w:val="clear" w:color="auto" w:fill="FFFFFF"/>
        </w:rPr>
        <w:t>noskaidro</w:t>
      </w:r>
      <w:r w:rsidR="00502940" w:rsidRPr="00FE1DF7">
        <w:rPr>
          <w:rFonts w:ascii="Times New Roman" w:hAnsi="Times New Roman" w:cs="Times New Roman"/>
          <w:sz w:val="28"/>
          <w:szCs w:val="28"/>
          <w:shd w:val="clear" w:color="auto" w:fill="FFFFFF"/>
        </w:rPr>
        <w:t>šanu</w:t>
      </w:r>
      <w:r w:rsidRPr="00FE1DF7">
        <w:rPr>
          <w:rFonts w:ascii="Times New Roman" w:hAnsi="Times New Roman" w:cs="Times New Roman"/>
          <w:sz w:val="28"/>
          <w:szCs w:val="28"/>
          <w:shd w:val="clear" w:color="auto" w:fill="FFFFFF"/>
        </w:rPr>
        <w:t xml:space="preserve">, </w:t>
      </w:r>
      <w:r w:rsidR="00502940" w:rsidRPr="00FE1DF7">
        <w:rPr>
          <w:rFonts w:ascii="Times New Roman" w:hAnsi="Times New Roman" w:cs="Times New Roman"/>
          <w:sz w:val="28"/>
          <w:szCs w:val="28"/>
          <w:shd w:val="clear" w:color="auto" w:fill="FFFFFF"/>
        </w:rPr>
        <w:t>ne</w:t>
      </w:r>
      <w:r w:rsidRPr="00FE1DF7">
        <w:rPr>
          <w:rFonts w:ascii="Times New Roman" w:hAnsi="Times New Roman" w:cs="Times New Roman"/>
          <w:sz w:val="28"/>
          <w:szCs w:val="28"/>
          <w:shd w:val="clear" w:color="auto" w:fill="FFFFFF"/>
        </w:rPr>
        <w:t>glabā</w:t>
      </w:r>
      <w:r w:rsidR="00502940" w:rsidRPr="00FE1DF7">
        <w:rPr>
          <w:rFonts w:ascii="Times New Roman" w:hAnsi="Times New Roman" w:cs="Times New Roman"/>
          <w:sz w:val="28"/>
          <w:szCs w:val="28"/>
          <w:shd w:val="clear" w:color="auto" w:fill="FFFFFF"/>
        </w:rPr>
        <w:t>šanu un nenodošanu</w:t>
      </w:r>
      <w:r w:rsidRPr="00FE1DF7">
        <w:rPr>
          <w:rFonts w:ascii="Times New Roman" w:hAnsi="Times New Roman" w:cs="Times New Roman"/>
          <w:sz w:val="28"/>
          <w:szCs w:val="28"/>
          <w:shd w:val="clear" w:color="auto" w:fill="FFFFFF"/>
        </w:rPr>
        <w:t xml:space="preserve"> turpmākiem lietotājiem</w:t>
      </w:r>
      <w:r w:rsidR="00502940" w:rsidRPr="00FE1DF7">
        <w:rPr>
          <w:rFonts w:ascii="Times New Roman" w:hAnsi="Times New Roman" w:cs="Times New Roman"/>
          <w:sz w:val="28"/>
          <w:szCs w:val="28"/>
          <w:shd w:val="clear" w:color="auto" w:fill="FFFFFF"/>
        </w:rPr>
        <w:t xml:space="preserve">, – </w:t>
      </w:r>
    </w:p>
    <w:p w:rsidR="002A0B96" w:rsidRPr="00FE1DF7" w:rsidRDefault="00FE13A7" w:rsidP="00AC6EF1">
      <w:pPr>
        <w:spacing w:after="120" w:line="240" w:lineRule="auto"/>
        <w:ind w:firstLine="709"/>
        <w:jc w:val="both"/>
        <w:rPr>
          <w:rFonts w:ascii="Times New Roman" w:hAnsi="Times New Roman" w:cs="Times New Roman"/>
          <w:sz w:val="28"/>
          <w:szCs w:val="28"/>
        </w:rPr>
      </w:pPr>
      <w:r w:rsidRPr="00FE1DF7">
        <w:rPr>
          <w:rFonts w:ascii="Times New Roman" w:hAnsi="Times New Roman" w:cs="Times New Roman"/>
          <w:sz w:val="28"/>
          <w:szCs w:val="28"/>
        </w:rPr>
        <w:t xml:space="preserve">izsaka mutvārdu aizrādījumu vai brīdinājumu, vai uzliek naudas sodu, konfiscējot pārkāpuma priekšmetus un izdarīšanas rīkus vai bez konfiskācijas, fiziskajām personām līdz septiņsimt </w:t>
      </w:r>
      <w:proofErr w:type="spellStart"/>
      <w:r w:rsidRPr="00FE1DF7">
        <w:rPr>
          <w:rFonts w:ascii="Times New Roman" w:hAnsi="Times New Roman" w:cs="Times New Roman"/>
          <w:i/>
          <w:sz w:val="28"/>
          <w:szCs w:val="28"/>
        </w:rPr>
        <w:t>euro</w:t>
      </w:r>
      <w:proofErr w:type="spellEnd"/>
      <w:r w:rsidRPr="00FE1DF7">
        <w:rPr>
          <w:rFonts w:ascii="Times New Roman" w:hAnsi="Times New Roman" w:cs="Times New Roman"/>
          <w:sz w:val="28"/>
          <w:szCs w:val="28"/>
        </w:rPr>
        <w:t xml:space="preserve"> un juridiskajām personām līdz četrpadsmit tūkstoši </w:t>
      </w:r>
      <w:proofErr w:type="spellStart"/>
      <w:r w:rsidRPr="00FE1DF7">
        <w:rPr>
          <w:rFonts w:ascii="Times New Roman" w:hAnsi="Times New Roman" w:cs="Times New Roman"/>
          <w:i/>
          <w:sz w:val="28"/>
          <w:szCs w:val="28"/>
        </w:rPr>
        <w:t>euro</w:t>
      </w:r>
      <w:proofErr w:type="spellEnd"/>
      <w:r w:rsidRPr="00FE1DF7">
        <w:rPr>
          <w:rFonts w:ascii="Times New Roman" w:hAnsi="Times New Roman" w:cs="Times New Roman"/>
          <w:sz w:val="28"/>
          <w:szCs w:val="28"/>
        </w:rPr>
        <w:t>.</w:t>
      </w:r>
    </w:p>
    <w:p w:rsidR="005024AF" w:rsidRPr="00FE1DF7" w:rsidRDefault="0022241F" w:rsidP="00AC6EF1">
      <w:pPr>
        <w:spacing w:after="120" w:line="240" w:lineRule="auto"/>
        <w:ind w:firstLine="709"/>
        <w:jc w:val="both"/>
        <w:rPr>
          <w:rFonts w:ascii="Times New Roman" w:hAnsi="Times New Roman" w:cs="Times New Roman"/>
          <w:sz w:val="28"/>
          <w:szCs w:val="28"/>
        </w:rPr>
      </w:pPr>
      <w:r w:rsidRPr="00FE1DF7">
        <w:rPr>
          <w:rFonts w:ascii="Times New Roman" w:hAnsi="Times New Roman" w:cs="Times New Roman"/>
          <w:sz w:val="28"/>
          <w:szCs w:val="28"/>
          <w:shd w:val="clear" w:color="auto" w:fill="FFFFFF"/>
        </w:rPr>
        <w:t xml:space="preserve">Par piekļuves atļaujas vai tai līdzvērtīga dokumenta neiegūšanu un savstarpēji saskaņotu noteikumu neparedzēšanu vai izmantošanas nepārtraukšanu, ja lietotāju rīcībā esošā informācija nav pietiekama vai ir neskaidrības par piekļuves un izmantošanas likumību, </w:t>
      </w:r>
      <w:r w:rsidR="00D374A7" w:rsidRPr="00FE1DF7">
        <w:rPr>
          <w:rFonts w:ascii="Times New Roman" w:hAnsi="Times New Roman" w:cs="Times New Roman"/>
          <w:sz w:val="28"/>
          <w:szCs w:val="28"/>
          <w:shd w:val="clear" w:color="auto" w:fill="FFFFFF"/>
        </w:rPr>
        <w:t>(</w:t>
      </w:r>
      <w:r w:rsidR="00D374A7" w:rsidRPr="00FE1DF7">
        <w:rPr>
          <w:rFonts w:ascii="Times New Roman" w:hAnsi="Times New Roman" w:cs="Times New Roman"/>
          <w:sz w:val="28"/>
          <w:szCs w:val="28"/>
        </w:rPr>
        <w:t>regulas Nr. 511/2014 4. panta</w:t>
      </w:r>
      <w:r w:rsidR="00D374A7" w:rsidRPr="00FE1DF7">
        <w:rPr>
          <w:rFonts w:ascii="Times New Roman" w:hAnsi="Times New Roman" w:cs="Times New Roman"/>
          <w:sz w:val="28"/>
          <w:szCs w:val="28"/>
          <w:shd w:val="clear" w:color="auto" w:fill="FFFFFF"/>
        </w:rPr>
        <w:t xml:space="preserve"> 5. punkts) </w:t>
      </w:r>
      <w:r w:rsidRPr="00FE1DF7">
        <w:rPr>
          <w:rFonts w:ascii="Times New Roman" w:hAnsi="Times New Roman" w:cs="Times New Roman"/>
          <w:sz w:val="28"/>
          <w:szCs w:val="28"/>
          <w:shd w:val="clear" w:color="auto" w:fill="FFFFFF"/>
        </w:rPr>
        <w:t xml:space="preserve">– </w:t>
      </w:r>
    </w:p>
    <w:p w:rsidR="00693FBE" w:rsidRPr="00FE1DF7" w:rsidRDefault="00FE13A7" w:rsidP="00AC6EF1">
      <w:pPr>
        <w:spacing w:after="120" w:line="240" w:lineRule="auto"/>
        <w:ind w:firstLine="709"/>
        <w:jc w:val="both"/>
        <w:rPr>
          <w:rFonts w:ascii="Times New Roman" w:hAnsi="Times New Roman" w:cs="Times New Roman"/>
          <w:sz w:val="28"/>
          <w:szCs w:val="28"/>
        </w:rPr>
      </w:pPr>
      <w:r w:rsidRPr="00FE1DF7">
        <w:rPr>
          <w:rFonts w:ascii="Times New Roman" w:hAnsi="Times New Roman" w:cs="Times New Roman"/>
          <w:sz w:val="28"/>
          <w:szCs w:val="28"/>
        </w:rPr>
        <w:t xml:space="preserve">izsaka mutvārdu aizrādījumu vai brīdinājumu, vai uzliek naudas sodu, konfiscējot pārkāpuma priekšmetus un izdarīšanas rīkus vai bez konfiskācijas, fiziskajām personām līdz septiņsimt </w:t>
      </w:r>
      <w:proofErr w:type="spellStart"/>
      <w:r w:rsidRPr="00FE1DF7">
        <w:rPr>
          <w:rFonts w:ascii="Times New Roman" w:hAnsi="Times New Roman" w:cs="Times New Roman"/>
          <w:i/>
          <w:sz w:val="28"/>
          <w:szCs w:val="28"/>
        </w:rPr>
        <w:t>euro</w:t>
      </w:r>
      <w:proofErr w:type="spellEnd"/>
      <w:r w:rsidRPr="00FE1DF7">
        <w:rPr>
          <w:rFonts w:ascii="Times New Roman" w:hAnsi="Times New Roman" w:cs="Times New Roman"/>
          <w:sz w:val="28"/>
          <w:szCs w:val="28"/>
        </w:rPr>
        <w:t xml:space="preserve"> un juridiskajām personām līdz četrpadsmit tūkstoši </w:t>
      </w:r>
      <w:proofErr w:type="spellStart"/>
      <w:r w:rsidRPr="00FE1DF7">
        <w:rPr>
          <w:rFonts w:ascii="Times New Roman" w:hAnsi="Times New Roman" w:cs="Times New Roman"/>
          <w:i/>
          <w:sz w:val="28"/>
          <w:szCs w:val="28"/>
        </w:rPr>
        <w:t>euro</w:t>
      </w:r>
      <w:proofErr w:type="spellEnd"/>
      <w:r w:rsidRPr="00FE1DF7">
        <w:rPr>
          <w:rFonts w:ascii="Times New Roman" w:hAnsi="Times New Roman" w:cs="Times New Roman"/>
          <w:sz w:val="28"/>
          <w:szCs w:val="28"/>
        </w:rPr>
        <w:t>.</w:t>
      </w:r>
    </w:p>
    <w:p w:rsidR="0022241F" w:rsidRPr="00FE1DF7" w:rsidRDefault="00FA5700" w:rsidP="00AC6EF1">
      <w:pPr>
        <w:spacing w:after="120" w:line="240" w:lineRule="auto"/>
        <w:ind w:firstLine="709"/>
        <w:jc w:val="both"/>
        <w:rPr>
          <w:rFonts w:ascii="Times New Roman" w:hAnsi="Times New Roman" w:cs="Times New Roman"/>
          <w:sz w:val="28"/>
          <w:szCs w:val="28"/>
        </w:rPr>
      </w:pPr>
      <w:r w:rsidRPr="00FE1DF7">
        <w:rPr>
          <w:rFonts w:ascii="Times New Roman" w:hAnsi="Times New Roman" w:cs="Times New Roman"/>
          <w:sz w:val="28"/>
          <w:szCs w:val="28"/>
          <w:shd w:val="clear" w:color="auto" w:fill="FFFFFF"/>
        </w:rPr>
        <w:t xml:space="preserve">Par ar piekļuvi un ieguvumu sadali saistītās informācijas neglabāšanu divdesmit gadus pēc izmantošanas laikposma beigām, </w:t>
      </w:r>
      <w:r w:rsidR="00D374A7" w:rsidRPr="00FE1DF7">
        <w:rPr>
          <w:rFonts w:ascii="Times New Roman" w:hAnsi="Times New Roman" w:cs="Times New Roman"/>
          <w:sz w:val="28"/>
          <w:szCs w:val="28"/>
          <w:shd w:val="clear" w:color="auto" w:fill="FFFFFF"/>
        </w:rPr>
        <w:t>(</w:t>
      </w:r>
      <w:r w:rsidR="00D374A7" w:rsidRPr="00FE1DF7">
        <w:rPr>
          <w:rFonts w:ascii="Times New Roman" w:hAnsi="Times New Roman" w:cs="Times New Roman"/>
          <w:sz w:val="28"/>
          <w:szCs w:val="28"/>
        </w:rPr>
        <w:t>regulas Nr. 511/2014 4. panta</w:t>
      </w:r>
      <w:r w:rsidR="00D374A7" w:rsidRPr="00FE1DF7">
        <w:rPr>
          <w:rFonts w:ascii="Times New Roman" w:hAnsi="Times New Roman" w:cs="Times New Roman"/>
          <w:sz w:val="28"/>
          <w:szCs w:val="28"/>
          <w:shd w:val="clear" w:color="auto" w:fill="FFFFFF"/>
        </w:rPr>
        <w:t xml:space="preserve"> 6. punkts) </w:t>
      </w:r>
      <w:r w:rsidRPr="00FE1DF7">
        <w:rPr>
          <w:rFonts w:ascii="Times New Roman" w:hAnsi="Times New Roman" w:cs="Times New Roman"/>
          <w:sz w:val="28"/>
          <w:szCs w:val="28"/>
          <w:shd w:val="clear" w:color="auto" w:fill="FFFFFF"/>
        </w:rPr>
        <w:t>–</w:t>
      </w:r>
    </w:p>
    <w:p w:rsidR="0022241F" w:rsidRPr="00FE1DF7" w:rsidRDefault="00FE13A7" w:rsidP="00AC6EF1">
      <w:pPr>
        <w:spacing w:after="120" w:line="240" w:lineRule="auto"/>
        <w:ind w:firstLine="709"/>
        <w:jc w:val="both"/>
        <w:rPr>
          <w:rFonts w:ascii="Times New Roman" w:hAnsi="Times New Roman" w:cs="Times New Roman"/>
          <w:sz w:val="28"/>
          <w:szCs w:val="28"/>
        </w:rPr>
      </w:pPr>
      <w:r w:rsidRPr="00FE1DF7">
        <w:rPr>
          <w:rFonts w:ascii="Times New Roman" w:hAnsi="Times New Roman" w:cs="Times New Roman"/>
          <w:sz w:val="28"/>
          <w:szCs w:val="28"/>
        </w:rPr>
        <w:t xml:space="preserve">izsaka mutvārdu aizrādījumu vai brīdinājumu, vai uzliek naudas sodu, konfiscējot pārkāpuma priekšmetus un izdarīšanas rīkus vai bez konfiskācijas, fiziskajām personām līdz septiņsimt </w:t>
      </w:r>
      <w:proofErr w:type="spellStart"/>
      <w:r w:rsidRPr="00FE1DF7">
        <w:rPr>
          <w:rFonts w:ascii="Times New Roman" w:hAnsi="Times New Roman" w:cs="Times New Roman"/>
          <w:i/>
          <w:sz w:val="28"/>
          <w:szCs w:val="28"/>
        </w:rPr>
        <w:t>euro</w:t>
      </w:r>
      <w:proofErr w:type="spellEnd"/>
      <w:r w:rsidRPr="00FE1DF7">
        <w:rPr>
          <w:rFonts w:ascii="Times New Roman" w:hAnsi="Times New Roman" w:cs="Times New Roman"/>
          <w:sz w:val="28"/>
          <w:szCs w:val="28"/>
        </w:rPr>
        <w:t xml:space="preserve"> un juridiskajām personām līdz četrpadsmit tūkstoši </w:t>
      </w:r>
      <w:proofErr w:type="spellStart"/>
      <w:r w:rsidRPr="00FE1DF7">
        <w:rPr>
          <w:rFonts w:ascii="Times New Roman" w:hAnsi="Times New Roman" w:cs="Times New Roman"/>
          <w:i/>
          <w:sz w:val="28"/>
          <w:szCs w:val="28"/>
        </w:rPr>
        <w:t>euro</w:t>
      </w:r>
      <w:proofErr w:type="spellEnd"/>
      <w:r w:rsidRPr="00FE1DF7">
        <w:rPr>
          <w:rFonts w:ascii="Times New Roman" w:hAnsi="Times New Roman" w:cs="Times New Roman"/>
          <w:sz w:val="28"/>
          <w:szCs w:val="28"/>
        </w:rPr>
        <w:t>.</w:t>
      </w:r>
    </w:p>
    <w:p w:rsidR="005B1186" w:rsidRPr="00FE1DF7" w:rsidRDefault="00DF34DA" w:rsidP="00AC6EF1">
      <w:pPr>
        <w:spacing w:after="120" w:line="240" w:lineRule="auto"/>
        <w:ind w:firstLine="709"/>
        <w:jc w:val="both"/>
        <w:rPr>
          <w:rFonts w:ascii="Times New Roman" w:hAnsi="Times New Roman" w:cs="Times New Roman"/>
          <w:sz w:val="28"/>
          <w:szCs w:val="28"/>
          <w:shd w:val="clear" w:color="auto" w:fill="FFFFFF"/>
        </w:rPr>
      </w:pPr>
      <w:r w:rsidRPr="00FE1DF7">
        <w:rPr>
          <w:rFonts w:ascii="Times New Roman" w:hAnsi="Times New Roman" w:cs="Times New Roman"/>
          <w:sz w:val="28"/>
          <w:szCs w:val="28"/>
          <w:shd w:val="clear" w:color="auto" w:fill="FFFFFF"/>
        </w:rPr>
        <w:t xml:space="preserve">Par </w:t>
      </w:r>
      <w:r w:rsidRPr="00FE1DF7">
        <w:rPr>
          <w:rFonts w:ascii="Times New Roman" w:hAnsi="Times New Roman" w:cs="Times New Roman"/>
          <w:sz w:val="28"/>
          <w:szCs w:val="28"/>
        </w:rPr>
        <w:t>regulas Nr. 511/2014 4. panta</w:t>
      </w:r>
      <w:r w:rsidRPr="00FE1DF7">
        <w:rPr>
          <w:rFonts w:ascii="Times New Roman" w:hAnsi="Times New Roman" w:cs="Times New Roman"/>
          <w:sz w:val="28"/>
          <w:szCs w:val="28"/>
          <w:shd w:val="clear" w:color="auto" w:fill="FFFFFF"/>
        </w:rPr>
        <w:t xml:space="preserve"> </w:t>
      </w:r>
      <w:r w:rsidR="005B1186" w:rsidRPr="00FE1DF7">
        <w:rPr>
          <w:rFonts w:ascii="Times New Roman" w:hAnsi="Times New Roman" w:cs="Times New Roman"/>
          <w:sz w:val="28"/>
          <w:szCs w:val="28"/>
          <w:shd w:val="clear" w:color="auto" w:fill="FFFFFF"/>
        </w:rPr>
        <w:t>8. punktā noteiktā neievērošanu,</w:t>
      </w:r>
      <w:r w:rsidRPr="00FE1DF7">
        <w:rPr>
          <w:rFonts w:ascii="Times New Roman" w:hAnsi="Times New Roman" w:cs="Times New Roman"/>
          <w:sz w:val="28"/>
          <w:szCs w:val="28"/>
          <w:shd w:val="clear" w:color="auto" w:fill="FFFFFF"/>
        </w:rPr>
        <w:t xml:space="preserve"> iegūst</w:t>
      </w:r>
      <w:r w:rsidR="005B1186" w:rsidRPr="00FE1DF7">
        <w:rPr>
          <w:rFonts w:ascii="Times New Roman" w:hAnsi="Times New Roman" w:cs="Times New Roman"/>
          <w:sz w:val="28"/>
          <w:szCs w:val="28"/>
          <w:shd w:val="clear" w:color="auto" w:fill="FFFFFF"/>
        </w:rPr>
        <w:t>ot</w:t>
      </w:r>
      <w:r w:rsidRPr="00FE1DF7">
        <w:rPr>
          <w:rFonts w:ascii="Times New Roman" w:hAnsi="Times New Roman" w:cs="Times New Roman"/>
          <w:sz w:val="28"/>
          <w:szCs w:val="28"/>
          <w:shd w:val="clear" w:color="auto" w:fill="FFFFFF"/>
        </w:rPr>
        <w:t xml:space="preserve"> ģenētisko</w:t>
      </w:r>
      <w:r w:rsidR="005B1186" w:rsidRPr="00FE1DF7">
        <w:rPr>
          <w:rFonts w:ascii="Times New Roman" w:hAnsi="Times New Roman" w:cs="Times New Roman"/>
          <w:sz w:val="28"/>
          <w:szCs w:val="28"/>
          <w:shd w:val="clear" w:color="auto" w:fill="FFFFFF"/>
        </w:rPr>
        <w:t>s</w:t>
      </w:r>
      <w:r w:rsidRPr="00FE1DF7">
        <w:rPr>
          <w:rFonts w:ascii="Times New Roman" w:hAnsi="Times New Roman" w:cs="Times New Roman"/>
          <w:sz w:val="28"/>
          <w:szCs w:val="28"/>
          <w:shd w:val="clear" w:color="auto" w:fill="FFFFFF"/>
        </w:rPr>
        <w:t xml:space="preserve"> resursu</w:t>
      </w:r>
      <w:r w:rsidR="005B1186" w:rsidRPr="00FE1DF7">
        <w:rPr>
          <w:rFonts w:ascii="Times New Roman" w:hAnsi="Times New Roman" w:cs="Times New Roman"/>
          <w:sz w:val="28"/>
          <w:szCs w:val="28"/>
          <w:shd w:val="clear" w:color="auto" w:fill="FFFFFF"/>
        </w:rPr>
        <w:t>s</w:t>
      </w:r>
      <w:r w:rsidRPr="00FE1DF7">
        <w:rPr>
          <w:rFonts w:ascii="Times New Roman" w:hAnsi="Times New Roman" w:cs="Times New Roman"/>
          <w:sz w:val="28"/>
          <w:szCs w:val="28"/>
          <w:shd w:val="clear" w:color="auto" w:fill="FFFFFF"/>
        </w:rPr>
        <w:t>, ko uzskata par tādu patogēnu, kurš izraisa vai var izraisīt esošu vai nenovēršamu starptautisku sabiedrības veselības ārkārtas situāciju</w:t>
      </w:r>
      <w:r w:rsidR="005B1186" w:rsidRPr="00FE1DF7">
        <w:rPr>
          <w:rFonts w:ascii="Times New Roman" w:hAnsi="Times New Roman" w:cs="Times New Roman"/>
          <w:sz w:val="28"/>
          <w:szCs w:val="28"/>
          <w:shd w:val="clear" w:color="auto" w:fill="FFFFFF"/>
        </w:rPr>
        <w:t>, –</w:t>
      </w:r>
    </w:p>
    <w:p w:rsidR="00FA5700" w:rsidRPr="00FE1DF7" w:rsidRDefault="00857955" w:rsidP="00AC6EF1">
      <w:pPr>
        <w:spacing w:after="120" w:line="240" w:lineRule="auto"/>
        <w:ind w:firstLine="709"/>
        <w:jc w:val="both"/>
        <w:rPr>
          <w:rFonts w:ascii="Times New Roman" w:hAnsi="Times New Roman" w:cs="Times New Roman"/>
          <w:sz w:val="28"/>
          <w:szCs w:val="28"/>
        </w:rPr>
      </w:pPr>
      <w:r w:rsidRPr="00FE1DF7">
        <w:rPr>
          <w:rFonts w:ascii="Times New Roman" w:hAnsi="Times New Roman" w:cs="Times New Roman"/>
          <w:sz w:val="28"/>
          <w:szCs w:val="28"/>
        </w:rPr>
        <w:t xml:space="preserve">izsaka mutvārdu aizrādījumu vai brīdinājumu, vai uzliek naudas sodu, konfiscējot pārkāpuma priekšmetus un izdarīšanas rīkus vai bez konfiskācijas, fiziskajām personām līdz septiņsimt </w:t>
      </w:r>
      <w:proofErr w:type="spellStart"/>
      <w:r w:rsidRPr="00FE1DF7">
        <w:rPr>
          <w:rFonts w:ascii="Times New Roman" w:hAnsi="Times New Roman" w:cs="Times New Roman"/>
          <w:i/>
          <w:sz w:val="28"/>
          <w:szCs w:val="28"/>
        </w:rPr>
        <w:t>euro</w:t>
      </w:r>
      <w:proofErr w:type="spellEnd"/>
      <w:r w:rsidRPr="00FE1DF7">
        <w:rPr>
          <w:rFonts w:ascii="Times New Roman" w:hAnsi="Times New Roman" w:cs="Times New Roman"/>
          <w:sz w:val="28"/>
          <w:szCs w:val="28"/>
        </w:rPr>
        <w:t xml:space="preserve"> un juridiskajām personām līdz četrpadsmit tūkstoši </w:t>
      </w:r>
      <w:proofErr w:type="spellStart"/>
      <w:r w:rsidRPr="00FE1DF7">
        <w:rPr>
          <w:rFonts w:ascii="Times New Roman" w:hAnsi="Times New Roman" w:cs="Times New Roman"/>
          <w:i/>
          <w:sz w:val="28"/>
          <w:szCs w:val="28"/>
        </w:rPr>
        <w:t>euro</w:t>
      </w:r>
      <w:proofErr w:type="spellEnd"/>
      <w:r w:rsidRPr="00FE1DF7">
        <w:rPr>
          <w:rFonts w:ascii="Times New Roman" w:hAnsi="Times New Roman" w:cs="Times New Roman"/>
          <w:sz w:val="28"/>
          <w:szCs w:val="28"/>
        </w:rPr>
        <w:t>.</w:t>
      </w:r>
    </w:p>
    <w:p w:rsidR="00575B5E" w:rsidRPr="00FE1DF7" w:rsidRDefault="00575B5E" w:rsidP="00AC6EF1">
      <w:pPr>
        <w:spacing w:after="120" w:line="240" w:lineRule="auto"/>
        <w:ind w:firstLine="709"/>
        <w:jc w:val="both"/>
        <w:rPr>
          <w:rFonts w:ascii="Times New Roman" w:hAnsi="Times New Roman" w:cs="Times New Roman"/>
          <w:sz w:val="28"/>
          <w:szCs w:val="28"/>
        </w:rPr>
      </w:pPr>
      <w:r w:rsidRPr="00FE1DF7">
        <w:rPr>
          <w:rFonts w:ascii="Times New Roman" w:hAnsi="Times New Roman" w:cs="Times New Roman"/>
          <w:sz w:val="28"/>
          <w:szCs w:val="28"/>
        </w:rPr>
        <w:t xml:space="preserve">Par pienācīgas pārbaudes nedeklarēšanu, saņemot finansējumu pētniecībai, kura ietver ģenētisko resursu un ar ģenētiskajiem resursiem saistīto tradicionālo zināšanu izmantošanu </w:t>
      </w:r>
      <w:r w:rsidRPr="00FE1DF7">
        <w:rPr>
          <w:rFonts w:ascii="Times New Roman" w:hAnsi="Times New Roman" w:cs="Times New Roman"/>
          <w:sz w:val="28"/>
          <w:szCs w:val="28"/>
          <w:shd w:val="clear" w:color="auto" w:fill="FFFFFF"/>
        </w:rPr>
        <w:t>(</w:t>
      </w:r>
      <w:r w:rsidRPr="00FE1DF7">
        <w:rPr>
          <w:rFonts w:ascii="Times New Roman" w:hAnsi="Times New Roman" w:cs="Times New Roman"/>
          <w:sz w:val="28"/>
          <w:szCs w:val="28"/>
        </w:rPr>
        <w:t>regulas Nr. 511/2014 7. panta</w:t>
      </w:r>
      <w:r w:rsidRPr="00FE1DF7">
        <w:rPr>
          <w:rFonts w:ascii="Times New Roman" w:hAnsi="Times New Roman" w:cs="Times New Roman"/>
          <w:sz w:val="28"/>
          <w:szCs w:val="28"/>
          <w:shd w:val="clear" w:color="auto" w:fill="FFFFFF"/>
        </w:rPr>
        <w:t xml:space="preserve"> 1. punkts), – </w:t>
      </w:r>
    </w:p>
    <w:p w:rsidR="00575B5E" w:rsidRPr="00FE1DF7" w:rsidRDefault="00857955" w:rsidP="00AC6EF1">
      <w:pPr>
        <w:pStyle w:val="Normal1"/>
        <w:spacing w:before="0" w:beforeAutospacing="0" w:after="120" w:afterAutospacing="0"/>
        <w:ind w:firstLine="709"/>
        <w:jc w:val="both"/>
        <w:rPr>
          <w:sz w:val="28"/>
          <w:szCs w:val="28"/>
        </w:rPr>
      </w:pPr>
      <w:r w:rsidRPr="00FE1DF7">
        <w:rPr>
          <w:sz w:val="28"/>
          <w:szCs w:val="28"/>
        </w:rPr>
        <w:t xml:space="preserve">izsaka mutvārdu aizrādījumu vai brīdinājumu, vai uzliek naudas sodu, konfiscējot pārkāpuma priekšmetus un izdarīšanas rīkus vai bez konfiskācijas, fiziskajām personām līdz septiņsimt </w:t>
      </w:r>
      <w:proofErr w:type="spellStart"/>
      <w:r w:rsidRPr="00FE1DF7">
        <w:rPr>
          <w:i/>
          <w:sz w:val="28"/>
          <w:szCs w:val="28"/>
        </w:rPr>
        <w:t>euro</w:t>
      </w:r>
      <w:proofErr w:type="spellEnd"/>
      <w:r w:rsidRPr="00FE1DF7">
        <w:rPr>
          <w:sz w:val="28"/>
          <w:szCs w:val="28"/>
        </w:rPr>
        <w:t xml:space="preserve"> un juridiskajām personām līdz četrpadsmit tūkstoši </w:t>
      </w:r>
      <w:proofErr w:type="spellStart"/>
      <w:r w:rsidRPr="00FE1DF7">
        <w:rPr>
          <w:i/>
          <w:sz w:val="28"/>
          <w:szCs w:val="28"/>
        </w:rPr>
        <w:t>euro</w:t>
      </w:r>
      <w:proofErr w:type="spellEnd"/>
      <w:r w:rsidRPr="00FE1DF7">
        <w:rPr>
          <w:sz w:val="28"/>
          <w:szCs w:val="28"/>
        </w:rPr>
        <w:t>.</w:t>
      </w:r>
    </w:p>
    <w:p w:rsidR="00DB61E8" w:rsidRPr="00FE1DF7" w:rsidRDefault="00575B5E" w:rsidP="000E28B1">
      <w:pPr>
        <w:spacing w:after="120" w:line="240" w:lineRule="auto"/>
        <w:ind w:firstLine="709"/>
        <w:jc w:val="both"/>
        <w:rPr>
          <w:rFonts w:ascii="Times New Roman" w:eastAsia="Times New Roman" w:hAnsi="Times New Roman" w:cs="Times New Roman"/>
          <w:sz w:val="28"/>
          <w:szCs w:val="28"/>
          <w:lang w:eastAsia="lv-LV"/>
        </w:rPr>
      </w:pPr>
      <w:r w:rsidRPr="00FE1DF7">
        <w:rPr>
          <w:rFonts w:ascii="Times New Roman" w:hAnsi="Times New Roman" w:cs="Times New Roman"/>
          <w:sz w:val="28"/>
          <w:szCs w:val="28"/>
          <w:shd w:val="clear" w:color="auto" w:fill="FFFFFF"/>
        </w:rPr>
        <w:t xml:space="preserve">Par </w:t>
      </w:r>
      <w:r w:rsidR="00857955" w:rsidRPr="00FE1DF7">
        <w:rPr>
          <w:rFonts w:ascii="Times New Roman" w:hAnsi="Times New Roman" w:cs="Times New Roman"/>
          <w:sz w:val="28"/>
          <w:szCs w:val="28"/>
        </w:rPr>
        <w:t>regulas Nr. 511/2014 7</w:t>
      </w:r>
      <w:r w:rsidRPr="00FE1DF7">
        <w:rPr>
          <w:rFonts w:ascii="Times New Roman" w:hAnsi="Times New Roman" w:cs="Times New Roman"/>
          <w:sz w:val="28"/>
          <w:szCs w:val="28"/>
        </w:rPr>
        <w:t>. pant</w:t>
      </w:r>
      <w:r w:rsidR="00857955" w:rsidRPr="00FE1DF7">
        <w:rPr>
          <w:rFonts w:ascii="Times New Roman" w:hAnsi="Times New Roman" w:cs="Times New Roman"/>
          <w:sz w:val="28"/>
          <w:szCs w:val="28"/>
        </w:rPr>
        <w:t>a 2. punktā</w:t>
      </w:r>
      <w:r w:rsidR="00EC1E69" w:rsidRPr="00FE1DF7">
        <w:rPr>
          <w:rFonts w:ascii="Times New Roman" w:hAnsi="Times New Roman" w:cs="Times New Roman"/>
          <w:sz w:val="28"/>
          <w:szCs w:val="28"/>
        </w:rPr>
        <w:t xml:space="preserve"> minēto pienākumu izpildīšanas nedeklarēšanu un informācijas neiesniegšanu kompetentajai iestādei</w:t>
      </w:r>
      <w:r w:rsidRPr="00FE1DF7">
        <w:rPr>
          <w:rFonts w:ascii="Times New Roman" w:hAnsi="Times New Roman" w:cs="Times New Roman"/>
          <w:sz w:val="28"/>
          <w:szCs w:val="28"/>
          <w:shd w:val="clear" w:color="auto" w:fill="FFFFFF"/>
        </w:rPr>
        <w:t xml:space="preserve"> </w:t>
      </w:r>
      <w:r w:rsidR="00EC1E69" w:rsidRPr="00FE1DF7">
        <w:rPr>
          <w:rFonts w:ascii="Times New Roman" w:eastAsia="Times New Roman" w:hAnsi="Times New Roman" w:cs="Times New Roman"/>
          <w:sz w:val="28"/>
          <w:szCs w:val="28"/>
          <w:lang w:eastAsia="lv-LV"/>
        </w:rPr>
        <w:t>t</w:t>
      </w:r>
      <w:r w:rsidR="005B6BFB" w:rsidRPr="00FE1DF7">
        <w:rPr>
          <w:rFonts w:ascii="Times New Roman" w:eastAsia="Times New Roman" w:hAnsi="Times New Roman" w:cs="Times New Roman"/>
          <w:sz w:val="28"/>
          <w:szCs w:val="28"/>
          <w:lang w:eastAsia="lv-LV"/>
        </w:rPr>
        <w:t>āda produkta galīgās izstrādes posmā, kurš izstrādāts, izmantojot ģenētiskos resursus vai ar šādiem resursiem sai</w:t>
      </w:r>
      <w:r w:rsidR="000E28B1" w:rsidRPr="00FE1DF7">
        <w:rPr>
          <w:rFonts w:ascii="Times New Roman" w:eastAsia="Times New Roman" w:hAnsi="Times New Roman" w:cs="Times New Roman"/>
          <w:sz w:val="28"/>
          <w:szCs w:val="28"/>
          <w:lang w:eastAsia="lv-LV"/>
        </w:rPr>
        <w:t>stītās tradicionālās zināšanas</w:t>
      </w:r>
      <w:r w:rsidR="00DB61E8" w:rsidRPr="00FE1DF7">
        <w:rPr>
          <w:rFonts w:ascii="Times New Roman" w:eastAsia="Times New Roman" w:hAnsi="Times New Roman" w:cs="Times New Roman"/>
          <w:sz w:val="28"/>
          <w:szCs w:val="28"/>
          <w:lang w:eastAsia="lv-LV"/>
        </w:rPr>
        <w:t xml:space="preserve">, – </w:t>
      </w:r>
    </w:p>
    <w:p w:rsidR="00FA5700" w:rsidRPr="00FE1DF7" w:rsidRDefault="00857955" w:rsidP="00AC6EF1">
      <w:pPr>
        <w:spacing w:after="120" w:line="240" w:lineRule="auto"/>
        <w:ind w:firstLine="709"/>
        <w:jc w:val="both"/>
        <w:rPr>
          <w:rFonts w:ascii="Times New Roman" w:hAnsi="Times New Roman" w:cs="Times New Roman"/>
          <w:sz w:val="28"/>
          <w:szCs w:val="28"/>
        </w:rPr>
      </w:pPr>
      <w:r w:rsidRPr="00FE1DF7">
        <w:rPr>
          <w:rFonts w:ascii="Times New Roman" w:hAnsi="Times New Roman" w:cs="Times New Roman"/>
          <w:sz w:val="28"/>
          <w:szCs w:val="28"/>
        </w:rPr>
        <w:t xml:space="preserve">izsaka mutvārdu aizrādījumu vai brīdinājumu, vai uzliek naudas sodu, konfiscējot pārkāpuma priekšmetus un izdarīšanas rīkus vai bez konfiskācijas, fiziskajām personām līdz septiņsimt </w:t>
      </w:r>
      <w:proofErr w:type="spellStart"/>
      <w:r w:rsidRPr="00FE1DF7">
        <w:rPr>
          <w:rFonts w:ascii="Times New Roman" w:hAnsi="Times New Roman" w:cs="Times New Roman"/>
          <w:i/>
          <w:sz w:val="28"/>
          <w:szCs w:val="28"/>
        </w:rPr>
        <w:t>euro</w:t>
      </w:r>
      <w:proofErr w:type="spellEnd"/>
      <w:r w:rsidRPr="00FE1DF7">
        <w:rPr>
          <w:rFonts w:ascii="Times New Roman" w:hAnsi="Times New Roman" w:cs="Times New Roman"/>
          <w:sz w:val="28"/>
          <w:szCs w:val="28"/>
        </w:rPr>
        <w:t xml:space="preserve"> un juridiskajām personām līdz četrpadsmit tūkstoši </w:t>
      </w:r>
      <w:proofErr w:type="spellStart"/>
      <w:r w:rsidRPr="00FE1DF7">
        <w:rPr>
          <w:rFonts w:ascii="Times New Roman" w:hAnsi="Times New Roman" w:cs="Times New Roman"/>
          <w:i/>
          <w:sz w:val="28"/>
          <w:szCs w:val="28"/>
        </w:rPr>
        <w:t>euro</w:t>
      </w:r>
      <w:proofErr w:type="spellEnd"/>
      <w:r w:rsidRPr="00FE1DF7">
        <w:rPr>
          <w:rFonts w:ascii="Times New Roman" w:hAnsi="Times New Roman" w:cs="Times New Roman"/>
          <w:sz w:val="28"/>
          <w:szCs w:val="28"/>
        </w:rPr>
        <w:t>.</w:t>
      </w:r>
      <w:r w:rsidR="00AC6EF1" w:rsidRPr="00FE1DF7">
        <w:rPr>
          <w:rFonts w:ascii="Times New Roman" w:hAnsi="Times New Roman" w:cs="Times New Roman"/>
          <w:sz w:val="28"/>
          <w:szCs w:val="28"/>
        </w:rPr>
        <w:t>”</w:t>
      </w:r>
    </w:p>
    <w:p w:rsidR="00DB61E8" w:rsidRPr="00FE1DF7" w:rsidRDefault="00DB61E8">
      <w:pPr>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96"/>
        <w:gridCol w:w="2965"/>
      </w:tblGrid>
      <w:tr w:rsidR="00FE1DF7" w:rsidRPr="00FE1DF7" w:rsidTr="00AC6EF1">
        <w:trPr>
          <w:trHeight w:val="409"/>
        </w:trPr>
        <w:tc>
          <w:tcPr>
            <w:tcW w:w="6096" w:type="dxa"/>
          </w:tcPr>
          <w:p w:rsidR="00693FBE" w:rsidRPr="00FE1DF7" w:rsidRDefault="00693FBE" w:rsidP="002829C7">
            <w:pPr>
              <w:rPr>
                <w:rFonts w:ascii="Times New Roman" w:hAnsi="Times New Roman" w:cs="Times New Roman"/>
                <w:sz w:val="28"/>
                <w:szCs w:val="28"/>
              </w:rPr>
            </w:pPr>
            <w:r w:rsidRPr="00FE1DF7">
              <w:rPr>
                <w:rFonts w:ascii="Times New Roman" w:hAnsi="Times New Roman" w:cs="Times New Roman"/>
                <w:sz w:val="28"/>
                <w:szCs w:val="28"/>
              </w:rPr>
              <w:t>Vides aizsardzības un reģionālās a</w:t>
            </w:r>
            <w:r w:rsidR="00AC6EF1" w:rsidRPr="00FE1DF7">
              <w:rPr>
                <w:rFonts w:ascii="Times New Roman" w:hAnsi="Times New Roman" w:cs="Times New Roman"/>
                <w:sz w:val="28"/>
                <w:szCs w:val="28"/>
              </w:rPr>
              <w:t>ttīstības ministrs</w:t>
            </w:r>
          </w:p>
        </w:tc>
        <w:tc>
          <w:tcPr>
            <w:tcW w:w="2965" w:type="dxa"/>
          </w:tcPr>
          <w:p w:rsidR="00693FBE" w:rsidRPr="00FE1DF7" w:rsidRDefault="00693FBE" w:rsidP="00AC6EF1">
            <w:pPr>
              <w:tabs>
                <w:tab w:val="left" w:pos="6237"/>
              </w:tabs>
              <w:jc w:val="right"/>
              <w:rPr>
                <w:rFonts w:ascii="Times New Roman" w:hAnsi="Times New Roman" w:cs="Times New Roman"/>
                <w:sz w:val="28"/>
                <w:szCs w:val="28"/>
              </w:rPr>
            </w:pPr>
            <w:r w:rsidRPr="00FE1DF7">
              <w:rPr>
                <w:rFonts w:ascii="Times New Roman" w:hAnsi="Times New Roman" w:cs="Times New Roman"/>
                <w:sz w:val="28"/>
                <w:szCs w:val="28"/>
              </w:rPr>
              <w:t>Kaspars Gerhards</w:t>
            </w:r>
          </w:p>
        </w:tc>
      </w:tr>
    </w:tbl>
    <w:p w:rsidR="00D24FD6" w:rsidRPr="00D374A7" w:rsidRDefault="00D24FD6">
      <w:pPr>
        <w:rPr>
          <w:rFonts w:ascii="Times New Roman" w:hAnsi="Times New Roman" w:cs="Times New Roman"/>
          <w:sz w:val="28"/>
          <w:szCs w:val="28"/>
        </w:rPr>
      </w:pPr>
    </w:p>
    <w:sectPr w:rsidR="00D24FD6" w:rsidRPr="00D374A7" w:rsidSect="00F56B1E">
      <w:headerReference w:type="default" r:id="rId6"/>
      <w:footerReference w:type="default" r:id="rId7"/>
      <w:footerReference w:type="first" r:id="rId8"/>
      <w:pgSz w:w="11906" w:h="16838"/>
      <w:pgMar w:top="1418"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EC1" w:rsidRDefault="00F43EC1" w:rsidP="00F56B1E">
      <w:pPr>
        <w:spacing w:after="0" w:line="240" w:lineRule="auto"/>
      </w:pPr>
      <w:r>
        <w:separator/>
      </w:r>
    </w:p>
  </w:endnote>
  <w:endnote w:type="continuationSeparator" w:id="0">
    <w:p w:rsidR="00F43EC1" w:rsidRDefault="00F43EC1" w:rsidP="00F56B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DF7" w:rsidRPr="00FE1DF7" w:rsidRDefault="00FE1DF7">
    <w:pPr>
      <w:pStyle w:val="Footer"/>
      <w:rPr>
        <w:rFonts w:ascii="Times New Roman" w:hAnsi="Times New Roman" w:cs="Times New Roman"/>
        <w:sz w:val="24"/>
        <w:szCs w:val="24"/>
      </w:rPr>
    </w:pPr>
    <w:r w:rsidRPr="00FE1DF7">
      <w:rPr>
        <w:rFonts w:ascii="Times New Roman" w:hAnsi="Times New Roman" w:cs="Times New Roman"/>
        <w:sz w:val="24"/>
        <w:szCs w:val="24"/>
      </w:rPr>
      <w:t>VARAMLik_0207</w:t>
    </w:r>
    <w:r w:rsidR="00D87316">
      <w:rPr>
        <w:rFonts w:ascii="Times New Roman" w:hAnsi="Times New Roman" w:cs="Times New Roman"/>
        <w:sz w:val="24"/>
        <w:szCs w:val="24"/>
      </w:rPr>
      <w:t>20</w:t>
    </w:r>
    <w:r w:rsidRPr="00FE1DF7">
      <w:rPr>
        <w:rFonts w:ascii="Times New Roman" w:hAnsi="Times New Roman" w:cs="Times New Roman"/>
        <w:sz w:val="24"/>
        <w:szCs w:val="24"/>
      </w:rPr>
      <w:t>18_LAPK</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B1E" w:rsidRPr="00FE1DF7" w:rsidRDefault="00FE1DF7" w:rsidP="00FE1DF7">
    <w:pPr>
      <w:pStyle w:val="Footer"/>
      <w:rPr>
        <w:rFonts w:ascii="Times New Roman" w:hAnsi="Times New Roman" w:cs="Times New Roman"/>
        <w:sz w:val="24"/>
        <w:szCs w:val="24"/>
      </w:rPr>
    </w:pPr>
    <w:r w:rsidRPr="00FE1DF7">
      <w:rPr>
        <w:rFonts w:ascii="Times New Roman" w:hAnsi="Times New Roman" w:cs="Times New Roman"/>
        <w:sz w:val="24"/>
        <w:szCs w:val="24"/>
      </w:rPr>
      <w:t>VARAMLik_0207</w:t>
    </w:r>
    <w:r w:rsidR="00D87316">
      <w:rPr>
        <w:rFonts w:ascii="Times New Roman" w:hAnsi="Times New Roman" w:cs="Times New Roman"/>
        <w:sz w:val="24"/>
        <w:szCs w:val="24"/>
      </w:rPr>
      <w:t>20</w:t>
    </w:r>
    <w:r w:rsidRPr="00FE1DF7">
      <w:rPr>
        <w:rFonts w:ascii="Times New Roman" w:hAnsi="Times New Roman" w:cs="Times New Roman"/>
        <w:sz w:val="24"/>
        <w:szCs w:val="24"/>
      </w:rPr>
      <w:t>18_LAPK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EC1" w:rsidRDefault="00F43EC1" w:rsidP="00F56B1E">
      <w:pPr>
        <w:spacing w:after="0" w:line="240" w:lineRule="auto"/>
      </w:pPr>
      <w:r>
        <w:separator/>
      </w:r>
    </w:p>
  </w:footnote>
  <w:footnote w:type="continuationSeparator" w:id="0">
    <w:p w:rsidR="00F43EC1" w:rsidRDefault="00F43EC1" w:rsidP="00F56B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4507014"/>
      <w:docPartObj>
        <w:docPartGallery w:val="Page Numbers (Top of Page)"/>
        <w:docPartUnique/>
      </w:docPartObj>
    </w:sdtPr>
    <w:sdtEndPr>
      <w:rPr>
        <w:rFonts w:ascii="Times New Roman" w:hAnsi="Times New Roman" w:cs="Times New Roman"/>
        <w:noProof/>
        <w:sz w:val="24"/>
        <w:szCs w:val="24"/>
      </w:rPr>
    </w:sdtEndPr>
    <w:sdtContent>
      <w:p w:rsidR="00F56B1E" w:rsidRPr="00FE1DF7" w:rsidRDefault="00AE22B4">
        <w:pPr>
          <w:pStyle w:val="Header"/>
          <w:jc w:val="center"/>
          <w:rPr>
            <w:rFonts w:ascii="Times New Roman" w:hAnsi="Times New Roman" w:cs="Times New Roman"/>
            <w:sz w:val="24"/>
            <w:szCs w:val="24"/>
          </w:rPr>
        </w:pPr>
        <w:r w:rsidRPr="00FE1DF7">
          <w:rPr>
            <w:rFonts w:ascii="Times New Roman" w:hAnsi="Times New Roman" w:cs="Times New Roman"/>
            <w:sz w:val="24"/>
            <w:szCs w:val="24"/>
          </w:rPr>
          <w:fldChar w:fldCharType="begin"/>
        </w:r>
        <w:r w:rsidR="00F56B1E" w:rsidRPr="00FE1DF7">
          <w:rPr>
            <w:rFonts w:ascii="Times New Roman" w:hAnsi="Times New Roman" w:cs="Times New Roman"/>
            <w:sz w:val="24"/>
            <w:szCs w:val="24"/>
          </w:rPr>
          <w:instrText xml:space="preserve"> PAGE   \* MERGEFORMAT </w:instrText>
        </w:r>
        <w:r w:rsidRPr="00FE1DF7">
          <w:rPr>
            <w:rFonts w:ascii="Times New Roman" w:hAnsi="Times New Roman" w:cs="Times New Roman"/>
            <w:sz w:val="24"/>
            <w:szCs w:val="24"/>
          </w:rPr>
          <w:fldChar w:fldCharType="separate"/>
        </w:r>
        <w:r w:rsidR="003D05FF">
          <w:rPr>
            <w:rFonts w:ascii="Times New Roman" w:hAnsi="Times New Roman" w:cs="Times New Roman"/>
            <w:noProof/>
            <w:sz w:val="24"/>
            <w:szCs w:val="24"/>
          </w:rPr>
          <w:t>2</w:t>
        </w:r>
        <w:r w:rsidRPr="00FE1DF7">
          <w:rPr>
            <w:rFonts w:ascii="Times New Roman" w:hAnsi="Times New Roman" w:cs="Times New Roman"/>
            <w:noProof/>
            <w:sz w:val="24"/>
            <w:szCs w:val="24"/>
          </w:rPr>
          <w:fldChar w:fldCharType="end"/>
        </w:r>
      </w:p>
    </w:sdtContent>
  </w:sdt>
  <w:p w:rsidR="00F56B1E" w:rsidRDefault="00F56B1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31A9E"/>
    <w:rsid w:val="000327A1"/>
    <w:rsid w:val="00084342"/>
    <w:rsid w:val="000A3F71"/>
    <w:rsid w:val="000B213D"/>
    <w:rsid w:val="000D5260"/>
    <w:rsid w:val="000E28B1"/>
    <w:rsid w:val="00125D3A"/>
    <w:rsid w:val="001317AB"/>
    <w:rsid w:val="0018316F"/>
    <w:rsid w:val="00196312"/>
    <w:rsid w:val="00221BC9"/>
    <w:rsid w:val="0022241F"/>
    <w:rsid w:val="00233FEF"/>
    <w:rsid w:val="00265CD2"/>
    <w:rsid w:val="002A0B96"/>
    <w:rsid w:val="00334219"/>
    <w:rsid w:val="00392D9C"/>
    <w:rsid w:val="003A6B62"/>
    <w:rsid w:val="003D05FF"/>
    <w:rsid w:val="003D44E6"/>
    <w:rsid w:val="003E1201"/>
    <w:rsid w:val="00440207"/>
    <w:rsid w:val="004B477C"/>
    <w:rsid w:val="004E5954"/>
    <w:rsid w:val="005024AF"/>
    <w:rsid w:val="00502940"/>
    <w:rsid w:val="0050372F"/>
    <w:rsid w:val="00530387"/>
    <w:rsid w:val="00573913"/>
    <w:rsid w:val="00575B5E"/>
    <w:rsid w:val="00587755"/>
    <w:rsid w:val="005B1186"/>
    <w:rsid w:val="005B6BFB"/>
    <w:rsid w:val="005E6EFC"/>
    <w:rsid w:val="006725EA"/>
    <w:rsid w:val="00693FBE"/>
    <w:rsid w:val="006940CF"/>
    <w:rsid w:val="006D060A"/>
    <w:rsid w:val="006D1C7A"/>
    <w:rsid w:val="006E4C4F"/>
    <w:rsid w:val="00785D6D"/>
    <w:rsid w:val="007C22A5"/>
    <w:rsid w:val="007E3BAB"/>
    <w:rsid w:val="007F3DCD"/>
    <w:rsid w:val="00852FF1"/>
    <w:rsid w:val="00857955"/>
    <w:rsid w:val="00925311"/>
    <w:rsid w:val="00937C26"/>
    <w:rsid w:val="009A4829"/>
    <w:rsid w:val="00A24173"/>
    <w:rsid w:val="00A31979"/>
    <w:rsid w:val="00A8285B"/>
    <w:rsid w:val="00AC6EF1"/>
    <w:rsid w:val="00AE22B4"/>
    <w:rsid w:val="00AE694E"/>
    <w:rsid w:val="00B26ED6"/>
    <w:rsid w:val="00B31FED"/>
    <w:rsid w:val="00B603CC"/>
    <w:rsid w:val="00BE3A73"/>
    <w:rsid w:val="00C2576F"/>
    <w:rsid w:val="00C906F4"/>
    <w:rsid w:val="00D16784"/>
    <w:rsid w:val="00D24FD6"/>
    <w:rsid w:val="00D31A9E"/>
    <w:rsid w:val="00D374A7"/>
    <w:rsid w:val="00D4540E"/>
    <w:rsid w:val="00D87316"/>
    <w:rsid w:val="00D93342"/>
    <w:rsid w:val="00DB61E8"/>
    <w:rsid w:val="00DF34DA"/>
    <w:rsid w:val="00E10ABA"/>
    <w:rsid w:val="00E41536"/>
    <w:rsid w:val="00E62120"/>
    <w:rsid w:val="00E73916"/>
    <w:rsid w:val="00EC1E69"/>
    <w:rsid w:val="00EE121C"/>
    <w:rsid w:val="00EE1BA3"/>
    <w:rsid w:val="00F33F2D"/>
    <w:rsid w:val="00F40901"/>
    <w:rsid w:val="00F43EC1"/>
    <w:rsid w:val="00F55DDD"/>
    <w:rsid w:val="00F56B1E"/>
    <w:rsid w:val="00FA5700"/>
    <w:rsid w:val="00FE13A7"/>
    <w:rsid w:val="00FE1DF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2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5024A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5024A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5024AF"/>
    <w:rPr>
      <w:color w:val="0000FF"/>
      <w:u w:val="single"/>
    </w:rPr>
  </w:style>
  <w:style w:type="character" w:customStyle="1" w:styleId="fontsize2">
    <w:name w:val="fontsize2"/>
    <w:basedOn w:val="DefaultParagraphFont"/>
    <w:rsid w:val="00B31FED"/>
  </w:style>
  <w:style w:type="paragraph" w:customStyle="1" w:styleId="tvhtml">
    <w:name w:val="tv_html"/>
    <w:basedOn w:val="Normal"/>
    <w:rsid w:val="00D24FD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233FEF"/>
    <w:rPr>
      <w:color w:val="954F72" w:themeColor="followedHyperlink"/>
      <w:u w:val="single"/>
    </w:rPr>
  </w:style>
  <w:style w:type="table" w:styleId="TableGrid">
    <w:name w:val="Table Grid"/>
    <w:basedOn w:val="TableNormal"/>
    <w:uiPriority w:val="39"/>
    <w:rsid w:val="00693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D5260"/>
    <w:rPr>
      <w:sz w:val="16"/>
      <w:szCs w:val="16"/>
    </w:rPr>
  </w:style>
  <w:style w:type="paragraph" w:styleId="CommentText">
    <w:name w:val="annotation text"/>
    <w:basedOn w:val="Normal"/>
    <w:link w:val="CommentTextChar"/>
    <w:uiPriority w:val="99"/>
    <w:semiHidden/>
    <w:unhideWhenUsed/>
    <w:rsid w:val="000D5260"/>
    <w:pPr>
      <w:spacing w:line="240" w:lineRule="auto"/>
    </w:pPr>
    <w:rPr>
      <w:sz w:val="20"/>
      <w:szCs w:val="20"/>
    </w:rPr>
  </w:style>
  <w:style w:type="character" w:customStyle="1" w:styleId="CommentTextChar">
    <w:name w:val="Comment Text Char"/>
    <w:basedOn w:val="DefaultParagraphFont"/>
    <w:link w:val="CommentText"/>
    <w:uiPriority w:val="99"/>
    <w:semiHidden/>
    <w:rsid w:val="000D5260"/>
    <w:rPr>
      <w:sz w:val="20"/>
      <w:szCs w:val="20"/>
    </w:rPr>
  </w:style>
  <w:style w:type="paragraph" w:styleId="CommentSubject">
    <w:name w:val="annotation subject"/>
    <w:basedOn w:val="CommentText"/>
    <w:next w:val="CommentText"/>
    <w:link w:val="CommentSubjectChar"/>
    <w:uiPriority w:val="99"/>
    <w:semiHidden/>
    <w:unhideWhenUsed/>
    <w:rsid w:val="000D5260"/>
    <w:rPr>
      <w:b/>
      <w:bCs/>
    </w:rPr>
  </w:style>
  <w:style w:type="character" w:customStyle="1" w:styleId="CommentSubjectChar">
    <w:name w:val="Comment Subject Char"/>
    <w:basedOn w:val="CommentTextChar"/>
    <w:link w:val="CommentSubject"/>
    <w:uiPriority w:val="99"/>
    <w:semiHidden/>
    <w:rsid w:val="000D5260"/>
    <w:rPr>
      <w:b/>
      <w:bCs/>
      <w:sz w:val="20"/>
      <w:szCs w:val="20"/>
    </w:rPr>
  </w:style>
  <w:style w:type="paragraph" w:styleId="BalloonText">
    <w:name w:val="Balloon Text"/>
    <w:basedOn w:val="Normal"/>
    <w:link w:val="BalloonTextChar"/>
    <w:uiPriority w:val="99"/>
    <w:semiHidden/>
    <w:unhideWhenUsed/>
    <w:rsid w:val="000D5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260"/>
    <w:rPr>
      <w:rFonts w:ascii="Segoe UI" w:hAnsi="Segoe UI" w:cs="Segoe UI"/>
      <w:sz w:val="18"/>
      <w:szCs w:val="18"/>
    </w:rPr>
  </w:style>
  <w:style w:type="paragraph" w:customStyle="1" w:styleId="Normal1">
    <w:name w:val="Normal1"/>
    <w:basedOn w:val="Normal"/>
    <w:rsid w:val="00D4540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F56B1E"/>
    <w:pPr>
      <w:tabs>
        <w:tab w:val="center" w:pos="4153"/>
        <w:tab w:val="right" w:pos="8306"/>
      </w:tabs>
      <w:spacing w:after="0" w:line="240" w:lineRule="auto"/>
    </w:pPr>
  </w:style>
  <w:style w:type="character" w:customStyle="1" w:styleId="HeaderChar">
    <w:name w:val="Header Char"/>
    <w:basedOn w:val="DefaultParagraphFont"/>
    <w:link w:val="Header"/>
    <w:uiPriority w:val="99"/>
    <w:rsid w:val="00F56B1E"/>
  </w:style>
  <w:style w:type="paragraph" w:styleId="Footer">
    <w:name w:val="footer"/>
    <w:basedOn w:val="Normal"/>
    <w:link w:val="FooterChar"/>
    <w:uiPriority w:val="99"/>
    <w:unhideWhenUsed/>
    <w:rsid w:val="00F56B1E"/>
    <w:pPr>
      <w:tabs>
        <w:tab w:val="center" w:pos="4153"/>
        <w:tab w:val="right" w:pos="8306"/>
      </w:tabs>
      <w:spacing w:after="0" w:line="240" w:lineRule="auto"/>
    </w:pPr>
  </w:style>
  <w:style w:type="character" w:customStyle="1" w:styleId="FooterChar">
    <w:name w:val="Footer Char"/>
    <w:basedOn w:val="DefaultParagraphFont"/>
    <w:link w:val="Footer"/>
    <w:uiPriority w:val="99"/>
    <w:rsid w:val="00F56B1E"/>
  </w:style>
</w:styles>
</file>

<file path=word/webSettings.xml><?xml version="1.0" encoding="utf-8"?>
<w:webSettings xmlns:r="http://schemas.openxmlformats.org/officeDocument/2006/relationships" xmlns:w="http://schemas.openxmlformats.org/wordprocessingml/2006/main">
  <w:divs>
    <w:div w:id="525489250">
      <w:bodyDiv w:val="1"/>
      <w:marLeft w:val="0"/>
      <w:marRight w:val="0"/>
      <w:marTop w:val="0"/>
      <w:marBottom w:val="0"/>
      <w:divBdr>
        <w:top w:val="none" w:sz="0" w:space="0" w:color="auto"/>
        <w:left w:val="none" w:sz="0" w:space="0" w:color="auto"/>
        <w:bottom w:val="none" w:sz="0" w:space="0" w:color="auto"/>
        <w:right w:val="none" w:sz="0" w:space="0" w:color="auto"/>
      </w:divBdr>
    </w:div>
    <w:div w:id="647629033">
      <w:bodyDiv w:val="1"/>
      <w:marLeft w:val="0"/>
      <w:marRight w:val="0"/>
      <w:marTop w:val="0"/>
      <w:marBottom w:val="0"/>
      <w:divBdr>
        <w:top w:val="none" w:sz="0" w:space="0" w:color="auto"/>
        <w:left w:val="none" w:sz="0" w:space="0" w:color="auto"/>
        <w:bottom w:val="none" w:sz="0" w:space="0" w:color="auto"/>
        <w:right w:val="none" w:sz="0" w:space="0" w:color="auto"/>
      </w:divBdr>
    </w:div>
    <w:div w:id="739064220">
      <w:bodyDiv w:val="1"/>
      <w:marLeft w:val="0"/>
      <w:marRight w:val="0"/>
      <w:marTop w:val="0"/>
      <w:marBottom w:val="0"/>
      <w:divBdr>
        <w:top w:val="none" w:sz="0" w:space="0" w:color="auto"/>
        <w:left w:val="none" w:sz="0" w:space="0" w:color="auto"/>
        <w:bottom w:val="none" w:sz="0" w:space="0" w:color="auto"/>
        <w:right w:val="none" w:sz="0" w:space="0" w:color="auto"/>
      </w:divBdr>
    </w:div>
    <w:div w:id="796290980">
      <w:bodyDiv w:val="1"/>
      <w:marLeft w:val="0"/>
      <w:marRight w:val="0"/>
      <w:marTop w:val="0"/>
      <w:marBottom w:val="0"/>
      <w:divBdr>
        <w:top w:val="none" w:sz="0" w:space="0" w:color="auto"/>
        <w:left w:val="none" w:sz="0" w:space="0" w:color="auto"/>
        <w:bottom w:val="none" w:sz="0" w:space="0" w:color="auto"/>
        <w:right w:val="none" w:sz="0" w:space="0" w:color="auto"/>
      </w:divBdr>
    </w:div>
    <w:div w:id="1155226100">
      <w:bodyDiv w:val="1"/>
      <w:marLeft w:val="0"/>
      <w:marRight w:val="0"/>
      <w:marTop w:val="0"/>
      <w:marBottom w:val="0"/>
      <w:divBdr>
        <w:top w:val="none" w:sz="0" w:space="0" w:color="auto"/>
        <w:left w:val="none" w:sz="0" w:space="0" w:color="auto"/>
        <w:bottom w:val="none" w:sz="0" w:space="0" w:color="auto"/>
        <w:right w:val="none" w:sz="0" w:space="0" w:color="auto"/>
      </w:divBdr>
      <w:divsChild>
        <w:div w:id="375816149">
          <w:marLeft w:val="0"/>
          <w:marRight w:val="0"/>
          <w:marTop w:val="0"/>
          <w:marBottom w:val="0"/>
          <w:divBdr>
            <w:top w:val="none" w:sz="0" w:space="0" w:color="auto"/>
            <w:left w:val="none" w:sz="0" w:space="0" w:color="auto"/>
            <w:bottom w:val="none" w:sz="0" w:space="0" w:color="auto"/>
            <w:right w:val="none" w:sz="0" w:space="0" w:color="auto"/>
          </w:divBdr>
        </w:div>
        <w:div w:id="1030691747">
          <w:marLeft w:val="0"/>
          <w:marRight w:val="0"/>
          <w:marTop w:val="0"/>
          <w:marBottom w:val="0"/>
          <w:divBdr>
            <w:top w:val="none" w:sz="0" w:space="0" w:color="auto"/>
            <w:left w:val="none" w:sz="0" w:space="0" w:color="auto"/>
            <w:bottom w:val="none" w:sz="0" w:space="0" w:color="auto"/>
            <w:right w:val="none" w:sz="0" w:space="0" w:color="auto"/>
          </w:divBdr>
        </w:div>
      </w:divsChild>
    </w:div>
    <w:div w:id="1325082732">
      <w:bodyDiv w:val="1"/>
      <w:marLeft w:val="0"/>
      <w:marRight w:val="0"/>
      <w:marTop w:val="0"/>
      <w:marBottom w:val="0"/>
      <w:divBdr>
        <w:top w:val="none" w:sz="0" w:space="0" w:color="auto"/>
        <w:left w:val="none" w:sz="0" w:space="0" w:color="auto"/>
        <w:bottom w:val="none" w:sz="0" w:space="0" w:color="auto"/>
        <w:right w:val="none" w:sz="0" w:space="0" w:color="auto"/>
      </w:divBdr>
    </w:div>
    <w:div w:id="1628660779">
      <w:bodyDiv w:val="1"/>
      <w:marLeft w:val="0"/>
      <w:marRight w:val="0"/>
      <w:marTop w:val="0"/>
      <w:marBottom w:val="0"/>
      <w:divBdr>
        <w:top w:val="none" w:sz="0" w:space="0" w:color="auto"/>
        <w:left w:val="none" w:sz="0" w:space="0" w:color="auto"/>
        <w:bottom w:val="none" w:sz="0" w:space="0" w:color="auto"/>
        <w:right w:val="none" w:sz="0" w:space="0" w:color="auto"/>
      </w:divBdr>
    </w:div>
    <w:div w:id="1766607142">
      <w:bodyDiv w:val="1"/>
      <w:marLeft w:val="0"/>
      <w:marRight w:val="0"/>
      <w:marTop w:val="0"/>
      <w:marBottom w:val="0"/>
      <w:divBdr>
        <w:top w:val="none" w:sz="0" w:space="0" w:color="auto"/>
        <w:left w:val="none" w:sz="0" w:space="0" w:color="auto"/>
        <w:bottom w:val="none" w:sz="0" w:space="0" w:color="auto"/>
        <w:right w:val="none" w:sz="0" w:space="0" w:color="auto"/>
      </w:divBdr>
    </w:div>
    <w:div w:id="199178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2989</Words>
  <Characters>1704</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grozījums Latvijas Administratīvo pārkāpumu kodeksā</dc:title>
  <dc:subject>likumprojekts</dc:subject>
  <dc:creator>Valdimārts Šļaukstiņš</dc:creator>
  <dc:description>67026523, valdimarts.slaukstins@varam.gov.lv</dc:description>
  <cp:lastModifiedBy>Webmaster</cp:lastModifiedBy>
  <cp:revision>1</cp:revision>
  <dcterms:created xsi:type="dcterms:W3CDTF">2018-07-19T08:13:00Z</dcterms:created>
  <dcterms:modified xsi:type="dcterms:W3CDTF">2018-07-19T08:13:00Z</dcterms:modified>
</cp:coreProperties>
</file>