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5A9" w:rsidRPr="00952B44" w:rsidRDefault="000C3F77" w:rsidP="00DA596D">
      <w:pPr>
        <w:spacing w:after="0" w:line="240" w:lineRule="auto"/>
        <w:ind w:firstLine="300"/>
        <w:jc w:val="center"/>
        <w:rPr>
          <w:rFonts w:ascii="Times New Roman" w:eastAsia="Times New Roman" w:hAnsi="Times New Roman" w:cs="Times New Roman"/>
          <w:b/>
          <w:bCs/>
          <w:sz w:val="24"/>
          <w:szCs w:val="24"/>
        </w:rPr>
      </w:pPr>
      <w:r w:rsidRPr="00952B44">
        <w:rPr>
          <w:rFonts w:ascii="Times New Roman" w:eastAsia="Times New Roman" w:hAnsi="Times New Roman" w:cs="Times New Roman"/>
          <w:b/>
          <w:bCs/>
          <w:sz w:val="24"/>
          <w:szCs w:val="24"/>
        </w:rPr>
        <w:t>Likumprojekta „</w:t>
      </w:r>
      <w:r w:rsidR="00E82244" w:rsidRPr="00E82244">
        <w:rPr>
          <w:rFonts w:ascii="Times New Roman" w:eastAsia="Times New Roman" w:hAnsi="Times New Roman" w:cs="Times New Roman"/>
          <w:b/>
          <w:bCs/>
          <w:sz w:val="24"/>
          <w:szCs w:val="24"/>
        </w:rPr>
        <w:t>Grozījumi likumā „Par pašvaldībām”</w:t>
      </w:r>
      <w:r w:rsidRPr="00952B44">
        <w:rPr>
          <w:rFonts w:ascii="Times New Roman" w:eastAsia="Times New Roman" w:hAnsi="Times New Roman" w:cs="Times New Roman"/>
          <w:b/>
          <w:bCs/>
          <w:sz w:val="24"/>
          <w:szCs w:val="24"/>
        </w:rPr>
        <w:t>”</w:t>
      </w:r>
      <w:r w:rsidR="004D15A9" w:rsidRPr="00952B44">
        <w:rPr>
          <w:rFonts w:ascii="Times New Roman" w:eastAsia="Times New Roman" w:hAnsi="Times New Roman" w:cs="Times New Roman"/>
          <w:b/>
          <w:bCs/>
          <w:sz w:val="24"/>
          <w:szCs w:val="24"/>
        </w:rPr>
        <w:t xml:space="preserve"> sākotnējās ietekmes novērtējuma ziņojums (anotācija)</w:t>
      </w:r>
    </w:p>
    <w:p w:rsidR="00DA596D" w:rsidRPr="00952B44" w:rsidRDefault="00DA596D" w:rsidP="00DA596D">
      <w:pPr>
        <w:spacing w:after="0" w:line="240" w:lineRule="auto"/>
        <w:ind w:firstLine="300"/>
        <w:jc w:val="center"/>
        <w:rPr>
          <w:rFonts w:ascii="Times New Roman" w:eastAsia="Times New Roman" w:hAnsi="Times New Roman" w:cs="Times New Roman"/>
          <w:b/>
          <w:bCs/>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71"/>
        <w:gridCol w:w="2918"/>
        <w:gridCol w:w="6025"/>
      </w:tblGrid>
      <w:tr w:rsidR="004D15A9" w:rsidRPr="00952B44" w:rsidTr="00F64476">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4D15A9" w:rsidRPr="00952B44" w:rsidRDefault="004D15A9" w:rsidP="00DA596D">
            <w:pPr>
              <w:spacing w:after="0" w:line="240" w:lineRule="auto"/>
              <w:ind w:firstLine="300"/>
              <w:jc w:val="center"/>
              <w:rPr>
                <w:rFonts w:ascii="Times New Roman" w:eastAsia="Times New Roman" w:hAnsi="Times New Roman" w:cs="Times New Roman"/>
                <w:b/>
                <w:bCs/>
                <w:sz w:val="24"/>
                <w:szCs w:val="24"/>
              </w:rPr>
            </w:pPr>
            <w:r w:rsidRPr="00952B44">
              <w:rPr>
                <w:rFonts w:ascii="Times New Roman" w:eastAsia="Times New Roman" w:hAnsi="Times New Roman" w:cs="Times New Roman"/>
                <w:b/>
                <w:bCs/>
                <w:sz w:val="24"/>
                <w:szCs w:val="24"/>
              </w:rPr>
              <w:t>I. Tiesību akta projekta izstrādes nepieciešamība</w:t>
            </w:r>
          </w:p>
        </w:tc>
      </w:tr>
      <w:tr w:rsidR="004D15A9" w:rsidRPr="00952B44" w:rsidTr="00F64476">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1.</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1A2948" w:rsidRPr="00952B44" w:rsidRDefault="009F44C9" w:rsidP="009F44C9">
            <w:pPr>
              <w:spacing w:after="0" w:line="240" w:lineRule="auto"/>
              <w:jc w:val="both"/>
              <w:rPr>
                <w:rFonts w:ascii="Times New Roman" w:eastAsia="Times New Roman" w:hAnsi="Times New Roman" w:cs="Times New Roman"/>
                <w:sz w:val="24"/>
                <w:szCs w:val="24"/>
              </w:rPr>
            </w:pPr>
            <w:r w:rsidRPr="009F44C9">
              <w:rPr>
                <w:rFonts w:ascii="Times New Roman" w:eastAsia="Times New Roman" w:hAnsi="Times New Roman" w:cs="Times New Roman"/>
                <w:sz w:val="24"/>
                <w:szCs w:val="24"/>
              </w:rPr>
              <w:t xml:space="preserve">Likumprojekts „Grozījumi likumā „Par pašvaldībām”” (turpmāk – Likumprojekts) izstrādāts, pamatojoties uz 2014.gada 23.septembra sēdes </w:t>
            </w:r>
            <w:proofErr w:type="spellStart"/>
            <w:r w:rsidRPr="009F44C9">
              <w:rPr>
                <w:rFonts w:ascii="Times New Roman" w:eastAsia="Times New Roman" w:hAnsi="Times New Roman" w:cs="Times New Roman"/>
                <w:sz w:val="24"/>
                <w:szCs w:val="24"/>
              </w:rPr>
              <w:t>protokollēmuma</w:t>
            </w:r>
            <w:proofErr w:type="spellEnd"/>
            <w:r w:rsidRPr="009F44C9">
              <w:rPr>
                <w:rFonts w:ascii="Times New Roman" w:eastAsia="Times New Roman" w:hAnsi="Times New Roman" w:cs="Times New Roman"/>
                <w:sz w:val="24"/>
                <w:szCs w:val="24"/>
              </w:rPr>
              <w:t xml:space="preserve"> (prot. </w:t>
            </w:r>
            <w:r>
              <w:rPr>
                <w:rFonts w:ascii="Times New Roman" w:eastAsia="Times New Roman" w:hAnsi="Times New Roman" w:cs="Times New Roman"/>
                <w:sz w:val="24"/>
                <w:szCs w:val="24"/>
              </w:rPr>
              <w:t>Nr.50 45.§) „Informatīvais ziņojums „</w:t>
            </w:r>
            <w:r w:rsidRPr="009F44C9">
              <w:rPr>
                <w:rFonts w:ascii="Times New Roman" w:eastAsia="Times New Roman" w:hAnsi="Times New Roman" w:cs="Times New Roman"/>
                <w:sz w:val="24"/>
                <w:szCs w:val="24"/>
              </w:rPr>
              <w:t>Par iedzīvotāju ienākuma nodokļa ieskaitīšanas</w:t>
            </w:r>
            <w:r>
              <w:rPr>
                <w:rFonts w:ascii="Times New Roman" w:eastAsia="Times New Roman" w:hAnsi="Times New Roman" w:cs="Times New Roman"/>
                <w:sz w:val="24"/>
                <w:szCs w:val="24"/>
              </w:rPr>
              <w:t xml:space="preserve"> kārtības maiņu”” 5.punktā doto uzdevumu</w:t>
            </w:r>
            <w:r w:rsidR="008652EC">
              <w:rPr>
                <w:rFonts w:ascii="Times New Roman" w:eastAsia="Times New Roman" w:hAnsi="Times New Roman" w:cs="Times New Roman"/>
                <w:sz w:val="24"/>
                <w:szCs w:val="24"/>
              </w:rPr>
              <w:t xml:space="preserve"> (2015.gada 14.aprīļa sēdes </w:t>
            </w:r>
            <w:proofErr w:type="spellStart"/>
            <w:r w:rsidR="008652EC" w:rsidRPr="009F44C9">
              <w:rPr>
                <w:rFonts w:ascii="Times New Roman" w:eastAsia="Times New Roman" w:hAnsi="Times New Roman" w:cs="Times New Roman"/>
                <w:sz w:val="24"/>
                <w:szCs w:val="24"/>
              </w:rPr>
              <w:t>protokollēmuma</w:t>
            </w:r>
            <w:proofErr w:type="spellEnd"/>
            <w:r w:rsidR="008652EC">
              <w:rPr>
                <w:rFonts w:ascii="Times New Roman" w:eastAsia="Times New Roman" w:hAnsi="Times New Roman" w:cs="Times New Roman"/>
                <w:sz w:val="24"/>
                <w:szCs w:val="24"/>
              </w:rPr>
              <w:t xml:space="preserve"> </w:t>
            </w:r>
            <w:r w:rsidR="008652EC" w:rsidRPr="009F44C9">
              <w:rPr>
                <w:rFonts w:ascii="Times New Roman" w:eastAsia="Times New Roman" w:hAnsi="Times New Roman" w:cs="Times New Roman"/>
                <w:sz w:val="24"/>
                <w:szCs w:val="24"/>
              </w:rPr>
              <w:t xml:space="preserve">(prot. </w:t>
            </w:r>
            <w:r w:rsidR="008652EC">
              <w:rPr>
                <w:rFonts w:ascii="Times New Roman" w:eastAsia="Times New Roman" w:hAnsi="Times New Roman" w:cs="Times New Roman"/>
                <w:sz w:val="24"/>
                <w:szCs w:val="24"/>
              </w:rPr>
              <w:t>Nr.20 45.§) „</w:t>
            </w:r>
            <w:r w:rsidR="008652EC" w:rsidRPr="008652EC">
              <w:rPr>
                <w:rFonts w:ascii="Times New Roman" w:eastAsia="Times New Roman" w:hAnsi="Times New Roman" w:cs="Times New Roman"/>
                <w:sz w:val="24"/>
                <w:szCs w:val="24"/>
              </w:rPr>
              <w:t>Informatīvais ziņojums "Par Ministru kabineta 2014.gada 23.septem</w:t>
            </w:r>
            <w:r w:rsidR="008652EC">
              <w:rPr>
                <w:rFonts w:ascii="Times New Roman" w:eastAsia="Times New Roman" w:hAnsi="Times New Roman" w:cs="Times New Roman"/>
                <w:sz w:val="24"/>
                <w:szCs w:val="24"/>
              </w:rPr>
              <w:t>bra sēdes protokola Nr.50 45.§ „</w:t>
            </w:r>
            <w:r w:rsidR="008652EC" w:rsidRPr="008652EC">
              <w:rPr>
                <w:rFonts w:ascii="Times New Roman" w:eastAsia="Times New Roman" w:hAnsi="Times New Roman" w:cs="Times New Roman"/>
                <w:sz w:val="24"/>
                <w:szCs w:val="24"/>
              </w:rPr>
              <w:t>Informatīvais z</w:t>
            </w:r>
            <w:r w:rsidR="008652EC">
              <w:rPr>
                <w:rFonts w:ascii="Times New Roman" w:eastAsia="Times New Roman" w:hAnsi="Times New Roman" w:cs="Times New Roman"/>
                <w:sz w:val="24"/>
                <w:szCs w:val="24"/>
              </w:rPr>
              <w:t>iņojums „</w:t>
            </w:r>
            <w:r w:rsidR="008652EC" w:rsidRPr="008652EC">
              <w:rPr>
                <w:rFonts w:ascii="Times New Roman" w:eastAsia="Times New Roman" w:hAnsi="Times New Roman" w:cs="Times New Roman"/>
                <w:sz w:val="24"/>
                <w:szCs w:val="24"/>
              </w:rPr>
              <w:t>Par iedzīvotāju ienākuma nodokļ</w:t>
            </w:r>
            <w:r w:rsidR="008652EC">
              <w:rPr>
                <w:rFonts w:ascii="Times New Roman" w:eastAsia="Times New Roman" w:hAnsi="Times New Roman" w:cs="Times New Roman"/>
                <w:sz w:val="24"/>
                <w:szCs w:val="24"/>
              </w:rPr>
              <w:t>a ieskaitīšanas kārtības maiņu””</w:t>
            </w:r>
            <w:r w:rsidR="008652EC" w:rsidRPr="008652EC">
              <w:rPr>
                <w:rFonts w:ascii="Times New Roman" w:eastAsia="Times New Roman" w:hAnsi="Times New Roman" w:cs="Times New Roman"/>
                <w:sz w:val="24"/>
                <w:szCs w:val="24"/>
              </w:rPr>
              <w:t xml:space="preserve"> 5.punk</w:t>
            </w:r>
            <w:r w:rsidR="008652EC">
              <w:rPr>
                <w:rFonts w:ascii="Times New Roman" w:eastAsia="Times New Roman" w:hAnsi="Times New Roman" w:cs="Times New Roman"/>
                <w:sz w:val="24"/>
                <w:szCs w:val="24"/>
              </w:rPr>
              <w:t>tā dotā uzdevuma izpildes gaitu”” 2.punkta redakcijā)</w:t>
            </w:r>
            <w:r w:rsidR="00B912AC">
              <w:rPr>
                <w:rFonts w:ascii="Times New Roman" w:eastAsia="Times New Roman" w:hAnsi="Times New Roman" w:cs="Times New Roman"/>
                <w:sz w:val="24"/>
                <w:szCs w:val="24"/>
              </w:rPr>
              <w:t xml:space="preserve">, kurš paredz </w:t>
            </w:r>
            <w:r w:rsidR="00B912AC" w:rsidRPr="00B912AC">
              <w:rPr>
                <w:rFonts w:ascii="Times New Roman" w:eastAsia="Times New Roman" w:hAnsi="Times New Roman" w:cs="Times New Roman"/>
                <w:sz w:val="24"/>
                <w:szCs w:val="24"/>
              </w:rPr>
              <w:t>Vides aizsardzības un reģionālās attīstības ministrijai</w:t>
            </w:r>
            <w:r w:rsidR="00B912AC">
              <w:rPr>
                <w:rFonts w:ascii="Times New Roman" w:eastAsia="Times New Roman" w:hAnsi="Times New Roman" w:cs="Times New Roman"/>
                <w:sz w:val="24"/>
                <w:szCs w:val="24"/>
              </w:rPr>
              <w:t xml:space="preserve"> (turpmāk – VARAM)</w:t>
            </w:r>
            <w:r w:rsidR="00B912AC" w:rsidRPr="00B912AC">
              <w:rPr>
                <w:rFonts w:ascii="Times New Roman" w:eastAsia="Times New Roman" w:hAnsi="Times New Roman" w:cs="Times New Roman"/>
                <w:sz w:val="24"/>
                <w:szCs w:val="24"/>
              </w:rPr>
              <w:t xml:space="preserve"> pēc iespējas ātri, bet ne vēlāk kā līdz 2016.gada 5.jūnijam iesniegt Ministru kabinetā atbilstošus priekšlikumus grozījumiem likumā "Par pašvaldībām", paredzot Ministru kabinetam noteikt datu apjomu, ko pašvaldības iegūst no valsts informācijas sistēmām pašvaldību funkciju nodrošin</w:t>
            </w:r>
            <w:r w:rsidR="00B912AC">
              <w:rPr>
                <w:rFonts w:ascii="Times New Roman" w:eastAsia="Times New Roman" w:hAnsi="Times New Roman" w:cs="Times New Roman"/>
                <w:sz w:val="24"/>
                <w:szCs w:val="24"/>
              </w:rPr>
              <w:t>āšanai, un datu aprites kārtību</w:t>
            </w:r>
            <w:r w:rsidRPr="009F44C9">
              <w:rPr>
                <w:rFonts w:ascii="Times New Roman" w:eastAsia="Times New Roman" w:hAnsi="Times New Roman" w:cs="Times New Roman"/>
                <w:sz w:val="24"/>
                <w:szCs w:val="24"/>
              </w:rPr>
              <w:t>.</w:t>
            </w:r>
          </w:p>
        </w:tc>
      </w:tr>
      <w:tr w:rsidR="004D15A9" w:rsidRPr="00952B44" w:rsidTr="002A66E1">
        <w:trPr>
          <w:trHeight w:val="119"/>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2.</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82390A" w:rsidRDefault="0082390A" w:rsidP="0051173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Likumprojekts ir izstrādāts, lai</w:t>
            </w:r>
          </w:p>
          <w:p w:rsidR="0082390A" w:rsidRDefault="004948D4" w:rsidP="004948D4">
            <w:pPr>
              <w:pStyle w:val="ListParagraph"/>
              <w:numPr>
                <w:ilvl w:val="0"/>
                <w:numId w:val="4"/>
              </w:numPr>
              <w:spacing w:after="0" w:line="240" w:lineRule="auto"/>
              <w:ind w:left="13" w:firstLine="347"/>
              <w:jc w:val="both"/>
              <w:rPr>
                <w:rFonts w:ascii="Times New Roman" w:hAnsi="Times New Roman" w:cs="Times New Roman"/>
                <w:sz w:val="24"/>
                <w:szCs w:val="24"/>
              </w:rPr>
            </w:pPr>
            <w:r>
              <w:rPr>
                <w:rFonts w:ascii="Times New Roman" w:hAnsi="Times New Roman" w:cs="Times New Roman"/>
                <w:sz w:val="24"/>
                <w:szCs w:val="24"/>
              </w:rPr>
              <w:t xml:space="preserve">nodrošinātu pašvaldībām </w:t>
            </w:r>
            <w:proofErr w:type="spellStart"/>
            <w:r>
              <w:rPr>
                <w:rFonts w:ascii="Times New Roman" w:hAnsi="Times New Roman" w:cs="Times New Roman"/>
                <w:sz w:val="24"/>
                <w:szCs w:val="24"/>
              </w:rPr>
              <w:t>anonimizētu</w:t>
            </w:r>
            <w:proofErr w:type="spellEnd"/>
            <w:r>
              <w:rPr>
                <w:rFonts w:ascii="Times New Roman" w:hAnsi="Times New Roman" w:cs="Times New Roman"/>
                <w:sz w:val="24"/>
                <w:szCs w:val="24"/>
              </w:rPr>
              <w:t xml:space="preserve"> datu kopas</w:t>
            </w:r>
            <w:r w:rsidR="003B5ABF">
              <w:rPr>
                <w:rFonts w:ascii="Times New Roman" w:hAnsi="Times New Roman" w:cs="Times New Roman"/>
                <w:sz w:val="24"/>
                <w:szCs w:val="24"/>
              </w:rPr>
              <w:t>,</w:t>
            </w:r>
            <w:r>
              <w:rPr>
                <w:rFonts w:ascii="Times New Roman" w:hAnsi="Times New Roman" w:cs="Times New Roman"/>
                <w:sz w:val="24"/>
                <w:szCs w:val="24"/>
              </w:rPr>
              <w:t xml:space="preserve"> </w:t>
            </w:r>
            <w:r w:rsidR="00F20288">
              <w:rPr>
                <w:rFonts w:ascii="Times New Roman" w:hAnsi="Times New Roman" w:cs="Times New Roman"/>
                <w:sz w:val="24"/>
                <w:szCs w:val="24"/>
              </w:rPr>
              <w:t>kuras tā</w:t>
            </w:r>
            <w:r w:rsidR="003B5ABF">
              <w:rPr>
                <w:rFonts w:ascii="Times New Roman" w:hAnsi="Times New Roman" w:cs="Times New Roman"/>
                <w:sz w:val="24"/>
                <w:szCs w:val="24"/>
              </w:rPr>
              <w:t>m nepieciešamas, lai</w:t>
            </w:r>
            <w:r>
              <w:rPr>
                <w:rFonts w:ascii="Times New Roman" w:hAnsi="Times New Roman" w:cs="Times New Roman"/>
                <w:sz w:val="24"/>
                <w:szCs w:val="24"/>
              </w:rPr>
              <w:t xml:space="preserve"> nodrošin</w:t>
            </w:r>
            <w:r w:rsidR="003B5ABF">
              <w:rPr>
                <w:rFonts w:ascii="Times New Roman" w:hAnsi="Times New Roman" w:cs="Times New Roman"/>
                <w:sz w:val="24"/>
                <w:szCs w:val="24"/>
              </w:rPr>
              <w:t>ātu</w:t>
            </w:r>
            <w:r>
              <w:rPr>
                <w:rFonts w:ascii="Times New Roman" w:hAnsi="Times New Roman" w:cs="Times New Roman"/>
                <w:sz w:val="24"/>
                <w:szCs w:val="24"/>
              </w:rPr>
              <w:t xml:space="preserve"> </w:t>
            </w:r>
            <w:r w:rsidRPr="004948D4">
              <w:rPr>
                <w:rFonts w:ascii="Times New Roman" w:hAnsi="Times New Roman" w:cs="Times New Roman"/>
                <w:sz w:val="24"/>
                <w:szCs w:val="24"/>
              </w:rPr>
              <w:t>kvalitatīvu un uz patiesiem datiem</w:t>
            </w:r>
            <w:r w:rsidR="00F20288">
              <w:rPr>
                <w:rFonts w:ascii="Times New Roman" w:hAnsi="Times New Roman" w:cs="Times New Roman"/>
                <w:sz w:val="24"/>
                <w:szCs w:val="24"/>
              </w:rPr>
              <w:t xml:space="preserve"> balstītu lēmumu pieņemšanu, kuri</w:t>
            </w:r>
            <w:r w:rsidRPr="004948D4">
              <w:rPr>
                <w:rFonts w:ascii="Times New Roman" w:hAnsi="Times New Roman" w:cs="Times New Roman"/>
                <w:sz w:val="24"/>
                <w:szCs w:val="24"/>
              </w:rPr>
              <w:t xml:space="preserve"> nepieciešami, lai nodrošinātu</w:t>
            </w:r>
            <w:r>
              <w:rPr>
                <w:rFonts w:ascii="Times New Roman" w:hAnsi="Times New Roman" w:cs="Times New Roman"/>
                <w:sz w:val="24"/>
                <w:szCs w:val="24"/>
              </w:rPr>
              <w:t xml:space="preserve"> likuma „</w:t>
            </w:r>
            <w:r w:rsidRPr="004948D4">
              <w:rPr>
                <w:rFonts w:ascii="Times New Roman" w:hAnsi="Times New Roman" w:cs="Times New Roman"/>
                <w:sz w:val="24"/>
                <w:szCs w:val="24"/>
              </w:rPr>
              <w:t>Par pašvaldībām</w:t>
            </w:r>
            <w:r>
              <w:rPr>
                <w:rFonts w:ascii="Times New Roman" w:hAnsi="Times New Roman" w:cs="Times New Roman"/>
                <w:sz w:val="24"/>
                <w:szCs w:val="24"/>
              </w:rPr>
              <w:t>” 14., 15. un 17.</w:t>
            </w:r>
            <w:r w:rsidRPr="00941B05">
              <w:rPr>
                <w:rFonts w:ascii="Times New Roman" w:hAnsi="Times New Roman" w:cs="Times New Roman"/>
                <w:sz w:val="24"/>
                <w:szCs w:val="24"/>
                <w:vertAlign w:val="superscript"/>
              </w:rPr>
              <w:t>2</w:t>
            </w:r>
            <w:r w:rsidR="00DC4B5D">
              <w:rPr>
                <w:rFonts w:ascii="Times New Roman" w:hAnsi="Times New Roman" w:cs="Times New Roman"/>
                <w:sz w:val="24"/>
                <w:szCs w:val="24"/>
              </w:rPr>
              <w:t>pantā</w:t>
            </w:r>
            <w:r w:rsidR="00F20288">
              <w:rPr>
                <w:rFonts w:ascii="Times New Roman" w:hAnsi="Times New Roman" w:cs="Times New Roman"/>
                <w:sz w:val="24"/>
                <w:szCs w:val="24"/>
              </w:rPr>
              <w:t xml:space="preserve"> noteikto funkciju izpildi</w:t>
            </w:r>
            <w:r w:rsidR="00941B05">
              <w:rPr>
                <w:rFonts w:ascii="Times New Roman" w:hAnsi="Times New Roman" w:cs="Times New Roman"/>
                <w:sz w:val="24"/>
                <w:szCs w:val="24"/>
              </w:rPr>
              <w:t>;</w:t>
            </w:r>
            <w:r>
              <w:rPr>
                <w:rFonts w:ascii="Times New Roman" w:hAnsi="Times New Roman" w:cs="Times New Roman"/>
                <w:sz w:val="24"/>
                <w:szCs w:val="24"/>
              </w:rPr>
              <w:t xml:space="preserve"> </w:t>
            </w:r>
          </w:p>
          <w:p w:rsidR="00941B05" w:rsidRDefault="00941B05" w:rsidP="004948D4">
            <w:pPr>
              <w:pStyle w:val="ListParagraph"/>
              <w:numPr>
                <w:ilvl w:val="0"/>
                <w:numId w:val="4"/>
              </w:numPr>
              <w:spacing w:after="0" w:line="240" w:lineRule="auto"/>
              <w:ind w:left="13" w:firstLine="347"/>
              <w:jc w:val="both"/>
              <w:rPr>
                <w:rFonts w:ascii="Times New Roman" w:hAnsi="Times New Roman" w:cs="Times New Roman"/>
                <w:sz w:val="24"/>
                <w:szCs w:val="24"/>
              </w:rPr>
            </w:pPr>
            <w:r>
              <w:rPr>
                <w:rFonts w:ascii="Times New Roman" w:hAnsi="Times New Roman" w:cs="Times New Roman"/>
                <w:sz w:val="24"/>
                <w:szCs w:val="24"/>
              </w:rPr>
              <w:t xml:space="preserve">noteiktu </w:t>
            </w:r>
            <w:r w:rsidR="00C341FB">
              <w:rPr>
                <w:rFonts w:ascii="Times New Roman" w:hAnsi="Times New Roman" w:cs="Times New Roman"/>
                <w:sz w:val="24"/>
                <w:szCs w:val="24"/>
              </w:rPr>
              <w:t>institūcijas, kuras sniegs datus</w:t>
            </w:r>
            <w:r w:rsidR="00F20288">
              <w:rPr>
                <w:rFonts w:ascii="Times New Roman" w:hAnsi="Times New Roman" w:cs="Times New Roman"/>
                <w:sz w:val="24"/>
                <w:szCs w:val="24"/>
              </w:rPr>
              <w:t xml:space="preserve"> to</w:t>
            </w:r>
            <w:r w:rsidR="00C341FB">
              <w:rPr>
                <w:rFonts w:ascii="Times New Roman" w:hAnsi="Times New Roman" w:cs="Times New Roman"/>
                <w:sz w:val="24"/>
                <w:szCs w:val="24"/>
              </w:rPr>
              <w:t xml:space="preserve"> </w:t>
            </w:r>
            <w:proofErr w:type="spellStart"/>
            <w:r w:rsidR="00C341FB">
              <w:rPr>
                <w:rFonts w:ascii="Times New Roman" w:hAnsi="Times New Roman" w:cs="Times New Roman"/>
                <w:sz w:val="24"/>
                <w:szCs w:val="24"/>
              </w:rPr>
              <w:t>ano</w:t>
            </w:r>
            <w:r w:rsidR="00F20288">
              <w:rPr>
                <w:rFonts w:ascii="Times New Roman" w:hAnsi="Times New Roman" w:cs="Times New Roman"/>
                <w:sz w:val="24"/>
                <w:szCs w:val="24"/>
              </w:rPr>
              <w:t>nimizēšanai</w:t>
            </w:r>
            <w:proofErr w:type="spellEnd"/>
            <w:r w:rsidR="00C341FB">
              <w:rPr>
                <w:rFonts w:ascii="Times New Roman" w:hAnsi="Times New Roman" w:cs="Times New Roman"/>
                <w:sz w:val="24"/>
                <w:szCs w:val="24"/>
              </w:rPr>
              <w:t xml:space="preserve"> </w:t>
            </w:r>
            <w:r w:rsidR="00F20288">
              <w:rPr>
                <w:rFonts w:ascii="Times New Roman" w:hAnsi="Times New Roman" w:cs="Times New Roman"/>
                <w:sz w:val="24"/>
                <w:szCs w:val="24"/>
              </w:rPr>
              <w:t xml:space="preserve">turpmāk </w:t>
            </w:r>
            <w:r w:rsidR="00E21117">
              <w:rPr>
                <w:rFonts w:ascii="Times New Roman" w:hAnsi="Times New Roman" w:cs="Times New Roman"/>
                <w:sz w:val="24"/>
                <w:szCs w:val="24"/>
              </w:rPr>
              <w:t>nodrošinot šo datu nodošanu</w:t>
            </w:r>
            <w:r w:rsidR="00C341FB">
              <w:rPr>
                <w:rFonts w:ascii="Times New Roman" w:hAnsi="Times New Roman" w:cs="Times New Roman"/>
                <w:sz w:val="24"/>
                <w:szCs w:val="24"/>
              </w:rPr>
              <w:t xml:space="preserve"> </w:t>
            </w:r>
            <w:r>
              <w:rPr>
                <w:rFonts w:ascii="Times New Roman" w:hAnsi="Times New Roman" w:cs="Times New Roman"/>
                <w:sz w:val="24"/>
                <w:szCs w:val="24"/>
              </w:rPr>
              <w:t>pašvaldībām;</w:t>
            </w:r>
          </w:p>
          <w:p w:rsidR="004948D4" w:rsidRDefault="00941B05" w:rsidP="004948D4">
            <w:pPr>
              <w:pStyle w:val="ListParagraph"/>
              <w:numPr>
                <w:ilvl w:val="0"/>
                <w:numId w:val="4"/>
              </w:numPr>
              <w:spacing w:after="0" w:line="240" w:lineRule="auto"/>
              <w:ind w:left="13" w:firstLine="347"/>
              <w:jc w:val="both"/>
              <w:rPr>
                <w:rFonts w:ascii="Times New Roman" w:hAnsi="Times New Roman" w:cs="Times New Roman"/>
                <w:sz w:val="24"/>
                <w:szCs w:val="24"/>
              </w:rPr>
            </w:pPr>
            <w:r>
              <w:rPr>
                <w:rFonts w:ascii="Times New Roman" w:hAnsi="Times New Roman" w:cs="Times New Roman"/>
                <w:sz w:val="24"/>
                <w:szCs w:val="24"/>
              </w:rPr>
              <w:t xml:space="preserve">noteiktu institūciju, kura nodrošinās datu </w:t>
            </w:r>
            <w:proofErr w:type="spellStart"/>
            <w:r>
              <w:rPr>
                <w:rFonts w:ascii="Times New Roman" w:hAnsi="Times New Roman" w:cs="Times New Roman"/>
                <w:sz w:val="24"/>
                <w:szCs w:val="24"/>
              </w:rPr>
              <w:t>anonimizēšan</w:t>
            </w:r>
            <w:r w:rsidR="00F20288">
              <w:rPr>
                <w:rFonts w:ascii="Times New Roman" w:hAnsi="Times New Roman" w:cs="Times New Roman"/>
                <w:sz w:val="24"/>
                <w:szCs w:val="24"/>
              </w:rPr>
              <w:t>as</w:t>
            </w:r>
            <w:proofErr w:type="spellEnd"/>
            <w:r w:rsidR="00F20288">
              <w:rPr>
                <w:rFonts w:ascii="Times New Roman" w:hAnsi="Times New Roman" w:cs="Times New Roman"/>
                <w:sz w:val="24"/>
                <w:szCs w:val="24"/>
              </w:rPr>
              <w:t xml:space="preserve"> funkcionalitāti</w:t>
            </w:r>
            <w:r w:rsidR="00A442FF">
              <w:rPr>
                <w:rFonts w:ascii="Times New Roman" w:hAnsi="Times New Roman" w:cs="Times New Roman"/>
                <w:sz w:val="24"/>
                <w:szCs w:val="24"/>
              </w:rPr>
              <w:t>;</w:t>
            </w:r>
          </w:p>
          <w:p w:rsidR="00A442FF" w:rsidRDefault="00497B2E" w:rsidP="004948D4">
            <w:pPr>
              <w:pStyle w:val="ListParagraph"/>
              <w:numPr>
                <w:ilvl w:val="0"/>
                <w:numId w:val="4"/>
              </w:numPr>
              <w:spacing w:after="0" w:line="240" w:lineRule="auto"/>
              <w:ind w:left="13" w:firstLine="347"/>
              <w:jc w:val="both"/>
              <w:rPr>
                <w:rFonts w:ascii="Times New Roman" w:hAnsi="Times New Roman" w:cs="Times New Roman"/>
                <w:sz w:val="24"/>
                <w:szCs w:val="24"/>
              </w:rPr>
            </w:pPr>
            <w:r>
              <w:rPr>
                <w:rFonts w:ascii="Times New Roman" w:hAnsi="Times New Roman" w:cs="Times New Roman"/>
                <w:sz w:val="24"/>
                <w:szCs w:val="24"/>
              </w:rPr>
              <w:t xml:space="preserve">deleģētu Ministru kabinetam pienākumu </w:t>
            </w:r>
            <w:r w:rsidR="00E2636E">
              <w:rPr>
                <w:rFonts w:ascii="Times New Roman" w:hAnsi="Times New Roman" w:cs="Times New Roman"/>
                <w:sz w:val="24"/>
                <w:szCs w:val="24"/>
              </w:rPr>
              <w:t xml:space="preserve">noteikt </w:t>
            </w:r>
            <w:r w:rsidR="00E2636E" w:rsidRPr="00E2636E">
              <w:rPr>
                <w:rFonts w:ascii="Times New Roman" w:hAnsi="Times New Roman" w:cs="Times New Roman"/>
                <w:sz w:val="24"/>
                <w:szCs w:val="24"/>
              </w:rPr>
              <w:t xml:space="preserve">kārtību kādā </w:t>
            </w:r>
            <w:r w:rsidR="00E2636E" w:rsidRPr="00273CBA">
              <w:rPr>
                <w:rFonts w:ascii="Times New Roman" w:hAnsi="Times New Roman" w:cs="Times New Roman"/>
                <w:sz w:val="24"/>
                <w:szCs w:val="24"/>
              </w:rPr>
              <w:t>Valsts reģionālās attīstības aģentūra</w:t>
            </w:r>
            <w:r w:rsidR="00E2636E">
              <w:rPr>
                <w:rFonts w:ascii="Times New Roman" w:hAnsi="Times New Roman" w:cs="Times New Roman"/>
                <w:sz w:val="24"/>
                <w:szCs w:val="24"/>
              </w:rPr>
              <w:t xml:space="preserve"> (turpmāk – VRAA)</w:t>
            </w:r>
            <w:r w:rsidR="00E2636E" w:rsidRPr="00E2636E">
              <w:rPr>
                <w:rFonts w:ascii="Times New Roman" w:hAnsi="Times New Roman" w:cs="Times New Roman"/>
                <w:sz w:val="24"/>
                <w:szCs w:val="24"/>
              </w:rPr>
              <w:t xml:space="preserve"> nodrošina datu </w:t>
            </w:r>
            <w:proofErr w:type="spellStart"/>
            <w:r w:rsidR="00E2636E" w:rsidRPr="00E2636E">
              <w:rPr>
                <w:rFonts w:ascii="Times New Roman" w:hAnsi="Times New Roman" w:cs="Times New Roman"/>
                <w:sz w:val="24"/>
                <w:szCs w:val="24"/>
              </w:rPr>
              <w:t>anonimizēšanu</w:t>
            </w:r>
            <w:proofErr w:type="spellEnd"/>
            <w:r w:rsidR="00E2636E" w:rsidRPr="00E2636E">
              <w:rPr>
                <w:rFonts w:ascii="Times New Roman" w:hAnsi="Times New Roman" w:cs="Times New Roman"/>
                <w:sz w:val="24"/>
                <w:szCs w:val="24"/>
              </w:rPr>
              <w:t xml:space="preserve"> tajā skaitā datu savietošanas kārtību un valsts informācijas sistēmas, kuras nodrošina informācijas sniegšanu šā panta pirmajā daļā noteikto funkciju īstenošanai, kā arī sniedzamās informācijas apjomu, aprites un apstrādes kārtību</w:t>
            </w:r>
            <w:r w:rsidR="00816E70">
              <w:rPr>
                <w:rFonts w:ascii="Times New Roman" w:hAnsi="Times New Roman" w:cs="Times New Roman"/>
                <w:sz w:val="24"/>
                <w:szCs w:val="24"/>
              </w:rPr>
              <w:t>.</w:t>
            </w:r>
          </w:p>
          <w:p w:rsidR="00912816" w:rsidRDefault="00604543" w:rsidP="00E2636E">
            <w:pPr>
              <w:pStyle w:val="ListParagraph"/>
              <w:spacing w:after="0" w:line="240" w:lineRule="auto"/>
              <w:ind w:left="13" w:firstLine="284"/>
              <w:jc w:val="both"/>
              <w:rPr>
                <w:rFonts w:ascii="Times New Roman" w:hAnsi="Times New Roman" w:cs="Times New Roman"/>
                <w:sz w:val="24"/>
                <w:szCs w:val="24"/>
              </w:rPr>
            </w:pPr>
            <w:r>
              <w:rPr>
                <w:rFonts w:ascii="Times New Roman" w:hAnsi="Times New Roman" w:cs="Times New Roman"/>
                <w:sz w:val="24"/>
                <w:szCs w:val="24"/>
              </w:rPr>
              <w:t>Šobrīd pašvaldībām</w:t>
            </w:r>
            <w:r w:rsidR="00273CBA">
              <w:rPr>
                <w:rFonts w:ascii="Times New Roman" w:hAnsi="Times New Roman" w:cs="Times New Roman"/>
                <w:sz w:val="24"/>
                <w:szCs w:val="24"/>
              </w:rPr>
              <w:t>,</w:t>
            </w:r>
            <w:r>
              <w:rPr>
                <w:rFonts w:ascii="Times New Roman" w:hAnsi="Times New Roman" w:cs="Times New Roman"/>
                <w:sz w:val="24"/>
                <w:szCs w:val="24"/>
              </w:rPr>
              <w:t xml:space="preserve"> lai nodrošinātu sev noteikto funkciju izpildi</w:t>
            </w:r>
            <w:r w:rsidR="00273CBA">
              <w:rPr>
                <w:rFonts w:ascii="Times New Roman" w:hAnsi="Times New Roman" w:cs="Times New Roman"/>
                <w:sz w:val="24"/>
                <w:szCs w:val="24"/>
              </w:rPr>
              <w:t xml:space="preserve">, piemēram, </w:t>
            </w:r>
            <w:r w:rsidR="00273CBA" w:rsidRPr="00273CBA">
              <w:rPr>
                <w:rFonts w:ascii="Times New Roman" w:hAnsi="Times New Roman" w:cs="Times New Roman"/>
                <w:sz w:val="24"/>
                <w:szCs w:val="24"/>
              </w:rPr>
              <w:t xml:space="preserve">pašvaldību teritorijas </w:t>
            </w:r>
            <w:r w:rsidR="00273CBA">
              <w:rPr>
                <w:rFonts w:ascii="Times New Roman" w:hAnsi="Times New Roman" w:cs="Times New Roman"/>
                <w:sz w:val="24"/>
                <w:szCs w:val="24"/>
              </w:rPr>
              <w:t>attīstības plānošanu,</w:t>
            </w:r>
            <w:r>
              <w:rPr>
                <w:rFonts w:ascii="Times New Roman" w:hAnsi="Times New Roman" w:cs="Times New Roman"/>
                <w:sz w:val="24"/>
                <w:szCs w:val="24"/>
              </w:rPr>
              <w:t xml:space="preserve"> ir </w:t>
            </w:r>
            <w:r w:rsidR="009E2A0B">
              <w:rPr>
                <w:rFonts w:ascii="Times New Roman" w:hAnsi="Times New Roman" w:cs="Times New Roman"/>
                <w:sz w:val="24"/>
                <w:szCs w:val="24"/>
              </w:rPr>
              <w:t>nepieciešami dati no vairākām valsts informācijas sistēmām</w:t>
            </w:r>
            <w:r w:rsidR="00912816" w:rsidRPr="00284759">
              <w:rPr>
                <w:rFonts w:ascii="Times New Roman" w:hAnsi="Times New Roman" w:cs="Times New Roman"/>
                <w:sz w:val="24"/>
                <w:szCs w:val="24"/>
              </w:rPr>
              <w:t>.</w:t>
            </w:r>
            <w:r w:rsidR="00273CBA">
              <w:rPr>
                <w:rFonts w:ascii="Times New Roman" w:hAnsi="Times New Roman" w:cs="Times New Roman"/>
                <w:sz w:val="24"/>
                <w:szCs w:val="24"/>
              </w:rPr>
              <w:t xml:space="preserve"> Šīs funkcijas nodrošināšanai pašvaldībām pietiek, ja dati nav personificēti. Lai</w:t>
            </w:r>
            <w:r w:rsidR="00540A5C">
              <w:rPr>
                <w:rFonts w:ascii="Times New Roman" w:hAnsi="Times New Roman" w:cs="Times New Roman"/>
                <w:sz w:val="24"/>
                <w:szCs w:val="24"/>
              </w:rPr>
              <w:t xml:space="preserve"> ievēro</w:t>
            </w:r>
            <w:r w:rsidR="00273CBA">
              <w:rPr>
                <w:rFonts w:ascii="Times New Roman" w:hAnsi="Times New Roman" w:cs="Times New Roman"/>
                <w:sz w:val="24"/>
                <w:szCs w:val="24"/>
              </w:rPr>
              <w:t>tu</w:t>
            </w:r>
            <w:r w:rsidR="00540A5C">
              <w:rPr>
                <w:rFonts w:ascii="Times New Roman" w:hAnsi="Times New Roman" w:cs="Times New Roman"/>
                <w:sz w:val="24"/>
                <w:szCs w:val="24"/>
              </w:rPr>
              <w:t xml:space="preserve"> </w:t>
            </w:r>
            <w:r w:rsidR="00540A5C" w:rsidRPr="00540A5C">
              <w:rPr>
                <w:rFonts w:ascii="Times New Roman" w:hAnsi="Times New Roman" w:cs="Times New Roman"/>
                <w:sz w:val="24"/>
                <w:szCs w:val="24"/>
              </w:rPr>
              <w:t>Fizisko personu datu aizsardzības likumā noteikto</w:t>
            </w:r>
            <w:r w:rsidR="00273CBA">
              <w:rPr>
                <w:rFonts w:ascii="Times New Roman" w:hAnsi="Times New Roman" w:cs="Times New Roman"/>
                <w:sz w:val="24"/>
                <w:szCs w:val="24"/>
              </w:rPr>
              <w:t>, nepieciešams</w:t>
            </w:r>
            <w:r w:rsidR="00493579">
              <w:rPr>
                <w:rFonts w:ascii="Times New Roman" w:hAnsi="Times New Roman" w:cs="Times New Roman"/>
                <w:sz w:val="24"/>
                <w:szCs w:val="24"/>
              </w:rPr>
              <w:t xml:space="preserve"> noteikt funkcijas, kuru nodrošināšanai pašvaldībām ir nepieciešami dati, noteikt institūcijas, kuras sniegs datus, kā arī noteikt institūciju, kura</w:t>
            </w:r>
            <w:r w:rsidR="00273CBA">
              <w:rPr>
                <w:rFonts w:ascii="Times New Roman" w:hAnsi="Times New Roman" w:cs="Times New Roman"/>
                <w:sz w:val="24"/>
                <w:szCs w:val="24"/>
              </w:rPr>
              <w:t xml:space="preserve"> pirms datu nodošanas pašvaldībām tos </w:t>
            </w:r>
            <w:proofErr w:type="spellStart"/>
            <w:r w:rsidR="00273CBA">
              <w:rPr>
                <w:rFonts w:ascii="Times New Roman" w:hAnsi="Times New Roman" w:cs="Times New Roman"/>
                <w:sz w:val="24"/>
                <w:szCs w:val="24"/>
              </w:rPr>
              <w:t>anonimizē</w:t>
            </w:r>
            <w:r w:rsidR="00493579">
              <w:rPr>
                <w:rFonts w:ascii="Times New Roman" w:hAnsi="Times New Roman" w:cs="Times New Roman"/>
                <w:sz w:val="24"/>
                <w:szCs w:val="24"/>
              </w:rPr>
              <w:t>s</w:t>
            </w:r>
            <w:proofErr w:type="spellEnd"/>
            <w:r w:rsidR="00540A5C">
              <w:rPr>
                <w:rFonts w:ascii="Times New Roman" w:hAnsi="Times New Roman" w:cs="Times New Roman"/>
                <w:sz w:val="24"/>
                <w:szCs w:val="24"/>
              </w:rPr>
              <w:t>.</w:t>
            </w:r>
            <w:r w:rsidR="00493579">
              <w:rPr>
                <w:rFonts w:ascii="Times New Roman" w:hAnsi="Times New Roman" w:cs="Times New Roman"/>
                <w:sz w:val="24"/>
                <w:szCs w:val="24"/>
              </w:rPr>
              <w:t xml:space="preserve"> </w:t>
            </w:r>
            <w:r w:rsidR="005F5A18">
              <w:rPr>
                <w:rFonts w:ascii="Times New Roman" w:hAnsi="Times New Roman" w:cs="Times New Roman"/>
                <w:sz w:val="24"/>
                <w:szCs w:val="24"/>
              </w:rPr>
              <w:t xml:space="preserve">VARAM uzskata, ka nodrošināt personificēto datu </w:t>
            </w:r>
            <w:proofErr w:type="spellStart"/>
            <w:r w:rsidR="005F5A18">
              <w:rPr>
                <w:rFonts w:ascii="Times New Roman" w:hAnsi="Times New Roman" w:cs="Times New Roman"/>
                <w:sz w:val="24"/>
                <w:szCs w:val="24"/>
              </w:rPr>
              <w:t>anonimizēšanas</w:t>
            </w:r>
            <w:proofErr w:type="spellEnd"/>
            <w:r w:rsidR="005F5A18">
              <w:rPr>
                <w:rFonts w:ascii="Times New Roman" w:hAnsi="Times New Roman" w:cs="Times New Roman"/>
                <w:sz w:val="24"/>
                <w:szCs w:val="24"/>
              </w:rPr>
              <w:t xml:space="preserve"> procesu katra datu devēja informācijas sistēmā</w:t>
            </w:r>
            <w:r w:rsidR="00AD2D30">
              <w:rPr>
                <w:rFonts w:ascii="Times New Roman" w:hAnsi="Times New Roman" w:cs="Times New Roman"/>
                <w:sz w:val="24"/>
                <w:szCs w:val="24"/>
              </w:rPr>
              <w:t xml:space="preserve"> atsevišķi</w:t>
            </w:r>
            <w:r w:rsidR="005F5A18">
              <w:rPr>
                <w:rFonts w:ascii="Times New Roman" w:hAnsi="Times New Roman" w:cs="Times New Roman"/>
                <w:sz w:val="24"/>
                <w:szCs w:val="24"/>
              </w:rPr>
              <w:t xml:space="preserve"> nav lietderīgi, jo šāda risinājuma</w:t>
            </w:r>
            <w:r w:rsidR="00AD2D30">
              <w:rPr>
                <w:rFonts w:ascii="Times New Roman" w:hAnsi="Times New Roman" w:cs="Times New Roman"/>
                <w:sz w:val="24"/>
                <w:szCs w:val="24"/>
              </w:rPr>
              <w:t xml:space="preserve"> gadījumā, būtu jānosaka </w:t>
            </w:r>
            <w:r w:rsidR="00AD2D30">
              <w:rPr>
                <w:rFonts w:ascii="Times New Roman" w:hAnsi="Times New Roman" w:cs="Times New Roman"/>
                <w:sz w:val="24"/>
                <w:szCs w:val="24"/>
              </w:rPr>
              <w:lastRenderedPageBreak/>
              <w:t>juridi</w:t>
            </w:r>
            <w:r w:rsidR="005F5A18">
              <w:rPr>
                <w:rFonts w:ascii="Times New Roman" w:hAnsi="Times New Roman" w:cs="Times New Roman"/>
                <w:sz w:val="24"/>
                <w:szCs w:val="24"/>
              </w:rPr>
              <w:t xml:space="preserve">skais ietvars visām institūcijām, kuras būtu iesaistītas personificēto datu </w:t>
            </w:r>
            <w:proofErr w:type="spellStart"/>
            <w:r w:rsidR="005F5A18">
              <w:rPr>
                <w:rFonts w:ascii="Times New Roman" w:hAnsi="Times New Roman" w:cs="Times New Roman"/>
                <w:sz w:val="24"/>
                <w:szCs w:val="24"/>
              </w:rPr>
              <w:t>anonimizēšanas</w:t>
            </w:r>
            <w:proofErr w:type="spellEnd"/>
            <w:r w:rsidR="005F5A18">
              <w:rPr>
                <w:rFonts w:ascii="Times New Roman" w:hAnsi="Times New Roman" w:cs="Times New Roman"/>
                <w:sz w:val="24"/>
                <w:szCs w:val="24"/>
              </w:rPr>
              <w:t xml:space="preserve"> procesā, kā arī nebūtu iespējams nodrošināt dažādās valsts informācijas sistēmās esošo datu savstarpējo sasaisti, kas ir ļoti būtiski pašvaldību</w:t>
            </w:r>
            <w:r w:rsidR="00AD2D30">
              <w:rPr>
                <w:rFonts w:ascii="Times New Roman" w:hAnsi="Times New Roman" w:cs="Times New Roman"/>
                <w:sz w:val="24"/>
                <w:szCs w:val="24"/>
              </w:rPr>
              <w:t xml:space="preserve"> vajadzību nodrošināšanai.</w:t>
            </w:r>
            <w:r w:rsidR="005F5A18">
              <w:rPr>
                <w:rFonts w:ascii="Times New Roman" w:hAnsi="Times New Roman" w:cs="Times New Roman"/>
                <w:sz w:val="24"/>
                <w:szCs w:val="24"/>
              </w:rPr>
              <w:t xml:space="preserve"> </w:t>
            </w:r>
            <w:r w:rsidR="00273CBA">
              <w:rPr>
                <w:rFonts w:ascii="Times New Roman" w:hAnsi="Times New Roman" w:cs="Times New Roman"/>
                <w:sz w:val="24"/>
                <w:szCs w:val="24"/>
              </w:rPr>
              <w:t xml:space="preserve">Likumprojekts paredz, ka datu </w:t>
            </w:r>
            <w:proofErr w:type="spellStart"/>
            <w:r w:rsidR="00273CBA">
              <w:rPr>
                <w:rFonts w:ascii="Times New Roman" w:hAnsi="Times New Roman" w:cs="Times New Roman"/>
                <w:sz w:val="24"/>
                <w:szCs w:val="24"/>
              </w:rPr>
              <w:t>anonimizēšanas</w:t>
            </w:r>
            <w:proofErr w:type="spellEnd"/>
            <w:r w:rsidR="00273CBA">
              <w:rPr>
                <w:rFonts w:ascii="Times New Roman" w:hAnsi="Times New Roman" w:cs="Times New Roman"/>
                <w:sz w:val="24"/>
                <w:szCs w:val="24"/>
              </w:rPr>
              <w:t xml:space="preserve"> funkcionalitāti </w:t>
            </w:r>
            <w:r w:rsidR="00AD2D30">
              <w:rPr>
                <w:rFonts w:ascii="Times New Roman" w:hAnsi="Times New Roman" w:cs="Times New Roman"/>
                <w:sz w:val="24"/>
                <w:szCs w:val="24"/>
              </w:rPr>
              <w:t xml:space="preserve">centralizēti </w:t>
            </w:r>
            <w:r w:rsidR="00273CBA">
              <w:rPr>
                <w:rFonts w:ascii="Times New Roman" w:hAnsi="Times New Roman" w:cs="Times New Roman"/>
                <w:sz w:val="24"/>
                <w:szCs w:val="24"/>
              </w:rPr>
              <w:t xml:space="preserve">nodrošinās </w:t>
            </w:r>
            <w:r w:rsidR="00E2636E">
              <w:rPr>
                <w:rFonts w:ascii="Times New Roman" w:hAnsi="Times New Roman" w:cs="Times New Roman"/>
                <w:sz w:val="24"/>
                <w:szCs w:val="24"/>
              </w:rPr>
              <w:t>VRAA</w:t>
            </w:r>
            <w:r w:rsidR="00273CBA">
              <w:rPr>
                <w:rFonts w:ascii="Times New Roman" w:hAnsi="Times New Roman" w:cs="Times New Roman"/>
                <w:sz w:val="24"/>
                <w:szCs w:val="24"/>
              </w:rPr>
              <w:t>.</w:t>
            </w:r>
            <w:r w:rsidR="00493579">
              <w:rPr>
                <w:rFonts w:ascii="Times New Roman" w:hAnsi="Times New Roman" w:cs="Times New Roman"/>
                <w:sz w:val="24"/>
                <w:szCs w:val="24"/>
              </w:rPr>
              <w:t xml:space="preserve"> </w:t>
            </w:r>
            <w:r w:rsidR="004B5A32">
              <w:rPr>
                <w:rFonts w:ascii="Times New Roman" w:hAnsi="Times New Roman" w:cs="Times New Roman"/>
                <w:sz w:val="24"/>
                <w:szCs w:val="24"/>
              </w:rPr>
              <w:t xml:space="preserve">Tehnisko risinājumu datu </w:t>
            </w:r>
            <w:proofErr w:type="spellStart"/>
            <w:r w:rsidR="004B5A32">
              <w:rPr>
                <w:rFonts w:ascii="Times New Roman" w:hAnsi="Times New Roman" w:cs="Times New Roman"/>
                <w:sz w:val="24"/>
                <w:szCs w:val="24"/>
              </w:rPr>
              <w:t>anonimizēšanas</w:t>
            </w:r>
            <w:proofErr w:type="spellEnd"/>
            <w:r w:rsidR="004B5A32">
              <w:rPr>
                <w:rFonts w:ascii="Times New Roman" w:hAnsi="Times New Roman" w:cs="Times New Roman"/>
                <w:sz w:val="24"/>
                <w:szCs w:val="24"/>
              </w:rPr>
              <w:t xml:space="preserve"> funkcionalitātes nodrošināšanai paredzēts realizēt </w:t>
            </w:r>
            <w:r w:rsidR="00497B2E" w:rsidRPr="00497B2E">
              <w:rPr>
                <w:rFonts w:ascii="Times New Roman" w:hAnsi="Times New Roman" w:cs="Times New Roman"/>
                <w:sz w:val="24"/>
                <w:szCs w:val="24"/>
              </w:rPr>
              <w:t>Eiropas Savienības struktūrfondu un Kohēzijas fonda 2014.–2020. gada plānošanas perioda</w:t>
            </w:r>
            <w:r w:rsidR="00497B2E">
              <w:rPr>
                <w:rFonts w:ascii="Times New Roman" w:hAnsi="Times New Roman" w:cs="Times New Roman"/>
                <w:sz w:val="24"/>
                <w:szCs w:val="24"/>
              </w:rPr>
              <w:t xml:space="preserve"> d</w:t>
            </w:r>
            <w:r w:rsidR="00497B2E" w:rsidRPr="00497B2E">
              <w:rPr>
                <w:rFonts w:ascii="Times New Roman" w:hAnsi="Times New Roman" w:cs="Times New Roman"/>
                <w:sz w:val="24"/>
                <w:szCs w:val="24"/>
              </w:rPr>
              <w:t>arbības programmas</w:t>
            </w:r>
            <w:r w:rsidR="00182DEB">
              <w:rPr>
                <w:rFonts w:ascii="Times New Roman" w:hAnsi="Times New Roman" w:cs="Times New Roman"/>
                <w:sz w:val="24"/>
                <w:szCs w:val="24"/>
              </w:rPr>
              <w:t xml:space="preserve"> </w:t>
            </w:r>
            <w:r w:rsidR="00497B2E" w:rsidRPr="00497B2E">
              <w:rPr>
                <w:rFonts w:ascii="Times New Roman" w:hAnsi="Times New Roman" w:cs="Times New Roman"/>
                <w:sz w:val="24"/>
                <w:szCs w:val="24"/>
              </w:rPr>
              <w:t xml:space="preserve">„Izaugsme un nodarbinātība” 2.2.1. specifiskā atbalsta mērķa „Nodrošināt publisko datu </w:t>
            </w:r>
            <w:proofErr w:type="spellStart"/>
            <w:r w:rsidR="00497B2E" w:rsidRPr="00497B2E">
              <w:rPr>
                <w:rFonts w:ascii="Times New Roman" w:hAnsi="Times New Roman" w:cs="Times New Roman"/>
                <w:sz w:val="24"/>
                <w:szCs w:val="24"/>
              </w:rPr>
              <w:t>atkalizmantošanas</w:t>
            </w:r>
            <w:proofErr w:type="spellEnd"/>
            <w:r w:rsidR="00497B2E" w:rsidRPr="00497B2E">
              <w:rPr>
                <w:rFonts w:ascii="Times New Roman" w:hAnsi="Times New Roman" w:cs="Times New Roman"/>
                <w:sz w:val="24"/>
                <w:szCs w:val="24"/>
              </w:rPr>
              <w:t xml:space="preserve"> pieaugumu un efektīvu publiskās pārvaldes un privātā sektora mijiedarbību”</w:t>
            </w:r>
            <w:r w:rsidR="00692E5D">
              <w:rPr>
                <w:rFonts w:ascii="Times New Roman" w:hAnsi="Times New Roman" w:cs="Times New Roman"/>
                <w:sz w:val="24"/>
                <w:szCs w:val="24"/>
              </w:rPr>
              <w:t xml:space="preserve"> </w:t>
            </w:r>
            <w:r w:rsidR="00497B2E" w:rsidRPr="00497B2E">
              <w:rPr>
                <w:rFonts w:ascii="Times New Roman" w:hAnsi="Times New Roman" w:cs="Times New Roman"/>
                <w:sz w:val="24"/>
                <w:szCs w:val="24"/>
              </w:rPr>
              <w:t>2.2.1.1. pasākuma „Centralizētu publiskās pārvaldes IKT platformu izveide, publiskās pārvaldes procesu opt</w:t>
            </w:r>
            <w:r w:rsidR="00497B2E">
              <w:rPr>
                <w:rFonts w:ascii="Times New Roman" w:hAnsi="Times New Roman" w:cs="Times New Roman"/>
                <w:sz w:val="24"/>
                <w:szCs w:val="24"/>
              </w:rPr>
              <w:t>imizēšana un attīstība” projektā</w:t>
            </w:r>
            <w:r w:rsidR="00497B2E" w:rsidRPr="00497B2E">
              <w:rPr>
                <w:rFonts w:ascii="Times New Roman" w:hAnsi="Times New Roman" w:cs="Times New Roman"/>
                <w:sz w:val="24"/>
                <w:szCs w:val="24"/>
              </w:rPr>
              <w:t xml:space="preserve"> „Vienotā datu telpa”</w:t>
            </w:r>
            <w:r w:rsidR="00497B2E">
              <w:rPr>
                <w:rFonts w:ascii="Times New Roman" w:hAnsi="Times New Roman" w:cs="Times New Roman"/>
                <w:sz w:val="24"/>
                <w:szCs w:val="24"/>
              </w:rPr>
              <w:t xml:space="preserve"> (turpmāk – projekts </w:t>
            </w:r>
            <w:r w:rsidR="00497B2E" w:rsidRPr="00497B2E">
              <w:rPr>
                <w:rFonts w:ascii="Times New Roman" w:hAnsi="Times New Roman" w:cs="Times New Roman"/>
                <w:sz w:val="24"/>
                <w:szCs w:val="24"/>
              </w:rPr>
              <w:t>„Vienotā datu telpa”</w:t>
            </w:r>
            <w:r w:rsidR="00497B2E">
              <w:rPr>
                <w:rFonts w:ascii="Times New Roman" w:hAnsi="Times New Roman" w:cs="Times New Roman"/>
                <w:sz w:val="24"/>
                <w:szCs w:val="24"/>
              </w:rPr>
              <w:t>)</w:t>
            </w:r>
            <w:r w:rsidR="004B5A32">
              <w:rPr>
                <w:rFonts w:ascii="Times New Roman" w:hAnsi="Times New Roman" w:cs="Times New Roman"/>
                <w:sz w:val="24"/>
                <w:szCs w:val="24"/>
              </w:rPr>
              <w:t xml:space="preserve">. Ņemot vērā ierobežotos </w:t>
            </w:r>
            <w:r w:rsidR="00497B2E">
              <w:rPr>
                <w:rFonts w:ascii="Times New Roman" w:hAnsi="Times New Roman" w:cs="Times New Roman"/>
                <w:sz w:val="24"/>
                <w:szCs w:val="24"/>
              </w:rPr>
              <w:t>projekta</w:t>
            </w:r>
            <w:r w:rsidR="00497B2E" w:rsidRPr="00497B2E">
              <w:rPr>
                <w:rFonts w:ascii="Times New Roman" w:hAnsi="Times New Roman" w:cs="Times New Roman"/>
                <w:sz w:val="24"/>
                <w:szCs w:val="24"/>
              </w:rPr>
              <w:t xml:space="preserve"> „Vienotā datu telpa”</w:t>
            </w:r>
            <w:r w:rsidR="00182DEB">
              <w:rPr>
                <w:rFonts w:ascii="Times New Roman" w:hAnsi="Times New Roman" w:cs="Times New Roman"/>
                <w:sz w:val="24"/>
                <w:szCs w:val="24"/>
              </w:rPr>
              <w:t xml:space="preserve"> </w:t>
            </w:r>
            <w:r w:rsidR="004B5A32">
              <w:rPr>
                <w:rFonts w:ascii="Times New Roman" w:hAnsi="Times New Roman" w:cs="Times New Roman"/>
                <w:sz w:val="24"/>
                <w:szCs w:val="24"/>
              </w:rPr>
              <w:t>finanšu resursus, Likumprojekts paredz ierobežotu institūciju sakaitu, kuras nodrošinās pašvaldībām nepieciešamos datus – Valsts zemes dienests</w:t>
            </w:r>
            <w:r w:rsidR="00497B2E">
              <w:rPr>
                <w:rFonts w:ascii="Times New Roman" w:hAnsi="Times New Roman" w:cs="Times New Roman"/>
                <w:sz w:val="24"/>
                <w:szCs w:val="24"/>
              </w:rPr>
              <w:t xml:space="preserve"> (turpmāk – VZD)</w:t>
            </w:r>
            <w:r w:rsidR="004B5A32">
              <w:rPr>
                <w:rFonts w:ascii="Times New Roman" w:hAnsi="Times New Roman" w:cs="Times New Roman"/>
                <w:sz w:val="24"/>
                <w:szCs w:val="24"/>
              </w:rPr>
              <w:t xml:space="preserve">, </w:t>
            </w:r>
            <w:r w:rsidR="004B5A32" w:rsidRPr="004B5A32">
              <w:rPr>
                <w:rFonts w:ascii="Times New Roman" w:hAnsi="Times New Roman" w:cs="Times New Roman"/>
                <w:sz w:val="24"/>
                <w:szCs w:val="24"/>
              </w:rPr>
              <w:t>Pilsonības un migrācijas lietu pārvalde</w:t>
            </w:r>
            <w:r w:rsidR="00497B2E">
              <w:rPr>
                <w:rFonts w:ascii="Times New Roman" w:hAnsi="Times New Roman" w:cs="Times New Roman"/>
                <w:sz w:val="24"/>
                <w:szCs w:val="24"/>
              </w:rPr>
              <w:t xml:space="preserve"> (turpmāk – PMLP)</w:t>
            </w:r>
            <w:r w:rsidR="004B5A32">
              <w:rPr>
                <w:rFonts w:ascii="Times New Roman" w:hAnsi="Times New Roman" w:cs="Times New Roman"/>
                <w:sz w:val="24"/>
                <w:szCs w:val="24"/>
              </w:rPr>
              <w:t>, Valsts ieņēmumu dienests</w:t>
            </w:r>
            <w:r w:rsidR="00497B2E">
              <w:rPr>
                <w:rFonts w:ascii="Times New Roman" w:hAnsi="Times New Roman" w:cs="Times New Roman"/>
                <w:sz w:val="24"/>
                <w:szCs w:val="24"/>
              </w:rPr>
              <w:t xml:space="preserve"> (turpmāk – VID)</w:t>
            </w:r>
            <w:r w:rsidR="004B5A32">
              <w:rPr>
                <w:rFonts w:ascii="Times New Roman" w:hAnsi="Times New Roman" w:cs="Times New Roman"/>
                <w:sz w:val="24"/>
                <w:szCs w:val="24"/>
              </w:rPr>
              <w:t xml:space="preserve"> un </w:t>
            </w:r>
            <w:r w:rsidR="00D54EAF" w:rsidRPr="00D54EAF">
              <w:rPr>
                <w:rFonts w:ascii="Times New Roman" w:hAnsi="Times New Roman" w:cs="Times New Roman"/>
                <w:sz w:val="24"/>
                <w:szCs w:val="24"/>
              </w:rPr>
              <w:t>Veselības un darbspēju ekspertīzes ārstu valsts komisija</w:t>
            </w:r>
            <w:r w:rsidR="00D54EAF">
              <w:rPr>
                <w:rFonts w:ascii="Times New Roman" w:hAnsi="Times New Roman" w:cs="Times New Roman"/>
                <w:sz w:val="24"/>
                <w:szCs w:val="24"/>
              </w:rPr>
              <w:t xml:space="preserve"> (turpmāk – VDEĀVK)</w:t>
            </w:r>
            <w:r w:rsidR="004B5A32">
              <w:rPr>
                <w:rFonts w:ascii="Times New Roman" w:hAnsi="Times New Roman" w:cs="Times New Roman"/>
                <w:sz w:val="24"/>
                <w:szCs w:val="24"/>
              </w:rPr>
              <w:t xml:space="preserve">. Nākotnē paredzēts paplašināt </w:t>
            </w:r>
            <w:r w:rsidR="00182DEB">
              <w:rPr>
                <w:rFonts w:ascii="Times New Roman" w:hAnsi="Times New Roman" w:cs="Times New Roman"/>
                <w:sz w:val="24"/>
                <w:szCs w:val="24"/>
              </w:rPr>
              <w:t>iesaistīto institūciju loku, lai pilnībā nodrošinātu pašvaldības ar tām nepieciešamo informāciju.</w:t>
            </w:r>
          </w:p>
          <w:p w:rsidR="00F048BB" w:rsidRPr="00F048BB" w:rsidRDefault="00F048BB" w:rsidP="00C72A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Likumprojekts paredz pārejas noteikumus, jo personificēto datu </w:t>
            </w:r>
            <w:proofErr w:type="spellStart"/>
            <w:r>
              <w:rPr>
                <w:rFonts w:ascii="Times New Roman" w:hAnsi="Times New Roman" w:cs="Times New Roman"/>
                <w:sz w:val="24"/>
                <w:szCs w:val="24"/>
              </w:rPr>
              <w:t>anonimizēšanas</w:t>
            </w:r>
            <w:proofErr w:type="spellEnd"/>
            <w:r>
              <w:rPr>
                <w:rFonts w:ascii="Times New Roman" w:hAnsi="Times New Roman" w:cs="Times New Roman"/>
                <w:sz w:val="24"/>
                <w:szCs w:val="24"/>
              </w:rPr>
              <w:t xml:space="preserve"> funkcionalitātes nodrošināšanas tehniskais risinājums tiks izstrādāts </w:t>
            </w:r>
            <w:r w:rsidRPr="00D070D7">
              <w:rPr>
                <w:rFonts w:ascii="Times New Roman" w:hAnsi="Times New Roman" w:cs="Times New Roman"/>
                <w:sz w:val="24"/>
                <w:szCs w:val="24"/>
              </w:rPr>
              <w:t xml:space="preserve">Eiropas Savienības struktūrfondu un Kohēzijas fonda 2014.–2020. gada plānošanas perioda </w:t>
            </w:r>
            <w:r>
              <w:rPr>
                <w:rFonts w:ascii="Times New Roman" w:hAnsi="Times New Roman" w:cs="Times New Roman"/>
                <w:sz w:val="24"/>
                <w:szCs w:val="24"/>
              </w:rPr>
              <w:t xml:space="preserve">projektā „Vienotā datu telpa” un funkcionalitātes </w:t>
            </w:r>
            <w:r w:rsidR="00C72AED">
              <w:rPr>
                <w:rFonts w:ascii="Times New Roman" w:hAnsi="Times New Roman" w:cs="Times New Roman"/>
                <w:sz w:val="24"/>
                <w:szCs w:val="24"/>
              </w:rPr>
              <w:t>izstrādi</w:t>
            </w:r>
            <w:r>
              <w:rPr>
                <w:rFonts w:ascii="Times New Roman" w:hAnsi="Times New Roman" w:cs="Times New Roman"/>
                <w:sz w:val="24"/>
                <w:szCs w:val="24"/>
              </w:rPr>
              <w:t xml:space="preserve"> plānots pabeigt līdz 2018.gada 1.jūlijam.</w:t>
            </w:r>
          </w:p>
        </w:tc>
      </w:tr>
      <w:tr w:rsidR="004D15A9" w:rsidRPr="00952B44" w:rsidTr="00F64476">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780793" w:rsidRPr="00780793" w:rsidRDefault="00B912AC" w:rsidP="00497B2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VARAM</w:t>
            </w:r>
            <w:r w:rsidR="009E2A0B">
              <w:rPr>
                <w:rFonts w:ascii="Times New Roman" w:eastAsia="Times New Roman" w:hAnsi="Times New Roman" w:cs="Times New Roman"/>
                <w:sz w:val="24"/>
                <w:szCs w:val="24"/>
              </w:rPr>
              <w:t xml:space="preserve">, </w:t>
            </w:r>
            <w:r w:rsidR="00273CBA">
              <w:rPr>
                <w:rFonts w:ascii="Times New Roman" w:eastAsia="Times New Roman" w:hAnsi="Times New Roman" w:cs="Times New Roman"/>
                <w:sz w:val="24"/>
                <w:szCs w:val="24"/>
              </w:rPr>
              <w:t>VRAA</w:t>
            </w:r>
            <w:r w:rsidR="00497B2E">
              <w:rPr>
                <w:rFonts w:ascii="Times New Roman" w:eastAsia="Times New Roman" w:hAnsi="Times New Roman" w:cs="Times New Roman"/>
                <w:sz w:val="24"/>
                <w:szCs w:val="24"/>
              </w:rPr>
              <w:t>, VZD, PMLP, VID</w:t>
            </w:r>
            <w:r w:rsidR="000251FB">
              <w:rPr>
                <w:rFonts w:ascii="Times New Roman" w:eastAsia="Times New Roman" w:hAnsi="Times New Roman" w:cs="Times New Roman"/>
                <w:sz w:val="24"/>
                <w:szCs w:val="24"/>
              </w:rPr>
              <w:t xml:space="preserve">, </w:t>
            </w:r>
            <w:r w:rsidR="00D54EAF">
              <w:rPr>
                <w:rFonts w:ascii="Times New Roman" w:hAnsi="Times New Roman" w:cs="Times New Roman"/>
                <w:sz w:val="24"/>
                <w:szCs w:val="24"/>
              </w:rPr>
              <w:t>VDEĀVK</w:t>
            </w:r>
            <w:r w:rsidR="00497B2E">
              <w:rPr>
                <w:rFonts w:ascii="Times New Roman" w:eastAsia="Times New Roman" w:hAnsi="Times New Roman" w:cs="Times New Roman"/>
                <w:sz w:val="24"/>
                <w:szCs w:val="24"/>
              </w:rPr>
              <w:t xml:space="preserve"> un Latvijas pašvaldību savienība.</w:t>
            </w:r>
            <w:r w:rsidR="002530E8">
              <w:rPr>
                <w:rFonts w:ascii="Times New Roman" w:hAnsi="Times New Roman" w:cs="Times New Roman"/>
                <w:sz w:val="24"/>
                <w:szCs w:val="24"/>
              </w:rPr>
              <w:t xml:space="preserve"> </w:t>
            </w:r>
          </w:p>
        </w:tc>
      </w:tr>
      <w:tr w:rsidR="004D15A9" w:rsidRPr="00952B44" w:rsidTr="00F64476">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4.</w:t>
            </w:r>
          </w:p>
        </w:tc>
        <w:tc>
          <w:tcPr>
            <w:tcW w:w="15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4D15A9" w:rsidRPr="00952B44" w:rsidRDefault="00D72876" w:rsidP="00D72876">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Nav.</w:t>
            </w:r>
          </w:p>
        </w:tc>
      </w:tr>
      <w:tr w:rsidR="005D4E8A" w:rsidRPr="00952B44" w:rsidTr="00F64476">
        <w:trPr>
          <w:trHeight w:val="128"/>
        </w:trPr>
        <w:tc>
          <w:tcPr>
            <w:tcW w:w="5000" w:type="pct"/>
            <w:gridSpan w:val="3"/>
            <w:tcBorders>
              <w:top w:val="outset" w:sz="6" w:space="0" w:color="414142"/>
              <w:left w:val="nil"/>
              <w:bottom w:val="outset" w:sz="6" w:space="0" w:color="414142"/>
              <w:right w:val="nil"/>
            </w:tcBorders>
          </w:tcPr>
          <w:p w:rsidR="00031256" w:rsidRPr="00952B44" w:rsidRDefault="0081203F" w:rsidP="0081203F">
            <w:pPr>
              <w:tabs>
                <w:tab w:val="left" w:pos="990"/>
              </w:tabs>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ab/>
            </w:r>
          </w:p>
        </w:tc>
      </w:tr>
    </w:tbl>
    <w:p w:rsidR="004D15A9" w:rsidRPr="00952B44" w:rsidRDefault="004D15A9" w:rsidP="00DA596D">
      <w:pPr>
        <w:spacing w:after="0" w:line="240" w:lineRule="auto"/>
        <w:rPr>
          <w:rFonts w:ascii="Times New Roman" w:eastAsia="Times New Roman" w:hAnsi="Times New Roman" w:cs="Times New Roman"/>
          <w:vanish/>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524"/>
        <w:gridCol w:w="2901"/>
        <w:gridCol w:w="5989"/>
      </w:tblGrid>
      <w:tr w:rsidR="004D15A9" w:rsidRPr="00952B44" w:rsidTr="00101CD5">
        <w:trPr>
          <w:trHeight w:val="555"/>
        </w:trPr>
        <w:tc>
          <w:tcPr>
            <w:tcW w:w="0" w:type="auto"/>
            <w:gridSpan w:val="3"/>
            <w:tcBorders>
              <w:top w:val="nil"/>
              <w:left w:val="outset" w:sz="6" w:space="0" w:color="414142"/>
              <w:bottom w:val="outset" w:sz="6" w:space="0" w:color="414142"/>
              <w:right w:val="outset" w:sz="6" w:space="0" w:color="414142"/>
            </w:tcBorders>
            <w:vAlign w:val="center"/>
            <w:hideMark/>
          </w:tcPr>
          <w:p w:rsidR="004D15A9" w:rsidRPr="00952B44" w:rsidRDefault="004D15A9" w:rsidP="00DA596D">
            <w:pPr>
              <w:spacing w:after="0" w:line="240" w:lineRule="auto"/>
              <w:ind w:firstLine="300"/>
              <w:jc w:val="center"/>
              <w:rPr>
                <w:rFonts w:ascii="Times New Roman" w:eastAsia="Times New Roman" w:hAnsi="Times New Roman" w:cs="Times New Roman"/>
                <w:b/>
                <w:bCs/>
                <w:sz w:val="24"/>
                <w:szCs w:val="24"/>
              </w:rPr>
            </w:pPr>
            <w:r w:rsidRPr="00952B44">
              <w:rPr>
                <w:rFonts w:ascii="Times New Roman" w:eastAsia="Times New Roman" w:hAnsi="Times New Roman" w:cs="Times New Roman"/>
                <w:b/>
                <w:bCs/>
                <w:sz w:val="24"/>
                <w:szCs w:val="24"/>
              </w:rPr>
              <w:t>II. Tiesību akta projekta ietekme uz sabiedrību, tautsaimniecības attīstību un administratīvo slogu</w:t>
            </w:r>
          </w:p>
        </w:tc>
      </w:tr>
      <w:tr w:rsidR="004D15A9" w:rsidRPr="00952B44" w:rsidTr="00947E80">
        <w:trPr>
          <w:trHeight w:val="465"/>
        </w:trPr>
        <w:tc>
          <w:tcPr>
            <w:tcW w:w="278"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1.</w:t>
            </w:r>
          </w:p>
        </w:tc>
        <w:tc>
          <w:tcPr>
            <w:tcW w:w="1541" w:type="pct"/>
            <w:tcBorders>
              <w:top w:val="outset" w:sz="6" w:space="0" w:color="414142"/>
              <w:left w:val="outset" w:sz="6" w:space="0" w:color="414142"/>
              <w:bottom w:val="outset" w:sz="6" w:space="0" w:color="414142"/>
              <w:right w:val="outset" w:sz="6" w:space="0" w:color="414142"/>
            </w:tcBorders>
            <w:shd w:val="clear" w:color="auto" w:fill="auto"/>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47E80">
              <w:rPr>
                <w:rFonts w:ascii="Times New Roman" w:eastAsia="Times New Roman" w:hAnsi="Times New Roman" w:cs="Times New Roman"/>
                <w:sz w:val="24"/>
                <w:szCs w:val="24"/>
              </w:rPr>
              <w:t>Sabiedrības mērķgrupas, kuras tiesiskais regulējums ietekmē vai varētu ietekmēt</w:t>
            </w:r>
          </w:p>
        </w:tc>
        <w:tc>
          <w:tcPr>
            <w:tcW w:w="3180" w:type="pct"/>
            <w:tcBorders>
              <w:top w:val="outset" w:sz="6" w:space="0" w:color="414142"/>
              <w:left w:val="outset" w:sz="6" w:space="0" w:color="414142"/>
              <w:bottom w:val="outset" w:sz="6" w:space="0" w:color="414142"/>
              <w:right w:val="outset" w:sz="6" w:space="0" w:color="414142"/>
            </w:tcBorders>
            <w:hideMark/>
          </w:tcPr>
          <w:p w:rsidR="004D15A9" w:rsidRPr="00952B44" w:rsidRDefault="000251FB" w:rsidP="000251FB">
            <w:pPr>
              <w:spacing w:after="0" w:line="240" w:lineRule="auto"/>
              <w:jc w:val="both"/>
              <w:rPr>
                <w:rFonts w:ascii="Times New Roman" w:eastAsia="Times New Roman" w:hAnsi="Times New Roman" w:cs="Times New Roman"/>
                <w:sz w:val="24"/>
                <w:szCs w:val="24"/>
              </w:rPr>
            </w:pPr>
            <w:r w:rsidRPr="000251FB">
              <w:rPr>
                <w:rFonts w:ascii="Times New Roman" w:hAnsi="Times New Roman" w:cs="Times New Roman"/>
                <w:iCs/>
                <w:sz w:val="24"/>
                <w:szCs w:val="24"/>
              </w:rPr>
              <w:t xml:space="preserve">VRAA, VZD, PMLP, VID, </w:t>
            </w:r>
            <w:r w:rsidR="00D54EAF">
              <w:rPr>
                <w:rFonts w:ascii="Times New Roman" w:hAnsi="Times New Roman" w:cs="Times New Roman"/>
                <w:sz w:val="24"/>
                <w:szCs w:val="24"/>
              </w:rPr>
              <w:t>VDEĀVK</w:t>
            </w:r>
            <w:r w:rsidR="00D54EAF" w:rsidRPr="000251FB">
              <w:rPr>
                <w:rFonts w:ascii="Times New Roman" w:hAnsi="Times New Roman" w:cs="Times New Roman"/>
                <w:iCs/>
                <w:sz w:val="24"/>
                <w:szCs w:val="24"/>
              </w:rPr>
              <w:t xml:space="preserve"> </w:t>
            </w:r>
            <w:r w:rsidRPr="000251FB">
              <w:rPr>
                <w:rFonts w:ascii="Times New Roman" w:hAnsi="Times New Roman" w:cs="Times New Roman"/>
                <w:iCs/>
                <w:sz w:val="24"/>
                <w:szCs w:val="24"/>
              </w:rPr>
              <w:t xml:space="preserve">un </w:t>
            </w:r>
            <w:r>
              <w:rPr>
                <w:rFonts w:ascii="Times New Roman" w:hAnsi="Times New Roman" w:cs="Times New Roman"/>
                <w:iCs/>
                <w:sz w:val="24"/>
                <w:szCs w:val="24"/>
              </w:rPr>
              <w:t>pašvaldības.</w:t>
            </w:r>
            <w:r w:rsidRPr="000251FB">
              <w:rPr>
                <w:rFonts w:ascii="Times New Roman" w:hAnsi="Times New Roman" w:cs="Times New Roman"/>
                <w:iCs/>
                <w:sz w:val="24"/>
                <w:szCs w:val="24"/>
              </w:rPr>
              <w:t xml:space="preserve"> </w:t>
            </w:r>
          </w:p>
        </w:tc>
      </w:tr>
      <w:tr w:rsidR="004D15A9" w:rsidRPr="00952B44" w:rsidTr="00B8603D">
        <w:trPr>
          <w:trHeight w:val="29"/>
        </w:trPr>
        <w:tc>
          <w:tcPr>
            <w:tcW w:w="278"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2.</w:t>
            </w:r>
          </w:p>
        </w:tc>
        <w:tc>
          <w:tcPr>
            <w:tcW w:w="1541"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47E80">
              <w:rPr>
                <w:rFonts w:ascii="Times New Roman" w:eastAsia="Times New Roman" w:hAnsi="Times New Roman" w:cs="Times New Roman"/>
                <w:sz w:val="24"/>
                <w:szCs w:val="24"/>
              </w:rPr>
              <w:t>Tiesiskā regulējuma ietekme uz tautsaimniecību un administratīvo slogu</w:t>
            </w:r>
          </w:p>
        </w:tc>
        <w:tc>
          <w:tcPr>
            <w:tcW w:w="3180" w:type="pct"/>
            <w:tcBorders>
              <w:top w:val="outset" w:sz="6" w:space="0" w:color="414142"/>
              <w:left w:val="outset" w:sz="6" w:space="0" w:color="414142"/>
              <w:bottom w:val="outset" w:sz="6" w:space="0" w:color="414142"/>
              <w:right w:val="outset" w:sz="6" w:space="0" w:color="414142"/>
            </w:tcBorders>
            <w:hideMark/>
          </w:tcPr>
          <w:p w:rsidR="00500C42" w:rsidRDefault="000251FB" w:rsidP="000251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Pašvaldībām tiks atvieglota likumā</w:t>
            </w:r>
            <w:r w:rsidRPr="000251FB">
              <w:rPr>
                <w:rFonts w:ascii="Times New Roman" w:hAnsi="Times New Roman" w:cs="Times New Roman"/>
                <w:sz w:val="24"/>
                <w:szCs w:val="24"/>
              </w:rPr>
              <w:t xml:space="preserve"> „Par pašvaldībām” 14., 15. un 17.</w:t>
            </w:r>
            <w:r w:rsidRPr="000251FB">
              <w:rPr>
                <w:rFonts w:ascii="Times New Roman" w:hAnsi="Times New Roman" w:cs="Times New Roman"/>
                <w:sz w:val="24"/>
                <w:szCs w:val="24"/>
                <w:vertAlign w:val="superscript"/>
              </w:rPr>
              <w:t>2</w:t>
            </w:r>
            <w:r w:rsidR="00DC4B5D">
              <w:rPr>
                <w:rFonts w:ascii="Times New Roman" w:hAnsi="Times New Roman" w:cs="Times New Roman"/>
                <w:sz w:val="24"/>
                <w:szCs w:val="24"/>
              </w:rPr>
              <w:t>pantā</w:t>
            </w:r>
            <w:r w:rsidRPr="000251FB">
              <w:rPr>
                <w:rFonts w:ascii="Times New Roman" w:hAnsi="Times New Roman" w:cs="Times New Roman"/>
                <w:sz w:val="24"/>
                <w:szCs w:val="24"/>
              </w:rPr>
              <w:t xml:space="preserve"> noteikto funkciju </w:t>
            </w:r>
            <w:r>
              <w:rPr>
                <w:rFonts w:ascii="Times New Roman" w:hAnsi="Times New Roman" w:cs="Times New Roman"/>
                <w:sz w:val="24"/>
                <w:szCs w:val="24"/>
              </w:rPr>
              <w:t xml:space="preserve">nodrošināšana, jo </w:t>
            </w:r>
            <w:r w:rsidR="000E0BEC">
              <w:rPr>
                <w:rFonts w:ascii="Times New Roman" w:hAnsi="Times New Roman" w:cs="Times New Roman"/>
                <w:sz w:val="24"/>
                <w:szCs w:val="24"/>
              </w:rPr>
              <w:t>būs pieejams ievērojami lielāks šobrīd citās valsts informācijas sistēmās esošo datu kopu skaits.</w:t>
            </w:r>
          </w:p>
          <w:p w:rsidR="000E0BEC" w:rsidRPr="00B80E23" w:rsidRDefault="000E0BEC" w:rsidP="000251FB">
            <w:pPr>
              <w:spacing w:after="0" w:line="240" w:lineRule="auto"/>
              <w:jc w:val="both"/>
              <w:rPr>
                <w:rFonts w:ascii="Times New Roman" w:hAnsi="Times New Roman" w:cs="Times New Roman"/>
                <w:sz w:val="24"/>
                <w:szCs w:val="24"/>
              </w:rPr>
            </w:pPr>
            <w:r>
              <w:rPr>
                <w:rFonts w:ascii="Times New Roman" w:hAnsi="Times New Roman" w:cs="Times New Roman"/>
                <w:iCs/>
                <w:sz w:val="24"/>
                <w:szCs w:val="24"/>
              </w:rPr>
              <w:t>VRAA, VZD, PMLP, VID un</w:t>
            </w:r>
            <w:r w:rsidRPr="000251FB">
              <w:rPr>
                <w:rFonts w:ascii="Times New Roman" w:hAnsi="Times New Roman" w:cs="Times New Roman"/>
                <w:iCs/>
                <w:sz w:val="24"/>
                <w:szCs w:val="24"/>
              </w:rPr>
              <w:t xml:space="preserve"> </w:t>
            </w:r>
            <w:r w:rsidR="00D54EAF">
              <w:rPr>
                <w:rFonts w:ascii="Times New Roman" w:hAnsi="Times New Roman" w:cs="Times New Roman"/>
                <w:sz w:val="24"/>
                <w:szCs w:val="24"/>
              </w:rPr>
              <w:t>VDEĀVK</w:t>
            </w:r>
            <w:r w:rsidR="00D54EAF">
              <w:rPr>
                <w:rFonts w:ascii="Times New Roman" w:hAnsi="Times New Roman" w:cs="Times New Roman"/>
                <w:iCs/>
                <w:sz w:val="24"/>
                <w:szCs w:val="24"/>
              </w:rPr>
              <w:t xml:space="preserve"> </w:t>
            </w:r>
            <w:r>
              <w:rPr>
                <w:rFonts w:ascii="Times New Roman" w:hAnsi="Times New Roman" w:cs="Times New Roman"/>
                <w:iCs/>
                <w:sz w:val="24"/>
                <w:szCs w:val="24"/>
              </w:rPr>
              <w:t>administratīvais slogs palielināsies, jo VRAA būs nepieciešams nodrošināt jaunu funkciju (</w:t>
            </w:r>
            <w:r w:rsidRPr="000E0BEC">
              <w:rPr>
                <w:rFonts w:ascii="Times New Roman" w:hAnsi="Times New Roman" w:cs="Times New Roman"/>
                <w:iCs/>
                <w:sz w:val="24"/>
                <w:szCs w:val="24"/>
              </w:rPr>
              <w:t xml:space="preserve">personificēto datu </w:t>
            </w:r>
            <w:proofErr w:type="spellStart"/>
            <w:r w:rsidRPr="000E0BEC">
              <w:rPr>
                <w:rFonts w:ascii="Times New Roman" w:hAnsi="Times New Roman" w:cs="Times New Roman"/>
                <w:iCs/>
                <w:sz w:val="24"/>
                <w:szCs w:val="24"/>
              </w:rPr>
              <w:t>anonimizēšanas</w:t>
            </w:r>
            <w:proofErr w:type="spellEnd"/>
            <w:r w:rsidRPr="000E0BEC">
              <w:rPr>
                <w:rFonts w:ascii="Times New Roman" w:hAnsi="Times New Roman" w:cs="Times New Roman"/>
                <w:iCs/>
                <w:sz w:val="24"/>
                <w:szCs w:val="24"/>
              </w:rPr>
              <w:t xml:space="preserve"> funkcionalitāte</w:t>
            </w:r>
            <w:r>
              <w:rPr>
                <w:rFonts w:ascii="Times New Roman" w:hAnsi="Times New Roman" w:cs="Times New Roman"/>
                <w:iCs/>
                <w:sz w:val="24"/>
                <w:szCs w:val="24"/>
              </w:rPr>
              <w:t>), bet VZD, PMLP, VID un</w:t>
            </w:r>
            <w:r w:rsidRPr="000251FB">
              <w:rPr>
                <w:rFonts w:ascii="Times New Roman" w:hAnsi="Times New Roman" w:cs="Times New Roman"/>
                <w:iCs/>
                <w:sz w:val="24"/>
                <w:szCs w:val="24"/>
              </w:rPr>
              <w:t xml:space="preserve"> </w:t>
            </w:r>
            <w:r w:rsidR="00D54EAF">
              <w:rPr>
                <w:rFonts w:ascii="Times New Roman" w:hAnsi="Times New Roman" w:cs="Times New Roman"/>
                <w:sz w:val="24"/>
                <w:szCs w:val="24"/>
              </w:rPr>
              <w:t>VDEĀVK</w:t>
            </w:r>
            <w:r>
              <w:rPr>
                <w:rFonts w:ascii="Times New Roman" w:hAnsi="Times New Roman" w:cs="Times New Roman"/>
                <w:iCs/>
                <w:sz w:val="24"/>
                <w:szCs w:val="24"/>
              </w:rPr>
              <w:t xml:space="preserve"> būs </w:t>
            </w:r>
            <w:r>
              <w:rPr>
                <w:rFonts w:ascii="Times New Roman" w:hAnsi="Times New Roman" w:cs="Times New Roman"/>
                <w:iCs/>
                <w:sz w:val="24"/>
                <w:szCs w:val="24"/>
              </w:rPr>
              <w:lastRenderedPageBreak/>
              <w:t>jānodrošina nepieciešamo datu nodošanu VRAA.</w:t>
            </w:r>
          </w:p>
        </w:tc>
      </w:tr>
      <w:tr w:rsidR="004D15A9" w:rsidRPr="00952B44" w:rsidTr="00CE7BA5">
        <w:trPr>
          <w:trHeight w:val="510"/>
        </w:trPr>
        <w:tc>
          <w:tcPr>
            <w:tcW w:w="278"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lastRenderedPageBreak/>
              <w:t>3.</w:t>
            </w:r>
          </w:p>
        </w:tc>
        <w:tc>
          <w:tcPr>
            <w:tcW w:w="1541"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Administratīvo izmaksu monetārs novērtējums</w:t>
            </w:r>
          </w:p>
        </w:tc>
        <w:tc>
          <w:tcPr>
            <w:tcW w:w="3180" w:type="pct"/>
            <w:tcBorders>
              <w:top w:val="outset" w:sz="6" w:space="0" w:color="414142"/>
              <w:left w:val="outset" w:sz="6" w:space="0" w:color="414142"/>
              <w:bottom w:val="outset" w:sz="6" w:space="0" w:color="414142"/>
              <w:right w:val="outset" w:sz="6" w:space="0" w:color="414142"/>
            </w:tcBorders>
            <w:hideMark/>
          </w:tcPr>
          <w:p w:rsidR="00947E80" w:rsidRPr="00952B44" w:rsidRDefault="000251FB" w:rsidP="00E2636E">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Administratīvo izmaksu novērtējumu varēs </w:t>
            </w:r>
            <w:r w:rsidR="00E2636E">
              <w:rPr>
                <w:rFonts w:ascii="Times New Roman" w:hAnsi="Times New Roman" w:cs="Times New Roman"/>
                <w:sz w:val="24"/>
                <w:szCs w:val="24"/>
              </w:rPr>
              <w:t>veikt</w:t>
            </w:r>
            <w:r>
              <w:rPr>
                <w:rFonts w:ascii="Times New Roman" w:hAnsi="Times New Roman" w:cs="Times New Roman"/>
                <w:sz w:val="24"/>
                <w:szCs w:val="24"/>
              </w:rPr>
              <w:t xml:space="preserve"> izstrādājot </w:t>
            </w:r>
            <w:r w:rsidR="000E0BEC">
              <w:rPr>
                <w:rFonts w:ascii="Times New Roman" w:hAnsi="Times New Roman" w:cs="Times New Roman"/>
                <w:sz w:val="24"/>
                <w:szCs w:val="24"/>
              </w:rPr>
              <w:t>Ministru kabineta noteikumu projektu, kurā būs noteikta</w:t>
            </w:r>
            <w:r w:rsidR="00BA2656">
              <w:rPr>
                <w:rFonts w:ascii="Times New Roman" w:hAnsi="Times New Roman" w:cs="Times New Roman"/>
                <w:sz w:val="24"/>
                <w:szCs w:val="24"/>
              </w:rPr>
              <w:t xml:space="preserve"> kārtība kādā</w:t>
            </w:r>
            <w:r w:rsidR="000E0BEC" w:rsidRPr="000E0BEC">
              <w:rPr>
                <w:rFonts w:ascii="Times New Roman" w:hAnsi="Times New Roman" w:cs="Times New Roman"/>
                <w:sz w:val="24"/>
                <w:szCs w:val="24"/>
              </w:rPr>
              <w:t xml:space="preserve"> </w:t>
            </w:r>
            <w:r w:rsidR="00BA2656" w:rsidRPr="00BA2656">
              <w:rPr>
                <w:rFonts w:ascii="Times New Roman" w:hAnsi="Times New Roman" w:cs="Times New Roman"/>
                <w:sz w:val="24"/>
                <w:szCs w:val="24"/>
              </w:rPr>
              <w:t xml:space="preserve">nodrošina datu </w:t>
            </w:r>
            <w:proofErr w:type="spellStart"/>
            <w:r w:rsidR="00BA2656" w:rsidRPr="00BA2656">
              <w:rPr>
                <w:rFonts w:ascii="Times New Roman" w:hAnsi="Times New Roman" w:cs="Times New Roman"/>
                <w:sz w:val="24"/>
                <w:szCs w:val="24"/>
              </w:rPr>
              <w:t>anonimizēšanu</w:t>
            </w:r>
            <w:proofErr w:type="spellEnd"/>
            <w:r w:rsidR="00BA2656" w:rsidRPr="00BA2656">
              <w:rPr>
                <w:rFonts w:ascii="Times New Roman" w:hAnsi="Times New Roman" w:cs="Times New Roman"/>
                <w:sz w:val="24"/>
                <w:szCs w:val="24"/>
              </w:rPr>
              <w:t xml:space="preserve"> tajā </w:t>
            </w:r>
            <w:r w:rsidR="00BA2656">
              <w:rPr>
                <w:rFonts w:ascii="Times New Roman" w:hAnsi="Times New Roman" w:cs="Times New Roman"/>
                <w:sz w:val="24"/>
                <w:szCs w:val="24"/>
              </w:rPr>
              <w:t>skaitā datu savietošanas kārtība</w:t>
            </w:r>
            <w:r w:rsidR="00BA2656" w:rsidRPr="00BA2656">
              <w:rPr>
                <w:rFonts w:ascii="Times New Roman" w:hAnsi="Times New Roman" w:cs="Times New Roman"/>
                <w:sz w:val="24"/>
                <w:szCs w:val="24"/>
              </w:rPr>
              <w:t xml:space="preserve"> un valsts informācijas sistēmas, kuras nodrošina informācijas sniegšanu šā panta pirmajā daļā noteikto funkciju īstenošanai, kā arī sniedzamās informācijas apjo</w:t>
            </w:r>
            <w:r w:rsidR="00BA2656">
              <w:rPr>
                <w:rFonts w:ascii="Times New Roman" w:hAnsi="Times New Roman" w:cs="Times New Roman"/>
                <w:sz w:val="24"/>
                <w:szCs w:val="24"/>
              </w:rPr>
              <w:t>mu, aprites un apstrādes kārtība</w:t>
            </w:r>
            <w:r w:rsidR="000E0BEC">
              <w:rPr>
                <w:rFonts w:ascii="Times New Roman" w:hAnsi="Times New Roman" w:cs="Times New Roman"/>
                <w:sz w:val="24"/>
                <w:szCs w:val="24"/>
              </w:rPr>
              <w:t>.</w:t>
            </w:r>
            <w:r w:rsidR="006954D8">
              <w:rPr>
                <w:rFonts w:ascii="Times New Roman" w:hAnsi="Times New Roman" w:cs="Times New Roman"/>
                <w:sz w:val="24"/>
                <w:szCs w:val="24"/>
              </w:rPr>
              <w:t xml:space="preserve"> Līdz ar to šajos </w:t>
            </w:r>
            <w:r w:rsidR="00BA2656">
              <w:rPr>
                <w:rFonts w:ascii="Times New Roman" w:hAnsi="Times New Roman" w:cs="Times New Roman"/>
                <w:sz w:val="24"/>
                <w:szCs w:val="24"/>
              </w:rPr>
              <w:t xml:space="preserve">Ministru kabineta </w:t>
            </w:r>
            <w:r w:rsidR="006954D8">
              <w:rPr>
                <w:rFonts w:ascii="Times New Roman" w:hAnsi="Times New Roman" w:cs="Times New Roman"/>
                <w:sz w:val="24"/>
                <w:szCs w:val="24"/>
              </w:rPr>
              <w:t>noteikumos tiks precīzi noteikts sniegtās informācijas apjoms un biežums.</w:t>
            </w:r>
          </w:p>
        </w:tc>
      </w:tr>
      <w:tr w:rsidR="004D15A9" w:rsidRPr="00952B44" w:rsidTr="00CE7BA5">
        <w:trPr>
          <w:trHeight w:val="345"/>
        </w:trPr>
        <w:tc>
          <w:tcPr>
            <w:tcW w:w="278"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4.</w:t>
            </w:r>
          </w:p>
        </w:tc>
        <w:tc>
          <w:tcPr>
            <w:tcW w:w="1541"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Cita informācija</w:t>
            </w:r>
          </w:p>
        </w:tc>
        <w:tc>
          <w:tcPr>
            <w:tcW w:w="3180" w:type="pct"/>
            <w:tcBorders>
              <w:top w:val="outset" w:sz="6" w:space="0" w:color="414142"/>
              <w:left w:val="outset" w:sz="6" w:space="0" w:color="414142"/>
              <w:bottom w:val="outset" w:sz="6" w:space="0" w:color="414142"/>
              <w:right w:val="outset" w:sz="6" w:space="0" w:color="414142"/>
            </w:tcBorders>
            <w:hideMark/>
          </w:tcPr>
          <w:p w:rsidR="004D15A9" w:rsidRPr="00952B44" w:rsidRDefault="00C97CDD" w:rsidP="00C97CD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p>
        </w:tc>
      </w:tr>
    </w:tbl>
    <w:p w:rsidR="00CE7BA5" w:rsidRDefault="00CE7BA5" w:rsidP="00DA596D">
      <w:pPr>
        <w:spacing w:after="0" w:line="240" w:lineRule="auto"/>
        <w:rPr>
          <w:rFonts w:ascii="Times New Roman" w:eastAsia="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2910"/>
        <w:gridCol w:w="1316"/>
        <w:gridCol w:w="1615"/>
        <w:gridCol w:w="1167"/>
        <w:gridCol w:w="1171"/>
        <w:gridCol w:w="1235"/>
      </w:tblGrid>
      <w:tr w:rsidR="009F44C9" w:rsidRPr="00604EC9" w:rsidTr="000331EF">
        <w:trPr>
          <w:trHeight w:val="345"/>
        </w:trPr>
        <w:tc>
          <w:tcPr>
            <w:tcW w:w="5000" w:type="pct"/>
            <w:gridSpan w:val="6"/>
            <w:tcBorders>
              <w:top w:val="outset" w:sz="6" w:space="0" w:color="414142"/>
              <w:left w:val="nil"/>
              <w:bottom w:val="nil"/>
              <w:right w:val="nil"/>
            </w:tcBorders>
          </w:tcPr>
          <w:p w:rsidR="009F44C9" w:rsidRPr="00604EC9" w:rsidRDefault="009F44C9" w:rsidP="000331EF">
            <w:pPr>
              <w:spacing w:after="0" w:line="240" w:lineRule="auto"/>
              <w:rPr>
                <w:rFonts w:ascii="Times New Roman" w:eastAsia="Times New Roman" w:hAnsi="Times New Roman" w:cs="Times New Roman"/>
                <w:sz w:val="24"/>
                <w:szCs w:val="24"/>
              </w:rPr>
            </w:pPr>
          </w:p>
        </w:tc>
      </w:tr>
      <w:tr w:rsidR="009F44C9" w:rsidRPr="00604EC9" w:rsidTr="000331EF">
        <w:trPr>
          <w:trHeight w:val="360"/>
        </w:trPr>
        <w:tc>
          <w:tcPr>
            <w:tcW w:w="4980" w:type="pct"/>
            <w:gridSpan w:val="6"/>
            <w:tcBorders>
              <w:top w:val="single" w:sz="4" w:space="0" w:color="auto"/>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b/>
                <w:bCs/>
                <w:sz w:val="24"/>
                <w:szCs w:val="24"/>
              </w:rPr>
            </w:pPr>
            <w:r w:rsidRPr="00604EC9">
              <w:rPr>
                <w:rFonts w:ascii="Times New Roman" w:eastAsia="Times New Roman" w:hAnsi="Times New Roman" w:cs="Times New Roman"/>
                <w:b/>
                <w:bCs/>
                <w:sz w:val="24"/>
                <w:szCs w:val="24"/>
              </w:rPr>
              <w:t>III. Tiesību akta projekta ietekme uz valsts budžetu un pašvaldību budžetiem</w:t>
            </w:r>
          </w:p>
        </w:tc>
      </w:tr>
      <w:tr w:rsidR="009F44C9" w:rsidRPr="00604EC9" w:rsidTr="000331EF">
        <w:tc>
          <w:tcPr>
            <w:tcW w:w="1545" w:type="pct"/>
            <w:vMerge w:val="restar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b/>
                <w:bCs/>
                <w:sz w:val="24"/>
                <w:szCs w:val="24"/>
              </w:rPr>
            </w:pPr>
            <w:r w:rsidRPr="00604EC9">
              <w:rPr>
                <w:rFonts w:ascii="Times New Roman" w:eastAsia="Times New Roman" w:hAnsi="Times New Roman" w:cs="Times New Roman"/>
                <w:b/>
                <w:bCs/>
                <w:sz w:val="24"/>
                <w:szCs w:val="24"/>
              </w:rPr>
              <w:t>Rādītāji</w:t>
            </w:r>
          </w:p>
        </w:tc>
        <w:tc>
          <w:tcPr>
            <w:tcW w:w="1557" w:type="pct"/>
            <w:gridSpan w:val="2"/>
            <w:vMerge w:val="restar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b/>
                <w:bCs/>
                <w:sz w:val="24"/>
                <w:szCs w:val="24"/>
              </w:rPr>
            </w:pPr>
            <w:r w:rsidRPr="00604EC9">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rPr>
              <w:t>6. </w:t>
            </w:r>
            <w:r w:rsidRPr="00604EC9">
              <w:rPr>
                <w:rFonts w:ascii="Times New Roman" w:eastAsia="Times New Roman" w:hAnsi="Times New Roman" w:cs="Times New Roman"/>
                <w:b/>
                <w:bCs/>
                <w:sz w:val="24"/>
                <w:szCs w:val="24"/>
              </w:rPr>
              <w:t>gads</w:t>
            </w:r>
          </w:p>
        </w:tc>
        <w:tc>
          <w:tcPr>
            <w:tcW w:w="1878" w:type="pct"/>
            <w:gridSpan w:val="3"/>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Turpmākie trīs gadi (</w:t>
            </w:r>
            <w:proofErr w:type="spellStart"/>
            <w:r w:rsidRPr="00F27D40">
              <w:rPr>
                <w:rFonts w:ascii="Times New Roman" w:eastAsia="Times New Roman" w:hAnsi="Times New Roman" w:cs="Times New Roman"/>
                <w:i/>
                <w:sz w:val="24"/>
                <w:szCs w:val="24"/>
              </w:rPr>
              <w:t>euro</w:t>
            </w:r>
            <w:proofErr w:type="spellEnd"/>
            <w:r w:rsidRPr="00604EC9">
              <w:rPr>
                <w:rFonts w:ascii="Times New Roman" w:eastAsia="Times New Roman" w:hAnsi="Times New Roman" w:cs="Times New Roman"/>
                <w:sz w:val="24"/>
                <w:szCs w:val="24"/>
              </w:rPr>
              <w:t>)</w:t>
            </w:r>
          </w:p>
        </w:tc>
      </w:tr>
      <w:tr w:rsidR="009F44C9" w:rsidRPr="00604EC9" w:rsidTr="000331EF">
        <w:tc>
          <w:tcPr>
            <w:tcW w:w="1545" w:type="pct"/>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b/>
                <w:bCs/>
                <w:sz w:val="24"/>
                <w:szCs w:val="24"/>
              </w:rPr>
            </w:pPr>
          </w:p>
        </w:tc>
        <w:tc>
          <w:tcPr>
            <w:tcW w:w="1557" w:type="pct"/>
            <w:gridSpan w:val="2"/>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b/>
                <w:bCs/>
                <w:sz w:val="24"/>
                <w:szCs w:val="24"/>
              </w:rPr>
            </w:pPr>
          </w:p>
        </w:tc>
        <w:tc>
          <w:tcPr>
            <w:tcW w:w="620"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b/>
                <w:bCs/>
                <w:sz w:val="24"/>
                <w:szCs w:val="24"/>
              </w:rPr>
            </w:pPr>
            <w:r w:rsidRPr="00604EC9">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rPr>
              <w:t>7.</w:t>
            </w:r>
          </w:p>
        </w:tc>
        <w:tc>
          <w:tcPr>
            <w:tcW w:w="622"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b/>
                <w:bCs/>
                <w:sz w:val="24"/>
                <w:szCs w:val="24"/>
              </w:rPr>
            </w:pPr>
            <w:r w:rsidRPr="00604EC9">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rPr>
              <w:t>8.</w:t>
            </w:r>
          </w:p>
        </w:tc>
        <w:tc>
          <w:tcPr>
            <w:tcW w:w="636"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b/>
                <w:bCs/>
                <w:sz w:val="24"/>
                <w:szCs w:val="24"/>
              </w:rPr>
            </w:pPr>
            <w:r w:rsidRPr="00604EC9">
              <w:rPr>
                <w:rFonts w:ascii="Times New Roman" w:eastAsia="Times New Roman" w:hAnsi="Times New Roman" w:cs="Times New Roman"/>
                <w:b/>
                <w:bCs/>
                <w:sz w:val="24"/>
                <w:szCs w:val="24"/>
              </w:rPr>
              <w:t>201</w:t>
            </w:r>
            <w:r>
              <w:rPr>
                <w:rFonts w:ascii="Times New Roman" w:eastAsia="Times New Roman" w:hAnsi="Times New Roman" w:cs="Times New Roman"/>
                <w:b/>
                <w:bCs/>
                <w:sz w:val="24"/>
                <w:szCs w:val="24"/>
              </w:rPr>
              <w:t>9.</w:t>
            </w:r>
          </w:p>
        </w:tc>
      </w:tr>
      <w:tr w:rsidR="009F44C9" w:rsidRPr="00604EC9" w:rsidTr="000331EF">
        <w:tc>
          <w:tcPr>
            <w:tcW w:w="1545" w:type="pct"/>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b/>
                <w:bCs/>
                <w:sz w:val="24"/>
                <w:szCs w:val="24"/>
              </w:rPr>
            </w:pPr>
          </w:p>
        </w:tc>
        <w:tc>
          <w:tcPr>
            <w:tcW w:w="699"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saskaņā ar valsts budžetu kārtējam gadam</w:t>
            </w:r>
          </w:p>
        </w:tc>
        <w:tc>
          <w:tcPr>
            <w:tcW w:w="858"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izmaiņas kārtējā gadā, salīdzinot ar valsts budžetu kārtējam gadam</w:t>
            </w:r>
          </w:p>
        </w:tc>
        <w:tc>
          <w:tcPr>
            <w:tcW w:w="620"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xml:space="preserve">izmaiņas, salīdzinot ar kārtējo </w:t>
            </w:r>
            <w:r>
              <w:rPr>
                <w:rFonts w:ascii="Times New Roman" w:eastAsia="Times New Roman" w:hAnsi="Times New Roman" w:cs="Times New Roman"/>
                <w:sz w:val="24"/>
                <w:szCs w:val="24"/>
              </w:rPr>
              <w:t>2016.</w:t>
            </w:r>
            <w:r w:rsidRPr="00604EC9">
              <w:rPr>
                <w:rFonts w:ascii="Times New Roman" w:eastAsia="Times New Roman" w:hAnsi="Times New Roman" w:cs="Times New Roman"/>
                <w:sz w:val="24"/>
                <w:szCs w:val="24"/>
              </w:rPr>
              <w:t xml:space="preserve"> gadu</w:t>
            </w:r>
          </w:p>
        </w:tc>
        <w:tc>
          <w:tcPr>
            <w:tcW w:w="622"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xml:space="preserve">izmaiņas, salīdzinot ar kārtējo </w:t>
            </w:r>
            <w:r>
              <w:rPr>
                <w:rFonts w:ascii="Times New Roman" w:eastAsia="Times New Roman" w:hAnsi="Times New Roman" w:cs="Times New Roman"/>
                <w:sz w:val="24"/>
                <w:szCs w:val="24"/>
              </w:rPr>
              <w:t>2016.</w:t>
            </w:r>
            <w:r w:rsidRPr="00604EC9">
              <w:rPr>
                <w:rFonts w:ascii="Times New Roman" w:eastAsia="Times New Roman" w:hAnsi="Times New Roman" w:cs="Times New Roman"/>
                <w:sz w:val="24"/>
                <w:szCs w:val="24"/>
              </w:rPr>
              <w:t xml:space="preserve"> gadu</w:t>
            </w:r>
          </w:p>
        </w:tc>
        <w:tc>
          <w:tcPr>
            <w:tcW w:w="636"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xml:space="preserve">izmaiņas, salīdzinot ar kārtējo </w:t>
            </w:r>
            <w:r>
              <w:rPr>
                <w:rFonts w:ascii="Times New Roman" w:eastAsia="Times New Roman" w:hAnsi="Times New Roman" w:cs="Times New Roman"/>
                <w:sz w:val="24"/>
                <w:szCs w:val="24"/>
              </w:rPr>
              <w:t>2016.</w:t>
            </w:r>
            <w:r w:rsidRPr="00604EC9">
              <w:rPr>
                <w:rFonts w:ascii="Times New Roman" w:eastAsia="Times New Roman" w:hAnsi="Times New Roman" w:cs="Times New Roman"/>
                <w:sz w:val="24"/>
                <w:szCs w:val="24"/>
              </w:rPr>
              <w:t xml:space="preserve"> gadu</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ind w:firstLine="300"/>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1</w:t>
            </w:r>
          </w:p>
        </w:tc>
        <w:tc>
          <w:tcPr>
            <w:tcW w:w="699"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2</w:t>
            </w:r>
          </w:p>
        </w:tc>
        <w:tc>
          <w:tcPr>
            <w:tcW w:w="858"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3</w:t>
            </w:r>
          </w:p>
        </w:tc>
        <w:tc>
          <w:tcPr>
            <w:tcW w:w="620"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4</w:t>
            </w:r>
          </w:p>
        </w:tc>
        <w:tc>
          <w:tcPr>
            <w:tcW w:w="622"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5</w:t>
            </w:r>
          </w:p>
        </w:tc>
        <w:tc>
          <w:tcPr>
            <w:tcW w:w="636" w:type="pct"/>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6</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1. Budžeta ieņēmumi:</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1.1. valsts pamatbudžets, tai skaitā ieņēmumi no maksas pakalpojumiem un citi pašu ieņēmumi</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1.2. valsts speciālais 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1.3. pašvaldību 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2. Budžeta izdevumi:</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E21C5B" w:rsidRDefault="00C42AD5" w:rsidP="000331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tcPr>
          <w:p w:rsidR="009F44C9" w:rsidRPr="00D177E4" w:rsidRDefault="00AF00FB" w:rsidP="000331EF">
            <w:pPr>
              <w:spacing w:after="0" w:line="240" w:lineRule="auto"/>
              <w:jc w:val="center"/>
              <w:rPr>
                <w:rFonts w:ascii="Times New Roman" w:eastAsia="Times New Roman" w:hAnsi="Times New Roman" w:cs="Times New Roman"/>
                <w:sz w:val="24"/>
                <w:szCs w:val="24"/>
                <w:highlight w:val="yellow"/>
              </w:rPr>
            </w:pPr>
            <w:r w:rsidRPr="00AF00FB">
              <w:rPr>
                <w:rFonts w:ascii="Times New Roman" w:eastAsia="Times New Roman" w:hAnsi="Times New Roman" w:cs="Times New Roman"/>
                <w:sz w:val="24"/>
                <w:szCs w:val="24"/>
              </w:rPr>
              <w:t>30 294</w:t>
            </w:r>
          </w:p>
        </w:tc>
        <w:tc>
          <w:tcPr>
            <w:tcW w:w="636" w:type="pct"/>
            <w:tcBorders>
              <w:top w:val="outset" w:sz="6" w:space="0" w:color="414142"/>
              <w:left w:val="outset" w:sz="6" w:space="0" w:color="414142"/>
              <w:bottom w:val="outset" w:sz="6" w:space="0" w:color="414142"/>
              <w:right w:val="outset" w:sz="6" w:space="0" w:color="414142"/>
            </w:tcBorders>
          </w:tcPr>
          <w:p w:rsidR="009F44C9" w:rsidRPr="00D177E4" w:rsidRDefault="00E60C69" w:rsidP="000331EF">
            <w:pPr>
              <w:spacing w:after="0" w:line="240" w:lineRule="auto"/>
              <w:jc w:val="center"/>
              <w:rPr>
                <w:rFonts w:ascii="Times New Roman" w:eastAsia="Times New Roman" w:hAnsi="Times New Roman" w:cs="Times New Roman"/>
                <w:sz w:val="24"/>
                <w:szCs w:val="24"/>
                <w:highlight w:val="yellow"/>
              </w:rPr>
            </w:pPr>
            <w:r w:rsidRPr="00E60C69">
              <w:rPr>
                <w:rFonts w:ascii="Times New Roman" w:eastAsia="Times New Roman" w:hAnsi="Times New Roman" w:cs="Times New Roman"/>
                <w:sz w:val="24"/>
                <w:szCs w:val="24"/>
              </w:rPr>
              <w:t>54 281</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2.1. valsts pamatbudžets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C42AD5" w:rsidP="000331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tcPr>
          <w:p w:rsidR="009F44C9" w:rsidRPr="00D177E4" w:rsidRDefault="00AF00FB" w:rsidP="000331EF">
            <w:pPr>
              <w:spacing w:after="0" w:line="240" w:lineRule="auto"/>
              <w:jc w:val="center"/>
              <w:rPr>
                <w:rFonts w:ascii="Times New Roman" w:eastAsia="Times New Roman" w:hAnsi="Times New Roman" w:cs="Times New Roman"/>
                <w:sz w:val="24"/>
                <w:szCs w:val="24"/>
                <w:highlight w:val="yellow"/>
              </w:rPr>
            </w:pPr>
            <w:r w:rsidRPr="00AF00FB">
              <w:rPr>
                <w:rFonts w:ascii="Times New Roman" w:eastAsia="Times New Roman" w:hAnsi="Times New Roman" w:cs="Times New Roman"/>
                <w:sz w:val="24"/>
                <w:szCs w:val="24"/>
              </w:rPr>
              <w:t>30 294</w:t>
            </w:r>
          </w:p>
        </w:tc>
        <w:tc>
          <w:tcPr>
            <w:tcW w:w="636" w:type="pct"/>
            <w:tcBorders>
              <w:top w:val="outset" w:sz="6" w:space="0" w:color="414142"/>
              <w:left w:val="outset" w:sz="6" w:space="0" w:color="414142"/>
              <w:bottom w:val="outset" w:sz="6" w:space="0" w:color="414142"/>
              <w:right w:val="outset" w:sz="6" w:space="0" w:color="414142"/>
            </w:tcBorders>
          </w:tcPr>
          <w:p w:rsidR="009F44C9" w:rsidRPr="00D177E4" w:rsidRDefault="00E60C69" w:rsidP="000331EF">
            <w:pPr>
              <w:spacing w:after="0" w:line="240" w:lineRule="auto"/>
              <w:jc w:val="center"/>
              <w:rPr>
                <w:rFonts w:ascii="Times New Roman" w:eastAsia="Times New Roman" w:hAnsi="Times New Roman" w:cs="Times New Roman"/>
                <w:sz w:val="24"/>
                <w:szCs w:val="24"/>
                <w:highlight w:val="yellow"/>
              </w:rPr>
            </w:pPr>
            <w:r w:rsidRPr="00E60C69">
              <w:rPr>
                <w:rFonts w:ascii="Times New Roman" w:eastAsia="Times New Roman" w:hAnsi="Times New Roman" w:cs="Times New Roman"/>
                <w:sz w:val="24"/>
                <w:szCs w:val="24"/>
              </w:rPr>
              <w:t>54 281</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2.2. valsts speciālais 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22"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c>
          <w:tcPr>
            <w:tcW w:w="636"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jc w:val="center"/>
              <w:rPr>
                <w:rFonts w:ascii="Times New Roman" w:eastAsia="Times New Roman" w:hAnsi="Times New Roman" w:cs="Times New Roman"/>
                <w:sz w:val="24"/>
                <w:szCs w:val="24"/>
              </w:rPr>
            </w:pP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2.3. pašvaldību 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22"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36"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3. Finansiālā ietekme:</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C42AD5" w:rsidP="000331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tcPr>
          <w:p w:rsidR="009F44C9" w:rsidRPr="00D177E4" w:rsidRDefault="00AF00FB" w:rsidP="000331EF">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w:t>
            </w:r>
            <w:r w:rsidRPr="00AF00FB">
              <w:rPr>
                <w:rFonts w:ascii="Times New Roman" w:eastAsia="Times New Roman" w:hAnsi="Times New Roman" w:cs="Times New Roman"/>
                <w:sz w:val="24"/>
                <w:szCs w:val="24"/>
              </w:rPr>
              <w:t>30 294</w:t>
            </w:r>
          </w:p>
        </w:tc>
        <w:tc>
          <w:tcPr>
            <w:tcW w:w="636" w:type="pct"/>
            <w:tcBorders>
              <w:top w:val="outset" w:sz="6" w:space="0" w:color="414142"/>
              <w:left w:val="outset" w:sz="6" w:space="0" w:color="414142"/>
              <w:bottom w:val="outset" w:sz="6" w:space="0" w:color="414142"/>
              <w:right w:val="outset" w:sz="6" w:space="0" w:color="414142"/>
            </w:tcBorders>
          </w:tcPr>
          <w:p w:rsidR="009F44C9" w:rsidRPr="00D177E4" w:rsidRDefault="00E60C69" w:rsidP="000331EF">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w:t>
            </w:r>
            <w:r w:rsidRPr="00E60C69">
              <w:rPr>
                <w:rFonts w:ascii="Times New Roman" w:eastAsia="Times New Roman" w:hAnsi="Times New Roman" w:cs="Times New Roman"/>
                <w:sz w:val="24"/>
                <w:szCs w:val="24"/>
              </w:rPr>
              <w:t>54 281</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3.1. valsts pamatbudžets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C42AD5" w:rsidP="000331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tcPr>
          <w:p w:rsidR="009F44C9" w:rsidRPr="00D177E4" w:rsidRDefault="00AF00FB" w:rsidP="000331EF">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w:t>
            </w:r>
            <w:r w:rsidRPr="00AF00FB">
              <w:rPr>
                <w:rFonts w:ascii="Times New Roman" w:eastAsia="Times New Roman" w:hAnsi="Times New Roman" w:cs="Times New Roman"/>
                <w:sz w:val="24"/>
                <w:szCs w:val="24"/>
              </w:rPr>
              <w:t>30 294</w:t>
            </w:r>
          </w:p>
        </w:tc>
        <w:tc>
          <w:tcPr>
            <w:tcW w:w="636" w:type="pct"/>
            <w:tcBorders>
              <w:top w:val="outset" w:sz="6" w:space="0" w:color="414142"/>
              <w:left w:val="outset" w:sz="6" w:space="0" w:color="414142"/>
              <w:bottom w:val="outset" w:sz="6" w:space="0" w:color="414142"/>
              <w:right w:val="outset" w:sz="6" w:space="0" w:color="414142"/>
            </w:tcBorders>
          </w:tcPr>
          <w:p w:rsidR="009F44C9" w:rsidRPr="00D177E4" w:rsidRDefault="00E60C69" w:rsidP="000331EF">
            <w:pPr>
              <w:spacing w:after="0" w:line="240" w:lineRule="auto"/>
              <w:jc w:val="center"/>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w:t>
            </w:r>
            <w:r w:rsidRPr="00E60C69">
              <w:rPr>
                <w:rFonts w:ascii="Times New Roman" w:eastAsia="Times New Roman" w:hAnsi="Times New Roman" w:cs="Times New Roman"/>
                <w:sz w:val="24"/>
                <w:szCs w:val="24"/>
              </w:rPr>
              <w:t>54 281</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3.2. speciālais 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3.3. pašvaldību budžets</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 </w:t>
            </w:r>
          </w:p>
        </w:tc>
      </w:tr>
      <w:tr w:rsidR="009F44C9" w:rsidRPr="00604EC9" w:rsidTr="000331EF">
        <w:trPr>
          <w:trHeight w:val="1380"/>
        </w:trPr>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4. Finanšu līdzekļi papildu izdevumu finansēšanai (kompensējošu izdevumu samazinājumu norāda ar "+" zīmi)</w:t>
            </w:r>
          </w:p>
        </w:tc>
        <w:tc>
          <w:tcPr>
            <w:tcW w:w="699"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X</w:t>
            </w:r>
          </w:p>
        </w:tc>
        <w:tc>
          <w:tcPr>
            <w:tcW w:w="858" w:type="pct"/>
            <w:tcBorders>
              <w:top w:val="outset" w:sz="6" w:space="0" w:color="414142"/>
              <w:left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636" w:type="pct"/>
            <w:tcBorders>
              <w:top w:val="outset" w:sz="6" w:space="0" w:color="414142"/>
              <w:left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p w:rsidR="009F44C9" w:rsidRPr="00604EC9" w:rsidRDefault="009F44C9" w:rsidP="000331EF">
            <w:pPr>
              <w:spacing w:after="0" w:line="240" w:lineRule="auto"/>
              <w:jc w:val="center"/>
              <w:rPr>
                <w:rFonts w:ascii="Times New Roman" w:eastAsia="Times New Roman" w:hAnsi="Times New Roman" w:cs="Times New Roman"/>
                <w:sz w:val="24"/>
                <w:szCs w:val="24"/>
              </w:rPr>
            </w:pP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5. Precizēta finansiālā ietekme:</w:t>
            </w:r>
          </w:p>
        </w:tc>
        <w:tc>
          <w:tcPr>
            <w:tcW w:w="699" w:type="pct"/>
            <w:vMerge w:val="restar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X</w:t>
            </w: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36"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lastRenderedPageBreak/>
              <w:t>5.1. valsts pamatbudžets</w:t>
            </w:r>
          </w:p>
        </w:tc>
        <w:tc>
          <w:tcPr>
            <w:tcW w:w="699" w:type="pct"/>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sz w:val="24"/>
                <w:szCs w:val="24"/>
              </w:rPr>
            </w:pP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36" w:type="pct"/>
            <w:tcBorders>
              <w:top w:val="outset" w:sz="6" w:space="0" w:color="414142"/>
              <w:left w:val="outset" w:sz="6" w:space="0" w:color="414142"/>
              <w:bottom w:val="outset" w:sz="6" w:space="0" w:color="414142"/>
              <w:right w:val="outset" w:sz="6" w:space="0" w:color="414142"/>
            </w:tcBorders>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5.2. speciālais budžets</w:t>
            </w:r>
          </w:p>
        </w:tc>
        <w:tc>
          <w:tcPr>
            <w:tcW w:w="699" w:type="pct"/>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sz w:val="24"/>
                <w:szCs w:val="24"/>
              </w:rPr>
            </w:pP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5.3. pašvaldību budžets</w:t>
            </w:r>
          </w:p>
        </w:tc>
        <w:tc>
          <w:tcPr>
            <w:tcW w:w="699" w:type="pct"/>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sz w:val="24"/>
                <w:szCs w:val="24"/>
              </w:rPr>
            </w:pPr>
          </w:p>
        </w:tc>
        <w:tc>
          <w:tcPr>
            <w:tcW w:w="858"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0"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22"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c>
          <w:tcPr>
            <w:tcW w:w="636"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jc w:val="center"/>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0</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6. Detalizēts ieņēmumu un izdevumu aprēķins (ja nepieciešams, detalizētu ieņēmumu un izdevumu aprēķinu var pievienot anotācijas pielikumā):</w:t>
            </w:r>
          </w:p>
        </w:tc>
        <w:tc>
          <w:tcPr>
            <w:tcW w:w="3435" w:type="pct"/>
            <w:gridSpan w:val="5"/>
            <w:vMerge w:val="restart"/>
            <w:tcBorders>
              <w:top w:val="outset" w:sz="6" w:space="0" w:color="414142"/>
              <w:left w:val="outset" w:sz="6" w:space="0" w:color="414142"/>
              <w:bottom w:val="outset" w:sz="6" w:space="0" w:color="414142"/>
              <w:right w:val="outset" w:sz="6" w:space="0" w:color="414142"/>
            </w:tcBorders>
            <w:vAlign w:val="center"/>
            <w:hideMark/>
          </w:tcPr>
          <w:p w:rsidR="009F44C9" w:rsidRPr="00BE709B" w:rsidRDefault="009F44C9" w:rsidP="00174437">
            <w:pPr>
              <w:spacing w:line="240" w:lineRule="auto"/>
              <w:ind w:firstLine="284"/>
              <w:jc w:val="both"/>
              <w:rPr>
                <w:rFonts w:ascii="Times New Roman" w:eastAsia="Times New Roman" w:hAnsi="Times New Roman" w:cs="Times New Roman"/>
                <w:sz w:val="24"/>
                <w:szCs w:val="24"/>
              </w:rPr>
            </w:pPr>
            <w:r w:rsidRPr="00BE709B">
              <w:rPr>
                <w:rFonts w:ascii="Times New Roman" w:hAnsi="Times New Roman" w:cs="Times New Roman"/>
                <w:sz w:val="24"/>
                <w:szCs w:val="24"/>
              </w:rPr>
              <w:t>Ņemot vērā</w:t>
            </w:r>
            <w:r w:rsidR="00174437">
              <w:rPr>
                <w:rFonts w:ascii="Times New Roman" w:hAnsi="Times New Roman" w:cs="Times New Roman"/>
                <w:sz w:val="24"/>
                <w:szCs w:val="24"/>
              </w:rPr>
              <w:t xml:space="preserve">, ka </w:t>
            </w:r>
            <w:r w:rsidR="00F1688B">
              <w:rPr>
                <w:rFonts w:ascii="Times New Roman" w:hAnsi="Times New Roman" w:cs="Times New Roman"/>
                <w:sz w:val="24"/>
                <w:szCs w:val="24"/>
              </w:rPr>
              <w:t xml:space="preserve">personificēto datu </w:t>
            </w:r>
            <w:proofErr w:type="spellStart"/>
            <w:r w:rsidR="00F1688B">
              <w:rPr>
                <w:rFonts w:ascii="Times New Roman" w:hAnsi="Times New Roman" w:cs="Times New Roman"/>
                <w:sz w:val="24"/>
                <w:szCs w:val="24"/>
              </w:rPr>
              <w:t>anonimizēšanas</w:t>
            </w:r>
            <w:proofErr w:type="spellEnd"/>
            <w:r w:rsidR="00F1688B">
              <w:rPr>
                <w:rFonts w:ascii="Times New Roman" w:hAnsi="Times New Roman" w:cs="Times New Roman"/>
                <w:sz w:val="24"/>
                <w:szCs w:val="24"/>
              </w:rPr>
              <w:t xml:space="preserve"> funkcionalitāte būs jauna funkcija, ko būs jānodrošina </w:t>
            </w:r>
            <w:r w:rsidR="00174437">
              <w:rPr>
                <w:rFonts w:ascii="Times New Roman" w:hAnsi="Times New Roman" w:cs="Times New Roman"/>
                <w:sz w:val="24"/>
                <w:szCs w:val="24"/>
              </w:rPr>
              <w:t>VRAA</w:t>
            </w:r>
            <w:r w:rsidR="00F1688B">
              <w:rPr>
                <w:rFonts w:ascii="Times New Roman" w:hAnsi="Times New Roman" w:cs="Times New Roman"/>
                <w:sz w:val="24"/>
                <w:szCs w:val="24"/>
              </w:rPr>
              <w:t>, nepieciešams paredzēt finansējumu darbiniek</w:t>
            </w:r>
            <w:r w:rsidR="00C42AD5">
              <w:rPr>
                <w:rFonts w:ascii="Times New Roman" w:hAnsi="Times New Roman" w:cs="Times New Roman"/>
                <w:sz w:val="24"/>
                <w:szCs w:val="24"/>
              </w:rPr>
              <w:t>iem</w:t>
            </w:r>
            <w:r w:rsidR="00D419B6">
              <w:rPr>
                <w:rFonts w:ascii="Times New Roman" w:hAnsi="Times New Roman" w:cs="Times New Roman"/>
                <w:sz w:val="24"/>
                <w:szCs w:val="24"/>
              </w:rPr>
              <w:t xml:space="preserve"> (sistēmu analītiķis un sistēmu administrators)</w:t>
            </w:r>
            <w:r w:rsidR="00F1688B">
              <w:rPr>
                <w:rFonts w:ascii="Times New Roman" w:hAnsi="Times New Roman" w:cs="Times New Roman"/>
                <w:sz w:val="24"/>
                <w:szCs w:val="24"/>
              </w:rPr>
              <w:t>, kur</w:t>
            </w:r>
            <w:r w:rsidR="00C42AD5">
              <w:rPr>
                <w:rFonts w:ascii="Times New Roman" w:hAnsi="Times New Roman" w:cs="Times New Roman"/>
                <w:sz w:val="24"/>
                <w:szCs w:val="24"/>
              </w:rPr>
              <w:t>i</w:t>
            </w:r>
            <w:r w:rsidR="00F1688B">
              <w:rPr>
                <w:rFonts w:ascii="Times New Roman" w:hAnsi="Times New Roman" w:cs="Times New Roman"/>
                <w:sz w:val="24"/>
                <w:szCs w:val="24"/>
              </w:rPr>
              <w:t xml:space="preserve"> nodrošinās</w:t>
            </w:r>
            <w:r w:rsidR="0040175A">
              <w:rPr>
                <w:rFonts w:ascii="Times New Roman" w:hAnsi="Times New Roman" w:cs="Times New Roman"/>
                <w:sz w:val="24"/>
                <w:szCs w:val="24"/>
              </w:rPr>
              <w:t xml:space="preserve"> minētās funkcionalitātes uzturēšanu un attīstību, kā arī nodrošinās</w:t>
            </w:r>
            <w:r w:rsidR="0040175A" w:rsidRPr="0040175A">
              <w:rPr>
                <w:rFonts w:ascii="Times New Roman" w:hAnsi="Times New Roman" w:cs="Times New Roman"/>
                <w:sz w:val="24"/>
                <w:szCs w:val="24"/>
              </w:rPr>
              <w:t xml:space="preserve"> </w:t>
            </w:r>
            <w:r w:rsidR="0040175A">
              <w:rPr>
                <w:rFonts w:ascii="Times New Roman" w:hAnsi="Times New Roman" w:cs="Times New Roman"/>
                <w:sz w:val="24"/>
                <w:szCs w:val="24"/>
              </w:rPr>
              <w:t>funkcionalitātes</w:t>
            </w:r>
            <w:r w:rsidR="0040175A" w:rsidRPr="0040175A">
              <w:rPr>
                <w:rFonts w:ascii="Times New Roman" w:hAnsi="Times New Roman" w:cs="Times New Roman"/>
                <w:sz w:val="24"/>
                <w:szCs w:val="24"/>
              </w:rPr>
              <w:t xml:space="preserve"> lietotājiem nepieciešamā informatīvā vai konsultatīvā atbalsta sniegšanu</w:t>
            </w:r>
            <w:r w:rsidR="0040175A">
              <w:rPr>
                <w:rFonts w:ascii="Times New Roman" w:hAnsi="Times New Roman" w:cs="Times New Roman"/>
                <w:sz w:val="24"/>
                <w:szCs w:val="24"/>
              </w:rPr>
              <w:t>.</w:t>
            </w:r>
          </w:p>
          <w:p w:rsidR="009F44C9" w:rsidRPr="00D177E4" w:rsidRDefault="009F44C9" w:rsidP="000331EF">
            <w:pPr>
              <w:spacing w:after="0" w:line="240" w:lineRule="auto"/>
              <w:rPr>
                <w:rFonts w:ascii="Times New Roman" w:eastAsia="Times New Roman" w:hAnsi="Times New Roman" w:cs="Times New Roman"/>
                <w:b/>
                <w:sz w:val="24"/>
                <w:szCs w:val="24"/>
              </w:rPr>
            </w:pPr>
            <w:r w:rsidRPr="00BE709B">
              <w:rPr>
                <w:rFonts w:ascii="Times New Roman" w:eastAsia="Times New Roman" w:hAnsi="Times New Roman" w:cs="Times New Roman"/>
                <w:b/>
                <w:sz w:val="24"/>
                <w:szCs w:val="24"/>
              </w:rPr>
              <w:t>Izdevumi 201</w:t>
            </w:r>
            <w:r w:rsidR="00C42AD5">
              <w:rPr>
                <w:rFonts w:ascii="Times New Roman" w:eastAsia="Times New Roman" w:hAnsi="Times New Roman" w:cs="Times New Roman"/>
                <w:b/>
                <w:sz w:val="24"/>
                <w:szCs w:val="24"/>
              </w:rPr>
              <w:t>8</w:t>
            </w:r>
            <w:r w:rsidRPr="00BE709B">
              <w:rPr>
                <w:rFonts w:ascii="Times New Roman" w:eastAsia="Times New Roman" w:hAnsi="Times New Roman" w:cs="Times New Roman"/>
                <w:b/>
                <w:sz w:val="24"/>
                <w:szCs w:val="24"/>
              </w:rPr>
              <w:t xml:space="preserve">. gadā: </w:t>
            </w:r>
            <w:r w:rsidR="00AF00FB">
              <w:rPr>
                <w:rFonts w:ascii="Times New Roman" w:eastAsia="Times New Roman" w:hAnsi="Times New Roman" w:cs="Times New Roman"/>
                <w:b/>
                <w:sz w:val="24"/>
                <w:szCs w:val="24"/>
              </w:rPr>
              <w:t>30 294</w:t>
            </w:r>
            <w:r w:rsidRPr="00BE709B">
              <w:rPr>
                <w:rFonts w:ascii="Times New Roman" w:eastAsia="Times New Roman" w:hAnsi="Times New Roman" w:cs="Times New Roman"/>
                <w:b/>
                <w:sz w:val="24"/>
                <w:szCs w:val="24"/>
              </w:rPr>
              <w:t xml:space="preserve"> </w:t>
            </w:r>
            <w:proofErr w:type="spellStart"/>
            <w:r w:rsidRPr="00BE709B">
              <w:rPr>
                <w:rFonts w:ascii="Times New Roman" w:eastAsia="Times New Roman" w:hAnsi="Times New Roman" w:cs="Times New Roman"/>
                <w:b/>
                <w:i/>
                <w:sz w:val="24"/>
                <w:szCs w:val="24"/>
              </w:rPr>
              <w:t>euro</w:t>
            </w:r>
            <w:proofErr w:type="spellEnd"/>
            <w:r w:rsidRPr="00BE709B">
              <w:rPr>
                <w:rFonts w:ascii="Times New Roman" w:eastAsia="Times New Roman" w:hAnsi="Times New Roman" w:cs="Times New Roman"/>
                <w:b/>
                <w:i/>
                <w:sz w:val="24"/>
                <w:szCs w:val="24"/>
              </w:rPr>
              <w:t>.</w:t>
            </w:r>
            <w:r w:rsidR="00D177E4">
              <w:rPr>
                <w:rFonts w:ascii="Times New Roman" w:eastAsia="Times New Roman" w:hAnsi="Times New Roman" w:cs="Times New Roman"/>
                <w:b/>
                <w:sz w:val="24"/>
                <w:szCs w:val="24"/>
              </w:rPr>
              <w:t xml:space="preserve"> </w:t>
            </w:r>
          </w:p>
          <w:p w:rsidR="00F909F7" w:rsidRPr="00F909F7" w:rsidRDefault="00F909F7" w:rsidP="00C42AD5">
            <w:pPr>
              <w:spacing w:after="0" w:line="240" w:lineRule="auto"/>
              <w:jc w:val="both"/>
              <w:rPr>
                <w:rFonts w:ascii="Times New Roman" w:hAnsi="Times New Roman" w:cs="Times New Roman"/>
                <w:b/>
                <w:sz w:val="24"/>
                <w:szCs w:val="24"/>
              </w:rPr>
            </w:pPr>
            <w:r w:rsidRPr="00F909F7">
              <w:rPr>
                <w:rFonts w:ascii="Times New Roman" w:hAnsi="Times New Roman" w:cs="Times New Roman"/>
                <w:b/>
                <w:sz w:val="24"/>
                <w:szCs w:val="24"/>
              </w:rPr>
              <w:t>Atlīdzība.</w:t>
            </w:r>
          </w:p>
          <w:p w:rsidR="000331EF" w:rsidRDefault="000331EF" w:rsidP="00C42AD5">
            <w:pPr>
              <w:spacing w:after="0" w:line="240" w:lineRule="auto"/>
              <w:jc w:val="both"/>
              <w:rPr>
                <w:rFonts w:ascii="Times New Roman" w:hAnsi="Times New Roman" w:cs="Times New Roman"/>
                <w:sz w:val="24"/>
                <w:szCs w:val="24"/>
              </w:rPr>
            </w:pPr>
            <w:r w:rsidRPr="00F909F7">
              <w:rPr>
                <w:rFonts w:ascii="Times New Roman" w:hAnsi="Times New Roman" w:cs="Times New Roman"/>
                <w:sz w:val="24"/>
                <w:szCs w:val="24"/>
              </w:rPr>
              <w:t>S</w:t>
            </w:r>
            <w:r w:rsidR="00F909F7">
              <w:rPr>
                <w:rFonts w:ascii="Times New Roman" w:hAnsi="Times New Roman" w:cs="Times New Roman"/>
                <w:sz w:val="24"/>
                <w:szCs w:val="24"/>
              </w:rPr>
              <w:t>istēmu analītiķis</w:t>
            </w:r>
            <w:r w:rsidRPr="000331EF">
              <w:rPr>
                <w:rFonts w:ascii="Times New Roman" w:hAnsi="Times New Roman" w:cs="Times New Roman"/>
                <w:sz w:val="24"/>
                <w:szCs w:val="24"/>
              </w:rPr>
              <w:t xml:space="preserve"> (amata saime 19.3, amata</w:t>
            </w:r>
            <w:r w:rsidR="00F909F7">
              <w:rPr>
                <w:rFonts w:ascii="Times New Roman" w:hAnsi="Times New Roman" w:cs="Times New Roman"/>
                <w:sz w:val="24"/>
                <w:szCs w:val="24"/>
              </w:rPr>
              <w:t xml:space="preserve"> līmenis IIA, mēnešalgu grupa 11).</w:t>
            </w:r>
          </w:p>
          <w:p w:rsidR="00C42AD5" w:rsidRPr="00C42AD5" w:rsidRDefault="00C42AD5" w:rsidP="00C42AD5">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 Atlīdzība (EKK 1000) – </w:t>
            </w:r>
            <w:r w:rsidR="00F909F7" w:rsidRPr="00F909F7">
              <w:rPr>
                <w:rFonts w:ascii="Times New Roman" w:hAnsi="Times New Roman" w:cs="Times New Roman"/>
                <w:sz w:val="24"/>
                <w:szCs w:val="24"/>
              </w:rPr>
              <w:t>2 135</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(t.sk. atalgojums </w:t>
            </w:r>
            <w:r w:rsidR="00F909F7" w:rsidRPr="00F909F7">
              <w:rPr>
                <w:rFonts w:ascii="Times New Roman" w:hAnsi="Times New Roman" w:cs="Times New Roman"/>
                <w:sz w:val="24"/>
                <w:szCs w:val="24"/>
              </w:rPr>
              <w:t>1 658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valsts sociālās apdrošināšanas obligātās iemaksas, sociāla rakstura pabalsti un kompensācijas – </w:t>
            </w:r>
            <w:r w:rsidR="00F909F7" w:rsidRPr="00F909F7">
              <w:rPr>
                <w:rFonts w:ascii="Times New Roman" w:hAnsi="Times New Roman" w:cs="Times New Roman"/>
                <w:sz w:val="24"/>
                <w:szCs w:val="24"/>
              </w:rPr>
              <w:t>477</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w:t>
            </w:r>
          </w:p>
          <w:p w:rsidR="00C42AD5" w:rsidRPr="00C42AD5" w:rsidRDefault="00C42AD5" w:rsidP="00C42AD5">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1.1.Mēnešalga</w:t>
            </w:r>
            <w:r w:rsidR="00F909F7">
              <w:t xml:space="preserve"> </w:t>
            </w:r>
            <w:r w:rsidR="00F909F7" w:rsidRPr="00F909F7">
              <w:rPr>
                <w:rFonts w:ascii="Times New Roman" w:hAnsi="Times New Roman" w:cs="Times New Roman"/>
                <w:sz w:val="24"/>
                <w:szCs w:val="24"/>
              </w:rPr>
              <w:t>1 382</w:t>
            </w:r>
            <w:r w:rsidR="00F909F7">
              <w:rPr>
                <w:rFonts w:ascii="Times New Roman" w:hAnsi="Times New Roman" w:cs="Times New Roman"/>
                <w:sz w:val="24"/>
                <w:szCs w:val="24"/>
              </w:rPr>
              <w:t xml:space="preserve"> </w:t>
            </w:r>
            <w:proofErr w:type="spellStart"/>
            <w:r w:rsidR="00F909F7">
              <w:rPr>
                <w:rFonts w:ascii="Times New Roman" w:hAnsi="Times New Roman" w:cs="Times New Roman"/>
                <w:sz w:val="24"/>
                <w:szCs w:val="24"/>
              </w:rPr>
              <w:t>euro</w:t>
            </w:r>
            <w:proofErr w:type="spellEnd"/>
            <w:r w:rsidR="00F909F7">
              <w:rPr>
                <w:rFonts w:ascii="Times New Roman" w:hAnsi="Times New Roman" w:cs="Times New Roman"/>
                <w:sz w:val="24"/>
                <w:szCs w:val="24"/>
              </w:rPr>
              <w:t>/mēnesī x 6</w:t>
            </w:r>
            <w:r w:rsidRPr="00C42AD5">
              <w:rPr>
                <w:rFonts w:ascii="Times New Roman" w:hAnsi="Times New Roman" w:cs="Times New Roman"/>
                <w:sz w:val="24"/>
                <w:szCs w:val="24"/>
              </w:rPr>
              <w:t xml:space="preserve"> mēneši x 1 amata vieta = </w:t>
            </w:r>
            <w:r w:rsidR="00F909F7">
              <w:rPr>
                <w:rFonts w:ascii="Times New Roman" w:hAnsi="Times New Roman" w:cs="Times New Roman"/>
                <w:sz w:val="24"/>
                <w:szCs w:val="24"/>
              </w:rPr>
              <w:t>8292</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C42AD5" w:rsidRPr="00C42AD5" w:rsidRDefault="00C42AD5" w:rsidP="00C42AD5">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1.2. Vispārējā piemaksa 10 % apmērā no plānotās mēnešalgu kopsummas – </w:t>
            </w:r>
            <w:r w:rsidR="004A38F9" w:rsidRPr="004A38F9">
              <w:rPr>
                <w:rFonts w:ascii="Times New Roman" w:hAnsi="Times New Roman" w:cs="Times New Roman"/>
                <w:sz w:val="24"/>
                <w:szCs w:val="24"/>
              </w:rPr>
              <w:t>138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C42AD5" w:rsidRPr="00C42AD5" w:rsidRDefault="00C42AD5" w:rsidP="00C42AD5">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1.3. Prēmijas un naudas balvas 10 % apmērā no plānotās mēnešalgu kopsummas – </w:t>
            </w:r>
            <w:r w:rsidR="004A38F9" w:rsidRPr="004A38F9">
              <w:rPr>
                <w:rFonts w:ascii="Times New Roman" w:hAnsi="Times New Roman" w:cs="Times New Roman"/>
                <w:sz w:val="24"/>
                <w:szCs w:val="24"/>
              </w:rPr>
              <w:t>138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C42AD5" w:rsidRPr="00C42AD5" w:rsidRDefault="00C42AD5" w:rsidP="00C42AD5">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1.4. Sociālās garantijas 5 % apmērā no plānotās mēnešalgu kopsummas – </w:t>
            </w:r>
            <w:r w:rsidR="004A38F9" w:rsidRPr="004A38F9">
              <w:rPr>
                <w:rFonts w:ascii="Times New Roman" w:hAnsi="Times New Roman" w:cs="Times New Roman"/>
                <w:sz w:val="24"/>
                <w:szCs w:val="24"/>
              </w:rPr>
              <w:t>69</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9F44C9" w:rsidRDefault="00C42AD5" w:rsidP="00C42AD5">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1.5. Darba devēja valsts sociālās apdrošināša</w:t>
            </w:r>
            <w:r w:rsidR="00F909F7">
              <w:rPr>
                <w:rFonts w:ascii="Times New Roman" w:hAnsi="Times New Roman" w:cs="Times New Roman"/>
                <w:sz w:val="24"/>
                <w:szCs w:val="24"/>
              </w:rPr>
              <w:t xml:space="preserve">nas iemaksas 23,59 % = </w:t>
            </w:r>
            <w:r w:rsidR="004A38F9" w:rsidRPr="004A38F9">
              <w:rPr>
                <w:rFonts w:ascii="Times New Roman" w:hAnsi="Times New Roman" w:cs="Times New Roman"/>
                <w:sz w:val="24"/>
                <w:szCs w:val="24"/>
              </w:rPr>
              <w:t>408</w:t>
            </w:r>
            <w:r w:rsidR="00F909F7">
              <w:rPr>
                <w:rFonts w:ascii="Times New Roman" w:hAnsi="Times New Roman" w:cs="Times New Roman"/>
                <w:sz w:val="24"/>
                <w:szCs w:val="24"/>
              </w:rPr>
              <w:t xml:space="preserve"> </w:t>
            </w:r>
            <w:proofErr w:type="spellStart"/>
            <w:r w:rsidR="00F909F7">
              <w:rPr>
                <w:rFonts w:ascii="Times New Roman" w:hAnsi="Times New Roman" w:cs="Times New Roman"/>
                <w:sz w:val="24"/>
                <w:szCs w:val="24"/>
              </w:rPr>
              <w:t>euro</w:t>
            </w:r>
            <w:proofErr w:type="spellEnd"/>
            <w:r w:rsidR="00F909F7">
              <w:rPr>
                <w:rFonts w:ascii="Times New Roman" w:hAnsi="Times New Roman" w:cs="Times New Roman"/>
                <w:sz w:val="24"/>
                <w:szCs w:val="24"/>
              </w:rPr>
              <w:t>.</w:t>
            </w:r>
          </w:p>
          <w:p w:rsidR="00F909F7" w:rsidRDefault="00F909F7" w:rsidP="00C42AD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Sistēmu administrators</w:t>
            </w:r>
            <w:r w:rsidRPr="00F909F7">
              <w:rPr>
                <w:rFonts w:ascii="Times New Roman" w:hAnsi="Times New Roman" w:cs="Times New Roman"/>
                <w:sz w:val="24"/>
                <w:szCs w:val="24"/>
              </w:rPr>
              <w:t xml:space="preserve"> (amata saime 19.5, amata līmenis IIIA, m</w:t>
            </w:r>
            <w:r>
              <w:rPr>
                <w:rFonts w:ascii="Times New Roman" w:hAnsi="Times New Roman" w:cs="Times New Roman"/>
                <w:sz w:val="24"/>
                <w:szCs w:val="24"/>
              </w:rPr>
              <w:t>ēnešalgu grupa 10)</w:t>
            </w:r>
          </w:p>
          <w:p w:rsidR="00F909F7" w:rsidRPr="00C42AD5" w:rsidRDefault="00F909F7" w:rsidP="00F909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42AD5">
              <w:rPr>
                <w:rFonts w:ascii="Times New Roman" w:hAnsi="Times New Roman" w:cs="Times New Roman"/>
                <w:sz w:val="24"/>
                <w:szCs w:val="24"/>
              </w:rPr>
              <w:t xml:space="preserve">Atlīdzība (EKK 1000) – </w:t>
            </w:r>
            <w:r w:rsidR="000B1108" w:rsidRPr="000B1108">
              <w:rPr>
                <w:rFonts w:ascii="Times New Roman" w:hAnsi="Times New Roman" w:cs="Times New Roman"/>
                <w:sz w:val="24"/>
                <w:szCs w:val="24"/>
              </w:rPr>
              <w:t>1 988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(t.sk. atalgojums </w:t>
            </w:r>
            <w:r w:rsidR="000B1108" w:rsidRPr="000B1108">
              <w:rPr>
                <w:rFonts w:ascii="Times New Roman" w:hAnsi="Times New Roman" w:cs="Times New Roman"/>
                <w:sz w:val="24"/>
                <w:szCs w:val="24"/>
              </w:rPr>
              <w:t>1 544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valsts sociālās apdrošināšanas obligātās iemaksas, sociāla rakstura pabalsti un kompensācijas – </w:t>
            </w:r>
            <w:r w:rsidR="000B1108" w:rsidRPr="000B1108">
              <w:rPr>
                <w:rFonts w:ascii="Times New Roman" w:hAnsi="Times New Roman" w:cs="Times New Roman"/>
                <w:sz w:val="24"/>
                <w:szCs w:val="24"/>
              </w:rPr>
              <w:t>444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w:t>
            </w:r>
          </w:p>
          <w:p w:rsidR="00F909F7" w:rsidRPr="00C42AD5" w:rsidRDefault="00F909F7" w:rsidP="00F909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0B1108">
              <w:rPr>
                <w:rFonts w:ascii="Times New Roman" w:hAnsi="Times New Roman" w:cs="Times New Roman"/>
                <w:sz w:val="24"/>
                <w:szCs w:val="24"/>
              </w:rPr>
              <w:t>.1.Mēnešalga</w:t>
            </w:r>
            <w:r w:rsidRPr="00C42AD5">
              <w:rPr>
                <w:rFonts w:ascii="Times New Roman" w:hAnsi="Times New Roman" w:cs="Times New Roman"/>
                <w:sz w:val="24"/>
                <w:szCs w:val="24"/>
              </w:rPr>
              <w:t xml:space="preserve"> </w:t>
            </w:r>
            <w:r w:rsidR="000B1108" w:rsidRPr="000B1108">
              <w:rPr>
                <w:rFonts w:ascii="Times New Roman" w:hAnsi="Times New Roman" w:cs="Times New Roman"/>
                <w:sz w:val="24"/>
                <w:szCs w:val="24"/>
              </w:rPr>
              <w:t>1 287</w:t>
            </w:r>
            <w:r w:rsidRPr="00C42AD5">
              <w:rPr>
                <w:rFonts w:ascii="Times New Roman" w:hAnsi="Times New Roman" w:cs="Times New Roman"/>
                <w:sz w:val="24"/>
                <w:szCs w:val="24"/>
              </w:rPr>
              <w:t xml:space="preserve"> </w:t>
            </w:r>
            <w:proofErr w:type="spellStart"/>
            <w:r w:rsidR="000B1108">
              <w:rPr>
                <w:rFonts w:ascii="Times New Roman" w:hAnsi="Times New Roman" w:cs="Times New Roman"/>
                <w:sz w:val="24"/>
                <w:szCs w:val="24"/>
              </w:rPr>
              <w:t>euro</w:t>
            </w:r>
            <w:proofErr w:type="spellEnd"/>
            <w:r w:rsidR="000B1108">
              <w:rPr>
                <w:rFonts w:ascii="Times New Roman" w:hAnsi="Times New Roman" w:cs="Times New Roman"/>
                <w:sz w:val="24"/>
                <w:szCs w:val="24"/>
              </w:rPr>
              <w:t>/mēnesī x 6</w:t>
            </w:r>
            <w:r w:rsidRPr="00C42AD5">
              <w:rPr>
                <w:rFonts w:ascii="Times New Roman" w:hAnsi="Times New Roman" w:cs="Times New Roman"/>
                <w:sz w:val="24"/>
                <w:szCs w:val="24"/>
              </w:rPr>
              <w:t xml:space="preserve"> mēneši x 1 amata vieta = </w:t>
            </w:r>
            <w:r w:rsidR="000B1108">
              <w:rPr>
                <w:rFonts w:ascii="Times New Roman" w:hAnsi="Times New Roman" w:cs="Times New Roman"/>
                <w:sz w:val="24"/>
                <w:szCs w:val="24"/>
              </w:rPr>
              <w:t>7722</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F909F7" w:rsidRPr="00C42AD5" w:rsidRDefault="00F909F7" w:rsidP="00F909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 xml:space="preserve">.2. Vispārējā piemaksa 10 % apmērā no plānotās mēnešalgu kopsummas – </w:t>
            </w:r>
            <w:r w:rsidR="000B1108" w:rsidRPr="000B1108">
              <w:rPr>
                <w:rFonts w:ascii="Times New Roman" w:hAnsi="Times New Roman" w:cs="Times New Roman"/>
                <w:sz w:val="24"/>
                <w:szCs w:val="24"/>
              </w:rPr>
              <w:t>129</w:t>
            </w:r>
            <w:r w:rsidR="000B1108">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F909F7" w:rsidRPr="00C42AD5" w:rsidRDefault="00F909F7" w:rsidP="00F909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 xml:space="preserve">.3. Prēmijas un naudas balvas 10 % apmērā no plānotās mēnešalgu kopsummas – </w:t>
            </w:r>
            <w:r w:rsidR="000B1108" w:rsidRPr="000B1108">
              <w:rPr>
                <w:rFonts w:ascii="Times New Roman" w:hAnsi="Times New Roman" w:cs="Times New Roman"/>
                <w:sz w:val="24"/>
                <w:szCs w:val="24"/>
              </w:rPr>
              <w:t>129</w:t>
            </w:r>
            <w:r w:rsidRPr="00C42AD5">
              <w:rPr>
                <w:rFonts w:ascii="Times New Roman" w:hAnsi="Times New Roman" w:cs="Times New Roman"/>
                <w:sz w:val="24"/>
                <w:szCs w:val="24"/>
              </w:rPr>
              <w:t>euro.</w:t>
            </w:r>
          </w:p>
          <w:p w:rsidR="00F909F7" w:rsidRPr="00C42AD5" w:rsidRDefault="00F909F7" w:rsidP="00F909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 xml:space="preserve">.4. Sociālās garantijas 5 % apmērā no plānotās mēnešalgu kopsummas – </w:t>
            </w:r>
            <w:r w:rsidR="000B1108" w:rsidRPr="000B1108">
              <w:rPr>
                <w:rFonts w:ascii="Times New Roman" w:hAnsi="Times New Roman" w:cs="Times New Roman"/>
                <w:sz w:val="24"/>
                <w:szCs w:val="24"/>
              </w:rPr>
              <w:t>64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F909F7" w:rsidRDefault="00F909F7" w:rsidP="00F909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.5. Darba devēja valsts sociālās apdrošināša</w:t>
            </w:r>
            <w:r>
              <w:rPr>
                <w:rFonts w:ascii="Times New Roman" w:hAnsi="Times New Roman" w:cs="Times New Roman"/>
                <w:sz w:val="24"/>
                <w:szCs w:val="24"/>
              </w:rPr>
              <w:t xml:space="preserve">nas iemaksas 23,59 % = </w:t>
            </w:r>
            <w:r w:rsidR="000B1108" w:rsidRPr="000B1108">
              <w:rPr>
                <w:rFonts w:ascii="Times New Roman" w:hAnsi="Times New Roman" w:cs="Times New Roman"/>
                <w:sz w:val="24"/>
                <w:szCs w:val="24"/>
              </w:rPr>
              <w:t>380</w:t>
            </w:r>
            <w:r>
              <w:rPr>
                <w:rFonts w:ascii="Times New Roman" w:hAnsi="Times New Roman" w:cs="Times New Roman"/>
                <w:sz w:val="24"/>
                <w:szCs w:val="24"/>
              </w:rPr>
              <w:t xml:space="preserve"> </w:t>
            </w:r>
            <w:proofErr w:type="spellStart"/>
            <w:r>
              <w:rPr>
                <w:rFonts w:ascii="Times New Roman" w:hAnsi="Times New Roman" w:cs="Times New Roman"/>
                <w:sz w:val="24"/>
                <w:szCs w:val="24"/>
              </w:rPr>
              <w:t>euro</w:t>
            </w:r>
            <w:proofErr w:type="spellEnd"/>
            <w:r>
              <w:rPr>
                <w:rFonts w:ascii="Times New Roman" w:hAnsi="Times New Roman" w:cs="Times New Roman"/>
                <w:sz w:val="24"/>
                <w:szCs w:val="24"/>
              </w:rPr>
              <w:t>.</w:t>
            </w:r>
          </w:p>
          <w:p w:rsidR="00F909F7" w:rsidRDefault="00F909F7" w:rsidP="00C42AD5">
            <w:pPr>
              <w:spacing w:after="0" w:line="240" w:lineRule="auto"/>
              <w:jc w:val="both"/>
              <w:rPr>
                <w:rFonts w:ascii="Times New Roman" w:hAnsi="Times New Roman" w:cs="Times New Roman"/>
                <w:b/>
                <w:sz w:val="24"/>
                <w:szCs w:val="24"/>
              </w:rPr>
            </w:pPr>
            <w:r w:rsidRPr="00F909F7">
              <w:rPr>
                <w:rFonts w:ascii="Times New Roman" w:hAnsi="Times New Roman" w:cs="Times New Roman"/>
                <w:b/>
                <w:sz w:val="24"/>
                <w:szCs w:val="24"/>
              </w:rPr>
              <w:t>Darba vietas iekārtošana.</w:t>
            </w:r>
          </w:p>
          <w:p w:rsidR="00BC51C1" w:rsidRPr="00BC51C1" w:rsidRDefault="004B45A1" w:rsidP="00BC51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darba vietu iekārtošanai </w:t>
            </w:r>
            <w:r w:rsidR="00BC51C1" w:rsidRPr="00BC51C1">
              <w:rPr>
                <w:rFonts w:ascii="Times New Roman" w:hAnsi="Times New Roman" w:cs="Times New Roman"/>
                <w:sz w:val="24"/>
                <w:szCs w:val="24"/>
              </w:rPr>
              <w:t xml:space="preserve">5 554 </w:t>
            </w:r>
            <w:proofErr w:type="spellStart"/>
            <w:r w:rsidR="00BC51C1" w:rsidRPr="00BC51C1">
              <w:rPr>
                <w:rFonts w:ascii="Times New Roman" w:hAnsi="Times New Roman" w:cs="Times New Roman"/>
                <w:sz w:val="24"/>
                <w:szCs w:val="24"/>
              </w:rPr>
              <w:t>euro</w:t>
            </w:r>
            <w:proofErr w:type="spellEnd"/>
          </w:p>
          <w:p w:rsidR="00BC51C1" w:rsidRPr="00BC51C1" w:rsidRDefault="00BC51C1" w:rsidP="00BC51C1">
            <w:pPr>
              <w:spacing w:after="0" w:line="240" w:lineRule="auto"/>
              <w:jc w:val="both"/>
              <w:rPr>
                <w:rFonts w:ascii="Times New Roman" w:hAnsi="Times New Roman" w:cs="Times New Roman"/>
                <w:sz w:val="24"/>
                <w:szCs w:val="24"/>
              </w:rPr>
            </w:pPr>
            <w:r w:rsidRPr="00BC51C1">
              <w:rPr>
                <w:rFonts w:ascii="Times New Roman" w:hAnsi="Times New Roman" w:cs="Times New Roman"/>
                <w:sz w:val="24"/>
                <w:szCs w:val="24"/>
              </w:rPr>
              <w:t>Dat</w:t>
            </w:r>
            <w:r w:rsidR="004B45A1">
              <w:rPr>
                <w:rFonts w:ascii="Times New Roman" w:hAnsi="Times New Roman" w:cs="Times New Roman"/>
                <w:sz w:val="24"/>
                <w:szCs w:val="24"/>
              </w:rPr>
              <w:t xml:space="preserve">ortehnikas komplekta izmaksas </w:t>
            </w:r>
            <w:r w:rsidRPr="00BC51C1">
              <w:rPr>
                <w:rFonts w:ascii="Times New Roman" w:hAnsi="Times New Roman" w:cs="Times New Roman"/>
                <w:sz w:val="24"/>
                <w:szCs w:val="24"/>
              </w:rPr>
              <w:t xml:space="preserve">2 277 </w:t>
            </w:r>
            <w:proofErr w:type="spellStart"/>
            <w:r w:rsidRPr="00BC51C1">
              <w:rPr>
                <w:rFonts w:ascii="Times New Roman" w:hAnsi="Times New Roman" w:cs="Times New Roman"/>
                <w:sz w:val="24"/>
                <w:szCs w:val="24"/>
              </w:rPr>
              <w:t>euro</w:t>
            </w:r>
            <w:proofErr w:type="spellEnd"/>
            <w:r w:rsidRPr="00BC51C1">
              <w:rPr>
                <w:rFonts w:ascii="Times New Roman" w:hAnsi="Times New Roman" w:cs="Times New Roman"/>
                <w:sz w:val="24"/>
                <w:szCs w:val="24"/>
              </w:rPr>
              <w:t xml:space="preserve"> *2 =4 554 </w:t>
            </w:r>
            <w:proofErr w:type="spellStart"/>
            <w:r w:rsidRPr="00BC51C1">
              <w:rPr>
                <w:rFonts w:ascii="Times New Roman" w:hAnsi="Times New Roman" w:cs="Times New Roman"/>
                <w:sz w:val="24"/>
                <w:szCs w:val="24"/>
              </w:rPr>
              <w:t>euro</w:t>
            </w:r>
            <w:proofErr w:type="spellEnd"/>
          </w:p>
          <w:p w:rsidR="00BC51C1" w:rsidRPr="00BC51C1" w:rsidRDefault="00BC51C1" w:rsidP="00BC51C1">
            <w:pPr>
              <w:spacing w:after="0" w:line="240" w:lineRule="auto"/>
              <w:jc w:val="both"/>
              <w:rPr>
                <w:rFonts w:ascii="Times New Roman" w:hAnsi="Times New Roman" w:cs="Times New Roman"/>
                <w:sz w:val="24"/>
                <w:szCs w:val="24"/>
              </w:rPr>
            </w:pPr>
            <w:r w:rsidRPr="00BC51C1">
              <w:rPr>
                <w:rFonts w:ascii="Times New Roman" w:hAnsi="Times New Roman" w:cs="Times New Roman"/>
                <w:sz w:val="24"/>
                <w:szCs w:val="24"/>
              </w:rPr>
              <w:t xml:space="preserve">(datortehnikas komplektā ietilpst </w:t>
            </w:r>
            <w:proofErr w:type="spellStart"/>
            <w:r w:rsidRPr="00BC51C1">
              <w:rPr>
                <w:rFonts w:ascii="Times New Roman" w:hAnsi="Times New Roman" w:cs="Times New Roman"/>
                <w:sz w:val="24"/>
                <w:szCs w:val="24"/>
              </w:rPr>
              <w:t>standartprogrammatūra</w:t>
            </w:r>
            <w:proofErr w:type="spellEnd"/>
            <w:r w:rsidRPr="00BC51C1">
              <w:rPr>
                <w:rFonts w:ascii="Times New Roman" w:hAnsi="Times New Roman" w:cs="Times New Roman"/>
                <w:sz w:val="24"/>
                <w:szCs w:val="24"/>
              </w:rPr>
              <w:t xml:space="preserve"> 711 </w:t>
            </w:r>
            <w:proofErr w:type="spellStart"/>
            <w:r w:rsidRPr="00BC51C1">
              <w:rPr>
                <w:rFonts w:ascii="Times New Roman" w:hAnsi="Times New Roman" w:cs="Times New Roman"/>
                <w:sz w:val="24"/>
                <w:szCs w:val="24"/>
              </w:rPr>
              <w:t>euro</w:t>
            </w:r>
            <w:proofErr w:type="spellEnd"/>
            <w:r w:rsidRPr="00BC51C1">
              <w:rPr>
                <w:rFonts w:ascii="Times New Roman" w:hAnsi="Times New Roman" w:cs="Times New Roman"/>
                <w:sz w:val="24"/>
                <w:szCs w:val="24"/>
              </w:rPr>
              <w:t xml:space="preserve">, papildus programmatūra 428 </w:t>
            </w:r>
            <w:proofErr w:type="spellStart"/>
            <w:r w:rsidRPr="00BC51C1">
              <w:rPr>
                <w:rFonts w:ascii="Times New Roman" w:hAnsi="Times New Roman" w:cs="Times New Roman"/>
                <w:sz w:val="24"/>
                <w:szCs w:val="24"/>
              </w:rPr>
              <w:t>euro</w:t>
            </w:r>
            <w:proofErr w:type="spellEnd"/>
            <w:r w:rsidRPr="00BC51C1">
              <w:rPr>
                <w:rFonts w:ascii="Times New Roman" w:hAnsi="Times New Roman" w:cs="Times New Roman"/>
                <w:sz w:val="24"/>
                <w:szCs w:val="24"/>
              </w:rPr>
              <w:t xml:space="preserve">, dators ar monitoru -1138 </w:t>
            </w:r>
            <w:proofErr w:type="spellStart"/>
            <w:r w:rsidRPr="00BC51C1">
              <w:rPr>
                <w:rFonts w:ascii="Times New Roman" w:hAnsi="Times New Roman" w:cs="Times New Roman"/>
                <w:sz w:val="24"/>
                <w:szCs w:val="24"/>
              </w:rPr>
              <w:t>euro</w:t>
            </w:r>
            <w:proofErr w:type="spellEnd"/>
            <w:r w:rsidRPr="00BC51C1">
              <w:rPr>
                <w:rFonts w:ascii="Times New Roman" w:hAnsi="Times New Roman" w:cs="Times New Roman"/>
                <w:sz w:val="24"/>
                <w:szCs w:val="24"/>
              </w:rPr>
              <w:t>)</w:t>
            </w:r>
            <w:r w:rsidR="004B45A1">
              <w:rPr>
                <w:rFonts w:ascii="Times New Roman" w:hAnsi="Times New Roman" w:cs="Times New Roman"/>
                <w:sz w:val="24"/>
                <w:szCs w:val="24"/>
              </w:rPr>
              <w:t>.</w:t>
            </w:r>
          </w:p>
          <w:p w:rsidR="004B45A1" w:rsidRDefault="00BC51C1" w:rsidP="00BC51C1">
            <w:pPr>
              <w:spacing w:after="0" w:line="240" w:lineRule="auto"/>
              <w:rPr>
                <w:rFonts w:ascii="Times New Roman" w:hAnsi="Times New Roman" w:cs="Times New Roman"/>
                <w:sz w:val="24"/>
                <w:szCs w:val="24"/>
              </w:rPr>
            </w:pPr>
            <w:r w:rsidRPr="00BC51C1">
              <w:rPr>
                <w:rFonts w:ascii="Times New Roman" w:hAnsi="Times New Roman" w:cs="Times New Roman"/>
                <w:sz w:val="24"/>
                <w:szCs w:val="24"/>
              </w:rPr>
              <w:t xml:space="preserve">Mēbeļu (galds un krēsls) </w:t>
            </w:r>
            <w:r w:rsidR="001A4BA7">
              <w:rPr>
                <w:rFonts w:ascii="Times New Roman" w:hAnsi="Times New Roman" w:cs="Times New Roman"/>
                <w:sz w:val="24"/>
                <w:szCs w:val="24"/>
              </w:rPr>
              <w:t xml:space="preserve">izmaksas </w:t>
            </w:r>
            <w:r w:rsidRPr="00BC51C1">
              <w:rPr>
                <w:rFonts w:ascii="Times New Roman" w:hAnsi="Times New Roman" w:cs="Times New Roman"/>
                <w:sz w:val="24"/>
                <w:szCs w:val="24"/>
              </w:rPr>
              <w:t xml:space="preserve">500 </w:t>
            </w:r>
            <w:proofErr w:type="spellStart"/>
            <w:r w:rsidRPr="00BC51C1">
              <w:rPr>
                <w:rFonts w:ascii="Times New Roman" w:hAnsi="Times New Roman" w:cs="Times New Roman"/>
                <w:sz w:val="24"/>
                <w:szCs w:val="24"/>
              </w:rPr>
              <w:t>euro</w:t>
            </w:r>
            <w:proofErr w:type="spellEnd"/>
            <w:r w:rsidRPr="00BC51C1">
              <w:rPr>
                <w:rFonts w:ascii="Times New Roman" w:hAnsi="Times New Roman" w:cs="Times New Roman"/>
                <w:sz w:val="24"/>
                <w:szCs w:val="24"/>
              </w:rPr>
              <w:t xml:space="preserve"> *2=1 000 </w:t>
            </w:r>
            <w:proofErr w:type="spellStart"/>
            <w:r w:rsidRPr="00BC51C1">
              <w:rPr>
                <w:rFonts w:ascii="Times New Roman" w:hAnsi="Times New Roman" w:cs="Times New Roman"/>
                <w:sz w:val="24"/>
                <w:szCs w:val="24"/>
              </w:rPr>
              <w:t>euro</w:t>
            </w:r>
            <w:proofErr w:type="spellEnd"/>
            <w:r w:rsidRPr="00BC51C1">
              <w:rPr>
                <w:rFonts w:ascii="Times New Roman" w:hAnsi="Times New Roman" w:cs="Times New Roman"/>
                <w:sz w:val="24"/>
                <w:szCs w:val="24"/>
              </w:rPr>
              <w:t xml:space="preserve"> </w:t>
            </w:r>
          </w:p>
          <w:p w:rsidR="009F44C9" w:rsidRPr="00BE709B" w:rsidRDefault="00C42AD5" w:rsidP="00BC51C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Izdevumi 2019</w:t>
            </w:r>
            <w:r w:rsidR="009F44C9" w:rsidRPr="00BE709B">
              <w:rPr>
                <w:rFonts w:ascii="Times New Roman" w:eastAsia="Times New Roman" w:hAnsi="Times New Roman" w:cs="Times New Roman"/>
                <w:b/>
                <w:sz w:val="24"/>
                <w:szCs w:val="24"/>
              </w:rPr>
              <w:t xml:space="preserve">. gadā un turpmākajos gados: </w:t>
            </w:r>
            <w:r w:rsidR="00E60C69">
              <w:rPr>
                <w:rFonts w:ascii="Times New Roman" w:eastAsia="Times New Roman" w:hAnsi="Times New Roman" w:cs="Times New Roman"/>
                <w:b/>
                <w:sz w:val="24"/>
                <w:szCs w:val="24"/>
              </w:rPr>
              <w:t xml:space="preserve">54 281 </w:t>
            </w:r>
            <w:proofErr w:type="spellStart"/>
            <w:r w:rsidR="009F44C9" w:rsidRPr="00BE709B">
              <w:rPr>
                <w:rFonts w:ascii="Times New Roman" w:eastAsia="Times New Roman" w:hAnsi="Times New Roman" w:cs="Times New Roman"/>
                <w:b/>
                <w:i/>
                <w:sz w:val="24"/>
                <w:szCs w:val="24"/>
              </w:rPr>
              <w:t>euro</w:t>
            </w:r>
            <w:proofErr w:type="spellEnd"/>
            <w:r w:rsidR="009F44C9" w:rsidRPr="00BE709B">
              <w:rPr>
                <w:rFonts w:ascii="Times New Roman" w:eastAsia="Times New Roman" w:hAnsi="Times New Roman" w:cs="Times New Roman"/>
                <w:b/>
                <w:i/>
                <w:sz w:val="24"/>
                <w:szCs w:val="24"/>
              </w:rPr>
              <w:t>.</w:t>
            </w:r>
          </w:p>
          <w:p w:rsidR="00D71D46" w:rsidRPr="00D71D46" w:rsidRDefault="00D71D46" w:rsidP="00AF00FB">
            <w:pPr>
              <w:spacing w:after="0" w:line="240" w:lineRule="auto"/>
              <w:jc w:val="both"/>
              <w:rPr>
                <w:rFonts w:ascii="Times New Roman" w:hAnsi="Times New Roman" w:cs="Times New Roman"/>
                <w:b/>
                <w:sz w:val="24"/>
                <w:szCs w:val="24"/>
              </w:rPr>
            </w:pPr>
            <w:r w:rsidRPr="00D71D46">
              <w:rPr>
                <w:rFonts w:ascii="Times New Roman" w:hAnsi="Times New Roman" w:cs="Times New Roman"/>
                <w:b/>
                <w:sz w:val="24"/>
                <w:szCs w:val="24"/>
              </w:rPr>
              <w:t>Atlīdzība.</w:t>
            </w:r>
          </w:p>
          <w:p w:rsidR="00AF00FB" w:rsidRDefault="00AF00FB" w:rsidP="00AF00FB">
            <w:pPr>
              <w:spacing w:after="0" w:line="240" w:lineRule="auto"/>
              <w:jc w:val="both"/>
              <w:rPr>
                <w:rFonts w:ascii="Times New Roman" w:hAnsi="Times New Roman" w:cs="Times New Roman"/>
                <w:sz w:val="24"/>
                <w:szCs w:val="24"/>
              </w:rPr>
            </w:pPr>
            <w:r w:rsidRPr="00F909F7">
              <w:rPr>
                <w:rFonts w:ascii="Times New Roman" w:hAnsi="Times New Roman" w:cs="Times New Roman"/>
                <w:sz w:val="24"/>
                <w:szCs w:val="24"/>
              </w:rPr>
              <w:lastRenderedPageBreak/>
              <w:t>S</w:t>
            </w:r>
            <w:r>
              <w:rPr>
                <w:rFonts w:ascii="Times New Roman" w:hAnsi="Times New Roman" w:cs="Times New Roman"/>
                <w:sz w:val="24"/>
                <w:szCs w:val="24"/>
              </w:rPr>
              <w:t>istēmu analītiķis</w:t>
            </w:r>
            <w:r w:rsidRPr="000331EF">
              <w:rPr>
                <w:rFonts w:ascii="Times New Roman" w:hAnsi="Times New Roman" w:cs="Times New Roman"/>
                <w:sz w:val="24"/>
                <w:szCs w:val="24"/>
              </w:rPr>
              <w:t xml:space="preserve"> (amata saime 19.3, amata</w:t>
            </w:r>
            <w:r>
              <w:rPr>
                <w:rFonts w:ascii="Times New Roman" w:hAnsi="Times New Roman" w:cs="Times New Roman"/>
                <w:sz w:val="24"/>
                <w:szCs w:val="24"/>
              </w:rPr>
              <w:t xml:space="preserve"> līmenis IIA, mēnešalgu grupa 11).</w:t>
            </w:r>
          </w:p>
          <w:p w:rsidR="00AF00FB" w:rsidRPr="00C42AD5" w:rsidRDefault="00AF00FB" w:rsidP="00AF00FB">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 Atlīdzība (EKK 1000) – </w:t>
            </w:r>
            <w:r w:rsidRPr="00F909F7">
              <w:rPr>
                <w:rFonts w:ascii="Times New Roman" w:hAnsi="Times New Roman" w:cs="Times New Roman"/>
                <w:sz w:val="24"/>
                <w:szCs w:val="24"/>
              </w:rPr>
              <w:t>2 135</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(t.sk. atalgojums </w:t>
            </w:r>
            <w:r w:rsidRPr="00F909F7">
              <w:rPr>
                <w:rFonts w:ascii="Times New Roman" w:hAnsi="Times New Roman" w:cs="Times New Roman"/>
                <w:sz w:val="24"/>
                <w:szCs w:val="24"/>
              </w:rPr>
              <w:t>1 658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valsts sociālās apdrošināšanas obligātās iemaksas, sociāla rakstura pabalsti un kompensācijas – </w:t>
            </w:r>
            <w:r w:rsidRPr="00F909F7">
              <w:rPr>
                <w:rFonts w:ascii="Times New Roman" w:hAnsi="Times New Roman" w:cs="Times New Roman"/>
                <w:sz w:val="24"/>
                <w:szCs w:val="24"/>
              </w:rPr>
              <w:t>477</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w:t>
            </w:r>
          </w:p>
          <w:p w:rsidR="00AF00FB" w:rsidRPr="00C42AD5" w:rsidRDefault="00AF00FB" w:rsidP="00AF00FB">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1.1.Mēnešalga</w:t>
            </w:r>
            <w:r>
              <w:t xml:space="preserve"> </w:t>
            </w:r>
            <w:r w:rsidRPr="00F909F7">
              <w:rPr>
                <w:rFonts w:ascii="Times New Roman" w:hAnsi="Times New Roman" w:cs="Times New Roman"/>
                <w:sz w:val="24"/>
                <w:szCs w:val="24"/>
              </w:rPr>
              <w:t>1 382</w:t>
            </w:r>
            <w:r w:rsidR="00D71D46">
              <w:rPr>
                <w:rFonts w:ascii="Times New Roman" w:hAnsi="Times New Roman" w:cs="Times New Roman"/>
                <w:sz w:val="24"/>
                <w:szCs w:val="24"/>
              </w:rPr>
              <w:t xml:space="preserve"> </w:t>
            </w:r>
            <w:proofErr w:type="spellStart"/>
            <w:r w:rsidR="00D71D46">
              <w:rPr>
                <w:rFonts w:ascii="Times New Roman" w:hAnsi="Times New Roman" w:cs="Times New Roman"/>
                <w:sz w:val="24"/>
                <w:szCs w:val="24"/>
              </w:rPr>
              <w:t>euro</w:t>
            </w:r>
            <w:proofErr w:type="spellEnd"/>
            <w:r w:rsidR="00D71D46">
              <w:rPr>
                <w:rFonts w:ascii="Times New Roman" w:hAnsi="Times New Roman" w:cs="Times New Roman"/>
                <w:sz w:val="24"/>
                <w:szCs w:val="24"/>
              </w:rPr>
              <w:t>/mēnesī x 12</w:t>
            </w:r>
            <w:r w:rsidRPr="00C42AD5">
              <w:rPr>
                <w:rFonts w:ascii="Times New Roman" w:hAnsi="Times New Roman" w:cs="Times New Roman"/>
                <w:sz w:val="24"/>
                <w:szCs w:val="24"/>
              </w:rPr>
              <w:t xml:space="preserve"> mēneši x 1 amata vieta = </w:t>
            </w:r>
            <w:r w:rsidR="00D71D46">
              <w:rPr>
                <w:rFonts w:ascii="Times New Roman" w:hAnsi="Times New Roman" w:cs="Times New Roman"/>
                <w:sz w:val="24"/>
                <w:szCs w:val="24"/>
              </w:rPr>
              <w:t>16 584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AF00FB" w:rsidRPr="00C42AD5" w:rsidRDefault="00AF00FB" w:rsidP="00AF00FB">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1.2. Vispārējā piemaksa 10 % apmērā no plānotās mēnešalgu kopsummas – </w:t>
            </w:r>
            <w:r w:rsidRPr="004A38F9">
              <w:rPr>
                <w:rFonts w:ascii="Times New Roman" w:hAnsi="Times New Roman" w:cs="Times New Roman"/>
                <w:sz w:val="24"/>
                <w:szCs w:val="24"/>
              </w:rPr>
              <w:t>138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AF00FB" w:rsidRPr="00C42AD5" w:rsidRDefault="00AF00FB" w:rsidP="00AF00FB">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1.3. Prēmijas un naudas balvas 10 % apmērā no plānotās mēnešalgu kopsummas – </w:t>
            </w:r>
            <w:r w:rsidRPr="004A38F9">
              <w:rPr>
                <w:rFonts w:ascii="Times New Roman" w:hAnsi="Times New Roman" w:cs="Times New Roman"/>
                <w:sz w:val="24"/>
                <w:szCs w:val="24"/>
              </w:rPr>
              <w:t>138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AF00FB" w:rsidRPr="00C42AD5" w:rsidRDefault="00AF00FB" w:rsidP="00AF00FB">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 xml:space="preserve">1.4. Sociālās garantijas 5 % apmērā no plānotās mēnešalgu kopsummas – </w:t>
            </w:r>
            <w:r w:rsidRPr="004A38F9">
              <w:rPr>
                <w:rFonts w:ascii="Times New Roman" w:hAnsi="Times New Roman" w:cs="Times New Roman"/>
                <w:sz w:val="24"/>
                <w:szCs w:val="24"/>
              </w:rPr>
              <w:t>69</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AF00FB" w:rsidRDefault="00AF00FB" w:rsidP="00AF00FB">
            <w:pPr>
              <w:spacing w:after="0" w:line="240" w:lineRule="auto"/>
              <w:jc w:val="both"/>
              <w:rPr>
                <w:rFonts w:ascii="Times New Roman" w:hAnsi="Times New Roman" w:cs="Times New Roman"/>
                <w:sz w:val="24"/>
                <w:szCs w:val="24"/>
              </w:rPr>
            </w:pPr>
            <w:r w:rsidRPr="00C42AD5">
              <w:rPr>
                <w:rFonts w:ascii="Times New Roman" w:hAnsi="Times New Roman" w:cs="Times New Roman"/>
                <w:sz w:val="24"/>
                <w:szCs w:val="24"/>
              </w:rPr>
              <w:t>1.5. Darba devēja valsts sociālās apdrošināša</w:t>
            </w:r>
            <w:r>
              <w:rPr>
                <w:rFonts w:ascii="Times New Roman" w:hAnsi="Times New Roman" w:cs="Times New Roman"/>
                <w:sz w:val="24"/>
                <w:szCs w:val="24"/>
              </w:rPr>
              <w:t xml:space="preserve">nas iemaksas 23,59 % = </w:t>
            </w:r>
            <w:r w:rsidRPr="004A38F9">
              <w:rPr>
                <w:rFonts w:ascii="Times New Roman" w:hAnsi="Times New Roman" w:cs="Times New Roman"/>
                <w:sz w:val="24"/>
                <w:szCs w:val="24"/>
              </w:rPr>
              <w:t>408</w:t>
            </w:r>
            <w:r>
              <w:rPr>
                <w:rFonts w:ascii="Times New Roman" w:hAnsi="Times New Roman" w:cs="Times New Roman"/>
                <w:sz w:val="24"/>
                <w:szCs w:val="24"/>
              </w:rPr>
              <w:t xml:space="preserve"> </w:t>
            </w:r>
            <w:proofErr w:type="spellStart"/>
            <w:r>
              <w:rPr>
                <w:rFonts w:ascii="Times New Roman" w:hAnsi="Times New Roman" w:cs="Times New Roman"/>
                <w:sz w:val="24"/>
                <w:szCs w:val="24"/>
              </w:rPr>
              <w:t>euro</w:t>
            </w:r>
            <w:proofErr w:type="spellEnd"/>
            <w:r>
              <w:rPr>
                <w:rFonts w:ascii="Times New Roman" w:hAnsi="Times New Roman" w:cs="Times New Roman"/>
                <w:sz w:val="24"/>
                <w:szCs w:val="24"/>
              </w:rPr>
              <w:t>.</w:t>
            </w:r>
          </w:p>
          <w:p w:rsidR="00AF00FB"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Sistēmu administrators</w:t>
            </w:r>
            <w:r w:rsidRPr="00F909F7">
              <w:rPr>
                <w:rFonts w:ascii="Times New Roman" w:hAnsi="Times New Roman" w:cs="Times New Roman"/>
                <w:sz w:val="24"/>
                <w:szCs w:val="24"/>
              </w:rPr>
              <w:t xml:space="preserve"> (amata saime 19.5, amata līmenis IIIA, m</w:t>
            </w:r>
            <w:r>
              <w:rPr>
                <w:rFonts w:ascii="Times New Roman" w:hAnsi="Times New Roman" w:cs="Times New Roman"/>
                <w:sz w:val="24"/>
                <w:szCs w:val="24"/>
              </w:rPr>
              <w:t>ēnešalgu grupa 10)</w:t>
            </w:r>
          </w:p>
          <w:p w:rsidR="00AF00FB" w:rsidRPr="00C42AD5"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C42AD5">
              <w:rPr>
                <w:rFonts w:ascii="Times New Roman" w:hAnsi="Times New Roman" w:cs="Times New Roman"/>
                <w:sz w:val="24"/>
                <w:szCs w:val="24"/>
              </w:rPr>
              <w:t xml:space="preserve">Atlīdzība (EKK 1000) – </w:t>
            </w:r>
            <w:r w:rsidRPr="000B1108">
              <w:rPr>
                <w:rFonts w:ascii="Times New Roman" w:hAnsi="Times New Roman" w:cs="Times New Roman"/>
                <w:sz w:val="24"/>
                <w:szCs w:val="24"/>
              </w:rPr>
              <w:t>1 988</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(t.sk. atalgojums </w:t>
            </w:r>
            <w:r w:rsidRPr="000B1108">
              <w:rPr>
                <w:rFonts w:ascii="Times New Roman" w:hAnsi="Times New Roman" w:cs="Times New Roman"/>
                <w:sz w:val="24"/>
                <w:szCs w:val="24"/>
              </w:rPr>
              <w:t>1 544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valsts sociālās apdrošināšanas obligātās iemaksas, sociāla rakstura pabalsti un kompensācijas – </w:t>
            </w:r>
            <w:r w:rsidRPr="000B1108">
              <w:rPr>
                <w:rFonts w:ascii="Times New Roman" w:hAnsi="Times New Roman" w:cs="Times New Roman"/>
                <w:sz w:val="24"/>
                <w:szCs w:val="24"/>
              </w:rPr>
              <w:t>444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 xml:space="preserve">): </w:t>
            </w:r>
          </w:p>
          <w:p w:rsidR="00AF00FB" w:rsidRPr="00C42AD5"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2.1.Mēnešalga</w:t>
            </w:r>
            <w:r w:rsidRPr="00C42AD5">
              <w:rPr>
                <w:rFonts w:ascii="Times New Roman" w:hAnsi="Times New Roman" w:cs="Times New Roman"/>
                <w:sz w:val="24"/>
                <w:szCs w:val="24"/>
              </w:rPr>
              <w:t xml:space="preserve"> </w:t>
            </w:r>
            <w:r w:rsidRPr="000B1108">
              <w:rPr>
                <w:rFonts w:ascii="Times New Roman" w:hAnsi="Times New Roman" w:cs="Times New Roman"/>
                <w:sz w:val="24"/>
                <w:szCs w:val="24"/>
              </w:rPr>
              <w:t>1 287</w:t>
            </w:r>
            <w:r w:rsidRPr="00C42AD5">
              <w:rPr>
                <w:rFonts w:ascii="Times New Roman" w:hAnsi="Times New Roman" w:cs="Times New Roman"/>
                <w:sz w:val="24"/>
                <w:szCs w:val="24"/>
              </w:rPr>
              <w:t xml:space="preserve"> </w:t>
            </w:r>
            <w:proofErr w:type="spellStart"/>
            <w:r>
              <w:rPr>
                <w:rFonts w:ascii="Times New Roman" w:hAnsi="Times New Roman" w:cs="Times New Roman"/>
                <w:sz w:val="24"/>
                <w:szCs w:val="24"/>
              </w:rPr>
              <w:t>euro</w:t>
            </w:r>
            <w:proofErr w:type="spellEnd"/>
            <w:r>
              <w:rPr>
                <w:rFonts w:ascii="Times New Roman" w:hAnsi="Times New Roman" w:cs="Times New Roman"/>
                <w:sz w:val="24"/>
                <w:szCs w:val="24"/>
              </w:rPr>
              <w:t xml:space="preserve">/mēnesī x </w:t>
            </w:r>
            <w:r w:rsidR="00D71D46">
              <w:rPr>
                <w:rFonts w:ascii="Times New Roman" w:hAnsi="Times New Roman" w:cs="Times New Roman"/>
                <w:sz w:val="24"/>
                <w:szCs w:val="24"/>
              </w:rPr>
              <w:t>12</w:t>
            </w:r>
            <w:r w:rsidRPr="00C42AD5">
              <w:rPr>
                <w:rFonts w:ascii="Times New Roman" w:hAnsi="Times New Roman" w:cs="Times New Roman"/>
                <w:sz w:val="24"/>
                <w:szCs w:val="24"/>
              </w:rPr>
              <w:t xml:space="preserve"> mēneši x 1 amata vieta = </w:t>
            </w:r>
            <w:r w:rsidR="00D71D46">
              <w:rPr>
                <w:rFonts w:ascii="Times New Roman" w:hAnsi="Times New Roman" w:cs="Times New Roman"/>
                <w:sz w:val="24"/>
                <w:szCs w:val="24"/>
              </w:rPr>
              <w:t>15 444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AF00FB" w:rsidRPr="00C42AD5"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 xml:space="preserve">.2. Vispārējā piemaksa 10 % apmērā no plānotās mēnešalgu kopsummas – </w:t>
            </w:r>
            <w:r w:rsidRPr="000B1108">
              <w:rPr>
                <w:rFonts w:ascii="Times New Roman" w:hAnsi="Times New Roman" w:cs="Times New Roman"/>
                <w:sz w:val="24"/>
                <w:szCs w:val="24"/>
              </w:rPr>
              <w:t>129</w:t>
            </w:r>
            <w:r>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AF00FB" w:rsidRPr="00C42AD5"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 xml:space="preserve">.3. Prēmijas un naudas balvas 10 % apmērā no plānotās mēnešalgu kopsummas – </w:t>
            </w:r>
            <w:r w:rsidRPr="000B1108">
              <w:rPr>
                <w:rFonts w:ascii="Times New Roman" w:hAnsi="Times New Roman" w:cs="Times New Roman"/>
                <w:sz w:val="24"/>
                <w:szCs w:val="24"/>
              </w:rPr>
              <w:t>129</w:t>
            </w:r>
            <w:r w:rsidRPr="00C42AD5">
              <w:rPr>
                <w:rFonts w:ascii="Times New Roman" w:hAnsi="Times New Roman" w:cs="Times New Roman"/>
                <w:sz w:val="24"/>
                <w:szCs w:val="24"/>
              </w:rPr>
              <w:t>euro.</w:t>
            </w:r>
          </w:p>
          <w:p w:rsidR="00AF00FB" w:rsidRPr="00C42AD5"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 xml:space="preserve">.4. Sociālās garantijas 5 % apmērā no plānotās mēnešalgu kopsummas – </w:t>
            </w:r>
            <w:r w:rsidRPr="000B1108">
              <w:rPr>
                <w:rFonts w:ascii="Times New Roman" w:hAnsi="Times New Roman" w:cs="Times New Roman"/>
                <w:sz w:val="24"/>
                <w:szCs w:val="24"/>
              </w:rPr>
              <w:t>64</w:t>
            </w:r>
            <w:r w:rsidRPr="00C42AD5">
              <w:rPr>
                <w:rFonts w:ascii="Times New Roman" w:hAnsi="Times New Roman" w:cs="Times New Roman"/>
                <w:sz w:val="24"/>
                <w:szCs w:val="24"/>
              </w:rPr>
              <w:t xml:space="preserve"> </w:t>
            </w:r>
            <w:proofErr w:type="spellStart"/>
            <w:r w:rsidRPr="00C42AD5">
              <w:rPr>
                <w:rFonts w:ascii="Times New Roman" w:hAnsi="Times New Roman" w:cs="Times New Roman"/>
                <w:sz w:val="24"/>
                <w:szCs w:val="24"/>
              </w:rPr>
              <w:t>euro</w:t>
            </w:r>
            <w:proofErr w:type="spellEnd"/>
            <w:r w:rsidRPr="00C42AD5">
              <w:rPr>
                <w:rFonts w:ascii="Times New Roman" w:hAnsi="Times New Roman" w:cs="Times New Roman"/>
                <w:sz w:val="24"/>
                <w:szCs w:val="24"/>
              </w:rPr>
              <w:t>.</w:t>
            </w:r>
          </w:p>
          <w:p w:rsidR="009F44C9" w:rsidRDefault="00AF00FB" w:rsidP="00AF00F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C42AD5">
              <w:rPr>
                <w:rFonts w:ascii="Times New Roman" w:hAnsi="Times New Roman" w:cs="Times New Roman"/>
                <w:sz w:val="24"/>
                <w:szCs w:val="24"/>
              </w:rPr>
              <w:t>.5. Darba devēja valsts sociālās apdrošināša</w:t>
            </w:r>
            <w:r>
              <w:rPr>
                <w:rFonts w:ascii="Times New Roman" w:hAnsi="Times New Roman" w:cs="Times New Roman"/>
                <w:sz w:val="24"/>
                <w:szCs w:val="24"/>
              </w:rPr>
              <w:t xml:space="preserve">nas iemaksas 23,59 % = </w:t>
            </w:r>
            <w:r w:rsidRPr="000B1108">
              <w:rPr>
                <w:rFonts w:ascii="Times New Roman" w:hAnsi="Times New Roman" w:cs="Times New Roman"/>
                <w:sz w:val="24"/>
                <w:szCs w:val="24"/>
              </w:rPr>
              <w:t>380</w:t>
            </w:r>
            <w:r>
              <w:rPr>
                <w:rFonts w:ascii="Times New Roman" w:hAnsi="Times New Roman" w:cs="Times New Roman"/>
                <w:sz w:val="24"/>
                <w:szCs w:val="24"/>
              </w:rPr>
              <w:t xml:space="preserve"> </w:t>
            </w:r>
            <w:proofErr w:type="spellStart"/>
            <w:r>
              <w:rPr>
                <w:rFonts w:ascii="Times New Roman" w:hAnsi="Times New Roman" w:cs="Times New Roman"/>
                <w:sz w:val="24"/>
                <w:szCs w:val="24"/>
              </w:rPr>
              <w:t>euro</w:t>
            </w:r>
            <w:proofErr w:type="spellEnd"/>
            <w:r>
              <w:rPr>
                <w:rFonts w:ascii="Times New Roman" w:hAnsi="Times New Roman" w:cs="Times New Roman"/>
                <w:sz w:val="24"/>
                <w:szCs w:val="24"/>
              </w:rPr>
              <w:t>.</w:t>
            </w:r>
          </w:p>
          <w:p w:rsidR="00D71D46" w:rsidRPr="006D5858" w:rsidRDefault="006D5858" w:rsidP="00AF00FB">
            <w:pPr>
              <w:spacing w:after="0" w:line="240" w:lineRule="auto"/>
              <w:jc w:val="both"/>
              <w:rPr>
                <w:rFonts w:ascii="Times New Roman" w:hAnsi="Times New Roman" w:cs="Times New Roman"/>
                <w:b/>
                <w:sz w:val="24"/>
                <w:szCs w:val="24"/>
              </w:rPr>
            </w:pPr>
            <w:r w:rsidRPr="006D5858">
              <w:rPr>
                <w:rFonts w:ascii="Times New Roman" w:hAnsi="Times New Roman" w:cs="Times New Roman"/>
                <w:b/>
                <w:sz w:val="24"/>
                <w:szCs w:val="24"/>
              </w:rPr>
              <w:t>Darba vietas uzturēšana.</w:t>
            </w:r>
          </w:p>
          <w:p w:rsidR="006D5858" w:rsidRPr="006D5858" w:rsidRDefault="006D5858" w:rsidP="006D5858">
            <w:pPr>
              <w:spacing w:after="0" w:line="240" w:lineRule="auto"/>
              <w:jc w:val="both"/>
              <w:rPr>
                <w:rFonts w:ascii="Times New Roman" w:hAnsi="Times New Roman" w:cs="Times New Roman"/>
                <w:sz w:val="24"/>
                <w:szCs w:val="24"/>
              </w:rPr>
            </w:pPr>
            <w:r w:rsidRPr="006D5858">
              <w:rPr>
                <w:rFonts w:ascii="Times New Roman" w:hAnsi="Times New Roman" w:cs="Times New Roman"/>
                <w:sz w:val="24"/>
                <w:szCs w:val="24"/>
              </w:rPr>
              <w:t>Izdevumi darba vietu uztu</w:t>
            </w:r>
            <w:r>
              <w:rPr>
                <w:rFonts w:ascii="Times New Roman" w:hAnsi="Times New Roman" w:cs="Times New Roman"/>
                <w:sz w:val="24"/>
                <w:szCs w:val="24"/>
              </w:rPr>
              <w:t xml:space="preserve">rēšanai divām darba vietām - 4 </w:t>
            </w:r>
            <w:r w:rsidRPr="006D5858">
              <w:rPr>
                <w:rFonts w:ascii="Times New Roman" w:hAnsi="Times New Roman" w:cs="Times New Roman"/>
                <w:sz w:val="24"/>
                <w:szCs w:val="24"/>
              </w:rPr>
              <w:t xml:space="preserve">802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w:t>
            </w:r>
          </w:p>
          <w:p w:rsidR="006D5858" w:rsidRPr="005B01F3" w:rsidRDefault="006D5858" w:rsidP="006D5858">
            <w:pPr>
              <w:spacing w:after="0" w:line="240" w:lineRule="auto"/>
              <w:jc w:val="both"/>
              <w:rPr>
                <w:rFonts w:ascii="Times New Roman" w:hAnsi="Times New Roman" w:cs="Times New Roman"/>
                <w:sz w:val="24"/>
                <w:szCs w:val="24"/>
              </w:rPr>
            </w:pPr>
            <w:r w:rsidRPr="006D5858">
              <w:rPr>
                <w:rFonts w:ascii="Times New Roman" w:hAnsi="Times New Roman" w:cs="Times New Roman"/>
                <w:sz w:val="24"/>
                <w:szCs w:val="24"/>
              </w:rPr>
              <w:t xml:space="preserve">(izmaksas aprēķinātas, ņemot vērā VRAA vidējās uzturēšanas izmaksas uz 1 darbinieku 2014.gadā, t.sk.: 270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ārzemju komandējumi (EKK 2120); 120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pasts, internets, telefons (EKK 2219); 254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elektrība (EKK 2223); 317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komunālie pakalpojumi (EKK 2229); 90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administratīvie izdevumi (EKK 2230); 429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tehnikas remonts, telpu uzturēšana (EKK 2240); 772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telpu noma (EKK 2260); 149 </w:t>
            </w:r>
            <w:proofErr w:type="spellStart"/>
            <w:r w:rsidRPr="006D5858">
              <w:rPr>
                <w:rFonts w:ascii="Times New Roman" w:hAnsi="Times New Roman" w:cs="Times New Roman"/>
                <w:sz w:val="24"/>
                <w:szCs w:val="24"/>
              </w:rPr>
              <w:t>euro</w:t>
            </w:r>
            <w:proofErr w:type="spellEnd"/>
            <w:r w:rsidRPr="006D5858">
              <w:rPr>
                <w:rFonts w:ascii="Times New Roman" w:hAnsi="Times New Roman" w:cs="Times New Roman"/>
                <w:sz w:val="24"/>
                <w:szCs w:val="24"/>
              </w:rPr>
              <w:t xml:space="preserve"> biroja preces un inventārs (EKK 2310))</w:t>
            </w:r>
            <w:r>
              <w:rPr>
                <w:rFonts w:ascii="Times New Roman" w:hAnsi="Times New Roman" w:cs="Times New Roman"/>
                <w:sz w:val="24"/>
                <w:szCs w:val="24"/>
              </w:rPr>
              <w:t>.</w:t>
            </w: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6.1. detalizēts ieņēmumu aprēķins</w:t>
            </w:r>
          </w:p>
        </w:tc>
        <w:tc>
          <w:tcPr>
            <w:tcW w:w="3435" w:type="pct"/>
            <w:gridSpan w:val="5"/>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sz w:val="24"/>
                <w:szCs w:val="24"/>
              </w:rPr>
            </w:pPr>
          </w:p>
        </w:tc>
      </w:tr>
      <w:tr w:rsidR="009F44C9" w:rsidRPr="00604EC9" w:rsidTr="000331EF">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t>6.2. detalizēts izdevumu aprēķins</w:t>
            </w:r>
          </w:p>
        </w:tc>
        <w:tc>
          <w:tcPr>
            <w:tcW w:w="3435" w:type="pct"/>
            <w:gridSpan w:val="5"/>
            <w:vMerge/>
            <w:tcBorders>
              <w:top w:val="outset" w:sz="6" w:space="0" w:color="414142"/>
              <w:left w:val="outset" w:sz="6" w:space="0" w:color="414142"/>
              <w:bottom w:val="outset" w:sz="6" w:space="0" w:color="414142"/>
              <w:right w:val="outset" w:sz="6" w:space="0" w:color="414142"/>
            </w:tcBorders>
            <w:vAlign w:val="center"/>
            <w:hideMark/>
          </w:tcPr>
          <w:p w:rsidR="009F44C9" w:rsidRPr="00604EC9" w:rsidRDefault="009F44C9" w:rsidP="000331EF">
            <w:pPr>
              <w:spacing w:after="0" w:line="240" w:lineRule="auto"/>
              <w:rPr>
                <w:rFonts w:ascii="Times New Roman" w:eastAsia="Times New Roman" w:hAnsi="Times New Roman" w:cs="Times New Roman"/>
                <w:sz w:val="24"/>
                <w:szCs w:val="24"/>
              </w:rPr>
            </w:pPr>
          </w:p>
        </w:tc>
      </w:tr>
      <w:tr w:rsidR="009F44C9" w:rsidRPr="00604EC9" w:rsidTr="000331EF">
        <w:trPr>
          <w:trHeight w:val="555"/>
        </w:trPr>
        <w:tc>
          <w:tcPr>
            <w:tcW w:w="1545" w:type="pct"/>
            <w:tcBorders>
              <w:top w:val="outset" w:sz="6" w:space="0" w:color="414142"/>
              <w:left w:val="outset" w:sz="6" w:space="0" w:color="414142"/>
              <w:bottom w:val="outset" w:sz="6" w:space="0" w:color="414142"/>
              <w:right w:val="outset" w:sz="6" w:space="0" w:color="414142"/>
            </w:tcBorders>
            <w:hideMark/>
          </w:tcPr>
          <w:p w:rsidR="009F44C9" w:rsidRPr="00604EC9" w:rsidRDefault="009F44C9" w:rsidP="000331EF">
            <w:pPr>
              <w:spacing w:after="0" w:line="240" w:lineRule="auto"/>
              <w:rPr>
                <w:rFonts w:ascii="Times New Roman" w:eastAsia="Times New Roman" w:hAnsi="Times New Roman" w:cs="Times New Roman"/>
                <w:sz w:val="24"/>
                <w:szCs w:val="24"/>
              </w:rPr>
            </w:pPr>
            <w:r w:rsidRPr="00604EC9">
              <w:rPr>
                <w:rFonts w:ascii="Times New Roman" w:eastAsia="Times New Roman" w:hAnsi="Times New Roman" w:cs="Times New Roman"/>
                <w:sz w:val="24"/>
                <w:szCs w:val="24"/>
              </w:rPr>
              <w:lastRenderedPageBreak/>
              <w:t>7. Cita informācija</w:t>
            </w:r>
          </w:p>
        </w:tc>
        <w:tc>
          <w:tcPr>
            <w:tcW w:w="3435" w:type="pct"/>
            <w:gridSpan w:val="5"/>
            <w:tcBorders>
              <w:top w:val="outset" w:sz="6" w:space="0" w:color="414142"/>
              <w:left w:val="outset" w:sz="6" w:space="0" w:color="414142"/>
              <w:bottom w:val="outset" w:sz="6" w:space="0" w:color="414142"/>
              <w:right w:val="outset" w:sz="6" w:space="0" w:color="414142"/>
            </w:tcBorders>
            <w:hideMark/>
          </w:tcPr>
          <w:p w:rsidR="009F44C9" w:rsidRPr="00880259" w:rsidRDefault="00D070D7" w:rsidP="00D070D7">
            <w:pPr>
              <w:pStyle w:val="ISBodyText"/>
              <w:spacing w:before="0" w:after="0"/>
              <w:ind w:firstLine="284"/>
              <w:rPr>
                <w:rFonts w:ascii="Times New Roman" w:hAnsi="Times New Roman" w:cs="Times New Roman"/>
                <w:sz w:val="24"/>
                <w:szCs w:val="24"/>
              </w:rPr>
            </w:pPr>
            <w:r>
              <w:rPr>
                <w:rFonts w:ascii="Times New Roman" w:hAnsi="Times New Roman" w:cs="Times New Roman"/>
                <w:sz w:val="24"/>
                <w:szCs w:val="24"/>
              </w:rPr>
              <w:t>Lai nodrošinātu personificēto</w:t>
            </w:r>
            <w:r w:rsidRPr="00D070D7">
              <w:rPr>
                <w:rFonts w:ascii="Times New Roman" w:hAnsi="Times New Roman" w:cs="Times New Roman"/>
                <w:sz w:val="24"/>
                <w:szCs w:val="24"/>
              </w:rPr>
              <w:t xml:space="preserve"> datu </w:t>
            </w:r>
            <w:proofErr w:type="spellStart"/>
            <w:r w:rsidRPr="00D070D7">
              <w:rPr>
                <w:rFonts w:ascii="Times New Roman" w:hAnsi="Times New Roman" w:cs="Times New Roman"/>
                <w:sz w:val="24"/>
                <w:szCs w:val="24"/>
              </w:rPr>
              <w:t>anonimizēšanas</w:t>
            </w:r>
            <w:proofErr w:type="spellEnd"/>
            <w:r w:rsidRPr="00D070D7">
              <w:rPr>
                <w:rFonts w:ascii="Times New Roman" w:hAnsi="Times New Roman" w:cs="Times New Roman"/>
                <w:sz w:val="24"/>
                <w:szCs w:val="24"/>
              </w:rPr>
              <w:t xml:space="preserve"> funkcionalitāti </w:t>
            </w:r>
            <w:r>
              <w:rPr>
                <w:rFonts w:ascii="Times New Roman" w:hAnsi="Times New Roman" w:cs="Times New Roman"/>
                <w:sz w:val="24"/>
                <w:szCs w:val="24"/>
              </w:rPr>
              <w:t>t</w:t>
            </w:r>
            <w:r w:rsidRPr="00D070D7">
              <w:rPr>
                <w:rFonts w:ascii="Times New Roman" w:hAnsi="Times New Roman" w:cs="Times New Roman"/>
                <w:sz w:val="24"/>
                <w:szCs w:val="24"/>
              </w:rPr>
              <w:t xml:space="preserve">ehnisko risinājumu paredzēts realizēt Eiropas Savienības struktūrfondu un Kohēzijas fonda 2014.–2020. gada plānošanas perioda </w:t>
            </w:r>
            <w:r>
              <w:rPr>
                <w:rFonts w:ascii="Times New Roman" w:hAnsi="Times New Roman" w:cs="Times New Roman"/>
                <w:sz w:val="24"/>
                <w:szCs w:val="24"/>
              </w:rPr>
              <w:t>projektā „Vienotā datu telpa”</w:t>
            </w:r>
            <w:r w:rsidRPr="00D070D7">
              <w:rPr>
                <w:rFonts w:ascii="Times New Roman" w:hAnsi="Times New Roman" w:cs="Times New Roman"/>
                <w:sz w:val="24"/>
                <w:szCs w:val="24"/>
              </w:rPr>
              <w:t>.</w:t>
            </w:r>
            <w:r>
              <w:rPr>
                <w:rFonts w:ascii="Times New Roman" w:hAnsi="Times New Roman" w:cs="Times New Roman"/>
                <w:sz w:val="24"/>
                <w:szCs w:val="24"/>
              </w:rPr>
              <w:t xml:space="preserve"> Tehniskos pielāgojumus</w:t>
            </w:r>
            <w:r w:rsidR="00C04105">
              <w:rPr>
                <w:rFonts w:ascii="Times New Roman" w:hAnsi="Times New Roman" w:cs="Times New Roman"/>
                <w:sz w:val="24"/>
                <w:szCs w:val="24"/>
              </w:rPr>
              <w:t xml:space="preserve"> VRAA, </w:t>
            </w:r>
            <w:r w:rsidR="00C04105" w:rsidRPr="00C04105">
              <w:rPr>
                <w:rFonts w:ascii="Times New Roman" w:hAnsi="Times New Roman" w:cs="Times New Roman"/>
                <w:sz w:val="24"/>
                <w:szCs w:val="24"/>
              </w:rPr>
              <w:t xml:space="preserve">VZD, PMLP, VID, </w:t>
            </w:r>
            <w:r w:rsidR="00F5418B">
              <w:rPr>
                <w:rFonts w:ascii="Times New Roman" w:hAnsi="Times New Roman" w:cs="Times New Roman"/>
                <w:sz w:val="24"/>
                <w:szCs w:val="24"/>
              </w:rPr>
              <w:t xml:space="preserve">VDEĀVK </w:t>
            </w:r>
            <w:r w:rsidR="00C04105">
              <w:rPr>
                <w:rFonts w:ascii="Times New Roman" w:hAnsi="Times New Roman" w:cs="Times New Roman"/>
                <w:sz w:val="24"/>
                <w:szCs w:val="24"/>
              </w:rPr>
              <w:t>un pašvaldību informācijas sistēmās plānots finansēt</w:t>
            </w:r>
            <w:r>
              <w:rPr>
                <w:rFonts w:ascii="Times New Roman" w:hAnsi="Times New Roman" w:cs="Times New Roman"/>
                <w:sz w:val="24"/>
                <w:szCs w:val="24"/>
              </w:rPr>
              <w:t xml:space="preserve"> no „Vienotā datu telpa” projekta</w:t>
            </w:r>
            <w:r w:rsidRPr="00D070D7">
              <w:rPr>
                <w:rFonts w:ascii="Times New Roman" w:hAnsi="Times New Roman" w:cs="Times New Roman"/>
                <w:sz w:val="24"/>
                <w:szCs w:val="24"/>
              </w:rPr>
              <w:t>.</w:t>
            </w:r>
          </w:p>
        </w:tc>
      </w:tr>
    </w:tbl>
    <w:p w:rsidR="009F44C9" w:rsidRDefault="009F44C9" w:rsidP="009F44C9">
      <w:pPr>
        <w:spacing w:after="0" w:line="240" w:lineRule="auto"/>
        <w:rPr>
          <w:rFonts w:ascii="Times New Roman" w:eastAsia="Times New Roman" w:hAnsi="Times New Roman" w:cs="Times New Roman"/>
          <w:sz w:val="24"/>
          <w:szCs w:val="24"/>
        </w:rPr>
      </w:pPr>
    </w:p>
    <w:p w:rsidR="00E2367B" w:rsidRDefault="00E2367B" w:rsidP="009F44C9">
      <w:pPr>
        <w:spacing w:after="0" w:line="240" w:lineRule="auto"/>
        <w:rPr>
          <w:rFonts w:ascii="Times New Roman" w:eastAsia="Times New Roman" w:hAnsi="Times New Roman" w:cs="Times New Roman"/>
          <w:b/>
          <w:bCs/>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9414"/>
      </w:tblGrid>
      <w:tr w:rsidR="004E2D5C" w:rsidRPr="004E2D5C" w:rsidTr="004E2D5C">
        <w:trPr>
          <w:trHeight w:val="450"/>
        </w:trPr>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4E2D5C" w:rsidRPr="004E2D5C" w:rsidRDefault="004E2D5C" w:rsidP="004E2D5C">
            <w:pPr>
              <w:spacing w:before="100" w:beforeAutospacing="1" w:after="100" w:afterAutospacing="1" w:line="293" w:lineRule="atLeast"/>
              <w:jc w:val="center"/>
              <w:rPr>
                <w:rFonts w:ascii="Times New Roman" w:eastAsia="Times New Roman" w:hAnsi="Times New Roman" w:cs="Times New Roman"/>
                <w:b/>
                <w:bCs/>
                <w:color w:val="414142"/>
                <w:sz w:val="24"/>
                <w:szCs w:val="24"/>
              </w:rPr>
            </w:pPr>
            <w:r w:rsidRPr="004E2D5C">
              <w:rPr>
                <w:rFonts w:ascii="Times New Roman" w:eastAsia="Times New Roman" w:hAnsi="Times New Roman" w:cs="Times New Roman"/>
                <w:b/>
                <w:bCs/>
                <w:color w:val="414142"/>
                <w:sz w:val="24"/>
                <w:szCs w:val="24"/>
              </w:rPr>
              <w:lastRenderedPageBreak/>
              <w:t>IV. Tiesību akta projekta ietekme uz spēkā esošo tiesību normu sistēmu</w:t>
            </w:r>
          </w:p>
        </w:tc>
      </w:tr>
      <w:tr w:rsidR="004E2D5C" w:rsidRPr="004E2D5C" w:rsidTr="004E2D5C">
        <w:tc>
          <w:tcPr>
            <w:tcW w:w="5000" w:type="pct"/>
            <w:tcBorders>
              <w:top w:val="outset" w:sz="6" w:space="0" w:color="414142"/>
              <w:left w:val="outset" w:sz="6" w:space="0" w:color="414142"/>
              <w:bottom w:val="outset" w:sz="6" w:space="0" w:color="414142"/>
              <w:right w:val="outset" w:sz="6" w:space="0" w:color="414142"/>
            </w:tcBorders>
            <w:shd w:val="clear" w:color="auto" w:fill="FFFFFF"/>
          </w:tcPr>
          <w:p w:rsidR="004E2D5C" w:rsidRPr="004E2D5C" w:rsidRDefault="004E2D5C" w:rsidP="004E2D5C">
            <w:pPr>
              <w:spacing w:after="0" w:line="240" w:lineRule="auto"/>
              <w:jc w:val="center"/>
              <w:rPr>
                <w:rFonts w:ascii="Times New Roman" w:eastAsia="Times New Roman" w:hAnsi="Times New Roman" w:cs="Times New Roman"/>
                <w:color w:val="414142"/>
                <w:sz w:val="24"/>
                <w:szCs w:val="24"/>
              </w:rPr>
            </w:pPr>
            <w:r w:rsidRPr="004E2D5C">
              <w:rPr>
                <w:rFonts w:ascii="Times New Roman" w:eastAsia="Times New Roman" w:hAnsi="Times New Roman" w:cs="Times New Roman"/>
                <w:color w:val="414142"/>
                <w:sz w:val="24"/>
                <w:szCs w:val="24"/>
              </w:rPr>
              <w:t>Likumprojekts šo jomu neskar</w:t>
            </w:r>
          </w:p>
        </w:tc>
      </w:tr>
    </w:tbl>
    <w:p w:rsidR="004E2D5C" w:rsidRDefault="004E2D5C" w:rsidP="009F44C9">
      <w:pPr>
        <w:spacing w:after="0" w:line="240" w:lineRule="auto"/>
        <w:rPr>
          <w:rFonts w:ascii="Times New Roman" w:eastAsia="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9414"/>
      </w:tblGrid>
      <w:tr w:rsidR="004E2D5C" w:rsidRPr="004E2D5C" w:rsidTr="004E2D5C">
        <w:tc>
          <w:tcPr>
            <w:tcW w:w="0" w:type="auto"/>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4E2D5C" w:rsidRPr="004E2D5C" w:rsidRDefault="004E2D5C" w:rsidP="004E2D5C">
            <w:pPr>
              <w:spacing w:before="100" w:beforeAutospacing="1" w:after="100" w:afterAutospacing="1" w:line="293" w:lineRule="atLeast"/>
              <w:jc w:val="center"/>
              <w:rPr>
                <w:rFonts w:ascii="Times New Roman" w:eastAsia="Times New Roman" w:hAnsi="Times New Roman" w:cs="Times New Roman"/>
                <w:b/>
                <w:bCs/>
                <w:color w:val="414142"/>
                <w:sz w:val="24"/>
                <w:szCs w:val="24"/>
              </w:rPr>
            </w:pPr>
            <w:r w:rsidRPr="004E2D5C">
              <w:rPr>
                <w:rFonts w:ascii="Times New Roman" w:eastAsia="Times New Roman" w:hAnsi="Times New Roman" w:cs="Times New Roman"/>
                <w:b/>
                <w:bCs/>
                <w:color w:val="414142"/>
                <w:sz w:val="24"/>
                <w:szCs w:val="24"/>
              </w:rPr>
              <w:t>V. Tiesību akta projekta atbilstība Latvijas Republikas starptautiskajām saistībām</w:t>
            </w:r>
          </w:p>
        </w:tc>
      </w:tr>
      <w:tr w:rsidR="004E2D5C" w:rsidRPr="004E2D5C" w:rsidTr="004E2D5C">
        <w:tc>
          <w:tcPr>
            <w:tcW w:w="5000" w:type="pct"/>
            <w:tcBorders>
              <w:top w:val="outset" w:sz="6" w:space="0" w:color="414142"/>
              <w:left w:val="outset" w:sz="6" w:space="0" w:color="414142"/>
              <w:bottom w:val="outset" w:sz="6" w:space="0" w:color="414142"/>
              <w:right w:val="outset" w:sz="6" w:space="0" w:color="414142"/>
            </w:tcBorders>
            <w:shd w:val="clear" w:color="auto" w:fill="FFFFFF"/>
          </w:tcPr>
          <w:p w:rsidR="004E2D5C" w:rsidRPr="004E2D5C" w:rsidRDefault="004E2D5C" w:rsidP="004E2D5C">
            <w:pPr>
              <w:spacing w:after="0" w:line="240" w:lineRule="auto"/>
              <w:jc w:val="center"/>
              <w:rPr>
                <w:rFonts w:ascii="Times New Roman" w:eastAsia="Times New Roman" w:hAnsi="Times New Roman" w:cs="Times New Roman"/>
                <w:color w:val="414142"/>
                <w:sz w:val="24"/>
                <w:szCs w:val="24"/>
              </w:rPr>
            </w:pPr>
            <w:r w:rsidRPr="004E2D5C">
              <w:rPr>
                <w:rFonts w:ascii="Times New Roman" w:eastAsia="Times New Roman" w:hAnsi="Times New Roman" w:cs="Times New Roman"/>
                <w:color w:val="414142"/>
                <w:sz w:val="24"/>
                <w:szCs w:val="24"/>
              </w:rPr>
              <w:t>Likumprojekts šo jomu neskar</w:t>
            </w:r>
          </w:p>
        </w:tc>
      </w:tr>
    </w:tbl>
    <w:p w:rsidR="004E2D5C" w:rsidRPr="00604EC9" w:rsidRDefault="004E2D5C" w:rsidP="009F44C9">
      <w:pPr>
        <w:spacing w:after="0" w:line="240" w:lineRule="auto"/>
        <w:rPr>
          <w:rFonts w:ascii="Times New Roman" w:eastAsia="Times New Roman" w:hAnsi="Times New Roman" w:cs="Times New Roman"/>
          <w:vanish/>
          <w:sz w:val="24"/>
          <w:szCs w:val="24"/>
        </w:rPr>
      </w:pPr>
    </w:p>
    <w:p w:rsidR="009F44C9" w:rsidRPr="00604EC9" w:rsidRDefault="009F44C9" w:rsidP="009F44C9">
      <w:pPr>
        <w:spacing w:after="0" w:line="240" w:lineRule="auto"/>
        <w:rPr>
          <w:rFonts w:ascii="Times New Roman" w:eastAsia="Times New Roman" w:hAnsi="Times New Roman" w:cs="Times New Roman"/>
          <w:sz w:val="24"/>
          <w:szCs w:val="24"/>
        </w:rPr>
      </w:pPr>
    </w:p>
    <w:p w:rsidR="004D15A9" w:rsidRPr="00952B44" w:rsidRDefault="004D15A9" w:rsidP="00DA596D">
      <w:pPr>
        <w:spacing w:after="0" w:line="240" w:lineRule="auto"/>
        <w:rPr>
          <w:rFonts w:ascii="Times New Roman" w:eastAsia="Times New Roman" w:hAnsi="Times New Roman" w:cs="Times New Roman"/>
          <w:vanish/>
          <w:sz w:val="24"/>
          <w:szCs w:val="24"/>
        </w:rPr>
      </w:pPr>
    </w:p>
    <w:p w:rsidR="004D15A9" w:rsidRPr="00952B44" w:rsidRDefault="004D15A9" w:rsidP="00DA596D">
      <w:pPr>
        <w:spacing w:after="0" w:line="240" w:lineRule="auto"/>
        <w:rPr>
          <w:rFonts w:ascii="Times New Roman" w:eastAsia="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71"/>
        <w:gridCol w:w="2824"/>
        <w:gridCol w:w="6119"/>
      </w:tblGrid>
      <w:tr w:rsidR="004D15A9" w:rsidRPr="00952B44" w:rsidTr="004D15A9">
        <w:trPr>
          <w:trHeight w:val="420"/>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4D15A9" w:rsidRPr="00952B44" w:rsidRDefault="004D15A9" w:rsidP="00DA596D">
            <w:pPr>
              <w:spacing w:after="0" w:line="240" w:lineRule="auto"/>
              <w:ind w:firstLine="300"/>
              <w:jc w:val="center"/>
              <w:rPr>
                <w:rFonts w:ascii="Times New Roman" w:eastAsia="Times New Roman" w:hAnsi="Times New Roman" w:cs="Times New Roman"/>
                <w:b/>
                <w:bCs/>
                <w:sz w:val="24"/>
                <w:szCs w:val="24"/>
              </w:rPr>
            </w:pPr>
            <w:r w:rsidRPr="00952B44">
              <w:rPr>
                <w:rFonts w:ascii="Times New Roman" w:eastAsia="Times New Roman" w:hAnsi="Times New Roman" w:cs="Times New Roman"/>
                <w:b/>
                <w:bCs/>
                <w:sz w:val="24"/>
                <w:szCs w:val="24"/>
              </w:rPr>
              <w:t>VI. Sabiedrības līdzdalība un komunikācijas aktivitātes</w:t>
            </w:r>
          </w:p>
        </w:tc>
      </w:tr>
      <w:tr w:rsidR="004D15A9" w:rsidRPr="00952B44" w:rsidTr="004D15A9">
        <w:trPr>
          <w:trHeight w:val="540"/>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1.</w:t>
            </w:r>
          </w:p>
        </w:tc>
        <w:tc>
          <w:tcPr>
            <w:tcW w:w="1500" w:type="pct"/>
            <w:tcBorders>
              <w:top w:val="outset" w:sz="6" w:space="0" w:color="414142"/>
              <w:left w:val="outset" w:sz="6" w:space="0" w:color="414142"/>
              <w:bottom w:val="outset" w:sz="6" w:space="0" w:color="414142"/>
              <w:right w:val="outset" w:sz="6" w:space="0" w:color="414142"/>
            </w:tcBorders>
            <w:hideMark/>
          </w:tcPr>
          <w:p w:rsidR="004D15A9" w:rsidRPr="004E2D5C" w:rsidRDefault="004D15A9" w:rsidP="00DA596D">
            <w:pPr>
              <w:spacing w:after="0" w:line="240" w:lineRule="auto"/>
              <w:rPr>
                <w:rFonts w:ascii="Times New Roman" w:eastAsia="Times New Roman" w:hAnsi="Times New Roman" w:cs="Times New Roman"/>
                <w:sz w:val="24"/>
                <w:szCs w:val="24"/>
              </w:rPr>
            </w:pPr>
            <w:r w:rsidRPr="004E2D5C">
              <w:rPr>
                <w:rFonts w:ascii="Times New Roman" w:eastAsia="Times New Roman" w:hAnsi="Times New Roman" w:cs="Times New Roman"/>
                <w:sz w:val="24"/>
                <w:szCs w:val="24"/>
              </w:rPr>
              <w:t>Plānotās sabiedrības līdzdalības un komunikācijas aktivitātes saistībā ar projektu</w:t>
            </w:r>
          </w:p>
        </w:tc>
        <w:tc>
          <w:tcPr>
            <w:tcW w:w="3250" w:type="pct"/>
            <w:tcBorders>
              <w:top w:val="outset" w:sz="6" w:space="0" w:color="414142"/>
              <w:left w:val="outset" w:sz="6" w:space="0" w:color="414142"/>
              <w:bottom w:val="outset" w:sz="6" w:space="0" w:color="414142"/>
              <w:right w:val="outset" w:sz="6" w:space="0" w:color="414142"/>
            </w:tcBorders>
            <w:hideMark/>
          </w:tcPr>
          <w:p w:rsidR="0075216E" w:rsidRPr="004E2D5C" w:rsidRDefault="00C467DF" w:rsidP="0075216E">
            <w:pPr>
              <w:pStyle w:val="Default"/>
              <w:jc w:val="both"/>
              <w:rPr>
                <w:rFonts w:eastAsia="Times New Roman"/>
                <w:color w:val="auto"/>
              </w:rPr>
            </w:pPr>
            <w:r>
              <w:rPr>
                <w:rFonts w:eastAsia="Times New Roman"/>
                <w:color w:val="auto"/>
              </w:rPr>
              <w:t xml:space="preserve">Likumprojekts </w:t>
            </w:r>
            <w:r w:rsidR="004C235D">
              <w:rPr>
                <w:rFonts w:eastAsia="Times New Roman"/>
                <w:color w:val="auto"/>
              </w:rPr>
              <w:t xml:space="preserve">2016.gada 23. maijā </w:t>
            </w:r>
            <w:r>
              <w:rPr>
                <w:rFonts w:eastAsia="Times New Roman"/>
                <w:color w:val="auto"/>
              </w:rPr>
              <w:t>sabiedriskajai apspriešanai publicēts VARAM mājaslapā.</w:t>
            </w:r>
          </w:p>
          <w:p w:rsidR="000957CD" w:rsidRPr="004E2D5C" w:rsidRDefault="000957CD" w:rsidP="0075216E">
            <w:pPr>
              <w:spacing w:after="0" w:line="240" w:lineRule="auto"/>
              <w:jc w:val="both"/>
              <w:rPr>
                <w:rFonts w:ascii="Times New Roman" w:eastAsia="Times New Roman" w:hAnsi="Times New Roman" w:cs="Times New Roman"/>
                <w:sz w:val="24"/>
                <w:szCs w:val="24"/>
              </w:rPr>
            </w:pPr>
          </w:p>
        </w:tc>
      </w:tr>
      <w:tr w:rsidR="004D15A9" w:rsidRPr="00952B44" w:rsidTr="004D15A9">
        <w:trPr>
          <w:trHeight w:val="330"/>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2.</w:t>
            </w:r>
          </w:p>
        </w:tc>
        <w:tc>
          <w:tcPr>
            <w:tcW w:w="1500" w:type="pct"/>
            <w:tcBorders>
              <w:top w:val="outset" w:sz="6" w:space="0" w:color="414142"/>
              <w:left w:val="outset" w:sz="6" w:space="0" w:color="414142"/>
              <w:bottom w:val="outset" w:sz="6" w:space="0" w:color="414142"/>
              <w:right w:val="outset" w:sz="6" w:space="0" w:color="414142"/>
            </w:tcBorders>
            <w:hideMark/>
          </w:tcPr>
          <w:p w:rsidR="004D15A9" w:rsidRPr="004E2D5C" w:rsidRDefault="004D15A9" w:rsidP="00DA596D">
            <w:pPr>
              <w:spacing w:after="0" w:line="240" w:lineRule="auto"/>
              <w:rPr>
                <w:rFonts w:ascii="Times New Roman" w:eastAsia="Times New Roman" w:hAnsi="Times New Roman" w:cs="Times New Roman"/>
                <w:sz w:val="24"/>
                <w:szCs w:val="24"/>
              </w:rPr>
            </w:pPr>
            <w:r w:rsidRPr="004E2D5C">
              <w:rPr>
                <w:rFonts w:ascii="Times New Roman" w:eastAsia="Times New Roman" w:hAnsi="Times New Roman" w:cs="Times New Roman"/>
                <w:sz w:val="24"/>
                <w:szCs w:val="24"/>
              </w:rPr>
              <w:t>Sabiedrības līdzdalība projekta izstrādē</w:t>
            </w:r>
          </w:p>
        </w:tc>
        <w:tc>
          <w:tcPr>
            <w:tcW w:w="3250" w:type="pct"/>
            <w:tcBorders>
              <w:top w:val="outset" w:sz="6" w:space="0" w:color="414142"/>
              <w:left w:val="outset" w:sz="6" w:space="0" w:color="414142"/>
              <w:bottom w:val="outset" w:sz="6" w:space="0" w:color="414142"/>
              <w:right w:val="outset" w:sz="6" w:space="0" w:color="414142"/>
            </w:tcBorders>
            <w:hideMark/>
          </w:tcPr>
          <w:p w:rsidR="00B6385F" w:rsidRPr="004E2D5C" w:rsidRDefault="004E2D5C" w:rsidP="004C235D">
            <w:pPr>
              <w:spacing w:after="0" w:line="240" w:lineRule="auto"/>
              <w:jc w:val="both"/>
              <w:rPr>
                <w:rFonts w:ascii="Times New Roman" w:eastAsia="Times New Roman" w:hAnsi="Times New Roman" w:cs="Times New Roman"/>
                <w:sz w:val="24"/>
                <w:szCs w:val="24"/>
              </w:rPr>
            </w:pPr>
            <w:r w:rsidRPr="004E2D5C">
              <w:rPr>
                <w:rFonts w:ascii="Times New Roman" w:hAnsi="Times New Roman" w:cs="Times New Roman"/>
                <w:sz w:val="24"/>
                <w:szCs w:val="24"/>
              </w:rPr>
              <w:t xml:space="preserve">Likumprojekts 2016.gada </w:t>
            </w:r>
            <w:r w:rsidR="004C235D">
              <w:rPr>
                <w:rFonts w:ascii="Times New Roman" w:hAnsi="Times New Roman" w:cs="Times New Roman"/>
                <w:sz w:val="24"/>
                <w:szCs w:val="24"/>
              </w:rPr>
              <w:t>23.maijā</w:t>
            </w:r>
            <w:r w:rsidRPr="004E2D5C">
              <w:rPr>
                <w:rFonts w:ascii="Times New Roman" w:hAnsi="Times New Roman" w:cs="Times New Roman"/>
                <w:sz w:val="24"/>
                <w:szCs w:val="24"/>
              </w:rPr>
              <w:t xml:space="preserve"> ievietots </w:t>
            </w:r>
            <w:r>
              <w:rPr>
                <w:rFonts w:ascii="Times New Roman" w:hAnsi="Times New Roman" w:cs="Times New Roman"/>
                <w:sz w:val="24"/>
                <w:szCs w:val="24"/>
              </w:rPr>
              <w:t>VARAM</w:t>
            </w:r>
            <w:r w:rsidRPr="004E2D5C">
              <w:rPr>
                <w:rFonts w:ascii="Times New Roman" w:hAnsi="Times New Roman" w:cs="Times New Roman"/>
                <w:sz w:val="24"/>
                <w:szCs w:val="24"/>
              </w:rPr>
              <w:t xml:space="preserve"> tīmekļa vietnē </w:t>
            </w:r>
            <w:hyperlink r:id="rId8" w:history="1">
              <w:r w:rsidRPr="004E2D5C">
                <w:rPr>
                  <w:rStyle w:val="Hyperlink"/>
                  <w:rFonts w:ascii="Times New Roman" w:hAnsi="Times New Roman" w:cs="Times New Roman"/>
                  <w:sz w:val="24"/>
                  <w:szCs w:val="24"/>
                </w:rPr>
                <w:t>www.varam.gov.lv</w:t>
              </w:r>
            </w:hyperlink>
            <w:r w:rsidRPr="004E2D5C">
              <w:rPr>
                <w:rFonts w:ascii="Times New Roman" w:hAnsi="Times New Roman" w:cs="Times New Roman"/>
                <w:sz w:val="24"/>
                <w:szCs w:val="24"/>
              </w:rPr>
              <w:t>, aicinot ieinteresētajām personām izteikt viedokli un sniegt priekšlikumus.</w:t>
            </w:r>
          </w:p>
        </w:tc>
      </w:tr>
      <w:tr w:rsidR="004D15A9" w:rsidRPr="00952B44" w:rsidTr="004D15A9">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3.</w:t>
            </w:r>
          </w:p>
        </w:tc>
        <w:tc>
          <w:tcPr>
            <w:tcW w:w="150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Sabiedrības līdzdalības rezultāti</w:t>
            </w:r>
          </w:p>
        </w:tc>
        <w:tc>
          <w:tcPr>
            <w:tcW w:w="3250" w:type="pct"/>
            <w:tcBorders>
              <w:top w:val="outset" w:sz="6" w:space="0" w:color="414142"/>
              <w:left w:val="outset" w:sz="6" w:space="0" w:color="414142"/>
              <w:bottom w:val="outset" w:sz="6" w:space="0" w:color="414142"/>
              <w:right w:val="outset" w:sz="6" w:space="0" w:color="414142"/>
            </w:tcBorders>
            <w:hideMark/>
          </w:tcPr>
          <w:p w:rsidR="004E2D5C" w:rsidRPr="004E2D5C" w:rsidRDefault="004E2D5C" w:rsidP="004E2D5C">
            <w:pPr>
              <w:pStyle w:val="naiskr"/>
              <w:spacing w:before="0" w:after="0"/>
              <w:ind w:right="57"/>
              <w:jc w:val="both"/>
            </w:pPr>
            <w:r w:rsidRPr="004E2D5C">
              <w:t>Saņemtie priekšlikumi pēc izvērtē</w:t>
            </w:r>
            <w:r>
              <w:t>šanas tiks iestrādāti likum</w:t>
            </w:r>
            <w:r w:rsidRPr="004E2D5C">
              <w:t>projektā vai arī tiks sniegts pamatojums, kāpēc sabiedrības priekš</w:t>
            </w:r>
            <w:r>
              <w:t>likumi nav iekļaujami likum</w:t>
            </w:r>
            <w:r w:rsidRPr="004E2D5C">
              <w:t>projektā.</w:t>
            </w:r>
          </w:p>
          <w:p w:rsidR="004D15A9" w:rsidRPr="00952B44" w:rsidRDefault="004E2D5C" w:rsidP="004E2D5C">
            <w:pPr>
              <w:spacing w:after="0" w:line="240" w:lineRule="auto"/>
              <w:rPr>
                <w:rFonts w:ascii="Times New Roman" w:eastAsia="Times New Roman" w:hAnsi="Times New Roman" w:cs="Times New Roman"/>
                <w:sz w:val="24"/>
                <w:szCs w:val="24"/>
              </w:rPr>
            </w:pPr>
            <w:r w:rsidRPr="004E2D5C">
              <w:rPr>
                <w:rFonts w:ascii="Times New Roman" w:hAnsi="Times New Roman" w:cs="Times New Roman"/>
                <w:sz w:val="24"/>
                <w:szCs w:val="24"/>
              </w:rPr>
              <w:t>Šobrīd sabiedrības priekšlikumu nav saņemti.</w:t>
            </w:r>
          </w:p>
        </w:tc>
      </w:tr>
      <w:tr w:rsidR="004D15A9" w:rsidRPr="00952B44" w:rsidTr="004D15A9">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4.</w:t>
            </w:r>
          </w:p>
        </w:tc>
        <w:tc>
          <w:tcPr>
            <w:tcW w:w="150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Cita informācija</w:t>
            </w:r>
          </w:p>
        </w:tc>
        <w:tc>
          <w:tcPr>
            <w:tcW w:w="3250" w:type="pct"/>
            <w:tcBorders>
              <w:top w:val="outset" w:sz="6" w:space="0" w:color="414142"/>
              <w:left w:val="outset" w:sz="6" w:space="0" w:color="414142"/>
              <w:bottom w:val="outset" w:sz="6" w:space="0" w:color="414142"/>
              <w:right w:val="outset" w:sz="6" w:space="0" w:color="414142"/>
            </w:tcBorders>
            <w:hideMark/>
          </w:tcPr>
          <w:p w:rsidR="004D15A9" w:rsidRPr="00952B44" w:rsidRDefault="00297F2B" w:rsidP="00297F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p>
        </w:tc>
      </w:tr>
    </w:tbl>
    <w:p w:rsidR="004D15A9" w:rsidRPr="00952B44" w:rsidRDefault="004D15A9" w:rsidP="00DA596D">
      <w:pPr>
        <w:spacing w:after="0" w:line="240" w:lineRule="auto"/>
        <w:rPr>
          <w:rFonts w:ascii="Times New Roman" w:eastAsia="Times New Roman" w:hAnsi="Times New Roman" w:cs="Times New Roman"/>
          <w:sz w:val="24"/>
          <w:szCs w:val="24"/>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71"/>
        <w:gridCol w:w="2820"/>
        <w:gridCol w:w="6123"/>
      </w:tblGrid>
      <w:tr w:rsidR="004D15A9" w:rsidRPr="00952B44" w:rsidTr="004D15A9">
        <w:trPr>
          <w:trHeight w:val="37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4D15A9" w:rsidRPr="00952B44" w:rsidRDefault="004D15A9" w:rsidP="00DA596D">
            <w:pPr>
              <w:spacing w:after="0" w:line="240" w:lineRule="auto"/>
              <w:ind w:firstLine="300"/>
              <w:jc w:val="center"/>
              <w:rPr>
                <w:rFonts w:ascii="Times New Roman" w:eastAsia="Times New Roman" w:hAnsi="Times New Roman" w:cs="Times New Roman"/>
                <w:b/>
                <w:bCs/>
                <w:sz w:val="24"/>
                <w:szCs w:val="24"/>
              </w:rPr>
            </w:pPr>
            <w:r w:rsidRPr="00952B44">
              <w:rPr>
                <w:rFonts w:ascii="Times New Roman" w:eastAsia="Times New Roman" w:hAnsi="Times New Roman" w:cs="Times New Roman"/>
                <w:b/>
                <w:bCs/>
                <w:sz w:val="24"/>
                <w:szCs w:val="24"/>
              </w:rPr>
              <w:t>VII. Tiesību akta projekta izpildes nodrošināšana un tās ietekme uz institūcijām</w:t>
            </w:r>
          </w:p>
        </w:tc>
      </w:tr>
      <w:tr w:rsidR="004D15A9" w:rsidRPr="00952B44" w:rsidTr="0075216E">
        <w:trPr>
          <w:trHeight w:val="420"/>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1.</w:t>
            </w:r>
          </w:p>
        </w:tc>
        <w:tc>
          <w:tcPr>
            <w:tcW w:w="1498"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Projekta izpildē iesaistītās institūcijas</w:t>
            </w:r>
          </w:p>
        </w:tc>
        <w:tc>
          <w:tcPr>
            <w:tcW w:w="3252" w:type="pct"/>
            <w:tcBorders>
              <w:top w:val="outset" w:sz="6" w:space="0" w:color="414142"/>
              <w:left w:val="outset" w:sz="6" w:space="0" w:color="414142"/>
              <w:bottom w:val="outset" w:sz="6" w:space="0" w:color="414142"/>
              <w:right w:val="outset" w:sz="6" w:space="0" w:color="414142"/>
            </w:tcBorders>
            <w:hideMark/>
          </w:tcPr>
          <w:p w:rsidR="004D15A9" w:rsidRPr="00952B44" w:rsidRDefault="00DC19E7" w:rsidP="00D431B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VARAM, VRAA, VZD, PMLP, VID, </w:t>
            </w:r>
            <w:r w:rsidR="00FA6819">
              <w:rPr>
                <w:rFonts w:ascii="Times New Roman" w:hAnsi="Times New Roman" w:cs="Times New Roman"/>
                <w:sz w:val="24"/>
                <w:szCs w:val="24"/>
              </w:rPr>
              <w:t>VDEĀVK</w:t>
            </w:r>
            <w:r w:rsidR="00FA68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un Latvijas pašvaldību savienība.</w:t>
            </w:r>
          </w:p>
        </w:tc>
      </w:tr>
      <w:tr w:rsidR="004D15A9" w:rsidRPr="00952B44" w:rsidTr="0075216E">
        <w:trPr>
          <w:trHeight w:val="450"/>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2.</w:t>
            </w:r>
          </w:p>
        </w:tc>
        <w:tc>
          <w:tcPr>
            <w:tcW w:w="1498" w:type="pct"/>
            <w:tcBorders>
              <w:top w:val="outset" w:sz="6" w:space="0" w:color="414142"/>
              <w:left w:val="outset" w:sz="6" w:space="0" w:color="414142"/>
              <w:bottom w:val="outset" w:sz="6" w:space="0" w:color="414142"/>
              <w:right w:val="outset" w:sz="6" w:space="0" w:color="414142"/>
            </w:tcBorders>
            <w:hideMark/>
          </w:tcPr>
          <w:p w:rsidR="004D15A9" w:rsidRPr="0075216E" w:rsidRDefault="004D15A9" w:rsidP="00DA596D">
            <w:pPr>
              <w:spacing w:after="0" w:line="240" w:lineRule="auto"/>
              <w:rPr>
                <w:rFonts w:ascii="Times New Roman" w:eastAsia="Times New Roman" w:hAnsi="Times New Roman" w:cs="Times New Roman"/>
                <w:sz w:val="24"/>
                <w:szCs w:val="24"/>
              </w:rPr>
            </w:pPr>
            <w:r w:rsidRPr="0075216E">
              <w:rPr>
                <w:rFonts w:ascii="Times New Roman" w:eastAsia="Times New Roman" w:hAnsi="Times New Roman" w:cs="Times New Roman"/>
                <w:sz w:val="24"/>
                <w:szCs w:val="24"/>
              </w:rPr>
              <w:t xml:space="preserve">Projekta izpildes ietekme uz pārvaldes funkcijām un institucionālo struktūru. </w:t>
            </w:r>
          </w:p>
          <w:p w:rsidR="004D15A9" w:rsidRPr="00952B44" w:rsidRDefault="004D15A9" w:rsidP="00CE7BA5">
            <w:pPr>
              <w:spacing w:after="0" w:line="240" w:lineRule="auto"/>
              <w:rPr>
                <w:rFonts w:ascii="Times New Roman" w:eastAsia="Times New Roman" w:hAnsi="Times New Roman" w:cs="Times New Roman"/>
                <w:sz w:val="24"/>
                <w:szCs w:val="24"/>
              </w:rPr>
            </w:pPr>
            <w:r w:rsidRPr="0075216E">
              <w:rPr>
                <w:rFonts w:ascii="Times New Roman" w:eastAsia="Times New Roman" w:hAnsi="Times New Roman" w:cs="Times New Roman"/>
                <w:sz w:val="24"/>
                <w:szCs w:val="24"/>
              </w:rPr>
              <w:t>Jaunu institūciju izveide, esošu institūciju likvidācija vai reorganizācija, to ietekme uz institūcijas cilvēkresursiem</w:t>
            </w:r>
          </w:p>
        </w:tc>
        <w:tc>
          <w:tcPr>
            <w:tcW w:w="3252" w:type="pct"/>
            <w:tcBorders>
              <w:top w:val="outset" w:sz="6" w:space="0" w:color="414142"/>
              <w:left w:val="outset" w:sz="6" w:space="0" w:color="414142"/>
              <w:bottom w:val="outset" w:sz="6" w:space="0" w:color="414142"/>
              <w:right w:val="outset" w:sz="6" w:space="0" w:color="414142"/>
            </w:tcBorders>
            <w:hideMark/>
          </w:tcPr>
          <w:p w:rsidR="00D13C82" w:rsidRPr="00D13C82" w:rsidRDefault="00D13C82" w:rsidP="00D13C82">
            <w:pPr>
              <w:spacing w:after="0" w:line="240" w:lineRule="auto"/>
              <w:jc w:val="both"/>
              <w:rPr>
                <w:rFonts w:ascii="Times New Roman" w:hAnsi="Times New Roman" w:cs="Times New Roman"/>
                <w:sz w:val="24"/>
                <w:szCs w:val="24"/>
              </w:rPr>
            </w:pPr>
            <w:r w:rsidRPr="00D13C82">
              <w:rPr>
                <w:rFonts w:ascii="Times New Roman" w:hAnsi="Times New Roman" w:cs="Times New Roman"/>
                <w:sz w:val="24"/>
                <w:szCs w:val="24"/>
              </w:rPr>
              <w:t>Projekta izpilde neietekmēs pārvaldes funkcijas vai institucionālo struktūru.</w:t>
            </w:r>
          </w:p>
          <w:p w:rsidR="00D13C82" w:rsidRDefault="00D13C82" w:rsidP="00D13C82">
            <w:pPr>
              <w:spacing w:after="0" w:line="240" w:lineRule="auto"/>
              <w:jc w:val="both"/>
              <w:rPr>
                <w:rFonts w:ascii="Times New Roman" w:hAnsi="Times New Roman" w:cs="Times New Roman"/>
                <w:sz w:val="24"/>
                <w:szCs w:val="24"/>
              </w:rPr>
            </w:pPr>
            <w:r w:rsidRPr="00D13C82">
              <w:rPr>
                <w:rFonts w:ascii="Times New Roman" w:hAnsi="Times New Roman" w:cs="Times New Roman"/>
                <w:sz w:val="24"/>
                <w:szCs w:val="24"/>
              </w:rPr>
              <w:t xml:space="preserve">Jaunas institūcijas netiks izveidotas, nenotiks esošo institūciju likvidācija vai reorganizācija. </w:t>
            </w:r>
          </w:p>
          <w:p w:rsidR="004D15A9" w:rsidRPr="00952B44" w:rsidRDefault="00D13C82" w:rsidP="00D13C82">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Būs nepieciešami papildus</w:t>
            </w:r>
            <w:r w:rsidRPr="00D13C82">
              <w:rPr>
                <w:rFonts w:ascii="Times New Roman" w:hAnsi="Times New Roman" w:cs="Times New Roman"/>
                <w:sz w:val="24"/>
                <w:szCs w:val="24"/>
              </w:rPr>
              <w:t xml:space="preserve"> cilvēkresursi </w:t>
            </w:r>
            <w:r>
              <w:rPr>
                <w:rFonts w:ascii="Times New Roman" w:hAnsi="Times New Roman" w:cs="Times New Roman"/>
                <w:sz w:val="24"/>
                <w:szCs w:val="24"/>
              </w:rPr>
              <w:t xml:space="preserve">VRAA personificēto datu </w:t>
            </w:r>
            <w:proofErr w:type="spellStart"/>
            <w:r>
              <w:rPr>
                <w:rFonts w:ascii="Times New Roman" w:hAnsi="Times New Roman" w:cs="Times New Roman"/>
                <w:sz w:val="24"/>
                <w:szCs w:val="24"/>
              </w:rPr>
              <w:t>anonimizēšanas</w:t>
            </w:r>
            <w:proofErr w:type="spellEnd"/>
            <w:r>
              <w:rPr>
                <w:rFonts w:ascii="Times New Roman" w:hAnsi="Times New Roman" w:cs="Times New Roman"/>
                <w:sz w:val="24"/>
                <w:szCs w:val="24"/>
              </w:rPr>
              <w:t xml:space="preserve"> funkcionalitātes uzturēšanas un attīstības nodrošināšanai</w:t>
            </w:r>
            <w:r w:rsidRPr="00D13C82">
              <w:rPr>
                <w:rFonts w:ascii="Times New Roman" w:hAnsi="Times New Roman" w:cs="Times New Roman"/>
                <w:sz w:val="24"/>
                <w:szCs w:val="24"/>
              </w:rPr>
              <w:t>.</w:t>
            </w:r>
          </w:p>
        </w:tc>
      </w:tr>
      <w:tr w:rsidR="004D15A9" w:rsidRPr="00952B44" w:rsidTr="0075216E">
        <w:trPr>
          <w:trHeight w:val="390"/>
        </w:trPr>
        <w:tc>
          <w:tcPr>
            <w:tcW w:w="250"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3.</w:t>
            </w:r>
          </w:p>
        </w:tc>
        <w:tc>
          <w:tcPr>
            <w:tcW w:w="1498" w:type="pct"/>
            <w:tcBorders>
              <w:top w:val="outset" w:sz="6" w:space="0" w:color="414142"/>
              <w:left w:val="outset" w:sz="6" w:space="0" w:color="414142"/>
              <w:bottom w:val="outset" w:sz="6" w:space="0" w:color="414142"/>
              <w:right w:val="outset" w:sz="6" w:space="0" w:color="414142"/>
            </w:tcBorders>
            <w:hideMark/>
          </w:tcPr>
          <w:p w:rsidR="004D15A9" w:rsidRPr="00952B44" w:rsidRDefault="004D15A9" w:rsidP="00DA596D">
            <w:pPr>
              <w:spacing w:after="0" w:line="240" w:lineRule="auto"/>
              <w:rPr>
                <w:rFonts w:ascii="Times New Roman" w:eastAsia="Times New Roman" w:hAnsi="Times New Roman" w:cs="Times New Roman"/>
                <w:sz w:val="24"/>
                <w:szCs w:val="24"/>
              </w:rPr>
            </w:pPr>
            <w:r w:rsidRPr="00952B44">
              <w:rPr>
                <w:rFonts w:ascii="Times New Roman" w:eastAsia="Times New Roman" w:hAnsi="Times New Roman" w:cs="Times New Roman"/>
                <w:sz w:val="24"/>
                <w:szCs w:val="24"/>
              </w:rPr>
              <w:t>Cita informācija</w:t>
            </w:r>
          </w:p>
        </w:tc>
        <w:tc>
          <w:tcPr>
            <w:tcW w:w="3252" w:type="pct"/>
            <w:tcBorders>
              <w:top w:val="outset" w:sz="6" w:space="0" w:color="414142"/>
              <w:left w:val="outset" w:sz="6" w:space="0" w:color="414142"/>
              <w:bottom w:val="outset" w:sz="6" w:space="0" w:color="414142"/>
              <w:right w:val="outset" w:sz="6" w:space="0" w:color="414142"/>
            </w:tcBorders>
            <w:hideMark/>
          </w:tcPr>
          <w:p w:rsidR="004D15A9" w:rsidRPr="00952B44" w:rsidRDefault="00B92B42" w:rsidP="00B92B4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Nav.</w:t>
            </w:r>
          </w:p>
        </w:tc>
      </w:tr>
    </w:tbl>
    <w:p w:rsidR="0075216E" w:rsidRDefault="0075216E" w:rsidP="0075216E">
      <w:pPr>
        <w:spacing w:after="0" w:line="240" w:lineRule="auto"/>
        <w:ind w:firstLine="720"/>
        <w:rPr>
          <w:rFonts w:ascii="Times New Roman" w:hAnsi="Times New Roman" w:cs="Times New Roman"/>
          <w:sz w:val="24"/>
          <w:szCs w:val="24"/>
        </w:rPr>
      </w:pPr>
    </w:p>
    <w:p w:rsidR="0075216E" w:rsidRPr="000E0ACD" w:rsidRDefault="0075216E" w:rsidP="0075216E">
      <w:pPr>
        <w:spacing w:after="0" w:line="240" w:lineRule="auto"/>
        <w:ind w:firstLine="720"/>
        <w:rPr>
          <w:rFonts w:ascii="Times New Roman" w:hAnsi="Times New Roman" w:cs="Times New Roman"/>
          <w:sz w:val="24"/>
          <w:szCs w:val="24"/>
        </w:rPr>
      </w:pPr>
    </w:p>
    <w:p w:rsidR="0075216E" w:rsidRPr="000E0ACD" w:rsidRDefault="00420F0D" w:rsidP="0075216E">
      <w:pPr>
        <w:spacing w:after="0" w:line="240" w:lineRule="auto"/>
        <w:ind w:firstLine="720"/>
        <w:rPr>
          <w:rFonts w:ascii="Times New Roman" w:hAnsi="Times New Roman" w:cs="Times New Roman"/>
          <w:sz w:val="24"/>
          <w:szCs w:val="24"/>
        </w:rPr>
      </w:pPr>
      <w:r w:rsidRPr="00420F0D">
        <w:rPr>
          <w:rFonts w:ascii="Times New Roman" w:hAnsi="Times New Roman" w:cs="Times New Roman"/>
          <w:sz w:val="24"/>
          <w:szCs w:val="24"/>
        </w:rPr>
        <w:t>Vides aizsardzības un reģionālās attīstības ministrs</w:t>
      </w:r>
      <w:r w:rsidRPr="00420F0D">
        <w:rPr>
          <w:rFonts w:ascii="Times New Roman" w:hAnsi="Times New Roman" w:cs="Times New Roman"/>
          <w:sz w:val="24"/>
          <w:szCs w:val="24"/>
        </w:rPr>
        <w:tab/>
      </w:r>
      <w:r w:rsidRPr="00420F0D">
        <w:rPr>
          <w:rFonts w:ascii="Times New Roman" w:hAnsi="Times New Roman" w:cs="Times New Roman"/>
          <w:sz w:val="24"/>
          <w:szCs w:val="24"/>
        </w:rPr>
        <w:tab/>
      </w:r>
      <w:r w:rsidRPr="00420F0D">
        <w:rPr>
          <w:rFonts w:ascii="Times New Roman" w:hAnsi="Times New Roman" w:cs="Times New Roman"/>
          <w:sz w:val="24"/>
          <w:szCs w:val="24"/>
        </w:rPr>
        <w:tab/>
      </w:r>
      <w:r>
        <w:rPr>
          <w:rFonts w:ascii="Times New Roman" w:hAnsi="Times New Roman" w:cs="Times New Roman"/>
          <w:sz w:val="24"/>
          <w:szCs w:val="24"/>
        </w:rPr>
        <w:tab/>
      </w:r>
      <w:r w:rsidRPr="00420F0D">
        <w:rPr>
          <w:rFonts w:ascii="Times New Roman" w:hAnsi="Times New Roman" w:cs="Times New Roman"/>
          <w:sz w:val="24"/>
          <w:szCs w:val="24"/>
        </w:rPr>
        <w:t>K. Gerhards</w:t>
      </w:r>
    </w:p>
    <w:p w:rsidR="0075216E" w:rsidRPr="000E0ACD" w:rsidRDefault="0075216E" w:rsidP="0075216E">
      <w:pPr>
        <w:spacing w:after="0" w:line="240" w:lineRule="auto"/>
        <w:ind w:firstLine="720"/>
        <w:rPr>
          <w:rFonts w:ascii="Times New Roman" w:hAnsi="Times New Roman" w:cs="Times New Roman"/>
          <w:sz w:val="24"/>
          <w:szCs w:val="24"/>
        </w:rPr>
      </w:pPr>
    </w:p>
    <w:p w:rsidR="0075216E" w:rsidRPr="000E0ACD" w:rsidRDefault="0075216E" w:rsidP="0075216E">
      <w:pPr>
        <w:spacing w:after="0" w:line="240" w:lineRule="auto"/>
        <w:ind w:firstLine="720"/>
        <w:rPr>
          <w:rFonts w:ascii="Times New Roman" w:hAnsi="Times New Roman" w:cs="Times New Roman"/>
          <w:sz w:val="24"/>
          <w:szCs w:val="24"/>
        </w:rPr>
      </w:pPr>
    </w:p>
    <w:p w:rsidR="00000000" w:rsidRDefault="00EC39DE">
      <w:pPr>
        <w:spacing w:after="0" w:line="240" w:lineRule="auto"/>
        <w:rPr>
          <w:rFonts w:ascii="Times New Roman" w:hAnsi="Times New Roman" w:cs="Times New Roman"/>
          <w:sz w:val="24"/>
          <w:szCs w:val="24"/>
        </w:rPr>
      </w:pPr>
      <w:bookmarkStart w:id="0" w:name="_GoBack"/>
      <w:bookmarkEnd w:id="0"/>
      <w:r w:rsidRPr="000E0ACD">
        <w:rPr>
          <w:rFonts w:ascii="Times New Roman" w:hAnsi="Times New Roman" w:cs="Times New Roman"/>
          <w:sz w:val="24"/>
          <w:szCs w:val="24"/>
        </w:rPr>
        <w:t xml:space="preserve">Vīza: </w:t>
      </w:r>
      <w:r w:rsidR="004E2D5C">
        <w:rPr>
          <w:rFonts w:ascii="Times New Roman" w:hAnsi="Times New Roman" w:cs="Times New Roman"/>
          <w:sz w:val="24"/>
          <w:szCs w:val="24"/>
        </w:rPr>
        <w:t>v</w:t>
      </w:r>
      <w:r w:rsidR="0016528E" w:rsidRPr="000E0ACD">
        <w:rPr>
          <w:rFonts w:ascii="Times New Roman" w:hAnsi="Times New Roman" w:cs="Times New Roman"/>
          <w:sz w:val="24"/>
          <w:szCs w:val="24"/>
        </w:rPr>
        <w:t>alsts sekretārs</w:t>
      </w:r>
      <w:r w:rsidR="0016528E" w:rsidRPr="000E0ACD">
        <w:rPr>
          <w:rFonts w:ascii="Times New Roman" w:hAnsi="Times New Roman" w:cs="Times New Roman"/>
          <w:sz w:val="24"/>
          <w:szCs w:val="24"/>
        </w:rPr>
        <w:tab/>
      </w:r>
      <w:r w:rsidR="0016528E" w:rsidRPr="000E0ACD">
        <w:rPr>
          <w:rFonts w:ascii="Times New Roman" w:hAnsi="Times New Roman" w:cs="Times New Roman"/>
          <w:sz w:val="24"/>
          <w:szCs w:val="24"/>
        </w:rPr>
        <w:tab/>
      </w:r>
      <w:r w:rsidR="0016528E" w:rsidRPr="000E0ACD">
        <w:rPr>
          <w:rFonts w:ascii="Times New Roman" w:hAnsi="Times New Roman" w:cs="Times New Roman"/>
          <w:sz w:val="24"/>
          <w:szCs w:val="24"/>
        </w:rPr>
        <w:tab/>
      </w:r>
      <w:r w:rsidR="0016528E" w:rsidRPr="000E0ACD">
        <w:rPr>
          <w:rFonts w:ascii="Times New Roman" w:hAnsi="Times New Roman" w:cs="Times New Roman"/>
          <w:sz w:val="24"/>
          <w:szCs w:val="24"/>
        </w:rPr>
        <w:tab/>
      </w:r>
      <w:r w:rsidR="0016528E" w:rsidRPr="000E0ACD">
        <w:rPr>
          <w:rFonts w:ascii="Times New Roman" w:hAnsi="Times New Roman" w:cs="Times New Roman"/>
          <w:sz w:val="24"/>
          <w:szCs w:val="24"/>
        </w:rPr>
        <w:tab/>
      </w:r>
      <w:r w:rsidR="0016528E" w:rsidRPr="000E0ACD">
        <w:rPr>
          <w:rFonts w:ascii="Times New Roman" w:hAnsi="Times New Roman" w:cs="Times New Roman"/>
          <w:sz w:val="24"/>
          <w:szCs w:val="24"/>
        </w:rPr>
        <w:tab/>
      </w:r>
      <w:r w:rsidR="00420F0D">
        <w:rPr>
          <w:rFonts w:ascii="Times New Roman" w:hAnsi="Times New Roman" w:cs="Times New Roman"/>
          <w:sz w:val="24"/>
          <w:szCs w:val="24"/>
        </w:rPr>
        <w:tab/>
      </w:r>
      <w:r w:rsidR="00420F0D">
        <w:rPr>
          <w:rFonts w:ascii="Times New Roman" w:hAnsi="Times New Roman" w:cs="Times New Roman"/>
          <w:sz w:val="24"/>
          <w:szCs w:val="24"/>
        </w:rPr>
        <w:tab/>
        <w:t>R</w:t>
      </w:r>
      <w:r w:rsidRPr="000E0ACD">
        <w:rPr>
          <w:rFonts w:ascii="Times New Roman" w:hAnsi="Times New Roman" w:cs="Times New Roman"/>
          <w:sz w:val="24"/>
          <w:szCs w:val="24"/>
        </w:rPr>
        <w:t>.</w:t>
      </w:r>
      <w:r w:rsidR="0016528E" w:rsidRPr="000E0ACD">
        <w:rPr>
          <w:rFonts w:ascii="Times New Roman" w:hAnsi="Times New Roman" w:cs="Times New Roman"/>
          <w:sz w:val="24"/>
          <w:szCs w:val="24"/>
        </w:rPr>
        <w:t xml:space="preserve"> </w:t>
      </w:r>
      <w:r w:rsidR="00420F0D">
        <w:rPr>
          <w:rFonts w:ascii="Times New Roman" w:hAnsi="Times New Roman" w:cs="Times New Roman"/>
          <w:sz w:val="24"/>
          <w:szCs w:val="24"/>
        </w:rPr>
        <w:t>Muciņš</w:t>
      </w:r>
    </w:p>
    <w:p w:rsidR="007C7E93" w:rsidRPr="000E0ACD" w:rsidRDefault="007C7E93" w:rsidP="00DA596D">
      <w:pPr>
        <w:spacing w:after="0" w:line="240" w:lineRule="auto"/>
        <w:rPr>
          <w:rFonts w:ascii="Times New Roman" w:hAnsi="Times New Roman" w:cs="Times New Roman"/>
          <w:sz w:val="24"/>
          <w:szCs w:val="24"/>
        </w:rPr>
      </w:pPr>
    </w:p>
    <w:p w:rsidR="0075216E" w:rsidRDefault="00C467DF" w:rsidP="0075216E">
      <w:pPr>
        <w:tabs>
          <w:tab w:val="left" w:pos="5535"/>
        </w:tabs>
        <w:spacing w:after="0" w:line="240" w:lineRule="auto"/>
        <w:rPr>
          <w:rFonts w:ascii="Times New Roman" w:hAnsi="Times New Roman" w:cs="Times New Roman"/>
          <w:sz w:val="20"/>
          <w:szCs w:val="20"/>
        </w:rPr>
      </w:pPr>
      <w:fldSimple w:instr=" NUMWORDS   \* MERGEFORMAT ">
        <w:r w:rsidR="00FC473A" w:rsidRPr="00FC473A">
          <w:rPr>
            <w:rFonts w:ascii="Times New Roman" w:hAnsi="Times New Roman" w:cs="Times New Roman"/>
            <w:noProof/>
            <w:sz w:val="20"/>
            <w:szCs w:val="20"/>
          </w:rPr>
          <w:t>1775</w:t>
        </w:r>
      </w:fldSimple>
    </w:p>
    <w:p w:rsidR="0016528E" w:rsidRDefault="00C467DF" w:rsidP="00DA596D">
      <w:pPr>
        <w:spacing w:after="0" w:line="240" w:lineRule="auto"/>
        <w:rPr>
          <w:rFonts w:ascii="Times New Roman" w:hAnsi="Times New Roman" w:cs="Times New Roman"/>
          <w:sz w:val="20"/>
          <w:szCs w:val="20"/>
        </w:rPr>
      </w:pPr>
      <w:fldSimple w:instr=" SAVEDATE   \* MERGEFORMAT ">
        <w:r w:rsidR="008E0295" w:rsidRPr="008E0295">
          <w:rPr>
            <w:rFonts w:ascii="Times New Roman" w:hAnsi="Times New Roman" w:cs="Times New Roman"/>
            <w:noProof/>
            <w:sz w:val="20"/>
            <w:szCs w:val="20"/>
          </w:rPr>
          <w:t>2016.05.23. 11:46:</w:t>
        </w:r>
        <w:r w:rsidR="008E0295">
          <w:rPr>
            <w:noProof/>
          </w:rPr>
          <w:t>00</w:t>
        </w:r>
      </w:fldSimple>
    </w:p>
    <w:p w:rsidR="0075216E" w:rsidRPr="0016528E" w:rsidRDefault="0075216E" w:rsidP="00DA596D">
      <w:pPr>
        <w:spacing w:after="0" w:line="240" w:lineRule="auto"/>
        <w:rPr>
          <w:rFonts w:ascii="Times New Roman" w:hAnsi="Times New Roman" w:cs="Times New Roman"/>
          <w:sz w:val="20"/>
          <w:szCs w:val="20"/>
        </w:rPr>
      </w:pPr>
    </w:p>
    <w:p w:rsidR="009F44C9" w:rsidRPr="009F44C9" w:rsidRDefault="009F44C9" w:rsidP="009F44C9">
      <w:pPr>
        <w:spacing w:after="0" w:line="240" w:lineRule="auto"/>
        <w:rPr>
          <w:rFonts w:ascii="Times New Roman" w:hAnsi="Times New Roman" w:cs="Times New Roman"/>
          <w:sz w:val="20"/>
          <w:szCs w:val="20"/>
        </w:rPr>
      </w:pPr>
      <w:r w:rsidRPr="009F44C9">
        <w:rPr>
          <w:rFonts w:ascii="Times New Roman" w:hAnsi="Times New Roman" w:cs="Times New Roman"/>
          <w:sz w:val="20"/>
          <w:szCs w:val="20"/>
        </w:rPr>
        <w:t>R.Guds</w:t>
      </w:r>
    </w:p>
    <w:p w:rsidR="0016528E" w:rsidRPr="0016528E" w:rsidRDefault="009F44C9" w:rsidP="009F44C9">
      <w:pPr>
        <w:spacing w:after="0" w:line="240" w:lineRule="auto"/>
        <w:rPr>
          <w:rFonts w:ascii="Times New Roman" w:hAnsi="Times New Roman" w:cs="Times New Roman"/>
          <w:sz w:val="20"/>
          <w:szCs w:val="20"/>
        </w:rPr>
      </w:pPr>
      <w:r w:rsidRPr="009F44C9">
        <w:rPr>
          <w:rFonts w:ascii="Times New Roman" w:hAnsi="Times New Roman" w:cs="Times New Roman"/>
          <w:sz w:val="20"/>
          <w:szCs w:val="20"/>
        </w:rPr>
        <w:t>67026525, rihards.guds@varam.gov.lv</w:t>
      </w:r>
      <w:r w:rsidR="0016528E">
        <w:rPr>
          <w:rFonts w:ascii="Times New Roman" w:hAnsi="Times New Roman" w:cs="Times New Roman"/>
          <w:sz w:val="20"/>
          <w:szCs w:val="20"/>
        </w:rPr>
        <w:t xml:space="preserve"> </w:t>
      </w:r>
    </w:p>
    <w:sectPr w:rsidR="0016528E" w:rsidRPr="0016528E" w:rsidSect="007C7E93">
      <w:headerReference w:type="default" r:id="rId9"/>
      <w:footerReference w:type="default" r:id="rId10"/>
      <w:footerReference w:type="first" r:id="rId11"/>
      <w:pgSz w:w="11906" w:h="16838"/>
      <w:pgMar w:top="851" w:right="1134" w:bottom="1134"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FC0" w:rsidRDefault="00213FC0" w:rsidP="004D15A9">
      <w:pPr>
        <w:spacing w:after="0" w:line="240" w:lineRule="auto"/>
      </w:pPr>
      <w:r>
        <w:separator/>
      </w:r>
    </w:p>
  </w:endnote>
  <w:endnote w:type="continuationSeparator" w:id="0">
    <w:p w:rsidR="00213FC0" w:rsidRDefault="00213FC0" w:rsidP="004D15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00022FF" w:usb1="C000205B" w:usb2="0000000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1EF" w:rsidRPr="00D9158C" w:rsidRDefault="00296B64" w:rsidP="00D9158C">
    <w:pPr>
      <w:pStyle w:val="Footer"/>
      <w:rPr>
        <w:szCs w:val="20"/>
      </w:rPr>
    </w:pPr>
    <w:r>
      <w:rPr>
        <w:rFonts w:ascii="Times New Roman" w:hAnsi="Times New Roman" w:cs="Times New Roman"/>
        <w:color w:val="000000" w:themeColor="text1"/>
        <w:sz w:val="20"/>
        <w:szCs w:val="20"/>
      </w:rPr>
      <w:t>VARAMAnot_2</w:t>
    </w:r>
    <w:r w:rsidR="000331EF" w:rsidRPr="00D9158C">
      <w:rPr>
        <w:rFonts w:ascii="Times New Roman" w:hAnsi="Times New Roman" w:cs="Times New Roman"/>
        <w:color w:val="000000" w:themeColor="text1"/>
        <w:sz w:val="20"/>
        <w:szCs w:val="20"/>
      </w:rPr>
      <w:t>30516_PL; Likumprojekta „Grozījumi likumā „Par pašvaldībām”” sākotnējās ietekmes novērtējuma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1EF" w:rsidRPr="0016528E" w:rsidRDefault="000331EF" w:rsidP="0016528E">
    <w:pPr>
      <w:pStyle w:val="Footer"/>
      <w:rPr>
        <w:rFonts w:ascii="Times New Roman" w:hAnsi="Times New Roman" w:cs="Times New Roman"/>
        <w:sz w:val="20"/>
        <w:szCs w:val="20"/>
      </w:rPr>
    </w:pPr>
    <w:r>
      <w:rPr>
        <w:rFonts w:ascii="Times New Roman" w:hAnsi="Times New Roman" w:cs="Times New Roman"/>
        <w:color w:val="000000" w:themeColor="text1"/>
        <w:sz w:val="20"/>
        <w:szCs w:val="20"/>
      </w:rPr>
      <w:t>VARAM</w:t>
    </w:r>
    <w:r w:rsidRPr="00A95BBC">
      <w:rPr>
        <w:rFonts w:ascii="Times New Roman" w:hAnsi="Times New Roman" w:cs="Times New Roman"/>
        <w:color w:val="000000" w:themeColor="text1"/>
        <w:sz w:val="20"/>
        <w:szCs w:val="20"/>
      </w:rPr>
      <w:t>Anot_</w:t>
    </w:r>
    <w:r w:rsidR="00296B64">
      <w:rPr>
        <w:rFonts w:ascii="Times New Roman" w:hAnsi="Times New Roman" w:cs="Times New Roman"/>
        <w:color w:val="000000" w:themeColor="text1"/>
        <w:sz w:val="20"/>
        <w:szCs w:val="20"/>
      </w:rPr>
      <w:t>2</w:t>
    </w:r>
    <w:r>
      <w:rPr>
        <w:rFonts w:ascii="Times New Roman" w:hAnsi="Times New Roman" w:cs="Times New Roman"/>
        <w:color w:val="000000" w:themeColor="text1"/>
        <w:sz w:val="20"/>
        <w:szCs w:val="20"/>
      </w:rPr>
      <w:t>30516_</w:t>
    </w:r>
    <w:r>
      <w:rPr>
        <w:rFonts w:ascii="Times New Roman" w:hAnsi="Times New Roman" w:cs="Times New Roman"/>
        <w:sz w:val="20"/>
        <w:szCs w:val="20"/>
      </w:rPr>
      <w:t>PL</w:t>
    </w:r>
    <w:r w:rsidRPr="00A95BBC">
      <w:rPr>
        <w:rFonts w:ascii="Times New Roman" w:hAnsi="Times New Roman" w:cs="Times New Roman"/>
        <w:sz w:val="20"/>
        <w:szCs w:val="20"/>
      </w:rPr>
      <w:t>; Likumprojekta „</w:t>
    </w:r>
    <w:r w:rsidRPr="00D9158C">
      <w:rPr>
        <w:rFonts w:ascii="Times New Roman" w:hAnsi="Times New Roman" w:cs="Times New Roman"/>
        <w:sz w:val="20"/>
        <w:szCs w:val="20"/>
      </w:rPr>
      <w:t>Grozījumi likumā „Par pašvaldībām”</w:t>
    </w:r>
    <w:r w:rsidRPr="00A95BBC">
      <w:rPr>
        <w:rFonts w:ascii="Times New Roman" w:hAnsi="Times New Roman" w:cs="Times New Roman"/>
        <w:sz w:val="20"/>
        <w:szCs w:val="20"/>
      </w:rPr>
      <w:t xml:space="preserve">” </w:t>
    </w:r>
    <w:r w:rsidRPr="00A95BBC">
      <w:rPr>
        <w:rFonts w:ascii="Times New Roman" w:eastAsia="Times New Roman" w:hAnsi="Times New Roman" w:cs="Times New Roman"/>
        <w:bCs/>
        <w:sz w:val="20"/>
        <w:szCs w:val="20"/>
      </w:rPr>
      <w:t>sākotnējās ietekmes novērtējuma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FC0" w:rsidRDefault="00213FC0" w:rsidP="004D15A9">
      <w:pPr>
        <w:spacing w:after="0" w:line="240" w:lineRule="auto"/>
      </w:pPr>
      <w:r>
        <w:separator/>
      </w:r>
    </w:p>
  </w:footnote>
  <w:footnote w:type="continuationSeparator" w:id="0">
    <w:p w:rsidR="00213FC0" w:rsidRDefault="00213FC0" w:rsidP="004D15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6230928"/>
      <w:docPartObj>
        <w:docPartGallery w:val="Page Numbers (Top of Page)"/>
        <w:docPartUnique/>
      </w:docPartObj>
    </w:sdtPr>
    <w:sdtEndPr>
      <w:rPr>
        <w:rFonts w:ascii="Times New Roman" w:hAnsi="Times New Roman" w:cs="Times New Roman"/>
        <w:sz w:val="24"/>
        <w:szCs w:val="24"/>
      </w:rPr>
    </w:sdtEndPr>
    <w:sdtContent>
      <w:p w:rsidR="000331EF" w:rsidRPr="004D15A9" w:rsidRDefault="00C467DF">
        <w:pPr>
          <w:pStyle w:val="Header"/>
          <w:jc w:val="center"/>
          <w:rPr>
            <w:rFonts w:ascii="Times New Roman" w:hAnsi="Times New Roman" w:cs="Times New Roman"/>
            <w:sz w:val="24"/>
            <w:szCs w:val="24"/>
          </w:rPr>
        </w:pPr>
        <w:r w:rsidRPr="004D15A9">
          <w:rPr>
            <w:rFonts w:ascii="Times New Roman" w:hAnsi="Times New Roman" w:cs="Times New Roman"/>
            <w:sz w:val="24"/>
            <w:szCs w:val="24"/>
          </w:rPr>
          <w:fldChar w:fldCharType="begin"/>
        </w:r>
        <w:r w:rsidR="000331EF" w:rsidRPr="004D15A9">
          <w:rPr>
            <w:rFonts w:ascii="Times New Roman" w:hAnsi="Times New Roman" w:cs="Times New Roman"/>
            <w:sz w:val="24"/>
            <w:szCs w:val="24"/>
          </w:rPr>
          <w:instrText>PAGE   \* MERGEFORMAT</w:instrText>
        </w:r>
        <w:r w:rsidRPr="004D15A9">
          <w:rPr>
            <w:rFonts w:ascii="Times New Roman" w:hAnsi="Times New Roman" w:cs="Times New Roman"/>
            <w:sz w:val="24"/>
            <w:szCs w:val="24"/>
          </w:rPr>
          <w:fldChar w:fldCharType="separate"/>
        </w:r>
        <w:r w:rsidR="00296B64">
          <w:rPr>
            <w:rFonts w:ascii="Times New Roman" w:hAnsi="Times New Roman" w:cs="Times New Roman"/>
            <w:noProof/>
            <w:sz w:val="24"/>
            <w:szCs w:val="24"/>
          </w:rPr>
          <w:t>6</w:t>
        </w:r>
        <w:r w:rsidRPr="004D15A9">
          <w:rPr>
            <w:rFonts w:ascii="Times New Roman" w:hAnsi="Times New Roman" w:cs="Times New Roman"/>
            <w:sz w:val="24"/>
            <w:szCs w:val="24"/>
          </w:rPr>
          <w:fldChar w:fldCharType="end"/>
        </w:r>
      </w:p>
    </w:sdtContent>
  </w:sdt>
  <w:p w:rsidR="000331EF" w:rsidRDefault="000331E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853D3"/>
    <w:multiLevelType w:val="hybridMultilevel"/>
    <w:tmpl w:val="62281BD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C3D5FE3"/>
    <w:multiLevelType w:val="hybridMultilevel"/>
    <w:tmpl w:val="90D4AB98"/>
    <w:lvl w:ilvl="0" w:tplc="82B8325E">
      <w:start w:val="1"/>
      <w:numFmt w:val="decimal"/>
      <w:lvlText w:val="%1."/>
      <w:lvlJc w:val="left"/>
      <w:pPr>
        <w:ind w:left="720" w:hanging="360"/>
      </w:pPr>
      <w:rPr>
        <w:rFonts w:ascii="Times New Roman" w:hAnsi="Times New Roman" w:cs="Times New Roman" w:hint="default"/>
        <w:i w:val="0"/>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304910EA"/>
    <w:multiLevelType w:val="hybridMultilevel"/>
    <w:tmpl w:val="92B4A1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4991A95"/>
    <w:multiLevelType w:val="hybridMultilevel"/>
    <w:tmpl w:val="E3DE4DC0"/>
    <w:lvl w:ilvl="0" w:tplc="C34E1DA0">
      <w:start w:val="26"/>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
    <w:nsid w:val="367B3C0B"/>
    <w:multiLevelType w:val="hybridMultilevel"/>
    <w:tmpl w:val="90D4AB98"/>
    <w:lvl w:ilvl="0" w:tplc="82B8325E">
      <w:start w:val="1"/>
      <w:numFmt w:val="decimal"/>
      <w:lvlText w:val="%1."/>
      <w:lvlJc w:val="left"/>
      <w:pPr>
        <w:ind w:left="720" w:hanging="360"/>
      </w:pPr>
      <w:rPr>
        <w:rFonts w:ascii="Times New Roman" w:hAnsi="Times New Roman" w:cs="Times New Roman" w:hint="default"/>
        <w:i w:val="0"/>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D8723C7"/>
    <w:multiLevelType w:val="hybridMultilevel"/>
    <w:tmpl w:val="4636FE4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nsid w:val="5A6C2F8F"/>
    <w:multiLevelType w:val="hybridMultilevel"/>
    <w:tmpl w:val="17B032D6"/>
    <w:lvl w:ilvl="0" w:tplc="8BFE263C">
      <w:start w:val="1"/>
      <w:numFmt w:val="decimal"/>
      <w:lvlText w:val="%1)"/>
      <w:lvlJc w:val="left"/>
      <w:pPr>
        <w:ind w:left="765" w:hanging="40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5C9F7BD2"/>
    <w:multiLevelType w:val="hybridMultilevel"/>
    <w:tmpl w:val="63F62CC8"/>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65327277"/>
    <w:multiLevelType w:val="hybridMultilevel"/>
    <w:tmpl w:val="31562A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6D830ED3"/>
    <w:multiLevelType w:val="hybridMultilevel"/>
    <w:tmpl w:val="BBB231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9"/>
  </w:num>
  <w:num w:numId="4">
    <w:abstractNumId w:val="6"/>
  </w:num>
  <w:num w:numId="5">
    <w:abstractNumId w:val="1"/>
  </w:num>
  <w:num w:numId="6">
    <w:abstractNumId w:val="8"/>
  </w:num>
  <w:num w:numId="7">
    <w:abstractNumId w:val="3"/>
  </w:num>
  <w:num w:numId="8">
    <w:abstractNumId w:val="7"/>
  </w:num>
  <w:num w:numId="9">
    <w:abstractNumId w:val="4"/>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Olga Paipala">
    <w15:presenceInfo w15:providerId="AD" w15:userId="S-1-5-21-1177238915-1417001333-839522115-1425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4D15A9"/>
    <w:rsid w:val="000075EC"/>
    <w:rsid w:val="000135EB"/>
    <w:rsid w:val="000225DB"/>
    <w:rsid w:val="00023E56"/>
    <w:rsid w:val="000251FB"/>
    <w:rsid w:val="00025641"/>
    <w:rsid w:val="00031256"/>
    <w:rsid w:val="00032F57"/>
    <w:rsid w:val="000331EF"/>
    <w:rsid w:val="000352D6"/>
    <w:rsid w:val="000430E2"/>
    <w:rsid w:val="00055D68"/>
    <w:rsid w:val="00061FC2"/>
    <w:rsid w:val="000641CB"/>
    <w:rsid w:val="000728DB"/>
    <w:rsid w:val="000731EB"/>
    <w:rsid w:val="0007400B"/>
    <w:rsid w:val="00075C97"/>
    <w:rsid w:val="00080958"/>
    <w:rsid w:val="000957CD"/>
    <w:rsid w:val="000A03B7"/>
    <w:rsid w:val="000A7A75"/>
    <w:rsid w:val="000B1108"/>
    <w:rsid w:val="000C3F77"/>
    <w:rsid w:val="000E0ACD"/>
    <w:rsid w:val="000E0BEC"/>
    <w:rsid w:val="000F1F1D"/>
    <w:rsid w:val="00100B10"/>
    <w:rsid w:val="00101CD5"/>
    <w:rsid w:val="0012530B"/>
    <w:rsid w:val="001413F6"/>
    <w:rsid w:val="001476E5"/>
    <w:rsid w:val="0015572C"/>
    <w:rsid w:val="00157022"/>
    <w:rsid w:val="0016528E"/>
    <w:rsid w:val="00173BF7"/>
    <w:rsid w:val="00174437"/>
    <w:rsid w:val="00177D67"/>
    <w:rsid w:val="00182DEB"/>
    <w:rsid w:val="00183A66"/>
    <w:rsid w:val="00186647"/>
    <w:rsid w:val="00196C71"/>
    <w:rsid w:val="001A2948"/>
    <w:rsid w:val="001A411E"/>
    <w:rsid w:val="001A4BA7"/>
    <w:rsid w:val="001A5E3B"/>
    <w:rsid w:val="001B3920"/>
    <w:rsid w:val="001B5FB4"/>
    <w:rsid w:val="0020097E"/>
    <w:rsid w:val="0021038C"/>
    <w:rsid w:val="00213FC0"/>
    <w:rsid w:val="00217A3D"/>
    <w:rsid w:val="0023201C"/>
    <w:rsid w:val="002406E2"/>
    <w:rsid w:val="00247C5E"/>
    <w:rsid w:val="002530E8"/>
    <w:rsid w:val="0025469A"/>
    <w:rsid w:val="00257322"/>
    <w:rsid w:val="00263F6E"/>
    <w:rsid w:val="00266F00"/>
    <w:rsid w:val="00273751"/>
    <w:rsid w:val="00273CBA"/>
    <w:rsid w:val="002752D2"/>
    <w:rsid w:val="00284759"/>
    <w:rsid w:val="00293D24"/>
    <w:rsid w:val="00296B64"/>
    <w:rsid w:val="00297F2B"/>
    <w:rsid w:val="002A326F"/>
    <w:rsid w:val="002A66E1"/>
    <w:rsid w:val="002C588A"/>
    <w:rsid w:val="002D4544"/>
    <w:rsid w:val="002E060D"/>
    <w:rsid w:val="00346BC2"/>
    <w:rsid w:val="00347BF1"/>
    <w:rsid w:val="003635AB"/>
    <w:rsid w:val="003922B0"/>
    <w:rsid w:val="00392E71"/>
    <w:rsid w:val="00397448"/>
    <w:rsid w:val="003A2A0B"/>
    <w:rsid w:val="003A435A"/>
    <w:rsid w:val="003B5ABF"/>
    <w:rsid w:val="003B6634"/>
    <w:rsid w:val="003B671A"/>
    <w:rsid w:val="003D798B"/>
    <w:rsid w:val="003E1EBD"/>
    <w:rsid w:val="003F4AB9"/>
    <w:rsid w:val="0040175A"/>
    <w:rsid w:val="004020EE"/>
    <w:rsid w:val="004032A4"/>
    <w:rsid w:val="00420F0D"/>
    <w:rsid w:val="0042155F"/>
    <w:rsid w:val="00441103"/>
    <w:rsid w:val="00457024"/>
    <w:rsid w:val="004701C4"/>
    <w:rsid w:val="00477137"/>
    <w:rsid w:val="00484237"/>
    <w:rsid w:val="00493579"/>
    <w:rsid w:val="004948D4"/>
    <w:rsid w:val="00494F93"/>
    <w:rsid w:val="00497B2E"/>
    <w:rsid w:val="004A00C0"/>
    <w:rsid w:val="004A38F9"/>
    <w:rsid w:val="004B45A1"/>
    <w:rsid w:val="004B5A32"/>
    <w:rsid w:val="004B7D80"/>
    <w:rsid w:val="004C235D"/>
    <w:rsid w:val="004C4CB8"/>
    <w:rsid w:val="004C59F6"/>
    <w:rsid w:val="004C6630"/>
    <w:rsid w:val="004D15A9"/>
    <w:rsid w:val="004E2140"/>
    <w:rsid w:val="004E2D5C"/>
    <w:rsid w:val="004E4BD5"/>
    <w:rsid w:val="004E5912"/>
    <w:rsid w:val="00500C42"/>
    <w:rsid w:val="00506BA4"/>
    <w:rsid w:val="00511732"/>
    <w:rsid w:val="00512D3D"/>
    <w:rsid w:val="005161F2"/>
    <w:rsid w:val="005212EE"/>
    <w:rsid w:val="005243B6"/>
    <w:rsid w:val="00526BC8"/>
    <w:rsid w:val="00536CD4"/>
    <w:rsid w:val="00540A5C"/>
    <w:rsid w:val="00541EB4"/>
    <w:rsid w:val="005449EF"/>
    <w:rsid w:val="00550328"/>
    <w:rsid w:val="00553E43"/>
    <w:rsid w:val="005561CE"/>
    <w:rsid w:val="0056640C"/>
    <w:rsid w:val="005673A5"/>
    <w:rsid w:val="00576084"/>
    <w:rsid w:val="00577AC0"/>
    <w:rsid w:val="005B01F3"/>
    <w:rsid w:val="005B38AD"/>
    <w:rsid w:val="005B598E"/>
    <w:rsid w:val="005D4E8A"/>
    <w:rsid w:val="005E1289"/>
    <w:rsid w:val="005E26B4"/>
    <w:rsid w:val="005F0F25"/>
    <w:rsid w:val="005F5A18"/>
    <w:rsid w:val="00604543"/>
    <w:rsid w:val="00630229"/>
    <w:rsid w:val="00647A7A"/>
    <w:rsid w:val="00650E30"/>
    <w:rsid w:val="00657D49"/>
    <w:rsid w:val="006772E6"/>
    <w:rsid w:val="00690E8F"/>
    <w:rsid w:val="00692E5D"/>
    <w:rsid w:val="006954D8"/>
    <w:rsid w:val="006B3FAD"/>
    <w:rsid w:val="006C257B"/>
    <w:rsid w:val="006D1FC5"/>
    <w:rsid w:val="006D5858"/>
    <w:rsid w:val="006F4AD9"/>
    <w:rsid w:val="006F6314"/>
    <w:rsid w:val="007004DF"/>
    <w:rsid w:val="00703BED"/>
    <w:rsid w:val="00715D04"/>
    <w:rsid w:val="007328EB"/>
    <w:rsid w:val="00732B8B"/>
    <w:rsid w:val="0075216E"/>
    <w:rsid w:val="00756B0D"/>
    <w:rsid w:val="00763766"/>
    <w:rsid w:val="00764974"/>
    <w:rsid w:val="007673B9"/>
    <w:rsid w:val="00767D45"/>
    <w:rsid w:val="00774B71"/>
    <w:rsid w:val="00780793"/>
    <w:rsid w:val="00782F78"/>
    <w:rsid w:val="007C7E93"/>
    <w:rsid w:val="007D15D6"/>
    <w:rsid w:val="007E7DF7"/>
    <w:rsid w:val="007F493B"/>
    <w:rsid w:val="007F602A"/>
    <w:rsid w:val="00804100"/>
    <w:rsid w:val="00805D89"/>
    <w:rsid w:val="0081203F"/>
    <w:rsid w:val="0081678A"/>
    <w:rsid w:val="00816E70"/>
    <w:rsid w:val="0081784C"/>
    <w:rsid w:val="0082390A"/>
    <w:rsid w:val="008329A1"/>
    <w:rsid w:val="0084221B"/>
    <w:rsid w:val="00845A9C"/>
    <w:rsid w:val="008526D0"/>
    <w:rsid w:val="00860C82"/>
    <w:rsid w:val="00862278"/>
    <w:rsid w:val="008652EC"/>
    <w:rsid w:val="008672CD"/>
    <w:rsid w:val="00870310"/>
    <w:rsid w:val="008734DA"/>
    <w:rsid w:val="00876053"/>
    <w:rsid w:val="0088336C"/>
    <w:rsid w:val="008838AC"/>
    <w:rsid w:val="00884F45"/>
    <w:rsid w:val="00884FD6"/>
    <w:rsid w:val="008A0768"/>
    <w:rsid w:val="008A0870"/>
    <w:rsid w:val="008B4249"/>
    <w:rsid w:val="008B5848"/>
    <w:rsid w:val="008C3FC3"/>
    <w:rsid w:val="008C78DC"/>
    <w:rsid w:val="008D2C6A"/>
    <w:rsid w:val="008D46B0"/>
    <w:rsid w:val="008E0295"/>
    <w:rsid w:val="008E5496"/>
    <w:rsid w:val="008E600F"/>
    <w:rsid w:val="00902D3D"/>
    <w:rsid w:val="0090553D"/>
    <w:rsid w:val="00912816"/>
    <w:rsid w:val="00925511"/>
    <w:rsid w:val="00930216"/>
    <w:rsid w:val="00941B05"/>
    <w:rsid w:val="00946EFB"/>
    <w:rsid w:val="00947E80"/>
    <w:rsid w:val="00950041"/>
    <w:rsid w:val="00950DC4"/>
    <w:rsid w:val="00952912"/>
    <w:rsid w:val="00952B44"/>
    <w:rsid w:val="0095351B"/>
    <w:rsid w:val="009538A6"/>
    <w:rsid w:val="00953D5D"/>
    <w:rsid w:val="00956923"/>
    <w:rsid w:val="0096165A"/>
    <w:rsid w:val="0096346C"/>
    <w:rsid w:val="0097141B"/>
    <w:rsid w:val="00972D75"/>
    <w:rsid w:val="00976954"/>
    <w:rsid w:val="00997764"/>
    <w:rsid w:val="009A11E3"/>
    <w:rsid w:val="009B258C"/>
    <w:rsid w:val="009B4C2C"/>
    <w:rsid w:val="009B762A"/>
    <w:rsid w:val="009C7D64"/>
    <w:rsid w:val="009E2A0B"/>
    <w:rsid w:val="009E5C74"/>
    <w:rsid w:val="009E612C"/>
    <w:rsid w:val="009F07EF"/>
    <w:rsid w:val="009F44C9"/>
    <w:rsid w:val="00A04CCB"/>
    <w:rsid w:val="00A22CC1"/>
    <w:rsid w:val="00A31ED6"/>
    <w:rsid w:val="00A442FF"/>
    <w:rsid w:val="00A448F4"/>
    <w:rsid w:val="00A526BB"/>
    <w:rsid w:val="00A5325E"/>
    <w:rsid w:val="00A669B9"/>
    <w:rsid w:val="00A72AB0"/>
    <w:rsid w:val="00A80C2B"/>
    <w:rsid w:val="00A85887"/>
    <w:rsid w:val="00A95BBC"/>
    <w:rsid w:val="00AB09E5"/>
    <w:rsid w:val="00AB55CE"/>
    <w:rsid w:val="00AB6DCB"/>
    <w:rsid w:val="00AD2995"/>
    <w:rsid w:val="00AD2D30"/>
    <w:rsid w:val="00AD3477"/>
    <w:rsid w:val="00AF00FB"/>
    <w:rsid w:val="00AF24A0"/>
    <w:rsid w:val="00AF337D"/>
    <w:rsid w:val="00AF3F2A"/>
    <w:rsid w:val="00B00E07"/>
    <w:rsid w:val="00B102A6"/>
    <w:rsid w:val="00B20AB1"/>
    <w:rsid w:val="00B34AB2"/>
    <w:rsid w:val="00B37C91"/>
    <w:rsid w:val="00B57E2E"/>
    <w:rsid w:val="00B6385F"/>
    <w:rsid w:val="00B77202"/>
    <w:rsid w:val="00B80E23"/>
    <w:rsid w:val="00B85CA5"/>
    <w:rsid w:val="00B8603D"/>
    <w:rsid w:val="00B912AC"/>
    <w:rsid w:val="00B92B42"/>
    <w:rsid w:val="00BA2656"/>
    <w:rsid w:val="00BA26F9"/>
    <w:rsid w:val="00BA2BE3"/>
    <w:rsid w:val="00BA2FFF"/>
    <w:rsid w:val="00BA6213"/>
    <w:rsid w:val="00BA70BC"/>
    <w:rsid w:val="00BB1F46"/>
    <w:rsid w:val="00BB5D7D"/>
    <w:rsid w:val="00BC51C1"/>
    <w:rsid w:val="00BD1642"/>
    <w:rsid w:val="00BD7016"/>
    <w:rsid w:val="00BE1640"/>
    <w:rsid w:val="00BE26C5"/>
    <w:rsid w:val="00BE6973"/>
    <w:rsid w:val="00BF46AA"/>
    <w:rsid w:val="00BF63A0"/>
    <w:rsid w:val="00C04105"/>
    <w:rsid w:val="00C070CD"/>
    <w:rsid w:val="00C12D41"/>
    <w:rsid w:val="00C1305D"/>
    <w:rsid w:val="00C27A01"/>
    <w:rsid w:val="00C341FB"/>
    <w:rsid w:val="00C36A1E"/>
    <w:rsid w:val="00C40A3C"/>
    <w:rsid w:val="00C4106C"/>
    <w:rsid w:val="00C42AD5"/>
    <w:rsid w:val="00C42F54"/>
    <w:rsid w:val="00C467DF"/>
    <w:rsid w:val="00C47664"/>
    <w:rsid w:val="00C52C78"/>
    <w:rsid w:val="00C72AED"/>
    <w:rsid w:val="00C72B57"/>
    <w:rsid w:val="00C76308"/>
    <w:rsid w:val="00C7703D"/>
    <w:rsid w:val="00C7713E"/>
    <w:rsid w:val="00C80E5B"/>
    <w:rsid w:val="00C97CDD"/>
    <w:rsid w:val="00CA1176"/>
    <w:rsid w:val="00CA47BC"/>
    <w:rsid w:val="00CA498E"/>
    <w:rsid w:val="00CB048C"/>
    <w:rsid w:val="00CB4726"/>
    <w:rsid w:val="00CB570C"/>
    <w:rsid w:val="00CB7EF9"/>
    <w:rsid w:val="00CC4BDE"/>
    <w:rsid w:val="00CD646A"/>
    <w:rsid w:val="00CD6BFC"/>
    <w:rsid w:val="00CE34EA"/>
    <w:rsid w:val="00CE7BA5"/>
    <w:rsid w:val="00D01ACB"/>
    <w:rsid w:val="00D0330A"/>
    <w:rsid w:val="00D070D7"/>
    <w:rsid w:val="00D10412"/>
    <w:rsid w:val="00D11D6A"/>
    <w:rsid w:val="00D1393C"/>
    <w:rsid w:val="00D13C82"/>
    <w:rsid w:val="00D13D6B"/>
    <w:rsid w:val="00D157FF"/>
    <w:rsid w:val="00D177E4"/>
    <w:rsid w:val="00D20171"/>
    <w:rsid w:val="00D20B4D"/>
    <w:rsid w:val="00D313D5"/>
    <w:rsid w:val="00D4046C"/>
    <w:rsid w:val="00D419B6"/>
    <w:rsid w:val="00D431BA"/>
    <w:rsid w:val="00D522AC"/>
    <w:rsid w:val="00D54EAF"/>
    <w:rsid w:val="00D56F53"/>
    <w:rsid w:val="00D62B40"/>
    <w:rsid w:val="00D71365"/>
    <w:rsid w:val="00D71D46"/>
    <w:rsid w:val="00D72876"/>
    <w:rsid w:val="00D76F39"/>
    <w:rsid w:val="00D80CBA"/>
    <w:rsid w:val="00D8621B"/>
    <w:rsid w:val="00D870E7"/>
    <w:rsid w:val="00D9158C"/>
    <w:rsid w:val="00D9356C"/>
    <w:rsid w:val="00D945ED"/>
    <w:rsid w:val="00D97A74"/>
    <w:rsid w:val="00DA596D"/>
    <w:rsid w:val="00DA7DDC"/>
    <w:rsid w:val="00DB63A3"/>
    <w:rsid w:val="00DC19E7"/>
    <w:rsid w:val="00DC4B5D"/>
    <w:rsid w:val="00DD3D61"/>
    <w:rsid w:val="00DE194F"/>
    <w:rsid w:val="00DE2F92"/>
    <w:rsid w:val="00DE34B8"/>
    <w:rsid w:val="00E142F1"/>
    <w:rsid w:val="00E1752F"/>
    <w:rsid w:val="00E21117"/>
    <w:rsid w:val="00E2367B"/>
    <w:rsid w:val="00E23C2E"/>
    <w:rsid w:val="00E2636E"/>
    <w:rsid w:val="00E325FF"/>
    <w:rsid w:val="00E60C69"/>
    <w:rsid w:val="00E61156"/>
    <w:rsid w:val="00E63915"/>
    <w:rsid w:val="00E7583C"/>
    <w:rsid w:val="00E82244"/>
    <w:rsid w:val="00E87700"/>
    <w:rsid w:val="00E919BD"/>
    <w:rsid w:val="00EB40FD"/>
    <w:rsid w:val="00EB60BB"/>
    <w:rsid w:val="00EC1546"/>
    <w:rsid w:val="00EC39DE"/>
    <w:rsid w:val="00ED1BF9"/>
    <w:rsid w:val="00ED23A8"/>
    <w:rsid w:val="00ED68B9"/>
    <w:rsid w:val="00EE37EF"/>
    <w:rsid w:val="00EF3965"/>
    <w:rsid w:val="00F00548"/>
    <w:rsid w:val="00F048BB"/>
    <w:rsid w:val="00F1351C"/>
    <w:rsid w:val="00F145E9"/>
    <w:rsid w:val="00F1688B"/>
    <w:rsid w:val="00F20288"/>
    <w:rsid w:val="00F20B4A"/>
    <w:rsid w:val="00F3232C"/>
    <w:rsid w:val="00F3406F"/>
    <w:rsid w:val="00F5418B"/>
    <w:rsid w:val="00F60B25"/>
    <w:rsid w:val="00F64476"/>
    <w:rsid w:val="00F65D79"/>
    <w:rsid w:val="00F71B0A"/>
    <w:rsid w:val="00F909F7"/>
    <w:rsid w:val="00F95921"/>
    <w:rsid w:val="00FA6819"/>
    <w:rsid w:val="00FC0ECC"/>
    <w:rsid w:val="00FC446A"/>
    <w:rsid w:val="00FC473A"/>
    <w:rsid w:val="00FD194A"/>
    <w:rsid w:val="00FD1EEF"/>
    <w:rsid w:val="00FE3927"/>
    <w:rsid w:val="00FE5655"/>
    <w:rsid w:val="00FE654D"/>
    <w:rsid w:val="00FF44FF"/>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6E5"/>
  </w:style>
  <w:style w:type="paragraph" w:styleId="Heading2">
    <w:name w:val="heading 2"/>
    <w:basedOn w:val="Normal"/>
    <w:next w:val="Normal"/>
    <w:link w:val="Heading2Char"/>
    <w:uiPriority w:val="9"/>
    <w:semiHidden/>
    <w:unhideWhenUsed/>
    <w:qFormat/>
    <w:rsid w:val="009F44C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Right">
    <w:name w:val="Style Right"/>
    <w:basedOn w:val="Normal"/>
    <w:rsid w:val="004D15A9"/>
    <w:pPr>
      <w:spacing w:after="120" w:line="240" w:lineRule="auto"/>
      <w:ind w:firstLine="720"/>
      <w:jc w:val="right"/>
    </w:pPr>
    <w:rPr>
      <w:rFonts w:ascii="Times New Roman" w:eastAsia="Times New Roman" w:hAnsi="Times New Roman" w:cs="Times New Roman"/>
      <w:sz w:val="28"/>
      <w:szCs w:val="28"/>
    </w:rPr>
  </w:style>
  <w:style w:type="paragraph" w:styleId="Header">
    <w:name w:val="header"/>
    <w:basedOn w:val="Normal"/>
    <w:link w:val="HeaderChar"/>
    <w:uiPriority w:val="99"/>
    <w:unhideWhenUsed/>
    <w:rsid w:val="004D15A9"/>
    <w:pPr>
      <w:tabs>
        <w:tab w:val="center" w:pos="4153"/>
        <w:tab w:val="right" w:pos="8306"/>
      </w:tabs>
      <w:spacing w:after="0" w:line="240" w:lineRule="auto"/>
    </w:pPr>
  </w:style>
  <w:style w:type="character" w:customStyle="1" w:styleId="HeaderChar">
    <w:name w:val="Header Char"/>
    <w:basedOn w:val="DefaultParagraphFont"/>
    <w:link w:val="Header"/>
    <w:uiPriority w:val="99"/>
    <w:rsid w:val="004D15A9"/>
  </w:style>
  <w:style w:type="paragraph" w:styleId="Footer">
    <w:name w:val="footer"/>
    <w:basedOn w:val="Normal"/>
    <w:link w:val="FooterChar"/>
    <w:uiPriority w:val="99"/>
    <w:unhideWhenUsed/>
    <w:rsid w:val="004D15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15A9"/>
  </w:style>
  <w:style w:type="paragraph" w:styleId="BalloonText">
    <w:name w:val="Balloon Text"/>
    <w:basedOn w:val="Normal"/>
    <w:link w:val="BalloonTextChar"/>
    <w:uiPriority w:val="99"/>
    <w:semiHidden/>
    <w:unhideWhenUsed/>
    <w:rsid w:val="003A2A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2A0B"/>
    <w:rPr>
      <w:rFonts w:ascii="Tahoma" w:hAnsi="Tahoma" w:cs="Tahoma"/>
      <w:sz w:val="16"/>
      <w:szCs w:val="16"/>
    </w:rPr>
  </w:style>
  <w:style w:type="paragraph" w:styleId="ListParagraph">
    <w:name w:val="List Paragraph"/>
    <w:basedOn w:val="Normal"/>
    <w:uiPriority w:val="34"/>
    <w:qFormat/>
    <w:rsid w:val="00BA70BC"/>
    <w:pPr>
      <w:ind w:left="720"/>
      <w:contextualSpacing/>
    </w:pPr>
  </w:style>
  <w:style w:type="paragraph" w:customStyle="1" w:styleId="naisnod">
    <w:name w:val="naisnod"/>
    <w:basedOn w:val="Normal"/>
    <w:rsid w:val="00CE7B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isf">
    <w:name w:val="naisf"/>
    <w:basedOn w:val="Normal"/>
    <w:rsid w:val="00CE7B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iskr">
    <w:name w:val="naiskr"/>
    <w:basedOn w:val="Normal"/>
    <w:rsid w:val="00CE7BA5"/>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53E43"/>
    <w:rPr>
      <w:sz w:val="16"/>
      <w:szCs w:val="16"/>
    </w:rPr>
  </w:style>
  <w:style w:type="paragraph" w:styleId="CommentText">
    <w:name w:val="annotation text"/>
    <w:basedOn w:val="Normal"/>
    <w:link w:val="CommentTextChar"/>
    <w:uiPriority w:val="99"/>
    <w:semiHidden/>
    <w:unhideWhenUsed/>
    <w:rsid w:val="00553E43"/>
    <w:pPr>
      <w:spacing w:line="240" w:lineRule="auto"/>
    </w:pPr>
    <w:rPr>
      <w:sz w:val="20"/>
      <w:szCs w:val="20"/>
    </w:rPr>
  </w:style>
  <w:style w:type="character" w:customStyle="1" w:styleId="CommentTextChar">
    <w:name w:val="Comment Text Char"/>
    <w:basedOn w:val="DefaultParagraphFont"/>
    <w:link w:val="CommentText"/>
    <w:uiPriority w:val="99"/>
    <w:semiHidden/>
    <w:rsid w:val="00553E43"/>
    <w:rPr>
      <w:sz w:val="20"/>
      <w:szCs w:val="20"/>
    </w:rPr>
  </w:style>
  <w:style w:type="paragraph" w:styleId="CommentSubject">
    <w:name w:val="annotation subject"/>
    <w:basedOn w:val="CommentText"/>
    <w:next w:val="CommentText"/>
    <w:link w:val="CommentSubjectChar"/>
    <w:uiPriority w:val="99"/>
    <w:semiHidden/>
    <w:unhideWhenUsed/>
    <w:rsid w:val="00553E43"/>
    <w:rPr>
      <w:b/>
      <w:bCs/>
    </w:rPr>
  </w:style>
  <w:style w:type="character" w:customStyle="1" w:styleId="CommentSubjectChar">
    <w:name w:val="Comment Subject Char"/>
    <w:basedOn w:val="CommentTextChar"/>
    <w:link w:val="CommentSubject"/>
    <w:uiPriority w:val="99"/>
    <w:semiHidden/>
    <w:rsid w:val="00553E43"/>
    <w:rPr>
      <w:b/>
      <w:bCs/>
      <w:sz w:val="20"/>
      <w:szCs w:val="20"/>
    </w:rPr>
  </w:style>
  <w:style w:type="paragraph" w:styleId="PlainText">
    <w:name w:val="Plain Text"/>
    <w:basedOn w:val="Normal"/>
    <w:link w:val="PlainTextChar"/>
    <w:uiPriority w:val="99"/>
    <w:unhideWhenUsed/>
    <w:rsid w:val="00C12D41"/>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C12D41"/>
    <w:rPr>
      <w:rFonts w:ascii="Calibri" w:hAnsi="Calibri" w:cs="Consolas"/>
      <w:szCs w:val="21"/>
    </w:rPr>
  </w:style>
  <w:style w:type="paragraph" w:styleId="FootnoteText">
    <w:name w:val="footnote text"/>
    <w:basedOn w:val="Normal"/>
    <w:link w:val="FootnoteTextChar"/>
    <w:uiPriority w:val="99"/>
    <w:semiHidden/>
    <w:unhideWhenUsed/>
    <w:rsid w:val="009F07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7EF"/>
    <w:rPr>
      <w:sz w:val="20"/>
      <w:szCs w:val="20"/>
    </w:rPr>
  </w:style>
  <w:style w:type="character" w:styleId="FootnoteReference">
    <w:name w:val="footnote reference"/>
    <w:basedOn w:val="DefaultParagraphFont"/>
    <w:uiPriority w:val="99"/>
    <w:semiHidden/>
    <w:unhideWhenUsed/>
    <w:rsid w:val="009F07EF"/>
    <w:rPr>
      <w:vertAlign w:val="superscript"/>
    </w:rPr>
  </w:style>
  <w:style w:type="character" w:styleId="Strong">
    <w:name w:val="Strong"/>
    <w:basedOn w:val="DefaultParagraphFont"/>
    <w:uiPriority w:val="22"/>
    <w:qFormat/>
    <w:rsid w:val="0016528E"/>
    <w:rPr>
      <w:b/>
      <w:bCs/>
    </w:rPr>
  </w:style>
  <w:style w:type="character" w:styleId="Hyperlink">
    <w:name w:val="Hyperlink"/>
    <w:basedOn w:val="DefaultParagraphFont"/>
    <w:uiPriority w:val="99"/>
    <w:unhideWhenUsed/>
    <w:rsid w:val="0016528E"/>
    <w:rPr>
      <w:color w:val="0000FF" w:themeColor="hyperlink"/>
      <w:u w:val="single"/>
    </w:rPr>
  </w:style>
  <w:style w:type="paragraph" w:customStyle="1" w:styleId="Default">
    <w:name w:val="Default"/>
    <w:rsid w:val="0075216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v2132">
    <w:name w:val="tv2132"/>
    <w:basedOn w:val="Normal"/>
    <w:rsid w:val="00D97A74"/>
    <w:pPr>
      <w:spacing w:after="0" w:line="360" w:lineRule="auto"/>
      <w:ind w:firstLine="300"/>
    </w:pPr>
    <w:rPr>
      <w:rFonts w:ascii="Times New Roman" w:eastAsia="Times New Roman" w:hAnsi="Times New Roman" w:cs="Times New Roman"/>
      <w:color w:val="414142"/>
      <w:sz w:val="20"/>
      <w:szCs w:val="20"/>
    </w:rPr>
  </w:style>
  <w:style w:type="paragraph" w:styleId="NormalWeb">
    <w:name w:val="Normal (Web)"/>
    <w:basedOn w:val="Normal"/>
    <w:uiPriority w:val="99"/>
    <w:semiHidden/>
    <w:unhideWhenUsed/>
    <w:rsid w:val="00925511"/>
    <w:pPr>
      <w:spacing w:after="0" w:line="240" w:lineRule="auto"/>
    </w:pPr>
    <w:rPr>
      <w:rFonts w:ascii="Verdana" w:eastAsia="Times New Roman" w:hAnsi="Verdana" w:cs="Arial"/>
      <w:color w:val="343434"/>
      <w:sz w:val="17"/>
      <w:szCs w:val="17"/>
    </w:rPr>
  </w:style>
  <w:style w:type="table" w:styleId="TableGrid">
    <w:name w:val="Table Grid"/>
    <w:basedOn w:val="TableNormal"/>
    <w:uiPriority w:val="59"/>
    <w:rsid w:val="009F44C9"/>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SCoverSubtitle">
    <w:name w:val="IS Cover Subtitle"/>
    <w:basedOn w:val="Heading2"/>
    <w:link w:val="ISCoverSubtitleChar"/>
    <w:rsid w:val="009F44C9"/>
    <w:pPr>
      <w:keepLines w:val="0"/>
      <w:widowControl w:val="0"/>
      <w:overflowPunct w:val="0"/>
      <w:autoSpaceDE w:val="0"/>
      <w:autoSpaceDN w:val="0"/>
      <w:adjustRightInd w:val="0"/>
      <w:spacing w:before="0" w:after="120" w:line="240" w:lineRule="auto"/>
      <w:ind w:left="142"/>
      <w:jc w:val="center"/>
      <w:textAlignment w:val="baseline"/>
      <w:outlineLvl w:val="9"/>
    </w:pPr>
    <w:rPr>
      <w:rFonts w:ascii="Calibri" w:eastAsia="Times New Roman" w:hAnsi="Calibri" w:cs="Arial"/>
      <w:b w:val="0"/>
      <w:sz w:val="48"/>
      <w:szCs w:val="48"/>
      <w:lang w:eastAsia="en-US"/>
    </w:rPr>
  </w:style>
  <w:style w:type="character" w:customStyle="1" w:styleId="ISCoverSubtitleChar">
    <w:name w:val="IS Cover Subtitle Char"/>
    <w:basedOn w:val="Heading2Char"/>
    <w:link w:val="ISCoverSubtitle"/>
    <w:rsid w:val="009F44C9"/>
    <w:rPr>
      <w:rFonts w:ascii="Calibri" w:eastAsia="Times New Roman" w:hAnsi="Calibri" w:cs="Arial"/>
      <w:b/>
      <w:bCs/>
      <w:color w:val="4F81BD" w:themeColor="accent1"/>
      <w:sz w:val="48"/>
      <w:szCs w:val="48"/>
      <w:lang w:eastAsia="en-US"/>
    </w:rPr>
  </w:style>
  <w:style w:type="paragraph" w:customStyle="1" w:styleId="ISBodyText">
    <w:name w:val="IS Body Text"/>
    <w:basedOn w:val="Normal"/>
    <w:link w:val="ISBodyTextChar"/>
    <w:uiPriority w:val="99"/>
    <w:qFormat/>
    <w:rsid w:val="009F44C9"/>
    <w:pPr>
      <w:overflowPunct w:val="0"/>
      <w:autoSpaceDE w:val="0"/>
      <w:autoSpaceDN w:val="0"/>
      <w:adjustRightInd w:val="0"/>
      <w:spacing w:before="120" w:after="120" w:line="240" w:lineRule="auto"/>
      <w:jc w:val="both"/>
      <w:textAlignment w:val="baseline"/>
    </w:pPr>
    <w:rPr>
      <w:rFonts w:ascii="Segoe UI" w:eastAsia="MS Mincho" w:hAnsi="Segoe UI" w:cs="Segoe UI"/>
      <w:bCs/>
      <w:lang w:eastAsia="en-US"/>
    </w:rPr>
  </w:style>
  <w:style w:type="character" w:customStyle="1" w:styleId="ISBodyTextChar">
    <w:name w:val="IS Body Text Char"/>
    <w:basedOn w:val="DefaultParagraphFont"/>
    <w:link w:val="ISBodyText"/>
    <w:uiPriority w:val="99"/>
    <w:rsid w:val="009F44C9"/>
    <w:rPr>
      <w:rFonts w:ascii="Segoe UI" w:eastAsia="MS Mincho" w:hAnsi="Segoe UI" w:cs="Segoe UI"/>
      <w:bCs/>
      <w:lang w:eastAsia="en-US"/>
    </w:rPr>
  </w:style>
  <w:style w:type="character" w:customStyle="1" w:styleId="Heading2Char">
    <w:name w:val="Heading 2 Char"/>
    <w:basedOn w:val="DefaultParagraphFont"/>
    <w:link w:val="Heading2"/>
    <w:uiPriority w:val="9"/>
    <w:semiHidden/>
    <w:rsid w:val="009F44C9"/>
    <w:rPr>
      <w:rFonts w:asciiTheme="majorHAnsi" w:eastAsiaTheme="majorEastAsia" w:hAnsiTheme="majorHAnsi" w:cstheme="majorBidi"/>
      <w:b/>
      <w:bCs/>
      <w:color w:val="4F81BD" w:themeColor="accent1"/>
      <w:sz w:val="26"/>
      <w:szCs w:val="26"/>
    </w:rPr>
  </w:style>
  <w:style w:type="paragraph" w:customStyle="1" w:styleId="tvhtml">
    <w:name w:val="tv_html"/>
    <w:basedOn w:val="Normal"/>
    <w:rsid w:val="004E2D5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6458718">
      <w:bodyDiv w:val="1"/>
      <w:marLeft w:val="0"/>
      <w:marRight w:val="0"/>
      <w:marTop w:val="0"/>
      <w:marBottom w:val="0"/>
      <w:divBdr>
        <w:top w:val="none" w:sz="0" w:space="0" w:color="auto"/>
        <w:left w:val="none" w:sz="0" w:space="0" w:color="auto"/>
        <w:bottom w:val="none" w:sz="0" w:space="0" w:color="auto"/>
        <w:right w:val="none" w:sz="0" w:space="0" w:color="auto"/>
      </w:divBdr>
    </w:div>
    <w:div w:id="359547681">
      <w:bodyDiv w:val="1"/>
      <w:marLeft w:val="0"/>
      <w:marRight w:val="0"/>
      <w:marTop w:val="0"/>
      <w:marBottom w:val="0"/>
      <w:divBdr>
        <w:top w:val="none" w:sz="0" w:space="0" w:color="auto"/>
        <w:left w:val="none" w:sz="0" w:space="0" w:color="auto"/>
        <w:bottom w:val="none" w:sz="0" w:space="0" w:color="auto"/>
        <w:right w:val="none" w:sz="0" w:space="0" w:color="auto"/>
      </w:divBdr>
    </w:div>
    <w:div w:id="601182936">
      <w:bodyDiv w:val="1"/>
      <w:marLeft w:val="0"/>
      <w:marRight w:val="0"/>
      <w:marTop w:val="0"/>
      <w:marBottom w:val="0"/>
      <w:divBdr>
        <w:top w:val="none" w:sz="0" w:space="0" w:color="auto"/>
        <w:left w:val="none" w:sz="0" w:space="0" w:color="auto"/>
        <w:bottom w:val="none" w:sz="0" w:space="0" w:color="auto"/>
        <w:right w:val="none" w:sz="0" w:space="0" w:color="auto"/>
      </w:divBdr>
    </w:div>
    <w:div w:id="632247578">
      <w:bodyDiv w:val="1"/>
      <w:marLeft w:val="0"/>
      <w:marRight w:val="0"/>
      <w:marTop w:val="0"/>
      <w:marBottom w:val="0"/>
      <w:divBdr>
        <w:top w:val="none" w:sz="0" w:space="0" w:color="auto"/>
        <w:left w:val="none" w:sz="0" w:space="0" w:color="auto"/>
        <w:bottom w:val="none" w:sz="0" w:space="0" w:color="auto"/>
        <w:right w:val="none" w:sz="0" w:space="0" w:color="auto"/>
      </w:divBdr>
    </w:div>
    <w:div w:id="867303881">
      <w:bodyDiv w:val="1"/>
      <w:marLeft w:val="0"/>
      <w:marRight w:val="0"/>
      <w:marTop w:val="0"/>
      <w:marBottom w:val="0"/>
      <w:divBdr>
        <w:top w:val="none" w:sz="0" w:space="0" w:color="auto"/>
        <w:left w:val="none" w:sz="0" w:space="0" w:color="auto"/>
        <w:bottom w:val="none" w:sz="0" w:space="0" w:color="auto"/>
        <w:right w:val="none" w:sz="0" w:space="0" w:color="auto"/>
      </w:divBdr>
    </w:div>
    <w:div w:id="1043100161">
      <w:bodyDiv w:val="1"/>
      <w:marLeft w:val="0"/>
      <w:marRight w:val="0"/>
      <w:marTop w:val="0"/>
      <w:marBottom w:val="0"/>
      <w:divBdr>
        <w:top w:val="none" w:sz="0" w:space="0" w:color="auto"/>
        <w:left w:val="none" w:sz="0" w:space="0" w:color="auto"/>
        <w:bottom w:val="none" w:sz="0" w:space="0" w:color="auto"/>
        <w:right w:val="none" w:sz="0" w:space="0" w:color="auto"/>
      </w:divBdr>
    </w:div>
    <w:div w:id="1091195287">
      <w:bodyDiv w:val="1"/>
      <w:marLeft w:val="0"/>
      <w:marRight w:val="0"/>
      <w:marTop w:val="0"/>
      <w:marBottom w:val="0"/>
      <w:divBdr>
        <w:top w:val="none" w:sz="0" w:space="0" w:color="auto"/>
        <w:left w:val="none" w:sz="0" w:space="0" w:color="auto"/>
        <w:bottom w:val="none" w:sz="0" w:space="0" w:color="auto"/>
        <w:right w:val="none" w:sz="0" w:space="0" w:color="auto"/>
      </w:divBdr>
      <w:divsChild>
        <w:div w:id="1774593117">
          <w:marLeft w:val="0"/>
          <w:marRight w:val="0"/>
          <w:marTop w:val="0"/>
          <w:marBottom w:val="0"/>
          <w:divBdr>
            <w:top w:val="none" w:sz="0" w:space="0" w:color="auto"/>
            <w:left w:val="none" w:sz="0" w:space="0" w:color="auto"/>
            <w:bottom w:val="none" w:sz="0" w:space="0" w:color="auto"/>
            <w:right w:val="none" w:sz="0" w:space="0" w:color="auto"/>
          </w:divBdr>
          <w:divsChild>
            <w:div w:id="1426876717">
              <w:marLeft w:val="0"/>
              <w:marRight w:val="0"/>
              <w:marTop w:val="0"/>
              <w:marBottom w:val="0"/>
              <w:divBdr>
                <w:top w:val="single" w:sz="2" w:space="0" w:color="E2C789"/>
                <w:left w:val="single" w:sz="2" w:space="0" w:color="E2C789"/>
                <w:bottom w:val="single" w:sz="2" w:space="0" w:color="E2C789"/>
                <w:right w:val="single" w:sz="2" w:space="0" w:color="E2C789"/>
              </w:divBdr>
            </w:div>
          </w:divsChild>
        </w:div>
      </w:divsChild>
    </w:div>
    <w:div w:id="1141537919">
      <w:bodyDiv w:val="1"/>
      <w:marLeft w:val="0"/>
      <w:marRight w:val="0"/>
      <w:marTop w:val="0"/>
      <w:marBottom w:val="0"/>
      <w:divBdr>
        <w:top w:val="none" w:sz="0" w:space="0" w:color="auto"/>
        <w:left w:val="none" w:sz="0" w:space="0" w:color="auto"/>
        <w:bottom w:val="none" w:sz="0" w:space="0" w:color="auto"/>
        <w:right w:val="none" w:sz="0" w:space="0" w:color="auto"/>
      </w:divBdr>
    </w:div>
    <w:div w:id="1265380136">
      <w:bodyDiv w:val="1"/>
      <w:marLeft w:val="0"/>
      <w:marRight w:val="0"/>
      <w:marTop w:val="0"/>
      <w:marBottom w:val="0"/>
      <w:divBdr>
        <w:top w:val="none" w:sz="0" w:space="0" w:color="auto"/>
        <w:left w:val="none" w:sz="0" w:space="0" w:color="auto"/>
        <w:bottom w:val="none" w:sz="0" w:space="0" w:color="auto"/>
        <w:right w:val="none" w:sz="0" w:space="0" w:color="auto"/>
      </w:divBdr>
    </w:div>
    <w:div w:id="1290479399">
      <w:bodyDiv w:val="1"/>
      <w:marLeft w:val="0"/>
      <w:marRight w:val="0"/>
      <w:marTop w:val="0"/>
      <w:marBottom w:val="0"/>
      <w:divBdr>
        <w:top w:val="none" w:sz="0" w:space="0" w:color="auto"/>
        <w:left w:val="none" w:sz="0" w:space="0" w:color="auto"/>
        <w:bottom w:val="none" w:sz="0" w:space="0" w:color="auto"/>
        <w:right w:val="none" w:sz="0" w:space="0" w:color="auto"/>
      </w:divBdr>
      <w:divsChild>
        <w:div w:id="751512544">
          <w:marLeft w:val="0"/>
          <w:marRight w:val="0"/>
          <w:marTop w:val="0"/>
          <w:marBottom w:val="0"/>
          <w:divBdr>
            <w:top w:val="none" w:sz="0" w:space="0" w:color="auto"/>
            <w:left w:val="none" w:sz="0" w:space="0" w:color="auto"/>
            <w:bottom w:val="none" w:sz="0" w:space="0" w:color="auto"/>
            <w:right w:val="none" w:sz="0" w:space="0" w:color="auto"/>
          </w:divBdr>
          <w:divsChild>
            <w:div w:id="875199921">
              <w:marLeft w:val="0"/>
              <w:marRight w:val="0"/>
              <w:marTop w:val="0"/>
              <w:marBottom w:val="0"/>
              <w:divBdr>
                <w:top w:val="none" w:sz="0" w:space="0" w:color="auto"/>
                <w:left w:val="none" w:sz="0" w:space="0" w:color="auto"/>
                <w:bottom w:val="none" w:sz="0" w:space="0" w:color="auto"/>
                <w:right w:val="none" w:sz="0" w:space="0" w:color="auto"/>
              </w:divBdr>
              <w:divsChild>
                <w:div w:id="1686469652">
                  <w:marLeft w:val="0"/>
                  <w:marRight w:val="0"/>
                  <w:marTop w:val="0"/>
                  <w:marBottom w:val="0"/>
                  <w:divBdr>
                    <w:top w:val="none" w:sz="0" w:space="0" w:color="auto"/>
                    <w:left w:val="none" w:sz="0" w:space="0" w:color="auto"/>
                    <w:bottom w:val="none" w:sz="0" w:space="0" w:color="auto"/>
                    <w:right w:val="none" w:sz="0" w:space="0" w:color="auto"/>
                  </w:divBdr>
                  <w:divsChild>
                    <w:div w:id="1923758096">
                      <w:marLeft w:val="0"/>
                      <w:marRight w:val="0"/>
                      <w:marTop w:val="0"/>
                      <w:marBottom w:val="0"/>
                      <w:divBdr>
                        <w:top w:val="none" w:sz="0" w:space="0" w:color="auto"/>
                        <w:left w:val="none" w:sz="0" w:space="0" w:color="auto"/>
                        <w:bottom w:val="none" w:sz="0" w:space="0" w:color="auto"/>
                        <w:right w:val="none" w:sz="0" w:space="0" w:color="auto"/>
                      </w:divBdr>
                      <w:divsChild>
                        <w:div w:id="1563784810">
                          <w:marLeft w:val="0"/>
                          <w:marRight w:val="0"/>
                          <w:marTop w:val="0"/>
                          <w:marBottom w:val="0"/>
                          <w:divBdr>
                            <w:top w:val="none" w:sz="0" w:space="0" w:color="auto"/>
                            <w:left w:val="none" w:sz="0" w:space="0" w:color="auto"/>
                            <w:bottom w:val="none" w:sz="0" w:space="0" w:color="auto"/>
                            <w:right w:val="none" w:sz="0" w:space="0" w:color="auto"/>
                          </w:divBdr>
                          <w:divsChild>
                            <w:div w:id="207141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2824172">
      <w:bodyDiv w:val="1"/>
      <w:marLeft w:val="0"/>
      <w:marRight w:val="0"/>
      <w:marTop w:val="0"/>
      <w:marBottom w:val="0"/>
      <w:divBdr>
        <w:top w:val="none" w:sz="0" w:space="0" w:color="auto"/>
        <w:left w:val="none" w:sz="0" w:space="0" w:color="auto"/>
        <w:bottom w:val="none" w:sz="0" w:space="0" w:color="auto"/>
        <w:right w:val="none" w:sz="0" w:space="0" w:color="auto"/>
      </w:divBdr>
    </w:div>
    <w:div w:id="1984696258">
      <w:bodyDiv w:val="1"/>
      <w:marLeft w:val="0"/>
      <w:marRight w:val="0"/>
      <w:marTop w:val="0"/>
      <w:marBottom w:val="0"/>
      <w:divBdr>
        <w:top w:val="none" w:sz="0" w:space="0" w:color="auto"/>
        <w:left w:val="none" w:sz="0" w:space="0" w:color="auto"/>
        <w:bottom w:val="none" w:sz="0" w:space="0" w:color="auto"/>
        <w:right w:val="none" w:sz="0" w:space="0" w:color="auto"/>
      </w:divBdr>
    </w:div>
    <w:div w:id="2127235346">
      <w:bodyDiv w:val="1"/>
      <w:marLeft w:val="0"/>
      <w:marRight w:val="0"/>
      <w:marTop w:val="0"/>
      <w:marBottom w:val="0"/>
      <w:divBdr>
        <w:top w:val="none" w:sz="0" w:space="0" w:color="auto"/>
        <w:left w:val="none" w:sz="0" w:space="0" w:color="auto"/>
        <w:bottom w:val="none" w:sz="0" w:space="0" w:color="auto"/>
        <w:right w:val="none" w:sz="0" w:space="0" w:color="auto"/>
      </w:divBdr>
      <w:divsChild>
        <w:div w:id="1369258245">
          <w:marLeft w:val="0"/>
          <w:marRight w:val="0"/>
          <w:marTop w:val="0"/>
          <w:marBottom w:val="0"/>
          <w:divBdr>
            <w:top w:val="none" w:sz="0" w:space="0" w:color="auto"/>
            <w:left w:val="none" w:sz="0" w:space="0" w:color="auto"/>
            <w:bottom w:val="none" w:sz="0" w:space="0" w:color="auto"/>
            <w:right w:val="none" w:sz="0" w:space="0" w:color="auto"/>
          </w:divBdr>
          <w:divsChild>
            <w:div w:id="1546916133">
              <w:marLeft w:val="0"/>
              <w:marRight w:val="0"/>
              <w:marTop w:val="0"/>
              <w:marBottom w:val="0"/>
              <w:divBdr>
                <w:top w:val="none" w:sz="0" w:space="0" w:color="auto"/>
                <w:left w:val="none" w:sz="0" w:space="0" w:color="auto"/>
                <w:bottom w:val="none" w:sz="0" w:space="0" w:color="auto"/>
                <w:right w:val="none" w:sz="0" w:space="0" w:color="auto"/>
              </w:divBdr>
              <w:divsChild>
                <w:div w:id="2006744272">
                  <w:marLeft w:val="0"/>
                  <w:marRight w:val="0"/>
                  <w:marTop w:val="0"/>
                  <w:marBottom w:val="0"/>
                  <w:divBdr>
                    <w:top w:val="none" w:sz="0" w:space="0" w:color="auto"/>
                    <w:left w:val="none" w:sz="0" w:space="0" w:color="auto"/>
                    <w:bottom w:val="none" w:sz="0" w:space="0" w:color="auto"/>
                    <w:right w:val="none" w:sz="0" w:space="0" w:color="auto"/>
                  </w:divBdr>
                  <w:divsChild>
                    <w:div w:id="1171069456">
                      <w:marLeft w:val="0"/>
                      <w:marRight w:val="0"/>
                      <w:marTop w:val="0"/>
                      <w:marBottom w:val="0"/>
                      <w:divBdr>
                        <w:top w:val="none" w:sz="0" w:space="0" w:color="auto"/>
                        <w:left w:val="none" w:sz="0" w:space="0" w:color="auto"/>
                        <w:bottom w:val="none" w:sz="0" w:space="0" w:color="auto"/>
                        <w:right w:val="none" w:sz="0" w:space="0" w:color="auto"/>
                      </w:divBdr>
                      <w:divsChild>
                        <w:div w:id="121927622">
                          <w:marLeft w:val="0"/>
                          <w:marRight w:val="0"/>
                          <w:marTop w:val="0"/>
                          <w:marBottom w:val="0"/>
                          <w:divBdr>
                            <w:top w:val="none" w:sz="0" w:space="0" w:color="auto"/>
                            <w:left w:val="none" w:sz="0" w:space="0" w:color="auto"/>
                            <w:bottom w:val="none" w:sz="0" w:space="0" w:color="auto"/>
                            <w:right w:val="none" w:sz="0" w:space="0" w:color="auto"/>
                          </w:divBdr>
                          <w:divsChild>
                            <w:div w:id="7209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CC04-F46B-4A72-B2BF-866F1999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1811</Words>
  <Characters>12028</Characters>
  <Application>Microsoft Office Word</Application>
  <DocSecurity>0</DocSecurity>
  <Lines>501</Lines>
  <Paragraphs>238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projekta nosaukums</vt:lpstr>
    </vt:vector>
  </TitlesOfParts>
  <Manager>Militārās izlūkošanas un drošības dienests</Manager>
  <Company>Aizsardzības ministrija</Company>
  <LinksUpToDate>false</LinksUpToDate>
  <CharactersWithSpaces>13601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Anotācija</dc:subject>
  <dc:creator>Rihards Guds</dc:creator>
  <cp:lastModifiedBy>RihardsGuds</cp:lastModifiedBy>
  <cp:revision>6</cp:revision>
  <cp:lastPrinted>2016-05-18T13:37:00Z</cp:lastPrinted>
  <dcterms:created xsi:type="dcterms:W3CDTF">2016-05-23T09:01:00Z</dcterms:created>
  <dcterms:modified xsi:type="dcterms:W3CDTF">2016-05-23T09:03:00Z</dcterms:modified>
</cp:coreProperties>
</file>