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8E7" w:rsidRPr="003A131B" w:rsidRDefault="00ED71D7" w:rsidP="00A272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3A131B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Likum</w:t>
      </w:r>
      <w:r w:rsidR="00B75380" w:rsidRPr="003A131B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projekta </w:t>
      </w:r>
      <w:r w:rsidR="00D74725" w:rsidRPr="003A131B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„</w:t>
      </w:r>
      <w:bookmarkStart w:id="0" w:name="nosaukums"/>
      <w:r w:rsidR="00252408">
        <w:rPr>
          <w:rFonts w:ascii="Times New Roman" w:hAnsi="Times New Roman" w:cs="Times New Roman"/>
          <w:b/>
          <w:sz w:val="28"/>
          <w:szCs w:val="28"/>
        </w:rPr>
        <w:t xml:space="preserve">Par </w:t>
      </w:r>
      <w:r w:rsidR="00252408" w:rsidRPr="003E0B31">
        <w:rPr>
          <w:rFonts w:ascii="Times New Roman" w:hAnsi="Times New Roman" w:cs="Times New Roman"/>
          <w:b/>
          <w:sz w:val="28"/>
          <w:szCs w:val="28"/>
        </w:rPr>
        <w:t xml:space="preserve">Vīnes </w:t>
      </w:r>
      <w:r w:rsidR="00252408">
        <w:rPr>
          <w:rFonts w:ascii="Times New Roman" w:hAnsi="Times New Roman" w:cs="Times New Roman"/>
          <w:b/>
          <w:sz w:val="28"/>
          <w:szCs w:val="28"/>
        </w:rPr>
        <w:t>k</w:t>
      </w:r>
      <w:r w:rsidR="00252408" w:rsidRPr="003E0B31">
        <w:rPr>
          <w:rFonts w:ascii="Times New Roman" w:hAnsi="Times New Roman" w:cs="Times New Roman"/>
          <w:b/>
          <w:sz w:val="28"/>
          <w:szCs w:val="28"/>
        </w:rPr>
        <w:t>onvencij</w:t>
      </w:r>
      <w:r w:rsidR="00252408">
        <w:rPr>
          <w:rFonts w:ascii="Times New Roman" w:hAnsi="Times New Roman" w:cs="Times New Roman"/>
          <w:b/>
          <w:sz w:val="28"/>
          <w:szCs w:val="28"/>
        </w:rPr>
        <w:t>as par ozona slāņa aizsardzību Monreālas protokola par ozona slāni noārdošām vielām grozījumiem</w:t>
      </w:r>
      <w:bookmarkEnd w:id="0"/>
      <w:r w:rsidR="00B75380" w:rsidRPr="003A131B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” </w:t>
      </w:r>
      <w:r w:rsidR="004758E7" w:rsidRPr="003A131B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sākotnējās ietekmes novērtējuma ziņojums (anotācija)</w:t>
      </w:r>
    </w:p>
    <w:p w:rsidR="004758E7" w:rsidRPr="00724057" w:rsidRDefault="004758E7" w:rsidP="004758E7">
      <w:pPr>
        <w:spacing w:before="45" w:after="0" w:line="360" w:lineRule="auto"/>
        <w:ind w:firstLine="300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lv-LV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85"/>
        <w:gridCol w:w="1674"/>
        <w:gridCol w:w="6796"/>
      </w:tblGrid>
      <w:tr w:rsidR="00724057" w:rsidRPr="00724057" w:rsidTr="004758E7">
        <w:trPr>
          <w:trHeight w:val="405"/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58E7" w:rsidRPr="001513B7" w:rsidRDefault="004758E7" w:rsidP="004758E7">
            <w:pPr>
              <w:spacing w:before="100" w:beforeAutospacing="1" w:after="100" w:afterAutospacing="1" w:line="360" w:lineRule="auto"/>
              <w:ind w:firstLine="3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I.</w:t>
            </w:r>
            <w:r w:rsidR="00470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  <w:r w:rsidRPr="00151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Tiesību akta projekta izstrādes nepieciešamība</w:t>
            </w:r>
          </w:p>
        </w:tc>
      </w:tr>
      <w:tr w:rsidR="00724057" w:rsidRPr="00724057" w:rsidTr="00A272F9">
        <w:trPr>
          <w:trHeight w:val="405"/>
          <w:tblCellSpacing w:w="15" w:type="dxa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34447A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="0034447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Pamatojums</w:t>
            </w:r>
          </w:p>
        </w:tc>
        <w:tc>
          <w:tcPr>
            <w:tcW w:w="37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71D7" w:rsidRPr="00753CB2" w:rsidRDefault="00ED71D7" w:rsidP="00544732">
            <w:pPr>
              <w:pStyle w:val="naiskr"/>
              <w:ind w:left="82"/>
              <w:jc w:val="both"/>
              <w:rPr>
                <w:bCs/>
              </w:rPr>
            </w:pPr>
            <w:r w:rsidRPr="004B18F5">
              <w:rPr>
                <w:bCs/>
              </w:rPr>
              <w:t>Likumprojekts „</w:t>
            </w:r>
            <w:r w:rsidR="00252408" w:rsidRPr="00252408">
              <w:rPr>
                <w:bCs/>
              </w:rPr>
              <w:t>Par Vīnes konvencijas par ozona slāņa aizsardzību Monreālas protokola par ozona slāni noārdošām vielām grozījumiem</w:t>
            </w:r>
            <w:r w:rsidR="005F100D">
              <w:rPr>
                <w:bCs/>
              </w:rPr>
              <w:t>” (turpmāk </w:t>
            </w:r>
            <w:r>
              <w:rPr>
                <w:bCs/>
              </w:rPr>
              <w:t>– l</w:t>
            </w:r>
            <w:r w:rsidRPr="004B18F5">
              <w:rPr>
                <w:bCs/>
              </w:rPr>
              <w:t xml:space="preserve">ikumprojekts) </w:t>
            </w:r>
            <w:r w:rsidR="00252408">
              <w:rPr>
                <w:bCs/>
              </w:rPr>
              <w:t>sagatavots</w:t>
            </w:r>
            <w:r w:rsidR="00873E47">
              <w:rPr>
                <w:bCs/>
              </w:rPr>
              <w:t xml:space="preserve"> </w:t>
            </w:r>
            <w:r w:rsidR="00470662">
              <w:rPr>
                <w:bCs/>
              </w:rPr>
              <w:t>pēc Vides aizsardzības un reģionālās attīstības ministrijas iniciatīvas</w:t>
            </w:r>
            <w:r w:rsidR="00252408">
              <w:rPr>
                <w:bCs/>
              </w:rPr>
              <w:t xml:space="preserve"> lai </w:t>
            </w:r>
            <w:r w:rsidR="00753CB2">
              <w:rPr>
                <w:bCs/>
              </w:rPr>
              <w:t xml:space="preserve">nodrošinātu </w:t>
            </w:r>
            <w:r w:rsidR="00753CB2" w:rsidRPr="00252408">
              <w:rPr>
                <w:bCs/>
              </w:rPr>
              <w:t xml:space="preserve">Vīnes konvencijas par ozona slāņa aizsardzību </w:t>
            </w:r>
            <w:r w:rsidR="00753CB2">
              <w:rPr>
                <w:bCs/>
              </w:rPr>
              <w:t xml:space="preserve">(turpmāk - Vīnes konvencijas) </w:t>
            </w:r>
            <w:r w:rsidR="00753CB2" w:rsidRPr="00252408">
              <w:rPr>
                <w:bCs/>
              </w:rPr>
              <w:t xml:space="preserve">Monreālas protokola par ozona slāni noārdošām vielām </w:t>
            </w:r>
            <w:r w:rsidR="00753CB2">
              <w:rPr>
                <w:bCs/>
              </w:rPr>
              <w:t>(turpmāk - Monreālas protokola) grozījumu ratificēšanu.</w:t>
            </w:r>
          </w:p>
        </w:tc>
      </w:tr>
      <w:tr w:rsidR="00724057" w:rsidRPr="00827E04" w:rsidTr="003463BD">
        <w:trPr>
          <w:trHeight w:val="6881"/>
          <w:tblCellSpacing w:w="15" w:type="dxa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34447A">
            <w:pPr>
              <w:spacing w:before="100" w:beforeAutospacing="1" w:after="100" w:afterAutospacing="1" w:line="360" w:lineRule="auto"/>
              <w:ind w:firstLine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  <w:r w:rsidR="0034447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29D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Pašreizējā situācija un problēmas, kuru risināšanai tiesību akta projekts izstrādāts, tiesiskā regulējuma mērķis un būtība</w:t>
            </w:r>
          </w:p>
          <w:p w:rsidR="00602228" w:rsidRPr="00AF729D" w:rsidRDefault="00602228" w:rsidP="003463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7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0AA" w:rsidRDefault="005818C9" w:rsidP="005818C9">
            <w:pPr>
              <w:spacing w:after="0" w:line="240" w:lineRule="auto"/>
              <w:ind w:left="8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>Monreālas protokola pušu 28.sanāksmē, kas notika Kigali, Ruandā, 2016. gada 10.–15. oktobrī, tika pieņemt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 xml:space="preserve"> Monreālas protokola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grozījumi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>, ar kur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iem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 xml:space="preserve"> Monreālas protokola kontroles pasākumiem pievieno </w:t>
            </w:r>
            <w:proofErr w:type="spellStart"/>
            <w:r w:rsidRPr="005818C9">
              <w:rPr>
                <w:rFonts w:ascii="Times New Roman" w:hAnsi="Times New Roman" w:cs="Times New Roman"/>
                <w:sz w:val="24"/>
                <w:szCs w:val="24"/>
              </w:rPr>
              <w:t>fluorogļūdeņražu</w:t>
            </w:r>
            <w:proofErr w:type="spellEnd"/>
            <w:r w:rsidRPr="005818C9">
              <w:rPr>
                <w:rFonts w:ascii="Times New Roman" w:hAnsi="Times New Roman" w:cs="Times New Roman"/>
                <w:sz w:val="24"/>
                <w:szCs w:val="24"/>
              </w:rPr>
              <w:t xml:space="preserve"> pakāpenisku </w:t>
            </w:r>
            <w:r w:rsidR="00AB06C1" w:rsidRPr="005818C9">
              <w:rPr>
                <w:rFonts w:ascii="Times New Roman" w:hAnsi="Times New Roman" w:cs="Times New Roman"/>
                <w:sz w:val="24"/>
                <w:szCs w:val="24"/>
              </w:rPr>
              <w:t xml:space="preserve">ražošanas 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 w:rsidR="00AB06C1">
              <w:rPr>
                <w:rFonts w:ascii="Times New Roman" w:hAnsi="Times New Roman" w:cs="Times New Roman"/>
                <w:sz w:val="24"/>
                <w:szCs w:val="24"/>
              </w:rPr>
              <w:t xml:space="preserve">izmantošanas 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>samazināšanu, lai mazinātu šo viel</w:t>
            </w:r>
            <w:r w:rsidR="008600AA">
              <w:rPr>
                <w:rFonts w:ascii="Times New Roman" w:hAnsi="Times New Roman" w:cs="Times New Roman"/>
                <w:sz w:val="24"/>
                <w:szCs w:val="24"/>
              </w:rPr>
              <w:t>u ietekmi uz klimata pārmaiņām.</w:t>
            </w:r>
          </w:p>
          <w:p w:rsidR="005818C9" w:rsidRPr="005818C9" w:rsidRDefault="005818C9" w:rsidP="005818C9">
            <w:pPr>
              <w:spacing w:after="0" w:line="240" w:lineRule="auto"/>
              <w:ind w:left="8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 xml:space="preserve">Lai arī </w:t>
            </w:r>
            <w:proofErr w:type="spellStart"/>
            <w:r w:rsidR="00AB06C1" w:rsidRPr="005818C9">
              <w:rPr>
                <w:rFonts w:ascii="Times New Roman" w:hAnsi="Times New Roman" w:cs="Times New Roman"/>
                <w:sz w:val="24"/>
                <w:szCs w:val="24"/>
              </w:rPr>
              <w:t>fluorogļūdeņraž</w:t>
            </w:r>
            <w:r w:rsidR="00AB06C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AB06C1" w:rsidRPr="00581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>nenoārda ozona slāni,</w:t>
            </w:r>
            <w:r w:rsidR="00AB06C1">
              <w:rPr>
                <w:rFonts w:ascii="Times New Roman" w:hAnsi="Times New Roman" w:cs="Times New Roman"/>
                <w:sz w:val="24"/>
                <w:szCs w:val="24"/>
              </w:rPr>
              <w:t xml:space="preserve"> tie ir spēcīgas </w:t>
            </w:r>
            <w:r w:rsidR="00AB06C1" w:rsidRPr="005818C9">
              <w:rPr>
                <w:rFonts w:ascii="Times New Roman" w:hAnsi="Times New Roman" w:cs="Times New Roman"/>
                <w:sz w:val="24"/>
                <w:szCs w:val="24"/>
              </w:rPr>
              <w:t>siltumnīcefekta gāzes</w:t>
            </w:r>
            <w:r w:rsidR="00AB06C1">
              <w:rPr>
                <w:rFonts w:ascii="Times New Roman" w:hAnsi="Times New Roman" w:cs="Times New Roman"/>
                <w:sz w:val="24"/>
                <w:szCs w:val="24"/>
              </w:rPr>
              <w:t>, kas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 xml:space="preserve"> tika galvenokārt ieviestas</w:t>
            </w:r>
            <w:r w:rsidR="00AB06C1">
              <w:rPr>
                <w:rFonts w:ascii="Times New Roman" w:hAnsi="Times New Roman" w:cs="Times New Roman"/>
                <w:sz w:val="24"/>
                <w:szCs w:val="24"/>
              </w:rPr>
              <w:t xml:space="preserve"> kā aizstājēji 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>ozona slāni noārdošā</w:t>
            </w:r>
            <w:r w:rsidR="00AB06C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 xml:space="preserve"> viel</w:t>
            </w:r>
            <w:r w:rsidR="00AB06C1">
              <w:rPr>
                <w:rFonts w:ascii="Times New Roman" w:hAnsi="Times New Roman" w:cs="Times New Roman"/>
                <w:sz w:val="24"/>
                <w:szCs w:val="24"/>
              </w:rPr>
              <w:t xml:space="preserve">ām. Līdz ar to </w:t>
            </w:r>
            <w:proofErr w:type="spellStart"/>
            <w:r w:rsidR="00AB06C1" w:rsidRPr="005818C9">
              <w:rPr>
                <w:rFonts w:ascii="Times New Roman" w:hAnsi="Times New Roman" w:cs="Times New Roman"/>
                <w:sz w:val="24"/>
                <w:szCs w:val="24"/>
              </w:rPr>
              <w:t>fluorogļūdeņraž</w:t>
            </w:r>
            <w:r w:rsidR="00AB06C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proofErr w:type="spellEnd"/>
            <w:r w:rsidR="00AB06C1">
              <w:rPr>
                <w:rFonts w:ascii="Times New Roman" w:hAnsi="Times New Roman" w:cs="Times New Roman"/>
                <w:sz w:val="24"/>
                <w:szCs w:val="24"/>
              </w:rPr>
              <w:t xml:space="preserve"> izmantošanas pieaugums ir </w:t>
            </w:r>
            <w:r w:rsidR="00AB06C1" w:rsidRPr="005818C9">
              <w:rPr>
                <w:rFonts w:ascii="Times New Roman" w:hAnsi="Times New Roman" w:cs="Times New Roman"/>
                <w:sz w:val="24"/>
                <w:szCs w:val="24"/>
              </w:rPr>
              <w:t>Monreālas protokol</w:t>
            </w:r>
            <w:r w:rsidR="00AB06C1">
              <w:rPr>
                <w:rFonts w:ascii="Times New Roman" w:hAnsi="Times New Roman" w:cs="Times New Roman"/>
                <w:sz w:val="24"/>
                <w:szCs w:val="24"/>
              </w:rPr>
              <w:t>ā noteikto saistību realizēšanas tiešas sekas un</w:t>
            </w:r>
            <w:r w:rsidR="00AB06C1" w:rsidRPr="00581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3CB2" w:rsidRPr="005818C9">
              <w:rPr>
                <w:rFonts w:ascii="Times New Roman" w:hAnsi="Times New Roman" w:cs="Times New Roman"/>
                <w:sz w:val="24"/>
                <w:szCs w:val="24"/>
              </w:rPr>
              <w:t>Monreālas protokol</w:t>
            </w:r>
            <w:r w:rsidR="00753CB2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AB06C1">
              <w:rPr>
                <w:rFonts w:ascii="Times New Roman" w:hAnsi="Times New Roman" w:cs="Times New Roman"/>
                <w:sz w:val="24"/>
                <w:szCs w:val="24"/>
              </w:rPr>
              <w:t xml:space="preserve">puses </w:t>
            </w:r>
            <w:r w:rsidR="00753CB2">
              <w:rPr>
                <w:rFonts w:ascii="Times New Roman" w:hAnsi="Times New Roman" w:cs="Times New Roman"/>
                <w:sz w:val="24"/>
                <w:szCs w:val="24"/>
              </w:rPr>
              <w:t xml:space="preserve">pēc vairākus gadus ilgām diskusijām </w:t>
            </w:r>
            <w:r w:rsidR="00AB06C1">
              <w:rPr>
                <w:rFonts w:ascii="Times New Roman" w:hAnsi="Times New Roman" w:cs="Times New Roman"/>
                <w:sz w:val="24"/>
                <w:szCs w:val="24"/>
              </w:rPr>
              <w:t>lēma, ka to lietošanas samazināšana jārisina šī protokola ietvaros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06C1" w:rsidRDefault="005818C9" w:rsidP="005818C9">
            <w:pPr>
              <w:spacing w:after="0" w:line="240" w:lineRule="auto"/>
              <w:ind w:left="8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 xml:space="preserve">Kigali </w:t>
            </w:r>
            <w:r w:rsidR="00AB06C1">
              <w:rPr>
                <w:rFonts w:ascii="Times New Roman" w:hAnsi="Times New Roman" w:cs="Times New Roman"/>
                <w:sz w:val="24"/>
                <w:szCs w:val="24"/>
              </w:rPr>
              <w:t xml:space="preserve">pieņemtie Monreālas protokola 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>grozījum</w:t>
            </w:r>
            <w:r w:rsidR="00AB06C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 xml:space="preserve"> stāsies spēkā 2019. gada 1. janvārī ar nosacījumu, </w:t>
            </w:r>
            <w:r w:rsidR="00AB06C1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 xml:space="preserve"> vismaz 20 pušu būs deponējušas savus ratifikācijas dokumentus.</w:t>
            </w:r>
          </w:p>
          <w:p w:rsidR="00423464" w:rsidRPr="00B54490" w:rsidRDefault="008600AA" w:rsidP="008600AA">
            <w:pPr>
              <w:spacing w:after="0" w:line="240" w:lineRule="auto"/>
              <w:ind w:left="8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>Eiropa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Savienībā, tostarp arī Latvijā, </w:t>
            </w:r>
            <w:proofErr w:type="spellStart"/>
            <w:r w:rsidRPr="005818C9">
              <w:rPr>
                <w:rFonts w:ascii="Times New Roman" w:hAnsi="Times New Roman" w:cs="Times New Roman"/>
                <w:sz w:val="24"/>
                <w:szCs w:val="24"/>
              </w:rPr>
              <w:t>fluorogļūdeņražu</w:t>
            </w:r>
            <w:proofErr w:type="spellEnd"/>
            <w:r w:rsidRPr="00581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izmantošanas 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>samazināšanu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jau tiek risināta ar </w:t>
            </w:r>
            <w:r w:rsidRPr="00753C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Eiropas Parlamenta un Padomes Regul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753C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(ES) Nr. 517/2014 (2014. gada 16. aprīlis) par </w:t>
            </w:r>
            <w:proofErr w:type="spellStart"/>
            <w:r w:rsidRPr="00753C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fluorētām</w:t>
            </w:r>
            <w:proofErr w:type="spellEnd"/>
            <w:r w:rsidRPr="00753C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siltumnīcefekta gāzēm un ar ko atceļ Regulu (EK) Nr. 842/2006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(turpmāk – regula </w:t>
            </w:r>
            <w:r w:rsidRPr="00753C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517/2014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), līdz ar to </w:t>
            </w:r>
            <w:r w:rsidR="00753CB2">
              <w:rPr>
                <w:rFonts w:ascii="Times New Roman" w:hAnsi="Times New Roman" w:cs="Times New Roman"/>
                <w:sz w:val="24"/>
                <w:szCs w:val="24"/>
              </w:rPr>
              <w:t xml:space="preserve">Monreālas protokola </w:t>
            </w:r>
            <w:r w:rsidR="00753CB2" w:rsidRPr="005818C9">
              <w:rPr>
                <w:rFonts w:ascii="Times New Roman" w:hAnsi="Times New Roman" w:cs="Times New Roman"/>
                <w:sz w:val="24"/>
                <w:szCs w:val="24"/>
              </w:rPr>
              <w:t>grozījum</w:t>
            </w:r>
            <w:r w:rsidR="00753CB2">
              <w:rPr>
                <w:rFonts w:ascii="Times New Roman" w:hAnsi="Times New Roman" w:cs="Times New Roman"/>
                <w:sz w:val="24"/>
                <w:szCs w:val="24"/>
              </w:rPr>
              <w:t xml:space="preserve">u drīza ratificēšana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līdztekus citām 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>Eiropa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Savienības dalībvalstīm kalpos kā piemērs, pamudinājums un starptautiska līmeņa aicinājums šādu soli spert arī j</w:t>
            </w:r>
            <w:r w:rsidR="005818C9" w:rsidRPr="005818C9">
              <w:rPr>
                <w:rFonts w:ascii="Times New Roman" w:hAnsi="Times New Roman" w:cs="Times New Roman"/>
                <w:sz w:val="24"/>
                <w:szCs w:val="24"/>
              </w:rPr>
              <w:t>aunattīstības valst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īm.</w:t>
            </w:r>
          </w:p>
        </w:tc>
      </w:tr>
      <w:tr w:rsidR="00724057" w:rsidRPr="00724057" w:rsidTr="00A272F9">
        <w:trPr>
          <w:trHeight w:val="852"/>
          <w:tblCellSpacing w:w="15" w:type="dxa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6B3A7E">
            <w:pPr>
              <w:spacing w:before="100" w:beforeAutospacing="1" w:after="100" w:afterAutospacing="1" w:line="360" w:lineRule="auto"/>
              <w:ind w:firstLine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="006B3A7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DB77BA" w:rsidRDefault="004758E7" w:rsidP="00B63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izstrādē iesaistītās institūcijas</w:t>
            </w:r>
          </w:p>
        </w:tc>
        <w:tc>
          <w:tcPr>
            <w:tcW w:w="37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D61356" w:rsidP="0045708C">
            <w:pPr>
              <w:spacing w:after="0" w:line="240" w:lineRule="auto"/>
              <w:ind w:lef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Valsts valodas centrs (tulkojuma novērtēšana).</w:t>
            </w:r>
          </w:p>
        </w:tc>
      </w:tr>
      <w:tr w:rsidR="004758E7" w:rsidRPr="00724057" w:rsidTr="00A272F9">
        <w:trPr>
          <w:tblCellSpacing w:w="15" w:type="dxa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6B3A7E">
            <w:pPr>
              <w:spacing w:before="100" w:beforeAutospacing="1" w:after="100" w:afterAutospacing="1" w:line="360" w:lineRule="auto"/>
              <w:ind w:firstLine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  <w:r w:rsidR="006B3A7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347A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7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2EB1" w:rsidRPr="00BA15D5" w:rsidRDefault="0045708C" w:rsidP="004570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4248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</w:tr>
    </w:tbl>
    <w:p w:rsidR="004758E7" w:rsidRDefault="004758E7" w:rsidP="007831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:rsidR="003463BD" w:rsidRDefault="003463BD" w:rsidP="007831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:rsidR="003463BD" w:rsidRPr="00724057" w:rsidRDefault="003463BD" w:rsidP="007831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  <w:bookmarkStart w:id="1" w:name="_GoBack"/>
      <w:bookmarkEnd w:id="1"/>
    </w:p>
    <w:tbl>
      <w:tblPr>
        <w:tblW w:w="4999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56"/>
        <w:gridCol w:w="2839"/>
        <w:gridCol w:w="5658"/>
      </w:tblGrid>
      <w:tr w:rsidR="00724057" w:rsidRPr="001513B7" w:rsidTr="00316195">
        <w:trPr>
          <w:trHeight w:val="555"/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58E7" w:rsidRPr="001513B7" w:rsidRDefault="004758E7" w:rsidP="002838EA">
            <w:pPr>
              <w:spacing w:after="0" w:line="240" w:lineRule="auto"/>
              <w:ind w:firstLine="3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II.</w:t>
            </w:r>
            <w:r w:rsidR="00D06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  <w:r w:rsidRPr="00151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Tiesību akta projekta ietekme uz sabiedrību, tautsaimniecības attīstību un administratīvo slogu</w:t>
            </w:r>
          </w:p>
        </w:tc>
      </w:tr>
      <w:tr w:rsidR="00724057" w:rsidRPr="001513B7" w:rsidTr="00092241">
        <w:trPr>
          <w:trHeight w:val="465"/>
          <w:tblCellSpacing w:w="15" w:type="dxa"/>
        </w:trPr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B63A7B">
            <w:pPr>
              <w:spacing w:after="0" w:line="240" w:lineRule="auto"/>
              <w:ind w:right="-126" w:hanging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mērķgrupas, kuras tiesiskais regulējums ietekmē vai varētu ietekmēt</w:t>
            </w:r>
          </w:p>
        </w:tc>
        <w:tc>
          <w:tcPr>
            <w:tcW w:w="3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7091" w:rsidRPr="00915FBB" w:rsidRDefault="00753CB2" w:rsidP="00DC50B1">
            <w:pPr>
              <w:pStyle w:val="naiskr"/>
              <w:ind w:left="83" w:right="138"/>
              <w:jc w:val="both"/>
            </w:pPr>
            <w:r>
              <w:t>Valsts pārvaldes iestādes</w:t>
            </w:r>
            <w:r w:rsidR="00DC50B1">
              <w:t>.</w:t>
            </w:r>
          </w:p>
        </w:tc>
      </w:tr>
      <w:tr w:rsidR="00724057" w:rsidRPr="001513B7" w:rsidTr="00092241">
        <w:trPr>
          <w:trHeight w:val="510"/>
          <w:tblCellSpacing w:w="15" w:type="dxa"/>
        </w:trPr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B63A7B">
            <w:pPr>
              <w:spacing w:after="0" w:line="240" w:lineRule="auto"/>
              <w:ind w:right="-126" w:hanging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Tiesiskā regulējuma ietekme uz tautsaimniecību un administratīvo slogu</w:t>
            </w:r>
          </w:p>
        </w:tc>
        <w:tc>
          <w:tcPr>
            <w:tcW w:w="3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48D5" w:rsidRPr="00915FBB" w:rsidRDefault="00134CF8" w:rsidP="00753CB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15F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Projekts šo jomu </w:t>
            </w:r>
            <w:r w:rsidR="00753C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neietekmē</w:t>
            </w:r>
            <w:r w:rsidRPr="00915F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724057" w:rsidRPr="001513B7" w:rsidTr="00092241">
        <w:trPr>
          <w:trHeight w:val="510"/>
          <w:tblCellSpacing w:w="15" w:type="dxa"/>
        </w:trPr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B63A7B">
            <w:pPr>
              <w:spacing w:after="0" w:line="240" w:lineRule="auto"/>
              <w:ind w:right="-126" w:hanging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Administratīvo izmaksu monetārs novērtējums</w:t>
            </w:r>
          </w:p>
        </w:tc>
        <w:tc>
          <w:tcPr>
            <w:tcW w:w="3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2276A7" w:rsidRDefault="007557EF" w:rsidP="007557EF">
            <w:pPr>
              <w:pStyle w:val="tv213"/>
              <w:jc w:val="both"/>
              <w:rPr>
                <w:i/>
              </w:rPr>
            </w:pPr>
            <w:r w:rsidRPr="0034447A">
              <w:t xml:space="preserve">Projekts šo jomu </w:t>
            </w:r>
            <w:r w:rsidR="00753CB2">
              <w:t>neietekmē</w:t>
            </w:r>
            <w:r w:rsidR="00B30661" w:rsidRPr="0034447A">
              <w:t>.</w:t>
            </w:r>
          </w:p>
        </w:tc>
      </w:tr>
      <w:tr w:rsidR="00724057" w:rsidRPr="001513B7" w:rsidTr="00092241">
        <w:trPr>
          <w:trHeight w:val="345"/>
          <w:tblCellSpacing w:w="15" w:type="dxa"/>
        </w:trPr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B63A7B">
            <w:pPr>
              <w:spacing w:after="0" w:line="240" w:lineRule="auto"/>
              <w:ind w:right="-126" w:hanging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A27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1B5B" w:rsidRDefault="000F1B5B" w:rsidP="000F1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Būs nepieciešams turpināt Latvijas līdzdalību </w:t>
            </w: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Daudzpusējā fond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</w:t>
            </w:r>
            <w:proofErr w:type="spellStart"/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Multilateral</w:t>
            </w:r>
            <w:proofErr w:type="spellEnd"/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Fund</w:t>
            </w:r>
            <w:proofErr w:type="spellEnd"/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MLF)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:rsidR="000F1B5B" w:rsidRDefault="000F1B5B" w:rsidP="000F1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0F1B5B" w:rsidRPr="000F1B5B" w:rsidRDefault="000F1B5B" w:rsidP="000F1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Pašlaik tiek vērtēts (avots: TEAP </w:t>
            </w:r>
            <w:proofErr w:type="spellStart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Task</w:t>
            </w:r>
            <w:proofErr w:type="spellEnd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Force</w:t>
            </w:r>
            <w:proofErr w:type="spellEnd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Report</w:t>
            </w:r>
            <w:proofErr w:type="spellEnd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- </w:t>
            </w:r>
            <w:proofErr w:type="spellStart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Assessment</w:t>
            </w:r>
            <w:proofErr w:type="spellEnd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of</w:t>
            </w:r>
            <w:proofErr w:type="spellEnd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the</w:t>
            </w:r>
            <w:proofErr w:type="spellEnd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Funding</w:t>
            </w:r>
            <w:proofErr w:type="spellEnd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Requirement</w:t>
            </w:r>
            <w:proofErr w:type="spellEnd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for</w:t>
            </w:r>
            <w:proofErr w:type="spellEnd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the</w:t>
            </w:r>
            <w:proofErr w:type="spellEnd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Replenishment</w:t>
            </w:r>
            <w:proofErr w:type="spellEnd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of</w:t>
            </w:r>
            <w:proofErr w:type="spellEnd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the</w:t>
            </w:r>
            <w:proofErr w:type="spellEnd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Multilateral</w:t>
            </w:r>
            <w:proofErr w:type="spellEnd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Fund</w:t>
            </w:r>
            <w:proofErr w:type="spellEnd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for</w:t>
            </w:r>
            <w:proofErr w:type="spellEnd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the</w:t>
            </w:r>
            <w:proofErr w:type="spellEnd"/>
            <w:r w:rsidRPr="000F1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Period</w:t>
            </w: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2018-2020, Vol.4), MLF apjoms trīs gadu periodam no 2018. līdz 2020.gadam varētu būt robežās no 602,71-748,85 MUSD, savukārt nākamajiem trīs gadu periodiem no 2021. līdz 2023. un no 2024. līdz 2026.gadam - attiecīgi 634,8-771,0 MUSD un 548,5-695,5 MUSD.</w:t>
            </w:r>
          </w:p>
          <w:p w:rsidR="000F1B5B" w:rsidRPr="000F1B5B" w:rsidRDefault="000F1B5B" w:rsidP="000F1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0F1B5B" w:rsidRPr="000F1B5B" w:rsidRDefault="000F1B5B" w:rsidP="000F1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Salīdzinājumam - MLF apjoms tekošajam trīs gadu periodam bija 507,5 MUSD (Monreālas protokola pušu 26.sanāksmes lēmums XXVI/10), no kā, ņemot vērā ANO novērtējuma skalu (Latvijai: 0,047%), kas koriģēta uz MLF </w:t>
            </w:r>
            <w:proofErr w:type="spellStart"/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donorvalstīm</w:t>
            </w:r>
            <w:proofErr w:type="spellEnd"/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(Latvijai: 0,065133%), izrietēja </w:t>
            </w:r>
            <w:r w:rsidRPr="000F1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Latvijas </w:t>
            </w:r>
            <w:proofErr w:type="spellStart"/>
            <w:r w:rsidRPr="000F1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šībrīža</w:t>
            </w:r>
            <w:proofErr w:type="spellEnd"/>
            <w:r w:rsidRPr="000F1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 līdzdalības apjoms - 94 985 USD</w:t>
            </w: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:rsidR="000F1B5B" w:rsidRPr="000F1B5B" w:rsidRDefault="000F1B5B" w:rsidP="000F1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0F1B5B" w:rsidRPr="000F1B5B" w:rsidRDefault="000F1B5B" w:rsidP="000F1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Ņemot vērā ANO skalas izmaiņas (pašlaik Latvijai: 0,050%) un izteiktās prognozes attiecībā uz MLF apjomu, </w:t>
            </w:r>
            <w:r w:rsidRPr="000F1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ir reālistiski sagaidīt, ka Latvijas līdzdalība MLF turpmāk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pieaugs un </w:t>
            </w:r>
            <w:r w:rsidRPr="000F1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varētu būt robežās no 126 līdz 153,5 tūkstošiem USD gadā</w:t>
            </w: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:rsidR="000F1B5B" w:rsidRPr="000F1B5B" w:rsidRDefault="000F1B5B" w:rsidP="000F1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4758E7" w:rsidRPr="001513B7" w:rsidRDefault="000F1B5B" w:rsidP="00A27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Par MLF faktisko apjomu visticamāk diskutēs jūlijā </w:t>
            </w:r>
            <w:proofErr w:type="spellStart"/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nkokā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lems šī gada novembrī</w:t>
            </w: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Vīnes </w:t>
            </w:r>
            <w:proofErr w:type="spellStart"/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koncencijas</w:t>
            </w:r>
            <w:proofErr w:type="spellEnd"/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 xml:space="preserve">Monreālas protokola </w:t>
            </w: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pušu sanāksmē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0F1B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Monreālā, Kanādā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</w:tbl>
    <w:p w:rsidR="00D2201B" w:rsidRDefault="004758E7" w:rsidP="00092241">
      <w:pPr>
        <w:spacing w:after="0" w:line="240" w:lineRule="auto"/>
        <w:ind w:firstLine="301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  <w:r w:rsidRPr="00724057">
        <w:rPr>
          <w:rFonts w:ascii="Times New Roman" w:eastAsia="Times New Roman" w:hAnsi="Times New Roman" w:cs="Times New Roman"/>
          <w:sz w:val="20"/>
          <w:szCs w:val="20"/>
          <w:lang w:eastAsia="lv-LV"/>
        </w:rPr>
        <w:t>  </w:t>
      </w:r>
    </w:p>
    <w:tbl>
      <w:tblPr>
        <w:tblW w:w="5000" w:type="pct"/>
        <w:jc w:val="center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9055"/>
      </w:tblGrid>
      <w:tr w:rsidR="00D2201B" w:rsidRPr="00894C55" w:rsidTr="00061B68">
        <w:trPr>
          <w:trHeight w:val="288"/>
          <w:jc w:val="center"/>
        </w:trPr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2201B" w:rsidRPr="00894C55" w:rsidRDefault="00D2201B" w:rsidP="00061B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414142"/>
                <w:sz w:val="24"/>
                <w:szCs w:val="24"/>
                <w:lang w:eastAsia="lv-LV"/>
              </w:rPr>
            </w:pPr>
            <w:r w:rsidRPr="00455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III. Tiesību akta projekta ietekme uz valsts budžetu un pašvaldību budžetiem</w:t>
            </w:r>
          </w:p>
        </w:tc>
      </w:tr>
      <w:tr w:rsidR="00D2201B" w:rsidRPr="00DB4949" w:rsidTr="00061B68">
        <w:trPr>
          <w:trHeight w:val="288"/>
          <w:jc w:val="center"/>
        </w:trPr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D2201B" w:rsidRPr="00DB4949" w:rsidRDefault="00D2201B" w:rsidP="00061B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Cs/>
                <w:color w:val="414142"/>
                <w:sz w:val="24"/>
                <w:szCs w:val="24"/>
                <w:lang w:eastAsia="lv-LV"/>
              </w:rPr>
            </w:pPr>
            <w:r w:rsidRPr="004555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Projekts šo jomu </w:t>
            </w:r>
            <w:r w:rsidR="00753C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neietekmē.</w:t>
            </w:r>
          </w:p>
        </w:tc>
      </w:tr>
    </w:tbl>
    <w:p w:rsidR="00D2201B" w:rsidRDefault="00D2201B" w:rsidP="000922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tbl>
      <w:tblPr>
        <w:tblW w:w="5000" w:type="pct"/>
        <w:jc w:val="center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9055"/>
      </w:tblGrid>
      <w:tr w:rsidR="00D2201B" w:rsidRPr="00894C55" w:rsidTr="00061B68">
        <w:trPr>
          <w:trHeight w:val="288"/>
          <w:jc w:val="center"/>
        </w:trPr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2201B" w:rsidRPr="00894C55" w:rsidRDefault="00D2201B" w:rsidP="00D2201B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414142"/>
                <w:sz w:val="24"/>
                <w:szCs w:val="24"/>
                <w:lang w:eastAsia="lv-LV"/>
              </w:rPr>
            </w:pPr>
            <w:r w:rsidRPr="00455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IV</w:t>
            </w:r>
            <w:r w:rsidR="00455500" w:rsidRPr="00455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.</w:t>
            </w:r>
            <w:r w:rsidRPr="00455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Tiesību akta projekta ietekme uz spēkā esošo tiesību normu sistēmu</w:t>
            </w:r>
          </w:p>
        </w:tc>
      </w:tr>
      <w:tr w:rsidR="00D2201B" w:rsidRPr="00DB4949" w:rsidTr="00061B68">
        <w:trPr>
          <w:trHeight w:val="288"/>
          <w:jc w:val="center"/>
        </w:trPr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544732" w:rsidRDefault="00D2201B" w:rsidP="00544732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555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Projekts šo jomu </w:t>
            </w:r>
            <w:r w:rsidR="00753C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neietekmē – Eiropas Savienībā ir spēkā </w:t>
            </w:r>
            <w:r w:rsidR="002E12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regula </w:t>
            </w:r>
            <w:r w:rsidR="002E12E8" w:rsidRPr="00753C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517/2014</w:t>
            </w:r>
            <w:r w:rsidR="00753C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kas paredz pieņemtajiem Monreālas protokola grozījumiem atbilstošu </w:t>
            </w:r>
            <w:proofErr w:type="spellStart"/>
            <w:r w:rsidR="00753CB2" w:rsidRPr="005818C9">
              <w:rPr>
                <w:rFonts w:ascii="Times New Roman" w:hAnsi="Times New Roman" w:cs="Times New Roman"/>
                <w:sz w:val="24"/>
                <w:szCs w:val="24"/>
              </w:rPr>
              <w:t>fluorogļūdeņražu</w:t>
            </w:r>
            <w:proofErr w:type="spellEnd"/>
            <w:r w:rsidR="00753CB2" w:rsidRPr="00581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3CB2">
              <w:rPr>
                <w:rFonts w:ascii="Times New Roman" w:hAnsi="Times New Roman" w:cs="Times New Roman"/>
                <w:sz w:val="24"/>
                <w:szCs w:val="24"/>
              </w:rPr>
              <w:t xml:space="preserve">izmantošanas </w:t>
            </w:r>
            <w:r w:rsidR="00753CB2" w:rsidRPr="005818C9">
              <w:rPr>
                <w:rFonts w:ascii="Times New Roman" w:hAnsi="Times New Roman" w:cs="Times New Roman"/>
                <w:sz w:val="24"/>
                <w:szCs w:val="24"/>
              </w:rPr>
              <w:t>samazināšanu</w:t>
            </w:r>
            <w:r w:rsidR="00753CB2" w:rsidRPr="00753C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5447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un līdz ar to pilnīgu atbilstību Monreālas protokola grozījumiem vismaz līdz 2030.gadam.</w:t>
            </w:r>
          </w:p>
          <w:p w:rsidR="00544732" w:rsidRPr="00DB4949" w:rsidRDefault="00753CB2" w:rsidP="00544732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bCs/>
                <w:color w:val="414142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Savukārt Latvijā </w:t>
            </w:r>
            <w:r w:rsidR="005447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ir spēkā </w:t>
            </w:r>
            <w:r w:rsidR="00544732" w:rsidRPr="005447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Ministru kabineta 2011.gada 12.jūlija noteikum</w:t>
            </w:r>
            <w:r w:rsidR="005447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="00544732" w:rsidRPr="005447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Nr.563 „Noteikumi par īpašiem ierobežojumiem un aizliegumiem attiecībā uz darbībām ar ozona slāni noārdošām vielām un </w:t>
            </w:r>
            <w:proofErr w:type="spellStart"/>
            <w:r w:rsidR="00544732" w:rsidRPr="005447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fluorētām</w:t>
            </w:r>
            <w:proofErr w:type="spellEnd"/>
            <w:r w:rsidR="00544732" w:rsidRPr="005447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siltumnīcefekta gāzēm”</w:t>
            </w:r>
            <w:r w:rsidR="005447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 Minētos noteikumus šī likumprojekta kontekstā grozīt nav nepieciešams.</w:t>
            </w:r>
            <w:r w:rsidR="00544732" w:rsidRPr="005447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</w:tr>
    </w:tbl>
    <w:p w:rsidR="00D2201B" w:rsidRPr="00724057" w:rsidRDefault="00D2201B" w:rsidP="000922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8"/>
        <w:gridCol w:w="2321"/>
        <w:gridCol w:w="6246"/>
      </w:tblGrid>
      <w:tr w:rsidR="00724057" w:rsidRPr="001513B7" w:rsidTr="006B3A7E">
        <w:trPr>
          <w:tblCellSpacing w:w="15" w:type="dxa"/>
        </w:trPr>
        <w:tc>
          <w:tcPr>
            <w:tcW w:w="496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58E7" w:rsidRPr="001513B7" w:rsidRDefault="004758E7" w:rsidP="004758E7">
            <w:pPr>
              <w:spacing w:before="100" w:beforeAutospacing="1" w:after="100" w:afterAutospacing="1" w:line="360" w:lineRule="auto"/>
              <w:ind w:firstLine="3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V.</w:t>
            </w:r>
            <w:r w:rsidR="00D06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  <w:r w:rsidRPr="00151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Tiesību akta projekta atbilstība Latvijas Republikas starptautiskajām saistībām</w:t>
            </w:r>
          </w:p>
        </w:tc>
      </w:tr>
      <w:tr w:rsidR="00724057" w:rsidRPr="001513B7" w:rsidTr="0040530C">
        <w:trPr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B6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Saistības pret Eiropas Savienību</w:t>
            </w:r>
          </w:p>
        </w:tc>
        <w:tc>
          <w:tcPr>
            <w:tcW w:w="3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1111" w:rsidRPr="0040530C" w:rsidRDefault="00544732" w:rsidP="00544732">
            <w:pPr>
              <w:pStyle w:val="naiskr"/>
              <w:ind w:left="100"/>
              <w:jc w:val="both"/>
            </w:pPr>
            <w:r>
              <w:t xml:space="preserve">Šobrīd Eiropas Padomē dienaskārtībā ir priekšlikums Padomes lēmumam par vienošanos grozīt Monreālas protokolu </w:t>
            </w:r>
            <w:r w:rsidRPr="00544732">
              <w:t>par ozona slāni noārdošām vielām</w:t>
            </w:r>
            <w:r>
              <w:t>, kas pieņemta Kigali (Padomes darba dokumenti 5918/17 un 5918/17 ADD1).</w:t>
            </w:r>
          </w:p>
        </w:tc>
      </w:tr>
      <w:tr w:rsidR="00724057" w:rsidRPr="001513B7" w:rsidTr="0040530C">
        <w:trPr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B6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Citas starptautiskās saistības</w:t>
            </w:r>
          </w:p>
        </w:tc>
        <w:tc>
          <w:tcPr>
            <w:tcW w:w="3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40530C" w:rsidRDefault="00544732" w:rsidP="000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447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Vīnes konvencijas par ozona slāņa aizsardzību Monreālas protokola par ozona slāni noārdošām vielām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grozījumu ratificēšana.</w:t>
            </w:r>
          </w:p>
        </w:tc>
      </w:tr>
      <w:tr w:rsidR="00724057" w:rsidRPr="001513B7" w:rsidTr="0040530C">
        <w:trPr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A2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A27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80419F" w:rsidP="00A27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:rsidR="004758E7" w:rsidRPr="00724057" w:rsidRDefault="004758E7" w:rsidP="0078319C">
      <w:pPr>
        <w:spacing w:after="0" w:line="240" w:lineRule="auto"/>
        <w:ind w:firstLine="301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  <w:r w:rsidRPr="00724057">
        <w:rPr>
          <w:rFonts w:ascii="Times New Roman" w:eastAsia="Times New Roman" w:hAnsi="Times New Roman" w:cs="Times New Roman"/>
          <w:sz w:val="20"/>
          <w:szCs w:val="20"/>
          <w:lang w:eastAsia="lv-LV"/>
        </w:rPr>
        <w:t> </w:t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01"/>
        <w:gridCol w:w="1569"/>
        <w:gridCol w:w="2650"/>
        <w:gridCol w:w="2635"/>
      </w:tblGrid>
      <w:tr w:rsidR="00724057" w:rsidRPr="001513B7" w:rsidTr="004758E7">
        <w:trPr>
          <w:tblCellSpacing w:w="15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58E7" w:rsidRPr="001513B7" w:rsidRDefault="004758E7" w:rsidP="004758E7">
            <w:pPr>
              <w:spacing w:before="100" w:beforeAutospacing="1" w:after="100" w:afterAutospacing="1" w:line="360" w:lineRule="auto"/>
              <w:ind w:firstLine="3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1.</w:t>
            </w:r>
            <w:r w:rsidR="00E71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  <w:r w:rsidRPr="00151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tabula</w:t>
            </w:r>
            <w:r w:rsidRPr="00151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br/>
              <w:t>Tiesību akta projekta atbilstība ES tiesību aktiem</w:t>
            </w:r>
          </w:p>
        </w:tc>
      </w:tr>
      <w:tr w:rsidR="00724057" w:rsidRPr="001513B7" w:rsidTr="00544732">
        <w:trPr>
          <w:tblCellSpacing w:w="15" w:type="dxa"/>
          <w:jc w:val="center"/>
        </w:trPr>
        <w:tc>
          <w:tcPr>
            <w:tcW w:w="1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Attiecīgā ES tiesību akta datums, numurs un nosaukums</w:t>
            </w:r>
          </w:p>
        </w:tc>
        <w:tc>
          <w:tcPr>
            <w:tcW w:w="375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1111" w:rsidRDefault="00544732" w:rsidP="0040530C">
            <w:pPr>
              <w:spacing w:before="120" w:after="0" w:line="240" w:lineRule="auto"/>
              <w:ind w:left="17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Likumprojekts šo jomu</w:t>
            </w:r>
            <w:r w:rsidR="00D613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tieši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neskar.</w:t>
            </w:r>
          </w:p>
          <w:p w:rsidR="00D61356" w:rsidRPr="006739F7" w:rsidRDefault="00D61356" w:rsidP="00D61356">
            <w:pPr>
              <w:spacing w:before="120" w:after="0" w:line="240" w:lineRule="auto"/>
              <w:ind w:left="17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>Eiropa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Savienībā, tostarp arī Latvijā, </w:t>
            </w:r>
            <w:proofErr w:type="spellStart"/>
            <w:r w:rsidRPr="005818C9">
              <w:rPr>
                <w:rFonts w:ascii="Times New Roman" w:hAnsi="Times New Roman" w:cs="Times New Roman"/>
                <w:sz w:val="24"/>
                <w:szCs w:val="24"/>
              </w:rPr>
              <w:t>fluorogļūdeņražu</w:t>
            </w:r>
            <w:proofErr w:type="spellEnd"/>
            <w:r w:rsidRPr="00581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izmantošanas 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>samazināšanu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jau tiek risināta ar </w:t>
            </w:r>
            <w:r w:rsidRPr="00753C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Eiropas Parlamenta un Padomes Regul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753C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(ES) Nr. 517/2014 (2014. gada 16. aprīlis) par </w:t>
            </w:r>
            <w:proofErr w:type="spellStart"/>
            <w:r w:rsidRPr="00753C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fluorētām</w:t>
            </w:r>
            <w:proofErr w:type="spellEnd"/>
            <w:r w:rsidRPr="00753C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siltumnīcefekta gāzēm un ar ko atceļ Regulu (EK) Nr. 842/2006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(turpmāk – regula </w:t>
            </w:r>
            <w:r w:rsidRPr="00753C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517/2014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). Regulā paredzētie </w:t>
            </w:r>
            <w:proofErr w:type="spellStart"/>
            <w:r w:rsidRPr="005818C9">
              <w:rPr>
                <w:rFonts w:ascii="Times New Roman" w:hAnsi="Times New Roman" w:cs="Times New Roman"/>
                <w:sz w:val="24"/>
                <w:szCs w:val="24"/>
              </w:rPr>
              <w:t>fluorogļūdeņraž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izmantošanas apjoma soļi un tempi atbilst Monreālas protokola </w:t>
            </w:r>
            <w:r w:rsidRPr="005818C9">
              <w:rPr>
                <w:rFonts w:ascii="Times New Roman" w:hAnsi="Times New Roman" w:cs="Times New Roman"/>
                <w:sz w:val="24"/>
                <w:szCs w:val="24"/>
              </w:rPr>
              <w:t>grozījum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os paredzētajiem. </w:t>
            </w:r>
          </w:p>
        </w:tc>
      </w:tr>
      <w:tr w:rsidR="00A2007A" w:rsidRPr="001513B7" w:rsidTr="00544732">
        <w:trPr>
          <w:tblCellSpacing w:w="15" w:type="dxa"/>
          <w:jc w:val="center"/>
        </w:trPr>
        <w:tc>
          <w:tcPr>
            <w:tcW w:w="1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58E7" w:rsidRPr="001513B7" w:rsidRDefault="004758E7" w:rsidP="004758E7">
            <w:pPr>
              <w:spacing w:before="100" w:beforeAutospacing="1" w:after="100" w:afterAutospacing="1" w:line="360" w:lineRule="auto"/>
              <w:ind w:firstLine="3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</w:p>
        </w:tc>
        <w:tc>
          <w:tcPr>
            <w:tcW w:w="8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58E7" w:rsidRPr="001513B7" w:rsidRDefault="004758E7" w:rsidP="004758E7">
            <w:pPr>
              <w:spacing w:before="100" w:beforeAutospacing="1" w:after="100" w:afterAutospacing="1" w:line="360" w:lineRule="auto"/>
              <w:ind w:firstLine="3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</w:t>
            </w:r>
          </w:p>
        </w:tc>
        <w:tc>
          <w:tcPr>
            <w:tcW w:w="1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58E7" w:rsidRPr="001513B7" w:rsidRDefault="004758E7" w:rsidP="004758E7">
            <w:pPr>
              <w:spacing w:before="100" w:beforeAutospacing="1" w:after="100" w:afterAutospacing="1" w:line="360" w:lineRule="auto"/>
              <w:ind w:firstLine="3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</w:t>
            </w:r>
          </w:p>
        </w:tc>
        <w:tc>
          <w:tcPr>
            <w:tcW w:w="1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58E7" w:rsidRPr="001513B7" w:rsidRDefault="004758E7" w:rsidP="004758E7">
            <w:pPr>
              <w:spacing w:before="100" w:beforeAutospacing="1" w:after="100" w:afterAutospacing="1" w:line="360" w:lineRule="auto"/>
              <w:ind w:firstLine="3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</w:t>
            </w:r>
          </w:p>
        </w:tc>
      </w:tr>
      <w:tr w:rsidR="006540FB" w:rsidRPr="001513B7" w:rsidTr="00544732">
        <w:trPr>
          <w:tblCellSpacing w:w="15" w:type="dxa"/>
          <w:jc w:val="center"/>
        </w:trPr>
        <w:tc>
          <w:tcPr>
            <w:tcW w:w="1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FB" w:rsidRPr="006739F7" w:rsidRDefault="006540FB" w:rsidP="00654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FB" w:rsidRPr="006739F7" w:rsidRDefault="006540FB" w:rsidP="00654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FB" w:rsidRPr="006739F7" w:rsidRDefault="006540FB" w:rsidP="006540FB">
            <w:pPr>
              <w:spacing w:before="100" w:beforeAutospacing="1" w:after="100" w:afterAutospacing="1" w:line="360" w:lineRule="auto"/>
              <w:ind w:firstLine="30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FB" w:rsidRPr="006739F7" w:rsidRDefault="006540FB" w:rsidP="0065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B0F57" w:rsidRPr="001513B7" w:rsidTr="00544732">
        <w:trPr>
          <w:tblCellSpacing w:w="15" w:type="dxa"/>
          <w:jc w:val="center"/>
        </w:trPr>
        <w:tc>
          <w:tcPr>
            <w:tcW w:w="35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0F57" w:rsidRPr="001513B7" w:rsidRDefault="00BB0F57" w:rsidP="00B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Kā ir izmantota ES tiesību aktā paredzētā rīcības brīvība dalībvalstij pārņemt vai ieviest noteiktas ES tiesību akta normas?</w:t>
            </w: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br/>
              <w:t>Kādēļ?</w:t>
            </w:r>
          </w:p>
        </w:tc>
        <w:tc>
          <w:tcPr>
            <w:tcW w:w="1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0F57" w:rsidRPr="001513B7" w:rsidRDefault="00D2201B" w:rsidP="00B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Likump</w:t>
            </w:r>
            <w:r w:rsidR="00BB0F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rojekts šo jomu neskar.</w:t>
            </w:r>
          </w:p>
        </w:tc>
      </w:tr>
      <w:tr w:rsidR="00BB0F57" w:rsidRPr="001513B7" w:rsidTr="00544732">
        <w:trPr>
          <w:tblCellSpacing w:w="15" w:type="dxa"/>
          <w:jc w:val="center"/>
        </w:trPr>
        <w:tc>
          <w:tcPr>
            <w:tcW w:w="35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0F57" w:rsidRPr="001513B7" w:rsidRDefault="00BB0F57" w:rsidP="00B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Saistības sniegt paziņojumu ES institūcijām un ES dalībvalstīm atbilstoši normatīvajiem aktiem, kas regulē informācijas sniegšanu par tehnisko noteikumu, valsts atbalsta piešķiršanas un finanšu noteikumu (attiecībā uz monetāro politiku) projektiem</w:t>
            </w:r>
          </w:p>
        </w:tc>
        <w:tc>
          <w:tcPr>
            <w:tcW w:w="1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0F57" w:rsidRPr="001513B7" w:rsidRDefault="00D2201B" w:rsidP="00B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Likump</w:t>
            </w:r>
            <w:r w:rsidR="00BB0F5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rojekts šo jomu neskar.</w:t>
            </w:r>
          </w:p>
        </w:tc>
      </w:tr>
      <w:tr w:rsidR="00BB0F57" w:rsidRPr="001513B7" w:rsidTr="00544732">
        <w:trPr>
          <w:tblCellSpacing w:w="15" w:type="dxa"/>
          <w:jc w:val="center"/>
        </w:trPr>
        <w:tc>
          <w:tcPr>
            <w:tcW w:w="1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0F57" w:rsidRPr="001513B7" w:rsidRDefault="00BB0F57" w:rsidP="00A27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75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0F57" w:rsidRPr="001513B7" w:rsidRDefault="00BB0F57" w:rsidP="00A272F9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:rsidR="004758E7" w:rsidRPr="001513B7" w:rsidRDefault="004758E7" w:rsidP="0078319C">
      <w:pPr>
        <w:spacing w:after="0" w:line="240" w:lineRule="auto"/>
        <w:ind w:firstLine="301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513B7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0"/>
        <w:gridCol w:w="2762"/>
        <w:gridCol w:w="5803"/>
      </w:tblGrid>
      <w:tr w:rsidR="00724057" w:rsidRPr="001513B7" w:rsidTr="004758E7">
        <w:trPr>
          <w:trHeight w:val="420"/>
          <w:tblCellSpacing w:w="15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58E7" w:rsidRPr="001513B7" w:rsidRDefault="004758E7" w:rsidP="004758E7">
            <w:pPr>
              <w:spacing w:before="100" w:beforeAutospacing="1" w:after="100" w:afterAutospacing="1" w:line="360" w:lineRule="auto"/>
              <w:ind w:firstLine="3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VI.</w:t>
            </w:r>
            <w:r w:rsidR="00E71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  <w:r w:rsidRPr="00151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Sabiedrības līdzdalība un komunikācijas aktivitātes</w:t>
            </w:r>
          </w:p>
        </w:tc>
      </w:tr>
      <w:tr w:rsidR="00724057" w:rsidRPr="001513B7" w:rsidTr="004C5BC5">
        <w:trPr>
          <w:trHeight w:val="540"/>
          <w:tblCellSpacing w:w="15" w:type="dxa"/>
          <w:jc w:val="center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B6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Plānotās sabiedrības līdzdalības un </w:t>
            </w: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komunikācijas aktivitātes saistībā ar projektu</w:t>
            </w:r>
          </w:p>
        </w:tc>
        <w:tc>
          <w:tcPr>
            <w:tcW w:w="3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06C" w:rsidRPr="0040530C" w:rsidRDefault="00E71AD5" w:rsidP="00E71AD5">
            <w:pPr>
              <w:spacing w:after="0" w:line="240" w:lineRule="auto"/>
              <w:ind w:lef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75B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Saskaņā ar Ministru kabineta 2009. gada 25. augusta noteikumu Nr. 970 „Sabiedrības līdzdalības kārtība attīstības plānošanas procesā” 7.4.</w:t>
            </w:r>
            <w:r w:rsidRPr="00E75BD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</w:t>
            </w:r>
            <w:r w:rsidRPr="00E75B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 apakšpunktu </w:t>
            </w:r>
            <w:r w:rsidRPr="00E75B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sabiedrības pārstāvji ir aicināti līdzdarboties, rakstiski </w:t>
            </w:r>
            <w:r w:rsidR="00D2201B" w:rsidRPr="00D220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sniedzot viedokli par likum</w:t>
            </w:r>
            <w:r w:rsidRPr="00E75B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projektu tā izstrādes stadijā. Sabiedrības pārstāvji ir informēti par iespēju līdzdarboties, publicējot paziņojumu par līdzdalības procesu ministrijas tīmekļa vietnē.</w:t>
            </w:r>
          </w:p>
        </w:tc>
      </w:tr>
      <w:tr w:rsidR="00724057" w:rsidRPr="001513B7" w:rsidTr="004C5BC5">
        <w:trPr>
          <w:trHeight w:val="330"/>
          <w:tblCellSpacing w:w="15" w:type="dxa"/>
          <w:jc w:val="center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B6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2.</w:t>
            </w:r>
          </w:p>
        </w:tc>
        <w:tc>
          <w:tcPr>
            <w:tcW w:w="1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līdzdalība projekta izstrādē</w:t>
            </w:r>
          </w:p>
        </w:tc>
        <w:tc>
          <w:tcPr>
            <w:tcW w:w="3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40530C" w:rsidRDefault="00E71AD5" w:rsidP="00544732">
            <w:pPr>
              <w:spacing w:after="0" w:line="240" w:lineRule="auto"/>
              <w:ind w:left="8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Likum</w:t>
            </w:r>
            <w:r w:rsidR="00673585">
              <w:rPr>
                <w:rFonts w:ascii="Times New Roman" w:hAnsi="Times New Roman"/>
                <w:sz w:val="24"/>
                <w:szCs w:val="24"/>
              </w:rPr>
              <w:t>p</w:t>
            </w:r>
            <w:r w:rsidR="00B06C87" w:rsidRPr="0040530C">
              <w:rPr>
                <w:rFonts w:ascii="Times New Roman" w:hAnsi="Times New Roman"/>
                <w:sz w:val="24"/>
                <w:szCs w:val="24"/>
              </w:rPr>
              <w:t xml:space="preserve">rojekts ievietots </w:t>
            </w:r>
            <w:r w:rsidR="00673585">
              <w:rPr>
                <w:rFonts w:ascii="Times New Roman" w:hAnsi="Times New Roman"/>
                <w:sz w:val="24"/>
                <w:szCs w:val="24"/>
              </w:rPr>
              <w:t>Vides aizsardzības un reģionālās attīstības ministrijas</w:t>
            </w:r>
            <w:r w:rsidR="00B06C87" w:rsidRPr="004053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34E7" w:rsidRPr="0040530C">
              <w:rPr>
                <w:rFonts w:ascii="Times New Roman" w:hAnsi="Times New Roman"/>
                <w:sz w:val="24"/>
                <w:szCs w:val="24"/>
              </w:rPr>
              <w:t>tīmekļa vietnē</w:t>
            </w:r>
            <w:r w:rsidR="00D2201B">
              <w:rPr>
                <w:rFonts w:ascii="Times New Roman" w:hAnsi="Times New Roman"/>
                <w:sz w:val="24"/>
                <w:szCs w:val="24"/>
              </w:rPr>
              <w:t>:</w:t>
            </w:r>
            <w:r w:rsidR="001A4F3D">
              <w:rPr>
                <w:rFonts w:ascii="Times New Roman" w:hAnsi="Times New Roman"/>
                <w:sz w:val="24"/>
                <w:szCs w:val="24"/>
              </w:rPr>
              <w:t> varam.gov.lv</w:t>
            </w:r>
            <w:r w:rsidR="005447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4732" w:rsidRPr="003463BD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2017.gada </w:t>
            </w:r>
            <w:proofErr w:type="spellStart"/>
            <w:r w:rsidR="00544732" w:rsidRPr="003463BD">
              <w:rPr>
                <w:rFonts w:ascii="Times New Roman" w:hAnsi="Times New Roman"/>
                <w:sz w:val="24"/>
                <w:szCs w:val="24"/>
                <w:highlight w:val="yellow"/>
              </w:rPr>
              <w:t>xx.martā</w:t>
            </w:r>
            <w:proofErr w:type="spellEnd"/>
            <w:r w:rsidR="00D2201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724057" w:rsidRPr="001513B7" w:rsidTr="004C5BC5">
        <w:trPr>
          <w:trHeight w:val="465"/>
          <w:tblCellSpacing w:w="15" w:type="dxa"/>
          <w:jc w:val="center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B6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līdzdalības rezultāti</w:t>
            </w:r>
          </w:p>
        </w:tc>
        <w:tc>
          <w:tcPr>
            <w:tcW w:w="3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D2201B" w:rsidP="001C3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Viedokļi un k</w:t>
            </w:r>
            <w:r w:rsidR="00F534E7">
              <w:rPr>
                <w:rFonts w:ascii="Times New Roman" w:hAnsi="Times New Roman"/>
                <w:sz w:val="24"/>
                <w:szCs w:val="24"/>
              </w:rPr>
              <w:t xml:space="preserve">omentāri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līdz šim brīdim no sabiedrības nav </w:t>
            </w:r>
            <w:r w:rsidR="00F534E7">
              <w:rPr>
                <w:rFonts w:ascii="Times New Roman" w:hAnsi="Times New Roman"/>
                <w:sz w:val="24"/>
                <w:szCs w:val="24"/>
              </w:rPr>
              <w:t>saņemti.</w:t>
            </w:r>
          </w:p>
        </w:tc>
      </w:tr>
      <w:tr w:rsidR="00724057" w:rsidRPr="001513B7" w:rsidTr="00A272F9">
        <w:trPr>
          <w:trHeight w:val="297"/>
          <w:tblCellSpacing w:w="15" w:type="dxa"/>
          <w:jc w:val="center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A2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A27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895D5C" w:rsidP="00A27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:rsidR="00D2201B" w:rsidRPr="00A272F9" w:rsidRDefault="004758E7" w:rsidP="00092241">
      <w:pPr>
        <w:spacing w:after="0" w:line="240" w:lineRule="auto"/>
        <w:ind w:firstLine="301"/>
        <w:rPr>
          <w:rFonts w:ascii="Times New Roman" w:eastAsia="Times New Roman" w:hAnsi="Times New Roman" w:cs="Times New Roman"/>
          <w:sz w:val="16"/>
          <w:szCs w:val="16"/>
          <w:lang w:eastAsia="lv-LV"/>
        </w:rPr>
      </w:pPr>
      <w:r w:rsidRPr="00A272F9">
        <w:rPr>
          <w:rFonts w:ascii="Times New Roman" w:eastAsia="Times New Roman" w:hAnsi="Times New Roman" w:cs="Times New Roman"/>
          <w:sz w:val="16"/>
          <w:szCs w:val="16"/>
          <w:lang w:eastAsia="lv-LV"/>
        </w:rPr>
        <w:t> </w:t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3"/>
        <w:gridCol w:w="2902"/>
        <w:gridCol w:w="5660"/>
      </w:tblGrid>
      <w:tr w:rsidR="00724057" w:rsidRPr="001513B7" w:rsidTr="004758E7">
        <w:trPr>
          <w:trHeight w:val="375"/>
          <w:tblCellSpacing w:w="15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58E7" w:rsidRPr="001513B7" w:rsidRDefault="004758E7" w:rsidP="004758E7">
            <w:pPr>
              <w:spacing w:before="100" w:beforeAutospacing="1" w:after="100" w:afterAutospacing="1" w:line="360" w:lineRule="auto"/>
              <w:ind w:firstLine="3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VII. Tiesību akta projekta izpildes nodrošināšana un tās ietekme uz institūcijām</w:t>
            </w:r>
          </w:p>
        </w:tc>
      </w:tr>
      <w:tr w:rsidR="00724057" w:rsidRPr="001513B7" w:rsidTr="00092241">
        <w:trPr>
          <w:trHeight w:val="420"/>
          <w:tblCellSpacing w:w="15" w:type="dxa"/>
          <w:jc w:val="center"/>
        </w:trPr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B6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47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izpildē iesaistītās institūcijas</w:t>
            </w:r>
          </w:p>
        </w:tc>
        <w:tc>
          <w:tcPr>
            <w:tcW w:w="3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0AA" w:rsidRDefault="008600AA" w:rsidP="00F5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Ārlietu ministrija, kam jāiesniedz konvencijas depozitārijā ratifikācijas raksts.</w:t>
            </w:r>
          </w:p>
          <w:p w:rsidR="004758E7" w:rsidRPr="001513B7" w:rsidRDefault="008600AA" w:rsidP="00F5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Pērējās institūcijas netiek ietekmētas.</w:t>
            </w:r>
          </w:p>
        </w:tc>
      </w:tr>
      <w:tr w:rsidR="00724057" w:rsidRPr="001513B7" w:rsidTr="00092241">
        <w:trPr>
          <w:trHeight w:val="450"/>
          <w:tblCellSpacing w:w="15" w:type="dxa"/>
          <w:jc w:val="center"/>
        </w:trPr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B6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Default="004758E7" w:rsidP="00132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izpildes ietekme uz pārvaldes funkcij</w:t>
            </w:r>
            <w:r w:rsidR="00132223"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ām un institucionālo struktūru.</w:t>
            </w:r>
          </w:p>
          <w:p w:rsidR="00673585" w:rsidRPr="0045708C" w:rsidRDefault="00673585" w:rsidP="00673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570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Jaunu institūciju izveide, esošu institūciju likvidācija vai reorga</w:t>
            </w:r>
            <w:r w:rsidRPr="004570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softHyphen/>
              <w:t>nizācija, to ietekme uz institūcijas cilvēkresursiem.</w:t>
            </w:r>
          </w:p>
        </w:tc>
        <w:tc>
          <w:tcPr>
            <w:tcW w:w="3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585" w:rsidRPr="001513B7" w:rsidRDefault="00673585" w:rsidP="0075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570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Saistībā ar </w:t>
            </w:r>
            <w:r w:rsidR="00D220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likum</w:t>
            </w:r>
            <w:r w:rsidRPr="00CB66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izpildi nav nepieciešamas veidot jaunas institūcijas, likvidēt vai reorganizēt esošās.</w:t>
            </w:r>
          </w:p>
        </w:tc>
      </w:tr>
      <w:tr w:rsidR="004758E7" w:rsidRPr="001513B7" w:rsidTr="00A272F9">
        <w:trPr>
          <w:trHeight w:val="259"/>
          <w:tblCellSpacing w:w="15" w:type="dxa"/>
          <w:jc w:val="center"/>
        </w:trPr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B6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4758E7" w:rsidP="00A27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58E7" w:rsidRPr="001513B7" w:rsidRDefault="00132223" w:rsidP="00A27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513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:rsidR="00803059" w:rsidRPr="0099370D" w:rsidRDefault="00803059">
      <w:pPr>
        <w:rPr>
          <w:rFonts w:ascii="Times New Roman" w:hAnsi="Times New Roman" w:cs="Times New Roman"/>
          <w:sz w:val="24"/>
          <w:szCs w:val="24"/>
        </w:rPr>
      </w:pPr>
    </w:p>
    <w:p w:rsidR="0099370D" w:rsidRPr="0099370D" w:rsidRDefault="0099370D" w:rsidP="00803059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99370D">
        <w:rPr>
          <w:rFonts w:ascii="Times New Roman" w:hAnsi="Times New Roman" w:cs="Times New Roman"/>
          <w:sz w:val="24"/>
          <w:szCs w:val="24"/>
        </w:rPr>
        <w:t xml:space="preserve">Vides aizsardzības un </w:t>
      </w:r>
    </w:p>
    <w:p w:rsidR="0099370D" w:rsidRDefault="0099370D" w:rsidP="00803059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99370D">
        <w:rPr>
          <w:rFonts w:ascii="Times New Roman" w:hAnsi="Times New Roman" w:cs="Times New Roman"/>
          <w:sz w:val="24"/>
          <w:szCs w:val="24"/>
        </w:rPr>
        <w:t>reģionālās attīstības ministrs</w:t>
      </w:r>
      <w:r w:rsidRPr="0099370D">
        <w:rPr>
          <w:rFonts w:ascii="Times New Roman" w:hAnsi="Times New Roman" w:cs="Times New Roman"/>
          <w:sz w:val="24"/>
          <w:szCs w:val="24"/>
        </w:rPr>
        <w:tab/>
      </w:r>
      <w:r w:rsidRPr="0099370D">
        <w:rPr>
          <w:rFonts w:ascii="Times New Roman" w:hAnsi="Times New Roman" w:cs="Times New Roman"/>
          <w:sz w:val="24"/>
          <w:szCs w:val="24"/>
        </w:rPr>
        <w:tab/>
      </w:r>
      <w:r w:rsidRPr="0099370D">
        <w:rPr>
          <w:rFonts w:ascii="Times New Roman" w:hAnsi="Times New Roman" w:cs="Times New Roman"/>
          <w:sz w:val="24"/>
          <w:szCs w:val="24"/>
        </w:rPr>
        <w:tab/>
      </w:r>
      <w:r w:rsidRPr="0099370D">
        <w:rPr>
          <w:rFonts w:ascii="Times New Roman" w:hAnsi="Times New Roman" w:cs="Times New Roman"/>
          <w:sz w:val="24"/>
          <w:szCs w:val="24"/>
        </w:rPr>
        <w:tab/>
      </w:r>
      <w:r w:rsidRPr="0099370D">
        <w:rPr>
          <w:rFonts w:ascii="Times New Roman" w:hAnsi="Times New Roman" w:cs="Times New Roman"/>
          <w:sz w:val="24"/>
          <w:szCs w:val="24"/>
        </w:rPr>
        <w:tab/>
      </w:r>
      <w:r w:rsidRPr="0099370D">
        <w:rPr>
          <w:rFonts w:ascii="Times New Roman" w:hAnsi="Times New Roman" w:cs="Times New Roman"/>
          <w:sz w:val="24"/>
          <w:szCs w:val="24"/>
        </w:rPr>
        <w:tab/>
      </w:r>
      <w:r w:rsidR="0098314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9370D">
        <w:rPr>
          <w:rFonts w:ascii="Times New Roman" w:hAnsi="Times New Roman" w:cs="Times New Roman"/>
          <w:sz w:val="24"/>
          <w:szCs w:val="24"/>
        </w:rPr>
        <w:t>K.</w:t>
      </w:r>
      <w:r w:rsidR="00D2201B">
        <w:rPr>
          <w:rFonts w:ascii="Times New Roman" w:hAnsi="Times New Roman" w:cs="Times New Roman"/>
          <w:sz w:val="24"/>
          <w:szCs w:val="24"/>
        </w:rPr>
        <w:t> </w:t>
      </w:r>
      <w:r w:rsidRPr="0099370D">
        <w:rPr>
          <w:rFonts w:ascii="Times New Roman" w:hAnsi="Times New Roman" w:cs="Times New Roman"/>
          <w:sz w:val="24"/>
          <w:szCs w:val="24"/>
        </w:rPr>
        <w:t>Gerhards</w:t>
      </w:r>
    </w:p>
    <w:p w:rsidR="00D2201B" w:rsidRDefault="00D2201B" w:rsidP="00803059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D2201B" w:rsidRDefault="00D2201B" w:rsidP="00803059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Vides aizsardzības un reģionālās</w:t>
      </w:r>
    </w:p>
    <w:p w:rsidR="0099370D" w:rsidRPr="0099370D" w:rsidRDefault="00D2201B" w:rsidP="00C800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attīstības ministrijas valsts sekretārs                                                              </w:t>
      </w:r>
      <w:r w:rsidR="00C800E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R. Muciņš</w:t>
      </w:r>
      <w:r w:rsidR="0099370D" w:rsidRPr="0099370D">
        <w:rPr>
          <w:rFonts w:ascii="Times New Roman" w:hAnsi="Times New Roman" w:cs="Times New Roman"/>
          <w:sz w:val="24"/>
          <w:szCs w:val="24"/>
        </w:rPr>
        <w:tab/>
      </w:r>
      <w:r w:rsidR="0099370D" w:rsidRPr="0099370D">
        <w:rPr>
          <w:rFonts w:ascii="Times New Roman" w:hAnsi="Times New Roman" w:cs="Times New Roman"/>
          <w:sz w:val="24"/>
          <w:szCs w:val="24"/>
        </w:rPr>
        <w:tab/>
      </w:r>
      <w:r w:rsidR="0099370D" w:rsidRPr="0099370D">
        <w:rPr>
          <w:rFonts w:ascii="Times New Roman" w:hAnsi="Times New Roman" w:cs="Times New Roman"/>
          <w:sz w:val="24"/>
          <w:szCs w:val="24"/>
        </w:rPr>
        <w:tab/>
      </w:r>
      <w:r w:rsidR="0099370D" w:rsidRPr="0099370D">
        <w:rPr>
          <w:rFonts w:ascii="Times New Roman" w:hAnsi="Times New Roman" w:cs="Times New Roman"/>
          <w:sz w:val="24"/>
          <w:szCs w:val="24"/>
        </w:rPr>
        <w:tab/>
      </w:r>
      <w:r w:rsidR="0099370D" w:rsidRPr="0099370D">
        <w:rPr>
          <w:rFonts w:ascii="Times New Roman" w:hAnsi="Times New Roman" w:cs="Times New Roman"/>
          <w:sz w:val="24"/>
          <w:szCs w:val="24"/>
        </w:rPr>
        <w:tab/>
      </w:r>
      <w:r w:rsidR="0099370D" w:rsidRPr="0099370D">
        <w:rPr>
          <w:rFonts w:ascii="Times New Roman" w:hAnsi="Times New Roman" w:cs="Times New Roman"/>
          <w:sz w:val="24"/>
          <w:szCs w:val="24"/>
        </w:rPr>
        <w:tab/>
      </w:r>
      <w:r w:rsidR="0099370D" w:rsidRPr="0099370D">
        <w:rPr>
          <w:rFonts w:ascii="Times New Roman" w:hAnsi="Times New Roman" w:cs="Times New Roman"/>
          <w:sz w:val="24"/>
          <w:szCs w:val="24"/>
        </w:rPr>
        <w:tab/>
      </w:r>
    </w:p>
    <w:p w:rsidR="00803059" w:rsidRDefault="00803059" w:rsidP="009937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72F9" w:rsidRDefault="00A272F9" w:rsidP="009937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51EF1" w:rsidRDefault="008600AA" w:rsidP="009937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Pļavinskis</w:t>
      </w:r>
      <w:r w:rsidR="00D2201B">
        <w:rPr>
          <w:rFonts w:ascii="Times New Roman" w:hAnsi="Times New Roman" w:cs="Times New Roman"/>
          <w:sz w:val="20"/>
          <w:szCs w:val="20"/>
        </w:rPr>
        <w:t xml:space="preserve"> 6702</w:t>
      </w:r>
      <w:r w:rsidR="00051EF1">
        <w:rPr>
          <w:rFonts w:ascii="Times New Roman" w:hAnsi="Times New Roman" w:cs="Times New Roman"/>
          <w:sz w:val="20"/>
          <w:szCs w:val="20"/>
        </w:rPr>
        <w:t>65</w:t>
      </w:r>
      <w:r>
        <w:rPr>
          <w:rFonts w:ascii="Times New Roman" w:hAnsi="Times New Roman" w:cs="Times New Roman"/>
          <w:sz w:val="20"/>
          <w:szCs w:val="20"/>
        </w:rPr>
        <w:t>09</w:t>
      </w:r>
    </w:p>
    <w:p w:rsidR="000E1650" w:rsidRPr="000E1650" w:rsidRDefault="008600AA" w:rsidP="000E16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Janis.Plavinskis</w:t>
      </w:r>
      <w:r w:rsidR="00051EF1">
        <w:rPr>
          <w:rFonts w:ascii="Times New Roman" w:hAnsi="Times New Roman" w:cs="Times New Roman"/>
          <w:sz w:val="20"/>
          <w:szCs w:val="20"/>
        </w:rPr>
        <w:t>@varam.gov.lv</w:t>
      </w:r>
    </w:p>
    <w:sectPr w:rsidR="000E1650" w:rsidRPr="000E1650" w:rsidSect="00E1706F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C2F" w:rsidRDefault="00212C2F" w:rsidP="00E1706F">
      <w:pPr>
        <w:spacing w:after="0" w:line="240" w:lineRule="auto"/>
      </w:pPr>
      <w:r>
        <w:separator/>
      </w:r>
    </w:p>
  </w:endnote>
  <w:endnote w:type="continuationSeparator" w:id="0">
    <w:p w:rsidR="00212C2F" w:rsidRDefault="00212C2F" w:rsidP="00E17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MFNG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EB1" w:rsidRPr="0045708C" w:rsidRDefault="00C520F3" w:rsidP="0045708C">
    <w:pPr>
      <w:pStyle w:val="Footer"/>
      <w:jc w:val="both"/>
      <w:rPr>
        <w:rFonts w:ascii="Times New Roman" w:hAnsi="Times New Roman" w:cs="Times New Roman"/>
        <w:sz w:val="20"/>
        <w:szCs w:val="20"/>
      </w:rPr>
    </w:pPr>
    <w:r w:rsidRPr="00C520F3">
      <w:rPr>
        <w:rFonts w:ascii="Times New Roman" w:hAnsi="Times New Roman" w:cs="Times New Roman"/>
        <w:sz w:val="20"/>
        <w:szCs w:val="20"/>
      </w:rPr>
      <w:t>VARAMAnot_270617_MP-Kigali</w:t>
    </w:r>
    <w:r w:rsidR="00512EB1" w:rsidRPr="0045708C">
      <w:rPr>
        <w:rFonts w:ascii="Times New Roman" w:hAnsi="Times New Roman" w:cs="Times New Roman"/>
        <w:sz w:val="20"/>
        <w:szCs w:val="20"/>
      </w:rPr>
      <w:t>;</w:t>
    </w:r>
    <w:r w:rsidR="00512EB1" w:rsidRPr="00652119">
      <w:rPr>
        <w:rFonts w:ascii="Times New Roman" w:hAnsi="Times New Roman" w:cs="Times New Roman"/>
      </w:rPr>
      <w:t xml:space="preserve"> </w:t>
    </w:r>
    <w:r w:rsidR="005B478A" w:rsidRPr="005B478A">
      <w:rPr>
        <w:rFonts w:ascii="Times New Roman" w:hAnsi="Times New Roman" w:cs="Times New Roman"/>
        <w:sz w:val="20"/>
        <w:szCs w:val="20"/>
      </w:rPr>
      <w:t>Likumprojekta „Par Vīnes konvencijas par ozona slāņa aizsardzību Monreālas protokola par ozona slāni noārdošām vielām grozījumiem” sākotnējās ietekmes novērtējuma ziņojums (anotācija)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EB1" w:rsidRPr="006540FB" w:rsidRDefault="00C520F3" w:rsidP="006540FB">
    <w:pPr>
      <w:pStyle w:val="Footer"/>
      <w:jc w:val="both"/>
      <w:rPr>
        <w:rFonts w:ascii="Times New Roman" w:hAnsi="Times New Roman" w:cs="Times New Roman"/>
        <w:sz w:val="20"/>
        <w:szCs w:val="20"/>
      </w:rPr>
    </w:pPr>
    <w:r w:rsidRPr="00C520F3">
      <w:rPr>
        <w:rFonts w:ascii="Times New Roman" w:hAnsi="Times New Roman" w:cs="Times New Roman"/>
        <w:sz w:val="20"/>
        <w:szCs w:val="20"/>
      </w:rPr>
      <w:t>VARAMAnot_270617_MP-Kigali</w:t>
    </w:r>
    <w:r w:rsidR="006540FB" w:rsidRPr="0045708C">
      <w:rPr>
        <w:rFonts w:ascii="Times New Roman" w:hAnsi="Times New Roman" w:cs="Times New Roman"/>
        <w:sz w:val="20"/>
        <w:szCs w:val="20"/>
      </w:rPr>
      <w:t>;</w:t>
    </w:r>
    <w:r w:rsidR="006540FB" w:rsidRPr="00652119">
      <w:rPr>
        <w:rFonts w:ascii="Times New Roman" w:hAnsi="Times New Roman" w:cs="Times New Roman"/>
      </w:rPr>
      <w:t xml:space="preserve"> </w:t>
    </w:r>
    <w:r w:rsidR="005B478A" w:rsidRPr="005B478A">
      <w:rPr>
        <w:rFonts w:ascii="Times New Roman" w:hAnsi="Times New Roman" w:cs="Times New Roman"/>
        <w:sz w:val="20"/>
        <w:szCs w:val="20"/>
      </w:rPr>
      <w:t>Likumprojekta „Par Vīnes konvencijas par ozona slāņa aizsardzību Monreālas protokola par ozona slāni noārdošām vielām grozījumiem” sākotnējās ietekmes novērtējuma ziņojums (anotācija)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C2F" w:rsidRDefault="00212C2F" w:rsidP="00E1706F">
      <w:pPr>
        <w:spacing w:after="0" w:line="240" w:lineRule="auto"/>
      </w:pPr>
      <w:r>
        <w:separator/>
      </w:r>
    </w:p>
  </w:footnote>
  <w:footnote w:type="continuationSeparator" w:id="0">
    <w:p w:rsidR="00212C2F" w:rsidRDefault="00212C2F" w:rsidP="00E17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9951810"/>
      <w:docPartObj>
        <w:docPartGallery w:val="Page Numbers (Top of Page)"/>
        <w:docPartUnique/>
      </w:docPartObj>
    </w:sdtPr>
    <w:sdtEndPr>
      <w:rPr>
        <w:noProof/>
      </w:rPr>
    </w:sdtEndPr>
    <w:sdtContent>
      <w:p w:rsidR="00512EB1" w:rsidRDefault="007F2DE3">
        <w:pPr>
          <w:pStyle w:val="Header"/>
          <w:jc w:val="center"/>
        </w:pPr>
        <w:r>
          <w:fldChar w:fldCharType="begin"/>
        </w:r>
        <w:r w:rsidR="00512EB1">
          <w:instrText xml:space="preserve"> PAGE   \* MERGEFORMAT </w:instrText>
        </w:r>
        <w:r>
          <w:fldChar w:fldCharType="separate"/>
        </w:r>
        <w:r w:rsidR="00C520F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12EB1" w:rsidRDefault="00512EB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803C7"/>
    <w:multiLevelType w:val="hybridMultilevel"/>
    <w:tmpl w:val="3078D68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96E94"/>
    <w:multiLevelType w:val="hybridMultilevel"/>
    <w:tmpl w:val="2F06438E"/>
    <w:lvl w:ilvl="0" w:tplc="6A2C717A">
      <w:start w:val="1"/>
      <w:numFmt w:val="bullet"/>
      <w:lvlText w:val="-"/>
      <w:lvlJc w:val="left"/>
      <w:pPr>
        <w:ind w:left="720" w:hanging="360"/>
      </w:pPr>
      <w:rPr>
        <w:rFonts w:ascii="NMFNGA+TimesNewRoman,Bold" w:eastAsia="Calibri" w:hAnsi="NMFNGA+TimesNewRoman,Bold" w:cs="NMFNGA+TimesNewRoman,Bold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65AE6"/>
    <w:multiLevelType w:val="hybridMultilevel"/>
    <w:tmpl w:val="1D744F24"/>
    <w:lvl w:ilvl="0" w:tplc="BA6C57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21389"/>
    <w:multiLevelType w:val="hybridMultilevel"/>
    <w:tmpl w:val="2FB6CA8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C0B9D"/>
    <w:multiLevelType w:val="multilevel"/>
    <w:tmpl w:val="8E4C606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25AB565F"/>
    <w:multiLevelType w:val="hybridMultilevel"/>
    <w:tmpl w:val="979CBE1A"/>
    <w:lvl w:ilvl="0" w:tplc="0426000F">
      <w:start w:val="1"/>
      <w:numFmt w:val="decimal"/>
      <w:lvlText w:val="%1."/>
      <w:lvlJc w:val="left"/>
      <w:pPr>
        <w:ind w:left="987" w:hanging="360"/>
      </w:pPr>
    </w:lvl>
    <w:lvl w:ilvl="1" w:tplc="04260019" w:tentative="1">
      <w:start w:val="1"/>
      <w:numFmt w:val="lowerLetter"/>
      <w:lvlText w:val="%2."/>
      <w:lvlJc w:val="left"/>
      <w:pPr>
        <w:ind w:left="1707" w:hanging="360"/>
      </w:pPr>
    </w:lvl>
    <w:lvl w:ilvl="2" w:tplc="0426001B" w:tentative="1">
      <w:start w:val="1"/>
      <w:numFmt w:val="lowerRoman"/>
      <w:lvlText w:val="%3."/>
      <w:lvlJc w:val="right"/>
      <w:pPr>
        <w:ind w:left="2427" w:hanging="180"/>
      </w:pPr>
    </w:lvl>
    <w:lvl w:ilvl="3" w:tplc="0426000F" w:tentative="1">
      <w:start w:val="1"/>
      <w:numFmt w:val="decimal"/>
      <w:lvlText w:val="%4."/>
      <w:lvlJc w:val="left"/>
      <w:pPr>
        <w:ind w:left="3147" w:hanging="360"/>
      </w:pPr>
    </w:lvl>
    <w:lvl w:ilvl="4" w:tplc="04260019" w:tentative="1">
      <w:start w:val="1"/>
      <w:numFmt w:val="lowerLetter"/>
      <w:lvlText w:val="%5."/>
      <w:lvlJc w:val="left"/>
      <w:pPr>
        <w:ind w:left="3867" w:hanging="360"/>
      </w:pPr>
    </w:lvl>
    <w:lvl w:ilvl="5" w:tplc="0426001B" w:tentative="1">
      <w:start w:val="1"/>
      <w:numFmt w:val="lowerRoman"/>
      <w:lvlText w:val="%6."/>
      <w:lvlJc w:val="right"/>
      <w:pPr>
        <w:ind w:left="4587" w:hanging="180"/>
      </w:pPr>
    </w:lvl>
    <w:lvl w:ilvl="6" w:tplc="0426000F" w:tentative="1">
      <w:start w:val="1"/>
      <w:numFmt w:val="decimal"/>
      <w:lvlText w:val="%7."/>
      <w:lvlJc w:val="left"/>
      <w:pPr>
        <w:ind w:left="5307" w:hanging="360"/>
      </w:pPr>
    </w:lvl>
    <w:lvl w:ilvl="7" w:tplc="04260019" w:tentative="1">
      <w:start w:val="1"/>
      <w:numFmt w:val="lowerLetter"/>
      <w:lvlText w:val="%8."/>
      <w:lvlJc w:val="left"/>
      <w:pPr>
        <w:ind w:left="6027" w:hanging="360"/>
      </w:pPr>
    </w:lvl>
    <w:lvl w:ilvl="8" w:tplc="0426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 w15:restartNumberingAfterBreak="0">
    <w:nsid w:val="27226E50"/>
    <w:multiLevelType w:val="hybridMultilevel"/>
    <w:tmpl w:val="4A72800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36537"/>
    <w:multiLevelType w:val="hybridMultilevel"/>
    <w:tmpl w:val="FD042C86"/>
    <w:lvl w:ilvl="0" w:tplc="C10EC5CE">
      <w:numFmt w:val="bullet"/>
      <w:lvlText w:val="-"/>
      <w:lvlJc w:val="left"/>
      <w:pPr>
        <w:ind w:left="403" w:hanging="12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8" w15:restartNumberingAfterBreak="0">
    <w:nsid w:val="3E4775DD"/>
    <w:multiLevelType w:val="hybridMultilevel"/>
    <w:tmpl w:val="CEAA0822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C787D"/>
    <w:multiLevelType w:val="multilevel"/>
    <w:tmpl w:val="444478DA"/>
    <w:lvl w:ilvl="0">
      <w:start w:val="2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5"/>
        </w:tabs>
        <w:ind w:left="1515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35"/>
        </w:tabs>
        <w:ind w:left="223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 w15:restartNumberingAfterBreak="0">
    <w:nsid w:val="4F320141"/>
    <w:multiLevelType w:val="hybridMultilevel"/>
    <w:tmpl w:val="1E4A7A2C"/>
    <w:lvl w:ilvl="0" w:tplc="E884919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47D004E"/>
    <w:multiLevelType w:val="hybridMultilevel"/>
    <w:tmpl w:val="CD1EB03C"/>
    <w:lvl w:ilvl="0" w:tplc="BA6C57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002F5E"/>
    <w:multiLevelType w:val="hybridMultilevel"/>
    <w:tmpl w:val="E2CC5A60"/>
    <w:lvl w:ilvl="0" w:tplc="BA18B6F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1"/>
  </w:num>
  <w:num w:numId="5">
    <w:abstractNumId w:val="7"/>
  </w:num>
  <w:num w:numId="6">
    <w:abstractNumId w:val="1"/>
  </w:num>
  <w:num w:numId="7">
    <w:abstractNumId w:val="10"/>
  </w:num>
  <w:num w:numId="8">
    <w:abstractNumId w:val="4"/>
  </w:num>
  <w:num w:numId="9">
    <w:abstractNumId w:val="9"/>
  </w:num>
  <w:num w:numId="10">
    <w:abstractNumId w:val="12"/>
  </w:num>
  <w:num w:numId="11">
    <w:abstractNumId w:val="8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E7"/>
    <w:rsid w:val="000010D8"/>
    <w:rsid w:val="000014D1"/>
    <w:rsid w:val="00005549"/>
    <w:rsid w:val="00006990"/>
    <w:rsid w:val="00010763"/>
    <w:rsid w:val="00031ABD"/>
    <w:rsid w:val="0003602B"/>
    <w:rsid w:val="00036B0C"/>
    <w:rsid w:val="00043787"/>
    <w:rsid w:val="00046B91"/>
    <w:rsid w:val="00051831"/>
    <w:rsid w:val="00051EF1"/>
    <w:rsid w:val="00055515"/>
    <w:rsid w:val="00066499"/>
    <w:rsid w:val="00075141"/>
    <w:rsid w:val="0007580E"/>
    <w:rsid w:val="00076EC4"/>
    <w:rsid w:val="00083598"/>
    <w:rsid w:val="000901D6"/>
    <w:rsid w:val="00092241"/>
    <w:rsid w:val="00094D0D"/>
    <w:rsid w:val="000C0CC7"/>
    <w:rsid w:val="000C19B1"/>
    <w:rsid w:val="000C4989"/>
    <w:rsid w:val="000C6988"/>
    <w:rsid w:val="000C716D"/>
    <w:rsid w:val="000C7886"/>
    <w:rsid w:val="000D6906"/>
    <w:rsid w:val="000D6AA5"/>
    <w:rsid w:val="000D7A74"/>
    <w:rsid w:val="000E1650"/>
    <w:rsid w:val="000F1B5B"/>
    <w:rsid w:val="000F1EAE"/>
    <w:rsid w:val="00100B38"/>
    <w:rsid w:val="00102DA3"/>
    <w:rsid w:val="00106A23"/>
    <w:rsid w:val="001106FC"/>
    <w:rsid w:val="00110B6B"/>
    <w:rsid w:val="00112B7C"/>
    <w:rsid w:val="00116DEC"/>
    <w:rsid w:val="00121C90"/>
    <w:rsid w:val="00125677"/>
    <w:rsid w:val="00127AC4"/>
    <w:rsid w:val="00132223"/>
    <w:rsid w:val="00132854"/>
    <w:rsid w:val="001343B7"/>
    <w:rsid w:val="001347CA"/>
    <w:rsid w:val="00134CF8"/>
    <w:rsid w:val="0014011A"/>
    <w:rsid w:val="00144ADA"/>
    <w:rsid w:val="001513B7"/>
    <w:rsid w:val="00151F9D"/>
    <w:rsid w:val="001718CF"/>
    <w:rsid w:val="00175653"/>
    <w:rsid w:val="0017582F"/>
    <w:rsid w:val="0018128E"/>
    <w:rsid w:val="001854F1"/>
    <w:rsid w:val="0018693F"/>
    <w:rsid w:val="00187F64"/>
    <w:rsid w:val="00194433"/>
    <w:rsid w:val="001A19B5"/>
    <w:rsid w:val="001A4F3D"/>
    <w:rsid w:val="001B63B8"/>
    <w:rsid w:val="001C0FE9"/>
    <w:rsid w:val="001C39DA"/>
    <w:rsid w:val="001E0966"/>
    <w:rsid w:val="001E46C1"/>
    <w:rsid w:val="00201350"/>
    <w:rsid w:val="00211CC3"/>
    <w:rsid w:val="00212C2F"/>
    <w:rsid w:val="002276A7"/>
    <w:rsid w:val="002465BA"/>
    <w:rsid w:val="00246F96"/>
    <w:rsid w:val="00252408"/>
    <w:rsid w:val="00266BC9"/>
    <w:rsid w:val="00272BE5"/>
    <w:rsid w:val="002810E4"/>
    <w:rsid w:val="002838EA"/>
    <w:rsid w:val="002A0993"/>
    <w:rsid w:val="002B347A"/>
    <w:rsid w:val="002B4EB0"/>
    <w:rsid w:val="002C22EE"/>
    <w:rsid w:val="002C2DBA"/>
    <w:rsid w:val="002C31A9"/>
    <w:rsid w:val="002D7677"/>
    <w:rsid w:val="002E12E8"/>
    <w:rsid w:val="002E483E"/>
    <w:rsid w:val="002F0CA9"/>
    <w:rsid w:val="00311D82"/>
    <w:rsid w:val="00316195"/>
    <w:rsid w:val="003213DE"/>
    <w:rsid w:val="00337D52"/>
    <w:rsid w:val="0034447A"/>
    <w:rsid w:val="003463BD"/>
    <w:rsid w:val="00360C42"/>
    <w:rsid w:val="0036222C"/>
    <w:rsid w:val="00374CD5"/>
    <w:rsid w:val="00376A2B"/>
    <w:rsid w:val="00377A3B"/>
    <w:rsid w:val="00383B77"/>
    <w:rsid w:val="00383E48"/>
    <w:rsid w:val="00384BA8"/>
    <w:rsid w:val="00385A5C"/>
    <w:rsid w:val="00385F41"/>
    <w:rsid w:val="003915F5"/>
    <w:rsid w:val="0039440C"/>
    <w:rsid w:val="00396A27"/>
    <w:rsid w:val="003A131B"/>
    <w:rsid w:val="003A49FC"/>
    <w:rsid w:val="003A5B09"/>
    <w:rsid w:val="003B1D77"/>
    <w:rsid w:val="003B4B4F"/>
    <w:rsid w:val="003B7448"/>
    <w:rsid w:val="003C41E0"/>
    <w:rsid w:val="003C42C6"/>
    <w:rsid w:val="003E3CBA"/>
    <w:rsid w:val="0040309B"/>
    <w:rsid w:val="0040530C"/>
    <w:rsid w:val="0041775B"/>
    <w:rsid w:val="004205F9"/>
    <w:rsid w:val="0042282C"/>
    <w:rsid w:val="00422990"/>
    <w:rsid w:val="00423464"/>
    <w:rsid w:val="00423FD0"/>
    <w:rsid w:val="004338AF"/>
    <w:rsid w:val="00434861"/>
    <w:rsid w:val="004472DC"/>
    <w:rsid w:val="00455500"/>
    <w:rsid w:val="0045708C"/>
    <w:rsid w:val="00466CDF"/>
    <w:rsid w:val="00470662"/>
    <w:rsid w:val="004758E7"/>
    <w:rsid w:val="00481368"/>
    <w:rsid w:val="0048186E"/>
    <w:rsid w:val="00485D81"/>
    <w:rsid w:val="0049043A"/>
    <w:rsid w:val="004949A8"/>
    <w:rsid w:val="004A4195"/>
    <w:rsid w:val="004A4978"/>
    <w:rsid w:val="004C2C4D"/>
    <w:rsid w:val="004C34B2"/>
    <w:rsid w:val="004C5BC5"/>
    <w:rsid w:val="004D0BDD"/>
    <w:rsid w:val="004E2A28"/>
    <w:rsid w:val="004E39EE"/>
    <w:rsid w:val="004E71D0"/>
    <w:rsid w:val="004F00D6"/>
    <w:rsid w:val="004F7813"/>
    <w:rsid w:val="004F7B0E"/>
    <w:rsid w:val="00512EB1"/>
    <w:rsid w:val="005137E9"/>
    <w:rsid w:val="0053137B"/>
    <w:rsid w:val="00532A9F"/>
    <w:rsid w:val="0054112B"/>
    <w:rsid w:val="00541231"/>
    <w:rsid w:val="00544732"/>
    <w:rsid w:val="005471B8"/>
    <w:rsid w:val="00557A09"/>
    <w:rsid w:val="0056265E"/>
    <w:rsid w:val="00562C80"/>
    <w:rsid w:val="00564222"/>
    <w:rsid w:val="00566333"/>
    <w:rsid w:val="00566AAE"/>
    <w:rsid w:val="00571961"/>
    <w:rsid w:val="00572C38"/>
    <w:rsid w:val="005818C9"/>
    <w:rsid w:val="005923B2"/>
    <w:rsid w:val="005A5E2E"/>
    <w:rsid w:val="005B2024"/>
    <w:rsid w:val="005B333B"/>
    <w:rsid w:val="005B478A"/>
    <w:rsid w:val="005B6ACF"/>
    <w:rsid w:val="005D135B"/>
    <w:rsid w:val="005D4312"/>
    <w:rsid w:val="005D519B"/>
    <w:rsid w:val="005E3368"/>
    <w:rsid w:val="005E52A0"/>
    <w:rsid w:val="005F100D"/>
    <w:rsid w:val="005F1FB9"/>
    <w:rsid w:val="005F6414"/>
    <w:rsid w:val="005F7E7B"/>
    <w:rsid w:val="006016D2"/>
    <w:rsid w:val="00602228"/>
    <w:rsid w:val="00603BF3"/>
    <w:rsid w:val="00607CEA"/>
    <w:rsid w:val="006103C3"/>
    <w:rsid w:val="00611715"/>
    <w:rsid w:val="00613944"/>
    <w:rsid w:val="00622DFA"/>
    <w:rsid w:val="00624924"/>
    <w:rsid w:val="00626DB7"/>
    <w:rsid w:val="00627BA3"/>
    <w:rsid w:val="006313CD"/>
    <w:rsid w:val="00652119"/>
    <w:rsid w:val="006522CC"/>
    <w:rsid w:val="006540FB"/>
    <w:rsid w:val="00661DFC"/>
    <w:rsid w:val="006633EA"/>
    <w:rsid w:val="00665FE5"/>
    <w:rsid w:val="00673585"/>
    <w:rsid w:val="006739F7"/>
    <w:rsid w:val="00682B84"/>
    <w:rsid w:val="0068561E"/>
    <w:rsid w:val="00692324"/>
    <w:rsid w:val="00694248"/>
    <w:rsid w:val="00695C15"/>
    <w:rsid w:val="006A176B"/>
    <w:rsid w:val="006A4123"/>
    <w:rsid w:val="006A6862"/>
    <w:rsid w:val="006B29EE"/>
    <w:rsid w:val="006B3A7E"/>
    <w:rsid w:val="006B4295"/>
    <w:rsid w:val="006B7C6D"/>
    <w:rsid w:val="006D0693"/>
    <w:rsid w:val="006D3EFA"/>
    <w:rsid w:val="006D64D3"/>
    <w:rsid w:val="006F7C08"/>
    <w:rsid w:val="007048F1"/>
    <w:rsid w:val="007078D8"/>
    <w:rsid w:val="00713B11"/>
    <w:rsid w:val="00724057"/>
    <w:rsid w:val="00725206"/>
    <w:rsid w:val="00734BF4"/>
    <w:rsid w:val="007356F9"/>
    <w:rsid w:val="00735D3D"/>
    <w:rsid w:val="007506AB"/>
    <w:rsid w:val="00753CB2"/>
    <w:rsid w:val="007557EF"/>
    <w:rsid w:val="00762E19"/>
    <w:rsid w:val="00777101"/>
    <w:rsid w:val="007801C4"/>
    <w:rsid w:val="00780457"/>
    <w:rsid w:val="0078319C"/>
    <w:rsid w:val="00785678"/>
    <w:rsid w:val="00785DBE"/>
    <w:rsid w:val="00790DA5"/>
    <w:rsid w:val="007948D5"/>
    <w:rsid w:val="007A60A7"/>
    <w:rsid w:val="007B3178"/>
    <w:rsid w:val="007B4F4F"/>
    <w:rsid w:val="007B5ACD"/>
    <w:rsid w:val="007B6047"/>
    <w:rsid w:val="007C4F23"/>
    <w:rsid w:val="007D6B88"/>
    <w:rsid w:val="007D71F8"/>
    <w:rsid w:val="007F2445"/>
    <w:rsid w:val="007F2DE3"/>
    <w:rsid w:val="007F4F6A"/>
    <w:rsid w:val="00803059"/>
    <w:rsid w:val="0080419F"/>
    <w:rsid w:val="00806730"/>
    <w:rsid w:val="00827E04"/>
    <w:rsid w:val="00830E38"/>
    <w:rsid w:val="008465FA"/>
    <w:rsid w:val="0084685A"/>
    <w:rsid w:val="008600AA"/>
    <w:rsid w:val="00862B7A"/>
    <w:rsid w:val="00862D97"/>
    <w:rsid w:val="0086592A"/>
    <w:rsid w:val="0087262F"/>
    <w:rsid w:val="00873E47"/>
    <w:rsid w:val="0087799E"/>
    <w:rsid w:val="0088321E"/>
    <w:rsid w:val="008842A5"/>
    <w:rsid w:val="00892948"/>
    <w:rsid w:val="00895D5C"/>
    <w:rsid w:val="008B3B09"/>
    <w:rsid w:val="008E27FD"/>
    <w:rsid w:val="008E5CEE"/>
    <w:rsid w:val="008E6450"/>
    <w:rsid w:val="008F4CC2"/>
    <w:rsid w:val="009021E7"/>
    <w:rsid w:val="009129E1"/>
    <w:rsid w:val="00912CB0"/>
    <w:rsid w:val="00915FBB"/>
    <w:rsid w:val="00926776"/>
    <w:rsid w:val="00937F93"/>
    <w:rsid w:val="00942361"/>
    <w:rsid w:val="00947D9B"/>
    <w:rsid w:val="00953DEB"/>
    <w:rsid w:val="0096579A"/>
    <w:rsid w:val="00971B29"/>
    <w:rsid w:val="009734AD"/>
    <w:rsid w:val="0098314D"/>
    <w:rsid w:val="00984066"/>
    <w:rsid w:val="0099370D"/>
    <w:rsid w:val="00994E83"/>
    <w:rsid w:val="00997FE1"/>
    <w:rsid w:val="009A191B"/>
    <w:rsid w:val="009A23C0"/>
    <w:rsid w:val="009B1777"/>
    <w:rsid w:val="009B753F"/>
    <w:rsid w:val="009C071C"/>
    <w:rsid w:val="009C7336"/>
    <w:rsid w:val="009E429F"/>
    <w:rsid w:val="009F1D5E"/>
    <w:rsid w:val="009F7100"/>
    <w:rsid w:val="00A2007A"/>
    <w:rsid w:val="00A223C0"/>
    <w:rsid w:val="00A24B9B"/>
    <w:rsid w:val="00A272F9"/>
    <w:rsid w:val="00A30B2C"/>
    <w:rsid w:val="00A54606"/>
    <w:rsid w:val="00A54F87"/>
    <w:rsid w:val="00A61D17"/>
    <w:rsid w:val="00A71BDC"/>
    <w:rsid w:val="00A728C3"/>
    <w:rsid w:val="00A809B0"/>
    <w:rsid w:val="00A933B3"/>
    <w:rsid w:val="00AA14BA"/>
    <w:rsid w:val="00AA1A5E"/>
    <w:rsid w:val="00AA30CB"/>
    <w:rsid w:val="00AA39B7"/>
    <w:rsid w:val="00AB01FD"/>
    <w:rsid w:val="00AB06C1"/>
    <w:rsid w:val="00AB2454"/>
    <w:rsid w:val="00AB4A68"/>
    <w:rsid w:val="00AD1FA6"/>
    <w:rsid w:val="00AD3F20"/>
    <w:rsid w:val="00AE2B89"/>
    <w:rsid w:val="00AE620C"/>
    <w:rsid w:val="00AF729D"/>
    <w:rsid w:val="00B0014C"/>
    <w:rsid w:val="00B0223F"/>
    <w:rsid w:val="00B06C87"/>
    <w:rsid w:val="00B14313"/>
    <w:rsid w:val="00B2739E"/>
    <w:rsid w:val="00B30661"/>
    <w:rsid w:val="00B34D04"/>
    <w:rsid w:val="00B36925"/>
    <w:rsid w:val="00B4288B"/>
    <w:rsid w:val="00B51CD6"/>
    <w:rsid w:val="00B54490"/>
    <w:rsid w:val="00B63A7B"/>
    <w:rsid w:val="00B71A62"/>
    <w:rsid w:val="00B75380"/>
    <w:rsid w:val="00B75ADB"/>
    <w:rsid w:val="00B92406"/>
    <w:rsid w:val="00B93FA2"/>
    <w:rsid w:val="00B961E7"/>
    <w:rsid w:val="00BA1378"/>
    <w:rsid w:val="00BA15D5"/>
    <w:rsid w:val="00BB0A88"/>
    <w:rsid w:val="00BB0F57"/>
    <w:rsid w:val="00BB4000"/>
    <w:rsid w:val="00BC24E8"/>
    <w:rsid w:val="00BC7CCD"/>
    <w:rsid w:val="00BD4253"/>
    <w:rsid w:val="00BE0527"/>
    <w:rsid w:val="00BE38CE"/>
    <w:rsid w:val="00BF2E23"/>
    <w:rsid w:val="00C07660"/>
    <w:rsid w:val="00C22F8D"/>
    <w:rsid w:val="00C25009"/>
    <w:rsid w:val="00C31724"/>
    <w:rsid w:val="00C4306C"/>
    <w:rsid w:val="00C4318A"/>
    <w:rsid w:val="00C47030"/>
    <w:rsid w:val="00C4784D"/>
    <w:rsid w:val="00C5179E"/>
    <w:rsid w:val="00C520F3"/>
    <w:rsid w:val="00C60CFF"/>
    <w:rsid w:val="00C66070"/>
    <w:rsid w:val="00C75955"/>
    <w:rsid w:val="00C800EE"/>
    <w:rsid w:val="00C902D7"/>
    <w:rsid w:val="00C916E5"/>
    <w:rsid w:val="00C92FE1"/>
    <w:rsid w:val="00C95BA1"/>
    <w:rsid w:val="00C976E2"/>
    <w:rsid w:val="00CA1A04"/>
    <w:rsid w:val="00CD7091"/>
    <w:rsid w:val="00CD7DAB"/>
    <w:rsid w:val="00CE34BB"/>
    <w:rsid w:val="00CF6AFF"/>
    <w:rsid w:val="00D06D89"/>
    <w:rsid w:val="00D1127B"/>
    <w:rsid w:val="00D2201B"/>
    <w:rsid w:val="00D220D7"/>
    <w:rsid w:val="00D34F94"/>
    <w:rsid w:val="00D52D85"/>
    <w:rsid w:val="00D54925"/>
    <w:rsid w:val="00D56FE7"/>
    <w:rsid w:val="00D61356"/>
    <w:rsid w:val="00D74725"/>
    <w:rsid w:val="00D77F1F"/>
    <w:rsid w:val="00D81C1E"/>
    <w:rsid w:val="00D86675"/>
    <w:rsid w:val="00D869E7"/>
    <w:rsid w:val="00D92D90"/>
    <w:rsid w:val="00DB07C7"/>
    <w:rsid w:val="00DB1EA0"/>
    <w:rsid w:val="00DB77BA"/>
    <w:rsid w:val="00DC3371"/>
    <w:rsid w:val="00DC50B1"/>
    <w:rsid w:val="00DC7542"/>
    <w:rsid w:val="00DD2D23"/>
    <w:rsid w:val="00DD4BBE"/>
    <w:rsid w:val="00DF31AA"/>
    <w:rsid w:val="00E01111"/>
    <w:rsid w:val="00E12877"/>
    <w:rsid w:val="00E1706F"/>
    <w:rsid w:val="00E1725E"/>
    <w:rsid w:val="00E2197E"/>
    <w:rsid w:val="00E25E75"/>
    <w:rsid w:val="00E34C34"/>
    <w:rsid w:val="00E47C23"/>
    <w:rsid w:val="00E52D2F"/>
    <w:rsid w:val="00E561C8"/>
    <w:rsid w:val="00E60E14"/>
    <w:rsid w:val="00E630D2"/>
    <w:rsid w:val="00E65B78"/>
    <w:rsid w:val="00E71AD5"/>
    <w:rsid w:val="00E75BD3"/>
    <w:rsid w:val="00E84CE2"/>
    <w:rsid w:val="00E8797F"/>
    <w:rsid w:val="00EA2B0C"/>
    <w:rsid w:val="00EA4898"/>
    <w:rsid w:val="00EB29B7"/>
    <w:rsid w:val="00EC0B4F"/>
    <w:rsid w:val="00EC39F4"/>
    <w:rsid w:val="00EC5EF0"/>
    <w:rsid w:val="00EC63BB"/>
    <w:rsid w:val="00ED3E95"/>
    <w:rsid w:val="00ED5975"/>
    <w:rsid w:val="00ED71D7"/>
    <w:rsid w:val="00EE0732"/>
    <w:rsid w:val="00EF1295"/>
    <w:rsid w:val="00EF27AD"/>
    <w:rsid w:val="00F04005"/>
    <w:rsid w:val="00F319AF"/>
    <w:rsid w:val="00F330FF"/>
    <w:rsid w:val="00F3657A"/>
    <w:rsid w:val="00F534E7"/>
    <w:rsid w:val="00F579B3"/>
    <w:rsid w:val="00F60193"/>
    <w:rsid w:val="00F67049"/>
    <w:rsid w:val="00F81BA5"/>
    <w:rsid w:val="00F81BEE"/>
    <w:rsid w:val="00F81F51"/>
    <w:rsid w:val="00F82C96"/>
    <w:rsid w:val="00F840A3"/>
    <w:rsid w:val="00F91AF3"/>
    <w:rsid w:val="00FA0490"/>
    <w:rsid w:val="00FA1EAC"/>
    <w:rsid w:val="00FB2ACA"/>
    <w:rsid w:val="00FB3CAC"/>
    <w:rsid w:val="00FB57B4"/>
    <w:rsid w:val="00FC1411"/>
    <w:rsid w:val="00FC7162"/>
    <w:rsid w:val="00FD143C"/>
    <w:rsid w:val="00FD205C"/>
    <w:rsid w:val="00FE000B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124D086-72CB-4253-AFE2-F06A90B6E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1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abojumupamats1">
    <w:name w:val="labojumu_pamats1"/>
    <w:basedOn w:val="Normal"/>
    <w:rsid w:val="004758E7"/>
    <w:pPr>
      <w:spacing w:before="45" w:after="0" w:line="360" w:lineRule="auto"/>
      <w:ind w:firstLine="300"/>
    </w:pPr>
    <w:rPr>
      <w:rFonts w:ascii="Times New Roman" w:eastAsia="Times New Roman" w:hAnsi="Times New Roman" w:cs="Times New Roman"/>
      <w:i/>
      <w:iCs/>
      <w:color w:val="414142"/>
      <w:sz w:val="20"/>
      <w:szCs w:val="20"/>
      <w:lang w:eastAsia="lv-LV"/>
    </w:rPr>
  </w:style>
  <w:style w:type="paragraph" w:styleId="ListParagraph">
    <w:name w:val="List Paragraph"/>
    <w:basedOn w:val="Normal"/>
    <w:uiPriority w:val="34"/>
    <w:qFormat/>
    <w:rsid w:val="00862D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706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06F"/>
  </w:style>
  <w:style w:type="paragraph" w:styleId="Footer">
    <w:name w:val="footer"/>
    <w:basedOn w:val="Normal"/>
    <w:link w:val="FooterChar"/>
    <w:uiPriority w:val="99"/>
    <w:unhideWhenUsed/>
    <w:rsid w:val="00E1706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706F"/>
  </w:style>
  <w:style w:type="character" w:styleId="Hyperlink">
    <w:name w:val="Hyperlink"/>
    <w:rsid w:val="002276A7"/>
    <w:rPr>
      <w:rFonts w:cs="Times New Roman"/>
      <w:color w:val="0000FF"/>
      <w:u w:val="single"/>
    </w:rPr>
  </w:style>
  <w:style w:type="paragraph" w:customStyle="1" w:styleId="tv213">
    <w:name w:val="tv213"/>
    <w:basedOn w:val="Normal"/>
    <w:rsid w:val="00227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noteText">
    <w:name w:val="footnote text"/>
    <w:basedOn w:val="Normal"/>
    <w:link w:val="FootnoteTextChar"/>
    <w:semiHidden/>
    <w:unhideWhenUsed/>
    <w:rsid w:val="002276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customStyle="1" w:styleId="FootnoteTextChar">
    <w:name w:val="Footnote Text Char"/>
    <w:basedOn w:val="DefaultParagraphFont"/>
    <w:link w:val="FootnoteText"/>
    <w:semiHidden/>
    <w:rsid w:val="002276A7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styleId="FootnoteReference">
    <w:name w:val="footnote reference"/>
    <w:uiPriority w:val="99"/>
    <w:semiHidden/>
    <w:unhideWhenUsed/>
    <w:rsid w:val="002276A7"/>
    <w:rPr>
      <w:vertAlign w:val="superscript"/>
    </w:rPr>
  </w:style>
  <w:style w:type="paragraph" w:styleId="Title">
    <w:name w:val="Title"/>
    <w:basedOn w:val="Normal"/>
    <w:link w:val="TitleChar"/>
    <w:qFormat/>
    <w:rsid w:val="002276A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2276A7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2276A7"/>
    <w:pPr>
      <w:autoSpaceDE w:val="0"/>
      <w:autoSpaceDN w:val="0"/>
      <w:adjustRightInd w:val="0"/>
      <w:spacing w:after="0" w:line="240" w:lineRule="auto"/>
    </w:pPr>
    <w:rPr>
      <w:rFonts w:ascii="NMFNGA+TimesNewRoman,Bold" w:eastAsia="Times New Roman" w:hAnsi="NMFNGA+TimesNewRoman,Bold" w:cs="NMFNGA+TimesNewRoman,Bold"/>
      <w:color w:val="000000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3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F2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D3F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3F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3F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3F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3F20"/>
    <w:rPr>
      <w:b/>
      <w:bCs/>
      <w:sz w:val="20"/>
      <w:szCs w:val="20"/>
    </w:rPr>
  </w:style>
  <w:style w:type="paragraph" w:customStyle="1" w:styleId="naiskr">
    <w:name w:val="naiskr"/>
    <w:basedOn w:val="Normal"/>
    <w:rsid w:val="006B3A7E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Strong">
    <w:name w:val="Strong"/>
    <w:basedOn w:val="DefaultParagraphFont"/>
    <w:uiPriority w:val="22"/>
    <w:qFormat/>
    <w:rsid w:val="00A272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9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2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3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7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6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66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54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6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657032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153855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172DA-FCF2-41E4-BC78-20802054A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5104</Words>
  <Characters>2910</Characters>
  <Application>Microsoft Office Word</Application>
  <DocSecurity>0</DocSecurity>
  <Lines>24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Dagnija Jirgensone</dc:creator>
  <cp:lastModifiedBy>Jānis Pļavinskis</cp:lastModifiedBy>
  <cp:revision>7</cp:revision>
  <cp:lastPrinted>2017-02-16T10:49:00Z</cp:lastPrinted>
  <dcterms:created xsi:type="dcterms:W3CDTF">2017-03-14T09:40:00Z</dcterms:created>
  <dcterms:modified xsi:type="dcterms:W3CDTF">2017-06-27T12:22:00Z</dcterms:modified>
</cp:coreProperties>
</file>