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D5" w:rsidRPr="003350E9" w:rsidRDefault="00A55DD5" w:rsidP="003350E9">
      <w:pPr>
        <w:pStyle w:val="naisc"/>
        <w:spacing w:before="0" w:after="0"/>
        <w:jc w:val="right"/>
        <w:rPr>
          <w:bCs/>
          <w:i/>
        </w:rPr>
      </w:pPr>
      <w:r w:rsidRPr="003350E9">
        <w:rPr>
          <w:bCs/>
          <w:i/>
        </w:rPr>
        <w:t>Projekts</w:t>
      </w:r>
    </w:p>
    <w:p w:rsidR="00A55DD5" w:rsidRPr="003350E9" w:rsidRDefault="00A55DD5" w:rsidP="003350E9">
      <w:pPr>
        <w:pStyle w:val="naisc"/>
        <w:spacing w:before="0" w:after="0"/>
        <w:rPr>
          <w:b/>
          <w:bCs/>
        </w:rPr>
      </w:pPr>
      <w:r w:rsidRPr="003350E9">
        <w:rPr>
          <w:b/>
        </w:rPr>
        <w:t xml:space="preserve"> </w:t>
      </w:r>
      <w:r w:rsidRPr="003350E9">
        <w:rPr>
          <w:b/>
          <w:bCs/>
        </w:rPr>
        <w:t xml:space="preserve">Likumprojekta </w:t>
      </w:r>
    </w:p>
    <w:p w:rsidR="00A55DD5" w:rsidRPr="003350E9" w:rsidRDefault="00A55DD5" w:rsidP="003350E9">
      <w:pPr>
        <w:pStyle w:val="naisc"/>
        <w:spacing w:before="0" w:after="0"/>
        <w:rPr>
          <w:b/>
          <w:bCs/>
        </w:rPr>
      </w:pPr>
      <w:r w:rsidRPr="003350E9">
        <w:rPr>
          <w:b/>
          <w:bCs/>
        </w:rPr>
        <w:t xml:space="preserve">“Grozījumi </w:t>
      </w:r>
      <w:r w:rsidR="003350E9">
        <w:rPr>
          <w:b/>
          <w:bCs/>
        </w:rPr>
        <w:t>Saeimas vēlēšanu likumā</w:t>
      </w:r>
      <w:r w:rsidRPr="003350E9">
        <w:rPr>
          <w:b/>
          <w:bCs/>
        </w:rPr>
        <w:t xml:space="preserve">” </w:t>
      </w:r>
    </w:p>
    <w:p w:rsidR="00A55DD5" w:rsidRPr="003350E9" w:rsidRDefault="00A55DD5" w:rsidP="003350E9">
      <w:pPr>
        <w:pStyle w:val="naisc"/>
        <w:spacing w:before="0" w:after="0"/>
        <w:rPr>
          <w:b/>
          <w:bCs/>
        </w:rPr>
      </w:pPr>
      <w:r w:rsidRPr="003350E9">
        <w:rPr>
          <w:b/>
          <w:bCs/>
        </w:rPr>
        <w:t xml:space="preserve">sākotnējās ietekmes novērtējuma </w:t>
      </w:r>
      <w:smartTag w:uri="schemas-tilde-lv/tildestengine" w:element="veidnes">
        <w:smartTagPr>
          <w:attr w:name="text" w:val="ziņojums"/>
          <w:attr w:name="baseform" w:val="ziņojums"/>
          <w:attr w:name="id" w:val="-1"/>
        </w:smartTagPr>
        <w:r w:rsidRPr="003350E9">
          <w:rPr>
            <w:b/>
            <w:bCs/>
          </w:rPr>
          <w:t>ziņojums</w:t>
        </w:r>
      </w:smartTag>
      <w:r w:rsidRPr="003350E9">
        <w:rPr>
          <w:b/>
          <w:bCs/>
        </w:rPr>
        <w:t xml:space="preserve"> (anotācija)</w:t>
      </w:r>
    </w:p>
    <w:p w:rsidR="00A55DD5" w:rsidRPr="003350E9" w:rsidRDefault="00A55DD5" w:rsidP="003350E9">
      <w:pPr>
        <w:spacing w:after="0" w:line="240" w:lineRule="auto"/>
        <w:jc w:val="center"/>
        <w:rPr>
          <w:rFonts w:ascii="Times New Roman" w:eastAsia="Times New Roman" w:hAnsi="Times New Roman"/>
          <w:b/>
          <w:bCs/>
          <w:sz w:val="24"/>
          <w:szCs w:val="24"/>
          <w:lang w:eastAsia="lv-LV"/>
        </w:rPr>
      </w:pPr>
    </w:p>
    <w:p w:rsidR="00A55DD5" w:rsidRPr="003350E9" w:rsidRDefault="00A55DD5" w:rsidP="003350E9">
      <w:pPr>
        <w:shd w:val="clear" w:color="auto" w:fill="FFFFFF"/>
        <w:spacing w:after="0" w:line="240" w:lineRule="auto"/>
        <w:ind w:firstLine="300"/>
        <w:jc w:val="center"/>
        <w:rPr>
          <w:rFonts w:ascii="Times New Roman" w:eastAsia="Times New Roman" w:hAnsi="Times New Roman"/>
          <w:iCs/>
          <w:sz w:val="24"/>
          <w:szCs w:val="24"/>
          <w:lang w:eastAsia="lv-LV"/>
        </w:rPr>
      </w:pPr>
    </w:p>
    <w:tbl>
      <w:tblPr>
        <w:tblW w:w="5522" w:type="pct"/>
        <w:tblInd w:w="-51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60"/>
        <w:gridCol w:w="2250"/>
        <w:gridCol w:w="6790"/>
      </w:tblGrid>
      <w:tr w:rsidR="00A55DD5" w:rsidRPr="003350E9" w:rsidTr="006861BD">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55DD5" w:rsidRPr="003350E9" w:rsidRDefault="00A55DD5" w:rsidP="003350E9">
            <w:pPr>
              <w:spacing w:after="0" w:line="240" w:lineRule="auto"/>
              <w:jc w:val="center"/>
              <w:rPr>
                <w:rFonts w:ascii="Times New Roman" w:eastAsia="Times New Roman" w:hAnsi="Times New Roman"/>
                <w:b/>
                <w:bCs/>
                <w:sz w:val="24"/>
                <w:szCs w:val="24"/>
                <w:lang w:eastAsia="lv-LV"/>
              </w:rPr>
            </w:pPr>
            <w:r w:rsidRPr="003350E9">
              <w:rPr>
                <w:rFonts w:ascii="Times New Roman" w:eastAsia="Times New Roman" w:hAnsi="Times New Roman"/>
                <w:b/>
                <w:bCs/>
                <w:sz w:val="24"/>
                <w:szCs w:val="24"/>
                <w:lang w:eastAsia="lv-LV"/>
              </w:rPr>
              <w:t>I. Tiesību akta projekta izstrādes nepieciešamība</w:t>
            </w:r>
          </w:p>
        </w:tc>
      </w:tr>
      <w:tr w:rsidR="00A55DD5" w:rsidRPr="003350E9" w:rsidTr="006861BD">
        <w:trPr>
          <w:trHeight w:val="405"/>
        </w:trPr>
        <w:tc>
          <w:tcPr>
            <w:tcW w:w="480"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1.</w:t>
            </w:r>
          </w:p>
        </w:tc>
        <w:tc>
          <w:tcPr>
            <w:tcW w:w="1125"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Pamatojums</w:t>
            </w:r>
          </w:p>
        </w:tc>
        <w:tc>
          <w:tcPr>
            <w:tcW w:w="3395" w:type="pct"/>
            <w:tcBorders>
              <w:top w:val="outset" w:sz="6" w:space="0" w:color="414142"/>
              <w:left w:val="outset" w:sz="6" w:space="0" w:color="414142"/>
              <w:bottom w:val="outset" w:sz="6" w:space="0" w:color="414142"/>
              <w:right w:val="outset" w:sz="6" w:space="0" w:color="414142"/>
            </w:tcBorders>
          </w:tcPr>
          <w:p w:rsidR="00C75FBD" w:rsidRPr="00C75FBD" w:rsidRDefault="00C75FBD" w:rsidP="003350E9">
            <w:pPr>
              <w:spacing w:after="0" w:line="240" w:lineRule="auto"/>
              <w:ind w:firstLine="851"/>
              <w:jc w:val="both"/>
              <w:rPr>
                <w:rFonts w:ascii="Times New Roman" w:eastAsia="Times New Roman" w:hAnsi="Times New Roman"/>
                <w:color w:val="2A2A2A"/>
                <w:sz w:val="24"/>
                <w:szCs w:val="24"/>
                <w:lang w:eastAsia="lv-LV"/>
              </w:rPr>
            </w:pPr>
            <w:r w:rsidRPr="003350E9">
              <w:rPr>
                <w:rFonts w:ascii="Times New Roman" w:eastAsia="Times New Roman" w:hAnsi="Times New Roman"/>
                <w:color w:val="2A2A2A"/>
                <w:sz w:val="24"/>
                <w:szCs w:val="24"/>
                <w:lang w:eastAsia="lv-LV"/>
              </w:rPr>
              <w:t>Likumprojekts “Grozījumi Saeimas vēlēšanu likumā“</w:t>
            </w:r>
            <w:r w:rsidR="00BF5194" w:rsidRPr="003350E9">
              <w:rPr>
                <w:rFonts w:ascii="Times New Roman" w:eastAsia="Times New Roman" w:hAnsi="Times New Roman"/>
                <w:color w:val="2A2A2A"/>
                <w:sz w:val="24"/>
                <w:szCs w:val="24"/>
                <w:lang w:eastAsia="lv-LV"/>
              </w:rPr>
              <w:t xml:space="preserve"> (turpmāk – likumprojekts)</w:t>
            </w:r>
            <w:r w:rsidRPr="00C75FBD">
              <w:rPr>
                <w:rFonts w:ascii="Times New Roman" w:eastAsia="Times New Roman" w:hAnsi="Times New Roman"/>
                <w:color w:val="2A2A2A"/>
                <w:sz w:val="24"/>
                <w:szCs w:val="24"/>
                <w:lang w:eastAsia="lv-LV"/>
              </w:rPr>
              <w:t xml:space="preserve"> </w:t>
            </w:r>
            <w:r w:rsidRPr="003350E9">
              <w:rPr>
                <w:rFonts w:ascii="Times New Roman" w:eastAsia="Times New Roman" w:hAnsi="Times New Roman"/>
                <w:sz w:val="24"/>
                <w:szCs w:val="24"/>
                <w:lang w:eastAsia="lv-LV"/>
              </w:rPr>
              <w:t>izstrādāts s</w:t>
            </w:r>
            <w:r w:rsidRPr="00C75FBD">
              <w:rPr>
                <w:rFonts w:ascii="Times New Roman" w:eastAsia="Times New Roman" w:hAnsi="Times New Roman"/>
                <w:sz w:val="24"/>
                <w:szCs w:val="24"/>
                <w:lang w:eastAsia="lv-LV"/>
              </w:rPr>
              <w:t xml:space="preserve">askaņā ar 2016. gada 8. novembra Ministru kabineta </w:t>
            </w:r>
            <w:proofErr w:type="spellStart"/>
            <w:r w:rsidRPr="00C75FBD">
              <w:rPr>
                <w:rFonts w:ascii="Times New Roman" w:eastAsia="Times New Roman" w:hAnsi="Times New Roman"/>
                <w:sz w:val="24"/>
                <w:szCs w:val="24"/>
                <w:lang w:eastAsia="lv-LV"/>
              </w:rPr>
              <w:t>protokollēmuma</w:t>
            </w:r>
            <w:proofErr w:type="spellEnd"/>
            <w:r w:rsidRPr="00C75FBD">
              <w:rPr>
                <w:rFonts w:ascii="Times New Roman" w:eastAsia="Times New Roman" w:hAnsi="Times New Roman"/>
                <w:sz w:val="24"/>
                <w:szCs w:val="24"/>
                <w:lang w:eastAsia="lv-LV"/>
              </w:rPr>
              <w:t xml:space="preserve"> Nr. 60 62.§ “Informatīvais ziņojums “</w:t>
            </w:r>
            <w:r w:rsidRPr="00C75FBD">
              <w:rPr>
                <w:rFonts w:ascii="Times New Roman" w:eastAsia="Times New Roman" w:hAnsi="Times New Roman"/>
                <w:color w:val="2A2A2A"/>
                <w:sz w:val="24"/>
                <w:szCs w:val="24"/>
                <w:lang w:eastAsia="lv-LV"/>
              </w:rPr>
              <w:t>Par iespējamiem finansēšanas risinājumiem sertifikācijas pakalpojumu nodrošināšanai personu apliecībās (</w:t>
            </w:r>
            <w:proofErr w:type="spellStart"/>
            <w:r w:rsidRPr="00C75FBD">
              <w:rPr>
                <w:rFonts w:ascii="Times New Roman" w:eastAsia="Times New Roman" w:hAnsi="Times New Roman"/>
                <w:color w:val="2A2A2A"/>
                <w:sz w:val="24"/>
                <w:szCs w:val="24"/>
                <w:lang w:eastAsia="lv-LV"/>
              </w:rPr>
              <w:t>eID</w:t>
            </w:r>
            <w:proofErr w:type="spellEnd"/>
            <w:r w:rsidRPr="00C75FBD">
              <w:rPr>
                <w:rFonts w:ascii="Times New Roman" w:eastAsia="Times New Roman" w:hAnsi="Times New Roman"/>
                <w:color w:val="2A2A2A"/>
                <w:sz w:val="24"/>
                <w:szCs w:val="24"/>
                <w:lang w:eastAsia="lv-LV"/>
              </w:rPr>
              <w:t>) un to, kā vienotu un prioritāru līdzekli personas elektroniskās identitātes nodrošināšanai</w:t>
            </w:r>
            <w:r w:rsidRPr="00C75FBD">
              <w:rPr>
                <w:rFonts w:ascii="Times New Roman" w:eastAsia="Times New Roman" w:hAnsi="Times New Roman"/>
                <w:sz w:val="24"/>
                <w:szCs w:val="24"/>
                <w:lang w:eastAsia="lv-LV"/>
              </w:rPr>
              <w:t>”” 4. punktu</w:t>
            </w:r>
            <w:r w:rsidRPr="003350E9">
              <w:rPr>
                <w:rFonts w:ascii="Times New Roman" w:eastAsia="Times New Roman" w:hAnsi="Times New Roman"/>
                <w:sz w:val="24"/>
                <w:szCs w:val="24"/>
                <w:lang w:eastAsia="lv-LV"/>
              </w:rPr>
              <w:t>, kas nosaka</w:t>
            </w:r>
            <w:r w:rsidRPr="00C75FBD">
              <w:rPr>
                <w:rFonts w:ascii="Times New Roman" w:eastAsia="Times New Roman" w:hAnsi="Times New Roman"/>
                <w:sz w:val="24"/>
                <w:szCs w:val="24"/>
                <w:lang w:eastAsia="lv-LV"/>
              </w:rPr>
              <w:t xml:space="preserve"> </w:t>
            </w:r>
            <w:r w:rsidRPr="00C75FBD">
              <w:rPr>
                <w:rFonts w:ascii="Times New Roman" w:eastAsia="Times New Roman" w:hAnsi="Times New Roman"/>
                <w:color w:val="2A2A2A"/>
                <w:sz w:val="24"/>
                <w:szCs w:val="24"/>
                <w:lang w:eastAsia="lv-LV"/>
              </w:rPr>
              <w:t xml:space="preserve">Vides aizsardzības un reģionālās attīstības ministrijai (turpmāk – VARAM) sadarbībā ar Tieslietu ministriju (turpmāk – TM), Centrālo vēlēšanu komisiju (turpmāk – CVK) , </w:t>
            </w:r>
            <w:proofErr w:type="spellStart"/>
            <w:r w:rsidRPr="00C75FBD">
              <w:rPr>
                <w:rFonts w:ascii="Times New Roman" w:eastAsia="Times New Roman" w:hAnsi="Times New Roman"/>
                <w:color w:val="2A2A2A"/>
                <w:sz w:val="24"/>
                <w:szCs w:val="24"/>
                <w:lang w:eastAsia="lv-LV"/>
              </w:rPr>
              <w:t>Iekšlietu</w:t>
            </w:r>
            <w:proofErr w:type="spellEnd"/>
            <w:r w:rsidRPr="00C75FBD">
              <w:rPr>
                <w:rFonts w:ascii="Times New Roman" w:eastAsia="Times New Roman" w:hAnsi="Times New Roman"/>
                <w:color w:val="2A2A2A"/>
                <w:sz w:val="24"/>
                <w:szCs w:val="24"/>
                <w:lang w:eastAsia="lv-LV"/>
              </w:rPr>
              <w:t xml:space="preserve"> ministriju (turpmāk - IeM) un Satiksmes ministriju (turpmāk – SM) sagatavot un vides aizsardzības un reģionālās attīstības ministram līdz 2019.gada 1.janvārim iesniegt noteiktā kārtībā izskatīšanai Ministru kabinetā grozījumus normatīvajos aktos, kas paredz </w:t>
            </w:r>
            <w:proofErr w:type="spellStart"/>
            <w:r w:rsidRPr="00C75FBD">
              <w:rPr>
                <w:rFonts w:ascii="Times New Roman" w:eastAsia="Times New Roman" w:hAnsi="Times New Roman"/>
                <w:color w:val="2A2A2A"/>
                <w:sz w:val="24"/>
                <w:szCs w:val="24"/>
                <w:lang w:eastAsia="lv-LV"/>
              </w:rPr>
              <w:t>eID</w:t>
            </w:r>
            <w:proofErr w:type="spellEnd"/>
            <w:r w:rsidRPr="00C75FBD">
              <w:rPr>
                <w:rFonts w:ascii="Times New Roman" w:eastAsia="Times New Roman" w:hAnsi="Times New Roman"/>
                <w:color w:val="2A2A2A"/>
                <w:sz w:val="24"/>
                <w:szCs w:val="24"/>
                <w:lang w:eastAsia="lv-LV"/>
              </w:rPr>
              <w:t xml:space="preserve"> karti kā derīgu personu apliecinošu dokumentu jebkurā ar vēlēšanu tiesību izmantošanu saistīto jautājumu kārtošanā vai citu risinājumu, kas paredz personām ar </w:t>
            </w:r>
            <w:proofErr w:type="spellStart"/>
            <w:r w:rsidRPr="00C75FBD">
              <w:rPr>
                <w:rFonts w:ascii="Times New Roman" w:eastAsia="Times New Roman" w:hAnsi="Times New Roman"/>
                <w:color w:val="2A2A2A"/>
                <w:sz w:val="24"/>
                <w:szCs w:val="24"/>
                <w:lang w:eastAsia="lv-LV"/>
              </w:rPr>
              <w:t>eID</w:t>
            </w:r>
            <w:proofErr w:type="spellEnd"/>
            <w:r w:rsidRPr="00C75FBD">
              <w:rPr>
                <w:rFonts w:ascii="Times New Roman" w:eastAsia="Times New Roman" w:hAnsi="Times New Roman"/>
                <w:color w:val="2A2A2A"/>
                <w:sz w:val="24"/>
                <w:szCs w:val="24"/>
                <w:lang w:eastAsia="lv-LV"/>
              </w:rPr>
              <w:t xml:space="preserve"> karti īstenot savas vēlētāju tiesības (turpmāk – </w:t>
            </w:r>
            <w:proofErr w:type="spellStart"/>
            <w:r w:rsidRPr="00C75FBD">
              <w:rPr>
                <w:rFonts w:ascii="Times New Roman" w:eastAsia="Times New Roman" w:hAnsi="Times New Roman"/>
                <w:color w:val="2A2A2A"/>
                <w:sz w:val="24"/>
                <w:szCs w:val="24"/>
                <w:lang w:eastAsia="lv-LV"/>
              </w:rPr>
              <w:t>protokollēmums</w:t>
            </w:r>
            <w:proofErr w:type="spellEnd"/>
            <w:r w:rsidRPr="00C75FBD">
              <w:rPr>
                <w:rFonts w:ascii="Times New Roman" w:eastAsia="Times New Roman" w:hAnsi="Times New Roman"/>
                <w:color w:val="2A2A2A"/>
                <w:sz w:val="24"/>
                <w:szCs w:val="24"/>
                <w:lang w:eastAsia="lv-LV"/>
              </w:rPr>
              <w:t>).</w:t>
            </w:r>
          </w:p>
          <w:p w:rsidR="00A55DD5" w:rsidRPr="003350E9" w:rsidRDefault="00A55DD5" w:rsidP="003350E9">
            <w:pPr>
              <w:spacing w:after="0" w:line="240" w:lineRule="auto"/>
              <w:jc w:val="both"/>
              <w:rPr>
                <w:rFonts w:ascii="Times New Roman" w:hAnsi="Times New Roman"/>
                <w:sz w:val="24"/>
                <w:szCs w:val="24"/>
              </w:rPr>
            </w:pPr>
          </w:p>
        </w:tc>
      </w:tr>
      <w:tr w:rsidR="00A55DD5" w:rsidRPr="003350E9" w:rsidTr="006861BD">
        <w:trPr>
          <w:trHeight w:val="465"/>
        </w:trPr>
        <w:tc>
          <w:tcPr>
            <w:tcW w:w="480"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2.</w:t>
            </w:r>
          </w:p>
        </w:tc>
        <w:tc>
          <w:tcPr>
            <w:tcW w:w="1125"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Pašreizējā situācija un problēmas, kuru risināšanai tiesību akta projekts izstrādāts, tiesiskā regulējuma mērķis un būtība</w:t>
            </w:r>
          </w:p>
        </w:tc>
        <w:tc>
          <w:tcPr>
            <w:tcW w:w="3395" w:type="pct"/>
            <w:tcBorders>
              <w:top w:val="outset" w:sz="6" w:space="0" w:color="414142"/>
              <w:left w:val="outset" w:sz="6" w:space="0" w:color="414142"/>
              <w:bottom w:val="outset" w:sz="6" w:space="0" w:color="414142"/>
              <w:right w:val="outset" w:sz="6" w:space="0" w:color="414142"/>
            </w:tcBorders>
          </w:tcPr>
          <w:p w:rsidR="00C75FBD" w:rsidRPr="00C75FBD" w:rsidRDefault="00C75FBD" w:rsidP="003350E9">
            <w:pPr>
              <w:spacing w:after="0" w:line="240" w:lineRule="auto"/>
              <w:ind w:firstLine="851"/>
              <w:jc w:val="both"/>
              <w:rPr>
                <w:rFonts w:ascii="Times New Roman" w:eastAsia="Times New Roman" w:hAnsi="Times New Roman"/>
                <w:sz w:val="24"/>
                <w:szCs w:val="24"/>
                <w:lang w:eastAsia="lv-LV"/>
              </w:rPr>
            </w:pPr>
            <w:r w:rsidRPr="00C75FBD">
              <w:rPr>
                <w:rFonts w:ascii="Times New Roman" w:eastAsia="Times New Roman" w:hAnsi="Times New Roman"/>
                <w:sz w:val="24"/>
                <w:szCs w:val="24"/>
                <w:lang w:eastAsia="lv-LV"/>
              </w:rPr>
              <w:t xml:space="preserve">Līdz šim Saeimas lēmums par līdzšinējās vēlētāju reģistrācijas kārtības saglabāšanu Saeimas vēlēšanās, kas paredz tiesības vēlētājam izvēlēties vēlēšanu iecirkni, kā arī atzīmes izdarīšanu vēlētāja pasē, nozīmē, ka persona nevar izmantot tiesības piedalīties Saeimas vēlēšanās, ja tās rīcībā vienīgais personu apliecinošais dokuments ir </w:t>
            </w:r>
            <w:proofErr w:type="spellStart"/>
            <w:r w:rsidRPr="00C75FBD">
              <w:rPr>
                <w:rFonts w:ascii="Times New Roman" w:eastAsia="Times New Roman" w:hAnsi="Times New Roman"/>
                <w:sz w:val="24"/>
                <w:szCs w:val="24"/>
                <w:lang w:eastAsia="lv-LV"/>
              </w:rPr>
              <w:t>eID</w:t>
            </w:r>
            <w:proofErr w:type="spellEnd"/>
            <w:r w:rsidRPr="00C75FBD">
              <w:rPr>
                <w:rFonts w:ascii="Times New Roman" w:eastAsia="Times New Roman" w:hAnsi="Times New Roman"/>
                <w:sz w:val="24"/>
                <w:szCs w:val="24"/>
                <w:lang w:eastAsia="lv-LV"/>
              </w:rPr>
              <w:t xml:space="preserve"> karte. Ievērojot iepriekš minēto, faktiski </w:t>
            </w:r>
            <w:proofErr w:type="spellStart"/>
            <w:r w:rsidRPr="00C75FBD">
              <w:rPr>
                <w:rFonts w:ascii="Times New Roman" w:eastAsia="Times New Roman" w:hAnsi="Times New Roman"/>
                <w:sz w:val="24"/>
                <w:szCs w:val="24"/>
                <w:lang w:eastAsia="lv-LV"/>
              </w:rPr>
              <w:t>eID</w:t>
            </w:r>
            <w:proofErr w:type="spellEnd"/>
            <w:r w:rsidRPr="00C75FBD">
              <w:rPr>
                <w:rFonts w:ascii="Times New Roman" w:eastAsia="Times New Roman" w:hAnsi="Times New Roman"/>
                <w:sz w:val="24"/>
                <w:szCs w:val="24"/>
                <w:lang w:eastAsia="lv-LV"/>
              </w:rPr>
              <w:t xml:space="preserve"> pilngadīgam Latvijas Republikas pilsonim Latvijas Republikas teritorijā nesniedz pilnībā visas tās pat funkcijas, kas ir pieejamas ar pasi līdz ar to personas rīcības brīvība un tiesību īstenošana tiek ierobežota. Tas savukārt nozīmē, ka tiek nepieciešams veikt grozījumus normatīvajos aktos saskaņā ar </w:t>
            </w:r>
            <w:proofErr w:type="spellStart"/>
            <w:r w:rsidRPr="00C75FBD">
              <w:rPr>
                <w:rFonts w:ascii="Times New Roman" w:eastAsia="Times New Roman" w:hAnsi="Times New Roman"/>
                <w:sz w:val="24"/>
                <w:szCs w:val="24"/>
                <w:lang w:eastAsia="lv-LV"/>
              </w:rPr>
              <w:t>protokollēmumā</w:t>
            </w:r>
            <w:proofErr w:type="spellEnd"/>
            <w:r w:rsidRPr="00C75FBD">
              <w:rPr>
                <w:rFonts w:ascii="Times New Roman" w:eastAsia="Times New Roman" w:hAnsi="Times New Roman"/>
                <w:sz w:val="24"/>
                <w:szCs w:val="24"/>
                <w:lang w:eastAsia="lv-LV"/>
              </w:rPr>
              <w:t xml:space="preserve"> noteikto uzdevumu, lai persona varētu pilnvērtīgi izmantot </w:t>
            </w:r>
            <w:proofErr w:type="spellStart"/>
            <w:r w:rsidRPr="00C75FBD">
              <w:rPr>
                <w:rFonts w:ascii="Times New Roman" w:eastAsia="Times New Roman" w:hAnsi="Times New Roman"/>
                <w:sz w:val="24"/>
                <w:szCs w:val="24"/>
                <w:lang w:eastAsia="lv-LV"/>
              </w:rPr>
              <w:t>eID</w:t>
            </w:r>
            <w:proofErr w:type="spellEnd"/>
            <w:r w:rsidRPr="00C75FBD">
              <w:rPr>
                <w:rFonts w:ascii="Times New Roman" w:eastAsia="Times New Roman" w:hAnsi="Times New Roman"/>
                <w:sz w:val="24"/>
                <w:szCs w:val="24"/>
                <w:lang w:eastAsia="lv-LV"/>
              </w:rPr>
              <w:t xml:space="preserve"> karti kā vienīgo personu apliecinošo dokumentu. Līdz grozījumu izdarīšanai Personas apliecinošo dokumentu likumā un Saeimas vēlēšanu likumā, ļaujot personas apliecības turētājam, kura rīcībā nav derīgas pases piedalīties Saeimas vēlēšanās, </w:t>
            </w:r>
            <w:proofErr w:type="spellStart"/>
            <w:r w:rsidRPr="00C75FBD">
              <w:rPr>
                <w:rFonts w:ascii="Times New Roman" w:eastAsia="Times New Roman" w:hAnsi="Times New Roman"/>
                <w:sz w:val="24"/>
                <w:szCs w:val="24"/>
                <w:lang w:eastAsia="lv-LV"/>
              </w:rPr>
              <w:t>personam</w:t>
            </w:r>
            <w:proofErr w:type="spellEnd"/>
            <w:r w:rsidRPr="00C75FBD">
              <w:rPr>
                <w:rFonts w:ascii="Times New Roman" w:eastAsia="Times New Roman" w:hAnsi="Times New Roman"/>
                <w:sz w:val="24"/>
                <w:szCs w:val="24"/>
                <w:lang w:eastAsia="lv-LV"/>
              </w:rPr>
              <w:t xml:space="preserve">, kuru rīcībā </w:t>
            </w:r>
            <w:proofErr w:type="spellStart"/>
            <w:r w:rsidRPr="00C75FBD">
              <w:rPr>
                <w:rFonts w:ascii="Times New Roman" w:eastAsia="Times New Roman" w:hAnsi="Times New Roman"/>
                <w:sz w:val="24"/>
                <w:szCs w:val="24"/>
                <w:lang w:eastAsia="lv-LV"/>
              </w:rPr>
              <w:t>eID</w:t>
            </w:r>
            <w:proofErr w:type="spellEnd"/>
            <w:r w:rsidRPr="00C75FBD">
              <w:rPr>
                <w:rFonts w:ascii="Times New Roman" w:eastAsia="Times New Roman" w:hAnsi="Times New Roman"/>
                <w:sz w:val="24"/>
                <w:szCs w:val="24"/>
                <w:lang w:eastAsia="lv-LV"/>
              </w:rPr>
              <w:t xml:space="preserve"> karte ir vienīgais personu apliecinošais dokuments vēlētāju tiesību īstenošana tiek realizēta ar īpaši izgatavotu vēlētāja apliecību. Šāda personas apliecinošu dokumentam paralēlu risinājumu uzturēšana, lai  tiktu </w:t>
            </w:r>
            <w:proofErr w:type="spellStart"/>
            <w:r w:rsidRPr="00C75FBD">
              <w:rPr>
                <w:rFonts w:ascii="Times New Roman" w:eastAsia="Times New Roman" w:hAnsi="Times New Roman"/>
                <w:sz w:val="24"/>
                <w:szCs w:val="24"/>
                <w:lang w:eastAsia="lv-LV"/>
              </w:rPr>
              <w:t>nodrōšināta</w:t>
            </w:r>
            <w:proofErr w:type="spellEnd"/>
            <w:r w:rsidRPr="00C75FBD">
              <w:rPr>
                <w:rFonts w:ascii="Times New Roman" w:eastAsia="Times New Roman" w:hAnsi="Times New Roman"/>
                <w:sz w:val="24"/>
                <w:szCs w:val="24"/>
                <w:lang w:eastAsia="lv-LV"/>
              </w:rPr>
              <w:t xml:space="preserve"> vēlēšanu iespēju realizēšana visām personām, negatīvi ietekmē izsniegto Latvijas pilsoņu personas apliecību skaitu, kas saskaņā ar IeM ministrijas Informatīvo ziņojumu “par personas apliecību plašāku lietojamību” par ~35% atpaliek no prognozētā </w:t>
            </w:r>
            <w:proofErr w:type="spellStart"/>
            <w:r w:rsidRPr="00C75FBD">
              <w:rPr>
                <w:rFonts w:ascii="Times New Roman" w:eastAsia="Times New Roman" w:hAnsi="Times New Roman"/>
                <w:sz w:val="24"/>
                <w:szCs w:val="24"/>
                <w:lang w:eastAsia="lv-LV"/>
              </w:rPr>
              <w:t>eID</w:t>
            </w:r>
            <w:proofErr w:type="spellEnd"/>
            <w:r w:rsidRPr="00C75FBD">
              <w:rPr>
                <w:rFonts w:ascii="Times New Roman" w:eastAsia="Times New Roman" w:hAnsi="Times New Roman"/>
                <w:sz w:val="24"/>
                <w:szCs w:val="24"/>
                <w:lang w:eastAsia="lv-LV"/>
              </w:rPr>
              <w:t xml:space="preserve"> karšu izsniegšanas apjoma laika periodā līdz 2016.gadam.</w:t>
            </w:r>
          </w:p>
          <w:p w:rsidR="00C75FBD" w:rsidRPr="00C75FBD" w:rsidRDefault="00C75FBD" w:rsidP="003350E9">
            <w:pPr>
              <w:autoSpaceDE w:val="0"/>
              <w:autoSpaceDN w:val="0"/>
              <w:adjustRightInd w:val="0"/>
              <w:spacing w:after="0" w:line="240" w:lineRule="auto"/>
              <w:ind w:firstLine="851"/>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lastRenderedPageBreak/>
              <w:t xml:space="preserve">Kā pagaidu risinājumu 2014.gadā notiekošajām Saeimas vēlēšanām CVK sadarbībā ar PMLP īstenoja aktivitāti ar īpašu vēlētāja apliecību izgatavošanu un izsniegšanu </w:t>
            </w: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karšu turētājiem, kuru rīcībā noteiktajā atskaites periodā nav derīgas pases. </w:t>
            </w:r>
          </w:p>
          <w:p w:rsidR="00C75FBD" w:rsidRPr="00C75FBD" w:rsidRDefault="00C75FBD" w:rsidP="003350E9">
            <w:pPr>
              <w:autoSpaceDE w:val="0"/>
              <w:autoSpaceDN w:val="0"/>
              <w:adjustRightInd w:val="0"/>
              <w:spacing w:after="0" w:line="240" w:lineRule="auto"/>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t>Attiecīgā pagaidu risinājuma īstenošanā tika konstatēti vairāki trūkumi, piemēram:</w:t>
            </w:r>
          </w:p>
          <w:p w:rsidR="00C75FBD" w:rsidRPr="00C75FBD" w:rsidRDefault="00C75FBD" w:rsidP="003350E9">
            <w:pPr>
              <w:numPr>
                <w:ilvl w:val="0"/>
                <w:numId w:val="3"/>
              </w:numPr>
              <w:autoSpaceDE w:val="0"/>
              <w:autoSpaceDN w:val="0"/>
              <w:adjustRightInd w:val="0"/>
              <w:spacing w:after="0" w:line="240" w:lineRule="auto"/>
              <w:contextualSpacing/>
              <w:jc w:val="both"/>
              <w:rPr>
                <w:rFonts w:ascii="Times New Roman" w:eastAsia="Times New Roman" w:hAnsi="Times New Roman"/>
                <w:color w:val="000000"/>
                <w:sz w:val="24"/>
                <w:szCs w:val="24"/>
                <w:lang w:eastAsia="lv-LV"/>
              </w:rPr>
            </w:pP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karti dalībai Saeimas vēlēšanās nedrīkst uzrādīt tās personas, kuru rīcībā ir derīga pase. Gadījumā, ja laika periodā, kad iespējams īstenot vēlēšanu tiesības, pase ir iesniegta citas valsts pārstāvniecībā vīzas saņemšanai (it īpaši gadījumos, kad konkrētās valsts pārstāvniecība neatrodas Latvijā), personai nav iespēja piedalīties vēlēšanās ar </w:t>
            </w: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karti;</w:t>
            </w:r>
          </w:p>
          <w:p w:rsidR="00C75FBD" w:rsidRPr="00C75FBD" w:rsidRDefault="00C75FBD" w:rsidP="003350E9">
            <w:pPr>
              <w:numPr>
                <w:ilvl w:val="0"/>
                <w:numId w:val="3"/>
              </w:numPr>
              <w:autoSpaceDE w:val="0"/>
              <w:autoSpaceDN w:val="0"/>
              <w:adjustRightInd w:val="0"/>
              <w:spacing w:after="0" w:line="240" w:lineRule="auto"/>
              <w:contextualSpacing/>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t xml:space="preserve">gadījumā, ja persona vēlas saņemt tikai </w:t>
            </w: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karti pēc iepriekš noteiktā termiņa, kad tiek veikta datu sagatavošana vēlētāja apliecību izgatavošanai, persona nevar piedalīties Saeimas vēlēšanās;</w:t>
            </w:r>
          </w:p>
          <w:p w:rsidR="00C75FBD" w:rsidRPr="00C75FBD" w:rsidRDefault="00C75FBD" w:rsidP="003350E9">
            <w:pPr>
              <w:numPr>
                <w:ilvl w:val="0"/>
                <w:numId w:val="3"/>
              </w:numPr>
              <w:autoSpaceDE w:val="0"/>
              <w:autoSpaceDN w:val="0"/>
              <w:adjustRightInd w:val="0"/>
              <w:spacing w:after="0" w:line="240" w:lineRule="auto"/>
              <w:contextualSpacing/>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t xml:space="preserve">vēlētāja apliecības saņemšana vērtējama kā papildus administratīvais slogs </w:t>
            </w: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kartes turētājam, kura rīcībā nav derīgas pases, jo, neskatoties uz to, ka vēlētāja apliecība tiek izsniegta bez maksas, personai ir jātērē savi resursi PMLP nodaļas apmeklējumam, piemēram, transporta izdevumu apmaksai.</w:t>
            </w:r>
          </w:p>
          <w:p w:rsidR="00C75FBD" w:rsidRPr="00C75FBD" w:rsidRDefault="00C75FBD" w:rsidP="003350E9">
            <w:pPr>
              <w:autoSpaceDE w:val="0"/>
              <w:autoSpaceDN w:val="0"/>
              <w:adjustRightInd w:val="0"/>
              <w:spacing w:after="0" w:line="240" w:lineRule="auto"/>
              <w:ind w:firstLine="851"/>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t xml:space="preserve">Iepriekš minētie trūkumi liedz personai pilnvērtīgi izmantot </w:t>
            </w:r>
            <w:proofErr w:type="spellStart"/>
            <w:r w:rsidRPr="00C75FBD">
              <w:rPr>
                <w:rFonts w:ascii="Times New Roman" w:eastAsia="Times New Roman" w:hAnsi="Times New Roman"/>
                <w:color w:val="000000"/>
                <w:sz w:val="24"/>
                <w:szCs w:val="24"/>
                <w:lang w:eastAsia="lv-LV"/>
              </w:rPr>
              <w:t>eID</w:t>
            </w:r>
            <w:proofErr w:type="spellEnd"/>
            <w:r w:rsidRPr="00C75FBD">
              <w:rPr>
                <w:rFonts w:ascii="Times New Roman" w:eastAsia="Times New Roman" w:hAnsi="Times New Roman"/>
                <w:color w:val="000000"/>
                <w:sz w:val="24"/>
                <w:szCs w:val="24"/>
                <w:lang w:eastAsia="lv-LV"/>
              </w:rPr>
              <w:t xml:space="preserve"> karti un izvēlēties to kā savu vienīgo personu apliecinošo dokumentu, vai arī var rosināt personu nolemt nepiedalīties Saeimas vēlēšanās, kas mazina jau tā re</w:t>
            </w:r>
            <w:r w:rsidR="00BF5194" w:rsidRPr="003350E9">
              <w:rPr>
                <w:rFonts w:ascii="Times New Roman" w:eastAsia="Times New Roman" w:hAnsi="Times New Roman"/>
                <w:color w:val="000000"/>
                <w:sz w:val="24"/>
                <w:szCs w:val="24"/>
                <w:lang w:eastAsia="lv-LV"/>
              </w:rPr>
              <w:t>latīvi zemo vēlētāju aktivitāti.</w:t>
            </w:r>
          </w:p>
          <w:p w:rsidR="00C75FBD" w:rsidRPr="00C75FBD" w:rsidRDefault="00C75FBD" w:rsidP="003350E9">
            <w:pPr>
              <w:autoSpaceDE w:val="0"/>
              <w:autoSpaceDN w:val="0"/>
              <w:adjustRightInd w:val="0"/>
              <w:spacing w:after="0" w:line="240" w:lineRule="auto"/>
              <w:ind w:firstLine="851"/>
              <w:jc w:val="both"/>
              <w:rPr>
                <w:rFonts w:ascii="Times New Roman" w:eastAsia="Times New Roman" w:hAnsi="Times New Roman"/>
                <w:color w:val="000000"/>
                <w:sz w:val="24"/>
                <w:szCs w:val="24"/>
                <w:lang w:eastAsia="lv-LV"/>
              </w:rPr>
            </w:pPr>
            <w:r w:rsidRPr="00C75FBD">
              <w:rPr>
                <w:rFonts w:ascii="Times New Roman" w:eastAsia="Times New Roman" w:hAnsi="Times New Roman"/>
                <w:color w:val="000000"/>
                <w:sz w:val="24"/>
                <w:szCs w:val="24"/>
                <w:lang w:eastAsia="lv-LV"/>
              </w:rPr>
              <w:t xml:space="preserve">Lai novērstu iepriekš minētos trūkumus, jānodrošina, ka personas apliecība un pase ir vienlīdzīgi dokumenti jebkurā ar vēlēšanu tiesību izmantošanu saistīto jautājumu īstenošanā. </w:t>
            </w:r>
          </w:p>
          <w:p w:rsidR="00BF5194" w:rsidRDefault="00BF5194" w:rsidP="003350E9">
            <w:pPr>
              <w:autoSpaceDE w:val="0"/>
              <w:autoSpaceDN w:val="0"/>
              <w:adjustRightInd w:val="0"/>
              <w:spacing w:after="0" w:line="240" w:lineRule="auto"/>
              <w:contextualSpacing/>
              <w:jc w:val="both"/>
              <w:rPr>
                <w:rFonts w:ascii="Times New Roman" w:eastAsia="Times New Roman" w:hAnsi="Times New Roman"/>
                <w:color w:val="000000"/>
                <w:sz w:val="24"/>
                <w:szCs w:val="24"/>
                <w:lang w:eastAsia="lv-LV"/>
              </w:rPr>
            </w:pPr>
            <w:r w:rsidRPr="003350E9">
              <w:rPr>
                <w:rFonts w:ascii="Times New Roman" w:eastAsia="Times New Roman" w:hAnsi="Times New Roman"/>
                <w:color w:val="000000"/>
                <w:sz w:val="24"/>
                <w:szCs w:val="24"/>
                <w:lang w:eastAsia="lv-LV"/>
              </w:rPr>
              <w:t xml:space="preserve">Likumprojekts paredz, ka </w:t>
            </w:r>
            <w:proofErr w:type="spellStart"/>
            <w:r w:rsidRPr="00BF5194">
              <w:rPr>
                <w:rFonts w:ascii="Times New Roman" w:eastAsia="Times New Roman" w:hAnsi="Times New Roman"/>
                <w:color w:val="000000"/>
                <w:sz w:val="24"/>
                <w:szCs w:val="24"/>
                <w:lang w:eastAsia="lv-LV"/>
              </w:rPr>
              <w:t>eID</w:t>
            </w:r>
            <w:proofErr w:type="spellEnd"/>
            <w:r w:rsidRPr="00BF5194">
              <w:rPr>
                <w:rFonts w:ascii="Times New Roman" w:eastAsia="Times New Roman" w:hAnsi="Times New Roman"/>
                <w:color w:val="000000"/>
                <w:sz w:val="24"/>
                <w:szCs w:val="24"/>
                <w:lang w:eastAsia="lv-LV"/>
              </w:rPr>
              <w:t xml:space="preserve"> karšu izmantošana Saeimas vēlēšanās tiek īstenota ieviešot </w:t>
            </w:r>
            <w:r w:rsidRPr="003350E9">
              <w:rPr>
                <w:rFonts w:ascii="Times New Roman" w:eastAsia="Times New Roman" w:hAnsi="Times New Roman"/>
                <w:color w:val="000000"/>
                <w:sz w:val="24"/>
                <w:szCs w:val="24"/>
                <w:lang w:eastAsia="lv-LV"/>
              </w:rPr>
              <w:t xml:space="preserve">elektronisku Vēlētāju reģistru un to, ka </w:t>
            </w:r>
            <w:r w:rsidRPr="00BF5194">
              <w:rPr>
                <w:rFonts w:ascii="Times New Roman" w:eastAsia="Times New Roman" w:hAnsi="Times New Roman"/>
                <w:color w:val="000000"/>
                <w:sz w:val="24"/>
                <w:szCs w:val="24"/>
                <w:lang w:eastAsia="lv-LV"/>
              </w:rPr>
              <w:t>pārbaudes procedūru vēlēšanu iecirknī, atzīme par personas dalību vēlēšanās tiek izdarīta nevis personas pasē</w:t>
            </w:r>
            <w:r w:rsidRPr="003350E9">
              <w:rPr>
                <w:rFonts w:ascii="Times New Roman" w:eastAsia="Times New Roman" w:hAnsi="Times New Roman"/>
                <w:color w:val="000000"/>
                <w:sz w:val="24"/>
                <w:szCs w:val="24"/>
                <w:lang w:eastAsia="lv-LV"/>
              </w:rPr>
              <w:t>, bet tiešsaistes režīmā Vēlētāju reģistrā</w:t>
            </w:r>
            <w:r w:rsidRPr="00BF5194">
              <w:rPr>
                <w:rFonts w:ascii="Times New Roman" w:eastAsia="Times New Roman" w:hAnsi="Times New Roman"/>
                <w:color w:val="000000"/>
                <w:sz w:val="24"/>
                <w:szCs w:val="24"/>
                <w:lang w:eastAsia="lv-LV"/>
              </w:rPr>
              <w:t>.</w:t>
            </w:r>
            <w:r w:rsidRPr="003350E9">
              <w:rPr>
                <w:rFonts w:ascii="Times New Roman" w:eastAsia="Times New Roman" w:hAnsi="Times New Roman"/>
                <w:color w:val="000000"/>
                <w:sz w:val="24"/>
                <w:szCs w:val="24"/>
                <w:lang w:eastAsia="lv-LV"/>
              </w:rPr>
              <w:t xml:space="preserve"> Līdz ar to faktiski tiek saglabāta līdzšinējā vēlēšanu kārtība personām tiek saglabāta iespēja</w:t>
            </w:r>
            <w:r w:rsidRPr="00BF5194">
              <w:rPr>
                <w:rFonts w:ascii="Times New Roman" w:eastAsia="Times New Roman" w:hAnsi="Times New Roman"/>
                <w:color w:val="000000"/>
                <w:sz w:val="24"/>
                <w:szCs w:val="24"/>
                <w:lang w:eastAsia="lv-LV"/>
              </w:rPr>
              <w:t xml:space="preserve"> brīvi izvēlēties vēlēšanu iecirkni vēlēšanu dienā</w:t>
            </w:r>
            <w:r w:rsidRPr="003350E9">
              <w:rPr>
                <w:rFonts w:ascii="Times New Roman" w:eastAsia="Times New Roman" w:hAnsi="Times New Roman"/>
                <w:color w:val="000000"/>
                <w:sz w:val="24"/>
                <w:szCs w:val="24"/>
                <w:lang w:eastAsia="lv-LV"/>
              </w:rPr>
              <w:t xml:space="preserve"> turklāt tiek novērsts pastāvošais personu apliecinošo dokumentu ierobežojums un tiek nodrošināta iespēja balsot ar jebkuru derīgu personu apliecinošo dokumentu pasi un </w:t>
            </w:r>
            <w:proofErr w:type="spellStart"/>
            <w:r w:rsidRPr="003350E9">
              <w:rPr>
                <w:rFonts w:ascii="Times New Roman" w:eastAsia="Times New Roman" w:hAnsi="Times New Roman"/>
                <w:color w:val="000000"/>
                <w:sz w:val="24"/>
                <w:szCs w:val="24"/>
                <w:lang w:eastAsia="lv-LV"/>
              </w:rPr>
              <w:t>eID</w:t>
            </w:r>
            <w:proofErr w:type="spellEnd"/>
            <w:r w:rsidRPr="003350E9">
              <w:rPr>
                <w:rFonts w:ascii="Times New Roman" w:eastAsia="Times New Roman" w:hAnsi="Times New Roman"/>
                <w:color w:val="000000"/>
                <w:sz w:val="24"/>
                <w:szCs w:val="24"/>
                <w:lang w:eastAsia="lv-LV"/>
              </w:rPr>
              <w:t xml:space="preserve"> karti.</w:t>
            </w:r>
          </w:p>
          <w:p w:rsidR="003350E9" w:rsidRPr="00BF5194" w:rsidRDefault="003350E9" w:rsidP="00026F48">
            <w:pPr>
              <w:autoSpaceDE w:val="0"/>
              <w:autoSpaceDN w:val="0"/>
              <w:adjustRightInd w:val="0"/>
              <w:spacing w:after="0" w:line="240" w:lineRule="auto"/>
              <w:ind w:firstLine="948"/>
              <w:contextualSpacing/>
              <w:jc w:val="both"/>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Lai nodrošinātu likumprojektā ietverto normu izpildi būs nepieciešams vēlēšanu iecirkņos nodrošināt atbilstošu tehnisko aprīkojumu, kā arī Pilsonības un migrāciju lietu pārvaldei būs jāizveido un jānodrošina elektronisks Vēlētāju reģistrs</w:t>
            </w:r>
            <w:r w:rsidR="00026F48">
              <w:rPr>
                <w:rFonts w:ascii="Times New Roman" w:eastAsia="Times New Roman" w:hAnsi="Times New Roman"/>
                <w:color w:val="000000"/>
                <w:sz w:val="24"/>
                <w:szCs w:val="24"/>
                <w:lang w:eastAsia="lv-LV"/>
              </w:rPr>
              <w:t xml:space="preserve"> </w:t>
            </w:r>
            <w:r w:rsidR="00ED794B">
              <w:rPr>
                <w:rFonts w:ascii="Times New Roman" w:eastAsia="Times New Roman" w:hAnsi="Times New Roman"/>
                <w:color w:val="000000"/>
                <w:sz w:val="24"/>
                <w:szCs w:val="24"/>
                <w:lang w:eastAsia="lv-LV"/>
              </w:rPr>
              <w:t>un</w:t>
            </w:r>
            <w:r w:rsidR="00026F48">
              <w:rPr>
                <w:rFonts w:ascii="Times New Roman" w:eastAsia="Times New Roman" w:hAnsi="Times New Roman"/>
                <w:color w:val="000000"/>
                <w:sz w:val="24"/>
                <w:szCs w:val="24"/>
                <w:lang w:eastAsia="lv-LV"/>
              </w:rPr>
              <w:t xml:space="preserve"> jānodrošina vēlēšanu komisijām attiecīga likumprojektā paredzēta tiešsaistes režīma piek</w:t>
            </w:r>
            <w:r w:rsidR="00ED794B">
              <w:rPr>
                <w:rFonts w:ascii="Times New Roman" w:eastAsia="Times New Roman" w:hAnsi="Times New Roman"/>
                <w:color w:val="000000"/>
                <w:sz w:val="24"/>
                <w:szCs w:val="24"/>
                <w:lang w:eastAsia="lv-LV"/>
              </w:rPr>
              <w:t>ļuve.</w:t>
            </w:r>
          </w:p>
          <w:p w:rsidR="00A55DD5" w:rsidRPr="003350E9" w:rsidRDefault="00A55DD5" w:rsidP="003350E9">
            <w:pPr>
              <w:autoSpaceDE w:val="0"/>
              <w:autoSpaceDN w:val="0"/>
              <w:adjustRightInd w:val="0"/>
              <w:spacing w:after="0" w:line="240" w:lineRule="auto"/>
              <w:ind w:left="1080"/>
              <w:contextualSpacing/>
              <w:jc w:val="both"/>
              <w:rPr>
                <w:rFonts w:ascii="Times New Roman" w:eastAsia="Times New Roman" w:hAnsi="Times New Roman"/>
                <w:sz w:val="24"/>
                <w:szCs w:val="24"/>
                <w:lang w:eastAsia="lv-LV"/>
              </w:rPr>
            </w:pPr>
          </w:p>
        </w:tc>
      </w:tr>
      <w:tr w:rsidR="00A55DD5" w:rsidRPr="003350E9" w:rsidTr="006861BD">
        <w:trPr>
          <w:trHeight w:val="465"/>
        </w:trPr>
        <w:tc>
          <w:tcPr>
            <w:tcW w:w="480"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lastRenderedPageBreak/>
              <w:t>3.</w:t>
            </w:r>
          </w:p>
        </w:tc>
        <w:tc>
          <w:tcPr>
            <w:tcW w:w="1125"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Projekta izstrādē iesaistītās institūcijas</w:t>
            </w:r>
          </w:p>
        </w:tc>
        <w:tc>
          <w:tcPr>
            <w:tcW w:w="3395"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hAnsi="Times New Roman"/>
                <w:sz w:val="24"/>
                <w:szCs w:val="24"/>
              </w:rPr>
            </w:pPr>
            <w:r w:rsidRPr="003350E9">
              <w:rPr>
                <w:rFonts w:ascii="Times New Roman" w:eastAsia="Times New Roman" w:hAnsi="Times New Roman"/>
                <w:sz w:val="24"/>
                <w:szCs w:val="24"/>
                <w:lang w:eastAsia="lv-LV"/>
              </w:rPr>
              <w:t xml:space="preserve"> Vides aizsardzības un reģionālās attīstības ministrija (turpmāk -VARAM), </w:t>
            </w:r>
            <w:r w:rsidR="00BF5194" w:rsidRPr="003350E9">
              <w:rPr>
                <w:rFonts w:ascii="Times New Roman" w:eastAsia="Times New Roman" w:hAnsi="Times New Roman"/>
                <w:sz w:val="24"/>
                <w:szCs w:val="24"/>
                <w:lang w:eastAsia="lv-LV"/>
              </w:rPr>
              <w:t>Pilsonības un migrācijas lietu pārvalde, Centrālā vēlēšanu komisija.</w:t>
            </w:r>
            <w:r w:rsidRPr="003350E9">
              <w:rPr>
                <w:rFonts w:ascii="Times New Roman" w:hAnsi="Times New Roman"/>
                <w:sz w:val="24"/>
                <w:szCs w:val="24"/>
                <w:u w:val="single"/>
              </w:rPr>
              <w:t xml:space="preserve"> </w:t>
            </w:r>
          </w:p>
          <w:p w:rsidR="00A55DD5" w:rsidRPr="003350E9" w:rsidRDefault="00A55DD5" w:rsidP="003350E9">
            <w:pPr>
              <w:spacing w:after="0" w:line="240" w:lineRule="auto"/>
              <w:jc w:val="both"/>
              <w:rPr>
                <w:rFonts w:ascii="Times New Roman" w:eastAsia="Times New Roman" w:hAnsi="Times New Roman"/>
                <w:sz w:val="24"/>
                <w:szCs w:val="24"/>
                <w:lang w:eastAsia="lv-LV"/>
              </w:rPr>
            </w:pPr>
          </w:p>
        </w:tc>
      </w:tr>
      <w:tr w:rsidR="00A55DD5" w:rsidRPr="003350E9" w:rsidTr="006861BD">
        <w:tc>
          <w:tcPr>
            <w:tcW w:w="480"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4.</w:t>
            </w:r>
          </w:p>
        </w:tc>
        <w:tc>
          <w:tcPr>
            <w:tcW w:w="1125"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Cita informācija</w:t>
            </w:r>
          </w:p>
        </w:tc>
        <w:tc>
          <w:tcPr>
            <w:tcW w:w="3395" w:type="pct"/>
            <w:tcBorders>
              <w:top w:val="outset" w:sz="6" w:space="0" w:color="414142"/>
              <w:left w:val="outset" w:sz="6" w:space="0" w:color="414142"/>
              <w:bottom w:val="outset" w:sz="6" w:space="0" w:color="414142"/>
              <w:right w:val="outset" w:sz="6" w:space="0" w:color="414142"/>
            </w:tcBorders>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Nav</w:t>
            </w:r>
          </w:p>
        </w:tc>
      </w:tr>
    </w:tbl>
    <w:p w:rsidR="00A55DD5" w:rsidRPr="003350E9" w:rsidRDefault="00A55DD5" w:rsidP="003350E9">
      <w:pPr>
        <w:shd w:val="clear" w:color="auto" w:fill="FFFFFF"/>
        <w:spacing w:after="0" w:line="240" w:lineRule="auto"/>
        <w:ind w:firstLine="301"/>
        <w:rPr>
          <w:rFonts w:ascii="Times New Roman" w:eastAsia="Times New Roman" w:hAnsi="Times New Roman"/>
          <w:sz w:val="24"/>
          <w:szCs w:val="24"/>
          <w:lang w:eastAsia="lv-LV"/>
        </w:rPr>
      </w:pPr>
    </w:p>
    <w:tbl>
      <w:tblPr>
        <w:tblW w:w="5527" w:type="pct"/>
        <w:tblInd w:w="-434"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82"/>
        <w:gridCol w:w="2807"/>
        <w:gridCol w:w="6320"/>
      </w:tblGrid>
      <w:tr w:rsidR="00A55DD5" w:rsidRPr="003350E9" w:rsidTr="003350E9">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55DD5" w:rsidRPr="003350E9" w:rsidRDefault="00A55DD5" w:rsidP="003350E9">
            <w:pPr>
              <w:spacing w:after="0" w:line="240" w:lineRule="auto"/>
              <w:jc w:val="center"/>
              <w:rPr>
                <w:rFonts w:ascii="Times New Roman" w:eastAsia="Times New Roman" w:hAnsi="Times New Roman"/>
                <w:b/>
                <w:bCs/>
                <w:sz w:val="24"/>
                <w:szCs w:val="24"/>
                <w:lang w:eastAsia="lv-LV"/>
              </w:rPr>
            </w:pPr>
            <w:r w:rsidRPr="003350E9">
              <w:rPr>
                <w:rFonts w:ascii="Times New Roman" w:eastAsia="Times New Roman" w:hAnsi="Times New Roman"/>
                <w:b/>
                <w:bCs/>
                <w:sz w:val="24"/>
                <w:szCs w:val="24"/>
                <w:lang w:eastAsia="lv-LV"/>
              </w:rPr>
              <w:t>II. Tiesību akta projekta ietekme uz sabiedrību, tautsaimniecības attīstību un administratīvo slogu</w:t>
            </w:r>
          </w:p>
        </w:tc>
      </w:tr>
      <w:tr w:rsidR="00A55DD5" w:rsidRPr="003350E9" w:rsidTr="003350E9">
        <w:trPr>
          <w:trHeight w:val="465"/>
        </w:trPr>
        <w:tc>
          <w:tcPr>
            <w:tcW w:w="441"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1.</w:t>
            </w:r>
          </w:p>
        </w:tc>
        <w:tc>
          <w:tcPr>
            <w:tcW w:w="1402"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 xml:space="preserve">Sabiedrības </w:t>
            </w:r>
            <w:proofErr w:type="spellStart"/>
            <w:r w:rsidRPr="003350E9">
              <w:rPr>
                <w:rFonts w:ascii="Times New Roman" w:eastAsia="Times New Roman" w:hAnsi="Times New Roman"/>
                <w:sz w:val="24"/>
                <w:szCs w:val="24"/>
                <w:lang w:eastAsia="lv-LV"/>
              </w:rPr>
              <w:t>mērķgrupas</w:t>
            </w:r>
            <w:proofErr w:type="spellEnd"/>
            <w:r w:rsidRPr="003350E9">
              <w:rPr>
                <w:rFonts w:ascii="Times New Roman" w:eastAsia="Times New Roman" w:hAnsi="Times New Roman"/>
                <w:sz w:val="24"/>
                <w:szCs w:val="24"/>
                <w:lang w:eastAsia="lv-LV"/>
              </w:rPr>
              <w:t>, kuras tiesiskais regulējums ietekmē vai varētu ietekmēt</w:t>
            </w:r>
          </w:p>
        </w:tc>
        <w:tc>
          <w:tcPr>
            <w:tcW w:w="3157" w:type="pct"/>
            <w:tcBorders>
              <w:top w:val="outset" w:sz="6" w:space="0" w:color="414142"/>
              <w:left w:val="outset" w:sz="6" w:space="0" w:color="414142"/>
              <w:bottom w:val="outset" w:sz="6" w:space="0" w:color="414142"/>
              <w:right w:val="outset" w:sz="6" w:space="0" w:color="414142"/>
            </w:tcBorders>
          </w:tcPr>
          <w:p w:rsidR="00A55DD5" w:rsidRPr="003350E9" w:rsidRDefault="00CC2676" w:rsidP="003350E9">
            <w:pPr>
              <w:spacing w:after="0" w:line="240" w:lineRule="auto"/>
              <w:jc w:val="both"/>
              <w:rPr>
                <w:rFonts w:ascii="Times New Roman" w:eastAsia="Times New Roman" w:hAnsi="Times New Roman"/>
                <w:sz w:val="24"/>
                <w:szCs w:val="24"/>
                <w:lang w:eastAsia="lv-LV"/>
              </w:rPr>
            </w:pPr>
            <w:r w:rsidRPr="003350E9">
              <w:rPr>
                <w:rFonts w:ascii="Times New Roman" w:hAnsi="Times New Roman"/>
                <w:sz w:val="24"/>
                <w:szCs w:val="24"/>
              </w:rPr>
              <w:t>Visas personas, kuras ir tiesīgas piedalīties Saeimas vēlēšanās saskaņā ar Saeimas vēlēšanu likumu.</w:t>
            </w:r>
          </w:p>
        </w:tc>
      </w:tr>
      <w:tr w:rsidR="00A55DD5" w:rsidRPr="003350E9" w:rsidTr="003350E9">
        <w:trPr>
          <w:trHeight w:val="510"/>
        </w:trPr>
        <w:tc>
          <w:tcPr>
            <w:tcW w:w="441"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2.</w:t>
            </w:r>
          </w:p>
        </w:tc>
        <w:tc>
          <w:tcPr>
            <w:tcW w:w="1402"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Tiesiskā regulējuma ietekme uz tautsaimniecību un administratīvo slogu</w:t>
            </w:r>
          </w:p>
        </w:tc>
        <w:tc>
          <w:tcPr>
            <w:tcW w:w="3157" w:type="pct"/>
            <w:tcBorders>
              <w:top w:val="outset" w:sz="6" w:space="0" w:color="414142"/>
              <w:left w:val="outset" w:sz="6" w:space="0" w:color="414142"/>
              <w:bottom w:val="outset" w:sz="6" w:space="0" w:color="414142"/>
              <w:right w:val="outset" w:sz="6" w:space="0" w:color="414142"/>
            </w:tcBorders>
          </w:tcPr>
          <w:p w:rsidR="00A55DD5" w:rsidRPr="003350E9" w:rsidRDefault="00CC2676"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 xml:space="preserve">Tiek paplašinātas personu tiesības un iespējas veikt dalību Saeimas vēlēšanās izmantojot </w:t>
            </w:r>
            <w:proofErr w:type="spellStart"/>
            <w:r w:rsidRPr="003350E9">
              <w:rPr>
                <w:rFonts w:ascii="Times New Roman" w:eastAsia="Times New Roman" w:hAnsi="Times New Roman"/>
                <w:sz w:val="24"/>
                <w:szCs w:val="24"/>
                <w:lang w:eastAsia="lv-LV"/>
              </w:rPr>
              <w:t>eID</w:t>
            </w:r>
            <w:proofErr w:type="spellEnd"/>
            <w:r w:rsidRPr="003350E9">
              <w:rPr>
                <w:rFonts w:ascii="Times New Roman" w:eastAsia="Times New Roman" w:hAnsi="Times New Roman"/>
                <w:sz w:val="24"/>
                <w:szCs w:val="24"/>
                <w:lang w:eastAsia="lv-LV"/>
              </w:rPr>
              <w:t xml:space="preserve"> karti. Tiek samazinātas personu un Pilsonības un migrāciju lietu pārvaldes slogs saistībā ar vēlētāju apliecību iegūšanu un izsniegšanu personām, kas šobrīd var piedalīties Saeimas vēlēšanās izmantojot </w:t>
            </w:r>
            <w:proofErr w:type="spellStart"/>
            <w:r w:rsidRPr="003350E9">
              <w:rPr>
                <w:rFonts w:ascii="Times New Roman" w:eastAsia="Times New Roman" w:hAnsi="Times New Roman"/>
                <w:sz w:val="24"/>
                <w:szCs w:val="24"/>
                <w:lang w:eastAsia="lv-LV"/>
              </w:rPr>
              <w:t>eID</w:t>
            </w:r>
            <w:proofErr w:type="spellEnd"/>
            <w:r w:rsidRPr="003350E9">
              <w:rPr>
                <w:rFonts w:ascii="Times New Roman" w:eastAsia="Times New Roman" w:hAnsi="Times New Roman"/>
                <w:sz w:val="24"/>
                <w:szCs w:val="24"/>
                <w:lang w:eastAsia="lv-LV"/>
              </w:rPr>
              <w:t xml:space="preserve"> karti kopā ar vēlētāju apliecību un kuru rīcībā nav derīga pase.</w:t>
            </w:r>
          </w:p>
          <w:p w:rsidR="00A55DD5" w:rsidRPr="003350E9" w:rsidRDefault="00A55DD5" w:rsidP="003350E9">
            <w:pPr>
              <w:spacing w:after="0" w:line="240" w:lineRule="auto"/>
              <w:jc w:val="both"/>
              <w:rPr>
                <w:rFonts w:ascii="Times New Roman" w:eastAsia="Times New Roman" w:hAnsi="Times New Roman"/>
                <w:sz w:val="24"/>
                <w:szCs w:val="24"/>
                <w:lang w:eastAsia="lv-LV"/>
              </w:rPr>
            </w:pPr>
          </w:p>
        </w:tc>
      </w:tr>
      <w:tr w:rsidR="00A55DD5" w:rsidRPr="003350E9" w:rsidTr="003350E9">
        <w:trPr>
          <w:trHeight w:val="510"/>
        </w:trPr>
        <w:tc>
          <w:tcPr>
            <w:tcW w:w="441"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3.</w:t>
            </w:r>
          </w:p>
        </w:tc>
        <w:tc>
          <w:tcPr>
            <w:tcW w:w="1402"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Administratīvo izmaksu monetārs novērtējums</w:t>
            </w:r>
          </w:p>
        </w:tc>
        <w:tc>
          <w:tcPr>
            <w:tcW w:w="3157" w:type="pct"/>
            <w:tcBorders>
              <w:top w:val="outset" w:sz="6" w:space="0" w:color="414142"/>
              <w:left w:val="outset" w:sz="6" w:space="0" w:color="414142"/>
              <w:bottom w:val="outset" w:sz="6" w:space="0" w:color="414142"/>
              <w:right w:val="outset" w:sz="6" w:space="0" w:color="414142"/>
            </w:tcBorders>
          </w:tcPr>
          <w:p w:rsidR="00A55DD5" w:rsidRPr="003350E9" w:rsidRDefault="00CC2676" w:rsidP="003350E9">
            <w:pPr>
              <w:spacing w:after="0" w:line="240" w:lineRule="auto"/>
              <w:jc w:val="both"/>
              <w:rPr>
                <w:rFonts w:ascii="Times New Roman" w:eastAsia="Times New Roman" w:hAnsi="Times New Roman"/>
                <w:color w:val="8064A2"/>
                <w:sz w:val="24"/>
                <w:szCs w:val="24"/>
                <w:lang w:eastAsia="lv-LV"/>
              </w:rPr>
            </w:pPr>
            <w:r w:rsidRPr="003350E9">
              <w:rPr>
                <w:rFonts w:ascii="Times New Roman" w:eastAsia="Times New Roman" w:hAnsi="Times New Roman"/>
                <w:sz w:val="24"/>
                <w:szCs w:val="24"/>
                <w:lang w:eastAsia="lv-LV"/>
              </w:rPr>
              <w:t xml:space="preserve">Ņemot vērā, ka </w:t>
            </w:r>
            <w:r w:rsidRPr="003350E9">
              <w:rPr>
                <w:rFonts w:ascii="Times New Roman" w:eastAsia="Times New Roman" w:hAnsi="Times New Roman"/>
                <w:sz w:val="24"/>
                <w:szCs w:val="24"/>
                <w:lang w:eastAsia="lv-LV"/>
              </w:rPr>
              <w:t>Pilsonības un migrāciju lietu p</w:t>
            </w:r>
            <w:r w:rsidRPr="003350E9">
              <w:rPr>
                <w:rFonts w:ascii="Times New Roman" w:eastAsia="Times New Roman" w:hAnsi="Times New Roman"/>
                <w:sz w:val="24"/>
                <w:szCs w:val="24"/>
                <w:lang w:eastAsia="lv-LV"/>
              </w:rPr>
              <w:t>ārvaldei būs jānodrošina elektroniskā Vēlētāju reģistra tehniskais risinājums, bet tiek samazināts administratīvais slogs saistībā ar vēlētāju apliecību izsniegšanu a</w:t>
            </w:r>
            <w:r w:rsidRPr="003350E9">
              <w:rPr>
                <w:rFonts w:ascii="Times New Roman" w:eastAsia="Times New Roman" w:hAnsi="Times New Roman"/>
                <w:sz w:val="24"/>
                <w:szCs w:val="24"/>
                <w:lang w:eastAsia="lv-LV"/>
              </w:rPr>
              <w:t>dministratīvo izmaksu monetār</w:t>
            </w:r>
            <w:r w:rsidRPr="003350E9">
              <w:rPr>
                <w:rFonts w:ascii="Times New Roman" w:eastAsia="Times New Roman" w:hAnsi="Times New Roman"/>
                <w:sz w:val="24"/>
                <w:szCs w:val="24"/>
                <w:lang w:eastAsia="lv-LV"/>
              </w:rPr>
              <w:t>ajam novērtējumam vajadzīga padziļināta izpēta, ko būs iespējams veikt pēc elektroniskā Vēlētāju reģistra ieviešanas.</w:t>
            </w:r>
          </w:p>
        </w:tc>
      </w:tr>
      <w:tr w:rsidR="00A55DD5" w:rsidRPr="003350E9" w:rsidTr="003350E9">
        <w:trPr>
          <w:trHeight w:val="345"/>
        </w:trPr>
        <w:tc>
          <w:tcPr>
            <w:tcW w:w="441"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4.</w:t>
            </w:r>
          </w:p>
        </w:tc>
        <w:tc>
          <w:tcPr>
            <w:tcW w:w="1402"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Cita informācija</w:t>
            </w:r>
          </w:p>
        </w:tc>
        <w:tc>
          <w:tcPr>
            <w:tcW w:w="3157" w:type="pct"/>
            <w:tcBorders>
              <w:top w:val="outset" w:sz="6" w:space="0" w:color="414142"/>
              <w:left w:val="outset" w:sz="6" w:space="0" w:color="414142"/>
              <w:bottom w:val="outset" w:sz="6" w:space="0" w:color="414142"/>
              <w:right w:val="outset" w:sz="6" w:space="0" w:color="414142"/>
            </w:tcBorders>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Nav</w:t>
            </w:r>
          </w:p>
        </w:tc>
      </w:tr>
    </w:tbl>
    <w:p w:rsidR="003350E9" w:rsidRPr="003350E9" w:rsidRDefault="003350E9" w:rsidP="003350E9">
      <w:pPr>
        <w:shd w:val="clear" w:color="auto" w:fill="FFFFFF"/>
        <w:spacing w:after="0" w:line="240" w:lineRule="auto"/>
        <w:ind w:firstLine="300"/>
        <w:rPr>
          <w:rFonts w:ascii="Times New Roman" w:eastAsia="Times New Roman" w:hAnsi="Times New Roman"/>
          <w:sz w:val="24"/>
          <w:szCs w:val="24"/>
          <w:lang w:eastAsia="lv-LV"/>
        </w:rPr>
      </w:pPr>
    </w:p>
    <w:tbl>
      <w:tblPr>
        <w:tblW w:w="5559" w:type="pct"/>
        <w:tblInd w:w="-434"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3252"/>
        <w:gridCol w:w="1077"/>
        <w:gridCol w:w="1411"/>
        <w:gridCol w:w="995"/>
        <w:gridCol w:w="1077"/>
        <w:gridCol w:w="2255"/>
      </w:tblGrid>
      <w:tr w:rsidR="003350E9" w:rsidRPr="001561EC" w:rsidTr="003350E9">
        <w:trPr>
          <w:trHeight w:val="360"/>
        </w:trPr>
        <w:tc>
          <w:tcPr>
            <w:tcW w:w="5000" w:type="pct"/>
            <w:gridSpan w:val="6"/>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III. Tiesību akta projekta ietekme uz valsts budžetu un pašvaldību budžetiem</w:t>
            </w:r>
          </w:p>
        </w:tc>
      </w:tr>
      <w:tr w:rsidR="003350E9" w:rsidRPr="001561EC" w:rsidTr="003350E9">
        <w:tc>
          <w:tcPr>
            <w:tcW w:w="1615" w:type="pct"/>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Rādītāji</w:t>
            </w:r>
          </w:p>
        </w:tc>
        <w:tc>
          <w:tcPr>
            <w:tcW w:w="1236" w:type="pct"/>
            <w:gridSpan w:val="2"/>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n-</w:t>
            </w:r>
            <w:proofErr w:type="spellStart"/>
            <w:r w:rsidRPr="001561EC">
              <w:rPr>
                <w:rFonts w:ascii="Times New Roman" w:eastAsia="Times New Roman" w:hAnsi="Times New Roman"/>
                <w:b/>
                <w:bCs/>
                <w:color w:val="414142"/>
                <w:sz w:val="24"/>
                <w:szCs w:val="24"/>
                <w:lang w:eastAsia="lv-LV"/>
              </w:rPr>
              <w:t>tais</w:t>
            </w:r>
            <w:proofErr w:type="spellEnd"/>
            <w:r w:rsidRPr="001561EC">
              <w:rPr>
                <w:rFonts w:ascii="Times New Roman" w:eastAsia="Times New Roman" w:hAnsi="Times New Roman"/>
                <w:b/>
                <w:bCs/>
                <w:color w:val="414142"/>
                <w:sz w:val="24"/>
                <w:szCs w:val="24"/>
                <w:lang w:eastAsia="lv-LV"/>
              </w:rPr>
              <w:t xml:space="preserve"> gads</w:t>
            </w:r>
          </w:p>
        </w:tc>
        <w:tc>
          <w:tcPr>
            <w:tcW w:w="2149"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Turpmākie trīs gadi (</w:t>
            </w:r>
            <w:proofErr w:type="spellStart"/>
            <w:r w:rsidRPr="001561EC">
              <w:rPr>
                <w:rFonts w:ascii="Times New Roman" w:eastAsia="Times New Roman" w:hAnsi="Times New Roman"/>
                <w:i/>
                <w:iCs/>
                <w:color w:val="414142"/>
                <w:sz w:val="24"/>
                <w:szCs w:val="24"/>
                <w:lang w:eastAsia="lv-LV"/>
              </w:rPr>
              <w:t>euro</w:t>
            </w:r>
            <w:proofErr w:type="spellEnd"/>
            <w:r w:rsidRPr="001561EC">
              <w:rPr>
                <w:rFonts w:ascii="Times New Roman" w:eastAsia="Times New Roman" w:hAnsi="Times New Roman"/>
                <w:color w:val="414142"/>
                <w:sz w:val="24"/>
                <w:szCs w:val="24"/>
                <w:lang w:eastAsia="lv-LV"/>
              </w:rPr>
              <w:t>)</w:t>
            </w:r>
          </w:p>
        </w:tc>
      </w:tr>
      <w:tr w:rsidR="003350E9" w:rsidRPr="003350E9" w:rsidTr="003350E9">
        <w:tc>
          <w:tcPr>
            <w:tcW w:w="161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b/>
                <w:bCs/>
                <w:color w:val="414142"/>
                <w:sz w:val="24"/>
                <w:szCs w:val="24"/>
                <w:lang w:eastAsia="lv-LV"/>
              </w:rPr>
            </w:pPr>
          </w:p>
        </w:tc>
        <w:tc>
          <w:tcPr>
            <w:tcW w:w="0" w:type="auto"/>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b/>
                <w:bCs/>
                <w:color w:val="414142"/>
                <w:sz w:val="24"/>
                <w:szCs w:val="24"/>
                <w:lang w:eastAsia="lv-LV"/>
              </w:rPr>
            </w:pPr>
          </w:p>
        </w:tc>
        <w:tc>
          <w:tcPr>
            <w:tcW w:w="494"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n+1</w:t>
            </w: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n+2</w:t>
            </w:r>
          </w:p>
        </w:tc>
        <w:tc>
          <w:tcPr>
            <w:tcW w:w="11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b/>
                <w:bCs/>
                <w:color w:val="414142"/>
                <w:sz w:val="24"/>
                <w:szCs w:val="24"/>
                <w:lang w:eastAsia="lv-LV"/>
              </w:rPr>
            </w:pPr>
            <w:r w:rsidRPr="001561EC">
              <w:rPr>
                <w:rFonts w:ascii="Times New Roman" w:eastAsia="Times New Roman" w:hAnsi="Times New Roman"/>
                <w:b/>
                <w:bCs/>
                <w:color w:val="414142"/>
                <w:sz w:val="24"/>
                <w:szCs w:val="24"/>
                <w:lang w:eastAsia="lv-LV"/>
              </w:rPr>
              <w:t>n+3</w:t>
            </w:r>
          </w:p>
        </w:tc>
      </w:tr>
      <w:tr w:rsidR="003350E9" w:rsidRPr="003350E9" w:rsidTr="003350E9">
        <w:tc>
          <w:tcPr>
            <w:tcW w:w="161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b/>
                <w:bCs/>
                <w:color w:val="414142"/>
                <w:sz w:val="24"/>
                <w:szCs w:val="24"/>
                <w:lang w:eastAsia="lv-LV"/>
              </w:rPr>
            </w:pP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saskaņā ar valsts budžetu kārtējam gadam</w:t>
            </w:r>
          </w:p>
        </w:tc>
        <w:tc>
          <w:tcPr>
            <w:tcW w:w="70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izmaiņas kārtējā gadā, salīdzinot ar valsts budžetu kārtējam gadam</w:t>
            </w:r>
          </w:p>
        </w:tc>
        <w:tc>
          <w:tcPr>
            <w:tcW w:w="494"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izmaiņas, salīdzinot ar kārtējo (n) gadu</w:t>
            </w: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izmaiņas, salīdzinot ar kārtējo (n) gadu</w:t>
            </w:r>
          </w:p>
        </w:tc>
        <w:tc>
          <w:tcPr>
            <w:tcW w:w="11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izmaiņas, salīdzinot ar kārtējo (n) gadu</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1</w:t>
            </w: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2</w:t>
            </w:r>
          </w:p>
        </w:tc>
        <w:tc>
          <w:tcPr>
            <w:tcW w:w="70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3</w:t>
            </w:r>
          </w:p>
        </w:tc>
        <w:tc>
          <w:tcPr>
            <w:tcW w:w="494"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4</w:t>
            </w: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5</w:t>
            </w:r>
          </w:p>
        </w:tc>
        <w:tc>
          <w:tcPr>
            <w:tcW w:w="11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6</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1. Budžeta ieņēmumi:</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1.1. valsts pamatbudžets, tai skaitā ieņēmumi no maksas pakalpojumiem un citi pašu ieņēmumi</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1.2. valsts speciālais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1.3. pašvaldību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2. Budžeta izdevumi:</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2.1. valsts pamatbudžets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2.2. valsts speciālais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2.3. pašvaldību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3. Finansiālā ietekme:</w:t>
            </w:r>
          </w:p>
        </w:tc>
        <w:tc>
          <w:tcPr>
            <w:tcW w:w="53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3.1. valsts pamatbudžets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lastRenderedPageBreak/>
              <w:t>3.2. speciālais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3.3. pašvaldību budžets</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4. Finanšu līdzekļi papildu izdevumu finansēšanai (kompensējošu izdevumu samazinājumu norāda ar "+" zīmi)</w:t>
            </w:r>
          </w:p>
        </w:tc>
        <w:tc>
          <w:tcPr>
            <w:tcW w:w="535"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X</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5. Precizēta finansiālā ietekme:</w:t>
            </w:r>
          </w:p>
        </w:tc>
        <w:tc>
          <w:tcPr>
            <w:tcW w:w="535"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jc w:val="center"/>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X</w:t>
            </w: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5.1. valsts pamatbudžets</w:t>
            </w: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5.2. speciālais budžets</w:t>
            </w: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3350E9"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5.3. pašvaldību budžets</w:t>
            </w: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c>
          <w:tcPr>
            <w:tcW w:w="701"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494"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53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c>
          <w:tcPr>
            <w:tcW w:w="1120"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1561EC"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6. Detalizēts ieņēmumu un izdevumu aprēķins (ja nepieciešams, detalizētu ieņēmumu un izdevumu aprēķinu var pievienot anotācijas pielikumā):</w:t>
            </w:r>
          </w:p>
        </w:tc>
        <w:tc>
          <w:tcPr>
            <w:tcW w:w="3385" w:type="pct"/>
            <w:gridSpan w:val="5"/>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 </w:t>
            </w:r>
          </w:p>
        </w:tc>
      </w:tr>
      <w:tr w:rsidR="003350E9" w:rsidRPr="001561EC"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6.1. detalizēts ieņēmumu aprēķins</w:t>
            </w:r>
          </w:p>
        </w:tc>
        <w:tc>
          <w:tcPr>
            <w:tcW w:w="3385" w:type="pct"/>
            <w:gridSpan w:val="5"/>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r>
      <w:tr w:rsidR="003350E9" w:rsidRPr="001561EC" w:rsidTr="003350E9">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6.2. detalizēts izdevumu aprēķins</w:t>
            </w:r>
          </w:p>
        </w:tc>
        <w:tc>
          <w:tcPr>
            <w:tcW w:w="3385" w:type="pct"/>
            <w:gridSpan w:val="5"/>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r>
      <w:tr w:rsidR="003350E9" w:rsidRPr="001561EC" w:rsidTr="003350E9">
        <w:trPr>
          <w:trHeight w:val="555"/>
        </w:trPr>
        <w:tc>
          <w:tcPr>
            <w:tcW w:w="1615" w:type="pct"/>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r w:rsidRPr="001561EC">
              <w:rPr>
                <w:rFonts w:ascii="Times New Roman" w:eastAsia="Times New Roman" w:hAnsi="Times New Roman"/>
                <w:color w:val="414142"/>
                <w:sz w:val="24"/>
                <w:szCs w:val="24"/>
                <w:lang w:eastAsia="lv-LV"/>
              </w:rPr>
              <w:t>7. Cita informācija</w:t>
            </w:r>
          </w:p>
        </w:tc>
        <w:tc>
          <w:tcPr>
            <w:tcW w:w="3385"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3350E9" w:rsidRPr="001561EC" w:rsidRDefault="003350E9" w:rsidP="003350E9">
            <w:pPr>
              <w:spacing w:after="0" w:line="240" w:lineRule="auto"/>
              <w:rPr>
                <w:rFonts w:ascii="Times New Roman" w:eastAsia="Times New Roman" w:hAnsi="Times New Roman"/>
                <w:color w:val="414142"/>
                <w:sz w:val="24"/>
                <w:szCs w:val="24"/>
                <w:lang w:eastAsia="lv-LV"/>
              </w:rPr>
            </w:pPr>
          </w:p>
        </w:tc>
      </w:tr>
    </w:tbl>
    <w:p w:rsidR="00A55DD5" w:rsidRPr="003350E9" w:rsidRDefault="00A55DD5" w:rsidP="003350E9">
      <w:pPr>
        <w:shd w:val="clear" w:color="auto" w:fill="FFFFFF"/>
        <w:spacing w:after="0" w:line="240" w:lineRule="auto"/>
        <w:ind w:firstLine="301"/>
        <w:rPr>
          <w:rFonts w:ascii="Times New Roman" w:hAnsi="Times New Roman"/>
          <w:sz w:val="24"/>
          <w:szCs w:val="24"/>
        </w:rPr>
      </w:pPr>
    </w:p>
    <w:tbl>
      <w:tblPr>
        <w:tblW w:w="5558" w:type="pct"/>
        <w:tblInd w:w="-434"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888"/>
        <w:gridCol w:w="2625"/>
        <w:gridCol w:w="6553"/>
      </w:tblGrid>
      <w:tr w:rsidR="00FD411D" w:rsidRPr="003350E9" w:rsidTr="003350E9">
        <w:trPr>
          <w:trHeight w:val="450"/>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FD411D" w:rsidRPr="003350E9" w:rsidRDefault="00FD411D" w:rsidP="003350E9">
            <w:pPr>
              <w:spacing w:after="0" w:line="240" w:lineRule="auto"/>
              <w:jc w:val="center"/>
              <w:rPr>
                <w:rFonts w:ascii="Times New Roman" w:hAnsi="Times New Roman"/>
                <w:b/>
                <w:bCs/>
                <w:sz w:val="24"/>
                <w:szCs w:val="24"/>
              </w:rPr>
            </w:pPr>
            <w:r w:rsidRPr="003350E9">
              <w:rPr>
                <w:rFonts w:ascii="Times New Roman" w:hAnsi="Times New Roman"/>
                <w:b/>
                <w:bCs/>
                <w:sz w:val="24"/>
                <w:szCs w:val="24"/>
              </w:rPr>
              <w:t>IV. Tiesību akta projekta ietekme uz spēkā esošo tiesību normu sistēmu</w:t>
            </w:r>
          </w:p>
        </w:tc>
      </w:tr>
      <w:tr w:rsidR="003350E9" w:rsidRPr="003350E9" w:rsidTr="003350E9">
        <w:tc>
          <w:tcPr>
            <w:tcW w:w="441"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1.</w:t>
            </w:r>
          </w:p>
        </w:tc>
        <w:tc>
          <w:tcPr>
            <w:tcW w:w="1304"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Nepieciešamie saistītie tiesību aktu projekti</w:t>
            </w:r>
          </w:p>
        </w:tc>
        <w:tc>
          <w:tcPr>
            <w:tcW w:w="3255"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jc w:val="both"/>
              <w:rPr>
                <w:rFonts w:ascii="Times New Roman" w:hAnsi="Times New Roman"/>
                <w:sz w:val="24"/>
                <w:szCs w:val="24"/>
              </w:rPr>
            </w:pPr>
            <w:r w:rsidRPr="003350E9">
              <w:rPr>
                <w:rFonts w:ascii="Times New Roman" w:hAnsi="Times New Roman"/>
                <w:sz w:val="24"/>
                <w:szCs w:val="24"/>
              </w:rPr>
              <w:t>Nepieciešams veikt grozījumus 2006. gada 3.oktobra Ministru kabineta noteikumos Nr. 811 “Pilsonības un migrācijas lietu pārvaldes nolikums”, papildinot to ar funkcijām un uzdevumiem, kas nepieciešami, lai izveidotu un uzturētu elektronisko Vēlētāju reģistru.</w:t>
            </w:r>
            <w:r w:rsidRPr="003350E9">
              <w:rPr>
                <w:rFonts w:ascii="Times New Roman" w:hAnsi="Times New Roman"/>
                <w:sz w:val="24"/>
                <w:szCs w:val="24"/>
              </w:rPr>
              <w:br/>
            </w:r>
          </w:p>
        </w:tc>
      </w:tr>
      <w:tr w:rsidR="003350E9" w:rsidRPr="003350E9" w:rsidTr="003350E9">
        <w:tc>
          <w:tcPr>
            <w:tcW w:w="441"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2.</w:t>
            </w:r>
          </w:p>
        </w:tc>
        <w:tc>
          <w:tcPr>
            <w:tcW w:w="1304"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Atbildīgā institūcija</w:t>
            </w:r>
          </w:p>
        </w:tc>
        <w:tc>
          <w:tcPr>
            <w:tcW w:w="3255"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proofErr w:type="spellStart"/>
            <w:r w:rsidRPr="003350E9">
              <w:rPr>
                <w:rFonts w:ascii="Times New Roman" w:hAnsi="Times New Roman"/>
                <w:sz w:val="24"/>
                <w:szCs w:val="24"/>
              </w:rPr>
              <w:t>Iekšlietu</w:t>
            </w:r>
            <w:proofErr w:type="spellEnd"/>
            <w:r w:rsidRPr="003350E9">
              <w:rPr>
                <w:rFonts w:ascii="Times New Roman" w:hAnsi="Times New Roman"/>
                <w:sz w:val="24"/>
                <w:szCs w:val="24"/>
              </w:rPr>
              <w:t xml:space="preserve"> ministrija</w:t>
            </w:r>
          </w:p>
        </w:tc>
      </w:tr>
      <w:tr w:rsidR="003350E9" w:rsidRPr="003350E9" w:rsidTr="003350E9">
        <w:tc>
          <w:tcPr>
            <w:tcW w:w="441"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3.</w:t>
            </w:r>
          </w:p>
        </w:tc>
        <w:tc>
          <w:tcPr>
            <w:tcW w:w="1304"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Cita informācija</w:t>
            </w:r>
          </w:p>
        </w:tc>
        <w:tc>
          <w:tcPr>
            <w:tcW w:w="3255" w:type="pct"/>
            <w:tcBorders>
              <w:top w:val="outset" w:sz="6" w:space="0" w:color="414142"/>
              <w:left w:val="outset" w:sz="6" w:space="0" w:color="414142"/>
              <w:bottom w:val="outset" w:sz="6" w:space="0" w:color="414142"/>
              <w:right w:val="outset" w:sz="6" w:space="0" w:color="414142"/>
            </w:tcBorders>
            <w:shd w:val="clear" w:color="auto" w:fill="FFFFFF"/>
            <w:hideMark/>
          </w:tcPr>
          <w:p w:rsidR="00FD411D" w:rsidRPr="003350E9" w:rsidRDefault="00FD411D" w:rsidP="003350E9">
            <w:pPr>
              <w:spacing w:after="0" w:line="240" w:lineRule="auto"/>
              <w:rPr>
                <w:rFonts w:ascii="Times New Roman" w:hAnsi="Times New Roman"/>
                <w:sz w:val="24"/>
                <w:szCs w:val="24"/>
              </w:rPr>
            </w:pPr>
            <w:r w:rsidRPr="003350E9">
              <w:rPr>
                <w:rFonts w:ascii="Times New Roman" w:hAnsi="Times New Roman"/>
                <w:sz w:val="24"/>
                <w:szCs w:val="24"/>
              </w:rPr>
              <w:t>Nav.</w:t>
            </w:r>
          </w:p>
        </w:tc>
      </w:tr>
    </w:tbl>
    <w:p w:rsidR="00FD411D" w:rsidRPr="003350E9" w:rsidRDefault="00FD411D" w:rsidP="003350E9">
      <w:pPr>
        <w:shd w:val="clear" w:color="auto" w:fill="FFFFFF"/>
        <w:spacing w:after="0" w:line="240" w:lineRule="auto"/>
        <w:ind w:firstLine="301"/>
        <w:rPr>
          <w:rFonts w:ascii="Times New Roman" w:hAnsi="Times New Roman"/>
          <w:sz w:val="24"/>
          <w:szCs w:val="24"/>
        </w:rPr>
      </w:pPr>
    </w:p>
    <w:p w:rsidR="00FD411D" w:rsidRPr="003350E9" w:rsidRDefault="00FD411D" w:rsidP="003350E9">
      <w:pPr>
        <w:shd w:val="clear" w:color="auto" w:fill="FFFFFF"/>
        <w:spacing w:after="0" w:line="240" w:lineRule="auto"/>
        <w:ind w:firstLine="301"/>
        <w:rPr>
          <w:rFonts w:ascii="Times New Roman" w:hAnsi="Times New Roman"/>
          <w:sz w:val="24"/>
          <w:szCs w:val="24"/>
        </w:rPr>
      </w:pPr>
    </w:p>
    <w:tbl>
      <w:tblPr>
        <w:tblW w:w="5602"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145"/>
      </w:tblGrid>
      <w:tr w:rsidR="00471526" w:rsidRPr="003350E9" w:rsidTr="006861BD">
        <w:trPr>
          <w:trHeight w:val="450"/>
          <w:jc w:val="center"/>
        </w:trPr>
        <w:tc>
          <w:tcPr>
            <w:tcW w:w="50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rsidR="00471526" w:rsidRPr="003350E9" w:rsidRDefault="00471526" w:rsidP="003350E9">
            <w:pPr>
              <w:spacing w:after="0" w:line="240" w:lineRule="auto"/>
              <w:jc w:val="center"/>
              <w:rPr>
                <w:rFonts w:ascii="Times New Roman" w:eastAsia="Times New Roman" w:hAnsi="Times New Roman"/>
                <w:b/>
                <w:bCs/>
                <w:sz w:val="24"/>
                <w:szCs w:val="24"/>
                <w:lang w:eastAsia="lv-LV"/>
              </w:rPr>
            </w:pPr>
            <w:r w:rsidRPr="003350E9">
              <w:rPr>
                <w:rFonts w:ascii="Times New Roman" w:hAnsi="Times New Roman"/>
                <w:b/>
                <w:bCs/>
                <w:sz w:val="24"/>
                <w:szCs w:val="24"/>
              </w:rPr>
              <w:t>V. Tiesību akta projekta atbilstība Latvijas Republikas starptautiskajām saistībām</w:t>
            </w:r>
          </w:p>
        </w:tc>
      </w:tr>
      <w:tr w:rsidR="00471526" w:rsidRPr="003350E9" w:rsidTr="006861BD">
        <w:trPr>
          <w:trHeight w:val="450"/>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rsidR="00471526" w:rsidRPr="003350E9" w:rsidRDefault="00471526" w:rsidP="003350E9">
            <w:pPr>
              <w:spacing w:after="0" w:line="240" w:lineRule="auto"/>
              <w:ind w:left="300"/>
              <w:jc w:val="center"/>
              <w:rPr>
                <w:rFonts w:ascii="Times New Roman" w:eastAsia="Times New Roman" w:hAnsi="Times New Roman"/>
                <w:b/>
                <w:bCs/>
                <w:sz w:val="24"/>
                <w:szCs w:val="24"/>
                <w:lang w:eastAsia="lv-LV"/>
              </w:rPr>
            </w:pPr>
            <w:r w:rsidRPr="003350E9">
              <w:rPr>
                <w:rFonts w:ascii="Times New Roman" w:hAnsi="Times New Roman"/>
                <w:iCs/>
                <w:sz w:val="24"/>
                <w:szCs w:val="24"/>
              </w:rPr>
              <w:t>Likumprojekts šo jomu neskar.</w:t>
            </w:r>
          </w:p>
        </w:tc>
      </w:tr>
    </w:tbl>
    <w:p w:rsidR="00471526" w:rsidRPr="003350E9" w:rsidRDefault="00471526" w:rsidP="003350E9">
      <w:pPr>
        <w:shd w:val="clear" w:color="auto" w:fill="FFFFFF"/>
        <w:spacing w:after="0" w:line="240" w:lineRule="auto"/>
        <w:ind w:firstLine="301"/>
        <w:rPr>
          <w:rFonts w:ascii="Times New Roman" w:hAnsi="Times New Roman"/>
          <w:sz w:val="24"/>
          <w:szCs w:val="24"/>
        </w:rPr>
      </w:pPr>
    </w:p>
    <w:tbl>
      <w:tblPr>
        <w:tblW w:w="5577"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743"/>
        <w:gridCol w:w="2109"/>
        <w:gridCol w:w="7248"/>
      </w:tblGrid>
      <w:tr w:rsidR="00A55DD5" w:rsidRPr="003350E9" w:rsidTr="003350E9">
        <w:trPr>
          <w:trHeight w:val="420"/>
          <w:jc w:val="center"/>
        </w:trPr>
        <w:tc>
          <w:tcPr>
            <w:tcW w:w="10100" w:type="dxa"/>
            <w:gridSpan w:val="3"/>
            <w:tcBorders>
              <w:top w:val="outset" w:sz="6" w:space="0" w:color="414142"/>
              <w:left w:val="outset" w:sz="6" w:space="0" w:color="414142"/>
              <w:bottom w:val="outset" w:sz="6" w:space="0" w:color="414142"/>
              <w:right w:val="outset" w:sz="6" w:space="0" w:color="414142"/>
            </w:tcBorders>
            <w:vAlign w:val="center"/>
            <w:hideMark/>
          </w:tcPr>
          <w:p w:rsidR="00A55DD5" w:rsidRPr="003350E9" w:rsidRDefault="00A55DD5" w:rsidP="003350E9">
            <w:pPr>
              <w:spacing w:after="0" w:line="240" w:lineRule="auto"/>
              <w:jc w:val="center"/>
              <w:rPr>
                <w:rFonts w:ascii="Times New Roman" w:eastAsia="Times New Roman" w:hAnsi="Times New Roman"/>
                <w:b/>
                <w:bCs/>
                <w:sz w:val="24"/>
                <w:szCs w:val="24"/>
                <w:lang w:eastAsia="lv-LV"/>
              </w:rPr>
            </w:pPr>
            <w:r w:rsidRPr="003350E9">
              <w:rPr>
                <w:rFonts w:ascii="Times New Roman" w:eastAsia="Times New Roman" w:hAnsi="Times New Roman"/>
                <w:b/>
                <w:bCs/>
                <w:sz w:val="24"/>
                <w:szCs w:val="24"/>
                <w:lang w:eastAsia="lv-LV"/>
              </w:rPr>
              <w:t>VI. Sabiedrības līdzdalība un komunikācijas aktivitātes</w:t>
            </w:r>
          </w:p>
        </w:tc>
      </w:tr>
      <w:tr w:rsidR="00A55DD5" w:rsidRPr="003350E9" w:rsidTr="003350E9">
        <w:trPr>
          <w:trHeight w:val="540"/>
          <w:jc w:val="center"/>
        </w:trPr>
        <w:tc>
          <w:tcPr>
            <w:tcW w:w="743"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1.</w:t>
            </w:r>
          </w:p>
        </w:tc>
        <w:tc>
          <w:tcPr>
            <w:tcW w:w="2109"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 xml:space="preserve">Plānotās sabiedrības līdzdalības un komunikācijas </w:t>
            </w:r>
            <w:r w:rsidRPr="003350E9">
              <w:rPr>
                <w:rFonts w:ascii="Times New Roman" w:eastAsia="Times New Roman" w:hAnsi="Times New Roman"/>
                <w:sz w:val="24"/>
                <w:szCs w:val="24"/>
                <w:lang w:eastAsia="lv-LV"/>
              </w:rPr>
              <w:lastRenderedPageBreak/>
              <w:t>aktivitātes saistībā ar projektu</w:t>
            </w:r>
          </w:p>
        </w:tc>
        <w:tc>
          <w:tcPr>
            <w:tcW w:w="7248" w:type="dxa"/>
            <w:tcBorders>
              <w:top w:val="outset" w:sz="6" w:space="0" w:color="414142"/>
              <w:left w:val="outset" w:sz="6" w:space="0" w:color="414142"/>
              <w:bottom w:val="outset" w:sz="6" w:space="0" w:color="414142"/>
              <w:right w:val="outset" w:sz="6" w:space="0" w:color="414142"/>
            </w:tcBorders>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lastRenderedPageBreak/>
              <w:t xml:space="preserve">Likumprojekts ievietots VARAM tīmekļa vietnē </w:t>
            </w:r>
            <w:r w:rsidR="00471526" w:rsidRPr="003350E9">
              <w:rPr>
                <w:rFonts w:ascii="Times New Roman" w:eastAsia="Times New Roman" w:hAnsi="Times New Roman"/>
                <w:sz w:val="24"/>
                <w:szCs w:val="24"/>
                <w:lang w:eastAsia="lv-LV"/>
              </w:rPr>
              <w:t>2017</w:t>
            </w:r>
            <w:r w:rsidRPr="003350E9">
              <w:rPr>
                <w:rFonts w:ascii="Times New Roman" w:eastAsia="Times New Roman" w:hAnsi="Times New Roman"/>
                <w:sz w:val="24"/>
                <w:szCs w:val="24"/>
                <w:lang w:eastAsia="lv-LV"/>
              </w:rPr>
              <w:t>.</w:t>
            </w:r>
            <w:r w:rsidR="00471526" w:rsidRPr="003350E9">
              <w:rPr>
                <w:rFonts w:ascii="Times New Roman" w:eastAsia="Times New Roman" w:hAnsi="Times New Roman"/>
                <w:sz w:val="24"/>
                <w:szCs w:val="24"/>
                <w:lang w:eastAsia="lv-LV"/>
              </w:rPr>
              <w:t>gada 1</w:t>
            </w:r>
            <w:r w:rsidRPr="003350E9">
              <w:rPr>
                <w:rFonts w:ascii="Times New Roman" w:eastAsia="Times New Roman" w:hAnsi="Times New Roman"/>
                <w:sz w:val="24"/>
                <w:szCs w:val="24"/>
                <w:lang w:eastAsia="lv-LV"/>
              </w:rPr>
              <w:t>.</w:t>
            </w:r>
            <w:r w:rsidR="00471526" w:rsidRPr="003350E9">
              <w:rPr>
                <w:rFonts w:ascii="Times New Roman" w:eastAsia="Times New Roman" w:hAnsi="Times New Roman"/>
                <w:sz w:val="24"/>
                <w:szCs w:val="24"/>
                <w:lang w:eastAsia="lv-LV"/>
              </w:rPr>
              <w:t>augustā</w:t>
            </w:r>
            <w:r w:rsidRPr="003350E9">
              <w:rPr>
                <w:rFonts w:ascii="Times New Roman" w:eastAsia="Times New Roman" w:hAnsi="Times New Roman"/>
                <w:sz w:val="24"/>
                <w:szCs w:val="24"/>
                <w:lang w:eastAsia="lv-LV"/>
              </w:rPr>
              <w:t>.</w:t>
            </w:r>
          </w:p>
          <w:p w:rsidR="00A55DD5" w:rsidRPr="003350E9" w:rsidRDefault="00A55DD5" w:rsidP="003350E9">
            <w:pPr>
              <w:spacing w:after="0" w:line="240" w:lineRule="auto"/>
              <w:jc w:val="both"/>
              <w:rPr>
                <w:rFonts w:ascii="Times New Roman" w:eastAsia="Times New Roman" w:hAnsi="Times New Roman"/>
                <w:sz w:val="24"/>
                <w:szCs w:val="24"/>
                <w:lang w:eastAsia="lv-LV"/>
              </w:rPr>
            </w:pPr>
          </w:p>
        </w:tc>
      </w:tr>
      <w:tr w:rsidR="00A55DD5" w:rsidRPr="003350E9" w:rsidTr="003350E9">
        <w:trPr>
          <w:trHeight w:val="330"/>
          <w:jc w:val="center"/>
        </w:trPr>
        <w:tc>
          <w:tcPr>
            <w:tcW w:w="743"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2.</w:t>
            </w:r>
          </w:p>
        </w:tc>
        <w:tc>
          <w:tcPr>
            <w:tcW w:w="2109"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Sabiedrības līdzdalība projekta izstrādē</w:t>
            </w:r>
          </w:p>
        </w:tc>
        <w:tc>
          <w:tcPr>
            <w:tcW w:w="7248" w:type="dxa"/>
            <w:tcBorders>
              <w:top w:val="outset" w:sz="6" w:space="0" w:color="414142"/>
              <w:left w:val="outset" w:sz="6" w:space="0" w:color="414142"/>
              <w:bottom w:val="outset" w:sz="6" w:space="0" w:color="414142"/>
              <w:right w:val="outset" w:sz="6" w:space="0" w:color="414142"/>
            </w:tcBorders>
          </w:tcPr>
          <w:p w:rsidR="00A55DD5" w:rsidRPr="003350E9" w:rsidRDefault="00A55DD5" w:rsidP="003350E9">
            <w:pPr>
              <w:spacing w:after="0" w:line="240" w:lineRule="auto"/>
              <w:jc w:val="both"/>
              <w:rPr>
                <w:rFonts w:ascii="Times New Roman" w:hAnsi="Times New Roman"/>
                <w:sz w:val="24"/>
                <w:szCs w:val="24"/>
              </w:rPr>
            </w:pPr>
          </w:p>
        </w:tc>
      </w:tr>
      <w:tr w:rsidR="00A55DD5" w:rsidRPr="003350E9" w:rsidTr="003350E9">
        <w:trPr>
          <w:trHeight w:val="465"/>
          <w:jc w:val="center"/>
        </w:trPr>
        <w:tc>
          <w:tcPr>
            <w:tcW w:w="743"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3.</w:t>
            </w:r>
          </w:p>
        </w:tc>
        <w:tc>
          <w:tcPr>
            <w:tcW w:w="2109"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Sabiedrības līdzdalības rezultāti</w:t>
            </w:r>
          </w:p>
        </w:tc>
        <w:tc>
          <w:tcPr>
            <w:tcW w:w="7248"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p>
        </w:tc>
      </w:tr>
      <w:tr w:rsidR="00A55DD5" w:rsidRPr="003350E9" w:rsidTr="003350E9">
        <w:trPr>
          <w:trHeight w:val="465"/>
          <w:jc w:val="center"/>
        </w:trPr>
        <w:tc>
          <w:tcPr>
            <w:tcW w:w="743"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4.</w:t>
            </w:r>
          </w:p>
        </w:tc>
        <w:tc>
          <w:tcPr>
            <w:tcW w:w="2109"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Cita informācija</w:t>
            </w:r>
          </w:p>
        </w:tc>
        <w:tc>
          <w:tcPr>
            <w:tcW w:w="7248" w:type="dxa"/>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Nav</w:t>
            </w:r>
          </w:p>
        </w:tc>
      </w:tr>
    </w:tbl>
    <w:p w:rsidR="00A55DD5" w:rsidRPr="003350E9" w:rsidRDefault="00A55DD5" w:rsidP="003350E9">
      <w:pPr>
        <w:shd w:val="clear" w:color="auto" w:fill="FFFFFF"/>
        <w:spacing w:after="0" w:line="240" w:lineRule="auto"/>
        <w:rPr>
          <w:rFonts w:ascii="Times New Roman" w:eastAsia="Times New Roman" w:hAnsi="Times New Roman"/>
          <w:sz w:val="24"/>
          <w:szCs w:val="24"/>
          <w:lang w:eastAsia="lv-LV"/>
        </w:rPr>
      </w:pPr>
    </w:p>
    <w:tbl>
      <w:tblPr>
        <w:tblW w:w="5551"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455"/>
        <w:gridCol w:w="3370"/>
        <w:gridCol w:w="5228"/>
      </w:tblGrid>
      <w:tr w:rsidR="00A55DD5" w:rsidRPr="003350E9" w:rsidTr="006861BD">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A55DD5" w:rsidRPr="003350E9" w:rsidRDefault="00A55DD5" w:rsidP="003350E9">
            <w:pPr>
              <w:spacing w:after="0" w:line="240" w:lineRule="auto"/>
              <w:jc w:val="center"/>
              <w:rPr>
                <w:rFonts w:ascii="Times New Roman" w:eastAsia="Times New Roman" w:hAnsi="Times New Roman"/>
                <w:b/>
                <w:bCs/>
                <w:sz w:val="24"/>
                <w:szCs w:val="24"/>
                <w:lang w:eastAsia="lv-LV"/>
              </w:rPr>
            </w:pPr>
            <w:r w:rsidRPr="003350E9">
              <w:rPr>
                <w:rFonts w:ascii="Times New Roman" w:eastAsia="Times New Roman" w:hAnsi="Times New Roman"/>
                <w:b/>
                <w:bCs/>
                <w:sz w:val="24"/>
                <w:szCs w:val="24"/>
                <w:lang w:eastAsia="lv-LV"/>
              </w:rPr>
              <w:t>VII. Tiesību akta projekta izpildes nodrošināšana un tās ietekme uz institūcijām</w:t>
            </w:r>
          </w:p>
        </w:tc>
      </w:tr>
      <w:tr w:rsidR="00A55DD5" w:rsidRPr="003350E9" w:rsidTr="006861BD">
        <w:trPr>
          <w:trHeight w:val="381"/>
          <w:jc w:val="center"/>
        </w:trPr>
        <w:tc>
          <w:tcPr>
            <w:tcW w:w="724"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1.</w:t>
            </w:r>
          </w:p>
        </w:tc>
        <w:tc>
          <w:tcPr>
            <w:tcW w:w="1676"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Projekta izpildē iesaistītās institūcijas</w:t>
            </w:r>
          </w:p>
        </w:tc>
        <w:tc>
          <w:tcPr>
            <w:tcW w:w="2600" w:type="pct"/>
            <w:tcBorders>
              <w:top w:val="outset" w:sz="6" w:space="0" w:color="414142"/>
              <w:left w:val="outset" w:sz="6" w:space="0" w:color="414142"/>
              <w:bottom w:val="outset" w:sz="6" w:space="0" w:color="414142"/>
              <w:right w:val="outset" w:sz="6" w:space="0" w:color="414142"/>
            </w:tcBorders>
          </w:tcPr>
          <w:p w:rsidR="00A55DD5" w:rsidRPr="003350E9" w:rsidRDefault="00FD411D" w:rsidP="003350E9">
            <w:pPr>
              <w:spacing w:after="0" w:line="240" w:lineRule="auto"/>
              <w:jc w:val="both"/>
              <w:rPr>
                <w:rFonts w:ascii="Times New Roman" w:hAnsi="Times New Roman"/>
                <w:sz w:val="24"/>
                <w:szCs w:val="24"/>
              </w:rPr>
            </w:pPr>
            <w:r w:rsidRPr="003350E9">
              <w:rPr>
                <w:rFonts w:ascii="Times New Roman" w:eastAsia="Times New Roman" w:hAnsi="Times New Roman"/>
                <w:sz w:val="24"/>
                <w:szCs w:val="24"/>
                <w:lang w:eastAsia="lv-LV"/>
              </w:rPr>
              <w:t>Centrālā vēlēšanu komisija, Pilsonības un migrācijas lietu pārvalde</w:t>
            </w:r>
            <w:r w:rsidR="00A55DD5" w:rsidRPr="003350E9">
              <w:rPr>
                <w:rFonts w:ascii="Times New Roman" w:hAnsi="Times New Roman"/>
                <w:sz w:val="24"/>
                <w:szCs w:val="24"/>
              </w:rPr>
              <w:t>.</w:t>
            </w:r>
          </w:p>
        </w:tc>
      </w:tr>
      <w:tr w:rsidR="00A55DD5" w:rsidRPr="003350E9" w:rsidTr="006861BD">
        <w:trPr>
          <w:trHeight w:val="450"/>
          <w:jc w:val="center"/>
        </w:trPr>
        <w:tc>
          <w:tcPr>
            <w:tcW w:w="724"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2.</w:t>
            </w:r>
          </w:p>
        </w:tc>
        <w:tc>
          <w:tcPr>
            <w:tcW w:w="1676"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Projekta izpildes ietekme uz pārvaldes funkcijām un institucionālo struktūru.</w:t>
            </w:r>
          </w:p>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Jaunu institūciju izveide, esošu institūciju likvidācija vai reorganizācija, to ietekme uz institūcijas cilvēkresursiem</w:t>
            </w:r>
          </w:p>
        </w:tc>
        <w:tc>
          <w:tcPr>
            <w:tcW w:w="2600"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both"/>
              <w:rPr>
                <w:rFonts w:ascii="Times New Roman" w:eastAsia="Times New Roman" w:hAnsi="Times New Roman"/>
                <w:sz w:val="24"/>
                <w:szCs w:val="24"/>
                <w:lang w:eastAsia="lv-LV"/>
              </w:rPr>
            </w:pPr>
            <w:r w:rsidRPr="003350E9">
              <w:rPr>
                <w:rFonts w:ascii="Times New Roman" w:hAnsi="Times New Roman"/>
                <w:sz w:val="24"/>
                <w:szCs w:val="24"/>
              </w:rPr>
              <w:t xml:space="preserve">Likumprojekts </w:t>
            </w:r>
            <w:r w:rsidR="00FD411D" w:rsidRPr="003350E9">
              <w:rPr>
                <w:rFonts w:ascii="Times New Roman" w:hAnsi="Times New Roman"/>
                <w:sz w:val="24"/>
                <w:szCs w:val="24"/>
              </w:rPr>
              <w:t>paredz Pilsonības un migrācijas lietu pārvaldei jaunu funkciju saistībā ar elektroniskā Vēlētāju reģistra izveidi un uzturēšanu.</w:t>
            </w:r>
          </w:p>
        </w:tc>
      </w:tr>
      <w:tr w:rsidR="00A55DD5" w:rsidRPr="003350E9" w:rsidTr="006861BD">
        <w:trPr>
          <w:trHeight w:val="390"/>
          <w:jc w:val="center"/>
        </w:trPr>
        <w:tc>
          <w:tcPr>
            <w:tcW w:w="724"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jc w:val="center"/>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3.</w:t>
            </w:r>
          </w:p>
        </w:tc>
        <w:tc>
          <w:tcPr>
            <w:tcW w:w="1676" w:type="pct"/>
            <w:tcBorders>
              <w:top w:val="outset" w:sz="6" w:space="0" w:color="414142"/>
              <w:left w:val="outset" w:sz="6" w:space="0" w:color="414142"/>
              <w:bottom w:val="outset" w:sz="6" w:space="0" w:color="414142"/>
              <w:right w:val="outset" w:sz="6" w:space="0" w:color="414142"/>
            </w:tcBorders>
            <w:hideMark/>
          </w:tcPr>
          <w:p w:rsidR="00A55DD5" w:rsidRPr="003350E9" w:rsidRDefault="00A55DD5" w:rsidP="003350E9">
            <w:pPr>
              <w:spacing w:after="0" w:line="240" w:lineRule="auto"/>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Cita informācija</w:t>
            </w:r>
          </w:p>
        </w:tc>
        <w:tc>
          <w:tcPr>
            <w:tcW w:w="2600" w:type="pct"/>
            <w:tcBorders>
              <w:top w:val="outset" w:sz="6" w:space="0" w:color="414142"/>
              <w:left w:val="outset" w:sz="6" w:space="0" w:color="414142"/>
              <w:bottom w:val="outset" w:sz="6" w:space="0" w:color="414142"/>
              <w:right w:val="outset" w:sz="6" w:space="0" w:color="414142"/>
            </w:tcBorders>
            <w:hideMark/>
          </w:tcPr>
          <w:p w:rsidR="00A55DD5" w:rsidRPr="003350E9" w:rsidRDefault="00FD411D" w:rsidP="003350E9">
            <w:pPr>
              <w:spacing w:after="0" w:line="240" w:lineRule="auto"/>
              <w:jc w:val="both"/>
              <w:rPr>
                <w:rFonts w:ascii="Times New Roman" w:eastAsia="Times New Roman" w:hAnsi="Times New Roman"/>
                <w:sz w:val="24"/>
                <w:szCs w:val="24"/>
                <w:lang w:eastAsia="lv-LV"/>
              </w:rPr>
            </w:pPr>
            <w:r w:rsidRPr="003350E9">
              <w:rPr>
                <w:rFonts w:ascii="Times New Roman" w:eastAsia="Times New Roman" w:hAnsi="Times New Roman"/>
                <w:sz w:val="24"/>
                <w:szCs w:val="24"/>
                <w:lang w:eastAsia="lv-LV"/>
              </w:rPr>
              <w:t>Nav</w:t>
            </w:r>
          </w:p>
        </w:tc>
      </w:tr>
    </w:tbl>
    <w:p w:rsidR="00A55DD5" w:rsidRPr="003350E9" w:rsidRDefault="00A55DD5" w:rsidP="003350E9">
      <w:pPr>
        <w:spacing w:after="0" w:line="240" w:lineRule="auto"/>
        <w:rPr>
          <w:rFonts w:ascii="Times New Roman" w:hAnsi="Times New Roman"/>
          <w:sz w:val="24"/>
          <w:szCs w:val="24"/>
        </w:rPr>
      </w:pPr>
    </w:p>
    <w:p w:rsidR="00A55DD5" w:rsidRPr="003350E9" w:rsidRDefault="00A55DD5" w:rsidP="003350E9">
      <w:pPr>
        <w:spacing w:after="0" w:line="240" w:lineRule="auto"/>
        <w:rPr>
          <w:rFonts w:ascii="Times New Roman" w:hAnsi="Times New Roman"/>
          <w:sz w:val="24"/>
          <w:szCs w:val="24"/>
        </w:rPr>
      </w:pPr>
    </w:p>
    <w:p w:rsidR="00A55DD5" w:rsidRPr="003350E9" w:rsidRDefault="00A55DD5" w:rsidP="003350E9">
      <w:pPr>
        <w:spacing w:after="0" w:line="240" w:lineRule="auto"/>
        <w:rPr>
          <w:rFonts w:ascii="Times New Roman" w:hAnsi="Times New Roman"/>
          <w:sz w:val="24"/>
          <w:szCs w:val="24"/>
        </w:rPr>
      </w:pPr>
      <w:r w:rsidRPr="003350E9">
        <w:rPr>
          <w:rFonts w:ascii="Times New Roman" w:hAnsi="Times New Roman"/>
          <w:sz w:val="24"/>
          <w:szCs w:val="24"/>
        </w:rPr>
        <w:t>Vides aizsardzības un reģionālās</w:t>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t xml:space="preserve">         K. Gerhards</w:t>
      </w:r>
    </w:p>
    <w:p w:rsidR="00A55DD5" w:rsidRPr="003350E9" w:rsidRDefault="00A55DD5" w:rsidP="003350E9">
      <w:pPr>
        <w:spacing w:after="0" w:line="240" w:lineRule="auto"/>
        <w:rPr>
          <w:rFonts w:ascii="Times New Roman" w:hAnsi="Times New Roman"/>
          <w:sz w:val="24"/>
          <w:szCs w:val="24"/>
        </w:rPr>
      </w:pPr>
      <w:r w:rsidRPr="003350E9">
        <w:rPr>
          <w:rFonts w:ascii="Times New Roman" w:hAnsi="Times New Roman"/>
          <w:sz w:val="24"/>
          <w:szCs w:val="24"/>
        </w:rPr>
        <w:t>attīstības ministrs</w:t>
      </w:r>
    </w:p>
    <w:p w:rsidR="00A55DD5" w:rsidRPr="003350E9" w:rsidRDefault="00A55DD5" w:rsidP="003350E9">
      <w:pPr>
        <w:spacing w:after="0" w:line="240" w:lineRule="auto"/>
        <w:rPr>
          <w:rFonts w:ascii="Times New Roman" w:hAnsi="Times New Roman"/>
          <w:b/>
          <w:sz w:val="24"/>
          <w:szCs w:val="24"/>
        </w:rPr>
      </w:pPr>
    </w:p>
    <w:p w:rsidR="00A55DD5" w:rsidRPr="003350E9" w:rsidRDefault="00A55DD5" w:rsidP="003350E9">
      <w:pPr>
        <w:spacing w:after="0" w:line="240" w:lineRule="auto"/>
        <w:rPr>
          <w:rFonts w:ascii="Times New Roman" w:hAnsi="Times New Roman"/>
          <w:b/>
          <w:sz w:val="24"/>
          <w:szCs w:val="24"/>
        </w:rPr>
      </w:pPr>
      <w:r w:rsidRPr="003350E9">
        <w:rPr>
          <w:rFonts w:ascii="Times New Roman" w:hAnsi="Times New Roman"/>
          <w:b/>
          <w:sz w:val="24"/>
          <w:szCs w:val="24"/>
        </w:rPr>
        <w:t>Vīza:</w:t>
      </w:r>
    </w:p>
    <w:p w:rsidR="00A55DD5" w:rsidRPr="003350E9" w:rsidRDefault="00A55DD5" w:rsidP="003350E9">
      <w:pPr>
        <w:spacing w:after="0" w:line="240" w:lineRule="auto"/>
        <w:rPr>
          <w:rFonts w:ascii="Times New Roman" w:hAnsi="Times New Roman"/>
          <w:sz w:val="24"/>
          <w:szCs w:val="24"/>
        </w:rPr>
      </w:pPr>
      <w:r w:rsidRPr="003350E9">
        <w:rPr>
          <w:rFonts w:ascii="Times New Roman" w:hAnsi="Times New Roman"/>
          <w:sz w:val="24"/>
          <w:szCs w:val="24"/>
        </w:rPr>
        <w:t xml:space="preserve">valsts sekretārs </w:t>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r w:rsidRPr="003350E9">
        <w:rPr>
          <w:rFonts w:ascii="Times New Roman" w:hAnsi="Times New Roman"/>
          <w:sz w:val="24"/>
          <w:szCs w:val="24"/>
        </w:rPr>
        <w:tab/>
      </w:r>
      <w:proofErr w:type="spellStart"/>
      <w:r w:rsidRPr="003350E9">
        <w:rPr>
          <w:rFonts w:ascii="Times New Roman" w:hAnsi="Times New Roman"/>
          <w:sz w:val="24"/>
          <w:szCs w:val="24"/>
        </w:rPr>
        <w:t>R.Muciņš</w:t>
      </w:r>
      <w:proofErr w:type="spellEnd"/>
    </w:p>
    <w:p w:rsidR="00A55DD5" w:rsidRPr="003350E9" w:rsidRDefault="00A55DD5" w:rsidP="003350E9">
      <w:pPr>
        <w:spacing w:after="0" w:line="240" w:lineRule="auto"/>
        <w:rPr>
          <w:rFonts w:ascii="Times New Roman" w:hAnsi="Times New Roman"/>
          <w:sz w:val="24"/>
          <w:szCs w:val="24"/>
        </w:rPr>
      </w:pPr>
    </w:p>
    <w:p w:rsidR="00A55DD5" w:rsidRPr="003350E9" w:rsidRDefault="00A55DD5" w:rsidP="003350E9">
      <w:pPr>
        <w:spacing w:after="0" w:line="240" w:lineRule="auto"/>
        <w:rPr>
          <w:rFonts w:ascii="Times New Roman" w:hAnsi="Times New Roman"/>
          <w:sz w:val="24"/>
          <w:szCs w:val="24"/>
        </w:rPr>
      </w:pPr>
    </w:p>
    <w:p w:rsidR="00A55DD5" w:rsidRPr="00026F48" w:rsidRDefault="00A55DD5" w:rsidP="003350E9">
      <w:pPr>
        <w:spacing w:after="0" w:line="240" w:lineRule="auto"/>
        <w:ind w:hanging="288"/>
        <w:jc w:val="both"/>
        <w:rPr>
          <w:rFonts w:ascii="Times New Roman" w:hAnsi="Times New Roman"/>
          <w:sz w:val="20"/>
          <w:szCs w:val="20"/>
        </w:rPr>
      </w:pPr>
    </w:p>
    <w:p w:rsidR="00A55DD5" w:rsidRPr="00026F48" w:rsidRDefault="00471526" w:rsidP="003350E9">
      <w:pPr>
        <w:widowControl w:val="0"/>
        <w:spacing w:after="0" w:line="240" w:lineRule="auto"/>
        <w:ind w:hanging="288"/>
        <w:jc w:val="both"/>
        <w:rPr>
          <w:rFonts w:ascii="Times New Roman" w:hAnsi="Times New Roman"/>
          <w:sz w:val="20"/>
          <w:szCs w:val="20"/>
        </w:rPr>
      </w:pPr>
      <w:r w:rsidRPr="00026F48">
        <w:rPr>
          <w:rFonts w:ascii="Times New Roman" w:hAnsi="Times New Roman"/>
          <w:sz w:val="20"/>
          <w:szCs w:val="20"/>
        </w:rPr>
        <w:t>2017.07.31. 12:51</w:t>
      </w:r>
    </w:p>
    <w:p w:rsidR="00471526" w:rsidRPr="00026F48" w:rsidRDefault="00471526" w:rsidP="003350E9">
      <w:pPr>
        <w:widowControl w:val="0"/>
        <w:spacing w:after="0" w:line="240" w:lineRule="auto"/>
        <w:ind w:hanging="288"/>
        <w:jc w:val="both"/>
        <w:rPr>
          <w:rFonts w:ascii="Times New Roman" w:hAnsi="Times New Roman"/>
          <w:sz w:val="20"/>
          <w:szCs w:val="20"/>
        </w:rPr>
      </w:pPr>
      <w:r w:rsidRPr="00026F48">
        <w:rPr>
          <w:rFonts w:ascii="Times New Roman" w:hAnsi="Times New Roman"/>
          <w:sz w:val="20"/>
          <w:szCs w:val="20"/>
        </w:rPr>
        <w:t>1095</w:t>
      </w:r>
    </w:p>
    <w:p w:rsidR="00A55DD5" w:rsidRPr="00026F48" w:rsidRDefault="00A55DD5" w:rsidP="003350E9">
      <w:pPr>
        <w:widowControl w:val="0"/>
        <w:spacing w:after="0" w:line="240" w:lineRule="auto"/>
        <w:ind w:hanging="288"/>
        <w:jc w:val="both"/>
        <w:rPr>
          <w:rFonts w:ascii="Times New Roman" w:hAnsi="Times New Roman"/>
          <w:sz w:val="20"/>
          <w:szCs w:val="20"/>
        </w:rPr>
      </w:pPr>
      <w:r w:rsidRPr="00026F48">
        <w:rPr>
          <w:rFonts w:ascii="Times New Roman" w:hAnsi="Times New Roman"/>
          <w:sz w:val="20"/>
          <w:szCs w:val="20"/>
        </w:rPr>
        <w:t>K. Jankovska</w:t>
      </w:r>
    </w:p>
    <w:p w:rsidR="00A55DD5" w:rsidRPr="00026F48" w:rsidRDefault="00A55DD5" w:rsidP="003350E9">
      <w:pPr>
        <w:widowControl w:val="0"/>
        <w:spacing w:after="0" w:line="240" w:lineRule="auto"/>
        <w:ind w:hanging="288"/>
        <w:jc w:val="both"/>
        <w:rPr>
          <w:rFonts w:ascii="Times New Roman" w:hAnsi="Times New Roman"/>
          <w:sz w:val="20"/>
          <w:szCs w:val="20"/>
        </w:rPr>
      </w:pPr>
      <w:r w:rsidRPr="00026F48">
        <w:rPr>
          <w:rFonts w:ascii="Times New Roman" w:hAnsi="Times New Roman"/>
          <w:sz w:val="20"/>
          <w:szCs w:val="20"/>
        </w:rPr>
        <w:t xml:space="preserve">67026552, Kristine.Jankovska@varam.gov.lv </w:t>
      </w:r>
    </w:p>
    <w:p w:rsidR="00A55DD5" w:rsidRPr="003350E9" w:rsidRDefault="00A55DD5" w:rsidP="003350E9">
      <w:pPr>
        <w:spacing w:after="0" w:line="240" w:lineRule="auto"/>
        <w:rPr>
          <w:rFonts w:ascii="Times New Roman" w:hAnsi="Times New Roman"/>
          <w:sz w:val="24"/>
          <w:szCs w:val="24"/>
        </w:rPr>
      </w:pPr>
    </w:p>
    <w:p w:rsidR="00A55DD5" w:rsidRPr="003350E9" w:rsidRDefault="00A55DD5" w:rsidP="003350E9">
      <w:pPr>
        <w:spacing w:after="0" w:line="240" w:lineRule="auto"/>
        <w:rPr>
          <w:rFonts w:ascii="Times New Roman" w:hAnsi="Times New Roman"/>
          <w:sz w:val="24"/>
          <w:szCs w:val="24"/>
        </w:rPr>
      </w:pPr>
    </w:p>
    <w:p w:rsidR="00656ADB" w:rsidRPr="003350E9" w:rsidRDefault="00656ADB" w:rsidP="003350E9">
      <w:pPr>
        <w:spacing w:after="0" w:line="240" w:lineRule="auto"/>
        <w:rPr>
          <w:rFonts w:ascii="Times New Roman" w:hAnsi="Times New Roman"/>
          <w:sz w:val="24"/>
          <w:szCs w:val="24"/>
        </w:rPr>
      </w:pPr>
    </w:p>
    <w:sectPr w:rsidR="00656ADB" w:rsidRPr="003350E9" w:rsidSect="0041155F">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1BF" w:rsidRDefault="002A61BF" w:rsidP="00A55DD5">
      <w:pPr>
        <w:spacing w:after="0" w:line="240" w:lineRule="auto"/>
      </w:pPr>
      <w:r>
        <w:separator/>
      </w:r>
    </w:p>
  </w:endnote>
  <w:endnote w:type="continuationSeparator" w:id="0">
    <w:p w:rsidR="002A61BF" w:rsidRDefault="002A61BF" w:rsidP="00A5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80" w:rsidRDefault="008448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695" w:rsidRPr="002412FB" w:rsidRDefault="00A55DD5" w:rsidP="00EF1695">
    <w:pPr>
      <w:spacing w:after="0" w:line="240" w:lineRule="auto"/>
      <w:rPr>
        <w:rFonts w:ascii="Times New Roman" w:eastAsia="Times New Roman" w:hAnsi="Times New Roman"/>
        <w:bCs/>
        <w:lang w:eastAsia="lv-LV"/>
      </w:rPr>
    </w:pPr>
    <w:r>
      <w:rPr>
        <w:rFonts w:ascii="Times New Roman" w:hAnsi="Times New Roman"/>
      </w:rPr>
      <w:t>VARAMAnot_3107</w:t>
    </w:r>
    <w:r w:rsidR="002A61BF">
      <w:rPr>
        <w:rFonts w:ascii="Times New Roman" w:hAnsi="Times New Roman"/>
      </w:rPr>
      <w:t>17</w:t>
    </w:r>
    <w:r>
      <w:rPr>
        <w:rFonts w:ascii="Times New Roman" w:hAnsi="Times New Roman"/>
      </w:rPr>
      <w:t>_Groz_SVL</w:t>
    </w:r>
    <w:r w:rsidR="002A61BF" w:rsidRPr="002412FB">
      <w:rPr>
        <w:rFonts w:ascii="Times New Roman" w:hAnsi="Times New Roman"/>
      </w:rPr>
      <w:t xml:space="preserve">; </w:t>
    </w:r>
  </w:p>
  <w:p w:rsidR="0041155F" w:rsidRPr="002412FB" w:rsidRDefault="002A61BF" w:rsidP="002412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80" w:rsidRPr="002412FB" w:rsidRDefault="00844880" w:rsidP="00844880">
    <w:pPr>
      <w:spacing w:after="0" w:line="240" w:lineRule="auto"/>
      <w:rPr>
        <w:rFonts w:ascii="Times New Roman" w:eastAsia="Times New Roman" w:hAnsi="Times New Roman"/>
        <w:bCs/>
        <w:lang w:eastAsia="lv-LV"/>
      </w:rPr>
    </w:pPr>
    <w:r>
      <w:rPr>
        <w:rFonts w:ascii="Times New Roman" w:hAnsi="Times New Roman"/>
      </w:rPr>
      <w:t>VARAMAnot_310717_Groz_SVL</w:t>
    </w:r>
    <w:r w:rsidRPr="002412FB">
      <w:rPr>
        <w:rFonts w:ascii="Times New Roman" w:hAnsi="Times New Roman"/>
      </w:rPr>
      <w:t xml:space="preserve">; </w:t>
    </w:r>
  </w:p>
  <w:p w:rsidR="0041155F" w:rsidRPr="0041155F" w:rsidRDefault="002A61BF" w:rsidP="0041155F">
    <w:pPr>
      <w:pStyle w:val="Footer"/>
      <w:jc w:val="both"/>
      <w:rPr>
        <w:rFonts w:ascii="Times New Roman" w:hAnsi="Times New Roman"/>
        <w:sz w:val="20"/>
        <w:szCs w:val="20"/>
      </w:rPr>
    </w:pPr>
    <w:r>
      <w:rPr>
        <w:rFonts w:ascii="Times New Roman" w:hAnsi="Times New Roman"/>
        <w:sz w:val="20"/>
        <w:szCs w:val="20"/>
      </w:rPr>
      <w:t xml:space="preserve">  </w:t>
    </w:r>
  </w:p>
  <w:p w:rsidR="0041155F" w:rsidRDefault="002A61BF">
    <w:pPr>
      <w:pStyle w:val="Footer"/>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1BF" w:rsidRDefault="002A61BF" w:rsidP="00A55DD5">
      <w:pPr>
        <w:spacing w:after="0" w:line="240" w:lineRule="auto"/>
      </w:pPr>
      <w:r>
        <w:separator/>
      </w:r>
    </w:p>
  </w:footnote>
  <w:footnote w:type="continuationSeparator" w:id="0">
    <w:p w:rsidR="002A61BF" w:rsidRDefault="002A61BF" w:rsidP="00A55D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80" w:rsidRDefault="008448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55F" w:rsidRPr="00F30264" w:rsidRDefault="002A61BF">
    <w:pPr>
      <w:pStyle w:val="Header"/>
      <w:jc w:val="center"/>
      <w:rPr>
        <w:rFonts w:ascii="Times New Roman" w:hAnsi="Times New Roman"/>
      </w:rPr>
    </w:pPr>
    <w:r w:rsidRPr="00F30264">
      <w:rPr>
        <w:rFonts w:ascii="Times New Roman" w:hAnsi="Times New Roman"/>
      </w:rPr>
      <w:fldChar w:fldCharType="begin"/>
    </w:r>
    <w:r w:rsidRPr="00F30264">
      <w:rPr>
        <w:rFonts w:ascii="Times New Roman" w:hAnsi="Times New Roman"/>
      </w:rPr>
      <w:instrText xml:space="preserve"> PAGE   \* MERGEFORMAT </w:instrText>
    </w:r>
    <w:r w:rsidRPr="00F30264">
      <w:rPr>
        <w:rFonts w:ascii="Times New Roman" w:hAnsi="Times New Roman"/>
      </w:rPr>
      <w:fldChar w:fldCharType="separate"/>
    </w:r>
    <w:r w:rsidR="00844880">
      <w:rPr>
        <w:rFonts w:ascii="Times New Roman" w:hAnsi="Times New Roman"/>
        <w:noProof/>
      </w:rPr>
      <w:t>5</w:t>
    </w:r>
    <w:r w:rsidRPr="00F30264">
      <w:rPr>
        <w:rFonts w:ascii="Times New Roman" w:hAnsi="Times New Roman"/>
        <w:noProof/>
      </w:rPr>
      <w:fldChar w:fldCharType="end"/>
    </w:r>
  </w:p>
  <w:p w:rsidR="0041155F" w:rsidRDefault="002A61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80" w:rsidRDefault="008448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56A73"/>
    <w:multiLevelType w:val="multilevel"/>
    <w:tmpl w:val="FBB05312"/>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57754AB"/>
    <w:multiLevelType w:val="hybridMultilevel"/>
    <w:tmpl w:val="0D50211C"/>
    <w:lvl w:ilvl="0" w:tplc="398894D4">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1406B98"/>
    <w:multiLevelType w:val="hybridMultilevel"/>
    <w:tmpl w:val="E274FAD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556E20A2"/>
    <w:multiLevelType w:val="hybridMultilevel"/>
    <w:tmpl w:val="47620E1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64B37AB3"/>
    <w:multiLevelType w:val="hybridMultilevel"/>
    <w:tmpl w:val="AB1CBD7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ACC5C4C"/>
    <w:multiLevelType w:val="hybridMultilevel"/>
    <w:tmpl w:val="36388C38"/>
    <w:lvl w:ilvl="0" w:tplc="B2808E9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D5"/>
    <w:rsid w:val="00026F48"/>
    <w:rsid w:val="002A61BF"/>
    <w:rsid w:val="003350E9"/>
    <w:rsid w:val="00471526"/>
    <w:rsid w:val="00656ADB"/>
    <w:rsid w:val="00844880"/>
    <w:rsid w:val="00A55DD5"/>
    <w:rsid w:val="00BF5194"/>
    <w:rsid w:val="00C75FBD"/>
    <w:rsid w:val="00CC2676"/>
    <w:rsid w:val="00ED794B"/>
    <w:rsid w:val="00FD41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767523C2-34D1-4084-A15E-1A682F53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D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55DD5"/>
    <w:rPr>
      <w:rFonts w:ascii="Calibri" w:eastAsia="Calibri" w:hAnsi="Calibri" w:cs="Times New Roman"/>
    </w:rPr>
  </w:style>
  <w:style w:type="paragraph" w:styleId="Footer">
    <w:name w:val="footer"/>
    <w:basedOn w:val="Normal"/>
    <w:link w:val="FooterChar"/>
    <w:uiPriority w:val="99"/>
    <w:unhideWhenUsed/>
    <w:rsid w:val="00A55D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55DD5"/>
    <w:rPr>
      <w:rFonts w:ascii="Calibri" w:eastAsia="Calibri" w:hAnsi="Calibri" w:cs="Times New Roman"/>
    </w:rPr>
  </w:style>
  <w:style w:type="paragraph" w:styleId="ListParagraph">
    <w:name w:val="List Paragraph"/>
    <w:basedOn w:val="Normal"/>
    <w:uiPriority w:val="34"/>
    <w:qFormat/>
    <w:rsid w:val="00A55DD5"/>
    <w:pPr>
      <w:ind w:left="720"/>
      <w:contextualSpacing/>
    </w:pPr>
  </w:style>
  <w:style w:type="paragraph" w:customStyle="1" w:styleId="naisc">
    <w:name w:val="naisc"/>
    <w:basedOn w:val="Normal"/>
    <w:uiPriority w:val="99"/>
    <w:rsid w:val="00A55DD5"/>
    <w:pPr>
      <w:spacing w:before="75" w:after="75" w:line="240" w:lineRule="auto"/>
      <w:jc w:val="center"/>
    </w:pPr>
    <w:rPr>
      <w:rFonts w:ascii="Times New Roman" w:eastAsia="Times New Roman" w:hAnsi="Times New Roman"/>
      <w:sz w:val="24"/>
      <w:szCs w:val="24"/>
      <w:lang w:eastAsia="lv-LV"/>
    </w:rPr>
  </w:style>
  <w:style w:type="paragraph" w:styleId="BodyText">
    <w:name w:val="Body Text"/>
    <w:basedOn w:val="Normal"/>
    <w:link w:val="BodyTextChar"/>
    <w:rsid w:val="00A55DD5"/>
    <w:pPr>
      <w:spacing w:after="120" w:line="240" w:lineRule="auto"/>
    </w:pPr>
    <w:rPr>
      <w:rFonts w:ascii="Arial" w:eastAsia="ヒラギノ角ゴ Pro W3" w:hAnsi="Arial"/>
      <w:color w:val="000000"/>
      <w:kern w:val="1"/>
      <w:sz w:val="24"/>
      <w:szCs w:val="24"/>
      <w:lang w:eastAsia="ar-SA"/>
    </w:rPr>
  </w:style>
  <w:style w:type="character" w:customStyle="1" w:styleId="BodyTextChar">
    <w:name w:val="Body Text Char"/>
    <w:basedOn w:val="DefaultParagraphFont"/>
    <w:link w:val="BodyText"/>
    <w:rsid w:val="00A55DD5"/>
    <w:rPr>
      <w:rFonts w:ascii="Arial" w:eastAsia="ヒラギノ角ゴ Pro W3" w:hAnsi="Arial"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1231</Words>
  <Characters>8747</Characters>
  <Application>Microsoft Office Word</Application>
  <DocSecurity>0</DocSecurity>
  <Lines>291</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Jankovska</dc:creator>
  <cp:keywords/>
  <dc:description/>
  <cp:lastModifiedBy>Kristīne Jankovska</cp:lastModifiedBy>
  <cp:revision>6</cp:revision>
  <dcterms:created xsi:type="dcterms:W3CDTF">2017-07-31T09:12:00Z</dcterms:created>
  <dcterms:modified xsi:type="dcterms:W3CDTF">2017-07-31T10:55:00Z</dcterms:modified>
</cp:coreProperties>
</file>