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5641AE" w14:textId="06973E3A" w:rsidR="00096067" w:rsidRPr="00C85227" w:rsidRDefault="00E22E0A" w:rsidP="00C85227">
      <w:pPr>
        <w:shd w:val="clear" w:color="auto" w:fill="FFFFFF"/>
        <w:spacing w:before="130" w:line="260" w:lineRule="exact"/>
        <w:jc w:val="center"/>
        <w:rPr>
          <w:b/>
          <w:bCs/>
          <w:sz w:val="28"/>
          <w:szCs w:val="28"/>
        </w:rPr>
      </w:pPr>
      <w:r w:rsidRPr="005014B4">
        <w:rPr>
          <w:b/>
          <w:bCs/>
          <w:sz w:val="28"/>
          <w:szCs w:val="28"/>
        </w:rPr>
        <w:t>Mini</w:t>
      </w:r>
      <w:r w:rsidR="00BB62BB">
        <w:rPr>
          <w:b/>
          <w:bCs/>
          <w:sz w:val="28"/>
          <w:szCs w:val="28"/>
        </w:rPr>
        <w:t>stru kabineta noteikumu projekta</w:t>
      </w:r>
      <w:r w:rsidRPr="005014B4">
        <w:rPr>
          <w:b/>
          <w:bCs/>
          <w:sz w:val="28"/>
          <w:szCs w:val="28"/>
        </w:rPr>
        <w:t xml:space="preserve"> </w:t>
      </w:r>
      <w:r w:rsidR="00244E5B" w:rsidRPr="005014B4">
        <w:rPr>
          <w:b/>
          <w:bCs/>
          <w:sz w:val="28"/>
          <w:szCs w:val="28"/>
        </w:rPr>
        <w:t>„</w:t>
      </w:r>
      <w:r w:rsidR="00244E5B" w:rsidRPr="005014B4">
        <w:rPr>
          <w:b/>
          <w:sz w:val="28"/>
          <w:szCs w:val="28"/>
        </w:rPr>
        <w:t>Gr</w:t>
      </w:r>
      <w:r w:rsidR="00974BF0">
        <w:rPr>
          <w:b/>
          <w:sz w:val="28"/>
          <w:szCs w:val="28"/>
        </w:rPr>
        <w:t>ozījumi Ministru kabineta 2016. </w:t>
      </w:r>
      <w:r w:rsidR="00244E5B" w:rsidRPr="005014B4">
        <w:rPr>
          <w:b/>
          <w:sz w:val="28"/>
          <w:szCs w:val="28"/>
        </w:rPr>
        <w:t>gada 13. decembra noteikumos Nr.</w:t>
      </w:r>
      <w:r w:rsidR="00BB62BB">
        <w:rPr>
          <w:b/>
          <w:sz w:val="28"/>
          <w:szCs w:val="28"/>
        </w:rPr>
        <w:t> </w:t>
      </w:r>
      <w:r w:rsidR="00244E5B" w:rsidRPr="005014B4">
        <w:rPr>
          <w:b/>
          <w:sz w:val="28"/>
          <w:szCs w:val="28"/>
        </w:rPr>
        <w:t>788</w:t>
      </w:r>
      <w:r w:rsidR="00244E5B" w:rsidRPr="005014B4">
        <w:rPr>
          <w:b/>
          <w:bCs/>
          <w:sz w:val="28"/>
          <w:szCs w:val="28"/>
        </w:rPr>
        <w:t xml:space="preserve"> „Noteikumi par atkritumu savākšanas un šķirošanas vietām””</w:t>
      </w:r>
      <w:r w:rsidRPr="005014B4">
        <w:rPr>
          <w:b/>
          <w:bCs/>
          <w:sz w:val="28"/>
          <w:szCs w:val="28"/>
        </w:rPr>
        <w:t xml:space="preserve"> </w:t>
      </w:r>
      <w:r w:rsidR="00BD5588" w:rsidRPr="005014B4">
        <w:rPr>
          <w:b/>
          <w:bCs/>
          <w:sz w:val="28"/>
          <w:szCs w:val="28"/>
        </w:rPr>
        <w:t xml:space="preserve">sākotnējās ietekmes novērtējuma ziņojums </w:t>
      </w:r>
      <w:r w:rsidR="00D26F98" w:rsidRPr="005014B4">
        <w:rPr>
          <w:b/>
          <w:bCs/>
          <w:sz w:val="28"/>
          <w:szCs w:val="28"/>
        </w:rPr>
        <w:t>(anotācija)</w:t>
      </w:r>
    </w:p>
    <w:p w14:paraId="683B6A9F" w14:textId="77777777" w:rsidR="0059362D" w:rsidRPr="005014B4" w:rsidRDefault="0059362D" w:rsidP="00BD5588">
      <w:pPr>
        <w:shd w:val="clear" w:color="auto" w:fill="FFFFFF"/>
        <w:spacing w:before="130" w:line="260" w:lineRule="exact"/>
        <w:jc w:val="center"/>
        <w:rPr>
          <w:b/>
          <w:bCs/>
        </w:rPr>
      </w:pPr>
    </w:p>
    <w:tbl>
      <w:tblPr>
        <w:tblW w:w="4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3006"/>
        <w:gridCol w:w="5530"/>
      </w:tblGrid>
      <w:tr w:rsidR="00096067" w:rsidRPr="005014B4" w14:paraId="4CA8184B" w14:textId="77777777" w:rsidTr="0059362D">
        <w:trPr>
          <w:cantSplit/>
        </w:trPr>
        <w:tc>
          <w:tcPr>
            <w:tcW w:w="5000" w:type="pct"/>
            <w:gridSpan w:val="2"/>
            <w:vAlign w:val="center"/>
            <w:hideMark/>
          </w:tcPr>
          <w:p w14:paraId="2DFC8C88" w14:textId="03CBF625" w:rsidR="00096067" w:rsidRPr="005014B4" w:rsidRDefault="00096067" w:rsidP="000D4674">
            <w:pPr>
              <w:jc w:val="center"/>
              <w:rPr>
                <w:b/>
                <w:bCs/>
              </w:rPr>
            </w:pPr>
            <w:r w:rsidRPr="005014B4">
              <w:rPr>
                <w:b/>
                <w:bCs/>
              </w:rPr>
              <w:t>Tiesību akta projekta anotācijas kopsavilkums</w:t>
            </w:r>
          </w:p>
        </w:tc>
      </w:tr>
      <w:tr w:rsidR="00DD5739" w:rsidRPr="005014B4" w14:paraId="2315694D" w14:textId="77777777" w:rsidTr="00BA42DC">
        <w:trPr>
          <w:cantSplit/>
          <w:trHeight w:val="501"/>
        </w:trPr>
        <w:tc>
          <w:tcPr>
            <w:tcW w:w="1761" w:type="pct"/>
          </w:tcPr>
          <w:p w14:paraId="2CFD6211" w14:textId="596E55A3" w:rsidR="00DD5739" w:rsidRPr="005014B4" w:rsidRDefault="00DD5739" w:rsidP="00BA42DC">
            <w:r w:rsidRPr="005014B4">
              <w:t>Mērķis, risinājums un projekta spēkā stāšanās laiks (500 zīmes bez atstarpēm)</w:t>
            </w:r>
          </w:p>
        </w:tc>
        <w:tc>
          <w:tcPr>
            <w:tcW w:w="3239" w:type="pct"/>
            <w:vAlign w:val="center"/>
          </w:tcPr>
          <w:p w14:paraId="7773B32D" w14:textId="42CD6E3F" w:rsidR="00DD5739" w:rsidRDefault="009462C1" w:rsidP="000B297F">
            <w:pPr>
              <w:spacing w:after="240" w:line="276" w:lineRule="auto"/>
              <w:jc w:val="both"/>
            </w:pPr>
            <w:r>
              <w:t>Mini</w:t>
            </w:r>
            <w:r w:rsidR="00BB62BB">
              <w:t>stru kabineta noteikumu projekta</w:t>
            </w:r>
            <w:r w:rsidR="00FB09A8">
              <w:t xml:space="preserve"> “</w:t>
            </w:r>
            <w:r w:rsidR="00FB09A8" w:rsidRPr="00FB09A8">
              <w:t>Grozījumi Ministru kabineta 2016. gada 13. decembra noteikumos Nr. 788 „Noteikumi par atkritumu savākšanas un šķirošanas vietām”</w:t>
            </w:r>
            <w:r w:rsidR="00FB09A8">
              <w:t>”</w:t>
            </w:r>
            <w:r>
              <w:t xml:space="preserve"> </w:t>
            </w:r>
            <w:r w:rsidR="001C2289">
              <w:t>(turpmāk – no</w:t>
            </w:r>
            <w:r w:rsidR="00FB09A8">
              <w:t xml:space="preserve">teikumu projekts) </w:t>
            </w:r>
            <w:r>
              <w:t>mērķis ir</w:t>
            </w:r>
            <w:r w:rsidR="001C2289">
              <w:t xml:space="preserve"> mērķis ir uzlabot sadzīves atkritumu dalītas vākšanas sistēmu Latvijā, pilnveidojot informācijas sistēmu “Šķiro viegli” par v</w:t>
            </w:r>
            <w:r w:rsidR="001C2289" w:rsidRPr="00BE2F35">
              <w:t>ienot</w:t>
            </w:r>
            <w:r w:rsidR="001C2289">
              <w:t>u</w:t>
            </w:r>
            <w:r w:rsidR="001C2289" w:rsidRPr="00BE2F35">
              <w:t xml:space="preserve"> atkritumu dalītās savākšanas informācijas sistēm</w:t>
            </w:r>
            <w:r w:rsidR="001C2289">
              <w:t>u</w:t>
            </w:r>
            <w:r w:rsidR="001C2289" w:rsidDel="00571718">
              <w:t xml:space="preserve"> </w:t>
            </w:r>
            <w:r w:rsidR="001C2289">
              <w:t xml:space="preserve"> (turpmāk – IS). Noteikumu projekts nosaka iesaistīto institūciju funkcijas attiecībā uz IS izveidošanu un uzturēšanu. </w:t>
            </w:r>
            <w:r w:rsidR="00BB62BB">
              <w:t>Vienlaikus noteikumu projekts precizē, ka visi atkritumu veidi dalītas vākšanas laukumos tiek pieņemti bez papildu maksas</w:t>
            </w:r>
            <w:r w:rsidR="003D23F2">
              <w:t>, kā arī precizē atkritumu minimālos izvešanas biežumus atkritumu dalītas vākšanas vietās</w:t>
            </w:r>
            <w:r w:rsidR="00BB62BB">
              <w:t>.</w:t>
            </w:r>
          </w:p>
          <w:p w14:paraId="72B84AAB" w14:textId="1AEE8701" w:rsidR="00FB09A8" w:rsidRPr="005014B4" w:rsidRDefault="00FB09A8" w:rsidP="00F960B9">
            <w:pPr>
              <w:spacing w:line="276" w:lineRule="auto"/>
              <w:jc w:val="both"/>
            </w:pPr>
            <w:r>
              <w:t>Noteikumu projekts stāsies spēkā pēc izskatīšanas Ministru kabinetā.</w:t>
            </w:r>
          </w:p>
        </w:tc>
      </w:tr>
    </w:tbl>
    <w:p w14:paraId="488317F8" w14:textId="77777777" w:rsidR="0059362D" w:rsidRPr="005014B4" w:rsidRDefault="0059362D" w:rsidP="005811B8">
      <w:pPr>
        <w:shd w:val="clear" w:color="auto" w:fill="FFFFFF"/>
        <w:spacing w:before="130" w:line="260" w:lineRule="exact"/>
        <w:rPr>
          <w:b/>
          <w:bCs/>
        </w:rPr>
      </w:pPr>
    </w:p>
    <w:tbl>
      <w:tblPr>
        <w:tblStyle w:val="TableGrid"/>
        <w:tblW w:w="8505" w:type="dxa"/>
        <w:tblInd w:w="108" w:type="dxa"/>
        <w:tblLook w:val="04A0" w:firstRow="1" w:lastRow="0" w:firstColumn="1" w:lastColumn="0" w:noHBand="0" w:noVBand="1"/>
      </w:tblPr>
      <w:tblGrid>
        <w:gridCol w:w="426"/>
        <w:gridCol w:w="2268"/>
        <w:gridCol w:w="5811"/>
      </w:tblGrid>
      <w:tr w:rsidR="000A1B0E" w:rsidRPr="005014B4" w14:paraId="1276BB42" w14:textId="77777777" w:rsidTr="0059362D">
        <w:tc>
          <w:tcPr>
            <w:tcW w:w="8505" w:type="dxa"/>
            <w:gridSpan w:val="3"/>
          </w:tcPr>
          <w:p w14:paraId="7253C342" w14:textId="571FAA93" w:rsidR="000A1B0E" w:rsidRPr="005014B4" w:rsidRDefault="000A1B0E" w:rsidP="00BD5588">
            <w:pPr>
              <w:spacing w:before="130" w:line="260" w:lineRule="exact"/>
              <w:jc w:val="center"/>
              <w:rPr>
                <w:b/>
                <w:bCs/>
              </w:rPr>
            </w:pPr>
            <w:r w:rsidRPr="005014B4">
              <w:rPr>
                <w:b/>
                <w:bCs/>
              </w:rPr>
              <w:t>I. Tiesību akta projekta izstrādes nepieciešamība</w:t>
            </w:r>
          </w:p>
        </w:tc>
      </w:tr>
      <w:tr w:rsidR="000A1B0E" w:rsidRPr="005014B4" w14:paraId="4BF93870" w14:textId="77777777" w:rsidTr="0059362D">
        <w:tc>
          <w:tcPr>
            <w:tcW w:w="426" w:type="dxa"/>
          </w:tcPr>
          <w:p w14:paraId="6FFA8540" w14:textId="74DFAEDA" w:rsidR="000A1B0E" w:rsidRPr="005014B4" w:rsidRDefault="000A1B0E" w:rsidP="00BD5588">
            <w:pPr>
              <w:spacing w:before="130" w:line="260" w:lineRule="exact"/>
              <w:jc w:val="center"/>
              <w:rPr>
                <w:bCs/>
              </w:rPr>
            </w:pPr>
            <w:r w:rsidRPr="005014B4">
              <w:rPr>
                <w:bCs/>
              </w:rPr>
              <w:t>1.</w:t>
            </w:r>
          </w:p>
        </w:tc>
        <w:tc>
          <w:tcPr>
            <w:tcW w:w="2268" w:type="dxa"/>
          </w:tcPr>
          <w:p w14:paraId="78D6E3E1" w14:textId="5201BEDA" w:rsidR="000A1B0E" w:rsidRPr="005014B4" w:rsidRDefault="000A1B0E" w:rsidP="00A119DF">
            <w:pPr>
              <w:spacing w:before="130" w:line="260" w:lineRule="exact"/>
              <w:rPr>
                <w:bCs/>
              </w:rPr>
            </w:pPr>
            <w:r w:rsidRPr="005014B4">
              <w:t>Pamatojums</w:t>
            </w:r>
          </w:p>
        </w:tc>
        <w:tc>
          <w:tcPr>
            <w:tcW w:w="5811" w:type="dxa"/>
          </w:tcPr>
          <w:p w14:paraId="66F123D9" w14:textId="2BC336AD" w:rsidR="000A1B0E" w:rsidRPr="005014B4" w:rsidRDefault="00244E5B" w:rsidP="00FB09A8">
            <w:pPr>
              <w:jc w:val="both"/>
              <w:rPr>
                <w:szCs w:val="28"/>
              </w:rPr>
            </w:pPr>
            <w:r w:rsidRPr="005014B4">
              <w:rPr>
                <w:szCs w:val="28"/>
              </w:rPr>
              <w:t xml:space="preserve">Atkritumu apsaimniekošanas likuma </w:t>
            </w:r>
            <w:r w:rsidRPr="005014B4">
              <w:rPr>
                <w:szCs w:val="28"/>
              </w:rPr>
              <w:br/>
              <w:t>6. panta 5. punkts</w:t>
            </w:r>
            <w:r w:rsidR="00FB09A8">
              <w:rPr>
                <w:szCs w:val="28"/>
              </w:rPr>
              <w:t>.</w:t>
            </w:r>
          </w:p>
        </w:tc>
      </w:tr>
      <w:tr w:rsidR="000A1B0E" w:rsidRPr="005014B4" w14:paraId="0D6D8F56" w14:textId="77777777" w:rsidTr="0059362D">
        <w:tc>
          <w:tcPr>
            <w:tcW w:w="426" w:type="dxa"/>
          </w:tcPr>
          <w:p w14:paraId="32F6FD26" w14:textId="4443DF26" w:rsidR="000A1B0E" w:rsidRPr="005014B4" w:rsidRDefault="000A1B0E" w:rsidP="00BD5588">
            <w:pPr>
              <w:spacing w:before="130" w:line="260" w:lineRule="exact"/>
              <w:jc w:val="center"/>
              <w:rPr>
                <w:bCs/>
              </w:rPr>
            </w:pPr>
            <w:r w:rsidRPr="005014B4">
              <w:rPr>
                <w:bCs/>
              </w:rPr>
              <w:t>2.</w:t>
            </w:r>
          </w:p>
        </w:tc>
        <w:tc>
          <w:tcPr>
            <w:tcW w:w="2268" w:type="dxa"/>
          </w:tcPr>
          <w:p w14:paraId="485A7A30" w14:textId="131C4F21" w:rsidR="00C23AEB" w:rsidRPr="005014B4" w:rsidRDefault="000A1B0E" w:rsidP="000A1B0E">
            <w:pPr>
              <w:spacing w:before="130" w:line="260" w:lineRule="exact"/>
              <w:rPr>
                <w:bCs/>
              </w:rPr>
            </w:pPr>
            <w:r w:rsidRPr="009462C1">
              <w:t>Pašreizējā situācija un problēmas, kuru risināšanai tiesību akta projekts izstrādāts, tiesiskā regulējuma mērķis un būtība</w:t>
            </w:r>
          </w:p>
          <w:p w14:paraId="4550C151" w14:textId="77777777" w:rsidR="00C23AEB" w:rsidRPr="005014B4" w:rsidRDefault="00C23AEB" w:rsidP="00C23AEB"/>
          <w:p w14:paraId="33BFC750" w14:textId="77777777" w:rsidR="00C23AEB" w:rsidRPr="005014B4" w:rsidRDefault="00C23AEB" w:rsidP="00C23AEB"/>
          <w:p w14:paraId="54438368" w14:textId="77777777" w:rsidR="00C23AEB" w:rsidRPr="005014B4" w:rsidRDefault="00C23AEB" w:rsidP="00C23AEB"/>
          <w:p w14:paraId="6CBF9B82" w14:textId="77777777" w:rsidR="00C23AEB" w:rsidRPr="005014B4" w:rsidRDefault="00C23AEB" w:rsidP="00C23AEB"/>
          <w:p w14:paraId="3FF58A5E" w14:textId="77777777" w:rsidR="00C23AEB" w:rsidRPr="005014B4" w:rsidRDefault="00C23AEB" w:rsidP="00C23AEB"/>
          <w:p w14:paraId="683507AD" w14:textId="77777777" w:rsidR="00C23AEB" w:rsidRPr="005014B4" w:rsidRDefault="00C23AEB" w:rsidP="00C23AEB"/>
          <w:p w14:paraId="6BCA6EF5" w14:textId="77777777" w:rsidR="00C23AEB" w:rsidRPr="005014B4" w:rsidRDefault="00C23AEB" w:rsidP="00C23AEB"/>
          <w:p w14:paraId="04663CBA" w14:textId="77777777" w:rsidR="00C23AEB" w:rsidRPr="005014B4" w:rsidRDefault="00C23AEB" w:rsidP="00C23AEB"/>
          <w:p w14:paraId="308B4867" w14:textId="77777777" w:rsidR="00C23AEB" w:rsidRPr="005014B4" w:rsidRDefault="00C23AEB" w:rsidP="00C23AEB"/>
          <w:p w14:paraId="515A9B47" w14:textId="77777777" w:rsidR="00C23AEB" w:rsidRPr="005014B4" w:rsidRDefault="00C23AEB" w:rsidP="00C23AEB"/>
          <w:p w14:paraId="5807DD72" w14:textId="77777777" w:rsidR="00C23AEB" w:rsidRPr="005014B4" w:rsidRDefault="00C23AEB" w:rsidP="00C23AEB"/>
          <w:p w14:paraId="38132CC6" w14:textId="77777777" w:rsidR="00C23AEB" w:rsidRPr="005014B4" w:rsidRDefault="00C23AEB" w:rsidP="00C23AEB"/>
          <w:p w14:paraId="4BB35670" w14:textId="77777777" w:rsidR="00C23AEB" w:rsidRPr="005014B4" w:rsidRDefault="00C23AEB" w:rsidP="00C23AEB"/>
          <w:p w14:paraId="5A2C5900" w14:textId="77777777" w:rsidR="00C23AEB" w:rsidRPr="005014B4" w:rsidRDefault="00C23AEB" w:rsidP="00C23AEB"/>
          <w:p w14:paraId="49B152F9" w14:textId="77777777" w:rsidR="00C23AEB" w:rsidRPr="005014B4" w:rsidRDefault="00C23AEB" w:rsidP="00C23AEB"/>
          <w:p w14:paraId="645C01BE" w14:textId="77777777" w:rsidR="00C23AEB" w:rsidRPr="005014B4" w:rsidRDefault="00C23AEB" w:rsidP="00C23AEB"/>
          <w:p w14:paraId="15DA65FE" w14:textId="77777777" w:rsidR="00C23AEB" w:rsidRPr="005014B4" w:rsidRDefault="00C23AEB" w:rsidP="00C23AEB"/>
          <w:p w14:paraId="45298056" w14:textId="77777777" w:rsidR="00C23AEB" w:rsidRPr="005014B4" w:rsidRDefault="00C23AEB" w:rsidP="00C23AEB"/>
          <w:p w14:paraId="36F49BA5" w14:textId="77777777" w:rsidR="00C23AEB" w:rsidRPr="005014B4" w:rsidRDefault="00C23AEB" w:rsidP="00C23AEB"/>
          <w:p w14:paraId="6DD21C4F" w14:textId="77777777" w:rsidR="00C23AEB" w:rsidRPr="005014B4" w:rsidRDefault="00C23AEB" w:rsidP="00C23AEB"/>
          <w:p w14:paraId="5BC05627" w14:textId="77777777" w:rsidR="00C23AEB" w:rsidRPr="005014B4" w:rsidRDefault="00C23AEB" w:rsidP="00C23AEB"/>
          <w:p w14:paraId="6B7A6640" w14:textId="77777777" w:rsidR="00C23AEB" w:rsidRPr="005014B4" w:rsidRDefault="00C23AEB" w:rsidP="00C23AEB"/>
          <w:p w14:paraId="22AD185C" w14:textId="77777777" w:rsidR="00C23AEB" w:rsidRPr="005014B4" w:rsidRDefault="00C23AEB" w:rsidP="00C23AEB"/>
          <w:p w14:paraId="5425D00E" w14:textId="77777777" w:rsidR="00C23AEB" w:rsidRPr="005014B4" w:rsidRDefault="00C23AEB" w:rsidP="00C23AEB"/>
          <w:p w14:paraId="54D02400" w14:textId="77777777" w:rsidR="00C23AEB" w:rsidRPr="005014B4" w:rsidRDefault="00C23AEB" w:rsidP="00C23AEB"/>
          <w:p w14:paraId="764774AE" w14:textId="77777777" w:rsidR="00C23AEB" w:rsidRPr="005014B4" w:rsidRDefault="00C23AEB" w:rsidP="00C23AEB"/>
          <w:p w14:paraId="6BB9FF0C" w14:textId="77777777" w:rsidR="00C23AEB" w:rsidRPr="005014B4" w:rsidRDefault="00C23AEB" w:rsidP="00C23AEB"/>
          <w:p w14:paraId="40146BA5" w14:textId="2E541BC4" w:rsidR="000A1B0E" w:rsidRPr="005014B4" w:rsidRDefault="000A1B0E" w:rsidP="00C23AEB"/>
        </w:tc>
        <w:tc>
          <w:tcPr>
            <w:tcW w:w="5811" w:type="dxa"/>
          </w:tcPr>
          <w:p w14:paraId="4EBB59BD" w14:textId="19A356D5" w:rsidR="00BB62BB" w:rsidRDefault="000B0E3B" w:rsidP="001A0F61">
            <w:pPr>
              <w:spacing w:after="120" w:line="276" w:lineRule="auto"/>
              <w:jc w:val="both"/>
            </w:pPr>
            <w:r>
              <w:lastRenderedPageBreak/>
              <w:t>N</w:t>
            </w:r>
            <w:r w:rsidR="00BB62BB">
              <w:t>oteikumu projekta</w:t>
            </w:r>
            <w:r w:rsidR="00C85227">
              <w:t xml:space="preserve"> mērķis ir </w:t>
            </w:r>
            <w:r w:rsidR="003D23F2">
              <w:t xml:space="preserve">uzlabot </w:t>
            </w:r>
            <w:r w:rsidR="00C85227">
              <w:t xml:space="preserve">sadzīves atkritumu dalītas vākšanas sistēmu Latvijā, </w:t>
            </w:r>
            <w:r w:rsidR="003D23F2">
              <w:t>piln</w:t>
            </w:r>
            <w:r w:rsidR="00C85227">
              <w:t xml:space="preserve">veidojot </w:t>
            </w:r>
            <w:r w:rsidR="003D23F2">
              <w:t xml:space="preserve">IS “Šķiro viegli” </w:t>
            </w:r>
            <w:r w:rsidR="00C85227">
              <w:t>par ikvienam iedzīvotājam pieejamu aktuālas informā</w:t>
            </w:r>
            <w:r w:rsidR="00C80434">
              <w:t xml:space="preserve">cijas vietni, kā arī veicināt </w:t>
            </w:r>
            <w:r w:rsidR="003D23F2">
              <w:t xml:space="preserve">pieejamu </w:t>
            </w:r>
            <w:r w:rsidR="00C80434">
              <w:t>videi kaitīgu preču apsaimniekošanu.</w:t>
            </w:r>
          </w:p>
          <w:p w14:paraId="3E7DD31A" w14:textId="0F5BA928" w:rsidR="00774DDB" w:rsidRDefault="00F960B9" w:rsidP="001A0F61">
            <w:pPr>
              <w:spacing w:after="120" w:line="276" w:lineRule="auto"/>
              <w:jc w:val="both"/>
            </w:pPr>
            <w:r>
              <w:t>S</w:t>
            </w:r>
            <w:r w:rsidR="001A0F61">
              <w:t>agaidāms, ka n</w:t>
            </w:r>
            <w:r w:rsidR="00211A80">
              <w:t>oteikumu projektā ietvertais</w:t>
            </w:r>
            <w:r w:rsidR="00A05797">
              <w:t xml:space="preserve"> regulējums veicinās atkritumu dal</w:t>
            </w:r>
            <w:r w:rsidR="001A0F61">
              <w:t>ītas</w:t>
            </w:r>
            <w:r w:rsidR="00A05797">
              <w:t xml:space="preserve"> vāk</w:t>
            </w:r>
            <w:r w:rsidR="001A0F61">
              <w:t>šanas ap</w:t>
            </w:r>
            <w:r w:rsidR="00C85227">
              <w:t>joma</w:t>
            </w:r>
            <w:r w:rsidR="00A05797">
              <w:t xml:space="preserve"> </w:t>
            </w:r>
            <w:r w:rsidR="001A0F61">
              <w:t xml:space="preserve">pieaugumu, kas, savukārt, veicinās atkritumu </w:t>
            </w:r>
            <w:r w:rsidR="003D23F2">
              <w:t>sagatavošanu otrreizējai izmantošanai</w:t>
            </w:r>
            <w:r w:rsidR="001A0F61">
              <w:t xml:space="preserve">. </w:t>
            </w:r>
            <w:r w:rsidR="00651CBB">
              <w:t xml:space="preserve">Ņemot vērā, ka Eiropas Parlamenta un Padomes </w:t>
            </w:r>
            <w:r w:rsidR="00774DDB">
              <w:t xml:space="preserve">2008. gada 18. novembra </w:t>
            </w:r>
            <w:r w:rsidR="00651CBB">
              <w:t>direktīv</w:t>
            </w:r>
            <w:r w:rsidR="00FB09A8">
              <w:t>as</w:t>
            </w:r>
            <w:r w:rsidR="00651CBB">
              <w:t xml:space="preserve"> 2008/98/EK</w:t>
            </w:r>
            <w:r w:rsidR="00725102">
              <w:t xml:space="preserve"> par atkritumiem un par dažu direktīvu atcelšanu</w:t>
            </w:r>
            <w:r w:rsidR="00651CBB">
              <w:t xml:space="preserve"> </w:t>
            </w:r>
            <w:r w:rsidR="00FB09A8">
              <w:rPr>
                <w:noProof/>
              </w:rPr>
              <w:t>11. panta 2. punkta a) apakšpunktā</w:t>
            </w:r>
            <w:r w:rsidR="00FB09A8">
              <w:t xml:space="preserve"> </w:t>
            </w:r>
            <w:r w:rsidR="00774DDB">
              <w:t>noteikts, ka Latvijai līdz 2020. gadam jānodrošina</w:t>
            </w:r>
            <w:r w:rsidR="00725102">
              <w:t xml:space="preserve"> 50 % sadzīves atkritumu sagatavošana atkārtotai izmantošanai, noteikumu projekt</w:t>
            </w:r>
            <w:r w:rsidR="003D23F2">
              <w:t>s</w:t>
            </w:r>
            <w:r w:rsidR="00725102">
              <w:t xml:space="preserve"> kompleksā ar citām Vides aizsardzības un reģionālās attīstības ministrijas iniciatīvām sniegs ieguldījumu šī mērķa sasniegšanā.</w:t>
            </w:r>
          </w:p>
          <w:p w14:paraId="618E707C" w14:textId="7EF1E86E" w:rsidR="00C80434" w:rsidRDefault="00C80434" w:rsidP="001A0F61">
            <w:pPr>
              <w:spacing w:after="120" w:line="276" w:lineRule="auto"/>
              <w:jc w:val="both"/>
              <w:rPr>
                <w:lang w:eastAsia="en-US"/>
              </w:rPr>
            </w:pPr>
            <w:r>
              <w:rPr>
                <w:lang w:eastAsia="en-US"/>
              </w:rPr>
              <w:lastRenderedPageBreak/>
              <w:t xml:space="preserve">Noteikumu projekts kopā ar vienlaikus virzāmiem Ministru kabineta noteikumu projektiem </w:t>
            </w:r>
            <w:r w:rsidRPr="00C80434">
              <w:rPr>
                <w:lang w:eastAsia="en-US"/>
              </w:rPr>
              <w:t>„Grozījums Ministru kabineta 2016. gada 16. augusta noteikumos Nr.</w:t>
            </w:r>
            <w:r w:rsidR="00F960B9">
              <w:rPr>
                <w:lang w:eastAsia="en-US"/>
              </w:rPr>
              <w:t> </w:t>
            </w:r>
            <w:r w:rsidRPr="00C80434">
              <w:rPr>
                <w:lang w:eastAsia="en-US"/>
              </w:rPr>
              <w:t>546 „Noteikumi par minimālajām prasībām, kas iekļaujamas darba uzdevumā, pašvaldībai izraugoties sadzīves atkritumu apsaimniekotāju, un atkritumu apsaimniekošanas līgumu būtiskie nosacījumi”” un „Grozījums Ministru kabineta 2011. gada 13. septembra noteikumos Nr.</w:t>
            </w:r>
            <w:r w:rsidR="00F960B9">
              <w:rPr>
                <w:lang w:eastAsia="en-US"/>
              </w:rPr>
              <w:t> </w:t>
            </w:r>
            <w:r w:rsidRPr="00C80434">
              <w:rPr>
                <w:lang w:eastAsia="en-US"/>
              </w:rPr>
              <w:t>703 “Noteikumi par atkritumu apsaimniekošanas atļaujas izsniegšanas un anulēšanas kārtību, atkritumu tirgotāju un atkritumu apsaimniekošanas starpnieku reģistrācijas un informācijas sniegšanas kārtību, kā arī par valsts nodevu un tās maksāšanas kārtību””</w:t>
            </w:r>
            <w:r w:rsidR="00B676A3">
              <w:rPr>
                <w:lang w:eastAsia="en-US"/>
              </w:rPr>
              <w:t xml:space="preserve"> paredz pilnveidot </w:t>
            </w:r>
            <w:r w:rsidR="003D23F2">
              <w:rPr>
                <w:lang w:eastAsia="en-US"/>
              </w:rPr>
              <w:t xml:space="preserve">jau </w:t>
            </w:r>
            <w:r w:rsidR="00B676A3">
              <w:rPr>
                <w:lang w:eastAsia="en-US"/>
              </w:rPr>
              <w:t xml:space="preserve">esošu </w:t>
            </w:r>
            <w:r w:rsidR="003D23F2">
              <w:rPr>
                <w:lang w:eastAsia="en-US"/>
              </w:rPr>
              <w:t>IS, kas veltīta atkritumu dalītai vākšanai, nodrošinot tajā precīzas un aktuālas informācijas esamību.</w:t>
            </w:r>
            <w:r w:rsidR="00B676A3">
              <w:rPr>
                <w:lang w:eastAsia="en-US"/>
              </w:rPr>
              <w:t xml:space="preserve"> </w:t>
            </w:r>
            <w:r w:rsidR="003D23F2">
              <w:rPr>
                <w:lang w:eastAsia="en-US"/>
              </w:rPr>
              <w:t>Iedzīvotājiem rezultātā būs atvieglota dalīti vākto atkritumu nodošana, vienlaikus nodrošinot, ka atkritumus var nodot bez papildu maksas.</w:t>
            </w:r>
          </w:p>
          <w:p w14:paraId="078CCE93" w14:textId="1F8F98C1" w:rsidR="00725102" w:rsidRDefault="00973F29" w:rsidP="001A0F61">
            <w:pPr>
              <w:spacing w:after="120" w:line="276" w:lineRule="auto"/>
              <w:jc w:val="both"/>
              <w:rPr>
                <w:lang w:eastAsia="en-US"/>
              </w:rPr>
            </w:pPr>
            <w:r>
              <w:rPr>
                <w:lang w:eastAsia="en-US"/>
              </w:rPr>
              <w:t>Š</w:t>
            </w:r>
            <w:r w:rsidR="00725102">
              <w:rPr>
                <w:lang w:eastAsia="en-US"/>
              </w:rPr>
              <w:t>obrīd iedzīvotājiem ir pieejama informācija par atkritumu dalītas vākšanas iespējām, tomēr tā ir izvietota vairākās tīmekļvietnē</w:t>
            </w:r>
            <w:r>
              <w:rPr>
                <w:lang w:eastAsia="en-US"/>
              </w:rPr>
              <w:t xml:space="preserve">s, </w:t>
            </w:r>
            <w:r w:rsidR="00725102">
              <w:rPr>
                <w:lang w:eastAsia="en-US"/>
              </w:rPr>
              <w:t>tā var pārklāties, vienlaikus informācija var būt daļēji novecojusi vai nepilnīga. Tāpat arī i</w:t>
            </w:r>
            <w:r>
              <w:rPr>
                <w:lang w:eastAsia="en-US"/>
              </w:rPr>
              <w:t xml:space="preserve">edzīvotājiem </w:t>
            </w:r>
            <w:r w:rsidR="00725102">
              <w:rPr>
                <w:lang w:eastAsia="en-US"/>
              </w:rPr>
              <w:t xml:space="preserve">netiek dota ērta iespēja </w:t>
            </w:r>
            <w:r>
              <w:rPr>
                <w:lang w:eastAsia="en-US"/>
              </w:rPr>
              <w:t xml:space="preserve">sniegt atgriezenisko saiti gadījumos, kad fiksēti pārkāpumi vai atkritumu apsaimniekošanas normatīvo aktu neievērošana. </w:t>
            </w:r>
          </w:p>
          <w:p w14:paraId="2E912996" w14:textId="091E1194" w:rsidR="00973F29" w:rsidRDefault="001A0F61" w:rsidP="001A0F61">
            <w:pPr>
              <w:spacing w:after="120" w:line="276" w:lineRule="auto"/>
              <w:jc w:val="both"/>
            </w:pPr>
            <w:r>
              <w:rPr>
                <w:lang w:eastAsia="en-US"/>
              </w:rPr>
              <w:t>P</w:t>
            </w:r>
            <w:r w:rsidR="00973F29">
              <w:rPr>
                <w:lang w:eastAsia="en-US"/>
              </w:rPr>
              <w:t>ilnveidojot normatīvo regulējumu</w:t>
            </w:r>
            <w:r w:rsidR="00FB09A8">
              <w:rPr>
                <w:lang w:eastAsia="en-US"/>
              </w:rPr>
              <w:t xml:space="preserve"> atkritumu apsaimniekošanas jomā</w:t>
            </w:r>
            <w:r w:rsidR="00725102">
              <w:rPr>
                <w:lang w:eastAsia="en-US"/>
              </w:rPr>
              <w:t xml:space="preserve"> un </w:t>
            </w:r>
            <w:r w:rsidR="003D23F2">
              <w:rPr>
                <w:lang w:eastAsia="en-US"/>
              </w:rPr>
              <w:t>esošo IS</w:t>
            </w:r>
            <w:r w:rsidR="00725102">
              <w:rPr>
                <w:lang w:eastAsia="en-US"/>
              </w:rPr>
              <w:t>,</w:t>
            </w:r>
            <w:r w:rsidR="00973F29">
              <w:rPr>
                <w:lang w:eastAsia="en-US"/>
              </w:rPr>
              <w:t xml:space="preserve"> tiks paredzēts, ka atkritumu apsaimniekotājiem būs pienākums izveidotajā sistēmā ievadīt aktuālos datus par nodrošinātajām atkritumu apsaimniekošanas iespējām (dalītās vākšanas punktiem un laukumiem). Tādējādi </w:t>
            </w:r>
            <w:r w:rsidR="003D23F2">
              <w:rPr>
                <w:lang w:eastAsia="en-US"/>
              </w:rPr>
              <w:t>IS</w:t>
            </w:r>
            <w:r>
              <w:rPr>
                <w:lang w:eastAsia="en-US"/>
              </w:rPr>
              <w:t xml:space="preserve"> </w:t>
            </w:r>
            <w:r w:rsidR="00973F29">
              <w:rPr>
                <w:lang w:eastAsia="en-US"/>
              </w:rPr>
              <w:t xml:space="preserve">saturēs pilnīgus un tikai aktuālus (bez novecojušas informācijas) datus. </w:t>
            </w:r>
          </w:p>
          <w:p w14:paraId="6F0ABC0E" w14:textId="2D6A3C8B" w:rsidR="00C21CA7" w:rsidRDefault="00B676A3" w:rsidP="001A0F61">
            <w:pPr>
              <w:spacing w:after="120" w:line="276" w:lineRule="auto"/>
              <w:jc w:val="both"/>
              <w:rPr>
                <w:lang w:eastAsia="en-US"/>
              </w:rPr>
            </w:pPr>
            <w:r>
              <w:rPr>
                <w:lang w:eastAsia="en-US"/>
              </w:rPr>
              <w:t>Noteikumu projektā</w:t>
            </w:r>
            <w:r w:rsidR="003D2A53">
              <w:rPr>
                <w:lang w:eastAsia="en-US"/>
              </w:rPr>
              <w:t xml:space="preserve"> ietverti nosacījumi attiecībā uz </w:t>
            </w:r>
            <w:r w:rsidR="003D23F2">
              <w:rPr>
                <w:lang w:eastAsia="en-US"/>
              </w:rPr>
              <w:t>IS</w:t>
            </w:r>
            <w:r w:rsidR="003D2A53">
              <w:rPr>
                <w:lang w:eastAsia="en-US"/>
              </w:rPr>
              <w:t xml:space="preserve"> </w:t>
            </w:r>
            <w:r>
              <w:rPr>
                <w:lang w:eastAsia="en-US"/>
              </w:rPr>
              <w:t>pārziņa un turētāja funkcijām, kuras veiks Valsts vides dienests un Valsts reģionālās attīstības aģentūra.</w:t>
            </w:r>
          </w:p>
          <w:p w14:paraId="250B90F9" w14:textId="5FC087A4" w:rsidR="00C80434" w:rsidRDefault="003D23F2" w:rsidP="00C80434">
            <w:pPr>
              <w:spacing w:after="120" w:line="276" w:lineRule="auto"/>
              <w:jc w:val="both"/>
            </w:pPr>
            <w:r>
              <w:t>V</w:t>
            </w:r>
            <w:r w:rsidR="00C80434">
              <w:t xml:space="preserve">ienlaikus noteikumu projekta regulējums paredz, ka atkritumu dalītas vākšanas laukumos visi nododamo mājsaimniecībā radīto atkritumu veidi tiek pieņemti bez </w:t>
            </w:r>
            <w:r w:rsidR="00B676A3">
              <w:t xml:space="preserve">papildu </w:t>
            </w:r>
            <w:r w:rsidR="00C80434">
              <w:t>maksas iekasēšanas no iedzīvotājiem. Jau pašlaik iedzīvot</w:t>
            </w:r>
            <w:r w:rsidR="00B676A3">
              <w:t>ājiem ir pieejama dažādu</w:t>
            </w:r>
            <w:r w:rsidR="00C80434">
              <w:t xml:space="preserve"> veidu atkritumu nodošana dalītas vākšanas laukumos bez maksas. Tomēr </w:t>
            </w:r>
            <w:r w:rsidR="00347703">
              <w:t>praksē ir</w:t>
            </w:r>
            <w:r w:rsidR="00C80434">
              <w:t xml:space="preserve"> gadījumi, kad par atsevišķu mājsaimniecībās </w:t>
            </w:r>
            <w:r w:rsidR="00C80434">
              <w:lastRenderedPageBreak/>
              <w:t xml:space="preserve">radītu videi kaitīgu preču atkritumu pieņemšanu no iedzīvotājiem tiek prasīta papildu samaksa. Tas attiecas, piemēram, uz nolietotām riepām. Ņemot vērā, ka iedzīvotāji kopumā nav gatavi maksāt, tad </w:t>
            </w:r>
            <w:r w:rsidR="00347703">
              <w:t>dažkārt tiek</w:t>
            </w:r>
            <w:r w:rsidR="00C80434">
              <w:t xml:space="preserve"> izvēlēts alternatīvs veids, kā atbrīvoties no nolietotām riepām, t.i. atstāt tās atkritumiem neparedzētās vietās vidē.</w:t>
            </w:r>
          </w:p>
          <w:p w14:paraId="79E01827" w14:textId="683C93CB" w:rsidR="00C80434" w:rsidRDefault="00C80434" w:rsidP="00C80434">
            <w:pPr>
              <w:shd w:val="clear" w:color="auto" w:fill="FFFFFF"/>
              <w:spacing w:after="240"/>
              <w:jc w:val="both"/>
            </w:pPr>
            <w:r>
              <w:t xml:space="preserve">Pašlaik </w:t>
            </w:r>
            <w:r w:rsidR="00347703">
              <w:t xml:space="preserve">spēkā esošie </w:t>
            </w:r>
            <w:r>
              <w:t>normatīvie akti</w:t>
            </w:r>
            <w:r w:rsidR="00FB09A8">
              <w:t xml:space="preserve"> (Ministru kabineta 2009. gada 3. novembra noteikumi Nr. 1294 “</w:t>
            </w:r>
            <w:r w:rsidR="00FB09A8" w:rsidRPr="00FB09A8">
              <w:t>Kārtība, kādā atbrīvo no dabas resursu nodokļa samaksas par videi kaitīgām precēm</w:t>
            </w:r>
            <w:r w:rsidR="00FB09A8">
              <w:t xml:space="preserve">”, 1. pielikums)  </w:t>
            </w:r>
            <w:r>
              <w:t xml:space="preserve">nosaka nolietotu riepu </w:t>
            </w:r>
            <w:r w:rsidRPr="008F585E">
              <w:t>pieņemšanas vai savākšanas apjomus attiecībā pret attiecīgajā gadā realizēto vai savas saimnieciskās darbības nodrošināšanai ievesto un izmantoto nolietotu riepu apjomu</w:t>
            </w:r>
            <w:r>
              <w:t xml:space="preserve"> 65% apmērā.</w:t>
            </w:r>
            <w:r w:rsidR="00FB09A8">
              <w:t xml:space="preserve"> Vienlaikus</w:t>
            </w:r>
            <w:r>
              <w:t xml:space="preserve"> pašlaik izstrādes stadijā esošais Ministru kabineta noteikumu projekts “</w:t>
            </w:r>
            <w:r w:rsidRPr="008F585E">
              <w:t>Kārtība, kādā atbrīvo no dabas resursu nodokļa samaksas par videi kaitīgām precēm</w:t>
            </w:r>
            <w:r>
              <w:t xml:space="preserve">” paredz pakāpeniski celt nolietotu riepu savākšanas apjomus līdz pat 80% no tirgū ievietotā vai savai saimnieciskai darbībai ievestā riepu apjoma </w:t>
            </w:r>
            <w:r w:rsidR="00347703">
              <w:t xml:space="preserve">sākot ar </w:t>
            </w:r>
            <w:r>
              <w:t>2023. gad</w:t>
            </w:r>
            <w:r w:rsidR="00347703">
              <w:t>u</w:t>
            </w:r>
            <w:r>
              <w:t xml:space="preserve">. Minētā prasība kopā ar šo noteikumu projektu  veicinās nolietotu riepu apsaimniekošanu, mazinās ikgadējo nolietotu riepu uzkrājuma pieaugumu, kā arī </w:t>
            </w:r>
            <w:r w:rsidR="00347703">
              <w:t xml:space="preserve">nodrošinās </w:t>
            </w:r>
            <w:r>
              <w:t>iespēju mājsaimniecībām, kurās radušies nolietotu riepu atkritumi, nodot tos bez maksas.</w:t>
            </w:r>
          </w:p>
          <w:p w14:paraId="7521BB25" w14:textId="328E674D" w:rsidR="00211A80" w:rsidRDefault="00211A80" w:rsidP="001A0F61">
            <w:pPr>
              <w:spacing w:after="120" w:line="276" w:lineRule="auto"/>
              <w:jc w:val="both"/>
              <w:rPr>
                <w:lang w:eastAsia="en-US"/>
              </w:rPr>
            </w:pPr>
            <w:r>
              <w:rPr>
                <w:lang w:eastAsia="en-US"/>
              </w:rPr>
              <w:t>Noteikumu projekta</w:t>
            </w:r>
            <w:r w:rsidR="003D2A53">
              <w:rPr>
                <w:lang w:eastAsia="en-US"/>
              </w:rPr>
              <w:t xml:space="preserve"> 1. punkts paredz, </w:t>
            </w:r>
            <w:r>
              <w:rPr>
                <w:lang w:eastAsia="en-US"/>
              </w:rPr>
              <w:t xml:space="preserve">ka atkritumu dalītas vākšanas laukuma apsaimniekotājs nodrošina </w:t>
            </w:r>
            <w:r w:rsidRPr="00211A80">
              <w:rPr>
                <w:lang w:eastAsia="en-US"/>
              </w:rPr>
              <w:t>mājsaimniecībās radīto atkritumu, tai skaitā videi kaitīgu preču atkritumu,  pieņemšanu bez maksas</w:t>
            </w:r>
            <w:r>
              <w:rPr>
                <w:lang w:eastAsia="en-US"/>
              </w:rPr>
              <w:t>.</w:t>
            </w:r>
          </w:p>
          <w:p w14:paraId="6D502046" w14:textId="76FEC3E3" w:rsidR="00347703" w:rsidRDefault="00347703" w:rsidP="00347703">
            <w:pPr>
              <w:spacing w:after="120" w:line="276" w:lineRule="auto"/>
              <w:jc w:val="both"/>
              <w:rPr>
                <w:lang w:eastAsia="en-US"/>
              </w:rPr>
            </w:pPr>
            <w:r>
              <w:rPr>
                <w:lang w:eastAsia="en-US"/>
              </w:rPr>
              <w:t>Noteikumu projekta 2. punktā tiek precizēti bioloģiski noārdāmo atkritumu minimālie izvešanas biežumi dažādās atkritumu savākšanas un šķirošanas vietās. Pašreizējais regulējums noteic, ka minimālais bioloģiski noārdāmo atkritumu izvešanas biežums ir vienu reizi 72</w:t>
            </w:r>
            <w:r w:rsidR="00B5731D">
              <w:rPr>
                <w:lang w:eastAsia="en-US"/>
              </w:rPr>
              <w:t> </w:t>
            </w:r>
            <w:r>
              <w:rPr>
                <w:lang w:eastAsia="en-US"/>
              </w:rPr>
              <w:t>stundā</w:t>
            </w:r>
            <w:r w:rsidRPr="00782514">
              <w:rPr>
                <w:lang w:eastAsia="en-US"/>
              </w:rPr>
              <w:t xml:space="preserve">s vasaras periodā (aprīlī, maijā, jūnijā, jūlijā, augustā un septembrī) un </w:t>
            </w:r>
            <w:r>
              <w:rPr>
                <w:lang w:eastAsia="en-US"/>
              </w:rPr>
              <w:t>vienu reizi 168 stundā</w:t>
            </w:r>
            <w:r w:rsidRPr="00782514">
              <w:rPr>
                <w:lang w:eastAsia="en-US"/>
              </w:rPr>
              <w:t>s ziemas periodā (janvārī, februārī, martā, oktobrī, novembrī un decembrī)</w:t>
            </w:r>
            <w:r>
              <w:rPr>
                <w:lang w:eastAsia="en-US"/>
              </w:rPr>
              <w:t>. Ņemot vērā, ka retāks minimālais atkritumu izvešanas biežums nerada draudus cilvēku veselībai un drošībai, noteikumu projekts paredz, ka turpmāk atkritumu dalītas vākšanas punktos, atkritumu dalītas vākšanas laukumos un atkritumu šķirošanas un pārkraušanas stacijās bioloģiski noārdāmos atkritumus būs nepieciešams izvest ne retāk, kā vienu reizi divās nedēļās.</w:t>
            </w:r>
          </w:p>
          <w:p w14:paraId="471845F4" w14:textId="20867464" w:rsidR="003D2A53" w:rsidRDefault="00211A80" w:rsidP="001A0F61">
            <w:pPr>
              <w:spacing w:after="120" w:line="276" w:lineRule="auto"/>
              <w:jc w:val="both"/>
              <w:rPr>
                <w:lang w:eastAsia="en-US"/>
              </w:rPr>
            </w:pPr>
            <w:r>
              <w:rPr>
                <w:lang w:eastAsia="en-US"/>
              </w:rPr>
              <w:lastRenderedPageBreak/>
              <w:t xml:space="preserve">Noteikumu projekta </w:t>
            </w:r>
            <w:r w:rsidR="00347703">
              <w:rPr>
                <w:lang w:eastAsia="en-US"/>
              </w:rPr>
              <w:t>3</w:t>
            </w:r>
            <w:r>
              <w:rPr>
                <w:lang w:eastAsia="en-US"/>
              </w:rPr>
              <w:t xml:space="preserve">. </w:t>
            </w:r>
            <w:r w:rsidR="00DA74D8">
              <w:rPr>
                <w:lang w:eastAsia="en-US"/>
              </w:rPr>
              <w:t xml:space="preserve">punkts </w:t>
            </w:r>
            <w:r>
              <w:rPr>
                <w:lang w:eastAsia="en-US"/>
              </w:rPr>
              <w:t xml:space="preserve">paredz, </w:t>
            </w:r>
            <w:r w:rsidR="003D2A53">
              <w:rPr>
                <w:lang w:eastAsia="en-US"/>
              </w:rPr>
              <w:t xml:space="preserve">ka atkritumu dalītas savākšanas punkta vai laukuma apsaimniekotājs </w:t>
            </w:r>
            <w:r w:rsidR="003D2A53">
              <w:t>piecu</w:t>
            </w:r>
            <w:r w:rsidR="003D2A53" w:rsidRPr="002062F9">
              <w:t xml:space="preserve"> darba dienu laikā pēc </w:t>
            </w:r>
            <w:r w:rsidR="003D2A53">
              <w:t>līguma</w:t>
            </w:r>
            <w:r w:rsidR="003D2A53" w:rsidRPr="002062F9">
              <w:t xml:space="preserve"> par sadzīves atkritumu apsaimniekošan</w:t>
            </w:r>
            <w:r w:rsidR="003D2A53">
              <w:t>u</w:t>
            </w:r>
            <w:r w:rsidR="003D2A53" w:rsidRPr="002062F9">
              <w:t xml:space="preserve"> noslēgšanas, informē </w:t>
            </w:r>
            <w:r w:rsidR="00347703">
              <w:t>Valsts vides dienestu</w:t>
            </w:r>
            <w:r w:rsidR="003D2A53" w:rsidRPr="00DE5211">
              <w:t xml:space="preserve"> </w:t>
            </w:r>
            <w:r w:rsidR="003D2A53" w:rsidRPr="002062F9">
              <w:t>par darbības uzsākšanu attiecīgajā administratīvajā teritorijā</w:t>
            </w:r>
            <w:r w:rsidR="003D2A53">
              <w:t xml:space="preserve">, nosūtot informāciju uz </w:t>
            </w:r>
            <w:r w:rsidR="00347703">
              <w:t>Valsts vides dienesta</w:t>
            </w:r>
            <w:r w:rsidR="003D2A53" w:rsidRPr="00DE5211">
              <w:t xml:space="preserve"> oficiālo elektroniskā pasta adresi</w:t>
            </w:r>
            <w:r w:rsidR="003D2A53" w:rsidRPr="002062F9">
              <w:t>.</w:t>
            </w:r>
            <w:r w:rsidR="003D2A53" w:rsidRPr="00257996">
              <w:t xml:space="preserve"> </w:t>
            </w:r>
            <w:r w:rsidR="00347703">
              <w:t>Valsts vides dienests</w:t>
            </w:r>
            <w:r w:rsidR="003D2A53" w:rsidRPr="002062F9">
              <w:t xml:space="preserve"> desmit darba dienu laikā</w:t>
            </w:r>
            <w:r w:rsidR="003D2A53">
              <w:t xml:space="preserve"> no informācijas saņemšanas brīža</w:t>
            </w:r>
            <w:r w:rsidR="003D2A53" w:rsidRPr="002062F9">
              <w:t xml:space="preserve"> </w:t>
            </w:r>
            <w:r w:rsidR="003D2A53">
              <w:t>nodrošina</w:t>
            </w:r>
            <w:r w:rsidR="003D2A53" w:rsidRPr="002062F9">
              <w:t xml:space="preserve"> apsaimniekotāj</w:t>
            </w:r>
            <w:r w:rsidR="003D2A53">
              <w:t>u ar</w:t>
            </w:r>
            <w:r w:rsidR="003D2A53" w:rsidRPr="002062F9">
              <w:t xml:space="preserve"> piekļuve</w:t>
            </w:r>
            <w:r w:rsidR="003D2A53">
              <w:t>s</w:t>
            </w:r>
            <w:r w:rsidR="003D2A53" w:rsidRPr="002062F9">
              <w:t xml:space="preserve"> kontu </w:t>
            </w:r>
            <w:r w:rsidR="00347703">
              <w:t>IS</w:t>
            </w:r>
            <w:r w:rsidR="003D2A53" w:rsidRPr="000B297F">
              <w:t>.</w:t>
            </w:r>
            <w:r w:rsidR="003D2A53" w:rsidRPr="00782514">
              <w:t xml:space="preserve"> </w:t>
            </w:r>
            <w:r w:rsidR="00782514" w:rsidRPr="00782514">
              <w:t xml:space="preserve">Tiek paredzēts, ka </w:t>
            </w:r>
            <w:r w:rsidR="00782514">
              <w:t xml:space="preserve">atkritumu apsaimniekotājs </w:t>
            </w:r>
            <w:r w:rsidR="00782514" w:rsidRPr="00257996">
              <w:t>ievieto un pa</w:t>
            </w:r>
            <w:r w:rsidR="00347703">
              <w:t>t</w:t>
            </w:r>
            <w:r w:rsidR="00782514" w:rsidRPr="00257996">
              <w:t xml:space="preserve">stāvīgi </w:t>
            </w:r>
            <w:r w:rsidR="00782514">
              <w:t>atjauno</w:t>
            </w:r>
            <w:r w:rsidR="00782514" w:rsidRPr="00257996">
              <w:t xml:space="preserve"> informāciju par </w:t>
            </w:r>
            <w:r w:rsidR="00782514">
              <w:t xml:space="preserve">savākšanas </w:t>
            </w:r>
            <w:r w:rsidR="00782514" w:rsidRPr="00257996">
              <w:t xml:space="preserve">punktu un laukumu izvietojumu, darba laiku (ja attiecināms) un </w:t>
            </w:r>
            <w:r w:rsidR="00782514">
              <w:rPr>
                <w:szCs w:val="28"/>
                <w:shd w:val="clear" w:color="auto" w:fill="FFFFFF"/>
              </w:rPr>
              <w:t>nododamo atkritumu veidiem, nodrošinot informācijas atjaunošanu ne vēlāk kā piecu darba dienu laikā pēc attiecīgo izmaiņu ieviešanas</w:t>
            </w:r>
            <w:r w:rsidR="00782514" w:rsidRPr="008956A6">
              <w:t>.</w:t>
            </w:r>
            <w:r w:rsidR="00782514">
              <w:t xml:space="preserve"> Savākšanas punkta vai laukuma apsaimniekotājs ir atbildīgs par ievietoto informāciju, tai skaitā fizisku personu datu neesamību tajā.</w:t>
            </w:r>
          </w:p>
          <w:p w14:paraId="73EE3A67" w14:textId="63E9CA0A" w:rsidR="00FB09A8" w:rsidRDefault="00211A80">
            <w:pPr>
              <w:spacing w:after="120" w:line="276" w:lineRule="auto"/>
              <w:jc w:val="both"/>
              <w:rPr>
                <w:lang w:eastAsia="en-US"/>
              </w:rPr>
            </w:pPr>
            <w:r>
              <w:rPr>
                <w:lang w:eastAsia="en-US"/>
              </w:rPr>
              <w:t>Noteikumu projekta</w:t>
            </w:r>
            <w:r w:rsidR="001D2446">
              <w:rPr>
                <w:lang w:eastAsia="en-US"/>
              </w:rPr>
              <w:t xml:space="preserve"> </w:t>
            </w:r>
            <w:r>
              <w:rPr>
                <w:lang w:eastAsia="en-US"/>
              </w:rPr>
              <w:t>4</w:t>
            </w:r>
            <w:r w:rsidR="001D2446">
              <w:rPr>
                <w:lang w:eastAsia="en-US"/>
              </w:rPr>
              <w:t>. punkts paredz papildināt Ministru kabineta 2016. gada 13. decembra noteikumu</w:t>
            </w:r>
            <w:r w:rsidR="001D2446" w:rsidRPr="00C21CA7">
              <w:rPr>
                <w:lang w:eastAsia="en-US"/>
              </w:rPr>
              <w:t>s Nr.</w:t>
            </w:r>
            <w:r w:rsidR="00DA74D8">
              <w:rPr>
                <w:lang w:eastAsia="en-US"/>
              </w:rPr>
              <w:t> </w:t>
            </w:r>
            <w:r w:rsidR="001D2446" w:rsidRPr="00C21CA7">
              <w:rPr>
                <w:lang w:eastAsia="en-US"/>
              </w:rPr>
              <w:t>788 „Noteikumi par atkritumu savākšanas un šķirošanas vietām””</w:t>
            </w:r>
            <w:r w:rsidR="001D2446">
              <w:rPr>
                <w:lang w:eastAsia="en-US"/>
              </w:rPr>
              <w:t xml:space="preserve"> ar IV.</w:t>
            </w:r>
            <w:r w:rsidR="001D2446">
              <w:rPr>
                <w:vertAlign w:val="superscript"/>
                <w:lang w:eastAsia="en-US"/>
              </w:rPr>
              <w:t>1</w:t>
            </w:r>
            <w:r w:rsidR="001D2446">
              <w:rPr>
                <w:lang w:eastAsia="en-US"/>
              </w:rPr>
              <w:t xml:space="preserve"> nodaļu </w:t>
            </w:r>
            <w:r w:rsidR="001D2446" w:rsidRPr="001D2446">
              <w:rPr>
                <w:lang w:eastAsia="en-US"/>
              </w:rPr>
              <w:t>„</w:t>
            </w:r>
            <w:r w:rsidR="001D2446" w:rsidRPr="001D2446">
              <w:rPr>
                <w:rFonts w:eastAsia="Calibri"/>
              </w:rPr>
              <w:t xml:space="preserve">Nosacījumi </w:t>
            </w:r>
            <w:r w:rsidR="00347703" w:rsidRPr="00347703">
              <w:rPr>
                <w:rFonts w:eastAsia="Calibri"/>
              </w:rPr>
              <w:t>vienotās atkritumu dalītās savākšanas informācijas sistēmas</w:t>
            </w:r>
            <w:r w:rsidR="00347703" w:rsidRPr="00AE3941">
              <w:rPr>
                <w:rFonts w:eastAsia="Calibri"/>
                <w:b/>
                <w:sz w:val="28"/>
                <w:szCs w:val="28"/>
              </w:rPr>
              <w:t xml:space="preserve"> </w:t>
            </w:r>
            <w:r w:rsidR="001D2446" w:rsidRPr="001D2446">
              <w:rPr>
                <w:rFonts w:eastAsia="Calibri"/>
              </w:rPr>
              <w:t>uzturēšanai un lietošanai</w:t>
            </w:r>
            <w:r w:rsidR="001D2446" w:rsidRPr="001D2446">
              <w:rPr>
                <w:lang w:eastAsia="en-US"/>
              </w:rPr>
              <w:t>”</w:t>
            </w:r>
            <w:r w:rsidR="001D2446">
              <w:rPr>
                <w:lang w:eastAsia="en-US"/>
              </w:rPr>
              <w:t>. IV.</w:t>
            </w:r>
            <w:r w:rsidR="001D2446">
              <w:rPr>
                <w:vertAlign w:val="superscript"/>
                <w:lang w:eastAsia="en-US"/>
              </w:rPr>
              <w:t>1</w:t>
            </w:r>
            <w:r w:rsidR="00DA74D8">
              <w:rPr>
                <w:lang w:eastAsia="en-US"/>
              </w:rPr>
              <w:t> </w:t>
            </w:r>
            <w:r w:rsidR="001D2446">
              <w:rPr>
                <w:lang w:eastAsia="en-US"/>
              </w:rPr>
              <w:t xml:space="preserve">nodaļā ietverta informācija par valsts institūciju funkcijām attiecībā uz </w:t>
            </w:r>
            <w:r w:rsidR="00347703">
              <w:rPr>
                <w:lang w:eastAsia="en-US"/>
              </w:rPr>
              <w:t>IS</w:t>
            </w:r>
            <w:r w:rsidR="001D2446">
              <w:rPr>
                <w:lang w:eastAsia="en-US"/>
              </w:rPr>
              <w:t xml:space="preserve"> pārvaldīšanu un uzturēšanu, kā arī informācija par citu valsts institūciju iesaisti, kas nepieciešama, lai tīmekļvietne darbotos.</w:t>
            </w:r>
            <w:r w:rsidR="00FB09A8">
              <w:rPr>
                <w:lang w:eastAsia="en-US"/>
              </w:rPr>
              <w:t xml:space="preserve"> Lai informācijas sistēmu izveidotu un uzturētu aktuālu, nepieciešama </w:t>
            </w:r>
            <w:r w:rsidR="000B0E3B" w:rsidRPr="000B0E3B">
              <w:rPr>
                <w:lang w:eastAsia="en-US"/>
              </w:rPr>
              <w:t>Latvijas Ģeotelpiskās informācijas aģentūras un Valsts zemes dienesta iesaiste</w:t>
            </w:r>
            <w:r w:rsidR="00B5731D">
              <w:rPr>
                <w:lang w:eastAsia="en-US"/>
              </w:rPr>
              <w:t>.</w:t>
            </w:r>
            <w:r w:rsidR="000B0E3B">
              <w:rPr>
                <w:lang w:eastAsia="en-US"/>
              </w:rPr>
              <w:t xml:space="preserve"> </w:t>
            </w:r>
            <w:r w:rsidR="00B5731D">
              <w:rPr>
                <w:lang w:eastAsia="en-US"/>
              </w:rPr>
              <w:t xml:space="preserve">Tas ir </w:t>
            </w:r>
            <w:r w:rsidR="000B0E3B">
              <w:rPr>
                <w:lang w:eastAsia="en-US"/>
              </w:rPr>
              <w:t>nepieciešams, lai minētās institūcijas sniedz datus, kas ir to rīcībā atkritumu dalītās vākšanas punktu un laukumu kartes izveidei.</w:t>
            </w:r>
          </w:p>
          <w:p w14:paraId="520E660B" w14:textId="419CA302" w:rsidR="000A1B0E" w:rsidRPr="009462C1" w:rsidRDefault="001D2446">
            <w:pPr>
              <w:spacing w:after="120" w:line="276" w:lineRule="auto"/>
              <w:jc w:val="both"/>
              <w:rPr>
                <w:lang w:eastAsia="en-US"/>
              </w:rPr>
            </w:pPr>
            <w:r>
              <w:rPr>
                <w:lang w:eastAsia="en-US"/>
              </w:rPr>
              <w:t xml:space="preserve">Tāpat tiek paredzēts noteikt, ka </w:t>
            </w:r>
            <w:r w:rsidRPr="001D2446">
              <w:rPr>
                <w:rFonts w:eastAsia="Calibri"/>
              </w:rPr>
              <w:t xml:space="preserve">tīmekļvietnē </w:t>
            </w:r>
            <w:hyperlink r:id="rId7" w:history="1">
              <w:r w:rsidRPr="001D2446">
                <w:rPr>
                  <w:rStyle w:val="Hyperlink"/>
                  <w:rFonts w:eastAsia="Calibri"/>
                </w:rPr>
                <w:t>www.skiroviegli.lv</w:t>
              </w:r>
            </w:hyperlink>
            <w:r w:rsidRPr="001D2446">
              <w:rPr>
                <w:rFonts w:eastAsia="Calibri"/>
              </w:rPr>
              <w:t xml:space="preserve"> publicētie dati ir brīvi pieejama bezmaksas informācija bez atkārtotas izmantošanas ierobežojumiem, kura pieejama rediģēšanai un automatizētai apstrādei</w:t>
            </w:r>
            <w:r>
              <w:rPr>
                <w:rFonts w:eastAsia="Calibri"/>
              </w:rPr>
              <w:t>.</w:t>
            </w:r>
          </w:p>
        </w:tc>
      </w:tr>
      <w:tr w:rsidR="000A1B0E" w:rsidRPr="005014B4" w14:paraId="652707C9" w14:textId="77777777" w:rsidTr="00DD3958">
        <w:trPr>
          <w:trHeight w:val="1174"/>
        </w:trPr>
        <w:tc>
          <w:tcPr>
            <w:tcW w:w="426" w:type="dxa"/>
          </w:tcPr>
          <w:p w14:paraId="3F2099D4" w14:textId="3FDD89AF" w:rsidR="000A1B0E" w:rsidRPr="005014B4" w:rsidRDefault="000A1B0E" w:rsidP="00BD5588">
            <w:pPr>
              <w:spacing w:before="130" w:line="260" w:lineRule="exact"/>
              <w:jc w:val="center"/>
              <w:rPr>
                <w:bCs/>
              </w:rPr>
            </w:pPr>
            <w:r w:rsidRPr="005014B4">
              <w:rPr>
                <w:bCs/>
              </w:rPr>
              <w:lastRenderedPageBreak/>
              <w:t>3.</w:t>
            </w:r>
          </w:p>
        </w:tc>
        <w:tc>
          <w:tcPr>
            <w:tcW w:w="2268" w:type="dxa"/>
          </w:tcPr>
          <w:p w14:paraId="60BA2DB5" w14:textId="2EB2A076" w:rsidR="000A1B0E" w:rsidRPr="005014B4" w:rsidRDefault="000A1B0E" w:rsidP="000A1B0E">
            <w:pPr>
              <w:spacing w:before="130" w:line="260" w:lineRule="exact"/>
              <w:rPr>
                <w:bCs/>
              </w:rPr>
            </w:pPr>
            <w:r w:rsidRPr="005014B4">
              <w:t>Projekta izstrādē iesaistītās institūcijas un publiskas personas kapitālsabiedrības</w:t>
            </w:r>
          </w:p>
        </w:tc>
        <w:tc>
          <w:tcPr>
            <w:tcW w:w="5811" w:type="dxa"/>
          </w:tcPr>
          <w:p w14:paraId="617874D5" w14:textId="08AD1E46" w:rsidR="001C1D20" w:rsidRPr="005014B4" w:rsidRDefault="000A1B0E" w:rsidP="000A1B0E">
            <w:pPr>
              <w:spacing w:before="130" w:line="260" w:lineRule="exact"/>
              <w:jc w:val="both"/>
              <w:rPr>
                <w:bCs/>
              </w:rPr>
            </w:pPr>
            <w:r w:rsidRPr="005014B4">
              <w:t>Vides aizsardzības un reģionālās attīstības ministrija</w:t>
            </w:r>
            <w:r w:rsidR="00244E5B" w:rsidRPr="005014B4">
              <w:t>, Valsts vides dienests, Valsts reģionālās attīstības aģentūra</w:t>
            </w:r>
            <w:r w:rsidRPr="005014B4">
              <w:t>.</w:t>
            </w:r>
          </w:p>
          <w:p w14:paraId="670931F8" w14:textId="66CED846" w:rsidR="001C1D20" w:rsidRPr="005014B4" w:rsidRDefault="001C1D20" w:rsidP="001C1D20"/>
          <w:p w14:paraId="284BE5D3" w14:textId="02BC94D1" w:rsidR="000A1B0E" w:rsidRPr="005014B4" w:rsidRDefault="001C1D20" w:rsidP="001C1D20">
            <w:pPr>
              <w:tabs>
                <w:tab w:val="left" w:pos="1323"/>
              </w:tabs>
            </w:pPr>
            <w:r w:rsidRPr="005014B4">
              <w:tab/>
            </w:r>
          </w:p>
        </w:tc>
      </w:tr>
      <w:tr w:rsidR="000A1B0E" w:rsidRPr="005014B4" w14:paraId="70457BF7" w14:textId="77777777" w:rsidTr="0059362D">
        <w:tc>
          <w:tcPr>
            <w:tcW w:w="426" w:type="dxa"/>
          </w:tcPr>
          <w:p w14:paraId="2562A641" w14:textId="49654B1C" w:rsidR="000A1B0E" w:rsidRPr="005014B4" w:rsidRDefault="000A1B0E" w:rsidP="00BD5588">
            <w:pPr>
              <w:spacing w:before="130" w:line="260" w:lineRule="exact"/>
              <w:jc w:val="center"/>
              <w:rPr>
                <w:bCs/>
              </w:rPr>
            </w:pPr>
            <w:r w:rsidRPr="005014B4">
              <w:rPr>
                <w:bCs/>
              </w:rPr>
              <w:t>4.</w:t>
            </w:r>
          </w:p>
        </w:tc>
        <w:tc>
          <w:tcPr>
            <w:tcW w:w="2268" w:type="dxa"/>
          </w:tcPr>
          <w:p w14:paraId="5490C53B" w14:textId="4B946D57" w:rsidR="000A1B0E" w:rsidRPr="005014B4" w:rsidRDefault="000A1B0E" w:rsidP="000A1B0E">
            <w:pPr>
              <w:spacing w:before="130" w:line="260" w:lineRule="exact"/>
              <w:rPr>
                <w:bCs/>
              </w:rPr>
            </w:pPr>
            <w:r w:rsidRPr="005014B4">
              <w:t>Cita informācija</w:t>
            </w:r>
          </w:p>
        </w:tc>
        <w:tc>
          <w:tcPr>
            <w:tcW w:w="5811" w:type="dxa"/>
          </w:tcPr>
          <w:p w14:paraId="50EB5C6C" w14:textId="0FACAAC9" w:rsidR="000A1B0E" w:rsidRPr="005014B4" w:rsidRDefault="000A1B0E" w:rsidP="000A1B0E">
            <w:pPr>
              <w:spacing w:before="130" w:line="260" w:lineRule="exact"/>
              <w:rPr>
                <w:bCs/>
              </w:rPr>
            </w:pPr>
            <w:r w:rsidRPr="005014B4">
              <w:rPr>
                <w:bCs/>
              </w:rPr>
              <w:t>Nav.</w:t>
            </w:r>
          </w:p>
        </w:tc>
      </w:tr>
    </w:tbl>
    <w:p w14:paraId="4A3759F6" w14:textId="77777777" w:rsidR="0059362D" w:rsidRPr="005014B4" w:rsidRDefault="0059362D" w:rsidP="005811B8">
      <w:pPr>
        <w:pStyle w:val="Title"/>
        <w:spacing w:before="130" w:line="260" w:lineRule="exact"/>
        <w:jc w:val="both"/>
        <w:rPr>
          <w:sz w:val="24"/>
          <w:szCs w:val="24"/>
        </w:rPr>
      </w:pPr>
    </w:p>
    <w:tbl>
      <w:tblPr>
        <w:tblW w:w="46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4A0" w:firstRow="1" w:lastRow="0" w:firstColumn="1" w:lastColumn="0" w:noHBand="0" w:noVBand="1"/>
      </w:tblPr>
      <w:tblGrid>
        <w:gridCol w:w="569"/>
        <w:gridCol w:w="2154"/>
        <w:gridCol w:w="5813"/>
      </w:tblGrid>
      <w:tr w:rsidR="00BD5588" w:rsidRPr="005014B4" w14:paraId="1685A97F" w14:textId="77777777" w:rsidTr="005811B8">
        <w:tc>
          <w:tcPr>
            <w:tcW w:w="5000" w:type="pct"/>
            <w:gridSpan w:val="3"/>
            <w:vAlign w:val="center"/>
            <w:hideMark/>
          </w:tcPr>
          <w:p w14:paraId="35F86D4B" w14:textId="77777777" w:rsidR="00BD5588" w:rsidRPr="005014B4" w:rsidRDefault="00BD5588" w:rsidP="009E0502">
            <w:pPr>
              <w:jc w:val="center"/>
              <w:rPr>
                <w:b/>
                <w:bCs/>
              </w:rPr>
            </w:pPr>
            <w:r w:rsidRPr="005014B4">
              <w:rPr>
                <w:b/>
                <w:bCs/>
              </w:rPr>
              <w:t>II. Tiesību akta projekta ietekme uz sabiedrību, tautsaimniecības attīstību un administratīvo slogu</w:t>
            </w:r>
          </w:p>
        </w:tc>
      </w:tr>
      <w:tr w:rsidR="00BD5588" w:rsidRPr="005014B4" w14:paraId="23C7E230" w14:textId="77777777" w:rsidTr="005811B8">
        <w:tc>
          <w:tcPr>
            <w:tcW w:w="333" w:type="pct"/>
            <w:hideMark/>
          </w:tcPr>
          <w:p w14:paraId="20C4190C" w14:textId="77777777" w:rsidR="00BD5588" w:rsidRPr="005014B4" w:rsidRDefault="00BD5588" w:rsidP="009E0502">
            <w:pPr>
              <w:jc w:val="center"/>
            </w:pPr>
            <w:r w:rsidRPr="005014B4">
              <w:t>1.</w:t>
            </w:r>
          </w:p>
        </w:tc>
        <w:tc>
          <w:tcPr>
            <w:tcW w:w="1262" w:type="pct"/>
            <w:hideMark/>
          </w:tcPr>
          <w:p w14:paraId="1E01A5C5" w14:textId="77777777" w:rsidR="00BD5588" w:rsidRPr="005014B4" w:rsidRDefault="00BD5588" w:rsidP="009E0502">
            <w:r w:rsidRPr="005014B4">
              <w:t>Sabiedrības mērķgrupas, kuras tiesiskais regulējums ietekmē vai varētu ietekmēt</w:t>
            </w:r>
          </w:p>
        </w:tc>
        <w:tc>
          <w:tcPr>
            <w:tcW w:w="3404" w:type="pct"/>
            <w:hideMark/>
          </w:tcPr>
          <w:p w14:paraId="40414A30" w14:textId="02C6E685" w:rsidR="00BD5588" w:rsidRPr="005014B4" w:rsidRDefault="005014B4" w:rsidP="002D3447">
            <w:pPr>
              <w:jc w:val="both"/>
            </w:pPr>
            <w:r w:rsidRPr="005014B4">
              <w:t>A</w:t>
            </w:r>
            <w:r w:rsidR="00FC714D" w:rsidRPr="005014B4">
              <w:t xml:space="preserve">tkritumu apsaimniekotāji, </w:t>
            </w:r>
            <w:r w:rsidR="009462C1">
              <w:t>Valsts vides dienests,</w:t>
            </w:r>
            <w:r w:rsidR="0021795C">
              <w:t xml:space="preserve"> Valsts reģionālās attīstības aģentūra,</w:t>
            </w:r>
            <w:r w:rsidR="009462C1">
              <w:t xml:space="preserve"> </w:t>
            </w:r>
            <w:r w:rsidRPr="005014B4">
              <w:t>sabiedrība kopumā</w:t>
            </w:r>
            <w:r w:rsidR="00FC714D" w:rsidRPr="005014B4">
              <w:t>.</w:t>
            </w:r>
          </w:p>
        </w:tc>
      </w:tr>
      <w:tr w:rsidR="00BD5588" w:rsidRPr="005014B4" w14:paraId="1FF50C00" w14:textId="77777777" w:rsidTr="005811B8">
        <w:tc>
          <w:tcPr>
            <w:tcW w:w="333" w:type="pct"/>
            <w:hideMark/>
          </w:tcPr>
          <w:p w14:paraId="463D219B" w14:textId="77777777" w:rsidR="00BD5588" w:rsidRPr="005014B4" w:rsidRDefault="00BD5588" w:rsidP="009E0502">
            <w:pPr>
              <w:jc w:val="center"/>
            </w:pPr>
            <w:r w:rsidRPr="005014B4">
              <w:t>2.</w:t>
            </w:r>
          </w:p>
        </w:tc>
        <w:tc>
          <w:tcPr>
            <w:tcW w:w="1262" w:type="pct"/>
            <w:hideMark/>
          </w:tcPr>
          <w:p w14:paraId="323F0CCE" w14:textId="77777777" w:rsidR="00BD5588" w:rsidRPr="005014B4" w:rsidRDefault="00BD5588" w:rsidP="009E0502">
            <w:r w:rsidRPr="009462C1">
              <w:t>Tiesiskā regulējuma ietekme uz tautsaimniecību un administratīvo slogu</w:t>
            </w:r>
          </w:p>
        </w:tc>
        <w:tc>
          <w:tcPr>
            <w:tcW w:w="3404" w:type="pct"/>
            <w:hideMark/>
          </w:tcPr>
          <w:p w14:paraId="5482C37F" w14:textId="77777777" w:rsidR="00211A80" w:rsidRDefault="00DF374B" w:rsidP="00211A80">
            <w:pPr>
              <w:spacing w:after="120"/>
              <w:jc w:val="both"/>
            </w:pPr>
            <w:r>
              <w:t>P</w:t>
            </w:r>
            <w:r w:rsidR="00211A80">
              <w:t>rojektā ietvertās prasības</w:t>
            </w:r>
            <w:r>
              <w:t xml:space="preserve"> neradīs būtisku administratīvo slogu valsts pārvaldes institūcijām</w:t>
            </w:r>
            <w:r w:rsidR="00211A80">
              <w:t>, kā arī atkritumu apsaimniekošanas komersantiem.</w:t>
            </w:r>
            <w:r>
              <w:t xml:space="preserve"> </w:t>
            </w:r>
          </w:p>
          <w:p w14:paraId="18FF949D" w14:textId="23863FFB" w:rsidR="002B1D45" w:rsidRPr="005014B4" w:rsidRDefault="00211A80">
            <w:pPr>
              <w:spacing w:after="120"/>
              <w:jc w:val="both"/>
            </w:pPr>
            <w:r>
              <w:t>Projekts paredz informācijas sniegšanas pienākumu atkritumu apsaimniekošan</w:t>
            </w:r>
            <w:r w:rsidR="0021795C">
              <w:t>a</w:t>
            </w:r>
            <w:r>
              <w:t xml:space="preserve">s komersantiem, tomēr, ņemot vērā vienlaikus ar šo noteikumu projektu virzāmo noteikumu projektu </w:t>
            </w:r>
            <w:r w:rsidRPr="00211A80">
              <w:t>„Grozījums Ministru kabineta 2011.</w:t>
            </w:r>
            <w:r w:rsidR="00DA74D8">
              <w:t> </w:t>
            </w:r>
            <w:r w:rsidRPr="00211A80">
              <w:t>gada 13. septembra noteikumos Nr.</w:t>
            </w:r>
            <w:r w:rsidR="00DA74D8">
              <w:t> </w:t>
            </w:r>
            <w:r w:rsidRPr="00211A80">
              <w:t>703 “Noteikumi par atkritumu apsaimniekošanas atļaujas izsniegšanas un anulēšanas kārtību, atkritumu tirgotāju un atkritumu apsaimniekošanas starpnieku reģistrācijas un informācijas sniegšanas kārtību, kā arī par valsts nodevu un tās maksāšanas kārtību””</w:t>
            </w:r>
            <w:r>
              <w:t xml:space="preserve">, kas paredz administratīvā sloga samazinājumu attiecībā uz piesārņojošas darbības atļauju precizēšanu, </w:t>
            </w:r>
            <w:r w:rsidR="00C80434">
              <w:t xml:space="preserve">vērtējams, ka </w:t>
            </w:r>
            <w:r>
              <w:t>ietekme uz administratīvo slogu būs pozitīva.</w:t>
            </w:r>
          </w:p>
        </w:tc>
      </w:tr>
      <w:tr w:rsidR="00BD5588" w:rsidRPr="005014B4" w14:paraId="4CB63B11" w14:textId="77777777" w:rsidTr="005811B8">
        <w:tc>
          <w:tcPr>
            <w:tcW w:w="333" w:type="pct"/>
            <w:hideMark/>
          </w:tcPr>
          <w:p w14:paraId="16DA21FC" w14:textId="0E887FA5" w:rsidR="00BD5588" w:rsidRPr="005014B4" w:rsidRDefault="00BD5588" w:rsidP="009E0502">
            <w:pPr>
              <w:jc w:val="center"/>
            </w:pPr>
            <w:r w:rsidRPr="005014B4">
              <w:t>3.</w:t>
            </w:r>
          </w:p>
        </w:tc>
        <w:tc>
          <w:tcPr>
            <w:tcW w:w="1262" w:type="pct"/>
            <w:hideMark/>
          </w:tcPr>
          <w:p w14:paraId="49568D0C" w14:textId="77777777" w:rsidR="00BD5588" w:rsidRPr="005014B4" w:rsidRDefault="00BD5588" w:rsidP="009E0502">
            <w:r w:rsidRPr="005014B4">
              <w:t>Administratīvo izmaksu monetārs novērtējums</w:t>
            </w:r>
          </w:p>
        </w:tc>
        <w:tc>
          <w:tcPr>
            <w:tcW w:w="3404" w:type="pct"/>
            <w:hideMark/>
          </w:tcPr>
          <w:p w14:paraId="186DF0A9" w14:textId="0EA6BF50" w:rsidR="00BD5588" w:rsidRPr="005014B4" w:rsidRDefault="00DF374B" w:rsidP="00364610">
            <w:pPr>
              <w:jc w:val="both"/>
            </w:pPr>
            <w:r>
              <w:t>Projektā ietvertajam regulējumam nav būtiskas ietekmes uz administratīvajām izmaksām, un tas nerada papildu administratīvo slogu</w:t>
            </w:r>
            <w:r w:rsidR="00364610">
              <w:t>.</w:t>
            </w:r>
            <w:r>
              <w:t xml:space="preserve"> Sabiedrības mērķgrupām noteikumu projekta tiesiskais regulējums nemaina tiesības un pienākumus.</w:t>
            </w:r>
          </w:p>
        </w:tc>
      </w:tr>
      <w:tr w:rsidR="00BD5588" w:rsidRPr="005014B4" w14:paraId="37B9F06C" w14:textId="77777777" w:rsidTr="005811B8">
        <w:tc>
          <w:tcPr>
            <w:tcW w:w="333" w:type="pct"/>
            <w:hideMark/>
          </w:tcPr>
          <w:p w14:paraId="0604D372" w14:textId="77777777" w:rsidR="00BD5588" w:rsidRPr="005014B4" w:rsidRDefault="00BD5588" w:rsidP="009E0502">
            <w:pPr>
              <w:jc w:val="center"/>
            </w:pPr>
            <w:r w:rsidRPr="005014B4">
              <w:t>4.</w:t>
            </w:r>
          </w:p>
        </w:tc>
        <w:tc>
          <w:tcPr>
            <w:tcW w:w="1262" w:type="pct"/>
            <w:hideMark/>
          </w:tcPr>
          <w:p w14:paraId="02306ED8" w14:textId="77777777" w:rsidR="00BD5588" w:rsidRPr="005014B4" w:rsidRDefault="00BD5588" w:rsidP="009E0502">
            <w:r w:rsidRPr="005014B4">
              <w:t>Atbilstības izmaksu monetārs novērtējums</w:t>
            </w:r>
          </w:p>
        </w:tc>
        <w:tc>
          <w:tcPr>
            <w:tcW w:w="3404" w:type="pct"/>
            <w:hideMark/>
          </w:tcPr>
          <w:p w14:paraId="17191150" w14:textId="37115DDF" w:rsidR="00BD5588" w:rsidRPr="005014B4" w:rsidRDefault="00C66CBC" w:rsidP="009E0502">
            <w:r w:rsidRPr="005014B4">
              <w:t>Nav attiecināms.</w:t>
            </w:r>
          </w:p>
        </w:tc>
      </w:tr>
      <w:tr w:rsidR="00BD5588" w:rsidRPr="005014B4" w14:paraId="484CE199" w14:textId="77777777" w:rsidTr="005811B8">
        <w:tc>
          <w:tcPr>
            <w:tcW w:w="333" w:type="pct"/>
            <w:hideMark/>
          </w:tcPr>
          <w:p w14:paraId="73493F37" w14:textId="77777777" w:rsidR="00BD5588" w:rsidRPr="005014B4" w:rsidRDefault="00BD5588" w:rsidP="009E0502">
            <w:pPr>
              <w:jc w:val="center"/>
            </w:pPr>
            <w:r w:rsidRPr="005014B4">
              <w:t>5.</w:t>
            </w:r>
          </w:p>
        </w:tc>
        <w:tc>
          <w:tcPr>
            <w:tcW w:w="1262" w:type="pct"/>
            <w:hideMark/>
          </w:tcPr>
          <w:p w14:paraId="5C0B14F8" w14:textId="77777777" w:rsidR="00BD5588" w:rsidRPr="005014B4" w:rsidRDefault="00BD5588" w:rsidP="009E0502">
            <w:r w:rsidRPr="005014B4">
              <w:t>Cita informācija</w:t>
            </w:r>
          </w:p>
        </w:tc>
        <w:tc>
          <w:tcPr>
            <w:tcW w:w="3404" w:type="pct"/>
            <w:hideMark/>
          </w:tcPr>
          <w:p w14:paraId="30304ED4" w14:textId="2BD40859" w:rsidR="00BD5588" w:rsidRPr="005014B4" w:rsidRDefault="008116A3" w:rsidP="009E0502">
            <w:r w:rsidRPr="005014B4">
              <w:t>Nav</w:t>
            </w:r>
            <w:r w:rsidR="00C66CBC" w:rsidRPr="005014B4">
              <w:t>.</w:t>
            </w:r>
          </w:p>
        </w:tc>
      </w:tr>
    </w:tbl>
    <w:p w14:paraId="48778878" w14:textId="77777777" w:rsidR="00BD5588" w:rsidRPr="005014B4" w:rsidRDefault="00BD5588" w:rsidP="00BD5588">
      <w:pPr>
        <w:pStyle w:val="Title"/>
        <w:spacing w:before="130" w:line="260" w:lineRule="exact"/>
        <w:ind w:firstLine="539"/>
        <w:jc w:val="both"/>
        <w:rPr>
          <w:sz w:val="24"/>
          <w:szCs w:val="24"/>
        </w:rPr>
      </w:pPr>
    </w:p>
    <w:tbl>
      <w:tblPr>
        <w:tblStyle w:val="TableGrid"/>
        <w:tblW w:w="8505" w:type="dxa"/>
        <w:tblInd w:w="108" w:type="dxa"/>
        <w:tblLook w:val="04A0" w:firstRow="1" w:lastRow="0" w:firstColumn="1" w:lastColumn="0" w:noHBand="0" w:noVBand="1"/>
      </w:tblPr>
      <w:tblGrid>
        <w:gridCol w:w="8505"/>
      </w:tblGrid>
      <w:tr w:rsidR="00616FD4" w:rsidRPr="005014B4" w14:paraId="6A2A129B" w14:textId="77777777" w:rsidTr="0059362D">
        <w:tc>
          <w:tcPr>
            <w:tcW w:w="8505" w:type="dxa"/>
          </w:tcPr>
          <w:p w14:paraId="38031ADB" w14:textId="77777777" w:rsidR="00616FD4" w:rsidRPr="005014B4" w:rsidRDefault="00616FD4" w:rsidP="00DA1C77">
            <w:pPr>
              <w:jc w:val="center"/>
              <w:rPr>
                <w:b/>
              </w:rPr>
            </w:pPr>
            <w:r w:rsidRPr="005014B4">
              <w:rPr>
                <w:b/>
              </w:rPr>
              <w:t>III. Tiesību akta projekta ietekme uz valsts budžetu un pašvaldību budžetiem</w:t>
            </w:r>
          </w:p>
        </w:tc>
      </w:tr>
      <w:tr w:rsidR="00616FD4" w:rsidRPr="005014B4" w14:paraId="2E185FB5" w14:textId="77777777" w:rsidTr="0059362D">
        <w:tc>
          <w:tcPr>
            <w:tcW w:w="8505" w:type="dxa"/>
          </w:tcPr>
          <w:p w14:paraId="6B18B659" w14:textId="77777777" w:rsidR="00616FD4" w:rsidRPr="005014B4" w:rsidRDefault="00616FD4" w:rsidP="00DA1C77">
            <w:pPr>
              <w:jc w:val="center"/>
            </w:pPr>
            <w:r w:rsidRPr="005014B4">
              <w:t>Projekts šo jomu neskar.</w:t>
            </w:r>
          </w:p>
        </w:tc>
      </w:tr>
    </w:tbl>
    <w:p w14:paraId="781C6177" w14:textId="77777777" w:rsidR="00616FD4" w:rsidRPr="005014B4" w:rsidRDefault="00616FD4" w:rsidP="00616FD4">
      <w:pPr>
        <w:shd w:val="clear" w:color="auto" w:fill="FFFFFF"/>
      </w:pPr>
    </w:p>
    <w:tbl>
      <w:tblPr>
        <w:tblStyle w:val="TableGrid"/>
        <w:tblW w:w="8505" w:type="dxa"/>
        <w:tblInd w:w="108" w:type="dxa"/>
        <w:tblLook w:val="04A0" w:firstRow="1" w:lastRow="0" w:firstColumn="1" w:lastColumn="0" w:noHBand="0" w:noVBand="1"/>
      </w:tblPr>
      <w:tblGrid>
        <w:gridCol w:w="8505"/>
      </w:tblGrid>
      <w:tr w:rsidR="002D3447" w:rsidRPr="005014B4" w14:paraId="57980B98" w14:textId="77777777" w:rsidTr="0059362D">
        <w:tc>
          <w:tcPr>
            <w:tcW w:w="8505" w:type="dxa"/>
          </w:tcPr>
          <w:p w14:paraId="3BC6E04F" w14:textId="77777777" w:rsidR="002D3447" w:rsidRPr="005014B4" w:rsidRDefault="002D3447" w:rsidP="00DA1C77">
            <w:pPr>
              <w:jc w:val="center"/>
              <w:rPr>
                <w:b/>
              </w:rPr>
            </w:pPr>
            <w:r w:rsidRPr="005014B4">
              <w:rPr>
                <w:b/>
              </w:rPr>
              <w:t>IV. Tiesību akta projekta ietekme uz spēkā esošo tiesību normu sistēmu</w:t>
            </w:r>
          </w:p>
        </w:tc>
      </w:tr>
      <w:tr w:rsidR="002D3447" w:rsidRPr="005014B4" w14:paraId="7B3E1E70" w14:textId="77777777" w:rsidTr="0059362D">
        <w:tc>
          <w:tcPr>
            <w:tcW w:w="8505" w:type="dxa"/>
          </w:tcPr>
          <w:p w14:paraId="7F019856" w14:textId="77777777" w:rsidR="002D3447" w:rsidRPr="005014B4" w:rsidRDefault="002D3447" w:rsidP="00DA1C77">
            <w:pPr>
              <w:jc w:val="center"/>
            </w:pPr>
            <w:r w:rsidRPr="005014B4">
              <w:t>Projekts šo jomu neskar.</w:t>
            </w:r>
          </w:p>
        </w:tc>
      </w:tr>
    </w:tbl>
    <w:p w14:paraId="14E9D85C" w14:textId="77777777" w:rsidR="00A00A87" w:rsidRDefault="00A00A87" w:rsidP="002D3447">
      <w:pPr>
        <w:shd w:val="clear" w:color="auto" w:fill="FFFFFF"/>
      </w:pPr>
    </w:p>
    <w:tbl>
      <w:tblPr>
        <w:tblStyle w:val="TableGrid"/>
        <w:tblW w:w="8505" w:type="dxa"/>
        <w:tblInd w:w="108" w:type="dxa"/>
        <w:tblLayout w:type="fixed"/>
        <w:tblLook w:val="04A0" w:firstRow="1" w:lastRow="0" w:firstColumn="1" w:lastColumn="0" w:noHBand="0" w:noVBand="1"/>
      </w:tblPr>
      <w:tblGrid>
        <w:gridCol w:w="8505"/>
      </w:tblGrid>
      <w:tr w:rsidR="002D3447" w:rsidRPr="005014B4" w14:paraId="2D00A6B3" w14:textId="77777777" w:rsidTr="00BA42DC">
        <w:tc>
          <w:tcPr>
            <w:tcW w:w="8505" w:type="dxa"/>
          </w:tcPr>
          <w:p w14:paraId="62ECAEF4" w14:textId="77777777" w:rsidR="002D3447" w:rsidRPr="005014B4" w:rsidRDefault="002D3447" w:rsidP="00DA1C77">
            <w:pPr>
              <w:jc w:val="center"/>
              <w:rPr>
                <w:b/>
              </w:rPr>
            </w:pPr>
            <w:r w:rsidRPr="005014B4">
              <w:rPr>
                <w:b/>
              </w:rPr>
              <w:t>V. Tiesību akta projekta atbilstība Latvijas Republikas starptautiskajām saistībām</w:t>
            </w:r>
          </w:p>
        </w:tc>
      </w:tr>
      <w:tr w:rsidR="00244A6E" w:rsidRPr="005014B4" w14:paraId="02C79242" w14:textId="77777777" w:rsidTr="00BA42DC">
        <w:tc>
          <w:tcPr>
            <w:tcW w:w="8505" w:type="dxa"/>
          </w:tcPr>
          <w:p w14:paraId="19CA5911" w14:textId="6B226728" w:rsidR="00244A6E" w:rsidRPr="005014B4" w:rsidRDefault="00244A6E" w:rsidP="00DA1C77">
            <w:pPr>
              <w:jc w:val="center"/>
              <w:rPr>
                <w:b/>
              </w:rPr>
            </w:pPr>
            <w:r w:rsidRPr="005014B4">
              <w:t>Projekts šo jomu neskar.</w:t>
            </w:r>
          </w:p>
        </w:tc>
      </w:tr>
    </w:tbl>
    <w:p w14:paraId="07DCB884" w14:textId="4F2DB9E7" w:rsidR="00126021" w:rsidRPr="005014B4" w:rsidRDefault="002D3447" w:rsidP="002D3447">
      <w:r w:rsidRPr="005014B4">
        <w:t xml:space="preserve">  </w:t>
      </w:r>
    </w:p>
    <w:tbl>
      <w:tblPr>
        <w:tblW w:w="4676"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249"/>
        <w:gridCol w:w="2732"/>
        <w:gridCol w:w="5547"/>
      </w:tblGrid>
      <w:tr w:rsidR="00C66CBC" w:rsidRPr="005014B4" w14:paraId="4A825987" w14:textId="77777777" w:rsidTr="0059362D">
        <w:trPr>
          <w:trHeight w:val="336"/>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AC8F596" w14:textId="77777777" w:rsidR="002D3447" w:rsidRPr="005014B4" w:rsidRDefault="002D3447" w:rsidP="00DA1C77">
            <w:pPr>
              <w:spacing w:before="100" w:beforeAutospacing="1" w:after="100" w:afterAutospacing="1" w:line="293" w:lineRule="atLeast"/>
              <w:jc w:val="center"/>
              <w:rPr>
                <w:b/>
                <w:bCs/>
              </w:rPr>
            </w:pPr>
            <w:r w:rsidRPr="005014B4">
              <w:rPr>
                <w:b/>
                <w:bCs/>
              </w:rPr>
              <w:t>VI. Sabiedrības līdzdalība un komunikācijas aktivitātes</w:t>
            </w:r>
          </w:p>
        </w:tc>
      </w:tr>
      <w:tr w:rsidR="00C66CBC" w:rsidRPr="005014B4" w14:paraId="256048C3" w14:textId="77777777" w:rsidTr="0059362D">
        <w:trPr>
          <w:trHeight w:val="432"/>
        </w:trPr>
        <w:tc>
          <w:tcPr>
            <w:tcW w:w="146" w:type="pct"/>
            <w:tcBorders>
              <w:top w:val="outset" w:sz="6" w:space="0" w:color="414142"/>
              <w:left w:val="outset" w:sz="6" w:space="0" w:color="414142"/>
              <w:bottom w:val="outset" w:sz="6" w:space="0" w:color="414142"/>
              <w:right w:val="outset" w:sz="6" w:space="0" w:color="414142"/>
            </w:tcBorders>
            <w:hideMark/>
          </w:tcPr>
          <w:p w14:paraId="05B16850" w14:textId="77777777" w:rsidR="002D3447" w:rsidRPr="005014B4" w:rsidRDefault="002D3447" w:rsidP="00DA1C77">
            <w:r w:rsidRPr="005014B4">
              <w:t>1.</w:t>
            </w:r>
          </w:p>
        </w:tc>
        <w:tc>
          <w:tcPr>
            <w:tcW w:w="1602" w:type="pct"/>
            <w:tcBorders>
              <w:top w:val="outset" w:sz="6" w:space="0" w:color="414142"/>
              <w:left w:val="outset" w:sz="6" w:space="0" w:color="414142"/>
              <w:bottom w:val="outset" w:sz="6" w:space="0" w:color="414142"/>
              <w:right w:val="outset" w:sz="6" w:space="0" w:color="414142"/>
            </w:tcBorders>
            <w:hideMark/>
          </w:tcPr>
          <w:p w14:paraId="01FB777E" w14:textId="77777777" w:rsidR="002D3447" w:rsidRPr="005014B4" w:rsidRDefault="002D3447" w:rsidP="00DA1C77">
            <w:r w:rsidRPr="005014B4">
              <w:t xml:space="preserve">Plānotās sabiedrības līdzdalības un komunikācijas aktivitātes </w:t>
            </w:r>
            <w:r w:rsidRPr="005014B4">
              <w:lastRenderedPageBreak/>
              <w:t>saistībā ar projektu</w:t>
            </w:r>
          </w:p>
        </w:tc>
        <w:tc>
          <w:tcPr>
            <w:tcW w:w="3252" w:type="pct"/>
            <w:tcBorders>
              <w:top w:val="outset" w:sz="6" w:space="0" w:color="414142"/>
              <w:left w:val="outset" w:sz="6" w:space="0" w:color="414142"/>
              <w:bottom w:val="outset" w:sz="6" w:space="0" w:color="414142"/>
              <w:right w:val="outset" w:sz="6" w:space="0" w:color="414142"/>
            </w:tcBorders>
            <w:hideMark/>
          </w:tcPr>
          <w:p w14:paraId="2723D99E" w14:textId="044464D9" w:rsidR="002D3447" w:rsidRPr="005014B4" w:rsidRDefault="002D3447" w:rsidP="00C66CBC">
            <w:pPr>
              <w:pStyle w:val="naisf"/>
              <w:spacing w:before="0" w:after="0"/>
              <w:ind w:right="57" w:firstLine="0"/>
            </w:pPr>
            <w:r w:rsidRPr="005014B4">
              <w:lastRenderedPageBreak/>
              <w:t>Saskaņā ar Ministru kabineta 2009. gada 25. augusta noteikumu Nr. 970 “Sabiedrības līdzdalības kārtība attīstības plānošanas procesā” 7.4.</w:t>
            </w:r>
            <w:r w:rsidRPr="005014B4">
              <w:rPr>
                <w:vertAlign w:val="superscript"/>
              </w:rPr>
              <w:t>1</w:t>
            </w:r>
            <w:r w:rsidRPr="005014B4">
              <w:t> apakšpunktu</w:t>
            </w:r>
            <w:r w:rsidR="00C66CBC" w:rsidRPr="005014B4">
              <w:t>,</w:t>
            </w:r>
            <w:r w:rsidRPr="005014B4">
              <w:t xml:space="preserve"> </w:t>
            </w:r>
            <w:r w:rsidRPr="005014B4">
              <w:lastRenderedPageBreak/>
              <w:t>sabiedrības pārstāvji ir aicināti līdzdarboties, rakstiski sniedzot viedokli par noteikumu projektu tā izstrādes stadijā.</w:t>
            </w:r>
          </w:p>
        </w:tc>
      </w:tr>
      <w:tr w:rsidR="00C66CBC" w:rsidRPr="005014B4" w14:paraId="006599D0" w14:textId="77777777" w:rsidTr="0059362D">
        <w:trPr>
          <w:trHeight w:val="264"/>
        </w:trPr>
        <w:tc>
          <w:tcPr>
            <w:tcW w:w="146" w:type="pct"/>
            <w:tcBorders>
              <w:top w:val="outset" w:sz="6" w:space="0" w:color="414142"/>
              <w:left w:val="outset" w:sz="6" w:space="0" w:color="414142"/>
              <w:bottom w:val="outset" w:sz="6" w:space="0" w:color="414142"/>
              <w:right w:val="outset" w:sz="6" w:space="0" w:color="414142"/>
            </w:tcBorders>
            <w:hideMark/>
          </w:tcPr>
          <w:p w14:paraId="79D41A75" w14:textId="77777777" w:rsidR="002D3447" w:rsidRPr="005014B4" w:rsidRDefault="002D3447" w:rsidP="00DA1C77">
            <w:r w:rsidRPr="005014B4">
              <w:lastRenderedPageBreak/>
              <w:t>2.</w:t>
            </w:r>
          </w:p>
        </w:tc>
        <w:tc>
          <w:tcPr>
            <w:tcW w:w="1602" w:type="pct"/>
            <w:tcBorders>
              <w:top w:val="outset" w:sz="6" w:space="0" w:color="414142"/>
              <w:left w:val="outset" w:sz="6" w:space="0" w:color="414142"/>
              <w:bottom w:val="outset" w:sz="6" w:space="0" w:color="414142"/>
              <w:right w:val="outset" w:sz="6" w:space="0" w:color="414142"/>
            </w:tcBorders>
            <w:hideMark/>
          </w:tcPr>
          <w:p w14:paraId="5907EE7E" w14:textId="77777777" w:rsidR="002D3447" w:rsidRPr="005014B4" w:rsidRDefault="002D3447" w:rsidP="00DA1C77">
            <w:r w:rsidRPr="005014B4">
              <w:t>Sabiedrības līdzdalība projekta izstrādē</w:t>
            </w:r>
          </w:p>
        </w:tc>
        <w:tc>
          <w:tcPr>
            <w:tcW w:w="3252" w:type="pct"/>
            <w:tcBorders>
              <w:top w:val="outset" w:sz="6" w:space="0" w:color="414142"/>
              <w:left w:val="outset" w:sz="6" w:space="0" w:color="414142"/>
              <w:bottom w:val="outset" w:sz="6" w:space="0" w:color="414142"/>
              <w:right w:val="outset" w:sz="6" w:space="0" w:color="414142"/>
            </w:tcBorders>
            <w:hideMark/>
          </w:tcPr>
          <w:p w14:paraId="20553882" w14:textId="55E94711" w:rsidR="002D3447" w:rsidRPr="005014B4" w:rsidRDefault="002D3447">
            <w:pPr>
              <w:jc w:val="both"/>
            </w:pPr>
            <w:r w:rsidRPr="005014B4">
              <w:t xml:space="preserve">Noteikumu projekts ievietots Vides aizsardzības un reģionālās attīstības ministrijas tīmekļvietnē </w:t>
            </w:r>
            <w:hyperlink r:id="rId8" w:history="1">
              <w:r w:rsidRPr="005014B4">
                <w:rPr>
                  <w:color w:val="0000FF"/>
                  <w:u w:val="single"/>
                </w:rPr>
                <w:t>www.varam.gov.lv</w:t>
              </w:r>
            </w:hyperlink>
            <w:r w:rsidR="005014B4">
              <w:t xml:space="preserve"> 2019. gada</w:t>
            </w:r>
            <w:r w:rsidR="000B297F">
              <w:t> </w:t>
            </w:r>
            <w:r w:rsidR="000B297F" w:rsidRPr="000B297F">
              <w:t>5</w:t>
            </w:r>
            <w:r w:rsidRPr="000B297F">
              <w:t>. </w:t>
            </w:r>
            <w:r w:rsidR="000B297F" w:rsidRPr="000B297F">
              <w:t>martā</w:t>
            </w:r>
            <w:r w:rsidRPr="000B297F">
              <w:t>,</w:t>
            </w:r>
            <w:r w:rsidRPr="005014B4">
              <w:t xml:space="preserve"> </w:t>
            </w:r>
            <w:r w:rsidR="00F71B63" w:rsidRPr="005014B4">
              <w:t>sniedzot</w:t>
            </w:r>
            <w:r w:rsidRPr="005014B4">
              <w:t xml:space="preserve"> ieinteresētajām personām iespēj</w:t>
            </w:r>
            <w:r w:rsidR="00F71B63" w:rsidRPr="005014B4">
              <w:t>u</w:t>
            </w:r>
            <w:r w:rsidRPr="005014B4">
              <w:t xml:space="preserve"> izteikt viedokli un </w:t>
            </w:r>
            <w:r w:rsidR="00C66CBC" w:rsidRPr="005014B4">
              <w:t>ie</w:t>
            </w:r>
            <w:r w:rsidRPr="005014B4">
              <w:t>sniegt priekšlikumus.</w:t>
            </w:r>
          </w:p>
        </w:tc>
      </w:tr>
      <w:tr w:rsidR="00C66CBC" w:rsidRPr="005014B4" w14:paraId="794821FC" w14:textId="77777777" w:rsidTr="0059362D">
        <w:trPr>
          <w:trHeight w:val="372"/>
        </w:trPr>
        <w:tc>
          <w:tcPr>
            <w:tcW w:w="146" w:type="pct"/>
            <w:tcBorders>
              <w:top w:val="outset" w:sz="6" w:space="0" w:color="414142"/>
              <w:left w:val="outset" w:sz="6" w:space="0" w:color="414142"/>
              <w:bottom w:val="outset" w:sz="6" w:space="0" w:color="414142"/>
              <w:right w:val="outset" w:sz="6" w:space="0" w:color="414142"/>
            </w:tcBorders>
            <w:hideMark/>
          </w:tcPr>
          <w:p w14:paraId="54CA7815" w14:textId="77777777" w:rsidR="002D3447" w:rsidRPr="005014B4" w:rsidRDefault="002D3447" w:rsidP="00DA1C77">
            <w:r w:rsidRPr="005014B4">
              <w:t>3.</w:t>
            </w:r>
          </w:p>
        </w:tc>
        <w:tc>
          <w:tcPr>
            <w:tcW w:w="1602" w:type="pct"/>
            <w:tcBorders>
              <w:top w:val="outset" w:sz="6" w:space="0" w:color="414142"/>
              <w:left w:val="outset" w:sz="6" w:space="0" w:color="414142"/>
              <w:bottom w:val="outset" w:sz="6" w:space="0" w:color="414142"/>
              <w:right w:val="outset" w:sz="6" w:space="0" w:color="414142"/>
            </w:tcBorders>
            <w:hideMark/>
          </w:tcPr>
          <w:p w14:paraId="766DAE52" w14:textId="77777777" w:rsidR="002D3447" w:rsidRPr="005014B4" w:rsidRDefault="002D3447" w:rsidP="00DA1C77">
            <w:r w:rsidRPr="005014B4">
              <w:t>Sabiedrības līdzdalības rezultāti</w:t>
            </w:r>
          </w:p>
        </w:tc>
        <w:tc>
          <w:tcPr>
            <w:tcW w:w="3252" w:type="pct"/>
            <w:tcBorders>
              <w:top w:val="outset" w:sz="6" w:space="0" w:color="414142"/>
              <w:left w:val="outset" w:sz="6" w:space="0" w:color="414142"/>
              <w:bottom w:val="outset" w:sz="6" w:space="0" w:color="414142"/>
              <w:right w:val="outset" w:sz="6" w:space="0" w:color="414142"/>
            </w:tcBorders>
            <w:hideMark/>
          </w:tcPr>
          <w:p w14:paraId="68C56F35" w14:textId="715835E2" w:rsidR="002D3447" w:rsidRPr="005014B4" w:rsidRDefault="002D3447" w:rsidP="00F03FFB">
            <w:pPr>
              <w:spacing w:after="120"/>
              <w:jc w:val="both"/>
            </w:pPr>
          </w:p>
        </w:tc>
      </w:tr>
      <w:tr w:rsidR="00C66CBC" w:rsidRPr="005014B4" w14:paraId="0FFC477C" w14:textId="77777777" w:rsidTr="0059362D">
        <w:trPr>
          <w:trHeight w:val="372"/>
        </w:trPr>
        <w:tc>
          <w:tcPr>
            <w:tcW w:w="146" w:type="pct"/>
            <w:tcBorders>
              <w:top w:val="outset" w:sz="6" w:space="0" w:color="414142"/>
              <w:left w:val="outset" w:sz="6" w:space="0" w:color="414142"/>
              <w:bottom w:val="outset" w:sz="6" w:space="0" w:color="414142"/>
              <w:right w:val="outset" w:sz="6" w:space="0" w:color="414142"/>
            </w:tcBorders>
            <w:hideMark/>
          </w:tcPr>
          <w:p w14:paraId="5F4CC9AA" w14:textId="77777777" w:rsidR="002D3447" w:rsidRPr="005014B4" w:rsidRDefault="002D3447" w:rsidP="00DA1C77">
            <w:r w:rsidRPr="005014B4">
              <w:t>4.</w:t>
            </w:r>
          </w:p>
        </w:tc>
        <w:tc>
          <w:tcPr>
            <w:tcW w:w="1602" w:type="pct"/>
            <w:tcBorders>
              <w:top w:val="outset" w:sz="6" w:space="0" w:color="414142"/>
              <w:left w:val="outset" w:sz="6" w:space="0" w:color="414142"/>
              <w:bottom w:val="outset" w:sz="6" w:space="0" w:color="414142"/>
              <w:right w:val="outset" w:sz="6" w:space="0" w:color="414142"/>
            </w:tcBorders>
            <w:hideMark/>
          </w:tcPr>
          <w:p w14:paraId="1FE16809" w14:textId="77777777" w:rsidR="002D3447" w:rsidRPr="005014B4" w:rsidRDefault="002D3447" w:rsidP="00DA1C77">
            <w:r w:rsidRPr="005014B4">
              <w:t>Cita informācija</w:t>
            </w:r>
          </w:p>
        </w:tc>
        <w:tc>
          <w:tcPr>
            <w:tcW w:w="3252" w:type="pct"/>
            <w:tcBorders>
              <w:top w:val="outset" w:sz="6" w:space="0" w:color="414142"/>
              <w:left w:val="outset" w:sz="6" w:space="0" w:color="414142"/>
              <w:bottom w:val="outset" w:sz="6" w:space="0" w:color="414142"/>
              <w:right w:val="outset" w:sz="6" w:space="0" w:color="414142"/>
            </w:tcBorders>
            <w:hideMark/>
          </w:tcPr>
          <w:p w14:paraId="2560DC9D" w14:textId="72FB9124" w:rsidR="002D3447" w:rsidRPr="005014B4" w:rsidRDefault="002D3447" w:rsidP="00DA1C77">
            <w:pPr>
              <w:spacing w:before="100" w:beforeAutospacing="1" w:after="100" w:afterAutospacing="1" w:line="293" w:lineRule="atLeast"/>
            </w:pPr>
            <w:r w:rsidRPr="005014B4">
              <w:t>Nav</w:t>
            </w:r>
            <w:r w:rsidR="00C50EB4" w:rsidRPr="005014B4">
              <w:t>.</w:t>
            </w:r>
          </w:p>
        </w:tc>
      </w:tr>
    </w:tbl>
    <w:p w14:paraId="5F00809F" w14:textId="77777777" w:rsidR="002D3447" w:rsidRPr="005014B4" w:rsidRDefault="002D3447" w:rsidP="002D3447"/>
    <w:tbl>
      <w:tblPr>
        <w:tblW w:w="4676" w:type="pct"/>
        <w:tblBorders>
          <w:top w:val="outset" w:sz="6" w:space="0" w:color="414142"/>
          <w:left w:val="outset" w:sz="6" w:space="0" w:color="414142"/>
          <w:bottom w:val="outset" w:sz="6" w:space="0" w:color="414142"/>
          <w:right w:val="outset" w:sz="6" w:space="0" w:color="414142"/>
        </w:tblBorders>
        <w:tblCellMar>
          <w:top w:w="24" w:type="dxa"/>
          <w:left w:w="24" w:type="dxa"/>
          <w:bottom w:w="24" w:type="dxa"/>
          <w:right w:w="24" w:type="dxa"/>
        </w:tblCellMar>
        <w:tblLook w:val="04A0" w:firstRow="1" w:lastRow="0" w:firstColumn="1" w:lastColumn="0" w:noHBand="0" w:noVBand="1"/>
      </w:tblPr>
      <w:tblGrid>
        <w:gridCol w:w="455"/>
        <w:gridCol w:w="2821"/>
        <w:gridCol w:w="5252"/>
      </w:tblGrid>
      <w:tr w:rsidR="002D3447" w:rsidRPr="005014B4" w14:paraId="5F009F01" w14:textId="77777777" w:rsidTr="0059362D">
        <w:trPr>
          <w:trHeight w:val="300"/>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31532D61" w14:textId="77777777" w:rsidR="002D3447" w:rsidRPr="005014B4" w:rsidRDefault="002D3447" w:rsidP="00DA1C77">
            <w:pPr>
              <w:spacing w:before="100" w:beforeAutospacing="1" w:after="100" w:afterAutospacing="1" w:line="293" w:lineRule="atLeast"/>
              <w:jc w:val="center"/>
              <w:rPr>
                <w:b/>
                <w:bCs/>
              </w:rPr>
            </w:pPr>
            <w:r w:rsidRPr="005014B4">
              <w:rPr>
                <w:b/>
                <w:bCs/>
              </w:rPr>
              <w:t>VII. Tiesību akta projekta izpildes nodrošināšana un tās ietekme uz institūcijām</w:t>
            </w:r>
          </w:p>
        </w:tc>
      </w:tr>
      <w:tr w:rsidR="002D3447" w:rsidRPr="005014B4" w14:paraId="5C537BDB" w14:textId="77777777" w:rsidTr="0059362D">
        <w:trPr>
          <w:trHeight w:val="336"/>
        </w:trPr>
        <w:tc>
          <w:tcPr>
            <w:tcW w:w="267" w:type="pct"/>
            <w:tcBorders>
              <w:top w:val="outset" w:sz="6" w:space="0" w:color="414142"/>
              <w:left w:val="outset" w:sz="6" w:space="0" w:color="414142"/>
              <w:bottom w:val="outset" w:sz="6" w:space="0" w:color="414142"/>
              <w:right w:val="outset" w:sz="6" w:space="0" w:color="414142"/>
            </w:tcBorders>
            <w:hideMark/>
          </w:tcPr>
          <w:p w14:paraId="35E0CF1E" w14:textId="77777777" w:rsidR="002D3447" w:rsidRPr="005014B4" w:rsidRDefault="002D3447" w:rsidP="00DA1C77">
            <w:r w:rsidRPr="005014B4">
              <w:t>1.</w:t>
            </w:r>
          </w:p>
        </w:tc>
        <w:tc>
          <w:tcPr>
            <w:tcW w:w="1654" w:type="pct"/>
            <w:tcBorders>
              <w:top w:val="outset" w:sz="6" w:space="0" w:color="414142"/>
              <w:left w:val="outset" w:sz="6" w:space="0" w:color="414142"/>
              <w:bottom w:val="outset" w:sz="6" w:space="0" w:color="414142"/>
              <w:right w:val="outset" w:sz="6" w:space="0" w:color="414142"/>
            </w:tcBorders>
            <w:hideMark/>
          </w:tcPr>
          <w:p w14:paraId="0C767F01" w14:textId="77777777" w:rsidR="002D3447" w:rsidRPr="005014B4" w:rsidRDefault="002D3447" w:rsidP="00DA1C77">
            <w:r w:rsidRPr="005014B4">
              <w:t>Projekta izpildē iesaistītās institūcijas</w:t>
            </w:r>
          </w:p>
        </w:tc>
        <w:tc>
          <w:tcPr>
            <w:tcW w:w="3079" w:type="pct"/>
            <w:tcBorders>
              <w:top w:val="outset" w:sz="6" w:space="0" w:color="414142"/>
              <w:left w:val="outset" w:sz="6" w:space="0" w:color="414142"/>
              <w:bottom w:val="outset" w:sz="6" w:space="0" w:color="414142"/>
              <w:right w:val="outset" w:sz="6" w:space="0" w:color="414142"/>
            </w:tcBorders>
            <w:hideMark/>
          </w:tcPr>
          <w:p w14:paraId="38F2F951" w14:textId="5853B477" w:rsidR="002D3447" w:rsidRPr="005014B4" w:rsidRDefault="002D3447" w:rsidP="00DA1C77">
            <w:pPr>
              <w:jc w:val="both"/>
            </w:pPr>
            <w:r w:rsidRPr="005014B4">
              <w:rPr>
                <w:szCs w:val="28"/>
              </w:rPr>
              <w:t>Valsts vides dienests</w:t>
            </w:r>
            <w:r w:rsidR="005014B4">
              <w:rPr>
                <w:szCs w:val="28"/>
              </w:rPr>
              <w:t>, Valsts reģionālās attīstības aģentūra</w:t>
            </w:r>
            <w:r w:rsidR="0021795C">
              <w:rPr>
                <w:szCs w:val="28"/>
              </w:rPr>
              <w:t xml:space="preserve">, </w:t>
            </w:r>
            <w:r w:rsidR="0021795C" w:rsidRPr="000B0E3B">
              <w:rPr>
                <w:lang w:eastAsia="en-US"/>
              </w:rPr>
              <w:t>Latvijas Ģeo</w:t>
            </w:r>
            <w:r w:rsidR="0021795C">
              <w:rPr>
                <w:lang w:eastAsia="en-US"/>
              </w:rPr>
              <w:t xml:space="preserve">telpiskās informācijas aģentūra, </w:t>
            </w:r>
            <w:r w:rsidR="0021795C" w:rsidRPr="000B0E3B">
              <w:rPr>
                <w:lang w:eastAsia="en-US"/>
              </w:rPr>
              <w:t>Valsts zemes dienest</w:t>
            </w:r>
            <w:r w:rsidR="0021795C">
              <w:rPr>
                <w:lang w:eastAsia="en-US"/>
              </w:rPr>
              <w:t>s</w:t>
            </w:r>
          </w:p>
        </w:tc>
      </w:tr>
      <w:tr w:rsidR="002D3447" w:rsidRPr="005014B4" w14:paraId="3AE1FF24" w14:textId="77777777" w:rsidTr="0059362D">
        <w:trPr>
          <w:trHeight w:val="360"/>
        </w:trPr>
        <w:tc>
          <w:tcPr>
            <w:tcW w:w="267" w:type="pct"/>
            <w:tcBorders>
              <w:top w:val="outset" w:sz="6" w:space="0" w:color="414142"/>
              <w:left w:val="outset" w:sz="6" w:space="0" w:color="414142"/>
              <w:bottom w:val="outset" w:sz="6" w:space="0" w:color="414142"/>
              <w:right w:val="outset" w:sz="6" w:space="0" w:color="414142"/>
            </w:tcBorders>
            <w:hideMark/>
          </w:tcPr>
          <w:p w14:paraId="09C35BD3" w14:textId="77777777" w:rsidR="002D3447" w:rsidRPr="005014B4" w:rsidRDefault="002D3447" w:rsidP="00DA1C77">
            <w:r w:rsidRPr="005014B4">
              <w:t>2.</w:t>
            </w:r>
          </w:p>
        </w:tc>
        <w:tc>
          <w:tcPr>
            <w:tcW w:w="1654" w:type="pct"/>
            <w:tcBorders>
              <w:top w:val="outset" w:sz="6" w:space="0" w:color="414142"/>
              <w:left w:val="outset" w:sz="6" w:space="0" w:color="414142"/>
              <w:bottom w:val="outset" w:sz="6" w:space="0" w:color="414142"/>
              <w:right w:val="outset" w:sz="6" w:space="0" w:color="414142"/>
            </w:tcBorders>
            <w:hideMark/>
          </w:tcPr>
          <w:p w14:paraId="26A66A45" w14:textId="77777777" w:rsidR="002D3447" w:rsidRPr="005014B4" w:rsidRDefault="002D3447" w:rsidP="00DA1C77">
            <w:r w:rsidRPr="005014B4">
              <w:t>Projekta izpildes ietekme uz pārvaldes funkcijām un institucionālo struktūru.</w:t>
            </w:r>
          </w:p>
          <w:p w14:paraId="5947B0E2" w14:textId="77777777" w:rsidR="002D3447" w:rsidRPr="005014B4" w:rsidRDefault="002D3447" w:rsidP="00DA1C77">
            <w:pPr>
              <w:spacing w:before="100" w:beforeAutospacing="1" w:after="100" w:afterAutospacing="1" w:line="293" w:lineRule="atLeast"/>
            </w:pPr>
            <w:r w:rsidRPr="005014B4">
              <w:t>Jaunu institūciju izveide, esošu institūciju likvidācija vai reorganizācija, to ietekme uz institūcijas cilvēkresursiem</w:t>
            </w:r>
          </w:p>
        </w:tc>
        <w:tc>
          <w:tcPr>
            <w:tcW w:w="3079" w:type="pct"/>
            <w:tcBorders>
              <w:top w:val="outset" w:sz="6" w:space="0" w:color="414142"/>
              <w:left w:val="outset" w:sz="6" w:space="0" w:color="414142"/>
              <w:bottom w:val="outset" w:sz="6" w:space="0" w:color="414142"/>
              <w:right w:val="outset" w:sz="6" w:space="0" w:color="414142"/>
            </w:tcBorders>
            <w:hideMark/>
          </w:tcPr>
          <w:p w14:paraId="2E59A372" w14:textId="77777777" w:rsidR="002D3447" w:rsidRPr="005014B4" w:rsidRDefault="002D3447" w:rsidP="00C66CBC">
            <w:pPr>
              <w:pStyle w:val="naisnod"/>
              <w:spacing w:before="0" w:after="0"/>
              <w:ind w:right="57"/>
              <w:jc w:val="both"/>
              <w:rPr>
                <w:b w:val="0"/>
              </w:rPr>
            </w:pPr>
            <w:r w:rsidRPr="005014B4">
              <w:rPr>
                <w:b w:val="0"/>
              </w:rPr>
              <w:t>Noteikumu projekts neietekmē iesaistīto institūciju funkcijas un uzdevumus.</w:t>
            </w:r>
          </w:p>
          <w:p w14:paraId="148484A9" w14:textId="77777777" w:rsidR="002D3447" w:rsidRPr="005014B4" w:rsidRDefault="002D3447" w:rsidP="00DA1C77">
            <w:pPr>
              <w:spacing w:before="100" w:beforeAutospacing="1" w:after="100" w:afterAutospacing="1" w:line="293" w:lineRule="atLeast"/>
              <w:jc w:val="both"/>
            </w:pPr>
            <w:r w:rsidRPr="005014B4">
              <w:rPr>
                <w:bCs/>
              </w:rPr>
              <w:t>Jaunas institūcijas nav jāveido. Esošās institūcijas nav jāreorganizē.</w:t>
            </w:r>
          </w:p>
        </w:tc>
      </w:tr>
      <w:tr w:rsidR="002D3447" w:rsidRPr="005014B4" w14:paraId="4BF1CBDD" w14:textId="77777777" w:rsidTr="0059362D">
        <w:trPr>
          <w:trHeight w:val="312"/>
        </w:trPr>
        <w:tc>
          <w:tcPr>
            <w:tcW w:w="267" w:type="pct"/>
            <w:tcBorders>
              <w:top w:val="outset" w:sz="6" w:space="0" w:color="414142"/>
              <w:left w:val="outset" w:sz="6" w:space="0" w:color="414142"/>
              <w:bottom w:val="outset" w:sz="6" w:space="0" w:color="414142"/>
              <w:right w:val="outset" w:sz="6" w:space="0" w:color="414142"/>
            </w:tcBorders>
            <w:hideMark/>
          </w:tcPr>
          <w:p w14:paraId="0B05E751" w14:textId="77777777" w:rsidR="002D3447" w:rsidRPr="005014B4" w:rsidRDefault="002D3447" w:rsidP="00DA1C77">
            <w:r w:rsidRPr="005014B4">
              <w:t>3.</w:t>
            </w:r>
          </w:p>
        </w:tc>
        <w:tc>
          <w:tcPr>
            <w:tcW w:w="1654" w:type="pct"/>
            <w:tcBorders>
              <w:top w:val="outset" w:sz="6" w:space="0" w:color="414142"/>
              <w:left w:val="outset" w:sz="6" w:space="0" w:color="414142"/>
              <w:bottom w:val="outset" w:sz="6" w:space="0" w:color="414142"/>
              <w:right w:val="outset" w:sz="6" w:space="0" w:color="414142"/>
            </w:tcBorders>
            <w:hideMark/>
          </w:tcPr>
          <w:p w14:paraId="7C87BCBA" w14:textId="77777777" w:rsidR="002D3447" w:rsidRPr="005014B4" w:rsidRDefault="002D3447" w:rsidP="00DA1C77">
            <w:r w:rsidRPr="005014B4">
              <w:t>Cita informācija</w:t>
            </w:r>
          </w:p>
        </w:tc>
        <w:tc>
          <w:tcPr>
            <w:tcW w:w="3079" w:type="pct"/>
            <w:tcBorders>
              <w:top w:val="outset" w:sz="6" w:space="0" w:color="414142"/>
              <w:left w:val="outset" w:sz="6" w:space="0" w:color="414142"/>
              <w:bottom w:val="outset" w:sz="6" w:space="0" w:color="414142"/>
              <w:right w:val="outset" w:sz="6" w:space="0" w:color="414142"/>
            </w:tcBorders>
            <w:hideMark/>
          </w:tcPr>
          <w:p w14:paraId="7E603583" w14:textId="37FC13A1" w:rsidR="002D3447" w:rsidRPr="005014B4" w:rsidRDefault="002D3447" w:rsidP="00DA1C77">
            <w:pPr>
              <w:spacing w:before="100" w:beforeAutospacing="1" w:after="100" w:afterAutospacing="1" w:line="293" w:lineRule="atLeast"/>
            </w:pPr>
            <w:r w:rsidRPr="005014B4">
              <w:t>Nav</w:t>
            </w:r>
            <w:r w:rsidR="00C50EB4" w:rsidRPr="005014B4">
              <w:t>.</w:t>
            </w:r>
          </w:p>
        </w:tc>
      </w:tr>
    </w:tbl>
    <w:p w14:paraId="1626BF12" w14:textId="77777777" w:rsidR="002D3447" w:rsidRPr="005014B4" w:rsidRDefault="002D3447" w:rsidP="002D3447">
      <w:pPr>
        <w:rPr>
          <w:sz w:val="28"/>
          <w:szCs w:val="28"/>
        </w:rPr>
      </w:pPr>
    </w:p>
    <w:p w14:paraId="1C9EB262" w14:textId="77777777" w:rsidR="002E6378" w:rsidRPr="005014B4" w:rsidRDefault="002E6378" w:rsidP="002D3447">
      <w:pPr>
        <w:tabs>
          <w:tab w:val="left" w:pos="6237"/>
        </w:tabs>
      </w:pPr>
    </w:p>
    <w:p w14:paraId="3974CD69" w14:textId="77777777" w:rsidR="002D3447" w:rsidRPr="005014B4" w:rsidRDefault="002D3447" w:rsidP="002D3447">
      <w:pPr>
        <w:tabs>
          <w:tab w:val="left" w:pos="6237"/>
        </w:tabs>
      </w:pPr>
      <w:r w:rsidRPr="005014B4">
        <w:t xml:space="preserve">Vides aizsardzības un </w:t>
      </w:r>
    </w:p>
    <w:p w14:paraId="50F904B8" w14:textId="3CAE8645" w:rsidR="002D3447" w:rsidRPr="005014B4" w:rsidRDefault="002D3447" w:rsidP="002D3447">
      <w:pPr>
        <w:tabs>
          <w:tab w:val="left" w:pos="6237"/>
        </w:tabs>
      </w:pPr>
      <w:r w:rsidRPr="005014B4">
        <w:t>reģionālās attīstības ministrs</w:t>
      </w:r>
      <w:r w:rsidRPr="005014B4">
        <w:tab/>
      </w:r>
      <w:r w:rsidR="00D37C1F">
        <w:t>J</w:t>
      </w:r>
      <w:r w:rsidR="000B297F">
        <w:t>. </w:t>
      </w:r>
      <w:r w:rsidR="00D37C1F">
        <w:t>Pūce</w:t>
      </w:r>
    </w:p>
    <w:p w14:paraId="5FC6B1B6" w14:textId="77777777" w:rsidR="002D3447" w:rsidRPr="005014B4" w:rsidRDefault="002D3447" w:rsidP="002D3447">
      <w:pPr>
        <w:tabs>
          <w:tab w:val="left" w:pos="6237"/>
        </w:tabs>
        <w:rPr>
          <w:szCs w:val="28"/>
        </w:rPr>
      </w:pPr>
    </w:p>
    <w:p w14:paraId="5C89E393" w14:textId="77777777" w:rsidR="00C50EB4" w:rsidRPr="005014B4" w:rsidRDefault="00C50EB4" w:rsidP="002D3447">
      <w:pPr>
        <w:tabs>
          <w:tab w:val="left" w:pos="6237"/>
        </w:tabs>
        <w:rPr>
          <w:szCs w:val="28"/>
        </w:rPr>
      </w:pPr>
    </w:p>
    <w:p w14:paraId="30EC614F" w14:textId="77777777" w:rsidR="00C50EB4" w:rsidRPr="005014B4" w:rsidRDefault="00C50EB4" w:rsidP="002D3447">
      <w:pPr>
        <w:tabs>
          <w:tab w:val="left" w:pos="6237"/>
        </w:tabs>
        <w:rPr>
          <w:szCs w:val="28"/>
        </w:rPr>
      </w:pPr>
    </w:p>
    <w:p w14:paraId="649C7ABE" w14:textId="0DA48685" w:rsidR="002D3447" w:rsidRPr="005014B4" w:rsidRDefault="002D3447" w:rsidP="002D3447">
      <w:pPr>
        <w:tabs>
          <w:tab w:val="left" w:pos="6237"/>
        </w:tabs>
        <w:rPr>
          <w:sz w:val="20"/>
          <w:szCs w:val="20"/>
        </w:rPr>
      </w:pPr>
      <w:r w:rsidRPr="005014B4">
        <w:rPr>
          <w:sz w:val="20"/>
          <w:szCs w:val="20"/>
        </w:rPr>
        <w:t>Slaidiņa 67026</w:t>
      </w:r>
      <w:r w:rsidR="00C66CBC" w:rsidRPr="005014B4">
        <w:rPr>
          <w:sz w:val="20"/>
          <w:szCs w:val="20"/>
        </w:rPr>
        <w:t>487</w:t>
      </w:r>
      <w:r w:rsidRPr="005014B4">
        <w:rPr>
          <w:sz w:val="20"/>
          <w:szCs w:val="20"/>
        </w:rPr>
        <w:t xml:space="preserve"> </w:t>
      </w:r>
    </w:p>
    <w:p w14:paraId="7BBE8B83" w14:textId="6FEE4143" w:rsidR="00E44472" w:rsidRPr="005014B4" w:rsidRDefault="00893D56" w:rsidP="00C66CBC">
      <w:pPr>
        <w:tabs>
          <w:tab w:val="left" w:pos="6237"/>
        </w:tabs>
      </w:pPr>
      <w:hyperlink r:id="rId9" w:history="1">
        <w:r w:rsidR="002D3447" w:rsidRPr="005014B4">
          <w:rPr>
            <w:rStyle w:val="Hyperlink"/>
            <w:sz w:val="20"/>
          </w:rPr>
          <w:t>natalija.slaidina@varam.gov.lv</w:t>
        </w:r>
      </w:hyperlink>
      <w:r w:rsidR="002D3447" w:rsidRPr="005014B4">
        <w:rPr>
          <w:sz w:val="20"/>
          <w:szCs w:val="20"/>
        </w:rPr>
        <w:t xml:space="preserve"> </w:t>
      </w:r>
    </w:p>
    <w:sectPr w:rsidR="00E44472" w:rsidRPr="005014B4" w:rsidSect="00875476">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B0A3C9" w14:textId="77777777" w:rsidR="007F34FE" w:rsidRDefault="007F34FE" w:rsidP="00C66CBC">
      <w:r>
        <w:separator/>
      </w:r>
    </w:p>
  </w:endnote>
  <w:endnote w:type="continuationSeparator" w:id="0">
    <w:p w14:paraId="51B8E09E" w14:textId="77777777" w:rsidR="007F34FE" w:rsidRDefault="007F34FE" w:rsidP="00C66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DC21E7" w14:textId="77777777" w:rsidR="00893D56" w:rsidRDefault="00893D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907D90" w14:textId="05E52CD8" w:rsidR="00C66CBC" w:rsidRPr="00244E5B" w:rsidRDefault="00244E5B" w:rsidP="00244E5B">
    <w:pPr>
      <w:pStyle w:val="Footer"/>
    </w:pPr>
    <w:r w:rsidRPr="00244E5B">
      <w:rPr>
        <w:sz w:val="20"/>
        <w:szCs w:val="20"/>
      </w:rPr>
      <w:t>VARAMNo</w:t>
    </w:r>
    <w:r w:rsidR="00893D56">
      <w:rPr>
        <w:sz w:val="20"/>
        <w:szCs w:val="20"/>
      </w:rPr>
      <w:t>t_0403</w:t>
    </w:r>
    <w:bookmarkStart w:id="0" w:name="_GoBack"/>
    <w:bookmarkEnd w:id="0"/>
    <w:r>
      <w:rPr>
        <w:sz w:val="20"/>
        <w:szCs w:val="20"/>
      </w:rPr>
      <w:t>2019_skirosanas_vietas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525F70" w14:textId="5496183B" w:rsidR="00875476" w:rsidRPr="00244E5B" w:rsidRDefault="00244E5B" w:rsidP="00244E5B">
    <w:pPr>
      <w:pStyle w:val="Footer"/>
    </w:pPr>
    <w:r w:rsidRPr="00244E5B">
      <w:rPr>
        <w:sz w:val="20"/>
        <w:szCs w:val="20"/>
      </w:rPr>
      <w:t>VARAMNo</w:t>
    </w:r>
    <w:r w:rsidR="00893D56">
      <w:rPr>
        <w:sz w:val="20"/>
        <w:szCs w:val="20"/>
      </w:rPr>
      <w:t>t_0403</w:t>
    </w:r>
    <w:r>
      <w:rPr>
        <w:sz w:val="20"/>
        <w:szCs w:val="20"/>
      </w:rPr>
      <w:t>2019_skirosanas_vietas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2D07FA" w14:textId="77777777" w:rsidR="007F34FE" w:rsidRDefault="007F34FE" w:rsidP="00C66CBC">
      <w:r>
        <w:separator/>
      </w:r>
    </w:p>
  </w:footnote>
  <w:footnote w:type="continuationSeparator" w:id="0">
    <w:p w14:paraId="06261052" w14:textId="77777777" w:rsidR="007F34FE" w:rsidRDefault="007F34FE" w:rsidP="00C66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58CA49" w14:textId="77777777" w:rsidR="00893D56" w:rsidRDefault="00893D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0109631"/>
      <w:docPartObj>
        <w:docPartGallery w:val="Page Numbers (Top of Page)"/>
        <w:docPartUnique/>
      </w:docPartObj>
    </w:sdtPr>
    <w:sdtEndPr>
      <w:rPr>
        <w:noProof/>
      </w:rPr>
    </w:sdtEndPr>
    <w:sdtContent>
      <w:p w14:paraId="0EF34C43" w14:textId="64238723" w:rsidR="00875476" w:rsidRDefault="00875476">
        <w:pPr>
          <w:pStyle w:val="Header"/>
          <w:jc w:val="center"/>
        </w:pPr>
        <w:r>
          <w:fldChar w:fldCharType="begin"/>
        </w:r>
        <w:r>
          <w:instrText xml:space="preserve"> PAGE   \* MERGEFORMAT </w:instrText>
        </w:r>
        <w:r>
          <w:fldChar w:fldCharType="separate"/>
        </w:r>
        <w:r w:rsidR="00893D56">
          <w:rPr>
            <w:noProof/>
          </w:rPr>
          <w:t>2</w:t>
        </w:r>
        <w:r>
          <w:rPr>
            <w:noProof/>
          </w:rPr>
          <w:fldChar w:fldCharType="end"/>
        </w:r>
      </w:p>
    </w:sdtContent>
  </w:sdt>
  <w:p w14:paraId="39057BC5" w14:textId="77777777" w:rsidR="00875476" w:rsidRDefault="008754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74648" w14:textId="77777777" w:rsidR="00893D56" w:rsidRDefault="00893D5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588"/>
    <w:rsid w:val="00034744"/>
    <w:rsid w:val="000360E6"/>
    <w:rsid w:val="00096067"/>
    <w:rsid w:val="000A1B0E"/>
    <w:rsid w:val="000A46E8"/>
    <w:rsid w:val="000B0E3B"/>
    <w:rsid w:val="000B297F"/>
    <w:rsid w:val="000C11B3"/>
    <w:rsid w:val="000E173A"/>
    <w:rsid w:val="00126021"/>
    <w:rsid w:val="001728EA"/>
    <w:rsid w:val="001A0F61"/>
    <w:rsid w:val="001C1D20"/>
    <w:rsid w:val="001C2289"/>
    <w:rsid w:val="001D2446"/>
    <w:rsid w:val="001D3EF4"/>
    <w:rsid w:val="00211A80"/>
    <w:rsid w:val="002144C2"/>
    <w:rsid w:val="0021795C"/>
    <w:rsid w:val="0023252D"/>
    <w:rsid w:val="00244A6E"/>
    <w:rsid w:val="00244E5B"/>
    <w:rsid w:val="00284162"/>
    <w:rsid w:val="00285544"/>
    <w:rsid w:val="00294025"/>
    <w:rsid w:val="002952D2"/>
    <w:rsid w:val="002967E3"/>
    <w:rsid w:val="002A5660"/>
    <w:rsid w:val="002B18A0"/>
    <w:rsid w:val="002B1D45"/>
    <w:rsid w:val="002C4E82"/>
    <w:rsid w:val="002D05F7"/>
    <w:rsid w:val="002D3447"/>
    <w:rsid w:val="002E6378"/>
    <w:rsid w:val="002F5E1F"/>
    <w:rsid w:val="00316861"/>
    <w:rsid w:val="003361AC"/>
    <w:rsid w:val="00347703"/>
    <w:rsid w:val="0035474F"/>
    <w:rsid w:val="00364610"/>
    <w:rsid w:val="00364A3E"/>
    <w:rsid w:val="0038382A"/>
    <w:rsid w:val="003D23F2"/>
    <w:rsid w:val="003D2A53"/>
    <w:rsid w:val="003D3F4E"/>
    <w:rsid w:val="003F6F5B"/>
    <w:rsid w:val="004212A5"/>
    <w:rsid w:val="00425711"/>
    <w:rsid w:val="00465B95"/>
    <w:rsid w:val="00477C88"/>
    <w:rsid w:val="004B66D0"/>
    <w:rsid w:val="004B715D"/>
    <w:rsid w:val="004D15DB"/>
    <w:rsid w:val="005014B4"/>
    <w:rsid w:val="0050387A"/>
    <w:rsid w:val="005163F0"/>
    <w:rsid w:val="0052037F"/>
    <w:rsid w:val="005209B7"/>
    <w:rsid w:val="00547B24"/>
    <w:rsid w:val="00574E21"/>
    <w:rsid w:val="005811B8"/>
    <w:rsid w:val="00581B45"/>
    <w:rsid w:val="0059362D"/>
    <w:rsid w:val="005B02FC"/>
    <w:rsid w:val="005D2957"/>
    <w:rsid w:val="005D65BC"/>
    <w:rsid w:val="005E0A06"/>
    <w:rsid w:val="005E0FCB"/>
    <w:rsid w:val="005F647C"/>
    <w:rsid w:val="00616FD4"/>
    <w:rsid w:val="006201B2"/>
    <w:rsid w:val="006253A1"/>
    <w:rsid w:val="006376A6"/>
    <w:rsid w:val="0065150B"/>
    <w:rsid w:val="00651878"/>
    <w:rsid w:val="00651CBB"/>
    <w:rsid w:val="00662CA6"/>
    <w:rsid w:val="00667264"/>
    <w:rsid w:val="006B47E3"/>
    <w:rsid w:val="006B66B9"/>
    <w:rsid w:val="006F26F0"/>
    <w:rsid w:val="00722E71"/>
    <w:rsid w:val="00725102"/>
    <w:rsid w:val="00731642"/>
    <w:rsid w:val="0075279E"/>
    <w:rsid w:val="0076621A"/>
    <w:rsid w:val="00770205"/>
    <w:rsid w:val="00774DDB"/>
    <w:rsid w:val="00782514"/>
    <w:rsid w:val="007936AD"/>
    <w:rsid w:val="007C1872"/>
    <w:rsid w:val="007C7394"/>
    <w:rsid w:val="007D04CC"/>
    <w:rsid w:val="007D5AFE"/>
    <w:rsid w:val="007E4875"/>
    <w:rsid w:val="007E7453"/>
    <w:rsid w:val="007F34FE"/>
    <w:rsid w:val="008116A3"/>
    <w:rsid w:val="00817246"/>
    <w:rsid w:val="00842ABC"/>
    <w:rsid w:val="008515C2"/>
    <w:rsid w:val="00852EF3"/>
    <w:rsid w:val="008566CB"/>
    <w:rsid w:val="0086524B"/>
    <w:rsid w:val="00875476"/>
    <w:rsid w:val="00875497"/>
    <w:rsid w:val="00893D56"/>
    <w:rsid w:val="008F585E"/>
    <w:rsid w:val="009462C1"/>
    <w:rsid w:val="00954C61"/>
    <w:rsid w:val="00973F29"/>
    <w:rsid w:val="00974BF0"/>
    <w:rsid w:val="009837D9"/>
    <w:rsid w:val="00A00A87"/>
    <w:rsid w:val="00A05797"/>
    <w:rsid w:val="00A1161A"/>
    <w:rsid w:val="00A119DF"/>
    <w:rsid w:val="00A23EE6"/>
    <w:rsid w:val="00A6400F"/>
    <w:rsid w:val="00A82B4C"/>
    <w:rsid w:val="00AA3197"/>
    <w:rsid w:val="00AB2FD4"/>
    <w:rsid w:val="00AC1D6F"/>
    <w:rsid w:val="00AD2515"/>
    <w:rsid w:val="00AD6088"/>
    <w:rsid w:val="00B01E91"/>
    <w:rsid w:val="00B43F14"/>
    <w:rsid w:val="00B5731D"/>
    <w:rsid w:val="00B676A3"/>
    <w:rsid w:val="00B73195"/>
    <w:rsid w:val="00B752F4"/>
    <w:rsid w:val="00B94112"/>
    <w:rsid w:val="00BA0901"/>
    <w:rsid w:val="00BA42DC"/>
    <w:rsid w:val="00BB62BB"/>
    <w:rsid w:val="00BC17D9"/>
    <w:rsid w:val="00BD5588"/>
    <w:rsid w:val="00BE4CEF"/>
    <w:rsid w:val="00BE639B"/>
    <w:rsid w:val="00C10C9C"/>
    <w:rsid w:val="00C21CA7"/>
    <w:rsid w:val="00C23AEB"/>
    <w:rsid w:val="00C31BAA"/>
    <w:rsid w:val="00C50EB4"/>
    <w:rsid w:val="00C61646"/>
    <w:rsid w:val="00C66CBC"/>
    <w:rsid w:val="00C80434"/>
    <w:rsid w:val="00C85227"/>
    <w:rsid w:val="00C8744F"/>
    <w:rsid w:val="00C94CDF"/>
    <w:rsid w:val="00CC1592"/>
    <w:rsid w:val="00CD67E3"/>
    <w:rsid w:val="00D26F98"/>
    <w:rsid w:val="00D37C1F"/>
    <w:rsid w:val="00D55D15"/>
    <w:rsid w:val="00D60638"/>
    <w:rsid w:val="00D74110"/>
    <w:rsid w:val="00D76E6C"/>
    <w:rsid w:val="00D77985"/>
    <w:rsid w:val="00DA74D8"/>
    <w:rsid w:val="00DB3CA6"/>
    <w:rsid w:val="00DD3958"/>
    <w:rsid w:val="00DD5739"/>
    <w:rsid w:val="00DF374B"/>
    <w:rsid w:val="00E22E0A"/>
    <w:rsid w:val="00E44472"/>
    <w:rsid w:val="00E6255D"/>
    <w:rsid w:val="00EA03F2"/>
    <w:rsid w:val="00EC309E"/>
    <w:rsid w:val="00F03FFB"/>
    <w:rsid w:val="00F31C11"/>
    <w:rsid w:val="00F71B63"/>
    <w:rsid w:val="00F74839"/>
    <w:rsid w:val="00F960B9"/>
    <w:rsid w:val="00FB09A8"/>
    <w:rsid w:val="00FC714D"/>
    <w:rsid w:val="00FD2225"/>
    <w:rsid w:val="00FE52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45BB5F"/>
  <w15:docId w15:val="{E6DAB142-5341-4093-A7B2-D84A43F2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588"/>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D5588"/>
    <w:pPr>
      <w:jc w:val="center"/>
    </w:pPr>
    <w:rPr>
      <w:sz w:val="28"/>
      <w:szCs w:val="20"/>
      <w:lang w:eastAsia="en-US"/>
    </w:rPr>
  </w:style>
  <w:style w:type="character" w:customStyle="1" w:styleId="TitleChar">
    <w:name w:val="Title Char"/>
    <w:basedOn w:val="DefaultParagraphFont"/>
    <w:link w:val="Title"/>
    <w:rsid w:val="00BD5588"/>
    <w:rPr>
      <w:rFonts w:ascii="Times New Roman" w:eastAsia="Times New Roman" w:hAnsi="Times New Roman" w:cs="Times New Roman"/>
      <w:sz w:val="28"/>
      <w:szCs w:val="20"/>
    </w:rPr>
  </w:style>
  <w:style w:type="character" w:styleId="Hyperlink">
    <w:name w:val="Hyperlink"/>
    <w:basedOn w:val="DefaultParagraphFont"/>
    <w:uiPriority w:val="99"/>
    <w:unhideWhenUsed/>
    <w:rsid w:val="00BD5588"/>
    <w:rPr>
      <w:color w:val="0000FF"/>
      <w:u w:val="single"/>
    </w:rPr>
  </w:style>
  <w:style w:type="character" w:styleId="CommentReference">
    <w:name w:val="annotation reference"/>
    <w:basedOn w:val="DefaultParagraphFont"/>
    <w:uiPriority w:val="99"/>
    <w:semiHidden/>
    <w:unhideWhenUsed/>
    <w:rsid w:val="00A6400F"/>
    <w:rPr>
      <w:sz w:val="16"/>
      <w:szCs w:val="16"/>
    </w:rPr>
  </w:style>
  <w:style w:type="paragraph" w:styleId="CommentText">
    <w:name w:val="annotation text"/>
    <w:basedOn w:val="Normal"/>
    <w:link w:val="CommentTextChar"/>
    <w:uiPriority w:val="99"/>
    <w:semiHidden/>
    <w:unhideWhenUsed/>
    <w:rsid w:val="00A6400F"/>
    <w:rPr>
      <w:sz w:val="20"/>
      <w:szCs w:val="20"/>
    </w:rPr>
  </w:style>
  <w:style w:type="character" w:customStyle="1" w:styleId="CommentTextChar">
    <w:name w:val="Comment Text Char"/>
    <w:basedOn w:val="DefaultParagraphFont"/>
    <w:link w:val="CommentText"/>
    <w:uiPriority w:val="99"/>
    <w:semiHidden/>
    <w:rsid w:val="00A6400F"/>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A6400F"/>
    <w:rPr>
      <w:b/>
      <w:bCs/>
    </w:rPr>
  </w:style>
  <w:style w:type="character" w:customStyle="1" w:styleId="CommentSubjectChar">
    <w:name w:val="Comment Subject Char"/>
    <w:basedOn w:val="CommentTextChar"/>
    <w:link w:val="CommentSubject"/>
    <w:uiPriority w:val="99"/>
    <w:semiHidden/>
    <w:rsid w:val="00A6400F"/>
    <w:rPr>
      <w:rFonts w:ascii="Times New Roman" w:eastAsia="Times New Roman" w:hAnsi="Times New Roman" w:cs="Times New Roman"/>
      <w:b/>
      <w:bCs/>
      <w:sz w:val="20"/>
      <w:szCs w:val="20"/>
      <w:lang w:eastAsia="lv-LV"/>
    </w:rPr>
  </w:style>
  <w:style w:type="paragraph" w:styleId="BalloonText">
    <w:name w:val="Balloon Text"/>
    <w:basedOn w:val="Normal"/>
    <w:link w:val="BalloonTextChar"/>
    <w:uiPriority w:val="99"/>
    <w:semiHidden/>
    <w:unhideWhenUsed/>
    <w:rsid w:val="00A640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400F"/>
    <w:rPr>
      <w:rFonts w:ascii="Segoe UI" w:eastAsia="Times New Roman" w:hAnsi="Segoe UI" w:cs="Segoe UI"/>
      <w:sz w:val="18"/>
      <w:szCs w:val="18"/>
      <w:lang w:eastAsia="lv-LV"/>
    </w:rPr>
  </w:style>
  <w:style w:type="table" w:styleId="TableGrid">
    <w:name w:val="Table Grid"/>
    <w:basedOn w:val="TableNormal"/>
    <w:uiPriority w:val="39"/>
    <w:rsid w:val="00616F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nod">
    <w:name w:val="naisnod"/>
    <w:basedOn w:val="Normal"/>
    <w:rsid w:val="002D3447"/>
    <w:pPr>
      <w:spacing w:before="150" w:after="150"/>
      <w:jc w:val="center"/>
    </w:pPr>
    <w:rPr>
      <w:b/>
      <w:bCs/>
    </w:rPr>
  </w:style>
  <w:style w:type="paragraph" w:customStyle="1" w:styleId="naisf">
    <w:name w:val="naisf"/>
    <w:basedOn w:val="Normal"/>
    <w:rsid w:val="002D3447"/>
    <w:pPr>
      <w:spacing w:before="75" w:after="75"/>
      <w:ind w:firstLine="375"/>
      <w:jc w:val="both"/>
    </w:pPr>
  </w:style>
  <w:style w:type="paragraph" w:styleId="Header">
    <w:name w:val="header"/>
    <w:basedOn w:val="Normal"/>
    <w:link w:val="HeaderChar"/>
    <w:uiPriority w:val="99"/>
    <w:unhideWhenUsed/>
    <w:rsid w:val="00C66CBC"/>
    <w:pPr>
      <w:tabs>
        <w:tab w:val="center" w:pos="4153"/>
        <w:tab w:val="right" w:pos="8306"/>
      </w:tabs>
    </w:pPr>
  </w:style>
  <w:style w:type="character" w:customStyle="1" w:styleId="HeaderChar">
    <w:name w:val="Header Char"/>
    <w:basedOn w:val="DefaultParagraphFont"/>
    <w:link w:val="Header"/>
    <w:uiPriority w:val="99"/>
    <w:rsid w:val="00C66CBC"/>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C66CBC"/>
    <w:pPr>
      <w:tabs>
        <w:tab w:val="center" w:pos="4153"/>
        <w:tab w:val="right" w:pos="8306"/>
      </w:tabs>
    </w:pPr>
  </w:style>
  <w:style w:type="character" w:customStyle="1" w:styleId="FooterChar">
    <w:name w:val="Footer Char"/>
    <w:basedOn w:val="DefaultParagraphFont"/>
    <w:link w:val="Footer"/>
    <w:uiPriority w:val="99"/>
    <w:rsid w:val="00C66CBC"/>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2C4E82"/>
    <w:pPr>
      <w:spacing w:after="160" w:line="259" w:lineRule="auto"/>
      <w:ind w:left="720"/>
      <w:contextualSpacing/>
    </w:pPr>
    <w:rPr>
      <w:rFonts w:ascii="Calibri" w:eastAsia="SimSun" w:hAnsi="Calibri"/>
      <w:sz w:val="28"/>
      <w:szCs w:val="22"/>
    </w:rPr>
  </w:style>
  <w:style w:type="paragraph" w:styleId="FootnoteText">
    <w:name w:val="footnote text"/>
    <w:basedOn w:val="Normal"/>
    <w:link w:val="FootnoteTextChar"/>
    <w:uiPriority w:val="99"/>
    <w:semiHidden/>
    <w:unhideWhenUsed/>
    <w:rsid w:val="00973F29"/>
    <w:rPr>
      <w:sz w:val="20"/>
      <w:szCs w:val="20"/>
    </w:rPr>
  </w:style>
  <w:style w:type="character" w:customStyle="1" w:styleId="FootnoteTextChar">
    <w:name w:val="Footnote Text Char"/>
    <w:basedOn w:val="DefaultParagraphFont"/>
    <w:link w:val="FootnoteText"/>
    <w:uiPriority w:val="99"/>
    <w:semiHidden/>
    <w:rsid w:val="00973F29"/>
    <w:rPr>
      <w:rFonts w:ascii="Times New Roman" w:eastAsia="Times New Roman" w:hAnsi="Times New Roman" w:cs="Times New Roman"/>
      <w:sz w:val="20"/>
      <w:szCs w:val="20"/>
      <w:lang w:eastAsia="lv-LV"/>
    </w:rPr>
  </w:style>
  <w:style w:type="character" w:styleId="FootnoteReference">
    <w:name w:val="footnote reference"/>
    <w:basedOn w:val="DefaultParagraphFont"/>
    <w:uiPriority w:val="99"/>
    <w:semiHidden/>
    <w:unhideWhenUsed/>
    <w:rsid w:val="00973F29"/>
    <w:rPr>
      <w:vertAlign w:val="superscript"/>
    </w:rPr>
  </w:style>
  <w:style w:type="paragraph" w:styleId="Revision">
    <w:name w:val="Revision"/>
    <w:hidden/>
    <w:uiPriority w:val="99"/>
    <w:semiHidden/>
    <w:rsid w:val="000B297F"/>
    <w:pPr>
      <w:spacing w:after="0"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1958033">
      <w:bodyDiv w:val="1"/>
      <w:marLeft w:val="0"/>
      <w:marRight w:val="0"/>
      <w:marTop w:val="0"/>
      <w:marBottom w:val="0"/>
      <w:divBdr>
        <w:top w:val="none" w:sz="0" w:space="0" w:color="auto"/>
        <w:left w:val="none" w:sz="0" w:space="0" w:color="auto"/>
        <w:bottom w:val="none" w:sz="0" w:space="0" w:color="auto"/>
        <w:right w:val="none" w:sz="0" w:space="0" w:color="auto"/>
      </w:divBdr>
      <w:divsChild>
        <w:div w:id="1784226975">
          <w:marLeft w:val="0"/>
          <w:marRight w:val="0"/>
          <w:marTop w:val="0"/>
          <w:marBottom w:val="567"/>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kiroviegli.lv"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natalija.slaidina@varam.gov.l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EC9F5-A203-4593-A1DB-8F0F1EC9F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7950</Words>
  <Characters>4532</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Grozījumi Ministru kabineta noteiumos Nr. 546, 703, 788</vt:lpstr>
    </vt:vector>
  </TitlesOfParts>
  <Company>VARAM</Company>
  <LinksUpToDate>false</LinksUpToDate>
  <CharactersWithSpaces>12458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noteiumos Nr. 546, 703, 788</dc:title>
  <dc:subject>Noteikumu projekts</dc:subject>
  <dc:creator>Natalija.Slaidina@varam.gov.lv</dc:creator>
  <dc:description>67026487, natalija.slaidina@varam.gov.lv</dc:description>
  <cp:lastModifiedBy>Natālija Slaidiņa</cp:lastModifiedBy>
  <cp:revision>3</cp:revision>
  <dcterms:created xsi:type="dcterms:W3CDTF">2019-03-04T14:13:00Z</dcterms:created>
  <dcterms:modified xsi:type="dcterms:W3CDTF">2019-03-04T14:14:00Z</dcterms:modified>
</cp:coreProperties>
</file>