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F95D5" w14:textId="77777777" w:rsidR="00083327" w:rsidRPr="009D47F8" w:rsidRDefault="0092439A" w:rsidP="00D814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bookmarkStart w:id="0" w:name="_GoBack"/>
      <w:bookmarkEnd w:id="0"/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3</w:t>
      </w:r>
      <w:r w:rsidR="00D81468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D93ED4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D81468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pielikums </w:t>
      </w:r>
      <w:r w:rsidR="00D81468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>Ministru kabineta </w:t>
      </w:r>
      <w:r w:rsidR="00D81468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>201</w:t>
      </w:r>
      <w:r w:rsidR="001067BF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7</w:t>
      </w:r>
      <w:r w:rsidR="00D81468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5220B7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D81468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gada </w:t>
      </w:r>
      <w:r w:rsidR="001067BF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__</w:t>
      </w:r>
      <w:r w:rsidR="00D81468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1067BF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_____</w:t>
      </w:r>
      <w:r w:rsidR="00D81468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</w:p>
    <w:p w14:paraId="4F0C0B8B" w14:textId="6BB3D74E" w:rsidR="00D81468" w:rsidRPr="009D47F8" w:rsidRDefault="0092439A" w:rsidP="00D814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noteikumiem Nr.</w:t>
      </w:r>
      <w:r w:rsidR="001067BF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___</w:t>
      </w:r>
    </w:p>
    <w:p w14:paraId="1C23A65F" w14:textId="77777777" w:rsidR="00D81468" w:rsidRPr="009D47F8" w:rsidRDefault="00D81468" w:rsidP="00D8146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1EB239F2" w14:textId="77777777" w:rsidR="00D81468" w:rsidRPr="009D47F8" w:rsidRDefault="0092439A" w:rsidP="00D81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bookmarkStart w:id="1" w:name="466463"/>
      <w:bookmarkEnd w:id="1"/>
      <w:r w:rsidRPr="009D47F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Emisijas robežvērtības esošajām liela</w:t>
      </w:r>
      <w:r w:rsidR="001044EC" w:rsidRPr="009D47F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s jaudas</w:t>
      </w:r>
      <w:r w:rsidRPr="009D47F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sadedzināšanas iekārtām, k</w:t>
      </w:r>
      <w:r w:rsidR="009F2CBB" w:rsidRPr="009D47F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as</w:t>
      </w:r>
      <w:r w:rsidRPr="009D47F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piemēro </w:t>
      </w:r>
      <w:r w:rsidR="009F2CBB" w:rsidRPr="009D47F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šo noteikumu </w:t>
      </w:r>
      <w:r w:rsidR="00473AEA" w:rsidRPr="009D47F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43</w:t>
      </w:r>
      <w:r w:rsidR="009F2CBB" w:rsidRPr="009D47F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. un </w:t>
      </w:r>
      <w:r w:rsidR="00473AEA" w:rsidRPr="009D47F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44</w:t>
      </w:r>
      <w:r w:rsidR="009F2CBB" w:rsidRPr="009D47F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.punktā minēto atkāpi</w:t>
      </w:r>
    </w:p>
    <w:p w14:paraId="3665AB91" w14:textId="77777777" w:rsidR="00D81468" w:rsidRPr="009D47F8" w:rsidRDefault="0092439A" w:rsidP="00D81468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I. Emisijas robežvērtības esošajām sadedzināšanas </w:t>
      </w:r>
      <w:r w:rsidRPr="009D47F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iekārtām, izņemot gāzturbīnas un gāzes dzinējus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4"/>
        <w:gridCol w:w="2177"/>
        <w:gridCol w:w="1360"/>
        <w:gridCol w:w="91"/>
        <w:gridCol w:w="1179"/>
        <w:gridCol w:w="272"/>
        <w:gridCol w:w="1179"/>
        <w:gridCol w:w="1088"/>
        <w:gridCol w:w="1179"/>
      </w:tblGrid>
      <w:tr w:rsidR="00530687" w14:paraId="3438D157" w14:textId="77777777" w:rsidTr="00D81468">
        <w:tc>
          <w:tcPr>
            <w:tcW w:w="3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573AB6B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 p.k.</w:t>
            </w:r>
          </w:p>
        </w:tc>
        <w:tc>
          <w:tcPr>
            <w:tcW w:w="12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1842E97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Kurināmā veids</w:t>
            </w:r>
          </w:p>
        </w:tc>
        <w:tc>
          <w:tcPr>
            <w:tcW w:w="800" w:type="pct"/>
            <w:gridSpan w:val="2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6FC4778" w14:textId="77777777" w:rsidR="00D81468" w:rsidRPr="009D47F8" w:rsidRDefault="0092439A" w:rsidP="00DD3290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Nominālā</w:t>
            </w:r>
            <w:r w:rsidR="00733B4E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ievadītā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 siltum</w:t>
            </w:r>
            <w:r w:rsidR="00DD3290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a 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jauda (MW)</w:t>
            </w:r>
          </w:p>
        </w:tc>
        <w:tc>
          <w:tcPr>
            <w:tcW w:w="2700" w:type="pct"/>
            <w:gridSpan w:val="5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74EC71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Emisijas robežvērtības (mg/m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</w:tc>
      </w:tr>
      <w:tr w:rsidR="00530687" w14:paraId="7010E457" w14:textId="77777777" w:rsidTr="00D81468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2C3C67C" w14:textId="77777777" w:rsidR="00D81468" w:rsidRPr="009D47F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BA2284A" w14:textId="77777777" w:rsidR="00D81468" w:rsidRPr="009D47F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6F05CEE" w14:textId="77777777" w:rsidR="00D81468" w:rsidRPr="009D47F8" w:rsidRDefault="00D81468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E29C9DC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SO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75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431EDFD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x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A83E06B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CO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0455D16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Putekļi jeb daļiņas</w:t>
            </w:r>
          </w:p>
        </w:tc>
      </w:tr>
      <w:tr w:rsidR="00530687" w14:paraId="48F1311D" w14:textId="77777777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314C528" w14:textId="77777777" w:rsidR="00D81468" w:rsidRPr="009D47F8" w:rsidRDefault="0092439A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4700" w:type="pct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EDC6A91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Iekārtas, kuras nodotas ekspluatācijā līdz 2003.</w:t>
            </w:r>
            <w:r w:rsidR="005220B7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gada 27.</w:t>
            </w:r>
            <w:r w:rsidR="005220B7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novembrim, kā arī 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iekārtas, par kurām pārvaldē līdz 2002.</w:t>
            </w:r>
            <w:r w:rsidR="005220B7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gada 27.</w:t>
            </w:r>
            <w:r w:rsidR="005220B7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novembrim iesniegts iesniegums atļaujas saņemšanai, lai tās sāktu ekspluatēt līdz 2003.</w:t>
            </w:r>
            <w:r w:rsidR="005220B7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gada 27.</w:t>
            </w:r>
            <w:r w:rsidR="005220B7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novembrim</w:t>
            </w:r>
          </w:p>
        </w:tc>
      </w:tr>
      <w:tr w:rsidR="00530687" w14:paraId="5BDD100E" w14:textId="77777777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7F609B6" w14:textId="77777777" w:rsidR="00D81468" w:rsidRPr="009D47F8" w:rsidRDefault="0092439A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1.1.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4DF85B3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Gāzveida kurināmais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E19042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50–300</w:t>
            </w:r>
          </w:p>
          <w:p w14:paraId="50C17475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300–500</w:t>
            </w:r>
          </w:p>
          <w:p w14:paraId="289D8525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virs 500</w:t>
            </w:r>
          </w:p>
        </w:tc>
        <w:tc>
          <w:tcPr>
            <w:tcW w:w="85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E09B1B6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</w:t>
            </w:r>
          </w:p>
          <w:p w14:paraId="14F361B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</w:t>
            </w:r>
          </w:p>
          <w:p w14:paraId="57F89813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6EEEEA2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  <w:p w14:paraId="4745C5F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  <w:p w14:paraId="5AC8A484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E5C4B9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  <w:p w14:paraId="15CCF8C9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  <w:p w14:paraId="73710671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2110B92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2</w:t>
            </w:r>
          </w:p>
          <w:p w14:paraId="72F5B6E1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2</w:t>
            </w:r>
          </w:p>
          <w:p w14:paraId="5775C395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2</w:t>
            </w:r>
          </w:p>
        </w:tc>
      </w:tr>
      <w:tr w:rsidR="00530687" w14:paraId="10A1CF78" w14:textId="77777777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ABDDCA0" w14:textId="77777777" w:rsidR="00D81468" w:rsidRPr="009D47F8" w:rsidRDefault="0092439A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1.2.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0C5C36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Šķidrais kurināmais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DE67273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50–300</w:t>
            </w:r>
          </w:p>
          <w:p w14:paraId="3CC1A7C7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300–500</w:t>
            </w:r>
          </w:p>
          <w:p w14:paraId="6C4E5CD3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virs 500</w:t>
            </w:r>
          </w:p>
        </w:tc>
        <w:tc>
          <w:tcPr>
            <w:tcW w:w="85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54BFB33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1700</w:t>
            </w:r>
          </w:p>
          <w:p w14:paraId="1EF08069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1700–400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</w:p>
          <w:p w14:paraId="0B7B0E6B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AE4E349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450</w:t>
            </w:r>
          </w:p>
          <w:p w14:paraId="09F014C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450</w:t>
            </w:r>
          </w:p>
          <w:p w14:paraId="5A59E50B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5B4AD2A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  <w:p w14:paraId="3F63F9C0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  <w:p w14:paraId="79711E40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3A285D9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4</w:t>
            </w:r>
          </w:p>
          <w:p w14:paraId="0CF58E6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4</w:t>
            </w:r>
          </w:p>
          <w:p w14:paraId="4364E494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</w:p>
        </w:tc>
      </w:tr>
      <w:tr w:rsidR="00530687" w14:paraId="35089B61" w14:textId="77777777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AA0EFEF" w14:textId="77777777" w:rsidR="00D81468" w:rsidRPr="009D47F8" w:rsidRDefault="0092439A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1.3.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B21664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Cietais kurināmais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B5DDCC7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50–100</w:t>
            </w:r>
          </w:p>
          <w:p w14:paraId="6AEBAB9C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100–500</w:t>
            </w:r>
          </w:p>
          <w:p w14:paraId="6E238065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virs 500</w:t>
            </w:r>
          </w:p>
        </w:tc>
        <w:tc>
          <w:tcPr>
            <w:tcW w:w="85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301A54A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2000</w:t>
            </w:r>
          </w:p>
          <w:p w14:paraId="512EF8CD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2000–400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3, 5</w:t>
            </w:r>
          </w:p>
          <w:p w14:paraId="120BA00D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5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307C273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600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6</w:t>
            </w:r>
          </w:p>
          <w:p w14:paraId="3BBBAAAB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600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6</w:t>
            </w:r>
          </w:p>
          <w:p w14:paraId="298F2363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6, 7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34D4875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  <w:p w14:paraId="76E192E2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  <w:p w14:paraId="46CCD4F9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B132B73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  <w:p w14:paraId="6976B032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  <w:p w14:paraId="09524AB4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8</w:t>
            </w:r>
          </w:p>
        </w:tc>
      </w:tr>
      <w:tr w:rsidR="00530687" w14:paraId="5EB7C7CC" w14:textId="77777777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63DB6BA" w14:textId="77777777" w:rsidR="00D81468" w:rsidRPr="009D47F8" w:rsidRDefault="0092439A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4700" w:type="pct"/>
            <w:gridSpan w:val="8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897B2EC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Iekārtas, kuras saņēmušas atļaujas 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pēc 2002.</w:t>
            </w:r>
            <w:r w:rsidR="005220B7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gada 27.</w:t>
            </w:r>
            <w:r w:rsidR="005220B7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novembra, un sadedzināšanas iekārtas, par kurām pārvaldē iesniegts iesniegums atļaujas saņemšanai līdz 2002.</w:t>
            </w:r>
            <w:r w:rsidR="005220B7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gada 27.</w:t>
            </w:r>
            <w:r w:rsidR="005220B7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novembrim, bet tās sāk ekspluatēt pēc 2003.</w:t>
            </w:r>
            <w:r w:rsidR="005220B7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gada 27.</w:t>
            </w:r>
            <w:r w:rsidR="005220B7"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novembra</w:t>
            </w:r>
          </w:p>
        </w:tc>
      </w:tr>
      <w:tr w:rsidR="00530687" w14:paraId="224CBF4B" w14:textId="77777777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B78C290" w14:textId="77777777" w:rsidR="00D81468" w:rsidRPr="009D47F8" w:rsidRDefault="0092439A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2.1.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CCE5E7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Gāzveida kurināmais</w:t>
            </w:r>
          </w:p>
        </w:tc>
        <w:tc>
          <w:tcPr>
            <w:tcW w:w="8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99CB5B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virs 50</w:t>
            </w:r>
          </w:p>
        </w:tc>
        <w:tc>
          <w:tcPr>
            <w:tcW w:w="8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BF435C6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9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2BFD647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48C4A7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511ADFE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11</w:t>
            </w:r>
          </w:p>
        </w:tc>
      </w:tr>
      <w:tr w:rsidR="00530687" w14:paraId="34CFDC58" w14:textId="77777777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55367CD" w14:textId="77777777" w:rsidR="00D81468" w:rsidRPr="009D47F8" w:rsidRDefault="0092439A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2.2.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BC20F39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Šķidrais kurināmais</w:t>
            </w:r>
          </w:p>
        </w:tc>
        <w:tc>
          <w:tcPr>
            <w:tcW w:w="8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ECEB8F9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50–100</w:t>
            </w:r>
          </w:p>
          <w:p w14:paraId="5B9B1C4B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100–300</w:t>
            </w:r>
          </w:p>
          <w:p w14:paraId="6899628E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virs 300</w:t>
            </w:r>
          </w:p>
        </w:tc>
        <w:tc>
          <w:tcPr>
            <w:tcW w:w="8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F66BE5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850</w:t>
            </w:r>
          </w:p>
          <w:p w14:paraId="03A1313B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400–200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</w:p>
          <w:p w14:paraId="59EA5031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D1344A4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400</w:t>
            </w:r>
          </w:p>
          <w:p w14:paraId="373CFD14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200</w:t>
            </w:r>
          </w:p>
          <w:p w14:paraId="39C5B644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0EE2BE9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300</w:t>
            </w:r>
          </w:p>
          <w:p w14:paraId="7C17885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300</w:t>
            </w:r>
          </w:p>
          <w:p w14:paraId="2DD69E2B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D7E9763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50</w:t>
            </w:r>
          </w:p>
          <w:p w14:paraId="1C827A8C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30</w:t>
            </w:r>
          </w:p>
          <w:p w14:paraId="54A40E92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</w:t>
            </w:r>
          </w:p>
        </w:tc>
      </w:tr>
      <w:tr w:rsidR="00530687" w14:paraId="28D8B189" w14:textId="77777777" w:rsidTr="00D81468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544E5A0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lastRenderedPageBreak/>
              <w:t>2.3.</w:t>
            </w:r>
          </w:p>
        </w:tc>
        <w:tc>
          <w:tcPr>
            <w:tcW w:w="1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F29F3CE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Cietais kurināmais</w:t>
            </w:r>
          </w:p>
        </w:tc>
        <w:tc>
          <w:tcPr>
            <w:tcW w:w="8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77B0704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50–100</w:t>
            </w:r>
          </w:p>
          <w:p w14:paraId="75C914D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100–300</w:t>
            </w:r>
          </w:p>
          <w:p w14:paraId="3E318DFE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virs 300</w:t>
            </w:r>
          </w:p>
        </w:tc>
        <w:tc>
          <w:tcPr>
            <w:tcW w:w="800" w:type="pct"/>
            <w:gridSpan w:val="2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E2115EE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850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12, 13</w:t>
            </w:r>
          </w:p>
          <w:p w14:paraId="2652F7F8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12, 13</w:t>
            </w:r>
          </w:p>
          <w:p w14:paraId="57FFBAE3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12, 14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8B16F7C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</w:p>
          <w:p w14:paraId="1A0E936F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  <w:p w14:paraId="3C3AC352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563EAE5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  <w:p w14:paraId="55371F51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  <w:p w14:paraId="3EB9553F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</w:tc>
        <w:tc>
          <w:tcPr>
            <w:tcW w:w="6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7081E29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</w:p>
          <w:p w14:paraId="3D7A07A7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</w:t>
            </w:r>
          </w:p>
          <w:p w14:paraId="0D8455B5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</w:t>
            </w:r>
          </w:p>
        </w:tc>
      </w:tr>
    </w:tbl>
    <w:p w14:paraId="1C1F91C4" w14:textId="77777777" w:rsidR="00D81468" w:rsidRPr="009D47F8" w:rsidRDefault="0092439A" w:rsidP="00D81468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Piezīmes.</w:t>
      </w:r>
    </w:p>
    <w:p w14:paraId="0227BA23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SO</w:t>
      </w:r>
      <w:r w:rsidRPr="009D47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>2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emisijas robežvērtība 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sašķidrinātai gāzei – 5 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 Gāzēm ar zemu kaloritāti, kuras iegūst no naftas produktu pārstrādes pārpalikumu gazifikācijas un koksa iegūšanas, un domnas krāšņu gāzēm SO</w:t>
      </w:r>
      <w:r w:rsidRPr="009D47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>2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emisijas robežvērtība ir 800 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491C9174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2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Putekļu jeb daļiņu emisijas robežvērtība sade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dzināšanas iekārtām, kurās par kurināmo izmanto domnu gāzi, ir 10 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, bet iekārtām, kurās par kurināmo izmanto citur izmantojamo tēraudrūpniecības gāzi, – 50 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6804E695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Atbilstoši jaudai lineāri dilstošā secībā.</w:t>
      </w:r>
    </w:p>
    <w:p w14:paraId="1F0ED200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4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Ja kurināmā darba masas pelnu saturs ir l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ielāks par 0,06 %, emisijas robežvērtība putekļiem jeb daļiņām ir 100 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169B04BF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5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SO</w:t>
      </w:r>
      <w:r w:rsidRPr="009D47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>2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emisijas robežvērtība ir 800 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tām sadedzināšanas iekārtām, kuru nominālā </w:t>
      </w:r>
      <w:r w:rsidR="00733B4E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ievadītā 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siltuma jauda ir 400 MW un lielāka, ja tās gada laikā darbina (piecu gadu perioda vidē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jais rādītājs) mazāk par 2000 darbības stundām.</w:t>
      </w:r>
    </w:p>
    <w:p w14:paraId="5411D672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6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Cietajam kurināmajam, kura darba masas saturā ir mazāk par 10 % gaistošo vielu, NO</w:t>
      </w:r>
      <w:r w:rsidRPr="009D47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>x</w:t>
      </w:r>
      <w:r w:rsidR="005220B7" w:rsidRPr="009D47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 xml:space="preserve"> 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robežvērtība ir 1200 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4B5CC30F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7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Sadedzināšanas iekārtām, kuras, sākot ar 2008.gadu, tiek darbinātas mazāk par 2000 darbības 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stundām gadā (piecu gadu perioda vidējais rādītājs), un sadedzināšanas iekārtām, kuras nodotas ekspluatācijā līdz 1987.gada 1.jūlijam, NO</w:t>
      </w:r>
      <w:r w:rsidRPr="009D47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>x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robežvērtība ir 600 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40B3E2A7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8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Robežvērtību 100 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var piemērot sadedzināšanas iekārtām, kuras nodotas ekspluatācijā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līdz 1987.</w:t>
      </w:r>
      <w:r w:rsidR="005220B7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gada 1.</w:t>
      </w:r>
      <w:r w:rsidR="005220B7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jūlijam un kuras sadedzina cieto kurināmo ar sadegšanas siltumu (darba masas kaloritāti), mazāku par 5800 kJ/kg, mitruma saturu, lielāku par 45 % no svara, kopējo mitruma un pelnu saturu, lielāku par 60 % no svara, un kalcija oksīda sat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uru, lielāku par 10 %.</w:t>
      </w:r>
    </w:p>
    <w:p w14:paraId="500AF017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lastRenderedPageBreak/>
        <w:t>9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SO</w:t>
      </w:r>
      <w:r w:rsidRPr="009D47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>2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emisijas robežvērtība sašķidrinātai gāzei – 5 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, gāzēm ar zemu kaloritāti, kuras iegūst no koksa, – 400 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, zemas kaloritātes domnas krāšņu gāzēm – 200 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4EA990E0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10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NO</w:t>
      </w:r>
      <w:r w:rsidRPr="009D47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>x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emisijas robežvērtība dabas gāzei (dabiskas izcelsmes 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metānam, kurā inerto gāzu un citu sastāvdaļu ir ne vairāk kā 20 % no tilpuma), ir 150 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sadedzināšanas iekārtām ar nominālo </w:t>
      </w:r>
      <w:r w:rsidR="004C7592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ievadīto 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siltuma jaudu no 50 līdz 300 MW un 100 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– sadedzināšanas iekārtām ar </w:t>
      </w:r>
      <w:r w:rsidR="00DD3290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nominālo</w:t>
      </w:r>
      <w:r w:rsidR="004C7592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ievadīto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siltuma jaudu, lielāku par 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300 MW.</w:t>
      </w:r>
    </w:p>
    <w:p w14:paraId="5A27B824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11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Putekļu jeb daļiņu emisijas robežvērtība sadedzināšanas iekārtām, kurās par kurināmo izmanto domnu gāzi, ir 10 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, bet iekārtām, kurās par kurināmo izmanto citur izmantojamo tēraudrūpniecības gāzi, – 30 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40D023F4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12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SO</w:t>
      </w:r>
      <w:r w:rsidRPr="009D47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>2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emisijas robežvērtība 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biomasai ir 200 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0C00308B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Ja emisijas robežvērtību nav iespējams nodrošināt kurināmā sēra satura dēļ, operators nodrošina, ka SO</w:t>
      </w:r>
      <w:r w:rsidRPr="009D47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>2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emisijas robežvērtība nepārsniedz 300 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7E53035C" w14:textId="77777777" w:rsidR="00D81468" w:rsidRPr="009D47F8" w:rsidRDefault="0092439A" w:rsidP="00DD329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14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Ja emisijas robežvērtību nav iespējams nodrošināt kurināmā sēra satura dēļ, op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erators nodrošina, ka SO</w:t>
      </w:r>
      <w:r w:rsidRPr="009D47F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>2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emisijas robežvērtība nepārsniedz 400 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51B4C978" w14:textId="77777777" w:rsidR="00D81468" w:rsidRPr="009D47F8" w:rsidRDefault="0092439A" w:rsidP="00D81468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II. Emisiju robežvērtības esošajām sadedzināšanas iekārtām, kas ir gāzturbīnas (tostarp kombinētā cikla gāzturbīnas)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4"/>
        <w:gridCol w:w="4988"/>
        <w:gridCol w:w="3537"/>
      </w:tblGrid>
      <w:tr w:rsidR="00530687" w14:paraId="4D5855C7" w14:textId="77777777" w:rsidTr="00D81468">
        <w:trPr>
          <w:trHeight w:val="510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FA1F3E9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 p.k.</w:t>
            </w:r>
          </w:p>
        </w:tc>
        <w:tc>
          <w:tcPr>
            <w:tcW w:w="2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316FA07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Kurināmā veids</w:t>
            </w:r>
          </w:p>
        </w:tc>
        <w:tc>
          <w:tcPr>
            <w:tcW w:w="1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382A3DA" w14:textId="77777777" w:rsidR="00D81468" w:rsidRPr="009D47F8" w:rsidRDefault="0092439A" w:rsidP="00DD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x</w:t>
            </w:r>
          </w:p>
          <w:p w14:paraId="05D4BCB6" w14:textId="77777777" w:rsidR="00D81468" w:rsidRPr="009D47F8" w:rsidRDefault="0092439A" w:rsidP="00DD3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emisijas robežvērtība (mg/m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)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</w:t>
            </w:r>
          </w:p>
        </w:tc>
      </w:tr>
      <w:tr w:rsidR="00530687" w14:paraId="201AFF7F" w14:textId="77777777" w:rsidTr="00D81468">
        <w:trPr>
          <w:trHeight w:val="330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0DF8DF5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2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B55C19A" w14:textId="77777777" w:rsidR="00D81468" w:rsidRPr="009D47F8" w:rsidRDefault="0092439A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Šķidrais kurināmais – vieglie un vidējie destilāti</w:t>
            </w:r>
          </w:p>
        </w:tc>
        <w:tc>
          <w:tcPr>
            <w:tcW w:w="1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3F1035F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120</w:t>
            </w:r>
          </w:p>
        </w:tc>
      </w:tr>
      <w:tr w:rsidR="00530687" w14:paraId="3580AD5A" w14:textId="77777777" w:rsidTr="00D81468">
        <w:trPr>
          <w:trHeight w:val="25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C87684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2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3777575" w14:textId="77777777" w:rsidR="00D81468" w:rsidRPr="009D47F8" w:rsidRDefault="0092439A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Dabas gāze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2</w:t>
            </w:r>
          </w:p>
        </w:tc>
        <w:tc>
          <w:tcPr>
            <w:tcW w:w="1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8E1B243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3,4</w:t>
            </w:r>
          </w:p>
        </w:tc>
      </w:tr>
      <w:tr w:rsidR="00530687" w14:paraId="799ADDC0" w14:textId="77777777" w:rsidTr="00D81468">
        <w:trPr>
          <w:trHeight w:val="345"/>
        </w:trPr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4871696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3.</w:t>
            </w:r>
          </w:p>
        </w:tc>
        <w:tc>
          <w:tcPr>
            <w:tcW w:w="2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D7A3781" w14:textId="77777777" w:rsidR="00D81468" w:rsidRPr="009D47F8" w:rsidRDefault="0092439A" w:rsidP="00D81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Gāzveida kurināmais (izņemot dabas gāzi)</w:t>
            </w:r>
          </w:p>
        </w:tc>
        <w:tc>
          <w:tcPr>
            <w:tcW w:w="19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4B046DA" w14:textId="77777777" w:rsidR="00D81468" w:rsidRPr="009D47F8" w:rsidRDefault="0092439A" w:rsidP="00D81468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9D47F8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120</w:t>
            </w:r>
          </w:p>
        </w:tc>
      </w:tr>
    </w:tbl>
    <w:p w14:paraId="453A16AC" w14:textId="77777777" w:rsidR="00D81468" w:rsidRPr="009D47F8" w:rsidRDefault="0092439A" w:rsidP="00D81468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Piezīmes.</w:t>
      </w:r>
    </w:p>
    <w:p w14:paraId="60848B24" w14:textId="77777777" w:rsidR="00D81468" w:rsidRPr="009D47F8" w:rsidRDefault="0092439A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Emisijas robežvērtības piemēro katrai atsevišķai gāzturbīnai ar slodzi virs 70 %.</w:t>
      </w:r>
    </w:p>
    <w:p w14:paraId="57DAC8EE" w14:textId="77777777" w:rsidR="00D81468" w:rsidRPr="009D47F8" w:rsidRDefault="0092439A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2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Dabiskas izcelsmes metāns, kurā 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inerto gāzu un citu sastāvdaļu ir ne vairāk par 20 % no tilpuma.</w:t>
      </w:r>
    </w:p>
    <w:p w14:paraId="7F5B3F07" w14:textId="77777777" w:rsidR="00D81468" w:rsidRPr="009D47F8" w:rsidRDefault="0092439A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 Emisijas robežvērtība 75 mg/m</w:t>
      </w: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ir šādos gadījumos (gāzturbīnas lietderības koeficients ir noteikts </w:t>
      </w:r>
      <w:r w:rsidR="0052408B" w:rsidRPr="009D47F8">
        <w:rPr>
          <w:rFonts w:ascii="Times New Roman" w:eastAsia="Calibri" w:hAnsi="Times New Roman" w:cs="Times New Roman"/>
          <w:sz w:val="28"/>
          <w:szCs w:val="28"/>
        </w:rPr>
        <w:t>piemērojamajos standartos norādītajos bāzes slodzes apstākļos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):</w:t>
      </w:r>
    </w:p>
    <w:p w14:paraId="6A8DF750" w14:textId="77777777" w:rsidR="00D81468" w:rsidRPr="009D47F8" w:rsidRDefault="0092439A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lastRenderedPageBreak/>
        <w:t>1) gāzturbīnām, ko izmanto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kombinētajās siltuma un elektroenerģijas ražošanas sistēmās ar kopējo lietderības koeficientu virs 75 %;</w:t>
      </w:r>
    </w:p>
    <w:p w14:paraId="635596FF" w14:textId="77777777" w:rsidR="00D81468" w:rsidRPr="009D47F8" w:rsidRDefault="0092439A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2) gāzturbīnām, ko izmanto kombinētā cikla iekārtās ar vidējo gada elektroenerģijas ražošanas lietderības koeficientu virs 55 %;</w:t>
      </w:r>
    </w:p>
    <w:p w14:paraId="658E93CB" w14:textId="77777777" w:rsidR="00D81468" w:rsidRPr="009D47F8" w:rsidRDefault="0092439A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3) gāzturbīnām, ko iz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manto mehāniskajai piedziņai.</w:t>
      </w:r>
    </w:p>
    <w:p w14:paraId="29C8C6D0" w14:textId="77777777" w:rsidR="00D81468" w:rsidRPr="009D47F8" w:rsidRDefault="0092439A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4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Gāzturbīnu ciklam, kas neatbilst nevienai no minētajām kategorijām, bet kuru lietderības koeficients ir lielāks par 35 %, kas noteikts </w:t>
      </w:r>
      <w:r w:rsidR="0052408B" w:rsidRPr="009D47F8">
        <w:rPr>
          <w:rFonts w:ascii="Times New Roman" w:eastAsia="Calibri" w:hAnsi="Times New Roman" w:cs="Times New Roman"/>
          <w:sz w:val="28"/>
          <w:szCs w:val="28"/>
        </w:rPr>
        <w:t>piemērojamajos standartos norādītajos bāzes slodzes apstākļos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, emisijas robežvērtība ir:</w:t>
      </w:r>
    </w:p>
    <w:p w14:paraId="167FDAE7" w14:textId="77777777" w:rsidR="00D81468" w:rsidRPr="009D47F8" w:rsidRDefault="0092439A" w:rsidP="00D81468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50 x η/35, kur</w:t>
      </w:r>
    </w:p>
    <w:p w14:paraId="41FD9261" w14:textId="77777777" w:rsidR="00D81468" w:rsidRPr="009D47F8" w:rsidRDefault="0092439A" w:rsidP="00D61EC7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η – procentuāli izteikts gāzturbīnas lietderības koeficients, kas noteikts </w:t>
      </w:r>
      <w:r w:rsidR="0052408B" w:rsidRPr="009D47F8">
        <w:rPr>
          <w:rFonts w:ascii="Times New Roman" w:eastAsia="Calibri" w:hAnsi="Times New Roman" w:cs="Times New Roman"/>
          <w:sz w:val="28"/>
          <w:szCs w:val="28"/>
        </w:rPr>
        <w:t>piemērojamajos standartos norādītajos bāzes slodzes apstākļos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37E57180" w14:textId="77777777" w:rsidR="005220B7" w:rsidRPr="009D47F8" w:rsidRDefault="005220B7" w:rsidP="00D814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7840024E" w14:textId="77777777" w:rsidR="00D93ED4" w:rsidRPr="009D47F8" w:rsidRDefault="0092439A" w:rsidP="00D61E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Vides aizsardzības un reģionālās </w:t>
      </w:r>
    </w:p>
    <w:p w14:paraId="4AA55D20" w14:textId="77777777" w:rsidR="00D81468" w:rsidRPr="009D47F8" w:rsidRDefault="0092439A" w:rsidP="00D61E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attīstības ministrs </w:t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5220B7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D93ED4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D93ED4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D93ED4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D93ED4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5220B7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K. </w:t>
      </w:r>
      <w:r w:rsidR="00C645C7" w:rsidRPr="009D47F8">
        <w:rPr>
          <w:rFonts w:ascii="Times New Roman" w:eastAsia="Times New Roman" w:hAnsi="Times New Roman" w:cs="Times New Roman"/>
          <w:sz w:val="28"/>
          <w:szCs w:val="28"/>
          <w:lang w:eastAsia="lv-LV"/>
        </w:rPr>
        <w:t>Gerhards</w:t>
      </w:r>
    </w:p>
    <w:p w14:paraId="44F278F4" w14:textId="77777777" w:rsidR="005E6689" w:rsidRPr="009D47F8" w:rsidRDefault="005E6689">
      <w:pPr>
        <w:rPr>
          <w:rFonts w:ascii="Times New Roman" w:hAnsi="Times New Roman" w:cs="Times New Roman"/>
          <w:sz w:val="28"/>
          <w:szCs w:val="28"/>
        </w:rPr>
      </w:pPr>
    </w:p>
    <w:sectPr w:rsidR="005E6689" w:rsidRPr="009D47F8" w:rsidSect="009D47F8">
      <w:headerReference w:type="default" r:id="rId6"/>
      <w:footerReference w:type="default" r:id="rId7"/>
      <w:footerReference w:type="first" r:id="rId8"/>
      <w:type w:val="continuous"/>
      <w:pgSz w:w="11920" w:h="16840"/>
      <w:pgMar w:top="1418" w:right="1134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3E9B55" w14:textId="77777777" w:rsidR="0092439A" w:rsidRDefault="0092439A">
      <w:pPr>
        <w:spacing w:after="0" w:line="240" w:lineRule="auto"/>
      </w:pPr>
      <w:r>
        <w:separator/>
      </w:r>
    </w:p>
  </w:endnote>
  <w:endnote w:type="continuationSeparator" w:id="0">
    <w:p w14:paraId="57F8DBED" w14:textId="77777777" w:rsidR="0092439A" w:rsidRDefault="00924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968EC" w14:textId="438F6C02" w:rsidR="00EC6084" w:rsidRPr="00EC6084" w:rsidRDefault="0092439A" w:rsidP="00EC6084">
    <w:pPr>
      <w:spacing w:after="0" w:line="240" w:lineRule="auto"/>
      <w:jc w:val="both"/>
      <w:rPr>
        <w:rFonts w:ascii="Times New Roman" w:hAnsi="Times New Roman" w:cs="Times New Roman"/>
        <w:bCs/>
      </w:rPr>
    </w:pPr>
    <w:r>
      <w:rPr>
        <w:rFonts w:ascii="Times New Roman" w:hAnsi="Times New Roman" w:cs="Times New Roman"/>
      </w:rPr>
      <w:t>VARAMn</w:t>
    </w:r>
    <w:r w:rsidRPr="00EC6084">
      <w:rPr>
        <w:rFonts w:ascii="Times New Roman" w:hAnsi="Times New Roman" w:cs="Times New Roman"/>
      </w:rPr>
      <w:t>otp</w:t>
    </w:r>
    <w:r w:rsidR="00867F8C">
      <w:rPr>
        <w:rFonts w:ascii="Times New Roman" w:hAnsi="Times New Roman" w:cs="Times New Roman"/>
      </w:rPr>
      <w:t>3</w:t>
    </w:r>
    <w:r w:rsidRPr="00EC6084">
      <w:rPr>
        <w:rFonts w:ascii="Times New Roman" w:hAnsi="Times New Roman" w:cs="Times New Roman"/>
      </w:rPr>
      <w:t xml:space="preserve"> _</w:t>
    </w:r>
    <w:r w:rsidR="009D47F8">
      <w:rPr>
        <w:rFonts w:ascii="Times New Roman" w:hAnsi="Times New Roman" w:cs="Times New Roman"/>
      </w:rPr>
      <w:t>11</w:t>
    </w:r>
    <w:r w:rsidR="000F59B9">
      <w:rPr>
        <w:rFonts w:ascii="Times New Roman" w:hAnsi="Times New Roman" w:cs="Times New Roman"/>
      </w:rPr>
      <w:t>0</w:t>
    </w:r>
    <w:r w:rsidR="009D47F8">
      <w:rPr>
        <w:rFonts w:ascii="Times New Roman" w:hAnsi="Times New Roman" w:cs="Times New Roman"/>
      </w:rPr>
      <w:t>9</w:t>
    </w:r>
    <w:r w:rsidRPr="00EC6084">
      <w:rPr>
        <w:rFonts w:ascii="Times New Roman" w:hAnsi="Times New Roman" w:cs="Times New Roman"/>
      </w:rPr>
      <w:t>17_MCP</w:t>
    </w:r>
  </w:p>
  <w:p w14:paraId="7E4AE964" w14:textId="77777777" w:rsidR="00EC6084" w:rsidRDefault="00EC60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94ECE" w14:textId="61EE487D" w:rsidR="00EC6084" w:rsidRPr="00EC6084" w:rsidRDefault="0092439A" w:rsidP="00EC6084">
    <w:pPr>
      <w:spacing w:after="0" w:line="240" w:lineRule="auto"/>
      <w:jc w:val="both"/>
      <w:rPr>
        <w:rFonts w:ascii="Times New Roman" w:hAnsi="Times New Roman" w:cs="Times New Roman"/>
        <w:bCs/>
      </w:rPr>
    </w:pPr>
    <w:r w:rsidRPr="00EC6084">
      <w:rPr>
        <w:rFonts w:ascii="Times New Roman" w:hAnsi="Times New Roman" w:cs="Times New Roman"/>
      </w:rPr>
      <w:t>VARAM</w:t>
    </w:r>
    <w:r w:rsidR="00A658E7">
      <w:rPr>
        <w:rFonts w:ascii="Times New Roman" w:hAnsi="Times New Roman" w:cs="Times New Roman"/>
      </w:rPr>
      <w:t>n</w:t>
    </w:r>
    <w:r w:rsidRPr="00EC6084">
      <w:rPr>
        <w:rFonts w:ascii="Times New Roman" w:hAnsi="Times New Roman" w:cs="Times New Roman"/>
      </w:rPr>
      <w:t>otp</w:t>
    </w:r>
    <w:r w:rsidR="00867F8C">
      <w:rPr>
        <w:rFonts w:ascii="Times New Roman" w:hAnsi="Times New Roman" w:cs="Times New Roman"/>
      </w:rPr>
      <w:t>3</w:t>
    </w:r>
    <w:r w:rsidRPr="00EC6084">
      <w:rPr>
        <w:rFonts w:ascii="Times New Roman" w:hAnsi="Times New Roman" w:cs="Times New Roman"/>
      </w:rPr>
      <w:t xml:space="preserve"> _</w:t>
    </w:r>
    <w:r w:rsidR="009D47F8">
      <w:rPr>
        <w:rFonts w:ascii="Times New Roman" w:hAnsi="Times New Roman" w:cs="Times New Roman"/>
      </w:rPr>
      <w:t>1109</w:t>
    </w:r>
    <w:r w:rsidR="009D47F8" w:rsidRPr="00EC6084">
      <w:rPr>
        <w:rFonts w:ascii="Times New Roman" w:hAnsi="Times New Roman" w:cs="Times New Roman"/>
      </w:rPr>
      <w:t>17</w:t>
    </w:r>
    <w:r w:rsidRPr="00EC6084">
      <w:rPr>
        <w:rFonts w:ascii="Times New Roman" w:hAnsi="Times New Roman" w:cs="Times New Roman"/>
      </w:rPr>
      <w:t>_MCP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8F17B" w14:textId="77777777" w:rsidR="0092439A" w:rsidRDefault="0092439A">
      <w:pPr>
        <w:spacing w:after="0" w:line="240" w:lineRule="auto"/>
      </w:pPr>
      <w:r>
        <w:separator/>
      </w:r>
    </w:p>
  </w:footnote>
  <w:footnote w:type="continuationSeparator" w:id="0">
    <w:p w14:paraId="6BCA57D9" w14:textId="77777777" w:rsidR="0092439A" w:rsidRDefault="00924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2742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74754237" w14:textId="77777777" w:rsidR="00027B64" w:rsidRPr="009D47F8" w:rsidRDefault="0092439A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D47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47F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D47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63D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D47F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17A278C" w14:textId="77777777" w:rsidR="00027B64" w:rsidRDefault="00027B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468"/>
    <w:rsid w:val="00027B64"/>
    <w:rsid w:val="00083327"/>
    <w:rsid w:val="000A0293"/>
    <w:rsid w:val="000E099B"/>
    <w:rsid w:val="000F59B9"/>
    <w:rsid w:val="00101C60"/>
    <w:rsid w:val="001044EC"/>
    <w:rsid w:val="001067BF"/>
    <w:rsid w:val="00150527"/>
    <w:rsid w:val="00271332"/>
    <w:rsid w:val="00284A69"/>
    <w:rsid w:val="002A5698"/>
    <w:rsid w:val="002C31DC"/>
    <w:rsid w:val="002C7A1C"/>
    <w:rsid w:val="00321B98"/>
    <w:rsid w:val="003917BD"/>
    <w:rsid w:val="00444FB1"/>
    <w:rsid w:val="0046620F"/>
    <w:rsid w:val="00473AEA"/>
    <w:rsid w:val="004C7592"/>
    <w:rsid w:val="004F63D6"/>
    <w:rsid w:val="0050641A"/>
    <w:rsid w:val="005220B7"/>
    <w:rsid w:val="0052408B"/>
    <w:rsid w:val="00530687"/>
    <w:rsid w:val="005B7E23"/>
    <w:rsid w:val="005C5945"/>
    <w:rsid w:val="005E6689"/>
    <w:rsid w:val="006743CB"/>
    <w:rsid w:val="00692143"/>
    <w:rsid w:val="00701F5F"/>
    <w:rsid w:val="0071739A"/>
    <w:rsid w:val="00733B4E"/>
    <w:rsid w:val="00867F8C"/>
    <w:rsid w:val="008E6044"/>
    <w:rsid w:val="009159A6"/>
    <w:rsid w:val="0092439A"/>
    <w:rsid w:val="00944FFA"/>
    <w:rsid w:val="009D47F8"/>
    <w:rsid w:val="009F2CBB"/>
    <w:rsid w:val="00A658E7"/>
    <w:rsid w:val="00A90A56"/>
    <w:rsid w:val="00B3151B"/>
    <w:rsid w:val="00B9575F"/>
    <w:rsid w:val="00C645C7"/>
    <w:rsid w:val="00CB79CE"/>
    <w:rsid w:val="00CE258A"/>
    <w:rsid w:val="00D163A0"/>
    <w:rsid w:val="00D61EC7"/>
    <w:rsid w:val="00D6450A"/>
    <w:rsid w:val="00D65270"/>
    <w:rsid w:val="00D745B8"/>
    <w:rsid w:val="00D74C92"/>
    <w:rsid w:val="00D81468"/>
    <w:rsid w:val="00D93ED4"/>
    <w:rsid w:val="00DD3290"/>
    <w:rsid w:val="00E31298"/>
    <w:rsid w:val="00EC41A4"/>
    <w:rsid w:val="00EC6084"/>
    <w:rsid w:val="00EE707C"/>
    <w:rsid w:val="00EF4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209CF09-3E6F-4CC8-8D5B-DA469185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2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81468"/>
  </w:style>
  <w:style w:type="paragraph" w:customStyle="1" w:styleId="tvhtml">
    <w:name w:val="tv_html"/>
    <w:basedOn w:val="Normal"/>
    <w:rsid w:val="00D814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EC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C60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084"/>
  </w:style>
  <w:style w:type="paragraph" w:styleId="Footer">
    <w:name w:val="footer"/>
    <w:basedOn w:val="Normal"/>
    <w:link w:val="FooterChar"/>
    <w:uiPriority w:val="99"/>
    <w:unhideWhenUsed/>
    <w:rsid w:val="00EC60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6084"/>
  </w:style>
  <w:style w:type="character" w:styleId="CommentReference">
    <w:name w:val="annotation reference"/>
    <w:basedOn w:val="DefaultParagraphFont"/>
    <w:uiPriority w:val="99"/>
    <w:semiHidden/>
    <w:unhideWhenUsed/>
    <w:rsid w:val="00027B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7B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7B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7B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7B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3555</Words>
  <Characters>2027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3.pielikums</vt:lpstr>
    </vt:vector>
  </TitlesOfParts>
  <Company>Grizli777</Company>
  <LinksUpToDate>false</LinksUpToDate>
  <CharactersWithSpaces>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3.pielikums</dc:title>
  <dc:subject>MK noteikumu 3.pielikums</dc:subject>
  <dc:creator>Lana Maslova</dc:creator>
  <dc:description>Lana.maslova@varam.gov.lv; 67026586</dc:description>
  <cp:lastModifiedBy>Jānis Pļavinskis</cp:lastModifiedBy>
  <cp:revision>2</cp:revision>
  <dcterms:created xsi:type="dcterms:W3CDTF">2017-11-14T13:42:00Z</dcterms:created>
  <dcterms:modified xsi:type="dcterms:W3CDTF">2017-11-14T13:42:00Z</dcterms:modified>
</cp:coreProperties>
</file>