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9D1AF2" w14:textId="01582FAB" w:rsidR="00792DCA" w:rsidRPr="00563D3C" w:rsidRDefault="00792DCA" w:rsidP="00792DCA">
      <w:pPr>
        <w:jc w:val="center"/>
        <w:rPr>
          <w:b/>
        </w:rPr>
      </w:pPr>
      <w:r>
        <w:rPr>
          <w:b/>
        </w:rPr>
        <w:t>Ministru kabineta noteikumu projekta “</w:t>
      </w:r>
      <w:r w:rsidR="00DD3CC2" w:rsidRPr="00DD3CC2">
        <w:rPr>
          <w:b/>
        </w:rPr>
        <w:t>Grozījumi Ministru kabineta 2014.gada 8.jūlija noteikumos Nr.388 “Elektrisko un elektronisko iekārtu kategorijas un marķēšanas prasības un šo iekārtu atkritumu apsaimniekošanas prasības un kārtība</w:t>
      </w:r>
      <w:r w:rsidRPr="00DD3CC2">
        <w:rPr>
          <w:b/>
          <w:sz w:val="22"/>
        </w:rPr>
        <w:t>”</w:t>
      </w:r>
      <w:r w:rsidR="00DD3CC2">
        <w:rPr>
          <w:b/>
          <w:sz w:val="22"/>
        </w:rPr>
        <w:t>”</w:t>
      </w:r>
      <w:r w:rsidR="00F21D1B">
        <w:rPr>
          <w:b/>
        </w:rPr>
        <w:t xml:space="preserve"> </w:t>
      </w:r>
      <w:r w:rsidRPr="00563D3C">
        <w:rPr>
          <w:b/>
        </w:rPr>
        <w:t xml:space="preserve">sākotnējās ietekmes novērtējuma </w:t>
      </w:r>
      <w:smartTag w:uri="schemas-tilde-lv/tildestengine" w:element="veidnes">
        <w:smartTagPr>
          <w:attr w:name="id" w:val="-1"/>
          <w:attr w:name="baseform" w:val="ziņojums"/>
          <w:attr w:name="text" w:val="ziņojums"/>
        </w:smartTagPr>
        <w:r w:rsidRPr="00563D3C">
          <w:rPr>
            <w:b/>
          </w:rPr>
          <w:t>ziņojums</w:t>
        </w:r>
      </w:smartTag>
      <w:r w:rsidRPr="00563D3C">
        <w:rPr>
          <w:b/>
        </w:rPr>
        <w:t xml:space="preserve"> (anotācija)</w:t>
      </w:r>
    </w:p>
    <w:p w14:paraId="411F8F4E" w14:textId="77777777" w:rsidR="00792DCA" w:rsidRPr="00FB41DC" w:rsidRDefault="00792DCA" w:rsidP="00792DCA">
      <w:pPr>
        <w:rPr>
          <w:b/>
        </w:rP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410"/>
        <w:gridCol w:w="6521"/>
      </w:tblGrid>
      <w:tr w:rsidR="00792DCA" w:rsidRPr="00FB41DC" w14:paraId="35166D11" w14:textId="77777777" w:rsidTr="00DD3CC2">
        <w:tc>
          <w:tcPr>
            <w:tcW w:w="9498" w:type="dxa"/>
            <w:gridSpan w:val="3"/>
          </w:tcPr>
          <w:p w14:paraId="72C9718F" w14:textId="77777777" w:rsidR="00792DCA" w:rsidRPr="00FB41DC" w:rsidRDefault="00792DCA" w:rsidP="00321E0D">
            <w:pPr>
              <w:jc w:val="center"/>
              <w:rPr>
                <w:b/>
              </w:rPr>
            </w:pPr>
            <w:r w:rsidRPr="00FB41DC">
              <w:rPr>
                <w:b/>
              </w:rPr>
              <w:t>I. Tiesību akta projekta izstrādes nepieciešamība</w:t>
            </w:r>
          </w:p>
        </w:tc>
      </w:tr>
      <w:tr w:rsidR="00792DCA" w:rsidRPr="0062273E" w14:paraId="48C9B15E" w14:textId="77777777" w:rsidTr="004A7179">
        <w:tc>
          <w:tcPr>
            <w:tcW w:w="567" w:type="dxa"/>
          </w:tcPr>
          <w:p w14:paraId="3862F13B" w14:textId="77777777" w:rsidR="00792DCA" w:rsidRPr="0062273E" w:rsidRDefault="00792DCA" w:rsidP="00321E0D">
            <w:pPr>
              <w:jc w:val="center"/>
            </w:pPr>
            <w:r w:rsidRPr="0062273E">
              <w:t>1.</w:t>
            </w:r>
          </w:p>
        </w:tc>
        <w:tc>
          <w:tcPr>
            <w:tcW w:w="2410" w:type="dxa"/>
          </w:tcPr>
          <w:p w14:paraId="46CD25EC" w14:textId="77777777" w:rsidR="00792DCA" w:rsidRPr="0062273E" w:rsidRDefault="00792DCA" w:rsidP="00321E0D">
            <w:r w:rsidRPr="0062273E">
              <w:t>Pamatojums</w:t>
            </w:r>
          </w:p>
        </w:tc>
        <w:tc>
          <w:tcPr>
            <w:tcW w:w="6521" w:type="dxa"/>
          </w:tcPr>
          <w:p w14:paraId="47349F22" w14:textId="2F296FBE" w:rsidR="00792DCA" w:rsidRPr="00DD3CC2" w:rsidRDefault="00DD3CC2" w:rsidP="00E73CC6">
            <w:pPr>
              <w:jc w:val="both"/>
            </w:pPr>
            <w:r w:rsidRPr="00DD3CC2">
              <w:t>Atkritumu apsaimniekošanas likuma</w:t>
            </w:r>
            <w:r>
              <w:t xml:space="preserve"> </w:t>
            </w:r>
            <w:r w:rsidRPr="00DD3CC2">
              <w:t xml:space="preserve">24.panta </w:t>
            </w:r>
            <w:r w:rsidR="00E73CC6" w:rsidRPr="00DD3CC2">
              <w:t>pirm</w:t>
            </w:r>
            <w:r w:rsidR="00E73CC6">
              <w:t>ā</w:t>
            </w:r>
            <w:r w:rsidR="00E73CC6" w:rsidRPr="00DD3CC2">
              <w:t xml:space="preserve"> daļ</w:t>
            </w:r>
            <w:r w:rsidR="00E73CC6">
              <w:t>a</w:t>
            </w:r>
            <w:r w:rsidR="00E73CC6" w:rsidRPr="00DD3CC2">
              <w:t xml:space="preserve"> </w:t>
            </w:r>
            <w:r w:rsidRPr="00DD3CC2">
              <w:t xml:space="preserve">un 29.panta 1., 2., 3. un 4. </w:t>
            </w:r>
            <w:r w:rsidR="00E73CC6" w:rsidRPr="00DD3CC2">
              <w:t>punkt</w:t>
            </w:r>
            <w:r w:rsidR="00E73CC6">
              <w:t>s</w:t>
            </w:r>
            <w:r>
              <w:t xml:space="preserve">. </w:t>
            </w:r>
          </w:p>
        </w:tc>
      </w:tr>
      <w:tr w:rsidR="00792DCA" w:rsidRPr="00FB41DC" w14:paraId="2BCE54E6" w14:textId="77777777" w:rsidTr="004A7179">
        <w:tc>
          <w:tcPr>
            <w:tcW w:w="567" w:type="dxa"/>
          </w:tcPr>
          <w:p w14:paraId="7CA65111" w14:textId="77777777" w:rsidR="00792DCA" w:rsidRPr="00FB41DC" w:rsidRDefault="00792DCA" w:rsidP="00321E0D">
            <w:pPr>
              <w:jc w:val="center"/>
            </w:pPr>
            <w:r w:rsidRPr="00FB41DC">
              <w:t>2.</w:t>
            </w:r>
          </w:p>
        </w:tc>
        <w:tc>
          <w:tcPr>
            <w:tcW w:w="2410" w:type="dxa"/>
          </w:tcPr>
          <w:p w14:paraId="1380E4ED" w14:textId="2EAA1DEB" w:rsidR="00B502E5" w:rsidRDefault="00792DCA" w:rsidP="00321E0D">
            <w:r w:rsidRPr="00FB41DC">
              <w:t>Pašreizējā situācija un problēmas</w:t>
            </w:r>
            <w:r>
              <w:t>, kuru risināšanai tiesību aktu projekts izstrādāts, tiesiskā regulējuma mērķis un būtība</w:t>
            </w:r>
          </w:p>
          <w:p w14:paraId="652AE231" w14:textId="77777777" w:rsidR="00B502E5" w:rsidRPr="00B502E5" w:rsidRDefault="00B502E5" w:rsidP="00B502E5"/>
          <w:p w14:paraId="27C2132E" w14:textId="77777777" w:rsidR="00B502E5" w:rsidRPr="00B502E5" w:rsidRDefault="00B502E5" w:rsidP="00B502E5"/>
          <w:p w14:paraId="0AD03092" w14:textId="77777777" w:rsidR="00B502E5" w:rsidRPr="006B30F1" w:rsidRDefault="00B502E5" w:rsidP="006B30F1"/>
          <w:p w14:paraId="1C84EB7C" w14:textId="77777777" w:rsidR="00B502E5" w:rsidRPr="00B502E5" w:rsidRDefault="00B502E5"/>
          <w:p w14:paraId="78ACE772" w14:textId="77777777" w:rsidR="00B502E5" w:rsidRPr="00B502E5" w:rsidRDefault="00B502E5"/>
          <w:p w14:paraId="2C8AB2FD" w14:textId="77777777" w:rsidR="00B502E5" w:rsidRPr="00B502E5" w:rsidRDefault="00B502E5"/>
          <w:p w14:paraId="32468BA3" w14:textId="77777777" w:rsidR="00B502E5" w:rsidRPr="00B502E5" w:rsidRDefault="00B502E5"/>
          <w:p w14:paraId="4339F7DA" w14:textId="77777777" w:rsidR="00B502E5" w:rsidRPr="00B502E5" w:rsidRDefault="00B502E5"/>
          <w:p w14:paraId="1A8F3B4C" w14:textId="77777777" w:rsidR="00B502E5" w:rsidRPr="00B502E5" w:rsidRDefault="00B502E5"/>
          <w:p w14:paraId="24306C50" w14:textId="77777777" w:rsidR="00B502E5" w:rsidRPr="00B502E5" w:rsidRDefault="00B502E5"/>
          <w:p w14:paraId="5DFF7904" w14:textId="77777777" w:rsidR="00B502E5" w:rsidRPr="00B502E5" w:rsidRDefault="00B502E5"/>
          <w:p w14:paraId="1F81D0B6" w14:textId="77777777" w:rsidR="00B502E5" w:rsidRPr="00B502E5" w:rsidRDefault="00B502E5"/>
          <w:p w14:paraId="2FE3E6CD" w14:textId="77777777" w:rsidR="00B502E5" w:rsidRPr="00B502E5" w:rsidRDefault="00B502E5"/>
          <w:p w14:paraId="61E421F2" w14:textId="77777777" w:rsidR="00B502E5" w:rsidRPr="00B502E5" w:rsidRDefault="00B502E5"/>
          <w:p w14:paraId="4F4A96D6" w14:textId="07F72EFD" w:rsidR="00B502E5" w:rsidRDefault="00B502E5" w:rsidP="00B502E5"/>
          <w:p w14:paraId="30D24CDE" w14:textId="77777777" w:rsidR="00792DCA" w:rsidRPr="00B502E5" w:rsidRDefault="00792DCA" w:rsidP="006B30F1">
            <w:pPr>
              <w:jc w:val="right"/>
            </w:pPr>
          </w:p>
        </w:tc>
        <w:tc>
          <w:tcPr>
            <w:tcW w:w="6521" w:type="dxa"/>
          </w:tcPr>
          <w:p w14:paraId="3982CAA0" w14:textId="657EEE61" w:rsidR="00DD3CC2" w:rsidRPr="00DD3CC2" w:rsidRDefault="00C5306A" w:rsidP="00FA265E">
            <w:pPr>
              <w:pStyle w:val="tv213"/>
              <w:spacing w:before="0" w:beforeAutospacing="0" w:after="0" w:afterAutospacing="0"/>
              <w:jc w:val="both"/>
            </w:pPr>
            <w:r>
              <w:t xml:space="preserve">1) </w:t>
            </w:r>
            <w:r w:rsidR="00DD3CC2" w:rsidRPr="00DD3CC2">
              <w:t>Ministru kabine</w:t>
            </w:r>
            <w:r w:rsidR="00DD3CC2">
              <w:t>ta 2014.gada 8.jūlija noteikumi</w:t>
            </w:r>
            <w:r w:rsidR="00DD3CC2" w:rsidRPr="00DD3CC2">
              <w:t xml:space="preserve"> Nr.388 “Elektrisko un elektronisko iekārtu kategorijas un marķēšanas prasības un šo iekārtu atkritumu apsaimniekošanas prasības un kārtība</w:t>
            </w:r>
            <w:r w:rsidR="00DD3CC2">
              <w:t>” (turpmāk</w:t>
            </w:r>
            <w:r w:rsidR="00DE2C9F">
              <w:t xml:space="preserve"> - </w:t>
            </w:r>
            <w:r w:rsidR="00DD3CC2">
              <w:t xml:space="preserve"> noteikumi Nr.388) </w:t>
            </w:r>
            <w:r w:rsidR="00CE4AFF">
              <w:t xml:space="preserve">22.punkts </w:t>
            </w:r>
            <w:r w:rsidR="004D4627">
              <w:t>noteic</w:t>
            </w:r>
            <w:r w:rsidR="00DD3CC2">
              <w:t xml:space="preserve">, ka elektrisko un elektronisko </w:t>
            </w:r>
            <w:r w:rsidR="00DD3CC2" w:rsidRPr="00DD3CC2">
              <w:t>iekārtu ražot</w:t>
            </w:r>
            <w:r w:rsidR="00DD3CC2">
              <w:t xml:space="preserve">āji vai to pilnvaroti pārstāvji, vai </w:t>
            </w:r>
            <w:r w:rsidR="00DD3CC2" w:rsidRPr="00DD3CC2">
              <w:t xml:space="preserve"> </w:t>
            </w:r>
            <w:r w:rsidR="00DD3CC2">
              <w:t xml:space="preserve">elektrisko un elektronisko </w:t>
            </w:r>
            <w:r w:rsidR="00DD3CC2" w:rsidRPr="00DD3CC2">
              <w:t>iekārtu atkritumu apsaimniekotāji, kas izveidoti atbilstoši normatīvajiem aktie</w:t>
            </w:r>
            <w:r w:rsidR="00DD3CC2">
              <w:t>m par atkritumu apsaimniekošanu</w:t>
            </w:r>
            <w:r w:rsidR="00BE531F">
              <w:t>,</w:t>
            </w:r>
            <w:r w:rsidR="00DD3CC2">
              <w:t xml:space="preserve"> no</w:t>
            </w:r>
            <w:r>
              <w:t xml:space="preserve">drošina, ka no 2016. gada 1. janvāra līdz 2021. gada 14. augustam tiek </w:t>
            </w:r>
            <w:r w:rsidRPr="00F2676E">
              <w:rPr>
                <w:u w:val="single"/>
              </w:rPr>
              <w:t>savākts 40,5 % no iepriekšējos trijos gados</w:t>
            </w:r>
            <w:r>
              <w:t xml:space="preserve"> Latvijā tirgū laisto iekārtu vidējā svara, savukārt Ministru kabineta 2009.gada 3.novembra noteikumi Nr.1294 “Kārtība, kādā atbrīvo no dabas resursu nodokļa samaksas par videi kaitīgām precēm” </w:t>
            </w:r>
            <w:r w:rsidR="00F2676E">
              <w:t xml:space="preserve">(turpmāk - </w:t>
            </w:r>
            <w:r w:rsidR="00E73CC6">
              <w:t>–</w:t>
            </w:r>
            <w:r w:rsidR="00F2676E">
              <w:t xml:space="preserve"> noteikumi Nr.1294) </w:t>
            </w:r>
            <w:r w:rsidR="00CE4AFF">
              <w:t xml:space="preserve">1.pielikuma 3.punkts </w:t>
            </w:r>
            <w:r w:rsidR="004D4627">
              <w:t>noteic</w:t>
            </w:r>
            <w:r>
              <w:t xml:space="preserve">, ka </w:t>
            </w:r>
            <w:r w:rsidR="00636078">
              <w:t xml:space="preserve">iepriekš </w:t>
            </w:r>
            <w:r>
              <w:t xml:space="preserve">minētajām personām ir jānodrošina, ka, sākot no 2017.gada 1.janvāra, </w:t>
            </w:r>
            <w:r w:rsidR="00F2676E" w:rsidRPr="00F2676E">
              <w:rPr>
                <w:u w:val="single"/>
              </w:rPr>
              <w:t>katru gadu</w:t>
            </w:r>
            <w:r w:rsidR="00F2676E">
              <w:t xml:space="preserve"> ir jānodrošina, ka tiek savākti 40,5%  pret </w:t>
            </w:r>
            <w:r w:rsidR="00F2676E" w:rsidRPr="00F2676E">
              <w:rPr>
                <w:u w:val="single"/>
              </w:rPr>
              <w:t>attiecīgajā gadā</w:t>
            </w:r>
            <w:r w:rsidR="00F2676E">
              <w:t xml:space="preserve"> realizēto vai savas saimnieciskās darbības nodrošināšanai ievesto un izmantoto elektrisko un elektronisko iekārtu apjomu. </w:t>
            </w:r>
          </w:p>
          <w:p w14:paraId="69A42EEB" w14:textId="53D5D9A9" w:rsidR="00792DCA" w:rsidRDefault="00F2676E" w:rsidP="00321E0D">
            <w:pPr>
              <w:pStyle w:val="naiskr"/>
              <w:spacing w:before="20" w:after="20"/>
              <w:jc w:val="both"/>
              <w:rPr>
                <w:szCs w:val="28"/>
              </w:rPr>
            </w:pPr>
            <w:r>
              <w:rPr>
                <w:szCs w:val="28"/>
              </w:rPr>
              <w:t>Lai novērstu pretrunas starp</w:t>
            </w:r>
            <w:r w:rsidR="00B502E5">
              <w:rPr>
                <w:szCs w:val="28"/>
              </w:rPr>
              <w:t xml:space="preserve"> </w:t>
            </w:r>
            <w:r>
              <w:rPr>
                <w:szCs w:val="28"/>
              </w:rPr>
              <w:t>noteikumu Nr.388 un</w:t>
            </w:r>
            <w:r w:rsidR="00B502E5">
              <w:rPr>
                <w:szCs w:val="28"/>
              </w:rPr>
              <w:t xml:space="preserve"> </w:t>
            </w:r>
            <w:r>
              <w:rPr>
                <w:szCs w:val="28"/>
              </w:rPr>
              <w:t xml:space="preserve"> noteikumu Nr.1294 prasībām, tiek paredzēts, ka</w:t>
            </w:r>
            <w:r w:rsidR="00BE531F">
              <w:t xml:space="preserve"> elektrisko un elektronisko </w:t>
            </w:r>
            <w:r w:rsidR="00BE531F" w:rsidRPr="00DD3CC2">
              <w:t>iekārtu ražot</w:t>
            </w:r>
            <w:r w:rsidR="00BE531F">
              <w:t>āji vai to pilnvaroti pārstāvji, vai</w:t>
            </w:r>
            <w:r w:rsidR="00BE531F" w:rsidRPr="00DD3CC2">
              <w:t xml:space="preserve"> </w:t>
            </w:r>
            <w:r w:rsidR="00BE531F">
              <w:t xml:space="preserve">elektrisko un elektronisko </w:t>
            </w:r>
            <w:r w:rsidR="00BE531F" w:rsidRPr="00DD3CC2">
              <w:t>iekārtu atkritumu apsaimniekotāji, kas izveidoti atbilstoši normatīvajiem aktie</w:t>
            </w:r>
            <w:r w:rsidR="00BE531F">
              <w:t>m par atkritumu apsaimniekošanu, nodrošina, ka</w:t>
            </w:r>
            <w:r>
              <w:rPr>
                <w:szCs w:val="28"/>
              </w:rPr>
              <w:t xml:space="preserve"> </w:t>
            </w:r>
            <w:r w:rsidR="00CE4AFF">
              <w:rPr>
                <w:szCs w:val="28"/>
              </w:rPr>
              <w:t xml:space="preserve">elektrisko un elektronisko iekārtu atkritumi tiek savākti normatīvajos aktos par kārtību, kāda atbrīvo no dabas resursu nodokļa samaksas par videi kaitīgām precēm, noteiktajā apjomā un termiņā. </w:t>
            </w:r>
            <w:r w:rsidR="008E6826">
              <w:rPr>
                <w:szCs w:val="28"/>
              </w:rPr>
              <w:t>Tādejādi tiek saskaņotas MK noteikumos Nr.388 un MK noteikumos Nr.1294 noteiktās prasības elektrisko un elektronisko iekārtu atkritumu savākšanas mērķiem;</w:t>
            </w:r>
          </w:p>
          <w:p w14:paraId="45435D72" w14:textId="77777777" w:rsidR="00B502E5" w:rsidRDefault="00B502E5" w:rsidP="00321E0D">
            <w:pPr>
              <w:pStyle w:val="naiskr"/>
              <w:spacing w:before="20" w:after="20"/>
              <w:jc w:val="both"/>
              <w:rPr>
                <w:szCs w:val="28"/>
              </w:rPr>
            </w:pPr>
          </w:p>
          <w:p w14:paraId="474134C4" w14:textId="518BEF2E" w:rsidR="00EC4301" w:rsidRDefault="00B502E5" w:rsidP="00EC4301">
            <w:pPr>
              <w:pStyle w:val="naiskr"/>
              <w:spacing w:before="20" w:after="20"/>
              <w:jc w:val="both"/>
            </w:pPr>
            <w:r>
              <w:t>2</w:t>
            </w:r>
            <w:r w:rsidR="00885BD4">
              <w:t>) Atbilstoši Ministru kabineta 2014.gada 1.jūlija noteikumiem Nr.331 “Elektrisko un elektronisko iekārtu un bateriju vai akumulatoru ražotāju reģistrācijas kārtība un samaksas kārtība par datu uzturēšanu”</w:t>
            </w:r>
            <w:r w:rsidR="00EC4301">
              <w:t xml:space="preserve"> 2.punktam</w:t>
            </w:r>
            <w:r w:rsidR="00885BD4">
              <w:t xml:space="preserve"> biedrība “Latvijas </w:t>
            </w:r>
            <w:r w:rsidR="00CA5DA2">
              <w:t>Elektrotehniskas un  elektronikas rūpniecības asociācija”</w:t>
            </w:r>
            <w:r w:rsidR="00D66C7C">
              <w:t xml:space="preserve"> (turpmāk </w:t>
            </w:r>
            <w:r w:rsidR="00E73CC6">
              <w:t xml:space="preserve">– </w:t>
            </w:r>
            <w:r w:rsidR="00D66C7C">
              <w:t xml:space="preserve">LETERA) </w:t>
            </w:r>
            <w:r w:rsidR="00CA5DA2">
              <w:t xml:space="preserve">ir elektrisko un elektronisko iekārtu ražotāju reģistra turētājs. </w:t>
            </w:r>
            <w:r w:rsidR="00EC4301">
              <w:t xml:space="preserve">Šobrīd Nr.388 29.punktā nav noteikts, kādā veidā elektrisko un elektronisko ražotāju reģistrā tiek iesniegti noteikumu Nr.388 29.punktā minētie ziņojumi, tāpēc reizēm elektrisko un </w:t>
            </w:r>
            <w:r w:rsidR="00EC4301">
              <w:lastRenderedPageBreak/>
              <w:t>elektronisko iekārtu ražotāju reģistrā tiek saņemti ziņojumi, kuri elektrisko un elektronisko iekārtu ražotāju reģistra datu bāzē ir jāievada manuāli, lai gan elektrisko un elektronisko iekārtu ražotāju reģistrā ir izveidota datu bāze, kurā elektrisko un elektronisko iekārtu ražotāju ražotāji vai elektrisko un elektronisko iekārtu apsaimniekotāji (ja ražotājs ar tiem ir noslēdzis attiecīgu līgumu) var tiešsaistē ievadīt attiecīgos ziņojumus. Ir nepieciešams noteikt vienveidīgas prasības noteikumu Nr.388 29.punktā minēto ziņojumu iesniegšanai, paredzot, ka iekārtu ražotājs, tā pilnvarots pārstāvis vai iekārtu atkritumu apsaimniekotājs minētos ziņojumus ievada elektrisko un elektronisko iekārtu ražotāju reģistra turētājā izveidotajā elektrisko un elektronisko iekārtu ražotāju reģistra datu bāzē.</w:t>
            </w:r>
          </w:p>
          <w:p w14:paraId="1C086516" w14:textId="7E20B2C5" w:rsidR="00DE2C9F" w:rsidRDefault="00CA5DA2" w:rsidP="00321E0D">
            <w:pPr>
              <w:pStyle w:val="naiskr"/>
              <w:spacing w:before="20" w:after="20"/>
              <w:jc w:val="both"/>
            </w:pPr>
            <w:r>
              <w:t xml:space="preserve">Lai noteiktu vienveidīgas prasības </w:t>
            </w:r>
            <w:r w:rsidR="004F0BC8">
              <w:t xml:space="preserve">noteikumos </w:t>
            </w:r>
            <w:r>
              <w:t>Nr.388</w:t>
            </w:r>
            <w:r w:rsidR="00EC4301">
              <w:t xml:space="preserve"> 29.punktā</w:t>
            </w:r>
            <w:r>
              <w:t xml:space="preserve"> minēto ziņojumu iesniegšanai, ir nepieciešams noteikt, ka iekārtu ražotājs, tā pilnvarots pārstāvis vai iekārtu atkritumu apsaimniekotājs minētos ziņojumus ievada elektrisko un elektronisko iekārtu ražotāju reģistra turētājā izveidotajā elektrisko un elektronisko iekārtu ražotāju reģistra datu bāzē.</w:t>
            </w:r>
          </w:p>
          <w:p w14:paraId="091ACE5E" w14:textId="198C2CD0" w:rsidR="00CA5DA2" w:rsidRDefault="00B502E5" w:rsidP="00321E0D">
            <w:pPr>
              <w:pStyle w:val="naiskr"/>
              <w:spacing w:before="20" w:after="20"/>
              <w:jc w:val="both"/>
            </w:pPr>
            <w:r>
              <w:t>3</w:t>
            </w:r>
            <w:r w:rsidR="00CA5DA2">
              <w:t xml:space="preserve">) </w:t>
            </w:r>
            <w:r w:rsidR="00E73CC6">
              <w:t xml:space="preserve">Lai </w:t>
            </w:r>
            <w:r w:rsidR="00CA5DA2">
              <w:t xml:space="preserve">mazinātu administratīvo slogu un nodrošinātu </w:t>
            </w:r>
            <w:r w:rsidR="00EC4301">
              <w:t>noteikumi Nr.1294</w:t>
            </w:r>
            <w:r w:rsidR="00CA5DA2">
              <w:t xml:space="preserve"> un noteikumu Nr.388 prasību vienveidīgu piemērošanu, ir jāprecizē</w:t>
            </w:r>
            <w:r w:rsidR="008A1A8C">
              <w:t xml:space="preserve"> un jāsamazina</w:t>
            </w:r>
            <w:r w:rsidR="00CA5DA2">
              <w:t xml:space="preserve"> zi</w:t>
            </w:r>
            <w:r w:rsidR="008A1A8C">
              <w:t>ņojumu iesniegšanas biežums</w:t>
            </w:r>
            <w:r w:rsidR="00EC4301">
              <w:t xml:space="preserve"> no četriem ziņojumiem kalendārajā gadā uz diviem ziņojumiem kalendārajā gadā </w:t>
            </w:r>
            <w:r w:rsidR="008A1A8C">
              <w:t xml:space="preserve"> attiecībā uz Latvijas valstu tirgū un citos ES dalībvalstu tirgos piedāvātajiem elektrisko un elektronisko iekārtu veidiem un daudzumiem;</w:t>
            </w:r>
          </w:p>
          <w:p w14:paraId="2E7C2952" w14:textId="60E81668" w:rsidR="00B502E5" w:rsidRDefault="00B502E5" w:rsidP="00321E0D">
            <w:pPr>
              <w:pStyle w:val="naiskr"/>
              <w:spacing w:before="20" w:after="20"/>
              <w:jc w:val="both"/>
            </w:pPr>
            <w:r>
              <w:rPr>
                <w:szCs w:val="28"/>
              </w:rPr>
              <w:t xml:space="preserve">4) Eiropas Parlamenta un Padomes 2012.gada 4.jūlija direktīvas 2012/19/ES par elektrisko un elektronisko iekārtu atkritumiem (EEIA, turpmāk – direktīva 2012/19/ES) 7.panta 1.punkts noteic, ka </w:t>
            </w:r>
            <w:r>
              <w:t>no 2016.gada minimālais savākšanas apjoms ir 45 % (Latvijai ir noteikts pārejas periods), un to aprēķina, izmantojot to EEIA kopējo svaru, kas attiecīgajā gadā un dalībvalstī savākti saskaņā ar 5. un 6.pantu, un izsakot to kā procentuālo daļu no to EEI vidējā svara, kas attiecīgajā dalībvalstī ir laistas tirgū trīs iepriekšējos gados. Lai nodrošinātu minētās direktīvas normas pareizu transponēšanu, ir nepieciešams precizēt noteikumus Nr.388 32.punktā, paredzot, ka Vides aizsardzības un reģionālās attīstības ministrija (turpmāk – VARAM) vai tās pilnvarota institūcija veiks nepieciešamos aprēķinus, lai noteiktu, vai ir izpildīti direktīvas 2012/19/ES 7.1.punktā noteiktie mērķi;</w:t>
            </w:r>
          </w:p>
          <w:p w14:paraId="646BA9AA" w14:textId="4415B0E7" w:rsidR="008A1A8C" w:rsidRDefault="008A1A8C" w:rsidP="00321E0D">
            <w:pPr>
              <w:pStyle w:val="naiskr"/>
              <w:spacing w:before="20" w:after="20"/>
              <w:jc w:val="both"/>
            </w:pPr>
            <w:r>
              <w:t xml:space="preserve">5) </w:t>
            </w:r>
            <w:r w:rsidR="00E73CC6">
              <w:t xml:space="preserve">Lai </w:t>
            </w:r>
            <w:r>
              <w:t xml:space="preserve">nodrošinātu noteikumu Nr.1294 un noteikumu Nr.388 prasību vienveidīgu piemērošanu, </w:t>
            </w:r>
            <w:r w:rsidR="00D66C7C">
              <w:t>ir nepieciešams precizēt termiņus elektrisko un elektronisko iekārtu iedalījumam attiecīgajās kategorijās, kā arī termiņus elektrisko un elektronisko iekārtu atkritumu pārstrādes mērķu sasniegšanai;</w:t>
            </w:r>
          </w:p>
          <w:p w14:paraId="14696EDA" w14:textId="00639FCA" w:rsidR="00792DCA" w:rsidRPr="0048728D" w:rsidRDefault="00D66C7C" w:rsidP="00B502E5">
            <w:pPr>
              <w:pStyle w:val="naiskr"/>
              <w:spacing w:before="20" w:after="20"/>
              <w:jc w:val="both"/>
            </w:pPr>
            <w:r w:rsidRPr="001C3F0A">
              <w:rPr>
                <w:szCs w:val="28"/>
              </w:rPr>
              <w:t xml:space="preserve">6) </w:t>
            </w:r>
            <w:r w:rsidR="00771DDE">
              <w:rPr>
                <w:szCs w:val="28"/>
              </w:rPr>
              <w:t>I</w:t>
            </w:r>
            <w:r w:rsidR="00771DDE" w:rsidRPr="001C3F0A">
              <w:rPr>
                <w:szCs w:val="28"/>
              </w:rPr>
              <w:t xml:space="preserve">r </w:t>
            </w:r>
            <w:r w:rsidRPr="001C3F0A">
              <w:rPr>
                <w:szCs w:val="28"/>
              </w:rPr>
              <w:t xml:space="preserve">nepieciešams precizēt mobilo telefonu un monitoru klasifikāciju, lai tā būtu vienveidīga visā noteikumu Nr.388 tekstā </w:t>
            </w:r>
            <w:r w:rsidRPr="001C3F0A">
              <w:rPr>
                <w:szCs w:val="28"/>
              </w:rPr>
              <w:lastRenderedPageBreak/>
              <w:t>(pašreiz ir atšķirības starp 1.pielikumā un 5., 6.</w:t>
            </w:r>
            <w:r w:rsidR="00E73CC6">
              <w:rPr>
                <w:szCs w:val="28"/>
              </w:rPr>
              <w:t xml:space="preserve"> </w:t>
            </w:r>
            <w:r w:rsidRPr="001C3F0A">
              <w:rPr>
                <w:szCs w:val="28"/>
              </w:rPr>
              <w:t>un 7.pielikumā ietverto klasifikāciju).</w:t>
            </w:r>
          </w:p>
        </w:tc>
      </w:tr>
      <w:tr w:rsidR="00792DCA" w:rsidRPr="00FB41DC" w14:paraId="073B293B" w14:textId="77777777" w:rsidTr="004A7179">
        <w:tc>
          <w:tcPr>
            <w:tcW w:w="567" w:type="dxa"/>
          </w:tcPr>
          <w:p w14:paraId="259BBBC5" w14:textId="77777777" w:rsidR="00792DCA" w:rsidRPr="00FB41DC" w:rsidRDefault="00792DCA" w:rsidP="00321E0D">
            <w:pPr>
              <w:jc w:val="center"/>
            </w:pPr>
            <w:r>
              <w:lastRenderedPageBreak/>
              <w:t>3</w:t>
            </w:r>
            <w:r w:rsidRPr="00FB41DC">
              <w:t>.</w:t>
            </w:r>
          </w:p>
        </w:tc>
        <w:tc>
          <w:tcPr>
            <w:tcW w:w="2410" w:type="dxa"/>
          </w:tcPr>
          <w:p w14:paraId="627F4197" w14:textId="77777777" w:rsidR="00792DCA" w:rsidRPr="00FB41DC" w:rsidRDefault="00792DCA" w:rsidP="00321E0D">
            <w:r w:rsidRPr="00FB41DC">
              <w:t>Projekta izstrādē iesaistītās institūcijas</w:t>
            </w:r>
          </w:p>
        </w:tc>
        <w:tc>
          <w:tcPr>
            <w:tcW w:w="6521" w:type="dxa"/>
          </w:tcPr>
          <w:p w14:paraId="47043391" w14:textId="77777777" w:rsidR="00792DCA" w:rsidRPr="00FB41DC" w:rsidRDefault="001C3F0A" w:rsidP="00321E0D">
            <w:pPr>
              <w:pStyle w:val="naiskr"/>
              <w:jc w:val="both"/>
            </w:pPr>
            <w:r>
              <w:t xml:space="preserve">VARAM, </w:t>
            </w:r>
            <w:r w:rsidR="00DD3CC2">
              <w:t>LETERA</w:t>
            </w:r>
            <w:r>
              <w:t>, Valsts vides dienests</w:t>
            </w:r>
          </w:p>
        </w:tc>
      </w:tr>
      <w:tr w:rsidR="00792DCA" w:rsidRPr="00FB41DC" w14:paraId="1F21D5FE" w14:textId="77777777" w:rsidTr="004A7179">
        <w:trPr>
          <w:trHeight w:val="571"/>
        </w:trPr>
        <w:tc>
          <w:tcPr>
            <w:tcW w:w="567" w:type="dxa"/>
          </w:tcPr>
          <w:p w14:paraId="03A970F6" w14:textId="77777777" w:rsidR="00792DCA" w:rsidRPr="00FB41DC" w:rsidRDefault="00792DCA" w:rsidP="00321E0D">
            <w:pPr>
              <w:jc w:val="center"/>
            </w:pPr>
            <w:r>
              <w:t>4</w:t>
            </w:r>
            <w:r w:rsidRPr="00FB41DC">
              <w:t>.</w:t>
            </w:r>
          </w:p>
        </w:tc>
        <w:tc>
          <w:tcPr>
            <w:tcW w:w="2410" w:type="dxa"/>
          </w:tcPr>
          <w:p w14:paraId="165F4D82" w14:textId="77777777" w:rsidR="00792DCA" w:rsidRPr="00FB41DC" w:rsidRDefault="00792DCA" w:rsidP="00321E0D">
            <w:r w:rsidRPr="00FB41DC">
              <w:t>Cita informācija</w:t>
            </w:r>
          </w:p>
        </w:tc>
        <w:tc>
          <w:tcPr>
            <w:tcW w:w="6521" w:type="dxa"/>
          </w:tcPr>
          <w:p w14:paraId="612D3A48" w14:textId="77777777" w:rsidR="00792DCA" w:rsidRPr="00DE2C9F" w:rsidRDefault="00792DCA" w:rsidP="00321E0D">
            <w:pPr>
              <w:jc w:val="both"/>
              <w:rPr>
                <w:b/>
              </w:rPr>
            </w:pPr>
            <w:r w:rsidRPr="00DE2C9F">
              <w:rPr>
                <w:rStyle w:val="Stark"/>
                <w:b w:val="0"/>
              </w:rPr>
              <w:t>Nav</w:t>
            </w:r>
            <w:r w:rsidR="00DE2C9F">
              <w:rPr>
                <w:rStyle w:val="Stark"/>
                <w:b w:val="0"/>
              </w:rPr>
              <w:t>.</w:t>
            </w:r>
          </w:p>
        </w:tc>
      </w:tr>
    </w:tbl>
    <w:p w14:paraId="701B3215" w14:textId="77777777" w:rsidR="00792DCA" w:rsidRPr="00FB41DC" w:rsidRDefault="00792DCA" w:rsidP="00792DCA">
      <w:pPr>
        <w:jc w:val="center"/>
      </w:pPr>
    </w:p>
    <w:tbl>
      <w:tblPr>
        <w:tblW w:w="949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2351"/>
        <w:gridCol w:w="6580"/>
      </w:tblGrid>
      <w:tr w:rsidR="00792DCA" w:rsidRPr="006C4798" w14:paraId="3D7BC82A" w14:textId="77777777" w:rsidTr="00DD3CC2">
        <w:tc>
          <w:tcPr>
            <w:tcW w:w="9498" w:type="dxa"/>
            <w:gridSpan w:val="3"/>
          </w:tcPr>
          <w:p w14:paraId="5E5D5466" w14:textId="77777777" w:rsidR="00792DCA" w:rsidRPr="002C08C1" w:rsidRDefault="00792DCA" w:rsidP="00321E0D">
            <w:pPr>
              <w:jc w:val="center"/>
              <w:rPr>
                <w:b/>
              </w:rPr>
            </w:pPr>
            <w:r w:rsidRPr="002C08C1">
              <w:rPr>
                <w:b/>
                <w:bCs/>
                <w:shd w:val="clear" w:color="auto" w:fill="FFFFFF"/>
              </w:rPr>
              <w:t>II. Tiesību akta projekta ietekme uz sabiedrību, tautsaimniecības attīstību un administratīvo slogu</w:t>
            </w:r>
          </w:p>
        </w:tc>
      </w:tr>
      <w:tr w:rsidR="00792DCA" w:rsidRPr="00FB41DC" w14:paraId="4D76A930" w14:textId="77777777" w:rsidTr="00DD3CC2">
        <w:tc>
          <w:tcPr>
            <w:tcW w:w="567" w:type="dxa"/>
          </w:tcPr>
          <w:p w14:paraId="50BAB771" w14:textId="77777777" w:rsidR="00792DCA" w:rsidRPr="00FB41DC" w:rsidRDefault="00792DCA" w:rsidP="00321E0D">
            <w:pPr>
              <w:jc w:val="center"/>
            </w:pPr>
            <w:r w:rsidRPr="00FB41DC">
              <w:t>1.</w:t>
            </w:r>
          </w:p>
        </w:tc>
        <w:tc>
          <w:tcPr>
            <w:tcW w:w="2351" w:type="dxa"/>
          </w:tcPr>
          <w:p w14:paraId="261C4F22" w14:textId="77777777" w:rsidR="00792DCA" w:rsidRPr="00FB41DC" w:rsidRDefault="00792DCA" w:rsidP="00321E0D">
            <w:r w:rsidRPr="00FB41DC">
              <w:t>Sabiedrības mērķgrupa</w:t>
            </w:r>
            <w:r>
              <w:t>s, kuras tiesiskais regulējums ietekmē vai varētu ietekmēt</w:t>
            </w:r>
          </w:p>
        </w:tc>
        <w:tc>
          <w:tcPr>
            <w:tcW w:w="6580" w:type="dxa"/>
          </w:tcPr>
          <w:p w14:paraId="2714801A" w14:textId="77777777" w:rsidR="001C3F0A" w:rsidRPr="007B1512" w:rsidRDefault="001C3F0A" w:rsidP="007B1512">
            <w:pPr>
              <w:pStyle w:val="Liststycke"/>
              <w:numPr>
                <w:ilvl w:val="0"/>
                <w:numId w:val="5"/>
              </w:numPr>
              <w:ind w:left="376"/>
              <w:jc w:val="both"/>
              <w:rPr>
                <w:rFonts w:ascii="Times New Roman" w:eastAsia="Times New Roman" w:hAnsi="Times New Roman"/>
                <w:sz w:val="24"/>
                <w:szCs w:val="24"/>
                <w:lang w:val="lv-LV" w:eastAsia="lv-LV"/>
              </w:rPr>
            </w:pPr>
            <w:r w:rsidRPr="007B1512">
              <w:rPr>
                <w:rFonts w:ascii="Times New Roman" w:eastAsia="Times New Roman" w:hAnsi="Times New Roman"/>
                <w:sz w:val="24"/>
                <w:szCs w:val="24"/>
                <w:lang w:val="lv-LV" w:eastAsia="lv-LV"/>
              </w:rPr>
              <w:t xml:space="preserve">EEI lietotāji – visi Latvijas iedzīvotāji; </w:t>
            </w:r>
          </w:p>
          <w:p w14:paraId="58833A7D" w14:textId="77777777" w:rsidR="001C3F0A" w:rsidRPr="007B1512" w:rsidRDefault="001C3F0A" w:rsidP="007B1512">
            <w:pPr>
              <w:pStyle w:val="Liststycke"/>
              <w:numPr>
                <w:ilvl w:val="0"/>
                <w:numId w:val="5"/>
              </w:numPr>
              <w:ind w:left="376"/>
              <w:jc w:val="both"/>
              <w:rPr>
                <w:rFonts w:ascii="Times New Roman" w:eastAsia="Times New Roman" w:hAnsi="Times New Roman"/>
                <w:sz w:val="24"/>
                <w:szCs w:val="24"/>
                <w:lang w:val="lv-LV" w:eastAsia="lv-LV"/>
              </w:rPr>
            </w:pPr>
            <w:r w:rsidRPr="007B1512">
              <w:rPr>
                <w:rFonts w:ascii="Times New Roman" w:eastAsia="Times New Roman" w:hAnsi="Times New Roman"/>
                <w:sz w:val="24"/>
                <w:szCs w:val="24"/>
                <w:lang w:val="lv-LV" w:eastAsia="lv-LV"/>
              </w:rPr>
              <w:t>1199 elektrisko un elektronisko iekārtu ražotāji, kuri ir noslēguši līgumus ar videi kaitīgo preču atkritumu apsaimniekotājiem;</w:t>
            </w:r>
          </w:p>
          <w:p w14:paraId="3D67AD78" w14:textId="77777777" w:rsidR="00792DCA" w:rsidRPr="007B1512" w:rsidRDefault="001C3F0A" w:rsidP="007B1512">
            <w:pPr>
              <w:pStyle w:val="Liststycke"/>
              <w:numPr>
                <w:ilvl w:val="0"/>
                <w:numId w:val="5"/>
              </w:numPr>
              <w:ind w:left="376"/>
              <w:jc w:val="both"/>
              <w:rPr>
                <w:lang w:val="lv-LV"/>
              </w:rPr>
            </w:pPr>
            <w:r w:rsidRPr="00B81BC2">
              <w:rPr>
                <w:rFonts w:ascii="Times New Roman" w:eastAsia="Times New Roman" w:hAnsi="Times New Roman"/>
                <w:sz w:val="24"/>
                <w:szCs w:val="24"/>
                <w:lang w:val="lv-LV" w:eastAsia="lv-LV"/>
              </w:rPr>
              <w:t>6 videi kaitīgo preču atkritumu apsaimniekotāji, kam ir tiesības saviem līgumpartneriem piešķirt atbrīvojumu no dabas resursu nodokļa samaksas par videi kaitīgām precēm.</w:t>
            </w:r>
          </w:p>
        </w:tc>
      </w:tr>
      <w:tr w:rsidR="00792DCA" w:rsidRPr="00CC4F9A" w14:paraId="3BCC7CA4" w14:textId="77777777" w:rsidTr="00DD3CC2">
        <w:tc>
          <w:tcPr>
            <w:tcW w:w="567" w:type="dxa"/>
            <w:shd w:val="clear" w:color="auto" w:fill="auto"/>
          </w:tcPr>
          <w:p w14:paraId="5C45730C" w14:textId="77777777" w:rsidR="00792DCA" w:rsidRPr="00CC4F9A" w:rsidRDefault="00792DCA" w:rsidP="00321E0D">
            <w:pPr>
              <w:jc w:val="center"/>
              <w:rPr>
                <w:highlight w:val="yellow"/>
              </w:rPr>
            </w:pPr>
            <w:r>
              <w:t>2</w:t>
            </w:r>
            <w:r w:rsidRPr="00331BA5">
              <w:t>.</w:t>
            </w:r>
          </w:p>
        </w:tc>
        <w:tc>
          <w:tcPr>
            <w:tcW w:w="2351" w:type="dxa"/>
            <w:shd w:val="clear" w:color="auto" w:fill="FFFFFF"/>
          </w:tcPr>
          <w:p w14:paraId="6F5B80AD" w14:textId="77777777" w:rsidR="00792DCA" w:rsidRPr="00CC4F9A" w:rsidRDefault="00792DCA" w:rsidP="00321E0D">
            <w:pPr>
              <w:rPr>
                <w:highlight w:val="yellow"/>
              </w:rPr>
            </w:pPr>
            <w:r w:rsidRPr="00331BA5">
              <w:t xml:space="preserve">Tiesiskā regulējuma </w:t>
            </w:r>
            <w:r>
              <w:t>ietekme uz tautsaimniecību un administratīvo slogu</w:t>
            </w:r>
          </w:p>
        </w:tc>
        <w:tc>
          <w:tcPr>
            <w:tcW w:w="6580" w:type="dxa"/>
            <w:shd w:val="clear" w:color="auto" w:fill="auto"/>
          </w:tcPr>
          <w:p w14:paraId="24646D94" w14:textId="77777777" w:rsidR="00792DCA" w:rsidRPr="00FC5424" w:rsidRDefault="00E054F2" w:rsidP="00321E0D">
            <w:pPr>
              <w:jc w:val="both"/>
              <w:rPr>
                <w:szCs w:val="28"/>
              </w:rPr>
            </w:pPr>
            <w:r>
              <w:rPr>
                <w:szCs w:val="28"/>
              </w:rPr>
              <w:t>Noteikumu projekts mazi</w:t>
            </w:r>
            <w:r w:rsidR="00C6407D">
              <w:rPr>
                <w:szCs w:val="28"/>
              </w:rPr>
              <w:t xml:space="preserve">nās administratīvo slogu, tā kā tiks samazināts Elektrisko un elektronisko iekārtu ražotāju reģistrā iesniedzamo ziņojumu iesniegšanas biežums. </w:t>
            </w:r>
          </w:p>
        </w:tc>
      </w:tr>
      <w:tr w:rsidR="00792DCA" w:rsidRPr="00FB41DC" w14:paraId="72EB5D3D" w14:textId="77777777" w:rsidTr="00DD3CC2">
        <w:tc>
          <w:tcPr>
            <w:tcW w:w="567" w:type="dxa"/>
          </w:tcPr>
          <w:p w14:paraId="2ED66A0F" w14:textId="77777777" w:rsidR="00792DCA" w:rsidRPr="00FB41DC" w:rsidRDefault="00792DCA" w:rsidP="00321E0D">
            <w:pPr>
              <w:jc w:val="center"/>
            </w:pPr>
            <w:r>
              <w:t>3</w:t>
            </w:r>
            <w:r w:rsidRPr="00FB41DC">
              <w:t>.</w:t>
            </w:r>
          </w:p>
        </w:tc>
        <w:tc>
          <w:tcPr>
            <w:tcW w:w="2351" w:type="dxa"/>
          </w:tcPr>
          <w:p w14:paraId="72AF8A0D" w14:textId="77777777" w:rsidR="00792DCA" w:rsidRPr="00FB41DC" w:rsidRDefault="00792DCA" w:rsidP="00321E0D">
            <w:r w:rsidRPr="00FB41DC">
              <w:t>Administratīvo izmaksu monetārs novērtējums</w:t>
            </w:r>
          </w:p>
        </w:tc>
        <w:tc>
          <w:tcPr>
            <w:tcW w:w="6580" w:type="dxa"/>
          </w:tcPr>
          <w:p w14:paraId="424DF920" w14:textId="77777777" w:rsidR="00792DCA" w:rsidRDefault="001C3F0A" w:rsidP="00792DCA">
            <w:r>
              <w:t>Noteikumu projekts šo jomu neskar, tā kā netiek ieviestas jaunas administratīvās procedūras.</w:t>
            </w:r>
          </w:p>
          <w:p w14:paraId="445B0569" w14:textId="77777777" w:rsidR="00792DCA" w:rsidRPr="00FB41DC" w:rsidRDefault="00792DCA" w:rsidP="00792DCA"/>
        </w:tc>
      </w:tr>
      <w:tr w:rsidR="00792DCA" w:rsidRPr="00FB41DC" w14:paraId="48C56876" w14:textId="77777777" w:rsidTr="00DD3CC2">
        <w:tc>
          <w:tcPr>
            <w:tcW w:w="567" w:type="dxa"/>
          </w:tcPr>
          <w:p w14:paraId="4A64F408" w14:textId="77777777" w:rsidR="00792DCA" w:rsidRPr="00FB41DC" w:rsidRDefault="00792DCA" w:rsidP="00321E0D">
            <w:pPr>
              <w:jc w:val="center"/>
            </w:pPr>
            <w:r>
              <w:t>4</w:t>
            </w:r>
            <w:r w:rsidRPr="00FB41DC">
              <w:t>.</w:t>
            </w:r>
          </w:p>
        </w:tc>
        <w:tc>
          <w:tcPr>
            <w:tcW w:w="2351" w:type="dxa"/>
          </w:tcPr>
          <w:p w14:paraId="1DF2AEF3" w14:textId="77777777" w:rsidR="00792DCA" w:rsidRPr="00FB41DC" w:rsidRDefault="00792DCA" w:rsidP="00321E0D">
            <w:r w:rsidRPr="00FB41DC">
              <w:t>Cita informācija</w:t>
            </w:r>
          </w:p>
        </w:tc>
        <w:tc>
          <w:tcPr>
            <w:tcW w:w="6580" w:type="dxa"/>
          </w:tcPr>
          <w:p w14:paraId="022E642B" w14:textId="77777777" w:rsidR="00792DCA" w:rsidRPr="00FB41DC" w:rsidRDefault="00792DCA" w:rsidP="00321E0D">
            <w:pPr>
              <w:jc w:val="both"/>
            </w:pPr>
            <w:r>
              <w:t>Nav</w:t>
            </w:r>
            <w:r w:rsidR="00DE2C9F">
              <w:t>.</w:t>
            </w:r>
          </w:p>
        </w:tc>
      </w:tr>
    </w:tbl>
    <w:p w14:paraId="58456277" w14:textId="77777777" w:rsidR="00792DCA" w:rsidRPr="00FB41DC" w:rsidRDefault="00792DCA" w:rsidP="00792DCA"/>
    <w:tbl>
      <w:tblPr>
        <w:tblW w:w="94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26"/>
        <w:gridCol w:w="3118"/>
        <w:gridCol w:w="5869"/>
      </w:tblGrid>
      <w:tr w:rsidR="00792DCA" w:rsidRPr="00FB41DC" w14:paraId="2B840C5F" w14:textId="77777777" w:rsidTr="00321E0D">
        <w:trPr>
          <w:jc w:val="center"/>
        </w:trPr>
        <w:tc>
          <w:tcPr>
            <w:tcW w:w="9413" w:type="dxa"/>
            <w:gridSpan w:val="3"/>
            <w:tcMar>
              <w:top w:w="57" w:type="dxa"/>
              <w:left w:w="57" w:type="dxa"/>
              <w:bottom w:w="57" w:type="dxa"/>
              <w:right w:w="57" w:type="dxa"/>
            </w:tcMar>
          </w:tcPr>
          <w:p w14:paraId="78DF59C6" w14:textId="77777777" w:rsidR="00792DCA" w:rsidRPr="00FB41DC" w:rsidRDefault="00792DCA" w:rsidP="00321E0D">
            <w:pPr>
              <w:pStyle w:val="naisnod"/>
              <w:spacing w:before="0" w:after="0"/>
              <w:ind w:left="57" w:right="57"/>
            </w:pPr>
            <w:r w:rsidRPr="00FB41DC">
              <w:t xml:space="preserve">VI. Sabiedrības līdzdalība un </w:t>
            </w:r>
            <w:r>
              <w:t>komunikācijas aktivitātes</w:t>
            </w:r>
          </w:p>
        </w:tc>
      </w:tr>
      <w:tr w:rsidR="009E0E14" w:rsidRPr="00FB41DC" w14:paraId="0E586B03" w14:textId="77777777" w:rsidTr="00321E0D">
        <w:trPr>
          <w:trHeight w:val="553"/>
          <w:jc w:val="center"/>
        </w:trPr>
        <w:tc>
          <w:tcPr>
            <w:tcW w:w="426" w:type="dxa"/>
            <w:tcMar>
              <w:top w:w="57" w:type="dxa"/>
              <w:left w:w="57" w:type="dxa"/>
              <w:bottom w:w="57" w:type="dxa"/>
              <w:right w:w="57" w:type="dxa"/>
            </w:tcMar>
          </w:tcPr>
          <w:p w14:paraId="03DB73B4" w14:textId="77777777" w:rsidR="009E0E14" w:rsidRPr="00FB41DC" w:rsidRDefault="009E0E14" w:rsidP="009E0E14">
            <w:pPr>
              <w:pStyle w:val="naiskr"/>
              <w:spacing w:before="0" w:after="0"/>
              <w:ind w:left="57" w:right="57"/>
              <w:rPr>
                <w:bCs/>
              </w:rPr>
            </w:pPr>
            <w:r w:rsidRPr="00FB41DC">
              <w:rPr>
                <w:bCs/>
              </w:rPr>
              <w:t>1.</w:t>
            </w:r>
          </w:p>
        </w:tc>
        <w:tc>
          <w:tcPr>
            <w:tcW w:w="3118" w:type="dxa"/>
            <w:tcMar>
              <w:top w:w="57" w:type="dxa"/>
              <w:left w:w="57" w:type="dxa"/>
              <w:bottom w:w="57" w:type="dxa"/>
              <w:right w:w="57" w:type="dxa"/>
            </w:tcMar>
          </w:tcPr>
          <w:p w14:paraId="14F2760B" w14:textId="77777777" w:rsidR="009E0E14" w:rsidRPr="00FB41DC" w:rsidRDefault="009E0E14" w:rsidP="009E0E14">
            <w:pPr>
              <w:pStyle w:val="naiskr"/>
              <w:tabs>
                <w:tab w:val="left" w:pos="170"/>
              </w:tabs>
              <w:spacing w:before="0" w:after="0"/>
              <w:ind w:left="57" w:right="57"/>
            </w:pPr>
            <w:r>
              <w:t>Plānotās s</w:t>
            </w:r>
            <w:r w:rsidRPr="00FB41DC">
              <w:t xml:space="preserve">abiedrības </w:t>
            </w:r>
            <w:r>
              <w:t xml:space="preserve">līdzdalības un komunikācijas aktivitātes saistībā ar projektu </w:t>
            </w:r>
          </w:p>
        </w:tc>
        <w:tc>
          <w:tcPr>
            <w:tcW w:w="5869" w:type="dxa"/>
            <w:tcMar>
              <w:top w:w="57" w:type="dxa"/>
              <w:left w:w="57" w:type="dxa"/>
              <w:bottom w:w="57" w:type="dxa"/>
              <w:right w:w="57" w:type="dxa"/>
            </w:tcMar>
          </w:tcPr>
          <w:p w14:paraId="34A73992" w14:textId="6149C8A4" w:rsidR="009E0E14" w:rsidRPr="00FB41DC" w:rsidRDefault="009E0E14" w:rsidP="00D6212A">
            <w:pPr>
              <w:pStyle w:val="naiskr"/>
              <w:spacing w:before="0" w:after="0"/>
              <w:ind w:left="57" w:right="57"/>
              <w:jc w:val="both"/>
            </w:pPr>
            <w:r>
              <w:t xml:space="preserve">Noteikumu projekts no 2016.gada </w:t>
            </w:r>
            <w:r w:rsidR="00D6212A">
              <w:t xml:space="preserve">1.decembra </w:t>
            </w:r>
            <w:r w:rsidRPr="009B45E5">
              <w:t xml:space="preserve"> </w:t>
            </w:r>
            <w:r>
              <w:t xml:space="preserve">ir pieejams VARAM </w:t>
            </w:r>
            <w:r w:rsidR="00F21D1B">
              <w:t>tīmekļa vietnē</w:t>
            </w:r>
            <w:r>
              <w:t xml:space="preserve"> </w:t>
            </w:r>
            <w:hyperlink r:id="rId7" w:history="1">
              <w:r w:rsidRPr="00EB4802">
                <w:rPr>
                  <w:rStyle w:val="Hyperlnk"/>
                </w:rPr>
                <w:t>www.varam.gov.lv</w:t>
              </w:r>
            </w:hyperlink>
            <w:r>
              <w:t>, līdz ar to ieinteresētajām personām ir iespēja izteikt viedokli un sniegt priekšlikumus.</w:t>
            </w:r>
          </w:p>
        </w:tc>
      </w:tr>
      <w:tr w:rsidR="009E0E14" w:rsidRPr="00FB41DC" w14:paraId="41547D68" w14:textId="77777777" w:rsidTr="00321E0D">
        <w:trPr>
          <w:trHeight w:val="339"/>
          <w:jc w:val="center"/>
        </w:trPr>
        <w:tc>
          <w:tcPr>
            <w:tcW w:w="426" w:type="dxa"/>
            <w:tcMar>
              <w:top w:w="57" w:type="dxa"/>
              <w:left w:w="57" w:type="dxa"/>
              <w:bottom w:w="57" w:type="dxa"/>
              <w:right w:w="57" w:type="dxa"/>
            </w:tcMar>
          </w:tcPr>
          <w:p w14:paraId="710E04D0" w14:textId="77777777" w:rsidR="009E0E14" w:rsidRPr="00FB41DC" w:rsidRDefault="009E0E14" w:rsidP="009E0E14">
            <w:pPr>
              <w:pStyle w:val="naiskr"/>
              <w:spacing w:before="0" w:after="0"/>
              <w:ind w:left="57" w:right="57"/>
              <w:rPr>
                <w:bCs/>
              </w:rPr>
            </w:pPr>
            <w:r w:rsidRPr="00FB41DC">
              <w:rPr>
                <w:bCs/>
              </w:rPr>
              <w:t>2.</w:t>
            </w:r>
          </w:p>
        </w:tc>
        <w:tc>
          <w:tcPr>
            <w:tcW w:w="3118" w:type="dxa"/>
            <w:tcMar>
              <w:top w:w="57" w:type="dxa"/>
              <w:left w:w="57" w:type="dxa"/>
              <w:bottom w:w="57" w:type="dxa"/>
              <w:right w:w="57" w:type="dxa"/>
            </w:tcMar>
          </w:tcPr>
          <w:p w14:paraId="41DB9EA4" w14:textId="77777777" w:rsidR="009E0E14" w:rsidRPr="00FB41DC" w:rsidRDefault="009E0E14" w:rsidP="009E0E14">
            <w:pPr>
              <w:pStyle w:val="naiskr"/>
              <w:spacing w:before="0" w:after="0"/>
              <w:ind w:left="57" w:right="57"/>
            </w:pPr>
            <w:r w:rsidRPr="00FB41DC">
              <w:t xml:space="preserve">Sabiedrības līdzdalība projekta izstrādē </w:t>
            </w:r>
          </w:p>
        </w:tc>
        <w:tc>
          <w:tcPr>
            <w:tcW w:w="5869" w:type="dxa"/>
            <w:tcMar>
              <w:top w:w="57" w:type="dxa"/>
              <w:left w:w="57" w:type="dxa"/>
              <w:bottom w:w="57" w:type="dxa"/>
              <w:right w:w="57" w:type="dxa"/>
            </w:tcMar>
          </w:tcPr>
          <w:p w14:paraId="2161D5D1" w14:textId="77777777" w:rsidR="009E0E14" w:rsidRPr="00FB41DC" w:rsidRDefault="009E0E14" w:rsidP="009E0E14">
            <w:pPr>
              <w:pStyle w:val="naiskr"/>
              <w:spacing w:before="0" w:after="0"/>
              <w:ind w:right="57"/>
              <w:jc w:val="both"/>
            </w:pPr>
            <w:r>
              <w:t>Sadaļa tiks aizpildīta pēc sabiedrības līdzdalības rezultātu saņemšanas.</w:t>
            </w:r>
          </w:p>
        </w:tc>
      </w:tr>
      <w:tr w:rsidR="009E0E14" w:rsidRPr="00FB41DC" w14:paraId="06B1A013" w14:textId="77777777" w:rsidTr="00321E0D">
        <w:trPr>
          <w:trHeight w:val="375"/>
          <w:jc w:val="center"/>
        </w:trPr>
        <w:tc>
          <w:tcPr>
            <w:tcW w:w="426" w:type="dxa"/>
            <w:tcMar>
              <w:top w:w="57" w:type="dxa"/>
              <w:left w:w="57" w:type="dxa"/>
              <w:bottom w:w="57" w:type="dxa"/>
              <w:right w:w="57" w:type="dxa"/>
            </w:tcMar>
          </w:tcPr>
          <w:p w14:paraId="615BC763" w14:textId="77777777" w:rsidR="009E0E14" w:rsidRPr="00FB41DC" w:rsidRDefault="009E0E14" w:rsidP="009E0E14">
            <w:pPr>
              <w:pStyle w:val="naiskr"/>
              <w:spacing w:before="0" w:after="0"/>
              <w:ind w:left="57" w:right="57"/>
              <w:rPr>
                <w:bCs/>
              </w:rPr>
            </w:pPr>
            <w:r w:rsidRPr="00FB41DC">
              <w:rPr>
                <w:bCs/>
              </w:rPr>
              <w:t>3.</w:t>
            </w:r>
          </w:p>
        </w:tc>
        <w:tc>
          <w:tcPr>
            <w:tcW w:w="3118" w:type="dxa"/>
            <w:tcMar>
              <w:top w:w="57" w:type="dxa"/>
              <w:left w:w="57" w:type="dxa"/>
              <w:bottom w:w="57" w:type="dxa"/>
              <w:right w:w="57" w:type="dxa"/>
            </w:tcMar>
          </w:tcPr>
          <w:p w14:paraId="18FCFB2E" w14:textId="77777777" w:rsidR="009E0E14" w:rsidRPr="00FB41DC" w:rsidRDefault="009E0E14" w:rsidP="009E0E14">
            <w:pPr>
              <w:pStyle w:val="naiskr"/>
              <w:spacing w:before="0" w:after="0"/>
              <w:ind w:left="57" w:right="57"/>
            </w:pPr>
            <w:r w:rsidRPr="00FB41DC">
              <w:t xml:space="preserve">Sabiedrības līdzdalības rezultāti </w:t>
            </w:r>
          </w:p>
        </w:tc>
        <w:tc>
          <w:tcPr>
            <w:tcW w:w="5869" w:type="dxa"/>
            <w:tcMar>
              <w:top w:w="57" w:type="dxa"/>
              <w:left w:w="57" w:type="dxa"/>
              <w:bottom w:w="57" w:type="dxa"/>
              <w:right w:w="57" w:type="dxa"/>
            </w:tcMar>
          </w:tcPr>
          <w:p w14:paraId="3C3CE1DD" w14:textId="77777777" w:rsidR="009E0E14" w:rsidRPr="00FB41DC" w:rsidRDefault="009E0E14" w:rsidP="009E0E14">
            <w:pPr>
              <w:pStyle w:val="naiskr"/>
              <w:spacing w:before="0" w:after="0"/>
              <w:ind w:right="57"/>
              <w:jc w:val="both"/>
            </w:pPr>
            <w:r>
              <w:t>Sadaļa tiks aizpildīta pēc sabiedrības līdzdalības rezultātu saņemšanas.</w:t>
            </w:r>
          </w:p>
        </w:tc>
      </w:tr>
      <w:tr w:rsidR="009E0E14" w:rsidRPr="00FB41DC" w14:paraId="04BCA724" w14:textId="77777777" w:rsidTr="00321E0D">
        <w:trPr>
          <w:trHeight w:val="375"/>
          <w:jc w:val="center"/>
        </w:trPr>
        <w:tc>
          <w:tcPr>
            <w:tcW w:w="426" w:type="dxa"/>
            <w:tcMar>
              <w:top w:w="57" w:type="dxa"/>
              <w:left w:w="57" w:type="dxa"/>
              <w:bottom w:w="57" w:type="dxa"/>
              <w:right w:w="57" w:type="dxa"/>
            </w:tcMar>
          </w:tcPr>
          <w:p w14:paraId="6756A2A3" w14:textId="77777777" w:rsidR="009E0E14" w:rsidRPr="00FB41DC" w:rsidRDefault="009E0E14" w:rsidP="009E0E14">
            <w:pPr>
              <w:pStyle w:val="naiskr"/>
              <w:spacing w:before="0" w:after="0"/>
              <w:ind w:left="57" w:right="57"/>
              <w:rPr>
                <w:bCs/>
              </w:rPr>
            </w:pPr>
            <w:r>
              <w:rPr>
                <w:bCs/>
              </w:rPr>
              <w:t>4</w:t>
            </w:r>
            <w:r w:rsidRPr="00FB41DC">
              <w:rPr>
                <w:bCs/>
              </w:rPr>
              <w:t>.</w:t>
            </w:r>
          </w:p>
        </w:tc>
        <w:tc>
          <w:tcPr>
            <w:tcW w:w="3118" w:type="dxa"/>
            <w:tcMar>
              <w:top w:w="57" w:type="dxa"/>
              <w:left w:w="57" w:type="dxa"/>
              <w:bottom w:w="57" w:type="dxa"/>
              <w:right w:w="57" w:type="dxa"/>
            </w:tcMar>
          </w:tcPr>
          <w:p w14:paraId="01AA27BA" w14:textId="77777777" w:rsidR="009E0E14" w:rsidRPr="00FB41DC" w:rsidRDefault="009E0E14" w:rsidP="009E0E14">
            <w:pPr>
              <w:pStyle w:val="naiskr"/>
              <w:spacing w:before="0" w:after="0"/>
              <w:ind w:left="57" w:right="57"/>
            </w:pPr>
            <w:r w:rsidRPr="00FB41DC">
              <w:t>Cita informācija</w:t>
            </w:r>
          </w:p>
        </w:tc>
        <w:tc>
          <w:tcPr>
            <w:tcW w:w="5869" w:type="dxa"/>
            <w:tcMar>
              <w:top w:w="57" w:type="dxa"/>
              <w:left w:w="57" w:type="dxa"/>
              <w:bottom w:w="57" w:type="dxa"/>
              <w:right w:w="57" w:type="dxa"/>
            </w:tcMar>
          </w:tcPr>
          <w:p w14:paraId="77C2BC3F" w14:textId="77777777" w:rsidR="009E0E14" w:rsidRPr="00FB41DC" w:rsidRDefault="009E0E14" w:rsidP="009E0E14">
            <w:pPr>
              <w:pStyle w:val="naiskr"/>
              <w:spacing w:before="0" w:after="0"/>
              <w:ind w:right="57"/>
              <w:jc w:val="both"/>
            </w:pPr>
            <w:r>
              <w:t>Nav.</w:t>
            </w:r>
          </w:p>
        </w:tc>
      </w:tr>
    </w:tbl>
    <w:p w14:paraId="5464BE75" w14:textId="77777777" w:rsidR="00792DCA" w:rsidRDefault="00792DCA" w:rsidP="00792DCA"/>
    <w:p w14:paraId="37EB790E" w14:textId="77777777" w:rsidR="00792DCA" w:rsidRPr="00FB41DC" w:rsidRDefault="00792DCA" w:rsidP="00792DCA"/>
    <w:tbl>
      <w:tblPr>
        <w:tblW w:w="94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486"/>
        <w:gridCol w:w="3118"/>
        <w:gridCol w:w="5870"/>
      </w:tblGrid>
      <w:tr w:rsidR="00792DCA" w:rsidRPr="00FB41DC" w14:paraId="2AB0AF96" w14:textId="77777777" w:rsidTr="00321E0D">
        <w:trPr>
          <w:jc w:val="center"/>
        </w:trPr>
        <w:tc>
          <w:tcPr>
            <w:tcW w:w="9474" w:type="dxa"/>
            <w:gridSpan w:val="3"/>
            <w:tcBorders>
              <w:top w:val="single" w:sz="4" w:space="0" w:color="auto"/>
            </w:tcBorders>
            <w:tcMar>
              <w:top w:w="57" w:type="dxa"/>
              <w:left w:w="57" w:type="dxa"/>
              <w:bottom w:w="57" w:type="dxa"/>
              <w:right w:w="57" w:type="dxa"/>
            </w:tcMar>
          </w:tcPr>
          <w:p w14:paraId="5F8FCCCD" w14:textId="77777777" w:rsidR="00792DCA" w:rsidRPr="00FB41DC" w:rsidRDefault="00792DCA" w:rsidP="00321E0D">
            <w:pPr>
              <w:pStyle w:val="naisnod"/>
              <w:spacing w:before="0" w:after="0"/>
              <w:ind w:left="57" w:right="57"/>
            </w:pPr>
            <w:r w:rsidRPr="00FB41DC">
              <w:t>VII. Tiesību akta projekta izpildes nodrošināšana un tās ietekme uz institūcijām</w:t>
            </w:r>
          </w:p>
        </w:tc>
      </w:tr>
      <w:tr w:rsidR="00792DCA" w:rsidRPr="00FB41DC" w14:paraId="73631B48" w14:textId="77777777" w:rsidTr="00321E0D">
        <w:trPr>
          <w:trHeight w:val="427"/>
          <w:jc w:val="center"/>
        </w:trPr>
        <w:tc>
          <w:tcPr>
            <w:tcW w:w="486" w:type="dxa"/>
            <w:tcMar>
              <w:top w:w="57" w:type="dxa"/>
              <w:left w:w="57" w:type="dxa"/>
              <w:bottom w:w="57" w:type="dxa"/>
              <w:right w:w="57" w:type="dxa"/>
            </w:tcMar>
          </w:tcPr>
          <w:p w14:paraId="574CE289" w14:textId="77777777" w:rsidR="00792DCA" w:rsidRPr="00FB41DC" w:rsidRDefault="00792DCA" w:rsidP="00321E0D">
            <w:pPr>
              <w:pStyle w:val="naisnod"/>
              <w:spacing w:before="0" w:after="0"/>
              <w:ind w:left="57" w:right="57"/>
              <w:jc w:val="left"/>
              <w:rPr>
                <w:b w:val="0"/>
              </w:rPr>
            </w:pPr>
            <w:r w:rsidRPr="00FB41DC">
              <w:rPr>
                <w:b w:val="0"/>
              </w:rPr>
              <w:t>1.</w:t>
            </w:r>
          </w:p>
        </w:tc>
        <w:tc>
          <w:tcPr>
            <w:tcW w:w="3118" w:type="dxa"/>
            <w:tcMar>
              <w:top w:w="57" w:type="dxa"/>
              <w:left w:w="57" w:type="dxa"/>
              <w:bottom w:w="57" w:type="dxa"/>
              <w:right w:w="57" w:type="dxa"/>
            </w:tcMar>
          </w:tcPr>
          <w:p w14:paraId="3B9B81D4" w14:textId="77777777" w:rsidR="00792DCA" w:rsidRPr="00FB41DC" w:rsidRDefault="00792DCA" w:rsidP="00321E0D">
            <w:pPr>
              <w:pStyle w:val="naisf"/>
              <w:spacing w:before="0" w:after="0"/>
              <w:ind w:left="57" w:right="57" w:firstLine="0"/>
              <w:jc w:val="left"/>
            </w:pPr>
            <w:r w:rsidRPr="00FB41DC">
              <w:t xml:space="preserve">Projekta izpildē iesaistītās institūcijas </w:t>
            </w:r>
          </w:p>
        </w:tc>
        <w:tc>
          <w:tcPr>
            <w:tcW w:w="5870" w:type="dxa"/>
            <w:tcMar>
              <w:top w:w="57" w:type="dxa"/>
              <w:left w:w="57" w:type="dxa"/>
              <w:bottom w:w="57" w:type="dxa"/>
              <w:right w:w="57" w:type="dxa"/>
            </w:tcMar>
          </w:tcPr>
          <w:p w14:paraId="57D0769C" w14:textId="77777777" w:rsidR="00792DCA" w:rsidRPr="00563D3C" w:rsidRDefault="00792DCA" w:rsidP="00321E0D">
            <w:pPr>
              <w:pStyle w:val="naisc"/>
              <w:spacing w:before="0" w:after="0"/>
              <w:jc w:val="both"/>
            </w:pPr>
            <w:r>
              <w:t>VARAM, LETERA</w:t>
            </w:r>
          </w:p>
        </w:tc>
      </w:tr>
      <w:tr w:rsidR="00792DCA" w:rsidRPr="00FB41DC" w14:paraId="5C37D606" w14:textId="77777777" w:rsidTr="00321E0D">
        <w:trPr>
          <w:trHeight w:val="463"/>
          <w:jc w:val="center"/>
        </w:trPr>
        <w:tc>
          <w:tcPr>
            <w:tcW w:w="486" w:type="dxa"/>
            <w:tcMar>
              <w:top w:w="57" w:type="dxa"/>
              <w:left w:w="57" w:type="dxa"/>
              <w:bottom w:w="57" w:type="dxa"/>
              <w:right w:w="57" w:type="dxa"/>
            </w:tcMar>
          </w:tcPr>
          <w:p w14:paraId="3C1A867A" w14:textId="77777777" w:rsidR="00792DCA" w:rsidRPr="00FB41DC" w:rsidRDefault="00792DCA" w:rsidP="00321E0D">
            <w:pPr>
              <w:pStyle w:val="naisnod"/>
              <w:spacing w:before="0" w:after="0"/>
              <w:ind w:left="57" w:right="57"/>
              <w:jc w:val="left"/>
              <w:rPr>
                <w:b w:val="0"/>
              </w:rPr>
            </w:pPr>
            <w:r w:rsidRPr="00FB41DC">
              <w:rPr>
                <w:b w:val="0"/>
              </w:rPr>
              <w:lastRenderedPageBreak/>
              <w:t>2.</w:t>
            </w:r>
          </w:p>
        </w:tc>
        <w:tc>
          <w:tcPr>
            <w:tcW w:w="3118" w:type="dxa"/>
            <w:tcMar>
              <w:top w:w="57" w:type="dxa"/>
              <w:left w:w="57" w:type="dxa"/>
              <w:bottom w:w="57" w:type="dxa"/>
              <w:right w:w="57" w:type="dxa"/>
            </w:tcMar>
          </w:tcPr>
          <w:p w14:paraId="60A5D0C2" w14:textId="77777777" w:rsidR="00792DCA" w:rsidRPr="00FB41DC" w:rsidRDefault="00792DCA" w:rsidP="00321E0D">
            <w:pPr>
              <w:pStyle w:val="naisf"/>
              <w:spacing w:before="0" w:after="0"/>
              <w:ind w:left="57" w:right="57" w:firstLine="0"/>
              <w:jc w:val="left"/>
            </w:pPr>
            <w:r w:rsidRPr="00FB41DC">
              <w:t xml:space="preserve">Projekta izpildes ietekme uz pārvaldes funkcijām </w:t>
            </w:r>
            <w:r>
              <w:t xml:space="preserve">un </w:t>
            </w:r>
            <w:r w:rsidRPr="00FB41DC">
              <w:t>institucionālo struktūru</w:t>
            </w:r>
          </w:p>
        </w:tc>
        <w:tc>
          <w:tcPr>
            <w:tcW w:w="5870" w:type="dxa"/>
            <w:tcMar>
              <w:top w:w="57" w:type="dxa"/>
              <w:left w:w="57" w:type="dxa"/>
              <w:bottom w:w="57" w:type="dxa"/>
              <w:right w:w="57" w:type="dxa"/>
            </w:tcMar>
          </w:tcPr>
          <w:p w14:paraId="54468588" w14:textId="77777777" w:rsidR="00792DCA" w:rsidRDefault="00792DCA" w:rsidP="00321E0D">
            <w:pPr>
              <w:pStyle w:val="naisnod"/>
              <w:spacing w:before="0" w:after="0"/>
              <w:ind w:right="57"/>
              <w:jc w:val="both"/>
              <w:rPr>
                <w:b w:val="0"/>
              </w:rPr>
            </w:pPr>
            <w:r>
              <w:rPr>
                <w:b w:val="0"/>
              </w:rPr>
              <w:t>Noteikumu projekts neietekmē iesaistīto institūciju funkcijas un uzdevumus.</w:t>
            </w:r>
          </w:p>
          <w:p w14:paraId="307D9131" w14:textId="77777777" w:rsidR="00792DCA" w:rsidRPr="00F862E3" w:rsidRDefault="00792DCA" w:rsidP="00321E0D">
            <w:pPr>
              <w:pStyle w:val="naisnod"/>
              <w:spacing w:before="0" w:after="0"/>
              <w:ind w:right="57"/>
              <w:jc w:val="both"/>
              <w:rPr>
                <w:b w:val="0"/>
              </w:rPr>
            </w:pPr>
            <w:r>
              <w:rPr>
                <w:b w:val="0"/>
              </w:rPr>
              <w:t>Nav paredzēta jauno institūciju izveide/likvidēšana/reorganizēšana.</w:t>
            </w:r>
          </w:p>
        </w:tc>
      </w:tr>
      <w:tr w:rsidR="00792DCA" w:rsidRPr="00FB41DC" w14:paraId="70C44F27" w14:textId="77777777" w:rsidTr="00321E0D">
        <w:trPr>
          <w:trHeight w:val="476"/>
          <w:jc w:val="center"/>
        </w:trPr>
        <w:tc>
          <w:tcPr>
            <w:tcW w:w="486" w:type="dxa"/>
            <w:tcMar>
              <w:top w:w="57" w:type="dxa"/>
              <w:left w:w="57" w:type="dxa"/>
              <w:bottom w:w="57" w:type="dxa"/>
              <w:right w:w="57" w:type="dxa"/>
            </w:tcMar>
          </w:tcPr>
          <w:p w14:paraId="651A7A1F" w14:textId="77777777" w:rsidR="00792DCA" w:rsidRPr="00FB41DC" w:rsidRDefault="00792DCA" w:rsidP="00321E0D">
            <w:pPr>
              <w:pStyle w:val="naiskr"/>
              <w:spacing w:before="0" w:after="0"/>
              <w:ind w:left="57" w:right="57"/>
            </w:pPr>
            <w:r>
              <w:t>3</w:t>
            </w:r>
            <w:r w:rsidRPr="00FB41DC">
              <w:t>.</w:t>
            </w:r>
          </w:p>
        </w:tc>
        <w:tc>
          <w:tcPr>
            <w:tcW w:w="3118" w:type="dxa"/>
            <w:tcMar>
              <w:top w:w="57" w:type="dxa"/>
              <w:left w:w="57" w:type="dxa"/>
              <w:bottom w:w="57" w:type="dxa"/>
              <w:right w:w="57" w:type="dxa"/>
            </w:tcMar>
          </w:tcPr>
          <w:p w14:paraId="43CBDE37" w14:textId="77777777" w:rsidR="00792DCA" w:rsidRPr="00FB41DC" w:rsidRDefault="00792DCA" w:rsidP="00321E0D">
            <w:pPr>
              <w:pStyle w:val="naiskr"/>
              <w:spacing w:before="0" w:after="0"/>
              <w:ind w:left="57" w:right="57"/>
            </w:pPr>
            <w:r w:rsidRPr="00FB41DC">
              <w:t>Cita informācija</w:t>
            </w:r>
          </w:p>
        </w:tc>
        <w:tc>
          <w:tcPr>
            <w:tcW w:w="5870" w:type="dxa"/>
            <w:tcMar>
              <w:top w:w="57" w:type="dxa"/>
              <w:left w:w="57" w:type="dxa"/>
              <w:bottom w:w="57" w:type="dxa"/>
              <w:right w:w="57" w:type="dxa"/>
            </w:tcMar>
          </w:tcPr>
          <w:p w14:paraId="7F18AD7B" w14:textId="77777777" w:rsidR="00792DCA" w:rsidRPr="00FB41DC" w:rsidRDefault="00792DCA" w:rsidP="00321E0D">
            <w:pPr>
              <w:pStyle w:val="naiskr"/>
              <w:spacing w:before="0" w:after="0"/>
              <w:ind w:left="57" w:right="57"/>
            </w:pPr>
            <w:r>
              <w:t>Nav</w:t>
            </w:r>
            <w:r w:rsidR="00194AF7">
              <w:t>.</w:t>
            </w:r>
          </w:p>
        </w:tc>
      </w:tr>
    </w:tbl>
    <w:p w14:paraId="361D7498" w14:textId="77777777" w:rsidR="00792DCA" w:rsidRDefault="00792DCA" w:rsidP="00792DCA">
      <w:pPr>
        <w:pStyle w:val="naisf"/>
        <w:spacing w:before="0" w:after="0"/>
        <w:ind w:firstLine="374"/>
        <w:rPr>
          <w:b/>
        </w:rPr>
      </w:pPr>
    </w:p>
    <w:p w14:paraId="230EB493" w14:textId="3A19FA0B" w:rsidR="00792DCA" w:rsidRPr="00EE5F73" w:rsidRDefault="008E6826" w:rsidP="00792DCA">
      <w:pPr>
        <w:pStyle w:val="naisf"/>
        <w:spacing w:before="0" w:after="0"/>
        <w:ind w:firstLine="374"/>
        <w:rPr>
          <w:i/>
        </w:rPr>
      </w:pPr>
      <w:r>
        <w:rPr>
          <w:i/>
        </w:rPr>
        <w:t>Anotācijas III</w:t>
      </w:r>
      <w:r w:rsidR="00C6407D">
        <w:rPr>
          <w:i/>
        </w:rPr>
        <w:t xml:space="preserve">, </w:t>
      </w:r>
      <w:r>
        <w:rPr>
          <w:i/>
        </w:rPr>
        <w:t>I</w:t>
      </w:r>
      <w:r w:rsidR="00792DCA" w:rsidRPr="00EE5F73">
        <w:rPr>
          <w:i/>
        </w:rPr>
        <w:t>V</w:t>
      </w:r>
      <w:r w:rsidR="00C6407D">
        <w:rPr>
          <w:i/>
        </w:rPr>
        <w:t xml:space="preserve"> un V</w:t>
      </w:r>
      <w:r w:rsidR="00E73CC6">
        <w:rPr>
          <w:i/>
        </w:rPr>
        <w:t xml:space="preserve"> </w:t>
      </w:r>
      <w:r w:rsidR="00792DCA" w:rsidRPr="00EE5F73">
        <w:rPr>
          <w:i/>
        </w:rPr>
        <w:t>sadaļa – noteikumu projekts šo jomu neskar.</w:t>
      </w:r>
    </w:p>
    <w:p w14:paraId="06323E94" w14:textId="77777777" w:rsidR="00792DCA" w:rsidRPr="00ED433D" w:rsidRDefault="00792DCA" w:rsidP="00792DCA"/>
    <w:p w14:paraId="509758B4" w14:textId="77777777" w:rsidR="00792DCA" w:rsidRPr="00ED433D" w:rsidRDefault="00792DCA" w:rsidP="00792DCA">
      <w:r w:rsidRPr="00ED433D">
        <w:t>Iesniedzējs:</w:t>
      </w:r>
    </w:p>
    <w:p w14:paraId="5932E049" w14:textId="07A6A43F" w:rsidR="00792DCA" w:rsidRPr="00ED433D" w:rsidRDefault="00E73CC6" w:rsidP="00792DCA">
      <w:pPr>
        <w:pStyle w:val="tv2161"/>
        <w:spacing w:before="0" w:line="240" w:lineRule="auto"/>
        <w:ind w:firstLine="0"/>
        <w:jc w:val="both"/>
        <w:rPr>
          <w:rFonts w:ascii="Times New Roman" w:hAnsi="Times New Roman"/>
          <w:sz w:val="24"/>
          <w:szCs w:val="24"/>
        </w:rPr>
      </w:pPr>
      <w:r>
        <w:rPr>
          <w:rFonts w:ascii="Times New Roman" w:hAnsi="Times New Roman"/>
          <w:sz w:val="24"/>
          <w:szCs w:val="24"/>
        </w:rPr>
        <w:t>v</w:t>
      </w:r>
      <w:r w:rsidRPr="00ED433D">
        <w:rPr>
          <w:rFonts w:ascii="Times New Roman" w:hAnsi="Times New Roman"/>
          <w:sz w:val="24"/>
          <w:szCs w:val="24"/>
        </w:rPr>
        <w:t xml:space="preserve">ides </w:t>
      </w:r>
      <w:r w:rsidR="00792DCA" w:rsidRPr="00ED433D">
        <w:rPr>
          <w:rFonts w:ascii="Times New Roman" w:hAnsi="Times New Roman"/>
          <w:sz w:val="24"/>
          <w:szCs w:val="24"/>
        </w:rPr>
        <w:t xml:space="preserve">aizsardzības un </w:t>
      </w:r>
    </w:p>
    <w:p w14:paraId="0FD323C5" w14:textId="77777777" w:rsidR="00792DCA" w:rsidRDefault="00792DCA" w:rsidP="00792DCA">
      <w:r>
        <w:t>reģionālās attīstības ministrs</w:t>
      </w:r>
      <w:r>
        <w:tab/>
      </w:r>
      <w:r>
        <w:tab/>
      </w:r>
      <w:r>
        <w:tab/>
      </w:r>
      <w:r>
        <w:tab/>
      </w:r>
      <w:r>
        <w:tab/>
      </w:r>
      <w:r>
        <w:tab/>
        <w:t>K.Gerhards</w:t>
      </w:r>
    </w:p>
    <w:p w14:paraId="320FE87A" w14:textId="77777777" w:rsidR="00792DCA" w:rsidRDefault="00792DCA" w:rsidP="00792DCA"/>
    <w:p w14:paraId="275654BB" w14:textId="77777777" w:rsidR="00792DCA" w:rsidRDefault="00792DCA" w:rsidP="00792DCA"/>
    <w:p w14:paraId="35FD5D8E" w14:textId="77777777" w:rsidR="00792DCA" w:rsidRPr="00ED433D" w:rsidRDefault="00792DCA" w:rsidP="00792DCA">
      <w:r w:rsidRPr="00ED433D">
        <w:t>Vīza:</w:t>
      </w:r>
    </w:p>
    <w:p w14:paraId="53FADF56" w14:textId="53C35527" w:rsidR="00792DCA" w:rsidRPr="00DF5FC1" w:rsidRDefault="00E73CC6" w:rsidP="00792DCA">
      <w:bookmarkStart w:id="0" w:name="p2008"/>
      <w:bookmarkEnd w:id="0"/>
      <w:r>
        <w:t xml:space="preserve">valsts </w:t>
      </w:r>
      <w:r w:rsidR="00792DCA">
        <w:t>sekretārs</w:t>
      </w:r>
      <w:r w:rsidR="00792DCA">
        <w:tab/>
      </w:r>
      <w:r w:rsidR="00792DCA">
        <w:tab/>
      </w:r>
      <w:r w:rsidR="00792DCA">
        <w:tab/>
      </w:r>
      <w:r w:rsidR="00792DCA">
        <w:tab/>
      </w:r>
      <w:r w:rsidR="00792DCA">
        <w:tab/>
      </w:r>
      <w:r w:rsidR="00792DCA">
        <w:tab/>
      </w:r>
      <w:r w:rsidR="00792DCA">
        <w:tab/>
        <w:t>R.Muciņš</w:t>
      </w:r>
      <w:r w:rsidR="00792DCA">
        <w:tab/>
      </w:r>
      <w:r w:rsidR="00792DCA">
        <w:tab/>
      </w:r>
      <w:r w:rsidR="00792DCA">
        <w:tab/>
      </w:r>
      <w:r w:rsidR="00792DCA">
        <w:tab/>
      </w:r>
      <w:r w:rsidR="00792DCA">
        <w:tab/>
      </w:r>
      <w:r w:rsidR="00792DCA">
        <w:tab/>
      </w:r>
      <w:r w:rsidR="00792DCA">
        <w:tab/>
      </w:r>
    </w:p>
    <w:p w14:paraId="5A56BC69" w14:textId="77777777" w:rsidR="00792DCA" w:rsidRPr="00F01AAE" w:rsidRDefault="00792DCA" w:rsidP="00792DCA">
      <w:pPr>
        <w:pStyle w:val="tv2161"/>
        <w:spacing w:before="0" w:line="240" w:lineRule="auto"/>
        <w:ind w:firstLine="0"/>
        <w:jc w:val="both"/>
        <w:rPr>
          <w:rFonts w:ascii="Times New Roman" w:hAnsi="Times New Roman"/>
          <w:sz w:val="28"/>
          <w:szCs w:val="28"/>
        </w:rPr>
      </w:pPr>
      <w:r w:rsidRPr="00F01AAE">
        <w:rPr>
          <w:rFonts w:ascii="Times New Roman" w:hAnsi="Times New Roman"/>
          <w:sz w:val="28"/>
          <w:szCs w:val="28"/>
        </w:rPr>
        <w:t xml:space="preserve">                                                   </w:t>
      </w:r>
      <w:r w:rsidRPr="00F01AAE">
        <w:rPr>
          <w:rFonts w:ascii="Times New Roman" w:hAnsi="Times New Roman"/>
          <w:sz w:val="28"/>
          <w:szCs w:val="28"/>
        </w:rPr>
        <w:tab/>
        <w:t xml:space="preserve"> </w:t>
      </w:r>
    </w:p>
    <w:p w14:paraId="4C86DDA3" w14:textId="4F37A6F7" w:rsidR="00792DCA" w:rsidRPr="00507719" w:rsidRDefault="006B30F1" w:rsidP="00792DCA">
      <w:pPr>
        <w:rPr>
          <w:sz w:val="20"/>
          <w:szCs w:val="20"/>
        </w:rPr>
      </w:pPr>
      <w:r>
        <w:rPr>
          <w:sz w:val="20"/>
          <w:szCs w:val="20"/>
        </w:rPr>
        <w:t>12</w:t>
      </w:r>
      <w:r w:rsidR="00C6407D">
        <w:rPr>
          <w:sz w:val="20"/>
          <w:szCs w:val="20"/>
        </w:rPr>
        <w:t>.1</w:t>
      </w:r>
      <w:r>
        <w:rPr>
          <w:sz w:val="20"/>
          <w:szCs w:val="20"/>
        </w:rPr>
        <w:t>2</w:t>
      </w:r>
      <w:r w:rsidR="00792DCA">
        <w:rPr>
          <w:sz w:val="20"/>
          <w:szCs w:val="20"/>
        </w:rPr>
        <w:t>.2016. 09</w:t>
      </w:r>
      <w:r w:rsidR="00792DCA" w:rsidRPr="00507719">
        <w:rPr>
          <w:sz w:val="20"/>
          <w:szCs w:val="20"/>
        </w:rPr>
        <w:t>:25</w:t>
      </w:r>
    </w:p>
    <w:p w14:paraId="6CF199B8" w14:textId="0DCD0200" w:rsidR="00792DCA" w:rsidRPr="00507719" w:rsidRDefault="006B30F1" w:rsidP="00792DCA">
      <w:pPr>
        <w:tabs>
          <w:tab w:val="left" w:pos="3465"/>
        </w:tabs>
        <w:rPr>
          <w:sz w:val="20"/>
          <w:szCs w:val="20"/>
        </w:rPr>
      </w:pPr>
      <w:r>
        <w:rPr>
          <w:sz w:val="20"/>
          <w:szCs w:val="20"/>
        </w:rPr>
        <w:t>1002</w:t>
      </w:r>
      <w:r w:rsidR="00792DCA" w:rsidRPr="00507719">
        <w:rPr>
          <w:sz w:val="20"/>
          <w:szCs w:val="20"/>
        </w:rPr>
        <w:tab/>
      </w:r>
    </w:p>
    <w:p w14:paraId="0BA30A14" w14:textId="77777777" w:rsidR="00792DCA" w:rsidRPr="00507719" w:rsidRDefault="00792DCA" w:rsidP="00792DCA">
      <w:pPr>
        <w:rPr>
          <w:sz w:val="20"/>
          <w:szCs w:val="20"/>
        </w:rPr>
      </w:pPr>
      <w:r w:rsidRPr="00507719">
        <w:rPr>
          <w:sz w:val="20"/>
          <w:szCs w:val="20"/>
        </w:rPr>
        <w:t>I.Doniņa</w:t>
      </w:r>
    </w:p>
    <w:p w14:paraId="08C659D7" w14:textId="77777777" w:rsidR="00792DCA" w:rsidRPr="00563D3C" w:rsidRDefault="00792DCA" w:rsidP="00792DCA">
      <w:pPr>
        <w:rPr>
          <w:sz w:val="20"/>
          <w:szCs w:val="20"/>
        </w:rPr>
      </w:pPr>
      <w:r w:rsidRPr="00507719">
        <w:rPr>
          <w:sz w:val="20"/>
          <w:szCs w:val="20"/>
        </w:rPr>
        <w:t>6</w:t>
      </w:r>
      <w:smartTag w:uri="schemas-tilde-lv/tildestengine" w:element="phone">
        <w:smartTagPr>
          <w:attr w:name="phone_number" w:val="7026515"/>
        </w:smartTagPr>
        <w:r w:rsidRPr="00507719">
          <w:rPr>
            <w:sz w:val="20"/>
            <w:szCs w:val="20"/>
          </w:rPr>
          <w:t>7026515</w:t>
        </w:r>
      </w:smartTag>
      <w:r w:rsidRPr="00507719">
        <w:rPr>
          <w:sz w:val="20"/>
          <w:szCs w:val="20"/>
        </w:rPr>
        <w:t xml:space="preserve">; </w:t>
      </w:r>
      <w:hyperlink r:id="rId8" w:history="1">
        <w:r w:rsidRPr="00507719">
          <w:rPr>
            <w:rStyle w:val="Hyperlnk"/>
            <w:sz w:val="20"/>
            <w:szCs w:val="20"/>
          </w:rPr>
          <w:t>ilze.donina@varam.gov.lv</w:t>
        </w:r>
      </w:hyperlink>
    </w:p>
    <w:p w14:paraId="3C7145E7" w14:textId="77777777" w:rsidR="000D6C3A" w:rsidRDefault="000D6C3A">
      <w:bookmarkStart w:id="1" w:name="_GoBack"/>
      <w:bookmarkEnd w:id="1"/>
    </w:p>
    <w:sectPr w:rsidR="000D6C3A">
      <w:headerReference w:type="default" r:id="rId9"/>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ECE1F" w14:textId="77777777" w:rsidR="00473235" w:rsidRDefault="00473235" w:rsidP="00C6407D">
      <w:r>
        <w:separator/>
      </w:r>
    </w:p>
  </w:endnote>
  <w:endnote w:type="continuationSeparator" w:id="0">
    <w:p w14:paraId="7BEAA39C" w14:textId="77777777" w:rsidR="00473235" w:rsidRDefault="00473235" w:rsidP="00C64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BA"/>
    <w:family w:val="swiss"/>
    <w:pitch w:val="variable"/>
    <w:sig w:usb0="A10006FF" w:usb1="4000205B" w:usb2="00000010"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6CE75" w14:textId="6CB72BE3" w:rsidR="00C6407D" w:rsidRPr="00C6407D" w:rsidRDefault="00C6407D" w:rsidP="00C6407D">
    <w:pPr>
      <w:jc w:val="both"/>
    </w:pPr>
    <w:r w:rsidRPr="00C6407D">
      <w:t>VARAMAnot_</w:t>
    </w:r>
    <w:r w:rsidR="00B502E5">
      <w:t>12</w:t>
    </w:r>
    <w:r w:rsidRPr="00C6407D">
      <w:t>1</w:t>
    </w:r>
    <w:r w:rsidR="00B502E5">
      <w:t>2</w:t>
    </w:r>
    <w:r w:rsidRPr="00C6407D">
      <w:t>16_EEIA; Ministru kabineta noteikumu projekta “Grozījumi Ministru kabineta 2014.gada 8.jūlija noteikumos Nr.388 “Elektrisko un elektronisko iekārtu kategorijas un marķēšanas prasības un šo iekārtu atkritumu apsaimniekošanas prasības un kārtība</w:t>
    </w:r>
    <w:r w:rsidRPr="00C6407D">
      <w:rPr>
        <w:sz w:val="22"/>
      </w:rPr>
      <w:t>””</w:t>
    </w:r>
    <w:r w:rsidR="00E73CC6">
      <w:rPr>
        <w:sz w:val="22"/>
      </w:rPr>
      <w:t xml:space="preserve"> </w:t>
    </w:r>
    <w:r w:rsidRPr="00C6407D">
      <w:t xml:space="preserve">sākotnējās ietekmes novērtējuma </w:t>
    </w:r>
    <w:smartTag w:uri="schemas-tilde-lv/tildestengine" w:element="veidnes">
      <w:smartTagPr>
        <w:attr w:name="id" w:val="-1"/>
        <w:attr w:name="baseform" w:val="ziņojums"/>
        <w:attr w:name="text" w:val="ziņojums"/>
      </w:smartTagPr>
      <w:r w:rsidRPr="00C6407D">
        <w:t>ziņojums</w:t>
      </w:r>
    </w:smartTag>
    <w:r w:rsidRPr="00C6407D">
      <w:t xml:space="preserve"> (anotācija)</w:t>
    </w:r>
  </w:p>
  <w:p w14:paraId="1D4B3D71" w14:textId="77777777" w:rsidR="00C6407D" w:rsidRPr="00C6407D" w:rsidRDefault="00C6407D" w:rsidP="00C6407D">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2E3E3" w14:textId="77777777" w:rsidR="00473235" w:rsidRDefault="00473235" w:rsidP="00C6407D">
      <w:r>
        <w:separator/>
      </w:r>
    </w:p>
  </w:footnote>
  <w:footnote w:type="continuationSeparator" w:id="0">
    <w:p w14:paraId="499DEAE1" w14:textId="77777777" w:rsidR="00473235" w:rsidRDefault="00473235" w:rsidP="00C64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4628126"/>
      <w:docPartObj>
        <w:docPartGallery w:val="Page Numbers (Top of Page)"/>
        <w:docPartUnique/>
      </w:docPartObj>
    </w:sdtPr>
    <w:sdtEndPr>
      <w:rPr>
        <w:noProof/>
      </w:rPr>
    </w:sdtEndPr>
    <w:sdtContent>
      <w:p w14:paraId="7F438A73" w14:textId="71479DD3" w:rsidR="00B502E5" w:rsidRDefault="00B502E5">
        <w:pPr>
          <w:pStyle w:val="Sidhuvud"/>
          <w:jc w:val="center"/>
        </w:pPr>
        <w:r>
          <w:fldChar w:fldCharType="begin"/>
        </w:r>
        <w:r>
          <w:instrText xml:space="preserve"> PAGE   \* MERGEFORMAT </w:instrText>
        </w:r>
        <w:r>
          <w:fldChar w:fldCharType="separate"/>
        </w:r>
        <w:r w:rsidR="007816BA">
          <w:rPr>
            <w:noProof/>
          </w:rPr>
          <w:t>4</w:t>
        </w:r>
        <w:r>
          <w:rPr>
            <w:noProof/>
          </w:rPr>
          <w:fldChar w:fldCharType="end"/>
        </w:r>
      </w:p>
    </w:sdtContent>
  </w:sdt>
  <w:p w14:paraId="4062E029" w14:textId="77777777" w:rsidR="00B502E5" w:rsidRDefault="00B502E5">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C0E4F"/>
    <w:multiLevelType w:val="hybridMultilevel"/>
    <w:tmpl w:val="454E447C"/>
    <w:lvl w:ilvl="0" w:tplc="7BE20482">
      <w:start w:val="1199"/>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8EA5A91"/>
    <w:multiLevelType w:val="hybridMultilevel"/>
    <w:tmpl w:val="501CBFA8"/>
    <w:lvl w:ilvl="0" w:tplc="7BE20482">
      <w:start w:val="119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CB113A"/>
    <w:multiLevelType w:val="hybridMultilevel"/>
    <w:tmpl w:val="04045AA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FEF6BD4"/>
    <w:multiLevelType w:val="hybridMultilevel"/>
    <w:tmpl w:val="E0EEAEE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58F16615"/>
    <w:multiLevelType w:val="hybridMultilevel"/>
    <w:tmpl w:val="84D8C2C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DCA"/>
    <w:rsid w:val="000D6C3A"/>
    <w:rsid w:val="00112077"/>
    <w:rsid w:val="00194AF7"/>
    <w:rsid w:val="001C3F0A"/>
    <w:rsid w:val="001F45C1"/>
    <w:rsid w:val="002B3EA0"/>
    <w:rsid w:val="002C2A9E"/>
    <w:rsid w:val="002E1F31"/>
    <w:rsid w:val="00391A41"/>
    <w:rsid w:val="003E0B85"/>
    <w:rsid w:val="00400FC8"/>
    <w:rsid w:val="00442441"/>
    <w:rsid w:val="004600A0"/>
    <w:rsid w:val="00473235"/>
    <w:rsid w:val="004A7179"/>
    <w:rsid w:val="004B2962"/>
    <w:rsid w:val="004D4627"/>
    <w:rsid w:val="004F0BC8"/>
    <w:rsid w:val="00636078"/>
    <w:rsid w:val="006B30F1"/>
    <w:rsid w:val="00760CDC"/>
    <w:rsid w:val="00771DDE"/>
    <w:rsid w:val="007816BA"/>
    <w:rsid w:val="00792DCA"/>
    <w:rsid w:val="007B1512"/>
    <w:rsid w:val="00885BD4"/>
    <w:rsid w:val="008A1A8C"/>
    <w:rsid w:val="008E6826"/>
    <w:rsid w:val="0091448C"/>
    <w:rsid w:val="009A1BA2"/>
    <w:rsid w:val="009E0E14"/>
    <w:rsid w:val="00B502E5"/>
    <w:rsid w:val="00B81BC2"/>
    <w:rsid w:val="00BE531F"/>
    <w:rsid w:val="00C5306A"/>
    <w:rsid w:val="00C6407D"/>
    <w:rsid w:val="00CA5DA2"/>
    <w:rsid w:val="00CE4AFF"/>
    <w:rsid w:val="00D6212A"/>
    <w:rsid w:val="00D66C7C"/>
    <w:rsid w:val="00DD3CC2"/>
    <w:rsid w:val="00DE2C9F"/>
    <w:rsid w:val="00E054F2"/>
    <w:rsid w:val="00E112EF"/>
    <w:rsid w:val="00E73CC6"/>
    <w:rsid w:val="00EC4301"/>
    <w:rsid w:val="00F21D1B"/>
    <w:rsid w:val="00F2676E"/>
    <w:rsid w:val="00FA265E"/>
    <w:rsid w:val="00FA36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phone"/>
  <w:smartTagType w:namespaceuri="schemas-tilde-lv/tildestengine" w:name="veidnes"/>
  <w:shapeDefaults>
    <o:shapedefaults v:ext="edit" spidmax="2049"/>
    <o:shapelayout v:ext="edit">
      <o:idmap v:ext="edit" data="1"/>
    </o:shapelayout>
  </w:shapeDefaults>
  <w:decimalSymbol w:val=","/>
  <w:listSeparator w:val=";"/>
  <w14:docId w14:val="0821EBA3"/>
  <w15:chartTrackingRefBased/>
  <w15:docId w15:val="{4A73FBC6-1370-4C70-B2A1-E73B69A3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92DCA"/>
    <w:pPr>
      <w:spacing w:after="0" w:line="240" w:lineRule="auto"/>
    </w:pPr>
    <w:rPr>
      <w:rFonts w:ascii="Times New Roman" w:eastAsia="Times New Roman" w:hAnsi="Times New Roman" w:cs="Times New Roman"/>
      <w:sz w:val="24"/>
      <w:szCs w:val="24"/>
      <w:lang w:eastAsia="lv-LV"/>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naisf">
    <w:name w:val="naisf"/>
    <w:basedOn w:val="Normal"/>
    <w:rsid w:val="00792DCA"/>
    <w:pPr>
      <w:spacing w:before="75" w:after="75"/>
      <w:ind w:firstLine="375"/>
      <w:jc w:val="both"/>
    </w:pPr>
  </w:style>
  <w:style w:type="character" w:styleId="Hyperlnk">
    <w:name w:val="Hyperlink"/>
    <w:rsid w:val="00792DCA"/>
    <w:rPr>
      <w:rFonts w:cs="Times New Roman"/>
      <w:color w:val="0000FF"/>
      <w:u w:val="single"/>
    </w:rPr>
  </w:style>
  <w:style w:type="paragraph" w:customStyle="1" w:styleId="naisnod">
    <w:name w:val="naisnod"/>
    <w:basedOn w:val="Normal"/>
    <w:rsid w:val="00792DCA"/>
    <w:pPr>
      <w:spacing w:before="150" w:after="150"/>
      <w:jc w:val="center"/>
    </w:pPr>
    <w:rPr>
      <w:b/>
      <w:bCs/>
    </w:rPr>
  </w:style>
  <w:style w:type="paragraph" w:customStyle="1" w:styleId="naiskr">
    <w:name w:val="naiskr"/>
    <w:basedOn w:val="Normal"/>
    <w:rsid w:val="00792DCA"/>
    <w:pPr>
      <w:spacing w:before="75" w:after="75"/>
    </w:pPr>
  </w:style>
  <w:style w:type="paragraph" w:customStyle="1" w:styleId="naisc">
    <w:name w:val="naisc"/>
    <w:basedOn w:val="Normal"/>
    <w:rsid w:val="00792DCA"/>
    <w:pPr>
      <w:spacing w:before="75" w:after="75"/>
      <w:jc w:val="center"/>
    </w:pPr>
  </w:style>
  <w:style w:type="character" w:styleId="Stark">
    <w:name w:val="Strong"/>
    <w:uiPriority w:val="22"/>
    <w:qFormat/>
    <w:rsid w:val="00792DCA"/>
    <w:rPr>
      <w:b/>
      <w:bCs/>
    </w:rPr>
  </w:style>
  <w:style w:type="paragraph" w:customStyle="1" w:styleId="tv2161">
    <w:name w:val="tv2161"/>
    <w:basedOn w:val="Normal"/>
    <w:rsid w:val="00792DCA"/>
    <w:pPr>
      <w:spacing w:before="240" w:line="360" w:lineRule="auto"/>
      <w:ind w:firstLine="259"/>
      <w:jc w:val="right"/>
    </w:pPr>
    <w:rPr>
      <w:rFonts w:ascii="Verdana" w:hAnsi="Verdana"/>
      <w:sz w:val="16"/>
      <w:szCs w:val="16"/>
      <w:lang w:eastAsia="en-US"/>
    </w:rPr>
  </w:style>
  <w:style w:type="paragraph" w:styleId="Liststycke">
    <w:name w:val="List Paragraph"/>
    <w:basedOn w:val="Normal"/>
    <w:uiPriority w:val="34"/>
    <w:qFormat/>
    <w:rsid w:val="00792DCA"/>
    <w:pPr>
      <w:spacing w:after="200" w:line="276" w:lineRule="auto"/>
      <w:ind w:left="720"/>
      <w:contextualSpacing/>
    </w:pPr>
    <w:rPr>
      <w:rFonts w:ascii="Calibri" w:eastAsia="Calibri" w:hAnsi="Calibri"/>
      <w:sz w:val="22"/>
      <w:szCs w:val="22"/>
      <w:lang w:val="en-US" w:eastAsia="en-US"/>
    </w:rPr>
  </w:style>
  <w:style w:type="table" w:styleId="Tabellrutnt">
    <w:name w:val="Table Grid"/>
    <w:basedOn w:val="Normaltabell"/>
    <w:uiPriority w:val="39"/>
    <w:rsid w:val="00792DCA"/>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792DCA"/>
    <w:pPr>
      <w:spacing w:before="100" w:beforeAutospacing="1" w:after="100" w:afterAutospacing="1"/>
    </w:pPr>
  </w:style>
  <w:style w:type="paragraph" w:styleId="Brdtext2">
    <w:name w:val="Body Text 2"/>
    <w:basedOn w:val="Normal"/>
    <w:link w:val="Brdtext2Char"/>
    <w:uiPriority w:val="99"/>
    <w:rsid w:val="00792DCA"/>
    <w:pPr>
      <w:spacing w:after="120" w:line="480" w:lineRule="auto"/>
    </w:pPr>
    <w:rPr>
      <w:lang w:val="en-GB" w:eastAsia="en-US"/>
    </w:rPr>
  </w:style>
  <w:style w:type="character" w:customStyle="1" w:styleId="Brdtext2Char">
    <w:name w:val="Brödtext 2 Char"/>
    <w:basedOn w:val="Standardstycketeckensnitt"/>
    <w:link w:val="Brdtext2"/>
    <w:uiPriority w:val="99"/>
    <w:rsid w:val="00792DCA"/>
    <w:rPr>
      <w:rFonts w:ascii="Times New Roman" w:eastAsia="Times New Roman" w:hAnsi="Times New Roman" w:cs="Times New Roman"/>
      <w:sz w:val="24"/>
      <w:szCs w:val="24"/>
      <w:lang w:val="en-GB"/>
    </w:rPr>
  </w:style>
  <w:style w:type="paragraph" w:styleId="Sidhuvud">
    <w:name w:val="header"/>
    <w:basedOn w:val="Normal"/>
    <w:link w:val="SidhuvudChar"/>
    <w:uiPriority w:val="99"/>
    <w:unhideWhenUsed/>
    <w:rsid w:val="00C6407D"/>
    <w:pPr>
      <w:tabs>
        <w:tab w:val="center" w:pos="4153"/>
        <w:tab w:val="right" w:pos="8306"/>
      </w:tabs>
    </w:pPr>
  </w:style>
  <w:style w:type="character" w:customStyle="1" w:styleId="SidhuvudChar">
    <w:name w:val="Sidhuvud Char"/>
    <w:basedOn w:val="Standardstycketeckensnitt"/>
    <w:link w:val="Sidhuvud"/>
    <w:uiPriority w:val="99"/>
    <w:rsid w:val="00C6407D"/>
    <w:rPr>
      <w:rFonts w:ascii="Times New Roman" w:eastAsia="Times New Roman" w:hAnsi="Times New Roman" w:cs="Times New Roman"/>
      <w:sz w:val="24"/>
      <w:szCs w:val="24"/>
      <w:lang w:eastAsia="lv-LV"/>
    </w:rPr>
  </w:style>
  <w:style w:type="paragraph" w:styleId="Sidfot">
    <w:name w:val="footer"/>
    <w:basedOn w:val="Normal"/>
    <w:link w:val="SidfotChar"/>
    <w:uiPriority w:val="99"/>
    <w:unhideWhenUsed/>
    <w:rsid w:val="00C6407D"/>
    <w:pPr>
      <w:tabs>
        <w:tab w:val="center" w:pos="4153"/>
        <w:tab w:val="right" w:pos="8306"/>
      </w:tabs>
    </w:pPr>
  </w:style>
  <w:style w:type="character" w:customStyle="1" w:styleId="SidfotChar">
    <w:name w:val="Sidfot Char"/>
    <w:basedOn w:val="Standardstycketeckensnitt"/>
    <w:link w:val="Sidfot"/>
    <w:uiPriority w:val="99"/>
    <w:rsid w:val="00C6407D"/>
    <w:rPr>
      <w:rFonts w:ascii="Times New Roman" w:eastAsia="Times New Roman" w:hAnsi="Times New Roman" w:cs="Times New Roman"/>
      <w:sz w:val="24"/>
      <w:szCs w:val="24"/>
      <w:lang w:eastAsia="lv-LV"/>
    </w:rPr>
  </w:style>
  <w:style w:type="paragraph" w:styleId="Ballongtext">
    <w:name w:val="Balloon Text"/>
    <w:basedOn w:val="Normal"/>
    <w:link w:val="BallongtextChar"/>
    <w:uiPriority w:val="99"/>
    <w:semiHidden/>
    <w:unhideWhenUsed/>
    <w:rsid w:val="00E73CC6"/>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E73CC6"/>
    <w:rPr>
      <w:rFonts w:ascii="Segoe UI" w:eastAsia="Times New Roman" w:hAnsi="Segoe UI" w:cs="Segoe UI"/>
      <w:sz w:val="18"/>
      <w:szCs w:val="18"/>
      <w:lang w:eastAsia="lv-LV"/>
    </w:rPr>
  </w:style>
  <w:style w:type="character" w:styleId="Kommentarsreferens">
    <w:name w:val="annotation reference"/>
    <w:basedOn w:val="Standardstycketeckensnitt"/>
    <w:uiPriority w:val="99"/>
    <w:semiHidden/>
    <w:unhideWhenUsed/>
    <w:rsid w:val="004D4627"/>
    <w:rPr>
      <w:sz w:val="16"/>
      <w:szCs w:val="16"/>
    </w:rPr>
  </w:style>
  <w:style w:type="paragraph" w:styleId="Kommentarer">
    <w:name w:val="annotation text"/>
    <w:basedOn w:val="Normal"/>
    <w:link w:val="KommentarerChar"/>
    <w:uiPriority w:val="99"/>
    <w:semiHidden/>
    <w:unhideWhenUsed/>
    <w:rsid w:val="004D4627"/>
    <w:rPr>
      <w:sz w:val="20"/>
      <w:szCs w:val="20"/>
    </w:rPr>
  </w:style>
  <w:style w:type="character" w:customStyle="1" w:styleId="KommentarerChar">
    <w:name w:val="Kommentarer Char"/>
    <w:basedOn w:val="Standardstycketeckensnitt"/>
    <w:link w:val="Kommentarer"/>
    <w:uiPriority w:val="99"/>
    <w:semiHidden/>
    <w:rsid w:val="004D4627"/>
    <w:rPr>
      <w:rFonts w:ascii="Times New Roman" w:eastAsia="Times New Roman" w:hAnsi="Times New Roman" w:cs="Times New Roman"/>
      <w:sz w:val="20"/>
      <w:szCs w:val="20"/>
      <w:lang w:eastAsia="lv-LV"/>
    </w:rPr>
  </w:style>
  <w:style w:type="paragraph" w:styleId="Kommentarsmne">
    <w:name w:val="annotation subject"/>
    <w:basedOn w:val="Kommentarer"/>
    <w:next w:val="Kommentarer"/>
    <w:link w:val="KommentarsmneChar"/>
    <w:uiPriority w:val="99"/>
    <w:semiHidden/>
    <w:unhideWhenUsed/>
    <w:rsid w:val="004D4627"/>
    <w:rPr>
      <w:b/>
      <w:bCs/>
    </w:rPr>
  </w:style>
  <w:style w:type="character" w:customStyle="1" w:styleId="KommentarsmneChar">
    <w:name w:val="Kommentarsämne Char"/>
    <w:basedOn w:val="KommentarerChar"/>
    <w:link w:val="Kommentarsmne"/>
    <w:uiPriority w:val="99"/>
    <w:semiHidden/>
    <w:rsid w:val="004D4627"/>
    <w:rPr>
      <w:rFonts w:ascii="Times New Roman" w:eastAsia="Times New Roman" w:hAnsi="Times New Roman"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92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lze.donina@varam.gov.lv" TargetMode="External"/><Relationship Id="rId3" Type="http://schemas.openxmlformats.org/officeDocument/2006/relationships/settings" Target="settings.xml"/><Relationship Id="rId7" Type="http://schemas.openxmlformats.org/officeDocument/2006/relationships/hyperlink" Target="http://www.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1320</Words>
  <Characters>7002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Doniņa</dc:creator>
  <cp:keywords/>
  <dc:description/>
  <cp:lastModifiedBy>Henrik Jakobsson</cp:lastModifiedBy>
  <cp:revision>4</cp:revision>
  <dcterms:created xsi:type="dcterms:W3CDTF">2016-12-12T14:47:00Z</dcterms:created>
  <dcterms:modified xsi:type="dcterms:W3CDTF">2016-12-20T08:57:00Z</dcterms:modified>
</cp:coreProperties>
</file>