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8BE44" w14:textId="52887408" w:rsidR="00894C55" w:rsidRDefault="00D23CF5" w:rsidP="00894C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  <w:sdt>
        <w:sdtPr>
          <w:rPr>
            <w:rFonts w:ascii="Times New Roman" w:eastAsia="Times New Roman" w:hAnsi="Times New Roman" w:cs="Times New Roman"/>
            <w:b/>
            <w:bCs/>
            <w:sz w:val="28"/>
            <w:szCs w:val="24"/>
            <w:lang w:eastAsia="lv-LV"/>
          </w:rPr>
          <w:id w:val="882755678"/>
          <w:placeholder>
            <w:docPart w:val="B2513C7936974E769D1103048039203D"/>
          </w:placeholder>
        </w:sdtPr>
        <w:sdtEndPr/>
        <w:sdtContent>
          <w:r w:rsidR="00206BFB">
            <w:rPr>
              <w:rFonts w:ascii="Times New Roman" w:eastAsia="Times New Roman" w:hAnsi="Times New Roman" w:cs="Times New Roman"/>
              <w:b/>
              <w:bCs/>
              <w:sz w:val="28"/>
              <w:szCs w:val="24"/>
              <w:lang w:eastAsia="lv-LV"/>
            </w:rPr>
            <w:t>Ministru kabineta noteikumu</w:t>
          </w:r>
        </w:sdtContent>
      </w:sdt>
      <w:r w:rsidR="00894C55" w:rsidRPr="003D7F0C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 projekta</w:t>
      </w:r>
      <w:r w:rsidR="00206BFB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 “</w:t>
      </w:r>
      <w:r w:rsidR="00206BFB" w:rsidRPr="00206BFB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Grozījumi Ministru kabineta 2013. gada 26. februāra noteikumos Nr. 112 “Emisijas kvotu piešķiršanas kārtība stacionāro tehnoloģisko iekārtu operatoriem”</w:t>
      </w:r>
      <w:r w:rsidR="00D774A0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”</w:t>
      </w:r>
      <w:r w:rsidR="00206BFB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 </w:t>
      </w:r>
      <w:r w:rsidR="00894C55" w:rsidRPr="003D7F0C"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>sākotnējās ietekmes novērtējuma ziņojums (anotācija)</w:t>
      </w:r>
    </w:p>
    <w:p w14:paraId="489CB41F" w14:textId="77777777" w:rsidR="00206BFB" w:rsidRPr="003D7F0C" w:rsidRDefault="00206BFB" w:rsidP="00894C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31"/>
        <w:gridCol w:w="5424"/>
      </w:tblGrid>
      <w:tr w:rsidR="00206BFB" w:rsidRPr="00206BFB" w14:paraId="698F5673" w14:textId="77777777" w:rsidTr="00DE6D3B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2EBDE" w14:textId="77777777" w:rsidR="00206BFB" w:rsidRPr="00206BFB" w:rsidRDefault="00206BFB" w:rsidP="00DE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v-SE" w:eastAsia="lv-LV"/>
              </w:rPr>
            </w:pPr>
            <w:r w:rsidRPr="00206B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v-SE" w:eastAsia="lv-LV"/>
              </w:rPr>
              <w:t>Tiesību akta projekta anotācijas kopsavilkums</w:t>
            </w:r>
          </w:p>
        </w:tc>
      </w:tr>
      <w:tr w:rsidR="00206BFB" w:rsidRPr="00206BFB" w14:paraId="13BC1D67" w14:textId="77777777" w:rsidTr="00DE6D3B">
        <w:trPr>
          <w:tblCellSpacing w:w="15" w:type="dxa"/>
        </w:trPr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F45976" w14:textId="77777777" w:rsidR="00206BFB" w:rsidRPr="00206BFB" w:rsidRDefault="00206BFB" w:rsidP="00DE6D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206B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Mērķis, risinājums un projekta spēkā stāšanās laiks (500 zīmes bez atstarpēm)</w:t>
            </w:r>
          </w:p>
        </w:tc>
        <w:tc>
          <w:tcPr>
            <w:tcW w:w="2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8DBFC" w14:textId="3C85FE22" w:rsidR="00206BFB" w:rsidRPr="00206BFB" w:rsidRDefault="00206BFB" w:rsidP="0059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 attiecināms</w:t>
            </w:r>
          </w:p>
        </w:tc>
      </w:tr>
    </w:tbl>
    <w:p w14:paraId="2DA80F45" w14:textId="77777777" w:rsidR="00E5323B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D7F0C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  </w:t>
      </w:r>
    </w:p>
    <w:p w14:paraId="641192A0" w14:textId="77777777" w:rsidR="00206BFB" w:rsidRPr="003D7F0C" w:rsidRDefault="00206BFB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9470CF" w:rsidRPr="003D7F0C" w14:paraId="7F0820DE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E985E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9470CF" w:rsidRPr="003D7F0C" w14:paraId="620DC2BD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1D2DD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636FFA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BC839" w14:textId="7B7321DC" w:rsidR="00C32D62" w:rsidRDefault="00C32D62" w:rsidP="00ED5394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Ministru kabineta noteikumu projekta </w:t>
            </w:r>
            <w:r w:rsidR="008C49C3" w:rsidRPr="003D7F0C">
              <w:rPr>
                <w:rFonts w:ascii="Times New Roman" w:hAnsi="Times New Roman" w:cs="Times New Roman"/>
                <w:sz w:val="24"/>
                <w:szCs w:val="24"/>
              </w:rPr>
              <w:t xml:space="preserve">„Grozījums Ministru Kabineta 2013.gada 26.februāra noteikumos Nr. 112 „Emisijas kvotu piešķiršanas kārtība stacionāro tehnoloģisko iekārtu operatoriem”” (turpmāk – noteikumu projekts)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sagatavots saskaņā ar Likuma “Par piesārņojumu”</w:t>
            </w:r>
            <w:r>
              <w:t xml:space="preserve"> </w:t>
            </w:r>
            <w:r w:rsidRPr="00C32D6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  <w:r w:rsidRPr="00C32D6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32D62">
              <w:rPr>
                <w:rFonts w:ascii="Times New Roman" w:hAnsi="Times New Roman" w:cs="Times New Roman"/>
                <w:sz w:val="24"/>
                <w:szCs w:val="24"/>
              </w:rPr>
              <w:t xml:space="preserve"> panta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D62">
              <w:rPr>
                <w:rFonts w:ascii="Times New Roman" w:hAnsi="Times New Roman" w:cs="Times New Roman"/>
                <w:sz w:val="24"/>
                <w:szCs w:val="24"/>
              </w:rPr>
              <w:t>astoto daļu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CCD1D08" w14:textId="77777777" w:rsidR="00C32D62" w:rsidRDefault="00C32D62" w:rsidP="00ED5394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F8C14" w14:textId="03A84F5C" w:rsidR="009470CF" w:rsidRPr="003D7F0C" w:rsidRDefault="00C32D62" w:rsidP="00ED5394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ir izstrādāts, lai nodrošinātu </w:t>
            </w:r>
            <w:r w:rsidR="0056647B">
              <w:rPr>
                <w:rFonts w:ascii="Times New Roman" w:hAnsi="Times New Roman" w:cs="Times New Roman"/>
                <w:sz w:val="24"/>
                <w:szCs w:val="24"/>
              </w:rPr>
              <w:t xml:space="preserve">atsevišķu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Eiropas Parlamenta un Padomes 2018.gada </w:t>
            </w:r>
            <w:r w:rsidRPr="003D7F0C">
              <w:rPr>
                <w:rFonts w:ascii="Times New Roman" w:hAnsi="Times New Roman" w:cs="Times New Roman"/>
                <w:sz w:val="24"/>
                <w:szCs w:val="24"/>
              </w:rPr>
              <w:t>14.marta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Direktīvas</w:t>
            </w:r>
            <w:r w:rsidRPr="003D7F0C">
              <w:rPr>
                <w:rFonts w:ascii="Times New Roman" w:hAnsi="Times New Roman" w:cs="Times New Roman"/>
                <w:sz w:val="24"/>
                <w:szCs w:val="24"/>
              </w:rPr>
              <w:t xml:space="preserve"> Nr.2018/410</w:t>
            </w:r>
            <w:r w:rsidR="009B02EF">
              <w:rPr>
                <w:rFonts w:ascii="Times New Roman" w:hAnsi="Times New Roman" w:cs="Times New Roman"/>
                <w:sz w:val="24"/>
                <w:szCs w:val="24"/>
              </w:rPr>
              <w:t>/ES</w:t>
            </w:r>
            <w:r w:rsidRPr="003D7F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ar ko groza Direktīvu 2003/87/EK, lai sekmētu emisiju izmaksefektīvu samazināšanu un investīcijas mazoglekļa r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isinājumos, un Lēmumu 2015/1814 (turpmāk – Direktīva 2018/410) prasību pārņemšanu Latvijas normatīvajos aktos. </w:t>
            </w:r>
          </w:p>
        </w:tc>
      </w:tr>
      <w:tr w:rsidR="009470CF" w:rsidRPr="003D7F0C" w14:paraId="3986B218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4C705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3D60A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74BEC" w14:textId="76F399FD" w:rsidR="00EC607F" w:rsidRDefault="009C6DAC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Eiropas Savienības emisijas kvotu tirdzniecības sistēmas (turpmāk – ES ETS) </w:t>
            </w:r>
            <w:r w:rsidR="00E33FC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darbība </w:t>
            </w:r>
            <w:r w:rsid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Eiropas Savienības (ES) līmenī </w:t>
            </w:r>
            <w:r w:rsidR="00E33FC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ir noteikta </w:t>
            </w:r>
            <w:r w:rsid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Eiropas Parlamenta un Padomes D</w:t>
            </w:r>
            <w:r w:rsidR="00E33FCD" w:rsidRPr="00E33FC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irektīv</w:t>
            </w:r>
            <w:r w:rsidR="00E33FC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ā</w:t>
            </w:r>
            <w:r w:rsidR="00E33FCD" w:rsidRPr="00E33FC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2003/87/EK</w:t>
            </w:r>
            <w:r w:rsidR="00E33FC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(turpmāk – Direktīva 2003/87/EK). </w:t>
            </w:r>
            <w:r w:rsidR="00C13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Eiropadome 2014.gada 24.oktobrī pieņēma secinājumus “Par klimata un enerģētikas politikas satvaru laikposmam no 2020.gada līdz 2030.gadam” (turpmāk – Eiropadomes secinājumi) par iekļautajiem galvenajiem elementiem, kā arī noteica nosacījumus KEPS2030 noteikto mērķu īstenošanai</w:t>
            </w:r>
            <w:r w:rsidR="00FE68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 kas noteica, ka ES ETS ir jāreformē un jānodrošina ES ETS labu un efektīvu funkcionēšanu.</w:t>
            </w:r>
            <w:r w:rsidR="00C13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7148BD" w:rsidRP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Vides aizsardzības un reģionālās attīstības ministrija </w:t>
            </w:r>
            <w:r w:rsid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(turpmāk </w:t>
            </w:r>
            <w:r w:rsidR="00CA4A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- </w:t>
            </w:r>
            <w:r w:rsid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VARAM) </w:t>
            </w:r>
            <w:r w:rsidR="007148BD" w:rsidRP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ir atbildīga par ES Emisijas kvotu tirdzniecības sistēmas darbību Latvijā.</w:t>
            </w:r>
          </w:p>
          <w:p w14:paraId="23E8742D" w14:textId="77777777" w:rsidR="00EC607F" w:rsidRDefault="00EC607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27BDBB37" w14:textId="7E7BD979" w:rsidR="00914880" w:rsidRDefault="00C13496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Lai veicinātu emisiju samazināšanu visā Eiropas Savienībā, Eiropas Komisija </w:t>
            </w:r>
            <w:r w:rsidR="00EC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ES ETS ceturtajam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tirdzniecības </w:t>
            </w:r>
            <w:r w:rsidR="00EC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periodam (2021.-2030.gads) izstrādāja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jaunas prasības,</w:t>
            </w:r>
            <w:r w:rsidR="00EC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ko noteica ar </w:t>
            </w:r>
            <w:r w:rsidR="00EC50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Direkt</w:t>
            </w:r>
            <w:r w:rsidR="00EC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īvu</w:t>
            </w:r>
            <w:r w:rsid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EC50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2018/410</w:t>
            </w:r>
            <w:r w:rsidR="00FE68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lai nodrošinātu, ka labi funkcionējoša un reformēta ES </w:t>
            </w:r>
            <w:r w:rsidR="00FE68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ETS ir galvenais Eiropas instruments siltumnīcefekta gāzu emisiju samazināšanas mērķa sasniegšanai</w:t>
            </w:r>
            <w:r w:rsidR="00EC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Direktīva 2018/410 groza daļu no Direktīvas 2003/87/EK 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ES ETS ceturtajam periodam </w:t>
            </w:r>
            <w:r w:rsidR="00EC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sekojoši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:</w:t>
            </w:r>
            <w:r w:rsidR="009148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nosakot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EC607F" w:rsidRPr="009148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jaunas definīcijas </w:t>
            </w:r>
            <w:r w:rsidR="004A2D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ES ETS esošām un</w:t>
            </w:r>
            <w:r w:rsidR="00C258F1" w:rsidRPr="009148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jaunām iekārt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ām, nosakot j</w:t>
            </w:r>
            <w:r w:rsidR="00914880" w:rsidRPr="009148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aunu kārtību kā groza</w:t>
            </w:r>
            <w:r w:rsid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piešķirto</w:t>
            </w:r>
            <w:r w:rsidR="00914880" w:rsidRPr="009148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bez</w:t>
            </w:r>
            <w:r w:rsidR="005915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914880" w:rsidRPr="009148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maksas </w:t>
            </w:r>
            <w:r w:rsid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emisiju kvotu apjomu </w:t>
            </w:r>
            <w:r w:rsidR="00914880" w:rsidRPr="009148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esošai iek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ārtai, </w:t>
            </w:r>
            <w:r w:rsidR="00FE68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iekļaujot jaunus nosacījumus attiecībā uz ES ETS ietvaros izveidojamajiem finansēšanas mehānismiem (t.i. inovācijas un modernizācijas fondi), 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piemērojot </w:t>
            </w:r>
            <w:r w:rsidR="00FE68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Eiropadomes secinājumos noteikto ikgadējo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koeficientu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FE68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maksimālo pieļaujamo emisiju robežvērtību samazināšanai</w:t>
            </w:r>
            <w:r w:rsidR="001B0F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 kā arī aktualizējot akreditācijas prasības ES ETS verificētājiem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  <w:r w:rsidR="007148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</w:p>
          <w:p w14:paraId="461CF33F" w14:textId="77777777" w:rsidR="000F1061" w:rsidRDefault="000F1061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01B282A1" w14:textId="6D0974D2" w:rsidR="000F1061" w:rsidRDefault="00DF5A14" w:rsidP="000F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Pastāvošais tiesiskais regulējums paredz ES ETS funkcionēšanu trešajā periodā (2013.-2020.gads), bet ne ceturtajā periodā. </w:t>
            </w:r>
            <w:r w:rsidR="00EC0C6F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Šobrīd Latvijas normatī</w:t>
            </w:r>
            <w:r w:rsidR="008457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vie akti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arī </w:t>
            </w:r>
            <w:r w:rsidR="008457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neatbilst Direktīvā </w:t>
            </w:r>
            <w:r w:rsidR="00EC0C6F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2018/410 iekļautajiem nosacījumiem,</w:t>
            </w:r>
            <w:r w:rsidR="00194B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jo</w:t>
            </w:r>
            <w:r w:rsidR="00EC0C6F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Latvijas tiesību aktos nav</w:t>
            </w:r>
            <w:r w:rsidR="000E129A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3120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pārņemtas</w:t>
            </w:r>
            <w:r w:rsidR="005664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visas</w:t>
            </w:r>
            <w:r w:rsidR="000E129A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D</w:t>
            </w:r>
            <w:r w:rsidR="00EC0C6F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irektīvas </w:t>
            </w:r>
            <w:r w:rsidR="003120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2018/410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5664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normas</w:t>
            </w:r>
            <w:r w:rsidR="00100A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  <w:r w:rsidR="005915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Tas nozīmē, ka Latvijā ES ETS ceturtajā periodā nefunkcionētu. </w:t>
            </w:r>
            <w:r w:rsidR="00F75A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</w:p>
          <w:p w14:paraId="089755E8" w14:textId="77777777" w:rsidR="00EC0C6F" w:rsidRPr="003D7F0C" w:rsidRDefault="00EC0C6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30C75217" w14:textId="0F8759CC" w:rsidR="003D7F0C" w:rsidRDefault="00142B71" w:rsidP="00ED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Direktīv</w:t>
            </w:r>
            <w:r w:rsidR="009A17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2018/410</w:t>
            </w:r>
            <w:r w:rsidR="007478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DF5A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pieņemtie nosacījumi</w:t>
            </w:r>
            <w:r w:rsidR="009A17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kas attiecas uz </w:t>
            </w:r>
            <w:r w:rsidR="004A2D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ES ETS</w:t>
            </w:r>
            <w:r w:rsidR="00DF5A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9A17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ceturto periodu ir jāpārņem</w:t>
            </w:r>
            <w:r w:rsidR="009A179C" w:rsidRPr="003D7F0C">
              <w:rPr>
                <w:rFonts w:ascii="Times New Roman" w:hAnsi="Times New Roman" w:cs="Times New Roman"/>
                <w:sz w:val="24"/>
                <w:szCs w:val="24"/>
              </w:rPr>
              <w:t xml:space="preserve"> Ministru Kabineta 2013.gada 26.februāra noteikumos Nr. 112 „Emisijas kvotu piešķiršanas kārtība stacionāro tehnoloģisko iekārtu operatoriem”</w:t>
            </w:r>
            <w:r w:rsidR="009A179C">
              <w:rPr>
                <w:rFonts w:ascii="Times New Roman" w:hAnsi="Times New Roman" w:cs="Times New Roman"/>
                <w:sz w:val="24"/>
                <w:szCs w:val="24"/>
              </w:rPr>
              <w:t xml:space="preserve">, lai nodrošinātu </w:t>
            </w:r>
            <w:r w:rsidR="004A2D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ES ETS </w:t>
            </w:r>
            <w:r w:rsidR="005915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funkcionēšanu Latvijā ES ETS  ceturtā </w:t>
            </w:r>
            <w:r w:rsidR="004A2D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perioda ietvaros.</w:t>
            </w:r>
          </w:p>
          <w:p w14:paraId="69A507A8" w14:textId="77777777" w:rsidR="009A179C" w:rsidRDefault="009A179C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7B23A6EC" w14:textId="77777777" w:rsidR="00DF5A14" w:rsidRDefault="00DF5A14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</w:t>
            </w:r>
            <w:r w:rsidR="009A17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oteikumu projekts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nosaka:</w:t>
            </w:r>
          </w:p>
          <w:p w14:paraId="21C7A558" w14:textId="4E9D0995" w:rsidR="009A179C" w:rsidRDefault="0056647B" w:rsidP="00ED539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Jaunas ES ETS iekārtas definīciju atbilstoši ES ETS ceturtajam periodam</w:t>
            </w:r>
            <w:r w:rsidR="00DF5A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;</w:t>
            </w:r>
          </w:p>
          <w:p w14:paraId="031EF352" w14:textId="72E0F856" w:rsidR="006B64B6" w:rsidRDefault="0056647B" w:rsidP="00ED539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Esošas ES ETS iekārtas definīciju atbilstoši ES ETS ceturtajam periodam</w:t>
            </w:r>
            <w:r w:rsidR="006B64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;</w:t>
            </w:r>
          </w:p>
          <w:p w14:paraId="556935CD" w14:textId="145EEBD1" w:rsidR="00DF5A14" w:rsidRDefault="00DF5A14" w:rsidP="00ED539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Nosacījumus esošas iekārtas bezmaksas piešķiramo emisijas kvotu apjoma grozījumiem;</w:t>
            </w:r>
          </w:p>
          <w:p w14:paraId="4041EF56" w14:textId="188964C7" w:rsidR="00DF5A14" w:rsidRDefault="00DF5A14" w:rsidP="00ED539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Papildu prasības </w:t>
            </w:r>
            <w:r w:rsidR="004A2D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ES ETS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verificētāju akreditācijai;</w:t>
            </w:r>
          </w:p>
          <w:p w14:paraId="1ED39DB1" w14:textId="77777777" w:rsidR="00F75AA3" w:rsidRDefault="004A2D2C" w:rsidP="00ED539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ES ETS</w:t>
            </w:r>
            <w:r w:rsidR="00DF5A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ceturtajā periodā izmantojamo lineāro samazinājuma koeficientu apakšiekārtu galīgo emisijas kvotu aprēķinam.</w:t>
            </w:r>
          </w:p>
          <w:p w14:paraId="7052F62F" w14:textId="77777777" w:rsidR="007C768C" w:rsidRPr="007C768C" w:rsidRDefault="007C768C" w:rsidP="007C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3C879C5F" w14:textId="47A95489" w:rsidR="000F1061" w:rsidRPr="000F1061" w:rsidRDefault="000F1061" w:rsidP="000F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Direktīva ietekmē ES ETS operatorus tiešā veidā mainoties bezmaksas emisijas kvotu piešķiršanas nosacījumiem un tādejādi arī to daudzumam.</w:t>
            </w:r>
          </w:p>
        </w:tc>
      </w:tr>
      <w:tr w:rsidR="009470CF" w:rsidRPr="003D7F0C" w14:paraId="24104185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B046D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95D544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izstrādē iesaistītās institūcijas un publiskas personas kapitālsabiedrības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35B5B" w14:textId="77777777" w:rsidR="00E5323B" w:rsidRDefault="009E44FB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VARAM</w:t>
            </w:r>
          </w:p>
          <w:p w14:paraId="1974A11B" w14:textId="77777777" w:rsidR="009E44FB" w:rsidRDefault="009E44FB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Valsts vides dienests (</w:t>
            </w:r>
            <w:r w:rsidR="00C04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turpmāk -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VVD)</w:t>
            </w:r>
          </w:p>
          <w:p w14:paraId="2A5543A1" w14:textId="5ECD1CC7" w:rsidR="009E44FB" w:rsidRPr="003D7F0C" w:rsidRDefault="000C023D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Sabiedrība ar ierobežotu atbildību “</w:t>
            </w:r>
            <w:r w:rsidR="009E44FB" w:rsidRPr="009E44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Latvijas Vides, ģeol</w:t>
            </w:r>
            <w:r w:rsidR="009E44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oģijas un meteoroloģijas centrs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”</w:t>
            </w:r>
            <w:r w:rsidR="009E44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(</w:t>
            </w:r>
            <w:r w:rsidR="00C04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turpmāk - </w:t>
            </w:r>
            <w:r w:rsidR="009E44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LVĢMC)</w:t>
            </w:r>
          </w:p>
        </w:tc>
      </w:tr>
      <w:tr w:rsidR="009470CF" w:rsidRPr="003D7F0C" w14:paraId="604DFD6B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E507A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224E6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5E5776" w14:textId="77777777" w:rsidR="00E5323B" w:rsidRPr="003D7F0C" w:rsidRDefault="008C49C3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2AFFCA83" w14:textId="77777777" w:rsidR="00E5323B" w:rsidRPr="003D7F0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D7F0C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9470CF" w:rsidRPr="003D7F0C" w14:paraId="18743E86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8D8DC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II. Tiesību akta projekta ietekme uz sabiedrību, tautsaimniecības attīstību un administratīvo slogu</w:t>
            </w:r>
          </w:p>
        </w:tc>
      </w:tr>
      <w:tr w:rsidR="009470CF" w:rsidRPr="003D7F0C" w14:paraId="2343151F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F62E9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D26262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1505FF" w14:textId="77777777" w:rsidR="0068404E" w:rsidRDefault="0068404E" w:rsidP="00C02089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840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Latvijas emisijas kvotu </w:t>
            </w:r>
            <w:r w:rsidR="00C04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tirdzniecības sistēmas operatori</w:t>
            </w:r>
            <w:r w:rsidRPr="006840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 kuri veic kādu no likuma „Par piesārņojumu” 2.pielikumā minētajām darbībām un kuriem ir izsniegtas siltumnīcefekta gāzu emisijas atļaujas;</w:t>
            </w:r>
          </w:p>
          <w:p w14:paraId="6093CA8C" w14:textId="77777777" w:rsidR="00C041A4" w:rsidRPr="0068404E" w:rsidRDefault="00C041A4" w:rsidP="00C02089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C04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Kādā no Eiropas Savienības dalībvalstīm atbilstības novērtēšanas institūcijā vai Latvijā akredi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tēti vides darbību verificētāji;</w:t>
            </w:r>
          </w:p>
          <w:p w14:paraId="20CE3E91" w14:textId="77777777" w:rsidR="00F071F1" w:rsidRPr="003D7F0C" w:rsidRDefault="00C041A4" w:rsidP="00C0208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VARAM</w:t>
            </w:r>
            <w:r w:rsidR="003F11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VVD, LVĢMC un </w:t>
            </w:r>
            <w:r w:rsidR="00F071F1" w:rsidRPr="00F071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Latvijas Nacionālais akreditācijas birojs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(turpmāk – LATAK)</w:t>
            </w:r>
          </w:p>
        </w:tc>
      </w:tr>
      <w:tr w:rsidR="009470CF" w:rsidRPr="003D7F0C" w14:paraId="7BA9D429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E14EF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C60A62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99FF1" w14:textId="18E080FE" w:rsidR="001A5D71" w:rsidRPr="003D7F0C" w:rsidRDefault="008A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8A0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Sabiedrības grupām un institūcijām projekta tiesiskais regulējums nemaina tiesības un pienākumus, kā arī veicamās darbības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  <w:tr w:rsidR="009470CF" w:rsidRPr="003D7F0C" w14:paraId="1817D785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D3396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0E3B8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D0F12" w14:textId="77777777" w:rsidR="00E5323B" w:rsidRPr="003D7F0C" w:rsidRDefault="001B0F84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</w:t>
            </w:r>
          </w:p>
        </w:tc>
      </w:tr>
      <w:tr w:rsidR="009470CF" w:rsidRPr="003D7F0C" w14:paraId="620C4395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3C2B6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19F34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Atbilstības izmaksu monetārs novērtējums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8554A0" w14:textId="77777777" w:rsidR="00E5323B" w:rsidRPr="003D7F0C" w:rsidRDefault="000179DE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</w:t>
            </w:r>
          </w:p>
        </w:tc>
      </w:tr>
      <w:tr w:rsidR="009470CF" w:rsidRPr="003D7F0C" w14:paraId="3B47ABFC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99395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EF768C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3B445" w14:textId="77777777" w:rsidR="00E5323B" w:rsidRPr="003D7F0C" w:rsidRDefault="003D7F0C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479DB232" w14:textId="77777777" w:rsidR="00E5323B" w:rsidRPr="003D7F0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D7F0C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5"/>
      </w:tblGrid>
      <w:tr w:rsidR="009470CF" w:rsidRPr="003D7F0C" w14:paraId="6C374C79" w14:textId="77777777" w:rsidTr="00A42DD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A053B" w14:textId="77777777" w:rsidR="009470CF" w:rsidRPr="003D7F0C" w:rsidRDefault="009470CF" w:rsidP="00A4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III. Tiesību akta projekta ietekme uz valsts budžetu un pašvaldību budžetiem</w:t>
            </w:r>
          </w:p>
        </w:tc>
      </w:tr>
      <w:tr w:rsidR="009470CF" w:rsidRPr="003D7F0C" w14:paraId="0F548658" w14:textId="77777777" w:rsidTr="00A42DD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DA5F6" w14:textId="77777777" w:rsidR="009470CF" w:rsidRPr="003D7F0C" w:rsidRDefault="009470CF" w:rsidP="00A4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Projekts šo jomu neskar</w:t>
            </w:r>
          </w:p>
        </w:tc>
      </w:tr>
    </w:tbl>
    <w:p w14:paraId="38B28562" w14:textId="77777777" w:rsidR="009470CF" w:rsidRPr="003D7F0C" w:rsidRDefault="009470CF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</w:p>
    <w:p w14:paraId="33B3C8E9" w14:textId="77777777" w:rsidR="00E5323B" w:rsidRPr="003D7F0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D7F0C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9470CF" w:rsidRPr="003D7F0C" w14:paraId="1942B22F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F50FD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IV. Tiesību akta projekta ietekme uz spēkā esošo tiesību normu sistēmu</w:t>
            </w:r>
          </w:p>
        </w:tc>
      </w:tr>
      <w:tr w:rsidR="009470CF" w:rsidRPr="003D7F0C" w14:paraId="1A13E472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A785C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A83F9B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Saistītie tiesību aktu projekti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D0383" w14:textId="77777777" w:rsidR="00F14F2F" w:rsidRPr="00F14F2F" w:rsidRDefault="00F14F2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Tiek gatavots konceptuālais</w:t>
            </w:r>
            <w:r w:rsidRPr="00F14F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ziņojum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</w:t>
            </w:r>
            <w:r w:rsidRPr="00F14F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“Par bezmaksas </w:t>
            </w:r>
          </w:p>
          <w:p w14:paraId="619C8923" w14:textId="77777777" w:rsidR="00F14F2F" w:rsidRPr="00F14F2F" w:rsidRDefault="00F14F2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F14F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emisijas kvotu piešķiršanu elektroenerģijas ražotājiem </w:t>
            </w:r>
          </w:p>
          <w:p w14:paraId="4D45E7AB" w14:textId="77777777" w:rsidR="00F14F2F" w:rsidRPr="00F14F2F" w:rsidRDefault="00F14F2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F14F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Eiropas Savienības emisiju tirdzniecības sistēmas </w:t>
            </w:r>
          </w:p>
          <w:p w14:paraId="0DD570CD" w14:textId="77777777" w:rsidR="00F14F2F" w:rsidRDefault="00F14F2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2021. - 2030. gada periodā”, ar kuru tiek pieņemts lēmums par Direktīvas 2018/410 1.panta 15.punktā izteiktā Direktīvas 2003/87/EK 10.c</w:t>
            </w: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panta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prasībām, kura ietvaros dalībvalstīm ir rīcības brīvība.</w:t>
            </w:r>
          </w:p>
          <w:p w14:paraId="50552E9B" w14:textId="77777777" w:rsidR="00F14F2F" w:rsidRDefault="00F14F2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4FEE84F1" w14:textId="77777777" w:rsidR="00EC607F" w:rsidRDefault="000179DE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</w:t>
            </w:r>
            <w:r w:rsidR="00DA48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k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</w:t>
            </w:r>
            <w:r w:rsidR="00DA48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gatavots likumprojekts</w:t>
            </w:r>
            <w:r w:rsidR="008A0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“Klimata likums</w:t>
            </w:r>
            <w:r w:rsidR="00FB2A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”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 kurā tiks pārņemtas Direktīvas 2018/410</w:t>
            </w:r>
            <w:r w:rsidR="00DA48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1.panta 16. un 39.punktu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prasības</w:t>
            </w:r>
            <w:r w:rsidR="00DA48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  <w:p w14:paraId="0C6EDFDB" w14:textId="77777777" w:rsidR="00AB18A5" w:rsidRDefault="00AB18A5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6EE9CABF" w14:textId="68A5902C" w:rsidR="00AB18A5" w:rsidRPr="003D7F0C" w:rsidRDefault="00AB18A5" w:rsidP="00AB1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Tiek gatavots rīkojuma pr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ojekts iekārtu saraksta izstrādei, kurā tiks pārņemta Direktīvas 2018/410 1.panta 17.punktā izteiktā </w:t>
            </w: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11.panta 1.punkta 2.rindkopa</w:t>
            </w:r>
          </w:p>
        </w:tc>
      </w:tr>
      <w:tr w:rsidR="009470CF" w:rsidRPr="003D7F0C" w14:paraId="11DEB9D8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2FA1FD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61FB5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Atbildīgā institūcija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DB3075" w14:textId="77777777" w:rsidR="00EC607F" w:rsidRPr="003D7F0C" w:rsidRDefault="006B4FB9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VARAM, VVD</w:t>
            </w:r>
          </w:p>
        </w:tc>
      </w:tr>
      <w:tr w:rsidR="009470CF" w:rsidRPr="003D7F0C" w14:paraId="1D6C56E2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C55EF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C969B9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E9A505" w14:textId="77777777" w:rsidR="00E5323B" w:rsidRPr="003D7F0C" w:rsidRDefault="009C6DAC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604DDA11" w14:textId="77777777" w:rsidR="00E5323B" w:rsidRPr="003D7F0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D7F0C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9470CF" w:rsidRPr="003D7F0C" w14:paraId="771AB4C4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3A055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V. Tiesību akta projekta atbilstība Latvijas Republikas starptautiskajām saistībām</w:t>
            </w:r>
          </w:p>
        </w:tc>
      </w:tr>
      <w:tr w:rsidR="009470CF" w:rsidRPr="003D7F0C" w14:paraId="6351A352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5C5E1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D51A2F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Saistības pret Eiropas Savienību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A67EB" w14:textId="315EEA95" w:rsidR="00E5323B" w:rsidRPr="003D7F0C" w:rsidRDefault="00710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</w:t>
            </w:r>
            <w:r w:rsidR="009470CF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projekts sagatavots, </w:t>
            </w:r>
            <w:r w:rsidR="004A2D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lai nodrošinātu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Direktīv</w:t>
            </w:r>
            <w:r w:rsidR="004A2D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as</w:t>
            </w:r>
            <w:r w:rsidR="009470CF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2018/410</w:t>
            </w:r>
            <w:r w:rsidR="008A0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</w:t>
            </w:r>
            <w:r w:rsidR="004A2D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pārņemšanu Latvijas normatīvajos aktos</w:t>
            </w:r>
            <w:r w:rsidR="005915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līdz 2019.gada 9.oktobrim.</w:t>
            </w:r>
          </w:p>
        </w:tc>
      </w:tr>
      <w:tr w:rsidR="009470CF" w:rsidRPr="003D7F0C" w14:paraId="37D7E79A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F371DB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3BC13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Citas starptautiskās saistības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2CC65" w14:textId="77777777" w:rsidR="00E5323B" w:rsidRPr="003D7F0C" w:rsidRDefault="003D7F0C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</w:t>
            </w:r>
          </w:p>
        </w:tc>
      </w:tr>
      <w:tr w:rsidR="009470CF" w:rsidRPr="003D7F0C" w14:paraId="0B291CC9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CDF87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82B70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74904" w14:textId="77777777" w:rsidR="00E5323B" w:rsidRPr="003D7F0C" w:rsidRDefault="003D7F0C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43420816" w14:textId="77777777" w:rsidR="00E5323B" w:rsidRPr="003D7F0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D7F0C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69"/>
        <w:gridCol w:w="1953"/>
        <w:gridCol w:w="2060"/>
        <w:gridCol w:w="3073"/>
      </w:tblGrid>
      <w:tr w:rsidR="009470CF" w:rsidRPr="003D7F0C" w14:paraId="5C7F1398" w14:textId="77777777" w:rsidTr="00E5323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D0F41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1. tabula</w:t>
            </w: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br/>
              <w:t>Tiesību akta projekta atbilstība ES tiesību aktiem</w:t>
            </w:r>
          </w:p>
        </w:tc>
      </w:tr>
      <w:tr w:rsidR="009470CF" w:rsidRPr="003D7F0C" w14:paraId="04CD489B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F860A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Attiecīgā ES tiesību akta datums, numurs un nosaukums</w:t>
            </w:r>
          </w:p>
        </w:tc>
        <w:tc>
          <w:tcPr>
            <w:tcW w:w="387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65DC9C" w14:textId="3897248E" w:rsidR="00E5323B" w:rsidRPr="003D7F0C" w:rsidRDefault="00493F97" w:rsidP="00C02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493F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Eiropas Pa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rlamenta un Padomes 2018.gada 14</w:t>
            </w:r>
            <w:r w:rsidRPr="00493F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.marta </w:t>
            </w:r>
            <w:r w:rsidR="009B02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D</w:t>
            </w:r>
            <w:r w:rsidRPr="00493F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irektīva Nr.</w:t>
            </w:r>
            <w:r w:rsidR="009B02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 w:rsidRPr="00493F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2018/410</w:t>
            </w:r>
            <w:r w:rsidR="009B02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/ES</w:t>
            </w:r>
            <w:r w:rsidRPr="00493F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 ar ko groza Direktīvu 2003/87/EK, lai sekmētu emisiju izmaksefektīvu samazināšanu un investīcijas mazoglekļa risinājumos, un Lēmumu (ES) 2015/1814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9470CF" w:rsidRPr="003D7F0C" w14:paraId="155BBADE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7266B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9B4FB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B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0E06A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</w:t>
            </w: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E3D8A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D</w:t>
            </w:r>
          </w:p>
        </w:tc>
      </w:tr>
      <w:tr w:rsidR="0021180E" w:rsidRPr="003D7F0C" w14:paraId="599DE364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795872" w14:textId="6AA6E8A9" w:rsidR="0021180E" w:rsidRPr="0021180E" w:rsidRDefault="0021180E" w:rsidP="002118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2118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Attiecīgā ES tiesību akta panta numurs (uzskaitot katru tiesību akta vienību – pantu, daļu, punktu, apakšpunktu)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42DFB0" w14:textId="025171D6" w:rsidR="0021180E" w:rsidRPr="0021180E" w:rsidRDefault="0021180E" w:rsidP="002118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2118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vienība, kas pārņem vai ievieš katru šīs tabulas A ailē minēto ES tiesību akta vienību, vai tiesību akts, kur attiecīgā ES tiesību akta vienība pārņemta vai ieviesta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8C2758" w14:textId="3BD93495" w:rsidR="0021180E" w:rsidRPr="0021180E" w:rsidRDefault="0021180E" w:rsidP="002118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2118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lv-LV"/>
              </w:rPr>
              <w:t>Informācija par to, vai šīs tabulas A ailē minētās ES tiesību akta vienības tiek pārņemtas vai ieviestas pilnībā vai daļēji.</w:t>
            </w:r>
            <w:r w:rsidRPr="002118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lv-LV"/>
              </w:rPr>
              <w:br/>
              <w:t>Ja attiecīgā ES tiesību akta vienība tiek pārņemta vai ieviesta daļēji, sniedz attiecīgu skaidrojumu, kā arī precīzi norāda, kad un kādā veidā ES tiesību akta vienība tiks pārņemta vai ieviesta pilnībā.</w:t>
            </w:r>
            <w:r w:rsidRPr="002118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lv-LV"/>
              </w:rPr>
              <w:br/>
              <w:t>Norāda institūciju, kas ir atbildīga par šo saistību izpildi pilnībā</w:t>
            </w: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E54F3" w14:textId="043F8EBB" w:rsidR="0021180E" w:rsidRPr="0021180E" w:rsidRDefault="0021180E" w:rsidP="002118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2118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lv-LV"/>
              </w:rPr>
              <w:t>Informācija par to, vai šīs tabulas B ailē minētās projekta vienības paredz stingrākas prasības nekā šīs tabulas A ailē minētās ES tiesību akta vienības.</w:t>
            </w:r>
            <w:r w:rsidRPr="002118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lv-LV"/>
              </w:rPr>
              <w:br/>
              <w:t>Ja projekts satur stingrākas prasības nekā attiecīgais ES tiesību akts, norāda pamatojumu un samērīgumu.</w:t>
            </w:r>
            <w:r w:rsidRPr="002118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lv-LV"/>
              </w:rPr>
              <w:br/>
              <w:t>Norāda iespējamās alternatīvas (t. sk. alternatīvas, kas neparedz tiesiskā regulējuma izstrādi) – kādos gadījumos būtu iespējams izvairīties no stingrāku prasību noteikšanas, nekā paredzēts attiecīgajos ES tiesību aktos</w:t>
            </w:r>
          </w:p>
        </w:tc>
      </w:tr>
      <w:tr w:rsidR="009470CF" w:rsidRPr="003D7F0C" w14:paraId="3E749111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1C810E" w14:textId="77777777" w:rsidR="00E5323B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 xml:space="preserve">1.panta 7.punktā izteiktais </w:t>
            </w:r>
            <w:r w:rsidR="0054667D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3.panta h)apakšpunktus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FEEF3" w14:textId="77777777" w:rsidR="00E5323B" w:rsidRPr="003D7F0C" w:rsidRDefault="007903EC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BB50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 projekta 1</w:t>
            </w:r>
            <w:r w:rsidR="0054667D" w:rsidRPr="00BB50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.punkts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CE934E" w14:textId="77777777" w:rsidR="00E5323B" w:rsidRPr="003D7F0C" w:rsidRDefault="003D7F0C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Pārņemts pilnībā</w:t>
            </w: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F5E58F" w14:textId="77777777" w:rsidR="00E5323B" w:rsidRPr="003D7F0C" w:rsidRDefault="00710C6A" w:rsidP="00710C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Projekts ne</w:t>
            </w:r>
            <w:r w:rsidRPr="00710C6A">
              <w:rPr>
                <w:rFonts w:ascii="Times New Roman" w:hAnsi="Times New Roman"/>
                <w:sz w:val="24"/>
                <w:szCs w:val="24"/>
              </w:rPr>
              <w:t xml:space="preserve">paredz stingrākas prasības </w:t>
            </w:r>
          </w:p>
        </w:tc>
      </w:tr>
      <w:tr w:rsidR="00C54BD8" w:rsidRPr="003D7F0C" w14:paraId="3C9CCDB3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EE0528" w14:textId="77777777" w:rsidR="00C54BD8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8.punktā izteiktais </w:t>
            </w:r>
            <w:r w:rsidR="00C54BD8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3.d panta 3.punkts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488A0C" w14:textId="77777777" w:rsidR="00C54BD8" w:rsidRPr="003D7F0C" w:rsidRDefault="00C54BD8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 jāpārņem, jo nosacījumi attiecas tikai uz ES institūcijām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E4E93E" w14:textId="77777777" w:rsidR="00C54BD8" w:rsidRPr="003D7F0C" w:rsidRDefault="00C54BD8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D4C52B" w14:textId="77777777" w:rsidR="00C54BD8" w:rsidRPr="003D7F0C" w:rsidRDefault="00C54BD8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67D" w:rsidRPr="003D7F0C" w14:paraId="43FD39AE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8C2604" w14:textId="77777777" w:rsidR="0054667D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12.punktā izteiktā </w:t>
            </w:r>
            <w:r w:rsidR="0054667D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9.panta otrā daļa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9B4710" w14:textId="77777777" w:rsidR="0054667D" w:rsidRPr="003D7F0C" w:rsidRDefault="0054667D" w:rsidP="007903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BB50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Noteikumu projekta </w:t>
            </w:r>
            <w:r w:rsidR="00A25B68" w:rsidRPr="00BB50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9</w:t>
            </w:r>
            <w:r w:rsidRPr="00BB50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.punkts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0201F6" w14:textId="77777777" w:rsidR="0054667D" w:rsidRPr="003D7F0C" w:rsidRDefault="0054667D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Pārņemts pilnībā</w:t>
            </w: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120957" w14:textId="77777777" w:rsidR="0054667D" w:rsidRPr="003D7F0C" w:rsidRDefault="00710C6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Projekts ne</w:t>
            </w:r>
            <w:r w:rsidRPr="00710C6A">
              <w:rPr>
                <w:rFonts w:ascii="Times New Roman" w:hAnsi="Times New Roman"/>
                <w:sz w:val="24"/>
                <w:szCs w:val="24"/>
              </w:rPr>
              <w:t>paredz stingrākas prasības</w:t>
            </w:r>
          </w:p>
        </w:tc>
      </w:tr>
      <w:tr w:rsidR="00C54BD8" w:rsidRPr="003D7F0C" w14:paraId="3A6B1265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9A916A" w14:textId="77777777" w:rsidR="00C54BD8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13.punktā izteiktais </w:t>
            </w:r>
            <w:r w:rsidR="00C54BD8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10.pants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C97B1C" w14:textId="77777777" w:rsidR="00C54BD8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848E5C" w14:textId="77777777" w:rsidR="00C54BD8" w:rsidRPr="003D7F0C" w:rsidRDefault="00C54BD8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5600D6" w14:textId="77777777" w:rsidR="00C54BD8" w:rsidRPr="003D7F0C" w:rsidRDefault="00C54BD8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93A" w:rsidRPr="003D7F0C" w14:paraId="712E92B8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AD81E3" w14:textId="77777777" w:rsidR="00F9193A" w:rsidRPr="003D7F0C" w:rsidRDefault="00F337D1" w:rsidP="00F337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a)apakšpunktā izteiktais 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10.a panta 1.apakšpunkts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ab/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5CA918" w14:textId="77777777" w:rsidR="00F9193A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CFF06F" w14:textId="77777777" w:rsidR="00F9193A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47AFC2" w14:textId="77777777" w:rsidR="00F9193A" w:rsidRPr="003D7F0C" w:rsidRDefault="00F9193A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BD8" w:rsidRPr="003D7F0C" w14:paraId="34F8FEB4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BF96C1" w14:textId="77777777" w:rsidR="00C54BD8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b)apakšpunktā izteiktais </w:t>
            </w:r>
            <w:r w:rsidR="00C54BD8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10.a panta 2.apakšpunkts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0731F9" w14:textId="77777777" w:rsidR="00C54BD8" w:rsidRPr="003D7F0C" w:rsidRDefault="00C54BD8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 jāpārņem, jo nosacījumi attiecas tikai uz ES institūcijām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14D85A" w14:textId="77777777" w:rsidR="00C54BD8" w:rsidRPr="003D7F0C" w:rsidRDefault="00C54BD8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CC5B2" w14:textId="77777777" w:rsidR="00C54BD8" w:rsidRPr="003D7F0C" w:rsidRDefault="00C54BD8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BD8" w:rsidRPr="003D7F0C" w14:paraId="73AEF165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500C57" w14:textId="77777777" w:rsidR="00C54BD8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c)apakšpunktā izteiktais </w:t>
            </w:r>
            <w:r w:rsidR="00C54BD8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10.a panta 4.apakšpunkts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65459" w14:textId="77777777" w:rsidR="00C54BD8" w:rsidRPr="003D7F0C" w:rsidRDefault="00C54BD8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 jāpārņem, jo grozījumi attiecas uz regulas atsauces maiņu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EC602" w14:textId="77777777" w:rsidR="00C54BD8" w:rsidRPr="003D7F0C" w:rsidRDefault="00C54BD8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CEEEE0" w14:textId="77777777" w:rsidR="00C54BD8" w:rsidRPr="003D7F0C" w:rsidRDefault="00C54BD8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93A" w:rsidRPr="003D7F0C" w14:paraId="0AEFACDD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6FB0B8" w14:textId="77777777" w:rsidR="00F9193A" w:rsidRPr="003D7F0C" w:rsidRDefault="00F337D1" w:rsidP="00F919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d)apakšpunktā izteiktais 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10.a panta 5.apakšpunkts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ab/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DB5497" w14:textId="77777777" w:rsidR="00F9193A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490537" w14:textId="77777777" w:rsidR="00F9193A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59D93C" w14:textId="77777777" w:rsidR="00F9193A" w:rsidRPr="003D7F0C" w:rsidRDefault="00F9193A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93A" w:rsidRPr="003D7F0C" w14:paraId="130344A1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75A80" w14:textId="77777777" w:rsidR="00F9193A" w:rsidRPr="00F9193A" w:rsidRDefault="00F337D1" w:rsidP="00F919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e)apakšpunktā izteiktais </w:t>
            </w:r>
            <w:r w:rsid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10.a panta 5a un 5b 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apakšpunkts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ab/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E7AD87" w14:textId="77777777" w:rsidR="00F9193A" w:rsidRPr="00F9193A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F8E364" w14:textId="77777777" w:rsidR="00F9193A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385AE1" w14:textId="77777777" w:rsidR="00F9193A" w:rsidRPr="003D7F0C" w:rsidRDefault="00F9193A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93A" w:rsidRPr="003D7F0C" w14:paraId="4378479A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6C94A0" w14:textId="77777777" w:rsidR="00F9193A" w:rsidRDefault="00F337D1" w:rsidP="00F919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f)apakšpunktā izteiktais 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10.a panta 6.apakšpunkts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ab/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8EAA8D" w14:textId="77777777" w:rsidR="00F9193A" w:rsidRPr="00F9193A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710C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Latvija šo nosacījumu neizvēlas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319068" w14:textId="215A2329" w:rsidR="00F9193A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7DAD8F" w14:textId="77777777" w:rsidR="00F9193A" w:rsidRPr="003D7F0C" w:rsidRDefault="00F9193A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93A" w:rsidRPr="003D7F0C" w14:paraId="247EE0EB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5FB423" w14:textId="77777777" w:rsidR="00F9193A" w:rsidRPr="00F9193A" w:rsidRDefault="00F337D1" w:rsidP="00F919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g)apakšpunktā izteiktais 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10.a 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panta 7.apakšpunkts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ab/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8E90B7" w14:textId="77777777" w:rsidR="00F9193A" w:rsidRPr="00F9193A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lv-LV"/>
              </w:rPr>
            </w:pPr>
            <w:r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526279" w14:textId="77777777" w:rsidR="00F9193A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872F4" w14:textId="77777777" w:rsidR="00F9193A" w:rsidRPr="003D7F0C" w:rsidRDefault="00F9193A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93A" w:rsidRPr="003D7F0C" w14:paraId="63BA6158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876EE3" w14:textId="77777777" w:rsidR="00F9193A" w:rsidRPr="00F9193A" w:rsidRDefault="00F337D1" w:rsidP="00F919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h)apakšpunktā izteiktais 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10.a panta 8.apakšpunkts</w:t>
            </w:r>
            <w:r w:rsidR="00F9193A"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ab/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5DA4D" w14:textId="77777777" w:rsidR="00F9193A" w:rsidRPr="00F9193A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847BAA" w14:textId="77777777" w:rsidR="00F9193A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88EB5F" w14:textId="77777777" w:rsidR="00F9193A" w:rsidRPr="003D7F0C" w:rsidRDefault="00F9193A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BD8" w:rsidRPr="003D7F0C" w14:paraId="3BD4189A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3551E7" w14:textId="77777777" w:rsidR="00C54BD8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i)apakšpunktā izteiktais </w:t>
            </w:r>
            <w:r w:rsidR="00C54BD8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10.a panta 9.apakšpunkts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93B1BC" w14:textId="77777777" w:rsidR="00C54BD8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Grieķiju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63038" w14:textId="77777777" w:rsidR="00C54BD8" w:rsidRPr="003D7F0C" w:rsidRDefault="00C54BD8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4C204" w14:textId="77777777" w:rsidR="00C54BD8" w:rsidRPr="003D7F0C" w:rsidRDefault="00C54BD8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67D" w:rsidRPr="003D7F0C" w14:paraId="344F9EBB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C09D3E" w14:textId="77777777" w:rsidR="0054667D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m)apakšpunktā izteiktais </w:t>
            </w:r>
            <w:r w:rsidR="0054667D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10.a panta 20.apakšpunkts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5D306F" w14:textId="77777777" w:rsidR="0054667D" w:rsidRPr="003D7F0C" w:rsidRDefault="00A25B68" w:rsidP="007903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BB50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 projekta 3</w:t>
            </w:r>
            <w:r w:rsidR="0054667D" w:rsidRPr="00BB50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.punkts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7F528" w14:textId="77777777" w:rsidR="0054667D" w:rsidRPr="003D7F0C" w:rsidRDefault="00346F2D" w:rsidP="00346F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</w:t>
            </w:r>
            <w:r w:rsidR="0054667D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ārņemts pilnībā</w:t>
            </w: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24C96A" w14:textId="77777777" w:rsidR="0054667D" w:rsidRPr="003D7F0C" w:rsidRDefault="00710C6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Projekts ne</w:t>
            </w:r>
            <w:r w:rsidRPr="00710C6A">
              <w:rPr>
                <w:rFonts w:ascii="Times New Roman" w:hAnsi="Times New Roman"/>
                <w:sz w:val="24"/>
                <w:szCs w:val="24"/>
              </w:rPr>
              <w:t>paredz stingrākas prasības</w:t>
            </w:r>
          </w:p>
        </w:tc>
      </w:tr>
      <w:tr w:rsidR="00F9193A" w:rsidRPr="003D7F0C" w14:paraId="2666FB84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8940C0" w14:textId="77777777" w:rsidR="00F9193A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n)apakšpunktā izteiktais </w:t>
            </w:r>
            <w:r w:rsid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10.a panta 21.apakšpunkts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85F744" w14:textId="77777777" w:rsidR="00F9193A" w:rsidRPr="003D7F0C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6BCCBC" w14:textId="77777777" w:rsidR="00F9193A" w:rsidRPr="003D7F0C" w:rsidRDefault="00F9193A" w:rsidP="00346F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9A2AC1" w14:textId="77777777" w:rsidR="00F9193A" w:rsidRPr="003D7F0C" w:rsidRDefault="00F9193A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93A" w:rsidRPr="003D7F0C" w14:paraId="7E1E1F7F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BC2C8" w14:textId="77777777" w:rsidR="00F9193A" w:rsidRDefault="00F337D1" w:rsidP="00F337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15.punktā izteiktais </w:t>
            </w:r>
            <w:r w:rsidR="00F91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10.b pants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FC459A" w14:textId="77777777" w:rsidR="00F9193A" w:rsidRDefault="00F9193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0701B4" w14:textId="77777777" w:rsidR="00F9193A" w:rsidRPr="003D7F0C" w:rsidRDefault="00F9193A" w:rsidP="00346F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951A5" w14:textId="77777777" w:rsidR="00F9193A" w:rsidRPr="003D7F0C" w:rsidRDefault="00F9193A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BD8" w:rsidRPr="003D7F0C" w14:paraId="57381E23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915554" w14:textId="77777777" w:rsidR="00C54BD8" w:rsidRPr="003D7F0C" w:rsidRDefault="00F337D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20.punktā izteiktais </w:t>
            </w:r>
            <w:r w:rsidR="00C54BD8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12.panta 4.punkts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83352E" w14:textId="77777777" w:rsidR="00C54BD8" w:rsidRPr="003D7F0C" w:rsidRDefault="008A428C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710C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Latvija šo nosacījumu neizvēlas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9C125B" w14:textId="77777777" w:rsidR="00C54BD8" w:rsidRPr="003D7F0C" w:rsidRDefault="00C54BD8" w:rsidP="0054667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791570" w14:textId="77777777" w:rsidR="00C54BD8" w:rsidRPr="003D7F0C" w:rsidRDefault="00C54BD8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7B7A128A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E90440" w14:textId="77777777" w:rsidR="00EA60DF" w:rsidRPr="003D7F0C" w:rsidRDefault="00F337D1" w:rsidP="00F337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22.punktā izteiktais </w:t>
            </w:r>
            <w:r w:rsidR="00EA60DF"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14.panta 1.punkts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54D56D" w14:textId="77777777" w:rsidR="00EA60DF" w:rsidRPr="003D7F0C" w:rsidRDefault="00EA60DF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8CB00F" w14:textId="77777777" w:rsidR="00EA60DF" w:rsidRPr="003D7F0C" w:rsidRDefault="00EA60DF" w:rsidP="0054667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4AF3DB" w14:textId="77777777" w:rsidR="00EA60DF" w:rsidRPr="003D7F0C" w:rsidRDefault="00EA60DF" w:rsidP="00E53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3948743E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262D40" w14:textId="77777777" w:rsidR="00EA60DF" w:rsidRPr="003D7F0C" w:rsidRDefault="00F337D1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23.punktā izteiktā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15. panta ceturtā un piektā daļa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A2A020" w14:textId="28BC8AA6" w:rsidR="00EA60DF" w:rsidRPr="003D7F0C" w:rsidRDefault="00BA0718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 projekta 4.</w:t>
            </w:r>
            <w:r w:rsidRPr="00BA0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punkts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E5EE74" w14:textId="71C275AC" w:rsidR="00EA60DF" w:rsidRPr="003D7F0C" w:rsidRDefault="00BA0718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Pārņemts pilnībā</w:t>
            </w: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F99150" w14:textId="726492D8" w:rsidR="00EA60DF" w:rsidRPr="003D7F0C" w:rsidRDefault="00BA0718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Projekts ne</w:t>
            </w:r>
            <w:r w:rsidRPr="00710C6A">
              <w:rPr>
                <w:rFonts w:ascii="Times New Roman" w:hAnsi="Times New Roman"/>
                <w:sz w:val="24"/>
                <w:szCs w:val="24"/>
              </w:rPr>
              <w:t>paredz stingrākas prasības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A60DF" w:rsidRPr="003D7F0C" w14:paraId="58E11690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A0419F" w14:textId="77777777" w:rsidR="00EA60DF" w:rsidRPr="003D7F0C" w:rsidRDefault="00F337D1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24.punktā izteiktais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16.panta 12.punkts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023519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BBCCBB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AA1B2B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329E851D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2B7943" w14:textId="77777777" w:rsidR="00EA60DF" w:rsidRPr="003D7F0C" w:rsidRDefault="00F337D1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25.punktā izteiktais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19.panta 3.punkts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D7EF34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00A55D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D4A3DA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0B4100E9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6575BE" w14:textId="77777777" w:rsidR="00EA60DF" w:rsidRPr="003D7F0C" w:rsidRDefault="00F337D1" w:rsidP="00F337D1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26.punkta a)apakšpunktā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 xml:space="preserve">izteiktais </w:t>
            </w:r>
            <w:r w:rsidR="00EA60DF" w:rsidRPr="003D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21.panta 1.punkts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62BA15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89C372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BC427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5D5FDF01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CC9E1F" w14:textId="77777777" w:rsidR="00EA60DF" w:rsidRPr="003D7F0C" w:rsidRDefault="00F337D1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26.punkta b)apakšpunktā izteiktais </w:t>
            </w:r>
            <w:r w:rsidR="00EA60DF" w:rsidRPr="003D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21.panta 4.punkts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DADCEF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5A9636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18A35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547EF1D0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FB1BB4" w14:textId="77777777" w:rsidR="00EA60DF" w:rsidRPr="003D7F0C" w:rsidRDefault="00D12F1D" w:rsidP="00D12F1D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27.punktā izteiktais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22.pants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62A946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04B6F3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EB5DED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5B93F486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0F928E" w14:textId="77777777" w:rsidR="00EA60DF" w:rsidRPr="003D7F0C" w:rsidRDefault="00D12F1D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28.punktā izteiktais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22a. pants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760AD4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A5E88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593005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540A91FE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18A82C" w14:textId="77777777" w:rsidR="00EA60DF" w:rsidRPr="003D7F0C" w:rsidRDefault="00D12F1D" w:rsidP="00D12F1D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29.punktā izteiktais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23.pants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F8849E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0452B3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E58ACB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65BCC749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8FAE0B" w14:textId="77777777" w:rsidR="00EA60DF" w:rsidRPr="003D7F0C" w:rsidRDefault="00D12F1D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30.punkta a)apakšpunktā izteiktais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24. pants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149DA3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F02E30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28B536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3FADBF50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36203A" w14:textId="77777777" w:rsidR="00EA60DF" w:rsidRPr="003D7F0C" w:rsidRDefault="00D12F1D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30.punkta b)apakšpunktā izteiktā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24.panta 3.punkta otrā daļa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F0958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63841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F8F3CC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5EA83388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91309D" w14:textId="77777777" w:rsidR="00EA60DF" w:rsidRPr="003D7F0C" w:rsidRDefault="00D12F1D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31.punkta a)apakšpunktā izteiktais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24.a panta 1.punkts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02B4A0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D843CD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ADFBF8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03680149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CDCB75" w14:textId="77777777" w:rsidR="00EA60DF" w:rsidRPr="003D7F0C" w:rsidRDefault="00D12F1D" w:rsidP="00D12F1D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33.punktā izteiktais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25.a panta 1.punkts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34CA6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A073F7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8DA7B8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6EA040FD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05ECEA" w14:textId="77777777" w:rsidR="00EA60DF" w:rsidRPr="003D7F0C" w:rsidRDefault="00D12F1D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34.punktā izteiktā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27.panta 3.punkta otrā daļa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5EAAF8" w14:textId="77777777" w:rsidR="00EA60DF" w:rsidRPr="003D7F0C" w:rsidRDefault="00963C01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D1BD65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5B823D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775D89EC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EA1A28" w14:textId="77777777" w:rsidR="00EA60DF" w:rsidRPr="003D7F0C" w:rsidRDefault="00D12F1D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35.punktā izteiktais </w:t>
            </w:r>
            <w:r w:rsidR="00EA60DF"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27.a pants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3FA27E7" w14:textId="77777777" w:rsidR="00EA60DF" w:rsidRPr="003D7F0C" w:rsidRDefault="0063612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EC2E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Latvija šo nosacījumu neizvēlas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D9ABAC" w14:textId="17800B9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BCEE8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1BC397AF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81154C" w14:textId="77777777" w:rsidR="00EA60DF" w:rsidRPr="003D7F0C" w:rsidRDefault="00D12F1D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36.punktā izteiktais </w:t>
            </w:r>
            <w:r w:rsidR="00EA60DF" w:rsidRPr="003D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28.c pants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1AFA79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07C316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D3CF47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4A546B23" w14:textId="77777777" w:rsidTr="00AB18A5">
        <w:trPr>
          <w:trHeight w:val="272"/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9ED397" w14:textId="77777777" w:rsidR="00EA60DF" w:rsidRPr="003D7F0C" w:rsidRDefault="00D12F1D" w:rsidP="00EA60DF">
            <w:pPr>
              <w:spacing w:before="60" w:after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 xml:space="preserve">1.panta 37.punktā izteiktais </w:t>
            </w:r>
            <w:r w:rsidR="00EA60DF" w:rsidRPr="003D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 pants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28187B" w14:textId="77777777" w:rsidR="00EA60DF" w:rsidRPr="003D7F0C" w:rsidRDefault="00485495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Attiecas uz Eiropas Komisiju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FEB3F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308B14" w14:textId="77777777" w:rsidR="00EA60DF" w:rsidRPr="003D7F0C" w:rsidRDefault="00EA60DF" w:rsidP="00EA6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0DF" w:rsidRPr="003D7F0C" w14:paraId="4F30EF1D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9EF4B5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Kā ir izmantota ES tiesību aktā paredzētā rīcības brīvība dalībvalstij pārņemt vai ieviest noteiktas ES tiesību akta normas? Kādēļ?</w:t>
            </w:r>
          </w:p>
        </w:tc>
        <w:tc>
          <w:tcPr>
            <w:tcW w:w="387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D9656" w14:textId="77777777" w:rsidR="00496AC0" w:rsidRDefault="00496AC0" w:rsidP="00496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Ar noteikumu projektu ir pārņemtas Direktīvas 2018/410 prasības: </w:t>
            </w:r>
            <w:r w:rsidRPr="00F245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1.panta 7.punktā i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zteikto 3.panta h)apakšpunktu;</w:t>
            </w:r>
          </w:p>
          <w:p w14:paraId="40DD18EA" w14:textId="77777777" w:rsidR="00496AC0" w:rsidRDefault="00496AC0" w:rsidP="00496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1.panta 12.punktā izteikto 9.panta otrā daļu;</w:t>
            </w:r>
          </w:p>
          <w:p w14:paraId="7D11A145" w14:textId="77777777" w:rsidR="00496AC0" w:rsidRDefault="00496AC0" w:rsidP="00496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14.punkta m)apakšpunktā izteikto </w:t>
            </w: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10.a panta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20.apakšpunktu;</w:t>
            </w:r>
          </w:p>
          <w:p w14:paraId="2864D339" w14:textId="77777777" w:rsidR="00496AC0" w:rsidRDefault="00496AC0" w:rsidP="00496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1.panta 17.punktā izteikto 11.panta 1.punkta 2.rindkopu;</w:t>
            </w:r>
          </w:p>
          <w:p w14:paraId="2BECECC1" w14:textId="2E5A3D74" w:rsidR="00496AC0" w:rsidRDefault="00496AC0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23.punktā izteikto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15. panta ceturto </w:t>
            </w:r>
            <w:r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daļ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</w:t>
            </w:r>
          </w:p>
          <w:p w14:paraId="3B43749E" w14:textId="77777777" w:rsidR="00496AC0" w:rsidRDefault="00496AC0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241E992D" w14:textId="77777777" w:rsidR="00CB110B" w:rsidRDefault="00EC2ED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Direktīvas 2018/410 1.panta 14.punkta f)apakšpunktā izteiktais 10.a panta 6.apakšpunkts netiek pārņemts, </w:t>
            </w:r>
            <w:r w:rsidR="00CB11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jo </w:t>
            </w:r>
            <w:r w:rsidR="00CB110B" w:rsidRPr="00CB11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Latvijai līdz šim nav bijušas iespējas šādu atbalstu sniegt</w:t>
            </w:r>
            <w:r w:rsidR="00CB11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un netiek plānots to sākt ceturtajā periodā. </w:t>
            </w:r>
          </w:p>
          <w:p w14:paraId="44E70985" w14:textId="77777777" w:rsidR="00EC2EDF" w:rsidRDefault="00EC2ED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6E6519AA" w14:textId="77777777" w:rsidR="00B305E2" w:rsidRDefault="00EC2EDF" w:rsidP="00ED5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1.panta 20.punktā izteiktais </w:t>
            </w: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12.panta 4.punkts</w:t>
            </w:r>
            <w:r w:rsidR="00B305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netiek pārņemts, jo kvotu anulēšana no kopējā izsolāmo </w:t>
            </w:r>
            <w:r w:rsidR="00B305E2" w:rsidRPr="00B305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kvotu daudzuma</w:t>
            </w:r>
            <w:r w:rsidR="00B305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</w:t>
            </w:r>
            <w:r w:rsidR="00B305E2" w:rsidRPr="00B305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B305E2" w:rsidRPr="00B305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ja dalībvalsts teritorijā papildu valsts pasākumu dēļ tiek slēgta elektroenerģijas ražošanas jauda, </w:t>
            </w:r>
            <w:r w:rsidR="00B305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negatīvi iespaidotu Latvijas budžeta ieņēmumus. </w:t>
            </w:r>
          </w:p>
          <w:p w14:paraId="3796939B" w14:textId="77777777" w:rsidR="00EC2EDF" w:rsidRPr="00B305E2" w:rsidRDefault="00EC2ED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26A97D19" w14:textId="77777777" w:rsidR="00EC2EDF" w:rsidRPr="003D7F0C" w:rsidRDefault="00EC2EDF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Direktīvas 2018/410 1.panta 35.punktā izteiktais </w:t>
            </w:r>
            <w:r w:rsidRPr="003D7F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27.a pants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netiek pārņemts, jo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Latvija neplāno no  ES ETS izslēgt operatorus, kas emitē mazāk nekā 2 500 tonnas CO</w:t>
            </w:r>
            <w:r w:rsidRPr="008A069D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eastAsia="lv-LV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ekvivalenta gadā, ņemot vērā, ka tas palielinās ne-ETS sektoru. </w:t>
            </w:r>
          </w:p>
        </w:tc>
      </w:tr>
      <w:tr w:rsidR="00EA60DF" w:rsidRPr="003D7F0C" w14:paraId="15540251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20CDE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387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4789E" w14:textId="77777777" w:rsidR="00EA60DF" w:rsidRPr="003D7F0C" w:rsidRDefault="0067601A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</w:t>
            </w:r>
          </w:p>
        </w:tc>
      </w:tr>
      <w:tr w:rsidR="00EA60DF" w:rsidRPr="003D7F0C" w14:paraId="1B6F9187" w14:textId="77777777" w:rsidTr="00AB18A5">
        <w:trPr>
          <w:tblCellSpacing w:w="15" w:type="dxa"/>
        </w:trPr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E9AAC0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87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872F8" w14:textId="5EC61E29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</w:tr>
      <w:tr w:rsidR="00EA60DF" w:rsidRPr="003D7F0C" w14:paraId="7172CA97" w14:textId="77777777" w:rsidTr="00E5323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E9E12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2. tabula</w:t>
            </w: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br/>
              <w:t>Ar tiesību akta projektu izpildītās vai uzņemtās saistības, kas izriet no starptautiskajiem tiesību aktiem vai starptautiskas institūcijas vai organizācijas dokumentiem.</w:t>
            </w: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br/>
              <w:t>Pasākumi šo saistību izpildei</w:t>
            </w:r>
          </w:p>
        </w:tc>
      </w:tr>
      <w:tr w:rsidR="00EA60DF" w:rsidRPr="003D7F0C" w14:paraId="4557D42B" w14:textId="77777777" w:rsidTr="00346F2D">
        <w:trPr>
          <w:tblCellSpacing w:w="15" w:type="dxa"/>
        </w:trPr>
        <w:tc>
          <w:tcPr>
            <w:tcW w:w="49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D2E995" w14:textId="77777777" w:rsidR="00EA60DF" w:rsidRPr="003D7F0C" w:rsidRDefault="00EA60DF" w:rsidP="00EA60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</w:t>
            </w:r>
          </w:p>
        </w:tc>
      </w:tr>
    </w:tbl>
    <w:p w14:paraId="557343B2" w14:textId="77777777" w:rsidR="00E5323B" w:rsidRPr="003D7F0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D7F0C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9470CF" w:rsidRPr="003D7F0C" w14:paraId="04E31DB1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8E7D8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lastRenderedPageBreak/>
              <w:t>VI. Sabiedrības līdzdalība un komunikācijas aktivitātes</w:t>
            </w:r>
          </w:p>
        </w:tc>
      </w:tr>
      <w:tr w:rsidR="009470CF" w:rsidRPr="003D7F0C" w14:paraId="0939D299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F6C913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C9319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424F0" w14:textId="77777777" w:rsidR="00E5323B" w:rsidRPr="003D7F0C" w:rsidRDefault="00194B23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194B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</w:t>
            </w:r>
            <w:r w:rsidR="004829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abiedrības līdzdalība ir nodrošināta s</w:t>
            </w:r>
            <w:r w:rsidRPr="00194B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askaņā ar Ministru kabineta 2009. gada 25. augusta noteikumu Nr. 970 „Sabiedrības līdzdalības kārtība attīstības plānošanas procesā” 7.4.</w:t>
            </w:r>
            <w:r w:rsidRPr="00194B23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eastAsia="lv-LV"/>
              </w:rPr>
              <w:t>1</w:t>
            </w:r>
            <w:r w:rsidRPr="00194B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apakšpunktu sabiedrības pārstāvji ir aicināti līdzdarboties, rakstiski sniedzot viedokli par noteikumu projektu tā izstrādes stadijā. Sabiedrības pārstāvji ir informēti par iespēju līdzdarboties, publicējot paziņojumu par līdzdalības procesu VARAM tīmekļvietnē.</w:t>
            </w:r>
          </w:p>
        </w:tc>
      </w:tr>
      <w:tr w:rsidR="009470CF" w:rsidRPr="003D7F0C" w14:paraId="67426FEE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50EF08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EC944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3D580" w14:textId="1A24D675" w:rsidR="00DB5BC3" w:rsidRPr="005915B7" w:rsidRDefault="00194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Noteikumu </w:t>
            </w:r>
            <w:r w:rsidRPr="003F4806">
              <w:rPr>
                <w:rFonts w:ascii="Times New Roman" w:hAnsi="Times New Roman"/>
                <w:sz w:val="24"/>
                <w:szCs w:val="24"/>
              </w:rPr>
              <w:t>projekts publicēts VARAM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4806">
              <w:rPr>
                <w:rFonts w:ascii="Times New Roman" w:hAnsi="Times New Roman"/>
                <w:sz w:val="24"/>
                <w:szCs w:val="24"/>
              </w:rPr>
              <w:t xml:space="preserve">tīmekļavietnē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2019. gada </w:t>
            </w:r>
            <w:r w:rsidRPr="00194B23">
              <w:rPr>
                <w:rFonts w:ascii="Times New Roman" w:hAnsi="Times New Roman"/>
                <w:sz w:val="24"/>
                <w:szCs w:val="24"/>
                <w:highlight w:val="yellow"/>
              </w:rPr>
              <w:t>XX. jūnijā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96CF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B50FB">
              <w:rPr>
                <w:rFonts w:ascii="Times New Roman" w:hAnsi="Times New Roman"/>
                <w:sz w:val="24"/>
                <w:szCs w:val="24"/>
              </w:rPr>
              <w:t>links uz tīmekļavietni</w:t>
            </w:r>
            <w:r w:rsidR="00396CFF" w:rsidRPr="00BB50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470CF" w:rsidRPr="003D7F0C" w14:paraId="6B9B3811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CF4E5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BE390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5D438" w14:textId="77777777" w:rsidR="00E5323B" w:rsidRPr="003D7F0C" w:rsidRDefault="00042AC3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Anotācijas sadaļa tiks papildināta pēc sabiedrības pārstāvju viedokļu un komentāru saņemšanas</w:t>
            </w:r>
            <w:r w:rsidRPr="009129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70CF" w:rsidRPr="003D7F0C" w14:paraId="268B1726" w14:textId="77777777" w:rsidTr="005915B7">
        <w:trPr>
          <w:trHeight w:val="450"/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C2C835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75F9D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6BD304" w14:textId="434E2C11" w:rsidR="00E5323B" w:rsidRPr="003D7F0C" w:rsidRDefault="00496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496A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Noteikumu projekts viedokļa sniegšanai 2019.gada  .. jūnijā tika nosūtīts saskaņošanai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VVD, LATAK un LVĢMC</w:t>
            </w:r>
            <w:r w:rsidRPr="00496A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</w:t>
            </w:r>
          </w:p>
        </w:tc>
      </w:tr>
    </w:tbl>
    <w:p w14:paraId="4103C65A" w14:textId="77777777" w:rsidR="00E5323B" w:rsidRPr="003D7F0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D7F0C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9470CF" w:rsidRPr="003D7F0C" w14:paraId="68BB2E8C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D315A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9470CF" w:rsidRPr="003D7F0C" w14:paraId="48641BCA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59D6E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A5665E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550315" w14:textId="77777777" w:rsidR="004829C0" w:rsidRPr="003D7F0C" w:rsidRDefault="004829C0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VARAM, VVD, LATAK</w:t>
            </w:r>
          </w:p>
        </w:tc>
      </w:tr>
      <w:tr w:rsidR="009470CF" w:rsidRPr="003D7F0C" w14:paraId="2C5FBB57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AE215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02754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izpildes ietekme uz pārvaldes funkcijām un institucionālo struktūru.</w:t>
            </w: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C1AA58" w14:textId="77777777" w:rsidR="009D56A1" w:rsidRDefault="009D56A1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9D56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 projektā iekļautie nosacījumi var radīt ietekmi uz pārvaldes funkcijām, tomēr tas neietekmēs institucionālo sistēmu.</w:t>
            </w:r>
          </w:p>
          <w:p w14:paraId="20B0A9DE" w14:textId="77777777" w:rsidR="004829C0" w:rsidRPr="009D56A1" w:rsidRDefault="004829C0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34717075" w14:textId="77777777" w:rsidR="009D56A1" w:rsidRDefault="009D56A1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9D56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Noteikumu projektā iekļauto nosacījumu izpildei nav nepieciešams veidot jaunas institūcijas, likvidēt vai reorganizēt esošās institūcijas. </w:t>
            </w:r>
          </w:p>
          <w:p w14:paraId="7EF4106E" w14:textId="77777777" w:rsidR="004829C0" w:rsidRPr="009D56A1" w:rsidRDefault="004829C0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74273EF0" w14:textId="77777777" w:rsidR="009D56A1" w:rsidRDefault="009D56A1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9D56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 projektā iekļauto nosacījumu izpilde neatstās ietekmi uz cilvēkresursiem.</w:t>
            </w:r>
          </w:p>
          <w:p w14:paraId="20A65FDF" w14:textId="77777777" w:rsidR="004829C0" w:rsidRPr="009D56A1" w:rsidRDefault="004829C0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  <w:p w14:paraId="29B8AA08" w14:textId="77777777" w:rsidR="00E5323B" w:rsidRPr="003D7F0C" w:rsidRDefault="009D56A1" w:rsidP="00ED5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9D56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Noteikumu projekta izpildē iesaistītās institūcijas noteikumu projektā iekļautos pasākumu nodrošinās piešķirto valsts budžeta līdzekļu ietvaros.</w:t>
            </w:r>
          </w:p>
        </w:tc>
      </w:tr>
      <w:tr w:rsidR="009470CF" w:rsidRPr="003D7F0C" w14:paraId="5166CCCD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2C88D" w14:textId="77777777" w:rsidR="00655F2C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F4C228" w14:textId="77777777" w:rsidR="00E5323B" w:rsidRPr="003D7F0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3D7F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958F8" w14:textId="77777777" w:rsidR="00E5323B" w:rsidRPr="003D7F0C" w:rsidRDefault="009D56A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6FCBC2D7" w14:textId="77777777" w:rsidR="00C25B49" w:rsidRPr="003D7F0C" w:rsidRDefault="00C25B49" w:rsidP="00894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FEA14C" w14:textId="77777777" w:rsidR="00E5323B" w:rsidRPr="003D7F0C" w:rsidRDefault="00E5323B" w:rsidP="00894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7ECFBB" w14:textId="77777777" w:rsidR="00894C55" w:rsidRPr="003D7F0C" w:rsidRDefault="004829C0" w:rsidP="004829C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Vides aizsardzības un reģionālās attīstības</w:t>
      </w:r>
      <w:r w:rsidR="00894C55" w:rsidRPr="003D7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ministrs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Juris Pūce</w:t>
      </w:r>
    </w:p>
    <w:p w14:paraId="18F3FACC" w14:textId="77777777" w:rsidR="00894C55" w:rsidRPr="003D7F0C" w:rsidRDefault="00894C55" w:rsidP="00894C55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62E930FC" w14:textId="77777777" w:rsidR="00894C55" w:rsidRDefault="004829C0" w:rsidP="00482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Vides aizsardzības un reģionālās</w:t>
      </w:r>
    </w:p>
    <w:p w14:paraId="27091B53" w14:textId="77777777" w:rsidR="004829C0" w:rsidRPr="003D7F0C" w:rsidRDefault="004829C0" w:rsidP="00482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attīstības ministrijas valsts sekretārs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Edvīns Balševics</w:t>
      </w:r>
    </w:p>
    <w:p w14:paraId="236A0896" w14:textId="77777777" w:rsidR="00894C55" w:rsidRPr="003D7F0C" w:rsidRDefault="00894C55" w:rsidP="00894C55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35D81645" w14:textId="77777777" w:rsidR="00894C55" w:rsidRPr="003D7F0C" w:rsidRDefault="00894C55" w:rsidP="00894C55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3DDB1C40" w14:textId="77777777" w:rsidR="00894C55" w:rsidRPr="003D7F0C" w:rsidRDefault="00894C55" w:rsidP="00894C55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19D78C28" w14:textId="77777777" w:rsidR="00894C55" w:rsidRPr="005915B7" w:rsidRDefault="00194B23" w:rsidP="00894C55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915B7">
        <w:rPr>
          <w:rFonts w:ascii="Times New Roman" w:hAnsi="Times New Roman" w:cs="Times New Roman"/>
          <w:sz w:val="20"/>
          <w:szCs w:val="20"/>
        </w:rPr>
        <w:t>Leimane</w:t>
      </w:r>
      <w:r w:rsidR="00D133F8" w:rsidRPr="005915B7">
        <w:rPr>
          <w:rFonts w:ascii="Times New Roman" w:hAnsi="Times New Roman" w:cs="Times New Roman"/>
          <w:sz w:val="20"/>
          <w:szCs w:val="20"/>
        </w:rPr>
        <w:t xml:space="preserve"> </w:t>
      </w:r>
      <w:r w:rsidRPr="005915B7">
        <w:rPr>
          <w:rFonts w:ascii="Times New Roman" w:hAnsi="Times New Roman" w:cs="Times New Roman"/>
          <w:sz w:val="20"/>
          <w:szCs w:val="20"/>
        </w:rPr>
        <w:t>67026528</w:t>
      </w:r>
    </w:p>
    <w:p w14:paraId="7D28AA40" w14:textId="77777777" w:rsidR="00894C55" w:rsidRPr="005915B7" w:rsidRDefault="00194B23" w:rsidP="00894C55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915B7">
        <w:rPr>
          <w:rFonts w:ascii="Times New Roman" w:hAnsi="Times New Roman" w:cs="Times New Roman"/>
          <w:sz w:val="20"/>
          <w:szCs w:val="20"/>
        </w:rPr>
        <w:lastRenderedPageBreak/>
        <w:t>Liza.Leimane</w:t>
      </w:r>
      <w:r w:rsidR="00894C55" w:rsidRPr="005915B7">
        <w:rPr>
          <w:rFonts w:ascii="Times New Roman" w:hAnsi="Times New Roman" w:cs="Times New Roman"/>
          <w:sz w:val="20"/>
          <w:szCs w:val="20"/>
        </w:rPr>
        <w:t>@</w:t>
      </w:r>
      <w:r w:rsidRPr="005915B7">
        <w:rPr>
          <w:rFonts w:ascii="Times New Roman" w:hAnsi="Times New Roman" w:cs="Times New Roman"/>
          <w:sz w:val="20"/>
          <w:szCs w:val="20"/>
        </w:rPr>
        <w:t>varam</w:t>
      </w:r>
      <w:r w:rsidR="00894C55" w:rsidRPr="005915B7">
        <w:rPr>
          <w:rFonts w:ascii="Times New Roman" w:hAnsi="Times New Roman" w:cs="Times New Roman"/>
          <w:sz w:val="20"/>
          <w:szCs w:val="20"/>
        </w:rPr>
        <w:t>.gov.lv</w:t>
      </w:r>
    </w:p>
    <w:sectPr w:rsidR="00894C55" w:rsidRPr="005915B7" w:rsidSect="009A2654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0E916" w14:textId="77777777" w:rsidR="002520C3" w:rsidRDefault="002520C3" w:rsidP="00894C55">
      <w:pPr>
        <w:spacing w:after="0" w:line="240" w:lineRule="auto"/>
      </w:pPr>
      <w:r>
        <w:separator/>
      </w:r>
    </w:p>
  </w:endnote>
  <w:endnote w:type="continuationSeparator" w:id="0">
    <w:p w14:paraId="70521CFB" w14:textId="77777777" w:rsidR="002520C3" w:rsidRDefault="002520C3" w:rsidP="00894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A3997" w14:textId="77777777" w:rsidR="00894C55" w:rsidRPr="003D7F0C" w:rsidRDefault="003D7F0C" w:rsidP="003D7F0C">
    <w:pPr>
      <w:pStyle w:val="Footer"/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 xml:space="preserve"> FILENAME \* MERGEFORMAT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 w:rsidR="00966AD3">
      <w:rPr>
        <w:rFonts w:ascii="Times New Roman" w:hAnsi="Times New Roman" w:cs="Times New Roman"/>
        <w:noProof/>
        <w:sz w:val="20"/>
        <w:szCs w:val="20"/>
      </w:rPr>
      <w:t>VARAMAnot_040619_Groz112</w:t>
    </w:r>
    <w:r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C0018" w14:textId="77777777" w:rsidR="009A2654" w:rsidRPr="003D7F0C" w:rsidRDefault="003D7F0C" w:rsidP="003D7F0C">
    <w:pPr>
      <w:pStyle w:val="Footer"/>
      <w:rPr>
        <w:rFonts w:ascii="Times New Roman" w:hAnsi="Times New Roman" w:cs="Times New Roman"/>
        <w:sz w:val="20"/>
        <w:szCs w:val="20"/>
      </w:rPr>
    </w:pPr>
    <w:r w:rsidRPr="003D7F0C">
      <w:rPr>
        <w:rFonts w:ascii="Times New Roman" w:hAnsi="Times New Roman" w:cs="Times New Roman"/>
        <w:sz w:val="20"/>
        <w:szCs w:val="20"/>
      </w:rPr>
      <w:fldChar w:fldCharType="begin"/>
    </w:r>
    <w:r w:rsidRPr="003D7F0C">
      <w:rPr>
        <w:rFonts w:ascii="Times New Roman" w:hAnsi="Times New Roman" w:cs="Times New Roman"/>
        <w:sz w:val="20"/>
        <w:szCs w:val="20"/>
      </w:rPr>
      <w:instrText xml:space="preserve"> FILENAME \* MERGEFORMAT </w:instrText>
    </w:r>
    <w:r w:rsidRPr="003D7F0C">
      <w:rPr>
        <w:rFonts w:ascii="Times New Roman" w:hAnsi="Times New Roman" w:cs="Times New Roman"/>
        <w:sz w:val="20"/>
        <w:szCs w:val="20"/>
      </w:rPr>
      <w:fldChar w:fldCharType="separate"/>
    </w:r>
    <w:r w:rsidR="00966AD3">
      <w:rPr>
        <w:rFonts w:ascii="Times New Roman" w:hAnsi="Times New Roman" w:cs="Times New Roman"/>
        <w:noProof/>
        <w:sz w:val="20"/>
        <w:szCs w:val="20"/>
      </w:rPr>
      <w:t>VARAMAnot_040619_Groz112</w:t>
    </w:r>
    <w:r w:rsidRPr="003D7F0C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30AC8" w14:textId="77777777" w:rsidR="002520C3" w:rsidRDefault="002520C3" w:rsidP="00894C55">
      <w:pPr>
        <w:spacing w:after="0" w:line="240" w:lineRule="auto"/>
      </w:pPr>
      <w:r>
        <w:separator/>
      </w:r>
    </w:p>
  </w:footnote>
  <w:footnote w:type="continuationSeparator" w:id="0">
    <w:p w14:paraId="7B475D1A" w14:textId="77777777" w:rsidR="002520C3" w:rsidRDefault="002520C3" w:rsidP="00894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9856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0"/>
      </w:rPr>
    </w:sdtEndPr>
    <w:sdtContent>
      <w:p w14:paraId="7C9685E0" w14:textId="77777777" w:rsidR="00894C55" w:rsidRPr="00C25B49" w:rsidRDefault="00456E40">
        <w:pPr>
          <w:pStyle w:val="Header"/>
          <w:jc w:val="center"/>
          <w:rPr>
            <w:rFonts w:ascii="Times New Roman" w:hAnsi="Times New Roman" w:cs="Times New Roman"/>
            <w:sz w:val="24"/>
            <w:szCs w:val="20"/>
          </w:rPr>
        </w:pPr>
        <w:r w:rsidRPr="00C25B49">
          <w:rPr>
            <w:rFonts w:ascii="Times New Roman" w:hAnsi="Times New Roman" w:cs="Times New Roman"/>
            <w:sz w:val="24"/>
            <w:szCs w:val="20"/>
          </w:rPr>
          <w:fldChar w:fldCharType="begin"/>
        </w:r>
        <w:r w:rsidR="00894C55" w:rsidRPr="00C25B49">
          <w:rPr>
            <w:rFonts w:ascii="Times New Roman" w:hAnsi="Times New Roman" w:cs="Times New Roman"/>
            <w:sz w:val="24"/>
            <w:szCs w:val="20"/>
          </w:rPr>
          <w:instrText xml:space="preserve"> PAGE   \* MERGEFORMAT </w:instrText>
        </w:r>
        <w:r w:rsidRPr="00C25B49">
          <w:rPr>
            <w:rFonts w:ascii="Times New Roman" w:hAnsi="Times New Roman" w:cs="Times New Roman"/>
            <w:sz w:val="24"/>
            <w:szCs w:val="20"/>
          </w:rPr>
          <w:fldChar w:fldCharType="separate"/>
        </w:r>
        <w:r w:rsidR="00D23CF5">
          <w:rPr>
            <w:rFonts w:ascii="Times New Roman" w:hAnsi="Times New Roman" w:cs="Times New Roman"/>
            <w:noProof/>
            <w:sz w:val="24"/>
            <w:szCs w:val="20"/>
          </w:rPr>
          <w:t>3</w:t>
        </w:r>
        <w:r w:rsidRPr="00C25B49">
          <w:rPr>
            <w:rFonts w:ascii="Times New Roman" w:hAnsi="Times New Roman" w:cs="Times New Roman"/>
            <w:noProof/>
            <w:sz w:val="24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B603B"/>
    <w:multiLevelType w:val="hybridMultilevel"/>
    <w:tmpl w:val="B09616D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92EBF"/>
    <w:multiLevelType w:val="hybridMultilevel"/>
    <w:tmpl w:val="046050C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04C75"/>
    <w:multiLevelType w:val="hybridMultilevel"/>
    <w:tmpl w:val="B09616D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F27EB"/>
    <w:multiLevelType w:val="hybridMultilevel"/>
    <w:tmpl w:val="B1ACB5EC"/>
    <w:lvl w:ilvl="0" w:tplc="8B1A01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57096"/>
    <w:multiLevelType w:val="hybridMultilevel"/>
    <w:tmpl w:val="B09616D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758CF"/>
    <w:multiLevelType w:val="hybridMultilevel"/>
    <w:tmpl w:val="6A1C4342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C55"/>
    <w:rsid w:val="00010556"/>
    <w:rsid w:val="000179DE"/>
    <w:rsid w:val="00042AC3"/>
    <w:rsid w:val="00070A69"/>
    <w:rsid w:val="000C023D"/>
    <w:rsid w:val="000E129A"/>
    <w:rsid w:val="000F1061"/>
    <w:rsid w:val="00100AFA"/>
    <w:rsid w:val="00142B71"/>
    <w:rsid w:val="001719F1"/>
    <w:rsid w:val="00191430"/>
    <w:rsid w:val="00194B23"/>
    <w:rsid w:val="001A5D71"/>
    <w:rsid w:val="001B0F84"/>
    <w:rsid w:val="001D65FC"/>
    <w:rsid w:val="001F4C80"/>
    <w:rsid w:val="00206BFB"/>
    <w:rsid w:val="0021180E"/>
    <w:rsid w:val="00215D7E"/>
    <w:rsid w:val="002177C8"/>
    <w:rsid w:val="00243426"/>
    <w:rsid w:val="0025179B"/>
    <w:rsid w:val="002520C3"/>
    <w:rsid w:val="00252F31"/>
    <w:rsid w:val="00255699"/>
    <w:rsid w:val="00294A11"/>
    <w:rsid w:val="002B5197"/>
    <w:rsid w:val="002E1C05"/>
    <w:rsid w:val="003120A1"/>
    <w:rsid w:val="00314348"/>
    <w:rsid w:val="003458E3"/>
    <w:rsid w:val="00346F2D"/>
    <w:rsid w:val="00396CFF"/>
    <w:rsid w:val="003B0BF9"/>
    <w:rsid w:val="003D7F0C"/>
    <w:rsid w:val="003E0791"/>
    <w:rsid w:val="003F11FA"/>
    <w:rsid w:val="003F28AC"/>
    <w:rsid w:val="00400C5C"/>
    <w:rsid w:val="004454FE"/>
    <w:rsid w:val="00454B08"/>
    <w:rsid w:val="00456E40"/>
    <w:rsid w:val="00471F27"/>
    <w:rsid w:val="004829C0"/>
    <w:rsid w:val="00485495"/>
    <w:rsid w:val="00493F97"/>
    <w:rsid w:val="00496AC0"/>
    <w:rsid w:val="004A2D2C"/>
    <w:rsid w:val="0050178F"/>
    <w:rsid w:val="0054667D"/>
    <w:rsid w:val="0056647B"/>
    <w:rsid w:val="005915B7"/>
    <w:rsid w:val="005923DC"/>
    <w:rsid w:val="0063612F"/>
    <w:rsid w:val="00653D90"/>
    <w:rsid w:val="00655F2C"/>
    <w:rsid w:val="00670300"/>
    <w:rsid w:val="0067601A"/>
    <w:rsid w:val="00680562"/>
    <w:rsid w:val="0068404E"/>
    <w:rsid w:val="006B4FB9"/>
    <w:rsid w:val="006B64B6"/>
    <w:rsid w:val="006B7D5D"/>
    <w:rsid w:val="006D3A27"/>
    <w:rsid w:val="006E1081"/>
    <w:rsid w:val="00710C6A"/>
    <w:rsid w:val="007148BD"/>
    <w:rsid w:val="00720585"/>
    <w:rsid w:val="00747884"/>
    <w:rsid w:val="00762052"/>
    <w:rsid w:val="00770E38"/>
    <w:rsid w:val="00773AF6"/>
    <w:rsid w:val="007903EC"/>
    <w:rsid w:val="00795F71"/>
    <w:rsid w:val="007B1F37"/>
    <w:rsid w:val="007C768C"/>
    <w:rsid w:val="007E5F7A"/>
    <w:rsid w:val="007E73AB"/>
    <w:rsid w:val="00816C11"/>
    <w:rsid w:val="008457F9"/>
    <w:rsid w:val="00852EF3"/>
    <w:rsid w:val="00894C55"/>
    <w:rsid w:val="008A069D"/>
    <w:rsid w:val="008A428C"/>
    <w:rsid w:val="008C49C3"/>
    <w:rsid w:val="00914880"/>
    <w:rsid w:val="00940BC4"/>
    <w:rsid w:val="009470CF"/>
    <w:rsid w:val="00963C01"/>
    <w:rsid w:val="00966AD3"/>
    <w:rsid w:val="00970CE4"/>
    <w:rsid w:val="00996D13"/>
    <w:rsid w:val="009A179C"/>
    <w:rsid w:val="009A2654"/>
    <w:rsid w:val="009B02EF"/>
    <w:rsid w:val="009B10C0"/>
    <w:rsid w:val="009C6DAC"/>
    <w:rsid w:val="009D56A1"/>
    <w:rsid w:val="009E44FB"/>
    <w:rsid w:val="00A10FC3"/>
    <w:rsid w:val="00A25B68"/>
    <w:rsid w:val="00A6073E"/>
    <w:rsid w:val="00A6548F"/>
    <w:rsid w:val="00A71D4D"/>
    <w:rsid w:val="00AA248E"/>
    <w:rsid w:val="00AB18A5"/>
    <w:rsid w:val="00AD5183"/>
    <w:rsid w:val="00AE5567"/>
    <w:rsid w:val="00AF1239"/>
    <w:rsid w:val="00B030A3"/>
    <w:rsid w:val="00B16480"/>
    <w:rsid w:val="00B2165C"/>
    <w:rsid w:val="00B305E2"/>
    <w:rsid w:val="00B54597"/>
    <w:rsid w:val="00BA0718"/>
    <w:rsid w:val="00BA20AA"/>
    <w:rsid w:val="00BB50FB"/>
    <w:rsid w:val="00BD4425"/>
    <w:rsid w:val="00BF7134"/>
    <w:rsid w:val="00C02089"/>
    <w:rsid w:val="00C041A4"/>
    <w:rsid w:val="00C13496"/>
    <w:rsid w:val="00C258F1"/>
    <w:rsid w:val="00C25B49"/>
    <w:rsid w:val="00C32D62"/>
    <w:rsid w:val="00C54BD8"/>
    <w:rsid w:val="00CA4A51"/>
    <w:rsid w:val="00CB110B"/>
    <w:rsid w:val="00CB690A"/>
    <w:rsid w:val="00CC0D2D"/>
    <w:rsid w:val="00CE5657"/>
    <w:rsid w:val="00D12F1D"/>
    <w:rsid w:val="00D133F8"/>
    <w:rsid w:val="00D14A3E"/>
    <w:rsid w:val="00D1656F"/>
    <w:rsid w:val="00D23CF5"/>
    <w:rsid w:val="00D64F55"/>
    <w:rsid w:val="00D774A0"/>
    <w:rsid w:val="00DA4887"/>
    <w:rsid w:val="00DB5BC3"/>
    <w:rsid w:val="00DC6B91"/>
    <w:rsid w:val="00DF5A14"/>
    <w:rsid w:val="00E33FCD"/>
    <w:rsid w:val="00E3716B"/>
    <w:rsid w:val="00E5323B"/>
    <w:rsid w:val="00E8749E"/>
    <w:rsid w:val="00E90C01"/>
    <w:rsid w:val="00EA486E"/>
    <w:rsid w:val="00EA60DF"/>
    <w:rsid w:val="00EC0C6F"/>
    <w:rsid w:val="00EC2EDF"/>
    <w:rsid w:val="00EC5056"/>
    <w:rsid w:val="00EC607F"/>
    <w:rsid w:val="00ED5394"/>
    <w:rsid w:val="00EF5167"/>
    <w:rsid w:val="00F071F1"/>
    <w:rsid w:val="00F14F2F"/>
    <w:rsid w:val="00F337D1"/>
    <w:rsid w:val="00F57B0C"/>
    <w:rsid w:val="00F75AA3"/>
    <w:rsid w:val="00F9193A"/>
    <w:rsid w:val="00FB2A2B"/>
    <w:rsid w:val="00FE68B9"/>
    <w:rsid w:val="00F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75AAC5"/>
  <w15:docId w15:val="{E843D8E4-6D12-4434-84BB-5BA0C920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89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894C55"/>
  </w:style>
  <w:style w:type="character" w:styleId="Hyperlink">
    <w:name w:val="Hyperlink"/>
    <w:basedOn w:val="DefaultParagraphFont"/>
    <w:uiPriority w:val="99"/>
    <w:unhideWhenUsed/>
    <w:rsid w:val="00894C55"/>
    <w:rPr>
      <w:color w:val="0000FF"/>
      <w:u w:val="single"/>
    </w:rPr>
  </w:style>
  <w:style w:type="paragraph" w:customStyle="1" w:styleId="tvhtml">
    <w:name w:val="tv_html"/>
    <w:basedOn w:val="Normal"/>
    <w:rsid w:val="0089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894C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C55"/>
  </w:style>
  <w:style w:type="paragraph" w:styleId="Footer">
    <w:name w:val="footer"/>
    <w:basedOn w:val="Normal"/>
    <w:link w:val="FooterChar"/>
    <w:uiPriority w:val="99"/>
    <w:unhideWhenUsed/>
    <w:rsid w:val="00894C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C55"/>
  </w:style>
  <w:style w:type="character" w:styleId="PlaceholderText">
    <w:name w:val="Placeholder Text"/>
    <w:basedOn w:val="DefaultParagraphFont"/>
    <w:uiPriority w:val="99"/>
    <w:semiHidden/>
    <w:rsid w:val="00E90C01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3E079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8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70CF"/>
    <w:pPr>
      <w:ind w:left="720"/>
      <w:contextualSpacing/>
    </w:pPr>
  </w:style>
  <w:style w:type="paragraph" w:customStyle="1" w:styleId="naiskr">
    <w:name w:val="naiskr"/>
    <w:basedOn w:val="Normal"/>
    <w:uiPriority w:val="99"/>
    <w:rsid w:val="008C49C3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BB5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0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8915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1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2513C7936974E769D11030480392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7784D-338A-42CC-8DEB-1C5216D9B5B8}"/>
      </w:docPartPr>
      <w:docPartBody>
        <w:p w:rsidR="00FF5D4F" w:rsidRDefault="00FF5D4F" w:rsidP="00FF5D4F">
          <w:pPr>
            <w:pStyle w:val="B2513C7936974E769D1103048039203D8"/>
          </w:pPr>
          <w:r w:rsidRPr="00E90C01">
            <w:rPr>
              <w:rStyle w:val="PlaceholderText"/>
              <w:rFonts w:ascii="Times New Roman" w:hAnsi="Times New Roman" w:cs="Times New Roman"/>
              <w:sz w:val="28"/>
              <w:szCs w:val="28"/>
            </w:rPr>
            <w:t>Tiesību akta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00671"/>
    <w:rsid w:val="00057C8B"/>
    <w:rsid w:val="00084514"/>
    <w:rsid w:val="00344186"/>
    <w:rsid w:val="00472F39"/>
    <w:rsid w:val="00523A63"/>
    <w:rsid w:val="006D0D9A"/>
    <w:rsid w:val="00707B4A"/>
    <w:rsid w:val="00762E37"/>
    <w:rsid w:val="008B623B"/>
    <w:rsid w:val="008D39C9"/>
    <w:rsid w:val="009C1B4C"/>
    <w:rsid w:val="00AD4A2F"/>
    <w:rsid w:val="00B3767C"/>
    <w:rsid w:val="00BD3EAF"/>
    <w:rsid w:val="00C00671"/>
    <w:rsid w:val="00EE7E5F"/>
    <w:rsid w:val="00F95F73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5D4F"/>
    <w:rPr>
      <w:color w:val="808080"/>
    </w:rPr>
  </w:style>
  <w:style w:type="paragraph" w:customStyle="1" w:styleId="B2513C7936974E769D1103048039203D">
    <w:name w:val="B2513C7936974E769D1103048039203D"/>
    <w:rsid w:val="00C00671"/>
    <w:rPr>
      <w:rFonts w:eastAsiaTheme="minorHAnsi"/>
      <w:lang w:eastAsia="en-US"/>
    </w:rPr>
  </w:style>
  <w:style w:type="paragraph" w:customStyle="1" w:styleId="B2513C7936974E769D1103048039203D1">
    <w:name w:val="B2513C7936974E769D1103048039203D1"/>
    <w:rsid w:val="00C00671"/>
    <w:rPr>
      <w:rFonts w:eastAsiaTheme="minorHAnsi"/>
      <w:lang w:eastAsia="en-US"/>
    </w:rPr>
  </w:style>
  <w:style w:type="paragraph" w:customStyle="1" w:styleId="B2513C7936974E769D1103048039203D2">
    <w:name w:val="B2513C7936974E769D1103048039203D2"/>
    <w:rsid w:val="00C00671"/>
    <w:rPr>
      <w:rFonts w:eastAsiaTheme="minorHAnsi"/>
      <w:lang w:eastAsia="en-US"/>
    </w:rPr>
  </w:style>
  <w:style w:type="paragraph" w:customStyle="1" w:styleId="B2513C7936974E769D1103048039203D3">
    <w:name w:val="B2513C7936974E769D1103048039203D3"/>
    <w:rsid w:val="00C00671"/>
    <w:rPr>
      <w:rFonts w:eastAsiaTheme="minorHAnsi"/>
      <w:lang w:eastAsia="en-US"/>
    </w:rPr>
  </w:style>
  <w:style w:type="paragraph" w:customStyle="1" w:styleId="883803275B904BACB6B45144980015BE">
    <w:name w:val="883803275B904BACB6B45144980015BE"/>
    <w:rsid w:val="00C00671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paragraph" w:customStyle="1" w:styleId="B2513C7936974E769D1103048039203D4">
    <w:name w:val="B2513C7936974E769D1103048039203D4"/>
    <w:rsid w:val="00FF5D4F"/>
    <w:rPr>
      <w:rFonts w:eastAsiaTheme="minorHAnsi"/>
      <w:lang w:eastAsia="en-US"/>
    </w:rPr>
  </w:style>
  <w:style w:type="paragraph" w:customStyle="1" w:styleId="883803275B904BACB6B45144980015BE1">
    <w:name w:val="883803275B904BACB6B45144980015BE1"/>
    <w:rsid w:val="00FF5D4F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paragraph" w:customStyle="1" w:styleId="56650D99FA7E429C9736A0828FCC0A9F">
    <w:name w:val="56650D99FA7E429C9736A0828FCC0A9F"/>
    <w:rsid w:val="00FF5D4F"/>
    <w:pPr>
      <w:spacing w:after="200" w:line="276" w:lineRule="auto"/>
    </w:pPr>
  </w:style>
  <w:style w:type="paragraph" w:customStyle="1" w:styleId="B2513C7936974E769D1103048039203D5">
    <w:name w:val="B2513C7936974E769D1103048039203D5"/>
    <w:rsid w:val="00FF5D4F"/>
    <w:rPr>
      <w:rFonts w:eastAsiaTheme="minorHAnsi"/>
      <w:lang w:eastAsia="en-US"/>
    </w:rPr>
  </w:style>
  <w:style w:type="paragraph" w:customStyle="1" w:styleId="B2513C7936974E769D1103048039203D6">
    <w:name w:val="B2513C7936974E769D1103048039203D6"/>
    <w:rsid w:val="00FF5D4F"/>
    <w:rPr>
      <w:rFonts w:eastAsiaTheme="minorHAnsi"/>
      <w:lang w:eastAsia="en-US"/>
    </w:rPr>
  </w:style>
  <w:style w:type="paragraph" w:customStyle="1" w:styleId="62FCE0315F9A49B88D7551D29C9154E7">
    <w:name w:val="62FCE0315F9A49B88D7551D29C9154E7"/>
    <w:rsid w:val="00FF5D4F"/>
    <w:rPr>
      <w:rFonts w:eastAsiaTheme="minorHAnsi"/>
      <w:lang w:eastAsia="en-US"/>
    </w:rPr>
  </w:style>
  <w:style w:type="paragraph" w:customStyle="1" w:styleId="883803275B904BACB6B45144980015BE2">
    <w:name w:val="883803275B904BACB6B45144980015BE2"/>
    <w:rsid w:val="00FF5D4F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paragraph" w:customStyle="1" w:styleId="B2513C7936974E769D1103048039203D7">
    <w:name w:val="B2513C7936974E769D1103048039203D7"/>
    <w:rsid w:val="00FF5D4F"/>
    <w:rPr>
      <w:rFonts w:eastAsiaTheme="minorHAnsi"/>
      <w:lang w:eastAsia="en-US"/>
    </w:rPr>
  </w:style>
  <w:style w:type="paragraph" w:customStyle="1" w:styleId="62FCE0315F9A49B88D7551D29C9154E71">
    <w:name w:val="62FCE0315F9A49B88D7551D29C9154E71"/>
    <w:rsid w:val="00FF5D4F"/>
    <w:rPr>
      <w:rFonts w:eastAsiaTheme="minorHAnsi"/>
      <w:lang w:eastAsia="en-US"/>
    </w:rPr>
  </w:style>
  <w:style w:type="paragraph" w:customStyle="1" w:styleId="C2EC51BD30FC49B48874927AFE5E926E">
    <w:name w:val="C2EC51BD30FC49B48874927AFE5E926E"/>
    <w:rsid w:val="00FF5D4F"/>
    <w:rPr>
      <w:rFonts w:eastAsiaTheme="minorHAnsi"/>
      <w:lang w:eastAsia="en-US"/>
    </w:rPr>
  </w:style>
  <w:style w:type="paragraph" w:customStyle="1" w:styleId="883803275B904BACB6B45144980015BE3">
    <w:name w:val="883803275B904BACB6B45144980015BE3"/>
    <w:rsid w:val="00FF5D4F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paragraph" w:customStyle="1" w:styleId="B2513C7936974E769D1103048039203D8">
    <w:name w:val="B2513C7936974E769D1103048039203D8"/>
    <w:rsid w:val="00FF5D4F"/>
    <w:rPr>
      <w:rFonts w:eastAsiaTheme="minorHAnsi"/>
      <w:lang w:eastAsia="en-US"/>
    </w:rPr>
  </w:style>
  <w:style w:type="paragraph" w:customStyle="1" w:styleId="62FCE0315F9A49B88D7551D29C9154E72">
    <w:name w:val="62FCE0315F9A49B88D7551D29C9154E72"/>
    <w:rsid w:val="00FF5D4F"/>
    <w:rPr>
      <w:rFonts w:eastAsiaTheme="minorHAnsi"/>
      <w:lang w:eastAsia="en-US"/>
    </w:rPr>
  </w:style>
  <w:style w:type="paragraph" w:customStyle="1" w:styleId="C2EC51BD30FC49B48874927AFE5E926E1">
    <w:name w:val="C2EC51BD30FC49B48874927AFE5E926E1"/>
    <w:rsid w:val="00FF5D4F"/>
    <w:rPr>
      <w:rFonts w:eastAsiaTheme="minorHAnsi"/>
      <w:lang w:eastAsia="en-US"/>
    </w:rPr>
  </w:style>
  <w:style w:type="paragraph" w:customStyle="1" w:styleId="37ADDDF53DEB4F699DF97E9C2EC547DB">
    <w:name w:val="37ADDDF53DEB4F699DF97E9C2EC547DB"/>
    <w:rsid w:val="00FF5D4F"/>
    <w:rPr>
      <w:rFonts w:eastAsiaTheme="minorHAnsi"/>
      <w:lang w:eastAsia="en-US"/>
    </w:rPr>
  </w:style>
  <w:style w:type="paragraph" w:customStyle="1" w:styleId="B882A66A9A7E49BE846FCEA215C187D9">
    <w:name w:val="B882A66A9A7E49BE846FCEA215C187D9"/>
    <w:rsid w:val="00FF5D4F"/>
    <w:rPr>
      <w:rFonts w:eastAsiaTheme="minorHAnsi"/>
      <w:lang w:eastAsia="en-US"/>
    </w:rPr>
  </w:style>
  <w:style w:type="paragraph" w:customStyle="1" w:styleId="C77BE940338849AB90331A56F15E01FD">
    <w:name w:val="C77BE940338849AB90331A56F15E01FD"/>
    <w:rsid w:val="00FF5D4F"/>
    <w:rPr>
      <w:rFonts w:eastAsiaTheme="minorHAnsi"/>
      <w:lang w:eastAsia="en-US"/>
    </w:rPr>
  </w:style>
  <w:style w:type="paragraph" w:customStyle="1" w:styleId="F50B7E6C5AD6489E8C714D8EC783E3AC">
    <w:name w:val="F50B7E6C5AD6489E8C714D8EC783E3AC"/>
    <w:rsid w:val="00FF5D4F"/>
    <w:rPr>
      <w:rFonts w:eastAsiaTheme="minorHAnsi"/>
      <w:lang w:eastAsia="en-US"/>
    </w:rPr>
  </w:style>
  <w:style w:type="paragraph" w:customStyle="1" w:styleId="A56C3CC8D3A94A1B88E371E00A30BEC8">
    <w:name w:val="A56C3CC8D3A94A1B88E371E00A30BEC8"/>
    <w:rsid w:val="00FF5D4F"/>
    <w:rPr>
      <w:rFonts w:eastAsiaTheme="minorHAnsi"/>
      <w:lang w:eastAsia="en-US"/>
    </w:rPr>
  </w:style>
  <w:style w:type="paragraph" w:customStyle="1" w:styleId="DCD890FA1480480A84CCD1734B4CE6A2">
    <w:name w:val="DCD890FA1480480A84CCD1734B4CE6A2"/>
    <w:rsid w:val="00FF5D4F"/>
    <w:rPr>
      <w:rFonts w:eastAsiaTheme="minorHAnsi"/>
      <w:lang w:eastAsia="en-US"/>
    </w:rPr>
  </w:style>
  <w:style w:type="paragraph" w:customStyle="1" w:styleId="FD93EA44F1D0485D82ACD8E2B4A9B9D8">
    <w:name w:val="FD93EA44F1D0485D82ACD8E2B4A9B9D8"/>
    <w:rsid w:val="00FF5D4F"/>
    <w:rPr>
      <w:rFonts w:eastAsiaTheme="minorHAnsi"/>
      <w:lang w:eastAsia="en-US"/>
    </w:rPr>
  </w:style>
  <w:style w:type="paragraph" w:customStyle="1" w:styleId="0C4D5345DEEB475885E517E1AFA92084">
    <w:name w:val="0C4D5345DEEB475885E517E1AFA92084"/>
    <w:rsid w:val="00FF5D4F"/>
    <w:rPr>
      <w:rFonts w:eastAsiaTheme="minorHAnsi"/>
      <w:lang w:eastAsia="en-US"/>
    </w:rPr>
  </w:style>
  <w:style w:type="paragraph" w:customStyle="1" w:styleId="AE7F8690D7F544BEAD1F6F2489583A57">
    <w:name w:val="AE7F8690D7F544BEAD1F6F2489583A57"/>
    <w:rsid w:val="00FF5D4F"/>
    <w:rPr>
      <w:rFonts w:eastAsiaTheme="minorHAnsi"/>
      <w:lang w:eastAsia="en-US"/>
    </w:rPr>
  </w:style>
  <w:style w:type="paragraph" w:customStyle="1" w:styleId="7D994A3434154A1C8CFE169FE8FE6B1A">
    <w:name w:val="7D994A3434154A1C8CFE169FE8FE6B1A"/>
    <w:rsid w:val="00FF5D4F"/>
    <w:rPr>
      <w:rFonts w:eastAsiaTheme="minorHAnsi"/>
      <w:lang w:eastAsia="en-US"/>
    </w:rPr>
  </w:style>
  <w:style w:type="paragraph" w:customStyle="1" w:styleId="E9F03AB0F83F4AFC92313E2A195DF3C8">
    <w:name w:val="E9F03AB0F83F4AFC92313E2A195DF3C8"/>
    <w:rsid w:val="00FF5D4F"/>
    <w:rPr>
      <w:rFonts w:eastAsiaTheme="minorHAnsi"/>
      <w:lang w:eastAsia="en-US"/>
    </w:rPr>
  </w:style>
  <w:style w:type="paragraph" w:customStyle="1" w:styleId="A8843F41EB2548D7B8A34FB3D43A4CEC">
    <w:name w:val="A8843F41EB2548D7B8A34FB3D43A4CEC"/>
    <w:rsid w:val="00FF5D4F"/>
    <w:rPr>
      <w:rFonts w:eastAsiaTheme="minorHAnsi"/>
      <w:lang w:eastAsia="en-US"/>
    </w:rPr>
  </w:style>
  <w:style w:type="paragraph" w:customStyle="1" w:styleId="E50E0D89D7D740E39A72FD51262F3F52">
    <w:name w:val="E50E0D89D7D740E39A72FD51262F3F52"/>
    <w:rsid w:val="00FF5D4F"/>
    <w:rPr>
      <w:rFonts w:eastAsiaTheme="minorHAnsi"/>
      <w:lang w:eastAsia="en-US"/>
    </w:rPr>
  </w:style>
  <w:style w:type="paragraph" w:customStyle="1" w:styleId="8BAAB5749A0B4C46979E3CF195A3E134">
    <w:name w:val="8BAAB5749A0B4C46979E3CF195A3E134"/>
    <w:rsid w:val="00FF5D4F"/>
    <w:rPr>
      <w:rFonts w:eastAsiaTheme="minorHAnsi"/>
      <w:lang w:eastAsia="en-US"/>
    </w:rPr>
  </w:style>
  <w:style w:type="paragraph" w:customStyle="1" w:styleId="2671BD77F5FD414D82E008C54ECA0496">
    <w:name w:val="2671BD77F5FD414D82E008C54ECA0496"/>
    <w:rsid w:val="00FF5D4F"/>
    <w:rPr>
      <w:rFonts w:eastAsiaTheme="minorHAnsi"/>
      <w:lang w:eastAsia="en-US"/>
    </w:rPr>
  </w:style>
  <w:style w:type="paragraph" w:customStyle="1" w:styleId="6B37051406224FEBB83B2F6F9BB208E1">
    <w:name w:val="6B37051406224FEBB83B2F6F9BB208E1"/>
    <w:rsid w:val="00FF5D4F"/>
    <w:rPr>
      <w:rFonts w:eastAsiaTheme="minorHAnsi"/>
      <w:lang w:eastAsia="en-US"/>
    </w:rPr>
  </w:style>
  <w:style w:type="paragraph" w:customStyle="1" w:styleId="764BFDC0193B4E8B946F90FA96F17F3F">
    <w:name w:val="764BFDC0193B4E8B946F90FA96F17F3F"/>
    <w:rsid w:val="00FF5D4F"/>
    <w:rPr>
      <w:rFonts w:eastAsiaTheme="minorHAnsi"/>
      <w:lang w:eastAsia="en-US"/>
    </w:rPr>
  </w:style>
  <w:style w:type="paragraph" w:customStyle="1" w:styleId="2841105969B14DE49F05D9296F7C652E">
    <w:name w:val="2841105969B14DE49F05D9296F7C652E"/>
    <w:rsid w:val="00FF5D4F"/>
    <w:rPr>
      <w:rFonts w:eastAsiaTheme="minorHAnsi"/>
      <w:lang w:eastAsia="en-US"/>
    </w:rPr>
  </w:style>
  <w:style w:type="paragraph" w:customStyle="1" w:styleId="E5EB6D4A958A4331A96091AD983955EE">
    <w:name w:val="E5EB6D4A958A4331A96091AD983955EE"/>
    <w:rsid w:val="00FF5D4F"/>
    <w:rPr>
      <w:rFonts w:eastAsiaTheme="minorHAnsi"/>
      <w:lang w:eastAsia="en-US"/>
    </w:rPr>
  </w:style>
  <w:style w:type="paragraph" w:customStyle="1" w:styleId="FD5C206170F8425BA6EE971CD4237B78">
    <w:name w:val="FD5C206170F8425BA6EE971CD4237B78"/>
    <w:rsid w:val="00FF5D4F"/>
    <w:rPr>
      <w:rFonts w:eastAsiaTheme="minorHAnsi"/>
      <w:lang w:eastAsia="en-US"/>
    </w:rPr>
  </w:style>
  <w:style w:type="paragraph" w:customStyle="1" w:styleId="910B44650FB04E46BA92AE92B1A964F6">
    <w:name w:val="910B44650FB04E46BA92AE92B1A964F6"/>
    <w:rsid w:val="00FF5D4F"/>
    <w:rPr>
      <w:rFonts w:eastAsiaTheme="minorHAnsi"/>
      <w:lang w:eastAsia="en-US"/>
    </w:rPr>
  </w:style>
  <w:style w:type="paragraph" w:customStyle="1" w:styleId="13D82EA56B4A45D28413144B2F7F5968">
    <w:name w:val="13D82EA56B4A45D28413144B2F7F5968"/>
    <w:rsid w:val="00FF5D4F"/>
    <w:rPr>
      <w:rFonts w:eastAsiaTheme="minorHAnsi"/>
      <w:lang w:eastAsia="en-US"/>
    </w:rPr>
  </w:style>
  <w:style w:type="paragraph" w:customStyle="1" w:styleId="FE95B9A01F8340438A8C23164C47A7EB">
    <w:name w:val="FE95B9A01F8340438A8C23164C47A7EB"/>
    <w:rsid w:val="00FF5D4F"/>
    <w:rPr>
      <w:rFonts w:eastAsiaTheme="minorHAnsi"/>
      <w:lang w:eastAsia="en-US"/>
    </w:rPr>
  </w:style>
  <w:style w:type="paragraph" w:customStyle="1" w:styleId="DB232B1C7DC94AA0937BF44A74D7501B">
    <w:name w:val="DB232B1C7DC94AA0937BF44A74D7501B"/>
    <w:rsid w:val="00FF5D4F"/>
    <w:rPr>
      <w:rFonts w:eastAsiaTheme="minorHAnsi"/>
      <w:lang w:eastAsia="en-US"/>
    </w:rPr>
  </w:style>
  <w:style w:type="paragraph" w:customStyle="1" w:styleId="E7E4A7E527044C2690FE643CD510DBB5">
    <w:name w:val="E7E4A7E527044C2690FE643CD510DBB5"/>
    <w:rsid w:val="00FF5D4F"/>
    <w:rPr>
      <w:rFonts w:eastAsiaTheme="minorHAnsi"/>
      <w:lang w:eastAsia="en-US"/>
    </w:rPr>
  </w:style>
  <w:style w:type="paragraph" w:customStyle="1" w:styleId="4AE388897F6C4CAA85289D11247F4B60">
    <w:name w:val="4AE388897F6C4CAA85289D11247F4B60"/>
    <w:rsid w:val="00FF5D4F"/>
    <w:rPr>
      <w:rFonts w:eastAsiaTheme="minorHAnsi"/>
      <w:lang w:eastAsia="en-US"/>
    </w:rPr>
  </w:style>
  <w:style w:type="paragraph" w:customStyle="1" w:styleId="035449F15B804DFCBB464B8F8CF23968">
    <w:name w:val="035449F15B804DFCBB464B8F8CF23968"/>
    <w:rsid w:val="00FF5D4F"/>
    <w:rPr>
      <w:rFonts w:eastAsiaTheme="minorHAnsi"/>
      <w:lang w:eastAsia="en-US"/>
    </w:rPr>
  </w:style>
  <w:style w:type="paragraph" w:customStyle="1" w:styleId="51BFF4D6FA5E427E8B2BB4394305981E">
    <w:name w:val="51BFF4D6FA5E427E8B2BB4394305981E"/>
    <w:rsid w:val="00FF5D4F"/>
    <w:rPr>
      <w:rFonts w:eastAsiaTheme="minorHAnsi"/>
      <w:lang w:eastAsia="en-US"/>
    </w:rPr>
  </w:style>
  <w:style w:type="paragraph" w:customStyle="1" w:styleId="5610D5460FE7443BBFE4C402F8F872EC">
    <w:name w:val="5610D5460FE7443BBFE4C402F8F872EC"/>
    <w:rsid w:val="00FF5D4F"/>
    <w:rPr>
      <w:rFonts w:eastAsiaTheme="minorHAnsi"/>
      <w:lang w:eastAsia="en-US"/>
    </w:rPr>
  </w:style>
  <w:style w:type="paragraph" w:customStyle="1" w:styleId="FDD970DF03814E08AAAE176B3A069D53">
    <w:name w:val="FDD970DF03814E08AAAE176B3A069D53"/>
    <w:rsid w:val="00FF5D4F"/>
    <w:rPr>
      <w:rFonts w:eastAsiaTheme="minorHAnsi"/>
      <w:lang w:eastAsia="en-US"/>
    </w:rPr>
  </w:style>
  <w:style w:type="paragraph" w:customStyle="1" w:styleId="1ACA54E693CD4D0BAD637E54C82C88FF">
    <w:name w:val="1ACA54E693CD4D0BAD637E54C82C88FF"/>
    <w:rsid w:val="00FF5D4F"/>
    <w:rPr>
      <w:rFonts w:eastAsiaTheme="minorHAnsi"/>
      <w:lang w:eastAsia="en-US"/>
    </w:rPr>
  </w:style>
  <w:style w:type="paragraph" w:customStyle="1" w:styleId="16E4DF0885D242E391774F1A0758BD2D">
    <w:name w:val="16E4DF0885D242E391774F1A0758BD2D"/>
    <w:rsid w:val="00FF5D4F"/>
    <w:rPr>
      <w:rFonts w:eastAsiaTheme="minorHAnsi"/>
      <w:lang w:eastAsia="en-US"/>
    </w:rPr>
  </w:style>
  <w:style w:type="paragraph" w:customStyle="1" w:styleId="883803275B904BACB6B45144980015BE4">
    <w:name w:val="883803275B904BACB6B45144980015BE4"/>
    <w:rsid w:val="00FF5D4F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2EA97-B75D-49B8-869C-A22BA0E5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9680</Words>
  <Characters>5518</Characters>
  <Application>Microsoft Office Word</Application>
  <DocSecurity>0</DocSecurity>
  <Lines>45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Tiesību akta nosaukums</vt:lpstr>
    </vt:vector>
  </TitlesOfParts>
  <Company>Iestādes nosaukums</Company>
  <LinksUpToDate>false</LinksUpToDate>
  <CharactersWithSpaces>15168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nosaukums</dc:title>
  <dc:subject>Anotācija</dc:subject>
  <dc:creator>Līza Leimane</dc:creator>
  <dc:description/>
  <cp:lastModifiedBy>Līza Leimane</cp:lastModifiedBy>
  <cp:revision>8</cp:revision>
  <dcterms:created xsi:type="dcterms:W3CDTF">2019-06-07T15:03:00Z</dcterms:created>
  <dcterms:modified xsi:type="dcterms:W3CDTF">2019-06-13T13:15:00Z</dcterms:modified>
</cp:coreProperties>
</file>