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374" w:rsidRPr="00027763" w:rsidRDefault="00895374" w:rsidP="00895374">
      <w:pPr>
        <w:spacing w:before="150" w:after="150"/>
        <w:jc w:val="center"/>
        <w:rPr>
          <w:b/>
          <w:bCs/>
        </w:rPr>
      </w:pPr>
      <w:r>
        <w:rPr>
          <w:b/>
          <w:bCs/>
        </w:rPr>
        <w:t xml:space="preserve">Ministru kabineta noteikumu projekta „Grozījumi Ministru kabineta </w:t>
      </w:r>
      <w:proofErr w:type="gramStart"/>
      <w:r>
        <w:rPr>
          <w:b/>
          <w:bCs/>
        </w:rPr>
        <w:t>2009.gada</w:t>
      </w:r>
      <w:proofErr w:type="gramEnd"/>
      <w:r>
        <w:rPr>
          <w:b/>
          <w:bCs/>
        </w:rPr>
        <w:t xml:space="preserve"> 6.oktobra noteikumos Nr.1151 „Noteikumi par radiofrekvenču spektra joslu sadalījumu radiosakaru veidiem un iedalījumu radiosakaru sistēmām, kā arī par radiofrekvenču spektra joslu izmantošanas vispārīgajiem nosacījumiem (Nacionālais radiofrekvenču plāns)”” </w:t>
      </w:r>
      <w:r w:rsidRPr="00027763">
        <w:rPr>
          <w:b/>
          <w:bCs/>
        </w:rPr>
        <w:t>sākotnējās ietekmes novērtējuma ziņojums (anotācija)</w:t>
      </w:r>
    </w:p>
    <w:p w:rsidR="00895374" w:rsidRDefault="00895374" w:rsidP="00895374">
      <w:pPr>
        <w:pStyle w:val="naisc"/>
        <w:spacing w:before="0" w:after="0"/>
      </w:pPr>
    </w:p>
    <w:tbl>
      <w:tblPr>
        <w:tblW w:w="5000"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506"/>
        <w:gridCol w:w="2538"/>
        <w:gridCol w:w="6306"/>
      </w:tblGrid>
      <w:tr w:rsidR="00895374" w:rsidRPr="00E030F4" w:rsidTr="00CF7285">
        <w:tc>
          <w:tcPr>
            <w:tcW w:w="5000" w:type="pct"/>
            <w:gridSpan w:val="3"/>
            <w:tcBorders>
              <w:top w:val="single" w:sz="4" w:space="0" w:color="auto"/>
              <w:left w:val="single" w:sz="4" w:space="0" w:color="auto"/>
              <w:bottom w:val="outset" w:sz="6" w:space="0" w:color="000000"/>
              <w:right w:val="single" w:sz="4" w:space="0" w:color="auto"/>
            </w:tcBorders>
          </w:tcPr>
          <w:p w:rsidR="00895374" w:rsidRPr="00E030F4" w:rsidRDefault="00895374" w:rsidP="00CF7285">
            <w:pPr>
              <w:spacing w:before="100" w:beforeAutospacing="1" w:after="100" w:afterAutospacing="1"/>
              <w:jc w:val="center"/>
              <w:rPr>
                <w:b/>
                <w:bCs/>
              </w:rPr>
            </w:pPr>
            <w:r w:rsidRPr="00CE70FA">
              <w:rPr>
                <w:b/>
                <w:bCs/>
              </w:rPr>
              <w:t>I. Tiesību akta projekta izstrādes nepieciešamība</w:t>
            </w:r>
          </w:p>
        </w:tc>
      </w:tr>
      <w:tr w:rsidR="00895374" w:rsidRPr="00E030F4" w:rsidTr="00CF7285">
        <w:tc>
          <w:tcPr>
            <w:tcW w:w="271" w:type="pct"/>
            <w:tcBorders>
              <w:top w:val="outset" w:sz="6" w:space="0" w:color="000000"/>
              <w:left w:val="outset" w:sz="6" w:space="0" w:color="000000"/>
              <w:bottom w:val="outset" w:sz="6" w:space="0" w:color="000000"/>
              <w:right w:val="outset" w:sz="6" w:space="0" w:color="000000"/>
            </w:tcBorders>
          </w:tcPr>
          <w:p w:rsidR="00895374" w:rsidRPr="00E030F4" w:rsidRDefault="00895374" w:rsidP="00CF7285">
            <w:pPr>
              <w:spacing w:before="100" w:beforeAutospacing="1" w:after="100" w:afterAutospacing="1"/>
            </w:pPr>
            <w:r w:rsidRPr="00E030F4">
              <w:t>1.</w:t>
            </w:r>
          </w:p>
        </w:tc>
        <w:tc>
          <w:tcPr>
            <w:tcW w:w="1357" w:type="pct"/>
            <w:tcBorders>
              <w:top w:val="outset" w:sz="6" w:space="0" w:color="000000"/>
              <w:left w:val="outset" w:sz="6" w:space="0" w:color="000000"/>
              <w:bottom w:val="outset" w:sz="6" w:space="0" w:color="000000"/>
              <w:right w:val="outset" w:sz="6" w:space="0" w:color="000000"/>
            </w:tcBorders>
          </w:tcPr>
          <w:p w:rsidR="00895374" w:rsidRPr="00E030F4" w:rsidRDefault="00895374" w:rsidP="00CF7285">
            <w:pPr>
              <w:spacing w:before="100" w:beforeAutospacing="1" w:after="100" w:afterAutospacing="1"/>
            </w:pPr>
            <w:r w:rsidRPr="00CE70FA">
              <w:t>Pamatojums</w:t>
            </w:r>
          </w:p>
        </w:tc>
        <w:tc>
          <w:tcPr>
            <w:tcW w:w="3372" w:type="pct"/>
            <w:tcBorders>
              <w:top w:val="outset" w:sz="6" w:space="0" w:color="000000"/>
              <w:left w:val="outset" w:sz="6" w:space="0" w:color="000000"/>
              <w:bottom w:val="outset" w:sz="6" w:space="0" w:color="000000"/>
              <w:right w:val="outset" w:sz="6" w:space="0" w:color="000000"/>
            </w:tcBorders>
          </w:tcPr>
          <w:p w:rsidR="00895374" w:rsidRPr="00F9121C" w:rsidRDefault="00895374" w:rsidP="00CF7285">
            <w:pPr>
              <w:jc w:val="both"/>
            </w:pPr>
            <w:r>
              <w:t xml:space="preserve">Elektronisko sakaru likuma </w:t>
            </w:r>
            <w:proofErr w:type="gramStart"/>
            <w:r>
              <w:t>49.panta</w:t>
            </w:r>
            <w:proofErr w:type="gramEnd"/>
            <w:r>
              <w:t xml:space="preserve"> pirmā daļa un 50.pants.</w:t>
            </w:r>
          </w:p>
        </w:tc>
      </w:tr>
      <w:tr w:rsidR="00895374" w:rsidRPr="00096A02" w:rsidTr="00CF7285">
        <w:tc>
          <w:tcPr>
            <w:tcW w:w="271" w:type="pct"/>
            <w:tcBorders>
              <w:top w:val="outset" w:sz="6" w:space="0" w:color="000000"/>
              <w:left w:val="outset" w:sz="6" w:space="0" w:color="000000"/>
              <w:bottom w:val="outset" w:sz="6" w:space="0" w:color="000000"/>
              <w:right w:val="outset" w:sz="6" w:space="0" w:color="000000"/>
            </w:tcBorders>
          </w:tcPr>
          <w:p w:rsidR="00895374" w:rsidRPr="00E030F4" w:rsidRDefault="00895374" w:rsidP="00CF7285">
            <w:pPr>
              <w:spacing w:before="100" w:beforeAutospacing="1" w:after="100" w:afterAutospacing="1"/>
            </w:pPr>
            <w:r w:rsidRPr="00E030F4">
              <w:t>2.</w:t>
            </w:r>
          </w:p>
        </w:tc>
        <w:tc>
          <w:tcPr>
            <w:tcW w:w="1357" w:type="pct"/>
            <w:tcBorders>
              <w:top w:val="outset" w:sz="6" w:space="0" w:color="000000"/>
              <w:left w:val="outset" w:sz="6" w:space="0" w:color="000000"/>
              <w:bottom w:val="outset" w:sz="6" w:space="0" w:color="000000"/>
              <w:right w:val="outset" w:sz="6" w:space="0" w:color="000000"/>
            </w:tcBorders>
          </w:tcPr>
          <w:p w:rsidR="00C36202" w:rsidRDefault="00895374" w:rsidP="00CF7285">
            <w:pPr>
              <w:spacing w:before="100" w:beforeAutospacing="1" w:after="100" w:afterAutospacing="1"/>
            </w:pPr>
            <w:r w:rsidRPr="00CE70FA">
              <w:t>Pašreizējā situācija un problēmas</w:t>
            </w:r>
            <w:r>
              <w:t>, kuru risināšanai tiesību akta projekts izstrādāts, t</w:t>
            </w:r>
            <w:r w:rsidRPr="00156F05">
              <w:t>iesiskā regulējuma mērķis un būtība</w:t>
            </w:r>
          </w:p>
          <w:p w:rsidR="00895374" w:rsidRPr="00C36202" w:rsidRDefault="00895374" w:rsidP="00C36202">
            <w:pPr>
              <w:ind w:firstLine="720"/>
            </w:pPr>
          </w:p>
        </w:tc>
        <w:tc>
          <w:tcPr>
            <w:tcW w:w="3372" w:type="pct"/>
            <w:tcBorders>
              <w:top w:val="outset" w:sz="6" w:space="0" w:color="000000"/>
              <w:left w:val="outset" w:sz="6" w:space="0" w:color="000000"/>
              <w:bottom w:val="outset" w:sz="6" w:space="0" w:color="000000"/>
              <w:right w:val="outset" w:sz="6" w:space="0" w:color="000000"/>
            </w:tcBorders>
          </w:tcPr>
          <w:p w:rsidR="00895374" w:rsidRDefault="00895374" w:rsidP="00CF7285">
            <w:pPr>
              <w:jc w:val="both"/>
            </w:pPr>
            <w:r>
              <w:t>Regulējum</w:t>
            </w:r>
            <w:r w:rsidR="00BC5721">
              <w:t>u</w:t>
            </w:r>
            <w:r>
              <w:t xml:space="preserve">, kādā šobrīd noteikts </w:t>
            </w:r>
            <w:r w:rsidRPr="00662FFA">
              <w:t>radiofrekvenču joslu sadalījum</w:t>
            </w:r>
            <w:r>
              <w:t>s</w:t>
            </w:r>
            <w:r w:rsidRPr="00662FFA">
              <w:t xml:space="preserve"> radiosakaru veidiem</w:t>
            </w:r>
            <w:r>
              <w:t xml:space="preserve"> un</w:t>
            </w:r>
            <w:r w:rsidRPr="00131F09">
              <w:t xml:space="preserve"> iedalījums radiosakaru sistēmām </w:t>
            </w:r>
            <w:r w:rsidR="00BC5721">
              <w:t>paredz</w:t>
            </w:r>
            <w:r w:rsidRPr="00662FFA">
              <w:t xml:space="preserve"> </w:t>
            </w:r>
            <w:bookmarkStart w:id="0" w:name="OLE_LINK1"/>
            <w:r w:rsidRPr="00662FFA">
              <w:t xml:space="preserve">Ministru kabineta </w:t>
            </w:r>
            <w:proofErr w:type="gramStart"/>
            <w:r w:rsidRPr="00662FFA">
              <w:t>2009.gada</w:t>
            </w:r>
            <w:proofErr w:type="gramEnd"/>
            <w:r w:rsidRPr="00662FFA">
              <w:t xml:space="preserve"> 6.oktobra noteikum</w:t>
            </w:r>
            <w:r>
              <w:t>os</w:t>
            </w:r>
            <w:r w:rsidRPr="00662FFA">
              <w:t xml:space="preserve"> Nr.1151 „</w:t>
            </w:r>
            <w:r w:rsidRPr="00131F09">
              <w:t>Noteikumi par radiofrekvenču spektra joslu sadalījumu radiosakaru veidiem un iedalījumu radiosakaru sistēmām, kā arī par radiofrekvenču spektra joslu izmantošanas vispārīgajiem nosacījumiem (Nacionālais radiofrekvenču plāns)</w:t>
            </w:r>
            <w:r w:rsidRPr="005831CB">
              <w:t>”</w:t>
            </w:r>
            <w:bookmarkEnd w:id="0"/>
            <w:r w:rsidRPr="005831CB">
              <w:t>.</w:t>
            </w:r>
          </w:p>
          <w:p w:rsidR="00C30C5E" w:rsidRDefault="00F70B03" w:rsidP="00E9082D">
            <w:pPr>
              <w:jc w:val="both"/>
            </w:pPr>
            <w:r>
              <w:t xml:space="preserve">Sagatavotais tiesību akts paredz </w:t>
            </w:r>
            <w:r w:rsidR="00A9264D">
              <w:t>regulējumu</w:t>
            </w:r>
            <w:r w:rsidR="00582A40">
              <w:t>, lai būtu iespējam</w:t>
            </w:r>
            <w:r w:rsidR="00570F4D">
              <w:t>a</w:t>
            </w:r>
            <w:r>
              <w:t xml:space="preserve"> radiofrekvenču spektra joslas 3410-3600MHz</w:t>
            </w:r>
            <w:r w:rsidR="00582A40">
              <w:t xml:space="preserve"> un 3600MHz-3800MHz pārplānošan</w:t>
            </w:r>
            <w:r w:rsidR="00570F4D">
              <w:t>a</w:t>
            </w:r>
            <w:r>
              <w:t>.</w:t>
            </w:r>
            <w:r w:rsidR="0088049E">
              <w:t xml:space="preserve"> </w:t>
            </w:r>
            <w:r w:rsidR="00AC0F04">
              <w:t xml:space="preserve">Eiropas </w:t>
            </w:r>
            <w:r w:rsidR="00AC0F04" w:rsidRPr="005831CB">
              <w:t xml:space="preserve">Komisijas </w:t>
            </w:r>
            <w:proofErr w:type="gramStart"/>
            <w:r w:rsidR="00AC0F04" w:rsidRPr="005831CB">
              <w:t>201</w:t>
            </w:r>
            <w:r w:rsidR="00AC0F04">
              <w:t>4</w:t>
            </w:r>
            <w:r w:rsidR="00AC0F04" w:rsidRPr="005831CB">
              <w:t>.gada</w:t>
            </w:r>
            <w:proofErr w:type="gramEnd"/>
            <w:r w:rsidR="00AC0F04" w:rsidRPr="005831CB">
              <w:t xml:space="preserve"> </w:t>
            </w:r>
            <w:r w:rsidR="00AC0F04">
              <w:t>2</w:t>
            </w:r>
            <w:r w:rsidR="00AC0F04" w:rsidRPr="005831CB">
              <w:t>.</w:t>
            </w:r>
            <w:r w:rsidR="00AC0F04">
              <w:t>maija</w:t>
            </w:r>
            <w:r w:rsidR="00AC0F04" w:rsidRPr="005831CB">
              <w:t xml:space="preserve"> Lēmum</w:t>
            </w:r>
            <w:r w:rsidR="008D0D05">
              <w:t>a</w:t>
            </w:r>
            <w:r w:rsidR="00AC0F04" w:rsidRPr="005831CB">
              <w:t xml:space="preserve"> 201</w:t>
            </w:r>
            <w:r w:rsidR="00AC0F04">
              <w:t>4</w:t>
            </w:r>
            <w:r w:rsidR="00AC0F04" w:rsidRPr="005831CB">
              <w:t>/</w:t>
            </w:r>
            <w:r w:rsidR="00AC0F04">
              <w:t>276</w:t>
            </w:r>
            <w:r w:rsidR="00AC0F04" w:rsidRPr="005831CB">
              <w:t xml:space="preserve">/ES </w:t>
            </w:r>
            <w:r w:rsidR="008D0D05">
              <w:t>(</w:t>
            </w:r>
            <w:r w:rsidR="00AC0F04" w:rsidRPr="005831CB">
              <w:t xml:space="preserve">par </w:t>
            </w:r>
            <w:r w:rsidR="00AC0F04">
              <w:t xml:space="preserve">grozījumiem Lēmumā 2008/411/EK par 3400-3800 MHz frekvenču joslas harmonizāciju tādu zemes sistēmu vajadzībām, kas Kopienā </w:t>
            </w:r>
            <w:r w:rsidR="00AC0F04" w:rsidRPr="005831CB">
              <w:t xml:space="preserve"> spēj nodrošināt elektronisko sakaru pakalpojumus</w:t>
            </w:r>
            <w:r w:rsidR="008D0D05">
              <w:t xml:space="preserve">) </w:t>
            </w:r>
            <w:r w:rsidR="00A9264D">
              <w:t xml:space="preserve">(turpmāk - </w:t>
            </w:r>
            <w:r w:rsidR="00A9264D" w:rsidRPr="00CD4214">
              <w:t>Lēmum</w:t>
            </w:r>
            <w:r w:rsidR="00A9264D">
              <w:t>s</w:t>
            </w:r>
            <w:r w:rsidR="00A9264D" w:rsidRPr="00CD4214">
              <w:t xml:space="preserve"> 2014/276/ES</w:t>
            </w:r>
            <w:r w:rsidR="00A9264D">
              <w:t xml:space="preserve">) </w:t>
            </w:r>
            <w:r w:rsidR="008D0D05">
              <w:t>normas</w:t>
            </w:r>
            <w:r w:rsidR="00AC0F04">
              <w:t xml:space="preserve"> tika pārņemt</w:t>
            </w:r>
            <w:r w:rsidR="008D0D05">
              <w:t>a</w:t>
            </w:r>
            <w:r w:rsidR="00AC0F04">
              <w:t>s Ministru kabineta 2015.gada 12.maija noteikumos Nr.223 (</w:t>
            </w:r>
            <w:r w:rsidR="00D7759B">
              <w:t>“G</w:t>
            </w:r>
            <w:r w:rsidR="00AC0F04">
              <w:t xml:space="preserve">rozījumi </w:t>
            </w:r>
            <w:r w:rsidR="008D0D05" w:rsidRPr="00662FFA">
              <w:t>Ministru kabineta 2009.gada 6.oktobra noteikum</w:t>
            </w:r>
            <w:r w:rsidR="008D0D05">
              <w:t>os</w:t>
            </w:r>
            <w:r w:rsidR="008D0D05" w:rsidRPr="00662FFA">
              <w:t xml:space="preserve"> Nr.1151 „</w:t>
            </w:r>
            <w:r w:rsidR="008D0D05" w:rsidRPr="00131F09">
              <w:t>Noteikumi par radiofrekvenču spektra joslu sadalījumu radiosakaru veidiem un iedalījumu radiosakaru sistēmām, kā arī par radiofrekvenču spektra joslu izmantošanas vispārīgajiem nosacījumiem (Nacionālais radiofrekvenču plāns)</w:t>
            </w:r>
            <w:r w:rsidR="008D0D05" w:rsidRPr="005831CB">
              <w:t>”</w:t>
            </w:r>
            <w:r w:rsidR="00D7759B">
              <w:t>)</w:t>
            </w:r>
            <w:r w:rsidR="00AC0F04">
              <w:t xml:space="preserve">. </w:t>
            </w:r>
            <w:r w:rsidR="00FE5585">
              <w:t>3400-3800 MHz frekvenču joslai ir nozīmīgs potenciāls blīvu un ātrdarbīgu bezvadu platjoslas tīklu izmantošanā un elektronisko sakaru pakalpojumu nodrošināšanai galalietotājiem.</w:t>
            </w:r>
            <w:r w:rsidR="0088049E">
              <w:t xml:space="preserve"> </w:t>
            </w:r>
          </w:p>
          <w:p w:rsidR="00582A40" w:rsidRDefault="00582A40" w:rsidP="00E9082D">
            <w:pPr>
              <w:jc w:val="both"/>
            </w:pPr>
            <w:r>
              <w:t>Noteikumu projekts paredz:</w:t>
            </w:r>
          </w:p>
          <w:p w:rsidR="002A137B" w:rsidRDefault="00582A40" w:rsidP="00582A40">
            <w:pPr>
              <w:jc w:val="both"/>
            </w:pPr>
            <w:r>
              <w:t>1)</w:t>
            </w:r>
            <w:r w:rsidRPr="00694233">
              <w:t xml:space="preserve"> papildus 10 </w:t>
            </w:r>
            <w:r w:rsidRPr="00CD4214">
              <w:t>MHz iekļaušan</w:t>
            </w:r>
            <w:r>
              <w:t>u</w:t>
            </w:r>
            <w:r w:rsidRPr="00CD4214">
              <w:t xml:space="preserve"> komercdarbībai izmantojamo radiofrekvenču sarakstā 3400-3410MHz</w:t>
            </w:r>
            <w:r w:rsidR="00E541FF">
              <w:t>.</w:t>
            </w:r>
            <w:r w:rsidRPr="00CD4214">
              <w:t xml:space="preserve"> </w:t>
            </w:r>
          </w:p>
          <w:p w:rsidR="00582A40" w:rsidRPr="007712F7" w:rsidRDefault="00E541FF" w:rsidP="00582A40">
            <w:pPr>
              <w:jc w:val="both"/>
            </w:pPr>
            <w:r>
              <w:t>Tādā</w:t>
            </w:r>
            <w:r w:rsidR="00582A40" w:rsidRPr="00CD4214">
              <w:t xml:space="preserve"> gadījumā mobilo un fiksēto platjoslas sakaru sistēmām būtu pieejams Lēmumā 2014/276/ES noteiktais spektrs 400MHz apjomā. Saistībā ar </w:t>
            </w:r>
            <w:r w:rsidR="00582A40">
              <w:t>to</w:t>
            </w:r>
            <w:r w:rsidR="00582A40" w:rsidRPr="00CD4214">
              <w:t xml:space="preserve"> </w:t>
            </w:r>
            <w:r w:rsidR="00582A40">
              <w:t xml:space="preserve">sagatavoti </w:t>
            </w:r>
            <w:r w:rsidR="00AF7093">
              <w:t xml:space="preserve">arī atbilstoši </w:t>
            </w:r>
            <w:r w:rsidR="00582A40">
              <w:t>grozījumi</w:t>
            </w:r>
            <w:r w:rsidR="00582A40" w:rsidRPr="00CD4214">
              <w:t xml:space="preserve"> Ministru </w:t>
            </w:r>
            <w:r w:rsidR="00582A40" w:rsidRPr="00FE46CF">
              <w:t xml:space="preserve">kabineta </w:t>
            </w:r>
            <w:proofErr w:type="gramStart"/>
            <w:r w:rsidR="00582A40" w:rsidRPr="00FE46CF">
              <w:t>2010.gada</w:t>
            </w:r>
            <w:proofErr w:type="gramEnd"/>
            <w:r w:rsidR="00582A40" w:rsidRPr="00FE46CF">
              <w:t xml:space="preserve"> 16.februāra noteikum</w:t>
            </w:r>
            <w:r w:rsidR="003179F3" w:rsidRPr="00FE46CF">
              <w:t>o</w:t>
            </w:r>
            <w:r w:rsidR="00582A40" w:rsidRPr="00FE46CF">
              <w:t xml:space="preserve">s Nr.143 “Noteikumi par radiofrekvenču spektra joslām, kuru efektīvas izmantošanas labad ir nepieciešams ierobežot radiofrekvenču spektra lietošanas tiesību piešķiršanu komercdarbībai elektronisko sakaru nozarē”. Noteikumu projekta </w:t>
            </w:r>
            <w:r w:rsidR="00A85E1D" w:rsidRPr="00FE46CF">
              <w:t>4.punkts, 7.</w:t>
            </w:r>
            <w:r w:rsidR="00582A40" w:rsidRPr="00FE46CF">
              <w:t>punkt</w:t>
            </w:r>
            <w:r w:rsidR="00A85E1D" w:rsidRPr="00FE46CF">
              <w:t>s</w:t>
            </w:r>
            <w:r w:rsidR="00582A40" w:rsidRPr="00FE46CF">
              <w:t>.</w:t>
            </w:r>
          </w:p>
          <w:p w:rsidR="00C30C5E" w:rsidRDefault="00C30C5E" w:rsidP="00E9082D">
            <w:pPr>
              <w:jc w:val="both"/>
            </w:pPr>
          </w:p>
          <w:p w:rsidR="002A137B" w:rsidRDefault="00E541FF" w:rsidP="00E541FF">
            <w:pPr>
              <w:jc w:val="both"/>
            </w:pPr>
            <w:r>
              <w:t>2)</w:t>
            </w:r>
            <w:r w:rsidRPr="00902359">
              <w:t xml:space="preserve"> 3400-3</w:t>
            </w:r>
            <w:r w:rsidR="000C6D27">
              <w:t>8</w:t>
            </w:r>
            <w:r w:rsidRPr="00902359">
              <w:t>00 MHz</w:t>
            </w:r>
            <w:r>
              <w:t xml:space="preserve"> </w:t>
            </w:r>
            <w:r w:rsidR="000C6D27">
              <w:t>radio</w:t>
            </w:r>
            <w:r>
              <w:t xml:space="preserve">frekvenču joslu izmantot vienīgi laikdales (TDD) sistēmu izmantošanai. </w:t>
            </w:r>
          </w:p>
          <w:p w:rsidR="00F7789E" w:rsidRPr="00FE46CF" w:rsidRDefault="00582A40" w:rsidP="00E541FF">
            <w:pPr>
              <w:jc w:val="both"/>
            </w:pPr>
            <w:r>
              <w:t xml:space="preserve">Patlaban </w:t>
            </w:r>
            <w:r w:rsidRPr="00131F09">
              <w:t>Nacionālais radiofrekvenču plāns</w:t>
            </w:r>
            <w:r>
              <w:t xml:space="preserve"> nosaka tehnoloģiski neitrālu regulējumu, kas pieļauj laikdales (TDD) un frekvenčdales (FDD) sistēmu izmantošanu 3410-3600MHz un 3600MHz-3800MHz frekvenču joslā.  </w:t>
            </w:r>
            <w:r w:rsidR="00AC0F04">
              <w:t>R</w:t>
            </w:r>
            <w:r w:rsidR="00E9082D">
              <w:t>adiofrekvenču spektra josl</w:t>
            </w:r>
            <w:r w:rsidR="0055792D">
              <w:t>u izmanto</w:t>
            </w:r>
            <w:r w:rsidR="007C36CB">
              <w:t xml:space="preserve"> elektronisko sakaru komersanti, kuriem atbilstoši līdzšinējam normatīvajam regulējumam ir piešķirti radiofrekven</w:t>
            </w:r>
            <w:r w:rsidR="00226B9B">
              <w:t xml:space="preserve">ču resursi </w:t>
            </w:r>
            <w:r w:rsidR="007C36CB">
              <w:t xml:space="preserve">FDD kanālos ar kanāla platumu 14 MHz. </w:t>
            </w:r>
            <w:r w:rsidR="0048437C" w:rsidRPr="00131F09">
              <w:t>Nacionālais radiofrekvenču plāns</w:t>
            </w:r>
            <w:r w:rsidR="0048437C">
              <w:t xml:space="preserve"> </w:t>
            </w:r>
            <w:r w:rsidR="00AA14CB" w:rsidRPr="002E181D">
              <w:t xml:space="preserve">šobrīd nodrošina iespējas komersantiem iedalīto frekvenču </w:t>
            </w:r>
            <w:r w:rsidR="00AA14CB">
              <w:t>lietošanas tiesību (</w:t>
            </w:r>
            <w:r w:rsidR="00AA14CB" w:rsidRPr="002E181D">
              <w:t>bloku</w:t>
            </w:r>
            <w:r w:rsidR="00AA14CB">
              <w:t>)</w:t>
            </w:r>
            <w:r w:rsidR="00AA14CB" w:rsidRPr="002E181D">
              <w:t xml:space="preserve"> ietvaros </w:t>
            </w:r>
            <w:r w:rsidR="00AA14CB">
              <w:t>turpināt izmantot</w:t>
            </w:r>
            <w:r w:rsidR="00AA14CB" w:rsidRPr="002E181D">
              <w:t xml:space="preserve"> radiosakaru tīklus ar 3,5</w:t>
            </w:r>
            <w:r w:rsidR="00AA14CB">
              <w:t>; 7; 14; 28 </w:t>
            </w:r>
            <w:r w:rsidR="00AA14CB" w:rsidRPr="002E181D">
              <w:t xml:space="preserve">MHz soli, </w:t>
            </w:r>
            <w:r w:rsidR="00AA14CB">
              <w:t>un</w:t>
            </w:r>
            <w:r w:rsidR="00AA14CB" w:rsidRPr="002E181D">
              <w:t xml:space="preserve"> arī </w:t>
            </w:r>
            <w:r w:rsidR="00AA14CB">
              <w:t xml:space="preserve">veidot jaunus radiosakaru tīklus </w:t>
            </w:r>
            <w:r w:rsidR="00AA14CB" w:rsidRPr="002E181D">
              <w:t xml:space="preserve">ar 5; 10 un 20MHz soļiem gan </w:t>
            </w:r>
            <w:r w:rsidR="0048437C">
              <w:t>FDD</w:t>
            </w:r>
            <w:r w:rsidR="00AA14CB" w:rsidRPr="002E181D">
              <w:t xml:space="preserve">, gan </w:t>
            </w:r>
            <w:r w:rsidR="0048437C">
              <w:t>TDD</w:t>
            </w:r>
            <w:r w:rsidR="00AA14CB" w:rsidRPr="002E181D">
              <w:t xml:space="preserve"> režīmā</w:t>
            </w:r>
            <w:r w:rsidR="0048437C">
              <w:t>.</w:t>
            </w:r>
            <w:r w:rsidR="0055792D">
              <w:t xml:space="preserve"> </w:t>
            </w:r>
            <w:r w:rsidR="00AA14CB">
              <w:t xml:space="preserve">Analizējot nozares </w:t>
            </w:r>
            <w:r w:rsidR="00AA14CB" w:rsidRPr="00902359">
              <w:t xml:space="preserve">dalībnieku viedokļus, </w:t>
            </w:r>
            <w:r w:rsidR="00B824AC">
              <w:t>tika seci</w:t>
            </w:r>
            <w:r w:rsidR="002A137B">
              <w:t>n</w:t>
            </w:r>
            <w:r w:rsidR="00B824AC">
              <w:t>āts</w:t>
            </w:r>
            <w:r w:rsidR="00AA14CB" w:rsidRPr="00902359">
              <w:t xml:space="preserve">, ka </w:t>
            </w:r>
            <w:r w:rsidR="007D70AC">
              <w:t xml:space="preserve">turpmāk </w:t>
            </w:r>
            <w:r w:rsidR="006F6457" w:rsidRPr="00902359">
              <w:t xml:space="preserve">3400-3600 MHz un 3600-3800 </w:t>
            </w:r>
            <w:r w:rsidR="006F6457" w:rsidRPr="00FE46CF">
              <w:t xml:space="preserve">MHz </w:t>
            </w:r>
            <w:r w:rsidR="000C6D27" w:rsidRPr="00FE46CF">
              <w:t>radio</w:t>
            </w:r>
            <w:r w:rsidR="00E541FF" w:rsidRPr="00FE46CF">
              <w:t xml:space="preserve">frekvenču </w:t>
            </w:r>
            <w:r w:rsidR="006F6457" w:rsidRPr="00FE46CF">
              <w:t>josla būtu jāparedz vienīgi TDD sistēmu izmantošanai.</w:t>
            </w:r>
            <w:r w:rsidR="00BC1ADD" w:rsidRPr="00FE46CF">
              <w:t xml:space="preserve"> </w:t>
            </w:r>
            <w:r w:rsidR="00040989" w:rsidRPr="00FE46CF">
              <w:t xml:space="preserve">Pāreja vienīgi uz TDD sistēmu izmantošanu paredzēta </w:t>
            </w:r>
            <w:r w:rsidR="00E541FF" w:rsidRPr="00FE46CF">
              <w:t xml:space="preserve">no </w:t>
            </w:r>
            <w:proofErr w:type="gramStart"/>
            <w:r w:rsidR="00E541FF" w:rsidRPr="00FE46CF">
              <w:t>2019.gada</w:t>
            </w:r>
            <w:proofErr w:type="gramEnd"/>
            <w:r w:rsidR="00E541FF" w:rsidRPr="00FE46CF">
              <w:t xml:space="preserve"> 1.janvāra.</w:t>
            </w:r>
          </w:p>
          <w:p w:rsidR="00E541FF" w:rsidRPr="00FE46CF" w:rsidRDefault="00E541FF" w:rsidP="00E541FF">
            <w:pPr>
              <w:jc w:val="both"/>
            </w:pPr>
            <w:r w:rsidRPr="00FE46CF">
              <w:t xml:space="preserve">Noteikumu projekta </w:t>
            </w:r>
            <w:r w:rsidR="00A85E1D" w:rsidRPr="00FE46CF">
              <w:t xml:space="preserve">5. </w:t>
            </w:r>
            <w:r w:rsidRPr="00FE46CF">
              <w:t>punkt</w:t>
            </w:r>
            <w:r w:rsidR="00A85E1D" w:rsidRPr="00FE46CF">
              <w:t>s</w:t>
            </w:r>
            <w:r w:rsidRPr="00FE46CF">
              <w:t>.</w:t>
            </w:r>
          </w:p>
          <w:p w:rsidR="00AA14CB" w:rsidRPr="00FE46CF" w:rsidRDefault="00AA14CB" w:rsidP="00CF7285">
            <w:pPr>
              <w:jc w:val="both"/>
            </w:pPr>
          </w:p>
          <w:p w:rsidR="002A137B" w:rsidRPr="00FE46CF" w:rsidRDefault="00E541FF" w:rsidP="005E7BC4">
            <w:pPr>
              <w:jc w:val="both"/>
            </w:pPr>
            <w:r w:rsidRPr="00FE46CF">
              <w:t>3)</w:t>
            </w:r>
            <w:r w:rsidR="00532001">
              <w:t xml:space="preserve"> </w:t>
            </w:r>
            <w:r w:rsidR="005D1599" w:rsidRPr="00FE46CF">
              <w:t xml:space="preserve">radiofrekvenču kanālu izkārtojuma daudzkārtni 5MHz un 50 MHz frekvenču bloku izkārtojumu. </w:t>
            </w:r>
          </w:p>
          <w:p w:rsidR="002A137B" w:rsidRDefault="00A85E1D" w:rsidP="005E7BC4">
            <w:pPr>
              <w:jc w:val="both"/>
            </w:pPr>
            <w:r w:rsidRPr="00FE46CF">
              <w:t>K</w:t>
            </w:r>
            <w:r w:rsidR="00CD7174" w:rsidRPr="00FE46CF">
              <w:t>ārtību</w:t>
            </w:r>
            <w:r w:rsidR="002A137B" w:rsidRPr="00FE46CF">
              <w:t xml:space="preserve"> kā tiks</w:t>
            </w:r>
            <w:r w:rsidR="002A137B">
              <w:t xml:space="preserve"> </w:t>
            </w:r>
            <w:r w:rsidR="002A137B" w:rsidRPr="007712F7">
              <w:t>nodrošinā</w:t>
            </w:r>
            <w:r w:rsidR="002A137B">
              <w:t>ta</w:t>
            </w:r>
            <w:r w:rsidR="002A137B" w:rsidRPr="007712F7">
              <w:t xml:space="preserve"> </w:t>
            </w:r>
            <w:r>
              <w:t xml:space="preserve">tehniskā </w:t>
            </w:r>
            <w:r w:rsidR="002A137B">
              <w:t xml:space="preserve">pāreja </w:t>
            </w:r>
            <w:r w:rsidR="002A137B" w:rsidRPr="007712F7">
              <w:t>no 1,75 MHz daudzkārtņa uz 5 MHz daudzkārtni</w:t>
            </w:r>
            <w:r w:rsidR="002A137B">
              <w:t xml:space="preserve"> i</w:t>
            </w:r>
            <w:r w:rsidR="007712F7" w:rsidRPr="007712F7">
              <w:t>zstrādā</w:t>
            </w:r>
            <w:r w:rsidR="002A137B">
              <w:t>jis</w:t>
            </w:r>
            <w:r w:rsidR="007712F7" w:rsidRPr="007712F7">
              <w:t xml:space="preserve"> </w:t>
            </w:r>
            <w:r w:rsidR="005D1599">
              <w:t>VAS “Elektroniskie sakari”</w:t>
            </w:r>
            <w:r w:rsidR="002A137B">
              <w:t>.</w:t>
            </w:r>
            <w:r w:rsidR="00D57C84">
              <w:t xml:space="preserve"> Elektronisko sakaru komersanti atbrīvo to</w:t>
            </w:r>
            <w:proofErr w:type="gramStart"/>
            <w:r w:rsidR="00D57C84">
              <w:t xml:space="preserve">  </w:t>
            </w:r>
            <w:proofErr w:type="gramEnd"/>
            <w:r w:rsidR="00D57C84">
              <w:t xml:space="preserve">radiofrekvenču spektra 3410-3600MHz un 3600MHz-3800MHz daļu, kura neatbilst 5MHz daudzkārtnim. </w:t>
            </w:r>
            <w:r w:rsidR="003B73EE">
              <w:t>E</w:t>
            </w:r>
            <w:r w:rsidR="00CD7174">
              <w:t>lektronisko sakaru komersantiem tiek saglabātas lietošanas tiesības uz daudzkārtnim atbilstošo daļu apjomā, kas nepārsniedz Nacionālajā radiofrekvenču plānā noteikto bloku lielumu</w:t>
            </w:r>
            <w:r w:rsidR="003B73EE">
              <w:t xml:space="preserve"> (50MHz)</w:t>
            </w:r>
            <w:r w:rsidR="00CD7174">
              <w:t>.</w:t>
            </w:r>
            <w:r w:rsidR="003B73EE">
              <w:t xml:space="preserve"> </w:t>
            </w:r>
            <w:r w:rsidR="00F271F9">
              <w:t>Sabiedrisko pakalpojumu regulēšanas komisija</w:t>
            </w:r>
            <w:r w:rsidR="00D57C84">
              <w:t xml:space="preserve"> pagarina elektronisko sakaru komersantiem piešķirto radiofrekvenču spektra joslu lietošanas termiņu attiecīgajās frekvenču joslās, atbilstoši Nacionālajā radiofrekvenču plānā noteiktajam frekvenču bloku sadalījumam. </w:t>
            </w:r>
          </w:p>
          <w:p w:rsidR="005E7BC4" w:rsidRDefault="005E7BC4" w:rsidP="005E7BC4">
            <w:pPr>
              <w:jc w:val="both"/>
            </w:pPr>
            <w:r>
              <w:t>50MHz sadalījums ļautu nodrošināt radiofrekvenču resursus jaun</w:t>
            </w:r>
            <w:r w:rsidR="00F7789E">
              <w:t>u inovatīvu</w:t>
            </w:r>
            <w:r>
              <w:t xml:space="preserve"> sakaru tehnoloģiju ieviešanai esošo spektra lietotāju sakaru tīklos un arī jauno spektra lietotāju sakaru tīklos. </w:t>
            </w:r>
          </w:p>
          <w:p w:rsidR="00F7789E" w:rsidRDefault="00A375D3" w:rsidP="00F7789E">
            <w:pPr>
              <w:jc w:val="both"/>
            </w:pPr>
            <w:r>
              <w:rPr>
                <w:bCs/>
                <w:lang w:eastAsia="en-IE"/>
              </w:rPr>
              <w:t xml:space="preserve">Saskaņā ar sagatavoto grozījumu projektu, sākot no </w:t>
            </w:r>
            <w:proofErr w:type="gramStart"/>
            <w:r>
              <w:rPr>
                <w:bCs/>
                <w:lang w:eastAsia="en-IE"/>
              </w:rPr>
              <w:t>2019.gada</w:t>
            </w:r>
            <w:proofErr w:type="gramEnd"/>
            <w:r>
              <w:rPr>
                <w:bCs/>
                <w:lang w:eastAsia="en-IE"/>
              </w:rPr>
              <w:t xml:space="preserve"> 1.janvāra </w:t>
            </w:r>
            <w:r w:rsidR="007968C9">
              <w:t>paredzēti</w:t>
            </w:r>
            <w:r w:rsidR="00F7789E">
              <w:t xml:space="preserve"> </w:t>
            </w:r>
            <w:r w:rsidR="00F7789E" w:rsidRPr="00412489">
              <w:t>vienot</w:t>
            </w:r>
            <w:r w:rsidR="00F7789E">
              <w:t>i</w:t>
            </w:r>
            <w:r w:rsidR="00F7789E" w:rsidRPr="00412489">
              <w:t xml:space="preserve"> radiofrekvenču spektra izmantošanas nosacījum</w:t>
            </w:r>
            <w:r w:rsidR="00F7789E">
              <w:t>i</w:t>
            </w:r>
            <w:r w:rsidR="00F7789E" w:rsidRPr="00412489">
              <w:t xml:space="preserve">, </w:t>
            </w:r>
            <w:r w:rsidR="00F7789E">
              <w:t xml:space="preserve">kuri </w:t>
            </w:r>
            <w:r w:rsidR="00CD7174">
              <w:t>aprakstīti</w:t>
            </w:r>
            <w:r w:rsidR="00F7789E">
              <w:t xml:space="preserve"> 2.pielikuma 47.punktā </w:t>
            </w:r>
            <w:r w:rsidR="00F7789E" w:rsidRPr="00412489">
              <w:t>Radiosaskarn</w:t>
            </w:r>
            <w:r w:rsidR="00F7789E">
              <w:t>ē</w:t>
            </w:r>
            <w:r w:rsidR="00F7789E" w:rsidRPr="00412489">
              <w:t xml:space="preserve"> RS LM.3600, attiecīgi </w:t>
            </w:r>
            <w:r w:rsidR="00CD7174">
              <w:t xml:space="preserve">pēc </w:t>
            </w:r>
            <w:r w:rsidR="00CD7174">
              <w:rPr>
                <w:bCs/>
                <w:lang w:eastAsia="en-IE"/>
              </w:rPr>
              <w:t>2019.gada 1.janvāra</w:t>
            </w:r>
            <w:r w:rsidR="00CD7174" w:rsidRPr="00412489">
              <w:t xml:space="preserve"> </w:t>
            </w:r>
            <w:r w:rsidR="00F7789E" w:rsidRPr="00412489">
              <w:t xml:space="preserve">spēku zaudējot Radiosaskarnēm RS FX.035MP un RS FX.037MP. </w:t>
            </w:r>
          </w:p>
          <w:p w:rsidR="00B824AC" w:rsidRPr="00FE46CF" w:rsidRDefault="00E25933" w:rsidP="007712F7">
            <w:pPr>
              <w:jc w:val="both"/>
            </w:pPr>
            <w:r w:rsidRPr="00FE46CF">
              <w:lastRenderedPageBreak/>
              <w:t xml:space="preserve">Noteikumu projekta </w:t>
            </w:r>
            <w:r w:rsidR="00A85E1D" w:rsidRPr="00FE46CF">
              <w:t>2. p</w:t>
            </w:r>
            <w:r w:rsidRPr="00FE46CF">
              <w:t>unkt</w:t>
            </w:r>
            <w:r w:rsidR="00A85E1D" w:rsidRPr="00FE46CF">
              <w:t>s</w:t>
            </w:r>
            <w:r w:rsidRPr="00FE46CF">
              <w:t>.</w:t>
            </w:r>
          </w:p>
          <w:p w:rsidR="00E25933" w:rsidRPr="00FE46CF" w:rsidRDefault="00E25933" w:rsidP="007712F7">
            <w:pPr>
              <w:jc w:val="both"/>
            </w:pPr>
          </w:p>
          <w:p w:rsidR="00B12C95" w:rsidRPr="00BD5517" w:rsidRDefault="00A24C69" w:rsidP="00BD5517">
            <w:pPr>
              <w:jc w:val="both"/>
              <w:rPr>
                <w:sz w:val="25"/>
                <w:szCs w:val="25"/>
              </w:rPr>
            </w:pPr>
            <w:r w:rsidRPr="00FE46CF">
              <w:t>4)</w:t>
            </w:r>
            <w:r w:rsidR="007D0F52" w:rsidRPr="00FE46CF">
              <w:t xml:space="preserve"> respektēt </w:t>
            </w:r>
            <w:r w:rsidR="00161775" w:rsidRPr="00FE46CF">
              <w:t xml:space="preserve">esošo joslā strādājošo komersantu </w:t>
            </w:r>
            <w:r w:rsidR="00AE05EA" w:rsidRPr="00FE46CF">
              <w:t>piešķirtās radiofrekvenču spektra lietošanas tiesības</w:t>
            </w:r>
            <w:r w:rsidR="00257693" w:rsidRPr="00FE46CF">
              <w:t xml:space="preserve">. </w:t>
            </w:r>
            <w:r w:rsidR="00BD5517" w:rsidRPr="00FE46CF">
              <w:t>P</w:t>
            </w:r>
            <w:r w:rsidR="00B12C95" w:rsidRPr="00FE46CF">
              <w:rPr>
                <w:sz w:val="25"/>
                <w:szCs w:val="25"/>
              </w:rPr>
              <w:t>ārplānošanas gaitā tiktu ņemta vērā esošo joslas</w:t>
            </w:r>
            <w:r w:rsidR="00B12C95" w:rsidRPr="00BD5517">
              <w:rPr>
                <w:sz w:val="25"/>
                <w:szCs w:val="25"/>
              </w:rPr>
              <w:t xml:space="preserve"> izmantotāju tiesiskā paļāvība turpināt darbu pēc licenses termiņa beigām, saņemot radiofrekvenču spektra lietošanas tiesību pagarināšanu</w:t>
            </w:r>
            <w:r w:rsidR="00BD5517">
              <w:rPr>
                <w:sz w:val="25"/>
                <w:szCs w:val="25"/>
              </w:rPr>
              <w:t>.</w:t>
            </w:r>
          </w:p>
          <w:p w:rsidR="00B12C95" w:rsidRDefault="00B12C95" w:rsidP="007D0F52">
            <w:pPr>
              <w:jc w:val="both"/>
            </w:pPr>
          </w:p>
          <w:p w:rsidR="00A85E1D" w:rsidRDefault="00161775" w:rsidP="007D0F52">
            <w:pPr>
              <w:jc w:val="both"/>
            </w:pPr>
            <w:r w:rsidRPr="00A24C69">
              <w:t xml:space="preserve"> </w:t>
            </w:r>
            <w:r w:rsidR="00AE05EA" w:rsidRPr="00A24C69">
              <w:t>Jaunais sadalījums tiek veidots tā, lai katrs TDD bloks pēc iespējas pilnīgāk aptvertu vienu no esošo lietošanas tiesību FDD</w:t>
            </w:r>
            <w:r w:rsidR="00AE05EA" w:rsidRPr="00DE7B33">
              <w:t xml:space="preserve"> apakšjoslām</w:t>
            </w:r>
            <w:r w:rsidR="007A280D">
              <w:t xml:space="preserve"> un, </w:t>
            </w:r>
            <w:r w:rsidR="007A280D" w:rsidRPr="00DE7B33">
              <w:t>atbrīvojot tās radiofrekvenču spektra daļas, kas neatbilst 50 MHz bloku sadalījumam</w:t>
            </w:r>
            <w:r w:rsidR="007A280D">
              <w:t xml:space="preserve">. </w:t>
            </w:r>
            <w:r w:rsidR="00BD5517">
              <w:t>A</w:t>
            </w:r>
            <w:r w:rsidR="009642D5" w:rsidRPr="00DE7B33">
              <w:t>tbrīvotais radiofrekvenču spektra resurss</w:t>
            </w:r>
            <w:r w:rsidR="007A280D">
              <w:t xml:space="preserve"> </w:t>
            </w:r>
            <w:r w:rsidR="009642D5" w:rsidRPr="00DE7B33">
              <w:t xml:space="preserve">varētu tikt piešķirts jauniem </w:t>
            </w:r>
            <w:r w:rsidR="00C8518D">
              <w:t>tirgus dalībniekiem</w:t>
            </w:r>
            <w:r w:rsidR="009642D5" w:rsidRPr="00DE7B33">
              <w:t>.</w:t>
            </w:r>
            <w:r w:rsidR="007D0F52">
              <w:t xml:space="preserve"> </w:t>
            </w:r>
            <w:r w:rsidR="003374AC">
              <w:t>Radiofrekvenču spektra joslā strādā viens elektronisko sakaru operators, k</w:t>
            </w:r>
            <w:r w:rsidR="00B12C95">
              <w:t>urš</w:t>
            </w:r>
            <w:r w:rsidR="003374AC">
              <w:t xml:space="preserve"> lietošanas tiesības ieguvis izsoles ceļā</w:t>
            </w:r>
            <w:r w:rsidR="007968C9">
              <w:t xml:space="preserve"> un kuram piešķirtais spektra apjoms neatbilst 5MHz daudzkārtnim</w:t>
            </w:r>
            <w:r w:rsidR="003374AC">
              <w:t xml:space="preserve">. </w:t>
            </w:r>
          </w:p>
          <w:p w:rsidR="00AE05EA" w:rsidRDefault="00AE05EA" w:rsidP="00AE05EA">
            <w:pPr>
              <w:jc w:val="both"/>
            </w:pPr>
          </w:p>
          <w:p w:rsidR="00C01753" w:rsidRPr="00FE46CF" w:rsidRDefault="003374AC" w:rsidP="00C01753">
            <w:pPr>
              <w:jc w:val="both"/>
            </w:pPr>
            <w:r>
              <w:t>5</w:t>
            </w:r>
            <w:r w:rsidRPr="00713BE9">
              <w:t xml:space="preserve">) </w:t>
            </w:r>
            <w:r w:rsidR="000C6D27" w:rsidRPr="00902359">
              <w:t>3400-3</w:t>
            </w:r>
            <w:r w:rsidR="000C6D27">
              <w:t>8</w:t>
            </w:r>
            <w:r w:rsidR="000C6D27" w:rsidRPr="00902359">
              <w:t>00 MHz</w:t>
            </w:r>
            <w:r w:rsidR="000C6D27">
              <w:t xml:space="preserve"> radiofrekvenču joslā </w:t>
            </w:r>
            <w:r w:rsidR="00713BE9" w:rsidRPr="00713BE9">
              <w:t xml:space="preserve">noteikt </w:t>
            </w:r>
            <w:r w:rsidR="00C01753" w:rsidRPr="00713BE9">
              <w:t xml:space="preserve">izlīdzinātu termiņu </w:t>
            </w:r>
            <w:r w:rsidR="00713BE9" w:rsidRPr="00902359">
              <w:t>piešķirto radiofrekvenču spektra lietošanas tiesībām</w:t>
            </w:r>
            <w:r w:rsidR="00713BE9">
              <w:t xml:space="preserve">. </w:t>
            </w:r>
            <w:r w:rsidR="00350A5C">
              <w:t xml:space="preserve">Tiek </w:t>
            </w:r>
            <w:r w:rsidR="00350A5C" w:rsidRPr="00FE46CF">
              <w:t xml:space="preserve">noteikts, ka piešķirtās radiofrekvenču spektra lietošanas tiesības ir spēkā līdz </w:t>
            </w:r>
            <w:proofErr w:type="gramStart"/>
            <w:r w:rsidR="00350A5C" w:rsidRPr="00FE46CF">
              <w:t>2028.gada</w:t>
            </w:r>
            <w:proofErr w:type="gramEnd"/>
            <w:r w:rsidR="00350A5C" w:rsidRPr="00FE46CF">
              <w:t xml:space="preserve"> 31.decembrim, pēc kā</w:t>
            </w:r>
            <w:r w:rsidR="00A77E8E" w:rsidRPr="00FE46CF">
              <w:t>,</w:t>
            </w:r>
            <w:r w:rsidR="00350A5C" w:rsidRPr="00FE46CF">
              <w:t xml:space="preserve"> </w:t>
            </w:r>
            <w:r w:rsidR="00A77E8E" w:rsidRPr="00FE46CF">
              <w:t xml:space="preserve">ievērojot Elektronisko sakaru likuma 51.panta pirmās daļas prasības, </w:t>
            </w:r>
            <w:r w:rsidR="00350A5C" w:rsidRPr="00FE46CF">
              <w:t xml:space="preserve">paredzēta radiofrekvenču spektra joslas </w:t>
            </w:r>
            <w:r w:rsidR="00B32A8C" w:rsidRPr="00FE46CF">
              <w:t>atbrīvošana pārplānošanai</w:t>
            </w:r>
            <w:r w:rsidR="00350A5C" w:rsidRPr="00FE46CF">
              <w:t>.</w:t>
            </w:r>
            <w:r w:rsidR="00570F4D" w:rsidRPr="00FE46CF">
              <w:t xml:space="preserve"> </w:t>
            </w:r>
            <w:r w:rsidR="00C01753" w:rsidRPr="00FE46CF">
              <w:t xml:space="preserve">Noteikumu projekta </w:t>
            </w:r>
            <w:r w:rsidR="00A85E1D" w:rsidRPr="00FE46CF">
              <w:t>2.</w:t>
            </w:r>
            <w:r w:rsidR="00C01753" w:rsidRPr="00FE46CF">
              <w:t>punkt</w:t>
            </w:r>
            <w:r w:rsidR="00A85E1D" w:rsidRPr="00FE46CF">
              <w:t>s</w:t>
            </w:r>
            <w:r w:rsidR="00C01753" w:rsidRPr="00FE46CF">
              <w:t>.</w:t>
            </w:r>
          </w:p>
          <w:p w:rsidR="00713BE9" w:rsidRPr="00FE46CF" w:rsidRDefault="00713BE9" w:rsidP="00C01753">
            <w:pPr>
              <w:jc w:val="both"/>
            </w:pPr>
          </w:p>
          <w:p w:rsidR="00BA2906" w:rsidRPr="00FE46CF" w:rsidRDefault="00BA2906" w:rsidP="00CF7285">
            <w:pPr>
              <w:jc w:val="both"/>
              <w:rPr>
                <w:bCs/>
              </w:rPr>
            </w:pPr>
          </w:p>
          <w:p w:rsidR="003C7816" w:rsidRPr="00FE46CF" w:rsidRDefault="004A4853" w:rsidP="000939EF">
            <w:pPr>
              <w:jc w:val="both"/>
            </w:pPr>
            <w:r w:rsidRPr="00FE46CF">
              <w:t>Papildus minētajam</w:t>
            </w:r>
            <w:r w:rsidR="000939EF" w:rsidRPr="00FE46CF">
              <w:t xml:space="preserve"> projektā ietverti </w:t>
            </w:r>
            <w:r w:rsidR="007A280D" w:rsidRPr="00FE46CF">
              <w:t xml:space="preserve">citi </w:t>
            </w:r>
            <w:r w:rsidR="000939EF" w:rsidRPr="00FE46CF">
              <w:t>grozījumi:</w:t>
            </w:r>
          </w:p>
          <w:p w:rsidR="000C6D27" w:rsidRDefault="000C6D27" w:rsidP="000C6D27">
            <w:pPr>
              <w:jc w:val="both"/>
              <w:rPr>
                <w:bCs/>
              </w:rPr>
            </w:pPr>
            <w:r w:rsidRPr="00FE46CF">
              <w:t>1)</w:t>
            </w:r>
            <w:r w:rsidR="00027636" w:rsidRPr="00FE46CF">
              <w:t xml:space="preserve">Eiropas Komisijas </w:t>
            </w:r>
            <w:proofErr w:type="gramStart"/>
            <w:r w:rsidR="00027636" w:rsidRPr="00FE46CF">
              <w:t>2016.gada</w:t>
            </w:r>
            <w:proofErr w:type="gramEnd"/>
            <w:r w:rsidR="00027636" w:rsidRPr="00FE46CF">
              <w:t xml:space="preserve"> 8.marta Lēmum</w:t>
            </w:r>
            <w:r w:rsidR="003D057A" w:rsidRPr="00FE46CF">
              <w:t>s</w:t>
            </w:r>
            <w:r w:rsidR="00027636" w:rsidRPr="00FE46CF">
              <w:t xml:space="preserve"> 2016/</w:t>
            </w:r>
            <w:r w:rsidR="00CB452B" w:rsidRPr="00FE46CF">
              <w:t>339</w:t>
            </w:r>
            <w:r w:rsidR="00027636" w:rsidRPr="00FE46CF">
              <w:t xml:space="preserve"> par 2010-2025MHz frekvenču joslas harmonizēšanu portatīvām vai mobilām bezvadu videolīnijām un bezvadu kamerām, ko izmanto programmu gatavošanai un īpašajiem pasākumiem</w:t>
            </w:r>
            <w:r w:rsidR="00C93058" w:rsidRPr="00FE46CF">
              <w:t>, tehnisko raksturlielumu pārņemšana</w:t>
            </w:r>
            <w:r w:rsidR="00312EC5" w:rsidRPr="00FE46CF">
              <w:t>. Lēmuma mērķis ir harmonizēt minēto radiofrekvenču joslu neekskluzīvai izmantošanai video PMSE (Programme making and special events) – programmu gatavošanas un īpašo pasākumu ierīcēm (radiomikrofoni, auss monitori, pagaidu skaņas radiolīnijas).</w:t>
            </w:r>
            <w:r w:rsidR="001A5F98" w:rsidRPr="00FE46CF">
              <w:t xml:space="preserve"> </w:t>
            </w:r>
            <w:r w:rsidRPr="00FE46CF">
              <w:rPr>
                <w:bCs/>
              </w:rPr>
              <w:t xml:space="preserve">Noteikumu projekta </w:t>
            </w:r>
            <w:r w:rsidR="00C96A55" w:rsidRPr="00FE46CF">
              <w:rPr>
                <w:bCs/>
              </w:rPr>
              <w:t>3.</w:t>
            </w:r>
            <w:r w:rsidRPr="00FE46CF">
              <w:rPr>
                <w:bCs/>
              </w:rPr>
              <w:t>punkt</w:t>
            </w:r>
            <w:r w:rsidR="00C96A55" w:rsidRPr="00FE46CF">
              <w:rPr>
                <w:bCs/>
              </w:rPr>
              <w:t>s, 6.punkts</w:t>
            </w:r>
            <w:r w:rsidRPr="00FE46CF">
              <w:rPr>
                <w:bCs/>
              </w:rPr>
              <w:t>.</w:t>
            </w:r>
          </w:p>
          <w:p w:rsidR="000C6D27" w:rsidRDefault="000C6D27" w:rsidP="000939EF">
            <w:pPr>
              <w:jc w:val="both"/>
            </w:pPr>
          </w:p>
          <w:p w:rsidR="00027636" w:rsidRPr="00F9121C" w:rsidRDefault="00027636" w:rsidP="000939EF">
            <w:pPr>
              <w:jc w:val="both"/>
            </w:pPr>
          </w:p>
        </w:tc>
      </w:tr>
      <w:tr w:rsidR="00895374" w:rsidRPr="00E030F4" w:rsidTr="00CF7285">
        <w:trPr>
          <w:trHeight w:val="536"/>
        </w:trPr>
        <w:tc>
          <w:tcPr>
            <w:tcW w:w="271" w:type="pct"/>
            <w:tcBorders>
              <w:top w:val="outset" w:sz="6" w:space="0" w:color="000000"/>
              <w:left w:val="outset" w:sz="6" w:space="0" w:color="000000"/>
              <w:bottom w:val="outset" w:sz="6" w:space="0" w:color="000000"/>
              <w:right w:val="outset" w:sz="6" w:space="0" w:color="000000"/>
            </w:tcBorders>
          </w:tcPr>
          <w:p w:rsidR="00895374" w:rsidRPr="00E030F4" w:rsidRDefault="00895374" w:rsidP="00CF7285">
            <w:pPr>
              <w:spacing w:before="100" w:beforeAutospacing="1" w:after="100" w:afterAutospacing="1"/>
            </w:pPr>
            <w:r>
              <w:lastRenderedPageBreak/>
              <w:t>3.</w:t>
            </w:r>
          </w:p>
        </w:tc>
        <w:tc>
          <w:tcPr>
            <w:tcW w:w="1357" w:type="pct"/>
            <w:tcBorders>
              <w:top w:val="outset" w:sz="6" w:space="0" w:color="000000"/>
              <w:left w:val="outset" w:sz="6" w:space="0" w:color="000000"/>
              <w:bottom w:val="outset" w:sz="6" w:space="0" w:color="000000"/>
              <w:right w:val="outset" w:sz="6" w:space="0" w:color="000000"/>
            </w:tcBorders>
          </w:tcPr>
          <w:p w:rsidR="00895374" w:rsidRPr="00CE70FA" w:rsidRDefault="00895374" w:rsidP="00CF7285">
            <w:pPr>
              <w:spacing w:before="100" w:beforeAutospacing="1" w:after="100" w:afterAutospacing="1"/>
            </w:pPr>
            <w:r w:rsidRPr="00CE70FA">
              <w:t>Projekta izstrādē iesaistītās institūcijas</w:t>
            </w:r>
          </w:p>
        </w:tc>
        <w:tc>
          <w:tcPr>
            <w:tcW w:w="3372" w:type="pct"/>
            <w:tcBorders>
              <w:top w:val="outset" w:sz="6" w:space="0" w:color="000000"/>
              <w:left w:val="outset" w:sz="6" w:space="0" w:color="000000"/>
              <w:bottom w:val="outset" w:sz="6" w:space="0" w:color="000000"/>
              <w:right w:val="outset" w:sz="6" w:space="0" w:color="000000"/>
            </w:tcBorders>
          </w:tcPr>
          <w:p w:rsidR="001D4385" w:rsidRDefault="00734503" w:rsidP="00CF7285">
            <w:pPr>
              <w:jc w:val="both"/>
            </w:pPr>
            <w:r w:rsidRPr="0012182F">
              <w:t>Valsts akciju sabiedrīb</w:t>
            </w:r>
            <w:r>
              <w:t>a</w:t>
            </w:r>
            <w:r w:rsidRPr="0012182F">
              <w:t xml:space="preserve"> „Elektronisk</w:t>
            </w:r>
            <w:r>
              <w:t>ie s</w:t>
            </w:r>
            <w:r w:rsidRPr="0012182F">
              <w:t>akar</w:t>
            </w:r>
            <w:r>
              <w:t>i</w:t>
            </w:r>
            <w:r w:rsidRPr="0012182F">
              <w:t>”</w:t>
            </w:r>
            <w:r w:rsidR="001D4385">
              <w:t>.</w:t>
            </w:r>
          </w:p>
          <w:p w:rsidR="00F10B19" w:rsidRDefault="00895374" w:rsidP="00AE7065">
            <w:pPr>
              <w:jc w:val="both"/>
            </w:pPr>
            <w:r w:rsidRPr="004E79A5">
              <w:t>Vides aizsardzības un re</w:t>
            </w:r>
            <w:r>
              <w:t>ģionālās attīstības ministrijas radiofrekvenču spektra resursu izmantoš</w:t>
            </w:r>
            <w:r w:rsidR="00734503">
              <w:t>anas koordinācijas darba grupa</w:t>
            </w:r>
            <w:r w:rsidR="00AE7065">
              <w:t>.</w:t>
            </w:r>
          </w:p>
        </w:tc>
      </w:tr>
      <w:tr w:rsidR="00895374" w:rsidRPr="00E030F4" w:rsidTr="00CF7285">
        <w:tc>
          <w:tcPr>
            <w:tcW w:w="271" w:type="pct"/>
            <w:tcBorders>
              <w:top w:val="outset" w:sz="6" w:space="0" w:color="000000"/>
              <w:left w:val="outset" w:sz="6" w:space="0" w:color="000000"/>
              <w:bottom w:val="outset" w:sz="6" w:space="0" w:color="000000"/>
              <w:right w:val="outset" w:sz="6" w:space="0" w:color="000000"/>
            </w:tcBorders>
          </w:tcPr>
          <w:p w:rsidR="00895374" w:rsidRPr="00996999" w:rsidRDefault="00895374" w:rsidP="00CF7285">
            <w:pPr>
              <w:spacing w:before="100" w:beforeAutospacing="1" w:after="100" w:afterAutospacing="1"/>
            </w:pPr>
            <w:r w:rsidRPr="00996999">
              <w:t>4.</w:t>
            </w:r>
          </w:p>
        </w:tc>
        <w:tc>
          <w:tcPr>
            <w:tcW w:w="1357" w:type="pct"/>
            <w:tcBorders>
              <w:top w:val="outset" w:sz="6" w:space="0" w:color="000000"/>
              <w:left w:val="outset" w:sz="6" w:space="0" w:color="000000"/>
              <w:bottom w:val="outset" w:sz="6" w:space="0" w:color="000000"/>
              <w:right w:val="outset" w:sz="6" w:space="0" w:color="000000"/>
            </w:tcBorders>
          </w:tcPr>
          <w:p w:rsidR="00895374" w:rsidRPr="00996999" w:rsidRDefault="00895374" w:rsidP="00CF7285">
            <w:pPr>
              <w:spacing w:before="100" w:beforeAutospacing="1" w:after="100" w:afterAutospacing="1"/>
            </w:pPr>
            <w:r w:rsidRPr="00996999">
              <w:t>Cita informācija</w:t>
            </w:r>
          </w:p>
        </w:tc>
        <w:tc>
          <w:tcPr>
            <w:tcW w:w="3372" w:type="pct"/>
            <w:tcBorders>
              <w:top w:val="outset" w:sz="6" w:space="0" w:color="000000"/>
              <w:left w:val="outset" w:sz="6" w:space="0" w:color="000000"/>
              <w:bottom w:val="outset" w:sz="6" w:space="0" w:color="000000"/>
              <w:right w:val="outset" w:sz="6" w:space="0" w:color="000000"/>
            </w:tcBorders>
          </w:tcPr>
          <w:p w:rsidR="00573DA3" w:rsidRDefault="00734503" w:rsidP="00A83BA2">
            <w:pPr>
              <w:jc w:val="both"/>
            </w:pPr>
            <w:r>
              <w:t>Nav</w:t>
            </w:r>
          </w:p>
        </w:tc>
      </w:tr>
    </w:tbl>
    <w:p w:rsidR="00895374" w:rsidRDefault="00895374" w:rsidP="00895374">
      <w:pPr>
        <w:pStyle w:val="naisc"/>
        <w:spacing w:before="0" w:after="0"/>
      </w:pPr>
    </w:p>
    <w:tbl>
      <w:tblPr>
        <w:tblW w:w="5000"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506"/>
        <w:gridCol w:w="3172"/>
        <w:gridCol w:w="5672"/>
      </w:tblGrid>
      <w:tr w:rsidR="00895374" w:rsidRPr="00E030F4" w:rsidTr="00CF7285">
        <w:tc>
          <w:tcPr>
            <w:tcW w:w="5000" w:type="pct"/>
            <w:gridSpan w:val="3"/>
            <w:tcBorders>
              <w:top w:val="single" w:sz="4" w:space="0" w:color="auto"/>
              <w:left w:val="single" w:sz="4" w:space="0" w:color="auto"/>
              <w:bottom w:val="outset" w:sz="6" w:space="0" w:color="000000"/>
              <w:right w:val="single" w:sz="4" w:space="0" w:color="auto"/>
            </w:tcBorders>
          </w:tcPr>
          <w:p w:rsidR="00895374" w:rsidRPr="00E030F4" w:rsidRDefault="00895374" w:rsidP="00CF7285">
            <w:pPr>
              <w:spacing w:before="100" w:beforeAutospacing="1" w:after="100" w:afterAutospacing="1"/>
              <w:jc w:val="center"/>
              <w:rPr>
                <w:b/>
                <w:bCs/>
              </w:rPr>
            </w:pPr>
            <w:r w:rsidRPr="00CA06B9">
              <w:rPr>
                <w:b/>
                <w:bCs/>
              </w:rPr>
              <w:t>II. Tiesību akta projekta ietekme uz sabiedrību</w:t>
            </w:r>
            <w:r>
              <w:rPr>
                <w:b/>
                <w:bCs/>
              </w:rPr>
              <w:t>, tautsaimniecības attīstību un administratīvo slogu</w:t>
            </w:r>
          </w:p>
        </w:tc>
      </w:tr>
      <w:tr w:rsidR="00895374" w:rsidRPr="00E030F4" w:rsidTr="00CF7285">
        <w:tc>
          <w:tcPr>
            <w:tcW w:w="271" w:type="pct"/>
            <w:tcBorders>
              <w:top w:val="outset" w:sz="6" w:space="0" w:color="000000"/>
              <w:left w:val="outset" w:sz="6" w:space="0" w:color="000000"/>
              <w:bottom w:val="outset" w:sz="6" w:space="0" w:color="000000"/>
              <w:right w:val="outset" w:sz="6" w:space="0" w:color="000000"/>
            </w:tcBorders>
          </w:tcPr>
          <w:p w:rsidR="00895374" w:rsidRPr="00E030F4" w:rsidRDefault="00895374" w:rsidP="00CF7285">
            <w:pPr>
              <w:spacing w:before="100" w:beforeAutospacing="1" w:after="100" w:afterAutospacing="1"/>
            </w:pPr>
            <w:r w:rsidRPr="00E030F4">
              <w:t>1.</w:t>
            </w:r>
          </w:p>
        </w:tc>
        <w:tc>
          <w:tcPr>
            <w:tcW w:w="1696" w:type="pct"/>
            <w:tcBorders>
              <w:top w:val="outset" w:sz="6" w:space="0" w:color="000000"/>
              <w:left w:val="outset" w:sz="6" w:space="0" w:color="000000"/>
              <w:bottom w:val="outset" w:sz="6" w:space="0" w:color="000000"/>
              <w:right w:val="outset" w:sz="6" w:space="0" w:color="000000"/>
            </w:tcBorders>
          </w:tcPr>
          <w:p w:rsidR="00895374" w:rsidRPr="00E030F4" w:rsidRDefault="00895374" w:rsidP="00CF7285">
            <w:pPr>
              <w:spacing w:before="100" w:beforeAutospacing="1" w:after="100" w:afterAutospacing="1"/>
            </w:pPr>
            <w:r w:rsidRPr="00CA06B9">
              <w:t>Sabiedrības mērķgrupa</w:t>
            </w:r>
            <w:r>
              <w:t xml:space="preserve">s, </w:t>
            </w:r>
            <w:r w:rsidRPr="00CA06B9">
              <w:t>kuras tiesiskais regulējums arī ietekmē vai varētu ietekmēt</w:t>
            </w:r>
          </w:p>
        </w:tc>
        <w:tc>
          <w:tcPr>
            <w:tcW w:w="3033" w:type="pct"/>
            <w:tcBorders>
              <w:top w:val="outset" w:sz="6" w:space="0" w:color="000000"/>
              <w:left w:val="outset" w:sz="6" w:space="0" w:color="000000"/>
              <w:bottom w:val="outset" w:sz="6" w:space="0" w:color="000000"/>
              <w:right w:val="outset" w:sz="6" w:space="0" w:color="000000"/>
            </w:tcBorders>
          </w:tcPr>
          <w:p w:rsidR="00895374" w:rsidRDefault="00A2136F" w:rsidP="00CF7285">
            <w:pPr>
              <w:jc w:val="both"/>
            </w:pPr>
            <w:r>
              <w:t>Elektronisko sakaru komersanti r</w:t>
            </w:r>
            <w:r w:rsidR="00895374" w:rsidRPr="00131F09">
              <w:t>adiofrekvenču spektra lietotāji.</w:t>
            </w:r>
          </w:p>
          <w:p w:rsidR="00895374" w:rsidRPr="007F6CF5" w:rsidRDefault="00895374" w:rsidP="00CF7285">
            <w:pPr>
              <w:jc w:val="both"/>
            </w:pPr>
          </w:p>
        </w:tc>
      </w:tr>
      <w:tr w:rsidR="00895374" w:rsidRPr="00E030F4" w:rsidTr="00CF7285">
        <w:tc>
          <w:tcPr>
            <w:tcW w:w="271" w:type="pct"/>
            <w:tcBorders>
              <w:top w:val="outset" w:sz="6" w:space="0" w:color="000000"/>
              <w:left w:val="outset" w:sz="6" w:space="0" w:color="000000"/>
              <w:bottom w:val="outset" w:sz="6" w:space="0" w:color="000000"/>
              <w:right w:val="outset" w:sz="6" w:space="0" w:color="000000"/>
            </w:tcBorders>
          </w:tcPr>
          <w:p w:rsidR="00895374" w:rsidRPr="00E030F4" w:rsidRDefault="00895374" w:rsidP="00CF7285">
            <w:pPr>
              <w:spacing w:before="100" w:beforeAutospacing="1" w:after="100" w:afterAutospacing="1"/>
            </w:pPr>
            <w:r w:rsidRPr="00E030F4">
              <w:t>2.</w:t>
            </w:r>
          </w:p>
        </w:tc>
        <w:tc>
          <w:tcPr>
            <w:tcW w:w="1696" w:type="pct"/>
            <w:tcBorders>
              <w:top w:val="outset" w:sz="6" w:space="0" w:color="000000"/>
              <w:left w:val="outset" w:sz="6" w:space="0" w:color="000000"/>
              <w:bottom w:val="outset" w:sz="6" w:space="0" w:color="000000"/>
              <w:right w:val="outset" w:sz="6" w:space="0" w:color="000000"/>
            </w:tcBorders>
          </w:tcPr>
          <w:p w:rsidR="00895374" w:rsidRPr="00E030F4" w:rsidRDefault="00895374" w:rsidP="00CF7285">
            <w:pPr>
              <w:spacing w:before="100" w:beforeAutospacing="1" w:after="100" w:afterAutospacing="1"/>
            </w:pPr>
            <w:r w:rsidRPr="00CA06B9">
              <w:t xml:space="preserve">Tiesiskā regulējuma </w:t>
            </w:r>
            <w:r>
              <w:t>ietekme uz tautsaimniecību un administratīvo slogu</w:t>
            </w:r>
          </w:p>
        </w:tc>
        <w:tc>
          <w:tcPr>
            <w:tcW w:w="3033" w:type="pct"/>
            <w:tcBorders>
              <w:top w:val="outset" w:sz="6" w:space="0" w:color="000000"/>
              <w:left w:val="outset" w:sz="6" w:space="0" w:color="000000"/>
              <w:bottom w:val="outset" w:sz="6" w:space="0" w:color="000000"/>
              <w:right w:val="outset" w:sz="6" w:space="0" w:color="000000"/>
            </w:tcBorders>
          </w:tcPr>
          <w:p w:rsidR="00895374" w:rsidRPr="00E030F4" w:rsidRDefault="00895374" w:rsidP="00CF7285">
            <w:pPr>
              <w:spacing w:after="100" w:afterAutospacing="1"/>
              <w:jc w:val="both"/>
            </w:pPr>
            <w:r>
              <w:t>Ietekmes nav</w:t>
            </w:r>
            <w:r w:rsidRPr="006D4B6A">
              <w:t xml:space="preserve">. </w:t>
            </w:r>
          </w:p>
        </w:tc>
      </w:tr>
      <w:tr w:rsidR="00895374" w:rsidRPr="00E030F4" w:rsidTr="00CF7285">
        <w:trPr>
          <w:trHeight w:val="536"/>
        </w:trPr>
        <w:tc>
          <w:tcPr>
            <w:tcW w:w="271" w:type="pct"/>
            <w:tcBorders>
              <w:top w:val="outset" w:sz="6" w:space="0" w:color="000000"/>
              <w:left w:val="outset" w:sz="6" w:space="0" w:color="000000"/>
              <w:bottom w:val="outset" w:sz="6" w:space="0" w:color="000000"/>
              <w:right w:val="outset" w:sz="6" w:space="0" w:color="000000"/>
            </w:tcBorders>
          </w:tcPr>
          <w:p w:rsidR="00895374" w:rsidRPr="00E030F4" w:rsidRDefault="00895374" w:rsidP="00CF7285">
            <w:pPr>
              <w:spacing w:before="100" w:beforeAutospacing="1" w:after="100" w:afterAutospacing="1"/>
            </w:pPr>
            <w:r>
              <w:t>3.</w:t>
            </w:r>
          </w:p>
        </w:tc>
        <w:tc>
          <w:tcPr>
            <w:tcW w:w="1696" w:type="pct"/>
            <w:tcBorders>
              <w:top w:val="outset" w:sz="6" w:space="0" w:color="000000"/>
              <w:left w:val="outset" w:sz="6" w:space="0" w:color="000000"/>
              <w:bottom w:val="outset" w:sz="6" w:space="0" w:color="000000"/>
              <w:right w:val="outset" w:sz="6" w:space="0" w:color="000000"/>
            </w:tcBorders>
          </w:tcPr>
          <w:p w:rsidR="00895374" w:rsidRPr="00CE70FA" w:rsidRDefault="00895374" w:rsidP="00CF7285">
            <w:pPr>
              <w:spacing w:before="100" w:beforeAutospacing="1" w:after="100" w:afterAutospacing="1"/>
            </w:pPr>
            <w:r w:rsidRPr="00CA06B9">
              <w:t>Administratīvo izmaksu monetārs novērtējums</w:t>
            </w:r>
          </w:p>
        </w:tc>
        <w:tc>
          <w:tcPr>
            <w:tcW w:w="3033" w:type="pct"/>
            <w:tcBorders>
              <w:top w:val="outset" w:sz="6" w:space="0" w:color="000000"/>
              <w:left w:val="outset" w:sz="6" w:space="0" w:color="000000"/>
              <w:bottom w:val="outset" w:sz="6" w:space="0" w:color="000000"/>
              <w:right w:val="outset" w:sz="6" w:space="0" w:color="000000"/>
            </w:tcBorders>
          </w:tcPr>
          <w:p w:rsidR="00895374" w:rsidRDefault="00895374" w:rsidP="00CF7285">
            <w:pPr>
              <w:spacing w:before="100" w:beforeAutospacing="1" w:after="100" w:afterAutospacing="1"/>
            </w:pPr>
            <w:r w:rsidRPr="00CA06B9">
              <w:t>Projekts šo jomu neskar</w:t>
            </w:r>
            <w:r>
              <w:t>.</w:t>
            </w:r>
          </w:p>
        </w:tc>
      </w:tr>
      <w:tr w:rsidR="00895374" w:rsidRPr="00E030F4" w:rsidTr="00CF7285">
        <w:tc>
          <w:tcPr>
            <w:tcW w:w="271" w:type="pct"/>
            <w:tcBorders>
              <w:top w:val="outset" w:sz="6" w:space="0" w:color="000000"/>
              <w:left w:val="outset" w:sz="6" w:space="0" w:color="000000"/>
              <w:bottom w:val="outset" w:sz="6" w:space="0" w:color="000000"/>
              <w:right w:val="outset" w:sz="6" w:space="0" w:color="000000"/>
            </w:tcBorders>
          </w:tcPr>
          <w:p w:rsidR="00895374" w:rsidRPr="00E030F4" w:rsidRDefault="00895374" w:rsidP="00CF7285">
            <w:pPr>
              <w:spacing w:before="100" w:beforeAutospacing="1" w:after="100" w:afterAutospacing="1"/>
            </w:pPr>
            <w:r>
              <w:t>4</w:t>
            </w:r>
            <w:r w:rsidRPr="00E030F4">
              <w:t>.</w:t>
            </w:r>
          </w:p>
        </w:tc>
        <w:tc>
          <w:tcPr>
            <w:tcW w:w="1696" w:type="pct"/>
            <w:tcBorders>
              <w:top w:val="outset" w:sz="6" w:space="0" w:color="000000"/>
              <w:left w:val="outset" w:sz="6" w:space="0" w:color="000000"/>
              <w:bottom w:val="outset" w:sz="6" w:space="0" w:color="000000"/>
              <w:right w:val="outset" w:sz="6" w:space="0" w:color="000000"/>
            </w:tcBorders>
          </w:tcPr>
          <w:p w:rsidR="00895374" w:rsidRPr="00E030F4" w:rsidRDefault="00895374" w:rsidP="00CF7285">
            <w:pPr>
              <w:spacing w:before="100" w:beforeAutospacing="1" w:after="100" w:afterAutospacing="1"/>
            </w:pPr>
            <w:r w:rsidRPr="00E030F4">
              <w:t>Cita informācija</w:t>
            </w:r>
          </w:p>
        </w:tc>
        <w:tc>
          <w:tcPr>
            <w:tcW w:w="3033" w:type="pct"/>
            <w:tcBorders>
              <w:top w:val="outset" w:sz="6" w:space="0" w:color="000000"/>
              <w:left w:val="outset" w:sz="6" w:space="0" w:color="000000"/>
              <w:bottom w:val="outset" w:sz="6" w:space="0" w:color="000000"/>
              <w:right w:val="outset" w:sz="6" w:space="0" w:color="000000"/>
            </w:tcBorders>
          </w:tcPr>
          <w:p w:rsidR="00895374" w:rsidRDefault="00895374" w:rsidP="00CD4214">
            <w:pPr>
              <w:spacing w:before="100" w:beforeAutospacing="1" w:after="100" w:afterAutospacing="1"/>
              <w:jc w:val="both"/>
            </w:pPr>
            <w:r>
              <w:t>Nav</w:t>
            </w:r>
          </w:p>
        </w:tc>
      </w:tr>
    </w:tbl>
    <w:p w:rsidR="00895374" w:rsidRDefault="00895374" w:rsidP="00895374">
      <w:pPr>
        <w:jc w:val="both"/>
      </w:pPr>
    </w:p>
    <w:p w:rsidR="00CD4214" w:rsidRDefault="00CD4214" w:rsidP="00CD4214">
      <w:pPr>
        <w:pStyle w:val="naisc"/>
        <w:spacing w:before="0" w:after="0"/>
      </w:pPr>
    </w:p>
    <w:tbl>
      <w:tblPr>
        <w:tblW w:w="5000"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492"/>
        <w:gridCol w:w="3226"/>
        <w:gridCol w:w="5632"/>
      </w:tblGrid>
      <w:tr w:rsidR="00CD4214" w:rsidRPr="00CA06B9" w:rsidTr="00576369">
        <w:tc>
          <w:tcPr>
            <w:tcW w:w="0" w:type="auto"/>
            <w:gridSpan w:val="3"/>
            <w:tcBorders>
              <w:top w:val="single" w:sz="4" w:space="0" w:color="auto"/>
              <w:left w:val="single" w:sz="4" w:space="0" w:color="auto"/>
              <w:bottom w:val="outset" w:sz="6" w:space="0" w:color="000000"/>
              <w:right w:val="single" w:sz="4" w:space="0" w:color="auto"/>
            </w:tcBorders>
          </w:tcPr>
          <w:p w:rsidR="00CD4214" w:rsidRPr="00CA06B9" w:rsidRDefault="00CD4214" w:rsidP="00576369">
            <w:pPr>
              <w:spacing w:before="100" w:beforeAutospacing="1" w:after="100" w:afterAutospacing="1"/>
              <w:jc w:val="center"/>
              <w:rPr>
                <w:b/>
                <w:bCs/>
              </w:rPr>
            </w:pPr>
            <w:r w:rsidRPr="00CA06B9">
              <w:rPr>
                <w:b/>
                <w:bCs/>
              </w:rPr>
              <w:t>IV. Tiesību akta projekta ietekme uz spēkā esošo tiesību normu sistēmu</w:t>
            </w:r>
          </w:p>
        </w:tc>
      </w:tr>
      <w:tr w:rsidR="00CD4214" w:rsidRPr="00CA06B9" w:rsidTr="00576369">
        <w:tc>
          <w:tcPr>
            <w:tcW w:w="0" w:type="auto"/>
            <w:tcBorders>
              <w:top w:val="outset" w:sz="6" w:space="0" w:color="000000"/>
              <w:left w:val="outset" w:sz="6" w:space="0" w:color="000000"/>
              <w:bottom w:val="outset" w:sz="6" w:space="0" w:color="000000"/>
              <w:right w:val="outset" w:sz="6" w:space="0" w:color="000000"/>
            </w:tcBorders>
          </w:tcPr>
          <w:p w:rsidR="00CD4214" w:rsidRPr="00CA06B9" w:rsidRDefault="00CD4214" w:rsidP="00576369">
            <w:pPr>
              <w:spacing w:before="100" w:beforeAutospacing="1" w:after="100" w:afterAutospacing="1"/>
            </w:pPr>
            <w:r w:rsidRPr="00CA06B9">
              <w:t>1.</w:t>
            </w:r>
          </w:p>
        </w:tc>
        <w:tc>
          <w:tcPr>
            <w:tcW w:w="1725" w:type="pct"/>
            <w:tcBorders>
              <w:top w:val="outset" w:sz="6" w:space="0" w:color="000000"/>
              <w:left w:val="outset" w:sz="6" w:space="0" w:color="000000"/>
              <w:bottom w:val="outset" w:sz="6" w:space="0" w:color="000000"/>
              <w:right w:val="outset" w:sz="6" w:space="0" w:color="000000"/>
            </w:tcBorders>
          </w:tcPr>
          <w:p w:rsidR="00CD4214" w:rsidRPr="00A6317B" w:rsidRDefault="00CD4214" w:rsidP="00576369">
            <w:pPr>
              <w:spacing w:before="100" w:beforeAutospacing="1" w:after="100" w:afterAutospacing="1"/>
            </w:pPr>
            <w:r w:rsidRPr="00637113">
              <w:t>Nepieciešamie saistītie tiesību aktu projekti</w:t>
            </w:r>
          </w:p>
        </w:tc>
        <w:tc>
          <w:tcPr>
            <w:tcW w:w="3012" w:type="pct"/>
            <w:tcBorders>
              <w:top w:val="outset" w:sz="6" w:space="0" w:color="000000"/>
              <w:left w:val="outset" w:sz="6" w:space="0" w:color="000000"/>
              <w:bottom w:val="outset" w:sz="6" w:space="0" w:color="000000"/>
              <w:right w:val="outset" w:sz="6" w:space="0" w:color="000000"/>
            </w:tcBorders>
          </w:tcPr>
          <w:p w:rsidR="00CD4214" w:rsidRDefault="00CD4214" w:rsidP="00576369">
            <w:pPr>
              <w:jc w:val="both"/>
            </w:pPr>
            <w:r w:rsidRPr="00CD4214">
              <w:t xml:space="preserve">Ministru kabineta </w:t>
            </w:r>
            <w:proofErr w:type="gramStart"/>
            <w:r w:rsidRPr="00CD4214">
              <w:t>2010.gada</w:t>
            </w:r>
            <w:proofErr w:type="gramEnd"/>
            <w:r w:rsidRPr="00CD4214">
              <w:t xml:space="preserve"> 16.februāra noteikumus Nr.143 “Noteikumi par radiofrekvenču spektra joslām, kuru efektīvas izmantošanas labad ir nepieciešams ierobežot radiofrekvenču spektra lietošanas tiesību piešķiršanu komercdarbībai elektronisko sakaru nozarē”</w:t>
            </w:r>
            <w:r w:rsidR="00CE5B6F">
              <w:t>.</w:t>
            </w:r>
          </w:p>
          <w:p w:rsidR="00CE5B6F" w:rsidRPr="00E20DB5" w:rsidRDefault="00CE5B6F" w:rsidP="00576369">
            <w:pPr>
              <w:jc w:val="both"/>
            </w:pPr>
          </w:p>
        </w:tc>
      </w:tr>
      <w:tr w:rsidR="00CD4214" w:rsidRPr="00CA06B9" w:rsidTr="00576369">
        <w:tc>
          <w:tcPr>
            <w:tcW w:w="0" w:type="auto"/>
            <w:tcBorders>
              <w:top w:val="outset" w:sz="6" w:space="0" w:color="000000"/>
              <w:left w:val="outset" w:sz="6" w:space="0" w:color="000000"/>
              <w:bottom w:val="outset" w:sz="6" w:space="0" w:color="000000"/>
              <w:right w:val="outset" w:sz="6" w:space="0" w:color="000000"/>
            </w:tcBorders>
          </w:tcPr>
          <w:p w:rsidR="00CD4214" w:rsidRPr="00CA06B9" w:rsidRDefault="00CD4214" w:rsidP="00576369">
            <w:pPr>
              <w:spacing w:before="100" w:beforeAutospacing="1" w:after="100" w:afterAutospacing="1"/>
            </w:pPr>
            <w:r>
              <w:t>2.</w:t>
            </w:r>
          </w:p>
        </w:tc>
        <w:tc>
          <w:tcPr>
            <w:tcW w:w="1725" w:type="pct"/>
            <w:tcBorders>
              <w:top w:val="outset" w:sz="6" w:space="0" w:color="000000"/>
              <w:left w:val="outset" w:sz="6" w:space="0" w:color="000000"/>
              <w:bottom w:val="outset" w:sz="6" w:space="0" w:color="000000"/>
              <w:right w:val="outset" w:sz="6" w:space="0" w:color="000000"/>
            </w:tcBorders>
          </w:tcPr>
          <w:p w:rsidR="00CD4214" w:rsidRPr="00A6317B" w:rsidRDefault="00CD4214" w:rsidP="00576369">
            <w:pPr>
              <w:spacing w:before="100" w:beforeAutospacing="1" w:after="100" w:afterAutospacing="1"/>
            </w:pPr>
            <w:r>
              <w:t>Atbildīgā institūcija</w:t>
            </w:r>
          </w:p>
        </w:tc>
        <w:tc>
          <w:tcPr>
            <w:tcW w:w="3012" w:type="pct"/>
            <w:tcBorders>
              <w:top w:val="outset" w:sz="6" w:space="0" w:color="000000"/>
              <w:left w:val="outset" w:sz="6" w:space="0" w:color="000000"/>
              <w:bottom w:val="outset" w:sz="6" w:space="0" w:color="000000"/>
              <w:right w:val="outset" w:sz="6" w:space="0" w:color="000000"/>
            </w:tcBorders>
          </w:tcPr>
          <w:p w:rsidR="00CD4214" w:rsidRPr="00E20DB5" w:rsidRDefault="00CD4214" w:rsidP="00576369">
            <w:pPr>
              <w:jc w:val="both"/>
              <w:rPr>
                <w:bCs/>
              </w:rPr>
            </w:pPr>
            <w:r>
              <w:rPr>
                <w:bCs/>
              </w:rPr>
              <w:t>Vides aizsardzības un reģionālās attīstības ministrija</w:t>
            </w:r>
          </w:p>
        </w:tc>
      </w:tr>
      <w:tr w:rsidR="00CD4214" w:rsidRPr="00CA06B9" w:rsidTr="00576369">
        <w:tc>
          <w:tcPr>
            <w:tcW w:w="0" w:type="auto"/>
            <w:tcBorders>
              <w:top w:val="outset" w:sz="6" w:space="0" w:color="000000"/>
              <w:left w:val="outset" w:sz="6" w:space="0" w:color="000000"/>
              <w:bottom w:val="outset" w:sz="6" w:space="0" w:color="000000"/>
              <w:right w:val="outset" w:sz="6" w:space="0" w:color="000000"/>
            </w:tcBorders>
          </w:tcPr>
          <w:p w:rsidR="00CD4214" w:rsidRPr="00CA06B9" w:rsidRDefault="00CD4214" w:rsidP="00576369">
            <w:pPr>
              <w:spacing w:before="100" w:beforeAutospacing="1" w:after="100" w:afterAutospacing="1"/>
            </w:pPr>
            <w:r>
              <w:t>3</w:t>
            </w:r>
            <w:r w:rsidRPr="00CA06B9">
              <w:t>.</w:t>
            </w:r>
          </w:p>
        </w:tc>
        <w:tc>
          <w:tcPr>
            <w:tcW w:w="1725" w:type="pct"/>
            <w:tcBorders>
              <w:top w:val="outset" w:sz="6" w:space="0" w:color="000000"/>
              <w:left w:val="outset" w:sz="6" w:space="0" w:color="000000"/>
              <w:bottom w:val="outset" w:sz="6" w:space="0" w:color="000000"/>
              <w:right w:val="outset" w:sz="6" w:space="0" w:color="000000"/>
            </w:tcBorders>
          </w:tcPr>
          <w:p w:rsidR="00CD4214" w:rsidRPr="00CA06B9" w:rsidRDefault="00CD4214" w:rsidP="00576369">
            <w:pPr>
              <w:spacing w:before="100" w:beforeAutospacing="1" w:after="100" w:afterAutospacing="1"/>
            </w:pPr>
            <w:r w:rsidRPr="00CA06B9">
              <w:t>Cita informācija</w:t>
            </w:r>
          </w:p>
        </w:tc>
        <w:tc>
          <w:tcPr>
            <w:tcW w:w="3012" w:type="pct"/>
            <w:tcBorders>
              <w:top w:val="outset" w:sz="6" w:space="0" w:color="000000"/>
              <w:left w:val="outset" w:sz="6" w:space="0" w:color="000000"/>
              <w:bottom w:val="outset" w:sz="6" w:space="0" w:color="000000"/>
              <w:right w:val="outset" w:sz="6" w:space="0" w:color="000000"/>
            </w:tcBorders>
          </w:tcPr>
          <w:p w:rsidR="00CD4214" w:rsidRPr="00CA06B9" w:rsidRDefault="00CD4214" w:rsidP="00576369">
            <w:pPr>
              <w:spacing w:before="100" w:beforeAutospacing="1" w:after="100" w:afterAutospacing="1" w:line="276" w:lineRule="auto"/>
              <w:jc w:val="both"/>
            </w:pPr>
            <w:r>
              <w:t>Nav</w:t>
            </w:r>
          </w:p>
        </w:tc>
      </w:tr>
    </w:tbl>
    <w:p w:rsidR="00CD4214" w:rsidRDefault="00CD4214" w:rsidP="00895374">
      <w:pPr>
        <w:jc w:val="both"/>
      </w:pPr>
    </w:p>
    <w:p w:rsidR="00895374" w:rsidRDefault="00895374" w:rsidP="00895374">
      <w:pPr>
        <w:pStyle w:val="naisc"/>
        <w:spacing w:before="0" w:after="0"/>
      </w:pPr>
    </w:p>
    <w:tbl>
      <w:tblPr>
        <w:tblW w:w="5000"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351"/>
        <w:gridCol w:w="1163"/>
        <w:gridCol w:w="1023"/>
        <w:gridCol w:w="909"/>
        <w:gridCol w:w="234"/>
        <w:gridCol w:w="851"/>
        <w:gridCol w:w="426"/>
        <w:gridCol w:w="1197"/>
        <w:gridCol w:w="230"/>
        <w:gridCol w:w="415"/>
        <w:gridCol w:w="2551"/>
      </w:tblGrid>
      <w:tr w:rsidR="001A5F98" w:rsidRPr="00E030F4" w:rsidTr="0068047D">
        <w:tc>
          <w:tcPr>
            <w:tcW w:w="5000" w:type="pct"/>
            <w:gridSpan w:val="11"/>
            <w:tcBorders>
              <w:top w:val="single" w:sz="4" w:space="0" w:color="auto"/>
              <w:left w:val="single" w:sz="4" w:space="0" w:color="auto"/>
              <w:bottom w:val="outset" w:sz="6" w:space="0" w:color="000000"/>
              <w:right w:val="single" w:sz="4" w:space="0" w:color="auto"/>
            </w:tcBorders>
          </w:tcPr>
          <w:p w:rsidR="001A5F98" w:rsidRPr="00E030F4" w:rsidRDefault="001A5F98" w:rsidP="0068047D">
            <w:pPr>
              <w:spacing w:before="100" w:beforeAutospacing="1" w:after="100" w:afterAutospacing="1"/>
              <w:jc w:val="center"/>
              <w:rPr>
                <w:b/>
                <w:bCs/>
              </w:rPr>
            </w:pPr>
            <w:r w:rsidRPr="00E030F4">
              <w:rPr>
                <w:b/>
                <w:bCs/>
              </w:rPr>
              <w:t>V. Tiesību akta projekta atbilstība Latvijas Republikas starptautiskajām saistībām</w:t>
            </w:r>
          </w:p>
        </w:tc>
      </w:tr>
      <w:tr w:rsidR="001A5F98" w:rsidRPr="00E030F4" w:rsidTr="0068047D">
        <w:tc>
          <w:tcPr>
            <w:tcW w:w="188" w:type="pct"/>
            <w:tcBorders>
              <w:top w:val="outset" w:sz="6" w:space="0" w:color="000000"/>
              <w:left w:val="outset" w:sz="6" w:space="0" w:color="000000"/>
              <w:bottom w:val="outset" w:sz="6" w:space="0" w:color="000000"/>
              <w:right w:val="outset" w:sz="6" w:space="0" w:color="000000"/>
            </w:tcBorders>
          </w:tcPr>
          <w:p w:rsidR="001A5F98" w:rsidRPr="00E030F4" w:rsidRDefault="001A5F98" w:rsidP="0068047D">
            <w:pPr>
              <w:spacing w:before="100" w:beforeAutospacing="1" w:after="100" w:afterAutospacing="1"/>
            </w:pPr>
            <w:r w:rsidRPr="00E030F4">
              <w:t>1.</w:t>
            </w:r>
          </w:p>
        </w:tc>
        <w:tc>
          <w:tcPr>
            <w:tcW w:w="1169" w:type="pct"/>
            <w:gridSpan w:val="2"/>
            <w:tcBorders>
              <w:top w:val="outset" w:sz="6" w:space="0" w:color="000000"/>
              <w:left w:val="outset" w:sz="6" w:space="0" w:color="000000"/>
              <w:bottom w:val="outset" w:sz="6" w:space="0" w:color="000000"/>
              <w:right w:val="outset" w:sz="6" w:space="0" w:color="000000"/>
            </w:tcBorders>
          </w:tcPr>
          <w:p w:rsidR="001A5F98" w:rsidRPr="00E030F4" w:rsidRDefault="001A5F98" w:rsidP="0068047D">
            <w:pPr>
              <w:spacing w:before="100" w:beforeAutospacing="1" w:after="100" w:afterAutospacing="1"/>
            </w:pPr>
            <w:r w:rsidRPr="00E030F4">
              <w:t>Saistības pret Eiropas Savienību</w:t>
            </w:r>
          </w:p>
        </w:tc>
        <w:tc>
          <w:tcPr>
            <w:tcW w:w="3643" w:type="pct"/>
            <w:gridSpan w:val="8"/>
            <w:tcBorders>
              <w:top w:val="outset" w:sz="6" w:space="0" w:color="000000"/>
              <w:left w:val="outset" w:sz="6" w:space="0" w:color="000000"/>
              <w:bottom w:val="outset" w:sz="6" w:space="0" w:color="000000"/>
              <w:right w:val="outset" w:sz="6" w:space="0" w:color="000000"/>
            </w:tcBorders>
          </w:tcPr>
          <w:p w:rsidR="001A5F98" w:rsidRDefault="001A5F98" w:rsidP="0068047D">
            <w:pPr>
              <w:pStyle w:val="naiskr"/>
              <w:spacing w:before="0" w:after="0"/>
              <w:jc w:val="both"/>
            </w:pPr>
            <w:r>
              <w:t xml:space="preserve">Ar noteikumu projektu </w:t>
            </w:r>
            <w:r w:rsidRPr="00A02142">
              <w:t>tiek pārņemta</w:t>
            </w:r>
            <w:r w:rsidR="00802841">
              <w:t xml:space="preserve"> šāda</w:t>
            </w:r>
            <w:r>
              <w:t xml:space="preserve"> Eiropas Savienības tiesību akt</w:t>
            </w:r>
            <w:r w:rsidR="00802841">
              <w:t>a</w:t>
            </w:r>
            <w:r>
              <w:t xml:space="preserve"> </w:t>
            </w:r>
            <w:r w:rsidR="00802841">
              <w:t>normas</w:t>
            </w:r>
            <w:r>
              <w:t>:</w:t>
            </w:r>
          </w:p>
          <w:p w:rsidR="001A5F98" w:rsidRDefault="00BC55F8" w:rsidP="0068047D">
            <w:pPr>
              <w:jc w:val="both"/>
            </w:pPr>
            <w:r>
              <w:t xml:space="preserve">Eiropas Komisijas </w:t>
            </w:r>
            <w:proofErr w:type="gramStart"/>
            <w:r>
              <w:t>2016.gada</w:t>
            </w:r>
            <w:proofErr w:type="gramEnd"/>
            <w:r>
              <w:t xml:space="preserve"> 8.marta Lēmum</w:t>
            </w:r>
            <w:r w:rsidR="00403EBF">
              <w:t>s</w:t>
            </w:r>
            <w:r>
              <w:t xml:space="preserve"> 2016/</w:t>
            </w:r>
            <w:r w:rsidR="00403EBF">
              <w:t>336</w:t>
            </w:r>
            <w:r>
              <w:t xml:space="preserve"> par 2010-2025</w:t>
            </w:r>
            <w:r w:rsidR="00532001">
              <w:t xml:space="preserve"> </w:t>
            </w:r>
            <w:r>
              <w:t>MHz frekvenču joslas harmonizēšanu portatīvām vai mobilām bezvadu videolīnijām un bezvadu kamerām, ko izmanto programmu gatavošanai un īpašajiem pasākumiem</w:t>
            </w:r>
          </w:p>
          <w:p w:rsidR="001A5F98" w:rsidRPr="007F6CF5" w:rsidRDefault="001A5F98" w:rsidP="0068047D">
            <w:pPr>
              <w:jc w:val="both"/>
            </w:pPr>
          </w:p>
        </w:tc>
      </w:tr>
      <w:tr w:rsidR="001A5F98" w:rsidRPr="00E030F4" w:rsidTr="0068047D">
        <w:tc>
          <w:tcPr>
            <w:tcW w:w="188" w:type="pct"/>
            <w:tcBorders>
              <w:top w:val="outset" w:sz="6" w:space="0" w:color="000000"/>
              <w:left w:val="outset" w:sz="6" w:space="0" w:color="000000"/>
              <w:bottom w:val="outset" w:sz="6" w:space="0" w:color="000000"/>
              <w:right w:val="outset" w:sz="6" w:space="0" w:color="000000"/>
            </w:tcBorders>
          </w:tcPr>
          <w:p w:rsidR="001A5F98" w:rsidRPr="00E030F4" w:rsidRDefault="001A5F98" w:rsidP="0068047D">
            <w:pPr>
              <w:spacing w:before="100" w:beforeAutospacing="1" w:after="100" w:afterAutospacing="1"/>
            </w:pPr>
            <w:r w:rsidRPr="00E030F4">
              <w:t>2.</w:t>
            </w:r>
          </w:p>
        </w:tc>
        <w:tc>
          <w:tcPr>
            <w:tcW w:w="1169" w:type="pct"/>
            <w:gridSpan w:val="2"/>
            <w:tcBorders>
              <w:top w:val="outset" w:sz="6" w:space="0" w:color="000000"/>
              <w:left w:val="outset" w:sz="6" w:space="0" w:color="000000"/>
              <w:bottom w:val="outset" w:sz="6" w:space="0" w:color="000000"/>
              <w:right w:val="outset" w:sz="6" w:space="0" w:color="000000"/>
            </w:tcBorders>
          </w:tcPr>
          <w:p w:rsidR="001A5F98" w:rsidRPr="00E030F4" w:rsidRDefault="001A5F98" w:rsidP="0068047D">
            <w:pPr>
              <w:spacing w:before="100" w:beforeAutospacing="1" w:after="100" w:afterAutospacing="1"/>
            </w:pPr>
            <w:r w:rsidRPr="00E030F4">
              <w:t>Citas starptautiskās saistības</w:t>
            </w:r>
          </w:p>
        </w:tc>
        <w:tc>
          <w:tcPr>
            <w:tcW w:w="3643" w:type="pct"/>
            <w:gridSpan w:val="8"/>
            <w:tcBorders>
              <w:top w:val="outset" w:sz="6" w:space="0" w:color="000000"/>
              <w:left w:val="outset" w:sz="6" w:space="0" w:color="000000"/>
              <w:bottom w:val="outset" w:sz="6" w:space="0" w:color="000000"/>
              <w:right w:val="outset" w:sz="6" w:space="0" w:color="000000"/>
            </w:tcBorders>
          </w:tcPr>
          <w:p w:rsidR="001A5F98" w:rsidRPr="00E030F4" w:rsidRDefault="001A5F98" w:rsidP="0068047D">
            <w:pPr>
              <w:spacing w:before="100" w:beforeAutospacing="1" w:after="100" w:afterAutospacing="1"/>
            </w:pPr>
            <w:r>
              <w:t>Nav attiecināms.</w:t>
            </w:r>
          </w:p>
        </w:tc>
      </w:tr>
      <w:tr w:rsidR="001A5F98" w:rsidRPr="00E030F4" w:rsidTr="0068047D">
        <w:tc>
          <w:tcPr>
            <w:tcW w:w="188" w:type="pct"/>
            <w:tcBorders>
              <w:top w:val="outset" w:sz="6" w:space="0" w:color="000000"/>
              <w:left w:val="outset" w:sz="6" w:space="0" w:color="000000"/>
              <w:bottom w:val="outset" w:sz="6" w:space="0" w:color="000000"/>
              <w:right w:val="outset" w:sz="6" w:space="0" w:color="000000"/>
            </w:tcBorders>
          </w:tcPr>
          <w:p w:rsidR="001A5F98" w:rsidRPr="00E030F4" w:rsidRDefault="001A5F98" w:rsidP="0068047D">
            <w:pPr>
              <w:spacing w:before="100" w:beforeAutospacing="1" w:after="100" w:afterAutospacing="1"/>
            </w:pPr>
            <w:r w:rsidRPr="00E030F4">
              <w:t>3.</w:t>
            </w:r>
          </w:p>
        </w:tc>
        <w:tc>
          <w:tcPr>
            <w:tcW w:w="1169" w:type="pct"/>
            <w:gridSpan w:val="2"/>
            <w:tcBorders>
              <w:top w:val="outset" w:sz="6" w:space="0" w:color="000000"/>
              <w:left w:val="outset" w:sz="6" w:space="0" w:color="000000"/>
              <w:bottom w:val="outset" w:sz="6" w:space="0" w:color="000000"/>
              <w:right w:val="outset" w:sz="6" w:space="0" w:color="000000"/>
            </w:tcBorders>
          </w:tcPr>
          <w:p w:rsidR="001A5F98" w:rsidRPr="00E030F4" w:rsidRDefault="001A5F98" w:rsidP="0068047D">
            <w:pPr>
              <w:spacing w:before="100" w:beforeAutospacing="1" w:after="100" w:afterAutospacing="1"/>
            </w:pPr>
            <w:r w:rsidRPr="00E030F4">
              <w:t>Cita informācija</w:t>
            </w:r>
          </w:p>
        </w:tc>
        <w:tc>
          <w:tcPr>
            <w:tcW w:w="3643" w:type="pct"/>
            <w:gridSpan w:val="8"/>
            <w:tcBorders>
              <w:top w:val="outset" w:sz="6" w:space="0" w:color="000000"/>
              <w:left w:val="outset" w:sz="6" w:space="0" w:color="000000"/>
              <w:bottom w:val="outset" w:sz="6" w:space="0" w:color="000000"/>
              <w:right w:val="outset" w:sz="6" w:space="0" w:color="000000"/>
            </w:tcBorders>
          </w:tcPr>
          <w:p w:rsidR="001A5F98" w:rsidRDefault="001A5F98" w:rsidP="0068047D">
            <w:pPr>
              <w:spacing w:before="100" w:beforeAutospacing="1" w:after="100" w:afterAutospacing="1"/>
              <w:jc w:val="both"/>
            </w:pPr>
            <w:r>
              <w:t>Nav attiecināms.</w:t>
            </w:r>
          </w:p>
        </w:tc>
      </w:tr>
      <w:tr w:rsidR="001A5F98" w:rsidRPr="00E030F4" w:rsidTr="0068047D">
        <w:tc>
          <w:tcPr>
            <w:tcW w:w="5000" w:type="pct"/>
            <w:gridSpan w:val="11"/>
            <w:tcBorders>
              <w:top w:val="outset" w:sz="6" w:space="0" w:color="000000"/>
              <w:left w:val="outset" w:sz="6" w:space="0" w:color="000000"/>
              <w:bottom w:val="outset" w:sz="6" w:space="0" w:color="000000"/>
              <w:right w:val="outset" w:sz="6" w:space="0" w:color="000000"/>
            </w:tcBorders>
            <w:vAlign w:val="center"/>
          </w:tcPr>
          <w:p w:rsidR="001A5F98" w:rsidRPr="00E030F4" w:rsidRDefault="001A5F98" w:rsidP="0068047D">
            <w:pPr>
              <w:spacing w:before="100" w:beforeAutospacing="1" w:after="100" w:afterAutospacing="1"/>
              <w:jc w:val="center"/>
              <w:rPr>
                <w:b/>
                <w:bCs/>
              </w:rPr>
            </w:pPr>
            <w:r w:rsidRPr="00E030F4">
              <w:rPr>
                <w:b/>
                <w:bCs/>
              </w:rPr>
              <w:t>1.tabula</w:t>
            </w:r>
            <w:r w:rsidRPr="00E030F4">
              <w:rPr>
                <w:b/>
                <w:bCs/>
              </w:rPr>
              <w:br/>
              <w:t>Tiesību akta projekta atbilstība ES tiesību aktiem</w:t>
            </w:r>
          </w:p>
        </w:tc>
      </w:tr>
      <w:tr w:rsidR="001A5F98" w:rsidRPr="00E030F4" w:rsidTr="0068047D">
        <w:tc>
          <w:tcPr>
            <w:tcW w:w="5000" w:type="pct"/>
            <w:gridSpan w:val="11"/>
            <w:tcBorders>
              <w:top w:val="outset" w:sz="6" w:space="0" w:color="000000"/>
              <w:left w:val="outset" w:sz="6" w:space="0" w:color="000000"/>
              <w:bottom w:val="outset" w:sz="6" w:space="0" w:color="000000"/>
              <w:right w:val="outset" w:sz="6" w:space="0" w:color="000000"/>
            </w:tcBorders>
            <w:vAlign w:val="center"/>
          </w:tcPr>
          <w:p w:rsidR="001A5F98" w:rsidRPr="00E030F4" w:rsidRDefault="001A5F98" w:rsidP="0068047D">
            <w:pPr>
              <w:ind w:firstLine="709"/>
              <w:jc w:val="both"/>
              <w:rPr>
                <w:b/>
                <w:bCs/>
              </w:rPr>
            </w:pPr>
          </w:p>
        </w:tc>
      </w:tr>
      <w:tr w:rsidR="001A5F98" w:rsidRPr="00E030F4" w:rsidTr="0068047D">
        <w:tc>
          <w:tcPr>
            <w:tcW w:w="810" w:type="pct"/>
            <w:gridSpan w:val="2"/>
            <w:tcBorders>
              <w:top w:val="outset" w:sz="6" w:space="0" w:color="000000"/>
              <w:left w:val="outset" w:sz="6" w:space="0" w:color="000000"/>
              <w:bottom w:val="outset" w:sz="6" w:space="0" w:color="000000"/>
              <w:right w:val="outset" w:sz="6" w:space="0" w:color="000000"/>
            </w:tcBorders>
            <w:vAlign w:val="center"/>
          </w:tcPr>
          <w:p w:rsidR="001A5F98" w:rsidRPr="00E030F4" w:rsidRDefault="001A5F98" w:rsidP="0068047D">
            <w:pPr>
              <w:spacing w:before="100" w:beforeAutospacing="1" w:after="100" w:afterAutospacing="1"/>
              <w:jc w:val="center"/>
            </w:pPr>
            <w:r w:rsidRPr="00E030F4">
              <w:t>A</w:t>
            </w:r>
          </w:p>
        </w:tc>
        <w:tc>
          <w:tcPr>
            <w:tcW w:w="1033" w:type="pct"/>
            <w:gridSpan w:val="2"/>
            <w:tcBorders>
              <w:top w:val="outset" w:sz="6" w:space="0" w:color="000000"/>
              <w:left w:val="outset" w:sz="6" w:space="0" w:color="000000"/>
              <w:bottom w:val="outset" w:sz="6" w:space="0" w:color="000000"/>
              <w:right w:val="outset" w:sz="6" w:space="0" w:color="000000"/>
            </w:tcBorders>
            <w:vAlign w:val="center"/>
          </w:tcPr>
          <w:p w:rsidR="001A5F98" w:rsidRPr="00E030F4" w:rsidRDefault="001A5F98" w:rsidP="0068047D">
            <w:pPr>
              <w:spacing w:before="100" w:beforeAutospacing="1" w:after="100" w:afterAutospacing="1"/>
              <w:jc w:val="center"/>
            </w:pPr>
            <w:r w:rsidRPr="00E030F4">
              <w:t>B</w:t>
            </w:r>
          </w:p>
        </w:tc>
        <w:tc>
          <w:tcPr>
            <w:tcW w:w="1448" w:type="pct"/>
            <w:gridSpan w:val="4"/>
            <w:tcBorders>
              <w:top w:val="outset" w:sz="6" w:space="0" w:color="000000"/>
              <w:left w:val="outset" w:sz="6" w:space="0" w:color="000000"/>
              <w:bottom w:val="outset" w:sz="6" w:space="0" w:color="000000"/>
              <w:right w:val="outset" w:sz="6" w:space="0" w:color="000000"/>
            </w:tcBorders>
            <w:vAlign w:val="center"/>
          </w:tcPr>
          <w:p w:rsidR="001A5F98" w:rsidRPr="00E030F4" w:rsidRDefault="001A5F98" w:rsidP="0068047D">
            <w:pPr>
              <w:spacing w:before="100" w:beforeAutospacing="1" w:after="100" w:afterAutospacing="1"/>
              <w:jc w:val="center"/>
            </w:pPr>
            <w:r w:rsidRPr="00E030F4">
              <w:t>C</w:t>
            </w:r>
          </w:p>
        </w:tc>
        <w:tc>
          <w:tcPr>
            <w:tcW w:w="1709" w:type="pct"/>
            <w:gridSpan w:val="3"/>
            <w:tcBorders>
              <w:top w:val="outset" w:sz="6" w:space="0" w:color="000000"/>
              <w:left w:val="outset" w:sz="6" w:space="0" w:color="000000"/>
              <w:bottom w:val="outset" w:sz="6" w:space="0" w:color="000000"/>
              <w:right w:val="outset" w:sz="6" w:space="0" w:color="000000"/>
            </w:tcBorders>
            <w:vAlign w:val="center"/>
          </w:tcPr>
          <w:p w:rsidR="001A5F98" w:rsidRPr="00E030F4" w:rsidRDefault="001A5F98" w:rsidP="0068047D">
            <w:pPr>
              <w:spacing w:before="100" w:beforeAutospacing="1" w:after="100" w:afterAutospacing="1"/>
              <w:jc w:val="center"/>
            </w:pPr>
            <w:r w:rsidRPr="00E030F4">
              <w:t>D</w:t>
            </w:r>
          </w:p>
        </w:tc>
      </w:tr>
      <w:tr w:rsidR="001A5F98" w:rsidRPr="00E030F4" w:rsidTr="0068047D">
        <w:tc>
          <w:tcPr>
            <w:tcW w:w="810" w:type="pct"/>
            <w:gridSpan w:val="2"/>
            <w:tcBorders>
              <w:top w:val="outset" w:sz="6" w:space="0" w:color="000000"/>
              <w:left w:val="outset" w:sz="6" w:space="0" w:color="000000"/>
              <w:bottom w:val="outset" w:sz="6" w:space="0" w:color="000000"/>
              <w:right w:val="outset" w:sz="6" w:space="0" w:color="000000"/>
            </w:tcBorders>
          </w:tcPr>
          <w:p w:rsidR="001A5F98" w:rsidRPr="00E030F4" w:rsidRDefault="001A5F98" w:rsidP="0068047D">
            <w:pPr>
              <w:spacing w:before="100" w:beforeAutospacing="1" w:after="100" w:afterAutospacing="1"/>
            </w:pPr>
            <w:r w:rsidRPr="00E030F4">
              <w:t>Attiecīgā ES tiesību akta panta numurs (uzskaitot katru tiesību akta</w:t>
            </w:r>
            <w:r w:rsidRPr="00E030F4">
              <w:br/>
              <w:t>vienību - pantu, daļu, punktu, apakšpunktu)</w:t>
            </w:r>
          </w:p>
        </w:tc>
        <w:tc>
          <w:tcPr>
            <w:tcW w:w="1033" w:type="pct"/>
            <w:gridSpan w:val="2"/>
            <w:tcBorders>
              <w:top w:val="outset" w:sz="6" w:space="0" w:color="000000"/>
              <w:left w:val="outset" w:sz="6" w:space="0" w:color="000000"/>
              <w:bottom w:val="outset" w:sz="6" w:space="0" w:color="000000"/>
              <w:right w:val="outset" w:sz="6" w:space="0" w:color="000000"/>
            </w:tcBorders>
          </w:tcPr>
          <w:p w:rsidR="001A5F98" w:rsidRPr="00E030F4" w:rsidRDefault="001A5F98" w:rsidP="0068047D">
            <w:pPr>
              <w:spacing w:before="100" w:beforeAutospacing="1" w:after="100" w:afterAutospacing="1"/>
            </w:pPr>
            <w:r w:rsidRPr="00E030F4">
              <w:t>Projekta vienība, kas pārņem vai ievieš katru šīs tabulas A ailē minēto ES tiesību akta vienību</w:t>
            </w:r>
          </w:p>
        </w:tc>
        <w:tc>
          <w:tcPr>
            <w:tcW w:w="1448" w:type="pct"/>
            <w:gridSpan w:val="4"/>
            <w:tcBorders>
              <w:top w:val="outset" w:sz="6" w:space="0" w:color="000000"/>
              <w:left w:val="outset" w:sz="6" w:space="0" w:color="000000"/>
              <w:bottom w:val="outset" w:sz="6" w:space="0" w:color="000000"/>
              <w:right w:val="outset" w:sz="6" w:space="0" w:color="000000"/>
            </w:tcBorders>
          </w:tcPr>
          <w:p w:rsidR="001A5F98" w:rsidRDefault="001A5F98" w:rsidP="0068047D">
            <w:pPr>
              <w:spacing w:before="100" w:beforeAutospacing="1" w:after="100" w:afterAutospacing="1"/>
            </w:pPr>
            <w:r w:rsidRPr="00E030F4">
              <w:t>Informācija par to, vai šīs tabulas A ailē minētās ES tiesību akta vienības tiek pārņemtas vai ieviestas pilnībā vai daļēji.</w:t>
            </w:r>
            <w:r>
              <w:t xml:space="preserve"> </w:t>
            </w:r>
          </w:p>
          <w:p w:rsidR="001A5F98" w:rsidRPr="00E030F4" w:rsidRDefault="001A5F98" w:rsidP="0068047D">
            <w:pPr>
              <w:spacing w:before="100" w:beforeAutospacing="1" w:after="100" w:afterAutospacing="1"/>
            </w:pPr>
            <w:r w:rsidRPr="00E030F4">
              <w:t>Ja attiecīgā ES tiesību akta vienība tiek pārņemta vai ieviesta daļēji, - sniedz attiecīgu skaidrojumu, kā arī precīzi norāda, kad un kādā veidā ES tiesību akta vienība tiks pārņemta vai ieviesta pilnībā.</w:t>
            </w:r>
          </w:p>
          <w:p w:rsidR="001A5F98" w:rsidRPr="00E030F4" w:rsidRDefault="001A5F98" w:rsidP="0068047D">
            <w:pPr>
              <w:spacing w:before="100" w:beforeAutospacing="1" w:after="100" w:afterAutospacing="1"/>
            </w:pPr>
            <w:r w:rsidRPr="00E030F4">
              <w:t>Norāda institūciju, kas ir atbildīga par šo saistību izpildi pilnībā</w:t>
            </w:r>
            <w:r>
              <w:t>.</w:t>
            </w:r>
          </w:p>
        </w:tc>
        <w:tc>
          <w:tcPr>
            <w:tcW w:w="1709" w:type="pct"/>
            <w:gridSpan w:val="3"/>
            <w:tcBorders>
              <w:top w:val="outset" w:sz="6" w:space="0" w:color="000000"/>
              <w:left w:val="outset" w:sz="6" w:space="0" w:color="000000"/>
              <w:bottom w:val="outset" w:sz="6" w:space="0" w:color="000000"/>
              <w:right w:val="outset" w:sz="6" w:space="0" w:color="000000"/>
            </w:tcBorders>
          </w:tcPr>
          <w:p w:rsidR="001A5F98" w:rsidRPr="00E030F4" w:rsidRDefault="001A5F98" w:rsidP="0068047D">
            <w:pPr>
              <w:spacing w:before="100" w:beforeAutospacing="1" w:after="100" w:afterAutospacing="1"/>
            </w:pPr>
            <w:r w:rsidRPr="00E030F4">
              <w:t>Informācija par to, vai šīs tabulas B ailē minētās projekta vienības paredz stingrākas prasības nekā šīs tabulas A ailē minētās ES tiesību akta vienības.</w:t>
            </w:r>
          </w:p>
          <w:p w:rsidR="001A5F98" w:rsidRPr="00E030F4" w:rsidRDefault="001A5F98" w:rsidP="0068047D">
            <w:pPr>
              <w:spacing w:before="100" w:beforeAutospacing="1" w:after="100" w:afterAutospacing="1"/>
            </w:pPr>
            <w:r w:rsidRPr="00E030F4">
              <w:t>Ja projekts satur stingrākas prasības nekā attiecīgais ES tiesību akts, - norāda pamatojumu un samērīgumu.</w:t>
            </w:r>
          </w:p>
          <w:p w:rsidR="001A5F98" w:rsidRPr="00E030F4" w:rsidRDefault="001A5F98" w:rsidP="0068047D">
            <w:pPr>
              <w:spacing w:before="100" w:beforeAutospacing="1" w:after="100" w:afterAutospacing="1"/>
            </w:pPr>
            <w:r w:rsidRPr="00E030F4">
              <w:t>Norāda iespējamās alternatīvas (t.sk. alternatīvas, kas neparedz tiesiskā regulējuma izstrādi) - kādos gadījumos būtu iespējams izvairīties no stingrāku prasību noteikšanas, nekā paredzēts attiecīgajos ES tiesību aktos</w:t>
            </w:r>
            <w:r>
              <w:t>.</w:t>
            </w:r>
          </w:p>
        </w:tc>
      </w:tr>
      <w:tr w:rsidR="001A5F98" w:rsidRPr="00E030F4" w:rsidTr="0068047D">
        <w:tc>
          <w:tcPr>
            <w:tcW w:w="5000" w:type="pct"/>
            <w:gridSpan w:val="11"/>
            <w:tcBorders>
              <w:top w:val="outset" w:sz="6" w:space="0" w:color="000000"/>
              <w:left w:val="outset" w:sz="6" w:space="0" w:color="000000"/>
              <w:bottom w:val="outset" w:sz="6" w:space="0" w:color="000000"/>
              <w:right w:val="outset" w:sz="6" w:space="0" w:color="000000"/>
            </w:tcBorders>
            <w:vAlign w:val="center"/>
          </w:tcPr>
          <w:p w:rsidR="001A5F98" w:rsidRPr="00E030F4" w:rsidRDefault="008A5611" w:rsidP="00403EBF">
            <w:pPr>
              <w:jc w:val="both"/>
              <w:rPr>
                <w:b/>
                <w:bCs/>
              </w:rPr>
            </w:pPr>
            <w:r>
              <w:t xml:space="preserve">Eiropas Komisijas </w:t>
            </w:r>
            <w:proofErr w:type="gramStart"/>
            <w:r>
              <w:t>2016.gada</w:t>
            </w:r>
            <w:proofErr w:type="gramEnd"/>
            <w:r>
              <w:t xml:space="preserve"> 8.marta Lēmums 2016/</w:t>
            </w:r>
            <w:r w:rsidR="00403EBF">
              <w:t>336</w:t>
            </w:r>
            <w:r>
              <w:t>/ES par 2010-2025</w:t>
            </w:r>
            <w:r w:rsidR="00532001">
              <w:t xml:space="preserve"> </w:t>
            </w:r>
            <w:r>
              <w:t>MHz frekvenču joslas harmonizēšanu portatīvām vai mobilām bezvadu videolīnijām un bezvadu kamerām, ko izmanto programmu gatavošanai un īpašajiem pasākumiem.</w:t>
            </w:r>
          </w:p>
        </w:tc>
      </w:tr>
      <w:tr w:rsidR="001A5F98" w:rsidRPr="00E030F4" w:rsidTr="0068047D">
        <w:tc>
          <w:tcPr>
            <w:tcW w:w="1357" w:type="pct"/>
            <w:gridSpan w:val="3"/>
            <w:tcBorders>
              <w:top w:val="outset" w:sz="6" w:space="0" w:color="000000"/>
              <w:left w:val="outset" w:sz="6" w:space="0" w:color="000000"/>
              <w:bottom w:val="outset" w:sz="6" w:space="0" w:color="000000"/>
              <w:right w:val="outset" w:sz="6" w:space="0" w:color="000000"/>
            </w:tcBorders>
          </w:tcPr>
          <w:p w:rsidR="001A5F98" w:rsidRPr="005831CB" w:rsidRDefault="001A5F98" w:rsidP="00403EBF">
            <w:pPr>
              <w:spacing w:before="100" w:beforeAutospacing="1" w:after="100" w:afterAutospacing="1"/>
            </w:pPr>
            <w:r w:rsidRPr="005831CB">
              <w:t>Lēmum</w:t>
            </w:r>
            <w:r>
              <w:t>a</w:t>
            </w:r>
            <w:r w:rsidRPr="005831CB">
              <w:t xml:space="preserve"> 201</w:t>
            </w:r>
            <w:r>
              <w:t>4</w:t>
            </w:r>
            <w:r w:rsidRPr="005831CB">
              <w:t>/</w:t>
            </w:r>
            <w:r w:rsidR="00403EBF">
              <w:t>336</w:t>
            </w:r>
            <w:r w:rsidRPr="005831CB">
              <w:t xml:space="preserve">/ES </w:t>
            </w:r>
            <w:r w:rsidRPr="008E35F0">
              <w:t>pielikums</w:t>
            </w:r>
          </w:p>
        </w:tc>
        <w:tc>
          <w:tcPr>
            <w:tcW w:w="1294" w:type="pct"/>
            <w:gridSpan w:val="4"/>
            <w:tcBorders>
              <w:top w:val="outset" w:sz="6" w:space="0" w:color="000000"/>
              <w:left w:val="outset" w:sz="6" w:space="0" w:color="000000"/>
              <w:bottom w:val="outset" w:sz="6" w:space="0" w:color="000000"/>
              <w:right w:val="outset" w:sz="6" w:space="0" w:color="000000"/>
            </w:tcBorders>
          </w:tcPr>
          <w:p w:rsidR="001A5F98" w:rsidRDefault="007F7732" w:rsidP="007F7732">
            <w:pPr>
              <w:pStyle w:val="naiskr"/>
              <w:spacing w:before="0" w:after="0"/>
              <w:rPr>
                <w:bCs/>
              </w:rPr>
            </w:pPr>
            <w:r>
              <w:rPr>
                <w:bCs/>
              </w:rPr>
              <w:t>3.</w:t>
            </w:r>
            <w:r w:rsidR="00802841">
              <w:rPr>
                <w:bCs/>
              </w:rPr>
              <w:t>punkts</w:t>
            </w:r>
          </w:p>
        </w:tc>
        <w:tc>
          <w:tcPr>
            <w:tcW w:w="985" w:type="pct"/>
            <w:gridSpan w:val="3"/>
            <w:tcBorders>
              <w:top w:val="outset" w:sz="6" w:space="0" w:color="000000"/>
              <w:left w:val="outset" w:sz="6" w:space="0" w:color="000000"/>
              <w:bottom w:val="outset" w:sz="6" w:space="0" w:color="000000"/>
              <w:right w:val="outset" w:sz="6" w:space="0" w:color="000000"/>
            </w:tcBorders>
          </w:tcPr>
          <w:p w:rsidR="001A5F98" w:rsidRPr="002B2D98" w:rsidRDefault="001A5F98" w:rsidP="0068047D">
            <w:pPr>
              <w:spacing w:before="100" w:beforeAutospacing="1" w:after="100" w:afterAutospacing="1"/>
            </w:pPr>
            <w:r w:rsidRPr="002B2D98">
              <w:t>Ieviests pilnībā.</w:t>
            </w:r>
          </w:p>
        </w:tc>
        <w:tc>
          <w:tcPr>
            <w:tcW w:w="1364" w:type="pct"/>
            <w:tcBorders>
              <w:top w:val="outset" w:sz="6" w:space="0" w:color="000000"/>
              <w:left w:val="outset" w:sz="6" w:space="0" w:color="000000"/>
              <w:bottom w:val="outset" w:sz="6" w:space="0" w:color="000000"/>
              <w:right w:val="outset" w:sz="6" w:space="0" w:color="000000"/>
            </w:tcBorders>
          </w:tcPr>
          <w:p w:rsidR="001A5F98" w:rsidRPr="002B2D98" w:rsidRDefault="001A5F98" w:rsidP="0068047D">
            <w:pPr>
              <w:spacing w:before="100" w:beforeAutospacing="1" w:after="100" w:afterAutospacing="1"/>
            </w:pPr>
            <w:r w:rsidRPr="002B2D98">
              <w:t>Neparedz stingrākas prasības.</w:t>
            </w:r>
          </w:p>
        </w:tc>
      </w:tr>
      <w:tr w:rsidR="00802841" w:rsidRPr="00E030F4" w:rsidTr="0068047D">
        <w:tc>
          <w:tcPr>
            <w:tcW w:w="1357" w:type="pct"/>
            <w:gridSpan w:val="3"/>
            <w:tcBorders>
              <w:top w:val="outset" w:sz="6" w:space="0" w:color="000000"/>
              <w:left w:val="outset" w:sz="6" w:space="0" w:color="000000"/>
              <w:bottom w:val="outset" w:sz="6" w:space="0" w:color="000000"/>
              <w:right w:val="outset" w:sz="6" w:space="0" w:color="000000"/>
            </w:tcBorders>
          </w:tcPr>
          <w:p w:rsidR="00802841" w:rsidRPr="005831CB" w:rsidRDefault="007F7732" w:rsidP="00403EBF">
            <w:pPr>
              <w:spacing w:before="100" w:beforeAutospacing="1" w:after="100" w:afterAutospacing="1"/>
            </w:pPr>
            <w:r w:rsidRPr="005831CB">
              <w:t>Lēmum</w:t>
            </w:r>
            <w:r>
              <w:t>a</w:t>
            </w:r>
            <w:r w:rsidRPr="005831CB">
              <w:t xml:space="preserve"> 201</w:t>
            </w:r>
            <w:r>
              <w:t>4</w:t>
            </w:r>
            <w:r w:rsidRPr="005831CB">
              <w:t>/</w:t>
            </w:r>
            <w:r w:rsidR="00403EBF">
              <w:t>336</w:t>
            </w:r>
            <w:r w:rsidRPr="005831CB">
              <w:t xml:space="preserve">/ES </w:t>
            </w:r>
            <w:r w:rsidRPr="008E35F0">
              <w:t>pielikums</w:t>
            </w:r>
          </w:p>
        </w:tc>
        <w:tc>
          <w:tcPr>
            <w:tcW w:w="1294" w:type="pct"/>
            <w:gridSpan w:val="4"/>
            <w:tcBorders>
              <w:top w:val="outset" w:sz="6" w:space="0" w:color="000000"/>
              <w:left w:val="outset" w:sz="6" w:space="0" w:color="000000"/>
              <w:bottom w:val="outset" w:sz="6" w:space="0" w:color="000000"/>
              <w:right w:val="outset" w:sz="6" w:space="0" w:color="000000"/>
            </w:tcBorders>
          </w:tcPr>
          <w:p w:rsidR="00802841" w:rsidRDefault="007F7732" w:rsidP="0068047D">
            <w:pPr>
              <w:pStyle w:val="naiskr"/>
              <w:spacing w:before="0" w:after="0"/>
              <w:rPr>
                <w:bCs/>
              </w:rPr>
            </w:pPr>
            <w:r>
              <w:rPr>
                <w:bCs/>
              </w:rPr>
              <w:t>6.punkts</w:t>
            </w:r>
          </w:p>
        </w:tc>
        <w:tc>
          <w:tcPr>
            <w:tcW w:w="985" w:type="pct"/>
            <w:gridSpan w:val="3"/>
            <w:tcBorders>
              <w:top w:val="outset" w:sz="6" w:space="0" w:color="000000"/>
              <w:left w:val="outset" w:sz="6" w:space="0" w:color="000000"/>
              <w:bottom w:val="outset" w:sz="6" w:space="0" w:color="000000"/>
              <w:right w:val="outset" w:sz="6" w:space="0" w:color="000000"/>
            </w:tcBorders>
          </w:tcPr>
          <w:p w:rsidR="00802841" w:rsidRPr="002B2D98" w:rsidRDefault="007F7732" w:rsidP="0068047D">
            <w:pPr>
              <w:spacing w:before="100" w:beforeAutospacing="1" w:after="100" w:afterAutospacing="1"/>
            </w:pPr>
            <w:r w:rsidRPr="002B2D98">
              <w:t>Ieviests pilnībā.</w:t>
            </w:r>
          </w:p>
        </w:tc>
        <w:tc>
          <w:tcPr>
            <w:tcW w:w="1364" w:type="pct"/>
            <w:tcBorders>
              <w:top w:val="outset" w:sz="6" w:space="0" w:color="000000"/>
              <w:left w:val="outset" w:sz="6" w:space="0" w:color="000000"/>
              <w:bottom w:val="outset" w:sz="6" w:space="0" w:color="000000"/>
              <w:right w:val="outset" w:sz="6" w:space="0" w:color="000000"/>
            </w:tcBorders>
          </w:tcPr>
          <w:p w:rsidR="00802841" w:rsidRPr="002B2D98" w:rsidRDefault="007F7732" w:rsidP="0068047D">
            <w:pPr>
              <w:spacing w:before="100" w:beforeAutospacing="1" w:after="100" w:afterAutospacing="1"/>
            </w:pPr>
            <w:r w:rsidRPr="002B2D98">
              <w:t>Neparedz stingrākas prasības.</w:t>
            </w:r>
          </w:p>
        </w:tc>
      </w:tr>
      <w:tr w:rsidR="001A5F98" w:rsidRPr="00E030F4" w:rsidTr="0068047D">
        <w:tc>
          <w:tcPr>
            <w:tcW w:w="2651" w:type="pct"/>
            <w:gridSpan w:val="7"/>
            <w:tcBorders>
              <w:top w:val="outset" w:sz="6" w:space="0" w:color="000000"/>
              <w:left w:val="outset" w:sz="6" w:space="0" w:color="000000"/>
              <w:bottom w:val="outset" w:sz="6" w:space="0" w:color="000000"/>
              <w:right w:val="outset" w:sz="6" w:space="0" w:color="000000"/>
            </w:tcBorders>
            <w:vAlign w:val="center"/>
          </w:tcPr>
          <w:p w:rsidR="001A5F98" w:rsidRPr="00E030F4" w:rsidRDefault="001A5F98" w:rsidP="0068047D">
            <w:pPr>
              <w:spacing w:before="100" w:beforeAutospacing="1" w:after="100" w:afterAutospacing="1"/>
            </w:pPr>
            <w:proofErr w:type="gramStart"/>
            <w:r w:rsidRPr="00E030F4">
              <w:t>Kā ir izmantota ES tiesību aktā paredzētā rīcības brīvība dalībvalstij pārņemt vai ieviest</w:t>
            </w:r>
            <w:proofErr w:type="gramEnd"/>
            <w:r w:rsidRPr="00E030F4">
              <w:t xml:space="preserve"> noteiktas ES tiesību akta normas.</w:t>
            </w:r>
            <w:r>
              <w:t xml:space="preserve"> </w:t>
            </w:r>
            <w:r w:rsidRPr="00E030F4">
              <w:t>Kādēļ?</w:t>
            </w:r>
          </w:p>
        </w:tc>
        <w:tc>
          <w:tcPr>
            <w:tcW w:w="2349" w:type="pct"/>
            <w:gridSpan w:val="4"/>
            <w:tcBorders>
              <w:top w:val="outset" w:sz="6" w:space="0" w:color="000000"/>
              <w:left w:val="outset" w:sz="6" w:space="0" w:color="000000"/>
              <w:bottom w:val="outset" w:sz="6" w:space="0" w:color="000000"/>
              <w:right w:val="outset" w:sz="6" w:space="0" w:color="000000"/>
            </w:tcBorders>
          </w:tcPr>
          <w:p w:rsidR="001A5F98" w:rsidRPr="00E030F4" w:rsidRDefault="001A5F98" w:rsidP="0068047D">
            <w:pPr>
              <w:spacing w:before="100" w:beforeAutospacing="1" w:after="100" w:afterAutospacing="1"/>
            </w:pPr>
            <w:r w:rsidRPr="00E66BB3">
              <w:t>Nav attiecināms.</w:t>
            </w:r>
          </w:p>
        </w:tc>
      </w:tr>
      <w:tr w:rsidR="001A5F98" w:rsidRPr="00E030F4" w:rsidTr="0068047D">
        <w:tc>
          <w:tcPr>
            <w:tcW w:w="2423" w:type="pct"/>
            <w:gridSpan w:val="6"/>
            <w:tcBorders>
              <w:top w:val="outset" w:sz="6" w:space="0" w:color="000000"/>
              <w:left w:val="outset" w:sz="6" w:space="0" w:color="000000"/>
              <w:bottom w:val="outset" w:sz="6" w:space="0" w:color="000000"/>
              <w:right w:val="outset" w:sz="6" w:space="0" w:color="000000"/>
            </w:tcBorders>
            <w:vAlign w:val="center"/>
          </w:tcPr>
          <w:p w:rsidR="001A5F98" w:rsidRPr="00E030F4" w:rsidRDefault="001A5F98" w:rsidP="0068047D">
            <w:pPr>
              <w:spacing w:before="100" w:beforeAutospacing="1" w:after="100" w:afterAutospacing="1"/>
            </w:pPr>
            <w: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2577" w:type="pct"/>
            <w:gridSpan w:val="5"/>
            <w:tcBorders>
              <w:top w:val="outset" w:sz="6" w:space="0" w:color="000000"/>
              <w:left w:val="outset" w:sz="6" w:space="0" w:color="000000"/>
              <w:bottom w:val="outset" w:sz="6" w:space="0" w:color="000000"/>
              <w:right w:val="outset" w:sz="6" w:space="0" w:color="000000"/>
            </w:tcBorders>
          </w:tcPr>
          <w:p w:rsidR="001A5F98" w:rsidRPr="00335064" w:rsidRDefault="001A5F98" w:rsidP="0068047D">
            <w:pPr>
              <w:spacing w:before="100" w:beforeAutospacing="1" w:after="100" w:afterAutospacing="1"/>
              <w:rPr>
                <w:highlight w:val="yellow"/>
              </w:rPr>
            </w:pPr>
            <w:r w:rsidRPr="00F2760E">
              <w:t xml:space="preserve">Saskaņā ar Eiropas Parlamenta un Padomes </w:t>
            </w:r>
            <w:proofErr w:type="gramStart"/>
            <w:r w:rsidRPr="00F2760E">
              <w:t>2002.gada</w:t>
            </w:r>
            <w:proofErr w:type="gramEnd"/>
            <w:r w:rsidRPr="00F2760E">
              <w:t xml:space="preserve"> 7.marta lēmumu Nr.676/2002/EK par normatīvo bāzi radiofrekvenču spektra politikai Eiropas Kopienā </w:t>
            </w:r>
            <w:r>
              <w:t>(radiofrekvenču spektra lēmums)</w:t>
            </w:r>
            <w:r w:rsidRPr="00F2760E">
              <w:t xml:space="preserve"> Vides aizsardzības un reģionālās attīstības ministrija</w:t>
            </w:r>
            <w:r w:rsidRPr="00F2760E">
              <w:rPr>
                <w:bCs/>
              </w:rPr>
              <w:t xml:space="preserve"> informēs </w:t>
            </w:r>
            <w:r w:rsidRPr="00F2760E">
              <w:t xml:space="preserve">Eiropas Kopienu Komisijas Radiofrekvenču spektra komiteju </w:t>
            </w:r>
            <w:r w:rsidRPr="004E3AF0">
              <w:rPr>
                <w:bCs/>
              </w:rPr>
              <w:t xml:space="preserve">par </w:t>
            </w:r>
            <w:r w:rsidRPr="004E3AF0">
              <w:t xml:space="preserve">Komisijas </w:t>
            </w:r>
            <w:r>
              <w:t>lēmumu pārņemšanu nacionālajos tiesību aktos</w:t>
            </w:r>
            <w:r>
              <w:rPr>
                <w:color w:val="000000"/>
              </w:rPr>
              <w:t>.</w:t>
            </w:r>
          </w:p>
        </w:tc>
      </w:tr>
      <w:tr w:rsidR="001A5F98" w:rsidRPr="00E030F4" w:rsidTr="0068047D">
        <w:tc>
          <w:tcPr>
            <w:tcW w:w="2423" w:type="pct"/>
            <w:gridSpan w:val="6"/>
            <w:tcBorders>
              <w:top w:val="outset" w:sz="6" w:space="0" w:color="000000"/>
              <w:left w:val="outset" w:sz="6" w:space="0" w:color="000000"/>
              <w:bottom w:val="outset" w:sz="6" w:space="0" w:color="000000"/>
              <w:right w:val="outset" w:sz="6" w:space="0" w:color="000000"/>
            </w:tcBorders>
            <w:vAlign w:val="center"/>
          </w:tcPr>
          <w:p w:rsidR="001A5F98" w:rsidRPr="00E030F4" w:rsidRDefault="001A5F98" w:rsidP="0068047D">
            <w:pPr>
              <w:spacing w:before="100" w:beforeAutospacing="1" w:after="100" w:afterAutospacing="1"/>
            </w:pPr>
            <w:r w:rsidRPr="00E030F4">
              <w:t>Cita informācija</w:t>
            </w:r>
          </w:p>
        </w:tc>
        <w:tc>
          <w:tcPr>
            <w:tcW w:w="2577" w:type="pct"/>
            <w:gridSpan w:val="5"/>
            <w:tcBorders>
              <w:top w:val="outset" w:sz="6" w:space="0" w:color="000000"/>
              <w:left w:val="outset" w:sz="6" w:space="0" w:color="000000"/>
              <w:bottom w:val="outset" w:sz="6" w:space="0" w:color="000000"/>
              <w:right w:val="outset" w:sz="6" w:space="0" w:color="000000"/>
            </w:tcBorders>
          </w:tcPr>
          <w:p w:rsidR="001A5F98" w:rsidRPr="00E030F4" w:rsidRDefault="001A5F98" w:rsidP="0068047D">
            <w:pPr>
              <w:spacing w:before="100" w:beforeAutospacing="1" w:after="100" w:afterAutospacing="1"/>
            </w:pPr>
            <w:r w:rsidRPr="00E030F4">
              <w:t>Nav</w:t>
            </w:r>
            <w:r>
              <w:t>.</w:t>
            </w:r>
          </w:p>
        </w:tc>
      </w:tr>
      <w:tr w:rsidR="001A5F98" w:rsidRPr="00E030F4" w:rsidTr="0068047D">
        <w:tc>
          <w:tcPr>
            <w:tcW w:w="0" w:type="auto"/>
            <w:gridSpan w:val="11"/>
            <w:tcBorders>
              <w:top w:val="outset" w:sz="6" w:space="0" w:color="000000"/>
              <w:left w:val="outset" w:sz="6" w:space="0" w:color="000000"/>
              <w:bottom w:val="outset" w:sz="6" w:space="0" w:color="000000"/>
              <w:right w:val="outset" w:sz="6" w:space="0" w:color="000000"/>
            </w:tcBorders>
            <w:vAlign w:val="center"/>
          </w:tcPr>
          <w:p w:rsidR="001A5F98" w:rsidRPr="00E030F4" w:rsidRDefault="001A5F98" w:rsidP="0068047D">
            <w:pPr>
              <w:spacing w:before="100" w:beforeAutospacing="1" w:after="100" w:afterAutospacing="1"/>
              <w:jc w:val="center"/>
              <w:rPr>
                <w:b/>
                <w:bCs/>
              </w:rPr>
            </w:pPr>
            <w:r w:rsidRPr="00E030F4">
              <w:rPr>
                <w:b/>
                <w:bCs/>
              </w:rPr>
              <w:t>2.tabula</w:t>
            </w:r>
            <w:r w:rsidRPr="00E030F4">
              <w:rPr>
                <w:b/>
                <w:bCs/>
              </w:rPr>
              <w:br/>
              <w:t>Ar tiesību akta projektu uzņemtās saistības, kas izriet no starptautiskajiem tiesību aktiem vai starptautiskas institūcijas vai organizācijas dokumentiem</w:t>
            </w:r>
            <w:r w:rsidRPr="00E030F4">
              <w:rPr>
                <w:b/>
                <w:bCs/>
              </w:rPr>
              <w:br/>
              <w:t>Pasākumi šo saistību izpildei</w:t>
            </w:r>
          </w:p>
        </w:tc>
      </w:tr>
      <w:tr w:rsidR="001A5F98" w:rsidRPr="00E030F4" w:rsidTr="0068047D">
        <w:tc>
          <w:tcPr>
            <w:tcW w:w="1968" w:type="pct"/>
            <w:gridSpan w:val="5"/>
            <w:tcBorders>
              <w:top w:val="outset" w:sz="6" w:space="0" w:color="000000"/>
              <w:left w:val="outset" w:sz="6" w:space="0" w:color="000000"/>
              <w:bottom w:val="outset" w:sz="6" w:space="0" w:color="000000"/>
              <w:right w:val="outset" w:sz="6" w:space="0" w:color="000000"/>
            </w:tcBorders>
            <w:vAlign w:val="center"/>
          </w:tcPr>
          <w:p w:rsidR="001A5F98" w:rsidRPr="00E030F4" w:rsidRDefault="001A5F98" w:rsidP="0068047D">
            <w:pPr>
              <w:spacing w:before="100" w:beforeAutospacing="1" w:after="100" w:afterAutospacing="1"/>
            </w:pPr>
            <w:r w:rsidRPr="00E030F4">
              <w:t>Attiecīgā starptautiskā tiesību akta vai starptautiskas institūcijas vai organizācijas dokumenta (turpmāk - starptautiskais dokuments) datums, numurs un nosaukums</w:t>
            </w:r>
          </w:p>
        </w:tc>
        <w:tc>
          <w:tcPr>
            <w:tcW w:w="3032" w:type="pct"/>
            <w:gridSpan w:val="6"/>
            <w:tcBorders>
              <w:top w:val="outset" w:sz="6" w:space="0" w:color="000000"/>
              <w:left w:val="outset" w:sz="6" w:space="0" w:color="000000"/>
              <w:bottom w:val="outset" w:sz="6" w:space="0" w:color="000000"/>
              <w:right w:val="outset" w:sz="6" w:space="0" w:color="000000"/>
            </w:tcBorders>
          </w:tcPr>
          <w:p w:rsidR="001A5F98" w:rsidRPr="00E030F4" w:rsidRDefault="001A5F98" w:rsidP="0068047D">
            <w:pPr>
              <w:spacing w:before="100" w:beforeAutospacing="1" w:after="100" w:afterAutospacing="1"/>
            </w:pPr>
            <w:r>
              <w:t>Nav attiecināms.</w:t>
            </w:r>
          </w:p>
        </w:tc>
      </w:tr>
      <w:tr w:rsidR="001A5F98" w:rsidRPr="00E030F4" w:rsidTr="0068047D">
        <w:tc>
          <w:tcPr>
            <w:tcW w:w="1968" w:type="pct"/>
            <w:gridSpan w:val="5"/>
            <w:tcBorders>
              <w:top w:val="outset" w:sz="6" w:space="0" w:color="000000"/>
              <w:left w:val="outset" w:sz="6" w:space="0" w:color="000000"/>
              <w:bottom w:val="outset" w:sz="6" w:space="0" w:color="000000"/>
              <w:right w:val="outset" w:sz="6" w:space="0" w:color="000000"/>
            </w:tcBorders>
            <w:vAlign w:val="center"/>
          </w:tcPr>
          <w:p w:rsidR="001A5F98" w:rsidRPr="00E030F4" w:rsidRDefault="001A5F98" w:rsidP="0068047D">
            <w:pPr>
              <w:spacing w:before="100" w:beforeAutospacing="1" w:after="100" w:afterAutospacing="1"/>
              <w:jc w:val="center"/>
            </w:pPr>
            <w:r w:rsidRPr="00E030F4">
              <w:t>A</w:t>
            </w:r>
          </w:p>
        </w:tc>
        <w:tc>
          <w:tcPr>
            <w:tcW w:w="1446" w:type="pct"/>
            <w:gridSpan w:val="4"/>
            <w:tcBorders>
              <w:top w:val="outset" w:sz="6" w:space="0" w:color="000000"/>
              <w:left w:val="outset" w:sz="6" w:space="0" w:color="000000"/>
              <w:bottom w:val="outset" w:sz="6" w:space="0" w:color="000000"/>
              <w:right w:val="outset" w:sz="6" w:space="0" w:color="000000"/>
            </w:tcBorders>
            <w:vAlign w:val="center"/>
          </w:tcPr>
          <w:p w:rsidR="001A5F98" w:rsidRPr="00E030F4" w:rsidRDefault="001A5F98" w:rsidP="0068047D">
            <w:pPr>
              <w:spacing w:before="100" w:beforeAutospacing="1" w:after="100" w:afterAutospacing="1"/>
              <w:jc w:val="center"/>
            </w:pPr>
            <w:r w:rsidRPr="00E030F4">
              <w:t>B</w:t>
            </w:r>
          </w:p>
        </w:tc>
        <w:tc>
          <w:tcPr>
            <w:tcW w:w="1586" w:type="pct"/>
            <w:gridSpan w:val="2"/>
            <w:tcBorders>
              <w:top w:val="outset" w:sz="6" w:space="0" w:color="000000"/>
              <w:left w:val="outset" w:sz="6" w:space="0" w:color="000000"/>
              <w:bottom w:val="outset" w:sz="6" w:space="0" w:color="000000"/>
              <w:right w:val="outset" w:sz="6" w:space="0" w:color="000000"/>
            </w:tcBorders>
            <w:vAlign w:val="center"/>
          </w:tcPr>
          <w:p w:rsidR="001A5F98" w:rsidRPr="00E030F4" w:rsidRDefault="001A5F98" w:rsidP="0068047D">
            <w:pPr>
              <w:spacing w:before="100" w:beforeAutospacing="1" w:after="100" w:afterAutospacing="1"/>
              <w:jc w:val="center"/>
            </w:pPr>
            <w:r w:rsidRPr="00E030F4">
              <w:t>C</w:t>
            </w:r>
          </w:p>
        </w:tc>
      </w:tr>
      <w:tr w:rsidR="001A5F98" w:rsidRPr="00E030F4" w:rsidTr="0068047D">
        <w:tc>
          <w:tcPr>
            <w:tcW w:w="1968" w:type="pct"/>
            <w:gridSpan w:val="5"/>
            <w:tcBorders>
              <w:top w:val="outset" w:sz="6" w:space="0" w:color="000000"/>
              <w:left w:val="outset" w:sz="6" w:space="0" w:color="000000"/>
              <w:bottom w:val="outset" w:sz="6" w:space="0" w:color="000000"/>
              <w:right w:val="outset" w:sz="6" w:space="0" w:color="000000"/>
            </w:tcBorders>
          </w:tcPr>
          <w:p w:rsidR="001A5F98" w:rsidRPr="00E030F4" w:rsidRDefault="001A5F98" w:rsidP="0068047D">
            <w:pPr>
              <w:spacing w:before="100" w:beforeAutospacing="1" w:after="100" w:afterAutospacing="1"/>
            </w:pPr>
            <w:r w:rsidRPr="00E030F4">
              <w:t>Starptautiskās saistības (pēc būtības), kas izriet no norādītā starptautiskā dokumenta.</w:t>
            </w:r>
          </w:p>
          <w:p w:rsidR="001A5F98" w:rsidRPr="00E030F4" w:rsidRDefault="001A5F98" w:rsidP="0068047D">
            <w:pPr>
              <w:spacing w:before="100" w:beforeAutospacing="1" w:after="100" w:afterAutospacing="1"/>
            </w:pPr>
            <w:r w:rsidRPr="00E030F4">
              <w:t>Konkrēti veicamie pasākumi vai uzdevumi, kas nepieciešami šo starptautisko saistību izpildei</w:t>
            </w:r>
          </w:p>
        </w:tc>
        <w:tc>
          <w:tcPr>
            <w:tcW w:w="1446" w:type="pct"/>
            <w:gridSpan w:val="4"/>
            <w:tcBorders>
              <w:top w:val="outset" w:sz="6" w:space="0" w:color="000000"/>
              <w:left w:val="outset" w:sz="6" w:space="0" w:color="000000"/>
              <w:bottom w:val="outset" w:sz="6" w:space="0" w:color="000000"/>
              <w:right w:val="outset" w:sz="6" w:space="0" w:color="000000"/>
            </w:tcBorders>
          </w:tcPr>
          <w:p w:rsidR="001A5F98" w:rsidRPr="00E030F4" w:rsidRDefault="001A5F98" w:rsidP="0068047D">
            <w:pPr>
              <w:spacing w:before="100" w:beforeAutospacing="1" w:after="100" w:afterAutospacing="1"/>
            </w:pPr>
            <w:r w:rsidRPr="00E030F4">
              <w:t>Ja pasākumi vai uzdevumi, ar ko tiks izpildītas starptautiskās saistības, tiek noteikti projektā, norāda attiecīgo projekta vienību</w:t>
            </w:r>
            <w:r>
              <w:t xml:space="preserve"> vai</w:t>
            </w:r>
            <w:r w:rsidRPr="00E030F4">
              <w:t xml:space="preserve"> dokumentu, kurā sniegts izvērsts skaidrojums, kādā veidā tiks nodrošināta starptautisko saistību izpilde</w:t>
            </w:r>
          </w:p>
        </w:tc>
        <w:tc>
          <w:tcPr>
            <w:tcW w:w="1586" w:type="pct"/>
            <w:gridSpan w:val="2"/>
            <w:tcBorders>
              <w:top w:val="outset" w:sz="6" w:space="0" w:color="000000"/>
              <w:left w:val="outset" w:sz="6" w:space="0" w:color="000000"/>
              <w:bottom w:val="outset" w:sz="6" w:space="0" w:color="000000"/>
              <w:right w:val="outset" w:sz="6" w:space="0" w:color="000000"/>
            </w:tcBorders>
          </w:tcPr>
          <w:p w:rsidR="001A5F98" w:rsidRPr="00E030F4" w:rsidRDefault="001A5F98" w:rsidP="0068047D">
            <w:pPr>
              <w:spacing w:before="100" w:beforeAutospacing="1" w:after="100" w:afterAutospacing="1"/>
            </w:pPr>
            <w:r w:rsidRPr="00E030F4">
              <w:t>Informācija par to, vai starptautiskās saistības, kas minētas šīs tabulas A ailē, tiek izpildītas pilnībā vai daļēji.</w:t>
            </w:r>
          </w:p>
          <w:p w:rsidR="001A5F98" w:rsidRPr="00E030F4" w:rsidRDefault="001A5F98" w:rsidP="0068047D">
            <w:pPr>
              <w:spacing w:before="100" w:beforeAutospacing="1" w:after="100" w:afterAutospacing="1"/>
            </w:pPr>
            <w:r w:rsidRPr="00E030F4">
              <w:t>Ja attiecīgās starptautiskās saistības tiek izpildītas daļēji, sniedz attiecīgu skaidrojumu, kā arī precīzi norāda, kad un kādā veidā starptautiskās saistības tiks izpildītas pilnībā.</w:t>
            </w:r>
            <w:r>
              <w:t xml:space="preserve"> </w:t>
            </w:r>
            <w:r w:rsidRPr="00E030F4">
              <w:t>Norāda institūciju, kas ir atbildīga par šo saistību izpildi pilnībā</w:t>
            </w:r>
          </w:p>
        </w:tc>
      </w:tr>
      <w:tr w:rsidR="001A5F98" w:rsidRPr="00E030F4" w:rsidTr="0068047D">
        <w:tc>
          <w:tcPr>
            <w:tcW w:w="1968" w:type="pct"/>
            <w:gridSpan w:val="5"/>
            <w:tcBorders>
              <w:top w:val="outset" w:sz="6" w:space="0" w:color="000000"/>
              <w:left w:val="outset" w:sz="6" w:space="0" w:color="000000"/>
              <w:bottom w:val="outset" w:sz="6" w:space="0" w:color="000000"/>
              <w:right w:val="outset" w:sz="6" w:space="0" w:color="000000"/>
            </w:tcBorders>
            <w:vAlign w:val="center"/>
          </w:tcPr>
          <w:p w:rsidR="001A5F98" w:rsidRPr="00E030F4" w:rsidRDefault="001A5F98" w:rsidP="0068047D">
            <w:pPr>
              <w:spacing w:line="360" w:lineRule="auto"/>
            </w:pPr>
            <w:r>
              <w:t>Nav attiecināms.</w:t>
            </w:r>
            <w:r w:rsidRPr="00E030F4">
              <w:t> </w:t>
            </w:r>
          </w:p>
        </w:tc>
        <w:tc>
          <w:tcPr>
            <w:tcW w:w="1446" w:type="pct"/>
            <w:gridSpan w:val="4"/>
            <w:tcBorders>
              <w:top w:val="outset" w:sz="6" w:space="0" w:color="000000"/>
              <w:left w:val="outset" w:sz="6" w:space="0" w:color="000000"/>
              <w:bottom w:val="outset" w:sz="6" w:space="0" w:color="000000"/>
              <w:right w:val="outset" w:sz="6" w:space="0" w:color="000000"/>
            </w:tcBorders>
            <w:vAlign w:val="center"/>
          </w:tcPr>
          <w:p w:rsidR="001A5F98" w:rsidRPr="00E030F4" w:rsidRDefault="001A5F98" w:rsidP="0068047D">
            <w:pPr>
              <w:spacing w:line="360" w:lineRule="auto"/>
            </w:pPr>
            <w:r>
              <w:t>Nav attiecināms.</w:t>
            </w:r>
            <w:r w:rsidRPr="00E030F4">
              <w:t> </w:t>
            </w:r>
          </w:p>
        </w:tc>
        <w:tc>
          <w:tcPr>
            <w:tcW w:w="1586" w:type="pct"/>
            <w:gridSpan w:val="2"/>
            <w:tcBorders>
              <w:top w:val="outset" w:sz="6" w:space="0" w:color="000000"/>
              <w:left w:val="outset" w:sz="6" w:space="0" w:color="000000"/>
              <w:bottom w:val="outset" w:sz="6" w:space="0" w:color="000000"/>
              <w:right w:val="outset" w:sz="6" w:space="0" w:color="000000"/>
            </w:tcBorders>
            <w:vAlign w:val="center"/>
          </w:tcPr>
          <w:p w:rsidR="001A5F98" w:rsidRPr="00E030F4" w:rsidRDefault="001A5F98" w:rsidP="0068047D">
            <w:pPr>
              <w:spacing w:line="360" w:lineRule="auto"/>
            </w:pPr>
            <w:r>
              <w:t>Nav attiecināms.</w:t>
            </w:r>
          </w:p>
        </w:tc>
      </w:tr>
      <w:tr w:rsidR="001A5F98" w:rsidRPr="00E030F4" w:rsidTr="0068047D">
        <w:tc>
          <w:tcPr>
            <w:tcW w:w="3414" w:type="pct"/>
            <w:gridSpan w:val="9"/>
            <w:tcBorders>
              <w:top w:val="outset" w:sz="6" w:space="0" w:color="000000"/>
              <w:left w:val="outset" w:sz="6" w:space="0" w:color="000000"/>
              <w:bottom w:val="outset" w:sz="6" w:space="0" w:color="000000"/>
              <w:right w:val="outset" w:sz="6" w:space="0" w:color="000000"/>
            </w:tcBorders>
            <w:vAlign w:val="center"/>
          </w:tcPr>
          <w:p w:rsidR="001A5F98" w:rsidRPr="00E030F4" w:rsidRDefault="001A5F98" w:rsidP="0068047D">
            <w:pPr>
              <w:spacing w:before="100" w:beforeAutospacing="1" w:after="100" w:afterAutospacing="1"/>
            </w:pPr>
            <w:r w:rsidRPr="00E030F4">
              <w:t>Vai starptautiskajā dokumentā paredzētās saistības nav pretrunā ar jau esošajām Latvijas Republikas starptautiskajām saistībām</w:t>
            </w:r>
          </w:p>
        </w:tc>
        <w:tc>
          <w:tcPr>
            <w:tcW w:w="1586" w:type="pct"/>
            <w:gridSpan w:val="2"/>
            <w:tcBorders>
              <w:top w:val="outset" w:sz="6" w:space="0" w:color="000000"/>
              <w:left w:val="outset" w:sz="6" w:space="0" w:color="000000"/>
              <w:bottom w:val="outset" w:sz="6" w:space="0" w:color="000000"/>
              <w:right w:val="outset" w:sz="6" w:space="0" w:color="000000"/>
            </w:tcBorders>
          </w:tcPr>
          <w:p w:rsidR="001A5F98" w:rsidRPr="00E030F4" w:rsidRDefault="001A5F98" w:rsidP="0068047D">
            <w:pPr>
              <w:spacing w:before="100" w:beforeAutospacing="1" w:after="100" w:afterAutospacing="1"/>
            </w:pPr>
            <w:r>
              <w:t xml:space="preserve">Nav attiecināms. </w:t>
            </w:r>
          </w:p>
        </w:tc>
      </w:tr>
      <w:tr w:rsidR="001A5F98" w:rsidRPr="00E030F4" w:rsidTr="0068047D">
        <w:tc>
          <w:tcPr>
            <w:tcW w:w="3414" w:type="pct"/>
            <w:gridSpan w:val="9"/>
            <w:tcBorders>
              <w:top w:val="outset" w:sz="6" w:space="0" w:color="000000"/>
              <w:left w:val="outset" w:sz="6" w:space="0" w:color="000000"/>
              <w:bottom w:val="outset" w:sz="6" w:space="0" w:color="000000"/>
              <w:right w:val="outset" w:sz="6" w:space="0" w:color="000000"/>
            </w:tcBorders>
          </w:tcPr>
          <w:p w:rsidR="001A5F98" w:rsidRPr="00E030F4" w:rsidRDefault="001A5F98" w:rsidP="0068047D">
            <w:pPr>
              <w:spacing w:before="100" w:beforeAutospacing="1" w:after="100" w:afterAutospacing="1"/>
            </w:pPr>
            <w:r w:rsidRPr="00E030F4">
              <w:t>Cita informācija</w:t>
            </w:r>
          </w:p>
        </w:tc>
        <w:tc>
          <w:tcPr>
            <w:tcW w:w="1586" w:type="pct"/>
            <w:gridSpan w:val="2"/>
            <w:tcBorders>
              <w:top w:val="outset" w:sz="6" w:space="0" w:color="000000"/>
              <w:left w:val="outset" w:sz="6" w:space="0" w:color="000000"/>
              <w:bottom w:val="outset" w:sz="6" w:space="0" w:color="000000"/>
              <w:right w:val="outset" w:sz="6" w:space="0" w:color="000000"/>
            </w:tcBorders>
          </w:tcPr>
          <w:p w:rsidR="001A5F98" w:rsidRPr="00E030F4" w:rsidRDefault="001A5F98" w:rsidP="0068047D">
            <w:pPr>
              <w:spacing w:before="100" w:beforeAutospacing="1" w:after="100" w:afterAutospacing="1"/>
            </w:pPr>
            <w:r w:rsidRPr="00E030F4">
              <w:t>Nav</w:t>
            </w:r>
            <w:r>
              <w:t>.</w:t>
            </w:r>
          </w:p>
        </w:tc>
      </w:tr>
    </w:tbl>
    <w:p w:rsidR="001A5F98" w:rsidRDefault="001A5F98" w:rsidP="00895374">
      <w:pPr>
        <w:pStyle w:val="naisc"/>
        <w:spacing w:before="0" w:after="0"/>
      </w:pPr>
    </w:p>
    <w:p w:rsidR="001A5F98" w:rsidRDefault="001A5F98" w:rsidP="00895374">
      <w:pPr>
        <w:pStyle w:val="naisc"/>
        <w:spacing w:before="0" w:after="0"/>
      </w:pPr>
    </w:p>
    <w:tbl>
      <w:tblPr>
        <w:tblW w:w="5000" w:type="pct"/>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452"/>
        <w:gridCol w:w="3652"/>
        <w:gridCol w:w="5240"/>
      </w:tblGrid>
      <w:tr w:rsidR="00895374" w:rsidRPr="00B67103" w:rsidTr="00CF7285">
        <w:tc>
          <w:tcPr>
            <w:tcW w:w="0" w:type="auto"/>
            <w:gridSpan w:val="3"/>
            <w:tcBorders>
              <w:top w:val="outset" w:sz="6" w:space="0" w:color="000000"/>
              <w:left w:val="outset" w:sz="6" w:space="0" w:color="000000"/>
              <w:bottom w:val="outset" w:sz="6" w:space="0" w:color="000000"/>
              <w:right w:val="outset" w:sz="6" w:space="0" w:color="000000"/>
            </w:tcBorders>
            <w:hideMark/>
          </w:tcPr>
          <w:p w:rsidR="00895374" w:rsidRPr="00B67103" w:rsidRDefault="00895374" w:rsidP="00CF7285">
            <w:pPr>
              <w:pStyle w:val="NormalWeb"/>
              <w:spacing w:before="0" w:beforeAutospacing="0" w:after="0" w:afterAutospacing="0"/>
              <w:jc w:val="center"/>
              <w:rPr>
                <w:b/>
                <w:bCs/>
                <w:lang w:val="lv-LV"/>
              </w:rPr>
            </w:pPr>
            <w:r w:rsidRPr="00B67103">
              <w:rPr>
                <w:b/>
                <w:bCs/>
                <w:lang w:val="lv-LV"/>
              </w:rPr>
              <w:t>VI. Sabiedrības līdzdalība un komunikācijas aktivitātes</w:t>
            </w:r>
          </w:p>
        </w:tc>
      </w:tr>
      <w:tr w:rsidR="00895374" w:rsidRPr="00B67103" w:rsidTr="009D4C5B">
        <w:tc>
          <w:tcPr>
            <w:tcW w:w="242" w:type="pct"/>
            <w:tcBorders>
              <w:top w:val="outset" w:sz="6" w:space="0" w:color="000000"/>
              <w:left w:val="outset" w:sz="6" w:space="0" w:color="000000"/>
              <w:bottom w:val="outset" w:sz="6" w:space="0" w:color="000000"/>
              <w:right w:val="outset" w:sz="6" w:space="0" w:color="000000"/>
            </w:tcBorders>
            <w:hideMark/>
          </w:tcPr>
          <w:p w:rsidR="00895374" w:rsidRPr="00B67103" w:rsidRDefault="00895374" w:rsidP="00CF7285">
            <w:pPr>
              <w:pStyle w:val="NormalWeb"/>
              <w:spacing w:before="0" w:beforeAutospacing="0" w:after="0" w:afterAutospacing="0"/>
            </w:pPr>
            <w:r w:rsidRPr="00B67103">
              <w:t>1.</w:t>
            </w:r>
          </w:p>
        </w:tc>
        <w:tc>
          <w:tcPr>
            <w:tcW w:w="1954" w:type="pct"/>
            <w:tcBorders>
              <w:top w:val="outset" w:sz="6" w:space="0" w:color="000000"/>
              <w:left w:val="outset" w:sz="6" w:space="0" w:color="000000"/>
              <w:bottom w:val="outset" w:sz="6" w:space="0" w:color="000000"/>
              <w:right w:val="outset" w:sz="6" w:space="0" w:color="000000"/>
            </w:tcBorders>
            <w:hideMark/>
          </w:tcPr>
          <w:p w:rsidR="00895374" w:rsidRPr="00B67103" w:rsidRDefault="00895374" w:rsidP="00CF7285">
            <w:pPr>
              <w:pStyle w:val="NormalWeb"/>
              <w:spacing w:before="0" w:beforeAutospacing="0" w:after="0" w:afterAutospacing="0"/>
            </w:pPr>
            <w:proofErr w:type="spellStart"/>
            <w:r w:rsidRPr="00B67103">
              <w:t>Plānotās</w:t>
            </w:r>
            <w:proofErr w:type="spellEnd"/>
            <w:r w:rsidRPr="00B67103">
              <w:t xml:space="preserve"> </w:t>
            </w:r>
            <w:proofErr w:type="spellStart"/>
            <w:r w:rsidRPr="00B67103">
              <w:t>sabiedrības</w:t>
            </w:r>
            <w:proofErr w:type="spellEnd"/>
            <w:r w:rsidRPr="00B67103">
              <w:t xml:space="preserve"> </w:t>
            </w:r>
            <w:proofErr w:type="spellStart"/>
            <w:r w:rsidRPr="00B67103">
              <w:t>līdzdalības</w:t>
            </w:r>
            <w:proofErr w:type="spellEnd"/>
            <w:r w:rsidRPr="00B67103">
              <w:t xml:space="preserve"> un </w:t>
            </w:r>
            <w:proofErr w:type="spellStart"/>
            <w:r w:rsidRPr="00B67103">
              <w:t>komunikācijas</w:t>
            </w:r>
            <w:proofErr w:type="spellEnd"/>
            <w:r w:rsidRPr="00B67103">
              <w:t xml:space="preserve"> </w:t>
            </w:r>
            <w:proofErr w:type="spellStart"/>
            <w:r w:rsidRPr="00B67103">
              <w:t>aktivitātes</w:t>
            </w:r>
            <w:proofErr w:type="spellEnd"/>
            <w:r w:rsidRPr="00B67103">
              <w:t xml:space="preserve"> </w:t>
            </w:r>
            <w:proofErr w:type="spellStart"/>
            <w:r w:rsidRPr="00B67103">
              <w:t>saistībā</w:t>
            </w:r>
            <w:proofErr w:type="spellEnd"/>
            <w:r w:rsidRPr="00B67103">
              <w:t xml:space="preserve"> </w:t>
            </w:r>
            <w:proofErr w:type="spellStart"/>
            <w:r w:rsidRPr="00B67103">
              <w:t>ar</w:t>
            </w:r>
            <w:proofErr w:type="spellEnd"/>
            <w:r w:rsidRPr="00B67103">
              <w:t xml:space="preserve"> </w:t>
            </w:r>
            <w:proofErr w:type="spellStart"/>
            <w:r w:rsidRPr="00B67103">
              <w:t>projektu</w:t>
            </w:r>
            <w:proofErr w:type="spellEnd"/>
          </w:p>
        </w:tc>
        <w:tc>
          <w:tcPr>
            <w:tcW w:w="2804" w:type="pct"/>
            <w:tcBorders>
              <w:top w:val="outset" w:sz="6" w:space="0" w:color="000000"/>
              <w:left w:val="outset" w:sz="6" w:space="0" w:color="000000"/>
              <w:bottom w:val="outset" w:sz="6" w:space="0" w:color="000000"/>
              <w:right w:val="outset" w:sz="6" w:space="0" w:color="000000"/>
            </w:tcBorders>
            <w:hideMark/>
          </w:tcPr>
          <w:p w:rsidR="00CE5B6F" w:rsidRPr="005A1005" w:rsidRDefault="00CE5B6F" w:rsidP="00CE5B6F">
            <w:pPr>
              <w:jc w:val="both"/>
            </w:pPr>
            <w:r w:rsidRPr="005A1005">
              <w:t>Vides aizsardzības un reģionālās attīstības ministrija informēja sabiedrību par noteikumu projekt</w:t>
            </w:r>
            <w:r>
              <w:t>u</w:t>
            </w:r>
            <w:r w:rsidRPr="005A1005">
              <w:t xml:space="preserve">, ievietojot </w:t>
            </w:r>
            <w:r>
              <w:t xml:space="preserve">to </w:t>
            </w:r>
            <w:r w:rsidRPr="005A1005">
              <w:t xml:space="preserve">Vides aizsardzības un reģionālās attīstības ministrijas interneta vietnes sadaļā </w:t>
            </w:r>
            <w:r w:rsidRPr="005A1005">
              <w:rPr>
                <w:bCs/>
              </w:rPr>
              <w:t>„Sabiedrības līdzdalība”</w:t>
            </w:r>
            <w:r w:rsidRPr="005A1005">
              <w:t xml:space="preserve"> paziņojumu par līdzdalības procesu un nodrošinot iespēju ieinteresētajām pusēm izteikt viedokli un priekšlikumus.</w:t>
            </w:r>
          </w:p>
          <w:p w:rsidR="00895374" w:rsidRPr="00B67103" w:rsidRDefault="00895374" w:rsidP="00CF7285">
            <w:pPr>
              <w:pStyle w:val="NormalWeb"/>
              <w:spacing w:before="0" w:beforeAutospacing="0" w:after="0" w:afterAutospacing="0"/>
              <w:jc w:val="both"/>
            </w:pPr>
          </w:p>
        </w:tc>
      </w:tr>
      <w:tr w:rsidR="00895374" w:rsidRPr="00B67103" w:rsidTr="009D4C5B">
        <w:tc>
          <w:tcPr>
            <w:tcW w:w="242" w:type="pct"/>
            <w:tcBorders>
              <w:top w:val="outset" w:sz="6" w:space="0" w:color="000000"/>
              <w:left w:val="outset" w:sz="6" w:space="0" w:color="000000"/>
              <w:bottom w:val="outset" w:sz="6" w:space="0" w:color="000000"/>
              <w:right w:val="outset" w:sz="6" w:space="0" w:color="000000"/>
            </w:tcBorders>
            <w:hideMark/>
          </w:tcPr>
          <w:p w:rsidR="00895374" w:rsidRPr="00B67103" w:rsidRDefault="00895374" w:rsidP="00CF7285">
            <w:pPr>
              <w:pStyle w:val="NormalWeb"/>
              <w:spacing w:before="0" w:beforeAutospacing="0" w:after="0" w:afterAutospacing="0"/>
            </w:pPr>
            <w:r w:rsidRPr="00B67103">
              <w:t>2.</w:t>
            </w:r>
          </w:p>
        </w:tc>
        <w:tc>
          <w:tcPr>
            <w:tcW w:w="1954" w:type="pct"/>
            <w:tcBorders>
              <w:top w:val="outset" w:sz="6" w:space="0" w:color="000000"/>
              <w:left w:val="outset" w:sz="6" w:space="0" w:color="000000"/>
              <w:bottom w:val="outset" w:sz="6" w:space="0" w:color="000000"/>
              <w:right w:val="outset" w:sz="6" w:space="0" w:color="000000"/>
            </w:tcBorders>
            <w:hideMark/>
          </w:tcPr>
          <w:p w:rsidR="00895374" w:rsidRPr="00B67103" w:rsidRDefault="00895374" w:rsidP="00CF7285">
            <w:pPr>
              <w:pStyle w:val="NormalWeb"/>
              <w:spacing w:before="0" w:beforeAutospacing="0" w:after="0" w:afterAutospacing="0"/>
            </w:pPr>
            <w:proofErr w:type="spellStart"/>
            <w:r w:rsidRPr="00B67103">
              <w:t>Sabiedrības</w:t>
            </w:r>
            <w:proofErr w:type="spellEnd"/>
            <w:r w:rsidRPr="00B67103">
              <w:t xml:space="preserve"> </w:t>
            </w:r>
            <w:proofErr w:type="spellStart"/>
            <w:r w:rsidRPr="00B67103">
              <w:t>līdzdalība</w:t>
            </w:r>
            <w:proofErr w:type="spellEnd"/>
            <w:r w:rsidRPr="00B67103">
              <w:t xml:space="preserve"> </w:t>
            </w:r>
            <w:proofErr w:type="spellStart"/>
            <w:r w:rsidRPr="00B67103">
              <w:t>projekta</w:t>
            </w:r>
            <w:proofErr w:type="spellEnd"/>
            <w:r w:rsidRPr="00B67103">
              <w:t xml:space="preserve"> </w:t>
            </w:r>
            <w:proofErr w:type="spellStart"/>
            <w:r w:rsidRPr="00B67103">
              <w:t>izstrādē</w:t>
            </w:r>
            <w:proofErr w:type="spellEnd"/>
          </w:p>
        </w:tc>
        <w:tc>
          <w:tcPr>
            <w:tcW w:w="2804" w:type="pct"/>
            <w:tcBorders>
              <w:top w:val="outset" w:sz="6" w:space="0" w:color="000000"/>
              <w:left w:val="outset" w:sz="6" w:space="0" w:color="000000"/>
              <w:bottom w:val="outset" w:sz="6" w:space="0" w:color="000000"/>
              <w:right w:val="outset" w:sz="6" w:space="0" w:color="000000"/>
            </w:tcBorders>
          </w:tcPr>
          <w:p w:rsidR="00CE5B6F" w:rsidRDefault="00FF158D" w:rsidP="00CF7285">
            <w:pPr>
              <w:pStyle w:val="NormalWeb"/>
              <w:spacing w:before="0" w:beforeAutospacing="0" w:after="0" w:afterAutospacing="0"/>
              <w:jc w:val="both"/>
            </w:pPr>
            <w:proofErr w:type="spellStart"/>
            <w:r>
              <w:t>Projekta</w:t>
            </w:r>
            <w:proofErr w:type="spellEnd"/>
            <w:r>
              <w:t xml:space="preserve"> </w:t>
            </w:r>
            <w:proofErr w:type="spellStart"/>
            <w:r>
              <w:t>sagatavošanā</w:t>
            </w:r>
            <w:proofErr w:type="spellEnd"/>
            <w:r>
              <w:t xml:space="preserve"> </w:t>
            </w:r>
            <w:proofErr w:type="spellStart"/>
            <w:r>
              <w:t>piedalījās</w:t>
            </w:r>
            <w:proofErr w:type="spellEnd"/>
            <w:r>
              <w:t xml:space="preserve"> </w:t>
            </w:r>
            <w:proofErr w:type="spellStart"/>
            <w:r w:rsidRPr="007712F7">
              <w:t>Vides</w:t>
            </w:r>
            <w:proofErr w:type="spellEnd"/>
            <w:r w:rsidRPr="007712F7">
              <w:t xml:space="preserve"> </w:t>
            </w:r>
            <w:proofErr w:type="spellStart"/>
            <w:r w:rsidRPr="007712F7">
              <w:t>aizsardzības</w:t>
            </w:r>
            <w:proofErr w:type="spellEnd"/>
            <w:r w:rsidRPr="007712F7">
              <w:t xml:space="preserve"> un </w:t>
            </w:r>
            <w:proofErr w:type="spellStart"/>
            <w:r w:rsidRPr="007712F7">
              <w:t>reģionālās</w:t>
            </w:r>
            <w:proofErr w:type="spellEnd"/>
            <w:r w:rsidRPr="007712F7">
              <w:t xml:space="preserve"> </w:t>
            </w:r>
            <w:proofErr w:type="spellStart"/>
            <w:r w:rsidRPr="007712F7">
              <w:t>attīstības</w:t>
            </w:r>
            <w:proofErr w:type="spellEnd"/>
            <w:r w:rsidRPr="007712F7">
              <w:t xml:space="preserve"> </w:t>
            </w:r>
            <w:proofErr w:type="spellStart"/>
            <w:r w:rsidRPr="007712F7">
              <w:t>ministrijas</w:t>
            </w:r>
            <w:proofErr w:type="spellEnd"/>
            <w:r w:rsidRPr="007712F7">
              <w:t xml:space="preserve"> </w:t>
            </w:r>
            <w:proofErr w:type="spellStart"/>
            <w:r w:rsidRPr="007712F7">
              <w:t>Radiofrekvenču</w:t>
            </w:r>
            <w:proofErr w:type="spellEnd"/>
            <w:r w:rsidRPr="007712F7">
              <w:t xml:space="preserve"> </w:t>
            </w:r>
            <w:proofErr w:type="spellStart"/>
            <w:r w:rsidRPr="007712F7">
              <w:t>spektra</w:t>
            </w:r>
            <w:proofErr w:type="spellEnd"/>
            <w:r w:rsidRPr="007712F7">
              <w:t xml:space="preserve"> </w:t>
            </w:r>
            <w:proofErr w:type="spellStart"/>
            <w:r w:rsidRPr="007712F7">
              <w:t>resursu</w:t>
            </w:r>
            <w:proofErr w:type="spellEnd"/>
            <w:r w:rsidRPr="007712F7">
              <w:t xml:space="preserve"> </w:t>
            </w:r>
            <w:proofErr w:type="spellStart"/>
            <w:r w:rsidRPr="007712F7">
              <w:t>izmantošanas</w:t>
            </w:r>
            <w:proofErr w:type="spellEnd"/>
            <w:r w:rsidRPr="007712F7">
              <w:t xml:space="preserve"> </w:t>
            </w:r>
            <w:proofErr w:type="spellStart"/>
            <w:r w:rsidRPr="007712F7">
              <w:t>koordinācijas</w:t>
            </w:r>
            <w:proofErr w:type="spellEnd"/>
            <w:r w:rsidRPr="007712F7">
              <w:t xml:space="preserve"> </w:t>
            </w:r>
            <w:proofErr w:type="spellStart"/>
            <w:r w:rsidRPr="007712F7">
              <w:t>darba</w:t>
            </w:r>
            <w:proofErr w:type="spellEnd"/>
            <w:r w:rsidRPr="007712F7">
              <w:t xml:space="preserve"> </w:t>
            </w:r>
            <w:proofErr w:type="spellStart"/>
            <w:r w:rsidRPr="007712F7">
              <w:t>grupa</w:t>
            </w:r>
            <w:proofErr w:type="spellEnd"/>
            <w:r w:rsidR="003D6844">
              <w:t>,</w:t>
            </w:r>
            <w:r w:rsidR="00CE5B6F" w:rsidRPr="005A1005">
              <w:t xml:space="preserve"> </w:t>
            </w:r>
            <w:r w:rsidR="003D6844">
              <w:t xml:space="preserve">tai </w:t>
            </w:r>
            <w:proofErr w:type="spellStart"/>
            <w:r w:rsidR="003D6844">
              <w:t>skaitā</w:t>
            </w:r>
            <w:proofErr w:type="spellEnd"/>
            <w:r w:rsidR="003D6844">
              <w:t xml:space="preserve">: </w:t>
            </w:r>
            <w:r w:rsidR="00CE5B6F" w:rsidRPr="005A1005">
              <w:t xml:space="preserve">VAS ES </w:t>
            </w:r>
            <w:proofErr w:type="spellStart"/>
            <w:r w:rsidR="00CE5B6F" w:rsidRPr="005A1005">
              <w:t>darbinieki</w:t>
            </w:r>
            <w:proofErr w:type="spellEnd"/>
            <w:r w:rsidR="00CE5B6F" w:rsidRPr="005A1005">
              <w:t xml:space="preserve">, </w:t>
            </w:r>
            <w:proofErr w:type="spellStart"/>
            <w:r w:rsidR="00CE5B6F" w:rsidRPr="005A1005">
              <w:t>elektronisko</w:t>
            </w:r>
            <w:proofErr w:type="spellEnd"/>
            <w:r w:rsidR="00CE5B6F" w:rsidRPr="005A1005">
              <w:t xml:space="preserve"> </w:t>
            </w:r>
            <w:proofErr w:type="spellStart"/>
            <w:r w:rsidR="00CE5B6F" w:rsidRPr="005A1005">
              <w:t>sakaru</w:t>
            </w:r>
            <w:proofErr w:type="spellEnd"/>
            <w:r w:rsidR="00CE5B6F" w:rsidRPr="005A1005">
              <w:t xml:space="preserve"> </w:t>
            </w:r>
            <w:proofErr w:type="spellStart"/>
            <w:r w:rsidR="00CE5B6F" w:rsidRPr="005A1005">
              <w:t>nozares</w:t>
            </w:r>
            <w:proofErr w:type="spellEnd"/>
            <w:r w:rsidR="00CE5B6F" w:rsidRPr="005A1005">
              <w:t xml:space="preserve"> </w:t>
            </w:r>
            <w:proofErr w:type="spellStart"/>
            <w:r w:rsidR="00CE5B6F" w:rsidRPr="005A1005">
              <w:t>asociāciju</w:t>
            </w:r>
            <w:proofErr w:type="spellEnd"/>
            <w:r w:rsidR="00CE5B6F" w:rsidRPr="005A1005">
              <w:t xml:space="preserve"> (</w:t>
            </w:r>
            <w:proofErr w:type="spellStart"/>
            <w:r w:rsidR="00CE5B6F" w:rsidRPr="005A1005">
              <w:t>Latvijas</w:t>
            </w:r>
            <w:proofErr w:type="spellEnd"/>
            <w:r w:rsidR="00CE5B6F" w:rsidRPr="005A1005">
              <w:t xml:space="preserve"> </w:t>
            </w:r>
            <w:proofErr w:type="spellStart"/>
            <w:r w:rsidR="00CE5B6F" w:rsidRPr="005A1005">
              <w:t>Informācijas</w:t>
            </w:r>
            <w:proofErr w:type="spellEnd"/>
            <w:r w:rsidR="00CE5B6F" w:rsidRPr="005A1005">
              <w:t xml:space="preserve"> un </w:t>
            </w:r>
            <w:proofErr w:type="spellStart"/>
            <w:r w:rsidR="00CE5B6F" w:rsidRPr="005A1005">
              <w:t>komunikā</w:t>
            </w:r>
            <w:r w:rsidR="00120157">
              <w:t>cijas</w:t>
            </w:r>
            <w:proofErr w:type="spellEnd"/>
            <w:r w:rsidR="00120157">
              <w:t xml:space="preserve"> </w:t>
            </w:r>
            <w:proofErr w:type="spellStart"/>
            <w:r w:rsidR="00120157">
              <w:t>tehnoloģijas</w:t>
            </w:r>
            <w:proofErr w:type="spellEnd"/>
            <w:r w:rsidR="00120157">
              <w:t xml:space="preserve"> </w:t>
            </w:r>
            <w:proofErr w:type="spellStart"/>
            <w:r w:rsidR="00120157">
              <w:t>asociācijas</w:t>
            </w:r>
            <w:proofErr w:type="spellEnd"/>
            <w:r w:rsidR="00120157">
              <w:t xml:space="preserve"> </w:t>
            </w:r>
            <w:r w:rsidR="00CE5B6F" w:rsidRPr="005A1005">
              <w:t xml:space="preserve">un </w:t>
            </w:r>
            <w:proofErr w:type="spellStart"/>
            <w:r w:rsidR="00CE5B6F" w:rsidRPr="005A1005">
              <w:t>Latvijas</w:t>
            </w:r>
            <w:proofErr w:type="spellEnd"/>
            <w:r w:rsidR="00CE5B6F" w:rsidRPr="005A1005">
              <w:t xml:space="preserve"> </w:t>
            </w:r>
            <w:proofErr w:type="spellStart"/>
            <w:r w:rsidR="00CE5B6F" w:rsidRPr="005A1005">
              <w:t>Telekomunikāciju</w:t>
            </w:r>
            <w:proofErr w:type="spellEnd"/>
            <w:r w:rsidR="00CE5B6F" w:rsidRPr="005A1005">
              <w:t xml:space="preserve"> </w:t>
            </w:r>
            <w:proofErr w:type="spellStart"/>
            <w:r w:rsidR="00CE5B6F" w:rsidRPr="005A1005">
              <w:t>Asociācijas</w:t>
            </w:r>
            <w:proofErr w:type="spellEnd"/>
            <w:r w:rsidR="00CE5B6F" w:rsidRPr="005A1005">
              <w:t xml:space="preserve">) </w:t>
            </w:r>
            <w:proofErr w:type="spellStart"/>
            <w:r w:rsidR="00CE5B6F" w:rsidRPr="005A1005">
              <w:t>pārstāvji</w:t>
            </w:r>
            <w:proofErr w:type="spellEnd"/>
            <w:r w:rsidR="00CE5B6F" w:rsidRPr="005A1005">
              <w:t xml:space="preserve">, </w:t>
            </w:r>
            <w:proofErr w:type="spellStart"/>
            <w:r w:rsidR="00CE5B6F" w:rsidRPr="005A1005">
              <w:t>kā</w:t>
            </w:r>
            <w:proofErr w:type="spellEnd"/>
            <w:r w:rsidR="00CE5B6F" w:rsidRPr="005A1005">
              <w:t xml:space="preserve"> </w:t>
            </w:r>
            <w:proofErr w:type="spellStart"/>
            <w:r w:rsidR="00CE5B6F" w:rsidRPr="005A1005">
              <w:t>arī</w:t>
            </w:r>
            <w:proofErr w:type="spellEnd"/>
            <w:r w:rsidR="00CE5B6F" w:rsidRPr="005A1005">
              <w:t xml:space="preserve"> </w:t>
            </w:r>
            <w:proofErr w:type="spellStart"/>
            <w:r w:rsidR="003D6844">
              <w:t>Aizsardzības</w:t>
            </w:r>
            <w:proofErr w:type="spellEnd"/>
            <w:r w:rsidR="003D6844">
              <w:t xml:space="preserve"> </w:t>
            </w:r>
            <w:proofErr w:type="spellStart"/>
            <w:r w:rsidR="003D6844">
              <w:t>ministrijas</w:t>
            </w:r>
            <w:proofErr w:type="spellEnd"/>
            <w:r w:rsidR="003D6844">
              <w:t xml:space="preserve"> un </w:t>
            </w:r>
            <w:proofErr w:type="spellStart"/>
            <w:r w:rsidR="00CE5B6F" w:rsidRPr="005A1005">
              <w:t>Satiksmes</w:t>
            </w:r>
            <w:proofErr w:type="spellEnd"/>
            <w:r w:rsidR="00CE5B6F" w:rsidRPr="005A1005">
              <w:t xml:space="preserve"> </w:t>
            </w:r>
            <w:proofErr w:type="spellStart"/>
            <w:r w:rsidR="00CE5B6F" w:rsidRPr="005A1005">
              <w:t>ministrijas</w:t>
            </w:r>
            <w:proofErr w:type="spellEnd"/>
            <w:r w:rsidR="00120157">
              <w:t xml:space="preserve"> </w:t>
            </w:r>
            <w:proofErr w:type="spellStart"/>
            <w:r w:rsidR="00120157">
              <w:t>pārstāvji</w:t>
            </w:r>
            <w:proofErr w:type="spellEnd"/>
            <w:r w:rsidR="00120157">
              <w:t>.</w:t>
            </w:r>
          </w:p>
          <w:p w:rsidR="00CE5B6F" w:rsidRDefault="00CE5B6F" w:rsidP="00CF7285">
            <w:pPr>
              <w:pStyle w:val="NormalWeb"/>
              <w:spacing w:before="0" w:beforeAutospacing="0" w:after="0" w:afterAutospacing="0"/>
              <w:jc w:val="both"/>
            </w:pPr>
          </w:p>
          <w:p w:rsidR="00CE5B6F" w:rsidRDefault="00CE5B6F" w:rsidP="00CF7285">
            <w:pPr>
              <w:pStyle w:val="NormalWeb"/>
              <w:spacing w:before="0" w:beforeAutospacing="0" w:after="0" w:afterAutospacing="0"/>
              <w:jc w:val="both"/>
              <w:rPr>
                <w:lang w:eastAsia="lv-LV"/>
              </w:rPr>
            </w:pPr>
            <w:proofErr w:type="spellStart"/>
            <w:r w:rsidRPr="00C95ADC">
              <w:rPr>
                <w:lang w:eastAsia="lv-LV"/>
              </w:rPr>
              <w:t>Noteikumu</w:t>
            </w:r>
            <w:proofErr w:type="spellEnd"/>
            <w:r w:rsidRPr="00C95ADC">
              <w:rPr>
                <w:lang w:eastAsia="lv-LV"/>
              </w:rPr>
              <w:t xml:space="preserve"> </w:t>
            </w:r>
            <w:proofErr w:type="spellStart"/>
            <w:r w:rsidRPr="00C95ADC">
              <w:rPr>
                <w:lang w:eastAsia="lv-LV"/>
              </w:rPr>
              <w:t>projekts</w:t>
            </w:r>
            <w:proofErr w:type="spellEnd"/>
            <w:r w:rsidRPr="00C95ADC">
              <w:rPr>
                <w:bCs/>
                <w:lang w:eastAsia="lv-LV"/>
              </w:rPr>
              <w:t xml:space="preserve"> </w:t>
            </w:r>
            <w:r w:rsidRPr="00C95ADC">
              <w:rPr>
                <w:lang w:eastAsia="lv-LV"/>
              </w:rPr>
              <w:t>2016.</w:t>
            </w:r>
            <w:r w:rsidRPr="00FF158D">
              <w:rPr>
                <w:lang w:eastAsia="lv-LV"/>
              </w:rPr>
              <w:t xml:space="preserve">gada </w:t>
            </w:r>
            <w:r w:rsidR="008243A6">
              <w:rPr>
                <w:lang w:eastAsia="lv-LV"/>
              </w:rPr>
              <w:t>14</w:t>
            </w:r>
            <w:r w:rsidRPr="00FF158D">
              <w:rPr>
                <w:lang w:eastAsia="lv-LV"/>
              </w:rPr>
              <w:t>.</w:t>
            </w:r>
            <w:r w:rsidR="008243A6">
              <w:rPr>
                <w:lang w:eastAsia="lv-LV"/>
              </w:rPr>
              <w:t>aprīlī</w:t>
            </w:r>
            <w:r w:rsidRPr="00C95ADC">
              <w:rPr>
                <w:lang w:eastAsia="lv-LV"/>
              </w:rPr>
              <w:t xml:space="preserve"> </w:t>
            </w:r>
            <w:proofErr w:type="spellStart"/>
            <w:r w:rsidRPr="00C95ADC">
              <w:rPr>
                <w:lang w:eastAsia="lv-LV"/>
              </w:rPr>
              <w:t>ievietots</w:t>
            </w:r>
            <w:proofErr w:type="spellEnd"/>
            <w:r w:rsidRPr="00C95ADC">
              <w:rPr>
                <w:lang w:eastAsia="lv-LV"/>
              </w:rPr>
              <w:t xml:space="preserve"> </w:t>
            </w:r>
            <w:proofErr w:type="spellStart"/>
            <w:r w:rsidRPr="00C95ADC">
              <w:rPr>
                <w:lang w:eastAsia="lv-LV"/>
              </w:rPr>
              <w:t>Ministrijas</w:t>
            </w:r>
            <w:proofErr w:type="spellEnd"/>
            <w:r w:rsidRPr="00C95ADC">
              <w:rPr>
                <w:lang w:eastAsia="lv-LV"/>
              </w:rPr>
              <w:t xml:space="preserve"> </w:t>
            </w:r>
            <w:proofErr w:type="spellStart"/>
            <w:r w:rsidRPr="00C95ADC">
              <w:rPr>
                <w:lang w:eastAsia="lv-LV"/>
              </w:rPr>
              <w:t>tīmekļa</w:t>
            </w:r>
            <w:proofErr w:type="spellEnd"/>
            <w:r w:rsidRPr="00C95ADC">
              <w:rPr>
                <w:lang w:eastAsia="lv-LV"/>
              </w:rPr>
              <w:t xml:space="preserve"> </w:t>
            </w:r>
            <w:proofErr w:type="spellStart"/>
            <w:r w:rsidRPr="00C95ADC">
              <w:rPr>
                <w:lang w:eastAsia="lv-LV"/>
              </w:rPr>
              <w:t>vietnē</w:t>
            </w:r>
            <w:proofErr w:type="spellEnd"/>
            <w:r w:rsidRPr="00C95ADC">
              <w:rPr>
                <w:lang w:eastAsia="lv-LV"/>
              </w:rPr>
              <w:t xml:space="preserve">: www.varam.gov.lv </w:t>
            </w:r>
            <w:proofErr w:type="spellStart"/>
            <w:r w:rsidRPr="00C95ADC">
              <w:rPr>
                <w:lang w:eastAsia="lv-LV"/>
              </w:rPr>
              <w:t>sadaļā</w:t>
            </w:r>
            <w:proofErr w:type="spellEnd"/>
            <w:r w:rsidRPr="00C95ADC">
              <w:rPr>
                <w:lang w:eastAsia="lv-LV"/>
              </w:rPr>
              <w:t xml:space="preserve"> „</w:t>
            </w:r>
            <w:proofErr w:type="spellStart"/>
            <w:r w:rsidRPr="00C95ADC">
              <w:rPr>
                <w:lang w:eastAsia="lv-LV"/>
              </w:rPr>
              <w:t>Sabiedrības</w:t>
            </w:r>
            <w:proofErr w:type="spellEnd"/>
            <w:r w:rsidRPr="00C95ADC">
              <w:rPr>
                <w:lang w:eastAsia="lv-LV"/>
              </w:rPr>
              <w:t xml:space="preserve"> </w:t>
            </w:r>
            <w:proofErr w:type="spellStart"/>
            <w:r w:rsidRPr="00C95ADC">
              <w:rPr>
                <w:lang w:eastAsia="lv-LV"/>
              </w:rPr>
              <w:t>līdzdalība</w:t>
            </w:r>
            <w:proofErr w:type="spellEnd"/>
            <w:r w:rsidRPr="00C95ADC">
              <w:rPr>
                <w:lang w:eastAsia="lv-LV"/>
              </w:rPr>
              <w:t xml:space="preserve">”, </w:t>
            </w:r>
            <w:proofErr w:type="spellStart"/>
            <w:r w:rsidRPr="00C95ADC">
              <w:rPr>
                <w:lang w:eastAsia="lv-LV"/>
              </w:rPr>
              <w:t>aicinot</w:t>
            </w:r>
            <w:proofErr w:type="spellEnd"/>
            <w:r w:rsidRPr="00C95ADC">
              <w:rPr>
                <w:lang w:eastAsia="lv-LV"/>
              </w:rPr>
              <w:t xml:space="preserve"> </w:t>
            </w:r>
            <w:proofErr w:type="spellStart"/>
            <w:r w:rsidRPr="00C95ADC">
              <w:rPr>
                <w:lang w:eastAsia="lv-LV"/>
              </w:rPr>
              <w:t>sabiedrību</w:t>
            </w:r>
            <w:proofErr w:type="spellEnd"/>
            <w:r w:rsidRPr="00C95ADC">
              <w:rPr>
                <w:lang w:eastAsia="lv-LV"/>
              </w:rPr>
              <w:t xml:space="preserve"> </w:t>
            </w:r>
            <w:proofErr w:type="spellStart"/>
            <w:r w:rsidRPr="00C95ADC">
              <w:rPr>
                <w:lang w:eastAsia="lv-LV"/>
              </w:rPr>
              <w:t>izteikt</w:t>
            </w:r>
            <w:proofErr w:type="spellEnd"/>
            <w:r w:rsidRPr="00C95ADC">
              <w:rPr>
                <w:lang w:eastAsia="lv-LV"/>
              </w:rPr>
              <w:t xml:space="preserve"> </w:t>
            </w:r>
            <w:proofErr w:type="spellStart"/>
            <w:r w:rsidRPr="00C95ADC">
              <w:rPr>
                <w:lang w:eastAsia="lv-LV"/>
              </w:rPr>
              <w:t>viedokli</w:t>
            </w:r>
            <w:proofErr w:type="spellEnd"/>
            <w:r w:rsidRPr="00C95ADC">
              <w:rPr>
                <w:lang w:eastAsia="lv-LV"/>
              </w:rPr>
              <w:t>.</w:t>
            </w:r>
          </w:p>
          <w:p w:rsidR="00CE5B6F" w:rsidRPr="00B67103" w:rsidRDefault="00CE5B6F" w:rsidP="00CF7285">
            <w:pPr>
              <w:pStyle w:val="NormalWeb"/>
              <w:spacing w:before="0" w:beforeAutospacing="0" w:after="0" w:afterAutospacing="0"/>
              <w:jc w:val="both"/>
            </w:pPr>
          </w:p>
        </w:tc>
      </w:tr>
      <w:tr w:rsidR="00895374" w:rsidRPr="00B67103" w:rsidTr="009D4C5B">
        <w:tc>
          <w:tcPr>
            <w:tcW w:w="242" w:type="pct"/>
            <w:tcBorders>
              <w:top w:val="outset" w:sz="6" w:space="0" w:color="000000"/>
              <w:left w:val="outset" w:sz="6" w:space="0" w:color="000000"/>
              <w:bottom w:val="outset" w:sz="6" w:space="0" w:color="000000"/>
              <w:right w:val="outset" w:sz="6" w:space="0" w:color="000000"/>
            </w:tcBorders>
            <w:hideMark/>
          </w:tcPr>
          <w:p w:rsidR="00895374" w:rsidRPr="00B67103" w:rsidRDefault="00895374" w:rsidP="00CF7285">
            <w:pPr>
              <w:pStyle w:val="NormalWeb"/>
              <w:spacing w:before="0" w:beforeAutospacing="0" w:after="0" w:afterAutospacing="0"/>
            </w:pPr>
            <w:r w:rsidRPr="00B67103">
              <w:t>3.</w:t>
            </w:r>
          </w:p>
        </w:tc>
        <w:tc>
          <w:tcPr>
            <w:tcW w:w="1954" w:type="pct"/>
            <w:tcBorders>
              <w:top w:val="outset" w:sz="6" w:space="0" w:color="000000"/>
              <w:left w:val="outset" w:sz="6" w:space="0" w:color="000000"/>
              <w:bottom w:val="outset" w:sz="6" w:space="0" w:color="000000"/>
              <w:right w:val="outset" w:sz="6" w:space="0" w:color="000000"/>
            </w:tcBorders>
            <w:hideMark/>
          </w:tcPr>
          <w:p w:rsidR="00895374" w:rsidRPr="00B67103" w:rsidRDefault="00895374" w:rsidP="00CF7285">
            <w:pPr>
              <w:pStyle w:val="NormalWeb"/>
              <w:spacing w:before="0" w:beforeAutospacing="0" w:after="0" w:afterAutospacing="0"/>
            </w:pPr>
            <w:proofErr w:type="spellStart"/>
            <w:r w:rsidRPr="00B67103">
              <w:t>Sabiedrības</w:t>
            </w:r>
            <w:proofErr w:type="spellEnd"/>
            <w:r w:rsidRPr="00B67103">
              <w:t xml:space="preserve"> </w:t>
            </w:r>
            <w:proofErr w:type="spellStart"/>
            <w:r w:rsidRPr="00B67103">
              <w:t>līdzdalības</w:t>
            </w:r>
            <w:proofErr w:type="spellEnd"/>
            <w:r w:rsidRPr="00B67103">
              <w:t xml:space="preserve"> </w:t>
            </w:r>
            <w:proofErr w:type="spellStart"/>
            <w:r w:rsidRPr="00B67103">
              <w:t>rezultāti</w:t>
            </w:r>
            <w:proofErr w:type="spellEnd"/>
          </w:p>
        </w:tc>
        <w:tc>
          <w:tcPr>
            <w:tcW w:w="2804" w:type="pct"/>
            <w:tcBorders>
              <w:top w:val="outset" w:sz="6" w:space="0" w:color="000000"/>
              <w:left w:val="outset" w:sz="6" w:space="0" w:color="000000"/>
              <w:bottom w:val="outset" w:sz="6" w:space="0" w:color="000000"/>
              <w:right w:val="outset" w:sz="6" w:space="0" w:color="000000"/>
            </w:tcBorders>
          </w:tcPr>
          <w:p w:rsidR="00895374" w:rsidRPr="00B67103" w:rsidRDefault="00CE5B6F" w:rsidP="00CF7285">
            <w:pPr>
              <w:pStyle w:val="NormalWeb"/>
              <w:spacing w:before="0" w:beforeAutospacing="0" w:after="0" w:afterAutospacing="0"/>
              <w:jc w:val="both"/>
            </w:pPr>
            <w:proofErr w:type="spellStart"/>
            <w:r w:rsidRPr="00C95ADC">
              <w:t>Sadaļa</w:t>
            </w:r>
            <w:proofErr w:type="spellEnd"/>
            <w:r w:rsidRPr="00C95ADC">
              <w:t xml:space="preserve"> </w:t>
            </w:r>
            <w:proofErr w:type="spellStart"/>
            <w:r w:rsidRPr="00C95ADC">
              <w:t>tiks</w:t>
            </w:r>
            <w:proofErr w:type="spellEnd"/>
            <w:r w:rsidRPr="00C95ADC">
              <w:t xml:space="preserve"> </w:t>
            </w:r>
            <w:proofErr w:type="spellStart"/>
            <w:r w:rsidRPr="00C95ADC">
              <w:t>precizēta</w:t>
            </w:r>
            <w:proofErr w:type="spellEnd"/>
            <w:r w:rsidRPr="00C95ADC">
              <w:t xml:space="preserve"> </w:t>
            </w:r>
            <w:proofErr w:type="spellStart"/>
            <w:r w:rsidRPr="00C95ADC">
              <w:t>pēc</w:t>
            </w:r>
            <w:proofErr w:type="spellEnd"/>
            <w:r w:rsidRPr="00C95ADC">
              <w:t xml:space="preserve"> </w:t>
            </w:r>
            <w:proofErr w:type="spellStart"/>
            <w:r w:rsidRPr="00C95ADC">
              <w:t>sabiedrības</w:t>
            </w:r>
            <w:proofErr w:type="spellEnd"/>
            <w:r w:rsidRPr="00C95ADC">
              <w:t xml:space="preserve"> </w:t>
            </w:r>
            <w:proofErr w:type="spellStart"/>
            <w:r w:rsidRPr="00C95ADC">
              <w:t>viedokļu</w:t>
            </w:r>
            <w:proofErr w:type="spellEnd"/>
            <w:r w:rsidRPr="00C95ADC">
              <w:t xml:space="preserve"> </w:t>
            </w:r>
            <w:proofErr w:type="spellStart"/>
            <w:r w:rsidRPr="00C95ADC">
              <w:t>saņemšanas</w:t>
            </w:r>
            <w:proofErr w:type="spellEnd"/>
            <w:r>
              <w:t>.</w:t>
            </w:r>
          </w:p>
        </w:tc>
      </w:tr>
      <w:tr w:rsidR="00895374" w:rsidRPr="00B67103" w:rsidTr="009D4C5B">
        <w:tc>
          <w:tcPr>
            <w:tcW w:w="242" w:type="pct"/>
            <w:tcBorders>
              <w:top w:val="outset" w:sz="6" w:space="0" w:color="000000"/>
              <w:left w:val="outset" w:sz="6" w:space="0" w:color="000000"/>
              <w:bottom w:val="outset" w:sz="6" w:space="0" w:color="000000"/>
              <w:right w:val="outset" w:sz="6" w:space="0" w:color="000000"/>
            </w:tcBorders>
            <w:hideMark/>
          </w:tcPr>
          <w:p w:rsidR="00895374" w:rsidRPr="00B67103" w:rsidRDefault="00895374" w:rsidP="00CF7285">
            <w:pPr>
              <w:pStyle w:val="NormalWeb"/>
              <w:spacing w:before="0" w:beforeAutospacing="0" w:after="0" w:afterAutospacing="0"/>
            </w:pPr>
            <w:r w:rsidRPr="00B67103">
              <w:t>4.</w:t>
            </w:r>
          </w:p>
        </w:tc>
        <w:tc>
          <w:tcPr>
            <w:tcW w:w="1954" w:type="pct"/>
            <w:tcBorders>
              <w:top w:val="outset" w:sz="6" w:space="0" w:color="000000"/>
              <w:left w:val="outset" w:sz="6" w:space="0" w:color="000000"/>
              <w:bottom w:val="outset" w:sz="6" w:space="0" w:color="000000"/>
              <w:right w:val="outset" w:sz="6" w:space="0" w:color="000000"/>
            </w:tcBorders>
            <w:hideMark/>
          </w:tcPr>
          <w:p w:rsidR="00895374" w:rsidRPr="00B67103" w:rsidRDefault="00895374" w:rsidP="00CF7285">
            <w:pPr>
              <w:pStyle w:val="NormalWeb"/>
              <w:spacing w:before="0" w:beforeAutospacing="0" w:after="0" w:afterAutospacing="0"/>
            </w:pPr>
            <w:proofErr w:type="spellStart"/>
            <w:r w:rsidRPr="00B67103">
              <w:t>Cita</w:t>
            </w:r>
            <w:proofErr w:type="spellEnd"/>
            <w:r w:rsidRPr="00B67103">
              <w:t xml:space="preserve"> </w:t>
            </w:r>
            <w:proofErr w:type="spellStart"/>
            <w:r w:rsidRPr="00B67103">
              <w:t>informācija</w:t>
            </w:r>
            <w:proofErr w:type="spellEnd"/>
          </w:p>
        </w:tc>
        <w:tc>
          <w:tcPr>
            <w:tcW w:w="2804" w:type="pct"/>
            <w:tcBorders>
              <w:top w:val="outset" w:sz="6" w:space="0" w:color="000000"/>
              <w:left w:val="outset" w:sz="6" w:space="0" w:color="000000"/>
              <w:bottom w:val="outset" w:sz="6" w:space="0" w:color="000000"/>
              <w:right w:val="outset" w:sz="6" w:space="0" w:color="000000"/>
            </w:tcBorders>
          </w:tcPr>
          <w:p w:rsidR="00895374" w:rsidRPr="00B67103" w:rsidRDefault="00895374" w:rsidP="00CD4214">
            <w:pPr>
              <w:pStyle w:val="NormalWeb"/>
              <w:spacing w:before="0" w:beforeAutospacing="0" w:after="0" w:afterAutospacing="0"/>
            </w:pPr>
            <w:proofErr w:type="spellStart"/>
            <w:r w:rsidRPr="00B67103">
              <w:t>Nav</w:t>
            </w:r>
            <w:proofErr w:type="spellEnd"/>
          </w:p>
        </w:tc>
      </w:tr>
    </w:tbl>
    <w:p w:rsidR="00895374" w:rsidRDefault="00895374" w:rsidP="00895374">
      <w:pPr>
        <w:pStyle w:val="naisc"/>
        <w:spacing w:before="0" w:after="0"/>
      </w:pPr>
    </w:p>
    <w:tbl>
      <w:tblPr>
        <w:tblW w:w="9363" w:type="dxa"/>
        <w:tblInd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firstRow="0" w:lastRow="0" w:firstColumn="0" w:lastColumn="0" w:noHBand="0" w:noVBand="0"/>
      </w:tblPr>
      <w:tblGrid>
        <w:gridCol w:w="471"/>
        <w:gridCol w:w="3931"/>
        <w:gridCol w:w="4961"/>
      </w:tblGrid>
      <w:tr w:rsidR="00895374" w:rsidRPr="00E030F4" w:rsidTr="00077095">
        <w:tc>
          <w:tcPr>
            <w:tcW w:w="9363" w:type="dxa"/>
            <w:gridSpan w:val="3"/>
            <w:tcBorders>
              <w:top w:val="outset" w:sz="6" w:space="0" w:color="000000"/>
              <w:left w:val="outset" w:sz="6" w:space="0" w:color="000000"/>
              <w:bottom w:val="outset" w:sz="6" w:space="0" w:color="000000"/>
              <w:right w:val="outset" w:sz="6" w:space="0" w:color="000000"/>
            </w:tcBorders>
          </w:tcPr>
          <w:p w:rsidR="00895374" w:rsidRPr="00E030F4" w:rsidRDefault="00895374" w:rsidP="00CF7285">
            <w:pPr>
              <w:spacing w:before="100" w:beforeAutospacing="1" w:after="100" w:afterAutospacing="1"/>
              <w:jc w:val="center"/>
              <w:rPr>
                <w:b/>
                <w:bCs/>
              </w:rPr>
            </w:pPr>
            <w:r w:rsidRPr="00E030F4">
              <w:rPr>
                <w:b/>
                <w:bCs/>
              </w:rPr>
              <w:t>VII. Tiesību akta projekta izpildes nodrošināšana un tās ietekme uz institūcijām</w:t>
            </w:r>
          </w:p>
        </w:tc>
      </w:tr>
      <w:tr w:rsidR="00895374" w:rsidRPr="00E030F4" w:rsidTr="00077095">
        <w:tc>
          <w:tcPr>
            <w:tcW w:w="471" w:type="dxa"/>
            <w:tcBorders>
              <w:top w:val="outset" w:sz="6" w:space="0" w:color="000000"/>
              <w:left w:val="outset" w:sz="6" w:space="0" w:color="000000"/>
              <w:bottom w:val="outset" w:sz="6" w:space="0" w:color="000000"/>
              <w:right w:val="outset" w:sz="6" w:space="0" w:color="000000"/>
            </w:tcBorders>
          </w:tcPr>
          <w:p w:rsidR="00895374" w:rsidRPr="00E030F4" w:rsidRDefault="00895374" w:rsidP="00CF7285">
            <w:pPr>
              <w:spacing w:before="100" w:beforeAutospacing="1" w:after="100" w:afterAutospacing="1"/>
            </w:pPr>
            <w:r w:rsidRPr="00E030F4">
              <w:t>1.</w:t>
            </w:r>
          </w:p>
        </w:tc>
        <w:tc>
          <w:tcPr>
            <w:tcW w:w="3931" w:type="dxa"/>
            <w:tcBorders>
              <w:top w:val="outset" w:sz="6" w:space="0" w:color="000000"/>
              <w:left w:val="outset" w:sz="6" w:space="0" w:color="000000"/>
              <w:bottom w:val="outset" w:sz="6" w:space="0" w:color="000000"/>
              <w:right w:val="outset" w:sz="6" w:space="0" w:color="000000"/>
            </w:tcBorders>
          </w:tcPr>
          <w:p w:rsidR="00895374" w:rsidRPr="00E030F4" w:rsidRDefault="00895374" w:rsidP="00CF7285">
            <w:pPr>
              <w:spacing w:before="100" w:beforeAutospacing="1" w:after="100" w:afterAutospacing="1"/>
            </w:pPr>
            <w:r w:rsidRPr="00E030F4">
              <w:t>Projekta izpildē iesaistītās institūcijas</w:t>
            </w:r>
          </w:p>
        </w:tc>
        <w:tc>
          <w:tcPr>
            <w:tcW w:w="4961" w:type="dxa"/>
            <w:tcBorders>
              <w:top w:val="outset" w:sz="6" w:space="0" w:color="000000"/>
              <w:left w:val="outset" w:sz="6" w:space="0" w:color="000000"/>
              <w:bottom w:val="outset" w:sz="6" w:space="0" w:color="000000"/>
              <w:right w:val="outset" w:sz="6" w:space="0" w:color="000000"/>
            </w:tcBorders>
          </w:tcPr>
          <w:p w:rsidR="00244349" w:rsidRPr="002821DE" w:rsidRDefault="00244349" w:rsidP="00244349">
            <w:pPr>
              <w:spacing w:before="100" w:beforeAutospacing="1" w:after="100" w:afterAutospacing="1"/>
            </w:pPr>
            <w:r>
              <w:t>Sabiedrisko pakalpojumu regulēšanas komisija,</w:t>
            </w:r>
            <w:r w:rsidRPr="0012182F">
              <w:t xml:space="preserve"> Valsts akciju sabiedrīb</w:t>
            </w:r>
            <w:r>
              <w:t>a</w:t>
            </w:r>
            <w:r w:rsidRPr="0012182F">
              <w:t xml:space="preserve"> „Elektronisk</w:t>
            </w:r>
            <w:r>
              <w:t>ie s</w:t>
            </w:r>
            <w:r w:rsidRPr="0012182F">
              <w:t>akar</w:t>
            </w:r>
            <w:r>
              <w:t>i</w:t>
            </w:r>
            <w:r w:rsidRPr="0012182F">
              <w:t>”</w:t>
            </w:r>
            <w:r>
              <w:t>.</w:t>
            </w:r>
          </w:p>
        </w:tc>
      </w:tr>
      <w:tr w:rsidR="00895374" w:rsidRPr="00E030F4" w:rsidTr="00077095">
        <w:tc>
          <w:tcPr>
            <w:tcW w:w="471" w:type="dxa"/>
            <w:tcBorders>
              <w:top w:val="outset" w:sz="6" w:space="0" w:color="000000"/>
              <w:left w:val="outset" w:sz="6" w:space="0" w:color="000000"/>
              <w:bottom w:val="outset" w:sz="6" w:space="0" w:color="000000"/>
              <w:right w:val="outset" w:sz="6" w:space="0" w:color="000000"/>
            </w:tcBorders>
          </w:tcPr>
          <w:p w:rsidR="00895374" w:rsidRPr="00E030F4" w:rsidRDefault="00895374" w:rsidP="00CF7285">
            <w:r w:rsidRPr="00E030F4">
              <w:t>2.</w:t>
            </w:r>
          </w:p>
        </w:tc>
        <w:tc>
          <w:tcPr>
            <w:tcW w:w="3931" w:type="dxa"/>
            <w:tcBorders>
              <w:top w:val="outset" w:sz="6" w:space="0" w:color="000000"/>
              <w:left w:val="outset" w:sz="6" w:space="0" w:color="000000"/>
              <w:bottom w:val="outset" w:sz="6" w:space="0" w:color="000000"/>
              <w:right w:val="outset" w:sz="6" w:space="0" w:color="000000"/>
            </w:tcBorders>
          </w:tcPr>
          <w:p w:rsidR="00895374" w:rsidRDefault="00895374" w:rsidP="00CF7285">
            <w:r w:rsidRPr="00E030F4">
              <w:t>Projekta izpildes ietekme uz pārvaldes funkcijām</w:t>
            </w:r>
            <w:r>
              <w:t xml:space="preserve"> un </w:t>
            </w:r>
            <w:r w:rsidRPr="00E030F4">
              <w:t>institucionālo struktūru</w:t>
            </w:r>
            <w:r>
              <w:t xml:space="preserve">. </w:t>
            </w:r>
          </w:p>
          <w:p w:rsidR="00895374" w:rsidRPr="00E030F4" w:rsidRDefault="00895374" w:rsidP="00CF7285">
            <w:r w:rsidRPr="00E030F4">
              <w:t>Jaunu institūciju izveide</w:t>
            </w:r>
            <w:r>
              <w:t>, e</w:t>
            </w:r>
            <w:r w:rsidRPr="00E030F4">
              <w:t>sošu institūciju likvidācija</w:t>
            </w:r>
            <w:r>
              <w:t xml:space="preserve"> vai reorganizācija, to ietekme uz institūcijas cilvēkresursiem</w:t>
            </w:r>
          </w:p>
        </w:tc>
        <w:tc>
          <w:tcPr>
            <w:tcW w:w="4961" w:type="dxa"/>
            <w:tcBorders>
              <w:top w:val="outset" w:sz="6" w:space="0" w:color="000000"/>
              <w:left w:val="outset" w:sz="6" w:space="0" w:color="000000"/>
              <w:bottom w:val="outset" w:sz="6" w:space="0" w:color="000000"/>
              <w:right w:val="outset" w:sz="6" w:space="0" w:color="000000"/>
            </w:tcBorders>
          </w:tcPr>
          <w:p w:rsidR="00895374" w:rsidRDefault="00895374" w:rsidP="00CF7285">
            <w:pPr>
              <w:rPr>
                <w:color w:val="000000"/>
              </w:rPr>
            </w:pPr>
            <w:r w:rsidRPr="00D736EE">
              <w:rPr>
                <w:color w:val="000000"/>
              </w:rPr>
              <w:t>Nav ietekmes.</w:t>
            </w:r>
            <w:r>
              <w:rPr>
                <w:color w:val="000000"/>
              </w:rPr>
              <w:t xml:space="preserve"> </w:t>
            </w:r>
          </w:p>
          <w:p w:rsidR="00895374" w:rsidRDefault="00895374" w:rsidP="00CF7285">
            <w:pPr>
              <w:rPr>
                <w:color w:val="000000"/>
              </w:rPr>
            </w:pPr>
          </w:p>
          <w:p w:rsidR="00895374" w:rsidRPr="002821DE" w:rsidRDefault="00895374" w:rsidP="00CF7285">
            <w:r w:rsidRPr="002821DE">
              <w:rPr>
                <w:color w:val="000000"/>
              </w:rPr>
              <w:t>Projekts nemaina iesaistīto institūciju kompetenci</w:t>
            </w:r>
            <w:r w:rsidRPr="002821DE">
              <w:t>.</w:t>
            </w:r>
            <w:r w:rsidRPr="002821DE">
              <w:rPr>
                <w:color w:val="000000"/>
              </w:rPr>
              <w:t xml:space="preserve"> Institūcijas netiek likvidētas</w:t>
            </w:r>
            <w:r>
              <w:rPr>
                <w:color w:val="000000"/>
              </w:rPr>
              <w:t xml:space="preserve"> vai</w:t>
            </w:r>
            <w:r w:rsidRPr="002821DE">
              <w:rPr>
                <w:color w:val="000000"/>
              </w:rPr>
              <w:t xml:space="preserve"> reorganizētas.</w:t>
            </w:r>
          </w:p>
        </w:tc>
      </w:tr>
      <w:tr w:rsidR="00895374" w:rsidRPr="00E030F4" w:rsidTr="00077095">
        <w:tc>
          <w:tcPr>
            <w:tcW w:w="471" w:type="dxa"/>
            <w:tcBorders>
              <w:top w:val="outset" w:sz="6" w:space="0" w:color="000000"/>
              <w:left w:val="outset" w:sz="6" w:space="0" w:color="000000"/>
              <w:bottom w:val="outset" w:sz="6" w:space="0" w:color="000000"/>
              <w:right w:val="outset" w:sz="6" w:space="0" w:color="000000"/>
            </w:tcBorders>
          </w:tcPr>
          <w:p w:rsidR="00895374" w:rsidRPr="00E030F4" w:rsidRDefault="00895374" w:rsidP="00CF7285">
            <w:pPr>
              <w:spacing w:before="100" w:beforeAutospacing="1" w:after="100" w:afterAutospacing="1"/>
            </w:pPr>
            <w:r>
              <w:t>3</w:t>
            </w:r>
            <w:r w:rsidRPr="00E030F4">
              <w:t>.</w:t>
            </w:r>
          </w:p>
        </w:tc>
        <w:tc>
          <w:tcPr>
            <w:tcW w:w="3931" w:type="dxa"/>
            <w:tcBorders>
              <w:top w:val="outset" w:sz="6" w:space="0" w:color="000000"/>
              <w:left w:val="outset" w:sz="6" w:space="0" w:color="000000"/>
              <w:bottom w:val="outset" w:sz="6" w:space="0" w:color="000000"/>
              <w:right w:val="outset" w:sz="6" w:space="0" w:color="000000"/>
            </w:tcBorders>
          </w:tcPr>
          <w:p w:rsidR="00895374" w:rsidRPr="00E030F4" w:rsidRDefault="00895374" w:rsidP="00CF7285">
            <w:pPr>
              <w:spacing w:before="100" w:beforeAutospacing="1" w:after="100" w:afterAutospacing="1"/>
            </w:pPr>
            <w:r w:rsidRPr="00E030F4">
              <w:t>Cita informācija</w:t>
            </w:r>
          </w:p>
        </w:tc>
        <w:tc>
          <w:tcPr>
            <w:tcW w:w="4961" w:type="dxa"/>
            <w:tcBorders>
              <w:top w:val="outset" w:sz="6" w:space="0" w:color="000000"/>
              <w:left w:val="outset" w:sz="6" w:space="0" w:color="000000"/>
              <w:bottom w:val="outset" w:sz="6" w:space="0" w:color="000000"/>
              <w:right w:val="outset" w:sz="6" w:space="0" w:color="000000"/>
            </w:tcBorders>
          </w:tcPr>
          <w:p w:rsidR="00895374" w:rsidRPr="002821DE" w:rsidRDefault="00895374" w:rsidP="000429A3">
            <w:pPr>
              <w:spacing w:before="100" w:beforeAutospacing="1" w:after="100" w:afterAutospacing="1"/>
            </w:pPr>
            <w:r w:rsidRPr="002821DE">
              <w:t>Nav</w:t>
            </w:r>
          </w:p>
        </w:tc>
      </w:tr>
    </w:tbl>
    <w:p w:rsidR="00895374" w:rsidRDefault="00895374" w:rsidP="00895374">
      <w:pPr>
        <w:tabs>
          <w:tab w:val="right" w:pos="8306"/>
        </w:tabs>
      </w:pPr>
    </w:p>
    <w:p w:rsidR="00077095" w:rsidRDefault="00077095" w:rsidP="00895374">
      <w:pPr>
        <w:tabs>
          <w:tab w:val="right" w:pos="8306"/>
        </w:tabs>
      </w:pPr>
    </w:p>
    <w:p w:rsidR="00895374" w:rsidRDefault="00895374" w:rsidP="00895374">
      <w:pPr>
        <w:tabs>
          <w:tab w:val="right" w:pos="8306"/>
        </w:tabs>
      </w:pPr>
      <w:r w:rsidRPr="00CE70FA">
        <w:t xml:space="preserve">Anotācijas </w:t>
      </w:r>
      <w:r w:rsidR="005D0541">
        <w:t xml:space="preserve">III </w:t>
      </w:r>
      <w:r w:rsidRPr="00CE70FA">
        <w:t>sadaļa – projekts šīs jomas neskar.</w:t>
      </w:r>
    </w:p>
    <w:p w:rsidR="00895374" w:rsidRPr="00103374" w:rsidRDefault="00895374" w:rsidP="00895374">
      <w:pPr>
        <w:pStyle w:val="naisf"/>
        <w:spacing w:before="0" w:after="0"/>
        <w:ind w:firstLine="0"/>
      </w:pPr>
    </w:p>
    <w:p w:rsidR="00A25251" w:rsidRPr="00326226" w:rsidRDefault="00A25251" w:rsidP="00A25251">
      <w:pPr>
        <w:tabs>
          <w:tab w:val="left" w:pos="6804"/>
        </w:tabs>
      </w:pPr>
      <w:r w:rsidRPr="00326226">
        <w:t xml:space="preserve">Vides aizsardzības un </w:t>
      </w:r>
    </w:p>
    <w:p w:rsidR="00A25251" w:rsidRPr="00326226" w:rsidRDefault="00A25251" w:rsidP="00A25251">
      <w:pPr>
        <w:tabs>
          <w:tab w:val="left" w:pos="6804"/>
        </w:tabs>
      </w:pPr>
      <w:r w:rsidRPr="00326226">
        <w:t>reģionālās attīstības ministrs</w:t>
      </w:r>
      <w:r w:rsidRPr="00326226">
        <w:tab/>
      </w:r>
      <w:r w:rsidRPr="00326226">
        <w:tab/>
        <w:t>K.Gerhards</w:t>
      </w:r>
    </w:p>
    <w:p w:rsidR="00A25251" w:rsidRPr="00326226" w:rsidRDefault="00A25251" w:rsidP="00A25251">
      <w:pPr>
        <w:tabs>
          <w:tab w:val="left" w:pos="6804"/>
        </w:tabs>
        <w:ind w:firstLine="720"/>
      </w:pPr>
    </w:p>
    <w:p w:rsidR="00A25251" w:rsidRPr="00326226" w:rsidRDefault="00A25251" w:rsidP="00A25251">
      <w:pPr>
        <w:tabs>
          <w:tab w:val="left" w:pos="6804"/>
        </w:tabs>
      </w:pPr>
      <w:r w:rsidRPr="00326226">
        <w:t xml:space="preserve">Vīza: </w:t>
      </w:r>
      <w:bookmarkStart w:id="1" w:name="_GoBack"/>
      <w:bookmarkEnd w:id="1"/>
    </w:p>
    <w:p w:rsidR="00A25251" w:rsidRPr="00326226" w:rsidRDefault="00A25251" w:rsidP="00A25251">
      <w:pPr>
        <w:tabs>
          <w:tab w:val="left" w:pos="6804"/>
        </w:tabs>
      </w:pPr>
      <w:r w:rsidRPr="00326226">
        <w:t>valsts sekretār</w:t>
      </w:r>
      <w:r>
        <w:t>s</w:t>
      </w:r>
      <w:r w:rsidRPr="00326226">
        <w:tab/>
      </w:r>
      <w:r w:rsidRPr="00326226">
        <w:tab/>
      </w:r>
      <w:r>
        <w:t xml:space="preserve"> R</w:t>
      </w:r>
      <w:r w:rsidRPr="00326226">
        <w:t>.</w:t>
      </w:r>
      <w:r>
        <w:t>Muciņš</w:t>
      </w:r>
    </w:p>
    <w:p w:rsidR="00895374" w:rsidRPr="00CE70FA" w:rsidRDefault="00895374" w:rsidP="00895374">
      <w:pPr>
        <w:tabs>
          <w:tab w:val="left" w:pos="6804"/>
        </w:tabs>
        <w:jc w:val="both"/>
      </w:pPr>
      <w:r>
        <w:tab/>
      </w:r>
    </w:p>
    <w:p w:rsidR="00895374" w:rsidRPr="003B20E1" w:rsidRDefault="00E91741" w:rsidP="00895374">
      <w:pPr>
        <w:tabs>
          <w:tab w:val="left" w:pos="2880"/>
        </w:tabs>
        <w:rPr>
          <w:iCs/>
          <w:sz w:val="20"/>
        </w:rPr>
      </w:pPr>
      <w:r w:rsidRPr="001D3502">
        <w:rPr>
          <w:iCs/>
          <w:sz w:val="20"/>
        </w:rPr>
        <w:t>1</w:t>
      </w:r>
      <w:r w:rsidR="001D3502" w:rsidRPr="001D3502">
        <w:rPr>
          <w:iCs/>
          <w:sz w:val="20"/>
        </w:rPr>
        <w:t>4</w:t>
      </w:r>
      <w:r w:rsidR="00895374" w:rsidRPr="001D3502">
        <w:rPr>
          <w:iCs/>
          <w:sz w:val="20"/>
        </w:rPr>
        <w:t>.0</w:t>
      </w:r>
      <w:r w:rsidR="001D3502" w:rsidRPr="001D3502">
        <w:rPr>
          <w:iCs/>
          <w:sz w:val="20"/>
        </w:rPr>
        <w:t>4</w:t>
      </w:r>
      <w:r w:rsidR="00895374" w:rsidRPr="001D3502">
        <w:rPr>
          <w:iCs/>
          <w:sz w:val="20"/>
        </w:rPr>
        <w:t>.201</w:t>
      </w:r>
      <w:r w:rsidR="00BC5FE8" w:rsidRPr="001D3502">
        <w:rPr>
          <w:iCs/>
          <w:sz w:val="20"/>
        </w:rPr>
        <w:t>6</w:t>
      </w:r>
      <w:r w:rsidR="00895374" w:rsidRPr="001D3502">
        <w:rPr>
          <w:iCs/>
          <w:sz w:val="20"/>
        </w:rPr>
        <w:t>.</w:t>
      </w:r>
      <w:r w:rsidR="00895374" w:rsidRPr="003B20E1">
        <w:rPr>
          <w:iCs/>
          <w:sz w:val="20"/>
        </w:rPr>
        <w:t xml:space="preserve"> </w:t>
      </w:r>
    </w:p>
    <w:p w:rsidR="00895374" w:rsidRDefault="00895374" w:rsidP="00895374">
      <w:pPr>
        <w:tabs>
          <w:tab w:val="left" w:pos="2880"/>
        </w:tabs>
        <w:rPr>
          <w:iCs/>
          <w:sz w:val="20"/>
        </w:rPr>
      </w:pPr>
      <w:r w:rsidRPr="003B20E1">
        <w:rPr>
          <w:iCs/>
          <w:sz w:val="20"/>
        </w:rPr>
        <w:fldChar w:fldCharType="begin"/>
      </w:r>
      <w:r w:rsidRPr="003B20E1">
        <w:rPr>
          <w:iCs/>
          <w:sz w:val="20"/>
        </w:rPr>
        <w:instrText xml:space="preserve"> NUMWORDS   \* MERGEFORMAT </w:instrText>
      </w:r>
      <w:r w:rsidRPr="003B20E1">
        <w:rPr>
          <w:iCs/>
          <w:sz w:val="20"/>
        </w:rPr>
        <w:fldChar w:fldCharType="separate"/>
      </w:r>
      <w:r w:rsidR="00CE5D85">
        <w:rPr>
          <w:iCs/>
          <w:noProof/>
          <w:sz w:val="20"/>
        </w:rPr>
        <w:t>1684</w:t>
      </w:r>
      <w:r w:rsidRPr="003B20E1">
        <w:rPr>
          <w:iCs/>
          <w:sz w:val="20"/>
        </w:rPr>
        <w:fldChar w:fldCharType="end"/>
      </w:r>
    </w:p>
    <w:p w:rsidR="00000023" w:rsidRDefault="00895374" w:rsidP="00895374">
      <w:r>
        <w:rPr>
          <w:iCs/>
          <w:sz w:val="20"/>
        </w:rPr>
        <w:t>A</w:t>
      </w:r>
      <w:r w:rsidRPr="00F50093">
        <w:rPr>
          <w:iCs/>
          <w:sz w:val="20"/>
        </w:rPr>
        <w:t>.</w:t>
      </w:r>
      <w:r>
        <w:rPr>
          <w:iCs/>
          <w:sz w:val="20"/>
        </w:rPr>
        <w:t xml:space="preserve">Vāvere, </w:t>
      </w:r>
      <w:r w:rsidRPr="00F50093">
        <w:rPr>
          <w:iCs/>
          <w:sz w:val="20"/>
        </w:rPr>
        <w:t>6</w:t>
      </w:r>
      <w:r>
        <w:rPr>
          <w:iCs/>
          <w:sz w:val="20"/>
        </w:rPr>
        <w:t xml:space="preserve">6016536, </w:t>
      </w:r>
      <w:hyperlink r:id="rId7" w:history="1">
        <w:r w:rsidRPr="00BA75D1">
          <w:rPr>
            <w:rStyle w:val="Hyperlink"/>
            <w:iCs/>
            <w:sz w:val="20"/>
          </w:rPr>
          <w:t>aija.vavere@varam.gov.lv</w:t>
        </w:r>
      </w:hyperlink>
    </w:p>
    <w:sectPr w:rsidR="00000023" w:rsidSect="00AC4AF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1BA" w:rsidRDefault="006451BA" w:rsidP="006451BA">
      <w:r>
        <w:separator/>
      </w:r>
    </w:p>
  </w:endnote>
  <w:endnote w:type="continuationSeparator" w:id="0">
    <w:p w:rsidR="006451BA" w:rsidRDefault="006451BA" w:rsidP="00645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502" w:rsidRDefault="001D35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1BA" w:rsidRPr="00AD6658" w:rsidRDefault="006451BA" w:rsidP="006451BA">
    <w:pPr>
      <w:pStyle w:val="Footer"/>
      <w:jc w:val="both"/>
      <w:rPr>
        <w:sz w:val="20"/>
      </w:rPr>
    </w:pPr>
    <w:r w:rsidRPr="00AD6658">
      <w:rPr>
        <w:sz w:val="20"/>
      </w:rPr>
      <w:fldChar w:fldCharType="begin"/>
    </w:r>
    <w:r w:rsidRPr="00AD6658">
      <w:rPr>
        <w:sz w:val="20"/>
      </w:rPr>
      <w:instrText xml:space="preserve"> FILENAME   \* MERGEFORMAT </w:instrText>
    </w:r>
    <w:r w:rsidRPr="00AD6658">
      <w:rPr>
        <w:sz w:val="20"/>
      </w:rPr>
      <w:fldChar w:fldCharType="separate"/>
    </w:r>
    <w:r w:rsidR="001D3502">
      <w:rPr>
        <w:noProof/>
        <w:sz w:val="20"/>
      </w:rPr>
      <w:t>VARAManot_140416_Radiofrekvenču plāns</w:t>
    </w:r>
    <w:r w:rsidRPr="00AD6658">
      <w:rPr>
        <w:sz w:val="20"/>
      </w:rPr>
      <w:fldChar w:fldCharType="end"/>
    </w:r>
    <w:r w:rsidRPr="00AD6658">
      <w:rPr>
        <w:sz w:val="20"/>
      </w:rPr>
      <w:t xml:space="preserve">; Ministru kabineta noteikumu projekta </w:t>
    </w:r>
    <w:r w:rsidRPr="00AD6658">
      <w:rPr>
        <w:bCs/>
        <w:sz w:val="20"/>
      </w:rPr>
      <w:t xml:space="preserve">„Grozījumi Ministru kabineta </w:t>
    </w:r>
    <w:proofErr w:type="gramStart"/>
    <w:r w:rsidRPr="00AD6658">
      <w:rPr>
        <w:bCs/>
        <w:sz w:val="20"/>
      </w:rPr>
      <w:t>2009.gada</w:t>
    </w:r>
    <w:proofErr w:type="gramEnd"/>
    <w:r w:rsidRPr="00AD6658">
      <w:rPr>
        <w:bCs/>
        <w:sz w:val="20"/>
      </w:rPr>
      <w:t xml:space="preserve"> 6.oktobra noteikumos Nr.1151 „Noteikumi par radiofrekvenču spektra joslu sadalījumu radiosakaru veidiem un iedalījumu radiosakaru sistēmām, kā arī par radiofrekvenču spektra joslu izmantošanas vispārīgajiem nosacījumiem (Nacionālais radiofrekvenču plāns)”” sākotnējās ietekmes novērtējuma ziņojums (anotācija)</w:t>
    </w:r>
  </w:p>
  <w:p w:rsidR="006451BA" w:rsidRDefault="006451B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67E" w:rsidRPr="00AD6658" w:rsidRDefault="00C7067E" w:rsidP="00C7067E">
    <w:pPr>
      <w:pStyle w:val="Footer"/>
      <w:jc w:val="both"/>
      <w:rPr>
        <w:sz w:val="20"/>
      </w:rPr>
    </w:pPr>
    <w:r w:rsidRPr="00AD6658">
      <w:rPr>
        <w:sz w:val="20"/>
      </w:rPr>
      <w:fldChar w:fldCharType="begin"/>
    </w:r>
    <w:r w:rsidRPr="00AD6658">
      <w:rPr>
        <w:sz w:val="20"/>
      </w:rPr>
      <w:instrText xml:space="preserve"> FILENAME   \* MERGEFORMAT </w:instrText>
    </w:r>
    <w:r w:rsidRPr="00AD6658">
      <w:rPr>
        <w:sz w:val="20"/>
      </w:rPr>
      <w:fldChar w:fldCharType="separate"/>
    </w:r>
    <w:r w:rsidR="001D3502">
      <w:rPr>
        <w:noProof/>
        <w:sz w:val="20"/>
      </w:rPr>
      <w:t>VARAManot_140416_Radiofrekvenču plāns</w:t>
    </w:r>
    <w:r w:rsidRPr="00AD6658">
      <w:rPr>
        <w:sz w:val="20"/>
      </w:rPr>
      <w:fldChar w:fldCharType="end"/>
    </w:r>
    <w:r w:rsidRPr="00AD6658">
      <w:rPr>
        <w:sz w:val="20"/>
      </w:rPr>
      <w:t xml:space="preserve">; Ministru kabineta noteikumu projekta </w:t>
    </w:r>
    <w:r w:rsidRPr="00AD6658">
      <w:rPr>
        <w:bCs/>
        <w:sz w:val="20"/>
      </w:rPr>
      <w:t xml:space="preserve">„Grozījumi Ministru kabineta </w:t>
    </w:r>
    <w:proofErr w:type="gramStart"/>
    <w:r w:rsidRPr="00AD6658">
      <w:rPr>
        <w:bCs/>
        <w:sz w:val="20"/>
      </w:rPr>
      <w:t>2009.gada</w:t>
    </w:r>
    <w:proofErr w:type="gramEnd"/>
    <w:r w:rsidRPr="00AD6658">
      <w:rPr>
        <w:bCs/>
        <w:sz w:val="20"/>
      </w:rPr>
      <w:t xml:space="preserve"> 6.oktobra noteikumos Nr.1151 „Noteikumi par radiofrekvenču spektra joslu sadalījumu radiosakaru veidiem un iedalījumu radiosakaru sistēmām, kā arī par radiofrekvenču spektra joslu izmantošanas vispārīgajiem nosacījumiem (Nacionālais radiofrekvenču plāns)”” sākotnējās ietekmes novērtējuma ziņojums (anotācija)</w:t>
    </w:r>
  </w:p>
  <w:p w:rsidR="00C7067E" w:rsidRDefault="00C706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1BA" w:rsidRDefault="006451BA" w:rsidP="006451BA">
      <w:r>
        <w:separator/>
      </w:r>
    </w:p>
  </w:footnote>
  <w:footnote w:type="continuationSeparator" w:id="0">
    <w:p w:rsidR="006451BA" w:rsidRDefault="006451BA" w:rsidP="006451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502" w:rsidRDefault="001D35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6107987"/>
      <w:docPartObj>
        <w:docPartGallery w:val="Page Numbers (Top of Page)"/>
        <w:docPartUnique/>
      </w:docPartObj>
    </w:sdtPr>
    <w:sdtEndPr>
      <w:rPr>
        <w:noProof/>
      </w:rPr>
    </w:sdtEndPr>
    <w:sdtContent>
      <w:p w:rsidR="00AC4AF3" w:rsidRDefault="00AC4AF3">
        <w:pPr>
          <w:pStyle w:val="Header"/>
          <w:jc w:val="center"/>
        </w:pPr>
        <w:r>
          <w:fldChar w:fldCharType="begin"/>
        </w:r>
        <w:r>
          <w:instrText xml:space="preserve"> PAGE   \* MERGEFORMAT </w:instrText>
        </w:r>
        <w:r>
          <w:fldChar w:fldCharType="separate"/>
        </w:r>
        <w:r w:rsidR="00CE5D85">
          <w:rPr>
            <w:noProof/>
          </w:rPr>
          <w:t>6</w:t>
        </w:r>
        <w:r>
          <w:rPr>
            <w:noProof/>
          </w:rPr>
          <w:fldChar w:fldCharType="end"/>
        </w:r>
      </w:p>
    </w:sdtContent>
  </w:sdt>
  <w:p w:rsidR="00AC4AF3" w:rsidRDefault="00AC4A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502" w:rsidRDefault="001D35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2F0445"/>
    <w:multiLevelType w:val="hybridMultilevel"/>
    <w:tmpl w:val="5664B0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91144D1"/>
    <w:multiLevelType w:val="hybridMultilevel"/>
    <w:tmpl w:val="45820C48"/>
    <w:lvl w:ilvl="0" w:tplc="A268142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365"/>
    <w:rsid w:val="00000023"/>
    <w:rsid w:val="00011543"/>
    <w:rsid w:val="00027636"/>
    <w:rsid w:val="000322D1"/>
    <w:rsid w:val="00035F55"/>
    <w:rsid w:val="00040989"/>
    <w:rsid w:val="000429A3"/>
    <w:rsid w:val="00063257"/>
    <w:rsid w:val="00072A40"/>
    <w:rsid w:val="00077095"/>
    <w:rsid w:val="00081962"/>
    <w:rsid w:val="000939EF"/>
    <w:rsid w:val="00095079"/>
    <w:rsid w:val="000C6365"/>
    <w:rsid w:val="000C6D27"/>
    <w:rsid w:val="000D20ED"/>
    <w:rsid w:val="00117805"/>
    <w:rsid w:val="00117B02"/>
    <w:rsid w:val="00120157"/>
    <w:rsid w:val="00120930"/>
    <w:rsid w:val="00133265"/>
    <w:rsid w:val="00143162"/>
    <w:rsid w:val="00161775"/>
    <w:rsid w:val="00165AA4"/>
    <w:rsid w:val="0016745B"/>
    <w:rsid w:val="001A5F98"/>
    <w:rsid w:val="001B552E"/>
    <w:rsid w:val="001C12C7"/>
    <w:rsid w:val="001D3502"/>
    <w:rsid w:val="001D4385"/>
    <w:rsid w:val="001D6ED2"/>
    <w:rsid w:val="001E3010"/>
    <w:rsid w:val="001F6340"/>
    <w:rsid w:val="00226B9B"/>
    <w:rsid w:val="00242286"/>
    <w:rsid w:val="00242E13"/>
    <w:rsid w:val="00244349"/>
    <w:rsid w:val="00245770"/>
    <w:rsid w:val="00253F73"/>
    <w:rsid w:val="00257693"/>
    <w:rsid w:val="002A137B"/>
    <w:rsid w:val="002B6408"/>
    <w:rsid w:val="00311FEC"/>
    <w:rsid w:val="00312EC5"/>
    <w:rsid w:val="003179F3"/>
    <w:rsid w:val="003374AC"/>
    <w:rsid w:val="00343102"/>
    <w:rsid w:val="0034594C"/>
    <w:rsid w:val="00347A0E"/>
    <w:rsid w:val="00350A5C"/>
    <w:rsid w:val="003864DE"/>
    <w:rsid w:val="003B31D4"/>
    <w:rsid w:val="003B435A"/>
    <w:rsid w:val="003B73EE"/>
    <w:rsid w:val="003C3E6E"/>
    <w:rsid w:val="003C7816"/>
    <w:rsid w:val="003D057A"/>
    <w:rsid w:val="003D6844"/>
    <w:rsid w:val="003D6C59"/>
    <w:rsid w:val="00403EBF"/>
    <w:rsid w:val="00412489"/>
    <w:rsid w:val="0041267B"/>
    <w:rsid w:val="00431B8C"/>
    <w:rsid w:val="0048437C"/>
    <w:rsid w:val="00491C74"/>
    <w:rsid w:val="004A4853"/>
    <w:rsid w:val="004B00E2"/>
    <w:rsid w:val="004C5A46"/>
    <w:rsid w:val="004D19C9"/>
    <w:rsid w:val="004E2D46"/>
    <w:rsid w:val="0050331B"/>
    <w:rsid w:val="00505451"/>
    <w:rsid w:val="00506D49"/>
    <w:rsid w:val="00506ECC"/>
    <w:rsid w:val="00532001"/>
    <w:rsid w:val="0055792D"/>
    <w:rsid w:val="00561DF8"/>
    <w:rsid w:val="00570F4D"/>
    <w:rsid w:val="00573DA3"/>
    <w:rsid w:val="00582A40"/>
    <w:rsid w:val="00583E8F"/>
    <w:rsid w:val="005A6DED"/>
    <w:rsid w:val="005B6A5D"/>
    <w:rsid w:val="005C6095"/>
    <w:rsid w:val="005C682D"/>
    <w:rsid w:val="005D0541"/>
    <w:rsid w:val="005D1599"/>
    <w:rsid w:val="005D1AB3"/>
    <w:rsid w:val="005E71BF"/>
    <w:rsid w:val="005E7BC4"/>
    <w:rsid w:val="005F3657"/>
    <w:rsid w:val="0060199F"/>
    <w:rsid w:val="006135FD"/>
    <w:rsid w:val="00626B87"/>
    <w:rsid w:val="006451BA"/>
    <w:rsid w:val="00662DE1"/>
    <w:rsid w:val="0066468F"/>
    <w:rsid w:val="00680608"/>
    <w:rsid w:val="00685E45"/>
    <w:rsid w:val="00685F45"/>
    <w:rsid w:val="00690DD8"/>
    <w:rsid w:val="00694233"/>
    <w:rsid w:val="00694397"/>
    <w:rsid w:val="006B2FF5"/>
    <w:rsid w:val="006B58BC"/>
    <w:rsid w:val="006B70B6"/>
    <w:rsid w:val="006D470C"/>
    <w:rsid w:val="006F0C9B"/>
    <w:rsid w:val="006F6457"/>
    <w:rsid w:val="00713BE9"/>
    <w:rsid w:val="00714A0E"/>
    <w:rsid w:val="00734469"/>
    <w:rsid w:val="00734503"/>
    <w:rsid w:val="00767B23"/>
    <w:rsid w:val="007712F7"/>
    <w:rsid w:val="00792DCE"/>
    <w:rsid w:val="007934BC"/>
    <w:rsid w:val="007968C9"/>
    <w:rsid w:val="007A280D"/>
    <w:rsid w:val="007B231D"/>
    <w:rsid w:val="007B39B8"/>
    <w:rsid w:val="007B3A8B"/>
    <w:rsid w:val="007C36CB"/>
    <w:rsid w:val="007C59B4"/>
    <w:rsid w:val="007D0F52"/>
    <w:rsid w:val="007D42FD"/>
    <w:rsid w:val="007D70AC"/>
    <w:rsid w:val="007E0DBB"/>
    <w:rsid w:val="007F7732"/>
    <w:rsid w:val="00802841"/>
    <w:rsid w:val="00802DBA"/>
    <w:rsid w:val="008113EA"/>
    <w:rsid w:val="0081254B"/>
    <w:rsid w:val="00820CB1"/>
    <w:rsid w:val="008243A6"/>
    <w:rsid w:val="008354CB"/>
    <w:rsid w:val="0084007B"/>
    <w:rsid w:val="00867B3C"/>
    <w:rsid w:val="00876C50"/>
    <w:rsid w:val="0088049E"/>
    <w:rsid w:val="00881D48"/>
    <w:rsid w:val="008865B4"/>
    <w:rsid w:val="008866F8"/>
    <w:rsid w:val="00895374"/>
    <w:rsid w:val="008A5611"/>
    <w:rsid w:val="008B3766"/>
    <w:rsid w:val="008C4CB7"/>
    <w:rsid w:val="008C7A13"/>
    <w:rsid w:val="008D0D05"/>
    <w:rsid w:val="008D257A"/>
    <w:rsid w:val="00902359"/>
    <w:rsid w:val="0090429D"/>
    <w:rsid w:val="009642D5"/>
    <w:rsid w:val="00975947"/>
    <w:rsid w:val="009A1B53"/>
    <w:rsid w:val="009C57CC"/>
    <w:rsid w:val="009D4C5B"/>
    <w:rsid w:val="009E5E41"/>
    <w:rsid w:val="00A0589A"/>
    <w:rsid w:val="00A14699"/>
    <w:rsid w:val="00A2136F"/>
    <w:rsid w:val="00A24C69"/>
    <w:rsid w:val="00A25251"/>
    <w:rsid w:val="00A30B56"/>
    <w:rsid w:val="00A36826"/>
    <w:rsid w:val="00A375D3"/>
    <w:rsid w:val="00A77E8E"/>
    <w:rsid w:val="00A83BA2"/>
    <w:rsid w:val="00A84BB1"/>
    <w:rsid w:val="00A85E1D"/>
    <w:rsid w:val="00A9264D"/>
    <w:rsid w:val="00AA14CB"/>
    <w:rsid w:val="00AC0F04"/>
    <w:rsid w:val="00AC4AF3"/>
    <w:rsid w:val="00AC6411"/>
    <w:rsid w:val="00AE05EA"/>
    <w:rsid w:val="00AE7065"/>
    <w:rsid w:val="00AF7093"/>
    <w:rsid w:val="00B12C95"/>
    <w:rsid w:val="00B32A8C"/>
    <w:rsid w:val="00B4323B"/>
    <w:rsid w:val="00B55F79"/>
    <w:rsid w:val="00B568BE"/>
    <w:rsid w:val="00B56B3D"/>
    <w:rsid w:val="00B75443"/>
    <w:rsid w:val="00B824AC"/>
    <w:rsid w:val="00BA071A"/>
    <w:rsid w:val="00BA2906"/>
    <w:rsid w:val="00BB1E23"/>
    <w:rsid w:val="00BC1ADD"/>
    <w:rsid w:val="00BC55F8"/>
    <w:rsid w:val="00BC5721"/>
    <w:rsid w:val="00BC5FE8"/>
    <w:rsid w:val="00BD1A47"/>
    <w:rsid w:val="00BD5517"/>
    <w:rsid w:val="00BE28D5"/>
    <w:rsid w:val="00C01753"/>
    <w:rsid w:val="00C30C5E"/>
    <w:rsid w:val="00C36202"/>
    <w:rsid w:val="00C429C1"/>
    <w:rsid w:val="00C66B90"/>
    <w:rsid w:val="00C7067E"/>
    <w:rsid w:val="00C826F4"/>
    <w:rsid w:val="00C8518D"/>
    <w:rsid w:val="00C8569C"/>
    <w:rsid w:val="00C93058"/>
    <w:rsid w:val="00C96A55"/>
    <w:rsid w:val="00CB452B"/>
    <w:rsid w:val="00CC6D3D"/>
    <w:rsid w:val="00CD4214"/>
    <w:rsid w:val="00CD7174"/>
    <w:rsid w:val="00CE01AD"/>
    <w:rsid w:val="00CE5B6F"/>
    <w:rsid w:val="00CE5D85"/>
    <w:rsid w:val="00D12ADF"/>
    <w:rsid w:val="00D23BCA"/>
    <w:rsid w:val="00D454D4"/>
    <w:rsid w:val="00D57C84"/>
    <w:rsid w:val="00D7759B"/>
    <w:rsid w:val="00DA173D"/>
    <w:rsid w:val="00DB1552"/>
    <w:rsid w:val="00DE7B33"/>
    <w:rsid w:val="00DF0AC9"/>
    <w:rsid w:val="00DF3B29"/>
    <w:rsid w:val="00E1172E"/>
    <w:rsid w:val="00E25933"/>
    <w:rsid w:val="00E541FF"/>
    <w:rsid w:val="00E54A87"/>
    <w:rsid w:val="00E647D6"/>
    <w:rsid w:val="00E9082D"/>
    <w:rsid w:val="00E91741"/>
    <w:rsid w:val="00E954E6"/>
    <w:rsid w:val="00EA3A87"/>
    <w:rsid w:val="00EA6AEC"/>
    <w:rsid w:val="00EB3D04"/>
    <w:rsid w:val="00EC2F15"/>
    <w:rsid w:val="00ED00CB"/>
    <w:rsid w:val="00F059E4"/>
    <w:rsid w:val="00F10B19"/>
    <w:rsid w:val="00F1289F"/>
    <w:rsid w:val="00F271F9"/>
    <w:rsid w:val="00F44694"/>
    <w:rsid w:val="00F52E54"/>
    <w:rsid w:val="00F60824"/>
    <w:rsid w:val="00F70B03"/>
    <w:rsid w:val="00F71FE1"/>
    <w:rsid w:val="00F72982"/>
    <w:rsid w:val="00F7789E"/>
    <w:rsid w:val="00F96EC8"/>
    <w:rsid w:val="00FB234C"/>
    <w:rsid w:val="00FB3C9B"/>
    <w:rsid w:val="00FC1A04"/>
    <w:rsid w:val="00FD1065"/>
    <w:rsid w:val="00FD3F44"/>
    <w:rsid w:val="00FD44A5"/>
    <w:rsid w:val="00FE0A22"/>
    <w:rsid w:val="00FE46CF"/>
    <w:rsid w:val="00FE5585"/>
    <w:rsid w:val="00FE7A27"/>
    <w:rsid w:val="00FF1546"/>
    <w:rsid w:val="00FF15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A8841B-7492-4B75-B7E0-2E011A28F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5374"/>
    <w:pPr>
      <w:spacing w:after="0" w:line="240" w:lineRule="auto"/>
    </w:pPr>
    <w:rPr>
      <w:rFonts w:ascii="Times New Roman" w:eastAsia="Times New Roman" w:hAnsi="Times New Roman" w:cs="Times New Roman"/>
      <w:sz w:val="24"/>
      <w:szCs w:val="24"/>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895374"/>
    <w:pPr>
      <w:spacing w:before="58" w:after="58"/>
      <w:ind w:firstLine="288"/>
      <w:jc w:val="both"/>
    </w:pPr>
  </w:style>
  <w:style w:type="paragraph" w:customStyle="1" w:styleId="naiskr">
    <w:name w:val="naiskr"/>
    <w:basedOn w:val="Normal"/>
    <w:rsid w:val="00895374"/>
    <w:pPr>
      <w:spacing w:before="58" w:after="58"/>
    </w:pPr>
  </w:style>
  <w:style w:type="paragraph" w:customStyle="1" w:styleId="naisc">
    <w:name w:val="naisc"/>
    <w:basedOn w:val="Normal"/>
    <w:rsid w:val="00895374"/>
    <w:pPr>
      <w:spacing w:before="58" w:after="58"/>
      <w:jc w:val="center"/>
    </w:pPr>
  </w:style>
  <w:style w:type="character" w:styleId="Hyperlink">
    <w:name w:val="Hyperlink"/>
    <w:rsid w:val="00895374"/>
    <w:rPr>
      <w:color w:val="0000FF"/>
      <w:u w:val="single"/>
    </w:rPr>
  </w:style>
  <w:style w:type="paragraph" w:styleId="NormalWeb">
    <w:name w:val="Normal (Web)"/>
    <w:basedOn w:val="Normal"/>
    <w:uiPriority w:val="99"/>
    <w:rsid w:val="00895374"/>
    <w:pPr>
      <w:spacing w:before="100" w:beforeAutospacing="1" w:after="100" w:afterAutospacing="1"/>
    </w:pPr>
    <w:rPr>
      <w:rFonts w:eastAsia="Arial Unicode MS"/>
      <w:lang w:val="en-GB" w:eastAsia="en-US"/>
    </w:rPr>
  </w:style>
  <w:style w:type="paragraph" w:styleId="Header">
    <w:name w:val="header"/>
    <w:basedOn w:val="Normal"/>
    <w:link w:val="HeaderChar"/>
    <w:uiPriority w:val="99"/>
    <w:unhideWhenUsed/>
    <w:rsid w:val="006451BA"/>
    <w:pPr>
      <w:tabs>
        <w:tab w:val="center" w:pos="4153"/>
        <w:tab w:val="right" w:pos="8306"/>
      </w:tabs>
    </w:pPr>
  </w:style>
  <w:style w:type="character" w:customStyle="1" w:styleId="HeaderChar">
    <w:name w:val="Header Char"/>
    <w:basedOn w:val="DefaultParagraphFont"/>
    <w:link w:val="Header"/>
    <w:uiPriority w:val="99"/>
    <w:rsid w:val="006451BA"/>
    <w:rPr>
      <w:rFonts w:ascii="Times New Roman" w:eastAsia="Times New Roman" w:hAnsi="Times New Roman" w:cs="Times New Roman"/>
      <w:sz w:val="24"/>
      <w:szCs w:val="24"/>
      <w:lang w:val="lv-LV" w:eastAsia="lv-LV"/>
    </w:rPr>
  </w:style>
  <w:style w:type="paragraph" w:styleId="Footer">
    <w:name w:val="footer"/>
    <w:basedOn w:val="Normal"/>
    <w:link w:val="FooterChar"/>
    <w:unhideWhenUsed/>
    <w:rsid w:val="006451BA"/>
    <w:pPr>
      <w:tabs>
        <w:tab w:val="center" w:pos="4153"/>
        <w:tab w:val="right" w:pos="8306"/>
      </w:tabs>
    </w:pPr>
  </w:style>
  <w:style w:type="character" w:customStyle="1" w:styleId="FooterChar">
    <w:name w:val="Footer Char"/>
    <w:basedOn w:val="DefaultParagraphFont"/>
    <w:link w:val="Footer"/>
    <w:rsid w:val="006451BA"/>
    <w:rPr>
      <w:rFonts w:ascii="Times New Roman" w:eastAsia="Times New Roman" w:hAnsi="Times New Roman" w:cs="Times New Roman"/>
      <w:sz w:val="24"/>
      <w:szCs w:val="24"/>
      <w:lang w:val="lv-LV" w:eastAsia="lv-LV"/>
    </w:rPr>
  </w:style>
  <w:style w:type="paragraph" w:styleId="BalloonText">
    <w:name w:val="Balloon Text"/>
    <w:basedOn w:val="Normal"/>
    <w:link w:val="BalloonTextChar"/>
    <w:uiPriority w:val="99"/>
    <w:semiHidden/>
    <w:unhideWhenUsed/>
    <w:rsid w:val="00876C5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6C50"/>
    <w:rPr>
      <w:rFonts w:ascii="Segoe UI" w:eastAsia="Times New Roman" w:hAnsi="Segoe UI" w:cs="Segoe UI"/>
      <w:sz w:val="18"/>
      <w:szCs w:val="18"/>
      <w:lang w:val="lv-LV" w:eastAsia="lv-LV"/>
    </w:rPr>
  </w:style>
  <w:style w:type="paragraph" w:styleId="ListParagraph">
    <w:name w:val="List Paragraph"/>
    <w:basedOn w:val="Normal"/>
    <w:uiPriority w:val="34"/>
    <w:qFormat/>
    <w:rsid w:val="00FE0A22"/>
    <w:pPr>
      <w:ind w:left="720"/>
      <w:contextualSpacing/>
    </w:pPr>
  </w:style>
  <w:style w:type="character" w:styleId="Strong">
    <w:name w:val="Strong"/>
    <w:basedOn w:val="DefaultParagraphFont"/>
    <w:uiPriority w:val="22"/>
    <w:qFormat/>
    <w:rsid w:val="00F059E4"/>
    <w:rPr>
      <w:b/>
      <w:bCs/>
    </w:rPr>
  </w:style>
  <w:style w:type="character" w:customStyle="1" w:styleId="apple-converted-space">
    <w:name w:val="apple-converted-space"/>
    <w:basedOn w:val="DefaultParagraphFont"/>
    <w:rsid w:val="00F059E4"/>
  </w:style>
  <w:style w:type="character" w:styleId="Emphasis">
    <w:name w:val="Emphasis"/>
    <w:basedOn w:val="DefaultParagraphFont"/>
    <w:uiPriority w:val="20"/>
    <w:qFormat/>
    <w:rsid w:val="00F059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718082">
      <w:bodyDiv w:val="1"/>
      <w:marLeft w:val="0"/>
      <w:marRight w:val="0"/>
      <w:marTop w:val="0"/>
      <w:marBottom w:val="0"/>
      <w:divBdr>
        <w:top w:val="none" w:sz="0" w:space="0" w:color="auto"/>
        <w:left w:val="none" w:sz="0" w:space="0" w:color="auto"/>
        <w:bottom w:val="none" w:sz="0" w:space="0" w:color="auto"/>
        <w:right w:val="none" w:sz="0" w:space="0" w:color="auto"/>
      </w:divBdr>
    </w:div>
    <w:div w:id="630088981">
      <w:bodyDiv w:val="1"/>
      <w:marLeft w:val="0"/>
      <w:marRight w:val="0"/>
      <w:marTop w:val="0"/>
      <w:marBottom w:val="0"/>
      <w:divBdr>
        <w:top w:val="none" w:sz="0" w:space="0" w:color="auto"/>
        <w:left w:val="none" w:sz="0" w:space="0" w:color="auto"/>
        <w:bottom w:val="none" w:sz="0" w:space="0" w:color="auto"/>
        <w:right w:val="none" w:sz="0" w:space="0" w:color="auto"/>
      </w:divBdr>
    </w:div>
    <w:div w:id="131715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ija.vavere@varam.gov.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839</TotalTime>
  <Pages>7</Pages>
  <Words>1707</Words>
  <Characters>12637</Characters>
  <Application>Microsoft Office Word</Application>
  <DocSecurity>0</DocSecurity>
  <Lines>435</Lines>
  <Paragraphs>166</Paragraphs>
  <ScaleCrop>false</ScaleCrop>
  <HeadingPairs>
    <vt:vector size="2" baseType="variant">
      <vt:variant>
        <vt:lpstr>Title</vt:lpstr>
      </vt:variant>
      <vt:variant>
        <vt:i4>1</vt:i4>
      </vt:variant>
    </vt:vector>
  </HeadingPairs>
  <TitlesOfParts>
    <vt:vector size="1" baseType="lpstr">
      <vt:lpstr/>
    </vt:vector>
  </TitlesOfParts>
  <Company>VARAM</Company>
  <LinksUpToDate>false</LinksUpToDate>
  <CharactersWithSpaces>14178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Aija Vāvere</dc:creator>
  <cp:keywords/>
  <dc:description/>
  <cp:lastModifiedBy>Aija Vāvere</cp:lastModifiedBy>
  <cp:revision>75</cp:revision>
  <cp:lastPrinted>2016-03-24T09:33:00Z</cp:lastPrinted>
  <dcterms:created xsi:type="dcterms:W3CDTF">2016-03-18T13:14:00Z</dcterms:created>
  <dcterms:modified xsi:type="dcterms:W3CDTF">2016-04-15T07:51:00Z</dcterms:modified>
</cp:coreProperties>
</file>