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7FE89" w14:textId="77777777" w:rsidR="00D706C5" w:rsidRPr="00E92D8E" w:rsidRDefault="00D706C5" w:rsidP="00D706C5">
      <w:pPr>
        <w:pStyle w:val="ListParagraph"/>
        <w:spacing w:after="0"/>
        <w:ind w:left="0" w:firstLine="720"/>
        <w:jc w:val="right"/>
        <w:rPr>
          <w:rFonts w:cs="Times New Roman"/>
          <w:bCs/>
          <w:i/>
          <w:szCs w:val="28"/>
        </w:rPr>
      </w:pPr>
      <w:r w:rsidRPr="00E92D8E">
        <w:rPr>
          <w:rFonts w:cs="Times New Roman"/>
          <w:bCs/>
          <w:i/>
          <w:szCs w:val="28"/>
        </w:rPr>
        <w:t>Projekts</w:t>
      </w:r>
    </w:p>
    <w:p w14:paraId="7D8CA429" w14:textId="77777777" w:rsidR="00D706C5" w:rsidRPr="00E92D8E" w:rsidRDefault="00D706C5" w:rsidP="00D706C5">
      <w:pPr>
        <w:pStyle w:val="ListParagraph"/>
        <w:spacing w:after="0"/>
        <w:ind w:left="0" w:firstLine="720"/>
        <w:jc w:val="right"/>
        <w:rPr>
          <w:rFonts w:cs="Times New Roman"/>
          <w:bCs/>
          <w:i/>
          <w:szCs w:val="28"/>
        </w:rPr>
      </w:pPr>
    </w:p>
    <w:p w14:paraId="1782A34C" w14:textId="77777777" w:rsidR="002265C0" w:rsidRPr="00E92D8E" w:rsidRDefault="002265C0" w:rsidP="002265C0">
      <w:pPr>
        <w:pStyle w:val="ListParagraph"/>
        <w:spacing w:after="0"/>
        <w:ind w:left="0" w:firstLine="720"/>
        <w:jc w:val="center"/>
        <w:rPr>
          <w:rFonts w:cs="Times New Roman"/>
          <w:b/>
          <w:bCs/>
          <w:szCs w:val="28"/>
        </w:rPr>
      </w:pPr>
      <w:r w:rsidRPr="00E92D8E">
        <w:rPr>
          <w:rFonts w:cs="Times New Roman"/>
          <w:b/>
          <w:bCs/>
          <w:szCs w:val="28"/>
        </w:rPr>
        <w:t xml:space="preserve">Grozījumi Ministru kabineta </w:t>
      </w:r>
      <w:proofErr w:type="gramStart"/>
      <w:r w:rsidRPr="00E92D8E">
        <w:rPr>
          <w:rFonts w:cs="Times New Roman"/>
          <w:b/>
          <w:bCs/>
          <w:szCs w:val="28"/>
        </w:rPr>
        <w:t>2009.gada</w:t>
      </w:r>
      <w:proofErr w:type="gramEnd"/>
      <w:r w:rsidRPr="00E92D8E">
        <w:rPr>
          <w:rFonts w:cs="Times New Roman"/>
          <w:b/>
          <w:bCs/>
          <w:szCs w:val="28"/>
        </w:rPr>
        <w:t xml:space="preserve"> 6.oktobra noteikumos Nr.1151 "Noteikumi par radiofrekvenču spektra joslu sadalījumu radiosakaru veidiem un iedalījumu radiosakaru sistēmām, kā arī par radiofrekvenču spektra joslu izmantošanas vispārīgajiem nosacījumiem (Nacionālais radiofrekvenču plāns)"</w:t>
      </w:r>
    </w:p>
    <w:p w14:paraId="09BF4B64" w14:textId="77777777" w:rsidR="002265C0" w:rsidRPr="00E92D8E" w:rsidRDefault="002265C0" w:rsidP="002265C0">
      <w:pPr>
        <w:pStyle w:val="ListParagraph"/>
        <w:spacing w:after="0" w:line="240" w:lineRule="auto"/>
        <w:ind w:left="0" w:firstLine="720"/>
        <w:jc w:val="center"/>
        <w:rPr>
          <w:rFonts w:cs="Times New Roman"/>
          <w:szCs w:val="28"/>
        </w:rPr>
      </w:pPr>
    </w:p>
    <w:p w14:paraId="0ABBF853" w14:textId="77777777" w:rsidR="002265C0" w:rsidRPr="00E92D8E" w:rsidRDefault="002265C0" w:rsidP="002265C0">
      <w:pPr>
        <w:pStyle w:val="ListParagraph"/>
        <w:spacing w:after="0" w:line="240" w:lineRule="auto"/>
        <w:ind w:left="0" w:firstLine="720"/>
        <w:jc w:val="both"/>
        <w:rPr>
          <w:rFonts w:cs="Times New Roman"/>
          <w:szCs w:val="28"/>
        </w:rPr>
      </w:pPr>
    </w:p>
    <w:p w14:paraId="68323615" w14:textId="77777777" w:rsidR="002265C0" w:rsidRPr="00E92D8E" w:rsidRDefault="002265C0" w:rsidP="002265C0">
      <w:pPr>
        <w:rPr>
          <w:rFonts w:cs="Times New Roman"/>
          <w:szCs w:val="28"/>
        </w:rPr>
      </w:pPr>
      <w:r w:rsidRPr="00E92D8E">
        <w:rPr>
          <w:rFonts w:cs="Times New Roman"/>
          <w:szCs w:val="28"/>
        </w:rPr>
        <w:t>Izdarīt Ministru kabineta 2009. gada 6. oktobra noteikumos Nr. 1151 "Noteikumi par radiofrekvenču spektra joslu sadalījumu radiosakaru veidiem un iedalījumu radiosakaru sistēmām, kā arī par radiofrekvenču spektra joslu izmantošanas vispārīgajiem nosacījumiem (Nacionālais radiofrekvenču plāns)" (Latvijas Vēstnesis, 2009, 161. nr.; 2010, 73., 131. nr.; 2011, 86. nr.; 2012, 118., 194 nr.; 2013, 31. nr.; 2014, 160. nr.</w:t>
      </w:r>
      <w:r w:rsidR="00A379D8" w:rsidRPr="00E92D8E">
        <w:rPr>
          <w:rFonts w:cs="Times New Roman"/>
          <w:szCs w:val="28"/>
        </w:rPr>
        <w:t>; 2015, 108. nr.</w:t>
      </w:r>
      <w:r w:rsidRPr="00E92D8E">
        <w:rPr>
          <w:rFonts w:cs="Times New Roman"/>
          <w:szCs w:val="28"/>
        </w:rPr>
        <w:t>) šādus grozījumus:</w:t>
      </w:r>
    </w:p>
    <w:p w14:paraId="6951AABA" w14:textId="77777777" w:rsidR="0052414E" w:rsidRPr="00E92D8E" w:rsidRDefault="002E6724" w:rsidP="008A6127">
      <w:pPr>
        <w:jc w:val="both"/>
        <w:rPr>
          <w:rFonts w:cs="Times New Roman"/>
          <w:szCs w:val="28"/>
        </w:rPr>
      </w:pPr>
      <w:r w:rsidRPr="00E92D8E">
        <w:rPr>
          <w:rFonts w:cs="Times New Roman"/>
          <w:szCs w:val="28"/>
        </w:rPr>
        <w:t>1.</w:t>
      </w:r>
      <w:r w:rsidR="008A6127" w:rsidRPr="00E92D8E">
        <w:rPr>
          <w:rFonts w:cs="Times New Roman"/>
          <w:szCs w:val="28"/>
        </w:rPr>
        <w:t xml:space="preserve"> Izteikt noteikumu 42.punktu šādā redakcijā:</w:t>
      </w:r>
    </w:p>
    <w:p w14:paraId="7D0F9F5F" w14:textId="0B47A823" w:rsidR="008A6127" w:rsidRPr="00E92D8E" w:rsidRDefault="00142FB1" w:rsidP="008A6127">
      <w:pPr>
        <w:jc w:val="both"/>
        <w:rPr>
          <w:rFonts w:eastAsia="Times New Roman" w:cs="Times New Roman"/>
          <w:bCs/>
          <w:i/>
          <w:szCs w:val="28"/>
          <w:lang w:eastAsia="lv-LV"/>
        </w:rPr>
      </w:pPr>
      <w:r>
        <w:rPr>
          <w:rFonts w:eastAsia="Times New Roman" w:cs="Times New Roman"/>
          <w:bCs/>
          <w:szCs w:val="28"/>
          <w:lang w:eastAsia="lv-LV"/>
        </w:rPr>
        <w:t>“</w:t>
      </w:r>
      <w:r w:rsidR="008A6127" w:rsidRPr="00E92D8E">
        <w:rPr>
          <w:rFonts w:eastAsia="Times New Roman" w:cs="Times New Roman"/>
          <w:bCs/>
          <w:szCs w:val="28"/>
          <w:lang w:eastAsia="lv-LV"/>
        </w:rPr>
        <w:t xml:space="preserve">42. Radioiekārtu uzstādīšana atbilstoši radiosaskarnēm RS FX.035MP un RS FX.037MP, ja to tehniskie parametri neatbilst radiosaskarnei RS LM.3600, atļauta līdz 2015. gada 30. jūnijam, bet to izmantošana ir atļauta līdz </w:t>
      </w:r>
      <w:proofErr w:type="gramStart"/>
      <w:r w:rsidR="008A6127" w:rsidRPr="00E92D8E">
        <w:rPr>
          <w:rFonts w:eastAsia="Times New Roman" w:cs="Times New Roman"/>
          <w:bCs/>
          <w:szCs w:val="28"/>
          <w:lang w:eastAsia="lv-LV"/>
        </w:rPr>
        <w:t>2018.gada</w:t>
      </w:r>
      <w:proofErr w:type="gramEnd"/>
      <w:r w:rsidR="008A6127" w:rsidRPr="00E92D8E">
        <w:rPr>
          <w:rFonts w:eastAsia="Times New Roman" w:cs="Times New Roman"/>
          <w:bCs/>
          <w:szCs w:val="28"/>
          <w:lang w:eastAsia="lv-LV"/>
        </w:rPr>
        <w:t xml:space="preserve"> 31.decembrim. Šo radioiekārtu izmantošanas nosacījumi var tikt mainīti, ja nepieciešams nodrošināt starptautisko radiofrekvenču spektra lietošanas nolīgumu nosacījumu izpildi</w:t>
      </w:r>
      <w:r w:rsidR="008A6127" w:rsidRPr="00E92D8E">
        <w:rPr>
          <w:rFonts w:eastAsia="Times New Roman" w:cs="Times New Roman"/>
          <w:bCs/>
          <w:i/>
          <w:szCs w:val="28"/>
          <w:lang w:eastAsia="lv-LV"/>
        </w:rPr>
        <w:t>.</w:t>
      </w:r>
      <w:r w:rsidRPr="00142FB1">
        <w:rPr>
          <w:rFonts w:eastAsia="Times New Roman" w:cs="Times New Roman"/>
          <w:bCs/>
          <w:szCs w:val="28"/>
          <w:lang w:eastAsia="lv-LV"/>
        </w:rPr>
        <w:t>”</w:t>
      </w:r>
    </w:p>
    <w:p w14:paraId="5B61FEBD" w14:textId="57E19251" w:rsidR="0052414E" w:rsidRPr="00E92D8E" w:rsidRDefault="002E6724" w:rsidP="0052414E">
      <w:pPr>
        <w:rPr>
          <w:rFonts w:cs="Times New Roman"/>
          <w:szCs w:val="28"/>
        </w:rPr>
      </w:pPr>
      <w:r w:rsidRPr="00E92D8E">
        <w:rPr>
          <w:rFonts w:cs="Times New Roman"/>
          <w:szCs w:val="28"/>
        </w:rPr>
        <w:t>2</w:t>
      </w:r>
      <w:r w:rsidR="0052414E" w:rsidRPr="00E92D8E">
        <w:rPr>
          <w:rFonts w:cs="Times New Roman"/>
          <w:szCs w:val="28"/>
        </w:rPr>
        <w:t xml:space="preserve">. Papildināt noteikumus ar </w:t>
      </w:r>
      <w:hyperlink r:id="rId8" w:anchor="p34" w:tgtFrame="_blank" w:history="1">
        <w:r w:rsidR="0052414E" w:rsidRPr="00E92D8E">
          <w:rPr>
            <w:rFonts w:cs="Times New Roman"/>
            <w:szCs w:val="28"/>
          </w:rPr>
          <w:t>43</w:t>
        </w:r>
      </w:hyperlink>
      <w:r w:rsidR="00977892" w:rsidRPr="00E92D8E">
        <w:rPr>
          <w:rFonts w:cs="Times New Roman"/>
          <w:szCs w:val="28"/>
        </w:rPr>
        <w:t>.</w:t>
      </w:r>
      <w:r w:rsidR="0052414E" w:rsidRPr="00E92D8E">
        <w:rPr>
          <w:rFonts w:cs="Times New Roman"/>
          <w:szCs w:val="28"/>
        </w:rPr>
        <w:t xml:space="preserve">, </w:t>
      </w:r>
      <w:hyperlink r:id="rId9" w:anchor="p35" w:tgtFrame="_blank" w:history="1">
        <w:r w:rsidR="0052414E" w:rsidRPr="00E92D8E">
          <w:rPr>
            <w:rFonts w:cs="Times New Roman"/>
            <w:szCs w:val="28"/>
          </w:rPr>
          <w:t>44.</w:t>
        </w:r>
      </w:hyperlink>
      <w:r w:rsidR="0052414E" w:rsidRPr="00E92D8E">
        <w:rPr>
          <w:rFonts w:cs="Times New Roman"/>
          <w:szCs w:val="28"/>
        </w:rPr>
        <w:t xml:space="preserve">, </w:t>
      </w:r>
      <w:hyperlink r:id="rId10" w:anchor="p36" w:tgtFrame="_blank" w:history="1">
        <w:r w:rsidR="0052414E" w:rsidRPr="00E92D8E">
          <w:rPr>
            <w:rFonts w:cs="Times New Roman"/>
            <w:szCs w:val="28"/>
          </w:rPr>
          <w:t>45.</w:t>
        </w:r>
      </w:hyperlink>
      <w:r w:rsidR="0052414E" w:rsidRPr="00E92D8E">
        <w:rPr>
          <w:rFonts w:cs="Times New Roman"/>
          <w:szCs w:val="28"/>
        </w:rPr>
        <w:t>,</w:t>
      </w:r>
      <w:hyperlink r:id="rId11" w:anchor="p37" w:tgtFrame="_blank" w:history="1">
        <w:r w:rsidR="0052414E" w:rsidRPr="00E92D8E">
          <w:rPr>
            <w:rFonts w:cs="Times New Roman"/>
            <w:szCs w:val="28"/>
          </w:rPr>
          <w:t>46.</w:t>
        </w:r>
      </w:hyperlink>
      <w:r w:rsidR="008D3EE1">
        <w:rPr>
          <w:rFonts w:cs="Times New Roman"/>
          <w:szCs w:val="28"/>
        </w:rPr>
        <w:t>,</w:t>
      </w:r>
      <w:r w:rsidR="00B77FCF" w:rsidRPr="00E92D8E">
        <w:rPr>
          <w:rFonts w:cs="Times New Roman"/>
          <w:szCs w:val="28"/>
        </w:rPr>
        <w:t>47.</w:t>
      </w:r>
      <w:r w:rsidR="008D3EE1">
        <w:rPr>
          <w:rFonts w:cs="Times New Roman"/>
          <w:szCs w:val="28"/>
        </w:rPr>
        <w:t>un 48.</w:t>
      </w:r>
      <w:r w:rsidR="0052414E" w:rsidRPr="00E92D8E">
        <w:rPr>
          <w:rFonts w:cs="Times New Roman"/>
          <w:szCs w:val="28"/>
        </w:rPr>
        <w:t>punktu šādā redakcijā:</w:t>
      </w:r>
    </w:p>
    <w:p w14:paraId="597682FB" w14:textId="1A36D9FC" w:rsidR="00344FF7" w:rsidRPr="00E92D8E" w:rsidRDefault="0052414E" w:rsidP="0052414E">
      <w:pPr>
        <w:jc w:val="both"/>
        <w:rPr>
          <w:rFonts w:cs="Times New Roman"/>
          <w:szCs w:val="28"/>
        </w:rPr>
      </w:pPr>
      <w:r w:rsidRPr="00E92D8E">
        <w:rPr>
          <w:rFonts w:cs="Times New Roman"/>
          <w:szCs w:val="28"/>
        </w:rPr>
        <w:t>"</w:t>
      </w:r>
      <w:r w:rsidR="00344FF7" w:rsidRPr="00E92D8E">
        <w:rPr>
          <w:rFonts w:cs="Times New Roman"/>
          <w:szCs w:val="28"/>
        </w:rPr>
        <w:t xml:space="preserve">43. </w:t>
      </w:r>
      <w:r w:rsidR="008D3EE1" w:rsidRPr="009603AC">
        <w:rPr>
          <w:rFonts w:cs="Times New Roman"/>
          <w:szCs w:val="28"/>
        </w:rPr>
        <w:t>Šo noteikumu 1. pielikuma 296. un 297. punktā noteikto</w:t>
      </w:r>
      <w:r w:rsidR="008D3EE1" w:rsidRPr="004525D7">
        <w:rPr>
          <w:rFonts w:cs="Times New Roman"/>
          <w:szCs w:val="28"/>
        </w:rPr>
        <w:t xml:space="preserve"> 3400-3600</w:t>
      </w:r>
      <w:r w:rsidR="008D3EE1" w:rsidRPr="009603AC">
        <w:rPr>
          <w:rFonts w:cs="Times New Roman"/>
          <w:szCs w:val="28"/>
        </w:rPr>
        <w:t> MHz un 3600-3800 MHz radiofrekvenču joslu pārplānošanai katram elektronisko sakaru komersantam līdz 2018. gada 31. decembrim jāatbrīvo radiofrekvenču apjoms, kas pārsniedz n x 50 MHz, (kur “n” ir frekvenču bloku skaits), atbilstoši noteikumu 44. punkta nosacījumiem</w:t>
      </w:r>
      <w:r w:rsidR="003B5F0F">
        <w:rPr>
          <w:rFonts w:cs="Times New Roman"/>
          <w:szCs w:val="28"/>
        </w:rPr>
        <w:t>.</w:t>
      </w:r>
      <w:r w:rsidR="0037168D" w:rsidRPr="00E92D8E">
        <w:rPr>
          <w:rFonts w:cs="Times New Roman"/>
          <w:szCs w:val="28"/>
        </w:rPr>
        <w:t xml:space="preserve"> </w:t>
      </w:r>
    </w:p>
    <w:p w14:paraId="328BCDB9" w14:textId="77777777" w:rsidR="004B0F42" w:rsidRPr="00E92D8E" w:rsidRDefault="004B0F42" w:rsidP="005F41C5">
      <w:pPr>
        <w:jc w:val="center"/>
        <w:rPr>
          <w:rFonts w:cs="Times New Roman"/>
          <w:szCs w:val="28"/>
        </w:rPr>
      </w:pPr>
    </w:p>
    <w:p w14:paraId="385FF352" w14:textId="77777777" w:rsidR="004B0F42" w:rsidRPr="00E92D8E" w:rsidRDefault="004B0F42" w:rsidP="0052414E">
      <w:pPr>
        <w:jc w:val="both"/>
        <w:rPr>
          <w:rFonts w:cs="Times New Roman"/>
          <w:szCs w:val="28"/>
        </w:rPr>
      </w:pPr>
    </w:p>
    <w:p w14:paraId="540664B5" w14:textId="1424C8DF" w:rsidR="00344FF7" w:rsidRPr="00E92D8E" w:rsidRDefault="00344FF7" w:rsidP="0052414E">
      <w:pPr>
        <w:jc w:val="both"/>
        <w:rPr>
          <w:rFonts w:cs="Times New Roman"/>
          <w:szCs w:val="28"/>
        </w:rPr>
      </w:pPr>
      <w:r w:rsidRPr="00E92D8E">
        <w:rPr>
          <w:rFonts w:cs="Times New Roman"/>
          <w:szCs w:val="28"/>
        </w:rPr>
        <w:lastRenderedPageBreak/>
        <w:t xml:space="preserve">44.Pārejot uz radiosaskarnei RS LM.3600 atbilstošu </w:t>
      </w:r>
      <w:r w:rsidR="008D3EE1">
        <w:rPr>
          <w:rFonts w:cs="Times New Roman"/>
          <w:szCs w:val="28"/>
        </w:rPr>
        <w:t>radio</w:t>
      </w:r>
      <w:r w:rsidRPr="00E92D8E">
        <w:rPr>
          <w:rFonts w:cs="Times New Roman"/>
          <w:szCs w:val="28"/>
        </w:rPr>
        <w:t>iekārtu izmantošanu un spēkā esošo radiofrekvenču spektra lietošanas tiesību darbības laikā</w:t>
      </w:r>
      <w:r w:rsidR="00BC27C5" w:rsidRPr="00E92D8E">
        <w:rPr>
          <w:rFonts w:cs="Times New Roman"/>
          <w:szCs w:val="28"/>
        </w:rPr>
        <w:t>,</w:t>
      </w:r>
      <w:r w:rsidRPr="00E92D8E">
        <w:rPr>
          <w:rFonts w:cs="Times New Roman"/>
          <w:szCs w:val="28"/>
        </w:rPr>
        <w:t xml:space="preserve"> esošās radiofrekvenču spektra lietošanas tiesības tiek izvietotas šādi:</w:t>
      </w:r>
    </w:p>
    <w:p w14:paraId="0B413C8F" w14:textId="77777777" w:rsidR="008D3EE1" w:rsidRPr="00E92D8E" w:rsidRDefault="008D3EE1" w:rsidP="008D3EE1">
      <w:pPr>
        <w:spacing w:after="120" w:line="240" w:lineRule="auto"/>
        <w:ind w:left="1559" w:hanging="839"/>
        <w:jc w:val="both"/>
        <w:rPr>
          <w:rFonts w:cs="Times New Roman"/>
          <w:szCs w:val="28"/>
        </w:rPr>
      </w:pPr>
      <w:r w:rsidRPr="00E92D8E">
        <w:rPr>
          <w:rFonts w:cs="Times New Roman"/>
          <w:szCs w:val="28"/>
        </w:rPr>
        <w:t xml:space="preserve">44.1. RS FX.035MP FDD </w:t>
      </w:r>
      <w:r>
        <w:rPr>
          <w:rFonts w:cs="Times New Roman"/>
          <w:szCs w:val="28"/>
        </w:rPr>
        <w:t xml:space="preserve">3410-3424 MHz/ 3510-3524 MHz un 3424-3438 MHz/ 3524-3538 MHz </w:t>
      </w:r>
      <w:r w:rsidRPr="00E92D8E">
        <w:rPr>
          <w:rFonts w:cs="Times New Roman"/>
          <w:szCs w:val="28"/>
        </w:rPr>
        <w:t>radiokanāl</w:t>
      </w:r>
      <w:r>
        <w:rPr>
          <w:rFonts w:cs="Times New Roman"/>
          <w:szCs w:val="28"/>
        </w:rPr>
        <w:t>u</w:t>
      </w:r>
      <w:r w:rsidRPr="00E92D8E">
        <w:rPr>
          <w:rFonts w:cs="Times New Roman"/>
          <w:szCs w:val="28"/>
        </w:rPr>
        <w:t xml:space="preserve"> lietošanas tiesības aizvietojamas ar RS LM.3600 TDD </w:t>
      </w:r>
      <w:r>
        <w:t>3500-3550 MHz</w:t>
      </w:r>
      <w:r w:rsidRPr="00E92D8E">
        <w:rPr>
          <w:rFonts w:cs="Times New Roman"/>
          <w:szCs w:val="28"/>
        </w:rPr>
        <w:t xml:space="preserve"> frekvenču bloka lietošanas tiesībām;</w:t>
      </w:r>
    </w:p>
    <w:p w14:paraId="60BCF12B" w14:textId="77777777" w:rsidR="008D3EE1" w:rsidRPr="00E92D8E" w:rsidRDefault="008D3EE1" w:rsidP="008D3EE1">
      <w:pPr>
        <w:spacing w:after="120" w:line="240" w:lineRule="auto"/>
        <w:ind w:left="1559" w:hanging="839"/>
        <w:jc w:val="both"/>
        <w:rPr>
          <w:rFonts w:cs="Times New Roman"/>
          <w:szCs w:val="28"/>
        </w:rPr>
      </w:pPr>
      <w:r w:rsidRPr="00E92D8E">
        <w:rPr>
          <w:rFonts w:cs="Times New Roman"/>
          <w:szCs w:val="28"/>
        </w:rPr>
        <w:t xml:space="preserve">44.2. RS FX.035MP FDD </w:t>
      </w:r>
      <w:r>
        <w:rPr>
          <w:rFonts w:cs="Times New Roman"/>
          <w:szCs w:val="28"/>
        </w:rPr>
        <w:t>3438-3452 MHz/ 3538-3552 MHz un 3452-3466 MHz/ 3552-3566 MHz</w:t>
      </w:r>
      <w:r w:rsidRPr="00E92D8E" w:rsidDel="0085702A">
        <w:rPr>
          <w:rFonts w:cs="Times New Roman"/>
          <w:szCs w:val="28"/>
        </w:rPr>
        <w:t xml:space="preserve"> </w:t>
      </w:r>
      <w:r>
        <w:rPr>
          <w:rFonts w:cs="Times New Roman"/>
          <w:szCs w:val="28"/>
        </w:rPr>
        <w:t>radiokanālu</w:t>
      </w:r>
      <w:r w:rsidRPr="00E92D8E">
        <w:rPr>
          <w:rFonts w:cs="Times New Roman"/>
          <w:szCs w:val="28"/>
        </w:rPr>
        <w:t xml:space="preserve"> lietošanas tiesības aizvietojamas ar RS LM.3600 TDD </w:t>
      </w:r>
      <w:r>
        <w:t>3450-3500 MHz</w:t>
      </w:r>
      <w:r w:rsidRPr="00B42ECF">
        <w:t xml:space="preserve"> </w:t>
      </w:r>
      <w:r w:rsidRPr="002E1895">
        <w:t>[</w:t>
      </w:r>
      <w:r>
        <w:t>3550-3600 MHz</w:t>
      </w:r>
      <w:r w:rsidRPr="002E1895">
        <w:t>]</w:t>
      </w:r>
      <w:r w:rsidRPr="00E92D8E">
        <w:rPr>
          <w:rFonts w:cs="Times New Roman"/>
          <w:szCs w:val="28"/>
        </w:rPr>
        <w:t xml:space="preserve"> frekvenču bloka lietošanas tiesībām;</w:t>
      </w:r>
    </w:p>
    <w:p w14:paraId="4B7CF9CE" w14:textId="77777777" w:rsidR="008D3EE1" w:rsidRPr="00E92D8E" w:rsidRDefault="008D3EE1" w:rsidP="008D3EE1">
      <w:pPr>
        <w:spacing w:after="120" w:line="240" w:lineRule="auto"/>
        <w:ind w:left="1559" w:hanging="839"/>
        <w:jc w:val="both"/>
        <w:rPr>
          <w:rFonts w:cs="Times New Roman"/>
          <w:szCs w:val="28"/>
        </w:rPr>
      </w:pPr>
      <w:r w:rsidRPr="00E92D8E">
        <w:rPr>
          <w:rFonts w:cs="Times New Roman"/>
          <w:szCs w:val="28"/>
        </w:rPr>
        <w:t xml:space="preserve">44.3. RS FX.035MP FDD </w:t>
      </w:r>
      <w:r>
        <w:rPr>
          <w:rFonts w:cs="Times New Roman"/>
          <w:szCs w:val="28"/>
        </w:rPr>
        <w:t>3466-3480 MHz/ 3566-3580 MHz un 3480-3494 MHz/ 3580-3594 MHz radiokanālu</w:t>
      </w:r>
      <w:r w:rsidRPr="00E92D8E">
        <w:rPr>
          <w:rFonts w:cs="Times New Roman"/>
          <w:szCs w:val="28"/>
        </w:rPr>
        <w:t xml:space="preserve"> lietošanas tiesības aizvietojamas ar RS LM.3600 TDD </w:t>
      </w:r>
      <w:r>
        <w:t>3550-3600 MHz</w:t>
      </w:r>
      <w:r w:rsidRPr="00B42ECF">
        <w:t xml:space="preserve"> </w:t>
      </w:r>
      <w:r w:rsidRPr="002E1895">
        <w:t>[</w:t>
      </w:r>
      <w:r>
        <w:t>3450-3500 MHz</w:t>
      </w:r>
      <w:r w:rsidRPr="002E1895">
        <w:t>]</w:t>
      </w:r>
      <w:r w:rsidRPr="00E92D8E">
        <w:rPr>
          <w:rFonts w:cs="Times New Roman"/>
          <w:szCs w:val="28"/>
        </w:rPr>
        <w:t xml:space="preserve"> frekvenču bloka lietošanas tiesībām;</w:t>
      </w:r>
    </w:p>
    <w:p w14:paraId="14881EFE" w14:textId="77777777" w:rsidR="008D3EE1" w:rsidRPr="00E92D8E" w:rsidRDefault="008D3EE1" w:rsidP="008D3EE1">
      <w:pPr>
        <w:spacing w:after="120" w:line="240" w:lineRule="auto"/>
        <w:ind w:left="1559" w:hanging="839"/>
        <w:jc w:val="both"/>
        <w:rPr>
          <w:rFonts w:cs="Times New Roman"/>
          <w:szCs w:val="28"/>
        </w:rPr>
      </w:pPr>
      <w:r w:rsidRPr="00E92D8E">
        <w:rPr>
          <w:rFonts w:cs="Times New Roman"/>
          <w:szCs w:val="28"/>
        </w:rPr>
        <w:t xml:space="preserve">44.4. RS FX.037MP FDD </w:t>
      </w:r>
      <w:r>
        <w:rPr>
          <w:rFonts w:cs="Times New Roman"/>
          <w:szCs w:val="28"/>
        </w:rPr>
        <w:t>3615-3629 MHz/ 3715-3729 MHz un 3657-3671 MHz/ 3757-3771 MHz radiokanālu</w:t>
      </w:r>
      <w:r w:rsidRPr="00E92D8E">
        <w:rPr>
          <w:rFonts w:cs="Times New Roman"/>
          <w:szCs w:val="28"/>
        </w:rPr>
        <w:t xml:space="preserve"> lietošanas tiesības Rīgā aizvietojamas ar RS LM.3600 TDD </w:t>
      </w:r>
      <w:r>
        <w:t>3600-3650 MHz</w:t>
      </w:r>
      <w:r w:rsidRPr="00E92D8E">
        <w:rPr>
          <w:rFonts w:cs="Times New Roman"/>
          <w:szCs w:val="28"/>
        </w:rPr>
        <w:t xml:space="preserve"> frekvenču bloka lietošanas tiesībām Rīgā;</w:t>
      </w:r>
    </w:p>
    <w:p w14:paraId="4519B0DE" w14:textId="77777777" w:rsidR="008D3EE1" w:rsidRPr="00E92D8E" w:rsidRDefault="008D3EE1" w:rsidP="008D3EE1">
      <w:pPr>
        <w:spacing w:after="120" w:line="240" w:lineRule="auto"/>
        <w:ind w:left="1559" w:hanging="839"/>
        <w:jc w:val="both"/>
        <w:rPr>
          <w:rFonts w:cs="Times New Roman"/>
          <w:szCs w:val="28"/>
        </w:rPr>
      </w:pPr>
      <w:r w:rsidRPr="00E92D8E">
        <w:rPr>
          <w:rFonts w:cs="Times New Roman"/>
          <w:szCs w:val="28"/>
        </w:rPr>
        <w:t xml:space="preserve">44.5. RS FX.037MP FDD </w:t>
      </w:r>
      <w:r>
        <w:rPr>
          <w:rFonts w:cs="Times New Roman"/>
          <w:szCs w:val="28"/>
        </w:rPr>
        <w:t>3629-3643 MHz/ 3729-3743 MHz un 3643-3657 MHz/ 3743-3757 MHz radiokanālu</w:t>
      </w:r>
      <w:r w:rsidRPr="00E92D8E">
        <w:rPr>
          <w:rFonts w:cs="Times New Roman"/>
          <w:szCs w:val="28"/>
        </w:rPr>
        <w:t xml:space="preserve"> lietošanas tiesības aizvietojamas ar RS LM.3600 TDD </w:t>
      </w:r>
      <w:r>
        <w:t>3700-3750 MHz</w:t>
      </w:r>
      <w:r w:rsidRPr="00E92D8E">
        <w:rPr>
          <w:rFonts w:cs="Times New Roman"/>
          <w:szCs w:val="28"/>
        </w:rPr>
        <w:t xml:space="preserve"> frekvenču bloka lietošanas tiesībām;</w:t>
      </w:r>
    </w:p>
    <w:p w14:paraId="05A31024" w14:textId="77777777" w:rsidR="008D3EE1" w:rsidRDefault="008D3EE1" w:rsidP="008D3EE1">
      <w:pPr>
        <w:spacing w:after="120" w:line="240" w:lineRule="auto"/>
        <w:ind w:left="1559" w:hanging="839"/>
        <w:jc w:val="both"/>
        <w:rPr>
          <w:rFonts w:cs="Times New Roman"/>
          <w:szCs w:val="28"/>
        </w:rPr>
      </w:pPr>
      <w:r w:rsidRPr="00E92D8E">
        <w:rPr>
          <w:rFonts w:cs="Times New Roman"/>
          <w:szCs w:val="28"/>
        </w:rPr>
        <w:t xml:space="preserve">44.6. RS FX.037MP FDD </w:t>
      </w:r>
      <w:r>
        <w:rPr>
          <w:rFonts w:cs="Times New Roman"/>
          <w:szCs w:val="28"/>
        </w:rPr>
        <w:t>3671-3685 MHz/ 3771-3785 MHz un 3685-3699 MHz/ 3785-3799 MHz radiokanālu</w:t>
      </w:r>
      <w:r w:rsidRPr="00E92D8E">
        <w:rPr>
          <w:rFonts w:cs="Times New Roman"/>
          <w:szCs w:val="28"/>
        </w:rPr>
        <w:t xml:space="preserve"> lietošanas tiesības aizvietojamas ar RS LM.3600 TDD </w:t>
      </w:r>
      <w:r>
        <w:t>3750-3800 MHz</w:t>
      </w:r>
      <w:r w:rsidRPr="00E92D8E">
        <w:rPr>
          <w:rFonts w:cs="Times New Roman"/>
          <w:szCs w:val="28"/>
        </w:rPr>
        <w:t xml:space="preserve"> frekvenču bloka lietošanas tiesībām</w:t>
      </w:r>
      <w:r>
        <w:rPr>
          <w:rFonts w:cs="Times New Roman"/>
          <w:szCs w:val="28"/>
        </w:rPr>
        <w:t>;</w:t>
      </w:r>
    </w:p>
    <w:p w14:paraId="290B1E8F" w14:textId="5BAEE03C" w:rsidR="00344FF7" w:rsidRPr="00E92D8E" w:rsidRDefault="008D3EE1" w:rsidP="008D3EE1">
      <w:pPr>
        <w:spacing w:after="0" w:line="240" w:lineRule="auto"/>
        <w:ind w:left="1560" w:hanging="840"/>
        <w:jc w:val="both"/>
        <w:rPr>
          <w:rFonts w:cs="Times New Roman"/>
          <w:szCs w:val="28"/>
        </w:rPr>
      </w:pPr>
      <w:r w:rsidRPr="00E92D8E">
        <w:rPr>
          <w:rFonts w:cs="Times New Roman"/>
          <w:szCs w:val="28"/>
        </w:rPr>
        <w:t>44.</w:t>
      </w:r>
      <w:r>
        <w:rPr>
          <w:rFonts w:cs="Times New Roman"/>
          <w:szCs w:val="28"/>
        </w:rPr>
        <w:t>7</w:t>
      </w:r>
      <w:r w:rsidRPr="00E92D8E">
        <w:rPr>
          <w:rFonts w:cs="Times New Roman"/>
          <w:szCs w:val="28"/>
        </w:rPr>
        <w:t xml:space="preserve">. </w:t>
      </w:r>
      <w:r w:rsidRPr="009603AC">
        <w:rPr>
          <w:rFonts w:cs="Times New Roman"/>
          <w:szCs w:val="28"/>
        </w:rPr>
        <w:t xml:space="preserve">RS FX.037MP FDD </w:t>
      </w:r>
      <w:r w:rsidRPr="00CC7DB8">
        <w:rPr>
          <w:rFonts w:cs="Times New Roman"/>
          <w:szCs w:val="28"/>
        </w:rPr>
        <w:t>3615</w:t>
      </w:r>
      <w:r w:rsidRPr="004525D7">
        <w:rPr>
          <w:rFonts w:cs="Times New Roman"/>
          <w:szCs w:val="28"/>
        </w:rPr>
        <w:t>-3629 MHz/ 37</w:t>
      </w:r>
      <w:r w:rsidRPr="009603AC">
        <w:rPr>
          <w:rFonts w:cs="Times New Roman"/>
          <w:szCs w:val="28"/>
        </w:rPr>
        <w:t xml:space="preserve">15-3729 MHz radiokanāla lietošanas tiesības </w:t>
      </w:r>
      <w:r w:rsidRPr="00B61EE3">
        <w:rPr>
          <w:rFonts w:cs="Times New Roman"/>
        </w:rPr>
        <w:t>Latvijas Republikas teritorijā, izņemot Rīgu</w:t>
      </w:r>
      <w:r w:rsidRPr="009603AC">
        <w:rPr>
          <w:rFonts w:cs="Times New Roman"/>
        </w:rPr>
        <w:t>,</w:t>
      </w:r>
      <w:r w:rsidRPr="00CC7DB8">
        <w:rPr>
          <w:rFonts w:cs="Times New Roman"/>
          <w:szCs w:val="28"/>
        </w:rPr>
        <w:t xml:space="preserve"> aizvietojamas </w:t>
      </w:r>
      <w:r w:rsidRPr="004525D7">
        <w:rPr>
          <w:rFonts w:cs="Times New Roman"/>
          <w:szCs w:val="28"/>
        </w:rPr>
        <w:t xml:space="preserve">ar </w:t>
      </w:r>
      <w:r w:rsidRPr="00B61EE3">
        <w:rPr>
          <w:rFonts w:cs="Times New Roman"/>
          <w:szCs w:val="28"/>
        </w:rPr>
        <w:t xml:space="preserve">28 MHz frekvenču spektra lietošanas tiesībām </w:t>
      </w:r>
      <w:r w:rsidRPr="009603AC">
        <w:rPr>
          <w:rFonts w:cs="Times New Roman"/>
        </w:rPr>
        <w:t>Latvijas Republikas teritorijā, izņemot Rīgu</w:t>
      </w:r>
      <w:r w:rsidRPr="00B61EE3">
        <w:rPr>
          <w:rFonts w:cs="Times New Roman"/>
        </w:rPr>
        <w:t>,</w:t>
      </w:r>
      <w:r w:rsidRPr="00B61EE3">
        <w:rPr>
          <w:rFonts w:cs="Times New Roman"/>
          <w:szCs w:val="28"/>
        </w:rPr>
        <w:t xml:space="preserve"> </w:t>
      </w:r>
      <w:r w:rsidRPr="009603AC">
        <w:rPr>
          <w:rFonts w:cs="Times New Roman"/>
          <w:szCs w:val="28"/>
        </w:rPr>
        <w:t xml:space="preserve">RS LM.3600 TDD </w:t>
      </w:r>
      <w:r w:rsidRPr="00CC7DB8">
        <w:t>36</w:t>
      </w:r>
      <w:r w:rsidRPr="004525D7">
        <w:t>00-365</w:t>
      </w:r>
      <w:r w:rsidRPr="009603AC">
        <w:t>0 MHz</w:t>
      </w:r>
      <w:r w:rsidRPr="009603AC">
        <w:rPr>
          <w:rFonts w:cs="Times New Roman"/>
          <w:szCs w:val="28"/>
        </w:rPr>
        <w:t xml:space="preserve"> </w:t>
      </w:r>
      <w:r w:rsidRPr="00B61EE3">
        <w:rPr>
          <w:rFonts w:cs="Times New Roman"/>
          <w:szCs w:val="28"/>
        </w:rPr>
        <w:t xml:space="preserve">frekvenču </w:t>
      </w:r>
      <w:r w:rsidRPr="009603AC">
        <w:rPr>
          <w:rFonts w:cs="Times New Roman"/>
          <w:szCs w:val="28"/>
        </w:rPr>
        <w:t xml:space="preserve">bloka </w:t>
      </w:r>
      <w:r w:rsidRPr="00CC7DB8">
        <w:rPr>
          <w:rFonts w:cs="Times New Roman"/>
          <w:szCs w:val="28"/>
        </w:rPr>
        <w:t>ietvaros</w:t>
      </w:r>
      <w:r w:rsidR="00344FF7" w:rsidRPr="00E92D8E">
        <w:rPr>
          <w:rFonts w:cs="Times New Roman"/>
          <w:szCs w:val="28"/>
        </w:rPr>
        <w:t>.</w:t>
      </w:r>
    </w:p>
    <w:p w14:paraId="2AA02B8B" w14:textId="77777777" w:rsidR="00344FF7" w:rsidRPr="00E92D8E" w:rsidRDefault="00344FF7" w:rsidP="0052414E">
      <w:pPr>
        <w:jc w:val="both"/>
        <w:rPr>
          <w:rFonts w:cs="Times New Roman"/>
          <w:szCs w:val="28"/>
        </w:rPr>
      </w:pPr>
    </w:p>
    <w:p w14:paraId="3EDC39C2" w14:textId="5F103E40" w:rsidR="003D0EBD" w:rsidRPr="00E92D8E" w:rsidRDefault="003D0EBD" w:rsidP="005C715C">
      <w:pPr>
        <w:spacing w:line="240" w:lineRule="auto"/>
        <w:jc w:val="both"/>
        <w:rPr>
          <w:rFonts w:cs="Times New Roman"/>
          <w:szCs w:val="28"/>
        </w:rPr>
      </w:pPr>
      <w:r w:rsidRPr="00E92D8E">
        <w:rPr>
          <w:rFonts w:cs="Times New Roman"/>
          <w:szCs w:val="28"/>
        </w:rPr>
        <w:t xml:space="preserve">45. </w:t>
      </w:r>
      <w:r w:rsidR="003922B3" w:rsidRPr="002A635F">
        <w:rPr>
          <w:rFonts w:cs="Times New Roman"/>
          <w:szCs w:val="28"/>
        </w:rPr>
        <w:t>Pārejas periodā no 2016. gada 1. oktobra līdz 2018. gada 31. decembrim uzstādāmo</w:t>
      </w:r>
      <w:r w:rsidR="003922B3" w:rsidRPr="00A4736F">
        <w:rPr>
          <w:rFonts w:cs="Times New Roman"/>
          <w:szCs w:val="28"/>
        </w:rPr>
        <w:t xml:space="preserve">, radiosaskarnei RS LM.3600 atbilstošo </w:t>
      </w:r>
      <w:r w:rsidR="003922B3" w:rsidRPr="00863429">
        <w:rPr>
          <w:rFonts w:cs="Times New Roman"/>
        </w:rPr>
        <w:t>radioiekārt</w:t>
      </w:r>
      <w:r w:rsidR="003922B3" w:rsidRPr="002E6FDE">
        <w:rPr>
          <w:rFonts w:cs="Times New Roman"/>
        </w:rPr>
        <w:t xml:space="preserve">u </w:t>
      </w:r>
      <w:r w:rsidR="003922B3" w:rsidRPr="009603AC">
        <w:rPr>
          <w:rFonts w:cs="Times New Roman"/>
        </w:rPr>
        <w:t>radiofrekvences piešķīrumiem</w:t>
      </w:r>
      <w:r w:rsidR="003922B3" w:rsidRPr="009603AC" w:rsidDel="000D19A3">
        <w:rPr>
          <w:rFonts w:cs="Times New Roman"/>
          <w:szCs w:val="28"/>
        </w:rPr>
        <w:t xml:space="preserve"> </w:t>
      </w:r>
      <w:r w:rsidR="003922B3" w:rsidRPr="009603AC">
        <w:rPr>
          <w:rFonts w:cs="Times New Roman"/>
          <w:szCs w:val="28"/>
        </w:rPr>
        <w:t xml:space="preserve">tiek noteikti neaizsargāti izmantošanas nosacījumi attiecībā uz cita </w:t>
      </w:r>
      <w:r w:rsidR="003922B3" w:rsidRPr="009603AC">
        <w:rPr>
          <w:rFonts w:cs="Times New Roman"/>
          <w:szCs w:val="28"/>
        </w:rPr>
        <w:lastRenderedPageBreak/>
        <w:t xml:space="preserve">elektronisko sakaru komersanta ekspluatācijā esošo radiosaskarnei RS FX.035MP vai RS FX.037MP </w:t>
      </w:r>
      <w:r w:rsidR="003922B3" w:rsidRPr="00CC7DB8">
        <w:rPr>
          <w:rFonts w:cs="Times New Roman"/>
          <w:szCs w:val="28"/>
        </w:rPr>
        <w:t xml:space="preserve">atbilstošo </w:t>
      </w:r>
      <w:r w:rsidR="003922B3" w:rsidRPr="00CC7DB8">
        <w:rPr>
          <w:rFonts w:cs="Times New Roman"/>
        </w:rPr>
        <w:t>radioiekārtu radiofrekvences piešķīrumiem</w:t>
      </w:r>
      <w:r w:rsidR="003922B3" w:rsidRPr="00CC7DB8">
        <w:rPr>
          <w:rFonts w:cs="Times New Roman"/>
          <w:szCs w:val="28"/>
        </w:rPr>
        <w:t xml:space="preserve"> līdz šo </w:t>
      </w:r>
      <w:r w:rsidR="003922B3" w:rsidRPr="002A635F">
        <w:rPr>
          <w:rFonts w:cs="Times New Roman"/>
          <w:szCs w:val="28"/>
        </w:rPr>
        <w:t xml:space="preserve">radioiekārtu ekspluatācijas pārtraukšanai, bet ne ilgāk kā līdz 2018. gada 31. decembrim. Attiecīgo elektronisko sakaru tīklu operatori var vienoties par mazāk ierobežojošiem tehniskajiem pasākumiem </w:t>
      </w:r>
      <w:r w:rsidR="003922B3" w:rsidRPr="00A4736F">
        <w:rPr>
          <w:rFonts w:cs="Times New Roman"/>
          <w:szCs w:val="28"/>
        </w:rPr>
        <w:t>līdzāspastāvēšanai</w:t>
      </w:r>
      <w:r w:rsidRPr="00E92D8E">
        <w:rPr>
          <w:rFonts w:cs="Times New Roman"/>
          <w:szCs w:val="28"/>
        </w:rPr>
        <w:t>.</w:t>
      </w:r>
    </w:p>
    <w:p w14:paraId="26ECB98B" w14:textId="520F4B39" w:rsidR="00420D09" w:rsidRDefault="008B64BC" w:rsidP="00C91A64">
      <w:pPr>
        <w:tabs>
          <w:tab w:val="left" w:pos="5638"/>
        </w:tabs>
        <w:spacing w:after="0" w:line="240" w:lineRule="auto"/>
        <w:jc w:val="both"/>
        <w:rPr>
          <w:rFonts w:cs="Times New Roman"/>
          <w:szCs w:val="28"/>
          <w:highlight w:val="green"/>
        </w:rPr>
      </w:pPr>
      <w:r w:rsidRPr="00B61EE3">
        <w:rPr>
          <w:rFonts w:cs="Times New Roman"/>
          <w:szCs w:val="28"/>
        </w:rPr>
        <w:t xml:space="preserve">46. Elektronisko sakaru komersantam, kas radiofrekvenču spektra lietošanas tiesības šo noteikumu 297. punktā noteiktajā radiofrekvenču spektra joslā ir ieguvis izsoles kārtībā, no 2019. gada 1. janvāra Sabiedrisko pakalpojumu regulēšanas komisijā var pieprasīt papildus radiofrekvenču spektra lietošanas tiesības </w:t>
      </w:r>
      <w:r w:rsidRPr="00B61EE3">
        <w:rPr>
          <w:rFonts w:cs="Times New Roman"/>
        </w:rPr>
        <w:t>3600-3650 MHz joslā izmantošanai Latvijas Republikas teritorijā, izņemot Rīgu</w:t>
      </w:r>
      <w:r w:rsidRPr="00B61EE3">
        <w:rPr>
          <w:rFonts w:cs="Times New Roman"/>
          <w:szCs w:val="28"/>
        </w:rPr>
        <w:t>, lai nodrošinātu atbilstību radiosaskarnē RS LM.3600 noteiktajam minimālajam</w:t>
      </w:r>
      <w:r>
        <w:rPr>
          <w:rFonts w:cs="Times New Roman"/>
          <w:szCs w:val="28"/>
        </w:rPr>
        <w:t xml:space="preserve"> </w:t>
      </w:r>
      <w:r w:rsidRPr="00B5798C">
        <w:rPr>
          <w:rFonts w:cs="Times New Roman"/>
          <w:szCs w:val="28"/>
        </w:rPr>
        <w:t>nep</w:t>
      </w:r>
      <w:r>
        <w:rPr>
          <w:rFonts w:cs="Times New Roman"/>
          <w:szCs w:val="28"/>
        </w:rPr>
        <w:t xml:space="preserve">ārtraukta </w:t>
      </w:r>
      <w:r w:rsidRPr="00B61EE3">
        <w:rPr>
          <w:rFonts w:cs="Times New Roman"/>
          <w:szCs w:val="28"/>
        </w:rPr>
        <w:t>frekvenču bloka apjomam</w:t>
      </w:r>
      <w:r w:rsidR="0000040B">
        <w:rPr>
          <w:rFonts w:cs="Times New Roman"/>
          <w:szCs w:val="28"/>
        </w:rPr>
        <w:t>.</w:t>
      </w:r>
    </w:p>
    <w:p w14:paraId="56907F4E" w14:textId="77777777" w:rsidR="008B64BC" w:rsidRDefault="008B64BC" w:rsidP="00C91A64">
      <w:pPr>
        <w:tabs>
          <w:tab w:val="left" w:pos="5638"/>
        </w:tabs>
        <w:spacing w:after="0" w:line="240" w:lineRule="auto"/>
        <w:jc w:val="both"/>
        <w:rPr>
          <w:rFonts w:cs="Times New Roman"/>
          <w:szCs w:val="28"/>
          <w:highlight w:val="green"/>
        </w:rPr>
      </w:pPr>
    </w:p>
    <w:p w14:paraId="2991FED7" w14:textId="394A8CFA" w:rsidR="0000040B" w:rsidRDefault="0000040B" w:rsidP="003D0EBD">
      <w:pPr>
        <w:spacing w:after="0" w:line="240" w:lineRule="auto"/>
        <w:jc w:val="both"/>
        <w:rPr>
          <w:rFonts w:cs="Times New Roman"/>
          <w:szCs w:val="28"/>
        </w:rPr>
      </w:pPr>
      <w:r>
        <w:rPr>
          <w:rFonts w:cs="Times New Roman"/>
          <w:szCs w:val="28"/>
        </w:rPr>
        <w:t>47.</w:t>
      </w:r>
      <w:r w:rsidRPr="00E92D8E">
        <w:rPr>
          <w:rFonts w:cs="Times New Roman"/>
          <w:szCs w:val="28"/>
        </w:rPr>
        <w:t xml:space="preserve">Radiofrekvenču spektra lietošanas tiesības </w:t>
      </w:r>
      <w:r>
        <w:rPr>
          <w:rFonts w:cs="Times New Roman"/>
          <w:szCs w:val="28"/>
        </w:rPr>
        <w:t xml:space="preserve">radiosaskarnē </w:t>
      </w:r>
      <w:r w:rsidRPr="00E92D8E">
        <w:rPr>
          <w:rFonts w:cs="Times New Roman"/>
          <w:szCs w:val="28"/>
        </w:rPr>
        <w:t xml:space="preserve">RS LM.3600 </w:t>
      </w:r>
      <w:r>
        <w:rPr>
          <w:rFonts w:cs="Times New Roman"/>
          <w:szCs w:val="28"/>
        </w:rPr>
        <w:t xml:space="preserve">noteikto </w:t>
      </w:r>
      <w:r w:rsidRPr="00E92D8E">
        <w:rPr>
          <w:rFonts w:cs="Times New Roman"/>
          <w:szCs w:val="28"/>
        </w:rPr>
        <w:t xml:space="preserve">TDD </w:t>
      </w:r>
      <w:r>
        <w:rPr>
          <w:rFonts w:cs="Times New Roman"/>
        </w:rPr>
        <w:t>3400-3450 MHz</w:t>
      </w:r>
      <w:r w:rsidRPr="00774613">
        <w:rPr>
          <w:rFonts w:cs="Times New Roman"/>
        </w:rPr>
        <w:t xml:space="preserve"> un </w:t>
      </w:r>
      <w:r>
        <w:rPr>
          <w:rFonts w:cs="Times New Roman"/>
        </w:rPr>
        <w:t>3650-3700 MHz</w:t>
      </w:r>
      <w:r w:rsidRPr="00E92D8E">
        <w:rPr>
          <w:rFonts w:cs="Times New Roman"/>
          <w:szCs w:val="28"/>
        </w:rPr>
        <w:t xml:space="preserve"> frekvenču bloku izmantošanai no 2019.</w:t>
      </w:r>
      <w:r>
        <w:rPr>
          <w:rFonts w:cs="Times New Roman"/>
          <w:szCs w:val="28"/>
        </w:rPr>
        <w:t> </w:t>
      </w:r>
      <w:r w:rsidRPr="00E92D8E">
        <w:rPr>
          <w:rFonts w:cs="Times New Roman"/>
          <w:szCs w:val="28"/>
        </w:rPr>
        <w:t>gada 1.</w:t>
      </w:r>
      <w:r>
        <w:rPr>
          <w:rFonts w:cs="Times New Roman"/>
          <w:szCs w:val="28"/>
        </w:rPr>
        <w:t> </w:t>
      </w:r>
      <w:r w:rsidRPr="00E92D8E">
        <w:rPr>
          <w:rFonts w:cs="Times New Roman"/>
          <w:szCs w:val="28"/>
        </w:rPr>
        <w:t>janvāra piešķir Elektronisko sakaru likumā noteiktajā kārtībā par radiofrekvenču spektra izmantošanu komercdarbībai elektronisko sakaru nozarē elek</w:t>
      </w:r>
      <w:r w:rsidRPr="00A94D74">
        <w:rPr>
          <w:rFonts w:cs="Times New Roman"/>
          <w:szCs w:val="28"/>
        </w:rPr>
        <w:t xml:space="preserve">tronisko sakaru komersantam, kuram līdz 2016. gada </w:t>
      </w:r>
      <w:r>
        <w:rPr>
          <w:rFonts w:cs="Times New Roman"/>
          <w:szCs w:val="28"/>
        </w:rPr>
        <w:t>1</w:t>
      </w:r>
      <w:r w:rsidRPr="00A94D74">
        <w:rPr>
          <w:rFonts w:cs="Times New Roman"/>
          <w:szCs w:val="28"/>
        </w:rPr>
        <w:t xml:space="preserve">. </w:t>
      </w:r>
      <w:r>
        <w:rPr>
          <w:rFonts w:cs="Times New Roman"/>
          <w:szCs w:val="28"/>
        </w:rPr>
        <w:t>oktobrim</w:t>
      </w:r>
      <w:r w:rsidRPr="00A94D74">
        <w:rPr>
          <w:rFonts w:cs="Times New Roman"/>
          <w:szCs w:val="28"/>
        </w:rPr>
        <w:t xml:space="preserve"> na</w:t>
      </w:r>
      <w:r w:rsidRPr="00E92D8E">
        <w:rPr>
          <w:rFonts w:cs="Times New Roman"/>
          <w:szCs w:val="28"/>
        </w:rPr>
        <w:t>v piešķirtas šo noteikumu 1.</w:t>
      </w:r>
      <w:r>
        <w:rPr>
          <w:rFonts w:cs="Times New Roman"/>
          <w:szCs w:val="28"/>
        </w:rPr>
        <w:t> </w:t>
      </w:r>
      <w:r w:rsidRPr="00E92D8E">
        <w:rPr>
          <w:rFonts w:cs="Times New Roman"/>
          <w:szCs w:val="28"/>
        </w:rPr>
        <w:t>pielikuma 296.</w:t>
      </w:r>
      <w:r>
        <w:rPr>
          <w:rFonts w:cs="Times New Roman"/>
          <w:szCs w:val="28"/>
        </w:rPr>
        <w:t> </w:t>
      </w:r>
      <w:r w:rsidRPr="00E92D8E">
        <w:rPr>
          <w:rFonts w:cs="Times New Roman"/>
          <w:szCs w:val="28"/>
        </w:rPr>
        <w:t>un 297.</w:t>
      </w:r>
      <w:r>
        <w:rPr>
          <w:rFonts w:cs="Times New Roman"/>
          <w:szCs w:val="28"/>
        </w:rPr>
        <w:t> </w:t>
      </w:r>
      <w:r w:rsidRPr="00E92D8E">
        <w:rPr>
          <w:rFonts w:cs="Times New Roman"/>
          <w:szCs w:val="28"/>
        </w:rPr>
        <w:t>punktā noteiktā radiofrekvenču spektra lietošanas tiesības</w:t>
      </w:r>
      <w:r w:rsidR="00943C2A">
        <w:rPr>
          <w:rFonts w:cs="Times New Roman"/>
          <w:szCs w:val="28"/>
        </w:rPr>
        <w:t>.</w:t>
      </w:r>
    </w:p>
    <w:p w14:paraId="60EA4390" w14:textId="77777777" w:rsidR="0000040B" w:rsidRPr="0000040B" w:rsidRDefault="0000040B" w:rsidP="003D0EBD">
      <w:pPr>
        <w:spacing w:after="0" w:line="240" w:lineRule="auto"/>
        <w:jc w:val="both"/>
        <w:rPr>
          <w:rFonts w:cs="Times New Roman"/>
          <w:szCs w:val="28"/>
        </w:rPr>
      </w:pPr>
    </w:p>
    <w:p w14:paraId="09F0D52A" w14:textId="03898B69" w:rsidR="00630F41" w:rsidRPr="0000040B" w:rsidRDefault="00B36E80" w:rsidP="003D0EBD">
      <w:pPr>
        <w:spacing w:after="0" w:line="240" w:lineRule="auto"/>
        <w:jc w:val="both"/>
        <w:rPr>
          <w:rFonts w:cs="Times New Roman"/>
          <w:szCs w:val="28"/>
        </w:rPr>
      </w:pPr>
      <w:r w:rsidRPr="0000040B">
        <w:rPr>
          <w:rFonts w:cs="Times New Roman"/>
          <w:szCs w:val="28"/>
        </w:rPr>
        <w:t>4</w:t>
      </w:r>
      <w:r w:rsidR="0000040B" w:rsidRPr="0000040B">
        <w:rPr>
          <w:rFonts w:cs="Times New Roman"/>
          <w:szCs w:val="28"/>
        </w:rPr>
        <w:t>8</w:t>
      </w:r>
      <w:r w:rsidRPr="0000040B">
        <w:rPr>
          <w:rFonts w:cs="Times New Roman"/>
          <w:szCs w:val="28"/>
        </w:rPr>
        <w:t xml:space="preserve">. </w:t>
      </w:r>
      <w:r w:rsidR="0000040B" w:rsidRPr="0000040B">
        <w:rPr>
          <w:rFonts w:cs="Times New Roman"/>
          <w:szCs w:val="28"/>
        </w:rPr>
        <w:t>Šo noteikumu 1.pielikuma 296. un 297. punktā noteikto 3400-3600 MHz un 3600-3800 MHz radiofrekvenču joslu lietošanas tiesību piešķīruma vai pagarinājuma termiņš ir spēkā līdz 2028. gada 31. decembrim.</w:t>
      </w:r>
      <w:r w:rsidR="00910334" w:rsidRPr="0000040B">
        <w:rPr>
          <w:rFonts w:cs="Times New Roman"/>
          <w:szCs w:val="28"/>
        </w:rPr>
        <w:t>”</w:t>
      </w:r>
    </w:p>
    <w:p w14:paraId="772E6D38" w14:textId="77777777" w:rsidR="00630F41" w:rsidRDefault="00630F41" w:rsidP="003D0EBD">
      <w:pPr>
        <w:spacing w:after="0" w:line="240" w:lineRule="auto"/>
        <w:jc w:val="both"/>
        <w:rPr>
          <w:rFonts w:cs="Times New Roman"/>
          <w:szCs w:val="28"/>
        </w:rPr>
      </w:pPr>
    </w:p>
    <w:p w14:paraId="1279DC97" w14:textId="77777777" w:rsidR="004A4208" w:rsidRPr="003B5F0F" w:rsidRDefault="004A4208" w:rsidP="003D0EBD">
      <w:pPr>
        <w:spacing w:after="0" w:line="240" w:lineRule="auto"/>
        <w:jc w:val="both"/>
        <w:rPr>
          <w:rFonts w:cs="Times New Roman"/>
          <w:szCs w:val="28"/>
        </w:rPr>
      </w:pPr>
    </w:p>
    <w:p w14:paraId="281F6368" w14:textId="17A31AB3" w:rsidR="00E4264F" w:rsidRDefault="00E4264F" w:rsidP="00E4264F">
      <w:pPr>
        <w:pStyle w:val="ListParagraph"/>
        <w:numPr>
          <w:ilvl w:val="0"/>
          <w:numId w:val="5"/>
        </w:numPr>
        <w:spacing w:after="0" w:line="240" w:lineRule="auto"/>
        <w:jc w:val="both"/>
        <w:rPr>
          <w:rFonts w:cs="Times New Roman"/>
          <w:szCs w:val="28"/>
        </w:rPr>
      </w:pPr>
      <w:r w:rsidRPr="00E92D8E">
        <w:rPr>
          <w:rFonts w:cs="Times New Roman"/>
          <w:szCs w:val="28"/>
        </w:rPr>
        <w:t>Izteikt 1.pielikuma 2</w:t>
      </w:r>
      <w:r>
        <w:rPr>
          <w:rFonts w:cs="Times New Roman"/>
          <w:szCs w:val="28"/>
        </w:rPr>
        <w:t>7</w:t>
      </w:r>
      <w:r w:rsidRPr="00E92D8E">
        <w:rPr>
          <w:rFonts w:cs="Times New Roman"/>
          <w:szCs w:val="28"/>
        </w:rPr>
        <w:t xml:space="preserve">6. punktu šādā redakcijā: </w:t>
      </w:r>
    </w:p>
    <w:p w14:paraId="1B635B1E" w14:textId="1B704566" w:rsidR="00943C2A" w:rsidRPr="004A4208" w:rsidRDefault="00E4264F" w:rsidP="00943C2A">
      <w:pPr>
        <w:spacing w:after="0" w:line="240" w:lineRule="auto"/>
        <w:jc w:val="both"/>
        <w:rPr>
          <w:rFonts w:cs="Times New Roman"/>
          <w:szCs w:val="28"/>
        </w:rPr>
      </w:pPr>
      <w:r w:rsidRPr="004A4208">
        <w:rPr>
          <w:rFonts w:cs="Times New Roman"/>
          <w:szCs w:val="28"/>
        </w:rPr>
        <w:t>“</w:t>
      </w:r>
    </w:p>
    <w:tbl>
      <w:tblPr>
        <w:tblW w:w="5032"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49"/>
        <w:gridCol w:w="1549"/>
        <w:gridCol w:w="1549"/>
        <w:gridCol w:w="1622"/>
        <w:gridCol w:w="2501"/>
        <w:gridCol w:w="1634"/>
      </w:tblGrid>
      <w:tr w:rsidR="00E4264F" w:rsidRPr="004A4208" w14:paraId="651B436A" w14:textId="77777777" w:rsidTr="00E4264F">
        <w:trPr>
          <w:tblCellSpacing w:w="15" w:type="dxa"/>
        </w:trPr>
        <w:tc>
          <w:tcPr>
            <w:tcW w:w="271" w:type="pct"/>
            <w:tcBorders>
              <w:top w:val="outset" w:sz="6" w:space="0" w:color="auto"/>
              <w:left w:val="outset" w:sz="6" w:space="0" w:color="auto"/>
              <w:bottom w:val="outset" w:sz="6" w:space="0" w:color="auto"/>
              <w:right w:val="outset" w:sz="6" w:space="0" w:color="auto"/>
            </w:tcBorders>
            <w:hideMark/>
          </w:tcPr>
          <w:p w14:paraId="3D35D01A" w14:textId="77777777" w:rsidR="00E4264F" w:rsidRPr="004A4208" w:rsidRDefault="00E4264F" w:rsidP="00B61EE3">
            <w:pPr>
              <w:spacing w:after="0" w:line="240" w:lineRule="auto"/>
              <w:rPr>
                <w:rFonts w:eastAsia="Times New Roman" w:cs="Times New Roman"/>
                <w:sz w:val="20"/>
                <w:szCs w:val="20"/>
                <w:lang w:eastAsia="lv-LV"/>
              </w:rPr>
            </w:pPr>
            <w:r w:rsidRPr="004A4208">
              <w:rPr>
                <w:rFonts w:eastAsia="Times New Roman" w:cs="Times New Roman"/>
                <w:sz w:val="20"/>
                <w:szCs w:val="20"/>
                <w:lang w:eastAsia="lv-LV"/>
              </w:rPr>
              <w:t>276.</w:t>
            </w:r>
          </w:p>
        </w:tc>
        <w:tc>
          <w:tcPr>
            <w:tcW w:w="4681" w:type="pct"/>
            <w:gridSpan w:val="5"/>
            <w:tcBorders>
              <w:top w:val="outset" w:sz="6" w:space="0" w:color="auto"/>
              <w:left w:val="outset" w:sz="6" w:space="0" w:color="auto"/>
              <w:bottom w:val="outset" w:sz="6" w:space="0" w:color="auto"/>
              <w:right w:val="outset" w:sz="6" w:space="0" w:color="auto"/>
            </w:tcBorders>
            <w:hideMark/>
          </w:tcPr>
          <w:p w14:paraId="547D470B" w14:textId="77777777" w:rsidR="00E4264F" w:rsidRPr="004A4208" w:rsidRDefault="00E4264F" w:rsidP="00B61EE3">
            <w:pPr>
              <w:spacing w:before="100" w:beforeAutospacing="1" w:after="100" w:afterAutospacing="1" w:line="240" w:lineRule="auto"/>
              <w:jc w:val="center"/>
              <w:rPr>
                <w:rFonts w:eastAsia="Times New Roman" w:cs="Times New Roman"/>
                <w:b/>
                <w:bCs/>
                <w:sz w:val="20"/>
                <w:szCs w:val="20"/>
                <w:lang w:eastAsia="lv-LV"/>
              </w:rPr>
            </w:pPr>
            <w:r w:rsidRPr="004A4208">
              <w:rPr>
                <w:rFonts w:eastAsia="Times New Roman" w:cs="Times New Roman"/>
                <w:b/>
                <w:bCs/>
                <w:sz w:val="20"/>
                <w:szCs w:val="20"/>
                <w:lang w:eastAsia="lv-LV"/>
              </w:rPr>
              <w:t>2 010–2 025 MHz</w:t>
            </w:r>
          </w:p>
        </w:tc>
      </w:tr>
      <w:tr w:rsidR="00E4264F" w:rsidRPr="004A4208" w14:paraId="170CDB6E" w14:textId="77777777" w:rsidTr="00E4264F">
        <w:trPr>
          <w:tblCellSpacing w:w="15" w:type="dxa"/>
        </w:trPr>
        <w:tc>
          <w:tcPr>
            <w:tcW w:w="271" w:type="pct"/>
            <w:tcBorders>
              <w:top w:val="outset" w:sz="6" w:space="0" w:color="auto"/>
              <w:left w:val="outset" w:sz="6" w:space="0" w:color="auto"/>
              <w:bottom w:val="outset" w:sz="6" w:space="0" w:color="auto"/>
              <w:right w:val="outset" w:sz="6" w:space="0" w:color="auto"/>
            </w:tcBorders>
            <w:hideMark/>
          </w:tcPr>
          <w:p w14:paraId="61F63237" w14:textId="77777777" w:rsidR="00E4264F" w:rsidRPr="004A4208" w:rsidRDefault="00E4264F" w:rsidP="00B61EE3">
            <w:pPr>
              <w:spacing w:after="0" w:line="240" w:lineRule="auto"/>
              <w:rPr>
                <w:rFonts w:eastAsia="Times New Roman" w:cs="Times New Roman"/>
                <w:sz w:val="20"/>
                <w:szCs w:val="20"/>
                <w:lang w:eastAsia="lv-LV"/>
              </w:rPr>
            </w:pPr>
            <w:r w:rsidRPr="004A4208">
              <w:rPr>
                <w:rFonts w:eastAsia="Times New Roman" w:cs="Times New Roman"/>
                <w:sz w:val="20"/>
                <w:szCs w:val="20"/>
                <w:lang w:eastAsia="lv-LV"/>
              </w:rPr>
              <w:t> </w:t>
            </w:r>
          </w:p>
        </w:tc>
        <w:tc>
          <w:tcPr>
            <w:tcW w:w="818" w:type="pct"/>
            <w:tcBorders>
              <w:top w:val="outset" w:sz="6" w:space="0" w:color="auto"/>
              <w:left w:val="outset" w:sz="6" w:space="0" w:color="auto"/>
              <w:bottom w:val="outset" w:sz="6" w:space="0" w:color="auto"/>
              <w:right w:val="outset" w:sz="6" w:space="0" w:color="auto"/>
            </w:tcBorders>
            <w:hideMark/>
          </w:tcPr>
          <w:p w14:paraId="3CF159B9" w14:textId="77777777" w:rsidR="00E4264F" w:rsidRPr="004A4208" w:rsidRDefault="00E4264F" w:rsidP="00B61EE3">
            <w:pPr>
              <w:spacing w:after="0" w:line="240" w:lineRule="auto"/>
              <w:rPr>
                <w:rFonts w:eastAsia="Times New Roman" w:cs="Times New Roman"/>
                <w:sz w:val="20"/>
                <w:szCs w:val="20"/>
                <w:lang w:eastAsia="lv-LV"/>
              </w:rPr>
            </w:pPr>
            <w:r w:rsidRPr="004A4208">
              <w:rPr>
                <w:rFonts w:eastAsia="Times New Roman" w:cs="Times New Roman"/>
                <w:sz w:val="20"/>
                <w:szCs w:val="20"/>
                <w:lang w:eastAsia="lv-LV"/>
              </w:rPr>
              <w:t xml:space="preserve">FIKSĒTAIS </w:t>
            </w:r>
          </w:p>
          <w:p w14:paraId="120BDDB6" w14:textId="77777777" w:rsidR="00E4264F" w:rsidRPr="004A4208" w:rsidRDefault="00E4264F" w:rsidP="00B61EE3">
            <w:pPr>
              <w:spacing w:before="100" w:beforeAutospacing="1" w:after="100" w:afterAutospacing="1" w:line="240" w:lineRule="auto"/>
              <w:rPr>
                <w:rFonts w:eastAsia="Times New Roman" w:cs="Times New Roman"/>
                <w:sz w:val="20"/>
                <w:szCs w:val="20"/>
                <w:lang w:eastAsia="lv-LV"/>
              </w:rPr>
            </w:pPr>
            <w:r w:rsidRPr="004A4208">
              <w:rPr>
                <w:rFonts w:eastAsia="Times New Roman" w:cs="Times New Roman"/>
                <w:sz w:val="20"/>
                <w:szCs w:val="20"/>
                <w:lang w:eastAsia="lv-LV"/>
              </w:rPr>
              <w:t>MOBILAIS 5.388A</w:t>
            </w:r>
          </w:p>
          <w:p w14:paraId="6C4537E0" w14:textId="77777777" w:rsidR="00E4264F" w:rsidRPr="004A4208" w:rsidRDefault="00E4264F" w:rsidP="00B61EE3">
            <w:pPr>
              <w:spacing w:before="100" w:beforeAutospacing="1" w:after="100" w:afterAutospacing="1" w:line="240" w:lineRule="auto"/>
              <w:rPr>
                <w:rFonts w:eastAsia="Times New Roman" w:cs="Times New Roman"/>
                <w:sz w:val="20"/>
                <w:szCs w:val="20"/>
                <w:lang w:eastAsia="lv-LV"/>
              </w:rPr>
            </w:pPr>
            <w:r w:rsidRPr="004A4208">
              <w:rPr>
                <w:rFonts w:eastAsia="Times New Roman" w:cs="Times New Roman"/>
                <w:sz w:val="20"/>
                <w:szCs w:val="20"/>
                <w:lang w:eastAsia="lv-LV"/>
              </w:rPr>
              <w:t>5.388</w:t>
            </w:r>
          </w:p>
        </w:tc>
        <w:tc>
          <w:tcPr>
            <w:tcW w:w="818" w:type="pct"/>
            <w:tcBorders>
              <w:top w:val="outset" w:sz="6" w:space="0" w:color="auto"/>
              <w:left w:val="outset" w:sz="6" w:space="0" w:color="auto"/>
              <w:bottom w:val="outset" w:sz="6" w:space="0" w:color="auto"/>
              <w:right w:val="outset" w:sz="6" w:space="0" w:color="auto"/>
            </w:tcBorders>
            <w:hideMark/>
          </w:tcPr>
          <w:p w14:paraId="367D8563" w14:textId="77777777" w:rsidR="00E4264F" w:rsidRPr="004A4208" w:rsidRDefault="00E4264F" w:rsidP="00B61EE3">
            <w:pPr>
              <w:spacing w:after="0" w:line="240" w:lineRule="auto"/>
              <w:rPr>
                <w:rFonts w:eastAsia="Times New Roman" w:cs="Times New Roman"/>
                <w:sz w:val="20"/>
                <w:szCs w:val="20"/>
                <w:lang w:eastAsia="lv-LV"/>
              </w:rPr>
            </w:pPr>
            <w:r w:rsidRPr="004A4208">
              <w:rPr>
                <w:rFonts w:eastAsia="Times New Roman" w:cs="Times New Roman"/>
                <w:sz w:val="20"/>
                <w:szCs w:val="20"/>
                <w:lang w:eastAsia="lv-LV"/>
              </w:rPr>
              <w:t xml:space="preserve">FIKSĒTAIS </w:t>
            </w:r>
          </w:p>
          <w:p w14:paraId="0872E7EE" w14:textId="77777777" w:rsidR="00E4264F" w:rsidRPr="004A4208" w:rsidRDefault="00E4264F" w:rsidP="00B61EE3">
            <w:pPr>
              <w:spacing w:before="100" w:beforeAutospacing="1" w:after="100" w:afterAutospacing="1" w:line="240" w:lineRule="auto"/>
              <w:rPr>
                <w:rFonts w:eastAsia="Times New Roman" w:cs="Times New Roman"/>
                <w:sz w:val="20"/>
                <w:szCs w:val="20"/>
                <w:lang w:eastAsia="lv-LV"/>
              </w:rPr>
            </w:pPr>
            <w:r w:rsidRPr="004A4208">
              <w:rPr>
                <w:rFonts w:eastAsia="Times New Roman" w:cs="Times New Roman"/>
                <w:sz w:val="20"/>
                <w:szCs w:val="20"/>
                <w:lang w:eastAsia="lv-LV"/>
              </w:rPr>
              <w:t>MOBILAIS 5.388A</w:t>
            </w:r>
          </w:p>
          <w:p w14:paraId="3B385B72" w14:textId="77777777" w:rsidR="00E4264F" w:rsidRPr="004A4208" w:rsidRDefault="00E4264F" w:rsidP="00B61EE3">
            <w:pPr>
              <w:spacing w:before="100" w:beforeAutospacing="1" w:after="100" w:afterAutospacing="1" w:line="240" w:lineRule="auto"/>
              <w:rPr>
                <w:rFonts w:eastAsia="Times New Roman" w:cs="Times New Roman"/>
                <w:sz w:val="20"/>
                <w:szCs w:val="20"/>
                <w:lang w:eastAsia="lv-LV"/>
              </w:rPr>
            </w:pPr>
            <w:r w:rsidRPr="004A4208">
              <w:rPr>
                <w:rFonts w:eastAsia="Times New Roman" w:cs="Times New Roman"/>
                <w:sz w:val="20"/>
                <w:szCs w:val="20"/>
                <w:lang w:eastAsia="lv-LV"/>
              </w:rPr>
              <w:t>5.388</w:t>
            </w:r>
          </w:p>
        </w:tc>
        <w:tc>
          <w:tcPr>
            <w:tcW w:w="858" w:type="pct"/>
            <w:tcBorders>
              <w:top w:val="outset" w:sz="6" w:space="0" w:color="auto"/>
              <w:left w:val="outset" w:sz="6" w:space="0" w:color="auto"/>
              <w:bottom w:val="outset" w:sz="6" w:space="0" w:color="auto"/>
              <w:right w:val="outset" w:sz="6" w:space="0" w:color="auto"/>
            </w:tcBorders>
            <w:hideMark/>
          </w:tcPr>
          <w:p w14:paraId="7C18F0EA" w14:textId="77777777" w:rsidR="00E4264F" w:rsidRPr="004A4208" w:rsidRDefault="00E4264F" w:rsidP="00B61EE3">
            <w:pPr>
              <w:spacing w:after="0" w:line="240" w:lineRule="auto"/>
              <w:rPr>
                <w:rFonts w:eastAsia="Times New Roman" w:cs="Times New Roman"/>
                <w:sz w:val="20"/>
                <w:szCs w:val="20"/>
                <w:lang w:eastAsia="lv-LV"/>
              </w:rPr>
            </w:pPr>
            <w:r w:rsidRPr="004A4208">
              <w:rPr>
                <w:rFonts w:eastAsia="Times New Roman" w:cs="Times New Roman"/>
                <w:sz w:val="20"/>
                <w:szCs w:val="20"/>
                <w:lang w:eastAsia="lv-LV"/>
              </w:rPr>
              <w:t>Video PMSE</w:t>
            </w:r>
          </w:p>
          <w:p w14:paraId="63DF2C4E" w14:textId="77777777" w:rsidR="00E4264F" w:rsidRPr="004A4208" w:rsidRDefault="00E4264F" w:rsidP="00B61EE3">
            <w:pPr>
              <w:spacing w:after="0" w:line="240" w:lineRule="auto"/>
              <w:rPr>
                <w:rFonts w:eastAsia="Times New Roman" w:cs="Times New Roman"/>
                <w:sz w:val="20"/>
                <w:szCs w:val="20"/>
                <w:lang w:eastAsia="lv-LV"/>
              </w:rPr>
            </w:pPr>
          </w:p>
          <w:p w14:paraId="03B38A60" w14:textId="77777777" w:rsidR="00E4264F" w:rsidRPr="004A4208" w:rsidRDefault="00E4264F" w:rsidP="00B61EE3">
            <w:pPr>
              <w:spacing w:after="0" w:line="240" w:lineRule="auto"/>
              <w:rPr>
                <w:rFonts w:eastAsia="Times New Roman" w:cs="Times New Roman"/>
                <w:sz w:val="20"/>
                <w:szCs w:val="20"/>
                <w:lang w:eastAsia="lv-LV"/>
              </w:rPr>
            </w:pPr>
            <w:r w:rsidRPr="004A4208">
              <w:rPr>
                <w:rFonts w:eastAsia="Times New Roman" w:cs="Times New Roman"/>
                <w:sz w:val="20"/>
                <w:szCs w:val="20"/>
                <w:lang w:eastAsia="lv-LV"/>
              </w:rPr>
              <w:t>Portatīvas un mobilas radiolīnijas videosignāla pārraidei</w:t>
            </w:r>
          </w:p>
        </w:tc>
        <w:tc>
          <w:tcPr>
            <w:tcW w:w="1331" w:type="pct"/>
            <w:tcBorders>
              <w:top w:val="outset" w:sz="6" w:space="0" w:color="auto"/>
              <w:left w:val="outset" w:sz="6" w:space="0" w:color="auto"/>
              <w:bottom w:val="outset" w:sz="6" w:space="0" w:color="auto"/>
              <w:right w:val="outset" w:sz="6" w:space="0" w:color="auto"/>
            </w:tcBorders>
            <w:hideMark/>
          </w:tcPr>
          <w:p w14:paraId="19D036C8" w14:textId="4A7A7C62" w:rsidR="00E4264F" w:rsidRPr="004A4208" w:rsidRDefault="00E4264F" w:rsidP="004A4208">
            <w:pPr>
              <w:spacing w:before="100" w:beforeAutospacing="1" w:after="100" w:afterAutospacing="1" w:line="240" w:lineRule="auto"/>
              <w:rPr>
                <w:rFonts w:eastAsia="Times New Roman" w:cs="Times New Roman"/>
                <w:sz w:val="20"/>
                <w:szCs w:val="20"/>
                <w:lang w:eastAsia="lv-LV"/>
              </w:rPr>
            </w:pPr>
            <w:r w:rsidRPr="004A4208">
              <w:rPr>
                <w:rFonts w:eastAsia="Times New Roman" w:cs="Times New Roman"/>
                <w:sz w:val="20"/>
                <w:szCs w:val="20"/>
                <w:lang w:eastAsia="lv-LV"/>
              </w:rPr>
              <w:t>Komisijas 2016. gada 8. marta īstenošanas lēmums Nr. 2016/339 par 2 010–2 025 MHz frekvenču joslas harmonizēšanu portatīvām vai mobilām bezvadu videolīnijām un bezvadu kamerām, ko izmanto programmu gatavošanai un īpašajiem pasākumiem</w:t>
            </w:r>
          </w:p>
        </w:tc>
        <w:tc>
          <w:tcPr>
            <w:tcW w:w="792" w:type="pct"/>
            <w:tcBorders>
              <w:top w:val="outset" w:sz="6" w:space="0" w:color="auto"/>
              <w:left w:val="outset" w:sz="6" w:space="0" w:color="auto"/>
              <w:bottom w:val="outset" w:sz="6" w:space="0" w:color="auto"/>
              <w:right w:val="outset" w:sz="6" w:space="0" w:color="auto"/>
            </w:tcBorders>
            <w:hideMark/>
          </w:tcPr>
          <w:p w14:paraId="63D24915" w14:textId="77777777" w:rsidR="00E4264F" w:rsidRPr="004A4208" w:rsidRDefault="00E4264F" w:rsidP="00B61EE3">
            <w:pPr>
              <w:spacing w:after="0" w:line="240" w:lineRule="auto"/>
              <w:rPr>
                <w:rFonts w:eastAsia="Times New Roman" w:cs="Times New Roman"/>
                <w:sz w:val="20"/>
                <w:szCs w:val="20"/>
                <w:lang w:eastAsia="lv-LV"/>
              </w:rPr>
            </w:pPr>
            <w:r w:rsidRPr="004A4208">
              <w:rPr>
                <w:rFonts w:eastAsia="Times New Roman" w:cs="Times New Roman"/>
                <w:sz w:val="20"/>
                <w:szCs w:val="20"/>
                <w:lang w:eastAsia="lv-LV"/>
              </w:rPr>
              <w:t>Privātie elektronisko sakaru tīkli</w:t>
            </w:r>
          </w:p>
          <w:p w14:paraId="154A8DD6" w14:textId="77777777" w:rsidR="00E4264F" w:rsidRPr="004A4208" w:rsidRDefault="00E4264F" w:rsidP="00B61EE3">
            <w:pPr>
              <w:spacing w:after="0" w:line="240" w:lineRule="auto"/>
              <w:rPr>
                <w:rFonts w:eastAsia="Times New Roman" w:cs="Times New Roman"/>
                <w:sz w:val="20"/>
                <w:szCs w:val="20"/>
                <w:lang w:eastAsia="lv-LV"/>
              </w:rPr>
            </w:pPr>
          </w:p>
          <w:p w14:paraId="68301119" w14:textId="77777777" w:rsidR="00E4264F" w:rsidRPr="004A4208" w:rsidRDefault="00E4264F" w:rsidP="00B61EE3">
            <w:pPr>
              <w:spacing w:before="100" w:beforeAutospacing="1" w:after="100" w:afterAutospacing="1" w:line="240" w:lineRule="auto"/>
              <w:rPr>
                <w:rFonts w:eastAsia="Times New Roman" w:cs="Times New Roman"/>
                <w:sz w:val="20"/>
                <w:szCs w:val="20"/>
                <w:lang w:eastAsia="lv-LV"/>
              </w:rPr>
            </w:pPr>
            <w:r w:rsidRPr="004A4208">
              <w:rPr>
                <w:rFonts w:eastAsia="Times New Roman" w:cs="Times New Roman"/>
                <w:sz w:val="20"/>
                <w:szCs w:val="20"/>
                <w:lang w:eastAsia="lv-LV"/>
              </w:rPr>
              <w:t>Radiosaskarne RS PMSE.02</w:t>
            </w:r>
          </w:p>
        </w:tc>
      </w:tr>
    </w:tbl>
    <w:p w14:paraId="7EC89DCC" w14:textId="6A672817" w:rsidR="00E4264F" w:rsidRPr="004A4208" w:rsidRDefault="004A4208" w:rsidP="00943C2A">
      <w:pPr>
        <w:spacing w:after="0" w:line="240" w:lineRule="auto"/>
        <w:jc w:val="both"/>
        <w:rPr>
          <w:rFonts w:cs="Times New Roman"/>
          <w:szCs w:val="28"/>
        </w:rPr>
      </w:pPr>
      <w:r w:rsidRPr="004A4208">
        <w:rPr>
          <w:rFonts w:cs="Times New Roman"/>
          <w:szCs w:val="28"/>
        </w:rPr>
        <w:t>“.</w:t>
      </w:r>
    </w:p>
    <w:p w14:paraId="715AA340" w14:textId="77777777" w:rsidR="00E4264F" w:rsidRPr="00E92D8E" w:rsidRDefault="00E4264F" w:rsidP="00943C2A">
      <w:pPr>
        <w:spacing w:after="0" w:line="240" w:lineRule="auto"/>
        <w:jc w:val="both"/>
        <w:rPr>
          <w:rFonts w:cs="Times New Roman"/>
          <w:color w:val="FF0000"/>
          <w:szCs w:val="28"/>
        </w:rPr>
      </w:pPr>
    </w:p>
    <w:p w14:paraId="4DAB5A7A" w14:textId="77777777" w:rsidR="00943C2A" w:rsidRDefault="00943C2A" w:rsidP="00943C2A">
      <w:pPr>
        <w:pStyle w:val="ListParagraph"/>
        <w:numPr>
          <w:ilvl w:val="0"/>
          <w:numId w:val="5"/>
        </w:numPr>
        <w:spacing w:after="0" w:line="240" w:lineRule="auto"/>
        <w:jc w:val="both"/>
        <w:rPr>
          <w:rFonts w:cs="Times New Roman"/>
          <w:szCs w:val="28"/>
        </w:rPr>
      </w:pPr>
      <w:r w:rsidRPr="00E92D8E">
        <w:rPr>
          <w:rFonts w:cs="Times New Roman"/>
          <w:szCs w:val="28"/>
        </w:rPr>
        <w:t xml:space="preserve">Izteikt 1.pielikuma 296. un 297. punktu šādā redakcijā: </w:t>
      </w:r>
    </w:p>
    <w:p w14:paraId="41BAC639" w14:textId="77777777" w:rsidR="00943C2A" w:rsidRDefault="00943C2A" w:rsidP="00943C2A">
      <w:pPr>
        <w:spacing w:after="0" w:line="240" w:lineRule="auto"/>
        <w:jc w:val="both"/>
        <w:rPr>
          <w:rFonts w:cs="Times New Roman"/>
          <w:szCs w:val="28"/>
        </w:rPr>
      </w:pPr>
    </w:p>
    <w:tbl>
      <w:tblPr>
        <w:tblW w:w="4943"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15"/>
        <w:gridCol w:w="1071"/>
        <w:gridCol w:w="1071"/>
        <w:gridCol w:w="1236"/>
        <w:gridCol w:w="4071"/>
        <w:gridCol w:w="1373"/>
      </w:tblGrid>
      <w:tr w:rsidR="00943C2A" w:rsidRPr="004A4208" w14:paraId="78EC22AF" w14:textId="77777777" w:rsidTr="00444A26">
        <w:trPr>
          <w:tblCellSpacing w:w="15" w:type="dxa"/>
        </w:trPr>
        <w:tc>
          <w:tcPr>
            <w:tcW w:w="144" w:type="pct"/>
            <w:tcBorders>
              <w:top w:val="outset" w:sz="6" w:space="0" w:color="auto"/>
              <w:left w:val="outset" w:sz="6" w:space="0" w:color="auto"/>
              <w:bottom w:val="outset" w:sz="6" w:space="0" w:color="auto"/>
              <w:right w:val="outset" w:sz="6" w:space="0" w:color="auto"/>
            </w:tcBorders>
            <w:hideMark/>
          </w:tcPr>
          <w:p w14:paraId="3553529F"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296.</w:t>
            </w:r>
          </w:p>
        </w:tc>
        <w:tc>
          <w:tcPr>
            <w:tcW w:w="4827" w:type="pct"/>
            <w:gridSpan w:val="5"/>
            <w:tcBorders>
              <w:top w:val="outset" w:sz="6" w:space="0" w:color="auto"/>
              <w:left w:val="outset" w:sz="6" w:space="0" w:color="auto"/>
              <w:bottom w:val="outset" w:sz="6" w:space="0" w:color="auto"/>
              <w:right w:val="outset" w:sz="6" w:space="0" w:color="auto"/>
            </w:tcBorders>
            <w:hideMark/>
          </w:tcPr>
          <w:p w14:paraId="58957667" w14:textId="77777777" w:rsidR="00943C2A" w:rsidRPr="004A4208" w:rsidRDefault="00943C2A" w:rsidP="00444A26">
            <w:pPr>
              <w:pStyle w:val="tvhtml"/>
              <w:spacing w:before="60" w:beforeAutospacing="0" w:after="60" w:afterAutospacing="0"/>
              <w:jc w:val="center"/>
              <w:rPr>
                <w:b/>
                <w:bCs/>
                <w:sz w:val="16"/>
                <w:szCs w:val="16"/>
              </w:rPr>
            </w:pPr>
            <w:r w:rsidRPr="004A4208">
              <w:rPr>
                <w:b/>
                <w:bCs/>
                <w:sz w:val="16"/>
                <w:szCs w:val="16"/>
              </w:rPr>
              <w:t>3 400–3 600 MHz</w:t>
            </w:r>
          </w:p>
        </w:tc>
      </w:tr>
      <w:tr w:rsidR="00943C2A" w:rsidRPr="004A4208" w14:paraId="6F6109A1" w14:textId="77777777" w:rsidTr="00444A26">
        <w:trPr>
          <w:tblCellSpacing w:w="15" w:type="dxa"/>
        </w:trPr>
        <w:tc>
          <w:tcPr>
            <w:tcW w:w="144" w:type="pct"/>
            <w:vMerge w:val="restart"/>
            <w:tcBorders>
              <w:top w:val="outset" w:sz="6" w:space="0" w:color="auto"/>
              <w:left w:val="outset" w:sz="6" w:space="0" w:color="auto"/>
              <w:bottom w:val="outset" w:sz="6" w:space="0" w:color="auto"/>
              <w:right w:val="outset" w:sz="6" w:space="0" w:color="auto"/>
            </w:tcBorders>
            <w:hideMark/>
          </w:tcPr>
          <w:p w14:paraId="15FB888A" w14:textId="77777777" w:rsidR="00943C2A" w:rsidRPr="004A4208" w:rsidRDefault="00943C2A" w:rsidP="00444A26">
            <w:pPr>
              <w:spacing w:before="60" w:after="60" w:line="240" w:lineRule="auto"/>
              <w:rPr>
                <w:rFonts w:cs="Times New Roman"/>
                <w:sz w:val="16"/>
                <w:szCs w:val="16"/>
              </w:rPr>
            </w:pPr>
          </w:p>
        </w:tc>
        <w:tc>
          <w:tcPr>
            <w:tcW w:w="563" w:type="pct"/>
            <w:vMerge w:val="restart"/>
            <w:tcBorders>
              <w:top w:val="outset" w:sz="6" w:space="0" w:color="auto"/>
              <w:left w:val="outset" w:sz="6" w:space="0" w:color="auto"/>
              <w:bottom w:val="outset" w:sz="6" w:space="0" w:color="auto"/>
              <w:right w:val="outset" w:sz="6" w:space="0" w:color="auto"/>
            </w:tcBorders>
            <w:hideMark/>
          </w:tcPr>
          <w:p w14:paraId="6DB1DE70"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FIKSĒTAIS</w:t>
            </w:r>
          </w:p>
          <w:p w14:paraId="5BAF5364" w14:textId="77777777" w:rsidR="00943C2A" w:rsidRPr="00F41823" w:rsidRDefault="00943C2A" w:rsidP="00444A26">
            <w:pPr>
              <w:pStyle w:val="tvhtml"/>
              <w:spacing w:before="60" w:beforeAutospacing="0" w:after="60" w:afterAutospacing="0"/>
              <w:rPr>
                <w:sz w:val="16"/>
                <w:szCs w:val="16"/>
              </w:rPr>
            </w:pPr>
            <w:r w:rsidRPr="00F41823">
              <w:rPr>
                <w:sz w:val="16"/>
                <w:szCs w:val="16"/>
              </w:rPr>
              <w:t>FIKSĒTAIS SATELĪTU (izplatījums–Zeme)</w:t>
            </w:r>
          </w:p>
          <w:p w14:paraId="701F01F6" w14:textId="77777777" w:rsidR="00943C2A" w:rsidRPr="00F41823" w:rsidRDefault="00943C2A" w:rsidP="00444A26">
            <w:pPr>
              <w:pStyle w:val="tvhtml"/>
              <w:spacing w:before="60" w:beforeAutospacing="0" w:after="60" w:afterAutospacing="0"/>
              <w:rPr>
                <w:sz w:val="16"/>
                <w:szCs w:val="16"/>
              </w:rPr>
            </w:pPr>
            <w:r w:rsidRPr="00F41823">
              <w:rPr>
                <w:sz w:val="16"/>
                <w:szCs w:val="16"/>
              </w:rPr>
              <w:t>MOBILAIS, izņemot gaisa kuģniecības mobilo 5.430A</w:t>
            </w:r>
          </w:p>
          <w:p w14:paraId="709B2403" w14:textId="77777777" w:rsidR="00943C2A" w:rsidRPr="00F41823" w:rsidRDefault="00943C2A" w:rsidP="00444A26">
            <w:pPr>
              <w:pStyle w:val="tvhtml"/>
              <w:spacing w:before="60" w:beforeAutospacing="0" w:after="60" w:afterAutospacing="0"/>
              <w:rPr>
                <w:sz w:val="16"/>
                <w:szCs w:val="16"/>
              </w:rPr>
            </w:pPr>
            <w:r w:rsidRPr="00F41823">
              <w:rPr>
                <w:sz w:val="16"/>
                <w:szCs w:val="16"/>
              </w:rPr>
              <w:t>Radiolokācijas</w:t>
            </w:r>
          </w:p>
          <w:p w14:paraId="0AC18BCB" w14:textId="77777777" w:rsidR="00943C2A" w:rsidRPr="00F41823" w:rsidRDefault="00943C2A" w:rsidP="00444A26">
            <w:pPr>
              <w:pStyle w:val="tvhtml"/>
              <w:spacing w:before="60" w:beforeAutospacing="0" w:after="60" w:afterAutospacing="0"/>
              <w:rPr>
                <w:sz w:val="16"/>
                <w:szCs w:val="16"/>
              </w:rPr>
            </w:pPr>
          </w:p>
          <w:p w14:paraId="3E1C923C" w14:textId="77777777" w:rsidR="00943C2A" w:rsidRPr="00F41823" w:rsidRDefault="00943C2A" w:rsidP="00444A26">
            <w:pPr>
              <w:pStyle w:val="tvhtml"/>
              <w:spacing w:before="60" w:beforeAutospacing="0" w:after="60" w:afterAutospacing="0"/>
              <w:rPr>
                <w:sz w:val="16"/>
                <w:szCs w:val="16"/>
              </w:rPr>
            </w:pPr>
            <w:r w:rsidRPr="00F41823">
              <w:rPr>
                <w:sz w:val="16"/>
                <w:szCs w:val="16"/>
              </w:rPr>
              <w:t>5.431</w:t>
            </w:r>
          </w:p>
        </w:tc>
        <w:tc>
          <w:tcPr>
            <w:tcW w:w="563" w:type="pct"/>
            <w:vMerge w:val="restart"/>
            <w:tcBorders>
              <w:top w:val="outset" w:sz="6" w:space="0" w:color="auto"/>
              <w:left w:val="outset" w:sz="6" w:space="0" w:color="auto"/>
              <w:bottom w:val="outset" w:sz="6" w:space="0" w:color="auto"/>
              <w:right w:val="outset" w:sz="6" w:space="0" w:color="auto"/>
            </w:tcBorders>
            <w:hideMark/>
          </w:tcPr>
          <w:p w14:paraId="6922D712"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FIKSĒTAIS</w:t>
            </w:r>
          </w:p>
          <w:p w14:paraId="78A1AE1E" w14:textId="77777777" w:rsidR="00943C2A" w:rsidRPr="00F41823" w:rsidRDefault="00943C2A" w:rsidP="00444A26">
            <w:pPr>
              <w:pStyle w:val="tvhtml"/>
              <w:spacing w:before="60" w:beforeAutospacing="0" w:after="60" w:afterAutospacing="0"/>
              <w:rPr>
                <w:sz w:val="16"/>
                <w:szCs w:val="16"/>
              </w:rPr>
            </w:pPr>
            <w:r w:rsidRPr="00F41823">
              <w:rPr>
                <w:sz w:val="16"/>
                <w:szCs w:val="16"/>
              </w:rPr>
              <w:t>FIKSĒTAIS SATELĪTU (izplatījums–Zeme)</w:t>
            </w:r>
          </w:p>
          <w:p w14:paraId="6DA1BA45" w14:textId="77777777" w:rsidR="00943C2A" w:rsidRPr="00F41823" w:rsidRDefault="00943C2A" w:rsidP="00444A26">
            <w:pPr>
              <w:pStyle w:val="tvhtml"/>
              <w:spacing w:before="60" w:beforeAutospacing="0" w:after="60" w:afterAutospacing="0"/>
              <w:rPr>
                <w:sz w:val="16"/>
                <w:szCs w:val="16"/>
              </w:rPr>
            </w:pPr>
            <w:r w:rsidRPr="00F41823">
              <w:rPr>
                <w:sz w:val="16"/>
                <w:szCs w:val="16"/>
              </w:rPr>
              <w:t>MOBILAIS, izņemot gaisa kuģniecības mobilo 5.430A</w:t>
            </w:r>
          </w:p>
          <w:p w14:paraId="7073CF31" w14:textId="77777777" w:rsidR="00943C2A" w:rsidRPr="00F41823" w:rsidRDefault="00943C2A" w:rsidP="00444A26">
            <w:pPr>
              <w:pStyle w:val="tvhtml"/>
              <w:spacing w:before="60" w:beforeAutospacing="0" w:after="60" w:afterAutospacing="0"/>
              <w:rPr>
                <w:sz w:val="16"/>
                <w:szCs w:val="16"/>
              </w:rPr>
            </w:pPr>
            <w:r w:rsidRPr="00F41823">
              <w:rPr>
                <w:sz w:val="16"/>
                <w:szCs w:val="16"/>
              </w:rPr>
              <w:t>Radiolokācijas</w:t>
            </w:r>
          </w:p>
          <w:p w14:paraId="25E07AD2" w14:textId="77777777" w:rsidR="00943C2A" w:rsidRPr="00F41823" w:rsidRDefault="00943C2A" w:rsidP="00444A26">
            <w:pPr>
              <w:pStyle w:val="tvhtml"/>
              <w:spacing w:before="60" w:beforeAutospacing="0" w:after="60" w:afterAutospacing="0"/>
              <w:rPr>
                <w:sz w:val="16"/>
                <w:szCs w:val="16"/>
              </w:rPr>
            </w:pPr>
            <w:r w:rsidRPr="00F41823">
              <w:rPr>
                <w:sz w:val="16"/>
                <w:szCs w:val="16"/>
              </w:rPr>
              <w:t>Radioamatieru RR4.4: 3400-3410 MHz</w:t>
            </w:r>
          </w:p>
        </w:tc>
        <w:tc>
          <w:tcPr>
            <w:tcW w:w="691" w:type="pct"/>
            <w:tcBorders>
              <w:top w:val="outset" w:sz="6" w:space="0" w:color="auto"/>
              <w:left w:val="outset" w:sz="6" w:space="0" w:color="auto"/>
              <w:bottom w:val="outset" w:sz="6" w:space="0" w:color="auto"/>
              <w:right w:val="outset" w:sz="6" w:space="0" w:color="auto"/>
            </w:tcBorders>
            <w:hideMark/>
          </w:tcPr>
          <w:p w14:paraId="2FD4930C"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BWA/IMT: 3400–3800 MHz</w:t>
            </w:r>
          </w:p>
        </w:tc>
        <w:tc>
          <w:tcPr>
            <w:tcW w:w="2252" w:type="pct"/>
            <w:tcBorders>
              <w:top w:val="outset" w:sz="6" w:space="0" w:color="auto"/>
              <w:left w:val="outset" w:sz="6" w:space="0" w:color="auto"/>
              <w:bottom w:val="outset" w:sz="6" w:space="0" w:color="auto"/>
              <w:right w:val="outset" w:sz="6" w:space="0" w:color="auto"/>
            </w:tcBorders>
            <w:hideMark/>
          </w:tcPr>
          <w:p w14:paraId="0919F526"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 xml:space="preserve">Komisijas 2008. gada 21. maija Lēmums </w:t>
            </w:r>
            <w:hyperlink r:id="rId12" w:tgtFrame="_blank" w:history="1">
              <w:r w:rsidRPr="00F41823">
                <w:rPr>
                  <w:rStyle w:val="Hyperlink"/>
                  <w:rFonts w:cs="Times New Roman"/>
                  <w:color w:val="auto"/>
                  <w:sz w:val="16"/>
                  <w:szCs w:val="16"/>
                </w:rPr>
                <w:t>2008/411/EK</w:t>
              </w:r>
            </w:hyperlink>
            <w:r w:rsidRPr="00F41823">
              <w:rPr>
                <w:rFonts w:cs="Times New Roman"/>
                <w:sz w:val="16"/>
                <w:szCs w:val="16"/>
              </w:rPr>
              <w:t xml:space="preserve"> par 3400–3800 MHz frekvenču joslas harmonizāciju tādu zemes sistēmu vajadzībām, kas Kopienā spēj nodrošināt elektronisko sakaru pakalpojumus </w:t>
            </w:r>
          </w:p>
          <w:p w14:paraId="43DE78B6" w14:textId="77777777" w:rsidR="00943C2A" w:rsidRPr="00F41823" w:rsidRDefault="00943C2A" w:rsidP="00444A26">
            <w:pPr>
              <w:pStyle w:val="tvhtml"/>
              <w:spacing w:before="60" w:beforeAutospacing="0" w:after="60" w:afterAutospacing="0"/>
              <w:rPr>
                <w:sz w:val="16"/>
                <w:szCs w:val="16"/>
              </w:rPr>
            </w:pPr>
            <w:r w:rsidRPr="00F41823">
              <w:rPr>
                <w:sz w:val="16"/>
                <w:szCs w:val="16"/>
              </w:rPr>
              <w:t xml:space="preserve">Komisijas 2014. gada 2. maija īstenošanas Lēmums 2014/276/ES par grozījumiem Lēmumā </w:t>
            </w:r>
            <w:hyperlink r:id="rId13" w:tgtFrame="_blank" w:history="1">
              <w:r w:rsidRPr="00F41823">
                <w:rPr>
                  <w:rStyle w:val="Hyperlink"/>
                  <w:color w:val="auto"/>
                  <w:sz w:val="16"/>
                  <w:szCs w:val="16"/>
                </w:rPr>
                <w:t>2008/411/EK</w:t>
              </w:r>
            </w:hyperlink>
            <w:r w:rsidRPr="00F41823">
              <w:rPr>
                <w:sz w:val="16"/>
                <w:szCs w:val="16"/>
              </w:rPr>
              <w:t xml:space="preserve"> par 3400–3800 MHz frekvenču joslas harmonizāciju tādu zemes sistēmu vajadzībām, kas Kopienā spēj nodrošināt elektronisko sakaru pakalpojumus</w:t>
            </w:r>
          </w:p>
          <w:p w14:paraId="48C9CA04" w14:textId="77777777" w:rsidR="00943C2A" w:rsidRPr="00F41823" w:rsidRDefault="00943C2A" w:rsidP="00444A26">
            <w:pPr>
              <w:pStyle w:val="tvhtml"/>
              <w:spacing w:before="60" w:beforeAutospacing="0" w:after="60" w:afterAutospacing="0"/>
              <w:rPr>
                <w:sz w:val="16"/>
                <w:szCs w:val="16"/>
              </w:rPr>
            </w:pPr>
            <w:r w:rsidRPr="00F41823">
              <w:rPr>
                <w:sz w:val="16"/>
                <w:szCs w:val="16"/>
              </w:rPr>
              <w:t>ERC/REC 14-03 – Harmonizēts radiofrekvenču kanālu plānojums mazas un vidējas ietilpības sistēmām 3400 – 3600 MHz joslā (B2)</w:t>
            </w:r>
          </w:p>
          <w:p w14:paraId="0057C483" w14:textId="77777777" w:rsidR="00943C2A" w:rsidRPr="00F41823" w:rsidRDefault="00943C2A" w:rsidP="00444A26">
            <w:pPr>
              <w:pStyle w:val="tvhtml"/>
              <w:spacing w:before="60" w:beforeAutospacing="0" w:after="60" w:afterAutospacing="0"/>
              <w:rPr>
                <w:sz w:val="16"/>
                <w:szCs w:val="16"/>
              </w:rPr>
            </w:pPr>
            <w:r w:rsidRPr="00F41823">
              <w:rPr>
                <w:sz w:val="16"/>
                <w:szCs w:val="16"/>
              </w:rPr>
              <w:t>ECC/DEC/(07)02 – ECC 2007. gada 30. marta lēmums par frekvenču joslu pieejamību starp 3400–3800 MHz platjoslas bezvadu piekļuves sistēmu (BWA) harmonizētai ieviešanai</w:t>
            </w:r>
          </w:p>
          <w:p w14:paraId="421A8CE3" w14:textId="77777777" w:rsidR="00943C2A" w:rsidRPr="00F41823" w:rsidRDefault="00943C2A" w:rsidP="00444A26">
            <w:pPr>
              <w:pStyle w:val="tvhtml"/>
              <w:spacing w:before="60" w:beforeAutospacing="0" w:after="60" w:afterAutospacing="0"/>
              <w:rPr>
                <w:sz w:val="16"/>
                <w:szCs w:val="16"/>
              </w:rPr>
            </w:pPr>
            <w:r w:rsidRPr="00F41823">
              <w:rPr>
                <w:sz w:val="16"/>
                <w:szCs w:val="16"/>
              </w:rPr>
              <w:t>ECC/DEC/(11)06 – ECC 2011. gada 9. decembra lēmums par harmonizētiem kanālu plāniem mobilo/fiksēto sakaru tīkliem (MFCN), kas darbojas 3400-3600 MHz un 3600-3800 MHz radiofrekvenču joslās</w:t>
            </w:r>
          </w:p>
        </w:tc>
        <w:tc>
          <w:tcPr>
            <w:tcW w:w="719" w:type="pct"/>
            <w:tcBorders>
              <w:top w:val="outset" w:sz="6" w:space="0" w:color="auto"/>
              <w:left w:val="outset" w:sz="6" w:space="0" w:color="auto"/>
              <w:bottom w:val="outset" w:sz="6" w:space="0" w:color="auto"/>
            </w:tcBorders>
            <w:hideMark/>
          </w:tcPr>
          <w:p w14:paraId="0F9BBC42"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 xml:space="preserve">Konfigurācija: MP, </w:t>
            </w:r>
          </w:p>
          <w:p w14:paraId="6491DF08" w14:textId="77777777" w:rsidR="00943C2A" w:rsidRPr="00F41823" w:rsidRDefault="00943C2A" w:rsidP="00444A26">
            <w:pPr>
              <w:pStyle w:val="tvhtml"/>
              <w:spacing w:before="60" w:beforeAutospacing="0" w:after="60" w:afterAutospacing="0"/>
              <w:rPr>
                <w:sz w:val="16"/>
                <w:szCs w:val="16"/>
              </w:rPr>
            </w:pPr>
            <w:r w:rsidRPr="00F41823">
              <w:rPr>
                <w:sz w:val="16"/>
                <w:szCs w:val="16"/>
              </w:rPr>
              <w:t>Radiosaskarne RS FX.035MP</w:t>
            </w:r>
          </w:p>
          <w:p w14:paraId="4B261271" w14:textId="77777777" w:rsidR="00943C2A" w:rsidRPr="00F41823" w:rsidRDefault="00943C2A" w:rsidP="00444A26">
            <w:pPr>
              <w:pStyle w:val="tvhtml"/>
              <w:spacing w:before="60" w:beforeAutospacing="0" w:after="60" w:afterAutospacing="0"/>
              <w:rPr>
                <w:sz w:val="16"/>
                <w:szCs w:val="16"/>
              </w:rPr>
            </w:pPr>
            <w:r w:rsidRPr="00F41823">
              <w:rPr>
                <w:sz w:val="16"/>
                <w:szCs w:val="16"/>
              </w:rPr>
              <w:t>Radiosaskarne RS LM.3600</w:t>
            </w:r>
          </w:p>
          <w:p w14:paraId="0E9E5F68" w14:textId="77777777" w:rsidR="00943C2A" w:rsidRPr="00F41823" w:rsidRDefault="00943C2A" w:rsidP="00444A26">
            <w:pPr>
              <w:pStyle w:val="tvhtml"/>
              <w:spacing w:before="60" w:beforeAutospacing="0" w:after="60" w:afterAutospacing="0"/>
              <w:rPr>
                <w:sz w:val="16"/>
                <w:szCs w:val="16"/>
              </w:rPr>
            </w:pPr>
            <w:r w:rsidRPr="00F41823">
              <w:rPr>
                <w:sz w:val="16"/>
                <w:szCs w:val="16"/>
              </w:rPr>
              <w:t>Publiskie elektronisko sakaru tīkli</w:t>
            </w:r>
          </w:p>
          <w:p w14:paraId="6CBED0E6" w14:textId="7C0F29BC" w:rsidR="00943C2A" w:rsidRPr="00F41823" w:rsidRDefault="00943C2A" w:rsidP="00943C2A">
            <w:pPr>
              <w:spacing w:before="60" w:after="60" w:line="240" w:lineRule="auto"/>
              <w:rPr>
                <w:rFonts w:cs="Times New Roman"/>
                <w:sz w:val="16"/>
                <w:szCs w:val="16"/>
              </w:rPr>
            </w:pPr>
            <w:r w:rsidRPr="00F41823">
              <w:rPr>
                <w:rFonts w:cs="Times New Roman"/>
                <w:sz w:val="16"/>
                <w:szCs w:val="16"/>
              </w:rPr>
              <w:t>Noslēguma jautājumi, 42.-48. punkts</w:t>
            </w:r>
          </w:p>
        </w:tc>
      </w:tr>
      <w:tr w:rsidR="00943C2A" w:rsidRPr="004A4208" w14:paraId="4C8BB35D" w14:textId="77777777" w:rsidTr="00444A26">
        <w:trPr>
          <w:tblCellSpacing w:w="15" w:type="dxa"/>
        </w:trPr>
        <w:tc>
          <w:tcPr>
            <w:tcW w:w="144" w:type="pct"/>
            <w:vMerge/>
            <w:tcBorders>
              <w:top w:val="outset" w:sz="6" w:space="0" w:color="auto"/>
              <w:left w:val="outset" w:sz="6" w:space="0" w:color="auto"/>
              <w:bottom w:val="outset" w:sz="6" w:space="0" w:color="auto"/>
              <w:right w:val="outset" w:sz="6" w:space="0" w:color="auto"/>
            </w:tcBorders>
          </w:tcPr>
          <w:p w14:paraId="78BB4BEA" w14:textId="77777777" w:rsidR="00943C2A" w:rsidRPr="004A4208" w:rsidRDefault="00943C2A" w:rsidP="00444A26">
            <w:pPr>
              <w:spacing w:before="60" w:after="60" w:line="240" w:lineRule="auto"/>
              <w:rPr>
                <w:rFonts w:cs="Times New Roman"/>
                <w:sz w:val="16"/>
                <w:szCs w:val="16"/>
              </w:rPr>
            </w:pPr>
          </w:p>
        </w:tc>
        <w:tc>
          <w:tcPr>
            <w:tcW w:w="563" w:type="pct"/>
            <w:vMerge/>
            <w:tcBorders>
              <w:top w:val="outset" w:sz="6" w:space="0" w:color="auto"/>
              <w:left w:val="outset" w:sz="6" w:space="0" w:color="auto"/>
              <w:bottom w:val="outset" w:sz="6" w:space="0" w:color="auto"/>
              <w:right w:val="outset" w:sz="6" w:space="0" w:color="auto"/>
            </w:tcBorders>
          </w:tcPr>
          <w:p w14:paraId="445C3589" w14:textId="77777777" w:rsidR="00943C2A" w:rsidRPr="00F41823" w:rsidRDefault="00943C2A" w:rsidP="00444A26">
            <w:pPr>
              <w:spacing w:before="60" w:after="60" w:line="240" w:lineRule="auto"/>
              <w:rPr>
                <w:rFonts w:cs="Times New Roman"/>
                <w:sz w:val="16"/>
                <w:szCs w:val="16"/>
              </w:rPr>
            </w:pPr>
          </w:p>
        </w:tc>
        <w:tc>
          <w:tcPr>
            <w:tcW w:w="563" w:type="pct"/>
            <w:vMerge/>
            <w:tcBorders>
              <w:top w:val="outset" w:sz="6" w:space="0" w:color="auto"/>
              <w:left w:val="outset" w:sz="6" w:space="0" w:color="auto"/>
              <w:bottom w:val="outset" w:sz="6" w:space="0" w:color="auto"/>
              <w:right w:val="outset" w:sz="6" w:space="0" w:color="auto"/>
            </w:tcBorders>
          </w:tcPr>
          <w:p w14:paraId="207EA768" w14:textId="77777777" w:rsidR="00943C2A" w:rsidRPr="00F41823" w:rsidRDefault="00943C2A" w:rsidP="00444A26">
            <w:pPr>
              <w:spacing w:before="60" w:after="60" w:line="240" w:lineRule="auto"/>
              <w:rPr>
                <w:rFonts w:cs="Times New Roman"/>
                <w:sz w:val="16"/>
                <w:szCs w:val="16"/>
              </w:rPr>
            </w:pPr>
          </w:p>
        </w:tc>
        <w:tc>
          <w:tcPr>
            <w:tcW w:w="691" w:type="pct"/>
            <w:tcBorders>
              <w:top w:val="outset" w:sz="6" w:space="0" w:color="auto"/>
              <w:left w:val="outset" w:sz="6" w:space="0" w:color="auto"/>
              <w:bottom w:val="outset" w:sz="6" w:space="0" w:color="auto"/>
              <w:right w:val="outset" w:sz="6" w:space="0" w:color="auto"/>
            </w:tcBorders>
          </w:tcPr>
          <w:p w14:paraId="35E90411"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shd w:val="clear" w:color="auto" w:fill="FFFFFF"/>
              </w:rPr>
              <w:t>Radioamatieru radiostacijas: 3400-3410 MHz</w:t>
            </w:r>
          </w:p>
        </w:tc>
        <w:tc>
          <w:tcPr>
            <w:tcW w:w="2252" w:type="pct"/>
            <w:tcBorders>
              <w:top w:val="outset" w:sz="6" w:space="0" w:color="auto"/>
              <w:left w:val="outset" w:sz="6" w:space="0" w:color="auto"/>
              <w:bottom w:val="outset" w:sz="6" w:space="0" w:color="auto"/>
              <w:right w:val="outset" w:sz="6" w:space="0" w:color="auto"/>
            </w:tcBorders>
          </w:tcPr>
          <w:p w14:paraId="474DDE5C" w14:textId="77777777" w:rsidR="00943C2A" w:rsidRPr="00F41823" w:rsidRDefault="00943C2A" w:rsidP="00444A26">
            <w:pPr>
              <w:spacing w:after="0" w:line="240" w:lineRule="auto"/>
              <w:rPr>
                <w:rFonts w:cs="Times New Roman"/>
                <w:sz w:val="16"/>
                <w:szCs w:val="16"/>
              </w:rPr>
            </w:pPr>
            <w:r w:rsidRPr="00F41823">
              <w:rPr>
                <w:rFonts w:cs="Times New Roman"/>
                <w:sz w:val="16"/>
                <w:szCs w:val="16"/>
                <w:shd w:val="clear" w:color="auto" w:fill="FFFFFF"/>
              </w:rPr>
              <w:t>CEPT T/R 61-01 – CEPT radioamatieru atļauja</w:t>
            </w:r>
          </w:p>
          <w:p w14:paraId="115855A1" w14:textId="77777777" w:rsidR="00943C2A" w:rsidRPr="00F41823" w:rsidRDefault="00943C2A" w:rsidP="00444A26">
            <w:pPr>
              <w:pStyle w:val="tvhtml"/>
              <w:shd w:val="clear" w:color="auto" w:fill="FFFFFF"/>
              <w:spacing w:line="293" w:lineRule="atLeast"/>
              <w:rPr>
                <w:sz w:val="16"/>
                <w:szCs w:val="16"/>
              </w:rPr>
            </w:pPr>
            <w:r w:rsidRPr="00F41823">
              <w:rPr>
                <w:sz w:val="16"/>
                <w:szCs w:val="16"/>
              </w:rPr>
              <w:t>CEPT T/R 61-02 – Harmonizētās radioamatieru eksaminācijas apliecības</w:t>
            </w:r>
          </w:p>
          <w:p w14:paraId="04D9ABAD" w14:textId="6EAB73FB" w:rsidR="00943C2A" w:rsidRPr="00F41823" w:rsidRDefault="00943C2A" w:rsidP="00444A26">
            <w:pPr>
              <w:spacing w:before="60" w:after="60" w:line="240" w:lineRule="auto"/>
              <w:rPr>
                <w:rFonts w:cs="Times New Roman"/>
                <w:sz w:val="16"/>
                <w:szCs w:val="16"/>
              </w:rPr>
            </w:pPr>
            <w:r w:rsidRPr="00F41823">
              <w:rPr>
                <w:rFonts w:cs="Times New Roman"/>
                <w:sz w:val="16"/>
                <w:szCs w:val="16"/>
              </w:rPr>
              <w:t>Latvijas Republikas Ministru kabineta 2008. gada 28. aprīļa noteikumi Nr.303 "Radioamatieru radiostaciju būvēšanas, ierīkošanas un lietošanas, kā arī radioamatieru apliecības saņemšanas kārtība"</w:t>
            </w:r>
          </w:p>
        </w:tc>
        <w:tc>
          <w:tcPr>
            <w:tcW w:w="719" w:type="pct"/>
            <w:tcBorders>
              <w:top w:val="outset" w:sz="6" w:space="0" w:color="auto"/>
              <w:left w:val="outset" w:sz="6" w:space="0" w:color="auto"/>
              <w:bottom w:val="outset" w:sz="6" w:space="0" w:color="auto"/>
            </w:tcBorders>
          </w:tcPr>
          <w:p w14:paraId="2D9BC971"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shd w:val="clear" w:color="auto" w:fill="FFFFFF"/>
              </w:rPr>
              <w:t>Radioamatieru dienesta radiostacijas</w:t>
            </w:r>
          </w:p>
        </w:tc>
      </w:tr>
      <w:tr w:rsidR="00943C2A" w:rsidRPr="004A4208" w14:paraId="077DDC63" w14:textId="77777777" w:rsidTr="00444A2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66CE349" w14:textId="77777777" w:rsidR="00943C2A" w:rsidRPr="004A4208"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A581B98" w14:textId="77777777" w:rsidR="00943C2A" w:rsidRPr="00F41823"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1277946" w14:textId="77777777" w:rsidR="00943C2A" w:rsidRPr="00F41823" w:rsidRDefault="00943C2A" w:rsidP="00444A26">
            <w:pPr>
              <w:spacing w:before="60" w:after="60" w:line="240" w:lineRule="auto"/>
              <w:rPr>
                <w:rFonts w:cs="Times New Roman"/>
                <w:sz w:val="16"/>
                <w:szCs w:val="16"/>
              </w:rPr>
            </w:pPr>
          </w:p>
        </w:tc>
        <w:tc>
          <w:tcPr>
            <w:tcW w:w="691" w:type="pct"/>
            <w:tcBorders>
              <w:top w:val="outset" w:sz="6" w:space="0" w:color="auto"/>
              <w:left w:val="outset" w:sz="6" w:space="0" w:color="auto"/>
              <w:bottom w:val="outset" w:sz="6" w:space="0" w:color="auto"/>
              <w:right w:val="outset" w:sz="6" w:space="0" w:color="auto"/>
            </w:tcBorders>
            <w:hideMark/>
          </w:tcPr>
          <w:p w14:paraId="42645137"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Uztverošās Zemes radiostacijas</w:t>
            </w:r>
          </w:p>
        </w:tc>
        <w:tc>
          <w:tcPr>
            <w:tcW w:w="2252" w:type="pct"/>
            <w:tcBorders>
              <w:top w:val="outset" w:sz="6" w:space="0" w:color="auto"/>
              <w:left w:val="outset" w:sz="6" w:space="0" w:color="auto"/>
              <w:bottom w:val="outset" w:sz="6" w:space="0" w:color="auto"/>
              <w:right w:val="outset" w:sz="6" w:space="0" w:color="auto"/>
            </w:tcBorders>
            <w:hideMark/>
          </w:tcPr>
          <w:p w14:paraId="1D8C7C35" w14:textId="77777777" w:rsidR="00943C2A" w:rsidRPr="00F41823" w:rsidRDefault="00943C2A" w:rsidP="00444A26">
            <w:pPr>
              <w:spacing w:before="60" w:after="60" w:line="240" w:lineRule="auto"/>
              <w:rPr>
                <w:rFonts w:cs="Times New Roman"/>
                <w:sz w:val="16"/>
                <w:szCs w:val="16"/>
              </w:rPr>
            </w:pPr>
          </w:p>
        </w:tc>
        <w:tc>
          <w:tcPr>
            <w:tcW w:w="719" w:type="pct"/>
            <w:tcBorders>
              <w:top w:val="outset" w:sz="6" w:space="0" w:color="auto"/>
              <w:left w:val="outset" w:sz="6" w:space="0" w:color="auto"/>
              <w:bottom w:val="outset" w:sz="6" w:space="0" w:color="auto"/>
            </w:tcBorders>
            <w:hideMark/>
          </w:tcPr>
          <w:p w14:paraId="3185ACD6"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 xml:space="preserve">Ieteicamā josla </w:t>
            </w:r>
          </w:p>
          <w:p w14:paraId="70444E54" w14:textId="77777777" w:rsidR="00943C2A" w:rsidRPr="00F41823" w:rsidRDefault="00943C2A" w:rsidP="00444A26">
            <w:pPr>
              <w:spacing w:before="60" w:after="60" w:line="240" w:lineRule="auto"/>
              <w:rPr>
                <w:rFonts w:cs="Times New Roman"/>
                <w:sz w:val="16"/>
                <w:szCs w:val="16"/>
              </w:rPr>
            </w:pPr>
            <w:r w:rsidRPr="00F41823">
              <w:rPr>
                <w:rFonts w:cs="Times New Roman"/>
                <w:sz w:val="16"/>
                <w:szCs w:val="16"/>
              </w:rPr>
              <w:t>3800-4200 MHz</w:t>
            </w:r>
          </w:p>
        </w:tc>
      </w:tr>
      <w:tr w:rsidR="00943C2A" w:rsidRPr="004A4208" w14:paraId="3784B8E2" w14:textId="77777777" w:rsidTr="00444A26">
        <w:trPr>
          <w:tblCellSpacing w:w="15" w:type="dxa"/>
        </w:trPr>
        <w:tc>
          <w:tcPr>
            <w:tcW w:w="144" w:type="pct"/>
            <w:tcBorders>
              <w:top w:val="outset" w:sz="6" w:space="0" w:color="auto"/>
              <w:left w:val="outset" w:sz="6" w:space="0" w:color="auto"/>
              <w:bottom w:val="outset" w:sz="6" w:space="0" w:color="auto"/>
              <w:right w:val="outset" w:sz="6" w:space="0" w:color="auto"/>
            </w:tcBorders>
            <w:hideMark/>
          </w:tcPr>
          <w:p w14:paraId="027C7CCA"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297.</w:t>
            </w:r>
          </w:p>
        </w:tc>
        <w:tc>
          <w:tcPr>
            <w:tcW w:w="4827" w:type="pct"/>
            <w:gridSpan w:val="5"/>
            <w:tcBorders>
              <w:top w:val="outset" w:sz="6" w:space="0" w:color="auto"/>
              <w:left w:val="outset" w:sz="6" w:space="0" w:color="auto"/>
              <w:bottom w:val="outset" w:sz="6" w:space="0" w:color="auto"/>
              <w:right w:val="outset" w:sz="6" w:space="0" w:color="auto"/>
            </w:tcBorders>
            <w:hideMark/>
          </w:tcPr>
          <w:p w14:paraId="7CCBF50C" w14:textId="77777777" w:rsidR="00943C2A" w:rsidRPr="004A4208" w:rsidRDefault="00943C2A" w:rsidP="00444A26">
            <w:pPr>
              <w:pStyle w:val="tvhtml"/>
              <w:spacing w:before="60" w:beforeAutospacing="0" w:after="60" w:afterAutospacing="0"/>
              <w:jc w:val="center"/>
              <w:rPr>
                <w:b/>
                <w:bCs/>
                <w:sz w:val="16"/>
                <w:szCs w:val="16"/>
              </w:rPr>
            </w:pPr>
            <w:r w:rsidRPr="004A4208">
              <w:rPr>
                <w:b/>
                <w:bCs/>
                <w:sz w:val="16"/>
                <w:szCs w:val="16"/>
              </w:rPr>
              <w:t>3 600–4 200 MHz</w:t>
            </w:r>
          </w:p>
        </w:tc>
      </w:tr>
      <w:tr w:rsidR="00943C2A" w:rsidRPr="004A4208" w14:paraId="4D5AACC1" w14:textId="77777777" w:rsidTr="00444A26">
        <w:trPr>
          <w:tblCellSpacing w:w="15" w:type="dxa"/>
        </w:trPr>
        <w:tc>
          <w:tcPr>
            <w:tcW w:w="144" w:type="pct"/>
            <w:vMerge w:val="restart"/>
            <w:tcBorders>
              <w:top w:val="outset" w:sz="6" w:space="0" w:color="auto"/>
              <w:left w:val="outset" w:sz="6" w:space="0" w:color="auto"/>
              <w:bottom w:val="outset" w:sz="6" w:space="0" w:color="auto"/>
              <w:right w:val="outset" w:sz="6" w:space="0" w:color="auto"/>
            </w:tcBorders>
            <w:hideMark/>
          </w:tcPr>
          <w:p w14:paraId="79B599AE" w14:textId="77777777" w:rsidR="00943C2A" w:rsidRPr="004A4208" w:rsidRDefault="00943C2A" w:rsidP="00444A26">
            <w:pPr>
              <w:spacing w:before="60" w:after="60" w:line="240" w:lineRule="auto"/>
              <w:rPr>
                <w:rFonts w:cs="Times New Roman"/>
                <w:sz w:val="16"/>
                <w:szCs w:val="16"/>
              </w:rPr>
            </w:pPr>
          </w:p>
        </w:tc>
        <w:tc>
          <w:tcPr>
            <w:tcW w:w="563" w:type="pct"/>
            <w:vMerge w:val="restart"/>
            <w:tcBorders>
              <w:top w:val="outset" w:sz="6" w:space="0" w:color="auto"/>
              <w:left w:val="outset" w:sz="6" w:space="0" w:color="auto"/>
              <w:bottom w:val="outset" w:sz="6" w:space="0" w:color="auto"/>
              <w:right w:val="outset" w:sz="6" w:space="0" w:color="auto"/>
            </w:tcBorders>
            <w:hideMark/>
          </w:tcPr>
          <w:p w14:paraId="46D59169"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FIKSĒTAIS</w:t>
            </w:r>
          </w:p>
          <w:p w14:paraId="0A3843E3" w14:textId="77777777" w:rsidR="00943C2A" w:rsidRPr="004A4208" w:rsidRDefault="00943C2A" w:rsidP="00444A26">
            <w:pPr>
              <w:pStyle w:val="tvhtml"/>
              <w:spacing w:before="60" w:beforeAutospacing="0" w:after="60" w:afterAutospacing="0"/>
              <w:rPr>
                <w:sz w:val="16"/>
                <w:szCs w:val="16"/>
              </w:rPr>
            </w:pPr>
            <w:r w:rsidRPr="004A4208">
              <w:rPr>
                <w:sz w:val="16"/>
                <w:szCs w:val="16"/>
              </w:rPr>
              <w:t>FIKSĒTAIS SATELĪTU (izplatījums–Zeme)</w:t>
            </w:r>
          </w:p>
          <w:p w14:paraId="2B910DAB" w14:textId="77777777" w:rsidR="00943C2A" w:rsidRPr="004A4208" w:rsidRDefault="00943C2A" w:rsidP="00444A26">
            <w:pPr>
              <w:pStyle w:val="tvhtml"/>
              <w:spacing w:before="60" w:beforeAutospacing="0" w:after="60" w:afterAutospacing="0"/>
              <w:rPr>
                <w:sz w:val="16"/>
                <w:szCs w:val="16"/>
              </w:rPr>
            </w:pPr>
            <w:r w:rsidRPr="004A4208">
              <w:rPr>
                <w:sz w:val="16"/>
                <w:szCs w:val="16"/>
              </w:rPr>
              <w:t>Mobilais</w:t>
            </w:r>
          </w:p>
        </w:tc>
        <w:tc>
          <w:tcPr>
            <w:tcW w:w="563" w:type="pct"/>
            <w:vMerge w:val="restart"/>
            <w:tcBorders>
              <w:top w:val="outset" w:sz="6" w:space="0" w:color="auto"/>
              <w:left w:val="outset" w:sz="6" w:space="0" w:color="auto"/>
              <w:bottom w:val="outset" w:sz="6" w:space="0" w:color="auto"/>
              <w:right w:val="outset" w:sz="6" w:space="0" w:color="auto"/>
            </w:tcBorders>
            <w:hideMark/>
          </w:tcPr>
          <w:p w14:paraId="76C6276B"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FIKSĒTAIS</w:t>
            </w:r>
          </w:p>
          <w:p w14:paraId="2AE32CF5" w14:textId="77777777" w:rsidR="00943C2A" w:rsidRPr="004A4208" w:rsidRDefault="00943C2A" w:rsidP="00444A26">
            <w:pPr>
              <w:pStyle w:val="tvhtml"/>
              <w:spacing w:before="60" w:beforeAutospacing="0" w:after="60" w:afterAutospacing="0"/>
              <w:rPr>
                <w:sz w:val="16"/>
                <w:szCs w:val="16"/>
              </w:rPr>
            </w:pPr>
            <w:r w:rsidRPr="004A4208">
              <w:rPr>
                <w:sz w:val="16"/>
                <w:szCs w:val="16"/>
              </w:rPr>
              <w:t>FIKSĒTAIS SATELĪTU (izplatījums–Zeme)</w:t>
            </w:r>
          </w:p>
          <w:p w14:paraId="68407ADC" w14:textId="77777777" w:rsidR="00943C2A" w:rsidRPr="004A4208" w:rsidRDefault="00943C2A" w:rsidP="00444A26">
            <w:pPr>
              <w:pStyle w:val="tvhtml"/>
              <w:spacing w:before="60" w:beforeAutospacing="0" w:after="60" w:afterAutospacing="0"/>
              <w:rPr>
                <w:sz w:val="16"/>
                <w:szCs w:val="16"/>
              </w:rPr>
            </w:pPr>
            <w:r w:rsidRPr="004A4208">
              <w:rPr>
                <w:sz w:val="16"/>
                <w:szCs w:val="16"/>
              </w:rPr>
              <w:t>MOBILAIS, izņemot gaisa kuģniecības mobilo</w:t>
            </w:r>
          </w:p>
        </w:tc>
        <w:tc>
          <w:tcPr>
            <w:tcW w:w="691" w:type="pct"/>
            <w:tcBorders>
              <w:top w:val="outset" w:sz="6" w:space="0" w:color="auto"/>
              <w:left w:val="outset" w:sz="6" w:space="0" w:color="auto"/>
              <w:bottom w:val="outset" w:sz="6" w:space="0" w:color="auto"/>
              <w:right w:val="outset" w:sz="6" w:space="0" w:color="auto"/>
            </w:tcBorders>
            <w:hideMark/>
          </w:tcPr>
          <w:p w14:paraId="0CB62B2F"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BWA/IMT: 3400–3800 MHz</w:t>
            </w:r>
          </w:p>
        </w:tc>
        <w:tc>
          <w:tcPr>
            <w:tcW w:w="2252" w:type="pct"/>
            <w:tcBorders>
              <w:top w:val="outset" w:sz="6" w:space="0" w:color="auto"/>
              <w:left w:val="outset" w:sz="6" w:space="0" w:color="auto"/>
              <w:bottom w:val="outset" w:sz="6" w:space="0" w:color="auto"/>
              <w:right w:val="outset" w:sz="6" w:space="0" w:color="auto"/>
            </w:tcBorders>
            <w:hideMark/>
          </w:tcPr>
          <w:p w14:paraId="43A354B5"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 xml:space="preserve">Komisijas 2008. gada 21. maija Lēmums </w:t>
            </w:r>
            <w:hyperlink r:id="rId14" w:tgtFrame="_blank" w:history="1">
              <w:r w:rsidRPr="004A4208">
                <w:rPr>
                  <w:rStyle w:val="Hyperlink"/>
                  <w:rFonts w:cs="Times New Roman"/>
                  <w:sz w:val="16"/>
                  <w:szCs w:val="16"/>
                </w:rPr>
                <w:t>2008/411/EK</w:t>
              </w:r>
            </w:hyperlink>
            <w:r w:rsidRPr="004A4208">
              <w:rPr>
                <w:rFonts w:cs="Times New Roman"/>
                <w:sz w:val="16"/>
                <w:szCs w:val="16"/>
              </w:rPr>
              <w:t xml:space="preserve"> par 3400–3800 MHz frekvenču joslas harmonizāciju tādu zemes sistēmu vajadzībām, kas Kopienā spēj nodrošināt elektronisko sakaru pakalpojumus </w:t>
            </w:r>
          </w:p>
          <w:p w14:paraId="6BF58B27" w14:textId="77777777" w:rsidR="00943C2A" w:rsidRPr="004A4208" w:rsidRDefault="00943C2A" w:rsidP="00444A26">
            <w:pPr>
              <w:pStyle w:val="tvhtml"/>
              <w:spacing w:before="60" w:beforeAutospacing="0" w:after="60" w:afterAutospacing="0"/>
              <w:rPr>
                <w:sz w:val="16"/>
                <w:szCs w:val="16"/>
              </w:rPr>
            </w:pPr>
            <w:r w:rsidRPr="004A4208">
              <w:rPr>
                <w:sz w:val="16"/>
                <w:szCs w:val="16"/>
              </w:rPr>
              <w:t xml:space="preserve">Komisijas 2014. gada 2. maija īstenošanas Lēmums 2014/276/ES par grozījumiem Lēmumā </w:t>
            </w:r>
            <w:hyperlink r:id="rId15" w:tgtFrame="_blank" w:history="1">
              <w:r w:rsidRPr="004A4208">
                <w:rPr>
                  <w:rStyle w:val="Hyperlink"/>
                  <w:sz w:val="16"/>
                  <w:szCs w:val="16"/>
                </w:rPr>
                <w:t>2008/411/EK</w:t>
              </w:r>
            </w:hyperlink>
            <w:r w:rsidRPr="004A4208">
              <w:rPr>
                <w:sz w:val="16"/>
                <w:szCs w:val="16"/>
              </w:rPr>
              <w:t xml:space="preserve"> par 3400–3800 MHz frekvenču joslas harmonizāciju tādu zemes sistēmu vajadzībām, kas Kopienā spēj nodrošināt elektronisko sakaru pakalpojumus</w:t>
            </w:r>
          </w:p>
          <w:p w14:paraId="45E84A7C" w14:textId="77777777" w:rsidR="00943C2A" w:rsidRPr="004A4208" w:rsidRDefault="00943C2A" w:rsidP="00444A26">
            <w:pPr>
              <w:pStyle w:val="tvhtml"/>
              <w:spacing w:before="60" w:beforeAutospacing="0" w:after="60" w:afterAutospacing="0"/>
              <w:rPr>
                <w:sz w:val="16"/>
                <w:szCs w:val="16"/>
              </w:rPr>
            </w:pPr>
            <w:r w:rsidRPr="004A4208">
              <w:rPr>
                <w:sz w:val="16"/>
                <w:szCs w:val="16"/>
              </w:rPr>
              <w:t>ERC/REC 12-08 – Harmonizēts radiofrekvenču kanālu plānojums un frekvenču bloku sadalījums mazas, vidējas un augstas ietilpības sistēmām 3600 – 4200 MHz joslā (B2.2)</w:t>
            </w:r>
          </w:p>
          <w:p w14:paraId="7B7E3F80" w14:textId="77777777" w:rsidR="00943C2A" w:rsidRPr="004A4208" w:rsidRDefault="00943C2A" w:rsidP="00444A26">
            <w:pPr>
              <w:pStyle w:val="tvhtml"/>
              <w:spacing w:before="60" w:beforeAutospacing="0" w:after="60" w:afterAutospacing="0"/>
              <w:rPr>
                <w:sz w:val="16"/>
                <w:szCs w:val="16"/>
              </w:rPr>
            </w:pPr>
            <w:r w:rsidRPr="004A4208">
              <w:rPr>
                <w:sz w:val="16"/>
                <w:szCs w:val="16"/>
              </w:rPr>
              <w:t>ECC/DEC/(07)02 – ECC 2007. gada 30. marta lēmums par frekvenču joslu pieejamību starp 3400-3800 MHz platjoslas bezvadu piekļuves sistēmu (BWA) harmonizētai ieviešanai</w:t>
            </w:r>
          </w:p>
          <w:p w14:paraId="35570424" w14:textId="77777777" w:rsidR="00943C2A" w:rsidRPr="004A4208" w:rsidRDefault="00943C2A" w:rsidP="00444A26">
            <w:pPr>
              <w:pStyle w:val="tvhtml"/>
              <w:spacing w:before="60" w:beforeAutospacing="0" w:after="60" w:afterAutospacing="0"/>
              <w:rPr>
                <w:sz w:val="16"/>
                <w:szCs w:val="16"/>
              </w:rPr>
            </w:pPr>
            <w:r w:rsidRPr="004A4208">
              <w:rPr>
                <w:sz w:val="16"/>
                <w:szCs w:val="16"/>
              </w:rPr>
              <w:t>ECC/DEC/(11)06 – ECC 2011. gada 9. decembra lēmums par harmonizētiem kanālu plāniem mobilo/fiksēto sakaru tīkliem (MFCN), kas darbojas 3400-3600 MHz un 3600-3800 MHz radiofrekvenču joslās</w:t>
            </w:r>
          </w:p>
        </w:tc>
        <w:tc>
          <w:tcPr>
            <w:tcW w:w="719" w:type="pct"/>
            <w:tcBorders>
              <w:top w:val="outset" w:sz="6" w:space="0" w:color="auto"/>
              <w:left w:val="outset" w:sz="6" w:space="0" w:color="auto"/>
              <w:bottom w:val="outset" w:sz="6" w:space="0" w:color="auto"/>
            </w:tcBorders>
            <w:hideMark/>
          </w:tcPr>
          <w:p w14:paraId="6646AF9E"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 xml:space="preserve">Konfigurācija: MP, </w:t>
            </w:r>
          </w:p>
          <w:p w14:paraId="40CC38BC" w14:textId="77777777" w:rsidR="00943C2A" w:rsidRPr="004A4208" w:rsidRDefault="00943C2A" w:rsidP="00444A26">
            <w:pPr>
              <w:pStyle w:val="tvhtml"/>
              <w:spacing w:before="60" w:beforeAutospacing="0" w:after="60" w:afterAutospacing="0"/>
              <w:rPr>
                <w:sz w:val="16"/>
                <w:szCs w:val="16"/>
              </w:rPr>
            </w:pPr>
            <w:r w:rsidRPr="004A4208">
              <w:rPr>
                <w:sz w:val="16"/>
                <w:szCs w:val="16"/>
              </w:rPr>
              <w:t>Radiosaskarne RS FX.037MP</w:t>
            </w:r>
          </w:p>
          <w:p w14:paraId="75A95332" w14:textId="77777777" w:rsidR="00943C2A" w:rsidRPr="004A4208" w:rsidRDefault="00943C2A" w:rsidP="00444A26">
            <w:pPr>
              <w:pStyle w:val="tvhtml"/>
              <w:spacing w:before="60" w:beforeAutospacing="0" w:after="60" w:afterAutospacing="0"/>
              <w:rPr>
                <w:sz w:val="16"/>
                <w:szCs w:val="16"/>
              </w:rPr>
            </w:pPr>
            <w:r w:rsidRPr="004A4208">
              <w:rPr>
                <w:sz w:val="16"/>
                <w:szCs w:val="16"/>
              </w:rPr>
              <w:t>Radiosaskarne RS LM.3600</w:t>
            </w:r>
          </w:p>
          <w:p w14:paraId="7BE98944" w14:textId="77777777" w:rsidR="00943C2A" w:rsidRPr="004A4208" w:rsidRDefault="00943C2A" w:rsidP="00444A26">
            <w:pPr>
              <w:pStyle w:val="tvhtml"/>
              <w:spacing w:before="60" w:beforeAutospacing="0" w:after="60" w:afterAutospacing="0"/>
              <w:rPr>
                <w:sz w:val="16"/>
                <w:szCs w:val="16"/>
              </w:rPr>
            </w:pPr>
            <w:r w:rsidRPr="004A4208">
              <w:rPr>
                <w:sz w:val="16"/>
                <w:szCs w:val="16"/>
              </w:rPr>
              <w:t>Publiskie elektronisko sakaru tīkli</w:t>
            </w:r>
          </w:p>
          <w:p w14:paraId="4943E951"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Noslēguma jautājumi, 42.-48. punkts</w:t>
            </w:r>
          </w:p>
        </w:tc>
      </w:tr>
      <w:tr w:rsidR="00943C2A" w:rsidRPr="004A4208" w14:paraId="0565DCE4" w14:textId="77777777" w:rsidTr="00444A2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AA24A45" w14:textId="77777777" w:rsidR="00943C2A" w:rsidRPr="004A4208"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F0810F5" w14:textId="77777777" w:rsidR="00943C2A" w:rsidRPr="004A4208"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37F6350" w14:textId="77777777" w:rsidR="00943C2A" w:rsidRPr="004A4208" w:rsidRDefault="00943C2A" w:rsidP="00444A26">
            <w:pPr>
              <w:spacing w:before="60" w:after="60" w:line="240" w:lineRule="auto"/>
              <w:rPr>
                <w:rFonts w:cs="Times New Roman"/>
                <w:sz w:val="16"/>
                <w:szCs w:val="16"/>
              </w:rPr>
            </w:pPr>
          </w:p>
        </w:tc>
        <w:tc>
          <w:tcPr>
            <w:tcW w:w="691" w:type="pct"/>
            <w:tcBorders>
              <w:top w:val="outset" w:sz="6" w:space="0" w:color="auto"/>
              <w:left w:val="outset" w:sz="6" w:space="0" w:color="auto"/>
              <w:bottom w:val="outset" w:sz="6" w:space="0" w:color="auto"/>
              <w:right w:val="outset" w:sz="6" w:space="0" w:color="auto"/>
            </w:tcBorders>
            <w:hideMark/>
          </w:tcPr>
          <w:p w14:paraId="2911EBE0"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Uztverošās Zemes radiostacijas</w:t>
            </w:r>
          </w:p>
        </w:tc>
        <w:tc>
          <w:tcPr>
            <w:tcW w:w="2252" w:type="pct"/>
            <w:tcBorders>
              <w:top w:val="outset" w:sz="6" w:space="0" w:color="auto"/>
              <w:left w:val="outset" w:sz="6" w:space="0" w:color="auto"/>
              <w:bottom w:val="outset" w:sz="6" w:space="0" w:color="auto"/>
              <w:right w:val="outset" w:sz="6" w:space="0" w:color="auto"/>
            </w:tcBorders>
            <w:hideMark/>
          </w:tcPr>
          <w:p w14:paraId="2F92B4DC" w14:textId="77777777" w:rsidR="00943C2A" w:rsidRPr="004A4208" w:rsidRDefault="00943C2A" w:rsidP="00444A26">
            <w:pPr>
              <w:spacing w:before="60" w:after="60" w:line="240" w:lineRule="auto"/>
              <w:rPr>
                <w:rFonts w:cs="Times New Roman"/>
                <w:sz w:val="16"/>
                <w:szCs w:val="16"/>
              </w:rPr>
            </w:pPr>
          </w:p>
        </w:tc>
        <w:tc>
          <w:tcPr>
            <w:tcW w:w="719" w:type="pct"/>
            <w:tcBorders>
              <w:top w:val="outset" w:sz="6" w:space="0" w:color="auto"/>
              <w:left w:val="outset" w:sz="6" w:space="0" w:color="auto"/>
              <w:bottom w:val="outset" w:sz="6" w:space="0" w:color="auto"/>
            </w:tcBorders>
            <w:hideMark/>
          </w:tcPr>
          <w:p w14:paraId="2A313683"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 xml:space="preserve">Ieteicamā josla </w:t>
            </w:r>
          </w:p>
          <w:p w14:paraId="3D050A38"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3800-4200 MHz</w:t>
            </w:r>
          </w:p>
        </w:tc>
      </w:tr>
      <w:tr w:rsidR="00943C2A" w:rsidRPr="004A4208" w14:paraId="31B95614" w14:textId="77777777" w:rsidTr="00444A2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FD7C270" w14:textId="77777777" w:rsidR="00943C2A" w:rsidRPr="004A4208"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34B1197" w14:textId="77777777" w:rsidR="00943C2A" w:rsidRPr="004A4208"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1EE8B98" w14:textId="77777777" w:rsidR="00943C2A" w:rsidRPr="004A4208" w:rsidRDefault="00943C2A" w:rsidP="00444A26">
            <w:pPr>
              <w:spacing w:before="60" w:after="60" w:line="240" w:lineRule="auto"/>
              <w:rPr>
                <w:rFonts w:cs="Times New Roman"/>
                <w:sz w:val="16"/>
                <w:szCs w:val="16"/>
              </w:rPr>
            </w:pPr>
          </w:p>
        </w:tc>
        <w:tc>
          <w:tcPr>
            <w:tcW w:w="691" w:type="pct"/>
            <w:tcBorders>
              <w:top w:val="outset" w:sz="6" w:space="0" w:color="auto"/>
              <w:left w:val="outset" w:sz="6" w:space="0" w:color="auto"/>
              <w:bottom w:val="outset" w:sz="6" w:space="0" w:color="auto"/>
              <w:right w:val="outset" w:sz="6" w:space="0" w:color="auto"/>
            </w:tcBorders>
            <w:hideMark/>
          </w:tcPr>
          <w:p w14:paraId="676E39D5"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VSAT: 3800–4200 MHz</w:t>
            </w:r>
          </w:p>
        </w:tc>
        <w:tc>
          <w:tcPr>
            <w:tcW w:w="2252" w:type="pct"/>
            <w:tcBorders>
              <w:top w:val="outset" w:sz="6" w:space="0" w:color="auto"/>
              <w:left w:val="outset" w:sz="6" w:space="0" w:color="auto"/>
              <w:bottom w:val="outset" w:sz="6" w:space="0" w:color="auto"/>
              <w:right w:val="outset" w:sz="6" w:space="0" w:color="auto"/>
            </w:tcBorders>
            <w:hideMark/>
          </w:tcPr>
          <w:p w14:paraId="0AAD9BA4" w14:textId="77777777" w:rsidR="00943C2A" w:rsidRPr="004A4208" w:rsidRDefault="00943C2A" w:rsidP="00444A26">
            <w:pPr>
              <w:spacing w:before="60" w:after="60" w:line="240" w:lineRule="auto"/>
              <w:rPr>
                <w:rFonts w:cs="Times New Roman"/>
                <w:sz w:val="16"/>
                <w:szCs w:val="16"/>
              </w:rPr>
            </w:pPr>
          </w:p>
        </w:tc>
        <w:tc>
          <w:tcPr>
            <w:tcW w:w="719" w:type="pct"/>
            <w:tcBorders>
              <w:top w:val="outset" w:sz="6" w:space="0" w:color="auto"/>
              <w:left w:val="outset" w:sz="6" w:space="0" w:color="auto"/>
              <w:bottom w:val="outset" w:sz="6" w:space="0" w:color="auto"/>
            </w:tcBorders>
            <w:hideMark/>
          </w:tcPr>
          <w:p w14:paraId="41388E56" w14:textId="77777777" w:rsidR="00943C2A" w:rsidRPr="004A4208" w:rsidRDefault="00943C2A" w:rsidP="00444A26">
            <w:pPr>
              <w:spacing w:before="60" w:after="60" w:line="240" w:lineRule="auto"/>
              <w:rPr>
                <w:rFonts w:cs="Times New Roman"/>
                <w:sz w:val="16"/>
                <w:szCs w:val="16"/>
              </w:rPr>
            </w:pPr>
          </w:p>
        </w:tc>
      </w:tr>
      <w:tr w:rsidR="00943C2A" w:rsidRPr="004A4208" w14:paraId="40BA7E0E" w14:textId="77777777" w:rsidTr="00444A2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281921" w14:textId="77777777" w:rsidR="00943C2A" w:rsidRPr="004A4208"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358D4FD" w14:textId="77777777" w:rsidR="00943C2A" w:rsidRPr="004A4208" w:rsidRDefault="00943C2A" w:rsidP="00444A26">
            <w:pPr>
              <w:spacing w:before="60" w:after="60" w:line="240" w:lineRule="auto"/>
              <w:rPr>
                <w:rFonts w:cs="Times New Roman"/>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1EFCB20" w14:textId="77777777" w:rsidR="00943C2A" w:rsidRPr="004A4208" w:rsidRDefault="00943C2A" w:rsidP="00444A26">
            <w:pPr>
              <w:spacing w:before="60" w:after="60" w:line="240" w:lineRule="auto"/>
              <w:rPr>
                <w:rFonts w:cs="Times New Roman"/>
                <w:sz w:val="16"/>
                <w:szCs w:val="16"/>
              </w:rPr>
            </w:pPr>
          </w:p>
        </w:tc>
        <w:tc>
          <w:tcPr>
            <w:tcW w:w="691" w:type="pct"/>
            <w:tcBorders>
              <w:top w:val="outset" w:sz="6" w:space="0" w:color="auto"/>
              <w:left w:val="outset" w:sz="6" w:space="0" w:color="auto"/>
              <w:bottom w:val="outset" w:sz="6" w:space="0" w:color="auto"/>
              <w:right w:val="outset" w:sz="6" w:space="0" w:color="auto"/>
            </w:tcBorders>
            <w:hideMark/>
          </w:tcPr>
          <w:p w14:paraId="37503C9A"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Izplatījuma sistēmas: 3700–4200 MHz</w:t>
            </w:r>
          </w:p>
        </w:tc>
        <w:tc>
          <w:tcPr>
            <w:tcW w:w="2252" w:type="pct"/>
            <w:tcBorders>
              <w:top w:val="outset" w:sz="6" w:space="0" w:color="auto"/>
              <w:left w:val="outset" w:sz="6" w:space="0" w:color="auto"/>
              <w:bottom w:val="outset" w:sz="6" w:space="0" w:color="auto"/>
              <w:right w:val="outset" w:sz="6" w:space="0" w:color="auto"/>
            </w:tcBorders>
            <w:hideMark/>
          </w:tcPr>
          <w:p w14:paraId="1C31BFB5" w14:textId="77777777" w:rsidR="00943C2A" w:rsidRPr="004A4208" w:rsidRDefault="00943C2A" w:rsidP="00444A26">
            <w:pPr>
              <w:spacing w:before="60" w:after="60" w:line="240" w:lineRule="auto"/>
              <w:rPr>
                <w:rFonts w:cs="Times New Roman"/>
                <w:sz w:val="16"/>
                <w:szCs w:val="16"/>
              </w:rPr>
            </w:pPr>
            <w:r w:rsidRPr="004A4208">
              <w:rPr>
                <w:rFonts w:cs="Times New Roman"/>
                <w:sz w:val="16"/>
                <w:szCs w:val="16"/>
              </w:rPr>
              <w:t>ECC/DEC/(05)09 – ECC 2005. gada 24. jūnija lēmums par kuģu Zemes staciju brīvu apriti un izmantošanu, kas darbojas fiksētā satelītu dienesta tīklos radiofrekvenču joslās 5925-6425 MHz (Zeme–izplatījums) un 3700-4200 MHz (izplatījums–Zeme)</w:t>
            </w:r>
          </w:p>
        </w:tc>
        <w:tc>
          <w:tcPr>
            <w:tcW w:w="719" w:type="pct"/>
            <w:tcBorders>
              <w:top w:val="outset" w:sz="6" w:space="0" w:color="auto"/>
              <w:left w:val="outset" w:sz="6" w:space="0" w:color="auto"/>
              <w:bottom w:val="outset" w:sz="6" w:space="0" w:color="auto"/>
            </w:tcBorders>
            <w:hideMark/>
          </w:tcPr>
          <w:p w14:paraId="3B943B7A" w14:textId="77777777" w:rsidR="00943C2A" w:rsidRPr="004A4208" w:rsidRDefault="00943C2A" w:rsidP="00444A26">
            <w:pPr>
              <w:spacing w:before="60" w:after="60" w:line="240" w:lineRule="auto"/>
              <w:rPr>
                <w:rFonts w:cs="Times New Roman"/>
                <w:sz w:val="16"/>
                <w:szCs w:val="16"/>
              </w:rPr>
            </w:pPr>
          </w:p>
        </w:tc>
      </w:tr>
    </w:tbl>
    <w:p w14:paraId="4D82A48B" w14:textId="77777777" w:rsidR="00943C2A" w:rsidRPr="004A4208" w:rsidRDefault="00943C2A" w:rsidP="00943C2A">
      <w:pPr>
        <w:spacing w:after="0" w:line="240" w:lineRule="auto"/>
        <w:rPr>
          <w:rFonts w:eastAsia="Times New Roman" w:cs="Times New Roman"/>
          <w:bCs/>
          <w:sz w:val="20"/>
          <w:szCs w:val="20"/>
          <w:lang w:eastAsia="lv-LV"/>
        </w:rPr>
      </w:pPr>
    </w:p>
    <w:p w14:paraId="279A94F0" w14:textId="77777777" w:rsidR="00576CDF" w:rsidRPr="004A4208" w:rsidRDefault="00576CDF" w:rsidP="0005547C">
      <w:pPr>
        <w:spacing w:after="0" w:line="240" w:lineRule="auto"/>
        <w:jc w:val="both"/>
        <w:rPr>
          <w:rFonts w:cs="Times New Roman"/>
          <w:szCs w:val="28"/>
        </w:rPr>
      </w:pPr>
    </w:p>
    <w:p w14:paraId="675742DE" w14:textId="77777777" w:rsidR="00194C58" w:rsidRPr="0005547C" w:rsidRDefault="00194C58" w:rsidP="00194C58">
      <w:pPr>
        <w:spacing w:after="0" w:line="240" w:lineRule="auto"/>
        <w:jc w:val="both"/>
        <w:rPr>
          <w:rFonts w:cs="Times New Roman"/>
          <w:szCs w:val="28"/>
        </w:rPr>
      </w:pPr>
    </w:p>
    <w:p w14:paraId="19AD2A2C" w14:textId="77777777" w:rsidR="00194C58" w:rsidRDefault="00194C58" w:rsidP="00E4264F">
      <w:pPr>
        <w:pStyle w:val="ListParagraph"/>
        <w:numPr>
          <w:ilvl w:val="0"/>
          <w:numId w:val="5"/>
        </w:numPr>
        <w:spacing w:after="0" w:line="240" w:lineRule="auto"/>
        <w:jc w:val="both"/>
        <w:rPr>
          <w:rFonts w:cs="Times New Roman"/>
          <w:szCs w:val="28"/>
        </w:rPr>
      </w:pPr>
      <w:r w:rsidRPr="00E92D8E">
        <w:rPr>
          <w:rFonts w:cs="Times New Roman"/>
          <w:szCs w:val="28"/>
        </w:rPr>
        <w:t>Izteikt 2.pielikuma 47.punktu “Radiosaskarne RS LM.3600” šādā redakcijā:</w:t>
      </w:r>
    </w:p>
    <w:p w14:paraId="2337A690" w14:textId="77777777" w:rsidR="00194C58" w:rsidRDefault="00194C58" w:rsidP="00194C58">
      <w:pPr>
        <w:spacing w:after="0" w:line="240" w:lineRule="auto"/>
        <w:jc w:val="both"/>
        <w:rPr>
          <w:rFonts w:cs="Times New Roman"/>
          <w:szCs w:val="28"/>
        </w:rPr>
      </w:pPr>
    </w:p>
    <w:p w14:paraId="28FDAE37" w14:textId="77777777" w:rsidR="00194C58" w:rsidRPr="002445DC" w:rsidRDefault="00194C58" w:rsidP="00194C58">
      <w:pPr>
        <w:pStyle w:val="tvhtml"/>
        <w:spacing w:before="60" w:beforeAutospacing="0" w:after="60" w:afterAutospacing="0"/>
        <w:rPr>
          <w:b/>
          <w:bCs/>
          <w:sz w:val="16"/>
          <w:szCs w:val="16"/>
        </w:rPr>
      </w:pPr>
      <w:r w:rsidRPr="002445DC">
        <w:rPr>
          <w:b/>
          <w:bCs/>
          <w:sz w:val="16"/>
          <w:szCs w:val="16"/>
        </w:rPr>
        <w:t>47. Radiosaskarne RS LM.3600</w:t>
      </w:r>
    </w:p>
    <w:tbl>
      <w:tblPr>
        <w:tblW w:w="4947"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75"/>
        <w:gridCol w:w="1515"/>
        <w:gridCol w:w="2277"/>
        <w:gridCol w:w="5078"/>
      </w:tblGrid>
      <w:tr w:rsidR="00194C58" w:rsidRPr="002445DC" w14:paraId="55A52C83"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vAlign w:val="center"/>
            <w:hideMark/>
          </w:tcPr>
          <w:p w14:paraId="27114DE5" w14:textId="77777777" w:rsidR="00194C58" w:rsidRPr="002445DC" w:rsidRDefault="00194C58" w:rsidP="00444A26">
            <w:pPr>
              <w:pStyle w:val="tvhtml"/>
              <w:spacing w:before="20" w:beforeAutospacing="0" w:after="20" w:afterAutospacing="0"/>
              <w:jc w:val="center"/>
              <w:rPr>
                <w:sz w:val="16"/>
                <w:szCs w:val="16"/>
              </w:rPr>
            </w:pPr>
            <w:r w:rsidRPr="002445DC">
              <w:rPr>
                <w:sz w:val="16"/>
                <w:szCs w:val="16"/>
              </w:rPr>
              <w:t>Nr.</w:t>
            </w:r>
            <w:r w:rsidRPr="002445DC">
              <w:rPr>
                <w:sz w:val="16"/>
                <w:szCs w:val="16"/>
              </w:rPr>
              <w:br/>
              <w:t>p.k.</w:t>
            </w:r>
          </w:p>
        </w:tc>
        <w:tc>
          <w:tcPr>
            <w:tcW w:w="819" w:type="pct"/>
            <w:tcBorders>
              <w:top w:val="outset" w:sz="6" w:space="0" w:color="auto"/>
              <w:left w:val="outset" w:sz="6" w:space="0" w:color="auto"/>
              <w:bottom w:val="outset" w:sz="6" w:space="0" w:color="auto"/>
              <w:right w:val="outset" w:sz="6" w:space="0" w:color="auto"/>
            </w:tcBorders>
            <w:vAlign w:val="center"/>
            <w:hideMark/>
          </w:tcPr>
          <w:p w14:paraId="5DE622D4" w14:textId="77777777" w:rsidR="00194C58" w:rsidRPr="002445DC" w:rsidRDefault="00194C58" w:rsidP="00444A26">
            <w:pPr>
              <w:pStyle w:val="tvhtml"/>
              <w:spacing w:before="20" w:beforeAutospacing="0" w:after="20" w:afterAutospacing="0"/>
              <w:jc w:val="center"/>
              <w:rPr>
                <w:sz w:val="16"/>
                <w:szCs w:val="16"/>
              </w:rPr>
            </w:pPr>
            <w:r w:rsidRPr="002445DC">
              <w:rPr>
                <w:sz w:val="16"/>
                <w:szCs w:val="16"/>
              </w:rPr>
              <w:t>Parametri</w:t>
            </w:r>
          </w:p>
        </w:tc>
        <w:tc>
          <w:tcPr>
            <w:tcW w:w="1233" w:type="pct"/>
            <w:tcBorders>
              <w:top w:val="outset" w:sz="6" w:space="0" w:color="auto"/>
              <w:left w:val="outset" w:sz="6" w:space="0" w:color="auto"/>
              <w:bottom w:val="outset" w:sz="6" w:space="0" w:color="auto"/>
              <w:right w:val="outset" w:sz="6" w:space="0" w:color="auto"/>
            </w:tcBorders>
            <w:vAlign w:val="center"/>
            <w:hideMark/>
          </w:tcPr>
          <w:p w14:paraId="60D31AA5" w14:textId="77777777" w:rsidR="00194C58" w:rsidRPr="002445DC" w:rsidRDefault="00194C58" w:rsidP="00444A26">
            <w:pPr>
              <w:pStyle w:val="tvhtml"/>
              <w:spacing w:before="20" w:beforeAutospacing="0" w:after="20" w:afterAutospacing="0"/>
              <w:jc w:val="center"/>
              <w:rPr>
                <w:sz w:val="16"/>
                <w:szCs w:val="16"/>
              </w:rPr>
            </w:pPr>
            <w:r w:rsidRPr="002445DC">
              <w:rPr>
                <w:sz w:val="16"/>
                <w:szCs w:val="16"/>
              </w:rPr>
              <w:t>Apraksts</w:t>
            </w:r>
          </w:p>
        </w:tc>
        <w:tc>
          <w:tcPr>
            <w:tcW w:w="2750" w:type="pct"/>
            <w:tcBorders>
              <w:top w:val="outset" w:sz="6" w:space="0" w:color="auto"/>
              <w:left w:val="outset" w:sz="6" w:space="0" w:color="auto"/>
              <w:bottom w:val="outset" w:sz="6" w:space="0" w:color="auto"/>
              <w:right w:val="outset" w:sz="6" w:space="0" w:color="auto"/>
            </w:tcBorders>
            <w:vAlign w:val="center"/>
            <w:hideMark/>
          </w:tcPr>
          <w:p w14:paraId="1DB220E8" w14:textId="77777777" w:rsidR="00194C58" w:rsidRPr="002445DC" w:rsidRDefault="00194C58" w:rsidP="00444A26">
            <w:pPr>
              <w:pStyle w:val="tvhtml"/>
              <w:spacing w:before="20" w:beforeAutospacing="0" w:after="20" w:afterAutospacing="0"/>
              <w:jc w:val="center"/>
              <w:rPr>
                <w:sz w:val="16"/>
                <w:szCs w:val="16"/>
              </w:rPr>
            </w:pPr>
            <w:r w:rsidRPr="002445DC">
              <w:rPr>
                <w:sz w:val="16"/>
                <w:szCs w:val="16"/>
              </w:rPr>
              <w:t>Papildu nosacījumi</w:t>
            </w:r>
          </w:p>
        </w:tc>
      </w:tr>
      <w:tr w:rsidR="00194C58" w:rsidRPr="002445DC" w14:paraId="2327D0B1"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3CA97B53" w14:textId="77777777" w:rsidR="00194C58" w:rsidRPr="002445DC" w:rsidRDefault="00194C58" w:rsidP="00444A26">
            <w:pPr>
              <w:spacing w:before="20" w:after="20" w:line="240" w:lineRule="auto"/>
              <w:rPr>
                <w:sz w:val="16"/>
                <w:szCs w:val="16"/>
              </w:rPr>
            </w:pPr>
            <w:r w:rsidRPr="002445DC">
              <w:rPr>
                <w:sz w:val="16"/>
                <w:szCs w:val="16"/>
              </w:rPr>
              <w:t>1.</w:t>
            </w:r>
          </w:p>
        </w:tc>
        <w:tc>
          <w:tcPr>
            <w:tcW w:w="819" w:type="pct"/>
            <w:tcBorders>
              <w:top w:val="outset" w:sz="6" w:space="0" w:color="auto"/>
              <w:left w:val="outset" w:sz="6" w:space="0" w:color="auto"/>
              <w:bottom w:val="outset" w:sz="6" w:space="0" w:color="auto"/>
              <w:right w:val="outset" w:sz="6" w:space="0" w:color="auto"/>
            </w:tcBorders>
            <w:hideMark/>
          </w:tcPr>
          <w:p w14:paraId="4CED01E8" w14:textId="77777777" w:rsidR="00194C58" w:rsidRPr="002445DC" w:rsidRDefault="00194C58" w:rsidP="00444A26">
            <w:pPr>
              <w:spacing w:before="20" w:after="20" w:line="240" w:lineRule="auto"/>
              <w:rPr>
                <w:sz w:val="16"/>
                <w:szCs w:val="16"/>
              </w:rPr>
            </w:pPr>
            <w:r w:rsidRPr="002445DC">
              <w:rPr>
                <w:sz w:val="16"/>
                <w:szCs w:val="16"/>
              </w:rPr>
              <w:t>Radiosakaru dienests</w:t>
            </w:r>
          </w:p>
        </w:tc>
        <w:tc>
          <w:tcPr>
            <w:tcW w:w="1233" w:type="pct"/>
            <w:tcBorders>
              <w:top w:val="outset" w:sz="6" w:space="0" w:color="auto"/>
              <w:left w:val="outset" w:sz="6" w:space="0" w:color="auto"/>
              <w:bottom w:val="outset" w:sz="6" w:space="0" w:color="auto"/>
              <w:right w:val="outset" w:sz="6" w:space="0" w:color="auto"/>
            </w:tcBorders>
            <w:hideMark/>
          </w:tcPr>
          <w:p w14:paraId="3B6F0A8E" w14:textId="77777777" w:rsidR="00194C58" w:rsidRPr="002445DC" w:rsidRDefault="00194C58" w:rsidP="00444A26">
            <w:pPr>
              <w:spacing w:before="20" w:after="20" w:line="240" w:lineRule="auto"/>
              <w:rPr>
                <w:sz w:val="16"/>
                <w:szCs w:val="16"/>
              </w:rPr>
            </w:pPr>
            <w:r w:rsidRPr="002445DC">
              <w:rPr>
                <w:sz w:val="16"/>
                <w:szCs w:val="16"/>
              </w:rPr>
              <w:t>Sauszemes mobilais, fiksētais</w:t>
            </w:r>
          </w:p>
        </w:tc>
        <w:tc>
          <w:tcPr>
            <w:tcW w:w="2750" w:type="pct"/>
            <w:tcBorders>
              <w:top w:val="outset" w:sz="6" w:space="0" w:color="auto"/>
              <w:left w:val="outset" w:sz="6" w:space="0" w:color="auto"/>
              <w:bottom w:val="outset" w:sz="6" w:space="0" w:color="auto"/>
              <w:right w:val="outset" w:sz="6" w:space="0" w:color="auto"/>
            </w:tcBorders>
            <w:hideMark/>
          </w:tcPr>
          <w:p w14:paraId="2DF4CB4B" w14:textId="77777777" w:rsidR="00194C58" w:rsidRPr="002445DC" w:rsidRDefault="00194C58" w:rsidP="00444A26">
            <w:pPr>
              <w:spacing w:before="20" w:after="20" w:line="240" w:lineRule="auto"/>
              <w:rPr>
                <w:sz w:val="16"/>
                <w:szCs w:val="16"/>
              </w:rPr>
            </w:pPr>
            <w:r w:rsidRPr="002445DC">
              <w:rPr>
                <w:sz w:val="16"/>
                <w:szCs w:val="16"/>
              </w:rPr>
              <w:t>Nav definēti</w:t>
            </w:r>
          </w:p>
        </w:tc>
      </w:tr>
      <w:tr w:rsidR="00194C58" w:rsidRPr="002445DC" w14:paraId="66A67E1B"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497DE4FA" w14:textId="77777777" w:rsidR="00194C58" w:rsidRPr="002445DC" w:rsidRDefault="00194C58" w:rsidP="00444A26">
            <w:pPr>
              <w:spacing w:before="20" w:after="20" w:line="240" w:lineRule="auto"/>
              <w:rPr>
                <w:sz w:val="16"/>
                <w:szCs w:val="16"/>
              </w:rPr>
            </w:pPr>
            <w:r w:rsidRPr="002445DC">
              <w:rPr>
                <w:sz w:val="16"/>
                <w:szCs w:val="16"/>
              </w:rPr>
              <w:t>2.</w:t>
            </w:r>
          </w:p>
        </w:tc>
        <w:tc>
          <w:tcPr>
            <w:tcW w:w="819" w:type="pct"/>
            <w:tcBorders>
              <w:top w:val="outset" w:sz="6" w:space="0" w:color="auto"/>
              <w:left w:val="outset" w:sz="6" w:space="0" w:color="auto"/>
              <w:bottom w:val="outset" w:sz="6" w:space="0" w:color="auto"/>
              <w:right w:val="outset" w:sz="6" w:space="0" w:color="auto"/>
            </w:tcBorders>
            <w:hideMark/>
          </w:tcPr>
          <w:p w14:paraId="7DC61A04" w14:textId="77777777" w:rsidR="00194C58" w:rsidRPr="002445DC" w:rsidRDefault="00194C58" w:rsidP="00444A26">
            <w:pPr>
              <w:spacing w:before="20" w:after="20" w:line="240" w:lineRule="auto"/>
              <w:rPr>
                <w:sz w:val="16"/>
                <w:szCs w:val="16"/>
              </w:rPr>
            </w:pPr>
            <w:r w:rsidRPr="002445DC">
              <w:rPr>
                <w:sz w:val="16"/>
                <w:szCs w:val="16"/>
              </w:rPr>
              <w:t>Radiosakaru sistēmas</w:t>
            </w:r>
          </w:p>
        </w:tc>
        <w:tc>
          <w:tcPr>
            <w:tcW w:w="1233" w:type="pct"/>
            <w:tcBorders>
              <w:top w:val="outset" w:sz="6" w:space="0" w:color="auto"/>
              <w:left w:val="outset" w:sz="6" w:space="0" w:color="auto"/>
              <w:bottom w:val="outset" w:sz="6" w:space="0" w:color="auto"/>
              <w:right w:val="outset" w:sz="6" w:space="0" w:color="auto"/>
            </w:tcBorders>
            <w:hideMark/>
          </w:tcPr>
          <w:p w14:paraId="33E10B6F" w14:textId="77777777" w:rsidR="00194C58" w:rsidRPr="002445DC" w:rsidRDefault="00194C58" w:rsidP="00444A26">
            <w:pPr>
              <w:spacing w:before="20" w:after="20" w:line="240" w:lineRule="auto"/>
              <w:rPr>
                <w:sz w:val="16"/>
                <w:szCs w:val="16"/>
              </w:rPr>
            </w:pPr>
            <w:r w:rsidRPr="002445DC">
              <w:rPr>
                <w:sz w:val="16"/>
                <w:szCs w:val="16"/>
              </w:rPr>
              <w:t>Zemes radiosakaru sistēmas, kas Kopienā spēj nodrošināt elektronisko sakaru pakalpojumus: BWA/IMT</w:t>
            </w:r>
          </w:p>
        </w:tc>
        <w:tc>
          <w:tcPr>
            <w:tcW w:w="2750" w:type="pct"/>
            <w:tcBorders>
              <w:top w:val="outset" w:sz="6" w:space="0" w:color="auto"/>
              <w:left w:val="outset" w:sz="6" w:space="0" w:color="auto"/>
              <w:bottom w:val="outset" w:sz="6" w:space="0" w:color="auto"/>
              <w:right w:val="outset" w:sz="6" w:space="0" w:color="auto"/>
            </w:tcBorders>
            <w:hideMark/>
          </w:tcPr>
          <w:p w14:paraId="5B805E17" w14:textId="77777777" w:rsidR="00194C58" w:rsidRPr="002445DC" w:rsidRDefault="00194C58" w:rsidP="00444A26">
            <w:pPr>
              <w:spacing w:before="20" w:after="20" w:line="240" w:lineRule="auto"/>
              <w:rPr>
                <w:sz w:val="16"/>
                <w:szCs w:val="16"/>
              </w:rPr>
            </w:pPr>
            <w:r w:rsidRPr="002445DC">
              <w:rPr>
                <w:sz w:val="16"/>
                <w:szCs w:val="16"/>
              </w:rPr>
              <w:t>Bezvadu piekļuve, platjoslas elektronisko sakaru pakalpojumi</w:t>
            </w:r>
          </w:p>
        </w:tc>
      </w:tr>
      <w:tr w:rsidR="00194C58" w:rsidRPr="002445DC" w14:paraId="68D2D349"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1C40C547" w14:textId="77777777" w:rsidR="00194C58" w:rsidRPr="002445DC" w:rsidRDefault="00194C58" w:rsidP="00444A26">
            <w:pPr>
              <w:spacing w:before="20" w:after="20" w:line="240" w:lineRule="auto"/>
              <w:rPr>
                <w:sz w:val="16"/>
                <w:szCs w:val="16"/>
              </w:rPr>
            </w:pPr>
            <w:r w:rsidRPr="002445DC">
              <w:rPr>
                <w:sz w:val="16"/>
                <w:szCs w:val="16"/>
              </w:rPr>
              <w:t>3.</w:t>
            </w:r>
          </w:p>
        </w:tc>
        <w:tc>
          <w:tcPr>
            <w:tcW w:w="819" w:type="pct"/>
            <w:tcBorders>
              <w:top w:val="outset" w:sz="6" w:space="0" w:color="auto"/>
              <w:left w:val="outset" w:sz="6" w:space="0" w:color="auto"/>
              <w:bottom w:val="outset" w:sz="6" w:space="0" w:color="auto"/>
              <w:right w:val="outset" w:sz="6" w:space="0" w:color="auto"/>
            </w:tcBorders>
            <w:hideMark/>
          </w:tcPr>
          <w:p w14:paraId="7BDCE4BE" w14:textId="77777777" w:rsidR="00194C58" w:rsidRPr="002445DC" w:rsidRDefault="00194C58" w:rsidP="00444A26">
            <w:pPr>
              <w:spacing w:before="20" w:after="20" w:line="240" w:lineRule="auto"/>
              <w:rPr>
                <w:sz w:val="16"/>
                <w:szCs w:val="16"/>
              </w:rPr>
            </w:pPr>
            <w:r w:rsidRPr="002445DC">
              <w:rPr>
                <w:sz w:val="16"/>
                <w:szCs w:val="16"/>
              </w:rPr>
              <w:t>Radiofrekvenču josla</w:t>
            </w:r>
          </w:p>
        </w:tc>
        <w:tc>
          <w:tcPr>
            <w:tcW w:w="1233" w:type="pct"/>
            <w:tcBorders>
              <w:top w:val="outset" w:sz="6" w:space="0" w:color="auto"/>
              <w:left w:val="outset" w:sz="6" w:space="0" w:color="auto"/>
              <w:bottom w:val="outset" w:sz="6" w:space="0" w:color="auto"/>
              <w:right w:val="outset" w:sz="6" w:space="0" w:color="auto"/>
            </w:tcBorders>
            <w:hideMark/>
          </w:tcPr>
          <w:p w14:paraId="644056D1" w14:textId="77777777" w:rsidR="00194C58" w:rsidRPr="002445DC" w:rsidRDefault="00194C58" w:rsidP="00444A26">
            <w:pPr>
              <w:spacing w:before="20" w:after="20" w:line="240" w:lineRule="auto"/>
              <w:rPr>
                <w:sz w:val="16"/>
                <w:szCs w:val="16"/>
              </w:rPr>
            </w:pPr>
            <w:r w:rsidRPr="002445DC">
              <w:rPr>
                <w:sz w:val="16"/>
                <w:szCs w:val="16"/>
              </w:rPr>
              <w:t>34</w:t>
            </w:r>
            <w:r>
              <w:rPr>
                <w:sz w:val="16"/>
                <w:szCs w:val="16"/>
              </w:rPr>
              <w:t>0</w:t>
            </w:r>
            <w:r w:rsidRPr="002445DC">
              <w:rPr>
                <w:sz w:val="16"/>
                <w:szCs w:val="16"/>
              </w:rPr>
              <w:t>0–3800 MHz</w:t>
            </w:r>
          </w:p>
        </w:tc>
        <w:tc>
          <w:tcPr>
            <w:tcW w:w="2750" w:type="pct"/>
            <w:tcBorders>
              <w:top w:val="outset" w:sz="6" w:space="0" w:color="auto"/>
              <w:left w:val="outset" w:sz="6" w:space="0" w:color="auto"/>
              <w:bottom w:val="outset" w:sz="6" w:space="0" w:color="auto"/>
              <w:right w:val="outset" w:sz="6" w:space="0" w:color="auto"/>
            </w:tcBorders>
            <w:hideMark/>
          </w:tcPr>
          <w:p w14:paraId="134F6B44" w14:textId="77777777" w:rsidR="00194C58" w:rsidRPr="002445DC" w:rsidRDefault="00194C58" w:rsidP="00444A26">
            <w:pPr>
              <w:spacing w:before="20" w:after="20" w:line="240" w:lineRule="auto"/>
              <w:rPr>
                <w:sz w:val="16"/>
                <w:szCs w:val="16"/>
              </w:rPr>
            </w:pPr>
            <w:r w:rsidRPr="002445DC">
              <w:rPr>
                <w:sz w:val="16"/>
                <w:szCs w:val="16"/>
              </w:rPr>
              <w:t>Nav definēti</w:t>
            </w:r>
          </w:p>
        </w:tc>
      </w:tr>
      <w:tr w:rsidR="00194C58" w:rsidRPr="002445DC" w14:paraId="7C9F9CA5"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7B009193" w14:textId="77777777" w:rsidR="00194C58" w:rsidRPr="002445DC" w:rsidRDefault="00194C58" w:rsidP="00444A26">
            <w:pPr>
              <w:spacing w:before="20" w:after="20" w:line="240" w:lineRule="auto"/>
              <w:rPr>
                <w:sz w:val="16"/>
                <w:szCs w:val="16"/>
              </w:rPr>
            </w:pPr>
            <w:r w:rsidRPr="002445DC">
              <w:rPr>
                <w:sz w:val="16"/>
                <w:szCs w:val="16"/>
              </w:rPr>
              <w:t>4.</w:t>
            </w:r>
          </w:p>
        </w:tc>
        <w:tc>
          <w:tcPr>
            <w:tcW w:w="819" w:type="pct"/>
            <w:tcBorders>
              <w:top w:val="outset" w:sz="6" w:space="0" w:color="auto"/>
              <w:left w:val="outset" w:sz="6" w:space="0" w:color="auto"/>
              <w:bottom w:val="outset" w:sz="6" w:space="0" w:color="auto"/>
              <w:right w:val="outset" w:sz="6" w:space="0" w:color="auto"/>
            </w:tcBorders>
            <w:hideMark/>
          </w:tcPr>
          <w:p w14:paraId="5FDDB07B" w14:textId="77777777" w:rsidR="00194C58" w:rsidRPr="002445DC" w:rsidRDefault="00194C58" w:rsidP="00444A26">
            <w:pPr>
              <w:spacing w:before="20" w:after="20" w:line="240" w:lineRule="auto"/>
              <w:rPr>
                <w:sz w:val="16"/>
                <w:szCs w:val="16"/>
              </w:rPr>
            </w:pPr>
            <w:r w:rsidRPr="002445DC">
              <w:rPr>
                <w:sz w:val="16"/>
                <w:szCs w:val="16"/>
              </w:rPr>
              <w:t>Radiokanālu plānojums</w:t>
            </w:r>
          </w:p>
        </w:tc>
        <w:tc>
          <w:tcPr>
            <w:tcW w:w="1233" w:type="pct"/>
            <w:tcBorders>
              <w:top w:val="outset" w:sz="6" w:space="0" w:color="auto"/>
              <w:left w:val="outset" w:sz="6" w:space="0" w:color="auto"/>
              <w:bottom w:val="outset" w:sz="6" w:space="0" w:color="auto"/>
              <w:right w:val="outset" w:sz="6" w:space="0" w:color="auto"/>
            </w:tcBorders>
            <w:hideMark/>
          </w:tcPr>
          <w:p w14:paraId="56C85718" w14:textId="77777777" w:rsidR="00194C58" w:rsidRPr="002445DC" w:rsidRDefault="00194C58" w:rsidP="00444A26">
            <w:pPr>
              <w:spacing w:before="20" w:after="20" w:line="240" w:lineRule="auto"/>
              <w:rPr>
                <w:sz w:val="16"/>
                <w:szCs w:val="16"/>
              </w:rPr>
            </w:pPr>
            <w:r w:rsidRPr="002445DC">
              <w:rPr>
                <w:sz w:val="16"/>
                <w:szCs w:val="16"/>
              </w:rPr>
              <w:t>Laikdales duplekss (TDD)</w:t>
            </w:r>
          </w:p>
        </w:tc>
        <w:tc>
          <w:tcPr>
            <w:tcW w:w="2750" w:type="pct"/>
            <w:tcBorders>
              <w:top w:val="outset" w:sz="6" w:space="0" w:color="auto"/>
              <w:left w:val="outset" w:sz="6" w:space="0" w:color="auto"/>
              <w:bottom w:val="outset" w:sz="6" w:space="0" w:color="auto"/>
              <w:right w:val="outset" w:sz="6" w:space="0" w:color="auto"/>
            </w:tcBorders>
            <w:hideMark/>
          </w:tcPr>
          <w:p w14:paraId="5EC20996" w14:textId="77777777" w:rsidR="00194C58" w:rsidRPr="002445DC" w:rsidRDefault="00194C58" w:rsidP="00444A26">
            <w:pPr>
              <w:spacing w:before="20" w:after="120" w:line="240" w:lineRule="auto"/>
              <w:rPr>
                <w:sz w:val="16"/>
                <w:szCs w:val="16"/>
              </w:rPr>
            </w:pPr>
            <w:r w:rsidRPr="002445DC">
              <w:rPr>
                <w:sz w:val="16"/>
                <w:szCs w:val="16"/>
              </w:rPr>
              <w:t xml:space="preserve">Atbilstoši Komisijas 2014. gada 2. maija Lēmumam 2014/276/ES par grozījumiem Lēmumā </w:t>
            </w:r>
            <w:hyperlink r:id="rId16" w:tgtFrame="_blank" w:history="1">
              <w:r w:rsidRPr="002445DC">
                <w:rPr>
                  <w:rStyle w:val="Hyperlink"/>
                  <w:sz w:val="16"/>
                  <w:szCs w:val="16"/>
                </w:rPr>
                <w:t>2008/411/EK</w:t>
              </w:r>
            </w:hyperlink>
            <w:r w:rsidRPr="002445DC">
              <w:rPr>
                <w:sz w:val="16"/>
                <w:szCs w:val="16"/>
              </w:rPr>
              <w:t xml:space="preserve"> par 3400–3800 MHz frekvenču joslas harmonizāciju tādu zemes sistēmu vajadzībām, kas Kopienā spēj nodrošināt elektronisko sakaru pakalpojumus (turpmāk – Lēmums 2014/276/ES) pielikuma A daļai. </w:t>
            </w:r>
          </w:p>
          <w:p w14:paraId="54F69F79" w14:textId="77777777" w:rsidR="00194C58" w:rsidRPr="002445DC" w:rsidRDefault="00194C58" w:rsidP="00444A26">
            <w:pPr>
              <w:pStyle w:val="tvhtml"/>
              <w:spacing w:before="20" w:beforeAutospacing="0" w:after="120" w:afterAutospacing="0"/>
              <w:rPr>
                <w:sz w:val="16"/>
                <w:szCs w:val="16"/>
              </w:rPr>
            </w:pPr>
            <w:r w:rsidRPr="002445DC">
              <w:rPr>
                <w:sz w:val="16"/>
                <w:szCs w:val="16"/>
              </w:rPr>
              <w:t>Piešķirtajiem bloku lielumiem ir jābūt 5 MHz daudzkārtņiem.</w:t>
            </w:r>
          </w:p>
          <w:p w14:paraId="1450D8F3" w14:textId="77777777" w:rsidR="00194C58" w:rsidRPr="002445DC" w:rsidRDefault="00194C58" w:rsidP="00444A26">
            <w:pPr>
              <w:pStyle w:val="tvhtml"/>
              <w:spacing w:before="20" w:beforeAutospacing="0" w:after="120" w:afterAutospacing="0"/>
              <w:rPr>
                <w:sz w:val="16"/>
                <w:szCs w:val="16"/>
              </w:rPr>
            </w:pPr>
            <w:r w:rsidRPr="002445DC">
              <w:rPr>
                <w:sz w:val="16"/>
                <w:szCs w:val="16"/>
              </w:rPr>
              <w:t>Ja piešķirtos blokus ir nepieciešams pārbīdīt, lai pielāgotos citiem esošiem lietotājiem, ir jāizmanto 100 kHz rastrs. Blakusbloki citiem lietotājiem var tikt noteikti šaurāki, lai nodrošinātu efektīvu spektra izmantošanu</w:t>
            </w:r>
          </w:p>
        </w:tc>
      </w:tr>
      <w:tr w:rsidR="00194C58" w:rsidRPr="002445DC" w14:paraId="449A007B"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124952E4" w14:textId="77777777" w:rsidR="00194C58" w:rsidRPr="002445DC" w:rsidRDefault="00194C58" w:rsidP="00444A26">
            <w:pPr>
              <w:spacing w:before="20" w:after="20" w:line="240" w:lineRule="auto"/>
              <w:rPr>
                <w:sz w:val="16"/>
                <w:szCs w:val="16"/>
              </w:rPr>
            </w:pPr>
            <w:r w:rsidRPr="002445DC">
              <w:rPr>
                <w:sz w:val="16"/>
                <w:szCs w:val="16"/>
              </w:rPr>
              <w:t>5.</w:t>
            </w:r>
          </w:p>
        </w:tc>
        <w:tc>
          <w:tcPr>
            <w:tcW w:w="819" w:type="pct"/>
            <w:tcBorders>
              <w:top w:val="outset" w:sz="6" w:space="0" w:color="auto"/>
              <w:left w:val="outset" w:sz="6" w:space="0" w:color="auto"/>
              <w:bottom w:val="outset" w:sz="6" w:space="0" w:color="auto"/>
              <w:right w:val="outset" w:sz="6" w:space="0" w:color="auto"/>
            </w:tcBorders>
            <w:hideMark/>
          </w:tcPr>
          <w:p w14:paraId="21FDAC81" w14:textId="77777777" w:rsidR="00194C58" w:rsidRPr="002445DC" w:rsidRDefault="00194C58" w:rsidP="00444A26">
            <w:pPr>
              <w:spacing w:before="20" w:after="20" w:line="240" w:lineRule="auto"/>
              <w:rPr>
                <w:sz w:val="16"/>
                <w:szCs w:val="16"/>
              </w:rPr>
            </w:pPr>
            <w:r w:rsidRPr="002445DC">
              <w:rPr>
                <w:sz w:val="16"/>
                <w:szCs w:val="16"/>
              </w:rPr>
              <w:t>Pārraidāmā signāla veids</w:t>
            </w:r>
          </w:p>
        </w:tc>
        <w:tc>
          <w:tcPr>
            <w:tcW w:w="1233" w:type="pct"/>
            <w:tcBorders>
              <w:top w:val="outset" w:sz="6" w:space="0" w:color="auto"/>
              <w:left w:val="outset" w:sz="6" w:space="0" w:color="auto"/>
              <w:bottom w:val="outset" w:sz="6" w:space="0" w:color="auto"/>
              <w:right w:val="outset" w:sz="6" w:space="0" w:color="auto"/>
            </w:tcBorders>
            <w:hideMark/>
          </w:tcPr>
          <w:p w14:paraId="1BCF82C5" w14:textId="77777777" w:rsidR="00194C58" w:rsidRPr="002445DC" w:rsidRDefault="00194C58" w:rsidP="00444A26">
            <w:pPr>
              <w:spacing w:before="20" w:after="20" w:line="240" w:lineRule="auto"/>
              <w:rPr>
                <w:sz w:val="16"/>
                <w:szCs w:val="16"/>
              </w:rPr>
            </w:pPr>
            <w:r w:rsidRPr="002445DC">
              <w:rPr>
                <w:sz w:val="16"/>
                <w:szCs w:val="16"/>
              </w:rPr>
              <w:t>Ciparu</w:t>
            </w:r>
          </w:p>
        </w:tc>
        <w:tc>
          <w:tcPr>
            <w:tcW w:w="2750" w:type="pct"/>
            <w:tcBorders>
              <w:top w:val="outset" w:sz="6" w:space="0" w:color="auto"/>
              <w:left w:val="outset" w:sz="6" w:space="0" w:color="auto"/>
              <w:bottom w:val="outset" w:sz="6" w:space="0" w:color="auto"/>
              <w:right w:val="outset" w:sz="6" w:space="0" w:color="auto"/>
            </w:tcBorders>
            <w:hideMark/>
          </w:tcPr>
          <w:p w14:paraId="02D871FF" w14:textId="77777777" w:rsidR="00194C58" w:rsidRPr="002445DC" w:rsidRDefault="00194C58" w:rsidP="00444A26">
            <w:pPr>
              <w:spacing w:before="20" w:after="20" w:line="240" w:lineRule="auto"/>
              <w:rPr>
                <w:sz w:val="16"/>
                <w:szCs w:val="16"/>
              </w:rPr>
            </w:pPr>
            <w:r w:rsidRPr="002445DC">
              <w:rPr>
                <w:sz w:val="16"/>
                <w:szCs w:val="16"/>
              </w:rPr>
              <w:t>Nav definēti</w:t>
            </w:r>
          </w:p>
        </w:tc>
      </w:tr>
      <w:tr w:rsidR="00194C58" w:rsidRPr="002445DC" w14:paraId="1287E069"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6311350B" w14:textId="77777777" w:rsidR="00194C58" w:rsidRPr="002445DC" w:rsidRDefault="00194C58" w:rsidP="00444A26">
            <w:pPr>
              <w:spacing w:before="20" w:after="20" w:line="240" w:lineRule="auto"/>
              <w:rPr>
                <w:sz w:val="16"/>
                <w:szCs w:val="16"/>
              </w:rPr>
            </w:pPr>
            <w:r w:rsidRPr="002445DC">
              <w:rPr>
                <w:sz w:val="16"/>
                <w:szCs w:val="16"/>
              </w:rPr>
              <w:t>6.</w:t>
            </w:r>
          </w:p>
        </w:tc>
        <w:tc>
          <w:tcPr>
            <w:tcW w:w="819" w:type="pct"/>
            <w:tcBorders>
              <w:top w:val="outset" w:sz="6" w:space="0" w:color="auto"/>
              <w:left w:val="outset" w:sz="6" w:space="0" w:color="auto"/>
              <w:bottom w:val="outset" w:sz="6" w:space="0" w:color="auto"/>
              <w:right w:val="outset" w:sz="6" w:space="0" w:color="auto"/>
            </w:tcBorders>
            <w:hideMark/>
          </w:tcPr>
          <w:p w14:paraId="262CC6FB" w14:textId="77777777" w:rsidR="00194C58" w:rsidRPr="002445DC" w:rsidRDefault="00194C58" w:rsidP="00444A26">
            <w:pPr>
              <w:spacing w:before="20" w:after="20" w:line="240" w:lineRule="auto"/>
              <w:rPr>
                <w:sz w:val="16"/>
                <w:szCs w:val="16"/>
              </w:rPr>
            </w:pPr>
            <w:r w:rsidRPr="002445DC">
              <w:rPr>
                <w:sz w:val="16"/>
                <w:szCs w:val="16"/>
              </w:rPr>
              <w:t>Radiokanāla dupleksais atdalījums</w:t>
            </w:r>
          </w:p>
        </w:tc>
        <w:tc>
          <w:tcPr>
            <w:tcW w:w="1233" w:type="pct"/>
            <w:tcBorders>
              <w:top w:val="outset" w:sz="6" w:space="0" w:color="auto"/>
              <w:left w:val="outset" w:sz="6" w:space="0" w:color="auto"/>
              <w:bottom w:val="outset" w:sz="6" w:space="0" w:color="auto"/>
              <w:right w:val="outset" w:sz="6" w:space="0" w:color="auto"/>
            </w:tcBorders>
            <w:hideMark/>
          </w:tcPr>
          <w:p w14:paraId="1EDA58D0" w14:textId="77777777" w:rsidR="00194C58" w:rsidRPr="002445DC" w:rsidRDefault="00194C58" w:rsidP="00444A26">
            <w:pPr>
              <w:spacing w:before="20" w:after="20" w:line="240" w:lineRule="auto"/>
              <w:rPr>
                <w:sz w:val="16"/>
                <w:szCs w:val="16"/>
              </w:rPr>
            </w:pPr>
            <w:r w:rsidRPr="002445DC">
              <w:rPr>
                <w:sz w:val="16"/>
                <w:szCs w:val="16"/>
              </w:rPr>
              <w:t>Nav noteikts</w:t>
            </w:r>
          </w:p>
        </w:tc>
        <w:tc>
          <w:tcPr>
            <w:tcW w:w="2750" w:type="pct"/>
            <w:tcBorders>
              <w:top w:val="outset" w:sz="6" w:space="0" w:color="auto"/>
              <w:left w:val="outset" w:sz="6" w:space="0" w:color="auto"/>
              <w:bottom w:val="outset" w:sz="6" w:space="0" w:color="auto"/>
              <w:right w:val="outset" w:sz="6" w:space="0" w:color="auto"/>
            </w:tcBorders>
            <w:hideMark/>
          </w:tcPr>
          <w:p w14:paraId="398DDDEF" w14:textId="77777777" w:rsidR="00194C58" w:rsidRPr="002445DC" w:rsidRDefault="00194C58" w:rsidP="00444A26">
            <w:pPr>
              <w:spacing w:before="20" w:after="20" w:line="240" w:lineRule="auto"/>
              <w:rPr>
                <w:sz w:val="16"/>
                <w:szCs w:val="16"/>
              </w:rPr>
            </w:pPr>
            <w:r w:rsidRPr="002445DC">
              <w:rPr>
                <w:sz w:val="16"/>
                <w:szCs w:val="16"/>
              </w:rPr>
              <w:t>Nav definēti</w:t>
            </w:r>
          </w:p>
        </w:tc>
      </w:tr>
      <w:tr w:rsidR="00194C58" w:rsidRPr="002445DC" w14:paraId="19BB30EE"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01B8D3AC" w14:textId="77777777" w:rsidR="00194C58" w:rsidRPr="002445DC" w:rsidRDefault="00194C58" w:rsidP="00444A26">
            <w:pPr>
              <w:spacing w:before="20" w:after="20" w:line="240" w:lineRule="auto"/>
              <w:rPr>
                <w:sz w:val="16"/>
                <w:szCs w:val="16"/>
              </w:rPr>
            </w:pPr>
            <w:r w:rsidRPr="002445DC">
              <w:rPr>
                <w:sz w:val="16"/>
                <w:szCs w:val="16"/>
              </w:rPr>
              <w:t>7.</w:t>
            </w:r>
          </w:p>
        </w:tc>
        <w:tc>
          <w:tcPr>
            <w:tcW w:w="819" w:type="pct"/>
            <w:tcBorders>
              <w:top w:val="outset" w:sz="6" w:space="0" w:color="auto"/>
              <w:left w:val="outset" w:sz="6" w:space="0" w:color="auto"/>
              <w:bottom w:val="outset" w:sz="6" w:space="0" w:color="auto"/>
              <w:right w:val="outset" w:sz="6" w:space="0" w:color="auto"/>
            </w:tcBorders>
            <w:hideMark/>
          </w:tcPr>
          <w:p w14:paraId="2A9D1174" w14:textId="77777777" w:rsidR="00194C58" w:rsidRPr="002445DC" w:rsidRDefault="00194C58" w:rsidP="00444A26">
            <w:pPr>
              <w:spacing w:before="20" w:after="20" w:line="240" w:lineRule="auto"/>
              <w:rPr>
                <w:sz w:val="16"/>
                <w:szCs w:val="16"/>
              </w:rPr>
            </w:pPr>
            <w:r w:rsidRPr="002445DC">
              <w:rPr>
                <w:sz w:val="16"/>
                <w:szCs w:val="16"/>
              </w:rPr>
              <w:t>Raidītāja izejas (izstarotā) jauda</w:t>
            </w:r>
          </w:p>
        </w:tc>
        <w:tc>
          <w:tcPr>
            <w:tcW w:w="1233" w:type="pct"/>
            <w:tcBorders>
              <w:top w:val="outset" w:sz="6" w:space="0" w:color="auto"/>
              <w:left w:val="outset" w:sz="6" w:space="0" w:color="auto"/>
              <w:bottom w:val="outset" w:sz="6" w:space="0" w:color="auto"/>
              <w:right w:val="outset" w:sz="6" w:space="0" w:color="auto"/>
            </w:tcBorders>
            <w:hideMark/>
          </w:tcPr>
          <w:p w14:paraId="66B349CF" w14:textId="77777777" w:rsidR="00194C58" w:rsidRPr="002445DC" w:rsidRDefault="00194C58" w:rsidP="00444A26">
            <w:pPr>
              <w:spacing w:before="20" w:after="20" w:line="240" w:lineRule="auto"/>
              <w:rPr>
                <w:sz w:val="16"/>
                <w:szCs w:val="16"/>
              </w:rPr>
            </w:pPr>
            <w:r w:rsidRPr="002445DC">
              <w:rPr>
                <w:sz w:val="16"/>
                <w:szCs w:val="16"/>
              </w:rPr>
              <w:t>Tiek noteikta individuāli katram radiofrekvences piešķīrumam</w:t>
            </w:r>
          </w:p>
        </w:tc>
        <w:tc>
          <w:tcPr>
            <w:tcW w:w="2750" w:type="pct"/>
            <w:tcBorders>
              <w:top w:val="outset" w:sz="6" w:space="0" w:color="auto"/>
              <w:left w:val="outset" w:sz="6" w:space="0" w:color="auto"/>
              <w:bottom w:val="outset" w:sz="6" w:space="0" w:color="auto"/>
              <w:right w:val="outset" w:sz="6" w:space="0" w:color="auto"/>
            </w:tcBorders>
            <w:hideMark/>
          </w:tcPr>
          <w:p w14:paraId="072383A9" w14:textId="77777777" w:rsidR="00194C58" w:rsidRPr="002445DC" w:rsidRDefault="00194C58" w:rsidP="00444A26">
            <w:pPr>
              <w:spacing w:before="20" w:after="120" w:line="240" w:lineRule="auto"/>
              <w:rPr>
                <w:sz w:val="16"/>
                <w:szCs w:val="16"/>
              </w:rPr>
            </w:pPr>
            <w:r w:rsidRPr="002445DC">
              <w:rPr>
                <w:sz w:val="16"/>
                <w:szCs w:val="16"/>
              </w:rPr>
              <w:t>Bāzes stacijas un galastacijas raidīšanai 34</w:t>
            </w:r>
            <w:r>
              <w:rPr>
                <w:sz w:val="16"/>
                <w:szCs w:val="16"/>
              </w:rPr>
              <w:t>0</w:t>
            </w:r>
            <w:r w:rsidRPr="002445DC">
              <w:rPr>
                <w:sz w:val="16"/>
                <w:szCs w:val="16"/>
              </w:rPr>
              <w:t xml:space="preserve">0–3800 MHz joslas ietvaros ir jāatbilst Lēmuma 2014/276/ES pielikuma B daļā norādītajām bloka malas maskām (BEM). </w:t>
            </w:r>
          </w:p>
          <w:p w14:paraId="787EAEBA" w14:textId="77777777" w:rsidR="00194C58" w:rsidRPr="002445DC" w:rsidRDefault="00194C58" w:rsidP="00444A26">
            <w:pPr>
              <w:pStyle w:val="tvhtml"/>
              <w:spacing w:before="20" w:beforeAutospacing="0" w:after="120" w:afterAutospacing="0"/>
              <w:rPr>
                <w:sz w:val="16"/>
                <w:szCs w:val="16"/>
              </w:rPr>
            </w:pPr>
            <w:r w:rsidRPr="002445DC">
              <w:rPr>
                <w:sz w:val="16"/>
                <w:szCs w:val="16"/>
              </w:rPr>
              <w:t>1. Bāzes stacijas e.i.r.p. robežvērtības bloka ietvaros – atbilstoši Lēmuma 2014/276/ES pielikuma B daļas 2. tabulai (jaudas robežvērtību bloka ietvaros piemēro blokam, kas piešķirts operatoram). Maksimālā e.i.r.p. bloka ietvaros katrai antenai 68 dBm/5 MHz.</w:t>
            </w:r>
          </w:p>
          <w:p w14:paraId="2F020896" w14:textId="77777777" w:rsidR="00194C58" w:rsidRPr="002445DC" w:rsidRDefault="00194C58" w:rsidP="00444A26">
            <w:pPr>
              <w:pStyle w:val="tvhtml"/>
              <w:spacing w:before="20" w:beforeAutospacing="0" w:after="120" w:afterAutospacing="0"/>
              <w:rPr>
                <w:sz w:val="16"/>
                <w:szCs w:val="16"/>
              </w:rPr>
            </w:pPr>
            <w:r w:rsidRPr="002445DC">
              <w:rPr>
                <w:sz w:val="16"/>
                <w:szCs w:val="16"/>
              </w:rPr>
              <w:t>Femto bāzes stacijām būtu jāpiemēro jaudas regulēšana, lai mazinātu traucējumus blakuskanālos.</w:t>
            </w:r>
          </w:p>
          <w:p w14:paraId="7C10356F" w14:textId="77777777" w:rsidR="00194C58" w:rsidRPr="002445DC" w:rsidRDefault="00194C58" w:rsidP="00444A26">
            <w:pPr>
              <w:pStyle w:val="tvhtml"/>
              <w:spacing w:before="20" w:beforeAutospacing="0" w:after="120" w:afterAutospacing="0"/>
              <w:rPr>
                <w:sz w:val="16"/>
                <w:szCs w:val="16"/>
              </w:rPr>
            </w:pPr>
            <w:r w:rsidRPr="002445DC">
              <w:rPr>
                <w:sz w:val="16"/>
                <w:szCs w:val="16"/>
              </w:rPr>
              <w:t>2. Bāzes stacijas ārpusbloka BEM e.i.r.p. robežvērtības – atbilstoši Lēmuma 2014/276/ES pielikuma B daļas 3. tabulai (bāzlīnijas jaudas robežvērtības) un 4. tabulai (pārejas apgabala jaudas robežvērtības).</w:t>
            </w:r>
          </w:p>
          <w:p w14:paraId="14DEE674" w14:textId="77777777" w:rsidR="00194C58" w:rsidRPr="002445DC" w:rsidRDefault="00194C58" w:rsidP="00444A26">
            <w:pPr>
              <w:pStyle w:val="tvhtml"/>
              <w:spacing w:before="20" w:beforeAutospacing="0" w:after="120" w:afterAutospacing="0"/>
              <w:rPr>
                <w:sz w:val="16"/>
                <w:szCs w:val="16"/>
              </w:rPr>
            </w:pPr>
            <w:r>
              <w:rPr>
                <w:sz w:val="16"/>
                <w:szCs w:val="16"/>
              </w:rPr>
              <w:t>3</w:t>
            </w:r>
            <w:r w:rsidRPr="002445DC">
              <w:rPr>
                <w:sz w:val="16"/>
                <w:szCs w:val="16"/>
              </w:rPr>
              <w:t>. Bāzes stacijas papildu bāzlīnijas jaudas robežvērtības valstu īpašos gadījumos – atbilstoši Lēmuma 2014/276/ES pielikuma B daļas 6. tabulai.</w:t>
            </w:r>
          </w:p>
          <w:p w14:paraId="463B9ED2" w14:textId="77777777" w:rsidR="00194C58" w:rsidRPr="002445DC" w:rsidRDefault="00194C58" w:rsidP="00444A26">
            <w:pPr>
              <w:pStyle w:val="tvhtml"/>
              <w:spacing w:before="20" w:beforeAutospacing="0" w:after="120" w:afterAutospacing="0"/>
              <w:rPr>
                <w:sz w:val="16"/>
                <w:szCs w:val="16"/>
              </w:rPr>
            </w:pPr>
            <w:r>
              <w:rPr>
                <w:sz w:val="16"/>
                <w:szCs w:val="16"/>
              </w:rPr>
              <w:t>4</w:t>
            </w:r>
            <w:r w:rsidRPr="002445DC">
              <w:rPr>
                <w:sz w:val="16"/>
                <w:szCs w:val="16"/>
              </w:rPr>
              <w:t>. Tehniskie nosacījumi galastacijām – atbilstoši Lēmuma 2014/276/ES pielikuma C daļai. Maksimālā e.i.r.p. bloka ietvaros 25 dBm (BEM spektra definīcijas dotas Lēmuma 2014/276/ES pielikuma B daļas 1. tabulā).</w:t>
            </w:r>
          </w:p>
          <w:p w14:paraId="7848BE58" w14:textId="77777777" w:rsidR="00194C58" w:rsidRPr="002445DC" w:rsidRDefault="00194C58" w:rsidP="00444A26">
            <w:pPr>
              <w:pStyle w:val="tvhtml"/>
              <w:spacing w:before="20" w:beforeAutospacing="0" w:after="120" w:afterAutospacing="0"/>
              <w:rPr>
                <w:sz w:val="16"/>
                <w:szCs w:val="16"/>
              </w:rPr>
            </w:pPr>
            <w:r w:rsidRPr="002445DC">
              <w:rPr>
                <w:sz w:val="16"/>
                <w:szCs w:val="16"/>
              </w:rPr>
              <w:t>BEM ir jāizpilda, lai nodrošinātu kaimiņtīklu līdzāspastāvēšanu, ja starp šādu kaimiņtīklu operatoriem nav divpusēju vai daudzpusēju nolīgumu. Var izmantot arī mazāk ierobežojošus tehniskos parametrus, ja par to vienojas attiecīgo tīklu operatori</w:t>
            </w:r>
          </w:p>
        </w:tc>
      </w:tr>
      <w:tr w:rsidR="00194C58" w:rsidRPr="002445DC" w14:paraId="71D8E4AD"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3D50D0C9" w14:textId="77777777" w:rsidR="00194C58" w:rsidRPr="002445DC" w:rsidRDefault="00194C58" w:rsidP="00444A26">
            <w:pPr>
              <w:spacing w:before="20" w:after="20" w:line="240" w:lineRule="auto"/>
              <w:rPr>
                <w:sz w:val="16"/>
                <w:szCs w:val="16"/>
              </w:rPr>
            </w:pPr>
            <w:r w:rsidRPr="002445DC">
              <w:rPr>
                <w:sz w:val="16"/>
                <w:szCs w:val="16"/>
              </w:rPr>
              <w:t>8.</w:t>
            </w:r>
          </w:p>
        </w:tc>
        <w:tc>
          <w:tcPr>
            <w:tcW w:w="819" w:type="pct"/>
            <w:tcBorders>
              <w:top w:val="outset" w:sz="6" w:space="0" w:color="auto"/>
              <w:left w:val="outset" w:sz="6" w:space="0" w:color="auto"/>
              <w:bottom w:val="outset" w:sz="6" w:space="0" w:color="auto"/>
              <w:right w:val="outset" w:sz="6" w:space="0" w:color="auto"/>
            </w:tcBorders>
            <w:hideMark/>
          </w:tcPr>
          <w:p w14:paraId="60667CF1" w14:textId="77777777" w:rsidR="00194C58" w:rsidRPr="002445DC" w:rsidRDefault="00194C58" w:rsidP="00444A26">
            <w:pPr>
              <w:spacing w:before="20" w:after="20" w:line="240" w:lineRule="auto"/>
              <w:rPr>
                <w:sz w:val="16"/>
                <w:szCs w:val="16"/>
              </w:rPr>
            </w:pPr>
            <w:r w:rsidRPr="002445DC">
              <w:rPr>
                <w:sz w:val="16"/>
                <w:szCs w:val="16"/>
              </w:rPr>
              <w:t>Radiokanālu izmantošanas nosacījumi</w:t>
            </w:r>
          </w:p>
        </w:tc>
        <w:tc>
          <w:tcPr>
            <w:tcW w:w="1233" w:type="pct"/>
            <w:tcBorders>
              <w:top w:val="outset" w:sz="6" w:space="0" w:color="auto"/>
              <w:left w:val="outset" w:sz="6" w:space="0" w:color="auto"/>
              <w:bottom w:val="outset" w:sz="6" w:space="0" w:color="auto"/>
              <w:right w:val="outset" w:sz="6" w:space="0" w:color="auto"/>
            </w:tcBorders>
            <w:hideMark/>
          </w:tcPr>
          <w:p w14:paraId="56D42628" w14:textId="77777777" w:rsidR="00194C58" w:rsidRPr="002445DC" w:rsidRDefault="00194C58" w:rsidP="00444A26">
            <w:pPr>
              <w:spacing w:before="20" w:after="20" w:line="240" w:lineRule="auto"/>
              <w:rPr>
                <w:sz w:val="16"/>
                <w:szCs w:val="16"/>
              </w:rPr>
            </w:pPr>
            <w:r w:rsidRPr="002445DC">
              <w:rPr>
                <w:sz w:val="16"/>
                <w:szCs w:val="16"/>
              </w:rPr>
              <w:t xml:space="preserve">Atbilstoši Lēmumam 2014/276/ES: </w:t>
            </w:r>
          </w:p>
          <w:p w14:paraId="23C8A8FF" w14:textId="77777777" w:rsidR="00194C58" w:rsidRPr="002445DC" w:rsidRDefault="00194C58" w:rsidP="00444A26">
            <w:pPr>
              <w:pStyle w:val="tvhtml"/>
              <w:spacing w:before="20" w:beforeAutospacing="0" w:after="120" w:afterAutospacing="0"/>
              <w:rPr>
                <w:sz w:val="16"/>
                <w:szCs w:val="16"/>
              </w:rPr>
            </w:pPr>
            <w:r w:rsidRPr="002445DC">
              <w:rPr>
                <w:sz w:val="16"/>
                <w:szCs w:val="16"/>
              </w:rPr>
              <w:t>Laikdales duplekss (TDD)</w:t>
            </w:r>
          </w:p>
          <w:p w14:paraId="6407F7A8" w14:textId="77777777" w:rsidR="00194C58" w:rsidRPr="002445DC" w:rsidRDefault="00194C58" w:rsidP="00444A26">
            <w:pPr>
              <w:pStyle w:val="tvhtml"/>
              <w:spacing w:before="20" w:beforeAutospacing="0" w:after="20" w:afterAutospacing="0"/>
              <w:rPr>
                <w:sz w:val="16"/>
                <w:szCs w:val="16"/>
              </w:rPr>
            </w:pPr>
            <w:r w:rsidRPr="002445DC">
              <w:rPr>
                <w:sz w:val="16"/>
                <w:szCs w:val="16"/>
              </w:rPr>
              <w:t>Raidīšanas frekvences:</w:t>
            </w:r>
          </w:p>
          <w:p w14:paraId="20B4CAA4" w14:textId="77777777" w:rsidR="00194C58" w:rsidRPr="002445DC" w:rsidRDefault="00194C58" w:rsidP="00444A26">
            <w:pPr>
              <w:pStyle w:val="tvhtml"/>
              <w:spacing w:before="20" w:beforeAutospacing="0" w:after="20" w:afterAutospacing="0"/>
              <w:rPr>
                <w:sz w:val="16"/>
                <w:szCs w:val="16"/>
              </w:rPr>
            </w:pPr>
            <w:r w:rsidRPr="002445DC">
              <w:rPr>
                <w:sz w:val="16"/>
                <w:szCs w:val="16"/>
              </w:rPr>
              <w:t>ML/FB: TDD: 34</w:t>
            </w:r>
            <w:r>
              <w:rPr>
                <w:sz w:val="16"/>
                <w:szCs w:val="16"/>
              </w:rPr>
              <w:t>0</w:t>
            </w:r>
            <w:r w:rsidRPr="002445DC">
              <w:rPr>
                <w:sz w:val="16"/>
                <w:szCs w:val="16"/>
              </w:rPr>
              <w:t>0–3</w:t>
            </w:r>
            <w:r>
              <w:rPr>
                <w:sz w:val="16"/>
                <w:szCs w:val="16"/>
              </w:rPr>
              <w:t>8</w:t>
            </w:r>
            <w:r w:rsidRPr="002445DC">
              <w:rPr>
                <w:sz w:val="16"/>
                <w:szCs w:val="16"/>
              </w:rPr>
              <w:t>00 MHz</w:t>
            </w:r>
          </w:p>
        </w:tc>
        <w:tc>
          <w:tcPr>
            <w:tcW w:w="2750" w:type="pct"/>
            <w:tcBorders>
              <w:top w:val="outset" w:sz="6" w:space="0" w:color="auto"/>
              <w:left w:val="outset" w:sz="6" w:space="0" w:color="auto"/>
              <w:bottom w:val="outset" w:sz="6" w:space="0" w:color="auto"/>
              <w:right w:val="outset" w:sz="6" w:space="0" w:color="auto"/>
            </w:tcBorders>
            <w:hideMark/>
          </w:tcPr>
          <w:p w14:paraId="52CEAA8D" w14:textId="77777777" w:rsidR="00194C58" w:rsidRPr="002445DC" w:rsidRDefault="00194C58" w:rsidP="00444A26">
            <w:pPr>
              <w:spacing w:before="20" w:after="20" w:line="240" w:lineRule="auto"/>
              <w:rPr>
                <w:sz w:val="16"/>
                <w:szCs w:val="16"/>
              </w:rPr>
            </w:pPr>
            <w:r w:rsidRPr="002445DC">
              <w:rPr>
                <w:sz w:val="16"/>
                <w:szCs w:val="16"/>
              </w:rPr>
              <w:t xml:space="preserve">Bāzes stacijas retranslators raida/ uztver gan ML, gan FB radiofrekvencēs. </w:t>
            </w:r>
          </w:p>
          <w:p w14:paraId="5D71CD2B" w14:textId="77777777" w:rsidR="00194C58" w:rsidRPr="002445DC" w:rsidRDefault="00194C58" w:rsidP="00444A26">
            <w:pPr>
              <w:pStyle w:val="tvhtml"/>
              <w:spacing w:before="20" w:beforeAutospacing="0" w:after="20" w:afterAutospacing="0"/>
              <w:rPr>
                <w:sz w:val="16"/>
                <w:szCs w:val="16"/>
              </w:rPr>
            </w:pPr>
            <w:r w:rsidRPr="002445DC">
              <w:rPr>
                <w:sz w:val="16"/>
                <w:szCs w:val="16"/>
              </w:rPr>
              <w:t>Jānodrošina pietiekama blakusjoslu sistēmu aizsardzība</w:t>
            </w:r>
          </w:p>
        </w:tc>
      </w:tr>
      <w:tr w:rsidR="00194C58" w:rsidRPr="002445DC" w14:paraId="0D48E005"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28C9BCEE" w14:textId="77777777" w:rsidR="00194C58" w:rsidRPr="002445DC" w:rsidRDefault="00194C58" w:rsidP="00444A26">
            <w:pPr>
              <w:spacing w:before="20" w:after="20" w:line="240" w:lineRule="auto"/>
              <w:rPr>
                <w:sz w:val="16"/>
                <w:szCs w:val="16"/>
              </w:rPr>
            </w:pPr>
            <w:r w:rsidRPr="002445DC">
              <w:rPr>
                <w:sz w:val="16"/>
                <w:szCs w:val="16"/>
              </w:rPr>
              <w:t>9.</w:t>
            </w:r>
          </w:p>
        </w:tc>
        <w:tc>
          <w:tcPr>
            <w:tcW w:w="819" w:type="pct"/>
            <w:tcBorders>
              <w:top w:val="outset" w:sz="6" w:space="0" w:color="auto"/>
              <w:left w:val="outset" w:sz="6" w:space="0" w:color="auto"/>
              <w:bottom w:val="outset" w:sz="6" w:space="0" w:color="auto"/>
              <w:right w:val="outset" w:sz="6" w:space="0" w:color="auto"/>
            </w:tcBorders>
            <w:hideMark/>
          </w:tcPr>
          <w:p w14:paraId="5E61C882" w14:textId="77777777" w:rsidR="00194C58" w:rsidRPr="002445DC" w:rsidRDefault="00194C58" w:rsidP="00444A26">
            <w:pPr>
              <w:spacing w:before="20" w:after="20" w:line="240" w:lineRule="auto"/>
              <w:rPr>
                <w:sz w:val="16"/>
                <w:szCs w:val="16"/>
              </w:rPr>
            </w:pPr>
            <w:r w:rsidRPr="002445DC">
              <w:rPr>
                <w:sz w:val="16"/>
                <w:szCs w:val="16"/>
              </w:rPr>
              <w:t>Radiofrekvences piešķīruma noteikšanas veids</w:t>
            </w:r>
          </w:p>
        </w:tc>
        <w:tc>
          <w:tcPr>
            <w:tcW w:w="1233" w:type="pct"/>
            <w:tcBorders>
              <w:top w:val="outset" w:sz="6" w:space="0" w:color="auto"/>
              <w:left w:val="outset" w:sz="6" w:space="0" w:color="auto"/>
              <w:bottom w:val="outset" w:sz="6" w:space="0" w:color="auto"/>
              <w:right w:val="outset" w:sz="6" w:space="0" w:color="auto"/>
            </w:tcBorders>
            <w:hideMark/>
          </w:tcPr>
          <w:p w14:paraId="6855F918" w14:textId="77777777" w:rsidR="00194C58" w:rsidRPr="002445DC" w:rsidRDefault="00194C58" w:rsidP="00444A26">
            <w:pPr>
              <w:spacing w:before="20" w:after="20" w:line="240" w:lineRule="auto"/>
              <w:rPr>
                <w:sz w:val="16"/>
                <w:szCs w:val="16"/>
              </w:rPr>
            </w:pPr>
            <w:r w:rsidRPr="002445DC">
              <w:rPr>
                <w:sz w:val="16"/>
                <w:szCs w:val="16"/>
              </w:rPr>
              <w:t>Individuāls radiofrekvences piešķīrums bāzes stacijai un bāzes stacijas retranslatoram</w:t>
            </w:r>
          </w:p>
        </w:tc>
        <w:tc>
          <w:tcPr>
            <w:tcW w:w="2750" w:type="pct"/>
            <w:tcBorders>
              <w:top w:val="outset" w:sz="6" w:space="0" w:color="auto"/>
              <w:left w:val="outset" w:sz="6" w:space="0" w:color="auto"/>
              <w:bottom w:val="outset" w:sz="6" w:space="0" w:color="auto"/>
              <w:right w:val="outset" w:sz="6" w:space="0" w:color="auto"/>
            </w:tcBorders>
            <w:hideMark/>
          </w:tcPr>
          <w:p w14:paraId="4541EDB4" w14:textId="77777777" w:rsidR="00194C58" w:rsidRPr="002445DC" w:rsidRDefault="00194C58" w:rsidP="00444A26">
            <w:pPr>
              <w:spacing w:before="20" w:after="20" w:line="240" w:lineRule="auto"/>
              <w:rPr>
                <w:sz w:val="16"/>
                <w:szCs w:val="16"/>
              </w:rPr>
            </w:pPr>
            <w:r w:rsidRPr="002445DC">
              <w:rPr>
                <w:sz w:val="16"/>
                <w:szCs w:val="16"/>
              </w:rPr>
              <w:t>Nav definēti</w:t>
            </w:r>
          </w:p>
        </w:tc>
      </w:tr>
      <w:tr w:rsidR="00194C58" w:rsidRPr="002445DC" w14:paraId="295761E1"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3FC6DA30" w14:textId="77777777" w:rsidR="00194C58" w:rsidRPr="002445DC" w:rsidRDefault="00194C58" w:rsidP="00444A26">
            <w:pPr>
              <w:spacing w:before="20" w:after="20" w:line="240" w:lineRule="auto"/>
              <w:rPr>
                <w:sz w:val="16"/>
                <w:szCs w:val="16"/>
              </w:rPr>
            </w:pPr>
            <w:r w:rsidRPr="002445DC">
              <w:rPr>
                <w:sz w:val="16"/>
                <w:szCs w:val="16"/>
              </w:rPr>
              <w:t>10.</w:t>
            </w:r>
          </w:p>
        </w:tc>
        <w:tc>
          <w:tcPr>
            <w:tcW w:w="819" w:type="pct"/>
            <w:tcBorders>
              <w:top w:val="outset" w:sz="6" w:space="0" w:color="auto"/>
              <w:left w:val="outset" w:sz="6" w:space="0" w:color="auto"/>
              <w:bottom w:val="outset" w:sz="6" w:space="0" w:color="auto"/>
              <w:right w:val="outset" w:sz="6" w:space="0" w:color="auto"/>
            </w:tcBorders>
            <w:hideMark/>
          </w:tcPr>
          <w:p w14:paraId="4AAD2A05" w14:textId="77777777" w:rsidR="00194C58" w:rsidRPr="001714E4" w:rsidRDefault="00194C58" w:rsidP="00444A26">
            <w:pPr>
              <w:spacing w:before="20" w:after="20" w:line="240" w:lineRule="auto"/>
              <w:rPr>
                <w:sz w:val="16"/>
                <w:szCs w:val="16"/>
              </w:rPr>
            </w:pPr>
            <w:r w:rsidRPr="001714E4">
              <w:rPr>
                <w:sz w:val="16"/>
                <w:szCs w:val="16"/>
              </w:rPr>
              <w:t xml:space="preserve">Būtiskas papildu prasības saskaņā ar Direktīvas </w:t>
            </w:r>
            <w:r w:rsidRPr="00F25ACA">
              <w:rPr>
                <w:sz w:val="16"/>
                <w:szCs w:val="16"/>
              </w:rPr>
              <w:t>2014/53/ES 3</w:t>
            </w:r>
            <w:r w:rsidRPr="001714E4">
              <w:rPr>
                <w:sz w:val="16"/>
                <w:szCs w:val="16"/>
              </w:rPr>
              <w:t>. panta 3. punktu</w:t>
            </w:r>
          </w:p>
        </w:tc>
        <w:tc>
          <w:tcPr>
            <w:tcW w:w="1233" w:type="pct"/>
            <w:tcBorders>
              <w:top w:val="outset" w:sz="6" w:space="0" w:color="auto"/>
              <w:left w:val="outset" w:sz="6" w:space="0" w:color="auto"/>
              <w:bottom w:val="outset" w:sz="6" w:space="0" w:color="auto"/>
              <w:right w:val="outset" w:sz="6" w:space="0" w:color="auto"/>
            </w:tcBorders>
            <w:hideMark/>
          </w:tcPr>
          <w:p w14:paraId="7031DFB3" w14:textId="77777777" w:rsidR="00194C58" w:rsidRPr="002445DC" w:rsidRDefault="00194C58" w:rsidP="00444A26">
            <w:pPr>
              <w:spacing w:before="20" w:after="20" w:line="240" w:lineRule="auto"/>
              <w:rPr>
                <w:sz w:val="16"/>
                <w:szCs w:val="16"/>
              </w:rPr>
            </w:pPr>
            <w:r w:rsidRPr="002445DC">
              <w:rPr>
                <w:sz w:val="16"/>
                <w:szCs w:val="16"/>
              </w:rPr>
              <w:t>Nav noteiktas</w:t>
            </w:r>
          </w:p>
        </w:tc>
        <w:tc>
          <w:tcPr>
            <w:tcW w:w="2750" w:type="pct"/>
            <w:tcBorders>
              <w:top w:val="outset" w:sz="6" w:space="0" w:color="auto"/>
              <w:left w:val="outset" w:sz="6" w:space="0" w:color="auto"/>
              <w:bottom w:val="outset" w:sz="6" w:space="0" w:color="auto"/>
              <w:right w:val="outset" w:sz="6" w:space="0" w:color="auto"/>
            </w:tcBorders>
            <w:hideMark/>
          </w:tcPr>
          <w:p w14:paraId="445FC6B8" w14:textId="77777777" w:rsidR="00194C58" w:rsidRPr="002445DC" w:rsidRDefault="00194C58" w:rsidP="00444A26">
            <w:pPr>
              <w:spacing w:before="20" w:after="20" w:line="240" w:lineRule="auto"/>
              <w:rPr>
                <w:sz w:val="16"/>
                <w:szCs w:val="16"/>
              </w:rPr>
            </w:pPr>
            <w:r w:rsidRPr="002445DC">
              <w:rPr>
                <w:sz w:val="16"/>
                <w:szCs w:val="16"/>
              </w:rPr>
              <w:t>Nav definēti</w:t>
            </w:r>
          </w:p>
        </w:tc>
      </w:tr>
      <w:tr w:rsidR="00194C58" w:rsidRPr="002445DC" w14:paraId="0E76883A" w14:textId="77777777" w:rsidTr="00444A26">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1852B0D5" w14:textId="77777777" w:rsidR="00194C58" w:rsidRPr="002445DC" w:rsidRDefault="00194C58" w:rsidP="00444A26">
            <w:pPr>
              <w:spacing w:before="20" w:after="20" w:line="240" w:lineRule="auto"/>
              <w:rPr>
                <w:sz w:val="16"/>
                <w:szCs w:val="16"/>
              </w:rPr>
            </w:pPr>
            <w:r w:rsidRPr="002445DC">
              <w:rPr>
                <w:sz w:val="16"/>
                <w:szCs w:val="16"/>
              </w:rPr>
              <w:t>11.</w:t>
            </w:r>
          </w:p>
        </w:tc>
        <w:tc>
          <w:tcPr>
            <w:tcW w:w="819" w:type="pct"/>
            <w:tcBorders>
              <w:top w:val="outset" w:sz="6" w:space="0" w:color="auto"/>
              <w:left w:val="outset" w:sz="6" w:space="0" w:color="auto"/>
              <w:bottom w:val="outset" w:sz="6" w:space="0" w:color="auto"/>
              <w:right w:val="outset" w:sz="6" w:space="0" w:color="auto"/>
            </w:tcBorders>
            <w:hideMark/>
          </w:tcPr>
          <w:p w14:paraId="3756A8C8" w14:textId="77777777" w:rsidR="00194C58" w:rsidRPr="002445DC" w:rsidRDefault="00194C58" w:rsidP="00444A26">
            <w:pPr>
              <w:spacing w:before="20" w:after="20" w:line="240" w:lineRule="auto"/>
              <w:rPr>
                <w:sz w:val="16"/>
                <w:szCs w:val="16"/>
              </w:rPr>
            </w:pPr>
            <w:r w:rsidRPr="002445DC">
              <w:rPr>
                <w:sz w:val="16"/>
                <w:szCs w:val="16"/>
              </w:rPr>
              <w:t>Radiofrekvenču plānošanas nosacījumi</w:t>
            </w:r>
          </w:p>
        </w:tc>
        <w:tc>
          <w:tcPr>
            <w:tcW w:w="1233" w:type="pct"/>
            <w:tcBorders>
              <w:top w:val="outset" w:sz="6" w:space="0" w:color="auto"/>
              <w:left w:val="outset" w:sz="6" w:space="0" w:color="auto"/>
              <w:bottom w:val="outset" w:sz="6" w:space="0" w:color="auto"/>
              <w:right w:val="outset" w:sz="6" w:space="0" w:color="auto"/>
            </w:tcBorders>
            <w:hideMark/>
          </w:tcPr>
          <w:p w14:paraId="1295CC7D" w14:textId="77777777" w:rsidR="00194C58" w:rsidRPr="002445DC" w:rsidRDefault="00194C58" w:rsidP="00444A26">
            <w:pPr>
              <w:spacing w:before="20" w:after="20" w:line="240" w:lineRule="auto"/>
              <w:rPr>
                <w:sz w:val="16"/>
                <w:szCs w:val="16"/>
              </w:rPr>
            </w:pPr>
            <w:r w:rsidRPr="002445DC">
              <w:rPr>
                <w:sz w:val="16"/>
                <w:szCs w:val="16"/>
              </w:rPr>
              <w:t xml:space="preserve">Komisijas Lēmums 2014/276/ES </w:t>
            </w:r>
          </w:p>
          <w:p w14:paraId="17D283FF" w14:textId="77777777" w:rsidR="00194C58" w:rsidRPr="002445DC" w:rsidRDefault="00194C58" w:rsidP="00444A26">
            <w:pPr>
              <w:pStyle w:val="tvhtml"/>
              <w:spacing w:before="20" w:beforeAutospacing="0" w:after="20" w:afterAutospacing="0"/>
              <w:rPr>
                <w:sz w:val="16"/>
                <w:szCs w:val="16"/>
              </w:rPr>
            </w:pPr>
            <w:r w:rsidRPr="002445DC">
              <w:rPr>
                <w:sz w:val="16"/>
                <w:szCs w:val="16"/>
              </w:rPr>
              <w:t>ECC/DEC/(11)06</w:t>
            </w:r>
          </w:p>
          <w:p w14:paraId="021E840A" w14:textId="77777777" w:rsidR="00194C58" w:rsidRPr="002445DC" w:rsidRDefault="00194C58" w:rsidP="00444A26">
            <w:pPr>
              <w:pStyle w:val="tvhtml"/>
              <w:spacing w:before="20" w:beforeAutospacing="0" w:after="20" w:afterAutospacing="0"/>
              <w:rPr>
                <w:sz w:val="16"/>
                <w:szCs w:val="16"/>
              </w:rPr>
            </w:pPr>
            <w:r w:rsidRPr="002445DC">
              <w:rPr>
                <w:sz w:val="16"/>
                <w:szCs w:val="16"/>
              </w:rPr>
              <w:t>ECC/DEC/(07)02</w:t>
            </w:r>
          </w:p>
          <w:p w14:paraId="67BC2229" w14:textId="77777777" w:rsidR="00194C58" w:rsidRPr="002445DC" w:rsidRDefault="00194C58" w:rsidP="00444A26">
            <w:pPr>
              <w:pStyle w:val="tvhtml"/>
              <w:spacing w:before="20" w:beforeAutospacing="0" w:after="20" w:afterAutospacing="0"/>
              <w:rPr>
                <w:sz w:val="16"/>
                <w:szCs w:val="16"/>
              </w:rPr>
            </w:pPr>
            <w:r w:rsidRPr="002445DC">
              <w:rPr>
                <w:sz w:val="16"/>
                <w:szCs w:val="16"/>
              </w:rPr>
              <w:t>ECC Ziņojums Nr. 216</w:t>
            </w:r>
          </w:p>
        </w:tc>
        <w:tc>
          <w:tcPr>
            <w:tcW w:w="2750" w:type="pct"/>
            <w:tcBorders>
              <w:top w:val="outset" w:sz="6" w:space="0" w:color="auto"/>
              <w:left w:val="outset" w:sz="6" w:space="0" w:color="auto"/>
              <w:bottom w:val="outset" w:sz="6" w:space="0" w:color="auto"/>
              <w:right w:val="outset" w:sz="6" w:space="0" w:color="auto"/>
            </w:tcBorders>
            <w:hideMark/>
          </w:tcPr>
          <w:p w14:paraId="37777762" w14:textId="77777777" w:rsidR="00194C58" w:rsidRDefault="00194C58" w:rsidP="00444A26">
            <w:pPr>
              <w:pStyle w:val="tvhtml"/>
              <w:spacing w:before="0" w:beforeAutospacing="0" w:after="120" w:afterAutospacing="0"/>
              <w:jc w:val="both"/>
              <w:rPr>
                <w:sz w:val="16"/>
                <w:szCs w:val="16"/>
              </w:rPr>
            </w:pPr>
            <w:r w:rsidRPr="004525D7">
              <w:rPr>
                <w:sz w:val="16"/>
                <w:szCs w:val="16"/>
              </w:rPr>
              <w:t xml:space="preserve">Radiofrekvenču josla 3400-3800 MHz paredzēta publisko elektronisko sakaru tīklu izveidošanai visā Latvijas Republikas teritorijā. Vienam elektronisko sakaru komersantam publiskā elektronisko sakaru tīkla izveidošanai visā Latvijas Republikas teritorijā minimālais pieejamais nepārtraukta frekvenču bloka platums </w:t>
            </w:r>
            <w:r w:rsidRPr="00B61EE3">
              <w:rPr>
                <w:sz w:val="16"/>
                <w:szCs w:val="16"/>
              </w:rPr>
              <w:t>ir 50 MHz.</w:t>
            </w:r>
          </w:p>
          <w:p w14:paraId="7D2BB813" w14:textId="77777777" w:rsidR="00194C58" w:rsidRPr="002445DC" w:rsidRDefault="00194C58" w:rsidP="00444A26">
            <w:pPr>
              <w:spacing w:after="120" w:line="240" w:lineRule="auto"/>
              <w:rPr>
                <w:sz w:val="16"/>
                <w:szCs w:val="16"/>
              </w:rPr>
            </w:pPr>
            <w:r w:rsidRPr="002445DC">
              <w:rPr>
                <w:sz w:val="16"/>
                <w:szCs w:val="16"/>
              </w:rPr>
              <w:t xml:space="preserve">TDD tīklu sinhronizācija: </w:t>
            </w:r>
          </w:p>
          <w:p w14:paraId="1141AA11" w14:textId="77777777" w:rsidR="00194C58" w:rsidRPr="002445DC" w:rsidRDefault="00194C58" w:rsidP="00444A26">
            <w:pPr>
              <w:pStyle w:val="tvhtml"/>
              <w:spacing w:before="0" w:beforeAutospacing="0" w:after="120" w:afterAutospacing="0"/>
              <w:rPr>
                <w:sz w:val="16"/>
                <w:szCs w:val="16"/>
              </w:rPr>
            </w:pPr>
            <w:r w:rsidRPr="002445DC">
              <w:rPr>
                <w:sz w:val="16"/>
                <w:szCs w:val="16"/>
              </w:rPr>
              <w:t>sinhronizēta darbība ir TDD darbība divos dažādos tīklos, kur nenotiek vienlaicīga pārraide augšuplīnijā un lejuplīnijā, kā noteikts piemērojamos standartos;</w:t>
            </w:r>
          </w:p>
          <w:p w14:paraId="1F25F6B7" w14:textId="77777777" w:rsidR="00194C58" w:rsidRPr="002445DC" w:rsidRDefault="00194C58" w:rsidP="00444A26">
            <w:pPr>
              <w:pStyle w:val="tvhtml"/>
              <w:spacing w:before="0" w:beforeAutospacing="0" w:after="120" w:afterAutospacing="0"/>
              <w:rPr>
                <w:sz w:val="16"/>
                <w:szCs w:val="16"/>
              </w:rPr>
            </w:pPr>
            <w:r w:rsidRPr="002445DC">
              <w:rPr>
                <w:sz w:val="16"/>
                <w:szCs w:val="16"/>
              </w:rPr>
              <w:t>nesinhronizētiem TDD tīkliem divu blakusjoslu operatoru spektra BEM prasību var nodrošināt, piemērojot frekvenču atdalīšanu starp abu operatoru bloku malām vai nosakot ierobežotos blokus diviem blakusoperatoriem, kas tiem liktu ierobežot jaudas līmeni piešķirto spektra bloku augšējās vai apakšējās daļās. Tāda ierobežota jaudas līmeņa ieteicamā vērtība ir 4 dBm/5 MHz e.i.r.p. uz vienu šūnu, un to piemēro operatoram piešķirtā spektra bloka augšējiem vai apakšējiem 5 MHz</w:t>
            </w:r>
          </w:p>
        </w:tc>
      </w:tr>
    </w:tbl>
    <w:p w14:paraId="7454BFF5" w14:textId="77777777" w:rsidR="00194C58" w:rsidRDefault="00194C58" w:rsidP="00194C58">
      <w:pPr>
        <w:spacing w:after="0" w:line="240" w:lineRule="auto"/>
        <w:rPr>
          <w:rFonts w:eastAsia="Times New Roman"/>
          <w:bCs/>
          <w:sz w:val="20"/>
          <w:szCs w:val="20"/>
          <w:lang w:eastAsia="lv-LV"/>
        </w:rPr>
      </w:pPr>
    </w:p>
    <w:p w14:paraId="4C8902BE" w14:textId="77777777" w:rsidR="00694B76" w:rsidRDefault="00694B76" w:rsidP="00694B76">
      <w:pPr>
        <w:spacing w:after="0" w:line="240" w:lineRule="auto"/>
        <w:rPr>
          <w:rFonts w:eastAsia="Times New Roman"/>
          <w:bCs/>
          <w:sz w:val="20"/>
          <w:szCs w:val="20"/>
          <w:lang w:eastAsia="lv-LV"/>
        </w:rPr>
      </w:pPr>
    </w:p>
    <w:p w14:paraId="76B37AF3" w14:textId="572CAACD" w:rsidR="00F41823" w:rsidRPr="00F41823" w:rsidRDefault="00F41823" w:rsidP="00F41823">
      <w:pPr>
        <w:pStyle w:val="ListParagraph"/>
        <w:numPr>
          <w:ilvl w:val="0"/>
          <w:numId w:val="5"/>
        </w:numPr>
        <w:spacing w:after="0" w:line="240" w:lineRule="auto"/>
        <w:rPr>
          <w:rFonts w:eastAsia="Times New Roman"/>
          <w:bCs/>
          <w:szCs w:val="28"/>
          <w:lang w:eastAsia="lv-LV"/>
        </w:rPr>
      </w:pPr>
      <w:r w:rsidRPr="00F41823">
        <w:rPr>
          <w:rFonts w:eastAsia="Times New Roman"/>
          <w:bCs/>
          <w:szCs w:val="28"/>
          <w:lang w:eastAsia="lv-LV"/>
        </w:rPr>
        <w:t>Papildināt 2.pielikumu ar 50.punktu šādā redakcijā:</w:t>
      </w:r>
    </w:p>
    <w:p w14:paraId="22DBECE0" w14:textId="79A68B29" w:rsidR="00F41823" w:rsidRPr="00F41823" w:rsidRDefault="00F41823" w:rsidP="00F41823">
      <w:pPr>
        <w:shd w:val="clear" w:color="auto" w:fill="FFFFFF"/>
        <w:spacing w:before="100" w:beforeAutospacing="1" w:after="100" w:afterAutospacing="1" w:line="293" w:lineRule="atLeast"/>
        <w:ind w:firstLine="300"/>
        <w:rPr>
          <w:rFonts w:eastAsia="Times New Roman" w:cs="Times New Roman"/>
          <w:b/>
          <w:bCs/>
          <w:sz w:val="20"/>
          <w:szCs w:val="20"/>
          <w:lang w:eastAsia="lv-LV"/>
        </w:rPr>
      </w:pPr>
      <w:r w:rsidRPr="00F41823">
        <w:rPr>
          <w:rFonts w:cs="Times New Roman"/>
          <w:sz w:val="20"/>
          <w:szCs w:val="20"/>
        </w:rPr>
        <w:t>“50.</w:t>
      </w:r>
      <w:r>
        <w:rPr>
          <w:rFonts w:cs="Times New Roman"/>
          <w:sz w:val="20"/>
          <w:szCs w:val="20"/>
        </w:rPr>
        <w:t xml:space="preserve"> </w:t>
      </w:r>
      <w:r w:rsidRPr="00F41823">
        <w:rPr>
          <w:rFonts w:eastAsia="Times New Roman" w:cs="Times New Roman"/>
          <w:b/>
          <w:bCs/>
          <w:sz w:val="20"/>
          <w:szCs w:val="20"/>
          <w:lang w:eastAsia="lv-LV"/>
        </w:rPr>
        <w:t>Radiosaskarne RS PMSE.02</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560"/>
        <w:gridCol w:w="2243"/>
        <w:gridCol w:w="1953"/>
        <w:gridCol w:w="2256"/>
        <w:gridCol w:w="2332"/>
      </w:tblGrid>
      <w:tr w:rsidR="00F41823" w:rsidRPr="00F41823" w14:paraId="4B6F3D07"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A1B05CB" w14:textId="77777777" w:rsidR="00F41823" w:rsidRPr="00F41823" w:rsidRDefault="00F41823" w:rsidP="00B61EE3">
            <w:pPr>
              <w:spacing w:before="100" w:beforeAutospacing="1" w:after="100" w:afterAutospacing="1" w:line="293" w:lineRule="atLeast"/>
              <w:jc w:val="center"/>
              <w:rPr>
                <w:rFonts w:eastAsia="Times New Roman" w:cs="Times New Roman"/>
                <w:sz w:val="20"/>
                <w:szCs w:val="20"/>
                <w:lang w:eastAsia="lv-LV"/>
              </w:rPr>
            </w:pPr>
            <w:r w:rsidRPr="00F41823">
              <w:rPr>
                <w:rFonts w:eastAsia="Times New Roman" w:cs="Times New Roman"/>
                <w:sz w:val="20"/>
                <w:szCs w:val="20"/>
                <w:lang w:eastAsia="lv-LV"/>
              </w:rPr>
              <w:t>Nr.</w:t>
            </w:r>
            <w:r w:rsidRPr="00F41823">
              <w:rPr>
                <w:rFonts w:eastAsia="Times New Roman" w:cs="Times New Roman"/>
                <w:sz w:val="20"/>
                <w:szCs w:val="20"/>
                <w:lang w:eastAsia="lv-LV"/>
              </w:rPr>
              <w:br/>
              <w:t>p.k.</w:t>
            </w:r>
          </w:p>
        </w:tc>
        <w:tc>
          <w:tcPr>
            <w:tcW w:w="12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9BA3455" w14:textId="77777777" w:rsidR="00F41823" w:rsidRPr="00F41823" w:rsidRDefault="00F41823" w:rsidP="00B61EE3">
            <w:pPr>
              <w:spacing w:before="100" w:beforeAutospacing="1" w:after="100" w:afterAutospacing="1" w:line="293" w:lineRule="atLeast"/>
              <w:jc w:val="center"/>
              <w:rPr>
                <w:rFonts w:eastAsia="Times New Roman" w:cs="Times New Roman"/>
                <w:sz w:val="20"/>
                <w:szCs w:val="20"/>
                <w:lang w:eastAsia="lv-LV"/>
              </w:rPr>
            </w:pPr>
            <w:r w:rsidRPr="00F41823">
              <w:rPr>
                <w:rFonts w:eastAsia="Times New Roman" w:cs="Times New Roman"/>
                <w:sz w:val="20"/>
                <w:szCs w:val="20"/>
                <w:lang w:eastAsia="lv-LV"/>
              </w:rPr>
              <w:t>Parametri</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77676D2" w14:textId="77777777" w:rsidR="00F41823" w:rsidRPr="00F41823" w:rsidRDefault="00F41823" w:rsidP="00B61EE3">
            <w:pPr>
              <w:spacing w:before="100" w:beforeAutospacing="1" w:after="100" w:afterAutospacing="1" w:line="293" w:lineRule="atLeast"/>
              <w:jc w:val="center"/>
              <w:rPr>
                <w:rFonts w:eastAsia="Times New Roman" w:cs="Times New Roman"/>
                <w:sz w:val="20"/>
                <w:szCs w:val="20"/>
                <w:lang w:eastAsia="lv-LV"/>
              </w:rPr>
            </w:pPr>
            <w:r w:rsidRPr="00F41823">
              <w:rPr>
                <w:rFonts w:eastAsia="Times New Roman" w:cs="Times New Roman"/>
                <w:sz w:val="20"/>
                <w:szCs w:val="20"/>
                <w:lang w:eastAsia="lv-LV"/>
              </w:rPr>
              <w:t>Apraksts</w:t>
            </w:r>
          </w:p>
        </w:tc>
        <w:tc>
          <w:tcPr>
            <w:tcW w:w="1249"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6B93D3E" w14:textId="77777777" w:rsidR="00F41823" w:rsidRPr="00F41823" w:rsidRDefault="00F41823" w:rsidP="00B61EE3">
            <w:pPr>
              <w:spacing w:before="100" w:beforeAutospacing="1" w:after="100" w:afterAutospacing="1" w:line="293" w:lineRule="atLeast"/>
              <w:jc w:val="center"/>
              <w:rPr>
                <w:rFonts w:eastAsia="Times New Roman" w:cs="Times New Roman"/>
                <w:sz w:val="20"/>
                <w:szCs w:val="20"/>
                <w:lang w:eastAsia="lv-LV"/>
              </w:rPr>
            </w:pPr>
            <w:r w:rsidRPr="00F41823">
              <w:rPr>
                <w:rFonts w:eastAsia="Times New Roman" w:cs="Times New Roman"/>
                <w:sz w:val="20"/>
                <w:szCs w:val="20"/>
                <w:lang w:eastAsia="lv-LV"/>
              </w:rPr>
              <w:t>Papildu nosacījumi</w:t>
            </w:r>
          </w:p>
        </w:tc>
      </w:tr>
      <w:tr w:rsidR="00F41823" w:rsidRPr="00F41823" w14:paraId="7B57E67F"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058516A7"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1.</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5DC2C7BA"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Radiosakaru dienests</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4751A37"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Sauszemes mobilais, fiksētais</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6B7B7C2E"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02628134"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763284A7"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2.</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0B17F7E0"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Radiosakaru sistēmas</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18D13EF"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 xml:space="preserve">Video PMSE </w:t>
            </w:r>
          </w:p>
          <w:p w14:paraId="0C427D36"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Portatīvas un mobilas radiolīnijas videosignāla pārraidei</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6DCA3BBC"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28132AC8"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18035C91"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3.</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5402F4C1"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Radiofrekvenču josla</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07464EF"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2010–2025 MHz</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5C50EFFA"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0C8760E0"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025CEFC9"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4.</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42679D2E"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Radiokanālu plānojums</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C05B92B"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noteikts</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229D6DBB"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189ECD28"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409C1EDB"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5.</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40589B37"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Pārraidāmā signāla veids</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24756C9"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Video</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25D933A3"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7E6BDD16"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1F314250"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6.</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3FC9B52E"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Radiokanāla dupleksais atdalījums</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8386F71"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noteikts</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681811B3"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70D2CCEF" w14:textId="77777777" w:rsidTr="00B61EE3">
        <w:tc>
          <w:tcPr>
            <w:tcW w:w="3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0B0D85C3"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7.</w:t>
            </w:r>
          </w:p>
        </w:tc>
        <w:tc>
          <w:tcPr>
            <w:tcW w:w="120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20D14B8E"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Raidītāja izejas (izstarotā) jauda</w:t>
            </w:r>
          </w:p>
        </w:tc>
        <w:tc>
          <w:tcPr>
            <w:tcW w:w="104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84C4587" w14:textId="77777777" w:rsidR="00F41823" w:rsidRPr="00F41823" w:rsidRDefault="00F41823" w:rsidP="00B61EE3">
            <w:pPr>
              <w:spacing w:before="100" w:beforeAutospacing="1" w:after="100" w:afterAutospacing="1" w:line="293" w:lineRule="atLeast"/>
              <w:rPr>
                <w:rFonts w:eastAsia="Times New Roman" w:cs="Times New Roman"/>
                <w:sz w:val="20"/>
                <w:szCs w:val="20"/>
                <w:lang w:eastAsia="lv-LV"/>
              </w:rPr>
            </w:pPr>
            <w:r w:rsidRPr="00F41823">
              <w:rPr>
                <w:rFonts w:eastAsia="Times New Roman" w:cs="Times New Roman"/>
                <w:sz w:val="20"/>
                <w:szCs w:val="20"/>
                <w:lang w:eastAsia="lv-LV"/>
              </w:rPr>
              <w:t>Līnijas veids</w:t>
            </w:r>
          </w:p>
        </w:tc>
        <w:tc>
          <w:tcPr>
            <w:tcW w:w="120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11415B3" w14:textId="77777777" w:rsidR="00F41823" w:rsidRPr="00F41823" w:rsidRDefault="00F41823" w:rsidP="00B61EE3">
            <w:pPr>
              <w:spacing w:before="100" w:beforeAutospacing="1" w:after="100" w:afterAutospacing="1" w:line="293" w:lineRule="atLeast"/>
              <w:jc w:val="center"/>
              <w:rPr>
                <w:rFonts w:eastAsia="Times New Roman" w:cs="Times New Roman"/>
                <w:sz w:val="20"/>
                <w:szCs w:val="20"/>
                <w:lang w:eastAsia="lv-LV"/>
              </w:rPr>
            </w:pPr>
            <w:r w:rsidRPr="00F41823">
              <w:rPr>
                <w:rFonts w:eastAsia="Times New Roman" w:cs="Times New Roman"/>
                <w:sz w:val="20"/>
                <w:szCs w:val="20"/>
                <w:lang w:eastAsia="lv-LV"/>
              </w:rPr>
              <w:t>e.i.r.p.</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3A913CB5"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 </w:t>
            </w:r>
          </w:p>
        </w:tc>
      </w:tr>
      <w:tr w:rsidR="00F41823" w:rsidRPr="00F41823" w14:paraId="56E04319" w14:textId="77777777" w:rsidTr="00B61EE3">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20CDD37" w14:textId="77777777" w:rsidR="00F41823" w:rsidRPr="00F41823" w:rsidRDefault="00F41823" w:rsidP="00B61EE3">
            <w:pPr>
              <w:spacing w:after="0" w:line="240" w:lineRule="auto"/>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28F7281" w14:textId="77777777" w:rsidR="00F41823" w:rsidRPr="00F41823" w:rsidRDefault="00F41823" w:rsidP="00B61EE3">
            <w:pPr>
              <w:spacing w:after="0" w:line="240" w:lineRule="auto"/>
              <w:rPr>
                <w:rFonts w:eastAsia="Times New Roman" w:cs="Times New Roman"/>
                <w:sz w:val="20"/>
                <w:szCs w:val="20"/>
                <w:lang w:eastAsia="lv-LV"/>
              </w:rPr>
            </w:pPr>
          </w:p>
        </w:tc>
        <w:tc>
          <w:tcPr>
            <w:tcW w:w="104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4288B70" w14:textId="77777777" w:rsidR="00F41823" w:rsidRPr="00F41823" w:rsidRDefault="00F41823" w:rsidP="00B61EE3">
            <w:pPr>
              <w:spacing w:before="100" w:beforeAutospacing="1" w:after="100" w:afterAutospacing="1" w:line="293" w:lineRule="atLeast"/>
              <w:rPr>
                <w:rFonts w:eastAsia="Times New Roman" w:cs="Times New Roman"/>
                <w:sz w:val="20"/>
                <w:szCs w:val="20"/>
                <w:lang w:eastAsia="lv-LV"/>
              </w:rPr>
            </w:pPr>
            <w:r w:rsidRPr="00F41823">
              <w:rPr>
                <w:rFonts w:eastAsia="Times New Roman" w:cs="Times New Roman"/>
                <w:sz w:val="20"/>
                <w:szCs w:val="20"/>
                <w:lang w:eastAsia="lv-LV"/>
              </w:rPr>
              <w:t>Bezvadu kamera</w:t>
            </w:r>
          </w:p>
        </w:tc>
        <w:tc>
          <w:tcPr>
            <w:tcW w:w="120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27A39F4" w14:textId="77777777" w:rsidR="00F41823" w:rsidRPr="00F41823" w:rsidRDefault="00F41823" w:rsidP="00B61EE3">
            <w:pPr>
              <w:spacing w:before="100" w:beforeAutospacing="1" w:after="100" w:afterAutospacing="1" w:line="293" w:lineRule="atLeast"/>
              <w:ind w:left="720"/>
              <w:rPr>
                <w:rFonts w:eastAsia="Times New Roman" w:cs="Times New Roman"/>
                <w:sz w:val="20"/>
                <w:szCs w:val="20"/>
                <w:lang w:eastAsia="lv-LV"/>
              </w:rPr>
            </w:pPr>
            <w:r w:rsidRPr="00F41823">
              <w:rPr>
                <w:rFonts w:eastAsia="Times New Roman" w:cs="Times New Roman"/>
                <w:sz w:val="20"/>
                <w:szCs w:val="20"/>
                <w:lang w:eastAsia="lv-LV"/>
              </w:rPr>
              <w:t>- 7 dBW</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360E1FA1"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3207B1D3" w14:textId="77777777" w:rsidTr="00B61EE3">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47AE73A" w14:textId="77777777" w:rsidR="00F41823" w:rsidRPr="00F41823" w:rsidRDefault="00F41823" w:rsidP="00B61EE3">
            <w:pPr>
              <w:spacing w:after="0" w:line="240" w:lineRule="auto"/>
              <w:rPr>
                <w:rFonts w:eastAsia="Times New Roman" w:cs="Times New Roman"/>
                <w:sz w:val="20"/>
                <w:szCs w:val="20"/>
                <w:lang w:eastAsia="lv-LV"/>
              </w:rPr>
            </w:pPr>
          </w:p>
        </w:tc>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A059169" w14:textId="77777777" w:rsidR="00F41823" w:rsidRPr="00F41823" w:rsidRDefault="00F41823" w:rsidP="00B61EE3">
            <w:pPr>
              <w:spacing w:after="0" w:line="240" w:lineRule="auto"/>
              <w:rPr>
                <w:rFonts w:eastAsia="Times New Roman" w:cs="Times New Roman"/>
                <w:sz w:val="20"/>
                <w:szCs w:val="20"/>
                <w:lang w:eastAsia="lv-LV"/>
              </w:rPr>
            </w:pPr>
          </w:p>
        </w:tc>
        <w:tc>
          <w:tcPr>
            <w:tcW w:w="104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2A82E01" w14:textId="77777777" w:rsidR="00F41823" w:rsidRPr="00F41823" w:rsidRDefault="00F41823" w:rsidP="00B61EE3">
            <w:pPr>
              <w:spacing w:before="100" w:beforeAutospacing="1" w:after="100" w:afterAutospacing="1" w:line="293" w:lineRule="atLeast"/>
              <w:rPr>
                <w:rFonts w:eastAsia="Times New Roman" w:cs="Times New Roman"/>
                <w:sz w:val="20"/>
                <w:szCs w:val="20"/>
                <w:lang w:eastAsia="lv-LV"/>
              </w:rPr>
            </w:pPr>
            <w:r w:rsidRPr="00F41823">
              <w:rPr>
                <w:rFonts w:eastAsia="Times New Roman" w:cs="Times New Roman"/>
                <w:sz w:val="20"/>
                <w:szCs w:val="20"/>
                <w:lang w:eastAsia="lv-LV"/>
              </w:rPr>
              <w:t>Portatīva videolīnija</w:t>
            </w:r>
          </w:p>
        </w:tc>
        <w:tc>
          <w:tcPr>
            <w:tcW w:w="120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8F9B36D" w14:textId="77777777" w:rsidR="00F41823" w:rsidRPr="00F41823" w:rsidRDefault="00F41823" w:rsidP="00B61EE3">
            <w:pPr>
              <w:spacing w:before="100" w:beforeAutospacing="1" w:after="100" w:afterAutospacing="1" w:line="293" w:lineRule="atLeast"/>
              <w:jc w:val="center"/>
              <w:rPr>
                <w:rFonts w:eastAsia="Times New Roman" w:cs="Times New Roman"/>
                <w:sz w:val="20"/>
                <w:szCs w:val="20"/>
                <w:lang w:eastAsia="lv-LV"/>
              </w:rPr>
            </w:pPr>
            <w:r w:rsidRPr="00F41823">
              <w:rPr>
                <w:rFonts w:eastAsia="Times New Roman" w:cs="Times New Roman"/>
                <w:sz w:val="20"/>
                <w:szCs w:val="20"/>
                <w:lang w:eastAsia="lv-LV"/>
              </w:rPr>
              <w:t>16 dBW</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1E655F5A"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51DA14F7" w14:textId="77777777" w:rsidTr="00B61EE3">
        <w:tc>
          <w:tcPr>
            <w:tcW w:w="0" w:type="auto"/>
            <w:vMerge/>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6C3DB2FB" w14:textId="77777777" w:rsidR="00F41823" w:rsidRPr="00F41823" w:rsidRDefault="00F41823" w:rsidP="00B61EE3">
            <w:pPr>
              <w:spacing w:after="0" w:line="240" w:lineRule="auto"/>
              <w:rPr>
                <w:rFonts w:eastAsia="Times New Roman" w:cs="Times New Roman"/>
                <w:sz w:val="20"/>
                <w:szCs w:val="20"/>
                <w:lang w:eastAsia="lv-LV"/>
              </w:rPr>
            </w:pPr>
          </w:p>
        </w:tc>
        <w:tc>
          <w:tcPr>
            <w:tcW w:w="0" w:type="auto"/>
            <w:vMerge/>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16084464" w14:textId="77777777" w:rsidR="00F41823" w:rsidRPr="00F41823" w:rsidRDefault="00F41823" w:rsidP="00B61EE3">
            <w:pPr>
              <w:spacing w:after="0" w:line="240" w:lineRule="auto"/>
              <w:rPr>
                <w:rFonts w:eastAsia="Times New Roman" w:cs="Times New Roman"/>
                <w:sz w:val="20"/>
                <w:szCs w:val="20"/>
                <w:lang w:eastAsia="lv-LV"/>
              </w:rPr>
            </w:pPr>
          </w:p>
        </w:tc>
        <w:tc>
          <w:tcPr>
            <w:tcW w:w="1045"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63477E2" w14:textId="77777777" w:rsidR="00F41823" w:rsidRPr="00F41823" w:rsidRDefault="00F41823" w:rsidP="00B61EE3">
            <w:pPr>
              <w:spacing w:before="100" w:beforeAutospacing="1" w:after="100" w:afterAutospacing="1" w:line="293" w:lineRule="atLeast"/>
              <w:rPr>
                <w:rFonts w:eastAsia="Times New Roman" w:cs="Times New Roman"/>
                <w:sz w:val="20"/>
                <w:szCs w:val="20"/>
                <w:lang w:eastAsia="lv-LV"/>
              </w:rPr>
            </w:pPr>
            <w:r w:rsidRPr="00F41823">
              <w:rPr>
                <w:rFonts w:eastAsia="Times New Roman" w:cs="Times New Roman"/>
                <w:sz w:val="20"/>
                <w:szCs w:val="20"/>
                <w:lang w:eastAsia="lv-LV"/>
              </w:rPr>
              <w:t>Mobila videolīnija</w:t>
            </w:r>
          </w:p>
        </w:tc>
        <w:tc>
          <w:tcPr>
            <w:tcW w:w="1207"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5E804D9" w14:textId="77777777" w:rsidR="00F41823" w:rsidRPr="00F41823" w:rsidRDefault="00F41823" w:rsidP="00B61EE3">
            <w:pPr>
              <w:spacing w:before="100" w:beforeAutospacing="1" w:after="100" w:afterAutospacing="1" w:line="293" w:lineRule="atLeast"/>
              <w:jc w:val="center"/>
              <w:rPr>
                <w:rFonts w:eastAsia="Times New Roman" w:cs="Times New Roman"/>
                <w:sz w:val="20"/>
                <w:szCs w:val="20"/>
                <w:lang w:eastAsia="lv-LV"/>
              </w:rPr>
            </w:pPr>
            <w:r w:rsidRPr="00F41823">
              <w:rPr>
                <w:rFonts w:eastAsia="Times New Roman" w:cs="Times New Roman"/>
                <w:sz w:val="20"/>
                <w:szCs w:val="20"/>
                <w:lang w:eastAsia="lv-LV"/>
              </w:rPr>
              <w:t>10 dBW</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210EDA51"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7F11EACB"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366322C5"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8.</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1439ADA5"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Radiokanālu izmantošanas nosacījumi</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3C750C3"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noteikti</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1071F6B3"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6BD64654"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6D696FAB"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9.</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00EDF221"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Radiofrekvences piešķīruma noteikšanas veids</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36E8AF8" w14:textId="77777777" w:rsidR="00F41823" w:rsidRPr="00F41823" w:rsidRDefault="00F41823" w:rsidP="00B61EE3">
            <w:pPr>
              <w:spacing w:after="0" w:line="240" w:lineRule="auto"/>
              <w:rPr>
                <w:rFonts w:eastAsia="Times New Roman" w:cs="Times New Roman"/>
                <w:sz w:val="20"/>
                <w:szCs w:val="20"/>
                <w:lang w:eastAsia="lv-LV"/>
              </w:rPr>
            </w:pPr>
            <w:r w:rsidRPr="00F41823">
              <w:rPr>
                <w:rFonts w:cs="Times New Roman"/>
                <w:sz w:val="20"/>
                <w:szCs w:val="20"/>
                <w:shd w:val="clear" w:color="auto" w:fill="FFFFFF"/>
              </w:rPr>
              <w:t>Individuāls radiofrekvences piešķīrums</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02D621AB"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6CBD4EB7"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165500FA"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10.</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561335FC"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 xml:space="preserve">Būtiskas papildu prasības saskaņā ar Direktīvas 2014/53/ES </w:t>
            </w:r>
            <w:proofErr w:type="gramStart"/>
            <w:r w:rsidRPr="00F41823">
              <w:rPr>
                <w:rFonts w:eastAsia="Times New Roman" w:cs="Times New Roman"/>
                <w:sz w:val="20"/>
                <w:szCs w:val="20"/>
                <w:lang w:eastAsia="lv-LV"/>
              </w:rPr>
              <w:t>3.panta</w:t>
            </w:r>
            <w:proofErr w:type="gramEnd"/>
            <w:r w:rsidRPr="00F41823">
              <w:rPr>
                <w:rFonts w:eastAsia="Times New Roman" w:cs="Times New Roman"/>
                <w:sz w:val="20"/>
                <w:szCs w:val="20"/>
                <w:lang w:eastAsia="lv-LV"/>
              </w:rPr>
              <w:t xml:space="preserve"> 3.punktu</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A0AE31B"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noteiktas</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4EB7657D"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r w:rsidR="00F41823" w:rsidRPr="00F41823" w14:paraId="001CD6E4" w14:textId="77777777" w:rsidTr="00B61EE3">
        <w:tc>
          <w:tcPr>
            <w:tcW w:w="300" w:type="pct"/>
            <w:tcBorders>
              <w:top w:val="outset" w:sz="6" w:space="0" w:color="414142"/>
              <w:left w:val="outset" w:sz="6" w:space="0" w:color="414142"/>
              <w:bottom w:val="outset" w:sz="6" w:space="0" w:color="414142"/>
              <w:right w:val="outset" w:sz="6" w:space="0" w:color="414142"/>
            </w:tcBorders>
            <w:shd w:val="clear" w:color="auto" w:fill="FFFFFF"/>
            <w:hideMark/>
          </w:tcPr>
          <w:p w14:paraId="3581A84F"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11.</w:t>
            </w:r>
          </w:p>
        </w:tc>
        <w:tc>
          <w:tcPr>
            <w:tcW w:w="1200" w:type="pct"/>
            <w:tcBorders>
              <w:top w:val="outset" w:sz="6" w:space="0" w:color="414142"/>
              <w:left w:val="outset" w:sz="6" w:space="0" w:color="414142"/>
              <w:bottom w:val="outset" w:sz="6" w:space="0" w:color="414142"/>
              <w:right w:val="outset" w:sz="6" w:space="0" w:color="414142"/>
            </w:tcBorders>
            <w:shd w:val="clear" w:color="auto" w:fill="FFFFFF"/>
            <w:hideMark/>
          </w:tcPr>
          <w:p w14:paraId="4A22B2D8"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Radiofrekvenču plānošanas nosacījumi</w:t>
            </w:r>
          </w:p>
        </w:tc>
        <w:tc>
          <w:tcPr>
            <w:tcW w:w="22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033E1A2" w14:textId="77777777" w:rsidR="00F41823" w:rsidRPr="00F41823" w:rsidRDefault="00F41823" w:rsidP="00B61EE3">
            <w:pPr>
              <w:spacing w:before="100" w:beforeAutospacing="1" w:after="100" w:afterAutospacing="1" w:line="293" w:lineRule="atLeast"/>
              <w:rPr>
                <w:rFonts w:eastAsia="Times New Roman" w:cs="Times New Roman"/>
                <w:sz w:val="20"/>
                <w:szCs w:val="20"/>
                <w:lang w:eastAsia="lv-LV"/>
              </w:rPr>
            </w:pPr>
            <w:r w:rsidRPr="00F41823">
              <w:rPr>
                <w:rFonts w:eastAsia="Times New Roman" w:cs="Times New Roman"/>
                <w:sz w:val="20"/>
                <w:szCs w:val="20"/>
                <w:lang w:eastAsia="lv-LV"/>
              </w:rPr>
              <w:t>Lēmums 2016/339/ES</w:t>
            </w:r>
          </w:p>
        </w:tc>
        <w:tc>
          <w:tcPr>
            <w:tcW w:w="1249" w:type="pct"/>
            <w:tcBorders>
              <w:top w:val="outset" w:sz="6" w:space="0" w:color="414142"/>
              <w:left w:val="outset" w:sz="6" w:space="0" w:color="414142"/>
              <w:bottom w:val="outset" w:sz="6" w:space="0" w:color="414142"/>
              <w:right w:val="outset" w:sz="6" w:space="0" w:color="414142"/>
            </w:tcBorders>
            <w:shd w:val="clear" w:color="auto" w:fill="FFFFFF"/>
            <w:hideMark/>
          </w:tcPr>
          <w:p w14:paraId="5163E389" w14:textId="77777777" w:rsidR="00F41823" w:rsidRPr="00F41823" w:rsidRDefault="00F41823" w:rsidP="00B61EE3">
            <w:pPr>
              <w:spacing w:after="0" w:line="240" w:lineRule="auto"/>
              <w:rPr>
                <w:rFonts w:eastAsia="Times New Roman" w:cs="Times New Roman"/>
                <w:sz w:val="20"/>
                <w:szCs w:val="20"/>
                <w:lang w:eastAsia="lv-LV"/>
              </w:rPr>
            </w:pPr>
            <w:r w:rsidRPr="00F41823">
              <w:rPr>
                <w:rFonts w:eastAsia="Times New Roman" w:cs="Times New Roman"/>
                <w:sz w:val="20"/>
                <w:szCs w:val="20"/>
                <w:lang w:eastAsia="lv-LV"/>
              </w:rPr>
              <w:t>Nav definēti</w:t>
            </w:r>
          </w:p>
        </w:tc>
      </w:tr>
    </w:tbl>
    <w:p w14:paraId="6D6C8D51" w14:textId="19374D8B" w:rsidR="00F41823" w:rsidRPr="00F41823" w:rsidRDefault="00F41823" w:rsidP="00F41823">
      <w:pPr>
        <w:rPr>
          <w:rFonts w:cs="Times New Roman"/>
          <w:sz w:val="20"/>
          <w:szCs w:val="20"/>
        </w:rPr>
      </w:pPr>
      <w:r>
        <w:rPr>
          <w:rFonts w:cs="Times New Roman"/>
          <w:sz w:val="20"/>
          <w:szCs w:val="20"/>
        </w:rPr>
        <w:t xml:space="preserve">“. </w:t>
      </w:r>
    </w:p>
    <w:p w14:paraId="7375C989" w14:textId="6EA34E68" w:rsidR="00576CDF" w:rsidRDefault="00576CDF" w:rsidP="00576CDF">
      <w:pPr>
        <w:spacing w:after="0" w:line="240" w:lineRule="auto"/>
        <w:jc w:val="both"/>
        <w:rPr>
          <w:rFonts w:cs="Times New Roman"/>
          <w:szCs w:val="28"/>
        </w:rPr>
      </w:pPr>
    </w:p>
    <w:p w14:paraId="08C19152" w14:textId="6A8427D7" w:rsidR="00576CDF" w:rsidRPr="00E12D3B" w:rsidRDefault="00F25ACA" w:rsidP="00E4264F">
      <w:pPr>
        <w:pStyle w:val="ListParagraph"/>
        <w:numPr>
          <w:ilvl w:val="0"/>
          <w:numId w:val="5"/>
        </w:numPr>
        <w:spacing w:after="0" w:line="240" w:lineRule="auto"/>
        <w:jc w:val="both"/>
        <w:rPr>
          <w:rFonts w:cs="Times New Roman"/>
          <w:szCs w:val="28"/>
        </w:rPr>
      </w:pPr>
      <w:r w:rsidRPr="00576CDF">
        <w:rPr>
          <w:rFonts w:cs="Times New Roman"/>
          <w:szCs w:val="28"/>
        </w:rPr>
        <w:t>Aizstāt 3.</w:t>
      </w:r>
      <w:r>
        <w:rPr>
          <w:rFonts w:cs="Times New Roman"/>
          <w:szCs w:val="28"/>
        </w:rPr>
        <w:t> </w:t>
      </w:r>
      <w:r w:rsidRPr="00576CDF">
        <w:rPr>
          <w:rFonts w:cs="Times New Roman"/>
          <w:szCs w:val="28"/>
        </w:rPr>
        <w:t xml:space="preserve">pielikuma 1.1. un </w:t>
      </w:r>
      <w:r>
        <w:rPr>
          <w:rFonts w:cs="Times New Roman"/>
          <w:szCs w:val="28"/>
        </w:rPr>
        <w:t>4</w:t>
      </w:r>
      <w:r w:rsidRPr="00576CDF">
        <w:rPr>
          <w:rFonts w:cs="Times New Roman"/>
          <w:szCs w:val="28"/>
        </w:rPr>
        <w:t>.1. apakšpunktā vārdus un skaitļus “3410-3800 MHz” ar vārdiem un skaitļiem “3400-3800 MHz”</w:t>
      </w:r>
      <w:r w:rsidR="00576CDF" w:rsidRPr="00E12D3B">
        <w:rPr>
          <w:rFonts w:cs="Times New Roman"/>
          <w:szCs w:val="28"/>
        </w:rPr>
        <w:t>.</w:t>
      </w:r>
    </w:p>
    <w:p w14:paraId="04F0B6B5" w14:textId="77777777" w:rsidR="00576CDF" w:rsidRPr="00E12D3B" w:rsidRDefault="00576CDF" w:rsidP="00576CDF">
      <w:pPr>
        <w:spacing w:after="0" w:line="240" w:lineRule="auto"/>
        <w:ind w:left="360"/>
        <w:jc w:val="both"/>
        <w:rPr>
          <w:rFonts w:cs="Times New Roman"/>
          <w:szCs w:val="28"/>
        </w:rPr>
      </w:pPr>
    </w:p>
    <w:p w14:paraId="219DEEE9" w14:textId="55299E5C" w:rsidR="00E659FF" w:rsidRPr="00E12D3B" w:rsidRDefault="001D2B89" w:rsidP="00E4264F">
      <w:pPr>
        <w:pStyle w:val="ListParagraph"/>
        <w:numPr>
          <w:ilvl w:val="0"/>
          <w:numId w:val="5"/>
        </w:numPr>
        <w:spacing w:after="0" w:line="240" w:lineRule="auto"/>
        <w:jc w:val="both"/>
        <w:rPr>
          <w:rFonts w:cs="Times New Roman"/>
          <w:szCs w:val="28"/>
        </w:rPr>
      </w:pPr>
      <w:r w:rsidRPr="00E12D3B">
        <w:rPr>
          <w:rFonts w:cs="Times New Roman"/>
          <w:szCs w:val="28"/>
        </w:rPr>
        <w:t xml:space="preserve">Šo </w:t>
      </w:r>
      <w:r w:rsidRPr="00DB4469">
        <w:rPr>
          <w:rFonts w:cs="Times New Roman"/>
          <w:szCs w:val="28"/>
        </w:rPr>
        <w:t xml:space="preserve">noteikumu </w:t>
      </w:r>
      <w:r w:rsidR="00DB4469" w:rsidRPr="00DB4469">
        <w:rPr>
          <w:rFonts w:cs="Times New Roman"/>
          <w:szCs w:val="28"/>
        </w:rPr>
        <w:t>4</w:t>
      </w:r>
      <w:r w:rsidRPr="00DB4469">
        <w:rPr>
          <w:rFonts w:cs="Times New Roman"/>
          <w:szCs w:val="28"/>
        </w:rPr>
        <w:t xml:space="preserve">. un </w:t>
      </w:r>
      <w:r w:rsidR="00DB4469" w:rsidRPr="00DB4469">
        <w:rPr>
          <w:rFonts w:cs="Times New Roman"/>
          <w:szCs w:val="28"/>
        </w:rPr>
        <w:t>5</w:t>
      </w:r>
      <w:r w:rsidRPr="00DB4469">
        <w:rPr>
          <w:rFonts w:cs="Times New Roman"/>
          <w:szCs w:val="28"/>
        </w:rPr>
        <w:t>.</w:t>
      </w:r>
      <w:r w:rsidR="00F25ACA" w:rsidRPr="00DB4469">
        <w:rPr>
          <w:rFonts w:cs="Times New Roman"/>
          <w:szCs w:val="28"/>
        </w:rPr>
        <w:t xml:space="preserve"> </w:t>
      </w:r>
      <w:r w:rsidRPr="00DB4469">
        <w:rPr>
          <w:rFonts w:cs="Times New Roman"/>
          <w:szCs w:val="28"/>
        </w:rPr>
        <w:t>punkts</w:t>
      </w:r>
      <w:r w:rsidRPr="00E12D3B">
        <w:rPr>
          <w:rFonts w:cs="Times New Roman"/>
          <w:szCs w:val="28"/>
        </w:rPr>
        <w:t xml:space="preserve"> stājas spēkā </w:t>
      </w:r>
      <w:proofErr w:type="gramStart"/>
      <w:r w:rsidRPr="00E12D3B">
        <w:rPr>
          <w:rFonts w:cs="Times New Roman"/>
          <w:szCs w:val="28"/>
        </w:rPr>
        <w:t>2016.gada</w:t>
      </w:r>
      <w:proofErr w:type="gramEnd"/>
      <w:r w:rsidRPr="00E12D3B">
        <w:rPr>
          <w:rFonts w:cs="Times New Roman"/>
          <w:szCs w:val="28"/>
        </w:rPr>
        <w:t xml:space="preserve"> 1.</w:t>
      </w:r>
      <w:r w:rsidR="00E12D3B" w:rsidRPr="00E12D3B">
        <w:rPr>
          <w:rFonts w:cs="Times New Roman"/>
          <w:szCs w:val="28"/>
        </w:rPr>
        <w:t>oktobrī</w:t>
      </w:r>
      <w:r w:rsidRPr="00E12D3B">
        <w:rPr>
          <w:rFonts w:cs="Times New Roman"/>
          <w:szCs w:val="28"/>
        </w:rPr>
        <w:t>.</w:t>
      </w:r>
      <w:r w:rsidR="000A4507" w:rsidRPr="00E12D3B">
        <w:rPr>
          <w:rFonts w:cs="Times New Roman"/>
          <w:szCs w:val="28"/>
        </w:rPr>
        <w:t xml:space="preserve"> </w:t>
      </w:r>
    </w:p>
    <w:p w14:paraId="42E31A1D" w14:textId="77777777" w:rsidR="00E659FF" w:rsidRPr="00E92D8E" w:rsidRDefault="00E659FF" w:rsidP="00E659FF">
      <w:pPr>
        <w:spacing w:after="0" w:line="240" w:lineRule="auto"/>
        <w:jc w:val="both"/>
        <w:rPr>
          <w:rFonts w:cs="Times New Roman"/>
          <w:szCs w:val="28"/>
        </w:rPr>
      </w:pPr>
    </w:p>
    <w:p w14:paraId="52F03BA1" w14:textId="77777777" w:rsidR="00083CFB" w:rsidRPr="00E92D8E" w:rsidRDefault="00083CFB" w:rsidP="00083CFB">
      <w:pPr>
        <w:tabs>
          <w:tab w:val="left" w:pos="6521"/>
        </w:tabs>
        <w:autoSpaceDE w:val="0"/>
        <w:autoSpaceDN w:val="0"/>
        <w:adjustRightInd w:val="0"/>
        <w:spacing w:after="0" w:line="240" w:lineRule="auto"/>
        <w:jc w:val="both"/>
        <w:rPr>
          <w:rFonts w:cs="Times New Roman"/>
          <w:szCs w:val="28"/>
        </w:rPr>
      </w:pPr>
    </w:p>
    <w:p w14:paraId="652C6ECC" w14:textId="77777777" w:rsidR="00083CFB" w:rsidRPr="00E92D8E" w:rsidRDefault="00083CFB" w:rsidP="00083CFB">
      <w:pPr>
        <w:tabs>
          <w:tab w:val="left" w:pos="6521"/>
        </w:tabs>
        <w:autoSpaceDE w:val="0"/>
        <w:autoSpaceDN w:val="0"/>
        <w:adjustRightInd w:val="0"/>
        <w:spacing w:after="0" w:line="240" w:lineRule="auto"/>
        <w:jc w:val="both"/>
        <w:rPr>
          <w:rFonts w:cs="Times New Roman"/>
          <w:szCs w:val="28"/>
        </w:rPr>
      </w:pPr>
      <w:r w:rsidRPr="00E92D8E">
        <w:rPr>
          <w:rFonts w:cs="Times New Roman"/>
          <w:szCs w:val="28"/>
        </w:rPr>
        <w:t>Ministru prezidents</w:t>
      </w:r>
      <w:r w:rsidRPr="00E92D8E">
        <w:rPr>
          <w:rFonts w:cs="Times New Roman"/>
          <w:szCs w:val="28"/>
        </w:rPr>
        <w:tab/>
      </w:r>
      <w:r w:rsidRPr="00E92D8E">
        <w:rPr>
          <w:rFonts w:cs="Times New Roman"/>
          <w:szCs w:val="28"/>
        </w:rPr>
        <w:tab/>
        <w:t>M. Kučinskis</w:t>
      </w:r>
    </w:p>
    <w:p w14:paraId="74A363BE" w14:textId="77777777" w:rsidR="00083CFB" w:rsidRPr="00E92D8E" w:rsidRDefault="00083CFB" w:rsidP="00083CFB">
      <w:pPr>
        <w:tabs>
          <w:tab w:val="left" w:pos="4395"/>
          <w:tab w:val="left" w:pos="6237"/>
        </w:tabs>
        <w:suppressAutoHyphens/>
        <w:spacing w:after="0" w:line="240" w:lineRule="auto"/>
        <w:ind w:firstLine="709"/>
        <w:rPr>
          <w:rFonts w:eastAsia="Times New Roman" w:cs="Times New Roman"/>
          <w:szCs w:val="28"/>
          <w:lang w:eastAsia="ar-SA"/>
        </w:rPr>
      </w:pPr>
    </w:p>
    <w:p w14:paraId="3B3675D9" w14:textId="77777777" w:rsidR="00083CFB" w:rsidRPr="00E92D8E" w:rsidRDefault="00083CFB" w:rsidP="00083CFB">
      <w:pPr>
        <w:tabs>
          <w:tab w:val="left" w:pos="6804"/>
        </w:tabs>
        <w:spacing w:after="0" w:line="240" w:lineRule="auto"/>
        <w:rPr>
          <w:rFonts w:eastAsia="Times New Roman" w:cs="Times New Roman"/>
          <w:szCs w:val="28"/>
          <w:lang w:eastAsia="lv-LV"/>
        </w:rPr>
      </w:pPr>
      <w:r w:rsidRPr="00E92D8E">
        <w:rPr>
          <w:rFonts w:eastAsia="Times New Roman" w:cs="Times New Roman"/>
          <w:szCs w:val="28"/>
          <w:lang w:eastAsia="lv-LV"/>
        </w:rPr>
        <w:t xml:space="preserve">Vides aizsardzības un </w:t>
      </w:r>
    </w:p>
    <w:p w14:paraId="3353C932" w14:textId="77777777" w:rsidR="00083CFB" w:rsidRPr="00E92D8E" w:rsidRDefault="00083CFB" w:rsidP="00083CFB">
      <w:pPr>
        <w:tabs>
          <w:tab w:val="left" w:pos="6804"/>
        </w:tabs>
        <w:spacing w:after="0" w:line="240" w:lineRule="auto"/>
        <w:rPr>
          <w:rFonts w:eastAsia="Times New Roman" w:cs="Times New Roman"/>
          <w:szCs w:val="28"/>
          <w:lang w:eastAsia="lv-LV"/>
        </w:rPr>
      </w:pPr>
      <w:r w:rsidRPr="00E92D8E">
        <w:rPr>
          <w:rFonts w:eastAsia="Times New Roman" w:cs="Times New Roman"/>
          <w:szCs w:val="28"/>
          <w:lang w:eastAsia="lv-LV"/>
        </w:rPr>
        <w:t>reģionālās attīstības ministrs</w:t>
      </w:r>
      <w:r w:rsidRPr="00E92D8E">
        <w:rPr>
          <w:rFonts w:eastAsia="Times New Roman" w:cs="Times New Roman"/>
          <w:szCs w:val="28"/>
          <w:lang w:eastAsia="lv-LV"/>
        </w:rPr>
        <w:tab/>
      </w:r>
      <w:r w:rsidRPr="00E92D8E">
        <w:rPr>
          <w:rFonts w:eastAsia="Times New Roman" w:cs="Times New Roman"/>
          <w:szCs w:val="28"/>
          <w:lang w:eastAsia="lv-LV"/>
        </w:rPr>
        <w:tab/>
        <w:t>K.Gerhards</w:t>
      </w:r>
    </w:p>
    <w:p w14:paraId="305A41F5" w14:textId="77777777" w:rsidR="00083CFB" w:rsidRPr="00E92D8E" w:rsidRDefault="00083CFB" w:rsidP="00083CFB">
      <w:pPr>
        <w:tabs>
          <w:tab w:val="left" w:pos="6804"/>
        </w:tabs>
        <w:ind w:firstLine="720"/>
        <w:rPr>
          <w:rFonts w:eastAsia="Times New Roman" w:cs="Times New Roman"/>
          <w:szCs w:val="28"/>
          <w:lang w:eastAsia="lv-LV"/>
        </w:rPr>
      </w:pPr>
    </w:p>
    <w:p w14:paraId="11A10FBA" w14:textId="77777777" w:rsidR="00083CFB" w:rsidRPr="00E92D8E" w:rsidRDefault="00083CFB" w:rsidP="00083CFB">
      <w:pPr>
        <w:tabs>
          <w:tab w:val="left" w:pos="6804"/>
        </w:tabs>
        <w:rPr>
          <w:rFonts w:eastAsia="Times New Roman" w:cs="Times New Roman"/>
          <w:szCs w:val="28"/>
          <w:lang w:eastAsia="lv-LV"/>
        </w:rPr>
      </w:pPr>
      <w:r w:rsidRPr="00E92D8E">
        <w:rPr>
          <w:rFonts w:eastAsia="Times New Roman" w:cs="Times New Roman"/>
          <w:szCs w:val="28"/>
          <w:lang w:eastAsia="lv-LV"/>
        </w:rPr>
        <w:t>Iesniedzējs:</w:t>
      </w:r>
    </w:p>
    <w:p w14:paraId="6AE4FD21" w14:textId="77777777" w:rsidR="00083CFB" w:rsidRPr="00E92D8E" w:rsidRDefault="00083CFB" w:rsidP="00083CFB">
      <w:pPr>
        <w:tabs>
          <w:tab w:val="left" w:pos="6804"/>
        </w:tabs>
        <w:spacing w:after="0" w:line="240" w:lineRule="auto"/>
        <w:rPr>
          <w:rFonts w:eastAsia="Times New Roman" w:cs="Times New Roman"/>
          <w:szCs w:val="28"/>
          <w:lang w:eastAsia="lv-LV"/>
        </w:rPr>
      </w:pPr>
      <w:r w:rsidRPr="00E92D8E">
        <w:rPr>
          <w:rFonts w:eastAsia="Times New Roman" w:cs="Times New Roman"/>
          <w:szCs w:val="28"/>
          <w:lang w:eastAsia="lv-LV"/>
        </w:rPr>
        <w:t xml:space="preserve">Vides aizsardzības un </w:t>
      </w:r>
    </w:p>
    <w:p w14:paraId="6DCFBB6B" w14:textId="77777777" w:rsidR="00083CFB" w:rsidRPr="00E92D8E" w:rsidRDefault="00083CFB" w:rsidP="00083CFB">
      <w:pPr>
        <w:tabs>
          <w:tab w:val="left" w:pos="6804"/>
        </w:tabs>
        <w:rPr>
          <w:rFonts w:eastAsia="Times New Roman" w:cs="Times New Roman"/>
          <w:szCs w:val="28"/>
          <w:lang w:eastAsia="lv-LV"/>
        </w:rPr>
      </w:pPr>
      <w:r w:rsidRPr="00E92D8E">
        <w:rPr>
          <w:rFonts w:eastAsia="Times New Roman" w:cs="Times New Roman"/>
          <w:szCs w:val="28"/>
          <w:lang w:eastAsia="lv-LV"/>
        </w:rPr>
        <w:t>reģionālās attīstības ministrs</w:t>
      </w:r>
      <w:r w:rsidRPr="00E92D8E">
        <w:rPr>
          <w:rFonts w:eastAsia="Times New Roman" w:cs="Times New Roman"/>
          <w:szCs w:val="28"/>
          <w:lang w:eastAsia="lv-LV"/>
        </w:rPr>
        <w:tab/>
      </w:r>
      <w:r w:rsidRPr="00E92D8E">
        <w:rPr>
          <w:rFonts w:eastAsia="Times New Roman" w:cs="Times New Roman"/>
          <w:szCs w:val="28"/>
          <w:lang w:eastAsia="lv-LV"/>
        </w:rPr>
        <w:tab/>
        <w:t xml:space="preserve">K.Gerhards </w:t>
      </w:r>
    </w:p>
    <w:p w14:paraId="5555EF61" w14:textId="77777777" w:rsidR="00083CFB" w:rsidRPr="00E92D8E" w:rsidRDefault="00083CFB" w:rsidP="00083CFB">
      <w:pPr>
        <w:tabs>
          <w:tab w:val="left" w:pos="6804"/>
        </w:tabs>
        <w:spacing w:after="0" w:line="240" w:lineRule="auto"/>
        <w:rPr>
          <w:rFonts w:eastAsia="Times New Roman" w:cs="Times New Roman"/>
          <w:szCs w:val="28"/>
          <w:lang w:eastAsia="lv-LV"/>
        </w:rPr>
      </w:pPr>
    </w:p>
    <w:p w14:paraId="5CCD51A6" w14:textId="77777777" w:rsidR="00083CFB" w:rsidRPr="00E92D8E" w:rsidRDefault="00083CFB" w:rsidP="00083CFB">
      <w:pPr>
        <w:tabs>
          <w:tab w:val="left" w:pos="6804"/>
        </w:tabs>
        <w:spacing w:after="0" w:line="240" w:lineRule="auto"/>
        <w:rPr>
          <w:rFonts w:eastAsia="Times New Roman" w:cs="Times New Roman"/>
          <w:szCs w:val="28"/>
          <w:lang w:eastAsia="lv-LV"/>
        </w:rPr>
      </w:pPr>
      <w:r w:rsidRPr="00E92D8E">
        <w:rPr>
          <w:rFonts w:eastAsia="Times New Roman" w:cs="Times New Roman"/>
          <w:szCs w:val="28"/>
          <w:lang w:eastAsia="lv-LV"/>
        </w:rPr>
        <w:t xml:space="preserve">Vīza: </w:t>
      </w:r>
    </w:p>
    <w:p w14:paraId="4BC23F58" w14:textId="77777777" w:rsidR="00083CFB" w:rsidRPr="00E92D8E" w:rsidRDefault="00083CFB" w:rsidP="00083CFB">
      <w:pPr>
        <w:tabs>
          <w:tab w:val="left" w:pos="6804"/>
        </w:tabs>
        <w:spacing w:after="0" w:line="240" w:lineRule="auto"/>
        <w:rPr>
          <w:rFonts w:eastAsia="Times New Roman" w:cs="Times New Roman"/>
          <w:szCs w:val="28"/>
          <w:lang w:eastAsia="lv-LV"/>
        </w:rPr>
      </w:pPr>
      <w:r w:rsidRPr="00E92D8E">
        <w:rPr>
          <w:rFonts w:eastAsia="Times New Roman" w:cs="Times New Roman"/>
          <w:szCs w:val="28"/>
          <w:lang w:eastAsia="lv-LV"/>
        </w:rPr>
        <w:t>valsts sekretārs</w:t>
      </w:r>
    </w:p>
    <w:p w14:paraId="7604FE57" w14:textId="77777777" w:rsidR="00083CFB" w:rsidRPr="00E92D8E" w:rsidRDefault="00083CFB" w:rsidP="00083CFB">
      <w:pPr>
        <w:tabs>
          <w:tab w:val="left" w:pos="6804"/>
        </w:tabs>
        <w:spacing w:after="0" w:line="240" w:lineRule="auto"/>
        <w:rPr>
          <w:rFonts w:eastAsia="Times New Roman"/>
          <w:szCs w:val="28"/>
          <w:lang w:eastAsia="lv-LV"/>
        </w:rPr>
      </w:pPr>
      <w:r w:rsidRPr="00E92D8E">
        <w:rPr>
          <w:rFonts w:eastAsia="Times New Roman"/>
          <w:szCs w:val="28"/>
          <w:lang w:eastAsia="lv-LV"/>
        </w:rPr>
        <w:tab/>
      </w:r>
      <w:r w:rsidRPr="00E92D8E">
        <w:rPr>
          <w:rFonts w:eastAsia="Times New Roman"/>
          <w:szCs w:val="28"/>
          <w:lang w:eastAsia="lv-LV"/>
        </w:rPr>
        <w:tab/>
        <w:t xml:space="preserve"> R.Muciņš</w:t>
      </w:r>
    </w:p>
    <w:p w14:paraId="389E349C" w14:textId="77777777" w:rsidR="00083CFB" w:rsidRDefault="00083CFB" w:rsidP="00083CFB">
      <w:pPr>
        <w:tabs>
          <w:tab w:val="left" w:pos="3390"/>
        </w:tabs>
        <w:spacing w:after="0" w:line="240" w:lineRule="auto"/>
        <w:jc w:val="both"/>
        <w:rPr>
          <w:rFonts w:eastAsia="Times New Roman"/>
          <w:sz w:val="20"/>
          <w:szCs w:val="20"/>
          <w:lang w:eastAsia="lv-LV"/>
        </w:rPr>
      </w:pPr>
    </w:p>
    <w:p w14:paraId="285518D1" w14:textId="5B3FE1DE" w:rsidR="00083CFB" w:rsidRPr="00D33BD8" w:rsidRDefault="00CC4213" w:rsidP="00083CFB">
      <w:pPr>
        <w:tabs>
          <w:tab w:val="left" w:pos="3390"/>
        </w:tabs>
        <w:spacing w:after="0" w:line="240" w:lineRule="auto"/>
        <w:jc w:val="both"/>
        <w:rPr>
          <w:rFonts w:eastAsia="Times New Roman"/>
          <w:sz w:val="22"/>
          <w:lang w:eastAsia="lv-LV"/>
        </w:rPr>
      </w:pPr>
      <w:r w:rsidRPr="00D33BD8">
        <w:rPr>
          <w:rFonts w:eastAsia="Times New Roman"/>
          <w:sz w:val="22"/>
          <w:lang w:eastAsia="lv-LV"/>
        </w:rPr>
        <w:t>1</w:t>
      </w:r>
      <w:r w:rsidR="00444A26">
        <w:rPr>
          <w:rFonts w:eastAsia="Times New Roman"/>
          <w:sz w:val="22"/>
          <w:lang w:eastAsia="lv-LV"/>
        </w:rPr>
        <w:t>4</w:t>
      </w:r>
      <w:r w:rsidR="00083CFB" w:rsidRPr="00D33BD8">
        <w:rPr>
          <w:rFonts w:eastAsia="Times New Roman"/>
          <w:sz w:val="22"/>
          <w:lang w:eastAsia="lv-LV"/>
        </w:rPr>
        <w:t>.0</w:t>
      </w:r>
      <w:r w:rsidR="00E12D3B" w:rsidRPr="00D33BD8">
        <w:rPr>
          <w:rFonts w:eastAsia="Times New Roman"/>
          <w:sz w:val="22"/>
          <w:lang w:eastAsia="lv-LV"/>
        </w:rPr>
        <w:t>4</w:t>
      </w:r>
      <w:r w:rsidR="00083CFB" w:rsidRPr="00D33BD8">
        <w:rPr>
          <w:rFonts w:eastAsia="Times New Roman"/>
          <w:sz w:val="22"/>
          <w:lang w:eastAsia="lv-LV"/>
        </w:rPr>
        <w:t>.2016</w:t>
      </w:r>
      <w:r w:rsidRPr="00D33BD8">
        <w:rPr>
          <w:rFonts w:eastAsia="Times New Roman"/>
          <w:sz w:val="22"/>
          <w:lang w:eastAsia="lv-LV"/>
        </w:rPr>
        <w:t>.</w:t>
      </w:r>
      <w:r w:rsidR="00083CFB" w:rsidRPr="00D33BD8">
        <w:rPr>
          <w:rFonts w:eastAsia="Times New Roman"/>
          <w:sz w:val="22"/>
          <w:lang w:eastAsia="lv-LV"/>
        </w:rPr>
        <w:t xml:space="preserve"> </w:t>
      </w:r>
    </w:p>
    <w:p w14:paraId="63A5E317" w14:textId="77777777" w:rsidR="00083CFB" w:rsidRPr="00D33BD8" w:rsidRDefault="00083CFB" w:rsidP="00083CFB">
      <w:pPr>
        <w:tabs>
          <w:tab w:val="left" w:pos="6804"/>
        </w:tabs>
        <w:spacing w:after="0" w:line="240" w:lineRule="auto"/>
        <w:jc w:val="both"/>
        <w:rPr>
          <w:rFonts w:eastAsia="Times New Roman"/>
          <w:sz w:val="22"/>
          <w:lang w:eastAsia="lv-LV"/>
        </w:rPr>
      </w:pPr>
      <w:r w:rsidRPr="00D33BD8">
        <w:rPr>
          <w:rFonts w:eastAsia="Times New Roman"/>
          <w:sz w:val="22"/>
          <w:lang w:eastAsia="lv-LV"/>
        </w:rPr>
        <w:fldChar w:fldCharType="begin"/>
      </w:r>
      <w:r w:rsidRPr="00D33BD8">
        <w:rPr>
          <w:rFonts w:eastAsia="Times New Roman"/>
          <w:sz w:val="22"/>
          <w:lang w:eastAsia="lv-LV"/>
        </w:rPr>
        <w:instrText xml:space="preserve"> NUMWORDS   \* MERGEFORMAT </w:instrText>
      </w:r>
      <w:r w:rsidRPr="00D33BD8">
        <w:rPr>
          <w:rFonts w:eastAsia="Times New Roman"/>
          <w:sz w:val="22"/>
          <w:lang w:eastAsia="lv-LV"/>
        </w:rPr>
        <w:fldChar w:fldCharType="separate"/>
      </w:r>
      <w:r w:rsidR="003E0D7C">
        <w:rPr>
          <w:rFonts w:eastAsia="Times New Roman"/>
          <w:noProof/>
          <w:sz w:val="22"/>
          <w:lang w:eastAsia="lv-LV"/>
        </w:rPr>
        <w:t>1884</w:t>
      </w:r>
      <w:r w:rsidRPr="00D33BD8">
        <w:rPr>
          <w:rFonts w:eastAsia="Times New Roman"/>
          <w:sz w:val="22"/>
          <w:lang w:eastAsia="lv-LV"/>
        </w:rPr>
        <w:fldChar w:fldCharType="end"/>
      </w:r>
    </w:p>
    <w:p w14:paraId="6E05C909" w14:textId="77777777" w:rsidR="00083CFB" w:rsidRPr="00D33BD8" w:rsidRDefault="00083CFB" w:rsidP="00083CFB">
      <w:pPr>
        <w:tabs>
          <w:tab w:val="left" w:pos="6804"/>
        </w:tabs>
        <w:spacing w:after="0" w:line="240" w:lineRule="auto"/>
        <w:jc w:val="both"/>
        <w:rPr>
          <w:rFonts w:eastAsia="Times New Roman"/>
          <w:sz w:val="22"/>
          <w:lang w:eastAsia="lv-LV"/>
        </w:rPr>
      </w:pPr>
    </w:p>
    <w:p w14:paraId="6EFE5CBF" w14:textId="77777777" w:rsidR="00083CFB" w:rsidRPr="00D33BD8" w:rsidRDefault="00083CFB" w:rsidP="00083CFB">
      <w:pPr>
        <w:tabs>
          <w:tab w:val="left" w:pos="6804"/>
        </w:tabs>
        <w:spacing w:after="0" w:line="240" w:lineRule="auto"/>
        <w:jc w:val="both"/>
        <w:rPr>
          <w:rFonts w:eastAsia="Times New Roman"/>
          <w:sz w:val="22"/>
          <w:lang w:eastAsia="lv-LV"/>
        </w:rPr>
      </w:pPr>
      <w:r w:rsidRPr="00D33BD8">
        <w:rPr>
          <w:rFonts w:eastAsia="Times New Roman"/>
          <w:sz w:val="22"/>
          <w:lang w:eastAsia="lv-LV"/>
        </w:rPr>
        <w:t>A.Vāvere</w:t>
      </w:r>
    </w:p>
    <w:p w14:paraId="021F0939" w14:textId="13FB938B" w:rsidR="00D33BD8" w:rsidRPr="00D33BD8" w:rsidRDefault="00D33BD8" w:rsidP="00CC4213">
      <w:pPr>
        <w:tabs>
          <w:tab w:val="left" w:pos="6804"/>
        </w:tabs>
        <w:spacing w:after="0" w:line="240" w:lineRule="auto"/>
        <w:jc w:val="both"/>
        <w:rPr>
          <w:rFonts w:eastAsia="Times New Roman"/>
          <w:sz w:val="22"/>
          <w:lang w:eastAsia="lv-LV"/>
        </w:rPr>
      </w:pPr>
      <w:r w:rsidRPr="00D33BD8">
        <w:rPr>
          <w:rFonts w:eastAsia="Times New Roman"/>
          <w:sz w:val="22"/>
          <w:lang w:eastAsia="lv-LV"/>
        </w:rPr>
        <w:t>t.</w:t>
      </w:r>
      <w:r w:rsidR="00083CFB" w:rsidRPr="00D33BD8">
        <w:rPr>
          <w:rFonts w:eastAsia="Times New Roman"/>
          <w:sz w:val="22"/>
          <w:lang w:eastAsia="lv-LV"/>
        </w:rPr>
        <w:t>67026936</w:t>
      </w:r>
      <w:r w:rsidR="00C13767">
        <w:rPr>
          <w:rFonts w:eastAsia="Times New Roman"/>
          <w:sz w:val="22"/>
          <w:lang w:eastAsia="lv-LV"/>
        </w:rPr>
        <w:t>;</w:t>
      </w:r>
      <w:r w:rsidR="00083CFB" w:rsidRPr="00D33BD8">
        <w:rPr>
          <w:rFonts w:eastAsia="Times New Roman"/>
          <w:sz w:val="22"/>
          <w:lang w:eastAsia="lv-LV"/>
        </w:rPr>
        <w:t xml:space="preserve"> </w:t>
      </w:r>
      <w:bookmarkStart w:id="0" w:name="_GoBack"/>
      <w:bookmarkEnd w:id="0"/>
    </w:p>
    <w:p w14:paraId="2F38FC9B" w14:textId="27C54693" w:rsidR="00E659FF" w:rsidRPr="00D33BD8" w:rsidRDefault="00D33BD8" w:rsidP="00CC4213">
      <w:pPr>
        <w:tabs>
          <w:tab w:val="left" w:pos="6804"/>
        </w:tabs>
        <w:spacing w:after="0" w:line="240" w:lineRule="auto"/>
        <w:jc w:val="both"/>
        <w:rPr>
          <w:rFonts w:eastAsia="Times New Roman"/>
          <w:sz w:val="22"/>
          <w:lang w:eastAsia="lv-LV"/>
        </w:rPr>
      </w:pPr>
      <w:r w:rsidRPr="00D33BD8">
        <w:rPr>
          <w:sz w:val="22"/>
        </w:rPr>
        <w:t>e-pasts:</w:t>
      </w:r>
      <w:hyperlink r:id="rId17" w:history="1">
        <w:r w:rsidR="00083CFB" w:rsidRPr="00D33BD8">
          <w:rPr>
            <w:rStyle w:val="Hyperlink"/>
            <w:rFonts w:eastAsia="Times New Roman"/>
            <w:sz w:val="22"/>
            <w:lang w:eastAsia="lv-LV"/>
          </w:rPr>
          <w:t>aija.vavere@varam.gov.lv</w:t>
        </w:r>
      </w:hyperlink>
    </w:p>
    <w:sectPr w:rsidR="00E659FF" w:rsidRPr="00D33BD8" w:rsidSect="009314F3">
      <w:headerReference w:type="default" r:id="rId18"/>
      <w:footerReference w:type="default" r:id="rId19"/>
      <w:footerReference w:type="first" r:id="rId20"/>
      <w:pgSz w:w="12240" w:h="15840"/>
      <w:pgMar w:top="1440" w:right="1440" w:bottom="1440" w:left="1440"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4642C" w14:textId="77777777" w:rsidR="00444A26" w:rsidRDefault="00444A26" w:rsidP="009314F3">
      <w:pPr>
        <w:spacing w:after="0" w:line="240" w:lineRule="auto"/>
      </w:pPr>
      <w:r>
        <w:separator/>
      </w:r>
    </w:p>
  </w:endnote>
  <w:endnote w:type="continuationSeparator" w:id="0">
    <w:p w14:paraId="5775A513" w14:textId="77777777" w:rsidR="00444A26" w:rsidRDefault="00444A26" w:rsidP="00931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32055E" w14:textId="77777777" w:rsidR="00444A26" w:rsidRPr="00D706C5" w:rsidRDefault="00444A26" w:rsidP="00D706C5">
    <w:pPr>
      <w:pStyle w:val="Footer"/>
      <w:jc w:val="both"/>
    </w:pPr>
    <w:r w:rsidRPr="00D706C5">
      <w:rPr>
        <w:sz w:val="20"/>
        <w:szCs w:val="20"/>
      </w:rPr>
      <w:fldChar w:fldCharType="begin"/>
    </w:r>
    <w:r w:rsidRPr="00D706C5">
      <w:rPr>
        <w:sz w:val="20"/>
        <w:szCs w:val="20"/>
      </w:rPr>
      <w:instrText xml:space="preserve"> FILENAME   \* MERGEFORMAT </w:instrText>
    </w:r>
    <w:r w:rsidRPr="00D706C5">
      <w:rPr>
        <w:sz w:val="20"/>
        <w:szCs w:val="20"/>
      </w:rPr>
      <w:fldChar w:fldCharType="separate"/>
    </w:r>
    <w:r w:rsidR="00E4264F">
      <w:rPr>
        <w:noProof/>
        <w:sz w:val="20"/>
        <w:szCs w:val="20"/>
      </w:rPr>
      <w:t>VARAMnot_140416_Radiofrekvenču plāns</w:t>
    </w:r>
    <w:r w:rsidRPr="00D706C5">
      <w:rPr>
        <w:noProof/>
        <w:sz w:val="20"/>
        <w:szCs w:val="20"/>
      </w:rPr>
      <w:fldChar w:fldCharType="end"/>
    </w:r>
    <w:r w:rsidRPr="00D706C5">
      <w:rPr>
        <w:noProof/>
        <w:sz w:val="20"/>
        <w:szCs w:val="20"/>
      </w:rPr>
      <w:t xml:space="preserve">; </w:t>
    </w:r>
    <w:r>
      <w:rPr>
        <w:noProof/>
        <w:sz w:val="20"/>
        <w:szCs w:val="20"/>
      </w:rPr>
      <w:t xml:space="preserve">Grozījumi </w:t>
    </w:r>
    <w:r w:rsidRPr="00D706C5">
      <w:rPr>
        <w:sz w:val="20"/>
        <w:szCs w:val="20"/>
      </w:rPr>
      <w:t>Ministru kabineta 2009. gada 6. oktobra noteikumos Nr. 1151 "Noteikumi par radiofrekvenču spektra joslu sadalījumu radiosakaru veidiem un iedalījumu radiosakaru sistēmām, kā arī par radiofrekvenču spektra joslu izmantošanas vispārīgajiem nosacījumiem (Nacionālais radiofrekvenču plāns)"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92E10" w14:textId="77777777" w:rsidR="00444A26" w:rsidRPr="00D706C5" w:rsidRDefault="00444A26" w:rsidP="00D706C5">
    <w:pPr>
      <w:pStyle w:val="Footer"/>
      <w:jc w:val="both"/>
      <w:rPr>
        <w:sz w:val="20"/>
        <w:szCs w:val="20"/>
      </w:rPr>
    </w:pPr>
    <w:r w:rsidRPr="00D706C5">
      <w:rPr>
        <w:sz w:val="20"/>
        <w:szCs w:val="20"/>
      </w:rPr>
      <w:fldChar w:fldCharType="begin"/>
    </w:r>
    <w:r w:rsidRPr="00D706C5">
      <w:rPr>
        <w:sz w:val="20"/>
        <w:szCs w:val="20"/>
      </w:rPr>
      <w:instrText xml:space="preserve"> FILENAME   \* MERGEFORMAT </w:instrText>
    </w:r>
    <w:r w:rsidRPr="00D706C5">
      <w:rPr>
        <w:sz w:val="20"/>
        <w:szCs w:val="20"/>
      </w:rPr>
      <w:fldChar w:fldCharType="separate"/>
    </w:r>
    <w:r>
      <w:rPr>
        <w:noProof/>
        <w:sz w:val="20"/>
        <w:szCs w:val="20"/>
      </w:rPr>
      <w:t>VARAMnot_140416_Radiofrekvenču plāns</w:t>
    </w:r>
    <w:r w:rsidRPr="00D706C5">
      <w:rPr>
        <w:noProof/>
        <w:sz w:val="20"/>
        <w:szCs w:val="20"/>
      </w:rPr>
      <w:fldChar w:fldCharType="end"/>
    </w:r>
    <w:r w:rsidRPr="00D706C5">
      <w:rPr>
        <w:noProof/>
        <w:sz w:val="20"/>
        <w:szCs w:val="20"/>
      </w:rPr>
      <w:t xml:space="preserve">; </w:t>
    </w:r>
    <w:r>
      <w:rPr>
        <w:noProof/>
        <w:sz w:val="20"/>
        <w:szCs w:val="20"/>
      </w:rPr>
      <w:t xml:space="preserve">Grozījumi </w:t>
    </w:r>
    <w:r w:rsidRPr="00D706C5">
      <w:rPr>
        <w:sz w:val="20"/>
        <w:szCs w:val="20"/>
      </w:rPr>
      <w:t>Ministru kabineta 2009. gada 6. oktobra noteikumos Nr. 1151 "Noteikumi par radiofrekvenču spektra joslu sadalījumu radiosakaru veidiem un iedalījumu radiosakaru sistēmām, kā arī par radiofrekvenču spektra joslu izmantošanas vispārīgajiem nosacījumiem (Nacionālais radiofrekvenču plāns)"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967E7" w14:textId="77777777" w:rsidR="00444A26" w:rsidRDefault="00444A26" w:rsidP="009314F3">
      <w:pPr>
        <w:spacing w:after="0" w:line="240" w:lineRule="auto"/>
      </w:pPr>
      <w:r>
        <w:separator/>
      </w:r>
    </w:p>
  </w:footnote>
  <w:footnote w:type="continuationSeparator" w:id="0">
    <w:p w14:paraId="5C4E731D" w14:textId="77777777" w:rsidR="00444A26" w:rsidRDefault="00444A26" w:rsidP="009314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023683"/>
      <w:docPartObj>
        <w:docPartGallery w:val="Page Numbers (Top of Page)"/>
        <w:docPartUnique/>
      </w:docPartObj>
    </w:sdtPr>
    <w:sdtEndPr>
      <w:rPr>
        <w:noProof/>
      </w:rPr>
    </w:sdtEndPr>
    <w:sdtContent>
      <w:p w14:paraId="6610DAD7" w14:textId="77777777" w:rsidR="00444A26" w:rsidRDefault="00444A26">
        <w:pPr>
          <w:pStyle w:val="Header"/>
          <w:jc w:val="center"/>
        </w:pPr>
        <w:r>
          <w:fldChar w:fldCharType="begin"/>
        </w:r>
        <w:r>
          <w:instrText xml:space="preserve"> PAGE   \* MERGEFORMAT </w:instrText>
        </w:r>
        <w:r>
          <w:fldChar w:fldCharType="separate"/>
        </w:r>
        <w:r w:rsidR="003E0D7C">
          <w:rPr>
            <w:noProof/>
          </w:rPr>
          <w:t>8</w:t>
        </w:r>
        <w:r>
          <w:rPr>
            <w:noProof/>
          </w:rPr>
          <w:fldChar w:fldCharType="end"/>
        </w:r>
      </w:p>
    </w:sdtContent>
  </w:sdt>
  <w:p w14:paraId="2FA84F43" w14:textId="77777777" w:rsidR="00444A26" w:rsidRDefault="00444A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6D21F3"/>
    <w:multiLevelType w:val="multilevel"/>
    <w:tmpl w:val="0AA01184"/>
    <w:lvl w:ilvl="0">
      <w:start w:val="4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440362FD"/>
    <w:multiLevelType w:val="multilevel"/>
    <w:tmpl w:val="509E1760"/>
    <w:lvl w:ilvl="0">
      <w:start w:val="43"/>
      <w:numFmt w:val="decimal"/>
      <w:lvlText w:val="%1."/>
      <w:lvlJc w:val="left"/>
      <w:pPr>
        <w:ind w:left="360" w:hanging="360"/>
      </w:pPr>
      <w:rPr>
        <w:rFonts w:hint="default"/>
      </w:rPr>
    </w:lvl>
    <w:lvl w:ilvl="1">
      <w:start w:val="1"/>
      <w:numFmt w:val="decimal"/>
      <w:lvlText w:val="%1.%2."/>
      <w:lvlJc w:val="left"/>
      <w:pPr>
        <w:ind w:left="1080" w:hanging="108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46EA42E1"/>
    <w:multiLevelType w:val="hybridMultilevel"/>
    <w:tmpl w:val="762E4F32"/>
    <w:lvl w:ilvl="0" w:tplc="0426000F">
      <w:start w:val="4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C62224E"/>
    <w:multiLevelType w:val="hybridMultilevel"/>
    <w:tmpl w:val="19785756"/>
    <w:lvl w:ilvl="0" w:tplc="EFD428CA">
      <w:start w:val="1"/>
      <w:numFmt w:val="decimal"/>
      <w:lvlText w:val="%1."/>
      <w:lvlJc w:val="left"/>
      <w:pPr>
        <w:ind w:left="885" w:hanging="360"/>
      </w:pPr>
      <w:rPr>
        <w:rFonts w:hint="default"/>
      </w:rPr>
    </w:lvl>
    <w:lvl w:ilvl="1" w:tplc="04260019" w:tentative="1">
      <w:start w:val="1"/>
      <w:numFmt w:val="lowerLetter"/>
      <w:lvlText w:val="%2."/>
      <w:lvlJc w:val="left"/>
      <w:pPr>
        <w:ind w:left="1605" w:hanging="360"/>
      </w:pPr>
    </w:lvl>
    <w:lvl w:ilvl="2" w:tplc="0426001B" w:tentative="1">
      <w:start w:val="1"/>
      <w:numFmt w:val="lowerRoman"/>
      <w:lvlText w:val="%3."/>
      <w:lvlJc w:val="right"/>
      <w:pPr>
        <w:ind w:left="2325" w:hanging="180"/>
      </w:pPr>
    </w:lvl>
    <w:lvl w:ilvl="3" w:tplc="0426000F" w:tentative="1">
      <w:start w:val="1"/>
      <w:numFmt w:val="decimal"/>
      <w:lvlText w:val="%4."/>
      <w:lvlJc w:val="left"/>
      <w:pPr>
        <w:ind w:left="3045" w:hanging="360"/>
      </w:pPr>
    </w:lvl>
    <w:lvl w:ilvl="4" w:tplc="04260019" w:tentative="1">
      <w:start w:val="1"/>
      <w:numFmt w:val="lowerLetter"/>
      <w:lvlText w:val="%5."/>
      <w:lvlJc w:val="left"/>
      <w:pPr>
        <w:ind w:left="3765" w:hanging="360"/>
      </w:pPr>
    </w:lvl>
    <w:lvl w:ilvl="5" w:tplc="0426001B" w:tentative="1">
      <w:start w:val="1"/>
      <w:numFmt w:val="lowerRoman"/>
      <w:lvlText w:val="%6."/>
      <w:lvlJc w:val="right"/>
      <w:pPr>
        <w:ind w:left="4485" w:hanging="180"/>
      </w:pPr>
    </w:lvl>
    <w:lvl w:ilvl="6" w:tplc="0426000F" w:tentative="1">
      <w:start w:val="1"/>
      <w:numFmt w:val="decimal"/>
      <w:lvlText w:val="%7."/>
      <w:lvlJc w:val="left"/>
      <w:pPr>
        <w:ind w:left="5205" w:hanging="360"/>
      </w:pPr>
    </w:lvl>
    <w:lvl w:ilvl="7" w:tplc="04260019" w:tentative="1">
      <w:start w:val="1"/>
      <w:numFmt w:val="lowerLetter"/>
      <w:lvlText w:val="%8."/>
      <w:lvlJc w:val="left"/>
      <w:pPr>
        <w:ind w:left="5925" w:hanging="360"/>
      </w:pPr>
    </w:lvl>
    <w:lvl w:ilvl="8" w:tplc="0426001B" w:tentative="1">
      <w:start w:val="1"/>
      <w:numFmt w:val="lowerRoman"/>
      <w:lvlText w:val="%9."/>
      <w:lvlJc w:val="right"/>
      <w:pPr>
        <w:ind w:left="6645" w:hanging="180"/>
      </w:pPr>
    </w:lvl>
  </w:abstractNum>
  <w:abstractNum w:abstractNumId="4" w15:restartNumberingAfterBreak="0">
    <w:nsid w:val="58F7325D"/>
    <w:multiLevelType w:val="hybridMultilevel"/>
    <w:tmpl w:val="D8B421E4"/>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73A71CC"/>
    <w:multiLevelType w:val="hybridMultilevel"/>
    <w:tmpl w:val="04E047A6"/>
    <w:lvl w:ilvl="0" w:tplc="E0BAD0A8">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BA"/>
    <w:rsid w:val="00000023"/>
    <w:rsid w:val="0000040B"/>
    <w:rsid w:val="00007A5F"/>
    <w:rsid w:val="00012387"/>
    <w:rsid w:val="0005547C"/>
    <w:rsid w:val="00083CFB"/>
    <w:rsid w:val="000977D5"/>
    <w:rsid w:val="000978C9"/>
    <w:rsid w:val="000A3117"/>
    <w:rsid w:val="000A4507"/>
    <w:rsid w:val="000B4ACC"/>
    <w:rsid w:val="000F4E6B"/>
    <w:rsid w:val="00104728"/>
    <w:rsid w:val="00125E15"/>
    <w:rsid w:val="00142FB1"/>
    <w:rsid w:val="00182659"/>
    <w:rsid w:val="00182F57"/>
    <w:rsid w:val="0018678A"/>
    <w:rsid w:val="00194C58"/>
    <w:rsid w:val="001967BD"/>
    <w:rsid w:val="001D2B89"/>
    <w:rsid w:val="001F33D6"/>
    <w:rsid w:val="00220D84"/>
    <w:rsid w:val="002265C0"/>
    <w:rsid w:val="002547DD"/>
    <w:rsid w:val="00267D0E"/>
    <w:rsid w:val="00267F51"/>
    <w:rsid w:val="00277639"/>
    <w:rsid w:val="002A68AD"/>
    <w:rsid w:val="002E6724"/>
    <w:rsid w:val="00312089"/>
    <w:rsid w:val="00325120"/>
    <w:rsid w:val="0033365A"/>
    <w:rsid w:val="00340C2D"/>
    <w:rsid w:val="00344FF7"/>
    <w:rsid w:val="00356A1B"/>
    <w:rsid w:val="00356FC1"/>
    <w:rsid w:val="0037168D"/>
    <w:rsid w:val="0037325F"/>
    <w:rsid w:val="00383B0F"/>
    <w:rsid w:val="003922B3"/>
    <w:rsid w:val="003B5F0F"/>
    <w:rsid w:val="003D0EBD"/>
    <w:rsid w:val="003E0D7C"/>
    <w:rsid w:val="00420D09"/>
    <w:rsid w:val="00434208"/>
    <w:rsid w:val="00444A26"/>
    <w:rsid w:val="00465DF6"/>
    <w:rsid w:val="00472B93"/>
    <w:rsid w:val="004A4208"/>
    <w:rsid w:val="004B0F42"/>
    <w:rsid w:val="0052414E"/>
    <w:rsid w:val="00527EFB"/>
    <w:rsid w:val="00532D57"/>
    <w:rsid w:val="00542F48"/>
    <w:rsid w:val="00550243"/>
    <w:rsid w:val="00567327"/>
    <w:rsid w:val="00571CD4"/>
    <w:rsid w:val="00576CDF"/>
    <w:rsid w:val="005C34EB"/>
    <w:rsid w:val="005C715C"/>
    <w:rsid w:val="005F41C5"/>
    <w:rsid w:val="005F6DB5"/>
    <w:rsid w:val="00611493"/>
    <w:rsid w:val="00630F41"/>
    <w:rsid w:val="006528B6"/>
    <w:rsid w:val="00670F6A"/>
    <w:rsid w:val="00675B8F"/>
    <w:rsid w:val="006877EB"/>
    <w:rsid w:val="00694B76"/>
    <w:rsid w:val="006E2455"/>
    <w:rsid w:val="006E4185"/>
    <w:rsid w:val="007B7CD4"/>
    <w:rsid w:val="00811944"/>
    <w:rsid w:val="008542F1"/>
    <w:rsid w:val="0085694E"/>
    <w:rsid w:val="0086640D"/>
    <w:rsid w:val="00867E7D"/>
    <w:rsid w:val="00872208"/>
    <w:rsid w:val="008A6127"/>
    <w:rsid w:val="008B64BC"/>
    <w:rsid w:val="008D3EE1"/>
    <w:rsid w:val="008F3CE0"/>
    <w:rsid w:val="00910334"/>
    <w:rsid w:val="00930019"/>
    <w:rsid w:val="009314F3"/>
    <w:rsid w:val="00943C2A"/>
    <w:rsid w:val="00943F47"/>
    <w:rsid w:val="00977892"/>
    <w:rsid w:val="00991538"/>
    <w:rsid w:val="009C301D"/>
    <w:rsid w:val="009C7828"/>
    <w:rsid w:val="009F2FD1"/>
    <w:rsid w:val="009F787B"/>
    <w:rsid w:val="00A01B32"/>
    <w:rsid w:val="00A17805"/>
    <w:rsid w:val="00A379D8"/>
    <w:rsid w:val="00A722AC"/>
    <w:rsid w:val="00A83649"/>
    <w:rsid w:val="00AD54A4"/>
    <w:rsid w:val="00AE397A"/>
    <w:rsid w:val="00B35B47"/>
    <w:rsid w:val="00B36E80"/>
    <w:rsid w:val="00B77FCF"/>
    <w:rsid w:val="00B91A12"/>
    <w:rsid w:val="00BA6783"/>
    <w:rsid w:val="00BC03E9"/>
    <w:rsid w:val="00BC27C5"/>
    <w:rsid w:val="00C05977"/>
    <w:rsid w:val="00C13767"/>
    <w:rsid w:val="00C54464"/>
    <w:rsid w:val="00C803D4"/>
    <w:rsid w:val="00C812C3"/>
    <w:rsid w:val="00C91A64"/>
    <w:rsid w:val="00CC4213"/>
    <w:rsid w:val="00CD0252"/>
    <w:rsid w:val="00D02FE3"/>
    <w:rsid w:val="00D06BBA"/>
    <w:rsid w:val="00D2272E"/>
    <w:rsid w:val="00D33BD8"/>
    <w:rsid w:val="00D37F25"/>
    <w:rsid w:val="00D412D4"/>
    <w:rsid w:val="00D554D1"/>
    <w:rsid w:val="00D706C5"/>
    <w:rsid w:val="00D75525"/>
    <w:rsid w:val="00D92FAD"/>
    <w:rsid w:val="00DB4469"/>
    <w:rsid w:val="00DE18CF"/>
    <w:rsid w:val="00DE19AE"/>
    <w:rsid w:val="00E12D3B"/>
    <w:rsid w:val="00E13621"/>
    <w:rsid w:val="00E4264F"/>
    <w:rsid w:val="00E6048A"/>
    <w:rsid w:val="00E659FF"/>
    <w:rsid w:val="00E92D8E"/>
    <w:rsid w:val="00EA4BB1"/>
    <w:rsid w:val="00EA7862"/>
    <w:rsid w:val="00EB147F"/>
    <w:rsid w:val="00F05BCA"/>
    <w:rsid w:val="00F237D9"/>
    <w:rsid w:val="00F25ACA"/>
    <w:rsid w:val="00F25F58"/>
    <w:rsid w:val="00F41823"/>
    <w:rsid w:val="00F43A93"/>
    <w:rsid w:val="00F66C73"/>
    <w:rsid w:val="00F94F72"/>
    <w:rsid w:val="00FC53FC"/>
    <w:rsid w:val="00FF26BA"/>
    <w:rsid w:val="00FF4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2C01276"/>
  <w15:chartTrackingRefBased/>
  <w15:docId w15:val="{338007E9-AFB8-490F-9F0B-AA801C76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5C0"/>
    <w:pPr>
      <w:spacing w:after="200" w:line="276" w:lineRule="auto"/>
    </w:pPr>
    <w:rPr>
      <w:rFonts w:ascii="Times New Roman" w:hAnsi="Times New Roman"/>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5C0"/>
    <w:pPr>
      <w:ind w:left="720"/>
      <w:contextualSpacing/>
    </w:pPr>
  </w:style>
  <w:style w:type="paragraph" w:customStyle="1" w:styleId="tvhtml">
    <w:name w:val="tv_html"/>
    <w:basedOn w:val="Normal"/>
    <w:rsid w:val="002E6724"/>
    <w:pPr>
      <w:spacing w:before="100" w:beforeAutospacing="1" w:after="100" w:afterAutospacing="1" w:line="240" w:lineRule="auto"/>
    </w:pPr>
    <w:rPr>
      <w:rFonts w:eastAsia="Times New Roman" w:cs="Times New Roman"/>
      <w:sz w:val="24"/>
      <w:szCs w:val="24"/>
      <w:lang w:eastAsia="lv-LV"/>
    </w:rPr>
  </w:style>
  <w:style w:type="paragraph" w:styleId="Header">
    <w:name w:val="header"/>
    <w:basedOn w:val="Normal"/>
    <w:link w:val="HeaderChar"/>
    <w:uiPriority w:val="99"/>
    <w:unhideWhenUsed/>
    <w:rsid w:val="009314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14F3"/>
    <w:rPr>
      <w:rFonts w:ascii="Times New Roman" w:hAnsi="Times New Roman"/>
      <w:sz w:val="28"/>
      <w:lang w:val="lv-LV"/>
    </w:rPr>
  </w:style>
  <w:style w:type="paragraph" w:styleId="Footer">
    <w:name w:val="footer"/>
    <w:basedOn w:val="Normal"/>
    <w:link w:val="FooterChar"/>
    <w:uiPriority w:val="99"/>
    <w:unhideWhenUsed/>
    <w:rsid w:val="009314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14F3"/>
    <w:rPr>
      <w:rFonts w:ascii="Times New Roman" w:hAnsi="Times New Roman"/>
      <w:sz w:val="28"/>
      <w:lang w:val="lv-LV"/>
    </w:rPr>
  </w:style>
  <w:style w:type="character" w:styleId="Hyperlink">
    <w:name w:val="Hyperlink"/>
    <w:basedOn w:val="DefaultParagraphFont"/>
    <w:uiPriority w:val="99"/>
    <w:semiHidden/>
    <w:unhideWhenUsed/>
    <w:rsid w:val="00930019"/>
    <w:rPr>
      <w:color w:val="0000FF"/>
      <w:u w:val="single"/>
    </w:rPr>
  </w:style>
  <w:style w:type="character" w:styleId="CommentReference">
    <w:name w:val="annotation reference"/>
    <w:basedOn w:val="DefaultParagraphFont"/>
    <w:uiPriority w:val="99"/>
    <w:semiHidden/>
    <w:unhideWhenUsed/>
    <w:rsid w:val="00F237D9"/>
    <w:rPr>
      <w:sz w:val="16"/>
      <w:szCs w:val="16"/>
    </w:rPr>
  </w:style>
  <w:style w:type="paragraph" w:styleId="CommentText">
    <w:name w:val="annotation text"/>
    <w:basedOn w:val="Normal"/>
    <w:link w:val="CommentTextChar"/>
    <w:uiPriority w:val="99"/>
    <w:semiHidden/>
    <w:unhideWhenUsed/>
    <w:rsid w:val="00F237D9"/>
    <w:pPr>
      <w:spacing w:line="240" w:lineRule="auto"/>
    </w:pPr>
    <w:rPr>
      <w:sz w:val="20"/>
      <w:szCs w:val="20"/>
    </w:rPr>
  </w:style>
  <w:style w:type="character" w:customStyle="1" w:styleId="CommentTextChar">
    <w:name w:val="Comment Text Char"/>
    <w:basedOn w:val="DefaultParagraphFont"/>
    <w:link w:val="CommentText"/>
    <w:uiPriority w:val="99"/>
    <w:semiHidden/>
    <w:rsid w:val="00F237D9"/>
    <w:rPr>
      <w:rFonts w:ascii="Times New Roman" w:hAnsi="Times New Roman"/>
      <w:sz w:val="20"/>
      <w:szCs w:val="20"/>
      <w:lang w:val="lv-LV"/>
    </w:rPr>
  </w:style>
  <w:style w:type="paragraph" w:styleId="CommentSubject">
    <w:name w:val="annotation subject"/>
    <w:basedOn w:val="CommentText"/>
    <w:next w:val="CommentText"/>
    <w:link w:val="CommentSubjectChar"/>
    <w:uiPriority w:val="99"/>
    <w:semiHidden/>
    <w:unhideWhenUsed/>
    <w:rsid w:val="00F237D9"/>
    <w:rPr>
      <w:b/>
      <w:bCs/>
    </w:rPr>
  </w:style>
  <w:style w:type="character" w:customStyle="1" w:styleId="CommentSubjectChar">
    <w:name w:val="Comment Subject Char"/>
    <w:basedOn w:val="CommentTextChar"/>
    <w:link w:val="CommentSubject"/>
    <w:uiPriority w:val="99"/>
    <w:semiHidden/>
    <w:rsid w:val="00F237D9"/>
    <w:rPr>
      <w:rFonts w:ascii="Times New Roman" w:hAnsi="Times New Roman"/>
      <w:b/>
      <w:bCs/>
      <w:sz w:val="20"/>
      <w:szCs w:val="20"/>
      <w:lang w:val="lv-LV"/>
    </w:rPr>
  </w:style>
  <w:style w:type="paragraph" w:styleId="BalloonText">
    <w:name w:val="Balloon Text"/>
    <w:basedOn w:val="Normal"/>
    <w:link w:val="BalloonTextChar"/>
    <w:uiPriority w:val="99"/>
    <w:semiHidden/>
    <w:unhideWhenUsed/>
    <w:rsid w:val="00F237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7D9"/>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457972">
      <w:bodyDiv w:val="1"/>
      <w:marLeft w:val="0"/>
      <w:marRight w:val="0"/>
      <w:marTop w:val="0"/>
      <w:marBottom w:val="0"/>
      <w:divBdr>
        <w:top w:val="none" w:sz="0" w:space="0" w:color="auto"/>
        <w:left w:val="none" w:sz="0" w:space="0" w:color="auto"/>
        <w:bottom w:val="none" w:sz="0" w:space="0" w:color="auto"/>
        <w:right w:val="none" w:sz="0" w:space="0" w:color="auto"/>
      </w:divBdr>
    </w:div>
    <w:div w:id="21049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198903-noteikumi-par-radiofrekvencu-spektra-joslu-sadalijumu-radiosakaru-veidiem-un-iedalijumu-radiosakaru-sistemam-ka-ari-par-radiofr..." TargetMode="External"/><Relationship Id="rId13" Type="http://schemas.openxmlformats.org/officeDocument/2006/relationships/hyperlink" Target="http://eur-lex.europa.eu/eli/dec/2008/411?locale=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eli/dec/2008/411?locale=LV" TargetMode="External"/><Relationship Id="rId17" Type="http://schemas.openxmlformats.org/officeDocument/2006/relationships/hyperlink" Target="mailto:aija.vavere@varam.gov.lv" TargetMode="External"/><Relationship Id="rId2" Type="http://schemas.openxmlformats.org/officeDocument/2006/relationships/numbering" Target="numbering.xml"/><Relationship Id="rId16" Type="http://schemas.openxmlformats.org/officeDocument/2006/relationships/hyperlink" Target="http://eur-lex.europa.eu/eli/dec/2008/411?locale=L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ta/id/198903-noteikumi-par-radiofrekvencu-spektra-joslu-sadalijumu-radiosakaru-veidiem-un-iedalijumu-radiosakaru-sistemam-ka-ari-par-radiofr..." TargetMode="External"/><Relationship Id="rId5" Type="http://schemas.openxmlformats.org/officeDocument/2006/relationships/webSettings" Target="webSettings.xml"/><Relationship Id="rId15" Type="http://schemas.openxmlformats.org/officeDocument/2006/relationships/hyperlink" Target="http://eur-lex.europa.eu/eli/dec/2008/411?locale=LV" TargetMode="External"/><Relationship Id="rId10" Type="http://schemas.openxmlformats.org/officeDocument/2006/relationships/hyperlink" Target="http://likumi.lv/ta/id/198903-noteikumi-par-radiofrekvencu-spektra-joslu-sadalijumu-radiosakaru-veidiem-un-iedalijumu-radiosakaru-sistemam-ka-ari-par-radio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ikumi.lv/ta/id/198903-noteikumi-par-radiofrekvencu-spektra-joslu-sadalijumu-radiosakaru-veidiem-un-iedalijumu-radiosakaru-sistemam-ka-ari-par-radiofr..." TargetMode="External"/><Relationship Id="rId14" Type="http://schemas.openxmlformats.org/officeDocument/2006/relationships/hyperlink" Target="http://eur-lex.europa.eu/eli/dec/2008/411?locale=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9EE41-43E5-443E-B370-548540039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2059</Words>
  <Characters>14253</Characters>
  <Application>Microsoft Office Word</Application>
  <DocSecurity>0</DocSecurity>
  <Lines>593</Lines>
  <Paragraphs>291</Paragraphs>
  <ScaleCrop>false</ScaleCrop>
  <HeadingPairs>
    <vt:vector size="2" baseType="variant">
      <vt:variant>
        <vt:lpstr>Title</vt:lpstr>
      </vt:variant>
      <vt:variant>
        <vt:i4>1</vt:i4>
      </vt:variant>
    </vt:vector>
  </HeadingPairs>
  <TitlesOfParts>
    <vt:vector size="1" baseType="lpstr">
      <vt:lpstr>Ministru kabineta noteikumu projekts</vt:lpstr>
    </vt:vector>
  </TitlesOfParts>
  <Company>VARAM</Company>
  <LinksUpToDate>false</LinksUpToDate>
  <CharactersWithSpaces>16021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dc:title>
  <dc:subject/>
  <dc:creator>Aija Vāvere</dc:creator>
  <cp:keywords/>
  <dc:description/>
  <cp:lastModifiedBy>Aija Vāvere</cp:lastModifiedBy>
  <cp:revision>32</cp:revision>
  <cp:lastPrinted>2016-03-31T11:57:00Z</cp:lastPrinted>
  <dcterms:created xsi:type="dcterms:W3CDTF">2016-04-13T13:13:00Z</dcterms:created>
  <dcterms:modified xsi:type="dcterms:W3CDTF">2016-04-15T07:15:00Z</dcterms:modified>
</cp:coreProperties>
</file>