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191" w:rsidRDefault="00E25191"/>
    <w:p w:rsidR="00D54F70" w:rsidRPr="005862E8" w:rsidRDefault="00D54F70" w:rsidP="00D54F70">
      <w:pPr>
        <w:spacing w:before="150" w:after="150"/>
        <w:jc w:val="center"/>
        <w:rPr>
          <w:b/>
          <w:bCs/>
        </w:rPr>
      </w:pPr>
      <w:r w:rsidRPr="005862E8">
        <w:rPr>
          <w:b/>
          <w:bCs/>
        </w:rPr>
        <w:t>Ministru kabineta noteikumu projekta „</w:t>
      </w:r>
      <w:bookmarkStart w:id="0" w:name="OLE_LINK1"/>
      <w:r w:rsidR="00C83ECB" w:rsidRPr="005862E8">
        <w:rPr>
          <w:b/>
        </w:rPr>
        <w:t xml:space="preserve">Grozījumi Ministru kabineta </w:t>
      </w:r>
      <w:proofErr w:type="gramStart"/>
      <w:r w:rsidR="00C83ECB" w:rsidRPr="005862E8">
        <w:rPr>
          <w:b/>
        </w:rPr>
        <w:t>2010.gada</w:t>
      </w:r>
      <w:proofErr w:type="gramEnd"/>
      <w:r w:rsidR="00C83ECB" w:rsidRPr="005862E8">
        <w:rPr>
          <w:b/>
        </w:rPr>
        <w:t xml:space="preserve"> 16.februāra noteikumos Nr.143 „Noteikumi par radiofrekvenču spektra joslām, kuru efektīvas izmantošanas labad ir nepieciešams ierobežot radiofrekvenču spektra lietošanas tiesību piešķiršanu komercdarbībai elektronisko sakaru nozarē”</w:t>
      </w:r>
      <w:bookmarkEnd w:id="0"/>
      <w:r w:rsidRPr="005862E8">
        <w:rPr>
          <w:b/>
          <w:bCs/>
        </w:rPr>
        <w:t>” sākotnējās ietekmes novērtējuma ziņojums (anotācija)</w:t>
      </w:r>
    </w:p>
    <w:p w:rsidR="00692DCB" w:rsidRDefault="00692DCB" w:rsidP="00D54F70">
      <w:pPr>
        <w:spacing w:before="150" w:after="150"/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1"/>
        <w:gridCol w:w="2920"/>
        <w:gridCol w:w="6029"/>
      </w:tblGrid>
      <w:tr w:rsidR="00692DCB" w:rsidRPr="00FA75B1" w:rsidTr="00B25484">
        <w:trPr>
          <w:trHeight w:val="40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92DCB" w:rsidRPr="00FA3933" w:rsidRDefault="00692DCB" w:rsidP="00B25484">
            <w:pPr>
              <w:ind w:firstLine="300"/>
              <w:jc w:val="center"/>
              <w:rPr>
                <w:b/>
                <w:bCs/>
                <w:lang w:eastAsia="lv-LV"/>
              </w:rPr>
            </w:pPr>
            <w:r w:rsidRPr="00FA3933">
              <w:rPr>
                <w:b/>
                <w:bCs/>
                <w:lang w:eastAsia="lv-LV"/>
              </w:rPr>
              <w:t>I. Tiesību akta projekta izstrādes nepieciešamība</w:t>
            </w:r>
          </w:p>
        </w:tc>
      </w:tr>
      <w:tr w:rsidR="00692DCB" w:rsidRPr="00FA75B1" w:rsidTr="00B25484">
        <w:trPr>
          <w:trHeight w:val="40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26338F" w:rsidRDefault="00692DCB" w:rsidP="00B25484">
            <w:pPr>
              <w:jc w:val="both"/>
              <w:rPr>
                <w:lang w:eastAsia="lv-LV"/>
              </w:rPr>
            </w:pPr>
            <w:r w:rsidRPr="0026338F">
              <w:rPr>
                <w:lang w:eastAsia="lv-LV"/>
              </w:rPr>
              <w:t>Pamatojums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26338F" w:rsidRDefault="005862E8" w:rsidP="00DD5F9B">
            <w:pPr>
              <w:tabs>
                <w:tab w:val="num" w:pos="5395"/>
              </w:tabs>
              <w:ind w:right="95"/>
              <w:jc w:val="both"/>
              <w:rPr>
                <w:lang w:eastAsia="lv-LV"/>
              </w:rPr>
            </w:pPr>
            <w:r w:rsidRPr="002C0889">
              <w:t xml:space="preserve">Elektronisko sakaru </w:t>
            </w:r>
            <w:r w:rsidRPr="000F28C5">
              <w:t xml:space="preserve">likuma </w:t>
            </w:r>
            <w:proofErr w:type="gramStart"/>
            <w:r w:rsidRPr="000F28C5">
              <w:t>47.panta</w:t>
            </w:r>
            <w:proofErr w:type="gramEnd"/>
            <w:r w:rsidRPr="000F28C5">
              <w:t xml:space="preserve"> piekt</w:t>
            </w:r>
            <w:r>
              <w:t>ā</w:t>
            </w:r>
            <w:r w:rsidRPr="000F28C5">
              <w:t xml:space="preserve"> daļ</w:t>
            </w:r>
            <w:r>
              <w:t>a</w:t>
            </w:r>
            <w:r w:rsidRPr="002C0889">
              <w:t xml:space="preserve">. </w:t>
            </w:r>
          </w:p>
        </w:tc>
      </w:tr>
      <w:tr w:rsidR="00692DCB" w:rsidRPr="00FA75B1" w:rsidTr="00B25484">
        <w:trPr>
          <w:trHeight w:val="37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B12BCF" w:rsidRDefault="00692DCB" w:rsidP="00B25484">
            <w:pPr>
              <w:ind w:right="119"/>
              <w:jc w:val="both"/>
              <w:rPr>
                <w:lang w:eastAsia="lv-LV"/>
              </w:rPr>
            </w:pPr>
            <w:r w:rsidRPr="00B12BCF">
              <w:rPr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Default="00DD5F9B" w:rsidP="005862E8">
            <w:pPr>
              <w:jc w:val="both"/>
            </w:pPr>
            <w:r>
              <w:t>Šobrīd regulējums noteikts</w:t>
            </w:r>
            <w:r w:rsidR="005862E8" w:rsidRPr="003E5E76">
              <w:t xml:space="preserve"> </w:t>
            </w:r>
            <w:bookmarkStart w:id="1" w:name="OLE_LINK2"/>
            <w:r w:rsidR="005862E8" w:rsidRPr="003E5E76">
              <w:t>Ministru kabineta</w:t>
            </w:r>
            <w:r w:rsidR="005862E8">
              <w:t xml:space="preserve"> </w:t>
            </w:r>
            <w:proofErr w:type="gramStart"/>
            <w:r w:rsidR="005862E8">
              <w:t>2010.gada</w:t>
            </w:r>
            <w:proofErr w:type="gramEnd"/>
            <w:r w:rsidR="005862E8">
              <w:t xml:space="preserve"> 16.februāra noteikum</w:t>
            </w:r>
            <w:r>
              <w:t>os</w:t>
            </w:r>
            <w:r w:rsidR="005862E8" w:rsidRPr="003E5E76">
              <w:t xml:space="preserve"> Nr.</w:t>
            </w:r>
            <w:r w:rsidR="005862E8">
              <w:t>143</w:t>
            </w:r>
            <w:r w:rsidR="005862E8" w:rsidRPr="003E5E76">
              <w:t xml:space="preserve"> „Noteikumi par radiofrekvenču spektra joslām, kuru </w:t>
            </w:r>
            <w:r w:rsidR="005862E8" w:rsidRPr="00CE03C2">
              <w:t>efektīvas izmantošanas labad ir nepieciešams ierobežot radiofrekvenču spektra lietošanas tiesību piešķiršanu komercdarbībai elektronisko sakaru nozarē”</w:t>
            </w:r>
            <w:bookmarkEnd w:id="1"/>
            <w:r w:rsidR="005862E8" w:rsidRPr="00CE03C2">
              <w:t>.</w:t>
            </w:r>
            <w:r w:rsidR="00692DCB" w:rsidRPr="0039260B">
              <w:t xml:space="preserve"> </w:t>
            </w:r>
          </w:p>
          <w:p w:rsidR="005862E8" w:rsidRDefault="005862E8" w:rsidP="005862E8">
            <w:pPr>
              <w:jc w:val="both"/>
            </w:pPr>
          </w:p>
          <w:p w:rsidR="00DD5F9B" w:rsidRDefault="00CF3402" w:rsidP="005862E8">
            <w:pPr>
              <w:jc w:val="both"/>
            </w:pPr>
            <w:r>
              <w:t xml:space="preserve">Sagatavotais tiesību akts paredz regulējumu, lai būtu iespējama radiofrekvenču spektra joslas 3410-3600MHz un 3600MHz-3800MHz pārplānošana. </w:t>
            </w:r>
            <w:r w:rsidR="00DD5F9B">
              <w:t>Grozījumi noteikumos</w:t>
            </w:r>
            <w:r w:rsidR="00F41435">
              <w:t xml:space="preserve"> paredz</w:t>
            </w:r>
            <w:r w:rsidR="00DD5F9B">
              <w:t xml:space="preserve"> </w:t>
            </w:r>
            <w:r w:rsidR="009F2EC5">
              <w:t xml:space="preserve">papildināt </w:t>
            </w:r>
            <w:r w:rsidR="00B842BB" w:rsidRPr="00CD4214">
              <w:t>3400-3410MHz</w:t>
            </w:r>
            <w:r w:rsidR="00B842BB">
              <w:t xml:space="preserve"> </w:t>
            </w:r>
            <w:r w:rsidR="009F2EC5">
              <w:t>radiofrekvenču josl</w:t>
            </w:r>
            <w:r w:rsidR="00F41435">
              <w:t>u ar</w:t>
            </w:r>
            <w:r w:rsidR="0038390B">
              <w:t xml:space="preserve"> </w:t>
            </w:r>
            <w:r w:rsidRPr="00694233">
              <w:t xml:space="preserve">papildus 10 </w:t>
            </w:r>
            <w:r w:rsidRPr="00CD4214">
              <w:t xml:space="preserve">MHz </w:t>
            </w:r>
            <w:r w:rsidR="00B842BB" w:rsidRPr="00CD4214">
              <w:t>komercdarbībai izmanto</w:t>
            </w:r>
            <w:r w:rsidR="00B842BB">
              <w:t>jamo</w:t>
            </w:r>
            <w:r w:rsidR="00B842BB" w:rsidRPr="00CD4214">
              <w:t xml:space="preserve"> </w:t>
            </w:r>
            <w:r w:rsidRPr="00CD4214">
              <w:t>radiofrekvenču sarakstā</w:t>
            </w:r>
            <w:r w:rsidR="00B842BB">
              <w:t>.</w:t>
            </w:r>
            <w:r w:rsidRPr="00CD4214">
              <w:t xml:space="preserve"> </w:t>
            </w:r>
            <w:r w:rsidR="0088059D">
              <w:t>Noteikumu projekta 1.punkts.</w:t>
            </w:r>
          </w:p>
          <w:p w:rsidR="0088059D" w:rsidRDefault="0088059D" w:rsidP="005862E8">
            <w:pPr>
              <w:jc w:val="both"/>
            </w:pPr>
          </w:p>
          <w:p w:rsidR="0088059D" w:rsidRDefault="0088059D" w:rsidP="005862E8">
            <w:pPr>
              <w:jc w:val="both"/>
            </w:pPr>
            <w:r>
              <w:t xml:space="preserve">Projekts paredz svītrot 2010,0-2025,0 MHz </w:t>
            </w:r>
            <w:r>
              <w:t>radiofrekvenču joslu</w:t>
            </w:r>
            <w:r>
              <w:t xml:space="preserve"> no ierobežoto joslu saraksta. </w:t>
            </w:r>
            <w:r w:rsidRPr="00FE46CF">
              <w:t xml:space="preserve">Eiropas Komisijas </w:t>
            </w:r>
            <w:proofErr w:type="gramStart"/>
            <w:r w:rsidRPr="00FE46CF">
              <w:t>2016.gada</w:t>
            </w:r>
            <w:proofErr w:type="gramEnd"/>
            <w:r w:rsidRPr="00FE46CF">
              <w:t xml:space="preserve"> 8.marta Lēmums 2016/339 par 2010-2025MHz frekvenču joslas harmonizēšanu portatīvām vai mobilām bezvadu videolīnijām un bezvadu kamerām, ko izmanto programmu gatavošanai un īpašajiem pasākumiem,</w:t>
            </w:r>
            <w:r>
              <w:t xml:space="preserve"> paredz </w:t>
            </w:r>
            <w:r w:rsidRPr="00FE46CF">
              <w:t xml:space="preserve">  harmonizēt minēto radiofrekvenču joslu neekskluzīvai izmantošanai video PMSE (Programme making and special events) – programmu gatavošanas un īpašo pasākumu ierīcēm (radiomikrofoni, auss monitori, pagaidu skaņas radiolīnijas).</w:t>
            </w:r>
          </w:p>
          <w:p w:rsidR="0088059D" w:rsidRDefault="0088059D" w:rsidP="005862E8">
            <w:pPr>
              <w:jc w:val="both"/>
            </w:pPr>
            <w:r>
              <w:t xml:space="preserve">Lēmuma tehniskie parametri ietverti Ministru kabineta noteikumu projektā “Grozījumi </w:t>
            </w:r>
            <w:r w:rsidRPr="00662FFA">
              <w:t xml:space="preserve">Ministru kabineta </w:t>
            </w:r>
            <w:proofErr w:type="gramStart"/>
            <w:r w:rsidRPr="00662FFA">
              <w:t>2009.gada</w:t>
            </w:r>
            <w:proofErr w:type="gramEnd"/>
            <w:r w:rsidRPr="00662FFA">
              <w:t xml:space="preserve"> 6.oktobra noteikum</w:t>
            </w:r>
            <w:r>
              <w:t>os</w:t>
            </w:r>
            <w:r w:rsidRPr="00662FFA">
              <w:t xml:space="preserve"> Nr.1151 „</w:t>
            </w:r>
            <w:r w:rsidRPr="00131F09">
              <w:t>Noteikumi par radiofrekvenču spektra joslu sadalījumu radiosakaru veidiem un iedalījumu radiosakaru sistēmām, kā arī par radiofrekvenču spektra joslu izmantošanas vispārīgajiem nosacījumiem (Nacionālais radiofrekvenču plāns)</w:t>
            </w:r>
            <w:r w:rsidRPr="005831CB">
              <w:t>”</w:t>
            </w:r>
            <w:r>
              <w:t>”, kuri tiek virzīti vienaikus ar šo noteikumu projektu.</w:t>
            </w:r>
          </w:p>
          <w:p w:rsidR="005862E8" w:rsidRPr="00B12BCF" w:rsidRDefault="005862E8" w:rsidP="005862E8">
            <w:pPr>
              <w:jc w:val="both"/>
              <w:rPr>
                <w:bCs/>
              </w:rPr>
            </w:pPr>
          </w:p>
        </w:tc>
      </w:tr>
      <w:tr w:rsidR="00692DCB" w:rsidRPr="00FA75B1" w:rsidTr="00B25484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B12BCF" w:rsidRDefault="00692DCB" w:rsidP="00B25484">
            <w:pPr>
              <w:jc w:val="both"/>
              <w:rPr>
                <w:lang w:eastAsia="lv-LV"/>
              </w:rPr>
            </w:pPr>
            <w:r w:rsidRPr="00B12BCF">
              <w:rPr>
                <w:lang w:eastAsia="lv-LV"/>
              </w:rPr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862E8" w:rsidRDefault="005862E8" w:rsidP="005862E8">
            <w:pPr>
              <w:jc w:val="both"/>
            </w:pPr>
            <w:r w:rsidRPr="0012182F">
              <w:t>Valsts akciju sabiedrīb</w:t>
            </w:r>
            <w:r>
              <w:t>a</w:t>
            </w:r>
            <w:r w:rsidRPr="0012182F">
              <w:t xml:space="preserve"> „Elektronisk</w:t>
            </w:r>
            <w:r>
              <w:t>ie s</w:t>
            </w:r>
            <w:r w:rsidRPr="0012182F">
              <w:t>akar</w:t>
            </w:r>
            <w:r>
              <w:t>i</w:t>
            </w:r>
            <w:r w:rsidRPr="0012182F">
              <w:t>”</w:t>
            </w:r>
          </w:p>
          <w:p w:rsidR="00692DCB" w:rsidRPr="00B12BCF" w:rsidRDefault="00692DCB" w:rsidP="00B25484">
            <w:pPr>
              <w:jc w:val="both"/>
            </w:pPr>
          </w:p>
        </w:tc>
      </w:tr>
      <w:tr w:rsidR="00692DCB" w:rsidRPr="00FA75B1" w:rsidTr="00B25484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>
              <w:rPr>
                <w:lang w:eastAsia="lv-LV"/>
              </w:rPr>
              <w:t>Nav</w:t>
            </w:r>
          </w:p>
        </w:tc>
      </w:tr>
    </w:tbl>
    <w:p w:rsidR="00692DCB" w:rsidRPr="00C83ECB" w:rsidRDefault="00692DCB" w:rsidP="00D54F70">
      <w:pPr>
        <w:spacing w:before="150" w:after="150"/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1"/>
        <w:gridCol w:w="3195"/>
        <w:gridCol w:w="5714"/>
      </w:tblGrid>
      <w:tr w:rsidR="00692DCB" w:rsidRPr="00E030F4" w:rsidTr="00692DC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:rsidR="00692DCB" w:rsidRPr="00C95ADC" w:rsidRDefault="00692DCB" w:rsidP="00B25484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C95ADC">
              <w:rPr>
                <w:b/>
                <w:bCs/>
              </w:rPr>
              <w:t>II. Tiesību akta projekta ietekme uz sabiedrību, tautsaimniecības attīstību un administratīvo slogu</w:t>
            </w:r>
          </w:p>
        </w:tc>
      </w:tr>
      <w:tr w:rsidR="00692DCB" w:rsidRPr="00E030F4" w:rsidTr="00692DC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Pr="00C95ADC" w:rsidRDefault="00692DCB" w:rsidP="00B25484">
            <w:pPr>
              <w:spacing w:before="100" w:beforeAutospacing="1" w:after="100" w:afterAutospacing="1"/>
            </w:pPr>
            <w:r w:rsidRPr="00C95ADC">
              <w:t>1.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Pr="00C95ADC" w:rsidRDefault="00692DCB" w:rsidP="00B25484">
            <w:pPr>
              <w:spacing w:before="100" w:beforeAutospacing="1" w:after="100" w:afterAutospacing="1"/>
            </w:pPr>
            <w:r w:rsidRPr="00C95ADC">
              <w:t>Sabiedrības mērķgrupas, kuras tiesiskais regulējums arī ietekmē vai varētu ietekmēt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Default="00692DCB" w:rsidP="00B25484">
            <w:pPr>
              <w:jc w:val="both"/>
            </w:pPr>
            <w:r w:rsidRPr="00C95ADC">
              <w:t>Elektronisko sakaru komersanti</w:t>
            </w:r>
            <w:r>
              <w:t xml:space="preserve"> </w:t>
            </w:r>
          </w:p>
          <w:p w:rsidR="00692DCB" w:rsidRPr="00C95ADC" w:rsidRDefault="00692DCB" w:rsidP="00B25484">
            <w:pPr>
              <w:jc w:val="both"/>
            </w:pPr>
          </w:p>
        </w:tc>
      </w:tr>
      <w:tr w:rsidR="00692DCB" w:rsidRPr="00E030F4" w:rsidTr="00692DC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Pr="00C95ADC" w:rsidRDefault="00692DCB" w:rsidP="00B25484">
            <w:pPr>
              <w:spacing w:before="100" w:beforeAutospacing="1" w:after="100" w:afterAutospacing="1"/>
            </w:pPr>
            <w:r w:rsidRPr="00C95ADC">
              <w:t>2.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Pr="00C95ADC" w:rsidRDefault="00692DCB" w:rsidP="00B25484">
            <w:pPr>
              <w:spacing w:before="100" w:beforeAutospacing="1" w:after="100" w:afterAutospacing="1"/>
            </w:pPr>
            <w:r w:rsidRPr="00C95ADC">
              <w:t>Tiesiskā regulējuma ietekme uz tautsaimniecību un administratīvo slogu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Pr="00C95ADC" w:rsidRDefault="00692DCB" w:rsidP="00B25484">
            <w:pPr>
              <w:jc w:val="both"/>
            </w:pPr>
            <w:r w:rsidRPr="00C95ADC">
              <w:t xml:space="preserve">Projekts nerada papildus ietekmi uz </w:t>
            </w:r>
            <w:r>
              <w:t xml:space="preserve">tautsaimniecību un </w:t>
            </w:r>
            <w:r w:rsidRPr="00C95ADC">
              <w:t xml:space="preserve">administratīvo slogu </w:t>
            </w:r>
          </w:p>
          <w:p w:rsidR="00692DCB" w:rsidRPr="00C95ADC" w:rsidRDefault="00692DCB" w:rsidP="00B25484">
            <w:pPr>
              <w:jc w:val="both"/>
            </w:pPr>
          </w:p>
        </w:tc>
      </w:tr>
      <w:tr w:rsidR="00692DCB" w:rsidRPr="00E030F4" w:rsidTr="00692DCB">
        <w:trPr>
          <w:trHeight w:val="536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Pr="00C95ADC" w:rsidRDefault="00692DCB" w:rsidP="00B25484">
            <w:pPr>
              <w:spacing w:before="100" w:beforeAutospacing="1" w:after="100" w:afterAutospacing="1"/>
            </w:pPr>
            <w:r w:rsidRPr="00C95ADC">
              <w:t>3.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Pr="00C95ADC" w:rsidRDefault="00692DCB" w:rsidP="00B25484">
            <w:pPr>
              <w:spacing w:before="100" w:beforeAutospacing="1" w:after="100" w:afterAutospacing="1"/>
            </w:pPr>
            <w:r w:rsidRPr="00C95ADC">
              <w:t>Administratīvo izmaksu monetārs novērtējums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Pr="00C95ADC" w:rsidRDefault="00692DCB" w:rsidP="00556579">
            <w:pPr>
              <w:spacing w:before="100" w:beforeAutospacing="1" w:after="100" w:afterAutospacing="1"/>
            </w:pPr>
            <w:r w:rsidRPr="00C95ADC">
              <w:t>Projekts šo jomu neskar</w:t>
            </w:r>
          </w:p>
        </w:tc>
      </w:tr>
      <w:tr w:rsidR="00692DCB" w:rsidRPr="00E030F4" w:rsidTr="00692DCB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Pr="00C95ADC" w:rsidRDefault="00692DCB" w:rsidP="00B25484">
            <w:pPr>
              <w:spacing w:before="100" w:beforeAutospacing="1" w:after="100" w:afterAutospacing="1"/>
            </w:pPr>
            <w:r w:rsidRPr="00C95ADC">
              <w:t>4.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Pr="00C95ADC" w:rsidRDefault="00692DCB" w:rsidP="00B25484">
            <w:pPr>
              <w:spacing w:before="100" w:beforeAutospacing="1" w:after="100" w:afterAutospacing="1"/>
            </w:pPr>
            <w:r w:rsidRPr="00C95ADC">
              <w:t>Cita informācija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92DCB" w:rsidRPr="00C95ADC" w:rsidRDefault="00692DCB" w:rsidP="00B25484">
            <w:pPr>
              <w:spacing w:before="100" w:beforeAutospacing="1" w:after="100" w:afterAutospacing="1"/>
              <w:jc w:val="both"/>
            </w:pPr>
            <w:r w:rsidRPr="00C95ADC">
              <w:t>Nav</w:t>
            </w:r>
          </w:p>
        </w:tc>
      </w:tr>
    </w:tbl>
    <w:p w:rsidR="00692DCB" w:rsidRDefault="00692DCB" w:rsidP="00692DCB">
      <w:pPr>
        <w:jc w:val="both"/>
        <w:rPr>
          <w:lang w:eastAsia="lv-LV"/>
        </w:rPr>
      </w:pPr>
    </w:p>
    <w:p w:rsidR="00C334CD" w:rsidRDefault="00C334CD" w:rsidP="00692DCB">
      <w:pPr>
        <w:jc w:val="both"/>
        <w:rPr>
          <w:lang w:eastAsia="lv-LV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95"/>
        <w:gridCol w:w="3250"/>
        <w:gridCol w:w="5675"/>
      </w:tblGrid>
      <w:tr w:rsidR="00E25B82" w:rsidRPr="00CA06B9" w:rsidTr="00B25484"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:rsidR="00E25B82" w:rsidRPr="00CA06B9" w:rsidRDefault="00E25B82" w:rsidP="00B25484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CA06B9">
              <w:rPr>
                <w:b/>
                <w:bCs/>
              </w:rPr>
              <w:t>IV. Tiesību akta projekta ietekme uz spēkā esošo tiesību normu sistēmu</w:t>
            </w:r>
          </w:p>
        </w:tc>
      </w:tr>
      <w:tr w:rsidR="00E25B82" w:rsidRPr="00CA06B9" w:rsidTr="00B25484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5B82" w:rsidRPr="00CA06B9" w:rsidRDefault="00E25B82" w:rsidP="00B25484">
            <w:pPr>
              <w:spacing w:before="100" w:beforeAutospacing="1" w:after="100" w:afterAutospacing="1"/>
            </w:pPr>
            <w:r w:rsidRPr="00CA06B9">
              <w:t>1.</w:t>
            </w:r>
          </w:p>
        </w:tc>
        <w:tc>
          <w:tcPr>
            <w:tcW w:w="17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5B82" w:rsidRPr="00A6317B" w:rsidRDefault="00E25B82" w:rsidP="00B25484">
            <w:pPr>
              <w:spacing w:before="100" w:beforeAutospacing="1" w:after="100" w:afterAutospacing="1"/>
            </w:pPr>
            <w:r w:rsidRPr="00637113">
              <w:t>Nepieciešamie saistītie tiesību aktu projekti</w:t>
            </w:r>
          </w:p>
        </w:tc>
        <w:tc>
          <w:tcPr>
            <w:tcW w:w="3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5B82" w:rsidRPr="00E20DB5" w:rsidRDefault="00AD740B" w:rsidP="00B25484">
            <w:pPr>
              <w:jc w:val="both"/>
            </w:pPr>
            <w:r w:rsidRPr="00662FFA">
              <w:t xml:space="preserve">Ministru kabineta </w:t>
            </w:r>
            <w:proofErr w:type="gramStart"/>
            <w:r w:rsidRPr="00662FFA">
              <w:t>2009.gada</w:t>
            </w:r>
            <w:proofErr w:type="gramEnd"/>
            <w:r w:rsidRPr="00662FFA">
              <w:t xml:space="preserve"> 6.oktobra noteikum</w:t>
            </w:r>
            <w:r>
              <w:t>os</w:t>
            </w:r>
            <w:r w:rsidRPr="00662FFA">
              <w:t xml:space="preserve"> Nr.1151 „</w:t>
            </w:r>
            <w:r w:rsidRPr="00131F09">
              <w:t>Noteikumi par radiofrekvenču spektra joslu sadalījumu radiosakaru veidiem un iedalījumu radiosakaru sistēmām, kā arī par radiofrekvenču spektra joslu izmantošanas vispārīgajiem nosacījumiem (Nacionālais radiofrekvenču plāns)</w:t>
            </w:r>
            <w:r w:rsidRPr="005831CB">
              <w:t>”</w:t>
            </w:r>
          </w:p>
        </w:tc>
      </w:tr>
      <w:tr w:rsidR="00E25B82" w:rsidRPr="00CA06B9" w:rsidTr="00B25484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5B82" w:rsidRPr="00CA06B9" w:rsidRDefault="00E25B82" w:rsidP="00B25484">
            <w:pPr>
              <w:spacing w:before="100" w:beforeAutospacing="1" w:after="100" w:afterAutospacing="1"/>
            </w:pPr>
            <w:r>
              <w:t>2.</w:t>
            </w:r>
          </w:p>
        </w:tc>
        <w:tc>
          <w:tcPr>
            <w:tcW w:w="17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5B82" w:rsidRPr="00A6317B" w:rsidRDefault="00E25B82" w:rsidP="00B25484">
            <w:pPr>
              <w:spacing w:before="100" w:beforeAutospacing="1" w:after="100" w:afterAutospacing="1"/>
            </w:pPr>
            <w:r>
              <w:t>Atbildīgā institūcija</w:t>
            </w:r>
          </w:p>
        </w:tc>
        <w:tc>
          <w:tcPr>
            <w:tcW w:w="3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5B82" w:rsidRPr="00E20DB5" w:rsidRDefault="00AD740B" w:rsidP="00B25484">
            <w:pPr>
              <w:jc w:val="both"/>
              <w:rPr>
                <w:bCs/>
              </w:rPr>
            </w:pPr>
            <w:r>
              <w:rPr>
                <w:bCs/>
              </w:rPr>
              <w:t>Vides aizsardzības un reģionālās attīstības ministrija</w:t>
            </w:r>
          </w:p>
        </w:tc>
      </w:tr>
      <w:tr w:rsidR="00E25B82" w:rsidRPr="00CA06B9" w:rsidTr="00B25484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5B82" w:rsidRPr="00CA06B9" w:rsidRDefault="00E25B82" w:rsidP="00B25484">
            <w:pPr>
              <w:spacing w:before="100" w:beforeAutospacing="1" w:after="100" w:afterAutospacing="1"/>
            </w:pPr>
            <w:r>
              <w:t>3</w:t>
            </w:r>
            <w:r w:rsidRPr="00CA06B9">
              <w:t>.</w:t>
            </w:r>
          </w:p>
        </w:tc>
        <w:tc>
          <w:tcPr>
            <w:tcW w:w="17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5B82" w:rsidRPr="00CA06B9" w:rsidRDefault="00E25B82" w:rsidP="00B25484">
            <w:pPr>
              <w:spacing w:before="100" w:beforeAutospacing="1" w:after="100" w:afterAutospacing="1"/>
            </w:pPr>
            <w:r w:rsidRPr="00CA06B9">
              <w:t>Cita informācija</w:t>
            </w:r>
          </w:p>
        </w:tc>
        <w:tc>
          <w:tcPr>
            <w:tcW w:w="30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5B82" w:rsidRPr="00CA06B9" w:rsidRDefault="00E25B82" w:rsidP="00B25484">
            <w:pPr>
              <w:spacing w:before="100" w:beforeAutospacing="1" w:after="100" w:afterAutospacing="1" w:line="276" w:lineRule="auto"/>
              <w:jc w:val="both"/>
            </w:pPr>
            <w:r>
              <w:t>Nav</w:t>
            </w:r>
          </w:p>
        </w:tc>
      </w:tr>
    </w:tbl>
    <w:p w:rsidR="00C334CD" w:rsidRDefault="00C334CD" w:rsidP="00692DCB">
      <w:pPr>
        <w:jc w:val="both"/>
        <w:rPr>
          <w:lang w:eastAsia="lv-LV"/>
        </w:rPr>
      </w:pPr>
    </w:p>
    <w:p w:rsidR="00E25B82" w:rsidRDefault="00E25B82" w:rsidP="00692DCB">
      <w:pPr>
        <w:jc w:val="both"/>
        <w:rPr>
          <w:lang w:eastAsia="lv-LV"/>
        </w:rPr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1"/>
        <w:gridCol w:w="3195"/>
        <w:gridCol w:w="5714"/>
      </w:tblGrid>
      <w:tr w:rsidR="00C334CD" w:rsidRPr="00E030F4" w:rsidTr="00B2548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:rsidR="00C334CD" w:rsidRPr="00C95ADC" w:rsidRDefault="00C334CD" w:rsidP="00B25484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A3933">
              <w:rPr>
                <w:b/>
                <w:bCs/>
                <w:lang w:eastAsia="lv-LV"/>
              </w:rPr>
              <w:t>VI. Sabiedrības līdzdalība un komunikācijas aktivitātes</w:t>
            </w:r>
          </w:p>
        </w:tc>
      </w:tr>
      <w:tr w:rsidR="00C334CD" w:rsidRPr="00E030F4" w:rsidTr="00B25484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Pr="00C95ADC" w:rsidRDefault="00C334CD" w:rsidP="00C334CD">
            <w:pPr>
              <w:spacing w:before="100" w:beforeAutospacing="1" w:after="100" w:afterAutospacing="1"/>
            </w:pPr>
            <w:r w:rsidRPr="00C95ADC">
              <w:t>1.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Pr="00FA3933" w:rsidRDefault="00C334CD" w:rsidP="00C334CD">
            <w:pPr>
              <w:ind w:right="27"/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Default="00C334CD" w:rsidP="00C334CD">
            <w:pPr>
              <w:jc w:val="both"/>
            </w:pPr>
            <w:r w:rsidRPr="00842656">
              <w:rPr>
                <w:iCs/>
              </w:rPr>
              <w:t xml:space="preserve">Saskaņā ar Ministru kabineta </w:t>
            </w:r>
            <w:proofErr w:type="gramStart"/>
            <w:r w:rsidRPr="00842656">
              <w:rPr>
                <w:iCs/>
              </w:rPr>
              <w:t>2009.gada</w:t>
            </w:r>
            <w:proofErr w:type="gramEnd"/>
            <w:r w:rsidRPr="00842656">
              <w:rPr>
                <w:iCs/>
              </w:rPr>
              <w:t xml:space="preserve"> 25.augusta noteikumu Nr.970 „Sabiedrības līdzdalības kārtība attīstības plānošanas procesā” 7.4.1</w:t>
            </w:r>
            <w:r>
              <w:rPr>
                <w:iCs/>
              </w:rPr>
              <w:t>.</w:t>
            </w:r>
            <w:r w:rsidRPr="00842656">
              <w:rPr>
                <w:iCs/>
              </w:rPr>
              <w:t>apakšpunktu sabiedrības pārstāvji ir aicināti līdzdarboties, r</w:t>
            </w:r>
            <w:r>
              <w:rPr>
                <w:iCs/>
              </w:rPr>
              <w:t>akstiski sniedzot viedokli par n</w:t>
            </w:r>
            <w:r w:rsidRPr="00842656">
              <w:rPr>
                <w:iCs/>
              </w:rPr>
              <w:t>oteikumu projektu tā izstrādes stadijā. Sabiedrības pārstāvji ir informēti par iespēju līdzdarboties, publicējot paziņoju</w:t>
            </w:r>
            <w:r>
              <w:rPr>
                <w:iCs/>
              </w:rPr>
              <w:t>mu par līdzdalības procesu Ministrijas</w:t>
            </w:r>
            <w:r w:rsidRPr="00842656">
              <w:rPr>
                <w:iCs/>
              </w:rPr>
              <w:t xml:space="preserve"> tīmekļa vietnē.</w:t>
            </w:r>
          </w:p>
          <w:p w:rsidR="00C334CD" w:rsidRPr="00FA3933" w:rsidRDefault="00C334CD" w:rsidP="00C334CD">
            <w:pPr>
              <w:jc w:val="both"/>
              <w:rPr>
                <w:lang w:eastAsia="lv-LV"/>
              </w:rPr>
            </w:pPr>
          </w:p>
        </w:tc>
      </w:tr>
      <w:tr w:rsidR="00C334CD" w:rsidRPr="00E030F4" w:rsidTr="00B25484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Pr="00C95ADC" w:rsidRDefault="00C334CD" w:rsidP="00C334CD">
            <w:pPr>
              <w:spacing w:before="100" w:beforeAutospacing="1" w:after="100" w:afterAutospacing="1"/>
            </w:pPr>
            <w:r w:rsidRPr="00C95ADC">
              <w:t>2.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Pr="00FA3933" w:rsidRDefault="00C334CD" w:rsidP="00C334CD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Sabiedrības līdzdalība projekta izstrādē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Pr="00C95ADC" w:rsidRDefault="00C334CD" w:rsidP="00D37EFE">
            <w:pPr>
              <w:jc w:val="both"/>
              <w:rPr>
                <w:lang w:eastAsia="lv-LV"/>
              </w:rPr>
            </w:pPr>
            <w:r w:rsidRPr="00C95ADC">
              <w:rPr>
                <w:lang w:eastAsia="lv-LV"/>
              </w:rPr>
              <w:t xml:space="preserve">Noteikumu </w:t>
            </w:r>
            <w:r w:rsidRPr="00D37EFE">
              <w:rPr>
                <w:lang w:eastAsia="lv-LV"/>
              </w:rPr>
              <w:t>projekts</w:t>
            </w:r>
            <w:r w:rsidRPr="00D37EFE">
              <w:rPr>
                <w:bCs/>
                <w:lang w:eastAsia="lv-LV"/>
              </w:rPr>
              <w:t xml:space="preserve"> </w:t>
            </w:r>
            <w:proofErr w:type="gramStart"/>
            <w:r w:rsidRPr="00D37EFE">
              <w:rPr>
                <w:lang w:eastAsia="lv-LV"/>
              </w:rPr>
              <w:t>2016.gada</w:t>
            </w:r>
            <w:proofErr w:type="gramEnd"/>
            <w:r w:rsidRPr="00D37EFE">
              <w:rPr>
                <w:lang w:eastAsia="lv-LV"/>
              </w:rPr>
              <w:t xml:space="preserve"> 1</w:t>
            </w:r>
            <w:r w:rsidR="00D37EFE" w:rsidRPr="00D37EFE">
              <w:rPr>
                <w:lang w:eastAsia="lv-LV"/>
              </w:rPr>
              <w:t>4</w:t>
            </w:r>
            <w:r w:rsidRPr="00D37EFE">
              <w:rPr>
                <w:lang w:eastAsia="lv-LV"/>
              </w:rPr>
              <w:t>.</w:t>
            </w:r>
            <w:r w:rsidR="00D37EFE" w:rsidRPr="00D37EFE">
              <w:rPr>
                <w:lang w:eastAsia="lv-LV"/>
              </w:rPr>
              <w:t>aprīlī</w:t>
            </w:r>
            <w:r w:rsidRPr="00C95ADC">
              <w:rPr>
                <w:lang w:eastAsia="lv-LV"/>
              </w:rPr>
              <w:t xml:space="preserve"> tika ievietots Ministrijas tīmekļa vietnē: www.varam.gov.lv sadaļā „Sabiedrības līdzdalība”, aicinot sabiedrību izteikt savu viedokli.</w:t>
            </w:r>
          </w:p>
        </w:tc>
      </w:tr>
      <w:tr w:rsidR="00C334CD" w:rsidRPr="00E030F4" w:rsidTr="00B25484">
        <w:trPr>
          <w:trHeight w:val="536"/>
        </w:trPr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Pr="00C95ADC" w:rsidRDefault="00C334CD" w:rsidP="00C334CD">
            <w:pPr>
              <w:spacing w:before="100" w:beforeAutospacing="1" w:after="100" w:afterAutospacing="1"/>
            </w:pPr>
            <w:r w:rsidRPr="00C95ADC">
              <w:t>3.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Pr="00FA3933" w:rsidRDefault="00C334CD" w:rsidP="00C334CD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Sabiedrības līdzdalības rezultāti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Pr="00C95ADC" w:rsidRDefault="00C334CD" w:rsidP="00C334CD">
            <w:pPr>
              <w:jc w:val="both"/>
              <w:rPr>
                <w:lang w:eastAsia="lv-LV"/>
              </w:rPr>
            </w:pPr>
            <w:r w:rsidRPr="00C95ADC">
              <w:t>Sadaļa tiks precizēta pēc sabiedrības viedokļu saņemšanas</w:t>
            </w:r>
            <w:r>
              <w:t>.</w:t>
            </w:r>
          </w:p>
        </w:tc>
      </w:tr>
      <w:tr w:rsidR="00C334CD" w:rsidRPr="00E030F4" w:rsidTr="00B25484">
        <w:tc>
          <w:tcPr>
            <w:tcW w:w="2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Pr="00C95ADC" w:rsidRDefault="00C334CD" w:rsidP="00C334CD">
            <w:pPr>
              <w:spacing w:before="100" w:beforeAutospacing="1" w:after="100" w:afterAutospacing="1"/>
            </w:pPr>
            <w:r w:rsidRPr="00C95ADC">
              <w:t>4.</w:t>
            </w:r>
          </w:p>
        </w:tc>
        <w:tc>
          <w:tcPr>
            <w:tcW w:w="16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Pr="00FA3933" w:rsidRDefault="00C334CD" w:rsidP="00C334CD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Cita informācija</w:t>
            </w:r>
          </w:p>
        </w:tc>
        <w:tc>
          <w:tcPr>
            <w:tcW w:w="30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CD" w:rsidRPr="00FA3933" w:rsidRDefault="00C334CD" w:rsidP="00C334CD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Nav</w:t>
            </w:r>
          </w:p>
        </w:tc>
      </w:tr>
    </w:tbl>
    <w:p w:rsidR="00C334CD" w:rsidRDefault="00C334CD" w:rsidP="00692DCB">
      <w:pPr>
        <w:jc w:val="both"/>
        <w:rPr>
          <w:lang w:eastAsia="lv-LV"/>
        </w:rPr>
      </w:pPr>
    </w:p>
    <w:p w:rsidR="00C334CD" w:rsidRDefault="00C334CD" w:rsidP="00692DCB">
      <w:pPr>
        <w:jc w:val="both"/>
        <w:rPr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1"/>
        <w:gridCol w:w="3580"/>
        <w:gridCol w:w="5369"/>
      </w:tblGrid>
      <w:tr w:rsidR="00692DCB" w:rsidRPr="00FA75B1" w:rsidTr="00B25484">
        <w:trPr>
          <w:trHeight w:val="37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92DCB" w:rsidRPr="00FA3933" w:rsidRDefault="00692DCB" w:rsidP="00B25484">
            <w:pPr>
              <w:ind w:firstLine="300"/>
              <w:jc w:val="center"/>
              <w:rPr>
                <w:b/>
                <w:bCs/>
                <w:lang w:eastAsia="lv-LV"/>
              </w:rPr>
            </w:pPr>
            <w:r w:rsidRPr="00FA3933">
              <w:rPr>
                <w:b/>
                <w:bCs/>
                <w:lang w:eastAsia="lv-LV"/>
              </w:rPr>
              <w:t>VII. Tiesību akta projekta izpildes nodrošināšana un tās ietekme uz institūcijām</w:t>
            </w:r>
          </w:p>
        </w:tc>
      </w:tr>
      <w:tr w:rsidR="00692DCB" w:rsidRPr="00FA75B1" w:rsidTr="00B25484">
        <w:trPr>
          <w:trHeight w:val="42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1.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Projekta izpildē iesaistītās institūcijas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692DCB" w:rsidRPr="00FA75B1" w:rsidRDefault="0077732E" w:rsidP="00B25484">
            <w:pPr>
              <w:jc w:val="both"/>
            </w:pPr>
            <w:r w:rsidRPr="002821DE">
              <w:t>Valsts akciju sabiedrība "Elektroniskie sakari"</w:t>
            </w:r>
          </w:p>
        </w:tc>
      </w:tr>
      <w:tr w:rsidR="00692DCB" w:rsidRPr="00FA75B1" w:rsidTr="00B25484">
        <w:trPr>
          <w:trHeight w:val="23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lastRenderedPageBreak/>
              <w:t>2.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 xml:space="preserve">Projekta izpildes ietekme uz pārvaldes funkcijām un institucionālo struktūru. </w:t>
            </w:r>
          </w:p>
          <w:p w:rsidR="00692DCB" w:rsidRPr="00FA3933" w:rsidRDefault="00692DCB" w:rsidP="00B25484">
            <w:pPr>
              <w:ind w:firstLine="300"/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Jaunu institūciju izveide, esošu institūciju likvidācija vai reorganizācija, to ietekme uz institūcijas cilvēkresursiem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E32052" w:rsidRDefault="00692DCB" w:rsidP="00B25484">
            <w:pPr>
              <w:shd w:val="clear" w:color="auto" w:fill="FFFFFF"/>
              <w:ind w:left="57" w:right="57"/>
              <w:jc w:val="both"/>
              <w:rPr>
                <w:bCs/>
              </w:rPr>
            </w:pPr>
            <w:r w:rsidRPr="006C0776">
              <w:rPr>
                <w:bCs/>
              </w:rPr>
              <w:t>Noteikumu projekta īstenošana tiks veikta esošo cilvēkresursu ietvaros.</w:t>
            </w:r>
            <w:r>
              <w:rPr>
                <w:bCs/>
              </w:rPr>
              <w:t xml:space="preserve"> </w:t>
            </w:r>
            <w:r w:rsidRPr="00E32052">
              <w:rPr>
                <w:bCs/>
              </w:rPr>
              <w:t>Noteikumu projekts neparedz jaunu institūciju izveidi, likvidāciju vai reorganizāciju.</w:t>
            </w:r>
          </w:p>
          <w:p w:rsidR="00692DCB" w:rsidRDefault="00692DCB" w:rsidP="00B25484">
            <w:pPr>
              <w:pStyle w:val="naisnod"/>
              <w:spacing w:before="0" w:after="0"/>
              <w:ind w:left="57" w:right="57"/>
              <w:jc w:val="both"/>
            </w:pPr>
            <w:r w:rsidRPr="00E32052">
              <w:rPr>
                <w:rFonts w:eastAsia="Calibri"/>
                <w:b w:val="0"/>
                <w:lang w:eastAsia="en-US"/>
              </w:rPr>
              <w:t>Noteikumu projekts neietekmē iesaistīto institūciju funkcijas un uzdevumus.</w:t>
            </w:r>
          </w:p>
        </w:tc>
      </w:tr>
      <w:tr w:rsidR="00692DCB" w:rsidRPr="00FA75B1" w:rsidTr="00B25484">
        <w:trPr>
          <w:trHeight w:val="218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3.</w:t>
            </w:r>
          </w:p>
        </w:tc>
        <w:tc>
          <w:tcPr>
            <w:tcW w:w="19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>Cita informācija</w:t>
            </w:r>
          </w:p>
        </w:tc>
        <w:tc>
          <w:tcPr>
            <w:tcW w:w="28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92DCB" w:rsidRPr="00FA3933" w:rsidRDefault="00692DCB" w:rsidP="00B25484">
            <w:pPr>
              <w:ind w:firstLine="43"/>
              <w:jc w:val="both"/>
              <w:rPr>
                <w:lang w:eastAsia="lv-LV"/>
              </w:rPr>
            </w:pPr>
            <w:r w:rsidRPr="00FA3933">
              <w:rPr>
                <w:lang w:eastAsia="lv-LV"/>
              </w:rPr>
              <w:t xml:space="preserve">Nav </w:t>
            </w:r>
          </w:p>
        </w:tc>
      </w:tr>
    </w:tbl>
    <w:p w:rsidR="00692DCB" w:rsidRDefault="00692DCB" w:rsidP="00692DCB">
      <w:pPr>
        <w:jc w:val="both"/>
      </w:pPr>
    </w:p>
    <w:p w:rsidR="00692DCB" w:rsidRPr="00654903" w:rsidRDefault="00692DCB" w:rsidP="00692DCB">
      <w:pPr>
        <w:jc w:val="both"/>
        <w:rPr>
          <w:i/>
        </w:rPr>
      </w:pPr>
      <w:r w:rsidRPr="00654903">
        <w:rPr>
          <w:i/>
        </w:rPr>
        <w:t>Anotācijas III</w:t>
      </w:r>
      <w:r>
        <w:rPr>
          <w:i/>
        </w:rPr>
        <w:t>, IV, V</w:t>
      </w:r>
      <w:r w:rsidRPr="00654903">
        <w:rPr>
          <w:i/>
        </w:rPr>
        <w:t xml:space="preserve"> sadaļa – projekts šo jomu neskar.</w:t>
      </w:r>
    </w:p>
    <w:p w:rsidR="00692DCB" w:rsidRDefault="00692DCB" w:rsidP="00D54F70">
      <w:pPr>
        <w:spacing w:before="75"/>
        <w:ind w:firstLine="375"/>
        <w:jc w:val="both"/>
        <w:rPr>
          <w:i/>
        </w:rPr>
      </w:pPr>
    </w:p>
    <w:p w:rsidR="00692DCB" w:rsidRDefault="00692DCB" w:rsidP="00D54F70">
      <w:pPr>
        <w:spacing w:before="75"/>
        <w:ind w:firstLine="375"/>
        <w:jc w:val="both"/>
        <w:rPr>
          <w:i/>
        </w:rPr>
      </w:pPr>
    </w:p>
    <w:p w:rsidR="00D54F70" w:rsidRDefault="00D54F70" w:rsidP="00D54F70">
      <w:pPr>
        <w:pStyle w:val="nospacing"/>
        <w:rPr>
          <w:rFonts w:ascii="Times New Roman" w:hAnsi="Times New Roman"/>
          <w:sz w:val="24"/>
          <w:szCs w:val="24"/>
          <w:lang w:val="lv-LV"/>
        </w:rPr>
      </w:pPr>
    </w:p>
    <w:p w:rsidR="0039634B" w:rsidRDefault="0039634B" w:rsidP="0039634B">
      <w:pPr>
        <w:tabs>
          <w:tab w:val="left" w:pos="-2977"/>
          <w:tab w:val="right" w:pos="3686"/>
          <w:tab w:val="right" w:pos="3828"/>
        </w:tabs>
        <w:jc w:val="both"/>
      </w:pPr>
    </w:p>
    <w:p w:rsidR="009B0968" w:rsidRPr="009B0968" w:rsidRDefault="009B0968" w:rsidP="009B0968">
      <w:pPr>
        <w:tabs>
          <w:tab w:val="left" w:pos="6804"/>
        </w:tabs>
        <w:rPr>
          <w:lang w:eastAsia="lv-LV"/>
        </w:rPr>
      </w:pPr>
      <w:r w:rsidRPr="009B0968">
        <w:rPr>
          <w:lang w:eastAsia="lv-LV"/>
        </w:rPr>
        <w:t xml:space="preserve">Vides aizsardzības un </w:t>
      </w:r>
    </w:p>
    <w:p w:rsidR="009B0968" w:rsidRPr="009B0968" w:rsidRDefault="009B0968" w:rsidP="009B0968">
      <w:pPr>
        <w:tabs>
          <w:tab w:val="left" w:pos="6804"/>
        </w:tabs>
        <w:rPr>
          <w:lang w:eastAsia="lv-LV"/>
        </w:rPr>
      </w:pPr>
      <w:r w:rsidRPr="009B0968">
        <w:rPr>
          <w:lang w:eastAsia="lv-LV"/>
        </w:rPr>
        <w:t>reģionālās attīstības ministrs</w:t>
      </w:r>
      <w:r w:rsidRPr="009B0968">
        <w:rPr>
          <w:lang w:eastAsia="lv-LV"/>
        </w:rPr>
        <w:tab/>
      </w:r>
      <w:r w:rsidRPr="009B0968">
        <w:rPr>
          <w:lang w:eastAsia="lv-LV"/>
        </w:rPr>
        <w:tab/>
        <w:t>K.Gerhards</w:t>
      </w:r>
    </w:p>
    <w:p w:rsidR="009B0968" w:rsidRPr="009B0968" w:rsidRDefault="009B0968" w:rsidP="009B0968">
      <w:pPr>
        <w:tabs>
          <w:tab w:val="left" w:pos="6804"/>
        </w:tabs>
        <w:ind w:firstLine="720"/>
        <w:rPr>
          <w:lang w:eastAsia="lv-LV"/>
        </w:rPr>
      </w:pPr>
    </w:p>
    <w:p w:rsidR="009B0968" w:rsidRPr="009B0968" w:rsidRDefault="009B0968" w:rsidP="009B0968">
      <w:pPr>
        <w:tabs>
          <w:tab w:val="left" w:pos="6804"/>
        </w:tabs>
        <w:rPr>
          <w:lang w:eastAsia="lv-LV"/>
        </w:rPr>
      </w:pPr>
      <w:r w:rsidRPr="009B0968">
        <w:rPr>
          <w:lang w:eastAsia="lv-LV"/>
        </w:rPr>
        <w:t xml:space="preserve">Vīza: </w:t>
      </w:r>
    </w:p>
    <w:p w:rsidR="009B0968" w:rsidRPr="009B0968" w:rsidRDefault="009B0968" w:rsidP="009B0968">
      <w:pPr>
        <w:tabs>
          <w:tab w:val="left" w:pos="6804"/>
        </w:tabs>
        <w:rPr>
          <w:lang w:eastAsia="lv-LV"/>
        </w:rPr>
      </w:pPr>
      <w:r w:rsidRPr="009B0968">
        <w:rPr>
          <w:lang w:eastAsia="lv-LV"/>
        </w:rPr>
        <w:t>valsts sekretārs</w:t>
      </w:r>
      <w:r w:rsidRPr="009B0968">
        <w:rPr>
          <w:lang w:eastAsia="lv-LV"/>
        </w:rPr>
        <w:tab/>
      </w:r>
      <w:r w:rsidRPr="009B0968">
        <w:rPr>
          <w:lang w:eastAsia="lv-LV"/>
        </w:rPr>
        <w:tab/>
        <w:t xml:space="preserve"> R.Muciņš</w:t>
      </w:r>
    </w:p>
    <w:p w:rsidR="00D54F70" w:rsidRPr="009B0968" w:rsidRDefault="00D54F70" w:rsidP="00632005">
      <w:pPr>
        <w:ind w:firstLine="567"/>
      </w:pPr>
      <w:r w:rsidRPr="009B0968">
        <w:tab/>
      </w:r>
      <w:r w:rsidRPr="009B0968">
        <w:tab/>
      </w:r>
    </w:p>
    <w:p w:rsidR="006735E9" w:rsidRPr="009B0968" w:rsidRDefault="006735E9" w:rsidP="00D54F70"/>
    <w:p w:rsidR="0039634B" w:rsidRPr="009B0968" w:rsidRDefault="0039634B" w:rsidP="00D54F70"/>
    <w:p w:rsidR="0039634B" w:rsidRPr="009B0968" w:rsidRDefault="0039634B" w:rsidP="00D54F70"/>
    <w:p w:rsidR="0039634B" w:rsidRPr="009B0968" w:rsidRDefault="0039634B" w:rsidP="00D54F70">
      <w:bookmarkStart w:id="2" w:name="_GoBack"/>
      <w:bookmarkEnd w:id="2"/>
    </w:p>
    <w:p w:rsidR="009B0968" w:rsidRPr="009B0968" w:rsidRDefault="009B0968" w:rsidP="00D54F70">
      <w:pPr>
        <w:rPr>
          <w:sz w:val="20"/>
          <w:szCs w:val="20"/>
        </w:rPr>
      </w:pPr>
      <w:r w:rsidRPr="009B0968">
        <w:rPr>
          <w:sz w:val="20"/>
          <w:szCs w:val="20"/>
        </w:rPr>
        <w:t>1</w:t>
      </w:r>
      <w:r w:rsidR="00D37EFE">
        <w:rPr>
          <w:sz w:val="20"/>
          <w:szCs w:val="20"/>
        </w:rPr>
        <w:t>4</w:t>
      </w:r>
      <w:r w:rsidRPr="009B0968">
        <w:rPr>
          <w:sz w:val="20"/>
          <w:szCs w:val="20"/>
        </w:rPr>
        <w:t>.0</w:t>
      </w:r>
      <w:r w:rsidR="00D37EFE">
        <w:rPr>
          <w:sz w:val="20"/>
          <w:szCs w:val="20"/>
        </w:rPr>
        <w:t>4</w:t>
      </w:r>
      <w:r w:rsidRPr="009B0968">
        <w:rPr>
          <w:sz w:val="20"/>
          <w:szCs w:val="20"/>
        </w:rPr>
        <w:t>.16.</w:t>
      </w:r>
    </w:p>
    <w:p w:rsidR="00D54F70" w:rsidRPr="009B0968" w:rsidRDefault="00184058" w:rsidP="00D54F70">
      <w:pPr>
        <w:rPr>
          <w:sz w:val="20"/>
          <w:szCs w:val="20"/>
        </w:rPr>
      </w:pPr>
      <w:r w:rsidRPr="009B0968">
        <w:rPr>
          <w:sz w:val="20"/>
          <w:szCs w:val="20"/>
        </w:rPr>
        <w:fldChar w:fldCharType="begin"/>
      </w:r>
      <w:r w:rsidRPr="009B0968">
        <w:rPr>
          <w:sz w:val="20"/>
          <w:szCs w:val="20"/>
        </w:rPr>
        <w:instrText xml:space="preserve"> NUMWORDS   \* MERGEFORMAT </w:instrText>
      </w:r>
      <w:r w:rsidRPr="009B0968">
        <w:rPr>
          <w:sz w:val="20"/>
          <w:szCs w:val="20"/>
        </w:rPr>
        <w:fldChar w:fldCharType="separate"/>
      </w:r>
      <w:r w:rsidR="008C2569">
        <w:rPr>
          <w:noProof/>
          <w:sz w:val="20"/>
          <w:szCs w:val="20"/>
        </w:rPr>
        <w:t>567</w:t>
      </w:r>
      <w:r w:rsidRPr="009B0968">
        <w:rPr>
          <w:noProof/>
          <w:sz w:val="20"/>
          <w:szCs w:val="20"/>
        </w:rPr>
        <w:fldChar w:fldCharType="end"/>
      </w:r>
    </w:p>
    <w:p w:rsidR="00D54F70" w:rsidRPr="009B0968" w:rsidRDefault="00D54F70" w:rsidP="00D54F70">
      <w:pPr>
        <w:rPr>
          <w:sz w:val="20"/>
          <w:szCs w:val="20"/>
        </w:rPr>
      </w:pPr>
      <w:r w:rsidRPr="009B0968">
        <w:rPr>
          <w:sz w:val="20"/>
          <w:szCs w:val="20"/>
        </w:rPr>
        <w:t>A.Vāvere</w:t>
      </w:r>
    </w:p>
    <w:p w:rsidR="00D54F70" w:rsidRPr="009B0968" w:rsidRDefault="00D54F70" w:rsidP="00D71C47">
      <w:pPr>
        <w:rPr>
          <w:sz w:val="20"/>
          <w:szCs w:val="20"/>
        </w:rPr>
      </w:pPr>
      <w:r w:rsidRPr="009B0968">
        <w:rPr>
          <w:sz w:val="20"/>
          <w:szCs w:val="20"/>
        </w:rPr>
        <w:t xml:space="preserve"> 67</w:t>
      </w:r>
      <w:r w:rsidR="00D37EFE">
        <w:rPr>
          <w:sz w:val="20"/>
          <w:szCs w:val="20"/>
        </w:rPr>
        <w:t>026936</w:t>
      </w:r>
      <w:r w:rsidRPr="009B0968">
        <w:rPr>
          <w:sz w:val="20"/>
          <w:szCs w:val="20"/>
        </w:rPr>
        <w:t xml:space="preserve">, </w:t>
      </w:r>
      <w:hyperlink r:id="rId7" w:history="1">
        <w:r w:rsidRPr="009B0968">
          <w:rPr>
            <w:rStyle w:val="Hyperlink"/>
            <w:sz w:val="20"/>
            <w:szCs w:val="20"/>
          </w:rPr>
          <w:t>aija.vavere@varam.gov.lv</w:t>
        </w:r>
      </w:hyperlink>
      <w:r w:rsidRPr="009B0968">
        <w:rPr>
          <w:sz w:val="20"/>
          <w:szCs w:val="20"/>
        </w:rPr>
        <w:tab/>
      </w:r>
    </w:p>
    <w:sectPr w:rsidR="00D54F70" w:rsidRPr="009B0968" w:rsidSect="00292ED7">
      <w:headerReference w:type="default" r:id="rId8"/>
      <w:footerReference w:type="default" r:id="rId9"/>
      <w:footerReference w:type="first" r:id="rId10"/>
      <w:pgSz w:w="12240" w:h="15840"/>
      <w:pgMar w:top="1440" w:right="1440" w:bottom="184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D61" w:rsidRDefault="00675D61" w:rsidP="00D54F70">
      <w:r>
        <w:separator/>
      </w:r>
    </w:p>
  </w:endnote>
  <w:endnote w:type="continuationSeparator" w:id="0">
    <w:p w:rsidR="00675D61" w:rsidRDefault="00675D61" w:rsidP="00D5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8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D61" w:rsidRPr="006A742E" w:rsidRDefault="008C2569" w:rsidP="00D54F70">
    <w:pPr>
      <w:pStyle w:val="Footer"/>
      <w:jc w:val="both"/>
      <w:rPr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B87C48" w:rsidRPr="00B87C48">
      <w:rPr>
        <w:noProof/>
        <w:sz w:val="20"/>
        <w:szCs w:val="20"/>
      </w:rPr>
      <w:t>VARAManot_140416_RFspektra</w:t>
    </w:r>
    <w:r w:rsidR="00B87C48">
      <w:rPr>
        <w:noProof/>
      </w:rPr>
      <w:t xml:space="preserve"> joslas</w:t>
    </w:r>
    <w:r>
      <w:rPr>
        <w:noProof/>
      </w:rPr>
      <w:fldChar w:fldCharType="end"/>
    </w:r>
    <w:r w:rsidR="00675D61">
      <w:rPr>
        <w:sz w:val="20"/>
        <w:szCs w:val="20"/>
      </w:rPr>
      <w:t xml:space="preserve">; </w:t>
    </w:r>
    <w:r w:rsidR="00675D61" w:rsidRPr="006A742E">
      <w:rPr>
        <w:sz w:val="20"/>
        <w:szCs w:val="20"/>
      </w:rPr>
      <w:t xml:space="preserve">Grozījumi Ministru kabineta </w:t>
    </w:r>
    <w:proofErr w:type="gramStart"/>
    <w:r w:rsidR="00675D61" w:rsidRPr="006A742E">
      <w:rPr>
        <w:sz w:val="20"/>
        <w:szCs w:val="20"/>
      </w:rPr>
      <w:t>20</w:t>
    </w:r>
    <w:r w:rsidR="00675D61">
      <w:rPr>
        <w:sz w:val="20"/>
        <w:szCs w:val="20"/>
      </w:rPr>
      <w:t>10</w:t>
    </w:r>
    <w:r w:rsidR="00675D61" w:rsidRPr="006A742E">
      <w:rPr>
        <w:sz w:val="20"/>
        <w:szCs w:val="20"/>
      </w:rPr>
      <w:t>.gada</w:t>
    </w:r>
    <w:proofErr w:type="gramEnd"/>
    <w:r w:rsidR="00675D61" w:rsidRPr="006A742E">
      <w:rPr>
        <w:sz w:val="20"/>
        <w:szCs w:val="20"/>
      </w:rPr>
      <w:t xml:space="preserve"> </w:t>
    </w:r>
    <w:r w:rsidR="00675D61">
      <w:rPr>
        <w:sz w:val="20"/>
        <w:szCs w:val="20"/>
      </w:rPr>
      <w:t>16</w:t>
    </w:r>
    <w:r w:rsidR="00675D61" w:rsidRPr="006A742E">
      <w:rPr>
        <w:sz w:val="20"/>
        <w:szCs w:val="20"/>
      </w:rPr>
      <w:t>.</w:t>
    </w:r>
    <w:r w:rsidR="00675D61">
      <w:rPr>
        <w:sz w:val="20"/>
        <w:szCs w:val="20"/>
      </w:rPr>
      <w:t>februāra</w:t>
    </w:r>
    <w:r w:rsidR="00675D61" w:rsidRPr="006A742E">
      <w:rPr>
        <w:sz w:val="20"/>
        <w:szCs w:val="20"/>
      </w:rPr>
      <w:t xml:space="preserve"> noteikumos Nr.</w:t>
    </w:r>
    <w:r w:rsidR="00675D61">
      <w:rPr>
        <w:sz w:val="20"/>
        <w:szCs w:val="20"/>
      </w:rPr>
      <w:t>143</w:t>
    </w:r>
    <w:r w:rsidR="00675D61" w:rsidRPr="006A742E">
      <w:rPr>
        <w:sz w:val="20"/>
        <w:szCs w:val="20"/>
      </w:rPr>
      <w:t xml:space="preserve"> „Noteikumi par radiofrekvenču spektra joslām, kuru efektīvas izmantošanas labad ir nepieciešams ierobežot radiofrekvenču spektra lietošanas tiesību piešķiršanu komercdarbībai elektronisko sakaru nozarē”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E96" w:rsidRPr="006A742E" w:rsidRDefault="008C2569" w:rsidP="00661E96">
    <w:pPr>
      <w:pStyle w:val="Footer"/>
      <w:jc w:val="both"/>
      <w:rPr>
        <w:sz w:val="20"/>
        <w:szCs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="00B87C48" w:rsidRPr="00B87C48">
      <w:rPr>
        <w:noProof/>
        <w:sz w:val="20"/>
        <w:szCs w:val="20"/>
      </w:rPr>
      <w:t>VARAManot_140416_RFspektra</w:t>
    </w:r>
    <w:r w:rsidR="00B87C48">
      <w:rPr>
        <w:noProof/>
      </w:rPr>
      <w:t xml:space="preserve"> joslas</w:t>
    </w:r>
    <w:r>
      <w:rPr>
        <w:noProof/>
      </w:rPr>
      <w:fldChar w:fldCharType="end"/>
    </w:r>
    <w:r w:rsidR="00661E96">
      <w:rPr>
        <w:sz w:val="20"/>
        <w:szCs w:val="20"/>
      </w:rPr>
      <w:t xml:space="preserve">; </w:t>
    </w:r>
    <w:r w:rsidR="00661E96" w:rsidRPr="006A742E">
      <w:rPr>
        <w:sz w:val="20"/>
        <w:szCs w:val="20"/>
      </w:rPr>
      <w:t xml:space="preserve">Grozījumi Ministru kabineta </w:t>
    </w:r>
    <w:proofErr w:type="gramStart"/>
    <w:r w:rsidR="00661E96" w:rsidRPr="006A742E">
      <w:rPr>
        <w:sz w:val="20"/>
        <w:szCs w:val="20"/>
      </w:rPr>
      <w:t>20</w:t>
    </w:r>
    <w:r w:rsidR="00661E96">
      <w:rPr>
        <w:sz w:val="20"/>
        <w:szCs w:val="20"/>
      </w:rPr>
      <w:t>10</w:t>
    </w:r>
    <w:r w:rsidR="00661E96" w:rsidRPr="006A742E">
      <w:rPr>
        <w:sz w:val="20"/>
        <w:szCs w:val="20"/>
      </w:rPr>
      <w:t>.gada</w:t>
    </w:r>
    <w:proofErr w:type="gramEnd"/>
    <w:r w:rsidR="00661E96" w:rsidRPr="006A742E">
      <w:rPr>
        <w:sz w:val="20"/>
        <w:szCs w:val="20"/>
      </w:rPr>
      <w:t xml:space="preserve"> </w:t>
    </w:r>
    <w:r w:rsidR="00661E96">
      <w:rPr>
        <w:sz w:val="20"/>
        <w:szCs w:val="20"/>
      </w:rPr>
      <w:t>16</w:t>
    </w:r>
    <w:r w:rsidR="00661E96" w:rsidRPr="006A742E">
      <w:rPr>
        <w:sz w:val="20"/>
        <w:szCs w:val="20"/>
      </w:rPr>
      <w:t>.</w:t>
    </w:r>
    <w:r w:rsidR="00661E96">
      <w:rPr>
        <w:sz w:val="20"/>
        <w:szCs w:val="20"/>
      </w:rPr>
      <w:t>februāra</w:t>
    </w:r>
    <w:r w:rsidR="00661E96" w:rsidRPr="006A742E">
      <w:rPr>
        <w:sz w:val="20"/>
        <w:szCs w:val="20"/>
      </w:rPr>
      <w:t xml:space="preserve"> noteikumos Nr.</w:t>
    </w:r>
    <w:r w:rsidR="00661E96">
      <w:rPr>
        <w:sz w:val="20"/>
        <w:szCs w:val="20"/>
      </w:rPr>
      <w:t>143</w:t>
    </w:r>
    <w:r w:rsidR="00661E96" w:rsidRPr="006A742E">
      <w:rPr>
        <w:sz w:val="20"/>
        <w:szCs w:val="20"/>
      </w:rPr>
      <w:t xml:space="preserve"> „Noteikumi par radiofrekvenču spektra joslām, kuru efektīvas izmantošanas labad ir nepieciešams ierobežot radiofrekvenču spektra lietošanas tiesību piešķiršanu komercdarbībai elektronisko sakaru nozarē”</w:t>
    </w:r>
  </w:p>
  <w:p w:rsidR="00661E96" w:rsidRDefault="00661E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D61" w:rsidRDefault="00675D61" w:rsidP="00D54F70">
      <w:r>
        <w:separator/>
      </w:r>
    </w:p>
  </w:footnote>
  <w:footnote w:type="continuationSeparator" w:id="0">
    <w:p w:rsidR="00675D61" w:rsidRDefault="00675D61" w:rsidP="00D54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704610"/>
      <w:docPartObj>
        <w:docPartGallery w:val="Page Numbers (Top of Page)"/>
        <w:docPartUnique/>
      </w:docPartObj>
    </w:sdtPr>
    <w:sdtEndPr/>
    <w:sdtContent>
      <w:p w:rsidR="00675D61" w:rsidRDefault="0018405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25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75D61" w:rsidRDefault="00675D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274DC"/>
    <w:multiLevelType w:val="hybridMultilevel"/>
    <w:tmpl w:val="E9EA7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F70"/>
    <w:rsid w:val="00081D8C"/>
    <w:rsid w:val="000C0DD4"/>
    <w:rsid w:val="000C2A2A"/>
    <w:rsid w:val="000C6DEA"/>
    <w:rsid w:val="000D3969"/>
    <w:rsid w:val="000D64DB"/>
    <w:rsid w:val="000F28C5"/>
    <w:rsid w:val="001316A9"/>
    <w:rsid w:val="001514D0"/>
    <w:rsid w:val="00163962"/>
    <w:rsid w:val="00165BBA"/>
    <w:rsid w:val="00184058"/>
    <w:rsid w:val="00187D42"/>
    <w:rsid w:val="001A239F"/>
    <w:rsid w:val="001C7514"/>
    <w:rsid w:val="001E6298"/>
    <w:rsid w:val="00233766"/>
    <w:rsid w:val="00250241"/>
    <w:rsid w:val="00251476"/>
    <w:rsid w:val="00276E4D"/>
    <w:rsid w:val="002851F0"/>
    <w:rsid w:val="002878D2"/>
    <w:rsid w:val="00290954"/>
    <w:rsid w:val="00292ED7"/>
    <w:rsid w:val="00297118"/>
    <w:rsid w:val="002A5021"/>
    <w:rsid w:val="002C0889"/>
    <w:rsid w:val="002E375A"/>
    <w:rsid w:val="002E7263"/>
    <w:rsid w:val="002F20B0"/>
    <w:rsid w:val="00305399"/>
    <w:rsid w:val="003201B7"/>
    <w:rsid w:val="00373FDD"/>
    <w:rsid w:val="0038390B"/>
    <w:rsid w:val="0039634B"/>
    <w:rsid w:val="003D017F"/>
    <w:rsid w:val="0040106C"/>
    <w:rsid w:val="00413D69"/>
    <w:rsid w:val="00415649"/>
    <w:rsid w:val="00417C9E"/>
    <w:rsid w:val="004404EC"/>
    <w:rsid w:val="00455EC1"/>
    <w:rsid w:val="004604A8"/>
    <w:rsid w:val="004C58E7"/>
    <w:rsid w:val="004E2900"/>
    <w:rsid w:val="004E70E4"/>
    <w:rsid w:val="0052419E"/>
    <w:rsid w:val="005465EA"/>
    <w:rsid w:val="00556579"/>
    <w:rsid w:val="00577C78"/>
    <w:rsid w:val="005862E8"/>
    <w:rsid w:val="005869FB"/>
    <w:rsid w:val="00590826"/>
    <w:rsid w:val="00593373"/>
    <w:rsid w:val="005A3F49"/>
    <w:rsid w:val="005B2236"/>
    <w:rsid w:val="005D4C17"/>
    <w:rsid w:val="005E1ACC"/>
    <w:rsid w:val="00632005"/>
    <w:rsid w:val="0065146B"/>
    <w:rsid w:val="00655502"/>
    <w:rsid w:val="00661E96"/>
    <w:rsid w:val="0067082A"/>
    <w:rsid w:val="006735E9"/>
    <w:rsid w:val="00675D61"/>
    <w:rsid w:val="00692DCB"/>
    <w:rsid w:val="00693306"/>
    <w:rsid w:val="006977FC"/>
    <w:rsid w:val="006D7719"/>
    <w:rsid w:val="0077732E"/>
    <w:rsid w:val="007A05DC"/>
    <w:rsid w:val="007B584F"/>
    <w:rsid w:val="007C3C18"/>
    <w:rsid w:val="007E25A0"/>
    <w:rsid w:val="007F5EF4"/>
    <w:rsid w:val="0086568F"/>
    <w:rsid w:val="0088059D"/>
    <w:rsid w:val="008960A0"/>
    <w:rsid w:val="008C2569"/>
    <w:rsid w:val="008E3FA0"/>
    <w:rsid w:val="00934192"/>
    <w:rsid w:val="009359BE"/>
    <w:rsid w:val="009431CA"/>
    <w:rsid w:val="00971023"/>
    <w:rsid w:val="0098205E"/>
    <w:rsid w:val="009B015F"/>
    <w:rsid w:val="009B0968"/>
    <w:rsid w:val="009D24BF"/>
    <w:rsid w:val="009F2EC5"/>
    <w:rsid w:val="00A246D0"/>
    <w:rsid w:val="00A26A51"/>
    <w:rsid w:val="00A401B3"/>
    <w:rsid w:val="00A56A4E"/>
    <w:rsid w:val="00A90228"/>
    <w:rsid w:val="00A97CF3"/>
    <w:rsid w:val="00AC2EC1"/>
    <w:rsid w:val="00AD740B"/>
    <w:rsid w:val="00AF35E1"/>
    <w:rsid w:val="00B216A6"/>
    <w:rsid w:val="00B31C87"/>
    <w:rsid w:val="00B33F68"/>
    <w:rsid w:val="00B353E0"/>
    <w:rsid w:val="00B47418"/>
    <w:rsid w:val="00B51800"/>
    <w:rsid w:val="00B74599"/>
    <w:rsid w:val="00B842BB"/>
    <w:rsid w:val="00B87C48"/>
    <w:rsid w:val="00B87D04"/>
    <w:rsid w:val="00BA78A2"/>
    <w:rsid w:val="00BB6380"/>
    <w:rsid w:val="00C01966"/>
    <w:rsid w:val="00C334CD"/>
    <w:rsid w:val="00C47153"/>
    <w:rsid w:val="00C54F4B"/>
    <w:rsid w:val="00C560D4"/>
    <w:rsid w:val="00C83ECB"/>
    <w:rsid w:val="00C97049"/>
    <w:rsid w:val="00CC3345"/>
    <w:rsid w:val="00CE03C2"/>
    <w:rsid w:val="00CF3402"/>
    <w:rsid w:val="00CF5E43"/>
    <w:rsid w:val="00D37EFE"/>
    <w:rsid w:val="00D42CD5"/>
    <w:rsid w:val="00D54F70"/>
    <w:rsid w:val="00D71C47"/>
    <w:rsid w:val="00D91961"/>
    <w:rsid w:val="00D96BAC"/>
    <w:rsid w:val="00DC35D3"/>
    <w:rsid w:val="00DD5F9B"/>
    <w:rsid w:val="00DF3771"/>
    <w:rsid w:val="00E16929"/>
    <w:rsid w:val="00E25191"/>
    <w:rsid w:val="00E25B82"/>
    <w:rsid w:val="00E57152"/>
    <w:rsid w:val="00E66C1B"/>
    <w:rsid w:val="00E912B0"/>
    <w:rsid w:val="00EA7D33"/>
    <w:rsid w:val="00ED4E29"/>
    <w:rsid w:val="00EF5238"/>
    <w:rsid w:val="00EF6B38"/>
    <w:rsid w:val="00F243E2"/>
    <w:rsid w:val="00F41435"/>
    <w:rsid w:val="00F71939"/>
    <w:rsid w:val="00F766A7"/>
    <w:rsid w:val="00FA4776"/>
    <w:rsid w:val="00FB5069"/>
    <w:rsid w:val="00FC33E7"/>
    <w:rsid w:val="00FC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8279FD-C740-41F2-AD98-BD2E9E25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54F70"/>
    <w:rPr>
      <w:color w:val="0000FF"/>
      <w:u w:val="single"/>
    </w:rPr>
  </w:style>
  <w:style w:type="paragraph" w:customStyle="1" w:styleId="StyleBodyText14ptFirstline127cm">
    <w:name w:val="Style Body Text + 14 pt First line:  127 cm"/>
    <w:basedOn w:val="BodyText"/>
    <w:rsid w:val="00D54F70"/>
    <w:pPr>
      <w:ind w:firstLine="720"/>
      <w:jc w:val="both"/>
    </w:pPr>
    <w:rPr>
      <w:sz w:val="28"/>
      <w:szCs w:val="20"/>
      <w:lang w:eastAsia="lv-LV"/>
    </w:rPr>
  </w:style>
  <w:style w:type="character" w:styleId="Strong">
    <w:name w:val="Strong"/>
    <w:basedOn w:val="DefaultParagraphFont"/>
    <w:uiPriority w:val="99"/>
    <w:qFormat/>
    <w:rsid w:val="00D54F70"/>
    <w:rPr>
      <w:b/>
      <w:bCs/>
    </w:rPr>
  </w:style>
  <w:style w:type="paragraph" w:customStyle="1" w:styleId="naiskr">
    <w:name w:val="naiskr"/>
    <w:basedOn w:val="Normal"/>
    <w:rsid w:val="00D54F70"/>
    <w:pPr>
      <w:spacing w:before="75" w:after="75"/>
    </w:pPr>
    <w:rPr>
      <w:lang w:eastAsia="lv-LV"/>
    </w:rPr>
  </w:style>
  <w:style w:type="paragraph" w:customStyle="1" w:styleId="nospacing">
    <w:name w:val="nospacing"/>
    <w:basedOn w:val="Normal"/>
    <w:rsid w:val="00D54F70"/>
    <w:rPr>
      <w:rFonts w:ascii="Calibri" w:eastAsia="Calibri" w:hAnsi="Calibri"/>
      <w:sz w:val="22"/>
      <w:szCs w:val="22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54F7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F70"/>
    <w:rPr>
      <w:rFonts w:ascii="Times New Roman" w:eastAsia="Times New Roman" w:hAnsi="Times New Roman" w:cs="Times New Roman"/>
      <w:sz w:val="24"/>
      <w:szCs w:val="24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F70"/>
    <w:rPr>
      <w:rFonts w:ascii="Tahoma" w:eastAsia="Times New Roman" w:hAnsi="Tahoma" w:cs="Tahoma"/>
      <w:sz w:val="16"/>
      <w:szCs w:val="16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D54F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F70"/>
    <w:rPr>
      <w:rFonts w:ascii="Times New Roman" w:eastAsia="Times New Roman" w:hAnsi="Times New Roman" w:cs="Times New Roman"/>
      <w:sz w:val="24"/>
      <w:szCs w:val="24"/>
      <w:lang w:val="lv-LV"/>
    </w:rPr>
  </w:style>
  <w:style w:type="paragraph" w:styleId="Footer">
    <w:name w:val="footer"/>
    <w:basedOn w:val="Normal"/>
    <w:link w:val="FooterChar"/>
    <w:unhideWhenUsed/>
    <w:rsid w:val="00D54F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4F70"/>
    <w:rPr>
      <w:rFonts w:ascii="Times New Roman" w:eastAsia="Times New Roman" w:hAnsi="Times New Roman" w:cs="Times New Roman"/>
      <w:sz w:val="24"/>
      <w:szCs w:val="24"/>
      <w:lang w:val="lv-LV"/>
    </w:rPr>
  </w:style>
  <w:style w:type="character" w:customStyle="1" w:styleId="at3">
    <w:name w:val="a__t3"/>
    <w:basedOn w:val="DefaultParagraphFont"/>
    <w:rsid w:val="002851F0"/>
  </w:style>
  <w:style w:type="paragraph" w:customStyle="1" w:styleId="CM1">
    <w:name w:val="CM1"/>
    <w:basedOn w:val="Normal"/>
    <w:next w:val="Normal"/>
    <w:uiPriority w:val="99"/>
    <w:rsid w:val="005869FB"/>
    <w:pPr>
      <w:autoSpaceDE w:val="0"/>
      <w:autoSpaceDN w:val="0"/>
      <w:adjustRightInd w:val="0"/>
    </w:pPr>
    <w:rPr>
      <w:rFonts w:ascii="EUAlbertina" w:eastAsiaTheme="minorHAnsi" w:hAnsi="EUAlbertina" w:cstheme="minorBidi"/>
      <w:lang w:val="en-US"/>
    </w:rPr>
  </w:style>
  <w:style w:type="paragraph" w:customStyle="1" w:styleId="CM3">
    <w:name w:val="CM3"/>
    <w:basedOn w:val="Normal"/>
    <w:next w:val="Normal"/>
    <w:uiPriority w:val="99"/>
    <w:rsid w:val="005869FB"/>
    <w:pPr>
      <w:autoSpaceDE w:val="0"/>
      <w:autoSpaceDN w:val="0"/>
      <w:adjustRightInd w:val="0"/>
    </w:pPr>
    <w:rPr>
      <w:rFonts w:ascii="EUAlbertina" w:eastAsiaTheme="minorHAnsi" w:hAnsi="EUAlbertina" w:cstheme="minorBidi"/>
      <w:lang w:val="en-US"/>
    </w:rPr>
  </w:style>
  <w:style w:type="paragraph" w:styleId="ListParagraph">
    <w:name w:val="List Paragraph"/>
    <w:basedOn w:val="Normal"/>
    <w:uiPriority w:val="34"/>
    <w:qFormat/>
    <w:rsid w:val="0086568F"/>
    <w:pPr>
      <w:ind w:left="720"/>
      <w:contextualSpacing/>
    </w:pPr>
  </w:style>
  <w:style w:type="paragraph" w:customStyle="1" w:styleId="naisnod">
    <w:name w:val="naisnod"/>
    <w:basedOn w:val="Normal"/>
    <w:rsid w:val="00692DCB"/>
    <w:pPr>
      <w:spacing w:before="150" w:after="150"/>
      <w:jc w:val="center"/>
    </w:pPr>
    <w:rPr>
      <w:b/>
      <w:bCs/>
      <w:lang w:eastAsia="lv-LV"/>
    </w:rPr>
  </w:style>
  <w:style w:type="paragraph" w:customStyle="1" w:styleId="Standard">
    <w:name w:val="Standard"/>
    <w:rsid w:val="00692D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val="lv-LV" w:eastAsia="zh-CN" w:bidi="hi-IN"/>
    </w:rPr>
  </w:style>
  <w:style w:type="character" w:customStyle="1" w:styleId="apple-converted-space">
    <w:name w:val="apple-converted-space"/>
    <w:basedOn w:val="DefaultParagraphFont"/>
    <w:rsid w:val="0069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ija.vavere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3</Pages>
  <Words>584</Words>
  <Characters>4558</Characters>
  <Application>Microsoft Office Word</Application>
  <DocSecurity>0</DocSecurity>
  <Lines>182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AijaVavere</dc:creator>
  <cp:keywords/>
  <dc:description/>
  <cp:lastModifiedBy>Aija Vāvere</cp:lastModifiedBy>
  <cp:revision>44</cp:revision>
  <cp:lastPrinted>2013-01-29T08:51:00Z</cp:lastPrinted>
  <dcterms:created xsi:type="dcterms:W3CDTF">2013-01-04T12:27:00Z</dcterms:created>
  <dcterms:modified xsi:type="dcterms:W3CDTF">2016-04-15T07:37:00Z</dcterms:modified>
</cp:coreProperties>
</file>